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ind w:firstLine="720"/>
        <w:jc w:val="both"/>
        <w:rPr/>
      </w:pPr>
      <w:r w:rsidDel="00000000" w:rsidR="00000000" w:rsidRPr="00000000">
        <w:rPr>
          <w:rtl w:val="0"/>
        </w:rPr>
        <w:t xml:space="preserve">In order to find the extent to which the Crusader princes were sacral rulers, I will examine the different cultural groups that the Crusader princes found themselves adjacent to, or a part of, when founding and maintaining the Latin East and then comparing that to the ways that Latin Easterners referred to their own systems of government. Then I will look at the history of the Crusader states and whether or not their temporal positions continued to be interlinked with spiritual authority.</w:t>
      </w:r>
    </w:p>
    <w:p w:rsidR="00000000" w:rsidDel="00000000" w:rsidP="00000000" w:rsidRDefault="00000000" w:rsidRPr="00000000" w14:paraId="00000001">
      <w:pPr>
        <w:ind w:firstLine="720"/>
        <w:jc w:val="both"/>
        <w:rPr/>
      </w:pPr>
      <w:r w:rsidDel="00000000" w:rsidR="00000000" w:rsidRPr="00000000">
        <w:rPr>
          <w:rtl w:val="0"/>
        </w:rPr>
        <w:t xml:space="preserve">As most crusaders were from southern and western Europe, that would be the most important cultural area to focus on. France, England and Southern Italy had been sacral monarchies from the Migratory Period until the 10th century, but by the end of the 11th century the Reformist Papacy had curtailed the religious powers of monarchs to the point where they were largely considered secular rulers.</w:t>
      </w:r>
      <w:r w:rsidDel="00000000" w:rsidR="00000000" w:rsidRPr="00000000">
        <w:rPr>
          <w:vertAlign w:val="superscript"/>
        </w:rPr>
        <w:footnoteReference w:customMarkFollows="0" w:id="0"/>
      </w:r>
      <w:r w:rsidDel="00000000" w:rsidR="00000000" w:rsidRPr="00000000">
        <w:rPr>
          <w:rtl w:val="0"/>
        </w:rPr>
        <w:t xml:space="preserve"> </w:t>
      </w:r>
      <w:r w:rsidDel="00000000" w:rsidR="00000000" w:rsidRPr="00000000">
        <w:rPr>
          <w:vertAlign w:val="superscript"/>
        </w:rPr>
        <w:footnoteReference w:customMarkFollows="0" w:id="1"/>
      </w:r>
      <w:r w:rsidDel="00000000" w:rsidR="00000000" w:rsidRPr="00000000">
        <w:rPr>
          <w:rtl w:val="0"/>
        </w:rPr>
        <w:t xml:space="preserve"> The Papacy did this to make clear that their teaching about the spiritual world having superiority over the secular did not elevate kings in any way, but put them wholly under the Pope’s power. The Pope claimed the right to appoint or remove any ruler from kingdom to county-level.</w:t>
      </w:r>
      <w:r w:rsidDel="00000000" w:rsidR="00000000" w:rsidRPr="00000000">
        <w:rPr>
          <w:vertAlign w:val="superscript"/>
        </w:rPr>
        <w:footnoteReference w:customMarkFollows="0" w:id="2"/>
      </w:r>
      <w:r w:rsidDel="00000000" w:rsidR="00000000" w:rsidRPr="00000000">
        <w:rPr>
          <w:rtl w:val="0"/>
        </w:rPr>
      </w:r>
    </w:p>
    <w:p w:rsidR="00000000" w:rsidDel="00000000" w:rsidP="00000000" w:rsidRDefault="00000000" w:rsidRPr="00000000" w14:paraId="00000002">
      <w:pPr>
        <w:ind w:firstLine="720"/>
        <w:jc w:val="both"/>
        <w:rPr/>
      </w:pPr>
      <w:r w:rsidDel="00000000" w:rsidR="00000000" w:rsidRPr="00000000">
        <w:rPr>
          <w:rtl w:val="0"/>
        </w:rPr>
        <w:t xml:space="preserve">This change was not universally accepted in Europe however. For Holy Roman Imperials, rulers (called princes) had a level of </w:t>
      </w:r>
      <w:r w:rsidDel="00000000" w:rsidR="00000000" w:rsidRPr="00000000">
        <w:rPr>
          <w:i w:val="1"/>
          <w:rtl w:val="0"/>
        </w:rPr>
        <w:t xml:space="preserve">Heilig</w:t>
      </w:r>
      <w:r w:rsidDel="00000000" w:rsidR="00000000" w:rsidRPr="00000000">
        <w:rPr>
          <w:rtl w:val="0"/>
        </w:rPr>
        <w:t xml:space="preserve"> or </w:t>
      </w:r>
      <w:r w:rsidDel="00000000" w:rsidR="00000000" w:rsidRPr="00000000">
        <w:rPr>
          <w:i w:val="1"/>
          <w:rtl w:val="0"/>
        </w:rPr>
        <w:t xml:space="preserve">felicitas</w:t>
      </w:r>
      <w:r w:rsidDel="00000000" w:rsidR="00000000" w:rsidRPr="00000000">
        <w:rPr>
          <w:rtl w:val="0"/>
        </w:rPr>
        <w:t xml:space="preserve"> passed down from their ancestors, which the Church recognised in coronation.</w:t>
      </w:r>
      <w:r w:rsidDel="00000000" w:rsidR="00000000" w:rsidRPr="00000000">
        <w:rPr>
          <w:vertAlign w:val="superscript"/>
        </w:rPr>
        <w:footnoteReference w:customMarkFollows="0" w:id="3"/>
      </w:r>
      <w:r w:rsidDel="00000000" w:rsidR="00000000" w:rsidRPr="00000000">
        <w:rPr>
          <w:rtl w:val="0"/>
        </w:rPr>
        <w:t xml:space="preserve"> The Holy Roman Empire became a more sacral institution immediately before and during the crusades period, especially with the development of stem duchies, which had strong clerical and political authority.</w:t>
      </w:r>
      <w:r w:rsidDel="00000000" w:rsidR="00000000" w:rsidRPr="00000000">
        <w:rPr>
          <w:vertAlign w:val="superscript"/>
        </w:rPr>
        <w:footnoteReference w:customMarkFollows="0" w:id="4"/>
      </w:r>
      <w:r w:rsidDel="00000000" w:rsidR="00000000" w:rsidRPr="00000000">
        <w:rPr>
          <w:rtl w:val="0"/>
        </w:rPr>
        <w:t xml:space="preserve"> Connection between the state and church were strongest during periods of eastward expansion from the time of Charlemagne onwards, and grew significantly during the Northern Crusades.</w:t>
      </w:r>
      <w:r w:rsidDel="00000000" w:rsidR="00000000" w:rsidRPr="00000000">
        <w:rPr>
          <w:vertAlign w:val="superscript"/>
        </w:rPr>
        <w:footnoteReference w:customMarkFollows="0" w:id="5"/>
      </w:r>
      <w:r w:rsidDel="00000000" w:rsidR="00000000" w:rsidRPr="00000000">
        <w:rPr>
          <w:rtl w:val="0"/>
        </w:rPr>
        <w:t xml:space="preserve"> Outside of the Empire, the Hungarian monarch was given control of all bishoprics and churches in his kingdom in the year 1000</w:t>
      </w:r>
      <w:r w:rsidDel="00000000" w:rsidR="00000000" w:rsidRPr="00000000">
        <w:rPr>
          <w:vertAlign w:val="superscript"/>
        </w:rPr>
        <w:footnoteReference w:customMarkFollows="0" w:id="6"/>
      </w:r>
      <w:r w:rsidDel="00000000" w:rsidR="00000000" w:rsidRPr="00000000">
        <w:rPr>
          <w:rtl w:val="0"/>
        </w:rPr>
        <w:t xml:space="preserve"> and the Christian states of the Iberian peninsula claimed absolute authority over church matters, even calling their own church councils.</w:t>
      </w:r>
      <w:r w:rsidDel="00000000" w:rsidR="00000000" w:rsidRPr="00000000">
        <w:rPr>
          <w:vertAlign w:val="superscript"/>
        </w:rPr>
        <w:footnoteReference w:customMarkFollows="0" w:id="7"/>
      </w:r>
      <w:r w:rsidDel="00000000" w:rsidR="00000000" w:rsidRPr="00000000">
        <w:rPr>
          <w:rtl w:val="0"/>
        </w:rPr>
        <w:t xml:space="preserve"> There was no Europe-wide consensus about the issue of sacral rulership, but the concept of sacral rulership in Europe was perhaps at its least popular prior to the Enlightenment.</w:t>
      </w:r>
      <w:r w:rsidDel="00000000" w:rsidR="00000000" w:rsidRPr="00000000">
        <w:rPr>
          <w:vertAlign w:val="superscript"/>
        </w:rPr>
        <w:footnoteReference w:customMarkFollows="0" w:id="8"/>
      </w:r>
      <w:r w:rsidDel="00000000" w:rsidR="00000000" w:rsidRPr="00000000">
        <w:rPr>
          <w:rtl w:val="0"/>
        </w:rPr>
      </w:r>
    </w:p>
    <w:p w:rsidR="00000000" w:rsidDel="00000000" w:rsidP="00000000" w:rsidRDefault="00000000" w:rsidRPr="00000000" w14:paraId="00000003">
      <w:pPr>
        <w:ind w:firstLine="720"/>
        <w:jc w:val="both"/>
        <w:rPr/>
      </w:pPr>
      <w:r w:rsidDel="00000000" w:rsidR="00000000" w:rsidRPr="00000000">
        <w:rPr>
          <w:rtl w:val="0"/>
        </w:rPr>
        <w:t xml:space="preserve">In France several techniques to avoid the loss of control over church matters evolved, most importantly for the Crusader states was the role of ‘advocate’. An advocate, also known as the ‘agent’ or ‘defender’, had by the beginning of the 11th century become an hereditary title whereby a lay lord would handle the secular requirements of a church, monastery, abbey or holy site. In the north of France and the northwest of the Holy Roman Empire an advocate was seen as the representative of a church in its Feudal capacity. They acted in the church’s name.</w:t>
      </w:r>
      <w:r w:rsidDel="00000000" w:rsidR="00000000" w:rsidRPr="00000000">
        <w:rPr>
          <w:vertAlign w:val="superscript"/>
        </w:rPr>
        <w:footnoteReference w:customMarkFollows="0" w:id="9"/>
      </w:r>
      <w:r w:rsidDel="00000000" w:rsidR="00000000" w:rsidRPr="00000000">
        <w:rPr>
          <w:rtl w:val="0"/>
        </w:rPr>
      </w:r>
    </w:p>
    <w:p w:rsidR="00000000" w:rsidDel="00000000" w:rsidP="00000000" w:rsidRDefault="00000000" w:rsidRPr="00000000" w14:paraId="00000004">
      <w:pPr>
        <w:ind w:firstLine="720"/>
        <w:jc w:val="both"/>
        <w:rPr/>
      </w:pPr>
      <w:r w:rsidDel="00000000" w:rsidR="00000000" w:rsidRPr="00000000">
        <w:rPr>
          <w:rtl w:val="0"/>
        </w:rPr>
        <w:t xml:space="preserve">When Godfrey, Stem Duke of Lotharingia</w:t>
      </w:r>
      <w:r w:rsidDel="00000000" w:rsidR="00000000" w:rsidRPr="00000000">
        <w:rPr>
          <w:vertAlign w:val="superscript"/>
        </w:rPr>
        <w:footnoteReference w:customMarkFollows="0" w:id="10"/>
      </w:r>
      <w:r w:rsidDel="00000000" w:rsidR="00000000" w:rsidRPr="00000000">
        <w:rPr>
          <w:rtl w:val="0"/>
        </w:rPr>
        <w:t xml:space="preserve">, captured Jerusalem he took the title of ‘Advocate of the Holy Sepulchre’ and Prince of Jerusalem.</w:t>
      </w:r>
      <w:r w:rsidDel="00000000" w:rsidR="00000000" w:rsidRPr="00000000">
        <w:rPr>
          <w:vertAlign w:val="superscript"/>
        </w:rPr>
        <w:footnoteReference w:customMarkFollows="0" w:id="11"/>
      </w:r>
      <w:r w:rsidDel="00000000" w:rsidR="00000000" w:rsidRPr="00000000">
        <w:rPr>
          <w:rtl w:val="0"/>
        </w:rPr>
        <w:t xml:space="preserve"> Godfrey himself was half Flemish and half Lotharingian and privately spoke a Germanic language. Even as late as the 13th century the Royal House of Jerusalem was primarily Germanic-speaking.</w:t>
      </w:r>
      <w:r w:rsidDel="00000000" w:rsidR="00000000" w:rsidRPr="00000000">
        <w:rPr>
          <w:vertAlign w:val="superscript"/>
        </w:rPr>
        <w:footnoteReference w:customMarkFollows="0" w:id="12"/>
      </w:r>
      <w:r w:rsidDel="00000000" w:rsidR="00000000" w:rsidRPr="00000000">
        <w:rPr>
          <w:rtl w:val="0"/>
        </w:rPr>
        <w:t xml:space="preserve"> They identified themselves as Franks and often distinguished themselves from the French (at least to Holy Roman pilgrims).</w:t>
      </w:r>
      <w:r w:rsidDel="00000000" w:rsidR="00000000" w:rsidRPr="00000000">
        <w:rPr>
          <w:vertAlign w:val="superscript"/>
        </w:rPr>
        <w:footnoteReference w:customMarkFollows="0" w:id="13"/>
      </w:r>
      <w:r w:rsidDel="00000000" w:rsidR="00000000" w:rsidRPr="00000000">
        <w:rPr>
          <w:rtl w:val="0"/>
        </w:rPr>
        <w:t xml:space="preserve"> Godfrey’s history in the Holy Roman Empire ought to be considered when understanding his chosen titles. As both the title of ‘prince’ and ‘advocate’ carried sacral connotations and obligations with them in the Holy Roman Empire, it could be argued that it was Godfrey’s intent for the titles to be understood that way.</w:t>
      </w:r>
    </w:p>
    <w:p w:rsidR="00000000" w:rsidDel="00000000" w:rsidP="00000000" w:rsidRDefault="00000000" w:rsidRPr="00000000" w14:paraId="00000005">
      <w:pPr>
        <w:ind w:firstLine="720"/>
        <w:jc w:val="both"/>
        <w:rPr/>
      </w:pPr>
      <w:r w:rsidDel="00000000" w:rsidR="00000000" w:rsidRPr="00000000">
        <w:rPr>
          <w:rtl w:val="0"/>
        </w:rPr>
        <w:t xml:space="preserve">Godfrey’s reign only lasted a year and he was succeeded by his brother Baldwin. Baldwin had been educated in various places in the Holy Roman Empire and was heir to his brother’s Stem Duchy.</w:t>
      </w:r>
      <w:r w:rsidDel="00000000" w:rsidR="00000000" w:rsidRPr="00000000">
        <w:rPr>
          <w:vertAlign w:val="superscript"/>
        </w:rPr>
        <w:footnoteReference w:customMarkFollows="0" w:id="14"/>
      </w:r>
      <w:r w:rsidDel="00000000" w:rsidR="00000000" w:rsidRPr="00000000">
        <w:rPr>
          <w:rtl w:val="0"/>
        </w:rPr>
        <w:t xml:space="preserve"> He continued to use Godfrey’s Holy Roman-style titles, but he was also coronated in Byzantine fashion as King. He married an Armenian princess and appointed Armenian and Syriac Christians to various positions.</w:t>
      </w:r>
      <w:r w:rsidDel="00000000" w:rsidR="00000000" w:rsidRPr="00000000">
        <w:rPr>
          <w:vertAlign w:val="superscript"/>
        </w:rPr>
        <w:footnoteReference w:customMarkFollows="0" w:id="15"/>
      </w:r>
      <w:r w:rsidDel="00000000" w:rsidR="00000000" w:rsidRPr="00000000">
        <w:rPr>
          <w:rtl w:val="0"/>
        </w:rPr>
        <w:t xml:space="preserve"> The Byzantine ceremony would appeal to the Eastern Christians who made up the majority of his kingdom, but it would also clearly convey his dominion over the Church.</w:t>
      </w:r>
    </w:p>
    <w:p w:rsidR="00000000" w:rsidDel="00000000" w:rsidP="00000000" w:rsidRDefault="00000000" w:rsidRPr="00000000" w14:paraId="00000006">
      <w:pPr>
        <w:ind w:firstLine="720"/>
        <w:jc w:val="both"/>
        <w:rPr/>
      </w:pPr>
      <w:r w:rsidDel="00000000" w:rsidR="00000000" w:rsidRPr="00000000">
        <w:rPr>
          <w:rtl w:val="0"/>
        </w:rPr>
        <w:t xml:space="preserve">Eastern Orthodoxy was entirely focused around sacral kingship. At no point did any patriarch manage to exert more influence over the Church than the Emperor.</w:t>
      </w:r>
      <w:r w:rsidDel="00000000" w:rsidR="00000000" w:rsidRPr="00000000">
        <w:rPr>
          <w:vertAlign w:val="superscript"/>
        </w:rPr>
        <w:footnoteReference w:customMarkFollows="0" w:id="16"/>
      </w:r>
      <w:r w:rsidDel="00000000" w:rsidR="00000000" w:rsidRPr="00000000">
        <w:rPr>
          <w:rtl w:val="0"/>
        </w:rPr>
        <w:t xml:space="preserve"> The same was true in Oriental Orthodoxy, but to an even greater extent, with the Ethiopian Emperors being thought of as successors to the Lord Jesus himself and were seen as the fulfillment of many prophecies in their own right.</w:t>
      </w:r>
      <w:r w:rsidDel="00000000" w:rsidR="00000000" w:rsidRPr="00000000">
        <w:rPr>
          <w:vertAlign w:val="superscript"/>
        </w:rPr>
        <w:footnoteReference w:customMarkFollows="0" w:id="17"/>
      </w:r>
      <w:r w:rsidDel="00000000" w:rsidR="00000000" w:rsidRPr="00000000">
        <w:rPr>
          <w:rtl w:val="0"/>
        </w:rPr>
        <w:t xml:space="preserve"> Islam had similar ideas about monarchs of all strata, but this mostly focused on their caliphs. Thus, Eastern influence on the political thought of the Crusader states was overwhelmingly towards the position of sacral rulership.</w:t>
      </w:r>
    </w:p>
    <w:p w:rsidR="00000000" w:rsidDel="00000000" w:rsidP="00000000" w:rsidRDefault="00000000" w:rsidRPr="00000000" w14:paraId="00000007">
      <w:pPr>
        <w:ind w:firstLine="720"/>
        <w:jc w:val="both"/>
        <w:rPr/>
      </w:pPr>
      <w:r w:rsidDel="00000000" w:rsidR="00000000" w:rsidRPr="00000000">
        <w:rPr>
          <w:rtl w:val="0"/>
        </w:rPr>
        <w:t xml:space="preserve">Baldwin invented a kingdom and compelled Patriarch Daimbert of Jerusalem to recognise it via coronation. The Pope claimed that the title of king required the approval of the Church, yet Baldwin was congratulated for his coronation and was accepted as having already been a king before the Pope’s approval. Daimbert assured Baldwin that as he expanded his kingdom, he expanded the kingdom of Christ and the Church. Pope Paschal recognised Baldwin as ‘king of the Church of Jerusalem’ Later Popes, though careful not to criticise Baldwin who they recognised as king, were equally careful to avoid the term ‘kingdom’ so that the Papacy retained the power to grant and remove kingdoms.</w:t>
      </w:r>
      <w:r w:rsidDel="00000000" w:rsidR="00000000" w:rsidRPr="00000000">
        <w:rPr>
          <w:vertAlign w:val="superscript"/>
        </w:rPr>
        <w:footnoteReference w:customMarkFollows="0" w:id="18"/>
      </w:r>
      <w:r w:rsidDel="00000000" w:rsidR="00000000" w:rsidRPr="00000000">
        <w:rPr>
          <w:rtl w:val="0"/>
        </w:rPr>
        <w:t xml:space="preserve"> Although the Pope had not granted absolute sacral power to Baldwin, the Pope did in fact recognise Baldwin as a sacral king.</w:t>
      </w:r>
    </w:p>
    <w:p w:rsidR="00000000" w:rsidDel="00000000" w:rsidP="00000000" w:rsidRDefault="00000000" w:rsidRPr="00000000" w14:paraId="00000008">
      <w:pPr>
        <w:ind w:firstLine="720"/>
        <w:jc w:val="both"/>
        <w:rPr/>
      </w:pPr>
      <w:r w:rsidDel="00000000" w:rsidR="00000000" w:rsidRPr="00000000">
        <w:rPr>
          <w:rtl w:val="0"/>
        </w:rPr>
        <w:t xml:space="preserve">Further to the north, the Spear of Destiny incident with St. George’s charge at Antioch was used to establish a level of sacral rulership in the then nascent Principality of Antioch, especially amongst the French members of the army who would be less comfortable with the concept. The fact the the Provencal peasant Peter Bartholomew discovered the Spear and became its main advocate is significant, as is the fact that Raymond of Toulouse became its main wielder. Raymond used the Spear to take on Adhemar’s title of ‘Lord and Commander of the Christian Armies’, a Papally sanctioned title intended for a priest. These events demonstrate how the founders of both Antioch and Tripoli were eager to establish a level of acceptance of their sacral rulership.</w:t>
      </w:r>
      <w:r w:rsidDel="00000000" w:rsidR="00000000" w:rsidRPr="00000000">
        <w:rPr>
          <w:vertAlign w:val="superscript"/>
        </w:rPr>
        <w:footnoteReference w:customMarkFollows="0" w:id="19"/>
      </w:r>
      <w:r w:rsidDel="00000000" w:rsidR="00000000" w:rsidRPr="00000000">
        <w:rPr>
          <w:rtl w:val="0"/>
        </w:rPr>
      </w:r>
    </w:p>
    <w:p w:rsidR="00000000" w:rsidDel="00000000" w:rsidP="00000000" w:rsidRDefault="00000000" w:rsidRPr="00000000" w14:paraId="00000009">
      <w:pPr>
        <w:ind w:firstLine="720"/>
        <w:jc w:val="both"/>
        <w:rPr/>
      </w:pPr>
      <w:r w:rsidDel="00000000" w:rsidR="00000000" w:rsidRPr="00000000">
        <w:rPr>
          <w:rtl w:val="0"/>
        </w:rPr>
        <w:t xml:space="preserve">Authors of the Crusader States in the twelfth century conflated the Old Testament kings of Israel with the Latin kings of Jerusalem, to the point where their own relationship with God dictated how well the kingdom fared in war.</w:t>
      </w:r>
      <w:r w:rsidDel="00000000" w:rsidR="00000000" w:rsidRPr="00000000">
        <w:rPr>
          <w:vertAlign w:val="superscript"/>
        </w:rPr>
        <w:footnoteReference w:customMarkFollows="0" w:id="20"/>
      </w:r>
      <w:r w:rsidDel="00000000" w:rsidR="00000000" w:rsidRPr="00000000">
        <w:rPr>
          <w:rtl w:val="0"/>
        </w:rPr>
        <w:t xml:space="preserve"> Louis VII equated the success of Outremer with the ‘Glory of God’.</w:t>
      </w:r>
      <w:r w:rsidDel="00000000" w:rsidR="00000000" w:rsidRPr="00000000">
        <w:rPr>
          <w:vertAlign w:val="superscript"/>
        </w:rPr>
        <w:footnoteReference w:customMarkFollows="0" w:id="21"/>
      </w:r>
      <w:r w:rsidDel="00000000" w:rsidR="00000000" w:rsidRPr="00000000">
        <w:rPr>
          <w:rtl w:val="0"/>
        </w:rPr>
        <w:t xml:space="preserve"> Baldric of Dol and Fulcher of Chartres equated the Muslim rulers of Jerusalem with the Antichrist who pollutes the Temple of God,</w:t>
      </w:r>
      <w:r w:rsidDel="00000000" w:rsidR="00000000" w:rsidRPr="00000000">
        <w:rPr>
          <w:vertAlign w:val="superscript"/>
        </w:rPr>
        <w:footnoteReference w:customMarkFollows="0" w:id="22"/>
      </w:r>
      <w:r w:rsidDel="00000000" w:rsidR="00000000" w:rsidRPr="00000000">
        <w:rPr>
          <w:rtl w:val="0"/>
        </w:rPr>
        <w:t xml:space="preserve"> making the city’s liberators the sacred kings of these prophecies. In each of these cases the king of Jerusalem and his rule represent God’s rule on Earth, making them sacral monarchs.</w:t>
      </w:r>
    </w:p>
    <w:p w:rsidR="00000000" w:rsidDel="00000000" w:rsidP="00000000" w:rsidRDefault="00000000" w:rsidRPr="00000000" w14:paraId="0000000A">
      <w:pPr>
        <w:ind w:firstLine="720"/>
        <w:jc w:val="both"/>
        <w:rPr/>
      </w:pPr>
      <w:r w:rsidDel="00000000" w:rsidR="00000000" w:rsidRPr="00000000">
        <w:rPr>
          <w:rtl w:val="0"/>
        </w:rPr>
        <w:t xml:space="preserve">It has been argued that the Crusader states were more like an amalgam of Latin, Byzantine, Armenian and Arabic civilisations rather than a purely western feudal state due to the necessity of having to govern such a large territory under the pressure of war, with the natives already having effective forms of government. John of Ibelin, a twelfth century jurist of Outremer, maintained that the various villages and towns were governed under their own systems.</w:t>
      </w:r>
      <w:r w:rsidDel="00000000" w:rsidR="00000000" w:rsidRPr="00000000">
        <w:rPr>
          <w:vertAlign w:val="superscript"/>
        </w:rPr>
        <w:footnoteReference w:customMarkFollows="0" w:id="23"/>
      </w:r>
      <w:r w:rsidDel="00000000" w:rsidR="00000000" w:rsidRPr="00000000">
        <w:rPr>
          <w:rtl w:val="0"/>
        </w:rPr>
        <w:t xml:space="preserve"> However, the Latin Crusaders were not just influenced by the Eastern Christians out of necessity, but they actively sought them out, even establishing contact with Georgian, Indian and Mongolian Christians and seeking alliances with them.</w:t>
      </w:r>
      <w:r w:rsidDel="00000000" w:rsidR="00000000" w:rsidRPr="00000000">
        <w:rPr>
          <w:vertAlign w:val="superscript"/>
        </w:rPr>
        <w:footnoteReference w:customMarkFollows="0" w:id="24"/>
      </w:r>
      <w:r w:rsidDel="00000000" w:rsidR="00000000" w:rsidRPr="00000000">
        <w:rPr>
          <w:rtl w:val="0"/>
        </w:rPr>
        <w:t xml:space="preserve"> Culture and thought was imported from Eastern Christians. An example of this is how Byzantine iconography was adopted in illuminations made in Outremer, especially in relation to how kings were portrayed.</w:t>
      </w:r>
      <w:r w:rsidDel="00000000" w:rsidR="00000000" w:rsidRPr="00000000">
        <w:rPr>
          <w:vertAlign w:val="superscript"/>
        </w:rPr>
        <w:footnoteReference w:customMarkFollows="0" w:id="25"/>
      </w:r>
      <w:r w:rsidDel="00000000" w:rsidR="00000000" w:rsidRPr="00000000">
        <w:rPr>
          <w:rtl w:val="0"/>
        </w:rPr>
        <w:t xml:space="preserve"> Given that the existing power structures were already based upon sacral rulership and the Crusaders attempted to preserve these structures, it can be assumed that the Princes had to govern as sacral rulers.</w:t>
      </w:r>
    </w:p>
    <w:p w:rsidR="00000000" w:rsidDel="00000000" w:rsidP="00000000" w:rsidRDefault="00000000" w:rsidRPr="00000000" w14:paraId="0000000B">
      <w:pPr>
        <w:ind w:firstLine="720"/>
        <w:jc w:val="both"/>
        <w:rPr/>
      </w:pPr>
      <w:r w:rsidDel="00000000" w:rsidR="00000000" w:rsidRPr="00000000">
        <w:rPr>
          <w:rtl w:val="0"/>
        </w:rPr>
        <w:t xml:space="preserve">Despite technical changes in dynasty, the royal house of Jerusalem was effectively the same dynasty until the death of Baldwin IV. Most of the household remained Lotharingians, Walloons and Flemings (in other words Holy Romans) despite the native Christians who intermarried with the royals.</w:t>
      </w:r>
      <w:r w:rsidDel="00000000" w:rsidR="00000000" w:rsidRPr="00000000">
        <w:rPr>
          <w:vertAlign w:val="superscript"/>
        </w:rPr>
        <w:footnoteReference w:customMarkFollows="0" w:id="26"/>
      </w:r>
      <w:r w:rsidDel="00000000" w:rsidR="00000000" w:rsidRPr="00000000">
        <w:rPr>
          <w:rtl w:val="0"/>
        </w:rPr>
        <w:t xml:space="preserve"> With that said, many pains were made to make the Kingdom of Jerusalem appear as a French colony as much as an Eastern Kingdom, particularly in its latter phases. While the first three kings married Armenians, many of the later kings intermarried with the French and Normans.</w:t>
      </w:r>
      <w:r w:rsidDel="00000000" w:rsidR="00000000" w:rsidRPr="00000000">
        <w:rPr>
          <w:vertAlign w:val="superscript"/>
        </w:rPr>
        <w:footnoteReference w:customMarkFollows="0" w:id="27"/>
      </w:r>
      <w:r w:rsidDel="00000000" w:rsidR="00000000" w:rsidRPr="00000000">
        <w:rPr>
          <w:rtl w:val="0"/>
        </w:rPr>
        <w:t xml:space="preserve"> German pilgrims in the early thirteenth century lamented how these ‘German’ kings pretended to be French and would attribute the deeds of German crusaders to the French, especially on plaques at pilgrimage sites.</w:t>
      </w:r>
      <w:r w:rsidDel="00000000" w:rsidR="00000000" w:rsidRPr="00000000">
        <w:rPr>
          <w:vertAlign w:val="superscript"/>
        </w:rPr>
        <w:footnoteReference w:customMarkFollows="0" w:id="28"/>
      </w:r>
      <w:r w:rsidDel="00000000" w:rsidR="00000000" w:rsidRPr="00000000">
        <w:rPr>
          <w:rtl w:val="0"/>
        </w:rPr>
        <w:t xml:space="preserve"> As the Kingdom of Jerusalem grew more connected with the Francophone world its sacral claims were stated less. This increased rapidly as territory was lost to the Muslims. When Frederick II became king of Jerusalem he attempted to reverse the situation, either by ensuring that old laws from the early twelfth century were being adhered to, or by fabricating these laws entirely.</w:t>
      </w:r>
      <w:r w:rsidDel="00000000" w:rsidR="00000000" w:rsidRPr="00000000">
        <w:rPr>
          <w:vertAlign w:val="superscript"/>
        </w:rPr>
        <w:footnoteReference w:customMarkFollows="0" w:id="29"/>
      </w:r>
      <w:r w:rsidDel="00000000" w:rsidR="00000000" w:rsidRPr="00000000">
        <w:rPr>
          <w:rtl w:val="0"/>
        </w:rPr>
      </w:r>
    </w:p>
    <w:p w:rsidR="00000000" w:rsidDel="00000000" w:rsidP="00000000" w:rsidRDefault="00000000" w:rsidRPr="00000000" w14:paraId="0000000C">
      <w:pPr>
        <w:ind w:firstLine="720"/>
        <w:jc w:val="both"/>
        <w:rPr/>
      </w:pPr>
      <w:r w:rsidDel="00000000" w:rsidR="00000000" w:rsidRPr="00000000">
        <w:rPr>
          <w:rtl w:val="0"/>
        </w:rPr>
        <w:t xml:space="preserve">At the same time the Pope was exerting as much authority in the Latin East and was possible. By granting more powers to the Patriarch of Jerusalem, and by increasing his authority over the patriarch, starting around 1220, the Pope had relegated the crusader princes to the secular status that the rest of Latin Christendom enjoyed. By the middle of the 13th century the Patriarch had full control over the Jerusalemite church hierarchy, making John of Ibelin claim that he was the spiritual lord of the realm. By the end of the century the Pope had given the Patriarch an army of his own, ensured that the Military Orders could not disobey him and gave him effective control over the administration of what was left of the kingdom. This state of affairs continued for the duration of the kingdom of Cyprus.</w:t>
      </w:r>
      <w:r w:rsidDel="00000000" w:rsidR="00000000" w:rsidRPr="00000000">
        <w:rPr>
          <w:vertAlign w:val="superscript"/>
        </w:rPr>
        <w:footnoteReference w:customMarkFollows="0" w:id="30"/>
      </w:r>
      <w:r w:rsidDel="00000000" w:rsidR="00000000" w:rsidRPr="00000000">
        <w:rPr>
          <w:rtl w:val="0"/>
        </w:rPr>
      </w:r>
    </w:p>
    <w:p w:rsidR="00000000" w:rsidDel="00000000" w:rsidP="00000000" w:rsidRDefault="00000000" w:rsidRPr="00000000" w14:paraId="0000000D">
      <w:pPr>
        <w:ind w:firstLine="720"/>
        <w:jc w:val="both"/>
        <w:rPr/>
      </w:pPr>
      <w:r w:rsidDel="00000000" w:rsidR="00000000" w:rsidRPr="00000000">
        <w:rPr>
          <w:rtl w:val="0"/>
        </w:rPr>
        <w:t xml:space="preserve">In conclusion, there were large periods of time, including the vast majority of the Crusader princes, when the Crusader princes ruled as sacral monarchs. Jerusalem had the greatest claim and wielded the power most effectively while it could. The Crusader princes were sacral rulers to a great extent for a large period of time, but their sacral authority inevitably collapsed.</w:t>
      </w:r>
    </w:p>
    <w:p w:rsidR="00000000" w:rsidDel="00000000" w:rsidP="00000000" w:rsidRDefault="00000000" w:rsidRPr="00000000" w14:paraId="0000000E">
      <w:pPr>
        <w:ind w:firstLine="720"/>
        <w:jc w:val="both"/>
        <w:rPr/>
      </w:pPr>
      <w:r w:rsidDel="00000000" w:rsidR="00000000" w:rsidRPr="00000000">
        <w:br w:type="page"/>
      </w:r>
      <w:r w:rsidDel="00000000" w:rsidR="00000000" w:rsidRPr="00000000">
        <w:rPr>
          <w:rtl w:val="0"/>
        </w:rPr>
      </w:r>
    </w:p>
    <w:p w:rsidR="00000000" w:rsidDel="00000000" w:rsidP="00000000" w:rsidRDefault="00000000" w:rsidRPr="00000000" w14:paraId="0000000F">
      <w:pPr>
        <w:pStyle w:val="Title"/>
        <w:ind w:firstLine="720"/>
        <w:jc w:val="both"/>
        <w:rPr/>
      </w:pPr>
      <w:bookmarkStart w:colFirst="0" w:colLast="0" w:name="_blmxbjpc22xl" w:id="0"/>
      <w:bookmarkEnd w:id="0"/>
      <w:r w:rsidDel="00000000" w:rsidR="00000000" w:rsidRPr="00000000">
        <w:rPr>
          <w:rtl w:val="0"/>
        </w:rPr>
        <w:t xml:space="preserve">Bibliography</w:t>
      </w:r>
    </w:p>
    <w:p w:rsidR="00000000" w:rsidDel="00000000" w:rsidP="00000000" w:rsidRDefault="00000000" w:rsidRPr="00000000" w14:paraId="00000010">
      <w:pPr>
        <w:pStyle w:val="Heading1"/>
        <w:rPr/>
      </w:pPr>
      <w:bookmarkStart w:colFirst="0" w:colLast="0" w:name="_99e840inw0nu" w:id="1"/>
      <w:bookmarkEnd w:id="1"/>
      <w:r w:rsidDel="00000000" w:rsidR="00000000" w:rsidRPr="00000000">
        <w:rPr>
          <w:rtl w:val="0"/>
        </w:rPr>
        <w:t xml:space="preserve">Primary sources</w:t>
      </w:r>
    </w:p>
    <w:p w:rsidR="00000000" w:rsidDel="00000000" w:rsidP="00000000" w:rsidRDefault="00000000" w:rsidRPr="00000000" w14:paraId="00000011">
      <w:pPr>
        <w:spacing w:before="200" w:line="240" w:lineRule="auto"/>
        <w:ind w:left="283.46456692913375" w:hanging="283.46456692913375"/>
        <w:rPr>
          <w:sz w:val="20"/>
          <w:szCs w:val="20"/>
        </w:rPr>
      </w:pPr>
      <w:r w:rsidDel="00000000" w:rsidR="00000000" w:rsidRPr="00000000">
        <w:rPr>
          <w:sz w:val="20"/>
          <w:szCs w:val="20"/>
          <w:rtl w:val="0"/>
        </w:rPr>
        <w:t xml:space="preserve">Albert of Aachen., trans. Susan B Edgington, Historia Ierosolimitana (Oxford: Clarendon Press, 2007)</w:t>
      </w:r>
    </w:p>
    <w:p w:rsidR="00000000" w:rsidDel="00000000" w:rsidP="00000000" w:rsidRDefault="00000000" w:rsidRPr="00000000" w14:paraId="00000012">
      <w:pPr>
        <w:spacing w:before="200" w:line="240" w:lineRule="auto"/>
        <w:ind w:left="283.46456692913375" w:hanging="283.46456692913375"/>
        <w:rPr>
          <w:sz w:val="20"/>
          <w:szCs w:val="20"/>
        </w:rPr>
      </w:pPr>
      <w:r w:rsidDel="00000000" w:rsidR="00000000" w:rsidRPr="00000000">
        <w:rPr>
          <w:sz w:val="20"/>
          <w:szCs w:val="20"/>
          <w:rtl w:val="0"/>
        </w:rPr>
        <w:t xml:space="preserve">William of Tyre trans. Susan Edgington Helen J Nicholson, and P. W Edbury, Deeds Done Beyond The Sea (London: Routledge, 2016)</w:t>
      </w:r>
    </w:p>
    <w:p w:rsidR="00000000" w:rsidDel="00000000" w:rsidP="00000000" w:rsidRDefault="00000000" w:rsidRPr="00000000" w14:paraId="00000013">
      <w:pPr>
        <w:spacing w:before="200" w:line="240" w:lineRule="auto"/>
        <w:ind w:left="283.46456692913375" w:hanging="283.46456692913375"/>
        <w:rPr>
          <w:sz w:val="20"/>
          <w:szCs w:val="20"/>
        </w:rPr>
      </w:pPr>
      <w:r w:rsidDel="00000000" w:rsidR="00000000" w:rsidRPr="00000000">
        <w:rPr>
          <w:sz w:val="20"/>
          <w:szCs w:val="20"/>
          <w:rtl w:val="0"/>
        </w:rPr>
        <w:t xml:space="preserve">Foucher de Chartres, Frances Rita Ryan, and Harold S Fink, A History Of The Expedition To Jerusalem, 1095-1127 (New York: Norton, 2011)</w:t>
      </w:r>
    </w:p>
    <w:p w:rsidR="00000000" w:rsidDel="00000000" w:rsidP="00000000" w:rsidRDefault="00000000" w:rsidRPr="00000000" w14:paraId="00000014">
      <w:pPr>
        <w:spacing w:before="200" w:line="240" w:lineRule="auto"/>
        <w:ind w:left="283.46456692913375" w:hanging="283.46456692913375"/>
        <w:rPr>
          <w:sz w:val="20"/>
          <w:szCs w:val="20"/>
        </w:rPr>
      </w:pPr>
      <w:r w:rsidDel="00000000" w:rsidR="00000000" w:rsidRPr="00000000">
        <w:rPr>
          <w:sz w:val="20"/>
          <w:szCs w:val="20"/>
          <w:rtl w:val="0"/>
        </w:rPr>
        <w:t xml:space="preserve">Hill, Rosalind M. T, The Deeds Of The Franks And Other Pilgrims To Jerusalem (Oxford: Clarendon Press, 1979)</w:t>
      </w:r>
    </w:p>
    <w:p w:rsidR="00000000" w:rsidDel="00000000" w:rsidP="00000000" w:rsidRDefault="00000000" w:rsidRPr="00000000" w14:paraId="00000015">
      <w:pPr>
        <w:spacing w:before="200" w:line="240" w:lineRule="auto"/>
        <w:ind w:left="283.46456692913375" w:hanging="283.46456692913375"/>
        <w:rPr>
          <w:sz w:val="20"/>
          <w:szCs w:val="20"/>
        </w:rPr>
      </w:pPr>
      <w:r w:rsidDel="00000000" w:rsidR="00000000" w:rsidRPr="00000000">
        <w:rPr>
          <w:sz w:val="20"/>
          <w:szCs w:val="20"/>
          <w:rtl w:val="0"/>
        </w:rPr>
        <w:t xml:space="preserve">Jaffé, Philipp, Monumenta Corbeiensia (Aalen: Scientia, 1964)</w:t>
      </w:r>
    </w:p>
    <w:p w:rsidR="00000000" w:rsidDel="00000000" w:rsidP="00000000" w:rsidRDefault="00000000" w:rsidRPr="00000000" w14:paraId="00000016">
      <w:pPr>
        <w:spacing w:before="200" w:line="240" w:lineRule="auto"/>
        <w:ind w:left="283.46456692913375" w:hanging="283.46456692913375"/>
        <w:rPr>
          <w:sz w:val="20"/>
          <w:szCs w:val="20"/>
        </w:rPr>
      </w:pPr>
      <w:r w:rsidDel="00000000" w:rsidR="00000000" w:rsidRPr="00000000">
        <w:rPr>
          <w:sz w:val="20"/>
          <w:szCs w:val="20"/>
          <w:rtl w:val="0"/>
        </w:rPr>
        <w:t xml:space="preserve">Tobler, Titus, Descriptiones Terrae Sanctae Ex Saeculo VIII, IX, XII Et XV. S. Willibaldus, Commemoratorium De Casis, 1st edn (Leipzig: J. C. Hinrichs, 1874),</w:t>
      </w:r>
    </w:p>
    <w:p w:rsidR="00000000" w:rsidDel="00000000" w:rsidP="00000000" w:rsidRDefault="00000000" w:rsidRPr="00000000" w14:paraId="00000017">
      <w:pPr>
        <w:pStyle w:val="Heading1"/>
        <w:rPr>
          <w:sz w:val="20"/>
          <w:szCs w:val="20"/>
        </w:rPr>
      </w:pPr>
      <w:bookmarkStart w:colFirst="0" w:colLast="0" w:name="_u7d6t51xmw2a" w:id="2"/>
      <w:bookmarkEnd w:id="2"/>
      <w:r w:rsidDel="00000000" w:rsidR="00000000" w:rsidRPr="00000000">
        <w:rPr>
          <w:rtl w:val="0"/>
        </w:rPr>
        <w:t xml:space="preserve">Secondary sources</w:t>
      </w:r>
      <w:r w:rsidDel="00000000" w:rsidR="00000000" w:rsidRPr="00000000">
        <w:rPr>
          <w:rtl w:val="0"/>
        </w:rPr>
      </w:r>
    </w:p>
    <w:p w:rsidR="00000000" w:rsidDel="00000000" w:rsidP="00000000" w:rsidRDefault="00000000" w:rsidRPr="00000000" w14:paraId="00000018">
      <w:pPr>
        <w:spacing w:before="200" w:line="240" w:lineRule="auto"/>
        <w:ind w:left="283.46456692913375"/>
        <w:rPr>
          <w:sz w:val="20"/>
          <w:szCs w:val="20"/>
        </w:rPr>
      </w:pPr>
      <w:r w:rsidDel="00000000" w:rsidR="00000000" w:rsidRPr="00000000">
        <w:rPr>
          <w:sz w:val="20"/>
          <w:szCs w:val="20"/>
          <w:rtl w:val="0"/>
        </w:rPr>
        <w:t xml:space="preserve">Francis Oakley, </w:t>
      </w:r>
      <w:r w:rsidDel="00000000" w:rsidR="00000000" w:rsidRPr="00000000">
        <w:rPr>
          <w:i w:val="1"/>
          <w:sz w:val="20"/>
          <w:szCs w:val="20"/>
          <w:rtl w:val="0"/>
        </w:rPr>
        <w:t xml:space="preserve">The Mortgage Of The Past: Reshaping The Ancient Political Inheritance (1050-1300) (The Emergence Of Western Political Thought In The Latin Middle Ages)</w:t>
      </w:r>
      <w:r w:rsidDel="00000000" w:rsidR="00000000" w:rsidRPr="00000000">
        <w:rPr>
          <w:sz w:val="20"/>
          <w:szCs w:val="20"/>
          <w:rtl w:val="0"/>
        </w:rPr>
        <w:t xml:space="preserve"> (Yale University Press, 2012).</w:t>
      </w:r>
    </w:p>
    <w:p w:rsidR="00000000" w:rsidDel="00000000" w:rsidP="00000000" w:rsidRDefault="00000000" w:rsidRPr="00000000" w14:paraId="00000019">
      <w:pPr>
        <w:spacing w:before="200" w:line="240" w:lineRule="auto"/>
        <w:ind w:left="283.46456692913375"/>
        <w:rPr>
          <w:sz w:val="20"/>
          <w:szCs w:val="20"/>
        </w:rPr>
      </w:pPr>
      <w:r w:rsidDel="00000000" w:rsidR="00000000" w:rsidRPr="00000000">
        <w:rPr>
          <w:sz w:val="20"/>
          <w:szCs w:val="20"/>
          <w:rtl w:val="0"/>
        </w:rPr>
        <w:t xml:space="preserve">Whitman, Jon, "</w:t>
      </w:r>
      <w:r w:rsidDel="00000000" w:rsidR="00000000" w:rsidRPr="00000000">
        <w:rPr>
          <w:i w:val="1"/>
          <w:sz w:val="20"/>
          <w:szCs w:val="20"/>
          <w:rtl w:val="0"/>
        </w:rPr>
        <w:t xml:space="preserve">Transfers Of Empire, Movements Of Mind: Holy Sepulchre And Holy Grail</w:t>
      </w:r>
      <w:r w:rsidDel="00000000" w:rsidR="00000000" w:rsidRPr="00000000">
        <w:rPr>
          <w:sz w:val="20"/>
          <w:szCs w:val="20"/>
          <w:rtl w:val="0"/>
        </w:rPr>
        <w:t xml:space="preserve">", MLN, 123 (2008), 895-923 &lt;</w:t>
      </w:r>
      <w:r w:rsidDel="00000000" w:rsidR="00000000" w:rsidRPr="00000000">
        <w:rPr>
          <w:sz w:val="20"/>
          <w:szCs w:val="20"/>
          <w:rtl w:val="0"/>
        </w:rPr>
        <w:t xml:space="preserve">https://doi.org/10.1353/mln.0.0054</w:t>
      </w:r>
      <w:r w:rsidDel="00000000" w:rsidR="00000000" w:rsidRPr="00000000">
        <w:rPr>
          <w:sz w:val="20"/>
          <w:szCs w:val="20"/>
          <w:rtl w:val="0"/>
        </w:rPr>
        <w:t xml:space="preserve">&gt;</w:t>
      </w:r>
    </w:p>
    <w:p w:rsidR="00000000" w:rsidDel="00000000" w:rsidP="00000000" w:rsidRDefault="00000000" w:rsidRPr="00000000" w14:paraId="0000001A">
      <w:pPr>
        <w:spacing w:before="200" w:line="240" w:lineRule="auto"/>
        <w:rPr>
          <w:sz w:val="20"/>
          <w:szCs w:val="20"/>
          <w:highlight w:val="white"/>
        </w:rPr>
      </w:pPr>
      <w:r w:rsidDel="00000000" w:rsidR="00000000" w:rsidRPr="00000000">
        <w:rPr>
          <w:sz w:val="20"/>
          <w:szCs w:val="20"/>
          <w:highlight w:val="white"/>
          <w:rtl w:val="0"/>
        </w:rPr>
        <w:t xml:space="preserve">Allen, Rosamund, </w:t>
      </w:r>
      <w:r w:rsidDel="00000000" w:rsidR="00000000" w:rsidRPr="00000000">
        <w:rPr>
          <w:i w:val="1"/>
          <w:sz w:val="20"/>
          <w:szCs w:val="20"/>
          <w:highlight w:val="white"/>
          <w:rtl w:val="0"/>
        </w:rPr>
        <w:t xml:space="preserve">Eastward Bound</w:t>
      </w:r>
      <w:r w:rsidDel="00000000" w:rsidR="00000000" w:rsidRPr="00000000">
        <w:rPr>
          <w:sz w:val="20"/>
          <w:szCs w:val="20"/>
          <w:highlight w:val="white"/>
          <w:rtl w:val="0"/>
        </w:rPr>
        <w:t xml:space="preserve"> (Manchester: Manchester University Press, 2012)</w:t>
      </w:r>
    </w:p>
    <w:p w:rsidR="00000000" w:rsidDel="00000000" w:rsidP="00000000" w:rsidRDefault="00000000" w:rsidRPr="00000000" w14:paraId="0000001B">
      <w:pPr>
        <w:spacing w:before="200" w:line="240" w:lineRule="auto"/>
        <w:rPr>
          <w:sz w:val="20"/>
          <w:szCs w:val="20"/>
          <w:highlight w:val="white"/>
        </w:rPr>
      </w:pPr>
      <w:r w:rsidDel="00000000" w:rsidR="00000000" w:rsidRPr="00000000">
        <w:rPr>
          <w:sz w:val="20"/>
          <w:szCs w:val="20"/>
          <w:highlight w:val="white"/>
          <w:rtl w:val="0"/>
        </w:rPr>
        <w:t xml:space="preserve">Bishop, Adam M, </w:t>
      </w:r>
      <w:r w:rsidDel="00000000" w:rsidR="00000000" w:rsidRPr="00000000">
        <w:rPr>
          <w:i w:val="1"/>
          <w:sz w:val="20"/>
          <w:szCs w:val="20"/>
          <w:highlight w:val="white"/>
          <w:rtl w:val="0"/>
        </w:rPr>
        <w:t xml:space="preserve">Criminal Law And The Development Of The Assizes Of The Crusader Kingdom Of Jerusalem In The Twelfth Century</w:t>
      </w:r>
      <w:r w:rsidDel="00000000" w:rsidR="00000000" w:rsidRPr="00000000">
        <w:rPr>
          <w:sz w:val="20"/>
          <w:szCs w:val="20"/>
          <w:highlight w:val="white"/>
          <w:rtl w:val="0"/>
        </w:rPr>
        <w:t xml:space="preserve"> (Ottawa: Library and Archives Canada = Bibliothèque et Archives Canada, 2012)</w:t>
      </w:r>
    </w:p>
    <w:p w:rsidR="00000000" w:rsidDel="00000000" w:rsidP="00000000" w:rsidRDefault="00000000" w:rsidRPr="00000000" w14:paraId="0000001C">
      <w:pPr>
        <w:spacing w:before="200" w:line="240" w:lineRule="auto"/>
        <w:rPr>
          <w:sz w:val="20"/>
          <w:szCs w:val="20"/>
          <w:highlight w:val="white"/>
        </w:rPr>
      </w:pPr>
      <w:r w:rsidDel="00000000" w:rsidR="00000000" w:rsidRPr="00000000">
        <w:rPr>
          <w:sz w:val="20"/>
          <w:szCs w:val="20"/>
          <w:highlight w:val="white"/>
          <w:rtl w:val="0"/>
        </w:rPr>
        <w:t xml:space="preserve">Cole, Penny J., "Christians, Muslims, And The "Liberation" Of The Holy Land", </w:t>
      </w:r>
      <w:r w:rsidDel="00000000" w:rsidR="00000000" w:rsidRPr="00000000">
        <w:rPr>
          <w:i w:val="1"/>
          <w:sz w:val="20"/>
          <w:szCs w:val="20"/>
          <w:highlight w:val="white"/>
          <w:rtl w:val="0"/>
        </w:rPr>
        <w:t xml:space="preserve">The Catholic Historical Review</w:t>
      </w:r>
      <w:r w:rsidDel="00000000" w:rsidR="00000000" w:rsidRPr="00000000">
        <w:rPr>
          <w:sz w:val="20"/>
          <w:szCs w:val="20"/>
          <w:highlight w:val="white"/>
          <w:rtl w:val="0"/>
        </w:rPr>
        <w:t xml:space="preserve">, 84 (1998), 1-10 &lt;</w:t>
      </w:r>
      <w:r w:rsidDel="00000000" w:rsidR="00000000" w:rsidRPr="00000000">
        <w:rPr>
          <w:sz w:val="20"/>
          <w:szCs w:val="20"/>
          <w:highlight w:val="white"/>
          <w:rtl w:val="0"/>
        </w:rPr>
        <w:t xml:space="preserve">https://doi.org/10.1353/cat.1998.0127</w:t>
      </w:r>
      <w:r w:rsidDel="00000000" w:rsidR="00000000" w:rsidRPr="00000000">
        <w:rPr>
          <w:sz w:val="20"/>
          <w:szCs w:val="20"/>
          <w:highlight w:val="white"/>
          <w:rtl w:val="0"/>
        </w:rPr>
        <w:t xml:space="preserve">&gt;</w:t>
      </w:r>
    </w:p>
    <w:p w:rsidR="00000000" w:rsidDel="00000000" w:rsidP="00000000" w:rsidRDefault="00000000" w:rsidRPr="00000000" w14:paraId="0000001D">
      <w:pPr>
        <w:spacing w:before="200" w:line="240" w:lineRule="auto"/>
        <w:rPr>
          <w:sz w:val="20"/>
          <w:szCs w:val="20"/>
          <w:highlight w:val="white"/>
        </w:rPr>
      </w:pPr>
      <w:r w:rsidDel="00000000" w:rsidR="00000000" w:rsidRPr="00000000">
        <w:rPr>
          <w:sz w:val="20"/>
          <w:szCs w:val="20"/>
          <w:highlight w:val="white"/>
          <w:rtl w:val="0"/>
        </w:rPr>
        <w:t xml:space="preserve">Freed, John B., "Reflections On The Medieval German Nobility", </w:t>
      </w:r>
      <w:r w:rsidDel="00000000" w:rsidR="00000000" w:rsidRPr="00000000">
        <w:rPr>
          <w:i w:val="1"/>
          <w:sz w:val="20"/>
          <w:szCs w:val="20"/>
          <w:highlight w:val="white"/>
          <w:rtl w:val="0"/>
        </w:rPr>
        <w:t xml:space="preserve">The American Historical Review</w:t>
      </w:r>
      <w:r w:rsidDel="00000000" w:rsidR="00000000" w:rsidRPr="00000000">
        <w:rPr>
          <w:sz w:val="20"/>
          <w:szCs w:val="20"/>
          <w:highlight w:val="white"/>
          <w:rtl w:val="0"/>
        </w:rPr>
        <w:t xml:space="preserve">, 91 (1986), 553 &lt;</w:t>
      </w:r>
      <w:r w:rsidDel="00000000" w:rsidR="00000000" w:rsidRPr="00000000">
        <w:rPr>
          <w:sz w:val="20"/>
          <w:szCs w:val="20"/>
          <w:highlight w:val="white"/>
          <w:rtl w:val="0"/>
        </w:rPr>
        <w:t xml:space="preserve">https://doi.org/10.2307/1869131</w:t>
      </w:r>
      <w:r w:rsidDel="00000000" w:rsidR="00000000" w:rsidRPr="00000000">
        <w:rPr>
          <w:sz w:val="20"/>
          <w:szCs w:val="20"/>
          <w:highlight w:val="white"/>
          <w:rtl w:val="0"/>
        </w:rPr>
        <w:t xml:space="preserve">&gt;</w:t>
      </w:r>
    </w:p>
    <w:p w:rsidR="00000000" w:rsidDel="00000000" w:rsidP="00000000" w:rsidRDefault="00000000" w:rsidRPr="00000000" w14:paraId="0000001E">
      <w:pPr>
        <w:spacing w:before="200" w:line="240" w:lineRule="auto"/>
        <w:rPr>
          <w:sz w:val="20"/>
          <w:szCs w:val="20"/>
          <w:highlight w:val="white"/>
        </w:rPr>
      </w:pPr>
      <w:r w:rsidDel="00000000" w:rsidR="00000000" w:rsidRPr="00000000">
        <w:rPr>
          <w:sz w:val="20"/>
          <w:szCs w:val="20"/>
          <w:highlight w:val="white"/>
          <w:rtl w:val="0"/>
        </w:rPr>
        <w:t xml:space="preserve">Geanakoplos, Deno J., "Church And State In The Byzantine Empire: A Reconsideration Of The Problem Of Caesaropapism", </w:t>
      </w:r>
      <w:r w:rsidDel="00000000" w:rsidR="00000000" w:rsidRPr="00000000">
        <w:rPr>
          <w:i w:val="1"/>
          <w:sz w:val="20"/>
          <w:szCs w:val="20"/>
          <w:highlight w:val="white"/>
          <w:rtl w:val="0"/>
        </w:rPr>
        <w:t xml:space="preserve">Church History</w:t>
      </w:r>
      <w:r w:rsidDel="00000000" w:rsidR="00000000" w:rsidRPr="00000000">
        <w:rPr>
          <w:sz w:val="20"/>
          <w:szCs w:val="20"/>
          <w:highlight w:val="white"/>
          <w:rtl w:val="0"/>
        </w:rPr>
        <w:t xml:space="preserve">, 34 (1965), 381 &lt;</w:t>
      </w:r>
      <w:r w:rsidDel="00000000" w:rsidR="00000000" w:rsidRPr="00000000">
        <w:rPr>
          <w:sz w:val="20"/>
          <w:szCs w:val="20"/>
          <w:highlight w:val="white"/>
          <w:rtl w:val="0"/>
        </w:rPr>
        <w:t xml:space="preserve">https://doi.org/10.2307/3163118</w:t>
      </w:r>
      <w:r w:rsidDel="00000000" w:rsidR="00000000" w:rsidRPr="00000000">
        <w:rPr>
          <w:sz w:val="20"/>
          <w:szCs w:val="20"/>
          <w:highlight w:val="white"/>
          <w:rtl w:val="0"/>
        </w:rPr>
        <w:t xml:space="preserve">&gt;</w:t>
      </w:r>
    </w:p>
    <w:p w:rsidR="00000000" w:rsidDel="00000000" w:rsidP="00000000" w:rsidRDefault="00000000" w:rsidRPr="00000000" w14:paraId="0000001F">
      <w:pPr>
        <w:spacing w:before="200" w:line="240" w:lineRule="auto"/>
        <w:rPr>
          <w:sz w:val="20"/>
          <w:szCs w:val="20"/>
          <w:highlight w:val="white"/>
        </w:rPr>
      </w:pPr>
      <w:r w:rsidDel="00000000" w:rsidR="00000000" w:rsidRPr="00000000">
        <w:rPr>
          <w:sz w:val="20"/>
          <w:szCs w:val="20"/>
          <w:highlight w:val="white"/>
          <w:rtl w:val="0"/>
        </w:rPr>
        <w:t xml:space="preserve">Ingrao, Charles W, and Franz A. J Szabo, </w:t>
      </w:r>
      <w:r w:rsidDel="00000000" w:rsidR="00000000" w:rsidRPr="00000000">
        <w:rPr>
          <w:i w:val="1"/>
          <w:sz w:val="20"/>
          <w:szCs w:val="20"/>
          <w:highlight w:val="white"/>
          <w:rtl w:val="0"/>
        </w:rPr>
        <w:t xml:space="preserve">The Germans And The East</w:t>
      </w:r>
      <w:r w:rsidDel="00000000" w:rsidR="00000000" w:rsidRPr="00000000">
        <w:rPr>
          <w:sz w:val="20"/>
          <w:szCs w:val="20"/>
          <w:highlight w:val="white"/>
          <w:rtl w:val="0"/>
        </w:rPr>
        <w:t xml:space="preserve"> (West Lafayette, Ind.: Purdue University Press, 2008)</w:t>
      </w:r>
    </w:p>
    <w:p w:rsidR="00000000" w:rsidDel="00000000" w:rsidP="00000000" w:rsidRDefault="00000000" w:rsidRPr="00000000" w14:paraId="00000020">
      <w:pPr>
        <w:spacing w:before="200" w:line="240" w:lineRule="auto"/>
        <w:rPr>
          <w:sz w:val="20"/>
          <w:szCs w:val="20"/>
          <w:highlight w:val="white"/>
        </w:rPr>
      </w:pPr>
      <w:r w:rsidDel="00000000" w:rsidR="00000000" w:rsidRPr="00000000">
        <w:rPr>
          <w:sz w:val="20"/>
          <w:szCs w:val="20"/>
          <w:highlight w:val="white"/>
          <w:rtl w:val="0"/>
        </w:rPr>
        <w:t xml:space="preserve">JOHN, SIMON, "The Papacy And The Establishment Of The Kingdoms Of Jerusalem, Sicily And Portugal: Twelfth-Century Papal Political Thought On Incipient Kingship", </w:t>
      </w:r>
      <w:r w:rsidDel="00000000" w:rsidR="00000000" w:rsidRPr="00000000">
        <w:rPr>
          <w:i w:val="1"/>
          <w:sz w:val="20"/>
          <w:szCs w:val="20"/>
          <w:highlight w:val="white"/>
          <w:rtl w:val="0"/>
        </w:rPr>
        <w:t xml:space="preserve">The Journal Of Ecclesiastical History</w:t>
      </w:r>
      <w:r w:rsidDel="00000000" w:rsidR="00000000" w:rsidRPr="00000000">
        <w:rPr>
          <w:sz w:val="20"/>
          <w:szCs w:val="20"/>
          <w:highlight w:val="white"/>
          <w:rtl w:val="0"/>
        </w:rPr>
        <w:t xml:space="preserve">, 68 (2017), 223-259 &lt;</w:t>
      </w:r>
      <w:r w:rsidDel="00000000" w:rsidR="00000000" w:rsidRPr="00000000">
        <w:rPr>
          <w:sz w:val="20"/>
          <w:szCs w:val="20"/>
          <w:highlight w:val="white"/>
          <w:rtl w:val="0"/>
        </w:rPr>
        <w:t xml:space="preserve">https://doi.org/10.1017/s0022046916000622</w:t>
      </w:r>
      <w:r w:rsidDel="00000000" w:rsidR="00000000" w:rsidRPr="00000000">
        <w:rPr>
          <w:sz w:val="20"/>
          <w:szCs w:val="20"/>
          <w:highlight w:val="white"/>
          <w:rtl w:val="0"/>
        </w:rPr>
        <w:t xml:space="preserve">&gt;</w:t>
      </w:r>
    </w:p>
    <w:p w:rsidR="00000000" w:rsidDel="00000000" w:rsidP="00000000" w:rsidRDefault="00000000" w:rsidRPr="00000000" w14:paraId="00000021">
      <w:pPr>
        <w:spacing w:before="200" w:line="240" w:lineRule="auto"/>
        <w:rPr>
          <w:sz w:val="20"/>
          <w:szCs w:val="20"/>
          <w:highlight w:val="white"/>
        </w:rPr>
      </w:pPr>
      <w:r w:rsidDel="00000000" w:rsidR="00000000" w:rsidRPr="00000000">
        <w:rPr>
          <w:sz w:val="20"/>
          <w:szCs w:val="20"/>
          <w:highlight w:val="white"/>
          <w:rtl w:val="0"/>
        </w:rPr>
        <w:t xml:space="preserve">Kaplan, Steven, "Dominance And Diversity: Kingship, Ethnicity, And Christianity In Orthodox Ethiopia", </w:t>
      </w:r>
      <w:r w:rsidDel="00000000" w:rsidR="00000000" w:rsidRPr="00000000">
        <w:rPr>
          <w:i w:val="1"/>
          <w:sz w:val="20"/>
          <w:szCs w:val="20"/>
          <w:highlight w:val="white"/>
          <w:rtl w:val="0"/>
        </w:rPr>
        <w:t xml:space="preserve">Church History And Religious Culture</w:t>
      </w:r>
      <w:r w:rsidDel="00000000" w:rsidR="00000000" w:rsidRPr="00000000">
        <w:rPr>
          <w:sz w:val="20"/>
          <w:szCs w:val="20"/>
          <w:highlight w:val="white"/>
          <w:rtl w:val="0"/>
        </w:rPr>
        <w:t xml:space="preserve">, 89 (2009), 291-305 &lt;</w:t>
      </w:r>
      <w:r w:rsidDel="00000000" w:rsidR="00000000" w:rsidRPr="00000000">
        <w:rPr>
          <w:sz w:val="20"/>
          <w:szCs w:val="20"/>
          <w:highlight w:val="white"/>
          <w:rtl w:val="0"/>
        </w:rPr>
        <w:t xml:space="preserve">https://doi.org/10.1163/187124109x407943</w:t>
      </w:r>
      <w:r w:rsidDel="00000000" w:rsidR="00000000" w:rsidRPr="00000000">
        <w:rPr>
          <w:sz w:val="20"/>
          <w:szCs w:val="20"/>
          <w:highlight w:val="white"/>
          <w:rtl w:val="0"/>
        </w:rPr>
        <w:t xml:space="preserve">&gt;</w:t>
      </w:r>
    </w:p>
    <w:p w:rsidR="00000000" w:rsidDel="00000000" w:rsidP="00000000" w:rsidRDefault="00000000" w:rsidRPr="00000000" w14:paraId="00000022">
      <w:pPr>
        <w:spacing w:before="200" w:line="240" w:lineRule="auto"/>
        <w:rPr>
          <w:sz w:val="20"/>
          <w:szCs w:val="20"/>
          <w:highlight w:val="white"/>
        </w:rPr>
      </w:pPr>
      <w:r w:rsidDel="00000000" w:rsidR="00000000" w:rsidRPr="00000000">
        <w:rPr>
          <w:sz w:val="20"/>
          <w:szCs w:val="20"/>
          <w:highlight w:val="white"/>
          <w:rtl w:val="0"/>
        </w:rPr>
        <w:t xml:space="preserve">Klaniczay, Gábor, </w:t>
      </w:r>
      <w:r w:rsidDel="00000000" w:rsidR="00000000" w:rsidRPr="00000000">
        <w:rPr>
          <w:i w:val="1"/>
          <w:sz w:val="20"/>
          <w:szCs w:val="20"/>
          <w:highlight w:val="white"/>
          <w:rtl w:val="0"/>
        </w:rPr>
        <w:t xml:space="preserve">Holy Rulers And Blessed Princesses</w:t>
      </w:r>
      <w:r w:rsidDel="00000000" w:rsidR="00000000" w:rsidRPr="00000000">
        <w:rPr>
          <w:sz w:val="20"/>
          <w:szCs w:val="20"/>
          <w:highlight w:val="white"/>
          <w:rtl w:val="0"/>
        </w:rPr>
        <w:t xml:space="preserve"> (Cambridge: Cambridge University Press, 2007)</w:t>
      </w:r>
    </w:p>
    <w:p w:rsidR="00000000" w:rsidDel="00000000" w:rsidP="00000000" w:rsidRDefault="00000000" w:rsidRPr="00000000" w14:paraId="00000023">
      <w:pPr>
        <w:spacing w:before="200" w:line="240" w:lineRule="auto"/>
        <w:rPr>
          <w:sz w:val="20"/>
          <w:szCs w:val="20"/>
          <w:highlight w:val="white"/>
        </w:rPr>
      </w:pPr>
      <w:r w:rsidDel="00000000" w:rsidR="00000000" w:rsidRPr="00000000">
        <w:rPr>
          <w:sz w:val="20"/>
          <w:szCs w:val="20"/>
          <w:highlight w:val="white"/>
          <w:rtl w:val="0"/>
        </w:rPr>
        <w:t xml:space="preserve">MAHONEY, LISA, "The "Histoire Ancienne" And Dialectical Identity In The Latin Kingdom Of Jerusalem", </w:t>
      </w:r>
      <w:r w:rsidDel="00000000" w:rsidR="00000000" w:rsidRPr="00000000">
        <w:rPr>
          <w:i w:val="1"/>
          <w:sz w:val="20"/>
          <w:szCs w:val="20"/>
          <w:highlight w:val="white"/>
          <w:rtl w:val="0"/>
        </w:rPr>
        <w:t xml:space="preserve">Gesta</w:t>
      </w:r>
      <w:r w:rsidDel="00000000" w:rsidR="00000000" w:rsidRPr="00000000">
        <w:rPr>
          <w:sz w:val="20"/>
          <w:szCs w:val="20"/>
          <w:highlight w:val="white"/>
          <w:rtl w:val="0"/>
        </w:rPr>
        <w:t xml:space="preserve">, 49 (2010), 31-51 &lt;</w:t>
      </w:r>
      <w:r w:rsidDel="00000000" w:rsidR="00000000" w:rsidRPr="00000000">
        <w:rPr>
          <w:sz w:val="20"/>
          <w:szCs w:val="20"/>
          <w:highlight w:val="white"/>
          <w:rtl w:val="0"/>
        </w:rPr>
        <w:t xml:space="preserve">https://doi.org/10.2307/41550536</w:t>
      </w:r>
      <w:r w:rsidDel="00000000" w:rsidR="00000000" w:rsidRPr="00000000">
        <w:rPr>
          <w:sz w:val="20"/>
          <w:szCs w:val="20"/>
          <w:highlight w:val="white"/>
          <w:rtl w:val="0"/>
        </w:rPr>
        <w:t xml:space="preserve">&gt;</w:t>
      </w:r>
    </w:p>
    <w:p w:rsidR="00000000" w:rsidDel="00000000" w:rsidP="00000000" w:rsidRDefault="00000000" w:rsidRPr="00000000" w14:paraId="00000024">
      <w:pPr>
        <w:spacing w:before="200" w:line="240" w:lineRule="auto"/>
        <w:rPr>
          <w:sz w:val="20"/>
          <w:szCs w:val="20"/>
          <w:highlight w:val="white"/>
        </w:rPr>
      </w:pPr>
      <w:r w:rsidDel="00000000" w:rsidR="00000000" w:rsidRPr="00000000">
        <w:rPr>
          <w:sz w:val="20"/>
          <w:szCs w:val="20"/>
          <w:highlight w:val="white"/>
          <w:rtl w:val="0"/>
        </w:rPr>
        <w:t xml:space="preserve">Morris, Colin, Policy and visions: the case of the Holy Lance at Antioch, </w:t>
      </w:r>
      <w:r w:rsidDel="00000000" w:rsidR="00000000" w:rsidRPr="00000000">
        <w:rPr>
          <w:i w:val="1"/>
          <w:sz w:val="20"/>
          <w:szCs w:val="20"/>
          <w:highlight w:val="white"/>
          <w:rtl w:val="0"/>
        </w:rPr>
        <w:t xml:space="preserve">War and government in the Middle Ages : essays in honour of J.O. Prestwich</w:t>
      </w:r>
      <w:r w:rsidDel="00000000" w:rsidR="00000000" w:rsidRPr="00000000">
        <w:rPr>
          <w:sz w:val="20"/>
          <w:szCs w:val="20"/>
          <w:highlight w:val="white"/>
          <w:rtl w:val="0"/>
        </w:rPr>
        <w:t xml:space="preserve">, (1984), (Cambridge : Boydell) 31-51</w:t>
      </w:r>
    </w:p>
    <w:p w:rsidR="00000000" w:rsidDel="00000000" w:rsidP="00000000" w:rsidRDefault="00000000" w:rsidRPr="00000000" w14:paraId="00000025">
      <w:pPr>
        <w:spacing w:before="200" w:line="240" w:lineRule="auto"/>
        <w:rPr>
          <w:sz w:val="20"/>
          <w:szCs w:val="20"/>
          <w:highlight w:val="white"/>
        </w:rPr>
      </w:pPr>
      <w:r w:rsidDel="00000000" w:rsidR="00000000" w:rsidRPr="00000000">
        <w:rPr>
          <w:sz w:val="20"/>
          <w:szCs w:val="20"/>
          <w:highlight w:val="white"/>
          <w:rtl w:val="0"/>
        </w:rPr>
        <w:t xml:space="preserve">Murray, Alan V, </w:t>
      </w:r>
      <w:r w:rsidDel="00000000" w:rsidR="00000000" w:rsidRPr="00000000">
        <w:rPr>
          <w:i w:val="1"/>
          <w:sz w:val="20"/>
          <w:szCs w:val="20"/>
          <w:highlight w:val="white"/>
          <w:rtl w:val="0"/>
        </w:rPr>
        <w:t xml:space="preserve">The Crusader Kingdom Of Jerusalem</w:t>
      </w:r>
      <w:r w:rsidDel="00000000" w:rsidR="00000000" w:rsidRPr="00000000">
        <w:rPr>
          <w:sz w:val="20"/>
          <w:szCs w:val="20"/>
          <w:highlight w:val="white"/>
          <w:rtl w:val="0"/>
        </w:rPr>
        <w:t xml:space="preserve"> (Oxford: Prosopographica et Genealogica, 2000)</w:t>
      </w:r>
    </w:p>
    <w:p w:rsidR="00000000" w:rsidDel="00000000" w:rsidP="00000000" w:rsidRDefault="00000000" w:rsidRPr="00000000" w14:paraId="00000026">
      <w:pPr>
        <w:spacing w:before="200" w:line="240" w:lineRule="auto"/>
        <w:rPr>
          <w:sz w:val="20"/>
          <w:szCs w:val="20"/>
          <w:highlight w:val="white"/>
        </w:rPr>
      </w:pPr>
      <w:r w:rsidDel="00000000" w:rsidR="00000000" w:rsidRPr="00000000">
        <w:rPr>
          <w:sz w:val="20"/>
          <w:szCs w:val="20"/>
          <w:highlight w:val="white"/>
          <w:rtl w:val="0"/>
        </w:rPr>
        <w:t xml:space="preserve">Oakley, Francis, </w:t>
      </w:r>
      <w:r w:rsidDel="00000000" w:rsidR="00000000" w:rsidRPr="00000000">
        <w:rPr>
          <w:i w:val="1"/>
          <w:sz w:val="20"/>
          <w:szCs w:val="20"/>
          <w:highlight w:val="white"/>
          <w:rtl w:val="0"/>
        </w:rPr>
        <w:t xml:space="preserve">The Mortgage Of The Past: Reshaping The Ancient Political Inheritance (1050-1300) (The Emergence Of Western Political Thought In The Latin Middle Ages)</w:t>
      </w:r>
      <w:r w:rsidDel="00000000" w:rsidR="00000000" w:rsidRPr="00000000">
        <w:rPr>
          <w:sz w:val="20"/>
          <w:szCs w:val="20"/>
          <w:highlight w:val="white"/>
          <w:rtl w:val="0"/>
        </w:rPr>
        <w:t xml:space="preserve"> (Yale University Press, 2012)</w:t>
      </w:r>
    </w:p>
    <w:p w:rsidR="00000000" w:rsidDel="00000000" w:rsidP="00000000" w:rsidRDefault="00000000" w:rsidRPr="00000000" w14:paraId="00000027">
      <w:pPr>
        <w:spacing w:before="200" w:line="240" w:lineRule="auto"/>
        <w:rPr>
          <w:sz w:val="20"/>
          <w:szCs w:val="20"/>
          <w:highlight w:val="white"/>
        </w:rPr>
      </w:pPr>
      <w:r w:rsidDel="00000000" w:rsidR="00000000" w:rsidRPr="00000000">
        <w:rPr>
          <w:sz w:val="20"/>
          <w:szCs w:val="20"/>
          <w:highlight w:val="white"/>
          <w:rtl w:val="0"/>
        </w:rPr>
        <w:t xml:space="preserve">Prawer, Joshua, B. Z Ḳedar, Hans Eberhard Mayer, and R. C Smail, </w:t>
      </w:r>
      <w:r w:rsidDel="00000000" w:rsidR="00000000" w:rsidRPr="00000000">
        <w:rPr>
          <w:i w:val="1"/>
          <w:sz w:val="20"/>
          <w:szCs w:val="20"/>
          <w:highlight w:val="white"/>
          <w:rtl w:val="0"/>
        </w:rPr>
        <w:t xml:space="preserve">Outremer</w:t>
      </w:r>
      <w:r w:rsidDel="00000000" w:rsidR="00000000" w:rsidRPr="00000000">
        <w:rPr>
          <w:sz w:val="20"/>
          <w:szCs w:val="20"/>
          <w:highlight w:val="white"/>
          <w:rtl w:val="0"/>
        </w:rPr>
        <w:t xml:space="preserve">(Jerusalem: Yad Izhak Ben-Zvi Institute, 1982)</w:t>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9">
    <w:p w:rsidR="00000000" w:rsidDel="00000000" w:rsidP="00000000" w:rsidRDefault="00000000" w:rsidRPr="00000000" w14:paraId="0000002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1911 Encyclopædia Britannica, Volume 1 Advocate</w:t>
      </w:r>
    </w:p>
  </w:footnote>
  <w:footnote w:id="0">
    <w:p w:rsidR="00000000" w:rsidDel="00000000" w:rsidP="00000000" w:rsidRDefault="00000000" w:rsidRPr="00000000" w14:paraId="0000002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Francis Oakley, The Mortgage Of The Past: Reshaping The Ancient Political Inheritance (1050-1300) (The Emergence Of Western Political Thought In The Latin Middle Ages) (Yale University Press, 2012). p. 1</w:t>
      </w:r>
    </w:p>
  </w:footnote>
  <w:footnote w:id="3">
    <w:p w:rsidR="00000000" w:rsidDel="00000000" w:rsidP="00000000" w:rsidRDefault="00000000" w:rsidRPr="00000000" w14:paraId="0000002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Gábor Klaniczay, Holy Rulers And Blessed Princesses (Cambridge: Cambridge University Press, 2007).</w:t>
      </w:r>
    </w:p>
  </w:footnote>
  <w:footnote w:id="7">
    <w:p w:rsidR="00000000" w:rsidDel="00000000" w:rsidP="00000000" w:rsidRDefault="00000000" w:rsidRPr="00000000" w14:paraId="0000002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 Manual Of Councils Of The Holy Catholic Church -Rev. Edward H. Landon. M.A. J</w:t>
      </w:r>
    </w:p>
  </w:footnote>
  <w:footnote w:id="5">
    <w:p w:rsidR="00000000" w:rsidDel="00000000" w:rsidP="00000000" w:rsidRDefault="00000000" w:rsidRPr="00000000" w14:paraId="0000002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Charles W Ingrao and Franz A. J Szabo, The Germans And The East (West Lafayette, Ind.: Purdue University Press, 2008). pp. 19-21</w:t>
      </w:r>
    </w:p>
  </w:footnote>
  <w:footnote w:id="4">
    <w:p w:rsidR="00000000" w:rsidDel="00000000" w:rsidP="00000000" w:rsidRDefault="00000000" w:rsidRPr="00000000" w14:paraId="0000002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John B. Freed, "Reflections On The Medieval German Nobility", The American Historical Review, 91.3 (1986), 553 pp. 553-575</w:t>
      </w:r>
    </w:p>
  </w:footnote>
  <w:footnote w:id="30">
    <w:p w:rsidR="00000000" w:rsidDel="00000000" w:rsidP="00000000" w:rsidRDefault="00000000" w:rsidRPr="00000000" w14:paraId="0000002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Joshua Prawer and others, Outremer (Jerusalem: Yad Izhak Ben-Zvi Institute, 1982). pp. 297-305</w:t>
      </w:r>
    </w:p>
  </w:footnote>
  <w:footnote w:id="6">
    <w:p w:rsidR="00000000" w:rsidDel="00000000" w:rsidP="00000000" w:rsidRDefault="00000000" w:rsidRPr="00000000" w14:paraId="0000002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Charles George Herbermann “Apostolic Majesty” </w:t>
      </w:r>
      <w:r w:rsidDel="00000000" w:rsidR="00000000" w:rsidRPr="00000000">
        <w:rPr>
          <w:i w:val="1"/>
          <w:sz w:val="20"/>
          <w:szCs w:val="20"/>
          <w:rtl w:val="0"/>
        </w:rPr>
        <w:t xml:space="preserve">Catholic Encyclopedia</w:t>
      </w:r>
      <w:r w:rsidDel="00000000" w:rsidR="00000000" w:rsidRPr="00000000">
        <w:rPr>
          <w:sz w:val="20"/>
          <w:szCs w:val="20"/>
          <w:rtl w:val="0"/>
        </w:rPr>
        <w:t xml:space="preserve"> (New York : 1913)</w:t>
      </w:r>
    </w:p>
  </w:footnote>
  <w:footnote w:id="14">
    <w:p w:rsidR="00000000" w:rsidDel="00000000" w:rsidP="00000000" w:rsidRDefault="00000000" w:rsidRPr="00000000" w14:paraId="0000003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Alan V Murray, The Crusader Kingdom Of Jerusalem (Oxford: Prosopographica et Genealogica, 2000). p. 30</w:t>
      </w:r>
    </w:p>
  </w:footnote>
  <w:footnote w:id="10">
    <w:p w:rsidR="00000000" w:rsidDel="00000000" w:rsidP="00000000" w:rsidRDefault="00000000" w:rsidRPr="00000000" w14:paraId="0000003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Susan Edgington, Helen J Nicholson and P. W Edbury, Deeds Done Beyond The Sea (London: Routledge, 2016). vol. I.XVII, p. 45, vol. III.XXIII, p. 146, and vol. IX.V, p. 370. </w:t>
      </w:r>
    </w:p>
  </w:footnote>
  <w:footnote w:id="11">
    <w:p w:rsidR="00000000" w:rsidDel="00000000" w:rsidP="00000000" w:rsidRDefault="00000000" w:rsidRPr="00000000" w14:paraId="0000003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Rosalind M. T Hill, The Deeds Of The Franks And Other Pilgrims To Jerusalem (Oxford: Clarendon Press, 1979). pp. 206-8,</w:t>
      </w:r>
    </w:p>
  </w:footnote>
  <w:footnote w:id="26">
    <w:p w:rsidR="00000000" w:rsidDel="00000000" w:rsidP="00000000" w:rsidRDefault="00000000" w:rsidRPr="00000000" w14:paraId="0000003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The Latin Kingdom of Jerusalem by Jean Richard Volume A pp 3-6</w:t>
      </w:r>
    </w:p>
  </w:footnote>
  <w:footnote w:id="28">
    <w:p w:rsidR="00000000" w:rsidDel="00000000" w:rsidP="00000000" w:rsidRDefault="00000000" w:rsidRPr="00000000" w14:paraId="0000003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Descriptiones terrae sanctae, p. 154. Albert of Aachen claimed that Wicher was buried in Jaffa, where he died. Albert of Aachen, Historie Ierosolimitana: history of the Journey to Jerusalem, ed. and tr. Susan Edginton (Oxford, 2007), pp. 584-5.</w:t>
      </w:r>
    </w:p>
  </w:footnote>
  <w:footnote w:id="15">
    <w:p w:rsidR="00000000" w:rsidDel="00000000" w:rsidP="00000000" w:rsidRDefault="00000000" w:rsidRPr="00000000" w14:paraId="0000003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The Latin Kingdom of Jerusalem by Jean Richard Volume A pp 3-6</w:t>
      </w:r>
    </w:p>
  </w:footnote>
  <w:footnote w:id="27">
    <w:p w:rsidR="00000000" w:rsidDel="00000000" w:rsidP="00000000" w:rsidRDefault="00000000" w:rsidRPr="00000000" w14:paraId="0000003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pp 3-6</w:t>
      </w:r>
    </w:p>
  </w:footnote>
  <w:footnote w:id="12">
    <w:p w:rsidR="00000000" w:rsidDel="00000000" w:rsidP="00000000" w:rsidRDefault="00000000" w:rsidRPr="00000000" w14:paraId="0000003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Titus Tobler, Descriptiones Terrae Sanctae Ex Saeculo VIII, IX, XII Et XV. S. Willibaldus, Commemoratorium De Casis, 1st edn (Leipzig: J. C. Hinrichs, 1874), p. 154</w:t>
      </w:r>
    </w:p>
  </w:footnote>
  <w:footnote w:id="13">
    <w:p w:rsidR="00000000" w:rsidDel="00000000" w:rsidP="00000000" w:rsidRDefault="00000000" w:rsidRPr="00000000" w14:paraId="0000003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  p. 155.</w:t>
      </w:r>
    </w:p>
  </w:footnote>
  <w:footnote w:id="8">
    <w:p w:rsidR="00000000" w:rsidDel="00000000" w:rsidP="00000000" w:rsidRDefault="00000000" w:rsidRPr="00000000" w14:paraId="0000003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Francis Oakley, The Mortgage Of The Past: Reshaping The Ancient Political Inheritance (1050-1300) (The Emergence Of Western Political Thought In The Latin Middle Ages) (Yale University Press, 2012). p. 1</w:t>
      </w:r>
    </w:p>
  </w:footnote>
  <w:footnote w:id="23">
    <w:p w:rsidR="00000000" w:rsidDel="00000000" w:rsidP="00000000" w:rsidRDefault="00000000" w:rsidRPr="00000000" w14:paraId="0000003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The Feudal Character of the Latin Kingdom of Jerusalem by Varak Ketsamanian</w:t>
      </w:r>
    </w:p>
  </w:footnote>
  <w:footnote w:id="24">
    <w:p w:rsidR="00000000" w:rsidDel="00000000" w:rsidP="00000000" w:rsidRDefault="00000000" w:rsidRPr="00000000" w14:paraId="0000003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Rosamund Allen, Eastward Bound (Manchester: Manchester University Press, 2012). p. 20</w:t>
      </w:r>
    </w:p>
  </w:footnote>
  <w:footnote w:id="25">
    <w:p w:rsidR="00000000" w:rsidDel="00000000" w:rsidP="00000000" w:rsidRDefault="00000000" w:rsidRPr="00000000" w14:paraId="0000003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LISA MAHONEY, "The "Histoire Ancienne" And Dialectical Identity In The Latin Kingdom Of Jerusalem", Gesta, 49.1 (2010), 31-51 &lt;https://doi.org/10.2307/41550536&gt;. pp. 42-44</w:t>
      </w:r>
    </w:p>
  </w:footnote>
  <w:footnote w:id="1">
    <w:p w:rsidR="00000000" w:rsidDel="00000000" w:rsidP="00000000" w:rsidRDefault="00000000" w:rsidRPr="00000000" w14:paraId="0000003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Adam M Bishop, Criminal Law And The Development Of The Assizes Of The Crusader Kingdom Of Jerusalem In The Twelfth Century (Ottawa: Library and Archives Canada = Bibliothèque et Archives Canada, 2012). p. 20</w:t>
      </w:r>
    </w:p>
  </w:footnote>
  <w:footnote w:id="2">
    <w:p w:rsidR="00000000" w:rsidDel="00000000" w:rsidP="00000000" w:rsidRDefault="00000000" w:rsidRPr="00000000" w14:paraId="0000003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The influence of Gregory VII and the ‘reform’ papacy on twelfth-century perceptions of kingship Jnl of Ecclesiastical History, Vol. , No. , April . © Cambridge University Press by Simon John p. 4</w:t>
      </w:r>
    </w:p>
  </w:footnote>
  <w:footnote w:id="18">
    <w:p w:rsidR="00000000" w:rsidDel="00000000" w:rsidP="00000000" w:rsidRDefault="00000000" w:rsidRPr="00000000" w14:paraId="0000003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Simon John, "The Papacy And The Establishment Of The Kingdoms Of Jerusalem, Sicily And Portugal: Twelfth-Century Papal Political Thought On Incipient Kingship", The Journal Of Ecclesiastical History, 68.02 (2017), 223-259 &lt;https://doi.org/10.1017/s0022046916000622&gt;. p. 230-234</w:t>
      </w:r>
    </w:p>
  </w:footnote>
  <w:footnote w:id="16">
    <w:p w:rsidR="00000000" w:rsidDel="00000000" w:rsidP="00000000" w:rsidRDefault="00000000" w:rsidRPr="00000000" w14:paraId="0000004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Deno J. Geanakoplos, "Church And State In The Byzantine Empire: A Reconsideration Of The Problem Of Caesaropapism", Church History, 34.04 (1965), 381</w:t>
      </w:r>
    </w:p>
  </w:footnote>
  <w:footnote w:id="20">
    <w:p w:rsidR="00000000" w:rsidDel="00000000" w:rsidP="00000000" w:rsidRDefault="00000000" w:rsidRPr="00000000" w14:paraId="0000004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Transfers of Empire, Movements of Mind: Holy Sepulchre and Holy Grail Jon Whitman MLN, Vol. 123, No. 4, French Issue: Christian Delacampagne: Philosopher of Modern Times/Philosopher dans les temps modernes (Sep., 2008), pp. 895-923 pp. 900-901</w:t>
      </w:r>
    </w:p>
  </w:footnote>
  <w:footnote w:id="21">
    <w:p w:rsidR="00000000" w:rsidDel="00000000" w:rsidP="00000000" w:rsidRDefault="00000000" w:rsidRPr="00000000" w14:paraId="0000004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Philipp Jaffé, Monumenta Corbeiensia (Aalen: Scientia, 1964) p. 126</w:t>
      </w:r>
    </w:p>
  </w:footnote>
  <w:footnote w:id="22">
    <w:p w:rsidR="00000000" w:rsidDel="00000000" w:rsidP="00000000" w:rsidRDefault="00000000" w:rsidRPr="00000000" w14:paraId="0000004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Penny J. Cole, "Christians, Muslims, And The "Liberation" Of The Holy Land", The Catholic Historical Review, 84.1 (1998), p. 5</w:t>
      </w:r>
    </w:p>
  </w:footnote>
  <w:footnote w:id="17">
    <w:p w:rsidR="00000000" w:rsidDel="00000000" w:rsidP="00000000" w:rsidRDefault="00000000" w:rsidRPr="00000000" w14:paraId="0000004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Steven Kaplan, "Dominance And Diversity: Kingship, Ethnicity, And Christianity In Orthodox Ethiopia", Church History And Religious Culture, 89.1 (2009), 291-305 &lt;https://doi.org/10.1163/187124109x407943&gt;. p. 298</w:t>
      </w:r>
    </w:p>
  </w:footnote>
  <w:footnote w:id="29">
    <w:p w:rsidR="00000000" w:rsidDel="00000000" w:rsidP="00000000" w:rsidRDefault="00000000" w:rsidRPr="00000000" w14:paraId="0000004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Adam M Bishop, Criminal Law And The Development Of The Assizes Of The Crusader Kingdom Of Jerusalem In The Twelfth Century (Ottawa: Library and Archives Canada = Bibliothèque et Archives Canada, 2012). pp. 44-46</w:t>
      </w:r>
    </w:p>
  </w:footnote>
  <w:footnote w:id="19">
    <w:p w:rsidR="00000000" w:rsidDel="00000000" w:rsidP="00000000" w:rsidRDefault="00000000" w:rsidRPr="00000000" w14:paraId="0000004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highlight w:val="white"/>
          <w:rtl w:val="0"/>
        </w:rPr>
        <w:t xml:space="preserve">Colin Morris, Policy and visions: the case of the Holy Lance at Antioch, </w:t>
      </w:r>
      <w:r w:rsidDel="00000000" w:rsidR="00000000" w:rsidRPr="00000000">
        <w:rPr>
          <w:i w:val="1"/>
          <w:sz w:val="20"/>
          <w:szCs w:val="20"/>
          <w:highlight w:val="white"/>
          <w:rtl w:val="0"/>
        </w:rPr>
        <w:t xml:space="preserve">War and government in the Middle Ages : essays in honour of J.O. Prestwich</w:t>
      </w:r>
      <w:r w:rsidDel="00000000" w:rsidR="00000000" w:rsidRPr="00000000">
        <w:rPr>
          <w:sz w:val="20"/>
          <w:szCs w:val="20"/>
          <w:highlight w:val="white"/>
          <w:rtl w:val="0"/>
        </w:rPr>
        <w:t xml:space="preserve">, (1984), (Cambridge : Boydell) 31-51</w:t>
      </w: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