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96C54" w:rsidRDefault="00F96C54" w14:paraId="55DA5EB5" w14:textId="77777777">
      <w:pPr>
        <w:spacing w:before="1600"/>
        <w:rPr>
          <w:rFonts w:ascii="Arial" w:hAnsi="Arial" w:cs="Arial"/>
        </w:rPr>
      </w:pPr>
    </w:p>
    <w:p w:rsidR="00F96C54" w:rsidRDefault="00412713" w14:paraId="69DA47C1" w14:textId="77777777">
      <w:pPr>
        <w:spacing w:after="400"/>
        <w:jc w:val="center"/>
        <w:rPr>
          <w:rFonts w:ascii="Arial" w:hAnsi="Arial" w:cs="Arial"/>
        </w:rPr>
      </w:pPr>
      <w:r>
        <w:rPr>
          <w:rFonts w:ascii="Arial" w:hAnsi="Arial" w:eastAsia="Arial" w:cs="Arial"/>
          <w:b/>
          <w:bCs/>
          <w:sz w:val="32"/>
          <w:szCs w:val="32"/>
        </w:rPr>
        <w:t>Emotional Intelligence and Mindfulness in Contemporary Organisations</w:t>
      </w:r>
    </w:p>
    <w:p w:rsidR="00F96C54" w:rsidRDefault="00412713" w14:paraId="4FBA135C" w14:textId="77777777">
      <w:pPr>
        <w:spacing w:after="150"/>
        <w:jc w:val="center"/>
        <w:rPr>
          <w:rFonts w:ascii="Arial" w:hAnsi="Arial" w:cs="Arial"/>
        </w:rPr>
      </w:pPr>
      <w:r>
        <w:rPr>
          <w:rFonts w:ascii="Arial" w:hAnsi="Arial" w:eastAsia="Arial" w:cs="Arial"/>
          <w:sz w:val="22"/>
          <w:szCs w:val="22"/>
        </w:rPr>
        <w:t>Student Name:</w:t>
      </w:r>
      <w:r>
        <w:rPr>
          <w:rFonts w:ascii="Arial" w:hAnsi="Arial" w:eastAsia="Arial" w:cs="Arial"/>
          <w:sz w:val="22"/>
          <w:szCs w:val="22"/>
        </w:rPr>
        <w:t>Safia Imtiaz</w:t>
      </w:r>
    </w:p>
    <w:p w:rsidR="00F96C54" w:rsidRDefault="00412713" w14:paraId="4A1299FD" w14:textId="77777777">
      <w:pPr>
        <w:spacing w:after="150"/>
        <w:jc w:val="center"/>
        <w:rPr>
          <w:rFonts w:ascii="Arial" w:hAnsi="Arial" w:cs="Arial"/>
        </w:rPr>
      </w:pPr>
      <w:r>
        <w:rPr>
          <w:rFonts w:ascii="Arial" w:hAnsi="Arial" w:eastAsia="Arial" w:cs="Arial"/>
          <w:sz w:val="22"/>
          <w:szCs w:val="22"/>
        </w:rPr>
        <w:t xml:space="preserve">Student ID Number: </w:t>
      </w:r>
      <w:r>
        <w:rPr>
          <w:rFonts w:ascii="Arial" w:hAnsi="Arial" w:eastAsia="Arial" w:cs="Arial"/>
          <w:sz w:val="22"/>
          <w:szCs w:val="22"/>
        </w:rPr>
        <w:t>2410388</w:t>
      </w:r>
    </w:p>
    <w:p w:rsidR="00F96C54" w:rsidRDefault="00412713" w14:paraId="231216B3" w14:textId="77777777">
      <w:pPr>
        <w:spacing w:after="150"/>
        <w:jc w:val="center"/>
        <w:rPr>
          <w:rFonts w:ascii="Arial" w:hAnsi="Arial" w:cs="Arial"/>
        </w:rPr>
      </w:pPr>
      <w:r>
        <w:rPr>
          <w:rFonts w:ascii="Arial" w:hAnsi="Arial" w:eastAsia="Arial" w:cs="Arial"/>
          <w:sz w:val="22"/>
          <w:szCs w:val="22"/>
        </w:rPr>
        <w:t>Programme: BA (Hons) Leadership and Management Skills for the Workplace</w:t>
      </w:r>
    </w:p>
    <w:p w:rsidR="00F96C54" w:rsidRDefault="00412713" w14:paraId="5D3D582D" w14:textId="77777777">
      <w:pPr>
        <w:spacing w:after="150"/>
        <w:jc w:val="center"/>
        <w:rPr>
          <w:rFonts w:ascii="Arial" w:hAnsi="Arial" w:cs="Arial"/>
        </w:rPr>
      </w:pPr>
      <w:r>
        <w:rPr>
          <w:rFonts w:ascii="Arial" w:hAnsi="Arial" w:eastAsia="Arial" w:cs="Arial"/>
          <w:sz w:val="22"/>
          <w:szCs w:val="22"/>
        </w:rPr>
        <w:t>Module Code and Title: LCLM5006 - Developing Emotional Intelligence Skills</w:t>
      </w:r>
    </w:p>
    <w:p w:rsidR="00F96C54" w:rsidRDefault="00412713" w14:paraId="403DD2B4" w14:textId="77777777">
      <w:pPr>
        <w:spacing w:after="150"/>
        <w:jc w:val="center"/>
        <w:rPr>
          <w:rFonts w:ascii="Arial" w:hAnsi="Arial" w:cs="Arial"/>
        </w:rPr>
      </w:pPr>
      <w:r>
        <w:rPr>
          <w:rFonts w:ascii="Arial" w:hAnsi="Arial" w:eastAsia="Arial" w:cs="Arial"/>
          <w:sz w:val="22"/>
          <w:szCs w:val="22"/>
        </w:rPr>
        <w:t>Lecturers: Taonga Kaonga Sobere-Snithers</w:t>
      </w:r>
    </w:p>
    <w:p w:rsidR="00F96C54" w:rsidRDefault="00412713" w14:paraId="4E939BBE" w14:textId="77777777">
      <w:pPr>
        <w:spacing w:after="150"/>
        <w:jc w:val="center"/>
        <w:rPr>
          <w:rFonts w:ascii="Arial" w:hAnsi="Arial" w:cs="Arial"/>
        </w:rPr>
      </w:pPr>
      <w:r>
        <w:rPr>
          <w:rFonts w:ascii="Arial" w:hAnsi="Arial" w:eastAsia="Arial" w:cs="Arial"/>
          <w:sz w:val="22"/>
          <w:szCs w:val="22"/>
        </w:rPr>
        <w:t>Assignment Title: Component 2 - Individual Written Report</w:t>
      </w:r>
    </w:p>
    <w:p w:rsidR="00F96C54" w:rsidRDefault="00412713" w14:paraId="3B1F48F3" w14:textId="77777777">
      <w:pPr>
        <w:spacing w:after="150"/>
        <w:jc w:val="center"/>
        <w:rPr>
          <w:rFonts w:ascii="Arial" w:hAnsi="Arial" w:cs="Arial"/>
        </w:rPr>
      </w:pPr>
      <w:r>
        <w:rPr>
          <w:rFonts w:ascii="Arial" w:hAnsi="Arial" w:eastAsia="Arial" w:cs="Arial"/>
          <w:sz w:val="22"/>
          <w:szCs w:val="22"/>
        </w:rPr>
        <w:t>Word Count: 3,074</w:t>
      </w:r>
    </w:p>
    <w:p w:rsidR="00F96C54" w:rsidRDefault="00412713" w14:paraId="72B85DD2" w14:textId="77777777">
      <w:pPr>
        <w:spacing w:after="150"/>
        <w:jc w:val="center"/>
        <w:rPr>
          <w:rFonts w:ascii="Arial" w:hAnsi="Arial" w:cs="Arial"/>
        </w:rPr>
      </w:pPr>
      <w:r>
        <w:rPr>
          <w:rFonts w:ascii="Arial" w:hAnsi="Arial" w:eastAsia="Arial" w:cs="Arial"/>
          <w:sz w:val="22"/>
          <w:szCs w:val="22"/>
        </w:rPr>
        <w:t>Submission Date: 20 July 2026</w:t>
      </w:r>
    </w:p>
    <w:p w:rsidR="00F96C54" w:rsidRDefault="00412713" w14:paraId="148564F6" w14:textId="77777777">
      <w:pPr>
        <w:rPr>
          <w:rFonts w:ascii="Arial" w:hAnsi="Arial" w:cs="Arial"/>
        </w:rPr>
      </w:pPr>
      <w:r>
        <w:rPr>
          <w:rFonts w:ascii="Arial" w:hAnsi="Arial" w:cs="Arial"/>
        </w:rPr>
        <w:br w:type="page"/>
      </w:r>
    </w:p>
    <w:p w:rsidR="00F96C54" w:rsidRDefault="00412713" w14:paraId="72FD0CD6" w14:textId="77777777">
      <w:pPr>
        <w:pStyle w:val="TOCHeading1"/>
        <w:jc w:val="center"/>
        <w:rPr>
          <w:rFonts w:ascii="Arial" w:hAnsi="Arial" w:cs="Arial"/>
          <w:b/>
          <w:bCs/>
          <w:color w:val="000000"/>
        </w:rPr>
      </w:pPr>
      <w:r>
        <w:rPr>
          <w:rFonts w:ascii="Arial" w:hAnsi="Arial" w:cs="Arial"/>
          <w:b/>
          <w:bCs/>
          <w:color w:val="000000"/>
        </w:rPr>
        <w:t>Contents</w:t>
      </w:r>
    </w:p>
    <w:p w:rsidR="00F96C54" w:rsidRDefault="00412713" w14:paraId="63712BAF" w14:textId="77777777">
      <w:pPr>
        <w:pStyle w:val="TOC1"/>
        <w:tabs>
          <w:tab w:val="right" w:leader="dot" w:pos="9016"/>
        </w:tabs>
        <w:spacing w:line="360" w:lineRule="auto"/>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TOC \o "1-3" \h \z \u </w:instrText>
      </w:r>
      <w:r>
        <w:rPr>
          <w:rFonts w:ascii="Arial" w:hAnsi="Arial" w:cs="Arial"/>
          <w:sz w:val="22"/>
          <w:szCs w:val="22"/>
        </w:rPr>
        <w:fldChar w:fldCharType="separate"/>
      </w:r>
      <w:hyperlink w:history="1" w:anchor="_Toc234912992">
        <w:r w:rsidR="00412713">
          <w:rPr>
            <w:rStyle w:val="Hyperlink"/>
            <w:rFonts w:ascii="Arial" w:hAnsi="Arial" w:eastAsia="Arial" w:cs="Arial"/>
            <w:sz w:val="22"/>
            <w:szCs w:val="22"/>
          </w:rPr>
          <w:t>1.0 Introduction</w:t>
        </w:r>
        <w:r>
          <w:rPr>
            <w:rFonts w:ascii="Arial" w:hAnsi="Arial" w:cs="Arial"/>
            <w:sz w:val="22"/>
            <w:szCs w:val="22"/>
          </w:rPr>
          <w:tab/>
        </w:r>
        <w:r>
          <w:rPr>
            <w:rFonts w:ascii="Arial" w:hAnsi="Arial" w:cs="Arial"/>
            <w:sz w:val="22"/>
            <w:szCs w:val="22"/>
          </w:rPr>
        </w:r>
        <w:r w:rsidR="00412713">
          <w:rPr>
            <w:rFonts w:ascii="Arial" w:hAnsi="Arial" w:cs="Arial"/>
            <w:sz w:val="22"/>
            <w:szCs w:val="22"/>
          </w:rPr>
          <w:t>3</w:t>
        </w:r>
      </w:hyperlink>
    </w:p>
    <w:p w:rsidR="00F96C54" w:rsidRDefault="00412713" w14:paraId="4D73175E" w14:textId="77777777">
      <w:pPr>
        <w:pStyle w:val="TOC1"/>
        <w:tabs>
          <w:tab w:val="right" w:leader="dot" w:pos="9016"/>
        </w:tabs>
        <w:spacing w:line="360" w:lineRule="auto"/>
        <w:rPr>
          <w:rFonts w:ascii="Arial" w:hAnsi="Arial" w:cs="Arial"/>
          <w:sz w:val="22"/>
          <w:szCs w:val="22"/>
        </w:rPr>
      </w:pPr>
      <w:hyperlink w:history="1" w:anchor="_Toc234912993">
        <w:r>
          <w:rPr>
            <w:rStyle w:val="Hyperlink"/>
            <w:rFonts w:ascii="Arial" w:hAnsi="Arial" w:eastAsia="Arial" w:cs="Arial"/>
            <w:sz w:val="22"/>
            <w:szCs w:val="22"/>
          </w:rPr>
          <w:t>2.0 Task 1: Emotional Intelligence in the Workplace</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_Toc234912993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3</w:t>
        </w:r>
        <w:r>
          <w:rPr>
            <w:rFonts w:ascii="Arial" w:hAnsi="Arial" w:cs="Arial"/>
            <w:sz w:val="22"/>
            <w:szCs w:val="22"/>
          </w:rPr>
          <w:fldChar w:fldCharType="end"/>
        </w:r>
      </w:hyperlink>
    </w:p>
    <w:p w:rsidR="00F96C54" w:rsidRDefault="00412713" w14:paraId="536D0EB8" w14:textId="77777777">
      <w:pPr>
        <w:pStyle w:val="TOC2"/>
        <w:tabs>
          <w:tab w:val="right" w:leader="dot" w:pos="9016"/>
        </w:tabs>
        <w:spacing w:line="360" w:lineRule="auto"/>
        <w:rPr>
          <w:rFonts w:ascii="Arial" w:hAnsi="Arial" w:cs="Arial"/>
          <w:sz w:val="22"/>
          <w:szCs w:val="22"/>
        </w:rPr>
      </w:pPr>
      <w:hyperlink w:history="1" w:anchor="_Toc234912994">
        <w:r>
          <w:rPr>
            <w:rStyle w:val="Hyperlink"/>
            <w:rFonts w:ascii="Arial" w:hAnsi="Arial" w:eastAsia="Arial" w:cs="Arial"/>
            <w:sz w:val="22"/>
            <w:szCs w:val="22"/>
          </w:rPr>
          <w:t>2.1 Defining Emotional Intelligence</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_Toc234912994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3</w:t>
        </w:r>
        <w:r>
          <w:rPr>
            <w:rFonts w:ascii="Arial" w:hAnsi="Arial" w:cs="Arial"/>
            <w:sz w:val="22"/>
            <w:szCs w:val="22"/>
          </w:rPr>
          <w:fldChar w:fldCharType="end"/>
        </w:r>
      </w:hyperlink>
    </w:p>
    <w:p w:rsidR="00F96C54" w:rsidRDefault="00412713" w14:paraId="1EB7FF2E" w14:textId="77777777">
      <w:pPr>
        <w:pStyle w:val="TOC2"/>
        <w:tabs>
          <w:tab w:val="right" w:leader="dot" w:pos="9016"/>
        </w:tabs>
        <w:spacing w:line="360" w:lineRule="auto"/>
        <w:rPr>
          <w:rFonts w:ascii="Arial" w:hAnsi="Arial" w:cs="Arial"/>
          <w:sz w:val="22"/>
          <w:szCs w:val="22"/>
        </w:rPr>
      </w:pPr>
      <w:hyperlink w:history="1" w:anchor="_Toc234912995">
        <w:r>
          <w:rPr>
            <w:rStyle w:val="Hyperlink"/>
            <w:rFonts w:ascii="Arial" w:hAnsi="Arial" w:eastAsia="Arial" w:cs="Arial"/>
            <w:sz w:val="22"/>
            <w:szCs w:val="22"/>
          </w:rPr>
          <w:t>2.2 Goleman's Mixed Model</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_Toc234912995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3</w:t>
        </w:r>
        <w:r>
          <w:rPr>
            <w:rFonts w:ascii="Arial" w:hAnsi="Arial" w:cs="Arial"/>
            <w:sz w:val="22"/>
            <w:szCs w:val="22"/>
          </w:rPr>
          <w:fldChar w:fldCharType="end"/>
        </w:r>
      </w:hyperlink>
    </w:p>
    <w:p w:rsidR="00F96C54" w:rsidRDefault="00412713" w14:paraId="264DCA71" w14:textId="77777777">
      <w:pPr>
        <w:pStyle w:val="TOC2"/>
        <w:tabs>
          <w:tab w:val="right" w:leader="dot" w:pos="9016"/>
        </w:tabs>
        <w:spacing w:line="360" w:lineRule="auto"/>
        <w:rPr>
          <w:rFonts w:ascii="Arial" w:hAnsi="Arial" w:cs="Arial"/>
          <w:sz w:val="22"/>
          <w:szCs w:val="22"/>
        </w:rPr>
      </w:pPr>
      <w:hyperlink w:history="1" w:anchor="_Toc234912996">
        <w:r>
          <w:rPr>
            <w:rStyle w:val="Hyperlink"/>
            <w:rFonts w:ascii="Arial" w:hAnsi="Arial" w:eastAsia="Arial" w:cs="Arial"/>
            <w:sz w:val="22"/>
            <w:szCs w:val="22"/>
          </w:rPr>
          <w:t>2.3 Mayer and Salovey's Ability Model</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_Toc234912996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4</w:t>
        </w:r>
        <w:r>
          <w:rPr>
            <w:rFonts w:ascii="Arial" w:hAnsi="Arial" w:cs="Arial"/>
            <w:sz w:val="22"/>
            <w:szCs w:val="22"/>
          </w:rPr>
          <w:fldChar w:fldCharType="end"/>
        </w:r>
      </w:hyperlink>
    </w:p>
    <w:p w:rsidR="00F96C54" w:rsidRDefault="00412713" w14:paraId="4D0F9CCE" w14:textId="77777777">
      <w:pPr>
        <w:pStyle w:val="TOC2"/>
        <w:tabs>
          <w:tab w:val="right" w:leader="dot" w:pos="9016"/>
        </w:tabs>
        <w:spacing w:line="360" w:lineRule="auto"/>
        <w:rPr>
          <w:rFonts w:ascii="Arial" w:hAnsi="Arial" w:cs="Arial"/>
          <w:sz w:val="22"/>
          <w:szCs w:val="22"/>
        </w:rPr>
      </w:pPr>
      <w:hyperlink w:history="1" w:anchor="_Toc234912997">
        <w:r>
          <w:rPr>
            <w:rStyle w:val="Hyperlink"/>
            <w:rFonts w:ascii="Arial" w:hAnsi="Arial" w:eastAsia="Arial" w:cs="Arial"/>
            <w:sz w:val="22"/>
            <w:szCs w:val="22"/>
          </w:rPr>
          <w:t>2.4 Bar-On's Emotional-Social Intelligence Model</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_Toc234912997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4</w:t>
        </w:r>
        <w:r>
          <w:rPr>
            <w:rFonts w:ascii="Arial" w:hAnsi="Arial" w:cs="Arial"/>
            <w:sz w:val="22"/>
            <w:szCs w:val="22"/>
          </w:rPr>
          <w:fldChar w:fldCharType="end"/>
        </w:r>
      </w:hyperlink>
    </w:p>
    <w:p w:rsidR="00F96C54" w:rsidRDefault="00412713" w14:paraId="22E42A5C" w14:textId="77777777">
      <w:pPr>
        <w:pStyle w:val="TOC2"/>
        <w:tabs>
          <w:tab w:val="right" w:leader="dot" w:pos="9016"/>
        </w:tabs>
        <w:spacing w:line="360" w:lineRule="auto"/>
        <w:rPr>
          <w:rFonts w:ascii="Arial" w:hAnsi="Arial" w:cs="Arial"/>
          <w:sz w:val="22"/>
          <w:szCs w:val="22"/>
        </w:rPr>
      </w:pPr>
      <w:hyperlink w:history="1" w:anchor="_Toc234912998">
        <w:r>
          <w:rPr>
            <w:rStyle w:val="Hyperlink"/>
            <w:rFonts w:ascii="Arial" w:hAnsi="Arial" w:eastAsia="Arial" w:cs="Arial"/>
            <w:sz w:val="22"/>
            <w:szCs w:val="22"/>
          </w:rPr>
          <w:t>2.5 EI and Effective Communication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_Toc234912998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5</w:t>
        </w:r>
        <w:r>
          <w:rPr>
            <w:rFonts w:ascii="Arial" w:hAnsi="Arial" w:cs="Arial"/>
            <w:sz w:val="22"/>
            <w:szCs w:val="22"/>
          </w:rPr>
          <w:fldChar w:fldCharType="end"/>
        </w:r>
      </w:hyperlink>
    </w:p>
    <w:p w:rsidR="00F96C54" w:rsidRDefault="00412713" w14:paraId="6F437DBB" w14:textId="77777777">
      <w:pPr>
        <w:pStyle w:val="TOC2"/>
        <w:tabs>
          <w:tab w:val="right" w:leader="dot" w:pos="9016"/>
        </w:tabs>
        <w:spacing w:line="360" w:lineRule="auto"/>
        <w:rPr>
          <w:rFonts w:ascii="Arial" w:hAnsi="Arial" w:cs="Arial"/>
          <w:sz w:val="22"/>
          <w:szCs w:val="22"/>
        </w:rPr>
      </w:pPr>
      <w:hyperlink w:history="1" w:anchor="_Toc234912999">
        <w:r>
          <w:rPr>
            <w:rStyle w:val="Hyperlink"/>
            <w:rFonts w:ascii="Arial" w:hAnsi="Arial" w:eastAsia="Arial" w:cs="Arial"/>
            <w:sz w:val="22"/>
            <w:szCs w:val="22"/>
          </w:rPr>
          <w:t>2.6 EI and Conflict Management</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_Toc234912999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5</w:t>
        </w:r>
        <w:r>
          <w:rPr>
            <w:rFonts w:ascii="Arial" w:hAnsi="Arial" w:cs="Arial"/>
            <w:sz w:val="22"/>
            <w:szCs w:val="22"/>
          </w:rPr>
          <w:fldChar w:fldCharType="end"/>
        </w:r>
      </w:hyperlink>
    </w:p>
    <w:p w:rsidR="00F96C54" w:rsidRDefault="00412713" w14:paraId="3C0EDDE0" w14:textId="77777777">
      <w:pPr>
        <w:pStyle w:val="TOC2"/>
        <w:tabs>
          <w:tab w:val="right" w:leader="dot" w:pos="9016"/>
        </w:tabs>
        <w:spacing w:line="360" w:lineRule="auto"/>
        <w:rPr>
          <w:rFonts w:ascii="Arial" w:hAnsi="Arial" w:cs="Arial"/>
          <w:sz w:val="22"/>
          <w:szCs w:val="22"/>
        </w:rPr>
      </w:pPr>
      <w:hyperlink w:history="1" w:anchor="_Toc234913000">
        <w:r>
          <w:rPr>
            <w:rStyle w:val="Hyperlink"/>
            <w:rFonts w:ascii="Arial" w:hAnsi="Arial" w:eastAsia="Arial" w:cs="Arial"/>
            <w:sz w:val="22"/>
            <w:szCs w:val="22"/>
          </w:rPr>
          <w:t>2.7 EI and Leadership</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_Toc234913000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6</w:t>
        </w:r>
        <w:r>
          <w:rPr>
            <w:rFonts w:ascii="Arial" w:hAnsi="Arial" w:cs="Arial"/>
            <w:sz w:val="22"/>
            <w:szCs w:val="22"/>
          </w:rPr>
          <w:fldChar w:fldCharType="end"/>
        </w:r>
      </w:hyperlink>
    </w:p>
    <w:p w:rsidR="00F96C54" w:rsidRDefault="00412713" w14:paraId="1B96A326" w14:textId="77777777">
      <w:pPr>
        <w:pStyle w:val="TOC2"/>
        <w:tabs>
          <w:tab w:val="right" w:leader="dot" w:pos="9016"/>
        </w:tabs>
        <w:spacing w:line="360" w:lineRule="auto"/>
        <w:rPr>
          <w:rFonts w:ascii="Arial" w:hAnsi="Arial" w:cs="Arial"/>
          <w:sz w:val="22"/>
          <w:szCs w:val="22"/>
        </w:rPr>
      </w:pPr>
      <w:hyperlink w:history="1" w:anchor="_Toc234913001">
        <w:r>
          <w:rPr>
            <w:rStyle w:val="Hyperlink"/>
            <w:rFonts w:ascii="Arial" w:hAnsi="Arial" w:eastAsia="Arial" w:cs="Arial"/>
            <w:sz w:val="22"/>
            <w:szCs w:val="22"/>
          </w:rPr>
          <w:t>2.8 EI and Decision-Making</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_Toc234913001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6</w:t>
        </w:r>
        <w:r>
          <w:rPr>
            <w:rFonts w:ascii="Arial" w:hAnsi="Arial" w:cs="Arial"/>
            <w:sz w:val="22"/>
            <w:szCs w:val="22"/>
          </w:rPr>
          <w:fldChar w:fldCharType="end"/>
        </w:r>
      </w:hyperlink>
    </w:p>
    <w:p w:rsidR="00F96C54" w:rsidRDefault="00412713" w14:paraId="19657E98" w14:textId="77777777">
      <w:pPr>
        <w:pStyle w:val="TOC2"/>
        <w:tabs>
          <w:tab w:val="right" w:leader="dot" w:pos="9016"/>
        </w:tabs>
        <w:spacing w:line="360" w:lineRule="auto"/>
        <w:rPr>
          <w:rFonts w:ascii="Arial" w:hAnsi="Arial" w:cs="Arial"/>
          <w:sz w:val="22"/>
          <w:szCs w:val="22"/>
        </w:rPr>
      </w:pPr>
      <w:hyperlink w:history="1" w:anchor="_Toc234913002">
        <w:r>
          <w:rPr>
            <w:rStyle w:val="Hyperlink"/>
            <w:rFonts w:ascii="Arial" w:hAnsi="Arial" w:eastAsia="Arial" w:cs="Arial"/>
            <w:sz w:val="22"/>
            <w:szCs w:val="22"/>
          </w:rPr>
          <w:t>2.9 Critical Evaluation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_Toc234913002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7</w:t>
        </w:r>
        <w:r>
          <w:rPr>
            <w:rFonts w:ascii="Arial" w:hAnsi="Arial" w:cs="Arial"/>
            <w:sz w:val="22"/>
            <w:szCs w:val="22"/>
          </w:rPr>
          <w:fldChar w:fldCharType="end"/>
        </w:r>
      </w:hyperlink>
    </w:p>
    <w:p w:rsidR="00F96C54" w:rsidRDefault="00412713" w14:paraId="5DD69CC6" w14:textId="77777777">
      <w:pPr>
        <w:pStyle w:val="TOC2"/>
        <w:tabs>
          <w:tab w:val="right" w:leader="dot" w:pos="9016"/>
        </w:tabs>
        <w:spacing w:line="360" w:lineRule="auto"/>
        <w:rPr>
          <w:rFonts w:ascii="Arial" w:hAnsi="Arial" w:cs="Arial"/>
          <w:sz w:val="22"/>
          <w:szCs w:val="22"/>
        </w:rPr>
      </w:pPr>
      <w:hyperlink w:history="1" w:anchor="_Toc234913003">
        <w:r>
          <w:rPr>
            <w:rStyle w:val="Hyperlink"/>
            <w:rFonts w:ascii="Arial" w:hAnsi="Arial" w:eastAsia="Arial" w:cs="Arial"/>
            <w:sz w:val="22"/>
            <w:szCs w:val="22"/>
          </w:rPr>
          <w:t>2.10 Applying Emotional Intelligence to Career Progression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_Toc234913003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7</w:t>
        </w:r>
        <w:r>
          <w:rPr>
            <w:rFonts w:ascii="Arial" w:hAnsi="Arial" w:cs="Arial"/>
            <w:sz w:val="22"/>
            <w:szCs w:val="22"/>
          </w:rPr>
          <w:fldChar w:fldCharType="end"/>
        </w:r>
      </w:hyperlink>
    </w:p>
    <w:p w:rsidR="00F96C54" w:rsidRDefault="00412713" w14:paraId="70A7BF02" w14:textId="77777777">
      <w:pPr>
        <w:pStyle w:val="TOC1"/>
        <w:tabs>
          <w:tab w:val="right" w:leader="dot" w:pos="9016"/>
        </w:tabs>
        <w:spacing w:line="360" w:lineRule="auto"/>
        <w:rPr>
          <w:rFonts w:ascii="Arial" w:hAnsi="Arial" w:cs="Arial"/>
          <w:sz w:val="22"/>
          <w:szCs w:val="22"/>
        </w:rPr>
      </w:pPr>
      <w:hyperlink w:history="1" w:anchor="_Toc234913004">
        <w:r>
          <w:rPr>
            <w:rStyle w:val="Hyperlink"/>
            <w:rFonts w:ascii="Arial" w:hAnsi="Arial" w:eastAsia="Arial" w:cs="Arial"/>
            <w:sz w:val="22"/>
            <w:szCs w:val="22"/>
          </w:rPr>
          <w:t>3.0 Task 2: Managing a Multigenerational Workforce</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_Toc234913004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8</w:t>
        </w:r>
        <w:r>
          <w:rPr>
            <w:rFonts w:ascii="Arial" w:hAnsi="Arial" w:cs="Arial"/>
            <w:sz w:val="22"/>
            <w:szCs w:val="22"/>
          </w:rPr>
          <w:fldChar w:fldCharType="end"/>
        </w:r>
      </w:hyperlink>
    </w:p>
    <w:p w:rsidR="00F96C54" w:rsidRDefault="00412713" w14:paraId="1D501708" w14:textId="77777777">
      <w:pPr>
        <w:pStyle w:val="TOC2"/>
        <w:tabs>
          <w:tab w:val="right" w:leader="dot" w:pos="9016"/>
        </w:tabs>
        <w:spacing w:line="360" w:lineRule="auto"/>
        <w:rPr>
          <w:rFonts w:ascii="Arial" w:hAnsi="Arial" w:cs="Arial"/>
          <w:sz w:val="22"/>
          <w:szCs w:val="22"/>
        </w:rPr>
      </w:pPr>
      <w:hyperlink w:history="1" w:anchor="_Toc234913005">
        <w:r>
          <w:rPr>
            <w:rStyle w:val="Hyperlink"/>
            <w:rFonts w:ascii="Arial" w:hAnsi="Arial" w:eastAsia="Arial" w:cs="Arial"/>
            <w:sz w:val="22"/>
            <w:szCs w:val="22"/>
          </w:rPr>
          <w:t>3.1 Generational Cohorts in the Workplace</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_Toc234913005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8</w:t>
        </w:r>
        <w:r>
          <w:rPr>
            <w:rFonts w:ascii="Arial" w:hAnsi="Arial" w:cs="Arial"/>
            <w:sz w:val="22"/>
            <w:szCs w:val="22"/>
          </w:rPr>
          <w:fldChar w:fldCharType="end"/>
        </w:r>
      </w:hyperlink>
    </w:p>
    <w:p w:rsidR="00F96C54" w:rsidRDefault="00412713" w14:paraId="39CA3595" w14:textId="77777777">
      <w:pPr>
        <w:pStyle w:val="TOC2"/>
        <w:tabs>
          <w:tab w:val="right" w:leader="dot" w:pos="9016"/>
        </w:tabs>
        <w:spacing w:line="360" w:lineRule="auto"/>
        <w:rPr>
          <w:rFonts w:ascii="Arial" w:hAnsi="Arial" w:cs="Arial"/>
          <w:sz w:val="22"/>
          <w:szCs w:val="22"/>
        </w:rPr>
      </w:pPr>
      <w:hyperlink w:history="1" w:anchor="_Toc234913006">
        <w:r>
          <w:rPr>
            <w:rStyle w:val="Hyperlink"/>
            <w:rFonts w:ascii="Arial" w:hAnsi="Arial" w:eastAsia="Arial" w:cs="Arial"/>
            <w:sz w:val="22"/>
            <w:szCs w:val="22"/>
          </w:rPr>
          <w:t>3.2 Communication Styles, Motivation and Technological Adaptability</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_Toc234913006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8</w:t>
        </w:r>
        <w:r>
          <w:rPr>
            <w:rFonts w:ascii="Arial" w:hAnsi="Arial" w:cs="Arial"/>
            <w:sz w:val="22"/>
            <w:szCs w:val="22"/>
          </w:rPr>
          <w:fldChar w:fldCharType="end"/>
        </w:r>
      </w:hyperlink>
    </w:p>
    <w:p w:rsidR="00F96C54" w:rsidRDefault="00412713" w14:paraId="58DB989F" w14:textId="77777777">
      <w:pPr>
        <w:pStyle w:val="TOC2"/>
        <w:tabs>
          <w:tab w:val="right" w:leader="dot" w:pos="9016"/>
        </w:tabs>
        <w:spacing w:line="360" w:lineRule="auto"/>
        <w:rPr>
          <w:rFonts w:ascii="Arial" w:hAnsi="Arial" w:cs="Arial"/>
          <w:sz w:val="22"/>
          <w:szCs w:val="22"/>
        </w:rPr>
      </w:pPr>
      <w:hyperlink w:history="1" w:anchor="_Toc234913007">
        <w:r>
          <w:rPr>
            <w:rStyle w:val="Hyperlink"/>
            <w:rFonts w:ascii="Arial" w:hAnsi="Arial" w:eastAsia="Arial" w:cs="Arial"/>
            <w:sz w:val="22"/>
            <w:szCs w:val="22"/>
          </w:rPr>
          <w:t>3.3 Impact on Organisational Effectiveness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_Toc234913007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9</w:t>
        </w:r>
        <w:r>
          <w:rPr>
            <w:rFonts w:ascii="Arial" w:hAnsi="Arial" w:cs="Arial"/>
            <w:sz w:val="22"/>
            <w:szCs w:val="22"/>
          </w:rPr>
          <w:fldChar w:fldCharType="end"/>
        </w:r>
      </w:hyperlink>
    </w:p>
    <w:p w:rsidR="00F96C54" w:rsidRDefault="00412713" w14:paraId="1C9E1788" w14:textId="77777777">
      <w:pPr>
        <w:pStyle w:val="TOC2"/>
        <w:tabs>
          <w:tab w:val="right" w:leader="dot" w:pos="9016"/>
        </w:tabs>
        <w:spacing w:line="360" w:lineRule="auto"/>
        <w:rPr>
          <w:rFonts w:ascii="Arial" w:hAnsi="Arial" w:cs="Arial"/>
          <w:sz w:val="22"/>
          <w:szCs w:val="22"/>
        </w:rPr>
      </w:pPr>
      <w:hyperlink w:history="1" w:anchor="_Toc234913008">
        <w:r>
          <w:rPr>
            <w:rStyle w:val="Hyperlink"/>
            <w:rFonts w:ascii="Arial" w:hAnsi="Arial" w:eastAsia="Arial" w:cs="Arial"/>
            <w:sz w:val="22"/>
            <w:szCs w:val="22"/>
          </w:rPr>
          <w:t>3.4 The Role of Emotional Intelligence and Mindfulness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_Toc234913008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9</w:t>
        </w:r>
        <w:r>
          <w:rPr>
            <w:rFonts w:ascii="Arial" w:hAnsi="Arial" w:cs="Arial"/>
            <w:sz w:val="22"/>
            <w:szCs w:val="22"/>
          </w:rPr>
          <w:fldChar w:fldCharType="end"/>
        </w:r>
      </w:hyperlink>
    </w:p>
    <w:p w:rsidR="00F96C54" w:rsidRDefault="00412713" w14:paraId="17FB3C24" w14:textId="77777777">
      <w:pPr>
        <w:pStyle w:val="TOC2"/>
        <w:tabs>
          <w:tab w:val="right" w:leader="dot" w:pos="9016"/>
        </w:tabs>
        <w:spacing w:line="360" w:lineRule="auto"/>
        <w:rPr>
          <w:rFonts w:ascii="Arial" w:hAnsi="Arial" w:cs="Arial"/>
          <w:sz w:val="22"/>
          <w:szCs w:val="22"/>
        </w:rPr>
      </w:pPr>
      <w:hyperlink w:history="1" w:anchor="_Toc234913009">
        <w:r>
          <w:rPr>
            <w:rStyle w:val="Hyperlink"/>
            <w:rFonts w:ascii="Arial" w:hAnsi="Arial" w:eastAsia="Arial" w:cs="Arial"/>
            <w:sz w:val="22"/>
            <w:szCs w:val="22"/>
          </w:rPr>
          <w:t>3.5 Implications for Recruitment, Management and Retention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_Toc234913009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9</w:t>
        </w:r>
        <w:r>
          <w:rPr>
            <w:rFonts w:ascii="Arial" w:hAnsi="Arial" w:cs="Arial"/>
            <w:sz w:val="22"/>
            <w:szCs w:val="22"/>
          </w:rPr>
          <w:fldChar w:fldCharType="end"/>
        </w:r>
      </w:hyperlink>
    </w:p>
    <w:p w:rsidR="00F96C54" w:rsidRDefault="00412713" w14:paraId="478703CF" w14:textId="77777777">
      <w:pPr>
        <w:pStyle w:val="TOC2"/>
        <w:tabs>
          <w:tab w:val="right" w:leader="dot" w:pos="9016"/>
        </w:tabs>
        <w:spacing w:line="360" w:lineRule="auto"/>
        <w:rPr>
          <w:rFonts w:ascii="Arial" w:hAnsi="Arial" w:cs="Arial"/>
          <w:sz w:val="22"/>
          <w:szCs w:val="22"/>
        </w:rPr>
      </w:pPr>
      <w:hyperlink w:history="1" w:anchor="_Toc234913010">
        <w:r>
          <w:rPr>
            <w:rStyle w:val="Hyperlink"/>
            <w:rFonts w:ascii="Arial" w:hAnsi="Arial" w:eastAsia="Arial" w:cs="Arial"/>
            <w:sz w:val="22"/>
            <w:szCs w:val="22"/>
          </w:rPr>
          <w:t>3.6 Critical Considerations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_Toc234913010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10</w:t>
        </w:r>
        <w:r>
          <w:rPr>
            <w:rFonts w:ascii="Arial" w:hAnsi="Arial" w:cs="Arial"/>
            <w:sz w:val="22"/>
            <w:szCs w:val="22"/>
          </w:rPr>
          <w:fldChar w:fldCharType="end"/>
        </w:r>
      </w:hyperlink>
    </w:p>
    <w:p w:rsidR="00F96C54" w:rsidRDefault="00412713" w14:paraId="78605ACB" w14:textId="77777777">
      <w:pPr>
        <w:pStyle w:val="TOC1"/>
        <w:tabs>
          <w:tab w:val="right" w:leader="dot" w:pos="9016"/>
        </w:tabs>
        <w:spacing w:line="360" w:lineRule="auto"/>
        <w:rPr>
          <w:rFonts w:ascii="Arial" w:hAnsi="Arial" w:cs="Arial"/>
          <w:sz w:val="22"/>
          <w:szCs w:val="22"/>
        </w:rPr>
      </w:pPr>
      <w:hyperlink w:history="1" w:anchor="_Toc234913011">
        <w:r>
          <w:rPr>
            <w:rStyle w:val="Hyperlink"/>
            <w:rFonts w:ascii="Arial" w:hAnsi="Arial" w:eastAsia="Arial" w:cs="Arial"/>
            <w:sz w:val="22"/>
            <w:szCs w:val="22"/>
          </w:rPr>
          <w:t>4.0 Conclusion and Recommendations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_Toc234913011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10</w:t>
        </w:r>
        <w:r>
          <w:rPr>
            <w:rFonts w:ascii="Arial" w:hAnsi="Arial" w:cs="Arial"/>
            <w:sz w:val="22"/>
            <w:szCs w:val="22"/>
          </w:rPr>
          <w:fldChar w:fldCharType="end"/>
        </w:r>
      </w:hyperlink>
    </w:p>
    <w:p w:rsidR="00F96C54" w:rsidRDefault="00412713" w14:paraId="1C68BB5E" w14:textId="77777777">
      <w:pPr>
        <w:pStyle w:val="TOC1"/>
        <w:tabs>
          <w:tab w:val="right" w:leader="dot" w:pos="9016"/>
        </w:tabs>
        <w:spacing w:line="360" w:lineRule="auto"/>
        <w:rPr>
          <w:rFonts w:ascii="Arial" w:hAnsi="Arial" w:cs="Arial"/>
          <w:sz w:val="22"/>
          <w:szCs w:val="22"/>
        </w:rPr>
      </w:pPr>
      <w:hyperlink w:history="1" w:anchor="_Toc234913012">
        <w:r>
          <w:rPr>
            <w:rStyle w:val="Hyperlink"/>
            <w:rFonts w:ascii="Arial" w:hAnsi="Arial" w:eastAsia="Arial" w:cs="Arial"/>
            <w:sz w:val="22"/>
            <w:szCs w:val="22"/>
          </w:rPr>
          <w:t>Reference List</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_Toc234913012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12</w:t>
        </w:r>
        <w:r>
          <w:rPr>
            <w:rFonts w:ascii="Arial" w:hAnsi="Arial" w:cs="Arial"/>
            <w:sz w:val="22"/>
            <w:szCs w:val="22"/>
          </w:rPr>
          <w:fldChar w:fldCharType="end"/>
        </w:r>
      </w:hyperlink>
    </w:p>
    <w:p w:rsidR="00F96C54" w:rsidRDefault="00412713" w14:paraId="31FFF464" w14:textId="77777777">
      <w:pPr>
        <w:spacing w:line="360" w:lineRule="auto"/>
        <w:rPr>
          <w:rFonts w:ascii="Arial" w:hAnsi="Arial" w:cs="Arial"/>
          <w:sz w:val="22"/>
          <w:szCs w:val="22"/>
        </w:rPr>
      </w:pPr>
      <w:r>
        <w:rPr>
          <w:rFonts w:ascii="Arial" w:hAnsi="Arial" w:cs="Arial"/>
          <w:sz w:val="22"/>
          <w:szCs w:val="22"/>
        </w:rPr>
        <w:fldChar w:fldCharType="end"/>
      </w:r>
    </w:p>
    <w:p w:rsidR="00F96C54" w:rsidRDefault="00F96C54" w14:paraId="05243408" w14:textId="77777777">
      <w:pPr>
        <w:pStyle w:val="Heading1"/>
        <w:spacing w:before="300" w:after="150" w:line="360" w:lineRule="auto"/>
        <w:rPr>
          <w:rFonts w:ascii="Arial" w:hAnsi="Arial" w:eastAsia="Arial" w:cs="Arial"/>
          <w:b/>
          <w:bCs/>
          <w:color w:val="000000"/>
          <w:sz w:val="26"/>
          <w:szCs w:val="26"/>
        </w:rPr>
      </w:pPr>
    </w:p>
    <w:p w:rsidR="00F96C54" w:rsidRDefault="00F96C54" w14:paraId="483816A0" w14:textId="77777777">
      <w:pPr>
        <w:pStyle w:val="Heading1"/>
        <w:spacing w:before="300" w:after="150" w:line="360" w:lineRule="auto"/>
        <w:rPr>
          <w:rFonts w:ascii="Arial" w:hAnsi="Arial" w:eastAsia="Arial" w:cs="Arial"/>
          <w:b/>
          <w:bCs/>
          <w:color w:val="000000"/>
          <w:sz w:val="26"/>
          <w:szCs w:val="26"/>
        </w:rPr>
      </w:pPr>
    </w:p>
    <w:p w:rsidR="00F96C54" w:rsidRDefault="00F96C54" w14:paraId="61027959" w14:textId="77777777">
      <w:pPr>
        <w:pStyle w:val="Heading1"/>
        <w:spacing w:before="300" w:after="150" w:line="360" w:lineRule="auto"/>
        <w:rPr>
          <w:rFonts w:ascii="Arial" w:hAnsi="Arial" w:eastAsia="Arial" w:cs="Arial"/>
          <w:b/>
          <w:bCs/>
          <w:color w:val="000000"/>
          <w:sz w:val="26"/>
          <w:szCs w:val="26"/>
        </w:rPr>
      </w:pPr>
    </w:p>
    <w:p w:rsidR="00F96C54" w:rsidRDefault="00F96C54" w14:paraId="1B21AC60" w14:textId="77777777">
      <w:pPr>
        <w:pStyle w:val="Heading1"/>
        <w:spacing w:before="300" w:after="150" w:line="360" w:lineRule="auto"/>
        <w:rPr>
          <w:rFonts w:ascii="Arial" w:hAnsi="Arial" w:eastAsia="Arial" w:cs="Arial"/>
          <w:b/>
          <w:bCs/>
          <w:color w:val="000000"/>
          <w:sz w:val="26"/>
          <w:szCs w:val="26"/>
        </w:rPr>
      </w:pPr>
    </w:p>
    <w:p w:rsidR="00F96C54" w:rsidRDefault="00412713" w14:paraId="517B5D0E" w14:textId="77777777">
      <w:pPr>
        <w:pStyle w:val="Heading1"/>
        <w:spacing w:before="300" w:after="150" w:line="360" w:lineRule="auto"/>
        <w:rPr>
          <w:rFonts w:ascii="Arial" w:hAnsi="Arial" w:cs="Arial"/>
        </w:rPr>
      </w:pPr>
      <w:bookmarkStart w:name="_Toc234912992" w:id="0"/>
      <w:r>
        <w:rPr>
          <w:rFonts w:ascii="Arial" w:hAnsi="Arial" w:eastAsia="Arial" w:cs="Arial"/>
          <w:b/>
          <w:bCs/>
          <w:color w:val="000000"/>
          <w:sz w:val="26"/>
          <w:szCs w:val="26"/>
        </w:rPr>
        <w:t>1.0 Introduction</w:t>
      </w:r>
      <w:bookmarkEnd w:id="0"/>
    </w:p>
    <w:p w:rsidR="00F96C54" w:rsidRDefault="00412713" w14:paraId="61147300" w14:textId="77777777">
      <w:pPr>
        <w:spacing w:after="200" w:line="360" w:lineRule="auto"/>
        <w:jc w:val="both"/>
        <w:rPr>
          <w:rFonts w:ascii="Arial" w:hAnsi="Arial" w:cs="Arial"/>
        </w:rPr>
      </w:pPr>
      <w:r>
        <w:rPr>
          <w:rFonts w:ascii="Arial" w:hAnsi="Arial" w:eastAsia="Arial" w:cs="Arial"/>
          <w:sz w:val="22"/>
          <w:szCs w:val="22"/>
        </w:rPr>
        <w:t xml:space="preserve">Senior leadership was also made aware of significant enhancements in team morale, communication and conflict resolution based on recent organisational climate survey following the use of mindfulness and emotional intelligence (EI) principles in the leading of ELT teams. This report is produced for the Senior Management Team (SMT) ahead of strategic planning September 2026. It critically examines what are the key challenges of EI and mindfulness in the modern organization, firstly probing into the potential </w:t>
      </w:r>
      <w:r>
        <w:rPr>
          <w:rFonts w:ascii="Arial" w:hAnsi="Arial" w:eastAsia="Arial" w:cs="Arial"/>
          <w:sz w:val="22"/>
          <w:szCs w:val="22"/>
        </w:rPr>
        <w:t>use of the lens of EI core components to increase the effectiveness of workers in their performances, collaboration and well-being (Task 1), and secondly looking at how EI and mindfulness can contribute to inclusive leadership and effective management of a multi-generational workforce (Task 2). This report aims to assist the decision making process related to employee development and leadership ability and next recruiting process with grounded theories and current empirical studies presented during the repo</w:t>
      </w:r>
      <w:r>
        <w:rPr>
          <w:rFonts w:ascii="Arial" w:hAnsi="Arial" w:eastAsia="Arial" w:cs="Arial"/>
          <w:sz w:val="22"/>
          <w:szCs w:val="22"/>
        </w:rPr>
        <w:t>rt.</w:t>
      </w:r>
    </w:p>
    <w:p w:rsidR="00F96C54" w:rsidRDefault="00412713" w14:paraId="73D7188F" w14:textId="77777777">
      <w:pPr>
        <w:pStyle w:val="Heading1"/>
        <w:spacing w:before="300" w:after="150" w:line="360" w:lineRule="auto"/>
        <w:rPr>
          <w:rFonts w:ascii="Arial" w:hAnsi="Arial" w:cs="Arial"/>
        </w:rPr>
      </w:pPr>
      <w:bookmarkStart w:name="_Toc234912993" w:id="1"/>
      <w:r>
        <w:rPr>
          <w:rFonts w:ascii="Arial" w:hAnsi="Arial" w:eastAsia="Arial" w:cs="Arial"/>
          <w:b/>
          <w:bCs/>
          <w:color w:val="000000"/>
          <w:sz w:val="26"/>
          <w:szCs w:val="26"/>
        </w:rPr>
        <w:t>2.0 Task 1: Emotional Intelligence in the Workplace</w:t>
      </w:r>
      <w:bookmarkEnd w:id="1"/>
    </w:p>
    <w:p w:rsidR="00F96C54" w:rsidRDefault="00412713" w14:paraId="016A8EB0" w14:textId="77777777">
      <w:pPr>
        <w:pStyle w:val="Heading2"/>
        <w:spacing w:before="200" w:after="120" w:line="360" w:lineRule="auto"/>
        <w:rPr>
          <w:rFonts w:ascii="Arial" w:hAnsi="Arial" w:cs="Arial"/>
        </w:rPr>
      </w:pPr>
      <w:bookmarkStart w:name="_Toc234912994" w:id="2"/>
      <w:r>
        <w:rPr>
          <w:rFonts w:ascii="Arial" w:hAnsi="Arial" w:eastAsia="Arial" w:cs="Arial"/>
          <w:b/>
          <w:bCs/>
          <w:color w:val="000000"/>
          <w:sz w:val="24"/>
          <w:szCs w:val="24"/>
        </w:rPr>
        <w:t>2.1 Defining Emotional Intelligence</w:t>
      </w:r>
      <w:bookmarkEnd w:id="2"/>
    </w:p>
    <w:p w:rsidR="00F96C54" w:rsidRDefault="00412713" w14:paraId="1810E837" w14:textId="77777777">
      <w:pPr>
        <w:spacing w:after="200" w:line="360" w:lineRule="auto"/>
        <w:jc w:val="both"/>
        <w:rPr>
          <w:rFonts w:ascii="Arial" w:hAnsi="Arial" w:cs="Arial"/>
        </w:rPr>
      </w:pPr>
      <w:r>
        <w:rPr>
          <w:rFonts w:ascii="Arial" w:hAnsi="Arial" w:eastAsia="Arial" w:cs="Arial"/>
          <w:sz w:val="22"/>
          <w:szCs w:val="22"/>
        </w:rPr>
        <w:t>Emotional intelligence is widely recognized as the ability to recognise, understand and regulate identify emotions and other people's emotions (Mayer and Salovey, 1997). When used in an organisational setting EI has moved out of the "soft skills" realm and been recognized as a competency, linked to communication, conflict resolution, leadership and decision making abilities (Ashkanasy and Daus, 2002). Contemporary research has approached the study of emotion in the workplace from various perspectives, Ashka</w:t>
      </w:r>
      <w:r>
        <w:rPr>
          <w:rFonts w:ascii="Arial" w:hAnsi="Arial" w:eastAsia="Arial" w:cs="Arial"/>
          <w:sz w:val="22"/>
          <w:szCs w:val="22"/>
        </w:rPr>
        <w:t>nasy and Daus (2002) argue, because of its long under-researched nature, as organisations were always assumed to be rational systems in which the play of emotion was largely irrelevant—from those roles that engage directly in client interaction or transaction, often termed "emotional labour", to those that involve internal dynamics within teams and groups. Three key models of EI – the mixed model by Goleman, the ability model by Mayer &amp; Salovey and the emotional-social model proposed by Bar-On, offer comple</w:t>
      </w:r>
      <w:r>
        <w:rPr>
          <w:rFonts w:ascii="Arial" w:hAnsi="Arial" w:eastAsia="Arial" w:cs="Arial"/>
          <w:sz w:val="22"/>
          <w:szCs w:val="22"/>
        </w:rPr>
        <w:t>mentary views for considering how an EI can be utilised by employees to enhance work unit performance, collaborations, and well-being, and are explored critically below.</w:t>
      </w:r>
    </w:p>
    <w:p w:rsidR="00F96C54" w:rsidRDefault="00412713" w14:paraId="36A98EB0" w14:textId="77777777">
      <w:pPr>
        <w:spacing w:after="200" w:line="360" w:lineRule="auto"/>
        <w:jc w:val="both"/>
        <w:rPr>
          <w:rFonts w:ascii="Arial" w:hAnsi="Arial" w:cs="Arial"/>
        </w:rPr>
      </w:pPr>
      <w:r>
        <w:rPr>
          <w:rFonts w:ascii="Arial" w:hAnsi="Arial" w:eastAsia="Arial" w:cs="Arial"/>
          <w:sz w:val="22"/>
          <w:szCs w:val="22"/>
        </w:rPr>
        <w:t>Central to each of these perspectives is self-awareness, understood as the capacity to accurately recognise one's own emotions, values and their influence on thought and behaviour as they occur (Goleman, 1998). Self-awareness is widely treated as the foundational component of EI, since an employee who cannot first identify what they are feeling is unlikely to regulate that emotion effectively or read it accurately in others (Mayer and Salovey, 1997). In a workplace setting this translates into practical out</w:t>
      </w:r>
      <w:r>
        <w:rPr>
          <w:rFonts w:ascii="Arial" w:hAnsi="Arial" w:eastAsia="Arial" w:cs="Arial"/>
          <w:sz w:val="22"/>
          <w:szCs w:val="22"/>
        </w:rPr>
        <w:t>comes, such as recognising when frustration is beginning to affect judgement during a difficult client call, or noticing that stress carried over from one meeting is unintentionally shaping behaviour in the next. Because it underpins the self-regulation, empathy and social awareness components examined in each model below, self-awareness is treated in this report as the entry point through which EI is developed and applied.</w:t>
      </w:r>
    </w:p>
    <w:p w:rsidR="00F96C54" w:rsidRDefault="00412713" w14:paraId="3DAD2C36" w14:textId="77777777">
      <w:pPr>
        <w:pStyle w:val="Heading2"/>
        <w:spacing w:before="200" w:after="120" w:line="360" w:lineRule="auto"/>
        <w:rPr>
          <w:rFonts w:ascii="Arial" w:hAnsi="Arial" w:cs="Arial"/>
        </w:rPr>
      </w:pPr>
      <w:bookmarkStart w:name="_Toc234912995" w:id="3"/>
      <w:r>
        <w:rPr>
          <w:rFonts w:ascii="Arial" w:hAnsi="Arial" w:eastAsia="Arial" w:cs="Arial"/>
          <w:b/>
          <w:bCs/>
          <w:color w:val="000000"/>
          <w:sz w:val="24"/>
          <w:szCs w:val="24"/>
        </w:rPr>
        <w:t>2.2 Goleman's Mixed Model</w:t>
      </w:r>
      <w:bookmarkEnd w:id="3"/>
    </w:p>
    <w:p w:rsidR="00F96C54" w:rsidRDefault="00412713" w14:paraId="56563B50" w14:textId="77777777">
      <w:pPr>
        <w:spacing w:after="200" w:line="360" w:lineRule="auto"/>
        <w:jc w:val="both"/>
        <w:rPr>
          <w:rFonts w:ascii="Arial" w:hAnsi="Arial" w:eastAsia="Arial" w:cs="Arial"/>
          <w:sz w:val="22"/>
          <w:szCs w:val="22"/>
        </w:rPr>
      </w:pPr>
      <w:r>
        <w:rPr>
          <w:rFonts w:ascii="Arial" w:hAnsi="Arial" w:eastAsia="Arial" w:cs="Arial"/>
          <w:sz w:val="22"/>
          <w:szCs w:val="22"/>
        </w:rPr>
        <w:t>Goleman (1998) defines EI as a blended model of emotional competence and emotional function within the five domain framework, which include self-awareness, self-regulation, motivation, empathy and social skills. Self-awareness helps workers understand the impact of their emotions on judgment and behavior; self-regulation gives them time to reflect before reacting emotively when under stress; motivation helps workers maintain their efforts to achieve goals; empathy helps them understand the perspectives of o</w:t>
      </w:r>
      <w:r>
        <w:rPr>
          <w:rFonts w:ascii="Arial" w:hAnsi="Arial" w:eastAsia="Arial" w:cs="Arial"/>
          <w:sz w:val="22"/>
          <w:szCs w:val="22"/>
        </w:rPr>
        <w:t xml:space="preserve">thers; and social skills helps them build rapport and communicate effectively and lead teams. </w:t>
      </w:r>
    </w:p>
    <w:p w:rsidR="00F96C54" w:rsidRDefault="00412713" w14:paraId="28EC5C14" w14:textId="77777777">
      <w:pPr>
        <w:spacing w:after="200" w:line="360" w:lineRule="auto"/>
        <w:jc w:val="both"/>
        <w:rPr>
          <w:rFonts w:ascii="Arial" w:hAnsi="Arial" w:eastAsia="Arial" w:cs="Arial"/>
          <w:sz w:val="22"/>
          <w:szCs w:val="22"/>
        </w:rPr>
      </w:pPr>
      <w:r>
        <w:rPr>
          <w:rFonts w:ascii="Arial" w:hAnsi="Arial" w:eastAsia="Arial" w:cs="Arial"/>
          <w:sz w:val="22"/>
          <w:szCs w:val="22"/>
        </w:rPr>
        <w:t xml:space="preserve">Over the years, Goleman reshaped these into four broader categories: self-awareness, self-management, social awareness, and social management. Whereas ability-based models have not been widely accepted, Goleman's model captures the attention of developing training interventions in the workplace because it conceptualizes EI as learned and developmental and describes how EI is taught to children and adolescents with special educational needs and development delays, all of which highlight its relevance to the </w:t>
      </w:r>
      <w:r>
        <w:rPr>
          <w:rFonts w:ascii="Arial" w:hAnsi="Arial" w:eastAsia="Arial" w:cs="Arial"/>
          <w:sz w:val="22"/>
          <w:szCs w:val="22"/>
        </w:rPr>
        <w:t xml:space="preserve">field of leadership studies (Wong and Law, 2002). </w:t>
      </w:r>
    </w:p>
    <w:p w:rsidR="00F96C54" w:rsidRDefault="00412713" w14:paraId="12F95298" w14:textId="77777777">
      <w:pPr>
        <w:spacing w:after="200" w:line="360" w:lineRule="auto"/>
        <w:jc w:val="both"/>
        <w:rPr>
          <w:rFonts w:ascii="Arial" w:hAnsi="Arial" w:cs="Arial"/>
        </w:rPr>
      </w:pPr>
      <w:r>
        <w:rPr>
          <w:rFonts w:ascii="Arial" w:hAnsi="Arial" w:eastAsia="Arial" w:cs="Arial"/>
          <w:sz w:val="22"/>
          <w:szCs w:val="22"/>
        </w:rPr>
        <w:t>There are also assessments that have been created for practitioners to apply in the workplace, such as the Emotional and Social Competence Inventory, which has been developed by organisations including Goleman's own consulting associates, from the model into some observable behaviours in the workplace. In practice, there may be cases where an employee self-regulates by taking time to process criticism before responding and/or demonstrates empathy, ensuring they hear an over-stressed coworker out before tryi</w:t>
      </w:r>
      <w:r>
        <w:rPr>
          <w:rFonts w:ascii="Arial" w:hAnsi="Arial" w:eastAsia="Arial" w:cs="Arial"/>
          <w:sz w:val="22"/>
          <w:szCs w:val="22"/>
        </w:rPr>
        <w:t>ng to suggest solutions.</w:t>
      </w:r>
    </w:p>
    <w:p w:rsidR="00F96C54" w:rsidRDefault="00412713" w14:paraId="1250AEEB" w14:textId="77777777">
      <w:pPr>
        <w:pStyle w:val="Heading2"/>
        <w:spacing w:before="200" w:after="120" w:line="360" w:lineRule="auto"/>
        <w:rPr>
          <w:rFonts w:ascii="Arial" w:hAnsi="Arial" w:cs="Arial"/>
        </w:rPr>
      </w:pPr>
      <w:bookmarkStart w:name="_Toc234912996" w:id="4"/>
      <w:r>
        <w:rPr>
          <w:rFonts w:ascii="Arial" w:hAnsi="Arial" w:eastAsia="Arial" w:cs="Arial"/>
          <w:b/>
          <w:bCs/>
          <w:color w:val="000000"/>
          <w:sz w:val="24"/>
          <w:szCs w:val="24"/>
        </w:rPr>
        <w:t>2.3 Mayer and Salovey's Ability Model</w:t>
      </w:r>
      <w:bookmarkEnd w:id="4"/>
    </w:p>
    <w:p w:rsidR="00F96C54" w:rsidRDefault="00412713" w14:paraId="2136B5C3" w14:textId="77777777">
      <w:pPr>
        <w:spacing w:after="200" w:line="360" w:lineRule="auto"/>
        <w:jc w:val="both"/>
        <w:rPr>
          <w:rFonts w:ascii="Arial" w:hAnsi="Arial" w:eastAsia="Arial" w:cs="Arial"/>
          <w:sz w:val="22"/>
          <w:szCs w:val="22"/>
        </w:rPr>
      </w:pPr>
      <w:r>
        <w:rPr>
          <w:rFonts w:ascii="Arial" w:hAnsi="Arial" w:eastAsia="Arial" w:cs="Arial"/>
          <w:sz w:val="22"/>
          <w:szCs w:val="22"/>
        </w:rPr>
        <w:t xml:space="preserve">Mayer, Salovey and Caruso (2016) focus on a narrower definition of EI, one centered on a true cognitive capacity, rather than on a personality trait, and comprise four domains: perceiving emotion, using emotion to facilitate thought, understanding emotion, and regulating emotion. They are organised hierarchically, starting with perceptual abilities progressing to more complex, integration tasks around matter of feelings and thought, and are found to grow as a function of experience and age similar to other </w:t>
      </w:r>
      <w:r>
        <w:rPr>
          <w:rFonts w:ascii="Arial" w:hAnsi="Arial" w:eastAsia="Arial" w:cs="Arial"/>
          <w:sz w:val="22"/>
          <w:szCs w:val="22"/>
        </w:rPr>
        <w:t xml:space="preserve">recognised types of intelligence. It is measured with four-branches based instruments, like Mayer, Salovey and Caruso (2002) developed Emotional Intelligence Test (based on performance), that measures individuals' effectiveness in processing emotional information rather than on self-report measures. </w:t>
      </w:r>
    </w:p>
    <w:p w:rsidR="00F96C54" w:rsidRDefault="00412713" w14:paraId="01DAA557" w14:textId="77777777">
      <w:pPr>
        <w:spacing w:after="200" w:line="360" w:lineRule="auto"/>
        <w:jc w:val="both"/>
        <w:rPr>
          <w:rFonts w:ascii="Arial" w:hAnsi="Arial" w:cs="Arial"/>
        </w:rPr>
      </w:pPr>
      <w:r>
        <w:rPr>
          <w:rFonts w:ascii="Arial" w:hAnsi="Arial" w:eastAsia="Arial" w:cs="Arial"/>
          <w:sz w:val="22"/>
          <w:szCs w:val="22"/>
        </w:rPr>
        <w:t xml:space="preserve">The ability model is useful for employees, because it helpfully tells the difference between how they might appear empathetic with the client and truly understanding and reasoning through the client's emotions </w:t>
      </w:r>
      <w:r>
        <w:rPr>
          <w:rFonts w:ascii="Arial" w:hAnsi="Arial" w:eastAsia="Arial" w:cs="Arial"/>
          <w:sz w:val="22"/>
          <w:szCs w:val="22"/>
        </w:rPr>
        <w:t>,</w:t>
      </w:r>
      <w:r>
        <w:rPr>
          <w:rFonts w:ascii="Arial" w:hAnsi="Arial" w:eastAsia="Arial" w:cs="Arial"/>
          <w:sz w:val="22"/>
          <w:szCs w:val="22"/>
        </w:rPr>
        <w:t xml:space="preserve"> to know when a client’s performance is being impacted by their frustrations (still in polite words), or to sense that the client might be irritated without yet showing up in their process. Its competency-based questionnaires are more time consuming to administer than those of Goleman's model but it is ability-based, making it more influential as a field of academic and psychometric research.</w:t>
      </w:r>
    </w:p>
    <w:p w:rsidR="00F96C54" w:rsidRDefault="00412713" w14:paraId="5B063AFA" w14:textId="77777777">
      <w:pPr>
        <w:pStyle w:val="Heading2"/>
        <w:spacing w:before="200" w:after="120" w:line="360" w:lineRule="auto"/>
        <w:rPr>
          <w:rFonts w:ascii="Arial" w:hAnsi="Arial" w:cs="Arial"/>
        </w:rPr>
      </w:pPr>
      <w:bookmarkStart w:name="_Toc234912997" w:id="5"/>
      <w:r>
        <w:rPr>
          <w:rFonts w:ascii="Arial" w:hAnsi="Arial" w:eastAsia="Arial" w:cs="Arial"/>
          <w:b/>
          <w:bCs/>
          <w:color w:val="000000"/>
          <w:sz w:val="24"/>
          <w:szCs w:val="24"/>
        </w:rPr>
        <w:t>2.4 Bar-On's Emotional-Social Intelligence Model</w:t>
      </w:r>
      <w:bookmarkEnd w:id="5"/>
    </w:p>
    <w:p w:rsidR="00F96C54" w:rsidRDefault="00412713" w14:paraId="18C16C18" w14:textId="77777777">
      <w:pPr>
        <w:spacing w:after="200" w:line="360" w:lineRule="auto"/>
        <w:jc w:val="both"/>
        <w:rPr>
          <w:rFonts w:ascii="Arial" w:hAnsi="Arial" w:cs="Arial"/>
        </w:rPr>
      </w:pPr>
      <w:r>
        <w:rPr>
          <w:rFonts w:ascii="Arial" w:hAnsi="Arial" w:eastAsia="Arial" w:cs="Arial"/>
          <w:sz w:val="22"/>
          <w:szCs w:val="22"/>
        </w:rPr>
        <w:t>Bar-On (2006) introduces a greater model of emotional-social intelligence (ESI) which consists of five components: intrapersonal skills, interpersonal skills, stress management, adaptability and general mood. According to Bar-On's model, the ESI is more directly linked to occupational performance than is cognitive intelligence, and his predictive validity studies indicate that ESI contributes significantly more to occupational performance than cognitive intelligence does (Bar-On, 2006). Measured through the</w:t>
      </w:r>
      <w:r>
        <w:rPr>
          <w:rFonts w:ascii="Arial" w:hAnsi="Arial" w:eastAsia="Arial" w:cs="Arial"/>
          <w:sz w:val="22"/>
          <w:szCs w:val="22"/>
        </w:rPr>
        <w:t xml:space="preserve"> EQ-i inventory, a 133 item self-report scale that examines 15 related competencies, ESI has direct links to occupational performance, whereas cognitive intelligence does not. The "general mood" (optimism, happiness) featured in the model is different from those outlined in the Goleman and Mayer and Salovey models and is a result of Bar-On's positive psychology base. Its focus is on stress management and adaptability – a key aspect in modern offices that must contend with fast-paced change and cross-generat</w:t>
      </w:r>
      <w:r>
        <w:rPr>
          <w:rFonts w:ascii="Arial" w:hAnsi="Arial" w:eastAsia="Arial" w:cs="Arial"/>
          <w:sz w:val="22"/>
          <w:szCs w:val="22"/>
        </w:rPr>
        <w:t>ional teams – making the book of special interest to this fast-changing world of work. Learners can use this model by creating set work stress management schedules (recovery breaks after difficult meetings—signs of model's adaptability), or by adjusting communication style to accommodate or engage other communicating parties (practicing model's adaptability).</w:t>
      </w:r>
    </w:p>
    <w:p w:rsidR="00F96C54" w:rsidRDefault="00412713" w14:paraId="412683B6" w14:textId="77777777">
      <w:pPr>
        <w:pStyle w:val="Heading2"/>
        <w:spacing w:before="200" w:after="120" w:line="360" w:lineRule="auto"/>
        <w:rPr>
          <w:rFonts w:ascii="Arial" w:hAnsi="Arial" w:cs="Arial"/>
        </w:rPr>
      </w:pPr>
      <w:bookmarkStart w:name="_Toc234912998" w:id="6"/>
      <w:r>
        <w:rPr>
          <w:rFonts w:ascii="Arial" w:hAnsi="Arial" w:eastAsia="Arial" w:cs="Arial"/>
          <w:b/>
          <w:bCs/>
          <w:color w:val="000000"/>
          <w:sz w:val="24"/>
          <w:szCs w:val="24"/>
        </w:rPr>
        <w:t>2.5 EI and Effective Communication</w:t>
      </w:r>
      <w:bookmarkEnd w:id="6"/>
    </w:p>
    <w:p w:rsidR="00F96C54" w:rsidRDefault="00412713" w14:paraId="445DC8DF" w14:textId="77777777">
      <w:pPr>
        <w:spacing w:after="200" w:line="360" w:lineRule="auto"/>
        <w:jc w:val="both"/>
        <w:rPr>
          <w:rFonts w:ascii="Arial" w:hAnsi="Arial" w:cs="Arial"/>
        </w:rPr>
      </w:pPr>
      <w:r>
        <w:rPr>
          <w:rFonts w:ascii="Arial" w:hAnsi="Arial" w:eastAsia="Arial" w:cs="Arial"/>
          <w:sz w:val="22"/>
          <w:szCs w:val="22"/>
        </w:rPr>
        <w:t>EI directly improves communication in the workplace by helping employees to manage emotional response and to properly understand non-verbal messages. Staff behaviour is mature, when under pressure they communicate in a good manner, which minimises risk of miscommunication leading to an argument (Jordan &amp; Troth, 2004). A key aspect of empathy that can help colleagues feel heard is active listening; a high-emotional intelligence-related skill in Goleman's model. Self-aware workers can select the right approac</w:t>
      </w:r>
      <w:r>
        <w:rPr>
          <w:rFonts w:ascii="Arial" w:hAnsi="Arial" w:eastAsia="Arial" w:cs="Arial"/>
          <w:sz w:val="22"/>
          <w:szCs w:val="22"/>
        </w:rPr>
        <w:t>h to communication—whether or not they're communicating verbally with others or using written correspondence with stakeholders—in order to reduce confusion and enhance team cooperation, making anything from challenging feedback to creating a written report easier to achieve. This is especially important in multi-cultural, multi-generational or hybrid teams where individuals interpret written and oral cues differently based on their communication preferences and the previous context or experiences.</w:t>
      </w:r>
    </w:p>
    <w:p w:rsidR="00F96C54" w:rsidRDefault="00412713" w14:paraId="623BA85B" w14:textId="77777777">
      <w:pPr>
        <w:pStyle w:val="Heading2"/>
        <w:spacing w:before="200" w:after="120" w:line="360" w:lineRule="auto"/>
        <w:rPr>
          <w:rFonts w:ascii="Arial" w:hAnsi="Arial" w:cs="Arial"/>
        </w:rPr>
      </w:pPr>
      <w:bookmarkStart w:name="_Toc234912999" w:id="7"/>
      <w:r>
        <w:rPr>
          <w:rFonts w:ascii="Arial" w:hAnsi="Arial" w:eastAsia="Arial" w:cs="Arial"/>
          <w:b/>
          <w:bCs/>
          <w:color w:val="000000"/>
          <w:sz w:val="24"/>
          <w:szCs w:val="24"/>
        </w:rPr>
        <w:t>2.6 EI and Conflict Management</w:t>
      </w:r>
      <w:bookmarkEnd w:id="7"/>
    </w:p>
    <w:p w:rsidR="00F96C54" w:rsidRDefault="00412713" w14:paraId="410ABCC0" w14:textId="77777777">
      <w:pPr>
        <w:spacing w:after="200" w:line="360" w:lineRule="auto"/>
        <w:jc w:val="both"/>
        <w:rPr>
          <w:rFonts w:ascii="Arial" w:hAnsi="Arial" w:eastAsia="Arial" w:cs="Arial"/>
          <w:sz w:val="22"/>
          <w:szCs w:val="22"/>
        </w:rPr>
      </w:pPr>
      <w:r>
        <w:rPr>
          <w:rFonts w:ascii="Arial" w:hAnsi="Arial" w:eastAsia="Geist Fallback" w:cs="Arial"/>
          <w:sz w:val="22"/>
          <w:szCs w:val="22"/>
        </w:rPr>
        <w:t>Emotional intelligence (EI) is essential for resolving conflict effectively in the workplace, as it helps individuals manage their emotion reac</w:t>
      </w:r>
      <w:r>
        <w:rPr>
          <w:rFonts w:ascii="Arial" w:hAnsi="Arial" w:eastAsia="Geist Fallback" w:cs="Arial"/>
          <w:sz w:val="22"/>
          <w:szCs w:val="22"/>
        </w:rPr>
        <w:t>tions, comprehend varied perspectives, and respond to conflict in an objective and constructive manner. High EI people respond to stress, communicate with others in a respectful manner and strive for joint, mutually acceptable solutions instead of aggravating conflict. Jordan and Troth (2004) claim that emotionally intelligent teams identify emotional responses to problems and address them, then return to the problem at hand to solve it, which, in turn, fosters creativity. These skills are particularly impo</w:t>
      </w:r>
      <w:r>
        <w:rPr>
          <w:rFonts w:ascii="Arial" w:hAnsi="Arial" w:eastAsia="Geist Fallback" w:cs="Arial"/>
          <w:sz w:val="22"/>
          <w:szCs w:val="22"/>
        </w:rPr>
        <w:t>rtant in transdisciplinary teams on deadlines. Moreover, EI enables leaders to identify and troubleshoot conflicts resulting from events of difference; it encourages them to be empathetic, emotionally managed and understood by their employees from different value preferences and generations.</w:t>
      </w:r>
    </w:p>
    <w:p w:rsidR="00F96C54" w:rsidRDefault="00412713" w14:paraId="4EBBB820" w14:textId="77777777">
      <w:pPr>
        <w:pStyle w:val="Heading2"/>
        <w:spacing w:before="200" w:after="120" w:line="360" w:lineRule="auto"/>
        <w:rPr>
          <w:rFonts w:ascii="Arial" w:hAnsi="Arial" w:cs="Arial"/>
        </w:rPr>
      </w:pPr>
      <w:bookmarkStart w:name="_Toc234913000" w:id="8"/>
      <w:r>
        <w:rPr>
          <w:rFonts w:ascii="Arial" w:hAnsi="Arial" w:eastAsia="Arial" w:cs="Arial"/>
          <w:b/>
          <w:bCs/>
          <w:color w:val="000000"/>
          <w:sz w:val="24"/>
          <w:szCs w:val="24"/>
        </w:rPr>
        <w:t>2.7 EI and Leadership</w:t>
      </w:r>
      <w:bookmarkEnd w:id="8"/>
    </w:p>
    <w:p w:rsidR="00F96C54" w:rsidRDefault="00412713" w14:paraId="0202DA3F" w14:textId="77777777">
      <w:pPr>
        <w:spacing w:after="200" w:line="360" w:lineRule="auto"/>
        <w:jc w:val="both"/>
        <w:rPr>
          <w:rFonts w:ascii="Arial" w:hAnsi="Arial" w:cs="Arial"/>
        </w:rPr>
      </w:pPr>
      <w:r>
        <w:rPr>
          <w:rFonts w:ascii="Arial" w:hAnsi="Arial" w:eastAsia="Arial" w:cs="Arial"/>
          <w:sz w:val="22"/>
          <w:szCs w:val="22"/>
        </w:rPr>
        <w:t>EI has become a widely recognised factor and predictor of effective leadership. Highly EI leaders can inspire followers to trust them, articulate and convey the vision, and adjust their leadership style to fit various followers and contexts, and this approach fosters employee engagement and retention (Wong and Law, 2002). Emotionally smart leaders also set the tone for self-regulation and sensitivity to others in the organization, making it more psychologically safe for people to bring up issues or let go o</w:t>
      </w:r>
      <w:r>
        <w:rPr>
          <w:rFonts w:ascii="Arial" w:hAnsi="Arial" w:eastAsia="Arial" w:cs="Arial"/>
          <w:sz w:val="22"/>
          <w:szCs w:val="22"/>
        </w:rPr>
        <w:t>f their personal wrongs without fear of being punished, embarrassed, or ridiculed (Edmondson, 1999). This is especially crucial in an increasingly flat and collaborative organisational setting in which influence relies on relational skills and not just position alone. Among organizations, those leaders with high emotional attunement and ethical behavior would be more likely to be perceived as authentic leaders showing positive downstream employee well-being and subjective career success (Park et al., 2025).</w:t>
      </w:r>
      <w:r>
        <w:rPr>
          <w:rFonts w:ascii="Arial" w:hAnsi="Arial" w:eastAsia="Arial" w:cs="Arial"/>
          <w:sz w:val="22"/>
          <w:szCs w:val="22"/>
        </w:rPr>
        <w:t xml:space="preserve"> A manager who demonstrates their uncertainty about what to expect when an organization is going through a restructuring process, and listens to the concerns during one-on-one check-ins or flexibly adapts communication styles to anxious team members will likely promote less of a resistance to change and better morale, as opposed to a manager who only disseminates information through formal top-down communication.</w:t>
      </w:r>
    </w:p>
    <w:p w:rsidR="00F96C54" w:rsidRDefault="00412713" w14:paraId="3317F6E8" w14:textId="77777777">
      <w:pPr>
        <w:pStyle w:val="Heading2"/>
        <w:spacing w:before="200" w:after="120" w:line="360" w:lineRule="auto"/>
        <w:rPr>
          <w:rFonts w:ascii="Arial" w:hAnsi="Arial" w:cs="Arial"/>
        </w:rPr>
      </w:pPr>
      <w:bookmarkStart w:name="_Toc234913001" w:id="9"/>
      <w:r>
        <w:rPr>
          <w:rFonts w:ascii="Arial" w:hAnsi="Arial" w:eastAsia="Arial" w:cs="Arial"/>
          <w:b/>
          <w:bCs/>
          <w:color w:val="000000"/>
          <w:sz w:val="24"/>
          <w:szCs w:val="24"/>
        </w:rPr>
        <w:t>2.8 EI and Decision-Making</w:t>
      </w:r>
      <w:bookmarkEnd w:id="9"/>
    </w:p>
    <w:p w:rsidR="00F96C54" w:rsidRDefault="00412713" w14:paraId="046ED2A8" w14:textId="77777777">
      <w:pPr>
        <w:spacing w:after="200" w:line="360" w:lineRule="auto"/>
        <w:jc w:val="both"/>
        <w:rPr>
          <w:rFonts w:ascii="Arial" w:hAnsi="Arial" w:cs="Arial"/>
        </w:rPr>
      </w:pPr>
      <w:r>
        <w:rPr>
          <w:rFonts w:ascii="Arial" w:hAnsi="Arial" w:eastAsia="Arial" w:cs="Arial"/>
          <w:sz w:val="22"/>
          <w:szCs w:val="22"/>
        </w:rPr>
        <w:t>Judgments aren't free from emotions; EI prepares employees to use the influence of their emotions to their advantage. The ability to manage emotion (Mayer, Salovey and Caruso, 2002) enables the person to make better decisions based on evidence rather than being emotionally upset, yet consider the stakeholders feelings when making a decision. The fact that emotion intelligent decision makers also tend to listen to other perspectives before reaching a decision can also help to avoid the kind of decisions that</w:t>
      </w:r>
      <w:r>
        <w:rPr>
          <w:rFonts w:ascii="Arial" w:hAnsi="Arial" w:eastAsia="Arial" w:cs="Arial"/>
          <w:sz w:val="22"/>
          <w:szCs w:val="22"/>
        </w:rPr>
        <w:t xml:space="preserve"> may seem very effective on paper but create any kind of resistance in their efforts to implement them. Where strategic change is being considered by more than one team, a decision-maker's ability to understand the "mood of the organisation" and to predict the emotional reactions will likely have a direct impact on the smoothness with which change is accepted.</w:t>
      </w:r>
    </w:p>
    <w:p w:rsidR="00F96C54" w:rsidRDefault="00412713" w14:paraId="3D1EF77E" w14:textId="77777777">
      <w:pPr>
        <w:pStyle w:val="Heading2"/>
        <w:spacing w:before="200" w:after="120" w:line="360" w:lineRule="auto"/>
        <w:rPr>
          <w:rFonts w:ascii="Arial" w:hAnsi="Arial" w:cs="Arial"/>
        </w:rPr>
      </w:pPr>
      <w:bookmarkStart w:name="_Toc234913002" w:id="10"/>
      <w:r>
        <w:rPr>
          <w:rFonts w:ascii="Arial" w:hAnsi="Arial" w:eastAsia="Arial" w:cs="Arial"/>
          <w:b/>
          <w:bCs/>
          <w:color w:val="000000"/>
          <w:sz w:val="24"/>
          <w:szCs w:val="24"/>
        </w:rPr>
        <w:t>2.9 Critical Evaluation</w:t>
      </w:r>
      <w:bookmarkEnd w:id="10"/>
    </w:p>
    <w:p w:rsidR="00F96C54" w:rsidRDefault="00412713" w14:paraId="1C37A542" w14:textId="77777777">
      <w:pPr>
        <w:spacing w:after="200" w:line="360" w:lineRule="auto"/>
        <w:jc w:val="both"/>
        <w:rPr>
          <w:rFonts w:ascii="Arial" w:hAnsi="Arial" w:cs="Arial"/>
        </w:rPr>
      </w:pPr>
      <w:r>
        <w:rPr>
          <w:rFonts w:ascii="Arial" w:hAnsi="Arial" w:eastAsia="Arial" w:cs="Arial"/>
          <w:sz w:val="22"/>
          <w:szCs w:val="22"/>
        </w:rPr>
        <w:t xml:space="preserve">Although widely used, EI is not yet a powerful predictor of work place outcomes; thus, a critical report of the SMT should not present the construct uncritically. Gerhardt, Bauwens and van Woerkom (2025) argue, in a systematic review of over a hundred empirical studies, that connections made between EI and leadership effectiveness are frequently exaggerated, that methodological flaws remain common in past research, and that significant overlap continues to exist between measures of EI and other personality </w:t>
      </w:r>
      <w:r>
        <w:rPr>
          <w:rFonts w:ascii="Arial" w:hAnsi="Arial" w:eastAsia="Arial" w:cs="Arial"/>
          <w:sz w:val="22"/>
          <w:szCs w:val="22"/>
        </w:rPr>
        <w:t xml:space="preserve">traits, so that when one takes account of cognitive ability and personality, EI may have relatively little independent predictive influence. In addition, there have been criticisms that the operationalisation of mixed models like Goleman's is problematic or that the definition of ability combines with disposition in a manner which is challenging to be measured objectively, especially for the instruments measuring self-report. Even those who believe in the ability model recognize that a positive correlation </w:t>
      </w:r>
      <w:r>
        <w:rPr>
          <w:rFonts w:ascii="Arial" w:hAnsi="Arial" w:eastAsia="Arial" w:cs="Arial"/>
          <w:sz w:val="22"/>
          <w:szCs w:val="22"/>
        </w:rPr>
        <w:t>between EI test scores and occupational outcomes tends to be weak rather than strong. The balanced approach therefore does not consider EI to be a precondition of effective performance but as one of several other key factors required for success – alongside technical competence and domain knowledge plus sound judgement – rather than a predictor in and of itself for leadership selection or promotion.</w:t>
      </w:r>
    </w:p>
    <w:p w:rsidR="00F96C54" w:rsidRDefault="00412713" w14:paraId="7A893E9A" w14:textId="77777777">
      <w:pPr>
        <w:pStyle w:val="Heading2"/>
        <w:spacing w:before="200" w:after="120" w:line="360" w:lineRule="auto"/>
        <w:rPr>
          <w:rFonts w:ascii="Arial" w:hAnsi="Arial" w:cs="Arial"/>
        </w:rPr>
      </w:pPr>
      <w:bookmarkStart w:name="_Toc234913003" w:id="11"/>
      <w:r>
        <w:rPr>
          <w:rFonts w:ascii="Arial" w:hAnsi="Arial" w:eastAsia="Arial" w:cs="Arial"/>
          <w:b/>
          <w:bCs/>
          <w:color w:val="000000"/>
          <w:sz w:val="24"/>
          <w:szCs w:val="24"/>
        </w:rPr>
        <w:t>2.10 Applying Emotional Intelligence to Career Progression</w:t>
      </w:r>
      <w:bookmarkEnd w:id="11"/>
    </w:p>
    <w:p w:rsidR="00F96C54" w:rsidRDefault="00412713" w14:paraId="1EAD6451" w14:textId="77777777">
      <w:pPr>
        <w:spacing w:after="200" w:line="360" w:lineRule="auto"/>
        <w:jc w:val="both"/>
        <w:rPr>
          <w:rFonts w:ascii="Arial" w:hAnsi="Arial" w:cs="Arial"/>
        </w:rPr>
      </w:pPr>
      <w:r>
        <w:rPr>
          <w:rFonts w:ascii="Arial" w:hAnsi="Arial" w:eastAsia="Arial" w:cs="Arial"/>
          <w:sz w:val="22"/>
          <w:szCs w:val="22"/>
        </w:rPr>
        <w:t>This knowledge has practical applications for personal career growth prior to a graduate-level position. Further assessment using Goleman's Five Competencies can be measured and used to prioritize goals to develop, for example, self-regulation under deadline pressure, or motivation during repetitive tasks. Over time, ability-based exercises, like deliberately practising the interpretation of colleagues' emotions in meetings, develop the perceiving and understanding branches of the Mayer-Salovey-Caruso model</w:t>
      </w:r>
      <w:r>
        <w:rPr>
          <w:rFonts w:ascii="Arial" w:hAnsi="Arial" w:eastAsia="Arial" w:cs="Arial"/>
          <w:sz w:val="22"/>
          <w:szCs w:val="22"/>
        </w:rPr>
        <w:t>. Incorporating Bar-On's concepts of stress-management and adaptability into pre-employment activities like reflective journaling, planned feedback seeking, or recovery time can enhance resilience before starting a job situation. These practices help employees initiate their workups with good communication skills, from the beginning understand how to communicate and resolve conflict in a telescoping and constructive manner, and be mindful of the fact that EI screening skills support, but don't supplant, tec</w:t>
      </w:r>
      <w:r>
        <w:rPr>
          <w:rFonts w:ascii="Arial" w:hAnsi="Arial" w:eastAsia="Arial" w:cs="Arial"/>
          <w:sz w:val="22"/>
          <w:szCs w:val="22"/>
        </w:rPr>
        <w:t>hnical skills and the ability to work well on a team.</w:t>
      </w:r>
    </w:p>
    <w:p w:rsidR="00F96C54" w:rsidRDefault="00412713" w14:paraId="63CCFBEA" w14:textId="77777777">
      <w:pPr>
        <w:pStyle w:val="Heading1"/>
        <w:spacing w:before="300" w:after="150" w:line="360" w:lineRule="auto"/>
        <w:rPr>
          <w:rFonts w:ascii="Arial" w:hAnsi="Arial" w:cs="Arial"/>
        </w:rPr>
      </w:pPr>
      <w:bookmarkStart w:name="_Toc234913004" w:id="12"/>
      <w:r>
        <w:rPr>
          <w:rFonts w:ascii="Arial" w:hAnsi="Arial" w:eastAsia="Arial" w:cs="Arial"/>
          <w:b/>
          <w:bCs/>
          <w:color w:val="000000"/>
          <w:sz w:val="26"/>
          <w:szCs w:val="26"/>
        </w:rPr>
        <w:t>3.0 Task 2: Managing a Multigenerational Workforce</w:t>
      </w:r>
      <w:bookmarkEnd w:id="12"/>
    </w:p>
    <w:p w:rsidR="00F96C54" w:rsidRDefault="00412713" w14:paraId="6B5A9ACF" w14:textId="77777777">
      <w:pPr>
        <w:pStyle w:val="Heading2"/>
        <w:spacing w:before="200" w:after="120" w:line="360" w:lineRule="auto"/>
        <w:rPr>
          <w:rFonts w:ascii="Arial" w:hAnsi="Arial" w:cs="Arial"/>
        </w:rPr>
      </w:pPr>
      <w:bookmarkStart w:name="_Toc234913005" w:id="13"/>
      <w:r>
        <w:rPr>
          <w:rFonts w:ascii="Arial" w:hAnsi="Arial" w:eastAsia="Arial" w:cs="Arial"/>
          <w:b/>
          <w:bCs/>
          <w:color w:val="000000"/>
          <w:sz w:val="24"/>
          <w:szCs w:val="24"/>
        </w:rPr>
        <w:t>3.1 Generational Cohorts in the Workplace</w:t>
      </w:r>
      <w:bookmarkEnd w:id="13"/>
    </w:p>
    <w:p w:rsidR="00F96C54" w:rsidRDefault="00412713" w14:paraId="72AEE4DB" w14:textId="3F7FF262">
      <w:pPr>
        <w:spacing w:after="200" w:line="360" w:lineRule="auto"/>
        <w:jc w:val="both"/>
        <w:rPr>
          <w:rFonts w:ascii="Arial" w:hAnsi="Arial" w:cs="Arial"/>
        </w:rPr>
      </w:pPr>
      <w:r w:rsidRPr="4DA38723" w:rsidR="00412713">
        <w:rPr>
          <w:rFonts w:ascii="Arial" w:hAnsi="Arial" w:eastAsia="Arial" w:cs="Arial"/>
          <w:sz w:val="22"/>
          <w:szCs w:val="22"/>
        </w:rPr>
        <w:t xml:space="preserve">More modern adjustments incorporate several generations working together that have been molded by distinctive economic, </w:t>
      </w:r>
      <w:r w:rsidRPr="4DA38723" w:rsidR="00412713">
        <w:rPr>
          <w:rFonts w:ascii="Arial" w:hAnsi="Arial" w:eastAsia="Arial" w:cs="Arial"/>
          <w:sz w:val="22"/>
          <w:szCs w:val="22"/>
        </w:rPr>
        <w:t>social</w:t>
      </w:r>
      <w:r w:rsidRPr="4DA38723" w:rsidR="00412713">
        <w:rPr>
          <w:rFonts w:ascii="Arial" w:hAnsi="Arial" w:eastAsia="Arial" w:cs="Arial"/>
          <w:sz w:val="22"/>
          <w:szCs w:val="22"/>
        </w:rPr>
        <w:t xml:space="preserve"> and technological experiences. Born between 1965 and 1981, the Gen-Xers are a generation that grew up in the era of economic recession and </w:t>
      </w:r>
      <w:r w:rsidRPr="4DA38723" w:rsidR="00412713">
        <w:rPr>
          <w:rFonts w:ascii="Arial" w:hAnsi="Arial" w:eastAsia="Arial" w:cs="Arial"/>
          <w:sz w:val="22"/>
          <w:szCs w:val="22"/>
        </w:rPr>
        <w:t>consequently</w:t>
      </w:r>
      <w:r w:rsidRPr="4DA38723" w:rsidR="00412713">
        <w:rPr>
          <w:rFonts w:ascii="Arial" w:hAnsi="Arial" w:eastAsia="Arial" w:cs="Arial"/>
          <w:sz w:val="22"/>
          <w:szCs w:val="22"/>
        </w:rPr>
        <w:t xml:space="preserve"> </w:t>
      </w:r>
      <w:r w:rsidRPr="4DA38723" w:rsidR="00412713">
        <w:rPr>
          <w:rFonts w:ascii="Arial" w:hAnsi="Arial" w:eastAsia="Arial" w:cs="Arial"/>
          <w:sz w:val="22"/>
          <w:szCs w:val="22"/>
        </w:rPr>
        <w:t>more divorced</w:t>
      </w:r>
      <w:r w:rsidRPr="4DA38723" w:rsidR="00412713">
        <w:rPr>
          <w:rFonts w:ascii="Arial" w:hAnsi="Arial" w:eastAsia="Arial" w:cs="Arial"/>
          <w:sz w:val="22"/>
          <w:szCs w:val="22"/>
        </w:rPr>
        <w:t xml:space="preserve"> which gave rise to traits of independence, </w:t>
      </w:r>
      <w:r w:rsidRPr="4DA38723" w:rsidR="00412713">
        <w:rPr>
          <w:rFonts w:ascii="Arial" w:hAnsi="Arial" w:eastAsia="Arial" w:cs="Arial"/>
          <w:sz w:val="22"/>
          <w:szCs w:val="22"/>
        </w:rPr>
        <w:t>self-reliance</w:t>
      </w:r>
      <w:r w:rsidRPr="4DA38723" w:rsidR="00412713">
        <w:rPr>
          <w:rFonts w:ascii="Arial" w:hAnsi="Arial" w:eastAsia="Arial" w:cs="Arial"/>
          <w:sz w:val="22"/>
          <w:szCs w:val="22"/>
        </w:rPr>
        <w:t xml:space="preserve"> and </w:t>
      </w:r>
      <w:r w:rsidRPr="4DA38723" w:rsidR="00412713">
        <w:rPr>
          <w:rFonts w:ascii="Arial" w:hAnsi="Arial" w:eastAsia="Arial" w:cs="Arial"/>
          <w:sz w:val="22"/>
          <w:szCs w:val="22"/>
        </w:rPr>
        <w:t>scepticism</w:t>
      </w:r>
      <w:r w:rsidRPr="4DA38723" w:rsidR="00412713">
        <w:rPr>
          <w:rFonts w:ascii="Arial" w:hAnsi="Arial" w:eastAsia="Arial" w:cs="Arial"/>
          <w:sz w:val="22"/>
          <w:szCs w:val="22"/>
        </w:rPr>
        <w:t xml:space="preserve">. They are more avid on autonomy, job </w:t>
      </w:r>
      <w:r w:rsidRPr="4DA38723" w:rsidR="00412713">
        <w:rPr>
          <w:rFonts w:ascii="Arial" w:hAnsi="Arial" w:eastAsia="Arial" w:cs="Arial"/>
          <w:sz w:val="22"/>
          <w:szCs w:val="22"/>
        </w:rPr>
        <w:t>security</w:t>
      </w:r>
      <w:r w:rsidRPr="4DA38723" w:rsidR="00412713">
        <w:rPr>
          <w:rFonts w:ascii="Arial" w:hAnsi="Arial" w:eastAsia="Arial" w:cs="Arial"/>
          <w:sz w:val="22"/>
          <w:szCs w:val="22"/>
        </w:rPr>
        <w:t xml:space="preserve"> and feeling confident in </w:t>
      </w:r>
      <w:r w:rsidRPr="4DA38723" w:rsidR="00412713">
        <w:rPr>
          <w:rFonts w:ascii="Arial" w:hAnsi="Arial" w:eastAsia="Arial" w:cs="Arial"/>
          <w:sz w:val="22"/>
          <w:szCs w:val="22"/>
        </w:rPr>
        <w:t>organisation</w:t>
      </w:r>
      <w:r w:rsidRPr="4DA38723" w:rsidR="00412713">
        <w:rPr>
          <w:rFonts w:ascii="Arial" w:hAnsi="Arial" w:eastAsia="Arial" w:cs="Arial"/>
          <w:sz w:val="22"/>
          <w:szCs w:val="22"/>
        </w:rPr>
        <w:t xml:space="preserve"> management (Mahmoud et al. 2021, </w:t>
      </w:r>
      <w:r w:rsidRPr="4DA38723" w:rsidR="00412713">
        <w:rPr>
          <w:rFonts w:ascii="Arial" w:hAnsi="Arial" w:eastAsia="Arial" w:cs="Arial"/>
          <w:sz w:val="22"/>
          <w:szCs w:val="22"/>
        </w:rPr>
        <w:t>Krajac</w:t>
      </w:r>
      <w:r w:rsidRPr="4DA38723" w:rsidR="00412713">
        <w:rPr>
          <w:rFonts w:ascii="Arial" w:hAnsi="Arial" w:eastAsia="Arial" w:cs="Arial"/>
          <w:sz w:val="22"/>
          <w:szCs w:val="22"/>
        </w:rPr>
        <w:t xml:space="preserve"> and Samardzija, 2024). </w:t>
      </w:r>
      <w:r w:rsidRPr="4DA38723" w:rsidR="00412713">
        <w:rPr>
          <w:rFonts w:ascii="Arial" w:hAnsi="Arial" w:eastAsia="Arial" w:cs="Arial"/>
          <w:sz w:val="22"/>
          <w:szCs w:val="22"/>
        </w:rPr>
        <w:t xml:space="preserve">Born between around 1982 and 1999, generation Y or ‘Millennials' have matured in an era of rapid technological growth, </w:t>
      </w:r>
      <w:r w:rsidRPr="4DA38723" w:rsidR="196F0900">
        <w:rPr>
          <w:rFonts w:ascii="Arial" w:hAnsi="Arial" w:eastAsia="Arial" w:cs="Arial"/>
          <w:sz w:val="22"/>
          <w:szCs w:val="22"/>
        </w:rPr>
        <w:t>globalization</w:t>
      </w:r>
      <w:r w:rsidRPr="4DA38723" w:rsidR="00412713">
        <w:rPr>
          <w:rFonts w:ascii="Arial" w:hAnsi="Arial" w:eastAsia="Arial" w:cs="Arial"/>
          <w:sz w:val="22"/>
          <w:szCs w:val="22"/>
        </w:rPr>
        <w:t xml:space="preserve"> and the emergence of the internet, with a high level of confidence, connectedness and social consciousness in their character that encompasses a strong values of collaboration rather than competition, transparency, a strong sense of purpose and an appreciation of work-life balance (Taylor and Keeter, 2010). These are Gen Z who have emerged from the era of economic uncertainty,</w:t>
      </w:r>
      <w:r w:rsidRPr="4DA38723" w:rsidR="00412713">
        <w:rPr>
          <w:rFonts w:ascii="Arial" w:hAnsi="Arial" w:eastAsia="Arial" w:cs="Arial"/>
          <w:sz w:val="22"/>
          <w:szCs w:val="22"/>
        </w:rPr>
        <w:t xml:space="preserve"> financial crises and constant social media use, where financial security is an important trait, mental health is a crucial concern and authentic and real-time communication is valued, and who have some emerging future fears, with concerns of more anxiety than previous generations (Seemiller and Grace, 2019).</w:t>
      </w:r>
    </w:p>
    <w:p w:rsidR="00F96C54" w:rsidRDefault="00412713" w14:paraId="3EFA8EB2" w14:textId="77777777">
      <w:pPr>
        <w:pStyle w:val="Heading2"/>
        <w:spacing w:before="200" w:after="120" w:line="360" w:lineRule="auto"/>
        <w:rPr>
          <w:rFonts w:ascii="Arial" w:hAnsi="Arial" w:cs="Arial"/>
        </w:rPr>
      </w:pPr>
      <w:bookmarkStart w:name="_Toc234913006" w:id="14"/>
      <w:r>
        <w:rPr>
          <w:rFonts w:ascii="Arial" w:hAnsi="Arial" w:eastAsia="Arial" w:cs="Arial"/>
          <w:b/>
          <w:bCs/>
          <w:color w:val="000000"/>
          <w:sz w:val="24"/>
          <w:szCs w:val="24"/>
        </w:rPr>
        <w:t>3.2 Communication Styles, Motivation and Technological Adaptability</w:t>
      </w:r>
      <w:bookmarkEnd w:id="14"/>
    </w:p>
    <w:p w:rsidR="00F96C54" w:rsidRDefault="00412713" w14:paraId="78DE3BF7" w14:textId="77777777">
      <w:pPr>
        <w:pStyle w:val="NormalWeb"/>
        <w:rPr>
          <w:rFonts w:ascii="Arial" w:hAnsi="Arial" w:cs="Arial"/>
        </w:rPr>
      </w:pPr>
      <w:r>
        <w:rPr>
          <w:rFonts w:ascii="Arial" w:hAnsi="Arial" w:eastAsia="Geist Fallback" w:cs="Arial"/>
          <w:sz w:val="22"/>
          <w:szCs w:val="22"/>
        </w:rPr>
        <w:t xml:space="preserve">The generational differences affect the way people communicate, their motivation and their dependence upon technology. Generation X has a preference for direct feedback, are more interested in job security and autonomy, while Generation Y wants collaborative feedback and development opportunities. Generation Z is technologically savvy, values lifestyle wellness and is more adept to new technologies, suggesting that management strategies overnight should be flexible (Mahmoud et al., 2021). </w:t>
      </w:r>
    </w:p>
    <w:p w:rsidR="00F96C54" w:rsidRDefault="00412713" w14:paraId="3A4D49CD" w14:textId="77777777">
      <w:pPr>
        <w:pStyle w:val="Heading2"/>
        <w:spacing w:before="200" w:after="120" w:line="360" w:lineRule="auto"/>
        <w:rPr>
          <w:rFonts w:ascii="Arial" w:hAnsi="Arial" w:cs="Arial"/>
        </w:rPr>
      </w:pPr>
      <w:bookmarkStart w:name="_Toc234913007" w:id="15"/>
      <w:r>
        <w:rPr>
          <w:rFonts w:ascii="Arial" w:hAnsi="Arial" w:eastAsia="Arial" w:cs="Arial"/>
          <w:b/>
          <w:bCs/>
          <w:color w:val="000000"/>
          <w:sz w:val="24"/>
          <w:szCs w:val="24"/>
        </w:rPr>
        <w:t>3.3 Impact on Organisational Effectiveness</w:t>
      </w:r>
      <w:bookmarkEnd w:id="15"/>
    </w:p>
    <w:p w:rsidR="00F96C54" w:rsidRDefault="00412713" w14:paraId="10AEA1F3" w14:textId="77777777">
      <w:pPr>
        <w:spacing w:after="200" w:line="360" w:lineRule="auto"/>
        <w:jc w:val="both"/>
        <w:rPr>
          <w:rFonts w:ascii="Arial" w:hAnsi="Arial" w:cs="Arial"/>
        </w:rPr>
      </w:pPr>
      <w:r>
        <w:rPr>
          <w:rFonts w:ascii="Arial" w:hAnsi="Arial" w:eastAsia="Arial" w:cs="Arial"/>
          <w:sz w:val="22"/>
          <w:szCs w:val="22"/>
        </w:rPr>
        <w:t xml:space="preserve">When left unmanaged these differences, as psycho-social characteristics of generational preferences, are known to be workplace scenarios of conflict and misunderstanding. For instance, a Generation Z employee may expect to get feedback quickly and be interpreted by an older manager as 'impatience', and at the same time the manager might be equally as invested yet misinterpret the same behavior as a lack of commitment (Mahmoud et al., 2021). But well managed generational diversity could also be a source for </w:t>
      </w:r>
      <w:r>
        <w:rPr>
          <w:rFonts w:ascii="Arial" w:hAnsi="Arial" w:eastAsia="Arial" w:cs="Arial"/>
          <w:sz w:val="22"/>
          <w:szCs w:val="22"/>
        </w:rPr>
        <w:t>innovation: different ways of solving the same problem, including different approaches to digital literacy and how to communicate, can lead to more ideas and innovative solutions than a generationally homogeneous team. The organisational challenge is, then, to design structures that make best use of the strengths of each generation without unnecessarily producing conflict between staff members – for example, through flexible communication channels, recognition programs for rewards, and through the use of me</w:t>
      </w:r>
      <w:r>
        <w:rPr>
          <w:rFonts w:ascii="Arial" w:hAnsi="Arial" w:eastAsia="Arial" w:cs="Arial"/>
          <w:sz w:val="22"/>
          <w:szCs w:val="22"/>
        </w:rPr>
        <w:t>ntoring programs that comprise more than one generation of staff.</w:t>
      </w:r>
    </w:p>
    <w:p w:rsidR="00F96C54" w:rsidRDefault="00412713" w14:paraId="54E8AD50" w14:textId="77777777">
      <w:pPr>
        <w:pStyle w:val="Heading2"/>
        <w:spacing w:before="200" w:after="120" w:line="360" w:lineRule="auto"/>
        <w:rPr>
          <w:rFonts w:ascii="Arial" w:hAnsi="Arial" w:cs="Arial"/>
        </w:rPr>
      </w:pPr>
      <w:bookmarkStart w:name="_Toc234913008" w:id="16"/>
      <w:r>
        <w:rPr>
          <w:rFonts w:ascii="Arial" w:hAnsi="Arial" w:eastAsia="Arial" w:cs="Arial"/>
          <w:b/>
          <w:bCs/>
          <w:color w:val="000000"/>
          <w:sz w:val="24"/>
          <w:szCs w:val="24"/>
        </w:rPr>
        <w:t>3.4 The Role of Emotional Intelligence and Mindfulness</w:t>
      </w:r>
      <w:bookmarkEnd w:id="16"/>
    </w:p>
    <w:p w:rsidR="00F96C54" w:rsidRDefault="00412713" w14:paraId="63BDCFCB" w14:textId="77777777">
      <w:pPr>
        <w:spacing w:after="200" w:line="360" w:lineRule="auto"/>
        <w:jc w:val="both"/>
        <w:rPr>
          <w:rFonts w:ascii="Arial" w:hAnsi="Arial" w:cs="Arial"/>
        </w:rPr>
      </w:pPr>
      <w:r>
        <w:rPr>
          <w:rFonts w:ascii="Arial" w:hAnsi="Arial" w:eastAsia="Arial" w:cs="Arial"/>
          <w:sz w:val="22"/>
          <w:szCs w:val="22"/>
        </w:rPr>
        <w:t>A set of practical tools for addressing this diversity constructively is available through EI and mindfulness, a feature that speaks directly to the SMT's interest in inclusive leadership across generations. Seniors with empathy and Goleman's social skills are able to identify when misunderstandings are due to generational preference and to alter their own style of communication instead of seeking out one singular communication style. Mindfulness practices, defined as being non-judgemental with the perspect</w:t>
      </w:r>
      <w:r>
        <w:rPr>
          <w:rFonts w:ascii="Arial" w:hAnsi="Arial" w:eastAsia="Arial" w:cs="Arial"/>
          <w:sz w:val="22"/>
          <w:szCs w:val="22"/>
        </w:rPr>
        <w:t>ive of being in the present without reacting, support this further, enabling leaders to manage their own assumptions and biases about younger or older colleagues before reacting impulsively, and fostering the psychological safety and trust needed for inclusive leadership (Park et al., 2025).</w:t>
      </w:r>
    </w:p>
    <w:p w:rsidR="00F96C54" w:rsidRDefault="00412713" w14:paraId="2CB013EE" w14:textId="77777777">
      <w:pPr>
        <w:spacing w:after="200" w:line="360" w:lineRule="auto"/>
        <w:jc w:val="both"/>
        <w:rPr>
          <w:rFonts w:ascii="Arial" w:hAnsi="Arial" w:cs="Arial"/>
        </w:rPr>
      </w:pPr>
      <w:r>
        <w:rPr>
          <w:rFonts w:ascii="Arial" w:hAnsi="Arial" w:eastAsia="Arial" w:cs="Arial"/>
          <w:sz w:val="22"/>
          <w:szCs w:val="22"/>
        </w:rPr>
        <w:t>When an environment of psychological safety is present, people of all generations feel free to speak up and share their suggestions or concerns without fear of being dismissed or ridiculed by colleagues, which is tied to improved outcomes in engagement, well-being and subjective career success (Edmondson, 1999; Park et al., 2025).</w:t>
      </w:r>
    </w:p>
    <w:p w:rsidR="00F96C54" w:rsidRDefault="00412713" w14:paraId="7A95385F" w14:textId="428C7530">
      <w:pPr>
        <w:spacing w:after="200" w:line="360" w:lineRule="auto"/>
        <w:jc w:val="both"/>
        <w:rPr>
          <w:rFonts w:ascii="Arial" w:hAnsi="Arial" w:cs="Arial"/>
        </w:rPr>
      </w:pPr>
      <w:r w:rsidRPr="4DA38723" w:rsidR="00412713">
        <w:rPr>
          <w:rFonts w:ascii="Arial" w:hAnsi="Arial" w:eastAsia="Arial" w:cs="Arial"/>
          <w:sz w:val="22"/>
          <w:szCs w:val="22"/>
        </w:rPr>
        <w:t xml:space="preserve">There is, however, both a positive and a negative side to this. EI can </w:t>
      </w:r>
      <w:r w:rsidRPr="4DA38723" w:rsidR="00412713">
        <w:rPr>
          <w:rFonts w:ascii="Arial" w:hAnsi="Arial" w:eastAsia="Arial" w:cs="Arial"/>
          <w:sz w:val="22"/>
          <w:szCs w:val="22"/>
        </w:rPr>
        <w:t>help to</w:t>
      </w:r>
      <w:r w:rsidRPr="4DA38723" w:rsidR="00412713">
        <w:rPr>
          <w:rFonts w:ascii="Arial" w:hAnsi="Arial" w:eastAsia="Arial" w:cs="Arial"/>
          <w:sz w:val="22"/>
          <w:szCs w:val="22"/>
        </w:rPr>
        <w:t xml:space="preserve"> bridge generational misunderstandings, but without </w:t>
      </w:r>
      <w:r w:rsidRPr="4DA38723" w:rsidR="00412713">
        <w:rPr>
          <w:rFonts w:ascii="Arial" w:hAnsi="Arial" w:eastAsia="Arial" w:cs="Arial"/>
          <w:sz w:val="22"/>
          <w:szCs w:val="22"/>
        </w:rPr>
        <w:t>appropriate</w:t>
      </w:r>
      <w:r w:rsidRPr="4DA38723" w:rsidR="00412713">
        <w:rPr>
          <w:rFonts w:ascii="Arial" w:hAnsi="Arial" w:eastAsia="Arial" w:cs="Arial"/>
          <w:sz w:val="22"/>
          <w:szCs w:val="22"/>
        </w:rPr>
        <w:t xml:space="preserve"> and </w:t>
      </w:r>
      <w:r w:rsidRPr="4DA38723" w:rsidR="5CFE8AD5">
        <w:rPr>
          <w:rFonts w:ascii="Arial" w:hAnsi="Arial" w:eastAsia="Arial" w:cs="Arial"/>
          <w:sz w:val="22"/>
          <w:szCs w:val="22"/>
        </w:rPr>
        <w:t>standardized</w:t>
      </w:r>
      <w:r w:rsidRPr="4DA38723" w:rsidR="00412713">
        <w:rPr>
          <w:rFonts w:ascii="Arial" w:hAnsi="Arial" w:eastAsia="Arial" w:cs="Arial"/>
          <w:sz w:val="22"/>
          <w:szCs w:val="22"/>
        </w:rPr>
        <w:t xml:space="preserve"> policy and training, it can instead result in inconsistent responses across different teams. Incorporating mindfulness training into the formal development of EI therefore provides the SMT with a more stable course toward </w:t>
      </w:r>
      <w:r w:rsidRPr="4DA38723" w:rsidR="00412713">
        <w:rPr>
          <w:rFonts w:ascii="Arial" w:hAnsi="Arial" w:eastAsia="Arial" w:cs="Arial"/>
          <w:sz w:val="22"/>
          <w:szCs w:val="22"/>
        </w:rPr>
        <w:t>establishing</w:t>
      </w:r>
      <w:r w:rsidRPr="4DA38723" w:rsidR="00412713">
        <w:rPr>
          <w:rFonts w:ascii="Arial" w:hAnsi="Arial" w:eastAsia="Arial" w:cs="Arial"/>
          <w:sz w:val="22"/>
          <w:szCs w:val="22"/>
        </w:rPr>
        <w:t xml:space="preserve"> a culturally inclusive, psychologically safe environment that bridges generational divides.</w:t>
      </w:r>
    </w:p>
    <w:p w:rsidR="00F96C54" w:rsidRDefault="00412713" w14:paraId="7DE1EBD6" w14:textId="77777777">
      <w:pPr>
        <w:pStyle w:val="Heading2"/>
        <w:spacing w:before="200" w:after="120" w:line="360" w:lineRule="auto"/>
        <w:rPr>
          <w:rFonts w:ascii="Arial" w:hAnsi="Arial" w:cs="Arial"/>
        </w:rPr>
      </w:pPr>
      <w:bookmarkStart w:name="_Toc234913009" w:id="17"/>
      <w:r>
        <w:rPr>
          <w:rFonts w:ascii="Arial" w:hAnsi="Arial" w:eastAsia="Arial" w:cs="Arial"/>
          <w:b/>
          <w:bCs/>
          <w:color w:val="000000"/>
          <w:sz w:val="24"/>
          <w:szCs w:val="24"/>
        </w:rPr>
        <w:t>3.5 Implications for Recruitment, Management and Retention</w:t>
      </w:r>
      <w:bookmarkEnd w:id="17"/>
    </w:p>
    <w:p w:rsidR="00F96C54" w:rsidRDefault="00412713" w14:paraId="7DDF2B01" w14:textId="77777777">
      <w:pPr>
        <w:spacing w:after="200" w:line="360" w:lineRule="auto"/>
        <w:jc w:val="both"/>
        <w:rPr>
          <w:rFonts w:ascii="Arial" w:hAnsi="Arial" w:cs="Arial"/>
        </w:rPr>
      </w:pPr>
      <w:r>
        <w:rPr>
          <w:rFonts w:ascii="Arial" w:hAnsi="Arial" w:eastAsia="Arial" w:cs="Arial"/>
          <w:sz w:val="22"/>
          <w:szCs w:val="22"/>
        </w:rPr>
        <w:t>The SMT's interest in future recruitment strategy is supported by the skills they look for related to EI competencies that can be assessed as part of the candidate requirements in the recruitment process, both for those who fit within the EI generation as well as those with different generations. For day-to-day management, flexible communications formats, multiple ways of rewarding and recognising work based on generational preference, and the addition of structured mentoring with opportunities enabling gen</w:t>
      </w:r>
      <w:r>
        <w:rPr>
          <w:rFonts w:ascii="Arial" w:hAnsi="Arial" w:eastAsia="Arial" w:cs="Arial"/>
          <w:sz w:val="22"/>
          <w:szCs w:val="22"/>
        </w:rPr>
        <w:t>erations to connect will boost engagement and minimise the need for expensive employee turnover (CPS HR Consulting, 2025). Transparent career growth and development opportunities are likely to be very important to Generation Y for retention, while visibility of mental health and people's well-being will be critical to attract and retain Gen Z talent, and value of experience, autonomy and trust will be paramount to hold on to Gen X talent. An emotionally intelligent, mindful leadership approach has the adapt</w:t>
      </w:r>
      <w:r>
        <w:rPr>
          <w:rFonts w:ascii="Arial" w:hAnsi="Arial" w:eastAsia="Arial" w:cs="Arial"/>
          <w:sz w:val="22"/>
          <w:szCs w:val="22"/>
        </w:rPr>
        <w:t>ive flexibility to use these differentiated strategies consistently, instead of one-size-fits-all leadership approaches to managing workers. For example, the SMT could implement a pilot where a Generation Z employee is coupled with a Generation X employee to effectively cross teach the organisation about digital fluency and then observe how successful this was to improve engagement and retention programmes across the organisation; this would be considered a low cost approach because it would require no extr</w:t>
      </w:r>
      <w:r>
        <w:rPr>
          <w:rFonts w:ascii="Arial" w:hAnsi="Arial" w:eastAsia="Arial" w:cs="Arial"/>
          <w:sz w:val="22"/>
          <w:szCs w:val="22"/>
        </w:rPr>
        <w:t>a funding.</w:t>
      </w:r>
    </w:p>
    <w:p w:rsidR="00F96C54" w:rsidRDefault="00412713" w14:paraId="4FA1AD07" w14:textId="77777777">
      <w:pPr>
        <w:pStyle w:val="Heading2"/>
        <w:spacing w:before="200" w:after="120" w:line="360" w:lineRule="auto"/>
        <w:rPr>
          <w:rFonts w:ascii="Arial" w:hAnsi="Arial" w:cs="Arial"/>
        </w:rPr>
      </w:pPr>
      <w:bookmarkStart w:name="_Toc234913010" w:id="18"/>
      <w:r>
        <w:rPr>
          <w:rFonts w:ascii="Arial" w:hAnsi="Arial" w:eastAsia="Arial" w:cs="Arial"/>
          <w:b/>
          <w:bCs/>
          <w:color w:val="000000"/>
          <w:sz w:val="24"/>
          <w:szCs w:val="24"/>
        </w:rPr>
        <w:t>3.6 Critical Considerations</w:t>
      </w:r>
      <w:bookmarkEnd w:id="18"/>
    </w:p>
    <w:p w:rsidR="00F96C54" w:rsidRDefault="00412713" w14:paraId="4A9B350A" w14:textId="77777777">
      <w:pPr>
        <w:spacing w:after="200" w:line="360" w:lineRule="auto"/>
        <w:jc w:val="both"/>
        <w:rPr>
          <w:rFonts w:ascii="Arial" w:hAnsi="Arial" w:cs="Arial"/>
        </w:rPr>
      </w:pPr>
      <w:r>
        <w:rPr>
          <w:rFonts w:ascii="Arial" w:hAnsi="Arial" w:eastAsia="Arial" w:cs="Arial"/>
          <w:sz w:val="22"/>
          <w:szCs w:val="22"/>
        </w:rPr>
        <w:t>The generational approach used above needs to be considered proleptically. Generational labels are very much general averages and some of the variability within any one generation is just as high as that across generations; aiming at the stereotyping of Gen X, Y and Z as homogenous groups may lead to expecting too much and perpetuated stereotypes (Mahmoud et al., 2021). The empirical facts and findings that support generational workforce research, for example, Mahmoud et al. (2021), come from North America,</w:t>
      </w:r>
      <w:r>
        <w:rPr>
          <w:rFonts w:ascii="Arial" w:hAnsi="Arial" w:eastAsia="Arial" w:cs="Arial"/>
          <w:sz w:val="22"/>
          <w:szCs w:val="22"/>
        </w:rPr>
        <w:t xml:space="preserve"> and may not be readily identifiable elsewhere in organisations modes shaped by different cultural and economic contexts. It is therefore best that Generational frameworks are employed as a tool for the SMT to start an empathetic enquiring process and not as a replacement for actually knowing the individual employees.</w:t>
      </w:r>
    </w:p>
    <w:p w:rsidR="00F96C54" w:rsidRDefault="00412713" w14:paraId="58517D56" w14:textId="77777777">
      <w:pPr>
        <w:pStyle w:val="Heading1"/>
        <w:spacing w:before="300" w:after="150" w:line="360" w:lineRule="auto"/>
        <w:rPr>
          <w:rFonts w:ascii="Arial" w:hAnsi="Arial" w:cs="Arial"/>
        </w:rPr>
      </w:pPr>
      <w:bookmarkStart w:name="_Toc234913011" w:id="19"/>
      <w:r>
        <w:rPr>
          <w:rFonts w:ascii="Arial" w:hAnsi="Arial" w:eastAsia="Arial" w:cs="Arial"/>
          <w:b/>
          <w:bCs/>
          <w:color w:val="000000"/>
          <w:sz w:val="26"/>
          <w:szCs w:val="26"/>
        </w:rPr>
        <w:t>4.0 Conclusion and Recommendations</w:t>
      </w:r>
      <w:bookmarkEnd w:id="19"/>
    </w:p>
    <w:p w:rsidR="00F96C54" w:rsidRDefault="00412713" w14:paraId="1718C0EB" w14:textId="77777777">
      <w:pPr>
        <w:spacing w:after="200" w:line="360" w:lineRule="auto"/>
        <w:jc w:val="both"/>
        <w:rPr>
          <w:rFonts w:ascii="Arial" w:hAnsi="Arial" w:eastAsia="SimSun" w:cs="Arial"/>
          <w:sz w:val="24"/>
          <w:szCs w:val="24"/>
        </w:rPr>
      </w:pPr>
      <w:r>
        <w:rPr>
          <w:rFonts w:ascii="Arial" w:hAnsi="Arial" w:eastAsia="Geist Fallback" w:cs="Arial"/>
          <w:sz w:val="22"/>
          <w:szCs w:val="22"/>
        </w:rPr>
        <w:t>The three models of EI developed by Goleman, Mayer and Salovey, and Bar-On emphasize the role of communication, leadership, conflict management, and decision-making in successful management at work. But there are questions about the validity and reliability in the measurement of EI (Gerhardt et al., 2025) and the overlap with existing personality constructs. While these are some caveats, combining EI with mindfulness can contribute to psychological safety, inclusion and engagement within multigenerational t</w:t>
      </w:r>
      <w:r>
        <w:rPr>
          <w:rFonts w:ascii="Arial" w:hAnsi="Arial" w:eastAsia="Geist Fallback" w:cs="Arial"/>
          <w:sz w:val="22"/>
          <w:szCs w:val="22"/>
        </w:rPr>
        <w:t xml:space="preserve">eams. They recommend training managers in EI and mindfulness, identifying EI competencies for leadership selections, piloting cross-generational mentoring, implementing flexible communication practices for management/engagement, and conducting quarterly pulse surveys to track engagement and risks to retention and leadership. </w:t>
      </w:r>
    </w:p>
    <w:p w:rsidR="00F96C54" w:rsidRDefault="00412713" w14:paraId="41F81CF8" w14:textId="77777777">
      <w:pPr>
        <w:spacing w:after="200" w:line="360" w:lineRule="auto"/>
        <w:jc w:val="both"/>
        <w:rPr>
          <w:rFonts w:ascii="Arial" w:hAnsi="Arial" w:eastAsia="SimSun" w:cs="Arial"/>
          <w:b/>
          <w:bCs/>
          <w:sz w:val="24"/>
          <w:szCs w:val="24"/>
        </w:rPr>
      </w:pPr>
      <w:r>
        <w:rPr>
          <w:rFonts w:ascii="Arial" w:hAnsi="Arial" w:eastAsia="SimSun" w:cs="Arial"/>
          <w:b/>
          <w:bCs/>
          <w:sz w:val="24"/>
          <w:szCs w:val="24"/>
        </w:rPr>
        <w:t>Reflection</w:t>
      </w:r>
    </w:p>
    <w:p w:rsidR="00F96C54" w:rsidRDefault="00412713" w14:paraId="5637272C" w14:textId="77777777">
      <w:pPr>
        <w:spacing w:after="200" w:line="360" w:lineRule="auto"/>
        <w:jc w:val="both"/>
        <w:rPr>
          <w:rFonts w:ascii="Arial" w:hAnsi="Arial" w:eastAsia="Geist Fallback" w:cs="Arial"/>
          <w:sz w:val="22"/>
          <w:szCs w:val="22"/>
        </w:rPr>
      </w:pPr>
      <w:r>
        <w:rPr>
          <w:rFonts w:ascii="Arial" w:hAnsi="Arial" w:eastAsia="Geist Fallback" w:cs="Arial"/>
          <w:sz w:val="22"/>
          <w:szCs w:val="22"/>
        </w:rPr>
        <w:t xml:space="preserve">This </w:t>
      </w:r>
      <w:r>
        <w:rPr>
          <w:rFonts w:ascii="Arial" w:hAnsi="Arial" w:eastAsia="Geist Fallback" w:cs="Arial"/>
          <w:sz w:val="22"/>
          <w:szCs w:val="22"/>
        </w:rPr>
        <w:t>task</w:t>
      </w:r>
      <w:r>
        <w:rPr>
          <w:rFonts w:ascii="Arial" w:hAnsi="Arial" w:eastAsia="Geist Fallback" w:cs="Arial"/>
          <w:sz w:val="22"/>
          <w:szCs w:val="22"/>
        </w:rPr>
        <w:t xml:space="preserve"> was a beneficial experience to increase awareness of the concepts of emotional intelligence, mindfulness and how these concepts contribute to effective leadership. I was taught to investigate theoretical models with a critical perspective and be aware of how they can be used in practice within the workplace. It also helped me build the capability to formulate evidence-based recommendations of communication, leadership and multigenerational workforce management in organisations.</w:t>
      </w:r>
    </w:p>
    <w:p w:rsidR="00F96C54" w:rsidRDefault="00412713" w14:paraId="33E93630" w14:textId="77777777">
      <w:pPr>
        <w:pStyle w:val="Heading1"/>
        <w:spacing w:before="300" w:after="150" w:line="360" w:lineRule="auto"/>
        <w:rPr>
          <w:rFonts w:ascii="Arial" w:hAnsi="Arial" w:cs="Arial"/>
        </w:rPr>
      </w:pPr>
      <w:bookmarkStart w:name="_Toc234913012" w:id="20"/>
      <w:r>
        <w:rPr>
          <w:rFonts w:ascii="Arial" w:hAnsi="Arial" w:eastAsia="Arial" w:cs="Arial"/>
          <w:b/>
          <w:bCs/>
          <w:color w:val="000000"/>
          <w:sz w:val="26"/>
          <w:szCs w:val="26"/>
        </w:rPr>
        <w:t>Reference List</w:t>
      </w:r>
      <w:bookmarkEnd w:id="20"/>
    </w:p>
    <w:p w:rsidR="00F96C54" w:rsidRDefault="00412713" w14:paraId="22DEAE9D" w14:textId="77777777">
      <w:pPr>
        <w:spacing w:after="160" w:line="360" w:lineRule="auto"/>
        <w:ind w:left="720" w:hanging="720"/>
        <w:rPr>
          <w:rFonts w:ascii="Arial" w:hAnsi="Arial" w:cs="Arial"/>
        </w:rPr>
      </w:pPr>
      <w:r>
        <w:rPr>
          <w:rFonts w:ascii="Arial" w:hAnsi="Arial" w:eastAsia="Arial" w:cs="Arial"/>
          <w:sz w:val="22"/>
          <w:szCs w:val="22"/>
        </w:rPr>
        <w:t>Ashkanasy, N.M. and Daus, C.S. (2002) 'Emotion in the workplace: The new challenge for managers', Academy of Management Executive, 16(1), pp. 76-86.</w:t>
      </w:r>
    </w:p>
    <w:p w:rsidR="00F96C54" w:rsidRDefault="00412713" w14:paraId="1A8A714B" w14:textId="77777777">
      <w:pPr>
        <w:spacing w:after="160" w:line="360" w:lineRule="auto"/>
        <w:ind w:left="720" w:hanging="720"/>
        <w:rPr>
          <w:rFonts w:ascii="Arial" w:hAnsi="Arial" w:cs="Arial"/>
        </w:rPr>
      </w:pPr>
      <w:r>
        <w:rPr>
          <w:rFonts w:ascii="Arial" w:hAnsi="Arial" w:eastAsia="Arial" w:cs="Arial"/>
          <w:sz w:val="22"/>
          <w:szCs w:val="22"/>
        </w:rPr>
        <w:t>Bar-On, R. (2006) 'The Bar-On model of emotional-social intelligence (ESI)', Psicothema, 18(Suppl.), pp. 13-25.</w:t>
      </w:r>
    </w:p>
    <w:p w:rsidR="00F96C54" w:rsidRDefault="00412713" w14:paraId="78F3799D" w14:textId="77777777">
      <w:pPr>
        <w:spacing w:after="160" w:line="360" w:lineRule="auto"/>
        <w:ind w:left="720" w:hanging="720"/>
        <w:rPr>
          <w:rFonts w:ascii="Arial" w:hAnsi="Arial" w:cs="Arial"/>
        </w:rPr>
      </w:pPr>
      <w:r>
        <w:rPr>
          <w:rFonts w:ascii="Arial" w:hAnsi="Arial" w:eastAsia="Arial" w:cs="Arial"/>
          <w:sz w:val="22"/>
          <w:szCs w:val="22"/>
        </w:rPr>
        <w:t>CPS HR Consulting (2025) Managing Generational Differences in the Workplace.</w:t>
      </w:r>
    </w:p>
    <w:p w:rsidR="00F96C54" w:rsidRDefault="00412713" w14:paraId="192E4818" w14:textId="77777777">
      <w:pPr>
        <w:spacing w:after="160" w:line="360" w:lineRule="auto"/>
        <w:ind w:left="720" w:hanging="720"/>
        <w:rPr>
          <w:rFonts w:ascii="Arial" w:hAnsi="Arial" w:cs="Arial"/>
        </w:rPr>
      </w:pPr>
      <w:r>
        <w:rPr>
          <w:rFonts w:ascii="Arial" w:hAnsi="Arial" w:eastAsia="Arial" w:cs="Arial"/>
          <w:sz w:val="22"/>
          <w:szCs w:val="22"/>
        </w:rPr>
        <w:t>Edmondson, A.C. (1999) 'Psychological safety and learning behavior in work teams', Administrative Science Quarterly, 44(2), pp. 350-383.</w:t>
      </w:r>
    </w:p>
    <w:p w:rsidR="00F96C54" w:rsidRDefault="00412713" w14:paraId="2840D5A6" w14:textId="77777777">
      <w:pPr>
        <w:spacing w:after="160" w:line="360" w:lineRule="auto"/>
        <w:ind w:left="720" w:hanging="720"/>
        <w:rPr>
          <w:rFonts w:ascii="Arial" w:hAnsi="Arial" w:cs="Arial"/>
        </w:rPr>
      </w:pPr>
      <w:r>
        <w:rPr>
          <w:rFonts w:ascii="Arial" w:hAnsi="Arial" w:eastAsia="Arial" w:cs="Arial"/>
          <w:sz w:val="22"/>
          <w:szCs w:val="22"/>
        </w:rPr>
        <w:t>Gerhardt, K., Bauwens, R. and van Woerkom, M. (2025) 'Emotional intelligence and leader outcomes: A comprehensive review and roadmap for future inquiry', Human Resource Development Review. Advance online publication.</w:t>
      </w:r>
    </w:p>
    <w:p w:rsidR="00F96C54" w:rsidRDefault="00412713" w14:paraId="3E9097E9" w14:textId="77777777">
      <w:pPr>
        <w:spacing w:after="160" w:line="360" w:lineRule="auto"/>
        <w:ind w:left="720" w:hanging="720"/>
        <w:rPr>
          <w:rFonts w:ascii="Arial" w:hAnsi="Arial" w:cs="Arial"/>
        </w:rPr>
      </w:pPr>
      <w:r>
        <w:rPr>
          <w:rFonts w:ascii="Arial" w:hAnsi="Arial" w:eastAsia="Arial" w:cs="Arial"/>
          <w:sz w:val="22"/>
          <w:szCs w:val="22"/>
        </w:rPr>
        <w:t>Goleman, D. (1998) Working with Emotional Intelligence. London: Bloomsbury.</w:t>
      </w:r>
    </w:p>
    <w:p w:rsidR="00F96C54" w:rsidRDefault="00412713" w14:paraId="0C4514B1" w14:textId="77777777">
      <w:pPr>
        <w:spacing w:after="160" w:line="360" w:lineRule="auto"/>
        <w:ind w:left="720" w:hanging="720"/>
        <w:rPr>
          <w:rFonts w:ascii="Arial" w:hAnsi="Arial" w:cs="Arial"/>
        </w:rPr>
      </w:pPr>
      <w:r>
        <w:rPr>
          <w:rFonts w:ascii="Arial" w:hAnsi="Arial" w:eastAsia="Arial" w:cs="Arial"/>
          <w:sz w:val="22"/>
          <w:szCs w:val="22"/>
        </w:rPr>
        <w:t>Jordan, P.J. and Troth, A.C. (2004) 'Managing emotions during team problem solving: Emotional intelligence and conflict resolution', Human Performance, 17(2), pp. 195-218.</w:t>
      </w:r>
    </w:p>
    <w:p w:rsidR="00F96C54" w:rsidRDefault="00412713" w14:paraId="18ED4EB9" w14:textId="77777777">
      <w:pPr>
        <w:spacing w:after="160" w:line="360" w:lineRule="auto"/>
        <w:ind w:left="720" w:hanging="720"/>
        <w:rPr>
          <w:rFonts w:ascii="Arial" w:hAnsi="Arial" w:cs="Arial"/>
        </w:rPr>
      </w:pPr>
      <w:r>
        <w:rPr>
          <w:rFonts w:ascii="Arial" w:hAnsi="Arial" w:eastAsia="Arial" w:cs="Arial"/>
          <w:sz w:val="22"/>
          <w:szCs w:val="22"/>
        </w:rPr>
        <w:t>Krajac, L. and Samardzija, J. (2024) 'Workplace motivation across X, Y, and Z generations: An organizational behavior perspective', in Proceedings of the 112th International Scientific Conference on Economic and Social Development, Varazdin, 4-5 June, pp. 550-558.</w:t>
      </w:r>
    </w:p>
    <w:p w:rsidR="00F96C54" w:rsidRDefault="00412713" w14:paraId="42D4B44D" w14:textId="77777777">
      <w:pPr>
        <w:spacing w:after="160" w:line="360" w:lineRule="auto"/>
        <w:ind w:left="720" w:hanging="720"/>
        <w:rPr>
          <w:rFonts w:ascii="Arial" w:hAnsi="Arial" w:cs="Arial"/>
        </w:rPr>
      </w:pPr>
      <w:r>
        <w:rPr>
          <w:rFonts w:ascii="Arial" w:hAnsi="Arial" w:eastAsia="Arial" w:cs="Arial"/>
          <w:sz w:val="22"/>
          <w:szCs w:val="22"/>
        </w:rPr>
        <w:t>Mahmoud, A.B., Fuxman, L., Mohr, I., Reisel, W.D. and Grigoriou, N. (2021) '"We aren't your reincarnation!" Workplace motivation across X, Y and Z generations', International Journal of Manpower, 42(1), pp. 193-209.</w:t>
      </w:r>
    </w:p>
    <w:p w:rsidR="00F96C54" w:rsidRDefault="00412713" w14:paraId="2170BD60" w14:textId="77777777">
      <w:pPr>
        <w:spacing w:after="160" w:line="360" w:lineRule="auto"/>
        <w:ind w:left="720" w:hanging="720"/>
        <w:rPr>
          <w:rFonts w:ascii="Arial" w:hAnsi="Arial" w:cs="Arial"/>
        </w:rPr>
      </w:pPr>
      <w:r>
        <w:rPr>
          <w:rFonts w:ascii="Arial" w:hAnsi="Arial" w:eastAsia="Arial" w:cs="Arial"/>
          <w:sz w:val="22"/>
          <w:szCs w:val="22"/>
        </w:rPr>
        <w:t>Mayer, J.D. and Salovey, P. (1997) 'What is emotional intelligence?', in Salovey, P. and Sluyter, D.J. (eds.) Emotional Development and Emotional Intelligence. New York: Basic Books, pp. 3-31.</w:t>
      </w:r>
    </w:p>
    <w:p w:rsidR="00F96C54" w:rsidRDefault="00412713" w14:paraId="3379250A" w14:textId="77777777">
      <w:pPr>
        <w:spacing w:after="160" w:line="360" w:lineRule="auto"/>
        <w:ind w:left="720" w:hanging="720"/>
        <w:rPr>
          <w:rFonts w:ascii="Arial" w:hAnsi="Arial" w:cs="Arial"/>
        </w:rPr>
      </w:pPr>
      <w:r>
        <w:rPr>
          <w:rFonts w:ascii="Arial" w:hAnsi="Arial" w:eastAsia="Arial" w:cs="Arial"/>
          <w:sz w:val="22"/>
          <w:szCs w:val="22"/>
        </w:rPr>
        <w:t>Mayer, J.D., Caruso, D.R. and Salovey, P. (2002) Mayer-Salovey-Caruso Emotional Intelligence Test (MSCEIT) User's Manual. Toronto: Multi-Health Systems.</w:t>
      </w:r>
    </w:p>
    <w:p w:rsidR="00F96C54" w:rsidRDefault="00412713" w14:paraId="3379250B" w14:textId="77777777">
      <w:pPr>
        <w:spacing w:after="160" w:line="360" w:lineRule="auto"/>
        <w:ind w:left="720" w:hanging="720"/>
        <w:rPr>
          <w:rFonts w:ascii="Arial" w:hAnsi="Arial" w:cs="Arial"/>
        </w:rPr>
      </w:pPr>
      <w:r>
        <w:rPr>
          <w:rFonts w:ascii="Arial" w:hAnsi="Arial" w:eastAsia="Arial" w:cs="Arial"/>
          <w:sz w:val="22"/>
          <w:szCs w:val="22"/>
        </w:rPr>
        <w:t>Mayer, J.D., Caruso, D.R. and Salovey, P. (2016) 'The ability model of emotional intelligence: Principles and updates', Emotion Review, 8(4), pp. 290-300.</w:t>
      </w:r>
    </w:p>
    <w:p w:rsidR="00F96C54" w:rsidRDefault="00412713" w14:paraId="3379250D" w14:textId="77777777">
      <w:pPr>
        <w:spacing w:after="160" w:line="360" w:lineRule="auto"/>
        <w:ind w:left="720" w:hanging="720"/>
        <w:rPr>
          <w:rFonts w:ascii="Arial" w:hAnsi="Arial" w:cs="Arial"/>
        </w:rPr>
      </w:pPr>
      <w:r>
        <w:rPr>
          <w:rFonts w:ascii="Arial" w:hAnsi="Arial" w:eastAsia="Arial" w:cs="Arial"/>
          <w:sz w:val="22"/>
          <w:szCs w:val="22"/>
        </w:rPr>
        <w:t>Park, J.-H., Shin, J.-J., Gau, L.-S. and Kim, J.-C. (2025) 'Authentic leadership and subjective career success: The mediating roles of psychological safety and mindfulness in a sustainable work environment', Sustainability, 17(7), 2861.</w:t>
      </w:r>
    </w:p>
    <w:p w:rsidR="00F96C54" w:rsidRDefault="00412713" w14:paraId="3379250C" w14:textId="77777777">
      <w:pPr>
        <w:spacing w:after="160" w:line="360" w:lineRule="auto"/>
        <w:ind w:left="720" w:hanging="720"/>
        <w:rPr>
          <w:rFonts w:ascii="Arial" w:hAnsi="Arial" w:cs="Arial"/>
        </w:rPr>
      </w:pPr>
      <w:r>
        <w:rPr>
          <w:rFonts w:ascii="Arial" w:hAnsi="Arial" w:eastAsia="Arial" w:cs="Arial"/>
          <w:sz w:val="22"/>
          <w:szCs w:val="22"/>
        </w:rPr>
        <w:t>Seemiller, C. and Grace, M. (2019) Generation Z: A Century in the Making. Abingdon: Routledge.</w:t>
      </w:r>
    </w:p>
    <w:p w:rsidR="00F96C54" w:rsidRDefault="00412713" w14:paraId="3379250F" w14:textId="77777777">
      <w:pPr>
        <w:spacing w:after="160" w:line="360" w:lineRule="auto"/>
        <w:ind w:left="720" w:hanging="720"/>
        <w:rPr>
          <w:rFonts w:ascii="Arial" w:hAnsi="Arial" w:cs="Arial"/>
        </w:rPr>
      </w:pPr>
      <w:r>
        <w:rPr>
          <w:rFonts w:ascii="Arial" w:hAnsi="Arial" w:eastAsia="Arial" w:cs="Arial"/>
          <w:sz w:val="22"/>
          <w:szCs w:val="22"/>
        </w:rPr>
        <w:t>Taylor, P. and Keeter, S. (2010) Millennials: Confident. Connected. Open to Change. Washington, DC: Pew Research Center.</w:t>
      </w:r>
    </w:p>
    <w:p w:rsidR="00F96C54" w:rsidRDefault="00412713" w14:paraId="031F2CB1" w14:textId="77777777">
      <w:pPr>
        <w:spacing w:after="160" w:line="360" w:lineRule="auto"/>
        <w:ind w:left="720" w:hanging="720"/>
        <w:rPr>
          <w:rFonts w:ascii="Arial" w:hAnsi="Arial" w:cs="Arial"/>
        </w:rPr>
      </w:pPr>
      <w:r>
        <w:rPr>
          <w:rFonts w:ascii="Arial" w:hAnsi="Arial" w:eastAsia="Arial" w:cs="Arial"/>
          <w:sz w:val="22"/>
          <w:szCs w:val="22"/>
        </w:rPr>
        <w:t>Wong, C.S. and Law, K.S. (2002) 'The effects of leader and follower emotional intelligence on performance and attitude: An exploratory study', The Leadership Quarterly, 13(3), pp. 243-274.</w:t>
      </w:r>
    </w:p>
    <w:sectPr w:rsidR="00F96C54">
      <w:headerReference w:type="default" r:id="rId7"/>
      <w:footerReference w:type="default" r:id="rId8"/>
      <w:pgSz w:w="11906" w:h="16838" w:orient="portrait"/>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12713" w:rsidRDefault="00412713" w14:paraId="5496A4C4" w14:textId="77777777">
      <w:r>
        <w:separator/>
      </w:r>
    </w:p>
  </w:endnote>
  <w:endnote w:type="continuationSeparator" w:id="0">
    <w:p w:rsidR="00412713" w:rsidRDefault="00412713" w14:paraId="75E36B7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86"/>
    <w:family w:val="auto"/>
    <w:pitch w:val="default"/>
    <w:sig w:usb0="E0002EFF" w:usb1="C000785B" w:usb2="00000009" w:usb3="00000000" w:csb0="400001FF" w:csb1="FFFF0000"/>
  </w:font>
  <w:font w:name="SimSun">
    <w:altName w:val="宋体"/>
    <w:panose1 w:val="02010600030101010101"/>
    <w:charset w:val="86"/>
    <w:family w:val="auto"/>
    <w:pitch w:val="default"/>
    <w:sig w:usb0="00000203" w:usb1="288F0000" w:usb2="00000006" w:usb3="00000000" w:csb0="00040001" w:csb1="00000000"/>
  </w:font>
  <w:font w:name="Aptos Display">
    <w:panose1 w:val="020B0004020202020204"/>
    <w:charset w:val="00"/>
    <w:family w:val="swiss"/>
    <w:pitch w:val="default"/>
    <w:sig w:usb0="00000000" w:usb1="00000000" w:usb2="00000000" w:usb3="00000000" w:csb0="0000019F" w:csb1="00000000"/>
  </w:font>
  <w:font w:name="Arial">
    <w:panose1 w:val="020B0604020202020204"/>
    <w:charset w:val="00"/>
    <w:family w:val="swiss"/>
    <w:pitch w:val="variable"/>
    <w:sig w:usb0="E0002EFF" w:usb1="C0007843" w:usb2="00000009" w:usb3="00000000" w:csb0="000001FF" w:csb1="00000000"/>
  </w:font>
  <w:font w:name="Geist Fallback">
    <w:altName w:val="Segoe Print"/>
    <w:charset w:val="00"/>
    <w:family w:val="auto"/>
    <w:pitch w:val="default"/>
  </w:font>
  <w:font w:name="Cambria">
    <w:panose1 w:val="02040503050406030204"/>
    <w:charset w:val="00"/>
    <w:family w:val="roman"/>
    <w:notTrueType/>
    <w:pitch w:val="default"/>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6C54" w:rsidRDefault="00412713" w14:paraId="7CA2A7D8" w14:textId="77777777">
    <w:pPr>
      <w:jc w:val="center"/>
    </w:pPr>
    <w:r>
      <w:rPr>
        <w:rFonts w:ascii="Arial" w:hAnsi="Arial" w:eastAsia="Arial" w:cs="Arial"/>
        <w:sz w:val="18"/>
        <w:szCs w:val="18"/>
      </w:rPr>
      <w:t xml:space="preserve">Page </w:t>
    </w:r>
    <w:r>
      <w:rPr>
        <w:rFonts w:ascii="Arial" w:hAnsi="Arial" w:eastAsia="Arial" w:cs="Arial"/>
        <w:sz w:val="18"/>
        <w:szCs w:val="18"/>
      </w:rPr>
      <w:fldChar w:fldCharType="begin"/>
    </w:r>
    <w:r>
      <w:rPr>
        <w:rFonts w:ascii="Arial" w:hAnsi="Arial" w:eastAsia="Arial" w:cs="Arial"/>
        <w:sz w:val="18"/>
        <w:szCs w:val="18"/>
      </w:rPr>
      <w:instrText>PAGE</w:instrText>
    </w:r>
    <w:r>
      <w:rPr>
        <w:rFonts w:ascii="Arial" w:hAnsi="Arial" w:eastAsia="Arial" w:cs="Arial"/>
        <w:sz w:val="18"/>
        <w:szCs w:val="18"/>
      </w:rPr>
      <w:fldChar w:fldCharType="separate"/>
    </w:r>
    <w:r>
      <w:rPr>
        <w:rFonts w:ascii="Arial" w:hAnsi="Arial" w:eastAsia="Arial" w:cs="Arial"/>
        <w:sz w:val="18"/>
        <w:szCs w:val="18"/>
      </w:rPr>
      <w:t>1</w:t>
    </w:r>
    <w:r>
      <w:rPr>
        <w:rFonts w:ascii="Arial" w:hAnsi="Arial" w:eastAsia="Arial" w:cs="Arial"/>
        <w:sz w:val="18"/>
        <w:szCs w:val="18"/>
      </w:rPr>
      <w:fldChar w:fldCharType="end"/>
    </w:r>
    <w:r>
      <w:rPr>
        <w:rFonts w:ascii="Arial" w:hAnsi="Arial" w:eastAsia="Arial" w:cs="Arial"/>
        <w:sz w:val="18"/>
        <w:szCs w:val="18"/>
      </w:rPr>
      <w:t xml:space="preserve"> of </w:t>
    </w:r>
    <w:r>
      <w:rPr>
        <w:rFonts w:ascii="Arial" w:hAnsi="Arial" w:eastAsia="Arial" w:cs="Arial"/>
        <w:sz w:val="18"/>
        <w:szCs w:val="18"/>
      </w:rPr>
      <w:fldChar w:fldCharType="begin"/>
    </w:r>
    <w:r>
      <w:rPr>
        <w:rFonts w:ascii="Arial" w:hAnsi="Arial" w:eastAsia="Arial" w:cs="Arial"/>
        <w:sz w:val="18"/>
        <w:szCs w:val="18"/>
      </w:rPr>
      <w:instrText>NUMPAGES</w:instrText>
    </w:r>
    <w:r>
      <w:rPr>
        <w:rFonts w:ascii="Arial" w:hAnsi="Arial" w:eastAsia="Arial" w:cs="Arial"/>
        <w:sz w:val="18"/>
        <w:szCs w:val="18"/>
      </w:rPr>
      <w:fldChar w:fldCharType="separate"/>
    </w:r>
    <w:r>
      <w:rPr>
        <w:rFonts w:ascii="Arial" w:hAnsi="Arial" w:eastAsia="Arial" w:cs="Arial"/>
        <w:sz w:val="18"/>
        <w:szCs w:val="18"/>
      </w:rPr>
      <w:t>2</w:t>
    </w:r>
    <w:r>
      <w:rPr>
        <w:rFonts w:ascii="Arial" w:hAnsi="Arial" w:eastAsia="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12713" w:rsidRDefault="00412713" w14:paraId="765EF31C" w14:textId="77777777">
      <w:r>
        <w:separator/>
      </w:r>
    </w:p>
  </w:footnote>
  <w:footnote w:type="continuationSeparator" w:id="0">
    <w:p w:rsidR="00412713" w:rsidRDefault="00412713" w14:paraId="6283B35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6C54" w:rsidRDefault="00412713" w14:paraId="2BFF1B6C" w14:textId="77777777">
    <w:pPr>
      <w:jc w:val="right"/>
    </w:pPr>
    <w:r>
      <w:rPr>
        <w:rFonts w:ascii="Arial" w:hAnsi="Arial" w:eastAsia="Arial" w:cs="Arial"/>
        <w:sz w:val="18"/>
        <w:szCs w:val="18"/>
      </w:rPr>
      <w:t>LCLM5006 - Individual Written Report</w:t>
    </w:r>
  </w:p>
</w:hdr>
</file>

<file path=word/intelligence2.xml><?xml version="1.0" encoding="utf-8"?>
<int2:intelligence xmlns:int2="http://schemas.microsoft.com/office/intelligence/2020/intelligence">
  <int2:observations>
    <int2:textHash int2:hashCode="kv4UVae7TQCfC0" int2:id="JWJuYeK1">
      <int2:state int2:type="spell" int2:value="Rejected"/>
    </int2:textHash>
    <int2:textHash int2:hashCode="uxOBRDvLOCbZyV" int2:id="L9atJT9h">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revisionView w:inkAnnotations="0"/>
  <w:trackRevisions w:val="false"/>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C54"/>
    <w:rsid w:val="00412713"/>
    <w:rsid w:val="004B5FDD"/>
    <w:rsid w:val="00F96C54"/>
    <w:rsid w:val="196F0900"/>
    <w:rsid w:val="2E665CAC"/>
    <w:rsid w:val="3A84D676"/>
    <w:rsid w:val="4DA38723"/>
    <w:rsid w:val="5CFE8AD5"/>
    <w:rsid w:val="6DCF4191"/>
    <w:rsid w:val="70FF3BB2"/>
    <w:rsid w:val="7A096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6906E986-4DF9-B444-9003-531D7349D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SimSu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qFormat="1"/>
    <w:lsdException w:name="caption" w:semiHidden="1" w:unhideWhenUsed="1" w:qFormat="1"/>
    <w:lsdException w:name="footnote reference" w:uiPriority="99" w:qFormat="1"/>
    <w:lsdException w:name="endnote reference" w:uiPriority="99" w:qFormat="1"/>
    <w:lsdException w:name="endnote text" w:uiPriority="99" w:qFormat="1"/>
    <w:lsdException w:name="Title" w:uiPriority="10" w:qFormat="1"/>
    <w:lsdException w:name="Default Paragraph Font" w:uiPriority="1" w:qFormat="1"/>
    <w:lsdException w:name="Subtitle" w:qFormat="1"/>
    <w:lsdException w:name="Hyperlink" w:uiPriority="99" w:qFormat="1"/>
    <w:lsdException w:name="Strong" w:qFormat="1"/>
    <w:lsdException w:name="Emphasis" w:qFormat="1"/>
    <w:lsdException w:name="HTML Top of Form" w:uiPriority="99" w:semiHidden="1" w:unhideWhenUsed="1"/>
    <w:lsdException w:name="HTML Bottom of Form" w:uiPriority="99" w:semiHidden="1" w:unhideWhenUsed="1"/>
    <w:lsdException w:name="Normal Table" w:uiPriority="99" w:semiHidden="1" w:unhideWhenUsed="1" w:qFormat="1"/>
    <w:lsdException w:name="No List"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unhideWhenUsed="1"/>
    <w:lsdException w:name="No Spacing" w:uiPriority="99"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unhideWhenUsed="1"/>
    <w:lsdException w:name="List Paragraph" w:qFormat="1"/>
    <w:lsdException w:name="Quote" w:uiPriority="99" w:semiHidden="1" w:unhideWhenUsed="1"/>
    <w:lsdException w:name="Intense Quote" w:uiPriority="99"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eastAsia="Times New Roman"/>
      <w:lang w:val="en-US"/>
    </w:rPr>
  </w:style>
  <w:style w:type="paragraph" w:styleId="Heading1">
    <w:name w:val="heading 1"/>
    <w:uiPriority w:val="9"/>
    <w:qFormat/>
    <w:pPr>
      <w:outlineLvl w:val="0"/>
    </w:pPr>
    <w:rPr>
      <w:rFonts w:eastAsia="Times New Roman"/>
      <w:color w:val="2E74B5"/>
      <w:sz w:val="32"/>
      <w:szCs w:val="32"/>
      <w:lang w:val="en-US"/>
    </w:rPr>
  </w:style>
  <w:style w:type="paragraph" w:styleId="Heading2">
    <w:name w:val="heading 2"/>
    <w:uiPriority w:val="9"/>
    <w:qFormat/>
    <w:pPr>
      <w:outlineLvl w:val="1"/>
    </w:pPr>
    <w:rPr>
      <w:rFonts w:eastAsia="Times New Roman"/>
      <w:color w:val="2E74B5"/>
      <w:sz w:val="26"/>
      <w:szCs w:val="26"/>
      <w:lang w:val="en-US"/>
    </w:rPr>
  </w:style>
  <w:style w:type="paragraph" w:styleId="Heading3">
    <w:name w:val="heading 3"/>
    <w:uiPriority w:val="9"/>
    <w:qFormat/>
    <w:pPr>
      <w:outlineLvl w:val="2"/>
    </w:pPr>
    <w:rPr>
      <w:rFonts w:eastAsia="Times New Roman"/>
      <w:color w:val="1F4D78"/>
      <w:sz w:val="24"/>
      <w:szCs w:val="24"/>
      <w:lang w:val="en-US"/>
    </w:rPr>
  </w:style>
  <w:style w:type="paragraph" w:styleId="Heading4">
    <w:name w:val="heading 4"/>
    <w:uiPriority w:val="9"/>
    <w:qFormat/>
    <w:pPr>
      <w:outlineLvl w:val="3"/>
    </w:pPr>
    <w:rPr>
      <w:rFonts w:eastAsia="Times New Roman"/>
      <w:i/>
      <w:iCs/>
      <w:color w:val="2E74B5"/>
      <w:lang w:val="en-US"/>
    </w:rPr>
  </w:style>
  <w:style w:type="paragraph" w:styleId="Heading5">
    <w:name w:val="heading 5"/>
    <w:uiPriority w:val="9"/>
    <w:qFormat/>
    <w:pPr>
      <w:outlineLvl w:val="4"/>
    </w:pPr>
    <w:rPr>
      <w:rFonts w:eastAsia="Times New Roman"/>
      <w:color w:val="2E74B5"/>
      <w:lang w:val="en-US"/>
    </w:rPr>
  </w:style>
  <w:style w:type="paragraph" w:styleId="Heading6">
    <w:name w:val="heading 6"/>
    <w:uiPriority w:val="9"/>
    <w:qFormat/>
    <w:pPr>
      <w:outlineLvl w:val="5"/>
    </w:pPr>
    <w:rPr>
      <w:rFonts w:eastAsia="Times New Roman"/>
      <w:color w:val="1F4D78"/>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ndnoteReference">
    <w:name w:val="endnote reference"/>
    <w:uiPriority w:val="99"/>
    <w:qFormat/>
    <w:rPr>
      <w:vertAlign w:val="superscript"/>
    </w:rPr>
  </w:style>
  <w:style w:type="paragraph" w:styleId="EndnoteText">
    <w:name w:val="endnote text"/>
    <w:link w:val="EndnoteTextChar"/>
    <w:uiPriority w:val="99"/>
    <w:qFormat/>
    <w:rPr>
      <w:rFonts w:eastAsia="Times New Roman"/>
      <w:lang w:val="en-US"/>
    </w:rPr>
  </w:style>
  <w:style w:type="character" w:styleId="FootnoteReference">
    <w:name w:val="footnote reference"/>
    <w:uiPriority w:val="99"/>
    <w:qFormat/>
    <w:rPr>
      <w:vertAlign w:val="superscript"/>
    </w:rPr>
  </w:style>
  <w:style w:type="paragraph" w:styleId="FootnoteText">
    <w:name w:val="footnote text"/>
    <w:link w:val="FootnoteTextChar"/>
    <w:uiPriority w:val="99"/>
    <w:qFormat/>
    <w:rPr>
      <w:rFonts w:eastAsia="Times New Roman"/>
      <w:lang w:val="en-US"/>
    </w:rPr>
  </w:style>
  <w:style w:type="character" w:styleId="Hyperlink">
    <w:name w:val="Hyperlink"/>
    <w:uiPriority w:val="99"/>
    <w:qFormat/>
    <w:rPr>
      <w:color w:val="0563C1"/>
      <w:u w:val="single"/>
    </w:rPr>
  </w:style>
  <w:style w:type="paragraph" w:styleId="NormalWeb">
    <w:name w:val="Normal (Web)"/>
    <w:pPr>
      <w:spacing w:beforeAutospacing="1" w:afterAutospacing="1"/>
    </w:pPr>
    <w:rPr>
      <w:sz w:val="24"/>
      <w:szCs w:val="24"/>
      <w:lang w:val="en-US" w:eastAsia="zh-CN"/>
    </w:rPr>
  </w:style>
  <w:style w:type="paragraph" w:styleId="Title">
    <w:name w:val="Title"/>
    <w:uiPriority w:val="10"/>
    <w:qFormat/>
    <w:rPr>
      <w:rFonts w:eastAsia="Times New Roman"/>
      <w:sz w:val="56"/>
      <w:szCs w:val="56"/>
      <w:lang w:val="en-US"/>
    </w:rPr>
  </w:style>
  <w:style w:type="paragraph" w:styleId="TOC1">
    <w:name w:val="toc 1"/>
    <w:basedOn w:val="Normal"/>
    <w:next w:val="Normal"/>
    <w:uiPriority w:val="39"/>
    <w:qFormat/>
    <w:pPr>
      <w:spacing w:after="100"/>
    </w:pPr>
  </w:style>
  <w:style w:type="paragraph" w:styleId="TOC2">
    <w:name w:val="toc 2"/>
    <w:basedOn w:val="Normal"/>
    <w:next w:val="Normal"/>
    <w:uiPriority w:val="39"/>
    <w:qFormat/>
    <w:pPr>
      <w:spacing w:after="100"/>
      <w:ind w:left="200"/>
    </w:pPr>
  </w:style>
  <w:style w:type="paragraph" w:styleId="Strong1" w:customStyle="1">
    <w:name w:val="Strong1"/>
    <w:qFormat/>
    <w:rPr>
      <w:rFonts w:eastAsia="Times New Roman"/>
      <w:b/>
      <w:bCs/>
      <w:lang w:val="en-US"/>
    </w:rPr>
  </w:style>
  <w:style w:type="paragraph" w:styleId="ListParagraph">
    <w:name w:val="List Paragraph"/>
    <w:qFormat/>
    <w:rPr>
      <w:rFonts w:eastAsia="Times New Roman"/>
      <w:lang w:val="en-US"/>
    </w:rPr>
  </w:style>
  <w:style w:type="character" w:styleId="FootnoteTextChar" w:customStyle="1">
    <w:name w:val="Footnote Text Char"/>
    <w:link w:val="FootnoteText"/>
    <w:uiPriority w:val="99"/>
    <w:qFormat/>
    <w:rPr>
      <w:sz w:val="20"/>
      <w:szCs w:val="20"/>
    </w:rPr>
  </w:style>
  <w:style w:type="character" w:styleId="EndnoteTextChar" w:customStyle="1">
    <w:name w:val="Endnote Text Char"/>
    <w:link w:val="EndnoteText"/>
    <w:uiPriority w:val="99"/>
    <w:qFormat/>
    <w:rPr>
      <w:sz w:val="20"/>
      <w:szCs w:val="20"/>
    </w:rPr>
  </w:style>
  <w:style w:type="paragraph" w:styleId="TOCHeading1" w:customStyle="1">
    <w:name w:val="TOC Heading1"/>
    <w:basedOn w:val="Heading1"/>
    <w:next w:val="Normal"/>
    <w:uiPriority w:val="39"/>
    <w:qFormat/>
    <w:pPr>
      <w:keepNext/>
      <w:keepLines/>
      <w:spacing w:before="240" w:line="259" w:lineRule="auto"/>
      <w:outlineLvl w:val="9"/>
    </w:pPr>
    <w:rPr>
      <w:rFonts w:ascii="Aptos Display" w:hAnsi="Aptos Display" w:eastAsia="SimSun" w:cs="SimSun"/>
      <w:color w:val="0F476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20/10/relationships/intelligence" Target="intelligence2.xml" Id="R9649d47e03e945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2142F-E867-4D5C-BF1C-9117B561203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WPS Office</dc:creator>
  <lastModifiedBy>Safia Imtiaz (2410388)</lastModifiedBy>
  <revision>3</revision>
  <dcterms:created xsi:type="dcterms:W3CDTF">2026-07-19T09:12:00.0000000Z</dcterms:created>
  <dcterms:modified xsi:type="dcterms:W3CDTF">2026-07-19T09:28:57.4825187Z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f19ef5ba-3b42-4f12-bb65-c03a8f447292</vt:lpwstr>
  </property>
  <property fmtid="{D5CDD505-2E9C-101B-9397-08002B2CF9AE}" pid="3" name="ICV">
    <vt:lpwstr>A7FF455475BC402993ED813694D261BF_13</vt:lpwstr>
  </property>
  <property fmtid="{D5CDD505-2E9C-101B-9397-08002B2CF9AE}" pid="4" name="KSOTemplateDocerSaveRecord">
    <vt:lpwstr>eyJoZGlkIjoiOWZhNDZmODAyOTBmNDZkYTEzMWMyM2FkOTA5MzQxYTUifQ==</vt:lpwstr>
  </property>
  <property fmtid="{D5CDD505-2E9C-101B-9397-08002B2CF9AE}" pid="5" name="KSOProductBuildVer">
    <vt:lpwstr>1033-12.1.0.26880</vt:lpwstr>
  </property>
</Properties>
</file>