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82AF0" w14:textId="77777777" w:rsidR="00054784" w:rsidRPr="003C2796" w:rsidRDefault="00054784" w:rsidP="00054784">
      <w:pPr>
        <w:spacing w:line="360" w:lineRule="auto"/>
        <w:jc w:val="center"/>
        <w:rPr>
          <w:rFonts w:ascii="Arial" w:hAnsi="Arial" w:cs="Arial"/>
          <w:b/>
          <w:bCs/>
          <w:sz w:val="20"/>
          <w:szCs w:val="20"/>
        </w:rPr>
      </w:pPr>
    </w:p>
    <w:p w14:paraId="3BE88D3C" w14:textId="2353E2CD" w:rsidR="00054784" w:rsidRPr="003C2796" w:rsidRDefault="00054784" w:rsidP="00054784">
      <w:pPr>
        <w:spacing w:line="360" w:lineRule="auto"/>
        <w:rPr>
          <w:rFonts w:ascii="Arial" w:hAnsi="Arial" w:cs="Arial"/>
          <w:b/>
          <w:bCs/>
          <w:sz w:val="22"/>
          <w:szCs w:val="22"/>
        </w:rPr>
      </w:pPr>
      <w:r w:rsidRPr="003C2796">
        <w:rPr>
          <w:rFonts w:ascii="Arial" w:hAnsi="Arial" w:cs="Arial"/>
          <w:b/>
          <w:bCs/>
          <w:noProof/>
          <w:sz w:val="22"/>
          <w:szCs w:val="22"/>
        </w:rPr>
        <w:drawing>
          <wp:inline distT="0" distB="0" distL="0" distR="0" wp14:anchorId="2DD3D667" wp14:editId="386D80CC">
            <wp:extent cx="2330450" cy="1184275"/>
            <wp:effectExtent l="0" t="0" r="0" b="0"/>
            <wp:docPr id="398213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45668" cy="1192008"/>
                    </a:xfrm>
                    <a:prstGeom prst="rect">
                      <a:avLst/>
                    </a:prstGeom>
                    <a:noFill/>
                  </pic:spPr>
                </pic:pic>
              </a:graphicData>
            </a:graphic>
          </wp:inline>
        </w:drawing>
      </w:r>
    </w:p>
    <w:p w14:paraId="1AA8A62B" w14:textId="77777777" w:rsidR="00054784" w:rsidRPr="003C2796" w:rsidRDefault="00054784" w:rsidP="00054784">
      <w:pPr>
        <w:spacing w:line="360" w:lineRule="auto"/>
        <w:jc w:val="center"/>
        <w:rPr>
          <w:rFonts w:ascii="Arial" w:hAnsi="Arial" w:cs="Arial"/>
          <w:b/>
          <w:bCs/>
          <w:sz w:val="22"/>
          <w:szCs w:val="22"/>
        </w:rPr>
      </w:pPr>
    </w:p>
    <w:p w14:paraId="0E08374F" w14:textId="5D53AD97" w:rsidR="00054784" w:rsidRPr="003C2796" w:rsidRDefault="00054784" w:rsidP="00054784">
      <w:pPr>
        <w:spacing w:line="360" w:lineRule="auto"/>
        <w:rPr>
          <w:rFonts w:ascii="Arial" w:hAnsi="Arial" w:cs="Arial"/>
          <w:b/>
          <w:bCs/>
          <w:sz w:val="22"/>
          <w:szCs w:val="22"/>
        </w:rPr>
      </w:pPr>
      <w:r w:rsidRPr="003C2796">
        <w:rPr>
          <w:rFonts w:ascii="Arial" w:hAnsi="Arial" w:cs="Arial"/>
          <w:sz w:val="22"/>
          <w:szCs w:val="22"/>
        </w:rPr>
        <w:t>NAME</w:t>
      </w:r>
      <w:r w:rsidRPr="003C2796">
        <w:rPr>
          <w:rFonts w:ascii="Arial" w:hAnsi="Arial" w:cs="Arial"/>
          <w:b/>
          <w:bCs/>
          <w:sz w:val="22"/>
          <w:szCs w:val="22"/>
        </w:rPr>
        <w:t>: Mrs Patricia Kelly-Lambo</w:t>
      </w:r>
    </w:p>
    <w:p w14:paraId="6C3E9056" w14:textId="77777777" w:rsidR="00054784" w:rsidRPr="003C2796" w:rsidRDefault="00054784" w:rsidP="00054784">
      <w:pPr>
        <w:spacing w:line="360" w:lineRule="auto"/>
        <w:rPr>
          <w:rFonts w:ascii="Arial" w:hAnsi="Arial" w:cs="Arial"/>
          <w:b/>
          <w:bCs/>
          <w:sz w:val="22"/>
          <w:szCs w:val="22"/>
        </w:rPr>
      </w:pPr>
      <w:r w:rsidRPr="003C2796">
        <w:rPr>
          <w:rFonts w:ascii="Arial" w:hAnsi="Arial" w:cs="Arial"/>
          <w:sz w:val="22"/>
          <w:szCs w:val="22"/>
        </w:rPr>
        <w:t>STUDENT NUMBER</w:t>
      </w:r>
      <w:r w:rsidRPr="003C2796">
        <w:rPr>
          <w:rFonts w:ascii="Arial" w:hAnsi="Arial" w:cs="Arial"/>
          <w:b/>
          <w:bCs/>
          <w:sz w:val="22"/>
          <w:szCs w:val="22"/>
        </w:rPr>
        <w:t>: 2215117</w:t>
      </w:r>
    </w:p>
    <w:p w14:paraId="4A096FFA" w14:textId="4D031871" w:rsidR="00BD79EB" w:rsidRPr="003C2796" w:rsidRDefault="00054784" w:rsidP="00BD79EB">
      <w:pPr>
        <w:spacing w:line="360" w:lineRule="auto"/>
        <w:rPr>
          <w:rFonts w:ascii="Arial" w:hAnsi="Arial" w:cs="Arial"/>
          <w:b/>
          <w:bCs/>
          <w:sz w:val="22"/>
          <w:szCs w:val="22"/>
        </w:rPr>
      </w:pPr>
      <w:r w:rsidRPr="003C2796">
        <w:rPr>
          <w:rFonts w:ascii="Arial" w:hAnsi="Arial" w:cs="Arial"/>
          <w:sz w:val="22"/>
          <w:szCs w:val="22"/>
        </w:rPr>
        <w:t>MODULE CODE AND TITLE</w:t>
      </w:r>
      <w:r w:rsidRPr="003C2796">
        <w:rPr>
          <w:rFonts w:ascii="Arial" w:hAnsi="Arial" w:cs="Arial"/>
          <w:b/>
          <w:bCs/>
          <w:sz w:val="22"/>
          <w:szCs w:val="22"/>
        </w:rPr>
        <w:t>: </w:t>
      </w:r>
      <w:r w:rsidR="00BD79EB" w:rsidRPr="003C2796">
        <w:rPr>
          <w:rFonts w:ascii="Arial" w:hAnsi="Arial" w:cs="Arial"/>
          <w:b/>
          <w:bCs/>
          <w:sz w:val="22"/>
          <w:szCs w:val="22"/>
        </w:rPr>
        <w:t>LCHS7002_LON Health Care System Organisation and Leadership</w:t>
      </w:r>
    </w:p>
    <w:p w14:paraId="67CBF7FD" w14:textId="0B9C7C8F" w:rsidR="00054784" w:rsidRPr="003C2796" w:rsidRDefault="00054784" w:rsidP="00054784">
      <w:pPr>
        <w:spacing w:line="360" w:lineRule="auto"/>
        <w:rPr>
          <w:rFonts w:ascii="Arial" w:hAnsi="Arial" w:cs="Arial"/>
          <w:b/>
          <w:bCs/>
          <w:sz w:val="22"/>
          <w:szCs w:val="22"/>
        </w:rPr>
      </w:pPr>
      <w:r w:rsidRPr="003C2796">
        <w:rPr>
          <w:rFonts w:ascii="Arial" w:hAnsi="Arial" w:cs="Arial"/>
          <w:sz w:val="22"/>
          <w:szCs w:val="22"/>
        </w:rPr>
        <w:t>LECTURER'S NAME</w:t>
      </w:r>
      <w:r w:rsidRPr="003C2796">
        <w:rPr>
          <w:rFonts w:ascii="Arial" w:hAnsi="Arial" w:cs="Arial"/>
          <w:b/>
          <w:bCs/>
          <w:sz w:val="22"/>
          <w:szCs w:val="22"/>
        </w:rPr>
        <w:t xml:space="preserve">: </w:t>
      </w:r>
    </w:p>
    <w:p w14:paraId="6F707848" w14:textId="3C5339CD" w:rsidR="00B90103" w:rsidRPr="003C2796" w:rsidRDefault="00054784" w:rsidP="00054784">
      <w:pPr>
        <w:spacing w:line="360" w:lineRule="auto"/>
        <w:rPr>
          <w:rFonts w:ascii="Arial" w:hAnsi="Arial" w:cs="Arial"/>
          <w:b/>
          <w:bCs/>
          <w:sz w:val="22"/>
          <w:szCs w:val="22"/>
        </w:rPr>
      </w:pPr>
      <w:r w:rsidRPr="003C2796">
        <w:rPr>
          <w:rFonts w:ascii="Arial" w:hAnsi="Arial" w:cs="Arial"/>
          <w:sz w:val="22"/>
          <w:szCs w:val="22"/>
        </w:rPr>
        <w:t>ASSIGNMENT TITLE</w:t>
      </w:r>
      <w:r w:rsidRPr="003C2796">
        <w:rPr>
          <w:rFonts w:ascii="Arial" w:hAnsi="Arial" w:cs="Arial"/>
          <w:b/>
          <w:bCs/>
          <w:sz w:val="22"/>
          <w:szCs w:val="22"/>
        </w:rPr>
        <w:t xml:space="preserve">: </w:t>
      </w:r>
      <w:r w:rsidR="0074162A" w:rsidRPr="003C2796">
        <w:rPr>
          <w:rFonts w:ascii="Arial" w:hAnsi="Arial" w:cs="Arial"/>
          <w:b/>
          <w:bCs/>
          <w:sz w:val="22"/>
          <w:szCs w:val="22"/>
        </w:rPr>
        <w:t>The Interplay of Health System Structures and Leadership in Shaping COVID-19 Responses: A Comparative Analysis of Spain, South Korea, and Canada</w:t>
      </w:r>
    </w:p>
    <w:p w14:paraId="679C834F" w14:textId="77777777" w:rsidR="00850882" w:rsidRPr="003C2796" w:rsidRDefault="00850882" w:rsidP="00054784">
      <w:pPr>
        <w:spacing w:line="360" w:lineRule="auto"/>
        <w:jc w:val="both"/>
        <w:rPr>
          <w:rFonts w:ascii="Arial" w:hAnsi="Arial" w:cs="Arial"/>
          <w:sz w:val="20"/>
          <w:szCs w:val="20"/>
        </w:rPr>
      </w:pPr>
    </w:p>
    <w:p w14:paraId="44CFBCE5" w14:textId="77777777" w:rsidR="00850882" w:rsidRPr="003C2796" w:rsidRDefault="00850882" w:rsidP="00054784">
      <w:pPr>
        <w:spacing w:line="360" w:lineRule="auto"/>
        <w:jc w:val="both"/>
        <w:rPr>
          <w:rFonts w:ascii="Arial" w:hAnsi="Arial" w:cs="Arial"/>
          <w:sz w:val="20"/>
          <w:szCs w:val="20"/>
        </w:rPr>
      </w:pPr>
    </w:p>
    <w:p w14:paraId="23A48926" w14:textId="77777777" w:rsidR="00850882" w:rsidRPr="003C2796" w:rsidRDefault="00850882" w:rsidP="00054784">
      <w:pPr>
        <w:spacing w:line="360" w:lineRule="auto"/>
        <w:jc w:val="both"/>
        <w:rPr>
          <w:rFonts w:ascii="Arial" w:hAnsi="Arial" w:cs="Arial"/>
          <w:sz w:val="20"/>
          <w:szCs w:val="20"/>
        </w:rPr>
      </w:pPr>
    </w:p>
    <w:p w14:paraId="5D7C9FC0" w14:textId="77777777" w:rsidR="00850882" w:rsidRPr="003C2796" w:rsidRDefault="00850882" w:rsidP="00054784">
      <w:pPr>
        <w:spacing w:line="360" w:lineRule="auto"/>
        <w:jc w:val="both"/>
        <w:rPr>
          <w:rFonts w:ascii="Arial" w:hAnsi="Arial" w:cs="Arial"/>
          <w:sz w:val="20"/>
          <w:szCs w:val="20"/>
        </w:rPr>
      </w:pPr>
    </w:p>
    <w:p w14:paraId="32907014" w14:textId="77777777" w:rsidR="00850882" w:rsidRPr="003C2796" w:rsidRDefault="00850882" w:rsidP="00054784">
      <w:pPr>
        <w:spacing w:line="360" w:lineRule="auto"/>
        <w:jc w:val="both"/>
        <w:rPr>
          <w:rFonts w:ascii="Arial" w:hAnsi="Arial" w:cs="Arial"/>
          <w:sz w:val="20"/>
          <w:szCs w:val="20"/>
        </w:rPr>
      </w:pPr>
    </w:p>
    <w:p w14:paraId="2C6C0D29" w14:textId="77777777" w:rsidR="00850882" w:rsidRPr="003C2796" w:rsidRDefault="00850882" w:rsidP="00054784">
      <w:pPr>
        <w:spacing w:line="360" w:lineRule="auto"/>
        <w:jc w:val="both"/>
        <w:rPr>
          <w:rFonts w:ascii="Arial" w:hAnsi="Arial" w:cs="Arial"/>
          <w:sz w:val="20"/>
          <w:szCs w:val="20"/>
        </w:rPr>
      </w:pPr>
    </w:p>
    <w:p w14:paraId="18F69E38" w14:textId="77777777" w:rsidR="00850882" w:rsidRPr="003C2796" w:rsidRDefault="00850882" w:rsidP="00054784">
      <w:pPr>
        <w:spacing w:line="360" w:lineRule="auto"/>
        <w:jc w:val="both"/>
        <w:rPr>
          <w:rFonts w:ascii="Arial" w:hAnsi="Arial" w:cs="Arial"/>
          <w:sz w:val="20"/>
          <w:szCs w:val="20"/>
        </w:rPr>
      </w:pPr>
    </w:p>
    <w:p w14:paraId="211A77E1" w14:textId="77777777" w:rsidR="00850882" w:rsidRDefault="00850882" w:rsidP="00054784">
      <w:pPr>
        <w:spacing w:line="360" w:lineRule="auto"/>
        <w:jc w:val="both"/>
        <w:rPr>
          <w:rFonts w:ascii="Arial" w:hAnsi="Arial" w:cs="Arial"/>
          <w:sz w:val="20"/>
          <w:szCs w:val="20"/>
        </w:rPr>
      </w:pPr>
    </w:p>
    <w:p w14:paraId="2ECD3F9A" w14:textId="77777777" w:rsidR="003C2796" w:rsidRDefault="003C2796" w:rsidP="00054784">
      <w:pPr>
        <w:spacing w:line="360" w:lineRule="auto"/>
        <w:jc w:val="both"/>
        <w:rPr>
          <w:rFonts w:ascii="Arial" w:hAnsi="Arial" w:cs="Arial"/>
          <w:sz w:val="20"/>
          <w:szCs w:val="20"/>
        </w:rPr>
      </w:pPr>
    </w:p>
    <w:p w14:paraId="74ECF137" w14:textId="77777777" w:rsidR="003C2796" w:rsidRPr="003C2796" w:rsidRDefault="003C2796" w:rsidP="00054784">
      <w:pPr>
        <w:spacing w:line="360" w:lineRule="auto"/>
        <w:jc w:val="both"/>
        <w:rPr>
          <w:rFonts w:ascii="Arial" w:hAnsi="Arial" w:cs="Arial"/>
          <w:sz w:val="20"/>
          <w:szCs w:val="20"/>
        </w:rPr>
      </w:pPr>
    </w:p>
    <w:p w14:paraId="2FDDD8FF" w14:textId="77777777" w:rsidR="00850882" w:rsidRPr="003C2796" w:rsidRDefault="00850882" w:rsidP="00054784">
      <w:pPr>
        <w:spacing w:line="360" w:lineRule="auto"/>
        <w:jc w:val="both"/>
        <w:rPr>
          <w:rFonts w:ascii="Arial" w:hAnsi="Arial" w:cs="Arial"/>
          <w:sz w:val="20"/>
          <w:szCs w:val="20"/>
        </w:rPr>
      </w:pPr>
    </w:p>
    <w:p w14:paraId="1764B9FA" w14:textId="77777777" w:rsidR="00850882" w:rsidRPr="003C2796" w:rsidRDefault="00850882" w:rsidP="00054784">
      <w:pPr>
        <w:spacing w:line="360" w:lineRule="auto"/>
        <w:jc w:val="both"/>
        <w:rPr>
          <w:rFonts w:ascii="Arial" w:hAnsi="Arial" w:cs="Arial"/>
          <w:sz w:val="20"/>
          <w:szCs w:val="20"/>
        </w:rPr>
      </w:pPr>
    </w:p>
    <w:p w14:paraId="321AA28E" w14:textId="77777777" w:rsidR="00850882" w:rsidRPr="003C2796" w:rsidRDefault="00850882" w:rsidP="00054784">
      <w:pPr>
        <w:spacing w:line="360" w:lineRule="auto"/>
        <w:jc w:val="both"/>
        <w:rPr>
          <w:rFonts w:ascii="Arial" w:hAnsi="Arial" w:cs="Arial"/>
          <w:sz w:val="20"/>
          <w:szCs w:val="20"/>
        </w:rPr>
      </w:pPr>
    </w:p>
    <w:sdt>
      <w:sdtPr>
        <w:rPr>
          <w:rFonts w:ascii="Arial" w:eastAsiaTheme="minorHAnsi" w:hAnsi="Arial" w:cs="Arial"/>
          <w:color w:val="auto"/>
          <w:kern w:val="2"/>
          <w:sz w:val="20"/>
          <w:szCs w:val="20"/>
          <w:lang w:val="en-GB"/>
          <w14:ligatures w14:val="standardContextual"/>
        </w:rPr>
        <w:id w:val="284859547"/>
        <w:docPartObj>
          <w:docPartGallery w:val="Table of Contents"/>
          <w:docPartUnique/>
        </w:docPartObj>
      </w:sdtPr>
      <w:sdtEndPr>
        <w:rPr>
          <w:noProof/>
        </w:rPr>
      </w:sdtEndPr>
      <w:sdtContent>
        <w:p w14:paraId="4D072432" w14:textId="4E0DF504" w:rsidR="00F63DA1" w:rsidRPr="003C2796" w:rsidRDefault="00F63DA1" w:rsidP="00054784">
          <w:pPr>
            <w:pStyle w:val="TOCHeading"/>
            <w:spacing w:line="360" w:lineRule="auto"/>
            <w:jc w:val="center"/>
            <w:rPr>
              <w:rFonts w:ascii="Arial" w:hAnsi="Arial" w:cs="Arial"/>
              <w:b/>
              <w:bCs/>
              <w:color w:val="auto"/>
              <w:sz w:val="20"/>
              <w:szCs w:val="20"/>
              <w:lang w:val="en-GB"/>
            </w:rPr>
          </w:pPr>
          <w:r w:rsidRPr="003C2796">
            <w:rPr>
              <w:rFonts w:ascii="Arial" w:hAnsi="Arial" w:cs="Arial"/>
              <w:b/>
              <w:bCs/>
              <w:color w:val="auto"/>
              <w:sz w:val="20"/>
              <w:szCs w:val="20"/>
              <w:lang w:val="en-GB"/>
            </w:rPr>
            <w:t>Table of Contents</w:t>
          </w:r>
        </w:p>
        <w:p w14:paraId="485E288D" w14:textId="6C6835C9" w:rsidR="002F4C22" w:rsidRDefault="00F63DA1">
          <w:pPr>
            <w:pStyle w:val="TOC1"/>
            <w:tabs>
              <w:tab w:val="right" w:leader="dot" w:pos="9350"/>
            </w:tabs>
            <w:rPr>
              <w:rFonts w:eastAsiaTheme="minorEastAsia"/>
              <w:noProof/>
              <w:lang w:eastAsia="en-GB"/>
            </w:rPr>
          </w:pPr>
          <w:r w:rsidRPr="003C2796">
            <w:rPr>
              <w:rFonts w:ascii="Arial" w:hAnsi="Arial" w:cs="Arial"/>
              <w:sz w:val="20"/>
              <w:szCs w:val="20"/>
            </w:rPr>
            <w:fldChar w:fldCharType="begin"/>
          </w:r>
          <w:r w:rsidRPr="003C2796">
            <w:rPr>
              <w:rFonts w:ascii="Arial" w:hAnsi="Arial" w:cs="Arial"/>
              <w:sz w:val="20"/>
              <w:szCs w:val="20"/>
            </w:rPr>
            <w:instrText xml:space="preserve"> TOC \o "1-3" \h \z \u </w:instrText>
          </w:r>
          <w:r w:rsidRPr="003C2796">
            <w:rPr>
              <w:rFonts w:ascii="Arial" w:hAnsi="Arial" w:cs="Arial"/>
              <w:sz w:val="20"/>
              <w:szCs w:val="20"/>
            </w:rPr>
            <w:fldChar w:fldCharType="separate"/>
          </w:r>
          <w:hyperlink w:anchor="_Toc217444784" w:history="1">
            <w:r w:rsidR="002F4C22" w:rsidRPr="006B39C5">
              <w:rPr>
                <w:rStyle w:val="Hyperlink"/>
                <w:rFonts w:ascii="Arial" w:hAnsi="Arial" w:cs="Arial"/>
                <w:b/>
                <w:bCs/>
                <w:noProof/>
              </w:rPr>
              <w:t>1.0 Introduction</w:t>
            </w:r>
            <w:r w:rsidR="002F4C22">
              <w:rPr>
                <w:noProof/>
                <w:webHidden/>
              </w:rPr>
              <w:tab/>
            </w:r>
            <w:r w:rsidR="002F4C22">
              <w:rPr>
                <w:noProof/>
                <w:webHidden/>
              </w:rPr>
              <w:fldChar w:fldCharType="begin"/>
            </w:r>
            <w:r w:rsidR="002F4C22">
              <w:rPr>
                <w:noProof/>
                <w:webHidden/>
              </w:rPr>
              <w:instrText xml:space="preserve"> PAGEREF _Toc217444784 \h </w:instrText>
            </w:r>
            <w:r w:rsidR="002F4C22">
              <w:rPr>
                <w:noProof/>
                <w:webHidden/>
              </w:rPr>
            </w:r>
            <w:r w:rsidR="002F4C22">
              <w:rPr>
                <w:noProof/>
                <w:webHidden/>
              </w:rPr>
              <w:fldChar w:fldCharType="separate"/>
            </w:r>
            <w:r w:rsidR="002F4C22">
              <w:rPr>
                <w:noProof/>
                <w:webHidden/>
              </w:rPr>
              <w:t>1</w:t>
            </w:r>
            <w:r w:rsidR="002F4C22">
              <w:rPr>
                <w:noProof/>
                <w:webHidden/>
              </w:rPr>
              <w:fldChar w:fldCharType="end"/>
            </w:r>
          </w:hyperlink>
        </w:p>
        <w:p w14:paraId="5F4684DC" w14:textId="73305738" w:rsidR="002F4C22" w:rsidRDefault="002F4C22">
          <w:pPr>
            <w:pStyle w:val="TOC1"/>
            <w:tabs>
              <w:tab w:val="right" w:leader="dot" w:pos="9350"/>
            </w:tabs>
            <w:rPr>
              <w:rFonts w:eastAsiaTheme="minorEastAsia"/>
              <w:noProof/>
              <w:lang w:eastAsia="en-GB"/>
            </w:rPr>
          </w:pPr>
          <w:hyperlink w:anchor="_Toc217444785" w:history="1">
            <w:r w:rsidRPr="006B39C5">
              <w:rPr>
                <w:rStyle w:val="Hyperlink"/>
                <w:rFonts w:ascii="Arial" w:hAnsi="Arial" w:cs="Arial"/>
                <w:b/>
                <w:bCs/>
                <w:noProof/>
              </w:rPr>
              <w:t>2.0 Background of the Three Jurisdictions</w:t>
            </w:r>
            <w:r>
              <w:rPr>
                <w:noProof/>
                <w:webHidden/>
              </w:rPr>
              <w:tab/>
            </w:r>
            <w:r>
              <w:rPr>
                <w:noProof/>
                <w:webHidden/>
              </w:rPr>
              <w:fldChar w:fldCharType="begin"/>
            </w:r>
            <w:r>
              <w:rPr>
                <w:noProof/>
                <w:webHidden/>
              </w:rPr>
              <w:instrText xml:space="preserve"> PAGEREF _Toc217444785 \h </w:instrText>
            </w:r>
            <w:r>
              <w:rPr>
                <w:noProof/>
                <w:webHidden/>
              </w:rPr>
            </w:r>
            <w:r>
              <w:rPr>
                <w:noProof/>
                <w:webHidden/>
              </w:rPr>
              <w:fldChar w:fldCharType="separate"/>
            </w:r>
            <w:r>
              <w:rPr>
                <w:noProof/>
                <w:webHidden/>
              </w:rPr>
              <w:t>2</w:t>
            </w:r>
            <w:r>
              <w:rPr>
                <w:noProof/>
                <w:webHidden/>
              </w:rPr>
              <w:fldChar w:fldCharType="end"/>
            </w:r>
          </w:hyperlink>
        </w:p>
        <w:p w14:paraId="2F63CB62" w14:textId="282AF867" w:rsidR="002F4C22" w:rsidRDefault="002F4C22">
          <w:pPr>
            <w:pStyle w:val="TOC2"/>
            <w:tabs>
              <w:tab w:val="right" w:leader="dot" w:pos="9350"/>
            </w:tabs>
            <w:rPr>
              <w:rFonts w:eastAsiaTheme="minorEastAsia"/>
              <w:noProof/>
              <w:lang w:eastAsia="en-GB"/>
            </w:rPr>
          </w:pPr>
          <w:hyperlink w:anchor="_Toc217444786" w:history="1">
            <w:r w:rsidRPr="006B39C5">
              <w:rPr>
                <w:rStyle w:val="Hyperlink"/>
                <w:rFonts w:ascii="Arial" w:hAnsi="Arial" w:cs="Arial"/>
                <w:b/>
                <w:bCs/>
                <w:noProof/>
              </w:rPr>
              <w:t>2.1 Spain</w:t>
            </w:r>
            <w:r>
              <w:rPr>
                <w:noProof/>
                <w:webHidden/>
              </w:rPr>
              <w:tab/>
            </w:r>
            <w:r>
              <w:rPr>
                <w:noProof/>
                <w:webHidden/>
              </w:rPr>
              <w:fldChar w:fldCharType="begin"/>
            </w:r>
            <w:r>
              <w:rPr>
                <w:noProof/>
                <w:webHidden/>
              </w:rPr>
              <w:instrText xml:space="preserve"> PAGEREF _Toc217444786 \h </w:instrText>
            </w:r>
            <w:r>
              <w:rPr>
                <w:noProof/>
                <w:webHidden/>
              </w:rPr>
            </w:r>
            <w:r>
              <w:rPr>
                <w:noProof/>
                <w:webHidden/>
              </w:rPr>
              <w:fldChar w:fldCharType="separate"/>
            </w:r>
            <w:r>
              <w:rPr>
                <w:noProof/>
                <w:webHidden/>
              </w:rPr>
              <w:t>2</w:t>
            </w:r>
            <w:r>
              <w:rPr>
                <w:noProof/>
                <w:webHidden/>
              </w:rPr>
              <w:fldChar w:fldCharType="end"/>
            </w:r>
          </w:hyperlink>
        </w:p>
        <w:p w14:paraId="227E31D0" w14:textId="6F02B56F" w:rsidR="002F4C22" w:rsidRDefault="002F4C22">
          <w:pPr>
            <w:pStyle w:val="TOC2"/>
            <w:tabs>
              <w:tab w:val="right" w:leader="dot" w:pos="9350"/>
            </w:tabs>
            <w:rPr>
              <w:rFonts w:eastAsiaTheme="minorEastAsia"/>
              <w:noProof/>
              <w:lang w:eastAsia="en-GB"/>
            </w:rPr>
          </w:pPr>
          <w:hyperlink w:anchor="_Toc217444787" w:history="1">
            <w:r w:rsidRPr="006B39C5">
              <w:rPr>
                <w:rStyle w:val="Hyperlink"/>
                <w:rFonts w:ascii="Arial" w:hAnsi="Arial" w:cs="Arial"/>
                <w:b/>
                <w:bCs/>
                <w:noProof/>
              </w:rPr>
              <w:t>2.2 South Korea</w:t>
            </w:r>
            <w:r>
              <w:rPr>
                <w:noProof/>
                <w:webHidden/>
              </w:rPr>
              <w:tab/>
            </w:r>
            <w:r>
              <w:rPr>
                <w:noProof/>
                <w:webHidden/>
              </w:rPr>
              <w:fldChar w:fldCharType="begin"/>
            </w:r>
            <w:r>
              <w:rPr>
                <w:noProof/>
                <w:webHidden/>
              </w:rPr>
              <w:instrText xml:space="preserve"> PAGEREF _Toc217444787 \h </w:instrText>
            </w:r>
            <w:r>
              <w:rPr>
                <w:noProof/>
                <w:webHidden/>
              </w:rPr>
            </w:r>
            <w:r>
              <w:rPr>
                <w:noProof/>
                <w:webHidden/>
              </w:rPr>
              <w:fldChar w:fldCharType="separate"/>
            </w:r>
            <w:r>
              <w:rPr>
                <w:noProof/>
                <w:webHidden/>
              </w:rPr>
              <w:t>2</w:t>
            </w:r>
            <w:r>
              <w:rPr>
                <w:noProof/>
                <w:webHidden/>
              </w:rPr>
              <w:fldChar w:fldCharType="end"/>
            </w:r>
          </w:hyperlink>
        </w:p>
        <w:p w14:paraId="5E49CFC7" w14:textId="0E086B59" w:rsidR="002F4C22" w:rsidRDefault="002F4C22">
          <w:pPr>
            <w:pStyle w:val="TOC2"/>
            <w:tabs>
              <w:tab w:val="right" w:leader="dot" w:pos="9350"/>
            </w:tabs>
            <w:rPr>
              <w:rFonts w:eastAsiaTheme="minorEastAsia"/>
              <w:noProof/>
              <w:lang w:eastAsia="en-GB"/>
            </w:rPr>
          </w:pPr>
          <w:hyperlink w:anchor="_Toc217444788" w:history="1">
            <w:r w:rsidRPr="006B39C5">
              <w:rPr>
                <w:rStyle w:val="Hyperlink"/>
                <w:rFonts w:ascii="Arial" w:hAnsi="Arial" w:cs="Arial"/>
                <w:b/>
                <w:bCs/>
                <w:noProof/>
              </w:rPr>
              <w:t>2.3 Canada</w:t>
            </w:r>
            <w:r>
              <w:rPr>
                <w:noProof/>
                <w:webHidden/>
              </w:rPr>
              <w:tab/>
            </w:r>
            <w:r>
              <w:rPr>
                <w:noProof/>
                <w:webHidden/>
              </w:rPr>
              <w:fldChar w:fldCharType="begin"/>
            </w:r>
            <w:r>
              <w:rPr>
                <w:noProof/>
                <w:webHidden/>
              </w:rPr>
              <w:instrText xml:space="preserve"> PAGEREF _Toc217444788 \h </w:instrText>
            </w:r>
            <w:r>
              <w:rPr>
                <w:noProof/>
                <w:webHidden/>
              </w:rPr>
            </w:r>
            <w:r>
              <w:rPr>
                <w:noProof/>
                <w:webHidden/>
              </w:rPr>
              <w:fldChar w:fldCharType="separate"/>
            </w:r>
            <w:r>
              <w:rPr>
                <w:noProof/>
                <w:webHidden/>
              </w:rPr>
              <w:t>3</w:t>
            </w:r>
            <w:r>
              <w:rPr>
                <w:noProof/>
                <w:webHidden/>
              </w:rPr>
              <w:fldChar w:fldCharType="end"/>
            </w:r>
          </w:hyperlink>
        </w:p>
        <w:p w14:paraId="50B4EF9E" w14:textId="63722946" w:rsidR="002F4C22" w:rsidRDefault="002F4C22">
          <w:pPr>
            <w:pStyle w:val="TOC1"/>
            <w:tabs>
              <w:tab w:val="right" w:leader="dot" w:pos="9350"/>
            </w:tabs>
            <w:rPr>
              <w:rFonts w:eastAsiaTheme="minorEastAsia"/>
              <w:noProof/>
              <w:lang w:eastAsia="en-GB"/>
            </w:rPr>
          </w:pPr>
          <w:hyperlink w:anchor="_Toc217444789" w:history="1">
            <w:r w:rsidRPr="006B39C5">
              <w:rPr>
                <w:rStyle w:val="Hyperlink"/>
                <w:rFonts w:ascii="Arial" w:hAnsi="Arial" w:cs="Arial"/>
                <w:b/>
                <w:bCs/>
                <w:noProof/>
              </w:rPr>
              <w:t>3.0 Organisation of Health Care Systems During COVID-19</w:t>
            </w:r>
            <w:r>
              <w:rPr>
                <w:noProof/>
                <w:webHidden/>
              </w:rPr>
              <w:tab/>
            </w:r>
            <w:r>
              <w:rPr>
                <w:noProof/>
                <w:webHidden/>
              </w:rPr>
              <w:fldChar w:fldCharType="begin"/>
            </w:r>
            <w:r>
              <w:rPr>
                <w:noProof/>
                <w:webHidden/>
              </w:rPr>
              <w:instrText xml:space="preserve"> PAGEREF _Toc217444789 \h </w:instrText>
            </w:r>
            <w:r>
              <w:rPr>
                <w:noProof/>
                <w:webHidden/>
              </w:rPr>
            </w:r>
            <w:r>
              <w:rPr>
                <w:noProof/>
                <w:webHidden/>
              </w:rPr>
              <w:fldChar w:fldCharType="separate"/>
            </w:r>
            <w:r>
              <w:rPr>
                <w:noProof/>
                <w:webHidden/>
              </w:rPr>
              <w:t>3</w:t>
            </w:r>
            <w:r>
              <w:rPr>
                <w:noProof/>
                <w:webHidden/>
              </w:rPr>
              <w:fldChar w:fldCharType="end"/>
            </w:r>
          </w:hyperlink>
        </w:p>
        <w:p w14:paraId="48595092" w14:textId="5DADB160" w:rsidR="002F4C22" w:rsidRDefault="002F4C22">
          <w:pPr>
            <w:pStyle w:val="TOC2"/>
            <w:tabs>
              <w:tab w:val="right" w:leader="dot" w:pos="9350"/>
            </w:tabs>
            <w:rPr>
              <w:rFonts w:eastAsiaTheme="minorEastAsia"/>
              <w:noProof/>
              <w:lang w:eastAsia="en-GB"/>
            </w:rPr>
          </w:pPr>
          <w:hyperlink w:anchor="_Toc217444790" w:history="1">
            <w:r w:rsidRPr="006B39C5">
              <w:rPr>
                <w:rStyle w:val="Hyperlink"/>
                <w:rFonts w:ascii="Arial" w:hAnsi="Arial" w:cs="Arial"/>
                <w:b/>
                <w:bCs/>
                <w:noProof/>
              </w:rPr>
              <w:t>3.1 Spain’s Health Care System and COVID-19 Response</w:t>
            </w:r>
            <w:r>
              <w:rPr>
                <w:noProof/>
                <w:webHidden/>
              </w:rPr>
              <w:tab/>
            </w:r>
            <w:r>
              <w:rPr>
                <w:noProof/>
                <w:webHidden/>
              </w:rPr>
              <w:fldChar w:fldCharType="begin"/>
            </w:r>
            <w:r>
              <w:rPr>
                <w:noProof/>
                <w:webHidden/>
              </w:rPr>
              <w:instrText xml:space="preserve"> PAGEREF _Toc217444790 \h </w:instrText>
            </w:r>
            <w:r>
              <w:rPr>
                <w:noProof/>
                <w:webHidden/>
              </w:rPr>
            </w:r>
            <w:r>
              <w:rPr>
                <w:noProof/>
                <w:webHidden/>
              </w:rPr>
              <w:fldChar w:fldCharType="separate"/>
            </w:r>
            <w:r>
              <w:rPr>
                <w:noProof/>
                <w:webHidden/>
              </w:rPr>
              <w:t>3</w:t>
            </w:r>
            <w:r>
              <w:rPr>
                <w:noProof/>
                <w:webHidden/>
              </w:rPr>
              <w:fldChar w:fldCharType="end"/>
            </w:r>
          </w:hyperlink>
        </w:p>
        <w:p w14:paraId="2574D884" w14:textId="58217638" w:rsidR="002F4C22" w:rsidRDefault="002F4C22">
          <w:pPr>
            <w:pStyle w:val="TOC2"/>
            <w:tabs>
              <w:tab w:val="right" w:leader="dot" w:pos="9350"/>
            </w:tabs>
            <w:rPr>
              <w:rFonts w:eastAsiaTheme="minorEastAsia"/>
              <w:noProof/>
              <w:lang w:eastAsia="en-GB"/>
            </w:rPr>
          </w:pPr>
          <w:hyperlink w:anchor="_Toc217444791" w:history="1">
            <w:r w:rsidRPr="006B39C5">
              <w:rPr>
                <w:rStyle w:val="Hyperlink"/>
                <w:rFonts w:ascii="Arial" w:hAnsi="Arial" w:cs="Arial"/>
                <w:b/>
                <w:bCs/>
                <w:noProof/>
              </w:rPr>
              <w:t>3.2 South Korea’s Health Care System and COVID-19 Response</w:t>
            </w:r>
            <w:r>
              <w:rPr>
                <w:noProof/>
                <w:webHidden/>
              </w:rPr>
              <w:tab/>
            </w:r>
            <w:r>
              <w:rPr>
                <w:noProof/>
                <w:webHidden/>
              </w:rPr>
              <w:fldChar w:fldCharType="begin"/>
            </w:r>
            <w:r>
              <w:rPr>
                <w:noProof/>
                <w:webHidden/>
              </w:rPr>
              <w:instrText xml:space="preserve"> PAGEREF _Toc217444791 \h </w:instrText>
            </w:r>
            <w:r>
              <w:rPr>
                <w:noProof/>
                <w:webHidden/>
              </w:rPr>
            </w:r>
            <w:r>
              <w:rPr>
                <w:noProof/>
                <w:webHidden/>
              </w:rPr>
              <w:fldChar w:fldCharType="separate"/>
            </w:r>
            <w:r>
              <w:rPr>
                <w:noProof/>
                <w:webHidden/>
              </w:rPr>
              <w:t>4</w:t>
            </w:r>
            <w:r>
              <w:rPr>
                <w:noProof/>
                <w:webHidden/>
              </w:rPr>
              <w:fldChar w:fldCharType="end"/>
            </w:r>
          </w:hyperlink>
        </w:p>
        <w:p w14:paraId="0EA313E0" w14:textId="0AD2F832" w:rsidR="002F4C22" w:rsidRDefault="002F4C22">
          <w:pPr>
            <w:pStyle w:val="TOC2"/>
            <w:tabs>
              <w:tab w:val="right" w:leader="dot" w:pos="9350"/>
            </w:tabs>
            <w:rPr>
              <w:rFonts w:eastAsiaTheme="minorEastAsia"/>
              <w:noProof/>
              <w:lang w:eastAsia="en-GB"/>
            </w:rPr>
          </w:pPr>
          <w:hyperlink w:anchor="_Toc217444792" w:history="1">
            <w:r w:rsidRPr="006B39C5">
              <w:rPr>
                <w:rStyle w:val="Hyperlink"/>
                <w:rFonts w:ascii="Arial" w:hAnsi="Arial" w:cs="Arial"/>
                <w:b/>
                <w:bCs/>
                <w:noProof/>
              </w:rPr>
              <w:t>3.3 Canada’s Health Care System and COVID-19 Response</w:t>
            </w:r>
            <w:r>
              <w:rPr>
                <w:noProof/>
                <w:webHidden/>
              </w:rPr>
              <w:tab/>
            </w:r>
            <w:r>
              <w:rPr>
                <w:noProof/>
                <w:webHidden/>
              </w:rPr>
              <w:fldChar w:fldCharType="begin"/>
            </w:r>
            <w:r>
              <w:rPr>
                <w:noProof/>
                <w:webHidden/>
              </w:rPr>
              <w:instrText xml:space="preserve"> PAGEREF _Toc217444792 \h </w:instrText>
            </w:r>
            <w:r>
              <w:rPr>
                <w:noProof/>
                <w:webHidden/>
              </w:rPr>
            </w:r>
            <w:r>
              <w:rPr>
                <w:noProof/>
                <w:webHidden/>
              </w:rPr>
              <w:fldChar w:fldCharType="separate"/>
            </w:r>
            <w:r>
              <w:rPr>
                <w:noProof/>
                <w:webHidden/>
              </w:rPr>
              <w:t>4</w:t>
            </w:r>
            <w:r>
              <w:rPr>
                <w:noProof/>
                <w:webHidden/>
              </w:rPr>
              <w:fldChar w:fldCharType="end"/>
            </w:r>
          </w:hyperlink>
        </w:p>
        <w:p w14:paraId="213E3CA3" w14:textId="3ADC9A79" w:rsidR="002F4C22" w:rsidRDefault="002F4C22">
          <w:pPr>
            <w:pStyle w:val="TOC2"/>
            <w:tabs>
              <w:tab w:val="right" w:leader="dot" w:pos="9350"/>
            </w:tabs>
            <w:rPr>
              <w:rFonts w:eastAsiaTheme="minorEastAsia"/>
              <w:noProof/>
              <w:lang w:eastAsia="en-GB"/>
            </w:rPr>
          </w:pPr>
          <w:hyperlink w:anchor="_Toc217444793" w:history="1">
            <w:r w:rsidRPr="006B39C5">
              <w:rPr>
                <w:rStyle w:val="Hyperlink"/>
                <w:rFonts w:ascii="Arial" w:hAnsi="Arial" w:cs="Arial"/>
                <w:b/>
                <w:bCs/>
                <w:noProof/>
              </w:rPr>
              <w:t>3.4 Comparative Analysis of Spain, South Korea, and Canada</w:t>
            </w:r>
            <w:r>
              <w:rPr>
                <w:noProof/>
                <w:webHidden/>
              </w:rPr>
              <w:tab/>
            </w:r>
            <w:r>
              <w:rPr>
                <w:noProof/>
                <w:webHidden/>
              </w:rPr>
              <w:fldChar w:fldCharType="begin"/>
            </w:r>
            <w:r>
              <w:rPr>
                <w:noProof/>
                <w:webHidden/>
              </w:rPr>
              <w:instrText xml:space="preserve"> PAGEREF _Toc217444793 \h </w:instrText>
            </w:r>
            <w:r>
              <w:rPr>
                <w:noProof/>
                <w:webHidden/>
              </w:rPr>
            </w:r>
            <w:r>
              <w:rPr>
                <w:noProof/>
                <w:webHidden/>
              </w:rPr>
              <w:fldChar w:fldCharType="separate"/>
            </w:r>
            <w:r>
              <w:rPr>
                <w:noProof/>
                <w:webHidden/>
              </w:rPr>
              <w:t>5</w:t>
            </w:r>
            <w:r>
              <w:rPr>
                <w:noProof/>
                <w:webHidden/>
              </w:rPr>
              <w:fldChar w:fldCharType="end"/>
            </w:r>
          </w:hyperlink>
        </w:p>
        <w:p w14:paraId="6BA8FEE5" w14:textId="08E9048B" w:rsidR="002F4C22" w:rsidRDefault="002F4C22">
          <w:pPr>
            <w:pStyle w:val="TOC3"/>
            <w:tabs>
              <w:tab w:val="right" w:leader="dot" w:pos="9350"/>
            </w:tabs>
            <w:rPr>
              <w:rFonts w:eastAsiaTheme="minorEastAsia"/>
              <w:noProof/>
              <w:lang w:eastAsia="en-GB"/>
            </w:rPr>
          </w:pPr>
          <w:hyperlink w:anchor="_Toc217444794" w:history="1">
            <w:r w:rsidRPr="006B39C5">
              <w:rPr>
                <w:rStyle w:val="Hyperlink"/>
                <w:rFonts w:ascii="Arial" w:hAnsi="Arial" w:cs="Arial"/>
                <w:b/>
                <w:bCs/>
                <w:noProof/>
              </w:rPr>
              <w:t>3.4.1 Governance Models and Pandemic Coordination</w:t>
            </w:r>
            <w:r>
              <w:rPr>
                <w:noProof/>
                <w:webHidden/>
              </w:rPr>
              <w:tab/>
            </w:r>
            <w:r>
              <w:rPr>
                <w:noProof/>
                <w:webHidden/>
              </w:rPr>
              <w:fldChar w:fldCharType="begin"/>
            </w:r>
            <w:r>
              <w:rPr>
                <w:noProof/>
                <w:webHidden/>
              </w:rPr>
              <w:instrText xml:space="preserve"> PAGEREF _Toc217444794 \h </w:instrText>
            </w:r>
            <w:r>
              <w:rPr>
                <w:noProof/>
                <w:webHidden/>
              </w:rPr>
            </w:r>
            <w:r>
              <w:rPr>
                <w:noProof/>
                <w:webHidden/>
              </w:rPr>
              <w:fldChar w:fldCharType="separate"/>
            </w:r>
            <w:r>
              <w:rPr>
                <w:noProof/>
                <w:webHidden/>
              </w:rPr>
              <w:t>5</w:t>
            </w:r>
            <w:r>
              <w:rPr>
                <w:noProof/>
                <w:webHidden/>
              </w:rPr>
              <w:fldChar w:fldCharType="end"/>
            </w:r>
          </w:hyperlink>
        </w:p>
        <w:p w14:paraId="4D47948C" w14:textId="75D0746A" w:rsidR="002F4C22" w:rsidRDefault="002F4C22">
          <w:pPr>
            <w:pStyle w:val="TOC3"/>
            <w:tabs>
              <w:tab w:val="right" w:leader="dot" w:pos="9350"/>
            </w:tabs>
            <w:rPr>
              <w:rFonts w:eastAsiaTheme="minorEastAsia"/>
              <w:noProof/>
              <w:lang w:eastAsia="en-GB"/>
            </w:rPr>
          </w:pPr>
          <w:hyperlink w:anchor="_Toc217444795" w:history="1">
            <w:r w:rsidRPr="006B39C5">
              <w:rPr>
                <w:rStyle w:val="Hyperlink"/>
                <w:rFonts w:ascii="Arial" w:hAnsi="Arial" w:cs="Arial"/>
                <w:b/>
                <w:bCs/>
                <w:noProof/>
              </w:rPr>
              <w:t>3.4.2 Testing and Surveillance Capacity</w:t>
            </w:r>
            <w:r>
              <w:rPr>
                <w:noProof/>
                <w:webHidden/>
              </w:rPr>
              <w:tab/>
            </w:r>
            <w:r>
              <w:rPr>
                <w:noProof/>
                <w:webHidden/>
              </w:rPr>
              <w:fldChar w:fldCharType="begin"/>
            </w:r>
            <w:r>
              <w:rPr>
                <w:noProof/>
                <w:webHidden/>
              </w:rPr>
              <w:instrText xml:space="preserve"> PAGEREF _Toc217444795 \h </w:instrText>
            </w:r>
            <w:r>
              <w:rPr>
                <w:noProof/>
                <w:webHidden/>
              </w:rPr>
            </w:r>
            <w:r>
              <w:rPr>
                <w:noProof/>
                <w:webHidden/>
              </w:rPr>
              <w:fldChar w:fldCharType="separate"/>
            </w:r>
            <w:r>
              <w:rPr>
                <w:noProof/>
                <w:webHidden/>
              </w:rPr>
              <w:t>5</w:t>
            </w:r>
            <w:r>
              <w:rPr>
                <w:noProof/>
                <w:webHidden/>
              </w:rPr>
              <w:fldChar w:fldCharType="end"/>
            </w:r>
          </w:hyperlink>
        </w:p>
        <w:p w14:paraId="4E1A945A" w14:textId="31503C8E" w:rsidR="002F4C22" w:rsidRDefault="002F4C22">
          <w:pPr>
            <w:pStyle w:val="TOC3"/>
            <w:tabs>
              <w:tab w:val="right" w:leader="dot" w:pos="9350"/>
            </w:tabs>
            <w:rPr>
              <w:rFonts w:eastAsiaTheme="minorEastAsia"/>
              <w:noProof/>
              <w:lang w:eastAsia="en-GB"/>
            </w:rPr>
          </w:pPr>
          <w:hyperlink w:anchor="_Toc217444796" w:history="1">
            <w:r w:rsidRPr="006B39C5">
              <w:rPr>
                <w:rStyle w:val="Hyperlink"/>
                <w:rFonts w:ascii="Arial" w:hAnsi="Arial" w:cs="Arial"/>
                <w:b/>
                <w:bCs/>
                <w:noProof/>
              </w:rPr>
              <w:t>3.4.3 Hospital Capacity and Critical Care Preparedness</w:t>
            </w:r>
            <w:r>
              <w:rPr>
                <w:noProof/>
                <w:webHidden/>
              </w:rPr>
              <w:tab/>
            </w:r>
            <w:r>
              <w:rPr>
                <w:noProof/>
                <w:webHidden/>
              </w:rPr>
              <w:fldChar w:fldCharType="begin"/>
            </w:r>
            <w:r>
              <w:rPr>
                <w:noProof/>
                <w:webHidden/>
              </w:rPr>
              <w:instrText xml:space="preserve"> PAGEREF _Toc217444796 \h </w:instrText>
            </w:r>
            <w:r>
              <w:rPr>
                <w:noProof/>
                <w:webHidden/>
              </w:rPr>
            </w:r>
            <w:r>
              <w:rPr>
                <w:noProof/>
                <w:webHidden/>
              </w:rPr>
              <w:fldChar w:fldCharType="separate"/>
            </w:r>
            <w:r>
              <w:rPr>
                <w:noProof/>
                <w:webHidden/>
              </w:rPr>
              <w:t>6</w:t>
            </w:r>
            <w:r>
              <w:rPr>
                <w:noProof/>
                <w:webHidden/>
              </w:rPr>
              <w:fldChar w:fldCharType="end"/>
            </w:r>
          </w:hyperlink>
        </w:p>
        <w:p w14:paraId="6CBA2433" w14:textId="3C7585A5" w:rsidR="002F4C22" w:rsidRDefault="002F4C22">
          <w:pPr>
            <w:pStyle w:val="TOC3"/>
            <w:tabs>
              <w:tab w:val="right" w:leader="dot" w:pos="9350"/>
            </w:tabs>
            <w:rPr>
              <w:rFonts w:eastAsiaTheme="minorEastAsia"/>
              <w:noProof/>
              <w:lang w:eastAsia="en-GB"/>
            </w:rPr>
          </w:pPr>
          <w:hyperlink w:anchor="_Toc217444797" w:history="1">
            <w:r w:rsidRPr="006B39C5">
              <w:rPr>
                <w:rStyle w:val="Hyperlink"/>
                <w:rFonts w:ascii="Arial" w:hAnsi="Arial" w:cs="Arial"/>
                <w:b/>
                <w:bCs/>
                <w:noProof/>
              </w:rPr>
              <w:t>3.4.4 Public Health Interventions and Mobility Restrictions</w:t>
            </w:r>
            <w:r>
              <w:rPr>
                <w:noProof/>
                <w:webHidden/>
              </w:rPr>
              <w:tab/>
            </w:r>
            <w:r>
              <w:rPr>
                <w:noProof/>
                <w:webHidden/>
              </w:rPr>
              <w:fldChar w:fldCharType="begin"/>
            </w:r>
            <w:r>
              <w:rPr>
                <w:noProof/>
                <w:webHidden/>
              </w:rPr>
              <w:instrText xml:space="preserve"> PAGEREF _Toc217444797 \h </w:instrText>
            </w:r>
            <w:r>
              <w:rPr>
                <w:noProof/>
                <w:webHidden/>
              </w:rPr>
            </w:r>
            <w:r>
              <w:rPr>
                <w:noProof/>
                <w:webHidden/>
              </w:rPr>
              <w:fldChar w:fldCharType="separate"/>
            </w:r>
            <w:r>
              <w:rPr>
                <w:noProof/>
                <w:webHidden/>
              </w:rPr>
              <w:t>6</w:t>
            </w:r>
            <w:r>
              <w:rPr>
                <w:noProof/>
                <w:webHidden/>
              </w:rPr>
              <w:fldChar w:fldCharType="end"/>
            </w:r>
          </w:hyperlink>
        </w:p>
        <w:p w14:paraId="3C0B9AC2" w14:textId="024D5C01" w:rsidR="002F4C22" w:rsidRDefault="002F4C22">
          <w:pPr>
            <w:pStyle w:val="TOC3"/>
            <w:tabs>
              <w:tab w:val="right" w:leader="dot" w:pos="9350"/>
            </w:tabs>
            <w:rPr>
              <w:rFonts w:eastAsiaTheme="minorEastAsia"/>
              <w:noProof/>
              <w:lang w:eastAsia="en-GB"/>
            </w:rPr>
          </w:pPr>
          <w:hyperlink w:anchor="_Toc217444798" w:history="1">
            <w:r w:rsidRPr="006B39C5">
              <w:rPr>
                <w:rStyle w:val="Hyperlink"/>
                <w:rFonts w:ascii="Arial" w:hAnsi="Arial" w:cs="Arial"/>
                <w:b/>
                <w:bCs/>
                <w:noProof/>
              </w:rPr>
              <w:t>3.4.5 Vaccination Rollout</w:t>
            </w:r>
            <w:r>
              <w:rPr>
                <w:noProof/>
                <w:webHidden/>
              </w:rPr>
              <w:tab/>
            </w:r>
            <w:r>
              <w:rPr>
                <w:noProof/>
                <w:webHidden/>
              </w:rPr>
              <w:fldChar w:fldCharType="begin"/>
            </w:r>
            <w:r>
              <w:rPr>
                <w:noProof/>
                <w:webHidden/>
              </w:rPr>
              <w:instrText xml:space="preserve"> PAGEREF _Toc217444798 \h </w:instrText>
            </w:r>
            <w:r>
              <w:rPr>
                <w:noProof/>
                <w:webHidden/>
              </w:rPr>
            </w:r>
            <w:r>
              <w:rPr>
                <w:noProof/>
                <w:webHidden/>
              </w:rPr>
              <w:fldChar w:fldCharType="separate"/>
            </w:r>
            <w:r>
              <w:rPr>
                <w:noProof/>
                <w:webHidden/>
              </w:rPr>
              <w:t>6</w:t>
            </w:r>
            <w:r>
              <w:rPr>
                <w:noProof/>
                <w:webHidden/>
              </w:rPr>
              <w:fldChar w:fldCharType="end"/>
            </w:r>
          </w:hyperlink>
        </w:p>
        <w:p w14:paraId="243CE36A" w14:textId="67079728" w:rsidR="002F4C22" w:rsidRDefault="002F4C22">
          <w:pPr>
            <w:pStyle w:val="TOC3"/>
            <w:tabs>
              <w:tab w:val="right" w:leader="dot" w:pos="9350"/>
            </w:tabs>
            <w:rPr>
              <w:rFonts w:eastAsiaTheme="minorEastAsia"/>
              <w:noProof/>
              <w:lang w:eastAsia="en-GB"/>
            </w:rPr>
          </w:pPr>
          <w:hyperlink w:anchor="_Toc217444799" w:history="1">
            <w:r w:rsidRPr="006B39C5">
              <w:rPr>
                <w:rStyle w:val="Hyperlink"/>
                <w:rFonts w:ascii="Arial" w:hAnsi="Arial" w:cs="Arial"/>
                <w:b/>
                <w:bCs/>
                <w:noProof/>
              </w:rPr>
              <w:t>3.4.6 Communication and Public Trust</w:t>
            </w:r>
            <w:r>
              <w:rPr>
                <w:noProof/>
                <w:webHidden/>
              </w:rPr>
              <w:tab/>
            </w:r>
            <w:r>
              <w:rPr>
                <w:noProof/>
                <w:webHidden/>
              </w:rPr>
              <w:fldChar w:fldCharType="begin"/>
            </w:r>
            <w:r>
              <w:rPr>
                <w:noProof/>
                <w:webHidden/>
              </w:rPr>
              <w:instrText xml:space="preserve"> PAGEREF _Toc217444799 \h </w:instrText>
            </w:r>
            <w:r>
              <w:rPr>
                <w:noProof/>
                <w:webHidden/>
              </w:rPr>
            </w:r>
            <w:r>
              <w:rPr>
                <w:noProof/>
                <w:webHidden/>
              </w:rPr>
              <w:fldChar w:fldCharType="separate"/>
            </w:r>
            <w:r>
              <w:rPr>
                <w:noProof/>
                <w:webHidden/>
              </w:rPr>
              <w:t>7</w:t>
            </w:r>
            <w:r>
              <w:rPr>
                <w:noProof/>
                <w:webHidden/>
              </w:rPr>
              <w:fldChar w:fldCharType="end"/>
            </w:r>
          </w:hyperlink>
        </w:p>
        <w:p w14:paraId="4EED124E" w14:textId="68CCAEA4" w:rsidR="002F4C22" w:rsidRDefault="002F4C22">
          <w:pPr>
            <w:pStyle w:val="TOC3"/>
            <w:tabs>
              <w:tab w:val="right" w:leader="dot" w:pos="9350"/>
            </w:tabs>
            <w:rPr>
              <w:rFonts w:eastAsiaTheme="minorEastAsia"/>
              <w:noProof/>
              <w:lang w:eastAsia="en-GB"/>
            </w:rPr>
          </w:pPr>
          <w:hyperlink w:anchor="_Toc217444800" w:history="1">
            <w:r w:rsidRPr="006B39C5">
              <w:rPr>
                <w:rStyle w:val="Hyperlink"/>
                <w:rFonts w:ascii="Arial" w:hAnsi="Arial" w:cs="Arial"/>
                <w:b/>
                <w:bCs/>
                <w:noProof/>
              </w:rPr>
              <w:t>3.4.7 Overall System Performance</w:t>
            </w:r>
            <w:r>
              <w:rPr>
                <w:noProof/>
                <w:webHidden/>
              </w:rPr>
              <w:tab/>
            </w:r>
            <w:r>
              <w:rPr>
                <w:noProof/>
                <w:webHidden/>
              </w:rPr>
              <w:fldChar w:fldCharType="begin"/>
            </w:r>
            <w:r>
              <w:rPr>
                <w:noProof/>
                <w:webHidden/>
              </w:rPr>
              <w:instrText xml:space="preserve"> PAGEREF _Toc217444800 \h </w:instrText>
            </w:r>
            <w:r>
              <w:rPr>
                <w:noProof/>
                <w:webHidden/>
              </w:rPr>
            </w:r>
            <w:r>
              <w:rPr>
                <w:noProof/>
                <w:webHidden/>
              </w:rPr>
              <w:fldChar w:fldCharType="separate"/>
            </w:r>
            <w:r>
              <w:rPr>
                <w:noProof/>
                <w:webHidden/>
              </w:rPr>
              <w:t>7</w:t>
            </w:r>
            <w:r>
              <w:rPr>
                <w:noProof/>
                <w:webHidden/>
              </w:rPr>
              <w:fldChar w:fldCharType="end"/>
            </w:r>
          </w:hyperlink>
        </w:p>
        <w:p w14:paraId="77E40809" w14:textId="42AB50E1" w:rsidR="002F4C22" w:rsidRDefault="002F4C22">
          <w:pPr>
            <w:pStyle w:val="TOC1"/>
            <w:tabs>
              <w:tab w:val="right" w:leader="dot" w:pos="9350"/>
            </w:tabs>
            <w:rPr>
              <w:rFonts w:eastAsiaTheme="minorEastAsia"/>
              <w:noProof/>
              <w:lang w:eastAsia="en-GB"/>
            </w:rPr>
          </w:pPr>
          <w:hyperlink w:anchor="_Toc217444801" w:history="1">
            <w:r w:rsidRPr="006B39C5">
              <w:rPr>
                <w:rStyle w:val="Hyperlink"/>
                <w:rFonts w:ascii="Arial" w:hAnsi="Arial" w:cs="Arial"/>
                <w:b/>
                <w:bCs/>
                <w:noProof/>
              </w:rPr>
              <w:t>4.0 Leadership Theories: Conceptual Framework</w:t>
            </w:r>
            <w:r>
              <w:rPr>
                <w:noProof/>
                <w:webHidden/>
              </w:rPr>
              <w:tab/>
            </w:r>
            <w:r>
              <w:rPr>
                <w:noProof/>
                <w:webHidden/>
              </w:rPr>
              <w:fldChar w:fldCharType="begin"/>
            </w:r>
            <w:r>
              <w:rPr>
                <w:noProof/>
                <w:webHidden/>
              </w:rPr>
              <w:instrText xml:space="preserve"> PAGEREF _Toc217444801 \h </w:instrText>
            </w:r>
            <w:r>
              <w:rPr>
                <w:noProof/>
                <w:webHidden/>
              </w:rPr>
            </w:r>
            <w:r>
              <w:rPr>
                <w:noProof/>
                <w:webHidden/>
              </w:rPr>
              <w:fldChar w:fldCharType="separate"/>
            </w:r>
            <w:r>
              <w:rPr>
                <w:noProof/>
                <w:webHidden/>
              </w:rPr>
              <w:t>8</w:t>
            </w:r>
            <w:r>
              <w:rPr>
                <w:noProof/>
                <w:webHidden/>
              </w:rPr>
              <w:fldChar w:fldCharType="end"/>
            </w:r>
          </w:hyperlink>
        </w:p>
        <w:p w14:paraId="021528F9" w14:textId="68BDAA12" w:rsidR="002F4C22" w:rsidRDefault="002F4C22">
          <w:pPr>
            <w:pStyle w:val="TOC1"/>
            <w:tabs>
              <w:tab w:val="right" w:leader="dot" w:pos="9350"/>
            </w:tabs>
            <w:rPr>
              <w:rFonts w:eastAsiaTheme="minorEastAsia"/>
              <w:noProof/>
              <w:lang w:eastAsia="en-GB"/>
            </w:rPr>
          </w:pPr>
          <w:hyperlink w:anchor="_Toc217444802" w:history="1">
            <w:r w:rsidRPr="006B39C5">
              <w:rPr>
                <w:rStyle w:val="Hyperlink"/>
                <w:rFonts w:ascii="Arial" w:hAnsi="Arial" w:cs="Arial"/>
                <w:b/>
                <w:bCs/>
                <w:noProof/>
              </w:rPr>
              <w:t>5.0 Leadership Analysis of Key Figures</w:t>
            </w:r>
            <w:r>
              <w:rPr>
                <w:noProof/>
                <w:webHidden/>
              </w:rPr>
              <w:tab/>
            </w:r>
            <w:r>
              <w:rPr>
                <w:noProof/>
                <w:webHidden/>
              </w:rPr>
              <w:fldChar w:fldCharType="begin"/>
            </w:r>
            <w:r>
              <w:rPr>
                <w:noProof/>
                <w:webHidden/>
              </w:rPr>
              <w:instrText xml:space="preserve"> PAGEREF _Toc217444802 \h </w:instrText>
            </w:r>
            <w:r>
              <w:rPr>
                <w:noProof/>
                <w:webHidden/>
              </w:rPr>
            </w:r>
            <w:r>
              <w:rPr>
                <w:noProof/>
                <w:webHidden/>
              </w:rPr>
              <w:fldChar w:fldCharType="separate"/>
            </w:r>
            <w:r>
              <w:rPr>
                <w:noProof/>
                <w:webHidden/>
              </w:rPr>
              <w:t>9</w:t>
            </w:r>
            <w:r>
              <w:rPr>
                <w:noProof/>
                <w:webHidden/>
              </w:rPr>
              <w:fldChar w:fldCharType="end"/>
            </w:r>
          </w:hyperlink>
        </w:p>
        <w:p w14:paraId="00D19AEC" w14:textId="5C2E8048" w:rsidR="002F4C22" w:rsidRDefault="002F4C22">
          <w:pPr>
            <w:pStyle w:val="TOC2"/>
            <w:tabs>
              <w:tab w:val="right" w:leader="dot" w:pos="9350"/>
            </w:tabs>
            <w:rPr>
              <w:rFonts w:eastAsiaTheme="minorEastAsia"/>
              <w:noProof/>
              <w:lang w:eastAsia="en-GB"/>
            </w:rPr>
          </w:pPr>
          <w:hyperlink w:anchor="_Toc217444803" w:history="1">
            <w:r w:rsidRPr="006B39C5">
              <w:rPr>
                <w:rStyle w:val="Hyperlink"/>
                <w:rFonts w:ascii="Arial" w:hAnsi="Arial" w:cs="Arial"/>
                <w:b/>
                <w:bCs/>
                <w:noProof/>
              </w:rPr>
              <w:t>5.1 Spain: Salvador Illa’s Leadership during COVID-19</w:t>
            </w:r>
            <w:r>
              <w:rPr>
                <w:noProof/>
                <w:webHidden/>
              </w:rPr>
              <w:tab/>
            </w:r>
            <w:r>
              <w:rPr>
                <w:noProof/>
                <w:webHidden/>
              </w:rPr>
              <w:fldChar w:fldCharType="begin"/>
            </w:r>
            <w:r>
              <w:rPr>
                <w:noProof/>
                <w:webHidden/>
              </w:rPr>
              <w:instrText xml:space="preserve"> PAGEREF _Toc217444803 \h </w:instrText>
            </w:r>
            <w:r>
              <w:rPr>
                <w:noProof/>
                <w:webHidden/>
              </w:rPr>
            </w:r>
            <w:r>
              <w:rPr>
                <w:noProof/>
                <w:webHidden/>
              </w:rPr>
              <w:fldChar w:fldCharType="separate"/>
            </w:r>
            <w:r>
              <w:rPr>
                <w:noProof/>
                <w:webHidden/>
              </w:rPr>
              <w:t>9</w:t>
            </w:r>
            <w:r>
              <w:rPr>
                <w:noProof/>
                <w:webHidden/>
              </w:rPr>
              <w:fldChar w:fldCharType="end"/>
            </w:r>
          </w:hyperlink>
        </w:p>
        <w:p w14:paraId="043107A3" w14:textId="2D6D57BC" w:rsidR="002F4C22" w:rsidRDefault="002F4C22">
          <w:pPr>
            <w:pStyle w:val="TOC2"/>
            <w:tabs>
              <w:tab w:val="right" w:leader="dot" w:pos="9350"/>
            </w:tabs>
            <w:rPr>
              <w:rFonts w:eastAsiaTheme="minorEastAsia"/>
              <w:noProof/>
              <w:lang w:eastAsia="en-GB"/>
            </w:rPr>
          </w:pPr>
          <w:hyperlink w:anchor="_Toc217444804" w:history="1">
            <w:r w:rsidRPr="006B39C5">
              <w:rPr>
                <w:rStyle w:val="Hyperlink"/>
                <w:rFonts w:ascii="Arial" w:hAnsi="Arial" w:cs="Arial"/>
                <w:b/>
                <w:bCs/>
                <w:noProof/>
              </w:rPr>
              <w:t>5.2 South Korea: Leadership of Prime Minister Chung Sye-kyun</w:t>
            </w:r>
            <w:r>
              <w:rPr>
                <w:noProof/>
                <w:webHidden/>
              </w:rPr>
              <w:tab/>
            </w:r>
            <w:r>
              <w:rPr>
                <w:noProof/>
                <w:webHidden/>
              </w:rPr>
              <w:fldChar w:fldCharType="begin"/>
            </w:r>
            <w:r>
              <w:rPr>
                <w:noProof/>
                <w:webHidden/>
              </w:rPr>
              <w:instrText xml:space="preserve"> PAGEREF _Toc217444804 \h </w:instrText>
            </w:r>
            <w:r>
              <w:rPr>
                <w:noProof/>
                <w:webHidden/>
              </w:rPr>
            </w:r>
            <w:r>
              <w:rPr>
                <w:noProof/>
                <w:webHidden/>
              </w:rPr>
              <w:fldChar w:fldCharType="separate"/>
            </w:r>
            <w:r>
              <w:rPr>
                <w:noProof/>
                <w:webHidden/>
              </w:rPr>
              <w:t>11</w:t>
            </w:r>
            <w:r>
              <w:rPr>
                <w:noProof/>
                <w:webHidden/>
              </w:rPr>
              <w:fldChar w:fldCharType="end"/>
            </w:r>
          </w:hyperlink>
        </w:p>
        <w:p w14:paraId="67FEAFA7" w14:textId="5D9E05A0" w:rsidR="002F4C22" w:rsidRDefault="002F4C22">
          <w:pPr>
            <w:pStyle w:val="TOC2"/>
            <w:tabs>
              <w:tab w:val="right" w:leader="dot" w:pos="9350"/>
            </w:tabs>
            <w:rPr>
              <w:rFonts w:eastAsiaTheme="minorEastAsia"/>
              <w:noProof/>
              <w:lang w:eastAsia="en-GB"/>
            </w:rPr>
          </w:pPr>
          <w:hyperlink w:anchor="_Toc217444805" w:history="1">
            <w:r w:rsidRPr="006B39C5">
              <w:rPr>
                <w:rStyle w:val="Hyperlink"/>
                <w:rFonts w:ascii="Arial" w:hAnsi="Arial" w:cs="Arial"/>
                <w:b/>
                <w:bCs/>
                <w:noProof/>
              </w:rPr>
              <w:t>5.3 Canada: Leadership of Prime Minister Justin Trudeau</w:t>
            </w:r>
            <w:r>
              <w:rPr>
                <w:noProof/>
                <w:webHidden/>
              </w:rPr>
              <w:tab/>
            </w:r>
            <w:r>
              <w:rPr>
                <w:noProof/>
                <w:webHidden/>
              </w:rPr>
              <w:fldChar w:fldCharType="begin"/>
            </w:r>
            <w:r>
              <w:rPr>
                <w:noProof/>
                <w:webHidden/>
              </w:rPr>
              <w:instrText xml:space="preserve"> PAGEREF _Toc217444805 \h </w:instrText>
            </w:r>
            <w:r>
              <w:rPr>
                <w:noProof/>
                <w:webHidden/>
              </w:rPr>
            </w:r>
            <w:r>
              <w:rPr>
                <w:noProof/>
                <w:webHidden/>
              </w:rPr>
              <w:fldChar w:fldCharType="separate"/>
            </w:r>
            <w:r>
              <w:rPr>
                <w:noProof/>
                <w:webHidden/>
              </w:rPr>
              <w:t>12</w:t>
            </w:r>
            <w:r>
              <w:rPr>
                <w:noProof/>
                <w:webHidden/>
              </w:rPr>
              <w:fldChar w:fldCharType="end"/>
            </w:r>
          </w:hyperlink>
        </w:p>
        <w:p w14:paraId="30A596A2" w14:textId="57C68573" w:rsidR="002F4C22" w:rsidRDefault="002F4C22">
          <w:pPr>
            <w:pStyle w:val="TOC1"/>
            <w:tabs>
              <w:tab w:val="right" w:leader="dot" w:pos="9350"/>
            </w:tabs>
            <w:rPr>
              <w:rFonts w:eastAsiaTheme="minorEastAsia"/>
              <w:noProof/>
              <w:lang w:eastAsia="en-GB"/>
            </w:rPr>
          </w:pPr>
          <w:hyperlink w:anchor="_Toc217444806" w:history="1">
            <w:r w:rsidRPr="006B39C5">
              <w:rPr>
                <w:rStyle w:val="Hyperlink"/>
                <w:rFonts w:ascii="Arial" w:hAnsi="Arial" w:cs="Arial"/>
                <w:b/>
                <w:bCs/>
                <w:noProof/>
              </w:rPr>
              <w:t>6.0 Comparative Leadership Analysis</w:t>
            </w:r>
            <w:r>
              <w:rPr>
                <w:noProof/>
                <w:webHidden/>
              </w:rPr>
              <w:tab/>
            </w:r>
            <w:r>
              <w:rPr>
                <w:noProof/>
                <w:webHidden/>
              </w:rPr>
              <w:fldChar w:fldCharType="begin"/>
            </w:r>
            <w:r>
              <w:rPr>
                <w:noProof/>
                <w:webHidden/>
              </w:rPr>
              <w:instrText xml:space="preserve"> PAGEREF _Toc217444806 \h </w:instrText>
            </w:r>
            <w:r>
              <w:rPr>
                <w:noProof/>
                <w:webHidden/>
              </w:rPr>
            </w:r>
            <w:r>
              <w:rPr>
                <w:noProof/>
                <w:webHidden/>
              </w:rPr>
              <w:fldChar w:fldCharType="separate"/>
            </w:r>
            <w:r>
              <w:rPr>
                <w:noProof/>
                <w:webHidden/>
              </w:rPr>
              <w:t>14</w:t>
            </w:r>
            <w:r>
              <w:rPr>
                <w:noProof/>
                <w:webHidden/>
              </w:rPr>
              <w:fldChar w:fldCharType="end"/>
            </w:r>
          </w:hyperlink>
        </w:p>
        <w:p w14:paraId="5B907F4B" w14:textId="22F784CC" w:rsidR="002F4C22" w:rsidRDefault="002F4C22">
          <w:pPr>
            <w:pStyle w:val="TOC1"/>
            <w:tabs>
              <w:tab w:val="right" w:leader="dot" w:pos="9350"/>
            </w:tabs>
            <w:rPr>
              <w:rFonts w:eastAsiaTheme="minorEastAsia"/>
              <w:noProof/>
              <w:lang w:eastAsia="en-GB"/>
            </w:rPr>
          </w:pPr>
          <w:hyperlink w:anchor="_Toc217444807" w:history="1">
            <w:r w:rsidRPr="006B39C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_Toc217444807 \h </w:instrText>
            </w:r>
            <w:r>
              <w:rPr>
                <w:noProof/>
                <w:webHidden/>
              </w:rPr>
            </w:r>
            <w:r>
              <w:rPr>
                <w:noProof/>
                <w:webHidden/>
              </w:rPr>
              <w:fldChar w:fldCharType="separate"/>
            </w:r>
            <w:r>
              <w:rPr>
                <w:noProof/>
                <w:webHidden/>
              </w:rPr>
              <w:t>15</w:t>
            </w:r>
            <w:r>
              <w:rPr>
                <w:noProof/>
                <w:webHidden/>
              </w:rPr>
              <w:fldChar w:fldCharType="end"/>
            </w:r>
          </w:hyperlink>
        </w:p>
        <w:p w14:paraId="51705429" w14:textId="13907968" w:rsidR="002F4C22" w:rsidRDefault="002F4C22">
          <w:pPr>
            <w:pStyle w:val="TOC1"/>
            <w:tabs>
              <w:tab w:val="right" w:leader="dot" w:pos="9350"/>
            </w:tabs>
            <w:rPr>
              <w:rFonts w:eastAsiaTheme="minorEastAsia"/>
              <w:noProof/>
              <w:lang w:eastAsia="en-GB"/>
            </w:rPr>
          </w:pPr>
          <w:hyperlink w:anchor="_Toc217444808" w:history="1">
            <w:r w:rsidRPr="006B39C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_Toc217444808 \h </w:instrText>
            </w:r>
            <w:r>
              <w:rPr>
                <w:noProof/>
                <w:webHidden/>
              </w:rPr>
            </w:r>
            <w:r>
              <w:rPr>
                <w:noProof/>
                <w:webHidden/>
              </w:rPr>
              <w:fldChar w:fldCharType="separate"/>
            </w:r>
            <w:r>
              <w:rPr>
                <w:noProof/>
                <w:webHidden/>
              </w:rPr>
              <w:t>17</w:t>
            </w:r>
            <w:r>
              <w:rPr>
                <w:noProof/>
                <w:webHidden/>
              </w:rPr>
              <w:fldChar w:fldCharType="end"/>
            </w:r>
          </w:hyperlink>
        </w:p>
        <w:p w14:paraId="260469D5" w14:textId="5D5982A8" w:rsidR="00F63DA1" w:rsidRPr="003C2796" w:rsidRDefault="00F63DA1" w:rsidP="00054784">
          <w:pPr>
            <w:spacing w:line="360" w:lineRule="auto"/>
            <w:rPr>
              <w:rFonts w:ascii="Arial" w:hAnsi="Arial" w:cs="Arial"/>
              <w:sz w:val="20"/>
              <w:szCs w:val="20"/>
            </w:rPr>
          </w:pPr>
          <w:r w:rsidRPr="003C2796">
            <w:rPr>
              <w:rFonts w:ascii="Arial" w:hAnsi="Arial" w:cs="Arial"/>
              <w:noProof/>
              <w:sz w:val="20"/>
              <w:szCs w:val="20"/>
            </w:rPr>
            <w:fldChar w:fldCharType="end"/>
          </w:r>
        </w:p>
      </w:sdtContent>
    </w:sdt>
    <w:p w14:paraId="59A4D7AC" w14:textId="77777777" w:rsidR="00F34341" w:rsidRPr="003C2796" w:rsidRDefault="00F34341" w:rsidP="00054784">
      <w:pPr>
        <w:pStyle w:val="Heading1"/>
        <w:spacing w:line="360" w:lineRule="auto"/>
        <w:rPr>
          <w:rFonts w:ascii="Arial" w:hAnsi="Arial" w:cs="Arial"/>
          <w:b/>
          <w:bCs/>
          <w:color w:val="auto"/>
          <w:sz w:val="20"/>
          <w:szCs w:val="20"/>
        </w:rPr>
        <w:sectPr w:rsidR="00F34341" w:rsidRPr="003C2796">
          <w:footerReference w:type="default" r:id="rId9"/>
          <w:pgSz w:w="12240" w:h="15840"/>
          <w:pgMar w:top="1440" w:right="1440" w:bottom="1440" w:left="1440" w:header="720" w:footer="720" w:gutter="0"/>
          <w:cols w:space="720"/>
          <w:docGrid w:linePitch="360"/>
        </w:sectPr>
      </w:pPr>
    </w:p>
    <w:p w14:paraId="5E0CE735" w14:textId="3013AAB6" w:rsidR="00850882" w:rsidRPr="003C2796" w:rsidRDefault="00850882" w:rsidP="00054784">
      <w:pPr>
        <w:pStyle w:val="Heading1"/>
        <w:spacing w:line="360" w:lineRule="auto"/>
        <w:rPr>
          <w:rFonts w:ascii="Arial" w:hAnsi="Arial" w:cs="Arial"/>
          <w:b/>
          <w:bCs/>
          <w:color w:val="auto"/>
          <w:sz w:val="22"/>
          <w:szCs w:val="22"/>
        </w:rPr>
      </w:pPr>
      <w:bookmarkStart w:id="0" w:name="_Toc217444784"/>
      <w:r w:rsidRPr="003C2796">
        <w:rPr>
          <w:rFonts w:ascii="Arial" w:hAnsi="Arial" w:cs="Arial"/>
          <w:b/>
          <w:bCs/>
          <w:color w:val="auto"/>
          <w:sz w:val="22"/>
          <w:szCs w:val="22"/>
        </w:rPr>
        <w:lastRenderedPageBreak/>
        <w:t>1.0 Introduction</w:t>
      </w:r>
      <w:bookmarkEnd w:id="0"/>
      <w:r w:rsidRPr="003C2796">
        <w:rPr>
          <w:rFonts w:ascii="Arial" w:hAnsi="Arial" w:cs="Arial"/>
          <w:b/>
          <w:bCs/>
          <w:color w:val="auto"/>
          <w:sz w:val="22"/>
          <w:szCs w:val="22"/>
        </w:rPr>
        <w:t xml:space="preserve"> </w:t>
      </w:r>
    </w:p>
    <w:p w14:paraId="6FE405BA" w14:textId="31D94500" w:rsidR="00A8363A"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 xml:space="preserve">According to Ciotti et al. (2020), the COVID-19 pandemic is one of the most complicated international health </w:t>
      </w:r>
      <w:r w:rsidR="00463141" w:rsidRPr="003C2796">
        <w:rPr>
          <w:rFonts w:ascii="Arial" w:hAnsi="Arial" w:cs="Arial"/>
          <w:sz w:val="22"/>
          <w:szCs w:val="22"/>
        </w:rPr>
        <w:t>crises</w:t>
      </w:r>
      <w:r w:rsidRPr="003C2796">
        <w:rPr>
          <w:rFonts w:ascii="Arial" w:hAnsi="Arial" w:cs="Arial"/>
          <w:sz w:val="22"/>
          <w:szCs w:val="22"/>
        </w:rPr>
        <w:t xml:space="preserve"> of the 21st century, which challenged health systems across the world in terms of resilience, flexibility, and leadership. Even though the SARS-CoV-2 virus was transmitted worldwide at an unprecedented pace of transmission, the response of countries was highly unequal because of the organisation of the health system, the governance structure, leadership style, and the degree of centralisation (W</w:t>
      </w:r>
      <w:r w:rsidR="00816A4F" w:rsidRPr="003C2796">
        <w:rPr>
          <w:rFonts w:ascii="Arial" w:hAnsi="Arial" w:cs="Arial"/>
          <w:sz w:val="22"/>
          <w:szCs w:val="22"/>
        </w:rPr>
        <w:t>HO</w:t>
      </w:r>
      <w:r w:rsidRPr="003C2796">
        <w:rPr>
          <w:rFonts w:ascii="Arial" w:hAnsi="Arial" w:cs="Arial"/>
          <w:sz w:val="22"/>
          <w:szCs w:val="22"/>
        </w:rPr>
        <w:t>, 2020). The response of countries with opposite political systems and health systems models to the pandemic can give a lot of insights to future health emergency preparedness of the population.</w:t>
      </w:r>
    </w:p>
    <w:p w14:paraId="19BC90B5" w14:textId="7801DAE2" w:rsidR="00A8363A"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Three such jurisdictions that have vastly different health care governance arrangements are Spain, South Korea and Canada. Spain has a decentralised National Health System, and the autonomous communities have a lot of responsibilities in delivering health services, which makes it especially difficult to coordinate in emergencies (OECD, 2021). South Korea, in contrast, has an extremely centralised and technologically integrated national public health system, which allowed it to mobilise the capacities of testing, surveillance, and contact tracing extremely quickly (</w:t>
      </w:r>
      <w:r w:rsidR="004864C3" w:rsidRPr="003C2796">
        <w:rPr>
          <w:rFonts w:ascii="Arial" w:hAnsi="Arial" w:cs="Arial"/>
          <w:sz w:val="22"/>
          <w:szCs w:val="22"/>
        </w:rPr>
        <w:t>KDCA</w:t>
      </w:r>
      <w:r w:rsidRPr="003C2796">
        <w:rPr>
          <w:rFonts w:ascii="Arial" w:hAnsi="Arial" w:cs="Arial"/>
          <w:sz w:val="22"/>
          <w:szCs w:val="22"/>
        </w:rPr>
        <w:t>, 2020). The Canadian health system is among the most decentralised health systems in the OECD countries with provinces and territories making the major decisions on health care and the federal government planning the national policies and procurement during emergency situations (Government of Canada, 2021).</w:t>
      </w:r>
    </w:p>
    <w:p w14:paraId="72082506" w14:textId="0848B0D5" w:rsidR="00A8363A"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 xml:space="preserve">The pandemic leadership also contributed to the country outcomes significantly. The findings of the WHO and the analysis of the public policy indicate that the decisive, transparent, and adaptive leadership types usually were associated with more efficient crisis management (WHO, 2022). The initial poor political ambiguity of Spain was one of the factors that made the process of containment slow, and better coordination later shaped one of the most robust European vaccination efforts. The proactive and transparent leadership practiced by South Korea was internationally acclaimed particularly due to the swift decision-making and communication to the citizens. In the meantime, the leadership in Canada aimed to strike a balance between national and provincial coordination, which led to the differences in provincial responses and, eventually, high vaccination coverage </w:t>
      </w:r>
      <w:r w:rsidR="00EE321A" w:rsidRPr="003C2796">
        <w:rPr>
          <w:rFonts w:ascii="Arial" w:hAnsi="Arial" w:cs="Arial"/>
          <w:sz w:val="22"/>
          <w:szCs w:val="22"/>
        </w:rPr>
        <w:t>(AlShurman et al., 2023).</w:t>
      </w:r>
    </w:p>
    <w:p w14:paraId="7154E5AD" w14:textId="2D7680F5" w:rsidR="00850882"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Such contrasts being considered, this report focuses on the ways in which the organi</w:t>
      </w:r>
      <w:r w:rsidR="0044362E" w:rsidRPr="003C2796">
        <w:rPr>
          <w:rFonts w:ascii="Arial" w:hAnsi="Arial" w:cs="Arial"/>
          <w:sz w:val="22"/>
          <w:szCs w:val="22"/>
        </w:rPr>
        <w:t>s</w:t>
      </w:r>
      <w:r w:rsidRPr="003C2796">
        <w:rPr>
          <w:rFonts w:ascii="Arial" w:hAnsi="Arial" w:cs="Arial"/>
          <w:sz w:val="22"/>
          <w:szCs w:val="22"/>
        </w:rPr>
        <w:t xml:space="preserve">ation of the health systems and the leadership approaches of the prominent political leaders influenced the reactions to the pandemic in Spain, South Korea, and Canada. The report offers a comparative </w:t>
      </w:r>
      <w:r w:rsidRPr="003C2796">
        <w:rPr>
          <w:rFonts w:ascii="Arial" w:hAnsi="Arial" w:cs="Arial"/>
          <w:sz w:val="22"/>
          <w:szCs w:val="22"/>
        </w:rPr>
        <w:lastRenderedPageBreak/>
        <w:t>analysis of the best theories of health system governance in times of crisis by combining leadership theories, such as Trait, Behavioural, Situational, Functional, and Relationship-based theories, with empirical evidence, thereby enhancing the knowledge of issues in health system governance in the global crisis.</w:t>
      </w:r>
    </w:p>
    <w:p w14:paraId="123BE945" w14:textId="2C162E12" w:rsidR="006B0374" w:rsidRPr="003C2796" w:rsidRDefault="006B0374" w:rsidP="00054784">
      <w:pPr>
        <w:pStyle w:val="Heading1"/>
        <w:spacing w:line="360" w:lineRule="auto"/>
        <w:rPr>
          <w:rFonts w:ascii="Arial" w:hAnsi="Arial" w:cs="Arial"/>
          <w:b/>
          <w:bCs/>
          <w:color w:val="auto"/>
          <w:sz w:val="22"/>
          <w:szCs w:val="22"/>
        </w:rPr>
      </w:pPr>
      <w:bookmarkStart w:id="1" w:name="_Toc217444785"/>
      <w:r w:rsidRPr="003C2796">
        <w:rPr>
          <w:rFonts w:ascii="Arial" w:hAnsi="Arial" w:cs="Arial"/>
          <w:b/>
          <w:bCs/>
          <w:color w:val="auto"/>
          <w:sz w:val="22"/>
          <w:szCs w:val="22"/>
        </w:rPr>
        <w:t>2.0 Background of the Three Jurisdictions</w:t>
      </w:r>
      <w:bookmarkEnd w:id="1"/>
    </w:p>
    <w:p w14:paraId="43ABDAE8" w14:textId="6A774FD6" w:rsidR="006B0374"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Spain, South Korea, and Canada are three nations that have rather dissimilar political frameworks and health care system designs that played a major role in their early reactionary efforts to the COVID-19 pandemic.</w:t>
      </w:r>
    </w:p>
    <w:p w14:paraId="26E4CDF9" w14:textId="44289FD3" w:rsidR="006B0374" w:rsidRPr="003C2796" w:rsidRDefault="006B0374" w:rsidP="00054784">
      <w:pPr>
        <w:pStyle w:val="Heading2"/>
        <w:spacing w:line="360" w:lineRule="auto"/>
        <w:rPr>
          <w:rFonts w:ascii="Arial" w:hAnsi="Arial" w:cs="Arial"/>
          <w:b/>
          <w:bCs/>
          <w:color w:val="auto"/>
          <w:sz w:val="22"/>
          <w:szCs w:val="22"/>
        </w:rPr>
      </w:pPr>
      <w:bookmarkStart w:id="2" w:name="_Toc217444786"/>
      <w:r w:rsidRPr="003C2796">
        <w:rPr>
          <w:rFonts w:ascii="Arial" w:hAnsi="Arial" w:cs="Arial"/>
          <w:b/>
          <w:bCs/>
          <w:color w:val="auto"/>
          <w:sz w:val="22"/>
          <w:szCs w:val="22"/>
        </w:rPr>
        <w:t>2.1 Spain</w:t>
      </w:r>
      <w:bookmarkEnd w:id="2"/>
      <w:r w:rsidRPr="003C2796">
        <w:rPr>
          <w:rFonts w:ascii="Arial" w:hAnsi="Arial" w:cs="Arial"/>
          <w:b/>
          <w:bCs/>
          <w:color w:val="auto"/>
          <w:sz w:val="22"/>
          <w:szCs w:val="22"/>
        </w:rPr>
        <w:t xml:space="preserve"> </w:t>
      </w:r>
    </w:p>
    <w:p w14:paraId="33D790C3" w14:textId="15B7F516" w:rsidR="006B0374"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Spain is a parliamentary constitutional monarchy, the governance model of which is highly decentrali</w:t>
      </w:r>
      <w:r w:rsidR="0044362E" w:rsidRPr="003C2796">
        <w:rPr>
          <w:rFonts w:ascii="Arial" w:hAnsi="Arial" w:cs="Arial"/>
          <w:sz w:val="22"/>
          <w:szCs w:val="22"/>
        </w:rPr>
        <w:t>s</w:t>
      </w:r>
      <w:r w:rsidRPr="003C2796">
        <w:rPr>
          <w:rFonts w:ascii="Arial" w:hAnsi="Arial" w:cs="Arial"/>
          <w:sz w:val="22"/>
          <w:szCs w:val="22"/>
        </w:rPr>
        <w:t>ed, and its 17 autonomous communities enjoy wide-ranged powers regarding health care planning, financing, and service provision (Greer et al., 2020). The National Health System in Spain (Sistema Nacional de Salud, SNS) is mostly publicly funded and universal, though regions tend to create difficulties in coordination in case of a nationwide emergency</w:t>
      </w:r>
      <w:r w:rsidR="008D3BE7" w:rsidRPr="003C2796">
        <w:rPr>
          <w:rFonts w:ascii="Arial" w:hAnsi="Arial" w:cs="Arial"/>
          <w:sz w:val="22"/>
          <w:szCs w:val="22"/>
        </w:rPr>
        <w:t xml:space="preserve"> (European Observatory on Health Systems and Policies, 2024).</w:t>
      </w:r>
      <w:r w:rsidRPr="003C2796">
        <w:rPr>
          <w:rFonts w:ascii="Arial" w:hAnsi="Arial" w:cs="Arial"/>
          <w:sz w:val="22"/>
          <w:szCs w:val="22"/>
        </w:rPr>
        <w:t xml:space="preserve"> In the pre-COVID-19 period, Spain possessed an excellent level of public health capacity but a low level of pandemic preparedness in part because health budgets had been cut in the austerity era (Legido-Quigley et al., 2020). At the beginning of 2020, Spain was among the countries that witnessed high rates of surges as SARS-CoV-2 started spreading. By March 2020, it was also one of the most affected nations in the world, which is why the central government declared a state of emergency to temporarily seize control over the health services in the region </w:t>
      </w:r>
      <w:r w:rsidR="00F906DB" w:rsidRPr="003C2796">
        <w:rPr>
          <w:rFonts w:ascii="Roboto" w:hAnsi="Roboto"/>
          <w:sz w:val="22"/>
          <w:szCs w:val="22"/>
          <w:shd w:val="clear" w:color="auto" w:fill="FFFFFF"/>
        </w:rPr>
        <w:t>(Ramon y Cajal, 2020)</w:t>
      </w:r>
      <w:r w:rsidRPr="003C2796">
        <w:rPr>
          <w:rFonts w:ascii="Arial" w:hAnsi="Arial" w:cs="Arial"/>
          <w:sz w:val="22"/>
          <w:szCs w:val="22"/>
        </w:rPr>
        <w:t>.</w:t>
      </w:r>
    </w:p>
    <w:p w14:paraId="028BB4CD" w14:textId="4270C84B" w:rsidR="006B0374" w:rsidRPr="003C2796" w:rsidRDefault="00934750" w:rsidP="00054784">
      <w:pPr>
        <w:pStyle w:val="Heading2"/>
        <w:spacing w:line="360" w:lineRule="auto"/>
        <w:rPr>
          <w:rFonts w:ascii="Arial" w:hAnsi="Arial" w:cs="Arial"/>
          <w:b/>
          <w:bCs/>
          <w:color w:val="auto"/>
          <w:sz w:val="22"/>
          <w:szCs w:val="22"/>
        </w:rPr>
      </w:pPr>
      <w:bookmarkStart w:id="3" w:name="_Toc217444787"/>
      <w:r w:rsidRPr="003C2796">
        <w:rPr>
          <w:rFonts w:ascii="Arial" w:hAnsi="Arial" w:cs="Arial"/>
          <w:b/>
          <w:bCs/>
          <w:color w:val="auto"/>
          <w:sz w:val="22"/>
          <w:szCs w:val="22"/>
        </w:rPr>
        <w:t>2.2 South Korea</w:t>
      </w:r>
      <w:bookmarkEnd w:id="3"/>
      <w:r w:rsidRPr="003C2796">
        <w:rPr>
          <w:rFonts w:ascii="Arial" w:hAnsi="Arial" w:cs="Arial"/>
          <w:b/>
          <w:bCs/>
          <w:color w:val="auto"/>
          <w:sz w:val="22"/>
          <w:szCs w:val="22"/>
        </w:rPr>
        <w:t xml:space="preserve"> </w:t>
      </w:r>
    </w:p>
    <w:p w14:paraId="1A3CBA6E" w14:textId="6EBAC593" w:rsidR="00A8363A"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 xml:space="preserve">South Korea is a highly centralised unitary presidential republic, whose government is headed by the Korea Disease Control and Prevention Agency (KDCA). The health system will be founded on universal coverage with the help of the National Health Insurance Service, well-developed digital infrastructure, and disease surveillance networks (Lee </w:t>
      </w:r>
      <w:r w:rsidR="006A133F" w:rsidRPr="003C2796">
        <w:rPr>
          <w:rFonts w:ascii="Arial" w:hAnsi="Arial" w:cs="Arial"/>
          <w:sz w:val="22"/>
          <w:szCs w:val="22"/>
        </w:rPr>
        <w:t>and</w:t>
      </w:r>
      <w:r w:rsidRPr="003C2796">
        <w:rPr>
          <w:rFonts w:ascii="Arial" w:hAnsi="Arial" w:cs="Arial"/>
          <w:sz w:val="22"/>
          <w:szCs w:val="22"/>
        </w:rPr>
        <w:t xml:space="preserve"> Lee, 2020). South Korea, in contrast to many countries, went into the pandemic with significant institutional memory of the 2015 MERS outbreak that led to reforms and increased contact tracing, emergency legislation, and laboratory capacity</w:t>
      </w:r>
      <w:r w:rsidR="00D93A74" w:rsidRPr="003C2796">
        <w:rPr>
          <w:rFonts w:ascii="Arial" w:hAnsi="Arial" w:cs="Arial"/>
          <w:sz w:val="22"/>
          <w:szCs w:val="22"/>
        </w:rPr>
        <w:t xml:space="preserve"> (WHO, 2015).</w:t>
      </w:r>
      <w:r w:rsidRPr="003C2796">
        <w:rPr>
          <w:rFonts w:ascii="Arial" w:hAnsi="Arial" w:cs="Arial"/>
          <w:sz w:val="22"/>
          <w:szCs w:val="22"/>
        </w:rPr>
        <w:t xml:space="preserve"> This means that in the case of COVID-19 in January 2020, South Korea was scaling up testing at rapid pace, establishing drive-through screening centres and digital contact-tracing systems, without the need to have nationwide lockdowns (KDCA, 2020).</w:t>
      </w:r>
    </w:p>
    <w:p w14:paraId="60F2F317" w14:textId="3922B820" w:rsidR="006B0374" w:rsidRPr="003C2796" w:rsidRDefault="00934750" w:rsidP="00054784">
      <w:pPr>
        <w:pStyle w:val="Heading2"/>
        <w:spacing w:line="360" w:lineRule="auto"/>
        <w:rPr>
          <w:rFonts w:ascii="Arial" w:hAnsi="Arial" w:cs="Arial"/>
          <w:b/>
          <w:bCs/>
          <w:color w:val="auto"/>
          <w:sz w:val="22"/>
          <w:szCs w:val="22"/>
        </w:rPr>
      </w:pPr>
      <w:bookmarkStart w:id="4" w:name="_Toc217444788"/>
      <w:r w:rsidRPr="003C2796">
        <w:rPr>
          <w:rFonts w:ascii="Arial" w:hAnsi="Arial" w:cs="Arial"/>
          <w:b/>
          <w:bCs/>
          <w:color w:val="auto"/>
          <w:sz w:val="22"/>
          <w:szCs w:val="22"/>
        </w:rPr>
        <w:lastRenderedPageBreak/>
        <w:t>2.3 Canada</w:t>
      </w:r>
      <w:bookmarkEnd w:id="4"/>
      <w:r w:rsidRPr="003C2796">
        <w:rPr>
          <w:rFonts w:ascii="Arial" w:hAnsi="Arial" w:cs="Arial"/>
          <w:b/>
          <w:bCs/>
          <w:color w:val="auto"/>
          <w:sz w:val="22"/>
          <w:szCs w:val="22"/>
        </w:rPr>
        <w:t xml:space="preserve"> </w:t>
      </w:r>
    </w:p>
    <w:p w14:paraId="531AA72E" w14:textId="0B89E7A9" w:rsidR="00934750"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Canada is a federal parliamentary democratic country, and it has one of the most decentralised health systems in the OECD. Health care providers and emergency actions on a provincial and territorial level have the primary responsibility, with the federal government taking care of border controls, national procurement, and guidance (Government of Canada, 2021). The universal health system is publicly funded under the Canada Health Act, although interprovincial variability is widespread in Canada. The onset of the COVID-19 increased the difficulties that Canada was encountering early on, such as travel related outbreaks and a major transmission in the long-term care facilities</w:t>
      </w:r>
      <w:r w:rsidR="0040443D" w:rsidRPr="003C2796">
        <w:rPr>
          <w:rFonts w:ascii="Arial" w:hAnsi="Arial" w:cs="Arial"/>
          <w:sz w:val="22"/>
          <w:szCs w:val="22"/>
        </w:rPr>
        <w:t xml:space="preserve"> (Bubela et al., 2023).</w:t>
      </w:r>
      <w:r w:rsidRPr="003C2796">
        <w:rPr>
          <w:rFonts w:ascii="Arial" w:hAnsi="Arial" w:cs="Arial"/>
          <w:sz w:val="22"/>
          <w:szCs w:val="22"/>
        </w:rPr>
        <w:t xml:space="preserve"> During the initial months the federal</w:t>
      </w:r>
      <w:r w:rsidR="005358DD" w:rsidRPr="003C2796">
        <w:rPr>
          <w:rFonts w:ascii="Arial" w:hAnsi="Arial" w:cs="Arial"/>
          <w:sz w:val="22"/>
          <w:szCs w:val="22"/>
        </w:rPr>
        <w:t xml:space="preserve"> </w:t>
      </w:r>
      <w:r w:rsidRPr="003C2796">
        <w:rPr>
          <w:rFonts w:ascii="Arial" w:hAnsi="Arial" w:cs="Arial"/>
          <w:sz w:val="22"/>
          <w:szCs w:val="22"/>
        </w:rPr>
        <w:t>provincial coordination was not uniform and preparedness gaps helped to make provincial responses uneven (P</w:t>
      </w:r>
      <w:r w:rsidR="003B5E46" w:rsidRPr="003C2796">
        <w:rPr>
          <w:rFonts w:ascii="Arial" w:hAnsi="Arial" w:cs="Arial"/>
          <w:sz w:val="22"/>
          <w:szCs w:val="22"/>
        </w:rPr>
        <w:t>HCA</w:t>
      </w:r>
      <w:r w:rsidRPr="003C2796">
        <w:rPr>
          <w:rFonts w:ascii="Arial" w:hAnsi="Arial" w:cs="Arial"/>
          <w:sz w:val="22"/>
          <w:szCs w:val="22"/>
        </w:rPr>
        <w:t>, 202</w:t>
      </w:r>
      <w:r w:rsidR="00246C0E" w:rsidRPr="003C2796">
        <w:rPr>
          <w:rFonts w:ascii="Arial" w:hAnsi="Arial" w:cs="Arial"/>
          <w:sz w:val="22"/>
          <w:szCs w:val="22"/>
        </w:rPr>
        <w:t>2</w:t>
      </w:r>
      <w:r w:rsidRPr="003C2796">
        <w:rPr>
          <w:rFonts w:ascii="Arial" w:hAnsi="Arial" w:cs="Arial"/>
          <w:sz w:val="22"/>
          <w:szCs w:val="22"/>
        </w:rPr>
        <w:t>).</w:t>
      </w:r>
    </w:p>
    <w:p w14:paraId="6797426D" w14:textId="3AAB7EF2" w:rsidR="00934750" w:rsidRPr="003C2796" w:rsidRDefault="00934750" w:rsidP="00054784">
      <w:pPr>
        <w:pStyle w:val="Heading1"/>
        <w:spacing w:line="360" w:lineRule="auto"/>
        <w:rPr>
          <w:rFonts w:ascii="Arial" w:hAnsi="Arial" w:cs="Arial"/>
          <w:b/>
          <w:bCs/>
          <w:color w:val="auto"/>
          <w:sz w:val="22"/>
          <w:szCs w:val="22"/>
        </w:rPr>
      </w:pPr>
      <w:bookmarkStart w:id="5" w:name="_Toc217444789"/>
      <w:r w:rsidRPr="003C2796">
        <w:rPr>
          <w:rFonts w:ascii="Arial" w:hAnsi="Arial" w:cs="Arial"/>
          <w:b/>
          <w:bCs/>
          <w:color w:val="auto"/>
          <w:sz w:val="22"/>
          <w:szCs w:val="22"/>
        </w:rPr>
        <w:t xml:space="preserve">3.0 </w:t>
      </w:r>
      <w:r w:rsidR="006F2A5E" w:rsidRPr="003C2796">
        <w:rPr>
          <w:rFonts w:ascii="Arial" w:hAnsi="Arial" w:cs="Arial"/>
          <w:b/>
          <w:bCs/>
          <w:color w:val="auto"/>
          <w:sz w:val="22"/>
          <w:szCs w:val="22"/>
        </w:rPr>
        <w:t>Organisation of Health Care Systems During COVID-19</w:t>
      </w:r>
      <w:bookmarkEnd w:id="5"/>
    </w:p>
    <w:p w14:paraId="0A147504" w14:textId="5634E194" w:rsidR="00934750"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National health systems organisation in the times of the COVID-19 had a substantial effect on the ways countries dealt with testing, tracing, hospital capacity, vaccination, communication, and mitigation strategies. Each of the three countries, Spain, South Korea, and Canada had a different model of governance, which is decentralised, centralised, and federalised that influenced performance during the pandemic</w:t>
      </w:r>
      <w:r w:rsidR="00343A59" w:rsidRPr="003C2796">
        <w:rPr>
          <w:rFonts w:ascii="Arial" w:hAnsi="Arial" w:cs="Arial"/>
          <w:sz w:val="22"/>
          <w:szCs w:val="22"/>
        </w:rPr>
        <w:t>.</w:t>
      </w:r>
    </w:p>
    <w:p w14:paraId="7AC23C7B" w14:textId="77777777" w:rsidR="00D46799" w:rsidRPr="003C2796" w:rsidRDefault="00D46799" w:rsidP="00054784">
      <w:pPr>
        <w:pStyle w:val="Heading2"/>
        <w:spacing w:line="360" w:lineRule="auto"/>
        <w:rPr>
          <w:rFonts w:ascii="Arial" w:hAnsi="Arial" w:cs="Arial"/>
          <w:b/>
          <w:bCs/>
          <w:color w:val="auto"/>
          <w:sz w:val="22"/>
          <w:szCs w:val="22"/>
        </w:rPr>
      </w:pPr>
      <w:bookmarkStart w:id="6" w:name="_Toc217444790"/>
      <w:r w:rsidRPr="003C2796">
        <w:rPr>
          <w:rFonts w:ascii="Arial" w:hAnsi="Arial" w:cs="Arial"/>
          <w:b/>
          <w:bCs/>
          <w:color w:val="auto"/>
          <w:sz w:val="22"/>
          <w:szCs w:val="22"/>
        </w:rPr>
        <w:t>3.1 Spain’s Health Care System and COVID-19 Response</w:t>
      </w:r>
      <w:bookmarkEnd w:id="6"/>
    </w:p>
    <w:p w14:paraId="0CEB9FF6" w14:textId="1DEC1B4F" w:rsidR="00A8363A"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The decentralised National Health System of Spain gave responsibility to the autonomous communities in terms of operational control of the pandemic but in March 2020, the central government took emergency powers to co-ordinate national action</w:t>
      </w:r>
      <w:r w:rsidR="000050ED" w:rsidRPr="003C2796">
        <w:rPr>
          <w:rFonts w:ascii="Arial" w:hAnsi="Arial" w:cs="Arial"/>
          <w:sz w:val="22"/>
          <w:szCs w:val="22"/>
        </w:rPr>
        <w:t xml:space="preserve"> </w:t>
      </w:r>
      <w:r w:rsidR="00246C0E" w:rsidRPr="003C2796">
        <w:rPr>
          <w:rFonts w:ascii="Arial" w:hAnsi="Arial" w:cs="Arial"/>
          <w:sz w:val="22"/>
          <w:szCs w:val="22"/>
          <w:lang w:val="en-US"/>
        </w:rPr>
        <w:t>(Alfonso and Casamitjana, 2021)</w:t>
      </w:r>
      <w:r w:rsidRPr="003C2796">
        <w:rPr>
          <w:rFonts w:ascii="Arial" w:hAnsi="Arial" w:cs="Arial"/>
          <w:sz w:val="22"/>
          <w:szCs w:val="22"/>
        </w:rPr>
        <w:t xml:space="preserve">. The highest number of deaths in the first wave was registered in Spain exceeding 900 per day </w:t>
      </w:r>
      <w:r w:rsidR="00C338C1" w:rsidRPr="003C2796">
        <w:rPr>
          <w:rFonts w:ascii="Arial" w:hAnsi="Arial" w:cs="Arial"/>
          <w:sz w:val="22"/>
          <w:szCs w:val="22"/>
        </w:rPr>
        <w:t>(</w:t>
      </w:r>
      <w:r w:rsidR="0022560D" w:rsidRPr="003C2796">
        <w:rPr>
          <w:rFonts w:ascii="Arial" w:hAnsi="Arial" w:cs="Arial"/>
          <w:sz w:val="22"/>
          <w:szCs w:val="22"/>
        </w:rPr>
        <w:t xml:space="preserve">Spanish </w:t>
      </w:r>
      <w:r w:rsidR="00C338C1" w:rsidRPr="003C2796">
        <w:rPr>
          <w:rFonts w:ascii="Arial" w:hAnsi="Arial" w:cs="Arial"/>
          <w:sz w:val="22"/>
          <w:szCs w:val="22"/>
        </w:rPr>
        <w:t>Ministry of Health, 2020)</w:t>
      </w:r>
      <w:r w:rsidR="00C338C1" w:rsidRPr="003C2796">
        <w:rPr>
          <w:rFonts w:ascii="Arial" w:hAnsi="Arial" w:cs="Arial"/>
          <w:sz w:val="22"/>
          <w:szCs w:val="22"/>
        </w:rPr>
        <w:t xml:space="preserve">, </w:t>
      </w:r>
      <w:r w:rsidRPr="003C2796">
        <w:rPr>
          <w:rFonts w:ascii="Arial" w:hAnsi="Arial" w:cs="Arial"/>
          <w:sz w:val="22"/>
          <w:szCs w:val="22"/>
        </w:rPr>
        <w:t>and in hospitals in Madrid and Catalonia, the use of ICUs exceeded 130 percent of the capacity (Legido-Quigley et al., 2020).</w:t>
      </w:r>
    </w:p>
    <w:p w14:paraId="46644588" w14:textId="2D8AC7E2" w:rsidR="00A8363A"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t xml:space="preserve">The first issue Spain had experienced was the problem of surveillance and early detection. As of early </w:t>
      </w:r>
      <w:r w:rsidR="009F34AA" w:rsidRPr="003C2796">
        <w:rPr>
          <w:rFonts w:ascii="Arial" w:hAnsi="Arial" w:cs="Arial"/>
          <w:sz w:val="22"/>
          <w:szCs w:val="22"/>
        </w:rPr>
        <w:t>March,</w:t>
      </w:r>
      <w:r w:rsidRPr="003C2796">
        <w:rPr>
          <w:rFonts w:ascii="Arial" w:hAnsi="Arial" w:cs="Arial"/>
          <w:sz w:val="22"/>
          <w:szCs w:val="22"/>
        </w:rPr>
        <w:t xml:space="preserve"> of the year 2020, the diagnostic capacity was low with less than 20,000 PCR tests being completed in the country every week (ECDC, 2020). This played a role in late onset of community transmission. On 30 January 2020, Minister of Health, Salvador Illa, said, "We are not downplaying anything... the system is ready--a statement that was subsequently criticised due to its exaggeration of the threat </w:t>
      </w:r>
      <w:r w:rsidR="006D609F" w:rsidRPr="003C2796">
        <w:rPr>
          <w:rFonts w:ascii="Arial" w:hAnsi="Arial" w:cs="Arial"/>
          <w:sz w:val="22"/>
          <w:szCs w:val="22"/>
        </w:rPr>
        <w:t>(Díez, 2020)</w:t>
      </w:r>
      <w:r w:rsidRPr="003C2796">
        <w:rPr>
          <w:rFonts w:ascii="Arial" w:hAnsi="Arial" w:cs="Arial"/>
          <w:sz w:val="22"/>
          <w:szCs w:val="22"/>
        </w:rPr>
        <w:t>.</w:t>
      </w:r>
    </w:p>
    <w:p w14:paraId="35269EB4" w14:textId="78C22684" w:rsidR="00D46799" w:rsidRPr="003C2796" w:rsidRDefault="00A8363A" w:rsidP="00054784">
      <w:pPr>
        <w:spacing w:line="360" w:lineRule="auto"/>
        <w:jc w:val="both"/>
        <w:rPr>
          <w:rFonts w:ascii="Arial" w:hAnsi="Arial" w:cs="Arial"/>
          <w:sz w:val="22"/>
          <w:szCs w:val="22"/>
        </w:rPr>
      </w:pPr>
      <w:r w:rsidRPr="003C2796">
        <w:rPr>
          <w:rFonts w:ascii="Arial" w:hAnsi="Arial" w:cs="Arial"/>
          <w:sz w:val="22"/>
          <w:szCs w:val="22"/>
        </w:rPr>
        <w:lastRenderedPageBreak/>
        <w:t>Since 14</w:t>
      </w:r>
      <w:r w:rsidRPr="003C2796">
        <w:rPr>
          <w:rFonts w:ascii="Arial" w:hAnsi="Arial" w:cs="Arial"/>
          <w:sz w:val="22"/>
          <w:szCs w:val="22"/>
          <w:vertAlign w:val="superscript"/>
        </w:rPr>
        <w:t>th</w:t>
      </w:r>
      <w:r w:rsidRPr="003C2796">
        <w:rPr>
          <w:rFonts w:ascii="Arial" w:hAnsi="Arial" w:cs="Arial"/>
          <w:sz w:val="22"/>
          <w:szCs w:val="22"/>
        </w:rPr>
        <w:t xml:space="preserve"> of </w:t>
      </w:r>
      <w:r w:rsidR="003C2796" w:rsidRPr="003C2796">
        <w:rPr>
          <w:rFonts w:ascii="Arial" w:hAnsi="Arial" w:cs="Arial"/>
          <w:sz w:val="22"/>
          <w:szCs w:val="22"/>
        </w:rPr>
        <w:t>March</w:t>
      </w:r>
      <w:r w:rsidRPr="003C2796">
        <w:rPr>
          <w:rFonts w:ascii="Arial" w:hAnsi="Arial" w:cs="Arial"/>
          <w:sz w:val="22"/>
          <w:szCs w:val="22"/>
        </w:rPr>
        <w:t xml:space="preserve"> 2020, Spain has used some of the most restrictive lockdown measures in Europe and has seen 60 percent of mobility decline (Google, 2020). Nevertheless, Spain subsequently emerged as one of the vaccination leaders in the whole of Europe, introducing more than 90 per cent of available doses by October 2021 with the help of highly coordinated primary care networks (OECD, 2021).</w:t>
      </w:r>
    </w:p>
    <w:p w14:paraId="3C37E634" w14:textId="1C5AF42C" w:rsidR="00D46799" w:rsidRPr="003C2796" w:rsidRDefault="00D46799" w:rsidP="00054784">
      <w:pPr>
        <w:spacing w:line="360" w:lineRule="auto"/>
        <w:jc w:val="both"/>
        <w:rPr>
          <w:rFonts w:ascii="Arial" w:hAnsi="Arial" w:cs="Arial"/>
          <w:sz w:val="22"/>
          <w:szCs w:val="22"/>
        </w:rPr>
      </w:pPr>
      <w:r w:rsidRPr="003C2796">
        <w:rPr>
          <w:rFonts w:ascii="Arial" w:hAnsi="Arial" w:cs="Arial"/>
          <w:sz w:val="22"/>
          <w:szCs w:val="22"/>
        </w:rPr>
        <w:t>Key performance indicators</w:t>
      </w:r>
      <w:r w:rsidR="0040443D" w:rsidRPr="003C2796">
        <w:rPr>
          <w:rFonts w:ascii="Arial" w:hAnsi="Arial" w:cs="Arial"/>
          <w:sz w:val="22"/>
          <w:szCs w:val="22"/>
        </w:rPr>
        <w:t xml:space="preserve"> such as: </w:t>
      </w:r>
      <w:r w:rsidRPr="003C2796">
        <w:rPr>
          <w:rFonts w:ascii="Arial" w:hAnsi="Arial" w:cs="Arial"/>
          <w:sz w:val="22"/>
          <w:szCs w:val="22"/>
        </w:rPr>
        <w:t>Testing capacity increased to 700,000 weekly tests by late 2020</w:t>
      </w:r>
      <w:r w:rsidR="0040443D" w:rsidRPr="003C2796">
        <w:rPr>
          <w:rFonts w:ascii="Arial" w:hAnsi="Arial" w:cs="Arial"/>
          <w:sz w:val="22"/>
          <w:szCs w:val="22"/>
        </w:rPr>
        <w:t xml:space="preserve">, </w:t>
      </w:r>
      <w:r w:rsidRPr="003C2796">
        <w:rPr>
          <w:rFonts w:ascii="Arial" w:hAnsi="Arial" w:cs="Arial"/>
          <w:sz w:val="22"/>
          <w:szCs w:val="22"/>
        </w:rPr>
        <w:t>Over 80% of the total population fully vaccinated by December 2021</w:t>
      </w:r>
      <w:r w:rsidR="0040443D" w:rsidRPr="003C2796">
        <w:rPr>
          <w:rFonts w:ascii="Arial" w:hAnsi="Arial" w:cs="Arial"/>
          <w:sz w:val="22"/>
          <w:szCs w:val="22"/>
        </w:rPr>
        <w:t xml:space="preserve"> and </w:t>
      </w:r>
      <w:r w:rsidRPr="003C2796">
        <w:rPr>
          <w:rFonts w:ascii="Arial" w:hAnsi="Arial" w:cs="Arial"/>
          <w:sz w:val="22"/>
          <w:szCs w:val="22"/>
        </w:rPr>
        <w:t>ICU surge capacity expanded by 32% during first wave</w:t>
      </w:r>
      <w:r w:rsidR="0040443D" w:rsidRPr="003C2796">
        <w:rPr>
          <w:rFonts w:ascii="Arial" w:hAnsi="Arial" w:cs="Arial"/>
          <w:sz w:val="22"/>
          <w:szCs w:val="22"/>
        </w:rPr>
        <w:t>.</w:t>
      </w:r>
      <w:r w:rsidR="00F61282" w:rsidRPr="003C2796">
        <w:rPr>
          <w:rFonts w:ascii="Arial" w:hAnsi="Arial" w:cs="Arial"/>
          <w:sz w:val="22"/>
          <w:szCs w:val="22"/>
        </w:rPr>
        <w:t xml:space="preserve"> </w:t>
      </w:r>
      <w:r w:rsidRPr="003C2796">
        <w:rPr>
          <w:rFonts w:ascii="Arial" w:hAnsi="Arial" w:cs="Arial"/>
          <w:sz w:val="22"/>
          <w:szCs w:val="22"/>
        </w:rPr>
        <w:t>These outcomes show that despite decentralisation, Spain demonstrated strong adaptive capacity once central coordination was activated.</w:t>
      </w:r>
    </w:p>
    <w:p w14:paraId="41F15405" w14:textId="77777777" w:rsidR="00D46799" w:rsidRPr="003C2796" w:rsidRDefault="00D46799" w:rsidP="00054784">
      <w:pPr>
        <w:pStyle w:val="Heading2"/>
        <w:spacing w:line="360" w:lineRule="auto"/>
        <w:rPr>
          <w:rFonts w:ascii="Arial" w:hAnsi="Arial" w:cs="Arial"/>
          <w:b/>
          <w:bCs/>
          <w:color w:val="auto"/>
          <w:sz w:val="22"/>
          <w:szCs w:val="22"/>
        </w:rPr>
      </w:pPr>
      <w:bookmarkStart w:id="7" w:name="_Toc217444791"/>
      <w:r w:rsidRPr="003C2796">
        <w:rPr>
          <w:rFonts w:ascii="Arial" w:hAnsi="Arial" w:cs="Arial"/>
          <w:b/>
          <w:bCs/>
          <w:color w:val="auto"/>
          <w:sz w:val="22"/>
          <w:szCs w:val="22"/>
        </w:rPr>
        <w:t>3.2 South Korea’s Health Care System and COVID-19 Response</w:t>
      </w:r>
      <w:bookmarkEnd w:id="7"/>
    </w:p>
    <w:p w14:paraId="0FDE7821" w14:textId="68F96C5D" w:rsidR="00D46799" w:rsidRPr="003C2796" w:rsidRDefault="008E6287" w:rsidP="00054784">
      <w:pPr>
        <w:spacing w:line="360" w:lineRule="auto"/>
        <w:jc w:val="both"/>
        <w:rPr>
          <w:rFonts w:ascii="Arial" w:hAnsi="Arial" w:cs="Arial"/>
          <w:sz w:val="22"/>
          <w:szCs w:val="22"/>
        </w:rPr>
      </w:pPr>
      <w:r w:rsidRPr="003C2796">
        <w:rPr>
          <w:rFonts w:ascii="Arial" w:hAnsi="Arial" w:cs="Arial"/>
          <w:sz w:val="22"/>
          <w:szCs w:val="22"/>
        </w:rPr>
        <w:t>The pandemic response in South Korea was indicative of the quality of the centralised, technologically sophisticated, and legally empowered public health architecture. Korea did not have national lockdowns, but rather pursued aggressive early interventions, unlike Spain. Within two months, the Korea Disease Control and Prevention Agency (KDCA) gave emergency-use testing kits approval, which allowed more than 20,000 PCR tests per day only several weeks after the first case (KDCA, 2020). The digital contact-tracing model created in Korea, utili</w:t>
      </w:r>
      <w:r w:rsidR="004D67DF" w:rsidRPr="003C2796">
        <w:rPr>
          <w:rFonts w:ascii="Arial" w:hAnsi="Arial" w:cs="Arial"/>
          <w:sz w:val="22"/>
          <w:szCs w:val="22"/>
        </w:rPr>
        <w:t>si</w:t>
      </w:r>
      <w:r w:rsidRPr="003C2796">
        <w:rPr>
          <w:rFonts w:ascii="Arial" w:hAnsi="Arial" w:cs="Arial"/>
          <w:sz w:val="22"/>
          <w:szCs w:val="22"/>
        </w:rPr>
        <w:t>ng data regarding card transactions and mobile phone GPS, as well as CCTV, helped to decrease the time of case investigation to less than 10 minutes (Park et al., 2020)</w:t>
      </w:r>
      <w:r w:rsidR="00D46799" w:rsidRPr="003C2796">
        <w:rPr>
          <w:rFonts w:ascii="Arial" w:hAnsi="Arial" w:cs="Arial"/>
          <w:sz w:val="22"/>
          <w:szCs w:val="22"/>
        </w:rPr>
        <w:t xml:space="preserve">. Prime Minister Chung Sye-kyun emphasised transparency, famously stating: </w:t>
      </w:r>
      <w:r w:rsidR="00D46799" w:rsidRPr="003C2796">
        <w:rPr>
          <w:rFonts w:ascii="Arial" w:hAnsi="Arial" w:cs="Arial"/>
          <w:i/>
          <w:iCs/>
          <w:sz w:val="22"/>
          <w:szCs w:val="22"/>
        </w:rPr>
        <w:t>“We will be open; we will be transparent. This is how we gain the people’s trust”</w:t>
      </w:r>
      <w:r w:rsidR="00D46799" w:rsidRPr="003C2796">
        <w:rPr>
          <w:rFonts w:ascii="Arial" w:hAnsi="Arial" w:cs="Arial"/>
          <w:sz w:val="22"/>
          <w:szCs w:val="22"/>
        </w:rPr>
        <w:t xml:space="preserve"> </w:t>
      </w:r>
      <w:r w:rsidR="0022560D" w:rsidRPr="003C2796">
        <w:rPr>
          <w:rFonts w:ascii="Arial" w:hAnsi="Arial" w:cs="Arial"/>
          <w:sz w:val="22"/>
          <w:szCs w:val="22"/>
        </w:rPr>
        <w:t>(Lee and Lee, 2020)</w:t>
      </w:r>
      <w:r w:rsidR="0022560D" w:rsidRPr="003C2796">
        <w:rPr>
          <w:rFonts w:ascii="Arial" w:hAnsi="Arial" w:cs="Arial"/>
          <w:sz w:val="22"/>
          <w:szCs w:val="22"/>
        </w:rPr>
        <w:t>.</w:t>
      </w:r>
    </w:p>
    <w:p w14:paraId="3C10986B" w14:textId="0F0A907F" w:rsidR="00D46799" w:rsidRPr="003C2796" w:rsidRDefault="00D46799" w:rsidP="0040443D">
      <w:pPr>
        <w:spacing w:line="360" w:lineRule="auto"/>
        <w:jc w:val="both"/>
        <w:rPr>
          <w:rFonts w:ascii="Arial" w:hAnsi="Arial" w:cs="Arial"/>
          <w:sz w:val="22"/>
          <w:szCs w:val="22"/>
        </w:rPr>
      </w:pPr>
      <w:r w:rsidRPr="003C2796">
        <w:rPr>
          <w:rFonts w:ascii="Arial" w:hAnsi="Arial" w:cs="Arial"/>
          <w:sz w:val="22"/>
          <w:szCs w:val="22"/>
        </w:rPr>
        <w:t>Key performance indicators</w:t>
      </w:r>
      <w:r w:rsidR="0040443D" w:rsidRPr="003C2796">
        <w:rPr>
          <w:rFonts w:ascii="Arial" w:hAnsi="Arial" w:cs="Arial"/>
          <w:sz w:val="22"/>
          <w:szCs w:val="22"/>
        </w:rPr>
        <w:t xml:space="preserve"> such as: </w:t>
      </w:r>
      <w:r w:rsidRPr="003C2796">
        <w:rPr>
          <w:rFonts w:ascii="Arial" w:hAnsi="Arial" w:cs="Arial"/>
          <w:sz w:val="22"/>
          <w:szCs w:val="22"/>
        </w:rPr>
        <w:t>Korea maintained the lowest COVID-19 mortality rate among OECD countries in 2020: 1.8 deaths per 100,000 (OECD, 2021)</w:t>
      </w:r>
      <w:r w:rsidR="0040443D" w:rsidRPr="003C2796">
        <w:rPr>
          <w:rFonts w:ascii="Arial" w:hAnsi="Arial" w:cs="Arial"/>
          <w:sz w:val="22"/>
          <w:szCs w:val="22"/>
        </w:rPr>
        <w:t>; t</w:t>
      </w:r>
      <w:r w:rsidRPr="003C2796">
        <w:rPr>
          <w:rFonts w:ascii="Arial" w:hAnsi="Arial" w:cs="Arial"/>
          <w:sz w:val="22"/>
          <w:szCs w:val="22"/>
        </w:rPr>
        <w:t>esting positivity remained below 2%, indicating strong surveillance</w:t>
      </w:r>
      <w:r w:rsidR="0040443D" w:rsidRPr="003C2796">
        <w:rPr>
          <w:rFonts w:ascii="Arial" w:hAnsi="Arial" w:cs="Arial"/>
          <w:sz w:val="22"/>
          <w:szCs w:val="22"/>
        </w:rPr>
        <w:t>; and e</w:t>
      </w:r>
      <w:r w:rsidRPr="003C2796">
        <w:rPr>
          <w:rFonts w:ascii="Arial" w:hAnsi="Arial" w:cs="Arial"/>
          <w:sz w:val="22"/>
          <w:szCs w:val="22"/>
        </w:rPr>
        <w:t>arly vaccination was slow due to supply delays, but by late 2021 Korea reached over 79% full vaccination coverage</w:t>
      </w:r>
      <w:r w:rsidR="0040443D" w:rsidRPr="003C2796">
        <w:rPr>
          <w:rFonts w:ascii="Arial" w:hAnsi="Arial" w:cs="Arial"/>
          <w:sz w:val="22"/>
          <w:szCs w:val="22"/>
        </w:rPr>
        <w:t>.</w:t>
      </w:r>
    </w:p>
    <w:p w14:paraId="63B41A09" w14:textId="570C0065" w:rsidR="00D46799" w:rsidRPr="003C2796" w:rsidRDefault="008E6287" w:rsidP="00054784">
      <w:pPr>
        <w:spacing w:line="360" w:lineRule="auto"/>
        <w:jc w:val="both"/>
        <w:rPr>
          <w:rFonts w:ascii="Arial" w:hAnsi="Arial" w:cs="Arial"/>
          <w:sz w:val="22"/>
          <w:szCs w:val="22"/>
        </w:rPr>
      </w:pPr>
      <w:r w:rsidRPr="003C2796">
        <w:rPr>
          <w:rFonts w:ascii="Arial" w:hAnsi="Arial" w:cs="Arial"/>
          <w:sz w:val="22"/>
          <w:szCs w:val="22"/>
        </w:rPr>
        <w:t>The scale of drive-through and walk-through testing models was fast, and more than 600 screening stations were active throughout the country by April 2020. The collaboration between the public and the private hospitals enhanced the capacity of Korea to mobilise its beds quicker without congesting the large hospitals as the surge capacity of the hospital was supported.</w:t>
      </w:r>
    </w:p>
    <w:p w14:paraId="5647A160" w14:textId="77777777" w:rsidR="00D46799" w:rsidRPr="003C2796" w:rsidRDefault="00D46799" w:rsidP="00054784">
      <w:pPr>
        <w:pStyle w:val="Heading2"/>
        <w:spacing w:line="360" w:lineRule="auto"/>
        <w:rPr>
          <w:rFonts w:ascii="Arial" w:hAnsi="Arial" w:cs="Arial"/>
          <w:b/>
          <w:bCs/>
          <w:color w:val="auto"/>
          <w:sz w:val="22"/>
          <w:szCs w:val="22"/>
        </w:rPr>
      </w:pPr>
      <w:bookmarkStart w:id="8" w:name="_Toc217444792"/>
      <w:r w:rsidRPr="003C2796">
        <w:rPr>
          <w:rFonts w:ascii="Arial" w:hAnsi="Arial" w:cs="Arial"/>
          <w:b/>
          <w:bCs/>
          <w:color w:val="auto"/>
          <w:sz w:val="22"/>
          <w:szCs w:val="22"/>
        </w:rPr>
        <w:t>3.3 Canada’s Health Care System and COVID-19 Response</w:t>
      </w:r>
      <w:bookmarkEnd w:id="8"/>
    </w:p>
    <w:p w14:paraId="1506C34F" w14:textId="758AAD7D" w:rsidR="00D46799" w:rsidRPr="003C2796" w:rsidRDefault="008E6287" w:rsidP="00054784">
      <w:pPr>
        <w:spacing w:line="360" w:lineRule="auto"/>
        <w:jc w:val="both"/>
        <w:rPr>
          <w:rFonts w:ascii="Arial" w:hAnsi="Arial" w:cs="Arial"/>
          <w:sz w:val="22"/>
          <w:szCs w:val="22"/>
        </w:rPr>
      </w:pPr>
      <w:r w:rsidRPr="003C2796">
        <w:rPr>
          <w:rFonts w:ascii="Arial" w:hAnsi="Arial" w:cs="Arial"/>
          <w:sz w:val="22"/>
          <w:szCs w:val="22"/>
        </w:rPr>
        <w:t xml:space="preserve">The federalised health system in Canada put the provinces with a significant responsibility in controlling the pandemic. This led to the heterogeneous approach with Quebec and Ontario </w:t>
      </w:r>
      <w:r w:rsidRPr="003C2796">
        <w:rPr>
          <w:rFonts w:ascii="Arial" w:hAnsi="Arial" w:cs="Arial"/>
          <w:sz w:val="22"/>
          <w:szCs w:val="22"/>
        </w:rPr>
        <w:lastRenderedPageBreak/>
        <w:t xml:space="preserve">recording the highest mortality. As of May 2020, </w:t>
      </w:r>
      <w:proofErr w:type="gramStart"/>
      <w:r w:rsidRPr="003C2796">
        <w:rPr>
          <w:rFonts w:ascii="Arial" w:hAnsi="Arial" w:cs="Arial"/>
          <w:sz w:val="22"/>
          <w:szCs w:val="22"/>
        </w:rPr>
        <w:t>the majority of</w:t>
      </w:r>
      <w:proofErr w:type="gramEnd"/>
      <w:r w:rsidRPr="003C2796">
        <w:rPr>
          <w:rFonts w:ascii="Arial" w:hAnsi="Arial" w:cs="Arial"/>
          <w:sz w:val="22"/>
          <w:szCs w:val="22"/>
        </w:rPr>
        <w:t xml:space="preserve"> all COVID deaths were in long-term care homes (greater than 80 percent), which reveals structural vulnerabilities in the provincial care systems (Stall et al., 2020).</w:t>
      </w:r>
    </w:p>
    <w:p w14:paraId="3F7F6299" w14:textId="40B2EE11" w:rsidR="00D46799" w:rsidRPr="003C2796" w:rsidRDefault="00D46799" w:rsidP="00054784">
      <w:pPr>
        <w:spacing w:line="360" w:lineRule="auto"/>
        <w:jc w:val="both"/>
        <w:rPr>
          <w:rFonts w:ascii="Arial" w:hAnsi="Arial" w:cs="Arial"/>
          <w:sz w:val="22"/>
          <w:szCs w:val="22"/>
        </w:rPr>
      </w:pPr>
      <w:r w:rsidRPr="003C2796">
        <w:rPr>
          <w:rFonts w:ascii="Arial" w:hAnsi="Arial" w:cs="Arial"/>
          <w:sz w:val="22"/>
          <w:szCs w:val="22"/>
        </w:rPr>
        <w:t xml:space="preserve">Prime Minister Justin Trudeau adopted a unifying leadership approach, stating in March 2020, “We are in this together. The federal government will support every province and every Canadian” </w:t>
      </w:r>
      <w:r w:rsidR="001F6780" w:rsidRPr="003C2796">
        <w:rPr>
          <w:rFonts w:ascii="Arial" w:hAnsi="Arial" w:cs="Arial"/>
          <w:sz w:val="22"/>
          <w:szCs w:val="22"/>
        </w:rPr>
        <w:t>(Government of Canada, 2021).</w:t>
      </w:r>
      <w:r w:rsidRPr="003C2796">
        <w:rPr>
          <w:rFonts w:ascii="Arial" w:hAnsi="Arial" w:cs="Arial"/>
          <w:sz w:val="22"/>
          <w:szCs w:val="22"/>
        </w:rPr>
        <w:t xml:space="preserve"> The federal government coordinated national border policy, testing supply procurement, and vaccine purchasing, while </w:t>
      </w:r>
      <w:r w:rsidR="009463A4" w:rsidRPr="003C2796">
        <w:rPr>
          <w:rFonts w:ascii="Arial" w:hAnsi="Arial" w:cs="Arial"/>
          <w:sz w:val="22"/>
          <w:szCs w:val="22"/>
        </w:rPr>
        <w:t>provinces-controlled</w:t>
      </w:r>
      <w:r w:rsidRPr="003C2796">
        <w:rPr>
          <w:rFonts w:ascii="Arial" w:hAnsi="Arial" w:cs="Arial"/>
          <w:sz w:val="22"/>
          <w:szCs w:val="22"/>
        </w:rPr>
        <w:t xml:space="preserve"> lockdowns, school closures, and health service delivery.</w:t>
      </w:r>
    </w:p>
    <w:p w14:paraId="297BBB73" w14:textId="249DFF41" w:rsidR="00D46799" w:rsidRPr="003C2796" w:rsidRDefault="00D46799" w:rsidP="0040443D">
      <w:pPr>
        <w:spacing w:line="360" w:lineRule="auto"/>
        <w:jc w:val="both"/>
        <w:rPr>
          <w:rFonts w:ascii="Arial" w:hAnsi="Arial" w:cs="Arial"/>
          <w:sz w:val="22"/>
          <w:szCs w:val="22"/>
        </w:rPr>
      </w:pPr>
      <w:r w:rsidRPr="003C2796">
        <w:rPr>
          <w:rFonts w:ascii="Arial" w:hAnsi="Arial" w:cs="Arial"/>
          <w:sz w:val="22"/>
          <w:szCs w:val="22"/>
        </w:rPr>
        <w:t>Key performance indicators</w:t>
      </w:r>
      <w:r w:rsidR="0040443D" w:rsidRPr="003C2796">
        <w:rPr>
          <w:rFonts w:ascii="Arial" w:hAnsi="Arial" w:cs="Arial"/>
          <w:sz w:val="22"/>
          <w:szCs w:val="22"/>
        </w:rPr>
        <w:t xml:space="preserve"> such as: </w:t>
      </w:r>
      <w:r w:rsidRPr="003C2796">
        <w:rPr>
          <w:rFonts w:ascii="Arial" w:hAnsi="Arial" w:cs="Arial"/>
          <w:sz w:val="22"/>
          <w:szCs w:val="22"/>
        </w:rPr>
        <w:t>Canada’s early testing was slow, at less than 10,000 tests per day in March 2020, but increased to over 100,000 daily by late 2020</w:t>
      </w:r>
      <w:r w:rsidR="0040443D" w:rsidRPr="003C2796">
        <w:rPr>
          <w:rFonts w:ascii="Arial" w:hAnsi="Arial" w:cs="Arial"/>
          <w:sz w:val="22"/>
          <w:szCs w:val="22"/>
        </w:rPr>
        <w:t xml:space="preserve">; </w:t>
      </w:r>
      <w:r w:rsidRPr="003C2796">
        <w:rPr>
          <w:rFonts w:ascii="Arial" w:hAnsi="Arial" w:cs="Arial"/>
          <w:sz w:val="22"/>
          <w:szCs w:val="22"/>
        </w:rPr>
        <w:t>Vaccination rollout lagged initially, ranking 30th globally in February 2021, but reached over 82% full vaccination by December 2021 (PHAC, 202</w:t>
      </w:r>
      <w:r w:rsidR="000000AE" w:rsidRPr="003C2796">
        <w:rPr>
          <w:rFonts w:ascii="Arial" w:hAnsi="Arial" w:cs="Arial"/>
          <w:sz w:val="22"/>
          <w:szCs w:val="22"/>
        </w:rPr>
        <w:t>1</w:t>
      </w:r>
      <w:r w:rsidRPr="003C2796">
        <w:rPr>
          <w:rFonts w:ascii="Arial" w:hAnsi="Arial" w:cs="Arial"/>
          <w:sz w:val="22"/>
          <w:szCs w:val="22"/>
        </w:rPr>
        <w:t>)</w:t>
      </w:r>
      <w:r w:rsidR="0040443D" w:rsidRPr="003C2796">
        <w:rPr>
          <w:rFonts w:ascii="Arial" w:hAnsi="Arial" w:cs="Arial"/>
          <w:sz w:val="22"/>
          <w:szCs w:val="22"/>
        </w:rPr>
        <w:t xml:space="preserve"> and p</w:t>
      </w:r>
      <w:r w:rsidRPr="003C2796">
        <w:rPr>
          <w:rFonts w:ascii="Arial" w:hAnsi="Arial" w:cs="Arial"/>
          <w:sz w:val="22"/>
          <w:szCs w:val="22"/>
        </w:rPr>
        <w:t>rovinces varied widely on restrictions: Alberta had minimal early measures, while Ontario imposed prolonged lockdowns</w:t>
      </w:r>
      <w:r w:rsidR="0040443D" w:rsidRPr="003C2796">
        <w:rPr>
          <w:rFonts w:ascii="Arial" w:hAnsi="Arial" w:cs="Arial"/>
          <w:sz w:val="22"/>
          <w:szCs w:val="22"/>
        </w:rPr>
        <w:t>.</w:t>
      </w:r>
    </w:p>
    <w:p w14:paraId="0AD2EEE4" w14:textId="2087DE74" w:rsidR="00D46799" w:rsidRPr="003C2796" w:rsidRDefault="00B433F2" w:rsidP="00054784">
      <w:pPr>
        <w:spacing w:line="360" w:lineRule="auto"/>
        <w:jc w:val="both"/>
        <w:rPr>
          <w:rFonts w:ascii="Arial" w:hAnsi="Arial" w:cs="Arial"/>
          <w:sz w:val="22"/>
          <w:szCs w:val="22"/>
        </w:rPr>
      </w:pPr>
      <w:r w:rsidRPr="003C2796">
        <w:rPr>
          <w:rFonts w:ascii="Arial" w:hAnsi="Arial" w:cs="Arial"/>
          <w:sz w:val="22"/>
          <w:szCs w:val="22"/>
        </w:rPr>
        <w:t>The decentralised governance in Canada made coordination difficult and intergovernmental conflicts arose on the issue of school closures, outbreaks of migrant workers and the failure of the long-term care system.</w:t>
      </w:r>
    </w:p>
    <w:p w14:paraId="43B5AFAF" w14:textId="5CDD90A4" w:rsidR="00626674" w:rsidRPr="003C2796" w:rsidRDefault="00626674" w:rsidP="00054784">
      <w:pPr>
        <w:pStyle w:val="Heading2"/>
        <w:spacing w:line="360" w:lineRule="auto"/>
        <w:rPr>
          <w:rFonts w:ascii="Arial" w:hAnsi="Arial" w:cs="Arial"/>
          <w:b/>
          <w:bCs/>
          <w:color w:val="auto"/>
          <w:sz w:val="22"/>
          <w:szCs w:val="22"/>
        </w:rPr>
      </w:pPr>
      <w:bookmarkStart w:id="9" w:name="_Toc217444793"/>
      <w:r w:rsidRPr="003C2796">
        <w:rPr>
          <w:rFonts w:ascii="Arial" w:hAnsi="Arial" w:cs="Arial"/>
          <w:b/>
          <w:bCs/>
          <w:color w:val="auto"/>
          <w:sz w:val="22"/>
          <w:szCs w:val="22"/>
        </w:rPr>
        <w:t>3.4 Comparative Analysis of Spain, South Korea, and Canada</w:t>
      </w:r>
      <w:bookmarkEnd w:id="9"/>
    </w:p>
    <w:p w14:paraId="2C21ADD5" w14:textId="77777777" w:rsidR="00626674" w:rsidRPr="003C2796" w:rsidRDefault="00626674" w:rsidP="00054784">
      <w:pPr>
        <w:pStyle w:val="Heading3"/>
        <w:spacing w:line="360" w:lineRule="auto"/>
        <w:rPr>
          <w:rFonts w:ascii="Arial" w:hAnsi="Arial" w:cs="Arial"/>
          <w:b/>
          <w:bCs/>
          <w:color w:val="auto"/>
          <w:sz w:val="22"/>
          <w:szCs w:val="22"/>
        </w:rPr>
      </w:pPr>
      <w:bookmarkStart w:id="10" w:name="_Toc217444794"/>
      <w:r w:rsidRPr="003C2796">
        <w:rPr>
          <w:rFonts w:ascii="Arial" w:hAnsi="Arial" w:cs="Arial"/>
          <w:b/>
          <w:bCs/>
          <w:color w:val="auto"/>
          <w:sz w:val="22"/>
          <w:szCs w:val="22"/>
        </w:rPr>
        <w:t>3.4.1 Governance Models and Pandemic Coordination</w:t>
      </w:r>
      <w:bookmarkEnd w:id="10"/>
    </w:p>
    <w:p w14:paraId="3A029B02" w14:textId="74D02B9D" w:rsidR="00934750"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The three countries illustrate distinct governance structures as seen in Table 1:</w:t>
      </w:r>
    </w:p>
    <w:p w14:paraId="0110CA35" w14:textId="42FCF024" w:rsidR="00337CFC" w:rsidRPr="003C2796" w:rsidRDefault="00337CFC" w:rsidP="00054784">
      <w:pPr>
        <w:spacing w:line="360" w:lineRule="auto"/>
        <w:jc w:val="both"/>
        <w:rPr>
          <w:rFonts w:ascii="Arial" w:hAnsi="Arial" w:cs="Arial"/>
          <w:sz w:val="22"/>
          <w:szCs w:val="22"/>
        </w:rPr>
      </w:pPr>
      <w:r w:rsidRPr="003C2796">
        <w:rPr>
          <w:rFonts w:ascii="Arial" w:hAnsi="Arial" w:cs="Arial"/>
          <w:sz w:val="22"/>
          <w:szCs w:val="22"/>
        </w:rPr>
        <w:t xml:space="preserve">Table 1: </w:t>
      </w:r>
    </w:p>
    <w:tbl>
      <w:tblPr>
        <w:tblStyle w:val="TableGrid"/>
        <w:tblW w:w="10255" w:type="dxa"/>
        <w:tblLook w:val="04A0" w:firstRow="1" w:lastRow="0" w:firstColumn="1" w:lastColumn="0" w:noHBand="0" w:noVBand="1"/>
      </w:tblPr>
      <w:tblGrid>
        <w:gridCol w:w="1435"/>
        <w:gridCol w:w="4798"/>
        <w:gridCol w:w="4022"/>
      </w:tblGrid>
      <w:tr w:rsidR="000C0AA2" w:rsidRPr="003C2796" w14:paraId="781943A1" w14:textId="77777777" w:rsidTr="00FF3D4D">
        <w:tc>
          <w:tcPr>
            <w:tcW w:w="1435" w:type="dxa"/>
            <w:vAlign w:val="center"/>
          </w:tcPr>
          <w:p w14:paraId="656CEC13" w14:textId="41D65B0A" w:rsidR="00FF3D4D" w:rsidRPr="003C2796" w:rsidRDefault="00FF3D4D" w:rsidP="00054784">
            <w:pPr>
              <w:spacing w:line="360" w:lineRule="auto"/>
              <w:jc w:val="both"/>
              <w:rPr>
                <w:rFonts w:ascii="Arial" w:hAnsi="Arial" w:cs="Arial"/>
                <w:sz w:val="22"/>
                <w:szCs w:val="22"/>
              </w:rPr>
            </w:pPr>
            <w:r w:rsidRPr="003C2796">
              <w:rPr>
                <w:rFonts w:ascii="Arial" w:hAnsi="Arial" w:cs="Arial"/>
                <w:b/>
                <w:bCs/>
                <w:sz w:val="22"/>
                <w:szCs w:val="22"/>
              </w:rPr>
              <w:t>Country</w:t>
            </w:r>
          </w:p>
        </w:tc>
        <w:tc>
          <w:tcPr>
            <w:tcW w:w="4798" w:type="dxa"/>
            <w:vAlign w:val="center"/>
          </w:tcPr>
          <w:p w14:paraId="1EA98BD1" w14:textId="576F6FAA" w:rsidR="00FF3D4D" w:rsidRPr="003C2796" w:rsidRDefault="00FF3D4D" w:rsidP="00054784">
            <w:pPr>
              <w:spacing w:line="360" w:lineRule="auto"/>
              <w:jc w:val="both"/>
              <w:rPr>
                <w:rFonts w:ascii="Arial" w:hAnsi="Arial" w:cs="Arial"/>
                <w:sz w:val="22"/>
                <w:szCs w:val="22"/>
              </w:rPr>
            </w:pPr>
            <w:r w:rsidRPr="003C2796">
              <w:rPr>
                <w:rFonts w:ascii="Arial" w:hAnsi="Arial" w:cs="Arial"/>
                <w:b/>
                <w:bCs/>
                <w:sz w:val="22"/>
                <w:szCs w:val="22"/>
              </w:rPr>
              <w:t>Governance</w:t>
            </w:r>
          </w:p>
        </w:tc>
        <w:tc>
          <w:tcPr>
            <w:tcW w:w="4022" w:type="dxa"/>
            <w:vAlign w:val="center"/>
          </w:tcPr>
          <w:p w14:paraId="69658E84" w14:textId="691BAF36" w:rsidR="00FF3D4D" w:rsidRPr="003C2796" w:rsidRDefault="00FF3D4D" w:rsidP="00054784">
            <w:pPr>
              <w:spacing w:line="360" w:lineRule="auto"/>
              <w:jc w:val="both"/>
              <w:rPr>
                <w:rFonts w:ascii="Arial" w:hAnsi="Arial" w:cs="Arial"/>
                <w:sz w:val="22"/>
                <w:szCs w:val="22"/>
              </w:rPr>
            </w:pPr>
            <w:r w:rsidRPr="003C2796">
              <w:rPr>
                <w:rFonts w:ascii="Arial" w:hAnsi="Arial" w:cs="Arial"/>
                <w:b/>
                <w:bCs/>
                <w:sz w:val="22"/>
                <w:szCs w:val="22"/>
              </w:rPr>
              <w:t>Impact during COVID-19</w:t>
            </w:r>
          </w:p>
        </w:tc>
      </w:tr>
      <w:tr w:rsidR="000C0AA2" w:rsidRPr="003C2796" w14:paraId="50855499" w14:textId="77777777" w:rsidTr="00FF3D4D">
        <w:tc>
          <w:tcPr>
            <w:tcW w:w="1435" w:type="dxa"/>
            <w:vAlign w:val="center"/>
          </w:tcPr>
          <w:p w14:paraId="7C4463FB" w14:textId="661D9E61" w:rsidR="00FF3D4D" w:rsidRPr="003C2796" w:rsidRDefault="00FF3D4D" w:rsidP="00054784">
            <w:pPr>
              <w:spacing w:line="360" w:lineRule="auto"/>
              <w:jc w:val="center"/>
              <w:rPr>
                <w:rFonts w:ascii="Arial" w:hAnsi="Arial" w:cs="Arial"/>
                <w:sz w:val="22"/>
                <w:szCs w:val="22"/>
              </w:rPr>
            </w:pPr>
            <w:r w:rsidRPr="003C2796">
              <w:rPr>
                <w:rFonts w:ascii="Arial" w:hAnsi="Arial" w:cs="Arial"/>
                <w:b/>
                <w:bCs/>
                <w:sz w:val="22"/>
                <w:szCs w:val="22"/>
              </w:rPr>
              <w:t>Spain</w:t>
            </w:r>
          </w:p>
        </w:tc>
        <w:tc>
          <w:tcPr>
            <w:tcW w:w="4798" w:type="dxa"/>
            <w:vAlign w:val="center"/>
          </w:tcPr>
          <w:p w14:paraId="66BC94FC" w14:textId="1951E16F" w:rsidR="00FF3D4D"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Decentralised with emergency re-centralisation</w:t>
            </w:r>
          </w:p>
        </w:tc>
        <w:tc>
          <w:tcPr>
            <w:tcW w:w="4022" w:type="dxa"/>
            <w:vAlign w:val="center"/>
          </w:tcPr>
          <w:p w14:paraId="6BAC6AAD" w14:textId="75420BE7" w:rsidR="00FF3D4D"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Delayed early detection; strong later vaccination coordination</w:t>
            </w:r>
          </w:p>
        </w:tc>
      </w:tr>
      <w:tr w:rsidR="000C0AA2" w:rsidRPr="003C2796" w14:paraId="0FE1DA77" w14:textId="77777777" w:rsidTr="00FF3D4D">
        <w:tc>
          <w:tcPr>
            <w:tcW w:w="1435" w:type="dxa"/>
            <w:vAlign w:val="center"/>
          </w:tcPr>
          <w:p w14:paraId="260B6533" w14:textId="01CFA00C" w:rsidR="00FF3D4D" w:rsidRPr="003C2796" w:rsidRDefault="00FF3D4D" w:rsidP="00054784">
            <w:pPr>
              <w:spacing w:line="360" w:lineRule="auto"/>
              <w:jc w:val="center"/>
              <w:rPr>
                <w:rFonts w:ascii="Arial" w:hAnsi="Arial" w:cs="Arial"/>
                <w:sz w:val="22"/>
                <w:szCs w:val="22"/>
              </w:rPr>
            </w:pPr>
            <w:r w:rsidRPr="003C2796">
              <w:rPr>
                <w:rFonts w:ascii="Arial" w:hAnsi="Arial" w:cs="Arial"/>
                <w:b/>
                <w:bCs/>
                <w:sz w:val="22"/>
                <w:szCs w:val="22"/>
              </w:rPr>
              <w:t>South Korea</w:t>
            </w:r>
          </w:p>
        </w:tc>
        <w:tc>
          <w:tcPr>
            <w:tcW w:w="4798" w:type="dxa"/>
            <w:vAlign w:val="center"/>
          </w:tcPr>
          <w:p w14:paraId="1E36136C" w14:textId="153B9B0B" w:rsidR="00FF3D4D"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Highly centralised public health authority</w:t>
            </w:r>
          </w:p>
        </w:tc>
        <w:tc>
          <w:tcPr>
            <w:tcW w:w="4022" w:type="dxa"/>
            <w:vAlign w:val="center"/>
          </w:tcPr>
          <w:p w14:paraId="1B93CB10" w14:textId="2AB7AEB2" w:rsidR="00FF3D4D"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Rapid test-trace-isolate; avoided lockdowns</w:t>
            </w:r>
          </w:p>
        </w:tc>
      </w:tr>
      <w:tr w:rsidR="000C0AA2" w:rsidRPr="003C2796" w14:paraId="55F78C53" w14:textId="77777777" w:rsidTr="00FF3D4D">
        <w:tc>
          <w:tcPr>
            <w:tcW w:w="1435" w:type="dxa"/>
            <w:vAlign w:val="center"/>
          </w:tcPr>
          <w:p w14:paraId="7B4C56B4" w14:textId="63B5A7E5" w:rsidR="00FF3D4D" w:rsidRPr="003C2796" w:rsidRDefault="00FF3D4D" w:rsidP="00054784">
            <w:pPr>
              <w:spacing w:line="360" w:lineRule="auto"/>
              <w:jc w:val="center"/>
              <w:rPr>
                <w:rFonts w:ascii="Arial" w:hAnsi="Arial" w:cs="Arial"/>
                <w:sz w:val="22"/>
                <w:szCs w:val="22"/>
              </w:rPr>
            </w:pPr>
            <w:r w:rsidRPr="003C2796">
              <w:rPr>
                <w:rFonts w:ascii="Arial" w:hAnsi="Arial" w:cs="Arial"/>
                <w:b/>
                <w:bCs/>
                <w:sz w:val="22"/>
                <w:szCs w:val="22"/>
              </w:rPr>
              <w:t>Canada</w:t>
            </w:r>
          </w:p>
        </w:tc>
        <w:tc>
          <w:tcPr>
            <w:tcW w:w="4798" w:type="dxa"/>
            <w:vAlign w:val="center"/>
          </w:tcPr>
          <w:p w14:paraId="3AA720D1" w14:textId="4AF6F619" w:rsidR="00FF3D4D"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Federal decentralisation</w:t>
            </w:r>
          </w:p>
        </w:tc>
        <w:tc>
          <w:tcPr>
            <w:tcW w:w="4022" w:type="dxa"/>
            <w:vAlign w:val="center"/>
          </w:tcPr>
          <w:p w14:paraId="38A2BB48" w14:textId="7F4C0B39" w:rsidR="00FF3D4D" w:rsidRPr="003C2796" w:rsidRDefault="00FF3D4D" w:rsidP="00054784">
            <w:pPr>
              <w:spacing w:line="360" w:lineRule="auto"/>
              <w:jc w:val="both"/>
              <w:rPr>
                <w:rFonts w:ascii="Arial" w:hAnsi="Arial" w:cs="Arial"/>
                <w:sz w:val="22"/>
                <w:szCs w:val="22"/>
              </w:rPr>
            </w:pPr>
            <w:r w:rsidRPr="003C2796">
              <w:rPr>
                <w:rFonts w:ascii="Arial" w:hAnsi="Arial" w:cs="Arial"/>
                <w:sz w:val="22"/>
                <w:szCs w:val="22"/>
              </w:rPr>
              <w:t>Highly variable provincial responses, delayed unified strategy</w:t>
            </w:r>
          </w:p>
        </w:tc>
      </w:tr>
    </w:tbl>
    <w:p w14:paraId="5D681CFF" w14:textId="77777777" w:rsidR="00FF3D4D" w:rsidRPr="003C2796" w:rsidRDefault="00FF3D4D" w:rsidP="00054784">
      <w:pPr>
        <w:spacing w:line="360" w:lineRule="auto"/>
        <w:jc w:val="both"/>
        <w:rPr>
          <w:rFonts w:ascii="Arial" w:hAnsi="Arial" w:cs="Arial"/>
          <w:sz w:val="22"/>
          <w:szCs w:val="22"/>
        </w:rPr>
      </w:pPr>
    </w:p>
    <w:p w14:paraId="2F302E29" w14:textId="77777777" w:rsidR="005C7EB6" w:rsidRPr="003C2796" w:rsidRDefault="005C7EB6" w:rsidP="00054784">
      <w:pPr>
        <w:pStyle w:val="Heading3"/>
        <w:spacing w:line="360" w:lineRule="auto"/>
        <w:rPr>
          <w:rFonts w:ascii="Arial" w:hAnsi="Arial" w:cs="Arial"/>
          <w:b/>
          <w:bCs/>
          <w:color w:val="auto"/>
          <w:sz w:val="22"/>
          <w:szCs w:val="22"/>
        </w:rPr>
      </w:pPr>
      <w:bookmarkStart w:id="11" w:name="_Toc217444795"/>
      <w:r w:rsidRPr="003C2796">
        <w:rPr>
          <w:rFonts w:ascii="Arial" w:hAnsi="Arial" w:cs="Arial"/>
          <w:b/>
          <w:bCs/>
          <w:color w:val="auto"/>
          <w:sz w:val="22"/>
          <w:szCs w:val="22"/>
        </w:rPr>
        <w:t>3.4.2 Testing and Surveillance Capacity</w:t>
      </w:r>
      <w:bookmarkEnd w:id="11"/>
    </w:p>
    <w:p w14:paraId="6667B688"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South Korea’s early testing scale was unmatched. By mid-March 2020:</w:t>
      </w:r>
    </w:p>
    <w:p w14:paraId="33D25EDE" w14:textId="77777777" w:rsidR="005C7EB6" w:rsidRPr="003C2796" w:rsidRDefault="005C7EB6" w:rsidP="00054784">
      <w:pPr>
        <w:numPr>
          <w:ilvl w:val="0"/>
          <w:numId w:val="4"/>
        </w:numPr>
        <w:spacing w:line="360" w:lineRule="auto"/>
        <w:jc w:val="both"/>
        <w:rPr>
          <w:rFonts w:ascii="Arial" w:hAnsi="Arial" w:cs="Arial"/>
          <w:sz w:val="22"/>
          <w:szCs w:val="22"/>
        </w:rPr>
      </w:pPr>
      <w:r w:rsidRPr="003C2796">
        <w:rPr>
          <w:rFonts w:ascii="Arial" w:hAnsi="Arial" w:cs="Arial"/>
          <w:sz w:val="22"/>
          <w:szCs w:val="22"/>
        </w:rPr>
        <w:lastRenderedPageBreak/>
        <w:t>South Korea conducted more tests per capita than Spain and Canada combined</w:t>
      </w:r>
    </w:p>
    <w:p w14:paraId="288E2DDC" w14:textId="2578817C" w:rsidR="005C7EB6" w:rsidRPr="003C2796" w:rsidRDefault="005C7EB6" w:rsidP="00054784">
      <w:pPr>
        <w:numPr>
          <w:ilvl w:val="0"/>
          <w:numId w:val="4"/>
        </w:numPr>
        <w:spacing w:line="360" w:lineRule="auto"/>
        <w:jc w:val="both"/>
        <w:rPr>
          <w:rFonts w:ascii="Arial" w:hAnsi="Arial" w:cs="Arial"/>
          <w:sz w:val="22"/>
          <w:szCs w:val="22"/>
        </w:rPr>
      </w:pPr>
      <w:r w:rsidRPr="003C2796">
        <w:rPr>
          <w:rFonts w:ascii="Arial" w:hAnsi="Arial" w:cs="Arial"/>
          <w:sz w:val="22"/>
          <w:szCs w:val="22"/>
        </w:rPr>
        <w:t>Korea’s positivity rate remained below 2%, compared to Spain’s over 20% positivity during early waves (ECDC, 2020)</w:t>
      </w:r>
    </w:p>
    <w:p w14:paraId="71822823" w14:textId="77777777" w:rsidR="005C7EB6" w:rsidRPr="003C2796" w:rsidRDefault="005C7EB6" w:rsidP="00054784">
      <w:pPr>
        <w:numPr>
          <w:ilvl w:val="0"/>
          <w:numId w:val="4"/>
        </w:numPr>
        <w:spacing w:line="360" w:lineRule="auto"/>
        <w:jc w:val="both"/>
        <w:rPr>
          <w:rFonts w:ascii="Arial" w:hAnsi="Arial" w:cs="Arial"/>
          <w:sz w:val="22"/>
          <w:szCs w:val="22"/>
        </w:rPr>
      </w:pPr>
      <w:r w:rsidRPr="003C2796">
        <w:rPr>
          <w:rFonts w:ascii="Arial" w:hAnsi="Arial" w:cs="Arial"/>
          <w:sz w:val="22"/>
          <w:szCs w:val="22"/>
        </w:rPr>
        <w:t>Canada reported slower turnaround times and prolonged lab backlogs</w:t>
      </w:r>
    </w:p>
    <w:p w14:paraId="31769CE2" w14:textId="1ACBE9D9" w:rsidR="005C7EB6" w:rsidRPr="003C2796" w:rsidRDefault="00C73395" w:rsidP="00054784">
      <w:pPr>
        <w:spacing w:line="360" w:lineRule="auto"/>
        <w:jc w:val="both"/>
        <w:rPr>
          <w:rFonts w:ascii="Arial" w:hAnsi="Arial" w:cs="Arial"/>
          <w:sz w:val="22"/>
          <w:szCs w:val="22"/>
        </w:rPr>
      </w:pPr>
      <w:r w:rsidRPr="003C2796">
        <w:rPr>
          <w:rFonts w:ascii="Arial" w:hAnsi="Arial" w:cs="Arial"/>
          <w:sz w:val="22"/>
          <w:szCs w:val="22"/>
        </w:rPr>
        <w:t xml:space="preserve">Spain began to expand capacity later in the month of March, to 700,000 weekly tests later in 2020, but Canada expanded slowly but had capacity imbalances between provinces. Being able to respond so quickly required legal changes made following MERS, as legal changes allowed the KDCA to collaborate with biotech companies within three weeks of discovering the virus- an unprecedented amount of time (Lee </w:t>
      </w:r>
      <w:r w:rsidR="006A133F" w:rsidRPr="003C2796">
        <w:rPr>
          <w:rFonts w:ascii="Arial" w:hAnsi="Arial" w:cs="Arial"/>
          <w:sz w:val="22"/>
          <w:szCs w:val="22"/>
        </w:rPr>
        <w:t>and</w:t>
      </w:r>
      <w:r w:rsidRPr="003C2796">
        <w:rPr>
          <w:rFonts w:ascii="Arial" w:hAnsi="Arial" w:cs="Arial"/>
          <w:sz w:val="22"/>
          <w:szCs w:val="22"/>
        </w:rPr>
        <w:t xml:space="preserve"> Lee, 2020).</w:t>
      </w:r>
    </w:p>
    <w:p w14:paraId="32F6A4E0" w14:textId="77777777" w:rsidR="005C7EB6" w:rsidRPr="003C2796" w:rsidRDefault="005C7EB6" w:rsidP="00054784">
      <w:pPr>
        <w:pStyle w:val="Heading3"/>
        <w:spacing w:line="360" w:lineRule="auto"/>
        <w:rPr>
          <w:rFonts w:ascii="Arial" w:hAnsi="Arial" w:cs="Arial"/>
          <w:b/>
          <w:bCs/>
          <w:color w:val="auto"/>
          <w:sz w:val="22"/>
          <w:szCs w:val="22"/>
        </w:rPr>
      </w:pPr>
      <w:bookmarkStart w:id="12" w:name="_Toc217444796"/>
      <w:r w:rsidRPr="003C2796">
        <w:rPr>
          <w:rFonts w:ascii="Arial" w:hAnsi="Arial" w:cs="Arial"/>
          <w:b/>
          <w:bCs/>
          <w:color w:val="auto"/>
          <w:sz w:val="22"/>
          <w:szCs w:val="22"/>
        </w:rPr>
        <w:t>3.4.3 Hospital Capacity and Critical Care Preparedness</w:t>
      </w:r>
      <w:bookmarkEnd w:id="12"/>
    </w:p>
    <w:p w14:paraId="52613740" w14:textId="7EA8858B" w:rsidR="005C7EB6" w:rsidRPr="003C2796" w:rsidRDefault="00C73395" w:rsidP="00054784">
      <w:pPr>
        <w:spacing w:line="360" w:lineRule="auto"/>
        <w:jc w:val="both"/>
        <w:rPr>
          <w:rFonts w:ascii="Arial" w:hAnsi="Arial" w:cs="Arial"/>
          <w:sz w:val="22"/>
          <w:szCs w:val="22"/>
        </w:rPr>
      </w:pPr>
      <w:r w:rsidRPr="003C2796">
        <w:rPr>
          <w:rFonts w:ascii="Arial" w:hAnsi="Arial" w:cs="Arial"/>
          <w:sz w:val="22"/>
          <w:szCs w:val="22"/>
        </w:rPr>
        <w:t>The occupation of the ICU was more than 130 percent early, and the health system of Spain was overwhelmed, which necessitated the use of field hospitals, including the IFEMA centre in Madrid with 5,000 beds</w:t>
      </w:r>
      <w:r w:rsidR="004D0379" w:rsidRPr="003C2796">
        <w:rPr>
          <w:rFonts w:ascii="Arial" w:hAnsi="Arial" w:cs="Arial"/>
          <w:sz w:val="22"/>
          <w:szCs w:val="22"/>
        </w:rPr>
        <w:t xml:space="preserve"> (Elke et al., 2021)</w:t>
      </w:r>
      <w:r w:rsidRPr="003C2796">
        <w:rPr>
          <w:rFonts w:ascii="Arial" w:hAnsi="Arial" w:cs="Arial"/>
          <w:sz w:val="22"/>
          <w:szCs w:val="22"/>
        </w:rPr>
        <w:t>. South Korea, on the contrary, ensured hospital stability by containing and distributing the spread and patients early across both private and public hospitals. The long-term care sector in Canada suffered disastrous failures and the mortality rates of the LTC residents were almost two times higher than the OECD average (OECD, 2021). But the hospital system in Canada did not collapse, and this was partially because of federal emergency funding and provincial triage procedures.</w:t>
      </w:r>
    </w:p>
    <w:p w14:paraId="4628864B" w14:textId="77777777" w:rsidR="005C7EB6" w:rsidRPr="003C2796" w:rsidRDefault="005C7EB6" w:rsidP="00054784">
      <w:pPr>
        <w:pStyle w:val="Heading3"/>
        <w:spacing w:line="360" w:lineRule="auto"/>
        <w:rPr>
          <w:rFonts w:ascii="Arial" w:hAnsi="Arial" w:cs="Arial"/>
          <w:b/>
          <w:bCs/>
          <w:color w:val="auto"/>
          <w:sz w:val="22"/>
          <w:szCs w:val="22"/>
        </w:rPr>
      </w:pPr>
      <w:bookmarkStart w:id="13" w:name="_Toc217444797"/>
      <w:r w:rsidRPr="003C2796">
        <w:rPr>
          <w:rFonts w:ascii="Arial" w:hAnsi="Arial" w:cs="Arial"/>
          <w:b/>
          <w:bCs/>
          <w:color w:val="auto"/>
          <w:sz w:val="22"/>
          <w:szCs w:val="22"/>
        </w:rPr>
        <w:t>3.4.4 Public Health Interventions and Mobility Restrictions</w:t>
      </w:r>
      <w:bookmarkEnd w:id="13"/>
    </w:p>
    <w:p w14:paraId="3B38A2CC" w14:textId="0FEC17D6" w:rsidR="005C7EB6" w:rsidRPr="003C2796" w:rsidRDefault="005C7EB6" w:rsidP="000000AE">
      <w:pPr>
        <w:spacing w:line="360" w:lineRule="auto"/>
        <w:jc w:val="both"/>
        <w:rPr>
          <w:rFonts w:ascii="Arial" w:hAnsi="Arial" w:cs="Arial"/>
          <w:sz w:val="22"/>
          <w:szCs w:val="22"/>
        </w:rPr>
      </w:pPr>
      <w:r w:rsidRPr="003C2796">
        <w:rPr>
          <w:rFonts w:ascii="Arial" w:hAnsi="Arial" w:cs="Arial"/>
          <w:sz w:val="22"/>
          <w:szCs w:val="22"/>
        </w:rPr>
        <w:t>Spain imposed one of the world's strictest lockdowns, reducing mobility by 60% (Google, 2020).</w:t>
      </w:r>
      <w:r w:rsidR="000000AE" w:rsidRPr="003C2796">
        <w:rPr>
          <w:rFonts w:ascii="Arial" w:hAnsi="Arial" w:cs="Arial"/>
          <w:sz w:val="22"/>
          <w:szCs w:val="22"/>
        </w:rPr>
        <w:t xml:space="preserve"> </w:t>
      </w:r>
      <w:r w:rsidRPr="003C2796">
        <w:rPr>
          <w:rFonts w:ascii="Arial" w:hAnsi="Arial" w:cs="Arial"/>
          <w:sz w:val="22"/>
          <w:szCs w:val="22"/>
        </w:rPr>
        <w:t>South Korea avoided lockdowns entirely, relying on digital surveillance and public compliance.</w:t>
      </w:r>
      <w:r w:rsidR="000000AE" w:rsidRPr="003C2796">
        <w:rPr>
          <w:rFonts w:ascii="Arial" w:hAnsi="Arial" w:cs="Arial"/>
          <w:sz w:val="22"/>
          <w:szCs w:val="22"/>
        </w:rPr>
        <w:t xml:space="preserve"> </w:t>
      </w:r>
      <w:r w:rsidRPr="003C2796">
        <w:rPr>
          <w:rFonts w:ascii="Arial" w:hAnsi="Arial" w:cs="Arial"/>
          <w:sz w:val="22"/>
          <w:szCs w:val="22"/>
        </w:rPr>
        <w:t>Canada applied moderate measures overall but with major variation: Ontario had some of the longest school closures globally, while Alberta maintained minimal restrictions.</w:t>
      </w:r>
    </w:p>
    <w:p w14:paraId="06CA3CF6"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The contrast highlights how centralisation enabled Korea to avoid blunt measures, whereas decentralisation forced Spain into severe emergency centralisation and Canada into fragmented, varied restrictions.</w:t>
      </w:r>
    </w:p>
    <w:p w14:paraId="3E953CCA" w14:textId="77777777" w:rsidR="005C7EB6" w:rsidRPr="003C2796" w:rsidRDefault="005C7EB6" w:rsidP="00054784">
      <w:pPr>
        <w:pStyle w:val="Heading3"/>
        <w:spacing w:line="360" w:lineRule="auto"/>
        <w:rPr>
          <w:rFonts w:ascii="Arial" w:hAnsi="Arial" w:cs="Arial"/>
          <w:b/>
          <w:bCs/>
          <w:color w:val="auto"/>
          <w:sz w:val="22"/>
          <w:szCs w:val="22"/>
        </w:rPr>
      </w:pPr>
      <w:bookmarkStart w:id="14" w:name="_Toc217444798"/>
      <w:r w:rsidRPr="003C2796">
        <w:rPr>
          <w:rFonts w:ascii="Arial" w:hAnsi="Arial" w:cs="Arial"/>
          <w:b/>
          <w:bCs/>
          <w:color w:val="auto"/>
          <w:sz w:val="22"/>
          <w:szCs w:val="22"/>
        </w:rPr>
        <w:t>3.4.5 Vaccination Rollout</w:t>
      </w:r>
      <w:bookmarkEnd w:id="14"/>
    </w:p>
    <w:p w14:paraId="7E49D903"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Spain became a “vaccination champion,” achieving:</w:t>
      </w:r>
    </w:p>
    <w:p w14:paraId="72173ACD"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&gt;90% dose utilisation</w:t>
      </w:r>
    </w:p>
    <w:p w14:paraId="0037CE47"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&gt;80% population fully vaccinated by late 2021</w:t>
      </w:r>
    </w:p>
    <w:p w14:paraId="77F11A62"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lastRenderedPageBreak/>
        <w:t>South Korea achieved similar vaccination levels but started later due to supply delays. Canada, though initially slow, ended 2021 with one of the highest coverage rates globally (82% fully vaccinated).</w:t>
      </w:r>
    </w:p>
    <w:p w14:paraId="778E2254"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The differentiating factor was governance efficiency:</w:t>
      </w:r>
    </w:p>
    <w:p w14:paraId="22C7DAFE"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Spain and Korea had streamlined national systems to distribute vaccines</w:t>
      </w:r>
    </w:p>
    <w:p w14:paraId="6828FA18"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Canada had to coordinate among 13 provincial and territorial health systems, slowing early distribution</w:t>
      </w:r>
    </w:p>
    <w:p w14:paraId="71A03E48" w14:textId="77777777" w:rsidR="005C7EB6" w:rsidRPr="003C2796" w:rsidRDefault="005C7EB6" w:rsidP="00054784">
      <w:pPr>
        <w:pStyle w:val="Heading3"/>
        <w:spacing w:line="360" w:lineRule="auto"/>
        <w:rPr>
          <w:rFonts w:ascii="Arial" w:hAnsi="Arial" w:cs="Arial"/>
          <w:b/>
          <w:bCs/>
          <w:color w:val="auto"/>
          <w:sz w:val="22"/>
          <w:szCs w:val="22"/>
        </w:rPr>
      </w:pPr>
      <w:bookmarkStart w:id="15" w:name="_Toc217444799"/>
      <w:r w:rsidRPr="003C2796">
        <w:rPr>
          <w:rFonts w:ascii="Arial" w:hAnsi="Arial" w:cs="Arial"/>
          <w:b/>
          <w:bCs/>
          <w:color w:val="auto"/>
          <w:sz w:val="22"/>
          <w:szCs w:val="22"/>
        </w:rPr>
        <w:t>3.4.6 Communication and Public Trust</w:t>
      </w:r>
      <w:bookmarkEnd w:id="15"/>
    </w:p>
    <w:p w14:paraId="2B82341D"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Leadership communication styles influenced compliance:</w:t>
      </w:r>
    </w:p>
    <w:p w14:paraId="3D15FC00"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 xml:space="preserve">South Korea: Transparency enhanced public trust. Chung Sye-kyun’s message emphasised openness: </w:t>
      </w:r>
      <w:r w:rsidRPr="003C2796">
        <w:rPr>
          <w:rFonts w:ascii="Arial" w:hAnsi="Arial" w:cs="Arial"/>
          <w:i/>
          <w:iCs/>
          <w:sz w:val="22"/>
          <w:szCs w:val="22"/>
        </w:rPr>
        <w:t>“Transparency is how we fight fears more dangerous than the virus.”</w:t>
      </w:r>
    </w:p>
    <w:p w14:paraId="0F716013"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Spain: Early mixed messaging undermined trust, but clear communication improved during the vaccination phase.</w:t>
      </w:r>
    </w:p>
    <w:p w14:paraId="0B7F64BD" w14:textId="77777777" w:rsidR="005C7EB6" w:rsidRPr="003C2796" w:rsidRDefault="005C7EB6" w:rsidP="00963376">
      <w:pPr>
        <w:spacing w:line="360" w:lineRule="auto"/>
        <w:ind w:left="360"/>
        <w:jc w:val="both"/>
        <w:rPr>
          <w:rFonts w:ascii="Arial" w:hAnsi="Arial" w:cs="Arial"/>
          <w:sz w:val="22"/>
          <w:szCs w:val="22"/>
        </w:rPr>
      </w:pPr>
      <w:r w:rsidRPr="003C2796">
        <w:rPr>
          <w:rFonts w:ascii="Arial" w:hAnsi="Arial" w:cs="Arial"/>
          <w:sz w:val="22"/>
          <w:szCs w:val="22"/>
        </w:rPr>
        <w:t>Canada: Trudeau delivered daily briefings, emphasising unity; however, provincial disagreements sometimes confused the public.</w:t>
      </w:r>
    </w:p>
    <w:p w14:paraId="3148641A" w14:textId="1FFD0E75"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 xml:space="preserve">Research shows countries with consistent, transparent messaging achieved better adherence to guidelines (Lewnard </w:t>
      </w:r>
      <w:r w:rsidR="006A133F" w:rsidRPr="003C2796">
        <w:rPr>
          <w:rFonts w:ascii="Arial" w:hAnsi="Arial" w:cs="Arial"/>
          <w:sz w:val="22"/>
          <w:szCs w:val="22"/>
        </w:rPr>
        <w:t>and</w:t>
      </w:r>
      <w:r w:rsidRPr="003C2796">
        <w:rPr>
          <w:rFonts w:ascii="Arial" w:hAnsi="Arial" w:cs="Arial"/>
          <w:sz w:val="22"/>
          <w:szCs w:val="22"/>
        </w:rPr>
        <w:t xml:space="preserve"> Lo, 2020).</w:t>
      </w:r>
    </w:p>
    <w:p w14:paraId="2BE12CD0" w14:textId="77777777" w:rsidR="005C7EB6" w:rsidRPr="003C2796" w:rsidRDefault="005C7EB6" w:rsidP="00054784">
      <w:pPr>
        <w:pStyle w:val="Heading3"/>
        <w:spacing w:line="360" w:lineRule="auto"/>
        <w:rPr>
          <w:rFonts w:ascii="Arial" w:hAnsi="Arial" w:cs="Arial"/>
          <w:b/>
          <w:bCs/>
          <w:color w:val="auto"/>
          <w:sz w:val="22"/>
          <w:szCs w:val="22"/>
        </w:rPr>
      </w:pPr>
      <w:bookmarkStart w:id="16" w:name="_Toc217444800"/>
      <w:r w:rsidRPr="003C2796">
        <w:rPr>
          <w:rFonts w:ascii="Arial" w:hAnsi="Arial" w:cs="Arial"/>
          <w:b/>
          <w:bCs/>
          <w:color w:val="auto"/>
          <w:sz w:val="22"/>
          <w:szCs w:val="22"/>
        </w:rPr>
        <w:t>3.4.7 Overall System Performance</w:t>
      </w:r>
      <w:bookmarkEnd w:id="16"/>
    </w:p>
    <w:p w14:paraId="78810140" w14:textId="77777777" w:rsidR="005C7EB6" w:rsidRPr="003C2796" w:rsidRDefault="005C7EB6" w:rsidP="00054784">
      <w:pPr>
        <w:spacing w:line="360" w:lineRule="auto"/>
        <w:jc w:val="both"/>
        <w:rPr>
          <w:rFonts w:ascii="Arial" w:hAnsi="Arial" w:cs="Arial"/>
          <w:sz w:val="22"/>
          <w:szCs w:val="22"/>
        </w:rPr>
      </w:pPr>
      <w:r w:rsidRPr="003C2796">
        <w:rPr>
          <w:rFonts w:ascii="Arial" w:hAnsi="Arial" w:cs="Arial"/>
          <w:sz w:val="22"/>
          <w:szCs w:val="22"/>
        </w:rPr>
        <w:t>South Korea’s centralised model produced the most effective outcomes in early pandemic control. Spain, though initially overwhelmed, adapted effectively post-first wave. Canada showed strong later-stage vaccination performance but suffered the greatest structural failures in its long-term care sector.</w:t>
      </w:r>
    </w:p>
    <w:p w14:paraId="5240646E" w14:textId="77777777" w:rsidR="00A069F0" w:rsidRPr="003C2796" w:rsidRDefault="00A069F0" w:rsidP="00054784">
      <w:pPr>
        <w:spacing w:line="360" w:lineRule="auto"/>
        <w:jc w:val="both"/>
        <w:rPr>
          <w:rFonts w:ascii="Arial" w:hAnsi="Arial" w:cs="Arial"/>
          <w:sz w:val="22"/>
          <w:szCs w:val="22"/>
        </w:rPr>
      </w:pPr>
    </w:p>
    <w:p w14:paraId="1D45204D" w14:textId="77777777" w:rsidR="009E0B7B" w:rsidRPr="003C2796" w:rsidRDefault="009E0B7B" w:rsidP="00054784">
      <w:pPr>
        <w:spacing w:line="360" w:lineRule="auto"/>
        <w:jc w:val="both"/>
        <w:rPr>
          <w:rFonts w:ascii="Arial" w:hAnsi="Arial" w:cs="Arial"/>
          <w:sz w:val="22"/>
          <w:szCs w:val="22"/>
        </w:rPr>
      </w:pPr>
      <w:r w:rsidRPr="003C2796">
        <w:rPr>
          <w:rFonts w:ascii="Arial" w:hAnsi="Arial" w:cs="Arial"/>
          <w:sz w:val="22"/>
          <w:szCs w:val="22"/>
        </w:rPr>
        <w:t>Overall effectiveness ranking (early pandemic):</w:t>
      </w:r>
    </w:p>
    <w:p w14:paraId="7FF4DFC5" w14:textId="1800D663" w:rsidR="009E0B7B" w:rsidRPr="003C2796" w:rsidRDefault="009E0B7B" w:rsidP="00A069F0">
      <w:pPr>
        <w:spacing w:line="360" w:lineRule="auto"/>
        <w:ind w:left="360"/>
        <w:jc w:val="both"/>
        <w:rPr>
          <w:rFonts w:ascii="Arial" w:hAnsi="Arial" w:cs="Arial"/>
          <w:sz w:val="22"/>
          <w:szCs w:val="22"/>
        </w:rPr>
      </w:pPr>
      <w:r w:rsidRPr="003C2796">
        <w:rPr>
          <w:rFonts w:ascii="Arial" w:hAnsi="Arial" w:cs="Arial"/>
          <w:sz w:val="22"/>
          <w:szCs w:val="22"/>
        </w:rPr>
        <w:t>South Korea: rapid containment, minimal disruption</w:t>
      </w:r>
    </w:p>
    <w:p w14:paraId="70397270" w14:textId="3C0412DB" w:rsidR="009E0B7B" w:rsidRPr="003C2796" w:rsidRDefault="009E0B7B" w:rsidP="00A069F0">
      <w:pPr>
        <w:spacing w:line="360" w:lineRule="auto"/>
        <w:ind w:left="360"/>
        <w:jc w:val="both"/>
        <w:rPr>
          <w:rFonts w:ascii="Arial" w:hAnsi="Arial" w:cs="Arial"/>
          <w:sz w:val="22"/>
          <w:szCs w:val="22"/>
        </w:rPr>
      </w:pPr>
      <w:r w:rsidRPr="003C2796">
        <w:rPr>
          <w:rFonts w:ascii="Arial" w:hAnsi="Arial" w:cs="Arial"/>
          <w:sz w:val="22"/>
          <w:szCs w:val="22"/>
        </w:rPr>
        <w:t>Spain: delayed early action, strong later recovery</w:t>
      </w:r>
    </w:p>
    <w:p w14:paraId="66E825DA" w14:textId="2ED26D42" w:rsidR="009E0B7B" w:rsidRPr="003C2796" w:rsidRDefault="009E0B7B" w:rsidP="00A069F0">
      <w:pPr>
        <w:spacing w:line="360" w:lineRule="auto"/>
        <w:ind w:left="360"/>
        <w:jc w:val="both"/>
        <w:rPr>
          <w:rFonts w:ascii="Arial" w:hAnsi="Arial" w:cs="Arial"/>
          <w:sz w:val="22"/>
          <w:szCs w:val="22"/>
        </w:rPr>
      </w:pPr>
      <w:r w:rsidRPr="003C2796">
        <w:rPr>
          <w:rFonts w:ascii="Arial" w:hAnsi="Arial" w:cs="Arial"/>
          <w:sz w:val="22"/>
          <w:szCs w:val="22"/>
        </w:rPr>
        <w:t>Canada: slow early coordination, variable responses</w:t>
      </w:r>
    </w:p>
    <w:p w14:paraId="08650EFC" w14:textId="589B7410" w:rsidR="009E0B7B" w:rsidRPr="003C2796" w:rsidRDefault="007B43A3" w:rsidP="00054784">
      <w:pPr>
        <w:pStyle w:val="Heading1"/>
        <w:spacing w:line="360" w:lineRule="auto"/>
        <w:rPr>
          <w:rFonts w:ascii="Arial" w:hAnsi="Arial" w:cs="Arial"/>
          <w:b/>
          <w:bCs/>
          <w:color w:val="auto"/>
          <w:sz w:val="22"/>
          <w:szCs w:val="22"/>
        </w:rPr>
      </w:pPr>
      <w:bookmarkStart w:id="17" w:name="_Toc217444801"/>
      <w:r w:rsidRPr="003C2796">
        <w:rPr>
          <w:rFonts w:ascii="Arial" w:hAnsi="Arial" w:cs="Arial"/>
          <w:b/>
          <w:bCs/>
          <w:color w:val="auto"/>
          <w:sz w:val="22"/>
          <w:szCs w:val="22"/>
        </w:rPr>
        <w:lastRenderedPageBreak/>
        <w:t xml:space="preserve">4.0 </w:t>
      </w:r>
      <w:r w:rsidR="00CC697B" w:rsidRPr="003C2796">
        <w:rPr>
          <w:rFonts w:ascii="Arial" w:hAnsi="Arial" w:cs="Arial"/>
          <w:b/>
          <w:bCs/>
          <w:color w:val="auto"/>
          <w:sz w:val="22"/>
          <w:szCs w:val="22"/>
        </w:rPr>
        <w:t>Leadership Theories: Conceptual Framework</w:t>
      </w:r>
      <w:bookmarkEnd w:id="17"/>
    </w:p>
    <w:p w14:paraId="4889BD1E" w14:textId="77777777"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The leadership theory will act as a base of examining the role played by decision-makers in determining the organisational performance in case of crisis like the COVID-19. There are seven key theories which can be used to explain the role of leaders in Spain, South Korea, and Canada in responding to the pandemic.</w:t>
      </w:r>
    </w:p>
    <w:p w14:paraId="672914D8" w14:textId="50EB6C63"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One of the oldest leadership paradigms is the Great Man Theory which suggests that leaders are born and not made and have inborn traits that predetermine them to be leaders (Carlyle, 1993). The view suggests that, in this regard, exceptional individuals whose innate talents enable them to navigate societies in times of uncertainty are exposed during crises</w:t>
      </w:r>
      <w:r w:rsidR="003B3471" w:rsidRPr="003C2796">
        <w:rPr>
          <w:rFonts w:ascii="Arial" w:hAnsi="Arial" w:cs="Arial"/>
          <w:sz w:val="22"/>
          <w:szCs w:val="22"/>
        </w:rPr>
        <w:t xml:space="preserve"> </w:t>
      </w:r>
      <w:r w:rsidR="003B3471" w:rsidRPr="003C2796">
        <w:rPr>
          <w:rFonts w:ascii="Arial" w:hAnsi="Arial" w:cs="Arial"/>
          <w:sz w:val="22"/>
          <w:szCs w:val="22"/>
        </w:rPr>
        <w:t>(Carlyle, 1993)</w:t>
      </w:r>
      <w:r w:rsidRPr="003C2796">
        <w:rPr>
          <w:rFonts w:ascii="Arial" w:hAnsi="Arial" w:cs="Arial"/>
          <w:sz w:val="22"/>
          <w:szCs w:val="22"/>
        </w:rPr>
        <w:t>. Despite being critici</w:t>
      </w:r>
      <w:r w:rsidR="005320F8" w:rsidRPr="003C2796">
        <w:rPr>
          <w:rFonts w:ascii="Arial" w:hAnsi="Arial" w:cs="Arial"/>
          <w:sz w:val="22"/>
          <w:szCs w:val="22"/>
        </w:rPr>
        <w:t>s</w:t>
      </w:r>
      <w:r w:rsidRPr="003C2796">
        <w:rPr>
          <w:rFonts w:ascii="Arial" w:hAnsi="Arial" w:cs="Arial"/>
          <w:sz w:val="22"/>
          <w:szCs w:val="22"/>
        </w:rPr>
        <w:t>ed as determinist, the theory brings out the perceived supremacy of the strong political people in case of a national emergency.</w:t>
      </w:r>
    </w:p>
    <w:p w14:paraId="2E11805B" w14:textId="1DAE180E"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This idea was further elaborated by the Trait Theory which proposed that leaders have recogni</w:t>
      </w:r>
      <w:r w:rsidR="00A429A8" w:rsidRPr="003C2796">
        <w:rPr>
          <w:rFonts w:ascii="Arial" w:hAnsi="Arial" w:cs="Arial"/>
          <w:sz w:val="22"/>
          <w:szCs w:val="22"/>
        </w:rPr>
        <w:t>s</w:t>
      </w:r>
      <w:r w:rsidR="002207BD" w:rsidRPr="003C2796">
        <w:rPr>
          <w:rFonts w:ascii="Arial" w:hAnsi="Arial" w:cs="Arial"/>
          <w:sz w:val="22"/>
          <w:szCs w:val="22"/>
        </w:rPr>
        <w:t xml:space="preserve"> </w:t>
      </w:r>
      <w:r w:rsidRPr="003C2796">
        <w:rPr>
          <w:rFonts w:ascii="Arial" w:hAnsi="Arial" w:cs="Arial"/>
          <w:sz w:val="22"/>
          <w:szCs w:val="22"/>
        </w:rPr>
        <w:t>able and distinctive personality traits, e.g. confidence, decisiveness and integrity, that made them stand out among non-leaders (Stogdill, 1948). As unveiled through the present research findings, emotional resilience and openness to experience are some of the traits that have a profound influence on the effectiveness of crisis leadership (Zaccaro, 2007).</w:t>
      </w:r>
    </w:p>
    <w:p w14:paraId="7075ED63" w14:textId="65BAC31E"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Conversely, Behavioural Theory states that leaders are made, not born. Northouse (2025) describes the performance that is driven by leaders in terms of task-oriented and relationship-oriented behaviours. Frequent social interaction, which became the key factor to measure governmental leadership during the pandemic, constituted observable behaviours.</w:t>
      </w:r>
    </w:p>
    <w:p w14:paraId="7720CFFE" w14:textId="53BEF323"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The theory that was developed by Hersey and Blanchard (1969</w:t>
      </w:r>
      <w:r w:rsidR="00E31270" w:rsidRPr="003C2796">
        <w:rPr>
          <w:rFonts w:ascii="Arial" w:hAnsi="Arial" w:cs="Arial"/>
          <w:sz w:val="22"/>
          <w:szCs w:val="22"/>
        </w:rPr>
        <w:t xml:space="preserve">) </w:t>
      </w:r>
      <w:r w:rsidRPr="003C2796">
        <w:rPr>
          <w:rFonts w:ascii="Arial" w:hAnsi="Arial" w:cs="Arial"/>
          <w:sz w:val="22"/>
          <w:szCs w:val="22"/>
        </w:rPr>
        <w:t xml:space="preserve">is the Situational Leadership Theory, according to which a successful leader varies their approach with the ability and requirements of their followers. According to Graeff (1997), dynamic environments require flexibility, which is why the theory is extremely applicable in case of the COVID-19 </w:t>
      </w:r>
      <w:r w:rsidR="003C2796" w:rsidRPr="003C2796">
        <w:rPr>
          <w:rFonts w:ascii="Arial" w:hAnsi="Arial" w:cs="Arial"/>
          <w:sz w:val="22"/>
          <w:szCs w:val="22"/>
        </w:rPr>
        <w:t>policymaking</w:t>
      </w:r>
      <w:r w:rsidRPr="003C2796">
        <w:rPr>
          <w:rFonts w:ascii="Arial" w:hAnsi="Arial" w:cs="Arial"/>
          <w:sz w:val="22"/>
          <w:szCs w:val="22"/>
        </w:rPr>
        <w:t xml:space="preserve"> with its rapidly evolving conditions.</w:t>
      </w:r>
    </w:p>
    <w:p w14:paraId="40D84C2B" w14:textId="6758A436"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 xml:space="preserve">The Functional Leadership Theory is concerned with the aspect of the leader satisfying the needs of the group through the completion of functions that are critical in organisational effectiveness (Hackman and Walton, 1986). The responses to crisis, which include emergency coordination, resource allocation, and inter-agency collaboration, indicate how leaders </w:t>
      </w:r>
      <w:r w:rsidR="003C2796" w:rsidRPr="003C2796">
        <w:rPr>
          <w:rFonts w:ascii="Arial" w:hAnsi="Arial" w:cs="Arial"/>
          <w:sz w:val="22"/>
          <w:szCs w:val="22"/>
        </w:rPr>
        <w:t>can</w:t>
      </w:r>
      <w:r w:rsidRPr="003C2796">
        <w:rPr>
          <w:rFonts w:ascii="Arial" w:hAnsi="Arial" w:cs="Arial"/>
          <w:sz w:val="22"/>
          <w:szCs w:val="22"/>
        </w:rPr>
        <w:t xml:space="preserve"> play important roles towards system resilience.</w:t>
      </w:r>
    </w:p>
    <w:p w14:paraId="44EEE211" w14:textId="77777777" w:rsidR="0093712A"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lastRenderedPageBreak/>
        <w:t>Also known as transformational leadership, the Theory of Relationship, focuses on trust, inspiration, and working towards shared vision (Bass, 1985). It has been found that relational leadership is essential in the context of public-health due to the significant role of open communication and understanding, which enhance public compliance during pandemics (Dirani et al., 2020).</w:t>
      </w:r>
    </w:p>
    <w:p w14:paraId="081CD960" w14:textId="3A29C5B9" w:rsidR="00AF476C" w:rsidRPr="003C2796" w:rsidRDefault="0093712A" w:rsidP="00054784">
      <w:pPr>
        <w:spacing w:line="360" w:lineRule="auto"/>
        <w:jc w:val="both"/>
        <w:rPr>
          <w:rFonts w:ascii="Arial" w:hAnsi="Arial" w:cs="Arial"/>
          <w:sz w:val="22"/>
          <w:szCs w:val="22"/>
        </w:rPr>
      </w:pPr>
      <w:r w:rsidRPr="003C2796">
        <w:rPr>
          <w:rFonts w:ascii="Arial" w:hAnsi="Arial" w:cs="Arial"/>
          <w:sz w:val="22"/>
          <w:szCs w:val="22"/>
        </w:rPr>
        <w:t>Finally, Maxwell (2014) has provided the Five Levels of Leadership Model describing the process of leadership as the evolution of positional power to the heights of influence. Maxwell claims that higher levels leaders, especially Levels 4-5, are highly characteri</w:t>
      </w:r>
      <w:r w:rsidR="005320F8" w:rsidRPr="003C2796">
        <w:rPr>
          <w:rFonts w:ascii="Arial" w:hAnsi="Arial" w:cs="Arial"/>
          <w:sz w:val="22"/>
          <w:szCs w:val="22"/>
        </w:rPr>
        <w:t>s</w:t>
      </w:r>
      <w:r w:rsidRPr="003C2796">
        <w:rPr>
          <w:rFonts w:ascii="Arial" w:hAnsi="Arial" w:cs="Arial"/>
          <w:sz w:val="22"/>
          <w:szCs w:val="22"/>
        </w:rPr>
        <w:t>ed, empowered followers and brought long-term commitment, which is very significant when the time to sustain public trust in times of a long-term crisis, a situation that can happen.</w:t>
      </w:r>
    </w:p>
    <w:p w14:paraId="2236CCF7" w14:textId="2E27C489" w:rsidR="00AF476C" w:rsidRPr="003C2796" w:rsidRDefault="003C14C6" w:rsidP="00054784">
      <w:pPr>
        <w:pStyle w:val="Heading1"/>
        <w:spacing w:line="360" w:lineRule="auto"/>
        <w:rPr>
          <w:rFonts w:ascii="Arial" w:hAnsi="Arial" w:cs="Arial"/>
          <w:b/>
          <w:bCs/>
          <w:color w:val="auto"/>
          <w:sz w:val="22"/>
          <w:szCs w:val="22"/>
        </w:rPr>
      </w:pPr>
      <w:bookmarkStart w:id="18" w:name="_Toc217444802"/>
      <w:r w:rsidRPr="003C2796">
        <w:rPr>
          <w:rFonts w:ascii="Arial" w:hAnsi="Arial" w:cs="Arial"/>
          <w:b/>
          <w:bCs/>
          <w:color w:val="auto"/>
          <w:sz w:val="22"/>
          <w:szCs w:val="22"/>
        </w:rPr>
        <w:t>5.0 Leadership Analysis of Key Figures</w:t>
      </w:r>
      <w:bookmarkEnd w:id="18"/>
    </w:p>
    <w:p w14:paraId="01D4B3E9" w14:textId="4A1201CC" w:rsidR="00D46799" w:rsidRPr="003C2796" w:rsidRDefault="00B9571E" w:rsidP="00054784">
      <w:pPr>
        <w:spacing w:line="360" w:lineRule="auto"/>
        <w:jc w:val="both"/>
        <w:rPr>
          <w:rFonts w:ascii="Arial" w:hAnsi="Arial" w:cs="Arial"/>
          <w:color w:val="EE0000"/>
          <w:sz w:val="22"/>
          <w:szCs w:val="22"/>
        </w:rPr>
      </w:pPr>
      <w:r w:rsidRPr="003C2796">
        <w:rPr>
          <w:rFonts w:ascii="Arial" w:hAnsi="Arial" w:cs="Arial"/>
          <w:sz w:val="22"/>
          <w:szCs w:val="22"/>
        </w:rPr>
        <w:t>The COVID-19 pandemic has demonstrated the significance of leadership capacity in the political and health governance systems. The application of the seven identified theories to the leadership of Salvador Illa (Spain), Chung Sye-kyun (South Korea), and Justin Trudeau (Canada) allows gaining a better understanding of how traits, behaviours, situational adjustments, and relationship abilities determined the national results</w:t>
      </w:r>
      <w:r w:rsidR="001D47E1" w:rsidRPr="003C2796">
        <w:rPr>
          <w:rFonts w:ascii="Arial" w:hAnsi="Arial" w:cs="Arial"/>
          <w:sz w:val="22"/>
          <w:szCs w:val="22"/>
        </w:rPr>
        <w:t xml:space="preserve"> (</w:t>
      </w:r>
      <w:r w:rsidR="001D47E1" w:rsidRPr="003C2796">
        <w:rPr>
          <w:rFonts w:ascii="Arial" w:hAnsi="Arial" w:cs="Arial"/>
          <w:sz w:val="22"/>
          <w:szCs w:val="22"/>
          <w:lang w:val="en-US"/>
        </w:rPr>
        <w:t>Greer et al., 2021)</w:t>
      </w:r>
      <w:r w:rsidRPr="003C2796">
        <w:rPr>
          <w:rFonts w:ascii="Arial" w:hAnsi="Arial" w:cs="Arial"/>
          <w:sz w:val="22"/>
          <w:szCs w:val="22"/>
        </w:rPr>
        <w:t xml:space="preserve">. Even though their areas of operation varied greatly in terms of the </w:t>
      </w:r>
      <w:proofErr w:type="gramStart"/>
      <w:r w:rsidRPr="003C2796">
        <w:rPr>
          <w:rFonts w:ascii="Arial" w:hAnsi="Arial" w:cs="Arial"/>
          <w:sz w:val="22"/>
          <w:szCs w:val="22"/>
        </w:rPr>
        <w:t>manner in which</w:t>
      </w:r>
      <w:proofErr w:type="gramEnd"/>
      <w:r w:rsidRPr="003C2796">
        <w:rPr>
          <w:rFonts w:ascii="Arial" w:hAnsi="Arial" w:cs="Arial"/>
          <w:sz w:val="22"/>
          <w:szCs w:val="22"/>
        </w:rPr>
        <w:t xml:space="preserve"> they were governed, all the three leaders had to work under close publicity and systems that require quick decision making based on changing scientific evidence. Their styles show how theory of leadership converges with the practice of crisis management in the real-life situations</w:t>
      </w:r>
      <w:r w:rsidR="00C0183B" w:rsidRPr="003C2796">
        <w:rPr>
          <w:rFonts w:ascii="Arial" w:hAnsi="Arial" w:cs="Arial"/>
          <w:sz w:val="22"/>
          <w:szCs w:val="22"/>
        </w:rPr>
        <w:t xml:space="preserve"> </w:t>
      </w:r>
      <w:r w:rsidR="00C0183B" w:rsidRPr="003C2796">
        <w:rPr>
          <w:rFonts w:ascii="Arial" w:hAnsi="Arial" w:cs="Arial"/>
          <w:sz w:val="22"/>
          <w:szCs w:val="22"/>
          <w:lang w:val="en-US"/>
        </w:rPr>
        <w:t>(</w:t>
      </w:r>
      <w:r w:rsidR="00C0183B" w:rsidRPr="003C2796">
        <w:rPr>
          <w:rFonts w:ascii="Arial" w:hAnsi="Arial" w:cs="Arial"/>
          <w:sz w:val="22"/>
          <w:szCs w:val="22"/>
        </w:rPr>
        <w:t>Northouse, 2025; Bass, 1985)</w:t>
      </w:r>
      <w:r w:rsidRPr="003C2796">
        <w:rPr>
          <w:rFonts w:ascii="Arial" w:hAnsi="Arial" w:cs="Arial"/>
          <w:sz w:val="22"/>
          <w:szCs w:val="22"/>
        </w:rPr>
        <w:t>.</w:t>
      </w:r>
    </w:p>
    <w:p w14:paraId="4AA6F00E" w14:textId="77777777" w:rsidR="00A52E0C" w:rsidRPr="003C2796" w:rsidRDefault="00A52E0C" w:rsidP="00054784">
      <w:pPr>
        <w:pStyle w:val="Heading2"/>
        <w:spacing w:line="360" w:lineRule="auto"/>
        <w:rPr>
          <w:rFonts w:ascii="Arial" w:hAnsi="Arial" w:cs="Arial"/>
          <w:b/>
          <w:bCs/>
          <w:color w:val="auto"/>
          <w:sz w:val="22"/>
          <w:szCs w:val="22"/>
        </w:rPr>
      </w:pPr>
      <w:bookmarkStart w:id="19" w:name="_Toc217444803"/>
      <w:r w:rsidRPr="003C2796">
        <w:rPr>
          <w:rFonts w:ascii="Arial" w:hAnsi="Arial" w:cs="Arial"/>
          <w:b/>
          <w:bCs/>
          <w:color w:val="auto"/>
          <w:sz w:val="22"/>
          <w:szCs w:val="22"/>
        </w:rPr>
        <w:t>5.1 Spain: Salvador Illa’s Leadership during COVID-19</w:t>
      </w:r>
      <w:bookmarkEnd w:id="19"/>
    </w:p>
    <w:p w14:paraId="0DDE0690" w14:textId="77777777" w:rsidR="00B9571E" w:rsidRPr="003C2796" w:rsidRDefault="00B9571E" w:rsidP="00054784">
      <w:pPr>
        <w:spacing w:line="360" w:lineRule="auto"/>
        <w:jc w:val="both"/>
        <w:rPr>
          <w:rFonts w:ascii="Arial" w:hAnsi="Arial" w:cs="Arial"/>
          <w:sz w:val="22"/>
          <w:szCs w:val="22"/>
        </w:rPr>
      </w:pPr>
      <w:r w:rsidRPr="003C2796">
        <w:rPr>
          <w:rFonts w:ascii="Arial" w:hAnsi="Arial" w:cs="Arial"/>
          <w:sz w:val="22"/>
          <w:szCs w:val="22"/>
        </w:rPr>
        <w:t>Spain Minister of Health, Salvatore Illa, took centre stage in one of the first and the most acute outbreak of COVID-19 in Europe. The leadership style of Illa is subject to several leadership theories that can be employed to understand strengths and weaknesses of the response of Spain</w:t>
      </w:r>
    </w:p>
    <w:p w14:paraId="1165A274" w14:textId="079F85D6" w:rsidR="00A52E0C" w:rsidRPr="003C2796" w:rsidRDefault="00A52E0C" w:rsidP="00054784">
      <w:pPr>
        <w:spacing w:line="360" w:lineRule="auto"/>
        <w:jc w:val="both"/>
        <w:rPr>
          <w:rFonts w:ascii="Arial" w:hAnsi="Arial" w:cs="Arial"/>
          <w:b/>
          <w:bCs/>
          <w:sz w:val="22"/>
          <w:szCs w:val="22"/>
        </w:rPr>
      </w:pPr>
      <w:r w:rsidRPr="003C2796">
        <w:rPr>
          <w:rFonts w:ascii="Arial" w:hAnsi="Arial" w:cs="Arial"/>
          <w:b/>
          <w:bCs/>
          <w:sz w:val="22"/>
          <w:szCs w:val="22"/>
        </w:rPr>
        <w:t>5.1.1 Great Man and Trait Theory Perspectives</w:t>
      </w:r>
    </w:p>
    <w:p w14:paraId="0315E5A8" w14:textId="6F584D23" w:rsidR="00A52E0C" w:rsidRPr="003C2796" w:rsidRDefault="002C2298" w:rsidP="00054784">
      <w:pPr>
        <w:spacing w:line="360" w:lineRule="auto"/>
        <w:jc w:val="both"/>
        <w:rPr>
          <w:rFonts w:ascii="Arial" w:hAnsi="Arial" w:cs="Arial"/>
          <w:sz w:val="22"/>
          <w:szCs w:val="22"/>
        </w:rPr>
      </w:pPr>
      <w:r w:rsidRPr="003C2796">
        <w:rPr>
          <w:rFonts w:ascii="Arial" w:hAnsi="Arial" w:cs="Arial"/>
          <w:sz w:val="22"/>
          <w:szCs w:val="22"/>
        </w:rPr>
        <w:t>In terms of the Great Man view of leadership, Illa did not fit the profile of a crisis leader at first, as he did not have much health experience and became the office holder just before the pandemic. According to Greer et al. (202</w:t>
      </w:r>
      <w:r w:rsidR="00A00D7C" w:rsidRPr="003C2796">
        <w:rPr>
          <w:rFonts w:ascii="Arial" w:hAnsi="Arial" w:cs="Arial"/>
          <w:sz w:val="22"/>
          <w:szCs w:val="22"/>
        </w:rPr>
        <w:t>0</w:t>
      </w:r>
      <w:r w:rsidRPr="003C2796">
        <w:rPr>
          <w:rFonts w:ascii="Arial" w:hAnsi="Arial" w:cs="Arial"/>
          <w:sz w:val="22"/>
          <w:szCs w:val="22"/>
        </w:rPr>
        <w:t xml:space="preserve">), the initial leadership of Spain was found to be hesitant, and the first pronouncement made by Illa on 30 January 2020 when he stated that Spain did not downplay anything and the system was ready is an indicator of a cautious and overly optimistic characteristic pattern. Trait Theory states that leaders who have a high-risk perception and assertiveness are </w:t>
      </w:r>
      <w:r w:rsidRPr="003C2796">
        <w:rPr>
          <w:rFonts w:ascii="Arial" w:hAnsi="Arial" w:cs="Arial"/>
          <w:sz w:val="22"/>
          <w:szCs w:val="22"/>
        </w:rPr>
        <w:lastRenderedPageBreak/>
        <w:t>associated with proactive response (Zaccaro, 2007).</w:t>
      </w:r>
      <w:r w:rsidRPr="003C2796">
        <w:rPr>
          <w:rFonts w:ascii="Arial" w:hAnsi="Arial" w:cs="Arial"/>
          <w:color w:val="EE0000"/>
          <w:sz w:val="22"/>
          <w:szCs w:val="22"/>
        </w:rPr>
        <w:t xml:space="preserve"> </w:t>
      </w:r>
      <w:r w:rsidRPr="003C2796">
        <w:rPr>
          <w:rFonts w:ascii="Arial" w:hAnsi="Arial" w:cs="Arial"/>
          <w:color w:val="262626" w:themeColor="text1" w:themeTint="D9"/>
          <w:sz w:val="22"/>
          <w:szCs w:val="22"/>
        </w:rPr>
        <w:t>Illa</w:t>
      </w:r>
      <w:r w:rsidRPr="003C2796">
        <w:rPr>
          <w:rFonts w:ascii="Arial" w:hAnsi="Arial" w:cs="Arial"/>
          <w:color w:val="EE0000"/>
          <w:sz w:val="22"/>
          <w:szCs w:val="22"/>
        </w:rPr>
        <w:t xml:space="preserve"> </w:t>
      </w:r>
      <w:r w:rsidRPr="003C2796">
        <w:rPr>
          <w:rFonts w:ascii="Arial" w:hAnsi="Arial" w:cs="Arial"/>
          <w:sz w:val="22"/>
          <w:szCs w:val="22"/>
        </w:rPr>
        <w:t>was characteri</w:t>
      </w:r>
      <w:r w:rsidR="007D4C1D" w:rsidRPr="003C2796">
        <w:rPr>
          <w:rFonts w:ascii="Arial" w:hAnsi="Arial" w:cs="Arial"/>
          <w:sz w:val="22"/>
          <w:szCs w:val="22"/>
        </w:rPr>
        <w:t>s</w:t>
      </w:r>
      <w:r w:rsidRPr="003C2796">
        <w:rPr>
          <w:rFonts w:ascii="Arial" w:hAnsi="Arial" w:cs="Arial"/>
          <w:sz w:val="22"/>
          <w:szCs w:val="22"/>
        </w:rPr>
        <w:t>ed by the features of conservative rationalism instead of high assertiveness in its early interviews, which partially preconditioned slowness in vigorous early interventions.</w:t>
      </w:r>
    </w:p>
    <w:p w14:paraId="7A180EC5" w14:textId="109BBAB0" w:rsidR="00A52E0C" w:rsidRPr="003C2796" w:rsidRDefault="00A52E0C" w:rsidP="00054784">
      <w:pPr>
        <w:spacing w:line="360" w:lineRule="auto"/>
        <w:jc w:val="both"/>
        <w:rPr>
          <w:rFonts w:ascii="Arial" w:hAnsi="Arial" w:cs="Arial"/>
          <w:b/>
          <w:bCs/>
          <w:sz w:val="22"/>
          <w:szCs w:val="22"/>
        </w:rPr>
      </w:pPr>
      <w:r w:rsidRPr="003C2796">
        <w:rPr>
          <w:rFonts w:ascii="Arial" w:hAnsi="Arial" w:cs="Arial"/>
          <w:b/>
          <w:bCs/>
          <w:sz w:val="22"/>
          <w:szCs w:val="22"/>
        </w:rPr>
        <w:t>5.1.2 Behavioural and Situational Leadership</w:t>
      </w:r>
    </w:p>
    <w:p w14:paraId="3DC70235" w14:textId="77777777" w:rsidR="002C2298" w:rsidRPr="003C2796" w:rsidRDefault="002C2298" w:rsidP="00054784">
      <w:pPr>
        <w:spacing w:line="360" w:lineRule="auto"/>
        <w:jc w:val="both"/>
        <w:rPr>
          <w:rFonts w:ascii="Arial" w:hAnsi="Arial" w:cs="Arial"/>
          <w:sz w:val="22"/>
          <w:szCs w:val="22"/>
        </w:rPr>
      </w:pPr>
      <w:r w:rsidRPr="003C2796">
        <w:rPr>
          <w:rFonts w:ascii="Arial" w:hAnsi="Arial" w:cs="Arial"/>
          <w:sz w:val="22"/>
          <w:szCs w:val="22"/>
        </w:rPr>
        <w:t xml:space="preserve">Regarding behavioural perspective, Illa portrayed high levels of relationship-oriented behaviours, which focused on reassurance and relaxed communication. Nevertheless, the initial wave had fewer task-oriented clarity, particularly on testing and mobility restrictions. Northouse (2025) writes that a leader must be able to balance the two types of behaviour </w:t>
      </w:r>
      <w:proofErr w:type="gramStart"/>
      <w:r w:rsidRPr="003C2796">
        <w:rPr>
          <w:rFonts w:ascii="Arial" w:hAnsi="Arial" w:cs="Arial"/>
          <w:sz w:val="22"/>
          <w:szCs w:val="22"/>
        </w:rPr>
        <w:t>in order to</w:t>
      </w:r>
      <w:proofErr w:type="gramEnd"/>
      <w:r w:rsidRPr="003C2796">
        <w:rPr>
          <w:rFonts w:ascii="Arial" w:hAnsi="Arial" w:cs="Arial"/>
          <w:sz w:val="22"/>
          <w:szCs w:val="22"/>
        </w:rPr>
        <w:t xml:space="preserve"> be effective dealing with crisis situations. </w:t>
      </w:r>
    </w:p>
    <w:p w14:paraId="1A0F0E77" w14:textId="4C29BEA6" w:rsidR="0057226D" w:rsidRPr="003C2796" w:rsidRDefault="002C2298" w:rsidP="00054784">
      <w:pPr>
        <w:spacing w:line="360" w:lineRule="auto"/>
        <w:jc w:val="both"/>
        <w:rPr>
          <w:rFonts w:ascii="Arial" w:hAnsi="Arial" w:cs="Arial"/>
          <w:sz w:val="22"/>
          <w:szCs w:val="22"/>
        </w:rPr>
      </w:pPr>
      <w:r w:rsidRPr="003C2796">
        <w:rPr>
          <w:rFonts w:ascii="Arial" w:hAnsi="Arial" w:cs="Arial"/>
          <w:sz w:val="22"/>
          <w:szCs w:val="22"/>
        </w:rPr>
        <w:t>The subsequent move of Spain to declare a state of alarm can be characteri</w:t>
      </w:r>
      <w:r w:rsidR="007D4C1D" w:rsidRPr="003C2796">
        <w:rPr>
          <w:rFonts w:ascii="Arial" w:hAnsi="Arial" w:cs="Arial"/>
          <w:sz w:val="22"/>
          <w:szCs w:val="22"/>
        </w:rPr>
        <w:t>s</w:t>
      </w:r>
      <w:r w:rsidRPr="003C2796">
        <w:rPr>
          <w:rFonts w:ascii="Arial" w:hAnsi="Arial" w:cs="Arial"/>
          <w:sz w:val="22"/>
          <w:szCs w:val="22"/>
        </w:rPr>
        <w:t xml:space="preserve">ed as a change that is in line with the Situational Leadership Theory that proposes leaders to change their style </w:t>
      </w:r>
      <w:proofErr w:type="gramStart"/>
      <w:r w:rsidRPr="003C2796">
        <w:rPr>
          <w:rFonts w:ascii="Arial" w:hAnsi="Arial" w:cs="Arial"/>
          <w:sz w:val="22"/>
          <w:szCs w:val="22"/>
        </w:rPr>
        <w:t>in order to</w:t>
      </w:r>
      <w:proofErr w:type="gramEnd"/>
      <w:r w:rsidRPr="003C2796">
        <w:rPr>
          <w:rFonts w:ascii="Arial" w:hAnsi="Arial" w:cs="Arial"/>
          <w:sz w:val="22"/>
          <w:szCs w:val="22"/>
        </w:rPr>
        <w:t xml:space="preserve"> meet the arising needs (Hersey and Blanchard, 1969). Illa advocated re-centralisation (a more authoritative style of leadership), as mortality rates soared and regional coordination started to collapse. This adaptation was a sign of learning and flexibility </w:t>
      </w:r>
      <w:proofErr w:type="gramStart"/>
      <w:r w:rsidRPr="003C2796">
        <w:rPr>
          <w:rFonts w:ascii="Arial" w:hAnsi="Arial" w:cs="Arial"/>
          <w:sz w:val="22"/>
          <w:szCs w:val="22"/>
        </w:rPr>
        <w:t>in spite of</w:t>
      </w:r>
      <w:proofErr w:type="gramEnd"/>
      <w:r w:rsidRPr="003C2796">
        <w:rPr>
          <w:rFonts w:ascii="Arial" w:hAnsi="Arial" w:cs="Arial"/>
          <w:sz w:val="22"/>
          <w:szCs w:val="22"/>
        </w:rPr>
        <w:t xml:space="preserve"> delays at the beginning.</w:t>
      </w:r>
    </w:p>
    <w:p w14:paraId="578E7BD7" w14:textId="7A0B2D94" w:rsidR="00A52E0C" w:rsidRPr="003C2796" w:rsidRDefault="00A52E0C" w:rsidP="00054784">
      <w:pPr>
        <w:spacing w:line="360" w:lineRule="auto"/>
        <w:jc w:val="both"/>
        <w:rPr>
          <w:rFonts w:ascii="Arial" w:hAnsi="Arial" w:cs="Arial"/>
          <w:b/>
          <w:bCs/>
          <w:sz w:val="22"/>
          <w:szCs w:val="22"/>
        </w:rPr>
      </w:pPr>
      <w:r w:rsidRPr="003C2796">
        <w:rPr>
          <w:rFonts w:ascii="Arial" w:hAnsi="Arial" w:cs="Arial"/>
          <w:b/>
          <w:bCs/>
          <w:sz w:val="22"/>
          <w:szCs w:val="22"/>
        </w:rPr>
        <w:t>5.1.3 Functional and Relationship Leadership</w:t>
      </w:r>
    </w:p>
    <w:p w14:paraId="0C9976EB" w14:textId="6A8841F3" w:rsidR="0057226D" w:rsidRPr="003C2796" w:rsidRDefault="0057226D" w:rsidP="00054784">
      <w:pPr>
        <w:spacing w:line="360" w:lineRule="auto"/>
        <w:jc w:val="both"/>
        <w:rPr>
          <w:rFonts w:ascii="Arial" w:hAnsi="Arial" w:cs="Arial"/>
          <w:sz w:val="22"/>
          <w:szCs w:val="22"/>
        </w:rPr>
      </w:pPr>
      <w:r w:rsidRPr="003C2796">
        <w:rPr>
          <w:rFonts w:ascii="Arial" w:hAnsi="Arial" w:cs="Arial"/>
          <w:sz w:val="22"/>
          <w:szCs w:val="22"/>
        </w:rPr>
        <w:t>Functional Leadership Theory emphasi</w:t>
      </w:r>
      <w:r w:rsidR="007D4C1D" w:rsidRPr="003C2796">
        <w:rPr>
          <w:rFonts w:ascii="Arial" w:hAnsi="Arial" w:cs="Arial"/>
          <w:sz w:val="22"/>
          <w:szCs w:val="22"/>
        </w:rPr>
        <w:t>s</w:t>
      </w:r>
      <w:r w:rsidRPr="003C2796">
        <w:rPr>
          <w:rFonts w:ascii="Arial" w:hAnsi="Arial" w:cs="Arial"/>
          <w:sz w:val="22"/>
          <w:szCs w:val="22"/>
        </w:rPr>
        <w:t>es on the capacity of a leader to play important coordination roles (Hackman and Walton, 1986). The best functional contributions made by Illa occurred at the vaccination phase. Spain under his leadership turned into a European “vaccination hero-country to the extent that more than 80 percent of the population were fully vaccinated by the end of 2021. As Royo (2020) suggests, the high vaccination rates in Spain were also the result of highly organi</w:t>
      </w:r>
      <w:r w:rsidR="007D4C1D" w:rsidRPr="003C2796">
        <w:rPr>
          <w:rFonts w:ascii="Arial" w:hAnsi="Arial" w:cs="Arial"/>
          <w:sz w:val="22"/>
          <w:szCs w:val="22"/>
        </w:rPr>
        <w:t>s</w:t>
      </w:r>
      <w:r w:rsidRPr="003C2796">
        <w:rPr>
          <w:rFonts w:ascii="Arial" w:hAnsi="Arial" w:cs="Arial"/>
          <w:sz w:val="22"/>
          <w:szCs w:val="22"/>
        </w:rPr>
        <w:t xml:space="preserve">ed national logistics and consistent and effective messaging - activities that were spearheaded by the ministry of Illa. </w:t>
      </w:r>
    </w:p>
    <w:p w14:paraId="61BDBED3" w14:textId="7673D73B" w:rsidR="00A52E0C" w:rsidRPr="003C2796" w:rsidRDefault="0057226D" w:rsidP="00054784">
      <w:pPr>
        <w:spacing w:line="360" w:lineRule="auto"/>
        <w:jc w:val="both"/>
        <w:rPr>
          <w:rFonts w:ascii="Arial" w:hAnsi="Arial" w:cs="Arial"/>
          <w:sz w:val="22"/>
          <w:szCs w:val="22"/>
        </w:rPr>
      </w:pPr>
      <w:r w:rsidRPr="003C2796">
        <w:rPr>
          <w:rFonts w:ascii="Arial" w:hAnsi="Arial" w:cs="Arial"/>
          <w:sz w:val="22"/>
          <w:szCs w:val="22"/>
        </w:rPr>
        <w:t>Interpersonal-wise, the serene attitude of Illa, her cooperative communication, and non-confrontation posture in front of the public facilitated the increasing trust of the population in the subsequent stages of the pandemic. Relationship Theory holds that such caring and open interaction reinforces group obedience (Bass, 1985). This change in relations was significant to the performance of Spain later in the future.</w:t>
      </w:r>
    </w:p>
    <w:p w14:paraId="474E81A3" w14:textId="2AD131BF" w:rsidR="00A52E0C" w:rsidRPr="003C2796" w:rsidRDefault="009D04BD" w:rsidP="00054784">
      <w:pPr>
        <w:spacing w:line="360" w:lineRule="auto"/>
        <w:jc w:val="both"/>
        <w:rPr>
          <w:rFonts w:ascii="Arial" w:hAnsi="Arial" w:cs="Arial"/>
          <w:b/>
          <w:bCs/>
          <w:sz w:val="22"/>
          <w:szCs w:val="22"/>
        </w:rPr>
      </w:pPr>
      <w:r w:rsidRPr="003C2796">
        <w:rPr>
          <w:rFonts w:ascii="Arial" w:hAnsi="Arial" w:cs="Arial"/>
          <w:b/>
          <w:bCs/>
          <w:sz w:val="22"/>
          <w:szCs w:val="22"/>
        </w:rPr>
        <w:t xml:space="preserve">5.1.4 </w:t>
      </w:r>
      <w:r w:rsidR="00A52E0C" w:rsidRPr="003C2796">
        <w:rPr>
          <w:rFonts w:ascii="Arial" w:hAnsi="Arial" w:cs="Arial"/>
          <w:b/>
          <w:bCs/>
          <w:sz w:val="22"/>
          <w:szCs w:val="22"/>
        </w:rPr>
        <w:t>Five Levels of Leadership</w:t>
      </w:r>
    </w:p>
    <w:p w14:paraId="43947215" w14:textId="77777777" w:rsidR="0057226D" w:rsidRPr="003C2796" w:rsidRDefault="0057226D" w:rsidP="00054784">
      <w:pPr>
        <w:spacing w:line="360" w:lineRule="auto"/>
        <w:jc w:val="both"/>
        <w:rPr>
          <w:rFonts w:ascii="Arial" w:hAnsi="Arial" w:cs="Arial"/>
          <w:sz w:val="22"/>
          <w:szCs w:val="22"/>
        </w:rPr>
      </w:pPr>
      <w:r w:rsidRPr="003C2796">
        <w:rPr>
          <w:rFonts w:ascii="Arial" w:hAnsi="Arial" w:cs="Arial"/>
          <w:sz w:val="22"/>
          <w:szCs w:val="22"/>
        </w:rPr>
        <w:t xml:space="preserve">By using the model presented by Maxwell, the initial level operated by Illa was at Level 2-3 (who was permitted to produce), and the trust was achieved due to consistency, unlike charisma. He shifted to a Level 4 Leader as the successful implementation of vaccinations made autonomous </w:t>
      </w:r>
      <w:r w:rsidRPr="003C2796">
        <w:rPr>
          <w:rFonts w:ascii="Arial" w:hAnsi="Arial" w:cs="Arial"/>
          <w:sz w:val="22"/>
          <w:szCs w:val="22"/>
        </w:rPr>
        <w:lastRenderedPageBreak/>
        <w:t xml:space="preserve">communities more empowered, guided, and supported. His progress towards evolution as far as developmental progress is concerned is depicted by the fact that despite not becoming a pinnacle leader, his development is still in line with this framework. </w:t>
      </w:r>
    </w:p>
    <w:p w14:paraId="7CA820DE" w14:textId="77777777" w:rsidR="00FA4950" w:rsidRPr="003C2796" w:rsidRDefault="00FA4950" w:rsidP="00054784">
      <w:pPr>
        <w:pStyle w:val="Heading2"/>
        <w:spacing w:line="360" w:lineRule="auto"/>
        <w:rPr>
          <w:rFonts w:ascii="Arial" w:hAnsi="Arial" w:cs="Arial"/>
          <w:b/>
          <w:bCs/>
          <w:color w:val="auto"/>
          <w:sz w:val="22"/>
          <w:szCs w:val="22"/>
        </w:rPr>
      </w:pPr>
      <w:bookmarkStart w:id="20" w:name="_Toc217444804"/>
      <w:r w:rsidRPr="003C2796">
        <w:rPr>
          <w:rFonts w:ascii="Arial" w:hAnsi="Arial" w:cs="Arial"/>
          <w:b/>
          <w:bCs/>
          <w:color w:val="auto"/>
          <w:sz w:val="22"/>
          <w:szCs w:val="22"/>
        </w:rPr>
        <w:t>5.2 South Korea: Leadership of Prime Minister Chung Sye-kyun</w:t>
      </w:r>
      <w:bookmarkEnd w:id="20"/>
    </w:p>
    <w:p w14:paraId="5901F0EA" w14:textId="22007D96" w:rsidR="00FA4950"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t xml:space="preserve">The pandemic response of South Korea is generally considered by the global community as an example of the best practices, with the Prime Minister Chung Sye-kyun in the </w:t>
      </w:r>
      <w:r w:rsidR="00BB6EA9" w:rsidRPr="003C2796">
        <w:rPr>
          <w:rFonts w:ascii="Arial" w:hAnsi="Arial" w:cs="Arial"/>
          <w:sz w:val="22"/>
          <w:szCs w:val="22"/>
        </w:rPr>
        <w:t>centre</w:t>
      </w:r>
      <w:r w:rsidRPr="003C2796">
        <w:rPr>
          <w:rFonts w:ascii="Arial" w:hAnsi="Arial" w:cs="Arial"/>
          <w:sz w:val="22"/>
          <w:szCs w:val="22"/>
        </w:rPr>
        <w:t xml:space="preserve"> of the leadership. His style is very much in line with the leadership theories that are related to adaptability, transparency, and functional coordination.</w:t>
      </w:r>
    </w:p>
    <w:p w14:paraId="3A841C0C" w14:textId="53A4043F"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5.2.1 Great Man and Trait Theory</w:t>
      </w:r>
    </w:p>
    <w:p w14:paraId="7934C66E" w14:textId="728BE720" w:rsidR="00FA4950"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t>Chung came to office with the experience of handling major crises such as managing national response to industrial disasters. Great Man Theory would claim that this kind of background provided him with the resoluteness and courage required to take swift action in the face of a pandemic. A study conducted by D'Auria and De Smet (2020) reveals that leaders that have undergone crisis exposure in the past are more proactive during emergencies. Trait Theory also confirms transparency, calmness, and high conscientiousness traits, which Chung possesses, yet they are traits of a good leader of the health sector (Dirani et al., 2020).</w:t>
      </w:r>
    </w:p>
    <w:p w14:paraId="78AD7480" w14:textId="1920F9BF"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5.2.2 Behavioural and Situational Leadership</w:t>
      </w:r>
    </w:p>
    <w:p w14:paraId="4F57A313" w14:textId="77777777" w:rsidR="006B58A4"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t xml:space="preserve">Chung was behaviourally balanced; he was high task orientation with high relational orientation, as demonstrated by his rapid testing expansion and mobilisation of the private sector biotechnology and daily transparent briefings respectively. The example of his public statement Transparency is how we fight fears that are more dangerous than the virus is a vivid representation of the Behavioural Leadership Theory focus on observable practices that influence the results. </w:t>
      </w:r>
    </w:p>
    <w:p w14:paraId="16ABDEB6" w14:textId="43FCABCD" w:rsidR="00FA4950"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t>Chung was very flexible as per the Situational Leadership perspective. At times of case elevation, he approved rapid amplification in testing and tracing. During the times when the population was feeling anxious, he was concerned with open communication and civic reassurance. According to Hersey and Blanchard (1969), leaders who modify behaviour based on the preparedness of the public elicit more compliance, which is also supported by the fact that the South Koreans are highly complying to non-pharmaceutical controls on their own free will.</w:t>
      </w:r>
    </w:p>
    <w:p w14:paraId="5A8BA42A" w14:textId="32FA3B7B"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5.2.3 Functional Leadership</w:t>
      </w:r>
    </w:p>
    <w:p w14:paraId="3A25B401" w14:textId="65BC19FF" w:rsidR="00FA4950"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lastRenderedPageBreak/>
        <w:t xml:space="preserve">The best theory of Leadership that describes the effectiveness of Chung is the Functional Leadership Theory. The quick collaboration between the </w:t>
      </w:r>
      <w:r w:rsidR="00E03AD3" w:rsidRPr="003C2796">
        <w:rPr>
          <w:rFonts w:ascii="Arial" w:hAnsi="Arial" w:cs="Arial"/>
          <w:sz w:val="22"/>
          <w:szCs w:val="22"/>
        </w:rPr>
        <w:t xml:space="preserve">Korea Disease Control and Prevention Agency </w:t>
      </w:r>
      <w:r w:rsidR="00E03AD3" w:rsidRPr="003C2796">
        <w:rPr>
          <w:rFonts w:ascii="Arial" w:hAnsi="Arial" w:cs="Arial"/>
          <w:sz w:val="22"/>
          <w:szCs w:val="22"/>
        </w:rPr>
        <w:t>(</w:t>
      </w:r>
      <w:r w:rsidRPr="003C2796">
        <w:rPr>
          <w:rFonts w:ascii="Arial" w:hAnsi="Arial" w:cs="Arial"/>
          <w:sz w:val="22"/>
          <w:szCs w:val="22"/>
        </w:rPr>
        <w:t>KDCA</w:t>
      </w:r>
      <w:r w:rsidR="00E03AD3" w:rsidRPr="003C2796">
        <w:rPr>
          <w:rFonts w:ascii="Arial" w:hAnsi="Arial" w:cs="Arial"/>
          <w:sz w:val="22"/>
          <w:szCs w:val="22"/>
        </w:rPr>
        <w:t>)</w:t>
      </w:r>
      <w:r w:rsidRPr="003C2796">
        <w:rPr>
          <w:rFonts w:ascii="Arial" w:hAnsi="Arial" w:cs="Arial"/>
          <w:sz w:val="22"/>
          <w:szCs w:val="22"/>
        </w:rPr>
        <w:t xml:space="preserve"> and the biotechnology companies in creating test kits in three weeks is a functional leadership success. According to Hackman and Walton (1986), leaders should ensure that they enable the problem-solving process, organi</w:t>
      </w:r>
      <w:r w:rsidR="00BB6EA9" w:rsidRPr="003C2796">
        <w:rPr>
          <w:rFonts w:ascii="Arial" w:hAnsi="Arial" w:cs="Arial"/>
          <w:sz w:val="22"/>
          <w:szCs w:val="22"/>
        </w:rPr>
        <w:t>se</w:t>
      </w:r>
      <w:r w:rsidRPr="003C2796">
        <w:rPr>
          <w:rFonts w:ascii="Arial" w:hAnsi="Arial" w:cs="Arial"/>
          <w:sz w:val="22"/>
          <w:szCs w:val="22"/>
        </w:rPr>
        <w:t xml:space="preserve"> expertise, and get the processes aligned at the system level, which Chung did excellently. He also provided integration among ministries such as Education and Interior </w:t>
      </w:r>
      <w:proofErr w:type="gramStart"/>
      <w:r w:rsidRPr="003C2796">
        <w:rPr>
          <w:rFonts w:ascii="Arial" w:hAnsi="Arial" w:cs="Arial"/>
          <w:sz w:val="22"/>
          <w:szCs w:val="22"/>
        </w:rPr>
        <w:t>so as to</w:t>
      </w:r>
      <w:proofErr w:type="gramEnd"/>
      <w:r w:rsidRPr="003C2796">
        <w:rPr>
          <w:rFonts w:ascii="Arial" w:hAnsi="Arial" w:cs="Arial"/>
          <w:sz w:val="22"/>
          <w:szCs w:val="22"/>
        </w:rPr>
        <w:t xml:space="preserve"> streamline the national policy implementation.</w:t>
      </w:r>
    </w:p>
    <w:p w14:paraId="53774E8C" w14:textId="4778ECFC"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5.2.4 Relationship Theory</w:t>
      </w:r>
    </w:p>
    <w:p w14:paraId="230D35F1" w14:textId="2BE85BEC" w:rsidR="00FA4950"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t>The relational leadership that Chung was built on was based on transparency, respect and cultural fit. The Relationship Theory focuses on inspiration and trust-building (Bass, 1985). The culture of solidarity and obedience in the society of Korea was buttressed by the respectful talking of Chung and did not have to use a lot of coercion, unlike Spain, with lockdowns, and Canada, with disjointed messages.</w:t>
      </w:r>
    </w:p>
    <w:p w14:paraId="4CDB134D" w14:textId="600A5421"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5.2.5 Five Levels of Leadership</w:t>
      </w:r>
    </w:p>
    <w:p w14:paraId="0B804605" w14:textId="4EBD1E54" w:rsidR="00FA4950" w:rsidRPr="003C2796" w:rsidRDefault="006B58A4" w:rsidP="00054784">
      <w:pPr>
        <w:spacing w:line="360" w:lineRule="auto"/>
        <w:jc w:val="both"/>
        <w:rPr>
          <w:rFonts w:ascii="Arial" w:hAnsi="Arial" w:cs="Arial"/>
          <w:sz w:val="22"/>
          <w:szCs w:val="22"/>
        </w:rPr>
      </w:pPr>
      <w:r w:rsidRPr="003C2796">
        <w:rPr>
          <w:rFonts w:ascii="Arial" w:hAnsi="Arial" w:cs="Arial"/>
          <w:sz w:val="22"/>
          <w:szCs w:val="22"/>
        </w:rPr>
        <w:t>According to the model developed by Maxwell, Chung operated at Level 4-5. His leadership was carried with extensive influence (Level 4) and left a legacy of institutional strengthening (Level 5). The responsibility of the Korea CDC being raised to the KDCA under his leadership is an example of structural enhancement in line with the long-term leadership influence.</w:t>
      </w:r>
    </w:p>
    <w:p w14:paraId="2DDA0793" w14:textId="77777777" w:rsidR="00FA4950" w:rsidRPr="003C2796" w:rsidRDefault="00FA4950" w:rsidP="00054784">
      <w:pPr>
        <w:pStyle w:val="Heading2"/>
        <w:spacing w:line="360" w:lineRule="auto"/>
        <w:rPr>
          <w:rFonts w:ascii="Arial" w:hAnsi="Arial" w:cs="Arial"/>
          <w:b/>
          <w:bCs/>
          <w:color w:val="auto"/>
          <w:sz w:val="22"/>
          <w:szCs w:val="22"/>
        </w:rPr>
      </w:pPr>
      <w:bookmarkStart w:id="21" w:name="_Toc217444805"/>
      <w:r w:rsidRPr="003C2796">
        <w:rPr>
          <w:rFonts w:ascii="Arial" w:hAnsi="Arial" w:cs="Arial"/>
          <w:b/>
          <w:bCs/>
          <w:color w:val="auto"/>
          <w:sz w:val="22"/>
          <w:szCs w:val="22"/>
        </w:rPr>
        <w:t>5.3 Canada: Leadership of Prime Minister Justin Trudeau</w:t>
      </w:r>
      <w:bookmarkEnd w:id="21"/>
    </w:p>
    <w:p w14:paraId="206162E1" w14:textId="70E17ED0" w:rsidR="00FA4950" w:rsidRPr="003C2796" w:rsidRDefault="00C203BD" w:rsidP="00054784">
      <w:pPr>
        <w:spacing w:line="360" w:lineRule="auto"/>
        <w:jc w:val="both"/>
        <w:rPr>
          <w:rFonts w:ascii="Arial" w:hAnsi="Arial" w:cs="Arial"/>
          <w:sz w:val="22"/>
          <w:szCs w:val="22"/>
        </w:rPr>
      </w:pPr>
      <w:r w:rsidRPr="003C2796">
        <w:rPr>
          <w:rFonts w:ascii="Arial" w:hAnsi="Arial" w:cs="Arial"/>
          <w:sz w:val="22"/>
          <w:szCs w:val="22"/>
        </w:rPr>
        <w:t>The federalism characterising Canada provided the prime minister Justin Trudeau with a rare and distinct leadership environment given that the provinces have the power to make decisions on health delivery. His leadership can best be explained using theories that focus on relational capacity, communication and efforts to bring together influence.</w:t>
      </w:r>
    </w:p>
    <w:p w14:paraId="531B085C" w14:textId="3C1BC757"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5.3.1 Great Man and Trait Theory</w:t>
      </w:r>
    </w:p>
    <w:p w14:paraId="4F1C9B38" w14:textId="6DB2ED2D" w:rsidR="00FA4950" w:rsidRPr="003C2796" w:rsidRDefault="00E16EB8" w:rsidP="00054784">
      <w:pPr>
        <w:spacing w:line="360" w:lineRule="auto"/>
        <w:jc w:val="both"/>
        <w:rPr>
          <w:rFonts w:ascii="Arial" w:hAnsi="Arial" w:cs="Arial"/>
          <w:sz w:val="22"/>
          <w:szCs w:val="22"/>
        </w:rPr>
      </w:pPr>
      <w:r w:rsidRPr="003C2796">
        <w:rPr>
          <w:rFonts w:ascii="Arial" w:hAnsi="Arial" w:cs="Arial"/>
          <w:sz w:val="22"/>
          <w:szCs w:val="22"/>
        </w:rPr>
        <w:t>The leadership profile of Trudeau tends to fit more into relational characteristics, such as empathy, inclusiveness and good communication than historical heroic Great Man characteristics. Nevertheless, the Trait Theory emphasi</w:t>
      </w:r>
      <w:r w:rsidR="00BB6EA9" w:rsidRPr="003C2796">
        <w:rPr>
          <w:rFonts w:ascii="Arial" w:hAnsi="Arial" w:cs="Arial"/>
          <w:sz w:val="22"/>
          <w:szCs w:val="22"/>
        </w:rPr>
        <w:t>s</w:t>
      </w:r>
      <w:r w:rsidRPr="003C2796">
        <w:rPr>
          <w:rFonts w:ascii="Arial" w:hAnsi="Arial" w:cs="Arial"/>
          <w:sz w:val="22"/>
          <w:szCs w:val="22"/>
        </w:rPr>
        <w:t xml:space="preserve">es emotional intelligence as one of the key leadership qualities </w:t>
      </w:r>
      <w:r w:rsidR="00296A47" w:rsidRPr="003C2796">
        <w:rPr>
          <w:rFonts w:ascii="Arial" w:hAnsi="Arial" w:cs="Arial"/>
          <w:sz w:val="22"/>
          <w:szCs w:val="22"/>
        </w:rPr>
        <w:t>(Cooper, Davis and Norton, 2023)</w:t>
      </w:r>
      <w:r w:rsidR="00296A47" w:rsidRPr="003C2796">
        <w:rPr>
          <w:rFonts w:ascii="Arial" w:hAnsi="Arial" w:cs="Arial"/>
          <w:sz w:val="22"/>
          <w:szCs w:val="22"/>
        </w:rPr>
        <w:t xml:space="preserve">, </w:t>
      </w:r>
      <w:r w:rsidRPr="003C2796">
        <w:rPr>
          <w:rFonts w:ascii="Arial" w:hAnsi="Arial" w:cs="Arial"/>
          <w:sz w:val="22"/>
          <w:szCs w:val="22"/>
        </w:rPr>
        <w:t>and that was one of the predominant characteristics of early pandemic communications by Trudeau. He delivered national speeches almost every day, which focused on unity and compassion, the qualities associated with an increased confidence of the population (Dirani et al., 2020).</w:t>
      </w:r>
    </w:p>
    <w:p w14:paraId="177B9F78" w14:textId="7CF1F97C"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lastRenderedPageBreak/>
        <w:t>5.3.2 Behavioural and Situational Leadership</w:t>
      </w:r>
    </w:p>
    <w:p w14:paraId="7CA17630" w14:textId="7B6D3A43" w:rsidR="00FA4950" w:rsidRPr="003C2796" w:rsidRDefault="00E16EB8" w:rsidP="00054784">
      <w:pPr>
        <w:spacing w:line="360" w:lineRule="auto"/>
        <w:jc w:val="both"/>
        <w:rPr>
          <w:rFonts w:ascii="Arial" w:hAnsi="Arial" w:cs="Arial"/>
          <w:sz w:val="22"/>
          <w:szCs w:val="22"/>
        </w:rPr>
      </w:pPr>
      <w:r w:rsidRPr="003C2796">
        <w:rPr>
          <w:rFonts w:ascii="Arial" w:hAnsi="Arial" w:cs="Arial"/>
          <w:sz w:val="22"/>
          <w:szCs w:val="22"/>
        </w:rPr>
        <w:t>On behavioural grounds, Trudeau placed a lot of emphasis on relationship-oriented behaviours, such as reassurance in the public, social safety net expansion and visible compassion. Jurisdictional fragmentation made task behaviours more difficult. The situational flexibility was observable with federal subsidi</w:t>
      </w:r>
      <w:r w:rsidR="00BB6EA9" w:rsidRPr="003C2796">
        <w:rPr>
          <w:rFonts w:ascii="Arial" w:hAnsi="Arial" w:cs="Arial"/>
          <w:sz w:val="22"/>
          <w:szCs w:val="22"/>
        </w:rPr>
        <w:t>s</w:t>
      </w:r>
      <w:r w:rsidRPr="003C2796">
        <w:rPr>
          <w:rFonts w:ascii="Arial" w:hAnsi="Arial" w:cs="Arial"/>
          <w:sz w:val="22"/>
          <w:szCs w:val="22"/>
        </w:rPr>
        <w:t>ation of provincial testing, PPE acquisition, and negotiating the vaccine. Situational Leadership Theory emphasi</w:t>
      </w:r>
      <w:r w:rsidR="00BB6EA9" w:rsidRPr="003C2796">
        <w:rPr>
          <w:rFonts w:ascii="Arial" w:hAnsi="Arial" w:cs="Arial"/>
          <w:sz w:val="22"/>
          <w:szCs w:val="22"/>
        </w:rPr>
        <w:t>s</w:t>
      </w:r>
      <w:r w:rsidRPr="003C2796">
        <w:rPr>
          <w:rFonts w:ascii="Arial" w:hAnsi="Arial" w:cs="Arial"/>
          <w:sz w:val="22"/>
          <w:szCs w:val="22"/>
        </w:rPr>
        <w:t>es that one should adjust to the maturity and readiness of the followers; the style of Trudeau changed according to the provincial capacity and political dynamics.</w:t>
      </w:r>
    </w:p>
    <w:p w14:paraId="59400719" w14:textId="54FAFE5D"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5.3.3 Functional Leadership</w:t>
      </w:r>
    </w:p>
    <w:p w14:paraId="085D2712" w14:textId="2A8AC524" w:rsidR="00FA4950" w:rsidRPr="003C2796" w:rsidRDefault="00E16EB8" w:rsidP="00054784">
      <w:pPr>
        <w:spacing w:line="360" w:lineRule="auto"/>
        <w:jc w:val="both"/>
        <w:rPr>
          <w:rFonts w:ascii="Arial" w:hAnsi="Arial" w:cs="Arial"/>
          <w:sz w:val="22"/>
          <w:szCs w:val="22"/>
        </w:rPr>
      </w:pPr>
      <w:r w:rsidRPr="003C2796">
        <w:rPr>
          <w:rFonts w:ascii="Arial" w:hAnsi="Arial" w:cs="Arial"/>
          <w:sz w:val="22"/>
          <w:szCs w:val="22"/>
        </w:rPr>
        <w:t>Functional Leadership Theory indicates constraints. Although Trudeau managed to organi</w:t>
      </w:r>
      <w:r w:rsidR="00BB6EA9" w:rsidRPr="003C2796">
        <w:rPr>
          <w:rFonts w:ascii="Arial" w:hAnsi="Arial" w:cs="Arial"/>
          <w:sz w:val="22"/>
          <w:szCs w:val="22"/>
        </w:rPr>
        <w:t>s</w:t>
      </w:r>
      <w:r w:rsidRPr="003C2796">
        <w:rPr>
          <w:rFonts w:ascii="Arial" w:hAnsi="Arial" w:cs="Arial"/>
          <w:sz w:val="22"/>
          <w:szCs w:val="22"/>
        </w:rPr>
        <w:t xml:space="preserve">e national economic assistance and source international vaccines, he did not have any direct powers to impose universal testing policies, movement restrictions, and restructuring of long-term care. This functional fragmentation is extensively quoted as a hindrance to the effective response of Canada in the initial stages </w:t>
      </w:r>
      <w:r w:rsidR="009C244A" w:rsidRPr="003C2796">
        <w:rPr>
          <w:rFonts w:ascii="Arial" w:hAnsi="Arial" w:cs="Arial"/>
          <w:sz w:val="22"/>
          <w:szCs w:val="22"/>
        </w:rPr>
        <w:t>(Cooper, Davis and Norton, 2023)</w:t>
      </w:r>
      <w:r w:rsidRPr="003C2796">
        <w:rPr>
          <w:rFonts w:ascii="Arial" w:hAnsi="Arial" w:cs="Arial"/>
          <w:sz w:val="22"/>
          <w:szCs w:val="22"/>
        </w:rPr>
        <w:t xml:space="preserve">. However, his leadership enhanced intergovernmental cooperation </w:t>
      </w:r>
      <w:proofErr w:type="gramStart"/>
      <w:r w:rsidRPr="003C2796">
        <w:rPr>
          <w:rFonts w:ascii="Arial" w:hAnsi="Arial" w:cs="Arial"/>
          <w:sz w:val="22"/>
          <w:szCs w:val="22"/>
        </w:rPr>
        <w:t>by the use of</w:t>
      </w:r>
      <w:proofErr w:type="gramEnd"/>
      <w:r w:rsidRPr="003C2796">
        <w:rPr>
          <w:rFonts w:ascii="Arial" w:hAnsi="Arial" w:cs="Arial"/>
          <w:sz w:val="22"/>
          <w:szCs w:val="22"/>
        </w:rPr>
        <w:t xml:space="preserve"> weekly First Ministers Meetings that aided in keeping in touch with cross jurisdiction.</w:t>
      </w:r>
    </w:p>
    <w:p w14:paraId="78B0A0F9" w14:textId="498A4A65"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5.3.4 Relationship Theory</w:t>
      </w:r>
    </w:p>
    <w:p w14:paraId="2B1C5C95" w14:textId="2978A6A9" w:rsidR="00FA4950" w:rsidRPr="003C2796" w:rsidRDefault="00E16EB8" w:rsidP="00054784">
      <w:pPr>
        <w:spacing w:line="360" w:lineRule="auto"/>
        <w:jc w:val="both"/>
        <w:rPr>
          <w:rFonts w:ascii="Arial" w:hAnsi="Arial" w:cs="Arial"/>
          <w:sz w:val="22"/>
          <w:szCs w:val="22"/>
        </w:rPr>
      </w:pPr>
      <w:r w:rsidRPr="003C2796">
        <w:rPr>
          <w:rFonts w:ascii="Arial" w:hAnsi="Arial" w:cs="Arial"/>
          <w:sz w:val="22"/>
          <w:szCs w:val="22"/>
        </w:rPr>
        <w:t xml:space="preserve">The most dominant leadership aspect portrayed by Trudeau is in accordance with the Relationship Theory. His focus on national solidarity, empathy and unity </w:t>
      </w:r>
      <w:r w:rsidR="003C2796" w:rsidRPr="003C2796">
        <w:rPr>
          <w:rFonts w:ascii="Arial" w:hAnsi="Arial" w:cs="Arial"/>
          <w:sz w:val="22"/>
          <w:szCs w:val="22"/>
        </w:rPr>
        <w:t>is</w:t>
      </w:r>
      <w:r w:rsidRPr="003C2796">
        <w:rPr>
          <w:rFonts w:ascii="Arial" w:hAnsi="Arial" w:cs="Arial"/>
          <w:sz w:val="22"/>
          <w:szCs w:val="22"/>
        </w:rPr>
        <w:t xml:space="preserve"> characteristic of transformational leadership. According to Relationship Theory, trust and moral persuasion increase compliance of people (Bass, 1985). The message of the Trudeau, which was, </w:t>
      </w:r>
      <w:r w:rsidRPr="003C2796">
        <w:rPr>
          <w:rFonts w:ascii="Arial" w:hAnsi="Arial" w:cs="Arial"/>
          <w:i/>
          <w:iCs/>
          <w:sz w:val="22"/>
          <w:szCs w:val="22"/>
        </w:rPr>
        <w:t>“We are stronger together”</w:t>
      </w:r>
      <w:r w:rsidRPr="003C2796">
        <w:rPr>
          <w:rFonts w:ascii="Arial" w:hAnsi="Arial" w:cs="Arial"/>
          <w:sz w:val="22"/>
          <w:szCs w:val="22"/>
        </w:rPr>
        <w:t>, supported collective resiliency, but the incoherent provincial messaging diluted the message</w:t>
      </w:r>
      <w:r w:rsidR="00E03AD3" w:rsidRPr="003C2796">
        <w:rPr>
          <w:rFonts w:ascii="Arial" w:hAnsi="Arial" w:cs="Arial"/>
          <w:sz w:val="22"/>
          <w:szCs w:val="22"/>
        </w:rPr>
        <w:t>.</w:t>
      </w:r>
    </w:p>
    <w:p w14:paraId="7A1877CC" w14:textId="64639601" w:rsidR="00FA4950" w:rsidRPr="003C2796" w:rsidRDefault="00FA4950" w:rsidP="00054784">
      <w:pPr>
        <w:spacing w:line="360" w:lineRule="auto"/>
        <w:jc w:val="both"/>
        <w:rPr>
          <w:rFonts w:ascii="Arial" w:hAnsi="Arial" w:cs="Arial"/>
          <w:b/>
          <w:bCs/>
          <w:sz w:val="22"/>
          <w:szCs w:val="22"/>
        </w:rPr>
      </w:pPr>
      <w:r w:rsidRPr="003C2796">
        <w:rPr>
          <w:rFonts w:ascii="Arial" w:hAnsi="Arial" w:cs="Arial"/>
          <w:b/>
          <w:bCs/>
          <w:sz w:val="22"/>
          <w:szCs w:val="22"/>
        </w:rPr>
        <w:t>5.3.5 Five Levels of Leadership</w:t>
      </w:r>
    </w:p>
    <w:p w14:paraId="17B8CBBE" w14:textId="7160B386" w:rsidR="00FA4950" w:rsidRPr="003C2796" w:rsidRDefault="00BA2C77" w:rsidP="00054784">
      <w:pPr>
        <w:spacing w:line="360" w:lineRule="auto"/>
        <w:jc w:val="both"/>
        <w:rPr>
          <w:rFonts w:ascii="Arial" w:hAnsi="Arial" w:cs="Arial"/>
          <w:sz w:val="22"/>
          <w:szCs w:val="22"/>
        </w:rPr>
      </w:pPr>
      <w:r w:rsidRPr="003C2796">
        <w:rPr>
          <w:rFonts w:ascii="Arial" w:hAnsi="Arial" w:cs="Arial"/>
          <w:sz w:val="22"/>
          <w:szCs w:val="22"/>
        </w:rPr>
        <w:t>The theory of Maxwell has helped Trudeau to work between Levels 3 and 4. He obtained real outcomes in terms of vaccine acquisition (Level 3), and he fostered trust and national cohesion on the national level (Level 4). The structural flaws in the long care, and the irregular policy coordination, however, made it impossible to achieve Level 5, which means a systemic and lasting leadership influence.</w:t>
      </w:r>
    </w:p>
    <w:p w14:paraId="3B52B994" w14:textId="77777777" w:rsidR="0070530C" w:rsidRPr="003C2796" w:rsidRDefault="0070530C" w:rsidP="00054784">
      <w:pPr>
        <w:pStyle w:val="Heading1"/>
        <w:spacing w:line="360" w:lineRule="auto"/>
        <w:rPr>
          <w:rFonts w:ascii="Arial" w:hAnsi="Arial" w:cs="Arial"/>
          <w:b/>
          <w:bCs/>
          <w:color w:val="auto"/>
          <w:sz w:val="22"/>
          <w:szCs w:val="22"/>
        </w:rPr>
      </w:pPr>
      <w:bookmarkStart w:id="22" w:name="_Toc217444806"/>
      <w:r w:rsidRPr="003C2796">
        <w:rPr>
          <w:rFonts w:ascii="Arial" w:hAnsi="Arial" w:cs="Arial"/>
          <w:b/>
          <w:bCs/>
          <w:color w:val="auto"/>
          <w:sz w:val="22"/>
          <w:szCs w:val="22"/>
        </w:rPr>
        <w:lastRenderedPageBreak/>
        <w:t>6.0 Comparative Leadership Analysis</w:t>
      </w:r>
      <w:bookmarkEnd w:id="22"/>
    </w:p>
    <w:p w14:paraId="44F3710E" w14:textId="67A65182" w:rsidR="00614B60" w:rsidRPr="003C2796" w:rsidRDefault="00614B60" w:rsidP="00054784">
      <w:pPr>
        <w:spacing w:line="360" w:lineRule="auto"/>
        <w:jc w:val="both"/>
        <w:rPr>
          <w:rFonts w:ascii="Arial" w:hAnsi="Arial" w:cs="Arial"/>
          <w:sz w:val="22"/>
          <w:szCs w:val="22"/>
        </w:rPr>
      </w:pPr>
      <w:r w:rsidRPr="003C2796">
        <w:rPr>
          <w:rFonts w:ascii="Arial" w:hAnsi="Arial" w:cs="Arial"/>
          <w:sz w:val="22"/>
          <w:szCs w:val="22"/>
        </w:rPr>
        <w:t>The political framework, cultural norms, and organisation of health systems contribute to the creation of a response during a crisis, which can be exemplified by the performance of Spain, South Korea, and Canada in COVID-19. Although there were the same epidemiological threats in each country, the leadership styles of the nations, centralised, hybrid and decentralised, yielded different results in terms of controlling the spread, informing the population and vaccination coverage</w:t>
      </w:r>
      <w:r w:rsidR="004C0CD4" w:rsidRPr="003C2796">
        <w:rPr>
          <w:sz w:val="22"/>
          <w:szCs w:val="22"/>
        </w:rPr>
        <w:t xml:space="preserve"> </w:t>
      </w:r>
      <w:r w:rsidR="004C0CD4" w:rsidRPr="003C2796">
        <w:rPr>
          <w:rFonts w:ascii="Arial" w:hAnsi="Arial" w:cs="Arial"/>
          <w:sz w:val="22"/>
          <w:szCs w:val="22"/>
        </w:rPr>
        <w:t>(Unruh et al., 2021)</w:t>
      </w:r>
      <w:r w:rsidRPr="003C2796">
        <w:rPr>
          <w:rFonts w:ascii="Arial" w:hAnsi="Arial" w:cs="Arial"/>
          <w:sz w:val="22"/>
          <w:szCs w:val="22"/>
        </w:rPr>
        <w:t>.</w:t>
      </w:r>
    </w:p>
    <w:p w14:paraId="4A45088B" w14:textId="47B1BD1E" w:rsidR="00614B60" w:rsidRPr="003C2796" w:rsidRDefault="00614B60" w:rsidP="00054784">
      <w:pPr>
        <w:spacing w:line="360" w:lineRule="auto"/>
        <w:jc w:val="both"/>
        <w:rPr>
          <w:rFonts w:ascii="Arial" w:hAnsi="Arial" w:cs="Arial"/>
          <w:sz w:val="22"/>
          <w:szCs w:val="22"/>
        </w:rPr>
      </w:pPr>
      <w:r w:rsidRPr="003C2796">
        <w:rPr>
          <w:rFonts w:ascii="Arial" w:hAnsi="Arial" w:cs="Arial"/>
          <w:sz w:val="22"/>
          <w:szCs w:val="22"/>
        </w:rPr>
        <w:t>The leadership style in Spain was mostly reactive during the first stages of the pandemic. The severity of the outbreak was initially minimised by the central government led by Prime Minister Pedro Sanchez and the Health Minister Salvador Illa, who on 30</w:t>
      </w:r>
      <w:r w:rsidR="0030428C" w:rsidRPr="003C2796">
        <w:rPr>
          <w:rFonts w:ascii="Arial" w:hAnsi="Arial" w:cs="Arial"/>
          <w:sz w:val="22"/>
          <w:szCs w:val="22"/>
          <w:vertAlign w:val="superscript"/>
        </w:rPr>
        <w:t>th</w:t>
      </w:r>
      <w:r w:rsidR="0030428C" w:rsidRPr="003C2796">
        <w:rPr>
          <w:rFonts w:ascii="Arial" w:hAnsi="Arial" w:cs="Arial"/>
          <w:sz w:val="22"/>
          <w:szCs w:val="22"/>
        </w:rPr>
        <w:t xml:space="preserve"> </w:t>
      </w:r>
      <w:r w:rsidRPr="003C2796">
        <w:rPr>
          <w:rFonts w:ascii="Arial" w:hAnsi="Arial" w:cs="Arial"/>
          <w:sz w:val="22"/>
          <w:szCs w:val="22"/>
        </w:rPr>
        <w:t>of Januar</w:t>
      </w:r>
      <w:r w:rsidR="002258DF" w:rsidRPr="003C2796">
        <w:rPr>
          <w:rFonts w:ascii="Arial" w:hAnsi="Arial" w:cs="Arial"/>
          <w:sz w:val="22"/>
          <w:szCs w:val="22"/>
        </w:rPr>
        <w:t>y</w:t>
      </w:r>
      <w:r w:rsidRPr="003C2796">
        <w:rPr>
          <w:rFonts w:ascii="Arial" w:hAnsi="Arial" w:cs="Arial"/>
          <w:sz w:val="22"/>
          <w:szCs w:val="22"/>
        </w:rPr>
        <w:t xml:space="preserve"> 2020</w:t>
      </w:r>
      <w:r w:rsidR="002258DF" w:rsidRPr="003C2796">
        <w:rPr>
          <w:rFonts w:ascii="Arial" w:hAnsi="Arial" w:cs="Arial"/>
          <w:sz w:val="22"/>
          <w:szCs w:val="22"/>
        </w:rPr>
        <w:t>,</w:t>
      </w:r>
      <w:r w:rsidRPr="003C2796">
        <w:rPr>
          <w:rFonts w:ascii="Arial" w:hAnsi="Arial" w:cs="Arial"/>
          <w:sz w:val="22"/>
          <w:szCs w:val="22"/>
        </w:rPr>
        <w:t xml:space="preserve"> declared that Spain was ready to face the situation and was not minimising risks (Spanish Ministry of Health, 2020). Legido-Quigley et al. (2020) claimed that this was a gap in behavioural leadership, where the decision-makers failed to predict warning signs and take prompt restrictive actions, and it led to one of the largest early cases jumps in Europe. Nevertheless, it was later shown that Spain exhibited more functional leadership, particularly in the process of coordination of national vaccination strategies. By late 2021, Spain was among the champions of vaccination in Europe, with more than 80% of the full vaccination (OECD, 2021). The critical moment of recovery indicates the transition to adaptive leadership after the failure of early attempts, the need to change reactions.</w:t>
      </w:r>
    </w:p>
    <w:p w14:paraId="556589E5" w14:textId="0CBB5D4E" w:rsidR="00614B60" w:rsidRPr="003C2796" w:rsidRDefault="00614B60" w:rsidP="00054784">
      <w:pPr>
        <w:spacing w:line="360" w:lineRule="auto"/>
        <w:jc w:val="both"/>
        <w:rPr>
          <w:rFonts w:ascii="Arial" w:hAnsi="Arial" w:cs="Arial"/>
          <w:sz w:val="22"/>
          <w:szCs w:val="22"/>
        </w:rPr>
      </w:pPr>
      <w:r w:rsidRPr="003C2796">
        <w:rPr>
          <w:rFonts w:ascii="Arial" w:hAnsi="Arial" w:cs="Arial"/>
          <w:sz w:val="22"/>
          <w:szCs w:val="22"/>
        </w:rPr>
        <w:t>On the contrary, the leadership in South Korea was a perfect example of situational and relational leadership, which is manifested by quick response, establishing trust with the population, and open-minded communication</w:t>
      </w:r>
      <w:r w:rsidR="005A1A3B" w:rsidRPr="003C2796">
        <w:rPr>
          <w:rFonts w:ascii="Arial" w:hAnsi="Arial" w:cs="Arial"/>
          <w:sz w:val="22"/>
          <w:szCs w:val="22"/>
        </w:rPr>
        <w:t xml:space="preserve"> (Kang, 2024).</w:t>
      </w:r>
      <w:r w:rsidRPr="003C2796">
        <w:rPr>
          <w:rFonts w:ascii="Arial" w:hAnsi="Arial" w:cs="Arial"/>
          <w:sz w:val="22"/>
          <w:szCs w:val="22"/>
        </w:rPr>
        <w:t xml:space="preserve"> Prime Minister Chung Sye-kyun focused on transparency and said that transparency is the best weapon against the virus (</w:t>
      </w:r>
      <w:r w:rsidR="00E80B88" w:rsidRPr="003C2796">
        <w:rPr>
          <w:rFonts w:ascii="Arial" w:hAnsi="Arial" w:cs="Arial"/>
          <w:sz w:val="22"/>
          <w:szCs w:val="22"/>
        </w:rPr>
        <w:t>Moon</w:t>
      </w:r>
      <w:r w:rsidRPr="003C2796">
        <w:rPr>
          <w:rFonts w:ascii="Arial" w:hAnsi="Arial" w:cs="Arial"/>
          <w:sz w:val="22"/>
          <w:szCs w:val="22"/>
        </w:rPr>
        <w:t>, 2020). KDCA or Korea Disease Control and Prevention Agency organised a decentralised system that was nationally centralised but operationally decentralised to empower the local health authorities and at the same time have national oversight. Kim and Park, (2025) scholars assert that the leadership model in Korea was successful since they incorporated the functional capacity (testing, tracing, data systems) and relationship-focused governance, which ensured that citizens worked in high levels of cooperation. Trust and open communication legitimised the use of real-time data sharing and digital tracing systems as an intrusion (Ahn and Campbell, 2023). Based on the example of Korea, trust-based leadership that responds to the crisis can offset resource constraints.</w:t>
      </w:r>
    </w:p>
    <w:p w14:paraId="33680862" w14:textId="1F325B3D" w:rsidR="00614B60" w:rsidRPr="003C2796" w:rsidRDefault="00614B60" w:rsidP="00054784">
      <w:pPr>
        <w:spacing w:line="360" w:lineRule="auto"/>
        <w:jc w:val="both"/>
        <w:rPr>
          <w:rFonts w:ascii="Arial" w:hAnsi="Arial" w:cs="Arial"/>
          <w:sz w:val="22"/>
          <w:szCs w:val="22"/>
        </w:rPr>
      </w:pPr>
      <w:r w:rsidRPr="003C2796">
        <w:rPr>
          <w:rFonts w:ascii="Arial" w:hAnsi="Arial" w:cs="Arial"/>
          <w:sz w:val="22"/>
          <w:szCs w:val="22"/>
        </w:rPr>
        <w:lastRenderedPageBreak/>
        <w:t xml:space="preserve">Canada being a federation system needed joint leadership style. Prime Minister Justin Trudeau embraced a unifying leadership style, which is a Level-5-style leadership (Maor </w:t>
      </w:r>
      <w:r w:rsidR="006A133F" w:rsidRPr="003C2796">
        <w:rPr>
          <w:rFonts w:ascii="Arial" w:hAnsi="Arial" w:cs="Arial"/>
          <w:sz w:val="22"/>
          <w:szCs w:val="22"/>
        </w:rPr>
        <w:t>and</w:t>
      </w:r>
      <w:r w:rsidRPr="003C2796">
        <w:rPr>
          <w:rFonts w:ascii="Arial" w:hAnsi="Arial" w:cs="Arial"/>
          <w:sz w:val="22"/>
          <w:szCs w:val="22"/>
        </w:rPr>
        <w:t xml:space="preserve"> Howlett, 2020) and focuses on empathy, collective responsibility, and intergovernmental coordination. National briefings were delivered each day, and the COVID-19 was presented as a collective crisis and Trudeau said, </w:t>
      </w:r>
      <w:r w:rsidR="003C2796" w:rsidRPr="003C2796">
        <w:rPr>
          <w:rFonts w:ascii="Arial" w:hAnsi="Arial" w:cs="Arial"/>
          <w:sz w:val="22"/>
          <w:szCs w:val="22"/>
        </w:rPr>
        <w:t>we</w:t>
      </w:r>
      <w:r w:rsidRPr="003C2796">
        <w:rPr>
          <w:rFonts w:ascii="Arial" w:hAnsi="Arial" w:cs="Arial"/>
          <w:sz w:val="22"/>
          <w:szCs w:val="22"/>
        </w:rPr>
        <w:t xml:space="preserve"> will go through it together, and this solidarity was reinforced (Government of Canada, 2020). Nevertheless, the devolution resulted in variation of policies between provinces. Researchers suggest that the discrepancy of provincial measures was reflected by inconsistent restraint and slower rates of mass vaccination, which was due to inadequate alignment between federal directions and provincial independence (Peters et al., 2022). Nevertheless, with these coordination difficulties, the vaccination process in Canada ultimately picked up speed reaching one of the highest-vaccinated countries in the world in mid-2021 (WHO, 2021).</w:t>
      </w:r>
    </w:p>
    <w:p w14:paraId="2872885B" w14:textId="39166A8C" w:rsidR="0070530C" w:rsidRPr="003C2796" w:rsidRDefault="00614B60" w:rsidP="00054784">
      <w:pPr>
        <w:spacing w:line="360" w:lineRule="auto"/>
        <w:jc w:val="both"/>
        <w:rPr>
          <w:rFonts w:ascii="Arial" w:hAnsi="Arial" w:cs="Arial"/>
          <w:sz w:val="22"/>
          <w:szCs w:val="22"/>
        </w:rPr>
      </w:pPr>
      <w:r w:rsidRPr="003C2796">
        <w:rPr>
          <w:rFonts w:ascii="Arial" w:hAnsi="Arial" w:cs="Arial"/>
          <w:sz w:val="22"/>
          <w:szCs w:val="22"/>
        </w:rPr>
        <w:t>In comparison, there had been the best early-stage leadership in South Korea, which was both decisive and situational, as well as open in communication. The political hesitancy initially limited the leadership of Spain but later to the success of the vaccination was shown to be of strong functional leadership. The leadership of Canada was steady in the federal messages with awkward results, with decentralised structures of authority.</w:t>
      </w:r>
    </w:p>
    <w:p w14:paraId="49AE5648" w14:textId="5A54E97D" w:rsidR="00D046AF" w:rsidRPr="003C2796" w:rsidRDefault="001367DF" w:rsidP="00054784">
      <w:pPr>
        <w:spacing w:line="360" w:lineRule="auto"/>
        <w:jc w:val="both"/>
        <w:rPr>
          <w:rFonts w:ascii="Arial" w:hAnsi="Arial" w:cs="Arial"/>
          <w:sz w:val="22"/>
          <w:szCs w:val="22"/>
        </w:rPr>
      </w:pPr>
      <w:r w:rsidRPr="003C2796">
        <w:rPr>
          <w:rFonts w:ascii="Arial" w:hAnsi="Arial" w:cs="Arial"/>
          <w:sz w:val="22"/>
          <w:szCs w:val="22"/>
        </w:rPr>
        <w:t>The consistency of leadership communication with the expectation of the people and the capacity of the systems to accommodate the communication worked in all the three situations to establish trust and compliance. The misalignment of initial leadership choices with system structural realities to create delays and inconsistent interventions was what failed. According to Ginter et al., (2018) strategic combination of leadership and organisational structure is the key to resilient health systems that can overcome crises. It is therefore very important that governance and leadership capacity is strengthened so that the future emergencies of public health can be responded to in time, in a coordinated and effective manner.</w:t>
      </w:r>
    </w:p>
    <w:p w14:paraId="3334EDCA" w14:textId="0808EA8D" w:rsidR="0070530C" w:rsidRPr="003C2796" w:rsidRDefault="00F1091B" w:rsidP="00054784">
      <w:pPr>
        <w:pStyle w:val="Heading1"/>
        <w:spacing w:line="360" w:lineRule="auto"/>
        <w:rPr>
          <w:rFonts w:ascii="Arial" w:hAnsi="Arial" w:cs="Arial"/>
          <w:b/>
          <w:bCs/>
          <w:color w:val="auto"/>
          <w:sz w:val="22"/>
          <w:szCs w:val="22"/>
        </w:rPr>
      </w:pPr>
      <w:bookmarkStart w:id="23" w:name="_Toc217444807"/>
      <w:r w:rsidRPr="003C2796">
        <w:rPr>
          <w:rFonts w:ascii="Arial" w:hAnsi="Arial" w:cs="Arial"/>
          <w:b/>
          <w:bCs/>
          <w:color w:val="auto"/>
          <w:sz w:val="22"/>
          <w:szCs w:val="22"/>
        </w:rPr>
        <w:t>Conclusion</w:t>
      </w:r>
      <w:bookmarkEnd w:id="23"/>
      <w:r w:rsidRPr="003C2796">
        <w:rPr>
          <w:rFonts w:ascii="Arial" w:hAnsi="Arial" w:cs="Arial"/>
          <w:b/>
          <w:bCs/>
          <w:color w:val="auto"/>
          <w:sz w:val="22"/>
          <w:szCs w:val="22"/>
        </w:rPr>
        <w:t xml:space="preserve"> </w:t>
      </w:r>
    </w:p>
    <w:p w14:paraId="682B0EEE" w14:textId="68581D05" w:rsidR="00EB735B" w:rsidRPr="003C2796" w:rsidRDefault="00EB735B" w:rsidP="00054784">
      <w:pPr>
        <w:spacing w:line="360" w:lineRule="auto"/>
        <w:jc w:val="both"/>
        <w:rPr>
          <w:rFonts w:ascii="Arial" w:hAnsi="Arial" w:cs="Arial"/>
          <w:sz w:val="22"/>
          <w:szCs w:val="22"/>
        </w:rPr>
      </w:pPr>
      <w:r w:rsidRPr="003C2796">
        <w:rPr>
          <w:rFonts w:ascii="Arial" w:hAnsi="Arial" w:cs="Arial"/>
          <w:sz w:val="22"/>
          <w:szCs w:val="22"/>
        </w:rPr>
        <w:t xml:space="preserve">The COVID-19 complemented the importance of the interaction, where the framework of health systems and the capacity of leadership play a key role in determining national outcomes. As indicated by this report, high compliance with very little disruption and minimal mortality were achieved through centralised, technologically integrated systems as occurred in South Korea with the help of rapid decision-making, co-ordinated testing and high amounts of compliance. The decentralised system in Spain had issues of lagging in vaccinations, and an overload of hospitals, </w:t>
      </w:r>
      <w:r w:rsidRPr="003C2796">
        <w:rPr>
          <w:rFonts w:ascii="Arial" w:hAnsi="Arial" w:cs="Arial"/>
          <w:sz w:val="22"/>
          <w:szCs w:val="22"/>
        </w:rPr>
        <w:lastRenderedPageBreak/>
        <w:t>but adaptive leadership and temporary re-centralisation allowed the country to roll out successful vaccination efforts, a concept that demonstrates how structural flexibility could mitigate the initial shortcomings. The challenges of balancing provincial and national coordination with respect to the heterogeneous outcomes produced by the federal model of Canada were also evident, even though the results of the relational leadership were high, and the final percentage of vaccination is high.</w:t>
      </w:r>
      <w:r w:rsidR="00132E41" w:rsidRPr="003C2796">
        <w:rPr>
          <w:rFonts w:ascii="Arial" w:hAnsi="Arial" w:cs="Arial"/>
          <w:sz w:val="22"/>
          <w:szCs w:val="22"/>
        </w:rPr>
        <w:t xml:space="preserve"> </w:t>
      </w:r>
      <w:r w:rsidR="00B56A75" w:rsidRPr="003C2796">
        <w:rPr>
          <w:rFonts w:ascii="Arial" w:hAnsi="Arial" w:cs="Arial"/>
          <w:sz w:val="22"/>
          <w:szCs w:val="22"/>
        </w:rPr>
        <w:t>32</w:t>
      </w:r>
      <w:r w:rsidRPr="003C2796">
        <w:rPr>
          <w:rFonts w:ascii="Arial" w:hAnsi="Arial" w:cs="Arial"/>
          <w:sz w:val="22"/>
          <w:szCs w:val="22"/>
        </w:rPr>
        <w:t>Comparative analysis shows that effective management of the pandemic requires not only the specific leadership qualities, behaviours and the ability to relate with others but also the ability of health systems to make decisions functional. Clear communication, flexible decision making and working coordination were found to be the regular sources of success.</w:t>
      </w:r>
    </w:p>
    <w:p w14:paraId="2BA85D85" w14:textId="77777777" w:rsidR="00EB735B" w:rsidRPr="003C2796" w:rsidRDefault="00EB735B" w:rsidP="00054784">
      <w:pPr>
        <w:spacing w:line="360" w:lineRule="auto"/>
        <w:jc w:val="both"/>
        <w:rPr>
          <w:rFonts w:ascii="Arial" w:hAnsi="Arial" w:cs="Arial"/>
          <w:sz w:val="22"/>
          <w:szCs w:val="22"/>
        </w:rPr>
      </w:pPr>
    </w:p>
    <w:p w14:paraId="47D95BFC" w14:textId="77777777" w:rsidR="00EB735B" w:rsidRPr="003C2796" w:rsidRDefault="00EB735B" w:rsidP="00054784">
      <w:pPr>
        <w:spacing w:line="360" w:lineRule="auto"/>
        <w:jc w:val="both"/>
        <w:rPr>
          <w:rFonts w:ascii="Arial" w:hAnsi="Arial" w:cs="Arial"/>
          <w:sz w:val="22"/>
          <w:szCs w:val="22"/>
        </w:rPr>
      </w:pPr>
    </w:p>
    <w:p w14:paraId="4414C120" w14:textId="77777777" w:rsidR="00EB735B" w:rsidRPr="003C2796" w:rsidRDefault="00EB735B" w:rsidP="00054784">
      <w:pPr>
        <w:spacing w:line="360" w:lineRule="auto"/>
        <w:jc w:val="both"/>
        <w:rPr>
          <w:rFonts w:ascii="Arial" w:hAnsi="Arial" w:cs="Arial"/>
          <w:sz w:val="22"/>
          <w:szCs w:val="22"/>
        </w:rPr>
      </w:pPr>
    </w:p>
    <w:p w14:paraId="215602FD" w14:textId="77777777" w:rsidR="000F5A5A" w:rsidRPr="003C2796" w:rsidRDefault="000F5A5A" w:rsidP="00054784">
      <w:pPr>
        <w:spacing w:line="360" w:lineRule="auto"/>
        <w:jc w:val="both"/>
        <w:rPr>
          <w:rFonts w:ascii="Arial" w:hAnsi="Arial" w:cs="Arial"/>
          <w:sz w:val="22"/>
          <w:szCs w:val="22"/>
        </w:rPr>
      </w:pPr>
    </w:p>
    <w:p w14:paraId="2B4111F5" w14:textId="77777777" w:rsidR="000F5A5A" w:rsidRPr="003C2796" w:rsidRDefault="000F5A5A" w:rsidP="00054784">
      <w:pPr>
        <w:spacing w:line="360" w:lineRule="auto"/>
        <w:jc w:val="both"/>
        <w:rPr>
          <w:rFonts w:ascii="Arial" w:hAnsi="Arial" w:cs="Arial"/>
          <w:sz w:val="22"/>
          <w:szCs w:val="22"/>
        </w:rPr>
      </w:pPr>
    </w:p>
    <w:p w14:paraId="01359291" w14:textId="77777777" w:rsidR="000F5A5A" w:rsidRPr="003C2796" w:rsidRDefault="000F5A5A" w:rsidP="00054784">
      <w:pPr>
        <w:spacing w:line="360" w:lineRule="auto"/>
        <w:jc w:val="both"/>
        <w:rPr>
          <w:rFonts w:ascii="Arial" w:hAnsi="Arial" w:cs="Arial"/>
          <w:sz w:val="22"/>
          <w:szCs w:val="22"/>
        </w:rPr>
      </w:pPr>
    </w:p>
    <w:p w14:paraId="7EF65688" w14:textId="77777777" w:rsidR="000F5A5A" w:rsidRPr="003C2796" w:rsidRDefault="000F5A5A" w:rsidP="00054784">
      <w:pPr>
        <w:spacing w:line="360" w:lineRule="auto"/>
        <w:jc w:val="both"/>
        <w:rPr>
          <w:rFonts w:ascii="Arial" w:hAnsi="Arial" w:cs="Arial"/>
          <w:sz w:val="22"/>
          <w:szCs w:val="22"/>
        </w:rPr>
      </w:pPr>
    </w:p>
    <w:p w14:paraId="1E8F9815" w14:textId="77777777" w:rsidR="000F5A5A" w:rsidRPr="003C2796" w:rsidRDefault="000F5A5A" w:rsidP="00054784">
      <w:pPr>
        <w:spacing w:line="360" w:lineRule="auto"/>
        <w:jc w:val="both"/>
        <w:rPr>
          <w:rFonts w:ascii="Arial" w:hAnsi="Arial" w:cs="Arial"/>
          <w:sz w:val="22"/>
          <w:szCs w:val="22"/>
        </w:rPr>
      </w:pPr>
    </w:p>
    <w:p w14:paraId="33C2AD33" w14:textId="77777777" w:rsidR="000F5A5A" w:rsidRPr="003C2796" w:rsidRDefault="000F5A5A" w:rsidP="00054784">
      <w:pPr>
        <w:spacing w:line="360" w:lineRule="auto"/>
        <w:jc w:val="both"/>
        <w:rPr>
          <w:rFonts w:ascii="Arial" w:hAnsi="Arial" w:cs="Arial"/>
          <w:sz w:val="22"/>
          <w:szCs w:val="22"/>
        </w:rPr>
      </w:pPr>
    </w:p>
    <w:p w14:paraId="687B14DE" w14:textId="77777777" w:rsidR="000F5A5A" w:rsidRDefault="000F5A5A" w:rsidP="00054784">
      <w:pPr>
        <w:spacing w:line="360" w:lineRule="auto"/>
        <w:jc w:val="both"/>
        <w:rPr>
          <w:rFonts w:ascii="Arial" w:hAnsi="Arial" w:cs="Arial"/>
          <w:sz w:val="22"/>
          <w:szCs w:val="22"/>
        </w:rPr>
      </w:pPr>
    </w:p>
    <w:p w14:paraId="46EC7E13" w14:textId="77777777" w:rsidR="003C2796" w:rsidRDefault="003C2796" w:rsidP="00054784">
      <w:pPr>
        <w:spacing w:line="360" w:lineRule="auto"/>
        <w:jc w:val="both"/>
        <w:rPr>
          <w:rFonts w:ascii="Arial" w:hAnsi="Arial" w:cs="Arial"/>
          <w:sz w:val="22"/>
          <w:szCs w:val="22"/>
        </w:rPr>
      </w:pPr>
    </w:p>
    <w:p w14:paraId="05E62984" w14:textId="77777777" w:rsidR="003C2796" w:rsidRDefault="003C2796" w:rsidP="00054784">
      <w:pPr>
        <w:spacing w:line="360" w:lineRule="auto"/>
        <w:jc w:val="both"/>
        <w:rPr>
          <w:rFonts w:ascii="Arial" w:hAnsi="Arial" w:cs="Arial"/>
          <w:sz w:val="22"/>
          <w:szCs w:val="22"/>
        </w:rPr>
      </w:pPr>
    </w:p>
    <w:p w14:paraId="6FD90E98" w14:textId="77777777" w:rsidR="003C2796" w:rsidRPr="003C2796" w:rsidRDefault="003C2796" w:rsidP="00054784">
      <w:pPr>
        <w:spacing w:line="360" w:lineRule="auto"/>
        <w:jc w:val="both"/>
        <w:rPr>
          <w:rFonts w:ascii="Arial" w:hAnsi="Arial" w:cs="Arial"/>
          <w:sz w:val="22"/>
          <w:szCs w:val="22"/>
        </w:rPr>
      </w:pPr>
    </w:p>
    <w:p w14:paraId="28F421F8" w14:textId="77777777" w:rsidR="000F5A5A" w:rsidRPr="003C2796" w:rsidRDefault="000F5A5A" w:rsidP="00054784">
      <w:pPr>
        <w:spacing w:line="360" w:lineRule="auto"/>
        <w:jc w:val="both"/>
        <w:rPr>
          <w:rFonts w:ascii="Arial" w:hAnsi="Arial" w:cs="Arial"/>
          <w:sz w:val="22"/>
          <w:szCs w:val="22"/>
        </w:rPr>
      </w:pPr>
    </w:p>
    <w:p w14:paraId="51D7430B" w14:textId="77777777" w:rsidR="00EB735B" w:rsidRPr="003C2796" w:rsidRDefault="00EB735B" w:rsidP="00054784">
      <w:pPr>
        <w:spacing w:line="360" w:lineRule="auto"/>
        <w:jc w:val="both"/>
        <w:rPr>
          <w:rFonts w:ascii="Arial" w:hAnsi="Arial" w:cs="Arial"/>
          <w:sz w:val="22"/>
          <w:szCs w:val="22"/>
        </w:rPr>
      </w:pPr>
    </w:p>
    <w:p w14:paraId="672094D5" w14:textId="49E1E5B1" w:rsidR="00D046AF" w:rsidRPr="003C2796" w:rsidRDefault="00DF20EE" w:rsidP="00054784">
      <w:pPr>
        <w:pStyle w:val="Heading1"/>
        <w:spacing w:line="360" w:lineRule="auto"/>
        <w:rPr>
          <w:rFonts w:ascii="Arial" w:hAnsi="Arial" w:cs="Arial"/>
          <w:b/>
          <w:bCs/>
          <w:color w:val="auto"/>
          <w:sz w:val="22"/>
          <w:szCs w:val="22"/>
        </w:rPr>
      </w:pPr>
      <w:bookmarkStart w:id="24" w:name="_Hlk216474019"/>
      <w:bookmarkStart w:id="25" w:name="_Toc217444808"/>
      <w:r w:rsidRPr="003C2796">
        <w:rPr>
          <w:rFonts w:ascii="Arial" w:hAnsi="Arial" w:cs="Arial"/>
          <w:b/>
          <w:bCs/>
          <w:color w:val="auto"/>
          <w:sz w:val="22"/>
          <w:szCs w:val="22"/>
        </w:rPr>
        <w:lastRenderedPageBreak/>
        <w:t>References</w:t>
      </w:r>
      <w:bookmarkEnd w:id="25"/>
      <w:r w:rsidRPr="003C2796">
        <w:rPr>
          <w:rFonts w:ascii="Arial" w:hAnsi="Arial" w:cs="Arial"/>
          <w:b/>
          <w:bCs/>
          <w:color w:val="auto"/>
          <w:sz w:val="22"/>
          <w:szCs w:val="22"/>
        </w:rPr>
        <w:t xml:space="preserve"> </w:t>
      </w:r>
    </w:p>
    <w:bookmarkEnd w:id="24"/>
    <w:p w14:paraId="4BA453AE"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lang w:val="en-US"/>
          <w14:ligatures w14:val="none"/>
        </w:rPr>
        <w:t xml:space="preserve">Alfonso Viguria, U. and Casamitjana, N. (2021) </w:t>
      </w:r>
      <w:r w:rsidRPr="003C2796">
        <w:rPr>
          <w:rFonts w:ascii="Arial" w:hAnsi="Arial" w:cs="Arial"/>
          <w:sz w:val="22"/>
          <w:szCs w:val="22"/>
          <w:lang w:val="en-US"/>
        </w:rPr>
        <w:t>‘</w:t>
      </w:r>
      <w:r w:rsidRPr="003C2796">
        <w:rPr>
          <w:rFonts w:ascii="Arial" w:hAnsi="Arial" w:cs="Arial"/>
          <w:sz w:val="22"/>
          <w:szCs w:val="22"/>
          <w:lang w:val="en-US"/>
          <w14:ligatures w14:val="none"/>
        </w:rPr>
        <w:t>Early interventions and impact of COVID-19 in Spain</w:t>
      </w:r>
      <w:r w:rsidRPr="003C2796">
        <w:rPr>
          <w:rFonts w:ascii="Arial" w:hAnsi="Arial" w:cs="Arial"/>
          <w:sz w:val="22"/>
          <w:szCs w:val="22"/>
          <w:lang w:val="en-US"/>
        </w:rPr>
        <w:t>’</w:t>
      </w:r>
      <w:r w:rsidRPr="003C2796">
        <w:rPr>
          <w:rFonts w:ascii="Arial" w:hAnsi="Arial" w:cs="Arial"/>
          <w:sz w:val="22"/>
          <w:szCs w:val="22"/>
          <w:lang w:val="en-US"/>
          <w14:ligatures w14:val="none"/>
        </w:rPr>
        <w:t xml:space="preserve">, </w:t>
      </w:r>
      <w:r w:rsidRPr="003C2796">
        <w:rPr>
          <w:rFonts w:ascii="Arial" w:hAnsi="Arial" w:cs="Arial"/>
          <w:i/>
          <w:iCs/>
          <w:sz w:val="22"/>
          <w:szCs w:val="22"/>
          <w:lang w:val="en-US"/>
          <w14:ligatures w14:val="none"/>
        </w:rPr>
        <w:t>International Journal of Environmental Research and Public Health</w:t>
      </w:r>
      <w:r w:rsidRPr="003C2796">
        <w:rPr>
          <w:rFonts w:ascii="Arial" w:hAnsi="Arial" w:cs="Arial"/>
          <w:sz w:val="22"/>
          <w:szCs w:val="22"/>
          <w:lang w:val="en-US"/>
          <w14:ligatures w14:val="none"/>
        </w:rPr>
        <w:t xml:space="preserve">, 18(8), 4026. Available at: </w:t>
      </w:r>
      <w:hyperlink r:id="rId10" w:history="1">
        <w:r w:rsidRPr="003C2796">
          <w:rPr>
            <w:rFonts w:ascii="Arial" w:hAnsi="Arial" w:cs="Arial"/>
            <w:color w:val="467886"/>
            <w:sz w:val="22"/>
            <w:szCs w:val="22"/>
            <w:u w:val="single"/>
            <w:lang w:val="en-US"/>
            <w14:ligatures w14:val="none"/>
          </w:rPr>
          <w:t>https://doi.org/10.3390/ijerph18084026</w:t>
        </w:r>
      </w:hyperlink>
      <w:r w:rsidRPr="003C2796">
        <w:rPr>
          <w:rFonts w:ascii="Arial" w:hAnsi="Arial" w:cs="Arial"/>
          <w:sz w:val="22"/>
          <w:szCs w:val="22"/>
          <w:lang w:val="en-US"/>
          <w14:ligatures w14:val="none"/>
        </w:rPr>
        <w:t xml:space="preserve">  </w:t>
      </w:r>
    </w:p>
    <w:p w14:paraId="7A2B14AF" w14:textId="77777777" w:rsidR="003C2796" w:rsidRPr="003C2796" w:rsidRDefault="003C2796" w:rsidP="003C2796">
      <w:pPr>
        <w:numPr>
          <w:ilvl w:val="0"/>
          <w:numId w:val="13"/>
        </w:numPr>
        <w:spacing w:line="360" w:lineRule="auto"/>
        <w:jc w:val="both"/>
        <w:rPr>
          <w:rFonts w:ascii="Arial" w:hAnsi="Arial" w:cs="Arial"/>
          <w:sz w:val="22"/>
          <w:szCs w:val="22"/>
        </w:rPr>
      </w:pPr>
      <w:proofErr w:type="spellStart"/>
      <w:r w:rsidRPr="003C2796">
        <w:rPr>
          <w:rFonts w:ascii="Arial" w:hAnsi="Arial" w:cs="Arial"/>
          <w:sz w:val="22"/>
          <w:szCs w:val="22"/>
        </w:rPr>
        <w:t>AlShurman</w:t>
      </w:r>
      <w:proofErr w:type="spellEnd"/>
      <w:r w:rsidRPr="003C2796">
        <w:rPr>
          <w:rFonts w:ascii="Arial" w:hAnsi="Arial" w:cs="Arial"/>
          <w:sz w:val="22"/>
          <w:szCs w:val="22"/>
        </w:rPr>
        <w:t xml:space="preserve">, B.A., </w:t>
      </w:r>
      <w:proofErr w:type="spellStart"/>
      <w:r w:rsidRPr="003C2796">
        <w:rPr>
          <w:rFonts w:ascii="Arial" w:hAnsi="Arial" w:cs="Arial"/>
          <w:sz w:val="22"/>
          <w:szCs w:val="22"/>
        </w:rPr>
        <w:t>Tetui</w:t>
      </w:r>
      <w:proofErr w:type="spellEnd"/>
      <w:r w:rsidRPr="003C2796">
        <w:rPr>
          <w:rFonts w:ascii="Arial" w:hAnsi="Arial" w:cs="Arial"/>
          <w:sz w:val="22"/>
          <w:szCs w:val="22"/>
        </w:rPr>
        <w:t>, M., Nanyonjo, A., Butt, Z.A., Waite, N.M., Vernon-Wilson, E., Wong, G. and Grindrod, K. (2023) Understanding the COVID-19 Vaccine Policy Terrain in Ontario Canada: A Policy Analysis of the Actors, Content, Processes, and Context,</w:t>
      </w:r>
      <w:r w:rsidRPr="003C2796">
        <w:rPr>
          <w:rFonts w:ascii="Arial" w:hAnsi="Arial" w:cs="Arial"/>
          <w:i/>
          <w:iCs/>
          <w:sz w:val="22"/>
          <w:szCs w:val="22"/>
        </w:rPr>
        <w:t> Vaccines</w:t>
      </w:r>
      <w:r w:rsidRPr="003C2796">
        <w:rPr>
          <w:rFonts w:ascii="Arial" w:hAnsi="Arial" w:cs="Arial"/>
          <w:sz w:val="22"/>
          <w:szCs w:val="22"/>
        </w:rPr>
        <w:t xml:space="preserve">, 11(4), p.782. Available at: </w:t>
      </w:r>
      <w:hyperlink r:id="rId11" w:history="1">
        <w:r w:rsidRPr="003C2796">
          <w:rPr>
            <w:rStyle w:val="Hyperlink"/>
            <w:rFonts w:ascii="Arial" w:hAnsi="Arial" w:cs="Arial"/>
            <w:sz w:val="22"/>
            <w:szCs w:val="22"/>
          </w:rPr>
          <w:t>https://doi.org/10.3390/vaccines11040782</w:t>
        </w:r>
      </w:hyperlink>
      <w:r w:rsidRPr="003C2796">
        <w:rPr>
          <w:rFonts w:ascii="Arial" w:hAnsi="Arial" w:cs="Arial"/>
          <w:sz w:val="22"/>
          <w:szCs w:val="22"/>
        </w:rPr>
        <w:t xml:space="preserve"> </w:t>
      </w:r>
    </w:p>
    <w:p w14:paraId="61C57742"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Bass, B.M. (1985) ‘Leadership and Performance beyond expectations’, </w:t>
      </w:r>
      <w:r w:rsidRPr="003C2796">
        <w:rPr>
          <w:rFonts w:ascii="Arial" w:hAnsi="Arial" w:cs="Arial"/>
          <w:i/>
          <w:iCs/>
          <w:sz w:val="22"/>
          <w:szCs w:val="22"/>
        </w:rPr>
        <w:t>Human Resource Management</w:t>
      </w:r>
      <w:r w:rsidRPr="003C2796">
        <w:rPr>
          <w:rFonts w:ascii="Arial" w:hAnsi="Arial" w:cs="Arial"/>
          <w:sz w:val="22"/>
          <w:szCs w:val="22"/>
        </w:rPr>
        <w:t xml:space="preserve">, 25(3). Available at: </w:t>
      </w:r>
      <w:hyperlink r:id="rId12" w:history="1">
        <w:r w:rsidRPr="003C2796">
          <w:rPr>
            <w:rStyle w:val="Hyperlink"/>
            <w:rFonts w:ascii="Arial" w:hAnsi="Arial" w:cs="Arial"/>
            <w:sz w:val="22"/>
            <w:szCs w:val="22"/>
          </w:rPr>
          <w:t>https://doi.org/10.1002</w:t>
        </w:r>
        <w:r w:rsidRPr="003C2796">
          <w:rPr>
            <w:rStyle w:val="Hyperlink"/>
            <w:rFonts w:ascii="Arial" w:hAnsi="Arial" w:cs="Arial"/>
            <w:sz w:val="22"/>
            <w:szCs w:val="22"/>
          </w:rPr>
          <w:t>/hrm.3930250310</w:t>
        </w:r>
      </w:hyperlink>
      <w:r w:rsidRPr="003C2796">
        <w:rPr>
          <w:rFonts w:ascii="Arial" w:hAnsi="Arial" w:cs="Arial"/>
          <w:sz w:val="22"/>
          <w:szCs w:val="22"/>
        </w:rPr>
        <w:t xml:space="preserve"> </w:t>
      </w:r>
    </w:p>
    <w:p w14:paraId="6F7CF837"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Bubela, T., Flood, C.M., McGrail, K., Straus, S.E. and Mishra, S. (2023) How Canada’s decentralised covid-19 response affected public health data and decision making, </w:t>
      </w:r>
      <w:r w:rsidRPr="003C2796">
        <w:rPr>
          <w:rFonts w:ascii="Arial" w:hAnsi="Arial" w:cs="Arial"/>
          <w:i/>
          <w:iCs/>
          <w:sz w:val="22"/>
          <w:szCs w:val="22"/>
        </w:rPr>
        <w:t>BMJ</w:t>
      </w:r>
      <w:r w:rsidRPr="003C2796">
        <w:rPr>
          <w:rFonts w:ascii="Arial" w:hAnsi="Arial" w:cs="Arial"/>
          <w:sz w:val="22"/>
          <w:szCs w:val="22"/>
        </w:rPr>
        <w:t xml:space="preserve">, 382, p.e075665. Available at: </w:t>
      </w:r>
      <w:hyperlink r:id="rId13" w:history="1">
        <w:r w:rsidRPr="003C2796">
          <w:rPr>
            <w:rStyle w:val="Hyperlink"/>
            <w:rFonts w:ascii="Arial" w:hAnsi="Arial" w:cs="Arial"/>
            <w:sz w:val="22"/>
            <w:szCs w:val="22"/>
          </w:rPr>
          <w:t>https://doi.org/10.1136/bmj-2023-075665</w:t>
        </w:r>
      </w:hyperlink>
      <w:r w:rsidRPr="003C2796">
        <w:rPr>
          <w:rFonts w:ascii="Arial" w:hAnsi="Arial" w:cs="Arial"/>
          <w:sz w:val="22"/>
          <w:szCs w:val="22"/>
        </w:rPr>
        <w:t xml:space="preserve"> </w:t>
      </w:r>
    </w:p>
    <w:p w14:paraId="284B3CA2"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Carlyle, T. (1993) </w:t>
      </w:r>
      <w:r w:rsidRPr="003C2796">
        <w:rPr>
          <w:rFonts w:ascii="Arial" w:hAnsi="Arial" w:cs="Arial"/>
          <w:i/>
          <w:iCs/>
          <w:sz w:val="22"/>
          <w:szCs w:val="22"/>
        </w:rPr>
        <w:t>On heroes, hero-worship, and the heroic in history</w:t>
      </w:r>
      <w:r w:rsidRPr="003C2796">
        <w:rPr>
          <w:rFonts w:ascii="Arial" w:hAnsi="Arial" w:cs="Arial"/>
          <w:sz w:val="22"/>
          <w:szCs w:val="22"/>
        </w:rPr>
        <w:t xml:space="preserve"> (Vol. 1), </w:t>
      </w:r>
      <w:proofErr w:type="spellStart"/>
      <w:r w:rsidRPr="003C2796">
        <w:rPr>
          <w:rFonts w:ascii="Arial" w:hAnsi="Arial" w:cs="Arial"/>
          <w:sz w:val="22"/>
          <w:szCs w:val="22"/>
        </w:rPr>
        <w:t>Univ</w:t>
      </w:r>
      <w:proofErr w:type="spellEnd"/>
      <w:r w:rsidRPr="003C2796">
        <w:rPr>
          <w:rFonts w:ascii="Arial" w:hAnsi="Arial" w:cs="Arial"/>
          <w:sz w:val="22"/>
          <w:szCs w:val="22"/>
        </w:rPr>
        <w:t xml:space="preserve"> of California Press.</w:t>
      </w:r>
      <w:r w:rsidRPr="003C2796">
        <w:rPr>
          <w:rFonts w:ascii="Arial" w:hAnsi="Arial" w:cs="Arial"/>
          <w:sz w:val="22"/>
          <w:szCs w:val="22"/>
          <w:lang w:val="en-US"/>
        </w:rPr>
        <w:t xml:space="preserve"> Available at: </w:t>
      </w:r>
      <w:hyperlink r:id="rId14" w:history="1">
        <w:r w:rsidRPr="003C2796">
          <w:rPr>
            <w:rStyle w:val="Hyperlink"/>
            <w:rFonts w:ascii="Arial" w:hAnsi="Arial" w:cs="Arial"/>
            <w:sz w:val="22"/>
            <w:szCs w:val="22"/>
            <w:lang w:val="en-US"/>
          </w:rPr>
          <w:t>https://url-shortener.</w:t>
        </w:r>
        <w:r w:rsidRPr="003C2796">
          <w:rPr>
            <w:rStyle w:val="Hyperlink"/>
            <w:rFonts w:ascii="Arial" w:hAnsi="Arial" w:cs="Arial"/>
            <w:sz w:val="22"/>
            <w:szCs w:val="22"/>
            <w:lang w:val="en-US"/>
          </w:rPr>
          <w:t>me/4</w:t>
        </w:r>
        <w:r w:rsidRPr="003C2796">
          <w:rPr>
            <w:rStyle w:val="Hyperlink"/>
            <w:rFonts w:ascii="Arial" w:hAnsi="Arial" w:cs="Arial"/>
            <w:sz w:val="22"/>
            <w:szCs w:val="22"/>
            <w:lang w:val="en-US"/>
          </w:rPr>
          <w:t>W2F</w:t>
        </w:r>
      </w:hyperlink>
      <w:r w:rsidRPr="003C2796">
        <w:rPr>
          <w:rFonts w:ascii="Arial" w:hAnsi="Arial" w:cs="Arial"/>
          <w:sz w:val="22"/>
          <w:szCs w:val="22"/>
          <w:lang w:val="en-US"/>
        </w:rPr>
        <w:t xml:space="preserve">  (Accessed: 12 November 2025) </w:t>
      </w:r>
    </w:p>
    <w:p w14:paraId="6961E6FE"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Ciotti, M., Ciccozzi, M., Terrinoni, A., Jiang, W.-C., Wang, C.-B. and Bernardini, S. (2020) ‘The COVID-19 Pandemic’, </w:t>
      </w:r>
      <w:r w:rsidRPr="003C2796">
        <w:rPr>
          <w:rFonts w:ascii="Arial" w:hAnsi="Arial" w:cs="Arial"/>
          <w:i/>
          <w:iCs/>
          <w:sz w:val="22"/>
          <w:szCs w:val="22"/>
        </w:rPr>
        <w:t>Critical Reviews in Clinical Laboratory Sciences</w:t>
      </w:r>
      <w:r w:rsidRPr="003C2796">
        <w:rPr>
          <w:rFonts w:ascii="Arial" w:hAnsi="Arial" w:cs="Arial"/>
          <w:sz w:val="22"/>
          <w:szCs w:val="22"/>
        </w:rPr>
        <w:t xml:space="preserve">, 57(6), pp.365–388. Available at: </w:t>
      </w:r>
      <w:hyperlink r:id="rId15" w:history="1">
        <w:r w:rsidRPr="003C2796">
          <w:rPr>
            <w:rStyle w:val="Hyperlink"/>
            <w:rFonts w:ascii="Arial" w:hAnsi="Arial" w:cs="Arial"/>
            <w:sz w:val="22"/>
            <w:szCs w:val="22"/>
          </w:rPr>
          <w:t>https://doi.org/10.1080/10408363.2020.1783198</w:t>
        </w:r>
      </w:hyperlink>
      <w:r w:rsidRPr="003C2796">
        <w:rPr>
          <w:rFonts w:ascii="Arial" w:hAnsi="Arial" w:cs="Arial"/>
          <w:sz w:val="22"/>
          <w:szCs w:val="22"/>
        </w:rPr>
        <w:t xml:space="preserve"> </w:t>
      </w:r>
    </w:p>
    <w:p w14:paraId="6BE79DCD"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Cooper, J., Davis, L. and Norton, F.R. (2023) ‘A Literature Review of the Influence of Emotional Intelligence (EI) and the Big Five Personality Traits on Leadership Effectiveness’, </w:t>
      </w:r>
      <w:r w:rsidRPr="003C2796">
        <w:rPr>
          <w:rFonts w:ascii="Arial" w:hAnsi="Arial" w:cs="Arial"/>
          <w:i/>
          <w:iCs/>
          <w:sz w:val="22"/>
          <w:szCs w:val="22"/>
        </w:rPr>
        <w:t>Journal of Leadership, Accountability, and Ethics</w:t>
      </w:r>
      <w:r w:rsidRPr="003C2796">
        <w:rPr>
          <w:rFonts w:ascii="Arial" w:hAnsi="Arial" w:cs="Arial"/>
          <w:sz w:val="22"/>
          <w:szCs w:val="22"/>
        </w:rPr>
        <w:t xml:space="preserve">, 20(5). Available at: </w:t>
      </w:r>
      <w:hyperlink r:id="rId16" w:history="1">
        <w:r w:rsidRPr="003C2796">
          <w:rPr>
            <w:rStyle w:val="Hyperlink"/>
            <w:rFonts w:ascii="Arial" w:hAnsi="Arial" w:cs="Arial"/>
            <w:sz w:val="22"/>
            <w:szCs w:val="22"/>
          </w:rPr>
          <w:t>https://doi.org/10.33423/jlae.v20i5.6658</w:t>
        </w:r>
      </w:hyperlink>
      <w:r w:rsidRPr="003C2796">
        <w:rPr>
          <w:rFonts w:ascii="Arial" w:hAnsi="Arial" w:cs="Arial"/>
          <w:sz w:val="22"/>
          <w:szCs w:val="22"/>
        </w:rPr>
        <w:t xml:space="preserve"> </w:t>
      </w:r>
    </w:p>
    <w:p w14:paraId="2F9DA128"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D’Auria, G., and De Smet, A. (2020) ‘Leadership in a crisis: Responding to the coronavirus outbreak and future challenges’, </w:t>
      </w:r>
      <w:r w:rsidRPr="003C2796">
        <w:rPr>
          <w:rFonts w:ascii="Arial" w:hAnsi="Arial" w:cs="Arial"/>
          <w:i/>
          <w:iCs/>
          <w:sz w:val="22"/>
          <w:szCs w:val="22"/>
        </w:rPr>
        <w:t>Psychology</w:t>
      </w:r>
      <w:r w:rsidRPr="003C2796">
        <w:rPr>
          <w:rFonts w:ascii="Arial" w:hAnsi="Arial" w:cs="Arial"/>
          <w:sz w:val="22"/>
          <w:szCs w:val="22"/>
        </w:rPr>
        <w:t xml:space="preserve">, 22(2), 273-287. Available at: </w:t>
      </w:r>
      <w:hyperlink r:id="rId17" w:history="1">
        <w:r w:rsidRPr="003C2796">
          <w:rPr>
            <w:rStyle w:val="Hyperlink"/>
            <w:rFonts w:ascii="Arial" w:hAnsi="Arial" w:cs="Arial"/>
            <w:sz w:val="22"/>
            <w:szCs w:val="22"/>
          </w:rPr>
          <w:t>https://doi.org/10.1177/0846537120926752?urlappend=%3Futm_source%3Dresearchgate.net%26utm_medium%3Darticle</w:t>
        </w:r>
      </w:hyperlink>
      <w:r w:rsidRPr="003C2796">
        <w:rPr>
          <w:rFonts w:ascii="Arial" w:hAnsi="Arial" w:cs="Arial"/>
          <w:sz w:val="22"/>
          <w:szCs w:val="22"/>
        </w:rPr>
        <w:t xml:space="preserve"> (Accessed: 3 November 2025)</w:t>
      </w:r>
    </w:p>
    <w:p w14:paraId="4D3C53B9"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Díez, A. (2020) Spanish health minister on pandemic: ‘The situation is worrying, unstable and fragile’, </w:t>
      </w:r>
      <w:r w:rsidRPr="003C2796">
        <w:rPr>
          <w:rFonts w:ascii="Arial" w:hAnsi="Arial" w:cs="Arial"/>
          <w:i/>
          <w:iCs/>
          <w:sz w:val="22"/>
          <w:szCs w:val="22"/>
        </w:rPr>
        <w:t>EL PAÍS English</w:t>
      </w:r>
      <w:r w:rsidRPr="003C2796">
        <w:rPr>
          <w:rFonts w:ascii="Arial" w:hAnsi="Arial" w:cs="Arial"/>
          <w:sz w:val="22"/>
          <w:szCs w:val="22"/>
        </w:rPr>
        <w:t xml:space="preserve">, 15 October. Available at: </w:t>
      </w:r>
      <w:hyperlink r:id="rId18" w:history="1">
        <w:r w:rsidRPr="003C2796">
          <w:rPr>
            <w:rStyle w:val="Hyperlink"/>
            <w:rFonts w:ascii="Arial" w:hAnsi="Arial" w:cs="Arial"/>
            <w:sz w:val="22"/>
            <w:szCs w:val="22"/>
          </w:rPr>
          <w:t>https://english.elpais.com/politics/2020-10-15/spanish-health-minister-on-pandemic-the-situation-is-worrying-unstable-and-fragile.html</w:t>
        </w:r>
      </w:hyperlink>
      <w:r w:rsidRPr="003C2796">
        <w:rPr>
          <w:rFonts w:ascii="Arial" w:hAnsi="Arial" w:cs="Arial"/>
          <w:sz w:val="22"/>
          <w:szCs w:val="22"/>
        </w:rPr>
        <w:t xml:space="preserve"> (Accessed 16 December 2025).</w:t>
      </w:r>
    </w:p>
    <w:p w14:paraId="1E64B208"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Dirani, K.M., Abadi, M., Alizadeh, A., Barhate, B., Garza, R.C., Gunasekara, N., Ibrahim, G. and </w:t>
      </w:r>
      <w:proofErr w:type="spellStart"/>
      <w:r w:rsidRPr="003C2796">
        <w:rPr>
          <w:rFonts w:ascii="Arial" w:hAnsi="Arial" w:cs="Arial"/>
          <w:sz w:val="22"/>
          <w:szCs w:val="22"/>
        </w:rPr>
        <w:t>Majzun</w:t>
      </w:r>
      <w:proofErr w:type="spellEnd"/>
      <w:r w:rsidRPr="003C2796">
        <w:rPr>
          <w:rFonts w:ascii="Arial" w:hAnsi="Arial" w:cs="Arial"/>
          <w:sz w:val="22"/>
          <w:szCs w:val="22"/>
        </w:rPr>
        <w:t xml:space="preserve">, Z. (2020) ‘Leadership competencies and the essential role of human resource development in times of crisis: A response to COVID-19 pandemic’, Human Resource Development International, 23(4), pp.380–394. Available at: </w:t>
      </w:r>
      <w:hyperlink r:id="rId19" w:history="1">
        <w:r w:rsidRPr="003C2796">
          <w:rPr>
            <w:rStyle w:val="Hyperlink"/>
            <w:rFonts w:ascii="Arial" w:hAnsi="Arial" w:cs="Arial"/>
            <w:sz w:val="22"/>
            <w:szCs w:val="22"/>
          </w:rPr>
          <w:t>https://doi.org/10.1080/13678868.2020.1780078</w:t>
        </w:r>
      </w:hyperlink>
      <w:r w:rsidRPr="003C2796">
        <w:rPr>
          <w:rFonts w:ascii="Arial" w:hAnsi="Arial" w:cs="Arial"/>
          <w:sz w:val="22"/>
          <w:szCs w:val="22"/>
        </w:rPr>
        <w:t xml:space="preserve"> </w:t>
      </w:r>
    </w:p>
    <w:p w14:paraId="180E9DDF"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Elke, B., Juliane, W., Helene, E., Ulrike, N., Dimitra, P., Christoph, R., Tanja, R. and Reinhard, B. (2021) ‘A country-level analysis comparing hospital capacity and utilisation during the first COVID-19 wave across Europe’, </w:t>
      </w:r>
      <w:r w:rsidRPr="003C2796">
        <w:rPr>
          <w:rFonts w:ascii="Arial" w:hAnsi="Arial" w:cs="Arial"/>
          <w:i/>
          <w:iCs/>
          <w:sz w:val="22"/>
          <w:szCs w:val="22"/>
        </w:rPr>
        <w:t>Health Policy</w:t>
      </w:r>
      <w:r w:rsidRPr="003C2796">
        <w:rPr>
          <w:rFonts w:ascii="Arial" w:hAnsi="Arial" w:cs="Arial"/>
          <w:sz w:val="22"/>
          <w:szCs w:val="22"/>
        </w:rPr>
        <w:t xml:space="preserve">, 126(5). Available at: </w:t>
      </w:r>
      <w:hyperlink r:id="rId20" w:history="1">
        <w:r w:rsidRPr="003C2796">
          <w:rPr>
            <w:rStyle w:val="Hyperlink"/>
            <w:rFonts w:ascii="Arial" w:hAnsi="Arial" w:cs="Arial"/>
            <w:sz w:val="22"/>
            <w:szCs w:val="22"/>
          </w:rPr>
          <w:t>https://doi.org/10.1016/j.healthpol.2021.11.009</w:t>
        </w:r>
      </w:hyperlink>
      <w:r w:rsidRPr="003C2796">
        <w:rPr>
          <w:rFonts w:ascii="Arial" w:hAnsi="Arial" w:cs="Arial"/>
          <w:sz w:val="22"/>
          <w:szCs w:val="22"/>
        </w:rPr>
        <w:t xml:space="preserve"> </w:t>
      </w:r>
    </w:p>
    <w:p w14:paraId="03CB3A00"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European Centre for Disease Prevention and Control [ECDC] (2020) </w:t>
      </w:r>
      <w:r w:rsidRPr="003C2796">
        <w:rPr>
          <w:rFonts w:ascii="Arial" w:hAnsi="Arial" w:cs="Arial"/>
          <w:i/>
          <w:iCs/>
          <w:sz w:val="22"/>
          <w:szCs w:val="22"/>
        </w:rPr>
        <w:t>COVID-19 Surveillance Reports</w:t>
      </w:r>
      <w:r w:rsidRPr="003C2796">
        <w:rPr>
          <w:rFonts w:ascii="Arial" w:hAnsi="Arial" w:cs="Arial"/>
          <w:sz w:val="22"/>
          <w:szCs w:val="22"/>
        </w:rPr>
        <w:t xml:space="preserve">. Available at: </w:t>
      </w:r>
      <w:hyperlink r:id="rId21" w:history="1">
        <w:r w:rsidRPr="003C2796">
          <w:rPr>
            <w:rStyle w:val="Hyperlink"/>
            <w:rFonts w:ascii="Arial" w:hAnsi="Arial" w:cs="Arial"/>
            <w:color w:val="auto"/>
            <w:sz w:val="22"/>
            <w:szCs w:val="22"/>
          </w:rPr>
          <w:t>https://www.ecd</w:t>
        </w:r>
        <w:r w:rsidRPr="003C2796">
          <w:rPr>
            <w:rStyle w:val="Hyperlink"/>
            <w:rFonts w:ascii="Arial" w:hAnsi="Arial" w:cs="Arial"/>
            <w:color w:val="auto"/>
            <w:sz w:val="22"/>
            <w:szCs w:val="22"/>
          </w:rPr>
          <w:t>c.europa.eu/sites/default/files/documents/Variable_Dictionary_VaccineTracker-5-april-2023.pdf</w:t>
        </w:r>
      </w:hyperlink>
      <w:r w:rsidRPr="003C2796">
        <w:rPr>
          <w:rFonts w:ascii="Arial" w:hAnsi="Arial" w:cs="Arial"/>
          <w:sz w:val="22"/>
          <w:szCs w:val="22"/>
        </w:rPr>
        <w:t xml:space="preserve">  (Accessed: 17 December 2025)</w:t>
      </w:r>
    </w:p>
    <w:p w14:paraId="267CB824"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European Observatory on Health Systems and Policies (2024) Spain: Health System Review 2024, </w:t>
      </w:r>
      <w:r w:rsidRPr="003C2796">
        <w:rPr>
          <w:rFonts w:ascii="Arial" w:hAnsi="Arial" w:cs="Arial"/>
          <w:i/>
          <w:iCs/>
          <w:sz w:val="22"/>
          <w:szCs w:val="22"/>
        </w:rPr>
        <w:t>Who.int</w:t>
      </w:r>
      <w:r w:rsidRPr="003C2796">
        <w:rPr>
          <w:rFonts w:ascii="Arial" w:hAnsi="Arial" w:cs="Arial"/>
          <w:sz w:val="22"/>
          <w:szCs w:val="22"/>
        </w:rPr>
        <w:t xml:space="preserve">. Available at: </w:t>
      </w:r>
      <w:hyperlink r:id="rId22" w:history="1">
        <w:r w:rsidRPr="003C2796">
          <w:rPr>
            <w:rStyle w:val="Hyperlink"/>
            <w:rFonts w:ascii="Arial" w:hAnsi="Arial" w:cs="Arial"/>
            <w:sz w:val="22"/>
            <w:szCs w:val="22"/>
          </w:rPr>
          <w:t>https://eurohealthobservatory.who.int/publications/i/spain-health-system-review-2024</w:t>
        </w:r>
      </w:hyperlink>
      <w:r w:rsidRPr="003C2796">
        <w:rPr>
          <w:rFonts w:ascii="Arial" w:hAnsi="Arial" w:cs="Arial"/>
          <w:sz w:val="22"/>
          <w:szCs w:val="22"/>
        </w:rPr>
        <w:t xml:space="preserve"> (Accessed 12 December 2025)</w:t>
      </w:r>
    </w:p>
    <w:p w14:paraId="19B10204"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Ginter, P. M., Duncan, W. J. and Swayne, L. E. (2018) ‘The strategic management of health care organizations’, </w:t>
      </w:r>
      <w:r w:rsidRPr="003C2796">
        <w:rPr>
          <w:rFonts w:ascii="Arial" w:hAnsi="Arial" w:cs="Arial"/>
          <w:i/>
          <w:iCs/>
          <w:sz w:val="22"/>
          <w:szCs w:val="22"/>
        </w:rPr>
        <w:t xml:space="preserve">john </w:t>
      </w:r>
      <w:proofErr w:type="spellStart"/>
      <w:r w:rsidRPr="003C2796">
        <w:rPr>
          <w:rFonts w:ascii="Arial" w:hAnsi="Arial" w:cs="Arial"/>
          <w:i/>
          <w:iCs/>
          <w:sz w:val="22"/>
          <w:szCs w:val="22"/>
        </w:rPr>
        <w:t>wiley</w:t>
      </w:r>
      <w:proofErr w:type="spellEnd"/>
      <w:r w:rsidRPr="003C2796">
        <w:rPr>
          <w:rFonts w:ascii="Arial" w:hAnsi="Arial" w:cs="Arial"/>
          <w:i/>
          <w:iCs/>
          <w:sz w:val="22"/>
          <w:szCs w:val="22"/>
        </w:rPr>
        <w:t xml:space="preserve"> &amp; sons</w:t>
      </w:r>
      <w:r w:rsidRPr="003C2796">
        <w:rPr>
          <w:rFonts w:ascii="Arial" w:hAnsi="Arial" w:cs="Arial"/>
          <w:sz w:val="22"/>
          <w:szCs w:val="22"/>
        </w:rPr>
        <w:t>.</w:t>
      </w:r>
      <w:r w:rsidRPr="003C2796">
        <w:rPr>
          <w:rFonts w:ascii="Arial" w:hAnsi="Arial" w:cs="Arial"/>
          <w:sz w:val="22"/>
          <w:szCs w:val="22"/>
          <w:lang w:val="en-US"/>
        </w:rPr>
        <w:t xml:space="preserve"> Available at: </w:t>
      </w:r>
      <w:hyperlink r:id="rId23" w:history="1">
        <w:r w:rsidRPr="003C2796">
          <w:rPr>
            <w:rStyle w:val="Hyperlink"/>
            <w:rFonts w:ascii="Arial" w:hAnsi="Arial" w:cs="Arial"/>
            <w:sz w:val="22"/>
            <w:szCs w:val="22"/>
            <w:lang w:val="en-US"/>
          </w:rPr>
          <w:t>https://url-shortener.me/4W4W</w:t>
        </w:r>
      </w:hyperlink>
      <w:r w:rsidRPr="003C2796">
        <w:rPr>
          <w:rFonts w:ascii="Arial" w:hAnsi="Arial" w:cs="Arial"/>
          <w:sz w:val="22"/>
          <w:szCs w:val="22"/>
          <w:lang w:val="en-US"/>
        </w:rPr>
        <w:t xml:space="preserve"> (Accessed: 22 November 2025) </w:t>
      </w:r>
    </w:p>
    <w:p w14:paraId="36A70B20"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Google (2020) See how your community moved differently due to COVID-19, </w:t>
      </w:r>
      <w:r w:rsidRPr="003C2796">
        <w:rPr>
          <w:rFonts w:ascii="Arial" w:hAnsi="Arial" w:cs="Arial"/>
          <w:i/>
          <w:iCs/>
          <w:sz w:val="22"/>
          <w:szCs w:val="22"/>
        </w:rPr>
        <w:t>COVID-19 Community Mobility Report</w:t>
      </w:r>
      <w:r w:rsidRPr="003C2796">
        <w:rPr>
          <w:rFonts w:ascii="Arial" w:hAnsi="Arial" w:cs="Arial"/>
          <w:sz w:val="22"/>
          <w:szCs w:val="22"/>
        </w:rPr>
        <w:t xml:space="preserve">s. Available at: </w:t>
      </w:r>
      <w:hyperlink r:id="rId24" w:history="1">
        <w:r w:rsidRPr="003C2796">
          <w:rPr>
            <w:rStyle w:val="Hyperlink"/>
            <w:rFonts w:ascii="Arial" w:hAnsi="Arial" w:cs="Arial"/>
            <w:color w:val="auto"/>
            <w:sz w:val="22"/>
            <w:szCs w:val="22"/>
          </w:rPr>
          <w:t>https://www.google.com/covid19/</w:t>
        </w:r>
        <w:r w:rsidRPr="003C2796">
          <w:rPr>
            <w:rStyle w:val="Hyperlink"/>
            <w:rFonts w:ascii="Arial" w:hAnsi="Arial" w:cs="Arial"/>
            <w:color w:val="auto"/>
            <w:sz w:val="22"/>
            <w:szCs w:val="22"/>
          </w:rPr>
          <w:t>mobility/</w:t>
        </w:r>
      </w:hyperlink>
      <w:r w:rsidRPr="003C2796">
        <w:rPr>
          <w:rFonts w:ascii="Arial" w:hAnsi="Arial" w:cs="Arial"/>
          <w:sz w:val="22"/>
          <w:szCs w:val="22"/>
        </w:rPr>
        <w:t xml:space="preserve"> (Accessed: 01 December 2025)</w:t>
      </w:r>
    </w:p>
    <w:p w14:paraId="4162A2E4"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Government of Canada (2021) </w:t>
      </w:r>
      <w:r w:rsidRPr="003C2796">
        <w:rPr>
          <w:rFonts w:ascii="Arial" w:hAnsi="Arial" w:cs="Arial"/>
          <w:i/>
          <w:iCs/>
          <w:sz w:val="22"/>
          <w:szCs w:val="22"/>
        </w:rPr>
        <w:t>Canada’s COVID-19 response</w:t>
      </w:r>
      <w:r w:rsidRPr="003C2796">
        <w:rPr>
          <w:rFonts w:ascii="Arial" w:hAnsi="Arial" w:cs="Arial"/>
          <w:sz w:val="22"/>
          <w:szCs w:val="22"/>
        </w:rPr>
        <w:t xml:space="preserve">. Available at: </w:t>
      </w:r>
      <w:hyperlink r:id="rId25" w:history="1">
        <w:r w:rsidRPr="003C2796">
          <w:rPr>
            <w:rStyle w:val="Hyperlink"/>
            <w:rFonts w:ascii="Arial" w:hAnsi="Arial" w:cs="Arial"/>
            <w:sz w:val="22"/>
            <w:szCs w:val="22"/>
          </w:rPr>
          <w:t>https://www.canada.ca/en/public-health/services/diseases/2019-novel-coronavirus-infection/canadas-reponse.html</w:t>
        </w:r>
      </w:hyperlink>
      <w:r w:rsidRPr="003C2796">
        <w:rPr>
          <w:rFonts w:ascii="Arial" w:hAnsi="Arial" w:cs="Arial"/>
          <w:sz w:val="22"/>
          <w:szCs w:val="22"/>
        </w:rPr>
        <w:t xml:space="preserve"> (Accessed: 01 December 2025)</w:t>
      </w:r>
    </w:p>
    <w:p w14:paraId="000FDD9F"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lastRenderedPageBreak/>
        <w:t>Graeff, C. L. (1997) ‘Evolution of situational leadership theory: A critical review’, </w:t>
      </w:r>
      <w:r w:rsidRPr="003C2796">
        <w:rPr>
          <w:rFonts w:ascii="Arial" w:hAnsi="Arial" w:cs="Arial"/>
          <w:i/>
          <w:iCs/>
          <w:sz w:val="22"/>
          <w:szCs w:val="22"/>
        </w:rPr>
        <w:t>The Leadership Quarterly</w:t>
      </w:r>
      <w:r w:rsidRPr="003C2796">
        <w:rPr>
          <w:rFonts w:ascii="Arial" w:hAnsi="Arial" w:cs="Arial"/>
          <w:sz w:val="22"/>
          <w:szCs w:val="22"/>
        </w:rPr>
        <w:t>, </w:t>
      </w:r>
      <w:r w:rsidRPr="003C2796">
        <w:rPr>
          <w:rFonts w:ascii="Arial" w:hAnsi="Arial" w:cs="Arial"/>
          <w:i/>
          <w:iCs/>
          <w:sz w:val="22"/>
          <w:szCs w:val="22"/>
        </w:rPr>
        <w:t>8</w:t>
      </w:r>
      <w:r w:rsidRPr="003C2796">
        <w:rPr>
          <w:rFonts w:ascii="Arial" w:hAnsi="Arial" w:cs="Arial"/>
          <w:sz w:val="22"/>
          <w:szCs w:val="22"/>
        </w:rPr>
        <w:t>(2), 153-170.</w:t>
      </w:r>
      <w:r w:rsidRPr="003C2796">
        <w:rPr>
          <w:rFonts w:ascii="Arial" w:hAnsi="Arial" w:cs="Arial"/>
          <w:sz w:val="22"/>
          <w:szCs w:val="22"/>
          <w:lang w:val="en-US"/>
        </w:rPr>
        <w:t xml:space="preserve"> Available at: </w:t>
      </w:r>
      <w:hyperlink r:id="rId26" w:history="1">
        <w:r w:rsidRPr="003C2796">
          <w:rPr>
            <w:rStyle w:val="Hyperlink"/>
            <w:rFonts w:ascii="Arial" w:hAnsi="Arial" w:cs="Arial"/>
            <w:sz w:val="22"/>
            <w:szCs w:val="22"/>
            <w:lang w:val="en-US"/>
          </w:rPr>
          <w:t>https://doi.org/10.1016/S1048-9843(97)90014-X</w:t>
        </w:r>
      </w:hyperlink>
      <w:r w:rsidRPr="003C2796">
        <w:rPr>
          <w:rFonts w:ascii="Arial" w:hAnsi="Arial" w:cs="Arial"/>
          <w:sz w:val="22"/>
          <w:szCs w:val="22"/>
          <w:lang w:val="en-US"/>
        </w:rPr>
        <w:t xml:space="preserve">  (Accessed: 12 November 2025)</w:t>
      </w:r>
    </w:p>
    <w:p w14:paraId="7BB5D99A" w14:textId="77777777" w:rsidR="003C2796" w:rsidRPr="003C2796" w:rsidRDefault="003C2796" w:rsidP="003C2796">
      <w:pPr>
        <w:numPr>
          <w:ilvl w:val="0"/>
          <w:numId w:val="13"/>
        </w:numPr>
        <w:spacing w:line="360" w:lineRule="auto"/>
        <w:rPr>
          <w:rFonts w:ascii="Arial" w:hAnsi="Arial" w:cs="Arial"/>
          <w:sz w:val="22"/>
          <w:szCs w:val="22"/>
        </w:rPr>
      </w:pPr>
      <w:r w:rsidRPr="003C2796">
        <w:rPr>
          <w:rFonts w:ascii="Arial" w:hAnsi="Arial" w:cs="Arial"/>
          <w:sz w:val="22"/>
          <w:szCs w:val="22"/>
        </w:rPr>
        <w:t xml:space="preserve">Greer, S. L., King, E., Massard da Fonseca, E. and Peralta-Santos, A. (2021) ‘Coronavirus politics: The comparative politics and policy of COVID-19’, </w:t>
      </w:r>
      <w:r w:rsidRPr="003C2796">
        <w:rPr>
          <w:rFonts w:ascii="Arial" w:hAnsi="Arial" w:cs="Arial"/>
          <w:i/>
          <w:iCs/>
          <w:sz w:val="22"/>
          <w:szCs w:val="22"/>
        </w:rPr>
        <w:t>University of Michigan Press</w:t>
      </w:r>
      <w:r w:rsidRPr="003C2796">
        <w:rPr>
          <w:rFonts w:ascii="Arial" w:hAnsi="Arial" w:cs="Arial"/>
          <w:sz w:val="22"/>
          <w:szCs w:val="22"/>
        </w:rPr>
        <w:t>,</w:t>
      </w:r>
      <w:r w:rsidRPr="003C2796">
        <w:rPr>
          <w:sz w:val="22"/>
          <w:szCs w:val="22"/>
        </w:rPr>
        <w:t xml:space="preserve"> </w:t>
      </w:r>
      <w:r w:rsidRPr="003C2796">
        <w:rPr>
          <w:rFonts w:ascii="Arial" w:hAnsi="Arial" w:cs="Arial"/>
          <w:sz w:val="22"/>
          <w:szCs w:val="22"/>
        </w:rPr>
        <w:t xml:space="preserve">(p. 663). Available at: </w:t>
      </w:r>
      <w:hyperlink r:id="rId27" w:history="1">
        <w:r w:rsidRPr="003C2796">
          <w:rPr>
            <w:rStyle w:val="Hyperlink"/>
            <w:rFonts w:ascii="Arial" w:hAnsi="Arial" w:cs="Arial"/>
            <w:sz w:val="22"/>
            <w:szCs w:val="22"/>
          </w:rPr>
          <w:t>https://www.fulcrum.org/concern/monographs/jq085n03q</w:t>
        </w:r>
      </w:hyperlink>
      <w:r w:rsidRPr="003C2796">
        <w:rPr>
          <w:rFonts w:ascii="Arial" w:hAnsi="Arial" w:cs="Arial"/>
          <w:sz w:val="22"/>
          <w:szCs w:val="22"/>
        </w:rPr>
        <w:t xml:space="preserve"> (Accessed: 19 November 2025)</w:t>
      </w:r>
    </w:p>
    <w:p w14:paraId="0A69D5AC" w14:textId="77777777" w:rsidR="003C2796" w:rsidRPr="003C2796" w:rsidRDefault="003C2796" w:rsidP="003C2796">
      <w:pPr>
        <w:numPr>
          <w:ilvl w:val="0"/>
          <w:numId w:val="13"/>
        </w:numPr>
        <w:spacing w:line="360" w:lineRule="auto"/>
        <w:rPr>
          <w:rFonts w:ascii="Arial" w:hAnsi="Arial" w:cs="Arial"/>
          <w:sz w:val="22"/>
          <w:szCs w:val="22"/>
        </w:rPr>
      </w:pPr>
      <w:r w:rsidRPr="003C2796">
        <w:rPr>
          <w:rFonts w:ascii="Arial" w:hAnsi="Arial" w:cs="Arial"/>
          <w:sz w:val="22"/>
          <w:szCs w:val="22"/>
        </w:rPr>
        <w:t>Greer, S.L., King, E.J., da Fonseca, E.M. and Peralta-Santos, A. (2020) ‘The comparative politics of COVID-19: The need to understand government responses’, </w:t>
      </w:r>
      <w:r w:rsidRPr="003C2796">
        <w:rPr>
          <w:rFonts w:ascii="Arial" w:hAnsi="Arial" w:cs="Arial"/>
          <w:i/>
          <w:iCs/>
          <w:sz w:val="22"/>
          <w:szCs w:val="22"/>
        </w:rPr>
        <w:t>Global Public Health</w:t>
      </w:r>
      <w:r w:rsidRPr="003C2796">
        <w:rPr>
          <w:rFonts w:ascii="Arial" w:hAnsi="Arial" w:cs="Arial"/>
          <w:sz w:val="22"/>
          <w:szCs w:val="22"/>
        </w:rPr>
        <w:t xml:space="preserve">, 15(9), pp.1–4. Available at: </w:t>
      </w:r>
      <w:hyperlink r:id="rId28" w:history="1">
        <w:r w:rsidRPr="003C2796">
          <w:rPr>
            <w:rStyle w:val="Hyperlink"/>
            <w:rFonts w:ascii="Arial" w:hAnsi="Arial" w:cs="Arial"/>
            <w:sz w:val="22"/>
            <w:szCs w:val="22"/>
          </w:rPr>
          <w:t>https://doi.org/10.1080/17441692.2020.1783340</w:t>
        </w:r>
      </w:hyperlink>
      <w:r w:rsidRPr="003C2796">
        <w:rPr>
          <w:rFonts w:ascii="Arial" w:hAnsi="Arial" w:cs="Arial"/>
          <w:sz w:val="22"/>
          <w:szCs w:val="22"/>
        </w:rPr>
        <w:t xml:space="preserve"> </w:t>
      </w:r>
    </w:p>
    <w:p w14:paraId="1936D7D1"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Hackman, J. R. and Walton, R. E. (1986) ‘Leading groups in organizations’, </w:t>
      </w:r>
      <w:r w:rsidRPr="003C2796">
        <w:rPr>
          <w:rFonts w:ascii="Arial" w:hAnsi="Arial" w:cs="Arial"/>
          <w:i/>
          <w:iCs/>
          <w:sz w:val="22"/>
          <w:szCs w:val="22"/>
        </w:rPr>
        <w:t>Designing effective work groups</w:t>
      </w:r>
      <w:r w:rsidRPr="003C2796">
        <w:rPr>
          <w:rFonts w:ascii="Arial" w:hAnsi="Arial" w:cs="Arial"/>
          <w:sz w:val="22"/>
          <w:szCs w:val="22"/>
        </w:rPr>
        <w:t>, 72, 119.</w:t>
      </w:r>
      <w:r w:rsidRPr="003C2796">
        <w:rPr>
          <w:rFonts w:ascii="Arial" w:hAnsi="Arial" w:cs="Arial"/>
          <w:sz w:val="22"/>
          <w:szCs w:val="22"/>
          <w:lang w:val="en-US"/>
        </w:rPr>
        <w:t xml:space="preserve"> Available at: </w:t>
      </w:r>
      <w:hyperlink r:id="rId29" w:history="1">
        <w:r w:rsidRPr="003C2796">
          <w:rPr>
            <w:rStyle w:val="Hyperlink"/>
            <w:rFonts w:ascii="Arial" w:hAnsi="Arial" w:cs="Arial"/>
            <w:sz w:val="22"/>
            <w:szCs w:val="22"/>
            <w:lang w:val="en-US"/>
          </w:rPr>
          <w:t>https://url-s</w:t>
        </w:r>
        <w:r w:rsidRPr="003C2796">
          <w:rPr>
            <w:rStyle w:val="Hyperlink"/>
            <w:rFonts w:ascii="Arial" w:hAnsi="Arial" w:cs="Arial"/>
            <w:sz w:val="22"/>
            <w:szCs w:val="22"/>
            <w:lang w:val="en-US"/>
          </w:rPr>
          <w:t>hortener.me/4W5P</w:t>
        </w:r>
      </w:hyperlink>
      <w:r w:rsidRPr="003C2796">
        <w:rPr>
          <w:rFonts w:ascii="Arial" w:hAnsi="Arial" w:cs="Arial"/>
          <w:sz w:val="22"/>
          <w:szCs w:val="22"/>
          <w:lang w:val="en-US"/>
        </w:rPr>
        <w:t xml:space="preserve">  (Accessed: 12 November 2025)</w:t>
      </w:r>
    </w:p>
    <w:p w14:paraId="68022678"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Hersey, P., and Blanchard, K. H. (1969) Life cycle theory of leadership,</w:t>
      </w:r>
      <w:r w:rsidRPr="003C2796">
        <w:rPr>
          <w:rFonts w:ascii="Arial" w:hAnsi="Arial" w:cs="Arial"/>
          <w:i/>
          <w:iCs/>
          <w:sz w:val="22"/>
          <w:szCs w:val="22"/>
        </w:rPr>
        <w:t xml:space="preserve"> Training &amp; development journal</w:t>
      </w:r>
      <w:r w:rsidRPr="003C2796">
        <w:rPr>
          <w:rFonts w:ascii="Arial" w:hAnsi="Arial" w:cs="Arial"/>
          <w:sz w:val="22"/>
          <w:szCs w:val="22"/>
        </w:rPr>
        <w:t xml:space="preserve">. Available at: </w:t>
      </w:r>
      <w:hyperlink r:id="rId30" w:history="1">
        <w:r w:rsidRPr="003C2796">
          <w:rPr>
            <w:rStyle w:val="Hyperlink"/>
            <w:rFonts w:ascii="Arial" w:hAnsi="Arial" w:cs="Arial"/>
            <w:sz w:val="22"/>
            <w:szCs w:val="22"/>
          </w:rPr>
          <w:t>https://psycnet.apa.org/record/1970-19661-001?ref=insight.openexo.com</w:t>
        </w:r>
      </w:hyperlink>
      <w:r w:rsidRPr="003C2796">
        <w:rPr>
          <w:rFonts w:ascii="Arial" w:hAnsi="Arial" w:cs="Arial"/>
          <w:sz w:val="22"/>
          <w:szCs w:val="22"/>
        </w:rPr>
        <w:t xml:space="preserve"> (Accessed: 23 November 2025)</w:t>
      </w:r>
    </w:p>
    <w:p w14:paraId="358AB69E"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Kang, J. (2024) Influence of Servant Leadership on Team Cohesion and Innovation in South Korea, </w:t>
      </w:r>
      <w:r w:rsidRPr="003C2796">
        <w:rPr>
          <w:rFonts w:ascii="Arial" w:hAnsi="Arial" w:cs="Arial"/>
          <w:i/>
          <w:iCs/>
          <w:sz w:val="22"/>
          <w:szCs w:val="22"/>
        </w:rPr>
        <w:t>International Journal of Leadership and Governance</w:t>
      </w:r>
      <w:r w:rsidRPr="003C2796">
        <w:rPr>
          <w:rFonts w:ascii="Arial" w:hAnsi="Arial" w:cs="Arial"/>
          <w:sz w:val="22"/>
          <w:szCs w:val="22"/>
        </w:rPr>
        <w:t xml:space="preserve">, 4(2), pp.11–22. Available at: </w:t>
      </w:r>
      <w:hyperlink r:id="rId31" w:history="1">
        <w:r w:rsidRPr="003C2796">
          <w:rPr>
            <w:rStyle w:val="Hyperlink"/>
            <w:rFonts w:ascii="Arial" w:hAnsi="Arial" w:cs="Arial"/>
            <w:sz w:val="22"/>
            <w:szCs w:val="22"/>
          </w:rPr>
          <w:t>https://doi.org/10.47604/ijlg.2692</w:t>
        </w:r>
      </w:hyperlink>
      <w:r w:rsidRPr="003C2796">
        <w:rPr>
          <w:rFonts w:ascii="Arial" w:hAnsi="Arial" w:cs="Arial"/>
          <w:sz w:val="22"/>
          <w:szCs w:val="22"/>
        </w:rPr>
        <w:t xml:space="preserve"> </w:t>
      </w:r>
    </w:p>
    <w:p w14:paraId="258C89E4"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Kim, A., and Park, H. J. (2025) ‘Developing a design-led evaluation model for citizen-</w:t>
      </w:r>
      <w:proofErr w:type="spellStart"/>
      <w:r w:rsidRPr="003C2796">
        <w:rPr>
          <w:rFonts w:ascii="Arial" w:hAnsi="Arial" w:cs="Arial"/>
          <w:sz w:val="22"/>
          <w:szCs w:val="22"/>
        </w:rPr>
        <w:t>centered</w:t>
      </w:r>
      <w:proofErr w:type="spellEnd"/>
      <w:r w:rsidRPr="003C2796">
        <w:rPr>
          <w:rFonts w:ascii="Arial" w:hAnsi="Arial" w:cs="Arial"/>
          <w:sz w:val="22"/>
          <w:szCs w:val="22"/>
        </w:rPr>
        <w:t xml:space="preserve"> public services: a South Korean case’, </w:t>
      </w:r>
      <w:r w:rsidRPr="003C2796">
        <w:rPr>
          <w:rFonts w:ascii="Arial" w:hAnsi="Arial" w:cs="Arial"/>
          <w:i/>
          <w:iCs/>
          <w:sz w:val="22"/>
          <w:szCs w:val="22"/>
        </w:rPr>
        <w:t>Policy Design and Practice</w:t>
      </w:r>
      <w:r w:rsidRPr="003C2796">
        <w:rPr>
          <w:rFonts w:ascii="Arial" w:hAnsi="Arial" w:cs="Arial"/>
          <w:sz w:val="22"/>
          <w:szCs w:val="22"/>
        </w:rPr>
        <w:t>, 1-16.</w:t>
      </w:r>
      <w:r w:rsidRPr="003C2796">
        <w:rPr>
          <w:rFonts w:ascii="Arial" w:hAnsi="Arial" w:cs="Arial"/>
          <w:sz w:val="22"/>
          <w:szCs w:val="22"/>
          <w:lang w:val="en-US"/>
        </w:rPr>
        <w:t xml:space="preserve"> Available at: </w:t>
      </w:r>
      <w:hyperlink r:id="rId32" w:history="1">
        <w:r w:rsidRPr="003C2796">
          <w:rPr>
            <w:rStyle w:val="Hyperlink"/>
            <w:rFonts w:ascii="Arial" w:hAnsi="Arial" w:cs="Arial"/>
            <w:sz w:val="22"/>
            <w:szCs w:val="22"/>
            <w:lang w:val="en-US"/>
          </w:rPr>
          <w:t>https://doi.org/10.1080/25741292.2025.2523104</w:t>
        </w:r>
      </w:hyperlink>
      <w:r w:rsidRPr="003C2796">
        <w:rPr>
          <w:rFonts w:ascii="Arial" w:hAnsi="Arial" w:cs="Arial"/>
          <w:sz w:val="22"/>
          <w:szCs w:val="22"/>
          <w:lang w:val="en-US"/>
        </w:rPr>
        <w:t xml:space="preserve">  (Accessed: 12 November 2025)</w:t>
      </w:r>
    </w:p>
    <w:p w14:paraId="1B92B60A"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Korea Disease Control and Prevention Agency [KDCA] (2020) </w:t>
      </w:r>
      <w:r w:rsidRPr="003C2796">
        <w:rPr>
          <w:rFonts w:ascii="Arial" w:hAnsi="Arial" w:cs="Arial"/>
          <w:i/>
          <w:iCs/>
          <w:sz w:val="22"/>
          <w:szCs w:val="22"/>
        </w:rPr>
        <w:t>COVID-19 Response Guidelines</w:t>
      </w:r>
      <w:r w:rsidRPr="003C2796">
        <w:rPr>
          <w:rFonts w:ascii="Arial" w:hAnsi="Arial" w:cs="Arial"/>
          <w:sz w:val="22"/>
          <w:szCs w:val="22"/>
        </w:rPr>
        <w:t xml:space="preserve">. Available at: </w:t>
      </w:r>
      <w:hyperlink r:id="rId33" w:history="1">
        <w:r w:rsidRPr="003C2796">
          <w:rPr>
            <w:rStyle w:val="Hyperlink"/>
            <w:rFonts w:ascii="Arial" w:hAnsi="Arial" w:cs="Arial"/>
            <w:sz w:val="22"/>
            <w:szCs w:val="22"/>
          </w:rPr>
          <w:t>https://www.korea.net/Government/Briefing-Room/Press-Releases/view?articleId=7975&amp;type=O&amp;insttCode=A110445</w:t>
        </w:r>
      </w:hyperlink>
      <w:r w:rsidRPr="003C2796">
        <w:rPr>
          <w:rFonts w:ascii="Arial" w:hAnsi="Arial" w:cs="Arial"/>
          <w:sz w:val="22"/>
          <w:szCs w:val="22"/>
        </w:rPr>
        <w:t xml:space="preserve"> (Accessed: 30 November 2025)</w:t>
      </w:r>
    </w:p>
    <w:p w14:paraId="665E58AD"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lastRenderedPageBreak/>
        <w:t xml:space="preserve">Lee, D. and Lee, J. (2020) Testing on the Move South Korea’s rapid response to the COVID-19 pandemic, </w:t>
      </w:r>
      <w:r w:rsidRPr="003C2796">
        <w:rPr>
          <w:rFonts w:ascii="Arial" w:hAnsi="Arial" w:cs="Arial"/>
          <w:i/>
          <w:iCs/>
          <w:sz w:val="22"/>
          <w:szCs w:val="22"/>
        </w:rPr>
        <w:t>Transportation Research Interdisciplinary Perspectives</w:t>
      </w:r>
      <w:r w:rsidRPr="003C2796">
        <w:rPr>
          <w:rFonts w:ascii="Arial" w:hAnsi="Arial" w:cs="Arial"/>
          <w:sz w:val="22"/>
          <w:szCs w:val="22"/>
        </w:rPr>
        <w:t xml:space="preserve">, 5. Available at: </w:t>
      </w:r>
      <w:hyperlink r:id="rId34" w:history="1">
        <w:r w:rsidRPr="003C2796">
          <w:rPr>
            <w:rStyle w:val="Hyperlink"/>
            <w:rFonts w:ascii="Arial" w:hAnsi="Arial" w:cs="Arial"/>
            <w:sz w:val="22"/>
            <w:szCs w:val="22"/>
          </w:rPr>
          <w:t>https://doi.org/10.1016/j.trip.2020.100111</w:t>
        </w:r>
      </w:hyperlink>
      <w:r w:rsidRPr="003C2796">
        <w:rPr>
          <w:rFonts w:ascii="Arial" w:hAnsi="Arial" w:cs="Arial"/>
          <w:sz w:val="22"/>
          <w:szCs w:val="22"/>
        </w:rPr>
        <w:t xml:space="preserve"> </w:t>
      </w:r>
    </w:p>
    <w:p w14:paraId="4C7CC3C8" w14:textId="77777777" w:rsidR="003C2796" w:rsidRPr="003C2796" w:rsidRDefault="003C2796" w:rsidP="003C2796">
      <w:pPr>
        <w:numPr>
          <w:ilvl w:val="0"/>
          <w:numId w:val="13"/>
        </w:numPr>
        <w:spacing w:line="360" w:lineRule="auto"/>
        <w:jc w:val="both"/>
        <w:rPr>
          <w:rFonts w:ascii="Arial" w:hAnsi="Arial" w:cs="Arial"/>
          <w:sz w:val="22"/>
          <w:szCs w:val="22"/>
        </w:rPr>
      </w:pPr>
      <w:proofErr w:type="spellStart"/>
      <w:r w:rsidRPr="003C2796">
        <w:rPr>
          <w:rFonts w:ascii="Arial" w:hAnsi="Arial" w:cs="Arial"/>
          <w:sz w:val="22"/>
          <w:szCs w:val="22"/>
        </w:rPr>
        <w:t>Legido</w:t>
      </w:r>
      <w:proofErr w:type="spellEnd"/>
      <w:r w:rsidRPr="003C2796">
        <w:rPr>
          <w:rFonts w:ascii="Arial" w:hAnsi="Arial" w:cs="Arial"/>
          <w:sz w:val="22"/>
          <w:szCs w:val="22"/>
        </w:rPr>
        <w:t>-Quigley, H., Mateos-García, J.T., Campos, V.R., Gea-Sánchez, M., Muntaner, C. and McKee, M. (2020) The resilience of the Spanish health system against the COVID-19 pandemic, </w:t>
      </w:r>
      <w:r w:rsidRPr="003C2796">
        <w:rPr>
          <w:rFonts w:ascii="Arial" w:hAnsi="Arial" w:cs="Arial"/>
          <w:i/>
          <w:iCs/>
          <w:sz w:val="22"/>
          <w:szCs w:val="22"/>
        </w:rPr>
        <w:t>The Lancet Public Health</w:t>
      </w:r>
      <w:r w:rsidRPr="003C2796">
        <w:rPr>
          <w:rFonts w:ascii="Arial" w:hAnsi="Arial" w:cs="Arial"/>
          <w:sz w:val="22"/>
          <w:szCs w:val="22"/>
        </w:rPr>
        <w:t xml:space="preserve">, 5(5), e251-e252. Available at: </w:t>
      </w:r>
      <w:hyperlink r:id="rId35" w:history="1">
        <w:r w:rsidRPr="003C2796">
          <w:rPr>
            <w:rStyle w:val="Hyperlink"/>
            <w:rFonts w:ascii="Arial" w:hAnsi="Arial" w:cs="Arial"/>
            <w:sz w:val="22"/>
            <w:szCs w:val="22"/>
          </w:rPr>
          <w:t>https://doi.org/10.1016/s2468-2667(20)30060-8</w:t>
        </w:r>
      </w:hyperlink>
      <w:r w:rsidRPr="003C2796">
        <w:rPr>
          <w:rFonts w:ascii="Arial" w:hAnsi="Arial" w:cs="Arial"/>
          <w:sz w:val="22"/>
          <w:szCs w:val="22"/>
        </w:rPr>
        <w:t xml:space="preserve"> </w:t>
      </w:r>
    </w:p>
    <w:p w14:paraId="696FAED0" w14:textId="77777777" w:rsidR="003C2796" w:rsidRPr="003C2796" w:rsidRDefault="003C2796" w:rsidP="003C2796">
      <w:pPr>
        <w:numPr>
          <w:ilvl w:val="0"/>
          <w:numId w:val="13"/>
        </w:numPr>
        <w:spacing w:line="360" w:lineRule="auto"/>
        <w:jc w:val="both"/>
        <w:rPr>
          <w:rFonts w:ascii="Arial" w:hAnsi="Arial" w:cs="Arial"/>
          <w:sz w:val="22"/>
          <w:szCs w:val="22"/>
        </w:rPr>
      </w:pPr>
      <w:proofErr w:type="spellStart"/>
      <w:r w:rsidRPr="003C2796">
        <w:rPr>
          <w:rFonts w:ascii="Arial" w:hAnsi="Arial" w:cs="Arial"/>
          <w:sz w:val="22"/>
          <w:szCs w:val="22"/>
        </w:rPr>
        <w:t>Lewnard</w:t>
      </w:r>
      <w:proofErr w:type="spellEnd"/>
      <w:r w:rsidRPr="003C2796">
        <w:rPr>
          <w:rFonts w:ascii="Arial" w:hAnsi="Arial" w:cs="Arial"/>
          <w:sz w:val="22"/>
          <w:szCs w:val="22"/>
        </w:rPr>
        <w:t xml:space="preserve">, J.A. and Lo, N.C. (2020) Scientific and Ethical Basis for Social-Distancing Interventions against COVID-19, </w:t>
      </w:r>
      <w:r w:rsidRPr="003C2796">
        <w:rPr>
          <w:rFonts w:ascii="Arial" w:hAnsi="Arial" w:cs="Arial"/>
          <w:i/>
          <w:iCs/>
          <w:sz w:val="22"/>
          <w:szCs w:val="22"/>
        </w:rPr>
        <w:t>The Lancet Infectious Diseases</w:t>
      </w:r>
      <w:r w:rsidRPr="003C2796">
        <w:rPr>
          <w:rFonts w:ascii="Arial" w:hAnsi="Arial" w:cs="Arial"/>
          <w:sz w:val="22"/>
          <w:szCs w:val="22"/>
        </w:rPr>
        <w:t xml:space="preserve">, 20(6), 631-633. Available at: </w:t>
      </w:r>
      <w:hyperlink r:id="rId36" w:history="1">
        <w:r w:rsidRPr="003C2796">
          <w:rPr>
            <w:rStyle w:val="Hyperlink"/>
            <w:rFonts w:ascii="Arial" w:hAnsi="Arial" w:cs="Arial"/>
            <w:sz w:val="22"/>
            <w:szCs w:val="22"/>
          </w:rPr>
          <w:t>https://www.scirp.org/reference/referencespapers?referenceid=3627544</w:t>
        </w:r>
      </w:hyperlink>
      <w:r w:rsidRPr="003C2796">
        <w:rPr>
          <w:rFonts w:ascii="Arial" w:hAnsi="Arial" w:cs="Arial"/>
          <w:sz w:val="22"/>
          <w:szCs w:val="22"/>
        </w:rPr>
        <w:t xml:space="preserve"> (Accessed 10 December 2025)</w:t>
      </w:r>
    </w:p>
    <w:p w14:paraId="7C9255A0"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Maor, M., and Howlett, M. (2020) ‘Explaining variations in state COVID-19 responses: Psychological, institutional, and strategic factors in governance and public </w:t>
      </w:r>
      <w:proofErr w:type="gramStart"/>
      <w:r w:rsidRPr="003C2796">
        <w:rPr>
          <w:rFonts w:ascii="Arial" w:hAnsi="Arial" w:cs="Arial"/>
          <w:sz w:val="22"/>
          <w:szCs w:val="22"/>
        </w:rPr>
        <w:t>policy-making</w:t>
      </w:r>
      <w:proofErr w:type="gramEnd"/>
      <w:r w:rsidRPr="003C2796">
        <w:rPr>
          <w:rFonts w:ascii="Arial" w:hAnsi="Arial" w:cs="Arial"/>
          <w:sz w:val="22"/>
          <w:szCs w:val="22"/>
        </w:rPr>
        <w:t xml:space="preserve">’, </w:t>
      </w:r>
      <w:r w:rsidRPr="003C2796">
        <w:rPr>
          <w:rFonts w:ascii="Arial" w:hAnsi="Arial" w:cs="Arial"/>
          <w:i/>
          <w:iCs/>
          <w:sz w:val="22"/>
          <w:szCs w:val="22"/>
        </w:rPr>
        <w:t>Policy Design and Practice</w:t>
      </w:r>
      <w:r w:rsidRPr="003C2796">
        <w:rPr>
          <w:rFonts w:ascii="Arial" w:hAnsi="Arial" w:cs="Arial"/>
          <w:sz w:val="22"/>
          <w:szCs w:val="22"/>
        </w:rPr>
        <w:t>, </w:t>
      </w:r>
      <w:r w:rsidRPr="003C2796">
        <w:rPr>
          <w:rFonts w:ascii="Arial" w:hAnsi="Arial" w:cs="Arial"/>
          <w:i/>
          <w:iCs/>
          <w:sz w:val="22"/>
          <w:szCs w:val="22"/>
        </w:rPr>
        <w:t>3</w:t>
      </w:r>
      <w:r w:rsidRPr="003C2796">
        <w:rPr>
          <w:rFonts w:ascii="Arial" w:hAnsi="Arial" w:cs="Arial"/>
          <w:sz w:val="22"/>
          <w:szCs w:val="22"/>
        </w:rPr>
        <w:t>(3), 228-241.</w:t>
      </w:r>
      <w:r w:rsidRPr="003C2796">
        <w:rPr>
          <w:rFonts w:ascii="Arial" w:hAnsi="Arial" w:cs="Arial"/>
          <w:sz w:val="22"/>
          <w:szCs w:val="22"/>
          <w:lang w:val="en-US"/>
        </w:rPr>
        <w:t xml:space="preserve"> Available at: </w:t>
      </w:r>
      <w:hyperlink r:id="rId37" w:history="1">
        <w:r w:rsidRPr="003C2796">
          <w:rPr>
            <w:rStyle w:val="Hyperlink"/>
            <w:rFonts w:ascii="Arial" w:hAnsi="Arial" w:cs="Arial"/>
            <w:sz w:val="22"/>
            <w:szCs w:val="22"/>
            <w:lang w:val="en-US"/>
          </w:rPr>
          <w:t>https://doi.org/10.1080/25741292.2020.1824379</w:t>
        </w:r>
      </w:hyperlink>
      <w:r w:rsidRPr="003C2796">
        <w:rPr>
          <w:rFonts w:ascii="Arial" w:hAnsi="Arial" w:cs="Arial"/>
          <w:sz w:val="22"/>
          <w:szCs w:val="22"/>
          <w:lang w:val="en-US"/>
        </w:rPr>
        <w:t xml:space="preserve"> (Accessed: 12/11/2025)</w:t>
      </w:r>
    </w:p>
    <w:p w14:paraId="14EBC2D4"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Maxwell, J. C. (2014) </w:t>
      </w:r>
      <w:r w:rsidRPr="003C2796">
        <w:rPr>
          <w:rFonts w:ascii="Arial" w:hAnsi="Arial" w:cs="Arial"/>
          <w:i/>
          <w:iCs/>
          <w:sz w:val="22"/>
          <w:szCs w:val="22"/>
        </w:rPr>
        <w:t>The 5 Levels of Leadership</w:t>
      </w:r>
      <w:r w:rsidRPr="003C2796">
        <w:rPr>
          <w:rFonts w:ascii="Arial" w:hAnsi="Arial" w:cs="Arial"/>
          <w:sz w:val="22"/>
          <w:szCs w:val="22"/>
        </w:rPr>
        <w:t xml:space="preserve">. Available at: </w:t>
      </w:r>
      <w:hyperlink r:id="rId38" w:history="1">
        <w:r w:rsidRPr="003C2796">
          <w:rPr>
            <w:rStyle w:val="Hyperlink"/>
            <w:rFonts w:ascii="Arial" w:hAnsi="Arial" w:cs="Arial"/>
            <w:sz w:val="22"/>
            <w:szCs w:val="22"/>
          </w:rPr>
          <w:t>https://www.ebooks.com/en-gb/book/1455138/the-5-levels-of-leadership/john-c-maxwell/?srsltid=AfmBOoqcP6QRqtyc2wafoDAVP0h3dUm_6zZvtgr9kLlQz8N21GLRtAyV</w:t>
        </w:r>
      </w:hyperlink>
      <w:r w:rsidRPr="003C2796">
        <w:rPr>
          <w:rFonts w:ascii="Arial" w:hAnsi="Arial" w:cs="Arial"/>
          <w:sz w:val="22"/>
          <w:szCs w:val="22"/>
        </w:rPr>
        <w:t xml:space="preserve">  (Accessed 20 December 2025)</w:t>
      </w:r>
    </w:p>
    <w:p w14:paraId="339E017A" w14:textId="77777777" w:rsidR="003C2796" w:rsidRPr="00713E42"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w:t>
      </w:r>
      <w:r w:rsidRPr="00713E42">
        <w:rPr>
          <w:rFonts w:ascii="Arial" w:hAnsi="Arial" w:cs="Arial"/>
          <w:sz w:val="22"/>
          <w:szCs w:val="22"/>
        </w:rPr>
        <w:t xml:space="preserve">Moon, M.J. (2020) </w:t>
      </w:r>
      <w:r w:rsidRPr="003C2796">
        <w:rPr>
          <w:rFonts w:ascii="Arial" w:hAnsi="Arial" w:cs="Arial"/>
          <w:sz w:val="22"/>
          <w:szCs w:val="22"/>
        </w:rPr>
        <w:t>‘</w:t>
      </w:r>
      <w:r w:rsidRPr="00713E42">
        <w:rPr>
          <w:rFonts w:ascii="Arial" w:hAnsi="Arial" w:cs="Arial"/>
          <w:sz w:val="22"/>
          <w:szCs w:val="22"/>
        </w:rPr>
        <w:t>Fighting COVID</w:t>
      </w:r>
      <w:r w:rsidRPr="00713E42">
        <w:rPr>
          <w:rFonts w:ascii="Cambria Math" w:hAnsi="Cambria Math" w:cs="Cambria Math"/>
          <w:sz w:val="22"/>
          <w:szCs w:val="22"/>
        </w:rPr>
        <w:t>‐</w:t>
      </w:r>
      <w:r w:rsidRPr="00713E42">
        <w:rPr>
          <w:rFonts w:ascii="Arial" w:hAnsi="Arial" w:cs="Arial"/>
          <w:sz w:val="22"/>
          <w:szCs w:val="22"/>
        </w:rPr>
        <w:t>19 with Agility, Transparency, and Participation: Wicked Policy Problems and New Governance Challenges</w:t>
      </w:r>
      <w:r w:rsidRPr="003C2796">
        <w:rPr>
          <w:rFonts w:ascii="Arial" w:hAnsi="Arial" w:cs="Arial"/>
          <w:sz w:val="22"/>
          <w:szCs w:val="22"/>
        </w:rPr>
        <w:t>’,</w:t>
      </w:r>
      <w:r w:rsidRPr="00713E42">
        <w:rPr>
          <w:rFonts w:ascii="Arial" w:hAnsi="Arial" w:cs="Arial"/>
          <w:sz w:val="22"/>
          <w:szCs w:val="22"/>
        </w:rPr>
        <w:t> </w:t>
      </w:r>
      <w:r w:rsidRPr="00713E42">
        <w:rPr>
          <w:rFonts w:ascii="Arial" w:hAnsi="Arial" w:cs="Arial"/>
          <w:i/>
          <w:iCs/>
          <w:sz w:val="22"/>
          <w:szCs w:val="22"/>
        </w:rPr>
        <w:t>Public Administration Review</w:t>
      </w:r>
      <w:r w:rsidRPr="00713E42">
        <w:rPr>
          <w:rFonts w:ascii="Arial" w:hAnsi="Arial" w:cs="Arial"/>
          <w:sz w:val="22"/>
          <w:szCs w:val="22"/>
        </w:rPr>
        <w:t xml:space="preserve">, 80(4). </w:t>
      </w:r>
      <w:r w:rsidRPr="003C2796">
        <w:rPr>
          <w:rFonts w:ascii="Arial" w:hAnsi="Arial" w:cs="Arial"/>
          <w:sz w:val="22"/>
          <w:szCs w:val="22"/>
        </w:rPr>
        <w:t xml:space="preserve">Available at: </w:t>
      </w:r>
      <w:hyperlink r:id="rId39" w:history="1">
        <w:r w:rsidRPr="00713E42">
          <w:rPr>
            <w:rStyle w:val="Hyperlink"/>
            <w:rFonts w:ascii="Arial" w:hAnsi="Arial" w:cs="Arial"/>
            <w:sz w:val="22"/>
            <w:szCs w:val="22"/>
          </w:rPr>
          <w:t>https://doi.org/10.1111/puar.13214</w:t>
        </w:r>
      </w:hyperlink>
      <w:r w:rsidRPr="003C2796">
        <w:rPr>
          <w:rFonts w:ascii="Arial" w:hAnsi="Arial" w:cs="Arial"/>
          <w:sz w:val="22"/>
          <w:szCs w:val="22"/>
        </w:rPr>
        <w:t xml:space="preserve"> </w:t>
      </w:r>
    </w:p>
    <w:p w14:paraId="4FAB8394" w14:textId="77777777" w:rsidR="003C2796" w:rsidRPr="003C2796" w:rsidRDefault="003C2796" w:rsidP="003C2796">
      <w:pPr>
        <w:numPr>
          <w:ilvl w:val="0"/>
          <w:numId w:val="13"/>
        </w:numPr>
        <w:spacing w:line="360" w:lineRule="auto"/>
        <w:jc w:val="both"/>
        <w:rPr>
          <w:rFonts w:ascii="Arial" w:eastAsia="Aptos" w:hAnsi="Arial" w:cs="Arial"/>
          <w:sz w:val="22"/>
          <w:szCs w:val="22"/>
        </w:rPr>
      </w:pPr>
      <w:r w:rsidRPr="00713E42">
        <w:rPr>
          <w:rFonts w:ascii="Arial" w:hAnsi="Arial" w:cs="Arial"/>
          <w:sz w:val="22"/>
          <w:szCs w:val="22"/>
        </w:rPr>
        <w:t>‌</w:t>
      </w:r>
      <w:r w:rsidRPr="003C2796">
        <w:rPr>
          <w:rFonts w:ascii="Arial" w:hAnsi="Arial" w:cs="Arial"/>
          <w:sz w:val="22"/>
          <w:szCs w:val="22"/>
        </w:rPr>
        <w:t xml:space="preserve">Northouse, P. G. (2025) </w:t>
      </w:r>
      <w:r w:rsidRPr="003C2796">
        <w:rPr>
          <w:rFonts w:ascii="Arial" w:hAnsi="Arial" w:cs="Arial"/>
          <w:i/>
          <w:iCs/>
          <w:sz w:val="22"/>
          <w:szCs w:val="22"/>
        </w:rPr>
        <w:t>Leadership: Theory and practice</w:t>
      </w:r>
      <w:r w:rsidRPr="003C2796">
        <w:rPr>
          <w:rFonts w:ascii="Arial" w:hAnsi="Arial" w:cs="Arial"/>
          <w:sz w:val="22"/>
          <w:szCs w:val="22"/>
        </w:rPr>
        <w:t>, Sage publications. Available at</w:t>
      </w:r>
      <w:r w:rsidRPr="003C2796">
        <w:rPr>
          <w:rFonts w:ascii="Arial" w:eastAsia="Aptos" w:hAnsi="Arial" w:cs="Arial"/>
          <w:sz w:val="22"/>
          <w:szCs w:val="22"/>
        </w:rPr>
        <w:t xml:space="preserve">: </w:t>
      </w:r>
      <w:hyperlink r:id="rId40" w:history="1">
        <w:r w:rsidRPr="003C2796">
          <w:rPr>
            <w:rStyle w:val="Hyperlink"/>
            <w:rFonts w:ascii="Arial" w:hAnsi="Arial" w:cs="Arial"/>
            <w:sz w:val="22"/>
            <w:szCs w:val="22"/>
          </w:rPr>
          <w:t>https://url-shortener.me/4WBA</w:t>
        </w:r>
      </w:hyperlink>
      <w:r w:rsidRPr="003C2796">
        <w:rPr>
          <w:rFonts w:ascii="Arial" w:hAnsi="Arial" w:cs="Arial"/>
          <w:sz w:val="22"/>
          <w:szCs w:val="22"/>
        </w:rPr>
        <w:t xml:space="preserve">  (Accessed: 22 November 2025)</w:t>
      </w:r>
    </w:p>
    <w:p w14:paraId="01E3B1F1" w14:textId="77777777" w:rsidR="003C2796" w:rsidRPr="003C2796" w:rsidRDefault="003C2796" w:rsidP="003C2796">
      <w:pPr>
        <w:numPr>
          <w:ilvl w:val="0"/>
          <w:numId w:val="13"/>
        </w:numPr>
        <w:spacing w:line="360" w:lineRule="auto"/>
        <w:jc w:val="both"/>
        <w:rPr>
          <w:rFonts w:ascii="Arial" w:hAnsi="Arial" w:cs="Arial"/>
          <w:sz w:val="22"/>
          <w:szCs w:val="22"/>
        </w:rPr>
      </w:pPr>
      <w:r w:rsidRPr="00D45C21">
        <w:rPr>
          <w:rFonts w:ascii="Arial" w:hAnsi="Arial" w:cs="Arial"/>
          <w:sz w:val="22"/>
          <w:szCs w:val="22"/>
        </w:rPr>
        <w:t>‌</w:t>
      </w:r>
      <w:r w:rsidRPr="003C2796">
        <w:rPr>
          <w:rFonts w:ascii="Arial" w:hAnsi="Arial" w:cs="Arial"/>
          <w:sz w:val="22"/>
          <w:szCs w:val="22"/>
        </w:rPr>
        <w:t xml:space="preserve">Organisation for Economic Co-operation and Development [OECD] (2021) </w:t>
      </w:r>
      <w:r w:rsidRPr="003C2796">
        <w:rPr>
          <w:rFonts w:ascii="Arial" w:hAnsi="Arial" w:cs="Arial"/>
          <w:i/>
          <w:iCs/>
          <w:sz w:val="22"/>
          <w:szCs w:val="22"/>
        </w:rPr>
        <w:t>Assessing the health systems response to COVID-19</w:t>
      </w:r>
      <w:r w:rsidRPr="003C2796">
        <w:rPr>
          <w:rFonts w:ascii="Arial" w:hAnsi="Arial" w:cs="Arial"/>
          <w:sz w:val="22"/>
          <w:szCs w:val="22"/>
        </w:rPr>
        <w:t xml:space="preserve">. Available at: </w:t>
      </w:r>
      <w:hyperlink r:id="rId41" w:history="1">
        <w:r w:rsidRPr="003C2796">
          <w:rPr>
            <w:rStyle w:val="Hyperlink"/>
            <w:rFonts w:ascii="Arial" w:hAnsi="Arial" w:cs="Arial"/>
            <w:sz w:val="22"/>
            <w:szCs w:val="22"/>
          </w:rPr>
          <w:t>https://www.oecd.org/en/publications/health-at-a-glance-2021_ae3016b9-en.html</w:t>
        </w:r>
      </w:hyperlink>
      <w:r w:rsidRPr="003C2796">
        <w:rPr>
          <w:rFonts w:ascii="Arial" w:hAnsi="Arial" w:cs="Arial"/>
          <w:sz w:val="22"/>
          <w:szCs w:val="22"/>
        </w:rPr>
        <w:t xml:space="preserve"> (Accessed: 30 November 2025)</w:t>
      </w:r>
    </w:p>
    <w:p w14:paraId="172E109E"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Park, P.G., Kim, C.H., Heo, Y., Kim, T.S., Park, C.W. and Kim, C.-H. (2020) Out-of-Hospital Cohort Treatment of Coronavirus Disease 2019 Patients with Mild Symptoms in Korea: </w:t>
      </w:r>
      <w:proofErr w:type="gramStart"/>
      <w:r w:rsidRPr="003C2796">
        <w:rPr>
          <w:rFonts w:ascii="Arial" w:hAnsi="Arial" w:cs="Arial"/>
          <w:sz w:val="22"/>
          <w:szCs w:val="22"/>
        </w:rPr>
        <w:t>an</w:t>
      </w:r>
      <w:proofErr w:type="gramEnd"/>
      <w:r w:rsidRPr="003C2796">
        <w:rPr>
          <w:rFonts w:ascii="Arial" w:hAnsi="Arial" w:cs="Arial"/>
          <w:sz w:val="22"/>
          <w:szCs w:val="22"/>
        </w:rPr>
        <w:t xml:space="preserve"> </w:t>
      </w:r>
      <w:r w:rsidRPr="003C2796">
        <w:rPr>
          <w:rFonts w:ascii="Arial" w:hAnsi="Arial" w:cs="Arial"/>
          <w:sz w:val="22"/>
          <w:szCs w:val="22"/>
        </w:rPr>
        <w:lastRenderedPageBreak/>
        <w:t xml:space="preserve">Experience from a Single Community Treatment </w:t>
      </w:r>
      <w:proofErr w:type="spellStart"/>
      <w:r w:rsidRPr="003C2796">
        <w:rPr>
          <w:rFonts w:ascii="Arial" w:hAnsi="Arial" w:cs="Arial"/>
          <w:sz w:val="22"/>
          <w:szCs w:val="22"/>
        </w:rPr>
        <w:t>Center</w:t>
      </w:r>
      <w:proofErr w:type="spellEnd"/>
      <w:r w:rsidRPr="003C2796">
        <w:rPr>
          <w:rFonts w:ascii="Arial" w:hAnsi="Arial" w:cs="Arial"/>
          <w:sz w:val="22"/>
          <w:szCs w:val="22"/>
        </w:rPr>
        <w:t>, </w:t>
      </w:r>
      <w:r w:rsidRPr="003C2796">
        <w:rPr>
          <w:rFonts w:ascii="Arial" w:hAnsi="Arial" w:cs="Arial"/>
          <w:i/>
          <w:iCs/>
          <w:sz w:val="22"/>
          <w:szCs w:val="22"/>
        </w:rPr>
        <w:t>Journal of Korean Medical Science</w:t>
      </w:r>
      <w:r w:rsidRPr="003C2796">
        <w:rPr>
          <w:rFonts w:ascii="Arial" w:hAnsi="Arial" w:cs="Arial"/>
          <w:sz w:val="22"/>
          <w:szCs w:val="22"/>
        </w:rPr>
        <w:t xml:space="preserve">, 35(13), </w:t>
      </w:r>
      <w:proofErr w:type="gramStart"/>
      <w:r w:rsidRPr="003C2796">
        <w:rPr>
          <w:rFonts w:ascii="Arial" w:hAnsi="Arial" w:cs="Arial"/>
          <w:sz w:val="22"/>
          <w:szCs w:val="22"/>
        </w:rPr>
        <w:t>pp.e</w:t>
      </w:r>
      <w:proofErr w:type="gramEnd"/>
      <w:r w:rsidRPr="003C2796">
        <w:rPr>
          <w:rFonts w:ascii="Arial" w:hAnsi="Arial" w:cs="Arial"/>
          <w:sz w:val="22"/>
          <w:szCs w:val="22"/>
        </w:rPr>
        <w:t xml:space="preserve">140-. Available at: </w:t>
      </w:r>
      <w:hyperlink r:id="rId42" w:history="1">
        <w:r w:rsidRPr="003C2796">
          <w:rPr>
            <w:rStyle w:val="Hyperlink"/>
            <w:rFonts w:ascii="Arial" w:hAnsi="Arial" w:cs="Arial"/>
            <w:sz w:val="22"/>
            <w:szCs w:val="22"/>
          </w:rPr>
          <w:t>https://www.koreamed.org/SearchBasic.php?RID=2509608</w:t>
        </w:r>
      </w:hyperlink>
      <w:r w:rsidRPr="003C2796">
        <w:rPr>
          <w:rFonts w:ascii="Arial" w:hAnsi="Arial" w:cs="Arial"/>
          <w:sz w:val="22"/>
          <w:szCs w:val="22"/>
        </w:rPr>
        <w:t xml:space="preserve"> (Accessed 02 December 2025)</w:t>
      </w:r>
    </w:p>
    <w:p w14:paraId="5D403B5D"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Peters, B. G., Pierre, J., Sørensen, E., and Torfing, J. (2022) </w:t>
      </w:r>
      <w:r w:rsidRPr="003C2796">
        <w:rPr>
          <w:rFonts w:ascii="Arial" w:hAnsi="Arial" w:cs="Arial"/>
          <w:i/>
          <w:iCs/>
          <w:sz w:val="22"/>
          <w:szCs w:val="22"/>
        </w:rPr>
        <w:t>A research agenda for governance</w:t>
      </w:r>
      <w:r w:rsidRPr="003C2796">
        <w:rPr>
          <w:rFonts w:ascii="Arial" w:hAnsi="Arial" w:cs="Arial"/>
          <w:sz w:val="22"/>
          <w:szCs w:val="22"/>
        </w:rPr>
        <w:t>.</w:t>
      </w:r>
      <w:r w:rsidRPr="003C2796">
        <w:rPr>
          <w:rFonts w:ascii="Arial" w:hAnsi="Arial" w:cs="Arial"/>
          <w:sz w:val="22"/>
          <w:szCs w:val="22"/>
          <w:lang w:val="en-US"/>
        </w:rPr>
        <w:t xml:space="preserve"> Available at: </w:t>
      </w:r>
      <w:hyperlink r:id="rId43" w:history="1">
        <w:r w:rsidRPr="003C2796">
          <w:rPr>
            <w:rStyle w:val="Hyperlink"/>
            <w:rFonts w:ascii="Arial" w:hAnsi="Arial" w:cs="Arial"/>
            <w:sz w:val="22"/>
            <w:szCs w:val="22"/>
            <w:lang w:val="en-US"/>
          </w:rPr>
          <w:t>https://url-shortener.me/4WCL</w:t>
        </w:r>
      </w:hyperlink>
      <w:r w:rsidRPr="003C2796">
        <w:rPr>
          <w:rFonts w:ascii="Arial" w:hAnsi="Arial" w:cs="Arial"/>
          <w:sz w:val="22"/>
          <w:szCs w:val="22"/>
          <w:lang w:val="en-US"/>
        </w:rPr>
        <w:t xml:space="preserve">  (Accessed: 19 November 2025)</w:t>
      </w:r>
    </w:p>
    <w:p w14:paraId="043257F3"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Public Health Agency of Canada [PHAC] (2021) Demographics: COVID-19 vaccination coverage in Canada - </w:t>
      </w:r>
      <w:proofErr w:type="gramStart"/>
      <w:r w:rsidRPr="003C2796">
        <w:rPr>
          <w:rFonts w:ascii="Arial" w:hAnsi="Arial" w:cs="Arial"/>
          <w:sz w:val="22"/>
          <w:szCs w:val="22"/>
        </w:rPr>
        <w:t xml:space="preserve">Canada.ca,  </w:t>
      </w:r>
      <w:r w:rsidRPr="003C2796">
        <w:rPr>
          <w:rFonts w:ascii="Arial" w:hAnsi="Arial" w:cs="Arial"/>
          <w:i/>
          <w:iCs/>
          <w:sz w:val="22"/>
          <w:szCs w:val="22"/>
        </w:rPr>
        <w:t>Government</w:t>
      </w:r>
      <w:proofErr w:type="gramEnd"/>
      <w:r w:rsidRPr="003C2796">
        <w:rPr>
          <w:rFonts w:ascii="Arial" w:hAnsi="Arial" w:cs="Arial"/>
          <w:i/>
          <w:iCs/>
          <w:sz w:val="22"/>
          <w:szCs w:val="22"/>
        </w:rPr>
        <w:t xml:space="preserve"> of Canada</w:t>
      </w:r>
      <w:r w:rsidRPr="003C2796">
        <w:rPr>
          <w:rFonts w:ascii="Arial" w:hAnsi="Arial" w:cs="Arial"/>
          <w:sz w:val="22"/>
          <w:szCs w:val="22"/>
        </w:rPr>
        <w:t xml:space="preserve">. Available at: </w:t>
      </w:r>
      <w:hyperlink r:id="rId44" w:history="1">
        <w:r w:rsidRPr="003C2796">
          <w:rPr>
            <w:rStyle w:val="Hyperlink"/>
            <w:rFonts w:ascii="Arial" w:hAnsi="Arial" w:cs="Arial"/>
            <w:sz w:val="22"/>
            <w:szCs w:val="22"/>
          </w:rPr>
          <w:t>https://health-infobase.canada.ca/covid-19/vaccin</w:t>
        </w:r>
        <w:r w:rsidRPr="003C2796">
          <w:rPr>
            <w:rStyle w:val="Hyperlink"/>
            <w:rFonts w:ascii="Arial" w:hAnsi="Arial" w:cs="Arial"/>
            <w:sz w:val="22"/>
            <w:szCs w:val="22"/>
          </w:rPr>
          <w:t>ation-coverage/</w:t>
        </w:r>
      </w:hyperlink>
      <w:r w:rsidRPr="003C2796">
        <w:rPr>
          <w:rFonts w:ascii="Arial" w:hAnsi="Arial" w:cs="Arial"/>
          <w:sz w:val="22"/>
          <w:szCs w:val="22"/>
        </w:rPr>
        <w:t xml:space="preserve"> (Accessed: 16 December 2025)</w:t>
      </w:r>
    </w:p>
    <w:p w14:paraId="1A64ADBE"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‌Public Health Agency of Canada [PHAC] (2022) </w:t>
      </w:r>
      <w:r w:rsidRPr="003C2796">
        <w:rPr>
          <w:rFonts w:ascii="Arial" w:hAnsi="Arial" w:cs="Arial"/>
          <w:i/>
          <w:iCs/>
          <w:sz w:val="22"/>
          <w:szCs w:val="22"/>
        </w:rPr>
        <w:t>COVID-19 vaccination coverage</w:t>
      </w:r>
      <w:r w:rsidRPr="003C2796">
        <w:rPr>
          <w:rFonts w:ascii="Arial" w:hAnsi="Arial" w:cs="Arial"/>
          <w:sz w:val="22"/>
          <w:szCs w:val="22"/>
        </w:rPr>
        <w:t xml:space="preserve">. Available at: </w:t>
      </w:r>
      <w:hyperlink r:id="rId45" w:history="1">
        <w:r w:rsidRPr="003C2796">
          <w:rPr>
            <w:rStyle w:val="Hyperlink"/>
            <w:rFonts w:ascii="Arial" w:hAnsi="Arial" w:cs="Arial"/>
            <w:sz w:val="22"/>
            <w:szCs w:val="22"/>
          </w:rPr>
          <w:t>https://health-infobase.canada.ca/covid-19/vaccination-coverage/</w:t>
        </w:r>
      </w:hyperlink>
      <w:r w:rsidRPr="003C2796">
        <w:rPr>
          <w:rFonts w:ascii="Arial" w:hAnsi="Arial" w:cs="Arial"/>
          <w:sz w:val="22"/>
          <w:szCs w:val="22"/>
        </w:rPr>
        <w:t xml:space="preserve"> (Accessed: 17 November 2025)</w:t>
      </w:r>
    </w:p>
    <w:p w14:paraId="236A08CC" w14:textId="77777777" w:rsidR="003C2796" w:rsidRPr="003C2796" w:rsidRDefault="003C2796" w:rsidP="003C2796">
      <w:pPr>
        <w:pStyle w:val="NormalWeb"/>
        <w:numPr>
          <w:ilvl w:val="0"/>
          <w:numId w:val="13"/>
        </w:numPr>
        <w:spacing w:after="0" w:line="360" w:lineRule="auto"/>
        <w:rPr>
          <w:rFonts w:ascii="Arial" w:hAnsi="Arial" w:cs="Arial"/>
          <w:color w:val="000000"/>
          <w:sz w:val="22"/>
          <w:szCs w:val="22"/>
        </w:rPr>
      </w:pPr>
      <w:r w:rsidRPr="003C2796">
        <w:rPr>
          <w:rFonts w:ascii="Arial" w:hAnsi="Arial" w:cs="Arial"/>
          <w:color w:val="000000"/>
          <w:sz w:val="22"/>
          <w:szCs w:val="22"/>
        </w:rPr>
        <w:t>Ramon y Cajal (2020) </w:t>
      </w:r>
      <w:r w:rsidRPr="003C2796">
        <w:rPr>
          <w:rFonts w:ascii="Arial" w:hAnsi="Arial" w:cs="Arial"/>
          <w:i/>
          <w:iCs/>
          <w:color w:val="000000"/>
          <w:sz w:val="22"/>
          <w:szCs w:val="22"/>
        </w:rPr>
        <w:t>Spanish Royal Decree 463/2020, of March 14th, 2020, declaring the state of alarm</w:t>
      </w:r>
      <w:r w:rsidRPr="003C2796">
        <w:rPr>
          <w:rFonts w:ascii="Arial" w:hAnsi="Arial" w:cs="Arial"/>
          <w:color w:val="000000"/>
          <w:sz w:val="22"/>
          <w:szCs w:val="22"/>
        </w:rPr>
        <w:t xml:space="preserve">. Available at: </w:t>
      </w:r>
      <w:hyperlink r:id="rId46" w:history="1">
        <w:r w:rsidRPr="003C2796">
          <w:rPr>
            <w:rStyle w:val="Hyperlink"/>
            <w:rFonts w:ascii="Arial" w:hAnsi="Arial" w:cs="Arial"/>
            <w:sz w:val="22"/>
            <w:szCs w:val="22"/>
          </w:rPr>
          <w:t>https://www.ramonycajalabogados.com/en/spanish-royal-decree-4632020-march-14th-2020-declaring-state-alarm</w:t>
        </w:r>
      </w:hyperlink>
      <w:r w:rsidRPr="003C2796">
        <w:rPr>
          <w:rFonts w:ascii="Arial" w:hAnsi="Arial" w:cs="Arial"/>
          <w:color w:val="000000"/>
          <w:sz w:val="22"/>
          <w:szCs w:val="22"/>
        </w:rPr>
        <w:t xml:space="preserve"> (Accessed: 13 December 2025) </w:t>
      </w:r>
    </w:p>
    <w:p w14:paraId="35E04B7C"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Royo, S. (2020) ‘Responding to COVID</w:t>
      </w:r>
      <w:r w:rsidRPr="003C2796">
        <w:rPr>
          <w:rFonts w:ascii="Cambria Math" w:hAnsi="Cambria Math" w:cs="Cambria Math"/>
          <w:sz w:val="22"/>
          <w:szCs w:val="22"/>
        </w:rPr>
        <w:t>‐</w:t>
      </w:r>
      <w:r w:rsidRPr="003C2796">
        <w:rPr>
          <w:rFonts w:ascii="Arial" w:hAnsi="Arial" w:cs="Arial"/>
          <w:sz w:val="22"/>
          <w:szCs w:val="22"/>
        </w:rPr>
        <w:t xml:space="preserve">19: The Case of Spain’, </w:t>
      </w:r>
      <w:r w:rsidRPr="003C2796">
        <w:rPr>
          <w:rFonts w:ascii="Arial" w:hAnsi="Arial" w:cs="Arial"/>
          <w:i/>
          <w:iCs/>
          <w:sz w:val="22"/>
          <w:szCs w:val="22"/>
        </w:rPr>
        <w:t>European Policy Analysis</w:t>
      </w:r>
      <w:r w:rsidRPr="003C2796">
        <w:rPr>
          <w:rFonts w:ascii="Arial" w:hAnsi="Arial" w:cs="Arial"/>
          <w:sz w:val="22"/>
          <w:szCs w:val="22"/>
        </w:rPr>
        <w:t xml:space="preserve">, 6(2), 180-190.  Available: </w:t>
      </w:r>
      <w:hyperlink r:id="rId47" w:history="1">
        <w:r w:rsidRPr="003C2796">
          <w:rPr>
            <w:rStyle w:val="Hyperlink"/>
            <w:rFonts w:ascii="Arial" w:hAnsi="Arial" w:cs="Arial"/>
            <w:sz w:val="22"/>
            <w:szCs w:val="22"/>
          </w:rPr>
          <w:t>https://doi.org/10.1002/epa2.1099</w:t>
        </w:r>
      </w:hyperlink>
      <w:r w:rsidRPr="003C2796">
        <w:rPr>
          <w:rFonts w:ascii="Arial" w:hAnsi="Arial" w:cs="Arial"/>
          <w:sz w:val="22"/>
          <w:szCs w:val="22"/>
        </w:rPr>
        <w:t xml:space="preserve"> </w:t>
      </w:r>
    </w:p>
    <w:p w14:paraId="78BC918F"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lang w:val="en-US"/>
        </w:rPr>
        <w:t xml:space="preserve">Spanish </w:t>
      </w:r>
      <w:r w:rsidRPr="003C2796">
        <w:rPr>
          <w:rFonts w:ascii="Arial" w:hAnsi="Arial" w:cs="Arial"/>
          <w:sz w:val="22"/>
          <w:szCs w:val="22"/>
        </w:rPr>
        <w:t xml:space="preserve">Ministry of Health (2020) </w:t>
      </w:r>
      <w:r w:rsidRPr="003C2796">
        <w:rPr>
          <w:rFonts w:ascii="Arial" w:hAnsi="Arial" w:cs="Arial"/>
          <w:i/>
          <w:iCs/>
          <w:sz w:val="22"/>
          <w:szCs w:val="22"/>
        </w:rPr>
        <w:t>COVID-19 Data Portal</w:t>
      </w:r>
      <w:r w:rsidRPr="003C2796">
        <w:rPr>
          <w:rFonts w:ascii="Arial" w:hAnsi="Arial" w:cs="Arial"/>
          <w:sz w:val="22"/>
          <w:szCs w:val="22"/>
        </w:rPr>
        <w:t xml:space="preserve">. Available at: </w:t>
      </w:r>
      <w:hyperlink r:id="rId48" w:history="1">
        <w:r w:rsidRPr="003C2796">
          <w:rPr>
            <w:rStyle w:val="Hyperlink"/>
            <w:rFonts w:ascii="Arial" w:hAnsi="Arial" w:cs="Arial"/>
            <w:sz w:val="22"/>
            <w:szCs w:val="22"/>
          </w:rPr>
          <w:t>https://covid19dataportal.es/</w:t>
        </w:r>
      </w:hyperlink>
      <w:r w:rsidRPr="003C2796">
        <w:rPr>
          <w:rFonts w:ascii="Arial" w:hAnsi="Arial" w:cs="Arial"/>
          <w:sz w:val="22"/>
          <w:szCs w:val="22"/>
        </w:rPr>
        <w:t xml:space="preserve"> (Accessed: 11 November 2025)</w:t>
      </w:r>
    </w:p>
    <w:p w14:paraId="75292005"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Stall, N.M., Jones, A., Brown, K.A., Rochon, P.A. and Costa, A.P. (2020) ‘For-profit long-term care homes and the risk of COVID-19 outbreaks and resident deaths’, </w:t>
      </w:r>
      <w:r w:rsidRPr="003C2796">
        <w:rPr>
          <w:rFonts w:ascii="Arial" w:hAnsi="Arial" w:cs="Arial"/>
          <w:i/>
          <w:iCs/>
          <w:sz w:val="22"/>
          <w:szCs w:val="22"/>
        </w:rPr>
        <w:t>Canadian Medical Association Journal</w:t>
      </w:r>
      <w:r w:rsidRPr="003C2796">
        <w:rPr>
          <w:rFonts w:ascii="Arial" w:hAnsi="Arial" w:cs="Arial"/>
          <w:sz w:val="22"/>
          <w:szCs w:val="22"/>
        </w:rPr>
        <w:t xml:space="preserve">, 192(33), </w:t>
      </w:r>
      <w:proofErr w:type="gramStart"/>
      <w:r w:rsidRPr="003C2796">
        <w:rPr>
          <w:rFonts w:ascii="Arial" w:hAnsi="Arial" w:cs="Arial"/>
          <w:sz w:val="22"/>
          <w:szCs w:val="22"/>
        </w:rPr>
        <w:t>pp.E</w:t>
      </w:r>
      <w:proofErr w:type="gramEnd"/>
      <w:r w:rsidRPr="003C2796">
        <w:rPr>
          <w:rFonts w:ascii="Arial" w:hAnsi="Arial" w:cs="Arial"/>
          <w:sz w:val="22"/>
          <w:szCs w:val="22"/>
        </w:rPr>
        <w:t xml:space="preserve">946–E955. Available at: </w:t>
      </w:r>
      <w:hyperlink r:id="rId49" w:history="1">
        <w:r w:rsidRPr="003C2796">
          <w:rPr>
            <w:rStyle w:val="Hyperlink"/>
            <w:rFonts w:ascii="Arial" w:hAnsi="Arial" w:cs="Arial"/>
            <w:sz w:val="22"/>
            <w:szCs w:val="22"/>
          </w:rPr>
          <w:t>https://doi.org/10.1503/cmaj.201197</w:t>
        </w:r>
      </w:hyperlink>
      <w:r w:rsidRPr="003C2796">
        <w:rPr>
          <w:rFonts w:ascii="Arial" w:hAnsi="Arial" w:cs="Arial"/>
          <w:sz w:val="22"/>
          <w:szCs w:val="22"/>
        </w:rPr>
        <w:t xml:space="preserve"> </w:t>
      </w:r>
    </w:p>
    <w:p w14:paraId="45BE506F" w14:textId="77777777" w:rsidR="003C2796" w:rsidRPr="003C2796" w:rsidRDefault="003C2796" w:rsidP="003C2796">
      <w:pPr>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Stogdill, R.M. (1948) ‘Personal Factors Associated with Leadership: </w:t>
      </w:r>
      <w:proofErr w:type="gramStart"/>
      <w:r w:rsidRPr="003C2796">
        <w:rPr>
          <w:rFonts w:ascii="Arial" w:hAnsi="Arial" w:cs="Arial"/>
          <w:sz w:val="22"/>
          <w:szCs w:val="22"/>
        </w:rPr>
        <w:t>a</w:t>
      </w:r>
      <w:proofErr w:type="gramEnd"/>
      <w:r w:rsidRPr="003C2796">
        <w:rPr>
          <w:rFonts w:ascii="Arial" w:hAnsi="Arial" w:cs="Arial"/>
          <w:sz w:val="22"/>
          <w:szCs w:val="22"/>
        </w:rPr>
        <w:t xml:space="preserve"> Survey of the Literature’, </w:t>
      </w:r>
      <w:r w:rsidRPr="003C2796">
        <w:rPr>
          <w:rFonts w:ascii="Arial" w:hAnsi="Arial" w:cs="Arial"/>
          <w:i/>
          <w:iCs/>
          <w:sz w:val="22"/>
          <w:szCs w:val="22"/>
        </w:rPr>
        <w:t>The Journal of Psychology</w:t>
      </w:r>
      <w:r w:rsidRPr="003C2796">
        <w:rPr>
          <w:rFonts w:ascii="Arial" w:hAnsi="Arial" w:cs="Arial"/>
          <w:sz w:val="22"/>
          <w:szCs w:val="22"/>
        </w:rPr>
        <w:t xml:space="preserve">, 25(1), pp.35–71. Available at: </w:t>
      </w:r>
      <w:hyperlink r:id="rId50" w:history="1">
        <w:r w:rsidRPr="003C2796">
          <w:rPr>
            <w:rStyle w:val="Hyperlink"/>
            <w:rFonts w:ascii="Arial" w:hAnsi="Arial" w:cs="Arial"/>
            <w:sz w:val="22"/>
            <w:szCs w:val="22"/>
          </w:rPr>
          <w:t>https://doi.org/10.1080/00223980.1948.9917362</w:t>
        </w:r>
      </w:hyperlink>
      <w:r w:rsidRPr="003C2796">
        <w:rPr>
          <w:rFonts w:ascii="Arial" w:hAnsi="Arial" w:cs="Arial"/>
          <w:sz w:val="22"/>
          <w:szCs w:val="22"/>
        </w:rPr>
        <w:t xml:space="preserve"> </w:t>
      </w:r>
    </w:p>
    <w:p w14:paraId="31208C77"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Unruh, L., Allin, S., Marchildon, G., Burke, S., Barry, S., </w:t>
      </w:r>
      <w:proofErr w:type="spellStart"/>
      <w:r w:rsidRPr="003C2796">
        <w:rPr>
          <w:rFonts w:ascii="Arial" w:hAnsi="Arial" w:cs="Arial"/>
          <w:sz w:val="22"/>
          <w:szCs w:val="22"/>
        </w:rPr>
        <w:t>Siersbaek</w:t>
      </w:r>
      <w:proofErr w:type="spellEnd"/>
      <w:r w:rsidRPr="003C2796">
        <w:rPr>
          <w:rFonts w:ascii="Arial" w:hAnsi="Arial" w:cs="Arial"/>
          <w:sz w:val="22"/>
          <w:szCs w:val="22"/>
        </w:rPr>
        <w:t xml:space="preserve">, R., Thomas, S., Selina, R., Andriy, K., Alexander, M., Merkur, S., Webb, E. and Williams, G.A. (2021) A comparison of health policy responses to the COVID-19 pandemic in Canada, Ireland, the United </w:t>
      </w:r>
      <w:r w:rsidRPr="003C2796">
        <w:rPr>
          <w:rFonts w:ascii="Arial" w:hAnsi="Arial" w:cs="Arial"/>
          <w:sz w:val="22"/>
          <w:szCs w:val="22"/>
        </w:rPr>
        <w:lastRenderedPageBreak/>
        <w:t xml:space="preserve">Kingdom and the United States of America, </w:t>
      </w:r>
      <w:r w:rsidRPr="003C2796">
        <w:rPr>
          <w:rFonts w:ascii="Arial" w:hAnsi="Arial" w:cs="Arial"/>
          <w:i/>
          <w:iCs/>
          <w:sz w:val="22"/>
          <w:szCs w:val="22"/>
        </w:rPr>
        <w:t>Health Policy</w:t>
      </w:r>
      <w:r w:rsidRPr="003C2796">
        <w:rPr>
          <w:rFonts w:ascii="Arial" w:hAnsi="Arial" w:cs="Arial"/>
          <w:sz w:val="22"/>
          <w:szCs w:val="22"/>
        </w:rPr>
        <w:t xml:space="preserve">, 126(5). Available at: </w:t>
      </w:r>
      <w:hyperlink r:id="rId51" w:history="1">
        <w:r w:rsidRPr="003C2796">
          <w:rPr>
            <w:rStyle w:val="Hyperlink"/>
            <w:rFonts w:ascii="Arial" w:hAnsi="Arial" w:cs="Arial"/>
            <w:sz w:val="22"/>
            <w:szCs w:val="22"/>
          </w:rPr>
          <w:t>https://doi.org/10.1016/j.healthpol.2021.06.012</w:t>
        </w:r>
      </w:hyperlink>
      <w:r w:rsidRPr="003C2796">
        <w:rPr>
          <w:rFonts w:ascii="Arial" w:hAnsi="Arial" w:cs="Arial"/>
          <w:sz w:val="22"/>
          <w:szCs w:val="22"/>
        </w:rPr>
        <w:t xml:space="preserve"> </w:t>
      </w:r>
    </w:p>
    <w:p w14:paraId="48B9786A"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World Health Organization [WHO] (2015) Intensified public health measures help control MERS-CoV outbreak in the Republic of Korea. Available at: </w:t>
      </w:r>
      <w:hyperlink r:id="rId52" w:history="1">
        <w:r w:rsidRPr="003C2796">
          <w:rPr>
            <w:rStyle w:val="Hyperlink"/>
            <w:rFonts w:ascii="Arial" w:hAnsi="Arial" w:cs="Arial"/>
            <w:sz w:val="22"/>
            <w:szCs w:val="22"/>
          </w:rPr>
          <w:t>https://www.who.int/westernpacific/news/item/28-07-2015-intensified-public-health-measures-help-control-mers-cov-outbreak-in-the-republic-of-korea</w:t>
        </w:r>
      </w:hyperlink>
      <w:r w:rsidRPr="003C2796">
        <w:rPr>
          <w:rFonts w:ascii="Arial" w:hAnsi="Arial" w:cs="Arial"/>
          <w:sz w:val="22"/>
          <w:szCs w:val="22"/>
        </w:rPr>
        <w:t xml:space="preserve">  (Accessed 12 December 2025).</w:t>
      </w:r>
    </w:p>
    <w:p w14:paraId="0E4D436B"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bookmarkStart w:id="26" w:name="_Hlk216407776"/>
      <w:r w:rsidRPr="003C2796">
        <w:rPr>
          <w:rFonts w:ascii="Arial" w:hAnsi="Arial" w:cs="Arial"/>
          <w:sz w:val="22"/>
          <w:szCs w:val="22"/>
        </w:rPr>
        <w:t xml:space="preserve">World Health Organization [WHO] </w:t>
      </w:r>
      <w:bookmarkEnd w:id="26"/>
      <w:r w:rsidRPr="003C2796">
        <w:rPr>
          <w:rFonts w:ascii="Arial" w:hAnsi="Arial" w:cs="Arial"/>
          <w:sz w:val="22"/>
          <w:szCs w:val="22"/>
        </w:rPr>
        <w:t xml:space="preserve">(2020) </w:t>
      </w:r>
      <w:r w:rsidRPr="003C2796">
        <w:rPr>
          <w:rFonts w:ascii="Arial" w:hAnsi="Arial" w:cs="Arial"/>
          <w:i/>
          <w:iCs/>
          <w:sz w:val="22"/>
          <w:szCs w:val="22"/>
        </w:rPr>
        <w:t>Responding to community spread of COVID-19</w:t>
      </w:r>
      <w:r w:rsidRPr="003C2796">
        <w:rPr>
          <w:rFonts w:ascii="Arial" w:hAnsi="Arial" w:cs="Arial"/>
          <w:sz w:val="22"/>
          <w:szCs w:val="22"/>
        </w:rPr>
        <w:t xml:space="preserve">. Available at: </w:t>
      </w:r>
      <w:hyperlink r:id="rId53" w:history="1">
        <w:r w:rsidRPr="003C2796">
          <w:rPr>
            <w:rStyle w:val="Hyperlink"/>
            <w:rFonts w:ascii="Arial" w:hAnsi="Arial" w:cs="Arial"/>
            <w:sz w:val="22"/>
            <w:szCs w:val="22"/>
          </w:rPr>
          <w:t>https://iris.who.int/server/api/core/bitstreams/464ce845-e6c6-4e0d-9030-a13533c20f45/content</w:t>
        </w:r>
      </w:hyperlink>
      <w:r w:rsidRPr="003C2796">
        <w:rPr>
          <w:rFonts w:ascii="Arial" w:hAnsi="Arial" w:cs="Arial"/>
          <w:sz w:val="22"/>
          <w:szCs w:val="22"/>
        </w:rPr>
        <w:t xml:space="preserve"> (Accessed: 17 November 2025)</w:t>
      </w:r>
    </w:p>
    <w:p w14:paraId="4520093B" w14:textId="77777777" w:rsidR="003C2796" w:rsidRPr="003C2796" w:rsidRDefault="003C2796" w:rsidP="003C2796">
      <w:pPr>
        <w:pStyle w:val="ListParagraph"/>
        <w:numPr>
          <w:ilvl w:val="0"/>
          <w:numId w:val="13"/>
        </w:numPr>
        <w:spacing w:line="360" w:lineRule="auto"/>
        <w:jc w:val="both"/>
        <w:rPr>
          <w:rFonts w:ascii="Arial" w:hAnsi="Arial" w:cs="Arial"/>
          <w:sz w:val="22"/>
          <w:szCs w:val="22"/>
        </w:rPr>
      </w:pPr>
      <w:r w:rsidRPr="003C2796">
        <w:rPr>
          <w:rFonts w:ascii="Arial" w:hAnsi="Arial" w:cs="Arial"/>
          <w:sz w:val="22"/>
          <w:szCs w:val="22"/>
        </w:rPr>
        <w:t xml:space="preserve">World Health Organization [WHO] (2022) </w:t>
      </w:r>
      <w:r w:rsidRPr="003C2796">
        <w:rPr>
          <w:rFonts w:ascii="Arial" w:hAnsi="Arial" w:cs="Arial"/>
          <w:i/>
          <w:iCs/>
          <w:sz w:val="22"/>
          <w:szCs w:val="22"/>
        </w:rPr>
        <w:t>Strengthening pandemic leadership and governance</w:t>
      </w:r>
      <w:r w:rsidRPr="003C2796">
        <w:rPr>
          <w:rFonts w:ascii="Arial" w:hAnsi="Arial" w:cs="Arial"/>
          <w:sz w:val="22"/>
          <w:szCs w:val="22"/>
        </w:rPr>
        <w:t xml:space="preserve">. Available at: </w:t>
      </w:r>
      <w:hyperlink r:id="rId54" w:history="1">
        <w:r w:rsidRPr="003C2796">
          <w:rPr>
            <w:rStyle w:val="Hyperlink"/>
            <w:rFonts w:ascii="Arial" w:hAnsi="Arial" w:cs="Arial"/>
            <w:sz w:val="22"/>
            <w:szCs w:val="22"/>
          </w:rPr>
          <w:t>https://www.who.int/about/accountability/results/who-results-report-2022-2023/outcome/2023/strengthened-leadership--governance-and-advocacy-for-health</w:t>
        </w:r>
      </w:hyperlink>
      <w:r w:rsidRPr="003C2796">
        <w:rPr>
          <w:rFonts w:ascii="Arial" w:hAnsi="Arial" w:cs="Arial"/>
          <w:sz w:val="22"/>
          <w:szCs w:val="22"/>
        </w:rPr>
        <w:t xml:space="preserve"> (Accessed: 28 November 2025)</w:t>
      </w:r>
    </w:p>
    <w:p w14:paraId="790F0076" w14:textId="77777777" w:rsidR="003C2796" w:rsidRPr="003C2796" w:rsidRDefault="003C2796" w:rsidP="003C2796">
      <w:pPr>
        <w:numPr>
          <w:ilvl w:val="0"/>
          <w:numId w:val="13"/>
        </w:numPr>
        <w:spacing w:line="360" w:lineRule="auto"/>
        <w:jc w:val="both"/>
        <w:rPr>
          <w:sz w:val="22"/>
          <w:szCs w:val="22"/>
        </w:rPr>
      </w:pPr>
      <w:r w:rsidRPr="003C2796">
        <w:rPr>
          <w:sz w:val="22"/>
          <w:szCs w:val="22"/>
        </w:rPr>
        <w:t>Zaccaro, S.J. (2007) ‘Trait-based Perspectives of Leadership’, </w:t>
      </w:r>
      <w:r w:rsidRPr="003C2796">
        <w:rPr>
          <w:i/>
          <w:iCs/>
          <w:sz w:val="22"/>
          <w:szCs w:val="22"/>
        </w:rPr>
        <w:t>American Psychologist</w:t>
      </w:r>
      <w:r w:rsidRPr="003C2796">
        <w:rPr>
          <w:sz w:val="22"/>
          <w:szCs w:val="22"/>
        </w:rPr>
        <w:t xml:space="preserve">, 62(1), pp.6–16. Available at: </w:t>
      </w:r>
      <w:hyperlink r:id="rId55" w:history="1">
        <w:r w:rsidRPr="003C2796">
          <w:rPr>
            <w:rStyle w:val="Hyperlink"/>
            <w:sz w:val="22"/>
            <w:szCs w:val="22"/>
          </w:rPr>
          <w:t>https://doi.org/10.1037/0003-066x.62.1.6</w:t>
        </w:r>
      </w:hyperlink>
      <w:r w:rsidRPr="003C2796">
        <w:rPr>
          <w:sz w:val="22"/>
          <w:szCs w:val="22"/>
        </w:rPr>
        <w:t xml:space="preserve"> </w:t>
      </w:r>
    </w:p>
    <w:p w14:paraId="57C0A260" w14:textId="313002D6" w:rsidR="00DF20EE" w:rsidRPr="003C2796" w:rsidRDefault="00DF20EE" w:rsidP="003C2796">
      <w:pPr>
        <w:spacing w:line="360" w:lineRule="auto"/>
        <w:ind w:left="540" w:hanging="540"/>
        <w:jc w:val="both"/>
        <w:rPr>
          <w:rFonts w:ascii="Arial" w:hAnsi="Arial" w:cs="Arial"/>
          <w:sz w:val="22"/>
          <w:szCs w:val="22"/>
        </w:rPr>
      </w:pPr>
    </w:p>
    <w:sectPr w:rsidR="00DF20EE" w:rsidRPr="003C2796" w:rsidSect="00F34341">
      <w:footerReference w:type="default" r:id="rId5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258A5" w14:textId="77777777" w:rsidR="007F12BE" w:rsidRDefault="007F12BE" w:rsidP="00F34341">
      <w:pPr>
        <w:spacing w:after="0" w:line="240" w:lineRule="auto"/>
      </w:pPr>
      <w:r>
        <w:separator/>
      </w:r>
    </w:p>
  </w:endnote>
  <w:endnote w:type="continuationSeparator" w:id="0">
    <w:p w14:paraId="135320FB" w14:textId="77777777" w:rsidR="007F12BE" w:rsidRDefault="007F12BE" w:rsidP="00F34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D050A" w14:textId="0297D772" w:rsidR="00F34341" w:rsidRDefault="00F34341">
    <w:pPr>
      <w:pStyle w:val="Footer"/>
      <w:jc w:val="center"/>
    </w:pPr>
  </w:p>
  <w:p w14:paraId="439A99A9" w14:textId="77777777" w:rsidR="00F34341" w:rsidRDefault="00F343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4534748"/>
      <w:docPartObj>
        <w:docPartGallery w:val="Page Numbers (Bottom of Page)"/>
        <w:docPartUnique/>
      </w:docPartObj>
    </w:sdtPr>
    <w:sdtEndPr>
      <w:rPr>
        <w:noProof/>
      </w:rPr>
    </w:sdtEndPr>
    <w:sdtContent>
      <w:p w14:paraId="6FD825A5" w14:textId="77777777" w:rsidR="00F34341" w:rsidRDefault="00F343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290F58" w14:textId="77777777" w:rsidR="00F34341" w:rsidRDefault="00F34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62E51" w14:textId="77777777" w:rsidR="007F12BE" w:rsidRDefault="007F12BE" w:rsidP="00F34341">
      <w:pPr>
        <w:spacing w:after="0" w:line="240" w:lineRule="auto"/>
      </w:pPr>
      <w:r>
        <w:separator/>
      </w:r>
    </w:p>
  </w:footnote>
  <w:footnote w:type="continuationSeparator" w:id="0">
    <w:p w14:paraId="2AB4DFE1" w14:textId="77777777" w:rsidR="007F12BE" w:rsidRDefault="007F12BE" w:rsidP="00F34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C727D"/>
    <w:multiLevelType w:val="hybridMultilevel"/>
    <w:tmpl w:val="DE96C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F2AFA"/>
    <w:multiLevelType w:val="multilevel"/>
    <w:tmpl w:val="C5422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D2C86"/>
    <w:multiLevelType w:val="hybridMultilevel"/>
    <w:tmpl w:val="9868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54449"/>
    <w:multiLevelType w:val="multilevel"/>
    <w:tmpl w:val="C4B29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204B3"/>
    <w:multiLevelType w:val="multilevel"/>
    <w:tmpl w:val="061CD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1C581F"/>
    <w:multiLevelType w:val="multilevel"/>
    <w:tmpl w:val="BC84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CA4DE5"/>
    <w:multiLevelType w:val="multilevel"/>
    <w:tmpl w:val="215C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09306D"/>
    <w:multiLevelType w:val="multilevel"/>
    <w:tmpl w:val="06E0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D24260"/>
    <w:multiLevelType w:val="hybridMultilevel"/>
    <w:tmpl w:val="1A3E0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843CAC"/>
    <w:multiLevelType w:val="multilevel"/>
    <w:tmpl w:val="99CA4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B57BD0"/>
    <w:multiLevelType w:val="multilevel"/>
    <w:tmpl w:val="4330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1A3757"/>
    <w:multiLevelType w:val="hybridMultilevel"/>
    <w:tmpl w:val="85CC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461DD1"/>
    <w:multiLevelType w:val="multilevel"/>
    <w:tmpl w:val="1910D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7980748">
    <w:abstractNumId w:val="12"/>
  </w:num>
  <w:num w:numId="2" w16cid:durableId="432553486">
    <w:abstractNumId w:val="10"/>
  </w:num>
  <w:num w:numId="3" w16cid:durableId="646594722">
    <w:abstractNumId w:val="3"/>
  </w:num>
  <w:num w:numId="4" w16cid:durableId="526800178">
    <w:abstractNumId w:val="9"/>
  </w:num>
  <w:num w:numId="5" w16cid:durableId="1956054433">
    <w:abstractNumId w:val="7"/>
  </w:num>
  <w:num w:numId="6" w16cid:durableId="1928266762">
    <w:abstractNumId w:val="5"/>
  </w:num>
  <w:num w:numId="7" w16cid:durableId="2007435321">
    <w:abstractNumId w:val="6"/>
  </w:num>
  <w:num w:numId="8" w16cid:durableId="227762404">
    <w:abstractNumId w:val="4"/>
  </w:num>
  <w:num w:numId="9" w16cid:durableId="896627180">
    <w:abstractNumId w:val="1"/>
  </w:num>
  <w:num w:numId="10" w16cid:durableId="1369180460">
    <w:abstractNumId w:val="2"/>
  </w:num>
  <w:num w:numId="11" w16cid:durableId="1299411246">
    <w:abstractNumId w:val="8"/>
  </w:num>
  <w:num w:numId="12" w16cid:durableId="635069525">
    <w:abstractNumId w:val="11"/>
  </w:num>
  <w:num w:numId="13" w16cid:durableId="348333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DAA"/>
    <w:rsid w:val="000000AE"/>
    <w:rsid w:val="000050ED"/>
    <w:rsid w:val="000307CD"/>
    <w:rsid w:val="00054784"/>
    <w:rsid w:val="000A7247"/>
    <w:rsid w:val="000C030C"/>
    <w:rsid w:val="000C0AA2"/>
    <w:rsid w:val="000C788B"/>
    <w:rsid w:val="000E3DCC"/>
    <w:rsid w:val="000F5A5A"/>
    <w:rsid w:val="001108B4"/>
    <w:rsid w:val="00130E36"/>
    <w:rsid w:val="00132E41"/>
    <w:rsid w:val="00134CA4"/>
    <w:rsid w:val="001367DF"/>
    <w:rsid w:val="00154F72"/>
    <w:rsid w:val="00163005"/>
    <w:rsid w:val="001676D1"/>
    <w:rsid w:val="001837CB"/>
    <w:rsid w:val="001968B5"/>
    <w:rsid w:val="00197FAE"/>
    <w:rsid w:val="001B6E56"/>
    <w:rsid w:val="001D43F0"/>
    <w:rsid w:val="001D4789"/>
    <w:rsid w:val="001D47E1"/>
    <w:rsid w:val="001F6780"/>
    <w:rsid w:val="002207BD"/>
    <w:rsid w:val="0022560D"/>
    <w:rsid w:val="002258DF"/>
    <w:rsid w:val="00232CF3"/>
    <w:rsid w:val="00235EF5"/>
    <w:rsid w:val="00246C0E"/>
    <w:rsid w:val="002575BB"/>
    <w:rsid w:val="00271B3C"/>
    <w:rsid w:val="00283DAA"/>
    <w:rsid w:val="00296A47"/>
    <w:rsid w:val="002C2298"/>
    <w:rsid w:val="002C4FEB"/>
    <w:rsid w:val="002C5B4C"/>
    <w:rsid w:val="002E5BB4"/>
    <w:rsid w:val="002F4C22"/>
    <w:rsid w:val="0030428C"/>
    <w:rsid w:val="00311E71"/>
    <w:rsid w:val="00337CFC"/>
    <w:rsid w:val="00343A59"/>
    <w:rsid w:val="003501E0"/>
    <w:rsid w:val="0035752D"/>
    <w:rsid w:val="003721E8"/>
    <w:rsid w:val="00382FA6"/>
    <w:rsid w:val="003B3471"/>
    <w:rsid w:val="003B5E46"/>
    <w:rsid w:val="003C14C6"/>
    <w:rsid w:val="003C2796"/>
    <w:rsid w:val="003E328C"/>
    <w:rsid w:val="003E7BD8"/>
    <w:rsid w:val="003F2D5F"/>
    <w:rsid w:val="0040443D"/>
    <w:rsid w:val="004068D5"/>
    <w:rsid w:val="00420EFF"/>
    <w:rsid w:val="0043302B"/>
    <w:rsid w:val="0044362E"/>
    <w:rsid w:val="0045431A"/>
    <w:rsid w:val="00463141"/>
    <w:rsid w:val="00475FA1"/>
    <w:rsid w:val="004864C3"/>
    <w:rsid w:val="0049239B"/>
    <w:rsid w:val="004C0CD4"/>
    <w:rsid w:val="004C75FB"/>
    <w:rsid w:val="004D0379"/>
    <w:rsid w:val="004D67DF"/>
    <w:rsid w:val="00516833"/>
    <w:rsid w:val="00527A3A"/>
    <w:rsid w:val="005320F8"/>
    <w:rsid w:val="005358DD"/>
    <w:rsid w:val="00536AB1"/>
    <w:rsid w:val="00536C29"/>
    <w:rsid w:val="00541FE5"/>
    <w:rsid w:val="00560396"/>
    <w:rsid w:val="0057226D"/>
    <w:rsid w:val="00576648"/>
    <w:rsid w:val="005A0DD0"/>
    <w:rsid w:val="005A1A3B"/>
    <w:rsid w:val="005C7EB6"/>
    <w:rsid w:val="005D0561"/>
    <w:rsid w:val="005F2EF8"/>
    <w:rsid w:val="00614B60"/>
    <w:rsid w:val="00626674"/>
    <w:rsid w:val="006539DD"/>
    <w:rsid w:val="00684A71"/>
    <w:rsid w:val="00687EE1"/>
    <w:rsid w:val="00691907"/>
    <w:rsid w:val="006A088B"/>
    <w:rsid w:val="006A133F"/>
    <w:rsid w:val="006A5328"/>
    <w:rsid w:val="006B0374"/>
    <w:rsid w:val="006B58A4"/>
    <w:rsid w:val="006D609F"/>
    <w:rsid w:val="006F2A5E"/>
    <w:rsid w:val="0070530C"/>
    <w:rsid w:val="00723CF2"/>
    <w:rsid w:val="0074162A"/>
    <w:rsid w:val="00776EAF"/>
    <w:rsid w:val="007B43A3"/>
    <w:rsid w:val="007D4C1D"/>
    <w:rsid w:val="007F12BE"/>
    <w:rsid w:val="007F3A6D"/>
    <w:rsid w:val="008144EA"/>
    <w:rsid w:val="00816A4F"/>
    <w:rsid w:val="008257FC"/>
    <w:rsid w:val="008423FE"/>
    <w:rsid w:val="00850882"/>
    <w:rsid w:val="00850F60"/>
    <w:rsid w:val="00882864"/>
    <w:rsid w:val="00886D6E"/>
    <w:rsid w:val="008B0BFC"/>
    <w:rsid w:val="008D3BE7"/>
    <w:rsid w:val="008E6287"/>
    <w:rsid w:val="008E69FA"/>
    <w:rsid w:val="00912CA5"/>
    <w:rsid w:val="00934750"/>
    <w:rsid w:val="0093712A"/>
    <w:rsid w:val="009463A4"/>
    <w:rsid w:val="00963376"/>
    <w:rsid w:val="009C244A"/>
    <w:rsid w:val="009D04BD"/>
    <w:rsid w:val="009E0B7B"/>
    <w:rsid w:val="009F34AA"/>
    <w:rsid w:val="00A00D7C"/>
    <w:rsid w:val="00A069F0"/>
    <w:rsid w:val="00A074DB"/>
    <w:rsid w:val="00A429A8"/>
    <w:rsid w:val="00A52E0C"/>
    <w:rsid w:val="00A61D54"/>
    <w:rsid w:val="00A77B18"/>
    <w:rsid w:val="00A77B4D"/>
    <w:rsid w:val="00A8363A"/>
    <w:rsid w:val="00AF3B4C"/>
    <w:rsid w:val="00AF476C"/>
    <w:rsid w:val="00B11863"/>
    <w:rsid w:val="00B15C62"/>
    <w:rsid w:val="00B208AA"/>
    <w:rsid w:val="00B367A0"/>
    <w:rsid w:val="00B433F2"/>
    <w:rsid w:val="00B56A75"/>
    <w:rsid w:val="00B577C3"/>
    <w:rsid w:val="00B7332C"/>
    <w:rsid w:val="00B90103"/>
    <w:rsid w:val="00B9571E"/>
    <w:rsid w:val="00B96D84"/>
    <w:rsid w:val="00BA2C77"/>
    <w:rsid w:val="00BB6EA9"/>
    <w:rsid w:val="00BC18E6"/>
    <w:rsid w:val="00BD2B0C"/>
    <w:rsid w:val="00BD2D28"/>
    <w:rsid w:val="00BD79EB"/>
    <w:rsid w:val="00C0183B"/>
    <w:rsid w:val="00C14C4C"/>
    <w:rsid w:val="00C203BD"/>
    <w:rsid w:val="00C338C1"/>
    <w:rsid w:val="00C73395"/>
    <w:rsid w:val="00CC697B"/>
    <w:rsid w:val="00D046AF"/>
    <w:rsid w:val="00D40D91"/>
    <w:rsid w:val="00D46799"/>
    <w:rsid w:val="00D538AF"/>
    <w:rsid w:val="00D93A74"/>
    <w:rsid w:val="00DF20EE"/>
    <w:rsid w:val="00E03AD3"/>
    <w:rsid w:val="00E16EB8"/>
    <w:rsid w:val="00E31270"/>
    <w:rsid w:val="00E56B57"/>
    <w:rsid w:val="00E573C4"/>
    <w:rsid w:val="00E6438E"/>
    <w:rsid w:val="00E7704A"/>
    <w:rsid w:val="00E80B88"/>
    <w:rsid w:val="00EB735B"/>
    <w:rsid w:val="00EE321A"/>
    <w:rsid w:val="00EE790D"/>
    <w:rsid w:val="00F1091B"/>
    <w:rsid w:val="00F34341"/>
    <w:rsid w:val="00F3777B"/>
    <w:rsid w:val="00F438E3"/>
    <w:rsid w:val="00F55193"/>
    <w:rsid w:val="00F61282"/>
    <w:rsid w:val="00F63DA1"/>
    <w:rsid w:val="00F906DB"/>
    <w:rsid w:val="00FA323B"/>
    <w:rsid w:val="00FA4950"/>
    <w:rsid w:val="00FF3D4D"/>
    <w:rsid w:val="00FF5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3837D"/>
  <w15:chartTrackingRefBased/>
  <w15:docId w15:val="{9262CCB9-A984-43FF-A744-CD7490C10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3D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D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D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D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D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DA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83DA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83DA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83DA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83DA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83D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83D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83D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83D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83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D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83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D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83DAA"/>
    <w:pPr>
      <w:spacing w:before="160"/>
      <w:jc w:val="center"/>
    </w:pPr>
    <w:rPr>
      <w:i/>
      <w:iCs/>
      <w:color w:val="404040" w:themeColor="text1" w:themeTint="BF"/>
    </w:rPr>
  </w:style>
  <w:style w:type="character" w:customStyle="1" w:styleId="QuoteChar">
    <w:name w:val="Quote Char"/>
    <w:basedOn w:val="DefaultParagraphFont"/>
    <w:link w:val="Quote"/>
    <w:uiPriority w:val="29"/>
    <w:rsid w:val="00283DAA"/>
    <w:rPr>
      <w:i/>
      <w:iCs/>
      <w:color w:val="404040" w:themeColor="text1" w:themeTint="BF"/>
      <w:lang w:val="en-GB"/>
    </w:rPr>
  </w:style>
  <w:style w:type="paragraph" w:styleId="ListParagraph">
    <w:name w:val="List Paragraph"/>
    <w:basedOn w:val="Normal"/>
    <w:uiPriority w:val="34"/>
    <w:qFormat/>
    <w:rsid w:val="00283DAA"/>
    <w:pPr>
      <w:ind w:left="720"/>
      <w:contextualSpacing/>
    </w:pPr>
  </w:style>
  <w:style w:type="character" w:styleId="IntenseEmphasis">
    <w:name w:val="Intense Emphasis"/>
    <w:basedOn w:val="DefaultParagraphFont"/>
    <w:uiPriority w:val="21"/>
    <w:qFormat/>
    <w:rsid w:val="00283DAA"/>
    <w:rPr>
      <w:i/>
      <w:iCs/>
      <w:color w:val="0F4761" w:themeColor="accent1" w:themeShade="BF"/>
    </w:rPr>
  </w:style>
  <w:style w:type="paragraph" w:styleId="IntenseQuote">
    <w:name w:val="Intense Quote"/>
    <w:basedOn w:val="Normal"/>
    <w:next w:val="Normal"/>
    <w:link w:val="IntenseQuoteChar"/>
    <w:uiPriority w:val="30"/>
    <w:qFormat/>
    <w:rsid w:val="00283D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DAA"/>
    <w:rPr>
      <w:i/>
      <w:iCs/>
      <w:color w:val="0F4761" w:themeColor="accent1" w:themeShade="BF"/>
      <w:lang w:val="en-GB"/>
    </w:rPr>
  </w:style>
  <w:style w:type="character" w:styleId="IntenseReference">
    <w:name w:val="Intense Reference"/>
    <w:basedOn w:val="DefaultParagraphFont"/>
    <w:uiPriority w:val="32"/>
    <w:qFormat/>
    <w:rsid w:val="00283DAA"/>
    <w:rPr>
      <w:b/>
      <w:bCs/>
      <w:smallCaps/>
      <w:color w:val="0F4761" w:themeColor="accent1" w:themeShade="BF"/>
      <w:spacing w:val="5"/>
    </w:rPr>
  </w:style>
  <w:style w:type="character" w:styleId="Hyperlink">
    <w:name w:val="Hyperlink"/>
    <w:basedOn w:val="DefaultParagraphFont"/>
    <w:uiPriority w:val="99"/>
    <w:unhideWhenUsed/>
    <w:rsid w:val="00850882"/>
    <w:rPr>
      <w:color w:val="467886" w:themeColor="hyperlink"/>
      <w:u w:val="single"/>
    </w:rPr>
  </w:style>
  <w:style w:type="character" w:styleId="UnresolvedMention">
    <w:name w:val="Unresolved Mention"/>
    <w:basedOn w:val="DefaultParagraphFont"/>
    <w:uiPriority w:val="99"/>
    <w:semiHidden/>
    <w:unhideWhenUsed/>
    <w:rsid w:val="00850882"/>
    <w:rPr>
      <w:color w:val="605E5C"/>
      <w:shd w:val="clear" w:color="auto" w:fill="E1DFDD"/>
    </w:rPr>
  </w:style>
  <w:style w:type="table" w:styleId="TableGrid">
    <w:name w:val="Table Grid"/>
    <w:basedOn w:val="TableNormal"/>
    <w:uiPriority w:val="39"/>
    <w:rsid w:val="00FF3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12CA5"/>
    <w:rPr>
      <w:rFonts w:ascii="Times New Roman" w:hAnsi="Times New Roman" w:cs="Times New Roman"/>
    </w:rPr>
  </w:style>
  <w:style w:type="paragraph" w:styleId="TOCHeading">
    <w:name w:val="TOC Heading"/>
    <w:basedOn w:val="Heading1"/>
    <w:next w:val="Normal"/>
    <w:uiPriority w:val="39"/>
    <w:unhideWhenUsed/>
    <w:qFormat/>
    <w:rsid w:val="00F63DA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63DA1"/>
    <w:pPr>
      <w:spacing w:after="100"/>
    </w:pPr>
  </w:style>
  <w:style w:type="paragraph" w:styleId="TOC2">
    <w:name w:val="toc 2"/>
    <w:basedOn w:val="Normal"/>
    <w:next w:val="Normal"/>
    <w:autoRedefine/>
    <w:uiPriority w:val="39"/>
    <w:unhideWhenUsed/>
    <w:rsid w:val="00F63DA1"/>
    <w:pPr>
      <w:spacing w:after="100"/>
      <w:ind w:left="240"/>
    </w:pPr>
  </w:style>
  <w:style w:type="paragraph" w:styleId="TOC3">
    <w:name w:val="toc 3"/>
    <w:basedOn w:val="Normal"/>
    <w:next w:val="Normal"/>
    <w:autoRedefine/>
    <w:uiPriority w:val="39"/>
    <w:unhideWhenUsed/>
    <w:rsid w:val="00F63DA1"/>
    <w:pPr>
      <w:spacing w:after="100"/>
      <w:ind w:left="480"/>
    </w:pPr>
  </w:style>
  <w:style w:type="paragraph" w:styleId="Header">
    <w:name w:val="header"/>
    <w:basedOn w:val="Normal"/>
    <w:link w:val="HeaderChar"/>
    <w:uiPriority w:val="99"/>
    <w:unhideWhenUsed/>
    <w:rsid w:val="00F343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341"/>
    <w:rPr>
      <w:lang w:val="en-GB"/>
    </w:rPr>
  </w:style>
  <w:style w:type="paragraph" w:styleId="Footer">
    <w:name w:val="footer"/>
    <w:basedOn w:val="Normal"/>
    <w:link w:val="FooterChar"/>
    <w:uiPriority w:val="99"/>
    <w:unhideWhenUsed/>
    <w:rsid w:val="00F343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341"/>
    <w:rPr>
      <w:lang w:val="en-GB"/>
    </w:rPr>
  </w:style>
  <w:style w:type="character" w:styleId="CommentReference">
    <w:name w:val="annotation reference"/>
    <w:basedOn w:val="DefaultParagraphFont"/>
    <w:uiPriority w:val="99"/>
    <w:semiHidden/>
    <w:unhideWhenUsed/>
    <w:rsid w:val="0049239B"/>
    <w:rPr>
      <w:sz w:val="16"/>
      <w:szCs w:val="16"/>
    </w:rPr>
  </w:style>
  <w:style w:type="paragraph" w:styleId="CommentText">
    <w:name w:val="annotation text"/>
    <w:basedOn w:val="Normal"/>
    <w:link w:val="CommentTextChar"/>
    <w:uiPriority w:val="99"/>
    <w:unhideWhenUsed/>
    <w:rsid w:val="0049239B"/>
    <w:pPr>
      <w:spacing w:line="240" w:lineRule="auto"/>
    </w:pPr>
    <w:rPr>
      <w:sz w:val="20"/>
      <w:szCs w:val="20"/>
    </w:rPr>
  </w:style>
  <w:style w:type="character" w:customStyle="1" w:styleId="CommentTextChar">
    <w:name w:val="Comment Text Char"/>
    <w:basedOn w:val="DefaultParagraphFont"/>
    <w:link w:val="CommentText"/>
    <w:uiPriority w:val="99"/>
    <w:rsid w:val="0049239B"/>
    <w:rPr>
      <w:sz w:val="20"/>
      <w:szCs w:val="20"/>
      <w:lang w:val="en-GB"/>
    </w:rPr>
  </w:style>
  <w:style w:type="paragraph" w:styleId="CommentSubject">
    <w:name w:val="annotation subject"/>
    <w:basedOn w:val="CommentText"/>
    <w:next w:val="CommentText"/>
    <w:link w:val="CommentSubjectChar"/>
    <w:uiPriority w:val="99"/>
    <w:semiHidden/>
    <w:unhideWhenUsed/>
    <w:rsid w:val="0049239B"/>
    <w:rPr>
      <w:b/>
      <w:bCs/>
    </w:rPr>
  </w:style>
  <w:style w:type="character" w:customStyle="1" w:styleId="CommentSubjectChar">
    <w:name w:val="Comment Subject Char"/>
    <w:basedOn w:val="CommentTextChar"/>
    <w:link w:val="CommentSubject"/>
    <w:uiPriority w:val="99"/>
    <w:semiHidden/>
    <w:rsid w:val="0049239B"/>
    <w:rPr>
      <w:b/>
      <w:bCs/>
      <w:sz w:val="20"/>
      <w:szCs w:val="20"/>
      <w:lang w:val="en-GB"/>
    </w:rPr>
  </w:style>
  <w:style w:type="character" w:styleId="FollowedHyperlink">
    <w:name w:val="FollowedHyperlink"/>
    <w:basedOn w:val="DefaultParagraphFont"/>
    <w:uiPriority w:val="99"/>
    <w:semiHidden/>
    <w:unhideWhenUsed/>
    <w:rsid w:val="005F2EF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36547">
      <w:bodyDiv w:val="1"/>
      <w:marLeft w:val="0"/>
      <w:marRight w:val="0"/>
      <w:marTop w:val="0"/>
      <w:marBottom w:val="0"/>
      <w:divBdr>
        <w:top w:val="none" w:sz="0" w:space="0" w:color="auto"/>
        <w:left w:val="none" w:sz="0" w:space="0" w:color="auto"/>
        <w:bottom w:val="none" w:sz="0" w:space="0" w:color="auto"/>
        <w:right w:val="none" w:sz="0" w:space="0" w:color="auto"/>
      </w:divBdr>
    </w:div>
    <w:div w:id="113450764">
      <w:bodyDiv w:val="1"/>
      <w:marLeft w:val="0"/>
      <w:marRight w:val="0"/>
      <w:marTop w:val="0"/>
      <w:marBottom w:val="0"/>
      <w:divBdr>
        <w:top w:val="none" w:sz="0" w:space="0" w:color="auto"/>
        <w:left w:val="none" w:sz="0" w:space="0" w:color="auto"/>
        <w:bottom w:val="none" w:sz="0" w:space="0" w:color="auto"/>
        <w:right w:val="none" w:sz="0" w:space="0" w:color="auto"/>
      </w:divBdr>
    </w:div>
    <w:div w:id="119231231">
      <w:bodyDiv w:val="1"/>
      <w:marLeft w:val="0"/>
      <w:marRight w:val="0"/>
      <w:marTop w:val="0"/>
      <w:marBottom w:val="0"/>
      <w:divBdr>
        <w:top w:val="none" w:sz="0" w:space="0" w:color="auto"/>
        <w:left w:val="none" w:sz="0" w:space="0" w:color="auto"/>
        <w:bottom w:val="none" w:sz="0" w:space="0" w:color="auto"/>
        <w:right w:val="none" w:sz="0" w:space="0" w:color="auto"/>
      </w:divBdr>
    </w:div>
    <w:div w:id="197402328">
      <w:bodyDiv w:val="1"/>
      <w:marLeft w:val="0"/>
      <w:marRight w:val="0"/>
      <w:marTop w:val="0"/>
      <w:marBottom w:val="0"/>
      <w:divBdr>
        <w:top w:val="none" w:sz="0" w:space="0" w:color="auto"/>
        <w:left w:val="none" w:sz="0" w:space="0" w:color="auto"/>
        <w:bottom w:val="none" w:sz="0" w:space="0" w:color="auto"/>
        <w:right w:val="none" w:sz="0" w:space="0" w:color="auto"/>
      </w:divBdr>
    </w:div>
    <w:div w:id="314340508">
      <w:bodyDiv w:val="1"/>
      <w:marLeft w:val="0"/>
      <w:marRight w:val="0"/>
      <w:marTop w:val="0"/>
      <w:marBottom w:val="0"/>
      <w:divBdr>
        <w:top w:val="none" w:sz="0" w:space="0" w:color="auto"/>
        <w:left w:val="none" w:sz="0" w:space="0" w:color="auto"/>
        <w:bottom w:val="none" w:sz="0" w:space="0" w:color="auto"/>
        <w:right w:val="none" w:sz="0" w:space="0" w:color="auto"/>
      </w:divBdr>
    </w:div>
    <w:div w:id="316039793">
      <w:bodyDiv w:val="1"/>
      <w:marLeft w:val="0"/>
      <w:marRight w:val="0"/>
      <w:marTop w:val="0"/>
      <w:marBottom w:val="0"/>
      <w:divBdr>
        <w:top w:val="none" w:sz="0" w:space="0" w:color="auto"/>
        <w:left w:val="none" w:sz="0" w:space="0" w:color="auto"/>
        <w:bottom w:val="none" w:sz="0" w:space="0" w:color="auto"/>
        <w:right w:val="none" w:sz="0" w:space="0" w:color="auto"/>
      </w:divBdr>
    </w:div>
    <w:div w:id="321323231">
      <w:bodyDiv w:val="1"/>
      <w:marLeft w:val="0"/>
      <w:marRight w:val="0"/>
      <w:marTop w:val="0"/>
      <w:marBottom w:val="0"/>
      <w:divBdr>
        <w:top w:val="none" w:sz="0" w:space="0" w:color="auto"/>
        <w:left w:val="none" w:sz="0" w:space="0" w:color="auto"/>
        <w:bottom w:val="none" w:sz="0" w:space="0" w:color="auto"/>
        <w:right w:val="none" w:sz="0" w:space="0" w:color="auto"/>
      </w:divBdr>
    </w:div>
    <w:div w:id="475031439">
      <w:bodyDiv w:val="1"/>
      <w:marLeft w:val="0"/>
      <w:marRight w:val="0"/>
      <w:marTop w:val="0"/>
      <w:marBottom w:val="0"/>
      <w:divBdr>
        <w:top w:val="none" w:sz="0" w:space="0" w:color="auto"/>
        <w:left w:val="none" w:sz="0" w:space="0" w:color="auto"/>
        <w:bottom w:val="none" w:sz="0" w:space="0" w:color="auto"/>
        <w:right w:val="none" w:sz="0" w:space="0" w:color="auto"/>
      </w:divBdr>
    </w:div>
    <w:div w:id="476269149">
      <w:bodyDiv w:val="1"/>
      <w:marLeft w:val="0"/>
      <w:marRight w:val="0"/>
      <w:marTop w:val="0"/>
      <w:marBottom w:val="0"/>
      <w:divBdr>
        <w:top w:val="none" w:sz="0" w:space="0" w:color="auto"/>
        <w:left w:val="none" w:sz="0" w:space="0" w:color="auto"/>
        <w:bottom w:val="none" w:sz="0" w:space="0" w:color="auto"/>
        <w:right w:val="none" w:sz="0" w:space="0" w:color="auto"/>
      </w:divBdr>
    </w:div>
    <w:div w:id="477654420">
      <w:bodyDiv w:val="1"/>
      <w:marLeft w:val="0"/>
      <w:marRight w:val="0"/>
      <w:marTop w:val="0"/>
      <w:marBottom w:val="0"/>
      <w:divBdr>
        <w:top w:val="none" w:sz="0" w:space="0" w:color="auto"/>
        <w:left w:val="none" w:sz="0" w:space="0" w:color="auto"/>
        <w:bottom w:val="none" w:sz="0" w:space="0" w:color="auto"/>
        <w:right w:val="none" w:sz="0" w:space="0" w:color="auto"/>
      </w:divBdr>
    </w:div>
    <w:div w:id="481966650">
      <w:bodyDiv w:val="1"/>
      <w:marLeft w:val="0"/>
      <w:marRight w:val="0"/>
      <w:marTop w:val="0"/>
      <w:marBottom w:val="0"/>
      <w:divBdr>
        <w:top w:val="none" w:sz="0" w:space="0" w:color="auto"/>
        <w:left w:val="none" w:sz="0" w:space="0" w:color="auto"/>
        <w:bottom w:val="none" w:sz="0" w:space="0" w:color="auto"/>
        <w:right w:val="none" w:sz="0" w:space="0" w:color="auto"/>
      </w:divBdr>
    </w:div>
    <w:div w:id="550649495">
      <w:bodyDiv w:val="1"/>
      <w:marLeft w:val="0"/>
      <w:marRight w:val="0"/>
      <w:marTop w:val="0"/>
      <w:marBottom w:val="0"/>
      <w:divBdr>
        <w:top w:val="none" w:sz="0" w:space="0" w:color="auto"/>
        <w:left w:val="none" w:sz="0" w:space="0" w:color="auto"/>
        <w:bottom w:val="none" w:sz="0" w:space="0" w:color="auto"/>
        <w:right w:val="none" w:sz="0" w:space="0" w:color="auto"/>
      </w:divBdr>
    </w:div>
    <w:div w:id="608775721">
      <w:bodyDiv w:val="1"/>
      <w:marLeft w:val="0"/>
      <w:marRight w:val="0"/>
      <w:marTop w:val="0"/>
      <w:marBottom w:val="0"/>
      <w:divBdr>
        <w:top w:val="none" w:sz="0" w:space="0" w:color="auto"/>
        <w:left w:val="none" w:sz="0" w:space="0" w:color="auto"/>
        <w:bottom w:val="none" w:sz="0" w:space="0" w:color="auto"/>
        <w:right w:val="none" w:sz="0" w:space="0" w:color="auto"/>
      </w:divBdr>
    </w:div>
    <w:div w:id="627663449">
      <w:bodyDiv w:val="1"/>
      <w:marLeft w:val="0"/>
      <w:marRight w:val="0"/>
      <w:marTop w:val="0"/>
      <w:marBottom w:val="0"/>
      <w:divBdr>
        <w:top w:val="none" w:sz="0" w:space="0" w:color="auto"/>
        <w:left w:val="none" w:sz="0" w:space="0" w:color="auto"/>
        <w:bottom w:val="none" w:sz="0" w:space="0" w:color="auto"/>
        <w:right w:val="none" w:sz="0" w:space="0" w:color="auto"/>
      </w:divBdr>
    </w:div>
    <w:div w:id="649986764">
      <w:bodyDiv w:val="1"/>
      <w:marLeft w:val="0"/>
      <w:marRight w:val="0"/>
      <w:marTop w:val="0"/>
      <w:marBottom w:val="0"/>
      <w:divBdr>
        <w:top w:val="none" w:sz="0" w:space="0" w:color="auto"/>
        <w:left w:val="none" w:sz="0" w:space="0" w:color="auto"/>
        <w:bottom w:val="none" w:sz="0" w:space="0" w:color="auto"/>
        <w:right w:val="none" w:sz="0" w:space="0" w:color="auto"/>
      </w:divBdr>
    </w:div>
    <w:div w:id="656765358">
      <w:bodyDiv w:val="1"/>
      <w:marLeft w:val="0"/>
      <w:marRight w:val="0"/>
      <w:marTop w:val="0"/>
      <w:marBottom w:val="0"/>
      <w:divBdr>
        <w:top w:val="none" w:sz="0" w:space="0" w:color="auto"/>
        <w:left w:val="none" w:sz="0" w:space="0" w:color="auto"/>
        <w:bottom w:val="none" w:sz="0" w:space="0" w:color="auto"/>
        <w:right w:val="none" w:sz="0" w:space="0" w:color="auto"/>
      </w:divBdr>
    </w:div>
    <w:div w:id="701246324">
      <w:bodyDiv w:val="1"/>
      <w:marLeft w:val="0"/>
      <w:marRight w:val="0"/>
      <w:marTop w:val="0"/>
      <w:marBottom w:val="0"/>
      <w:divBdr>
        <w:top w:val="none" w:sz="0" w:space="0" w:color="auto"/>
        <w:left w:val="none" w:sz="0" w:space="0" w:color="auto"/>
        <w:bottom w:val="none" w:sz="0" w:space="0" w:color="auto"/>
        <w:right w:val="none" w:sz="0" w:space="0" w:color="auto"/>
      </w:divBdr>
    </w:div>
    <w:div w:id="791829635">
      <w:bodyDiv w:val="1"/>
      <w:marLeft w:val="0"/>
      <w:marRight w:val="0"/>
      <w:marTop w:val="0"/>
      <w:marBottom w:val="0"/>
      <w:divBdr>
        <w:top w:val="none" w:sz="0" w:space="0" w:color="auto"/>
        <w:left w:val="none" w:sz="0" w:space="0" w:color="auto"/>
        <w:bottom w:val="none" w:sz="0" w:space="0" w:color="auto"/>
        <w:right w:val="none" w:sz="0" w:space="0" w:color="auto"/>
      </w:divBdr>
    </w:div>
    <w:div w:id="999505027">
      <w:bodyDiv w:val="1"/>
      <w:marLeft w:val="0"/>
      <w:marRight w:val="0"/>
      <w:marTop w:val="0"/>
      <w:marBottom w:val="0"/>
      <w:divBdr>
        <w:top w:val="none" w:sz="0" w:space="0" w:color="auto"/>
        <w:left w:val="none" w:sz="0" w:space="0" w:color="auto"/>
        <w:bottom w:val="none" w:sz="0" w:space="0" w:color="auto"/>
        <w:right w:val="none" w:sz="0" w:space="0" w:color="auto"/>
      </w:divBdr>
    </w:div>
    <w:div w:id="1030186708">
      <w:bodyDiv w:val="1"/>
      <w:marLeft w:val="0"/>
      <w:marRight w:val="0"/>
      <w:marTop w:val="0"/>
      <w:marBottom w:val="0"/>
      <w:divBdr>
        <w:top w:val="none" w:sz="0" w:space="0" w:color="auto"/>
        <w:left w:val="none" w:sz="0" w:space="0" w:color="auto"/>
        <w:bottom w:val="none" w:sz="0" w:space="0" w:color="auto"/>
        <w:right w:val="none" w:sz="0" w:space="0" w:color="auto"/>
      </w:divBdr>
    </w:div>
    <w:div w:id="1090782932">
      <w:bodyDiv w:val="1"/>
      <w:marLeft w:val="0"/>
      <w:marRight w:val="0"/>
      <w:marTop w:val="0"/>
      <w:marBottom w:val="0"/>
      <w:divBdr>
        <w:top w:val="none" w:sz="0" w:space="0" w:color="auto"/>
        <w:left w:val="none" w:sz="0" w:space="0" w:color="auto"/>
        <w:bottom w:val="none" w:sz="0" w:space="0" w:color="auto"/>
        <w:right w:val="none" w:sz="0" w:space="0" w:color="auto"/>
      </w:divBdr>
    </w:div>
    <w:div w:id="1227378364">
      <w:bodyDiv w:val="1"/>
      <w:marLeft w:val="0"/>
      <w:marRight w:val="0"/>
      <w:marTop w:val="0"/>
      <w:marBottom w:val="0"/>
      <w:divBdr>
        <w:top w:val="none" w:sz="0" w:space="0" w:color="auto"/>
        <w:left w:val="none" w:sz="0" w:space="0" w:color="auto"/>
        <w:bottom w:val="none" w:sz="0" w:space="0" w:color="auto"/>
        <w:right w:val="none" w:sz="0" w:space="0" w:color="auto"/>
      </w:divBdr>
    </w:div>
    <w:div w:id="1272929775">
      <w:bodyDiv w:val="1"/>
      <w:marLeft w:val="0"/>
      <w:marRight w:val="0"/>
      <w:marTop w:val="0"/>
      <w:marBottom w:val="0"/>
      <w:divBdr>
        <w:top w:val="none" w:sz="0" w:space="0" w:color="auto"/>
        <w:left w:val="none" w:sz="0" w:space="0" w:color="auto"/>
        <w:bottom w:val="none" w:sz="0" w:space="0" w:color="auto"/>
        <w:right w:val="none" w:sz="0" w:space="0" w:color="auto"/>
      </w:divBdr>
    </w:div>
    <w:div w:id="1274092387">
      <w:bodyDiv w:val="1"/>
      <w:marLeft w:val="0"/>
      <w:marRight w:val="0"/>
      <w:marTop w:val="0"/>
      <w:marBottom w:val="0"/>
      <w:divBdr>
        <w:top w:val="none" w:sz="0" w:space="0" w:color="auto"/>
        <w:left w:val="none" w:sz="0" w:space="0" w:color="auto"/>
        <w:bottom w:val="none" w:sz="0" w:space="0" w:color="auto"/>
        <w:right w:val="none" w:sz="0" w:space="0" w:color="auto"/>
      </w:divBdr>
    </w:div>
    <w:div w:id="1312297055">
      <w:bodyDiv w:val="1"/>
      <w:marLeft w:val="0"/>
      <w:marRight w:val="0"/>
      <w:marTop w:val="0"/>
      <w:marBottom w:val="0"/>
      <w:divBdr>
        <w:top w:val="none" w:sz="0" w:space="0" w:color="auto"/>
        <w:left w:val="none" w:sz="0" w:space="0" w:color="auto"/>
        <w:bottom w:val="none" w:sz="0" w:space="0" w:color="auto"/>
        <w:right w:val="none" w:sz="0" w:space="0" w:color="auto"/>
      </w:divBdr>
    </w:div>
    <w:div w:id="1373309806">
      <w:bodyDiv w:val="1"/>
      <w:marLeft w:val="0"/>
      <w:marRight w:val="0"/>
      <w:marTop w:val="0"/>
      <w:marBottom w:val="0"/>
      <w:divBdr>
        <w:top w:val="none" w:sz="0" w:space="0" w:color="auto"/>
        <w:left w:val="none" w:sz="0" w:space="0" w:color="auto"/>
        <w:bottom w:val="none" w:sz="0" w:space="0" w:color="auto"/>
        <w:right w:val="none" w:sz="0" w:space="0" w:color="auto"/>
      </w:divBdr>
    </w:div>
    <w:div w:id="1381637150">
      <w:bodyDiv w:val="1"/>
      <w:marLeft w:val="0"/>
      <w:marRight w:val="0"/>
      <w:marTop w:val="0"/>
      <w:marBottom w:val="0"/>
      <w:divBdr>
        <w:top w:val="none" w:sz="0" w:space="0" w:color="auto"/>
        <w:left w:val="none" w:sz="0" w:space="0" w:color="auto"/>
        <w:bottom w:val="none" w:sz="0" w:space="0" w:color="auto"/>
        <w:right w:val="none" w:sz="0" w:space="0" w:color="auto"/>
      </w:divBdr>
    </w:div>
    <w:div w:id="1458987953">
      <w:bodyDiv w:val="1"/>
      <w:marLeft w:val="0"/>
      <w:marRight w:val="0"/>
      <w:marTop w:val="0"/>
      <w:marBottom w:val="0"/>
      <w:divBdr>
        <w:top w:val="none" w:sz="0" w:space="0" w:color="auto"/>
        <w:left w:val="none" w:sz="0" w:space="0" w:color="auto"/>
        <w:bottom w:val="none" w:sz="0" w:space="0" w:color="auto"/>
        <w:right w:val="none" w:sz="0" w:space="0" w:color="auto"/>
      </w:divBdr>
    </w:div>
    <w:div w:id="1505317710">
      <w:bodyDiv w:val="1"/>
      <w:marLeft w:val="0"/>
      <w:marRight w:val="0"/>
      <w:marTop w:val="0"/>
      <w:marBottom w:val="0"/>
      <w:divBdr>
        <w:top w:val="none" w:sz="0" w:space="0" w:color="auto"/>
        <w:left w:val="none" w:sz="0" w:space="0" w:color="auto"/>
        <w:bottom w:val="none" w:sz="0" w:space="0" w:color="auto"/>
        <w:right w:val="none" w:sz="0" w:space="0" w:color="auto"/>
      </w:divBdr>
    </w:div>
    <w:div w:id="1552498881">
      <w:bodyDiv w:val="1"/>
      <w:marLeft w:val="0"/>
      <w:marRight w:val="0"/>
      <w:marTop w:val="0"/>
      <w:marBottom w:val="0"/>
      <w:divBdr>
        <w:top w:val="none" w:sz="0" w:space="0" w:color="auto"/>
        <w:left w:val="none" w:sz="0" w:space="0" w:color="auto"/>
        <w:bottom w:val="none" w:sz="0" w:space="0" w:color="auto"/>
        <w:right w:val="none" w:sz="0" w:space="0" w:color="auto"/>
      </w:divBdr>
    </w:div>
    <w:div w:id="1605914281">
      <w:bodyDiv w:val="1"/>
      <w:marLeft w:val="0"/>
      <w:marRight w:val="0"/>
      <w:marTop w:val="0"/>
      <w:marBottom w:val="0"/>
      <w:divBdr>
        <w:top w:val="none" w:sz="0" w:space="0" w:color="auto"/>
        <w:left w:val="none" w:sz="0" w:space="0" w:color="auto"/>
        <w:bottom w:val="none" w:sz="0" w:space="0" w:color="auto"/>
        <w:right w:val="none" w:sz="0" w:space="0" w:color="auto"/>
      </w:divBdr>
    </w:div>
    <w:div w:id="1732189702">
      <w:bodyDiv w:val="1"/>
      <w:marLeft w:val="0"/>
      <w:marRight w:val="0"/>
      <w:marTop w:val="0"/>
      <w:marBottom w:val="0"/>
      <w:divBdr>
        <w:top w:val="none" w:sz="0" w:space="0" w:color="auto"/>
        <w:left w:val="none" w:sz="0" w:space="0" w:color="auto"/>
        <w:bottom w:val="none" w:sz="0" w:space="0" w:color="auto"/>
        <w:right w:val="none" w:sz="0" w:space="0" w:color="auto"/>
      </w:divBdr>
    </w:div>
    <w:div w:id="1851749719">
      <w:bodyDiv w:val="1"/>
      <w:marLeft w:val="0"/>
      <w:marRight w:val="0"/>
      <w:marTop w:val="0"/>
      <w:marBottom w:val="0"/>
      <w:divBdr>
        <w:top w:val="none" w:sz="0" w:space="0" w:color="auto"/>
        <w:left w:val="none" w:sz="0" w:space="0" w:color="auto"/>
        <w:bottom w:val="none" w:sz="0" w:space="0" w:color="auto"/>
        <w:right w:val="none" w:sz="0" w:space="0" w:color="auto"/>
      </w:divBdr>
    </w:div>
    <w:div w:id="2011641300">
      <w:bodyDiv w:val="1"/>
      <w:marLeft w:val="0"/>
      <w:marRight w:val="0"/>
      <w:marTop w:val="0"/>
      <w:marBottom w:val="0"/>
      <w:divBdr>
        <w:top w:val="none" w:sz="0" w:space="0" w:color="auto"/>
        <w:left w:val="none" w:sz="0" w:space="0" w:color="auto"/>
        <w:bottom w:val="none" w:sz="0" w:space="0" w:color="auto"/>
        <w:right w:val="none" w:sz="0" w:space="0" w:color="auto"/>
      </w:divBdr>
    </w:div>
    <w:div w:id="2022312221">
      <w:bodyDiv w:val="1"/>
      <w:marLeft w:val="0"/>
      <w:marRight w:val="0"/>
      <w:marTop w:val="0"/>
      <w:marBottom w:val="0"/>
      <w:divBdr>
        <w:top w:val="none" w:sz="0" w:space="0" w:color="auto"/>
        <w:left w:val="none" w:sz="0" w:space="0" w:color="auto"/>
        <w:bottom w:val="none" w:sz="0" w:space="0" w:color="auto"/>
        <w:right w:val="none" w:sz="0" w:space="0" w:color="auto"/>
      </w:divBdr>
    </w:div>
    <w:div w:id="213132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2023-075665" TargetMode="External"/><Relationship Id="rId18" Type="http://schemas.openxmlformats.org/officeDocument/2006/relationships/hyperlink" Target="https://english.elpais.com/politics/2020-10-15/spanish-health-minister-on-pandemic-the-situation-is-worrying-unstable-and-fragile.html" TargetMode="External"/><Relationship Id="rId26" Type="http://schemas.openxmlformats.org/officeDocument/2006/relationships/hyperlink" Target="https://doi.org/10.1016/S1048-9843(97)90014-X" TargetMode="External"/><Relationship Id="rId39" Type="http://schemas.openxmlformats.org/officeDocument/2006/relationships/hyperlink" Target="https://doi.org/10.1111/puar.13214" TargetMode="External"/><Relationship Id="rId21" Type="http://schemas.openxmlformats.org/officeDocument/2006/relationships/hyperlink" Target="https://www.ecdc.europa.eu/sites/default/files/documents/Variable_Dictionary_VaccineTracker-5-april-2023.pdf" TargetMode="External"/><Relationship Id="rId34" Type="http://schemas.openxmlformats.org/officeDocument/2006/relationships/hyperlink" Target="https://doi.org/10.1016/j.trip.2020.100111" TargetMode="External"/><Relationship Id="rId42" Type="http://schemas.openxmlformats.org/officeDocument/2006/relationships/hyperlink" Target="https://www.koreamed.org/SearchBasic.php?RID=2509608" TargetMode="External"/><Relationship Id="rId47" Type="http://schemas.openxmlformats.org/officeDocument/2006/relationships/hyperlink" Target="https://doi.org/10.1002/epa2.1099" TargetMode="External"/><Relationship Id="rId50" Type="http://schemas.openxmlformats.org/officeDocument/2006/relationships/hyperlink" Target="https://doi.org/10.1080/00223980.1948.9917362" TargetMode="External"/><Relationship Id="rId55" Type="http://schemas.openxmlformats.org/officeDocument/2006/relationships/hyperlink" Target="https://doi.org/10.1037/0003-066x.62.1.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423/jlae.v20i5.6658" TargetMode="External"/><Relationship Id="rId29" Type="http://schemas.openxmlformats.org/officeDocument/2006/relationships/hyperlink" Target="https://url-shortener.me/4W5P" TargetMode="External"/><Relationship Id="rId11" Type="http://schemas.openxmlformats.org/officeDocument/2006/relationships/hyperlink" Target="https://doi.org/10.3390/vaccines11040782" TargetMode="External"/><Relationship Id="rId24" Type="http://schemas.openxmlformats.org/officeDocument/2006/relationships/hyperlink" Target="https://www.google.com/covid19/mobility/" TargetMode="External"/><Relationship Id="rId32" Type="http://schemas.openxmlformats.org/officeDocument/2006/relationships/hyperlink" Target="https://doi.org/10.1080/25741292.2025.2523104" TargetMode="External"/><Relationship Id="rId37" Type="http://schemas.openxmlformats.org/officeDocument/2006/relationships/hyperlink" Target="https://doi.org/10.1080/25741292.2020.1824379" TargetMode="External"/><Relationship Id="rId40" Type="http://schemas.openxmlformats.org/officeDocument/2006/relationships/hyperlink" Target="https://url-shortener.me/4WBA" TargetMode="External"/><Relationship Id="rId45" Type="http://schemas.openxmlformats.org/officeDocument/2006/relationships/hyperlink" Target="https://health-infobase.canada.ca/covid-19/vaccination-coverage/" TargetMode="External"/><Relationship Id="rId53" Type="http://schemas.openxmlformats.org/officeDocument/2006/relationships/hyperlink" Target="https://iris.who.int/server/api/core/bitstreams/464ce845-e6c6-4e0d-9030-a13533c20f45/content"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1080/13678868.2020.178007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rl-shortener.me/4W2F" TargetMode="External"/><Relationship Id="rId22" Type="http://schemas.openxmlformats.org/officeDocument/2006/relationships/hyperlink" Target="https://eurohealthobservatory.who.int/publications/i/spain-health-system-review-2024" TargetMode="External"/><Relationship Id="rId27" Type="http://schemas.openxmlformats.org/officeDocument/2006/relationships/hyperlink" Target="https://www.fulcrum.org/concern/monographs/jq085n03q" TargetMode="External"/><Relationship Id="rId30" Type="http://schemas.openxmlformats.org/officeDocument/2006/relationships/hyperlink" Target="https://psycnet.apa.org/record/1970-19661-001?ref=insight.openexo.com" TargetMode="External"/><Relationship Id="rId35" Type="http://schemas.openxmlformats.org/officeDocument/2006/relationships/hyperlink" Target="https://doi.org/10.1016/s2468-2667(20)30060-8" TargetMode="External"/><Relationship Id="rId43" Type="http://schemas.openxmlformats.org/officeDocument/2006/relationships/hyperlink" Target="https://url-shortener.me/4WCL" TargetMode="External"/><Relationship Id="rId48" Type="http://schemas.openxmlformats.org/officeDocument/2006/relationships/hyperlink" Target="https://covid19dataportal.es/" TargetMode="External"/><Relationship Id="rId5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doi.org/10.1016/j.healthpol.2021.06.012" TargetMode="External"/><Relationship Id="rId3" Type="http://schemas.openxmlformats.org/officeDocument/2006/relationships/styles" Target="styles.xml"/><Relationship Id="rId12" Type="http://schemas.openxmlformats.org/officeDocument/2006/relationships/hyperlink" Target="https://doi.org/10.1002/hrm.3930250310" TargetMode="External"/><Relationship Id="rId17" Type="http://schemas.openxmlformats.org/officeDocument/2006/relationships/hyperlink" Target="https://doi.org/10.1177/0846537120926752?urlappend=%3Futm_source%3Dresearchgate.net%26utm_medium%3Darticle" TargetMode="External"/><Relationship Id="rId25" Type="http://schemas.openxmlformats.org/officeDocument/2006/relationships/hyperlink" Target="https://www.canada.ca/en/public-health/services/diseases/2019-novel-coronavirus-infection/canadas-reponse.html" TargetMode="External"/><Relationship Id="rId33" Type="http://schemas.openxmlformats.org/officeDocument/2006/relationships/hyperlink" Target="https://www.korea.net/Government/Briefing-Room/Press-Releases/view?articleId=7975&amp;type=O&amp;insttCode=A110445" TargetMode="External"/><Relationship Id="rId38" Type="http://schemas.openxmlformats.org/officeDocument/2006/relationships/hyperlink" Target="https://www.ebooks.com/en-gb/book/1455138/the-5-levels-of-leadership/john-c-maxwell/?srsltid=AfmBOoqcP6QRqtyc2wafoDAVP0h3dUm_6zZvtgr9kLlQz8N21GLRtAyV" TargetMode="External"/><Relationship Id="rId46" Type="http://schemas.openxmlformats.org/officeDocument/2006/relationships/hyperlink" Target="https://www.ramonycajalabogados.com/en/spanish-royal-decree-4632020-march-14th-2020-declaring-state-alarm" TargetMode="External"/><Relationship Id="rId20" Type="http://schemas.openxmlformats.org/officeDocument/2006/relationships/hyperlink" Target="https://doi.org/10.1016/j.healthpol.2021.11.009" TargetMode="External"/><Relationship Id="rId41" Type="http://schemas.openxmlformats.org/officeDocument/2006/relationships/hyperlink" Target="https://www.oecd.org/en/publications/health-at-a-glance-2021_ae3016b9-en.html" TargetMode="External"/><Relationship Id="rId54" Type="http://schemas.openxmlformats.org/officeDocument/2006/relationships/hyperlink" Target="https://www.who.int/about/accountability/results/who-results-report-2022-2023/outcome/2023/strengthened-leadership--governance-and-advocacy-for-health"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0408363.2020.1783198" TargetMode="External"/><Relationship Id="rId23" Type="http://schemas.openxmlformats.org/officeDocument/2006/relationships/hyperlink" Target="https://url-shortener.me/4W4W" TargetMode="External"/><Relationship Id="rId28" Type="http://schemas.openxmlformats.org/officeDocument/2006/relationships/hyperlink" Target="https://doi.org/10.1080/17441692.2020.1783340" TargetMode="External"/><Relationship Id="rId36" Type="http://schemas.openxmlformats.org/officeDocument/2006/relationships/hyperlink" Target="https://www.scirp.org/reference/referencespapers?referenceid=3627544" TargetMode="External"/><Relationship Id="rId49" Type="http://schemas.openxmlformats.org/officeDocument/2006/relationships/hyperlink" Target="https://doi.org/10.1503/cmaj.201197" TargetMode="External"/><Relationship Id="rId57" Type="http://schemas.openxmlformats.org/officeDocument/2006/relationships/fontTable" Target="fontTable.xml"/><Relationship Id="rId10" Type="http://schemas.openxmlformats.org/officeDocument/2006/relationships/hyperlink" Target="https://doi.org/10.3390/ijerph18084026" TargetMode="External"/><Relationship Id="rId31" Type="http://schemas.openxmlformats.org/officeDocument/2006/relationships/hyperlink" Target="https://doi.org/10.47604/ijlg.2692" TargetMode="External"/><Relationship Id="rId44" Type="http://schemas.openxmlformats.org/officeDocument/2006/relationships/hyperlink" Target="https://health-infobase.canada.ca/covid-19/vaccination-coverage/" TargetMode="External"/><Relationship Id="rId52" Type="http://schemas.openxmlformats.org/officeDocument/2006/relationships/hyperlink" Target="https://www.who.int/westernpacific/news/item/28-07-2015-intensified-public-health-measures-help-control-mers-cov-outbreak-in-the-republic-of-kor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F76AB-E6A8-465D-93A9-783AD8908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9704</TotalTime>
  <Pages>24</Pages>
  <Words>8265</Words>
  <Characters>47117</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PC</dc:creator>
  <cp:keywords/>
  <dc:description/>
  <cp:lastModifiedBy>Patricia Kelly-Lambo (2215117)</cp:lastModifiedBy>
  <cp:revision>12</cp:revision>
  <cp:lastPrinted>2025-12-05T14:52:00Z</cp:lastPrinted>
  <dcterms:created xsi:type="dcterms:W3CDTF">2025-12-05T14:50:00Z</dcterms:created>
  <dcterms:modified xsi:type="dcterms:W3CDTF">2025-12-24T04:59:00Z</dcterms:modified>
</cp:coreProperties>
</file>