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3010931" w:displacedByCustomXml="next"/>
    <w:sdt>
      <w:sdtPr>
        <w:rPr>
          <w:rFonts w:eastAsiaTheme="minorHAnsi"/>
          <w:kern w:val="2"/>
          <w:sz w:val="2"/>
          <w:szCs w:val="24"/>
          <w:lang w:val="en-GB"/>
          <w14:ligatures w14:val="standardContextual"/>
        </w:rPr>
        <w:id w:val="-801457281"/>
        <w:docPartObj>
          <w:docPartGallery w:val="Cover Pages"/>
          <w:docPartUnique/>
        </w:docPartObj>
      </w:sdtPr>
      <w:sdtEndPr>
        <w:rPr>
          <w:sz w:val="24"/>
        </w:rPr>
      </w:sdtEndPr>
      <w:sdtContent>
        <w:p w14:paraId="2E5A7F51" w14:textId="3A378790" w:rsidR="00FE7921" w:rsidRDefault="00FE7921" w:rsidP="00445EBE">
          <w:pPr>
            <w:pStyle w:val="NoSpacing"/>
          </w:pPr>
          <w:r>
            <w:rPr>
              <w:noProof/>
            </w:rPr>
            <mc:AlternateContent>
              <mc:Choice Requires="wps">
                <w:drawing>
                  <wp:anchor distT="0" distB="0" distL="114300" distR="114300" simplePos="0" relativeHeight="251661312" behindDoc="0" locked="0" layoutInCell="1" allowOverlap="1" wp14:anchorId="60D30151" wp14:editId="6783D80C">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9494D10" w14:textId="022AACE5" w:rsidR="00FE7921" w:rsidRDefault="00C7478B" w:rsidP="00C7478B">
                                    <w:pPr>
                                      <w:pStyle w:val="NoSpacing"/>
                                      <w:rPr>
                                        <w:rFonts w:asciiTheme="majorHAnsi" w:eastAsiaTheme="majorEastAsia" w:hAnsiTheme="majorHAnsi" w:cstheme="majorBidi"/>
                                        <w:caps/>
                                        <w:color w:val="2C7FCE" w:themeColor="text2" w:themeTint="99"/>
                                        <w:sz w:val="68"/>
                                        <w:szCs w:val="68"/>
                                      </w:rPr>
                                    </w:pPr>
                                    <w:r w:rsidRPr="00C7478B">
                                      <w:rPr>
                                        <w:rFonts w:asciiTheme="majorHAnsi" w:eastAsiaTheme="majorEastAsia" w:hAnsiTheme="majorHAnsi" w:cstheme="majorBidi"/>
                                        <w:caps/>
                                        <w:color w:val="2C7FCE" w:themeColor="text2" w:themeTint="99"/>
                                        <w:sz w:val="36"/>
                                        <w:szCs w:val="36"/>
                                      </w:rPr>
                                      <w:t>ASSIGNMENT TITLE: COMPONENT 1. WRITTEN ASSIGNMENT (</w:t>
                                    </w:r>
                                    <w:r>
                                      <w:rPr>
                                        <w:rFonts w:asciiTheme="majorHAnsi" w:eastAsiaTheme="majorEastAsia" w:hAnsiTheme="majorHAnsi" w:cstheme="majorBidi"/>
                                        <w:caps/>
                                        <w:color w:val="2C7FCE" w:themeColor="text2" w:themeTint="99"/>
                                        <w:sz w:val="36"/>
                                        <w:szCs w:val="36"/>
                                      </w:rPr>
                                      <w:t xml:space="preserve">case study </w:t>
                                    </w:r>
                                    <w:r w:rsidR="00445EBE">
                                      <w:rPr>
                                        <w:rFonts w:asciiTheme="majorHAnsi" w:eastAsiaTheme="majorEastAsia" w:hAnsiTheme="majorHAnsi" w:cstheme="majorBidi"/>
                                        <w:caps/>
                                        <w:color w:val="2C7FCE" w:themeColor="text2" w:themeTint="99"/>
                                        <w:sz w:val="36"/>
                                        <w:szCs w:val="36"/>
                                      </w:rPr>
                                      <w:t>report</w:t>
                                    </w:r>
                                    <w:r w:rsidRPr="00C7478B">
                                      <w:rPr>
                                        <w:rFonts w:asciiTheme="majorHAnsi" w:eastAsiaTheme="majorEastAsia" w:hAnsiTheme="majorHAnsi" w:cstheme="majorBidi"/>
                                        <w:caps/>
                                        <w:color w:val="2C7FCE" w:themeColor="text2" w:themeTint="99"/>
                                        <w:sz w:val="36"/>
                                        <w:szCs w:val="36"/>
                                      </w:rPr>
                                      <w:t>)</w:t>
                                    </w:r>
                                    <w:r w:rsidR="00445EBE">
                                      <w:rPr>
                                        <w:rFonts w:asciiTheme="majorHAnsi" w:eastAsiaTheme="majorEastAsia" w:hAnsiTheme="majorHAnsi" w:cstheme="majorBidi"/>
                                        <w:caps/>
                                        <w:color w:val="2C7FCE" w:themeColor="text2" w:themeTint="99"/>
                                        <w:sz w:val="36"/>
                                        <w:szCs w:val="36"/>
                                      </w:rPr>
                                      <w:t xml:space="preserve">     (case study1 )                                     </w:t>
                                    </w:r>
                                    <w:r w:rsidRPr="00C7478B">
                                      <w:rPr>
                                        <w:rFonts w:asciiTheme="majorHAnsi" w:eastAsiaTheme="majorEastAsia" w:hAnsiTheme="majorHAnsi" w:cstheme="majorBidi"/>
                                        <w:caps/>
                                        <w:color w:val="2C7FCE" w:themeColor="text2" w:themeTint="99"/>
                                        <w:sz w:val="36"/>
                                        <w:szCs w:val="36"/>
                                      </w:rPr>
                                      <w:t>MODULE:</w:t>
                                    </w:r>
                                    <w:r w:rsidR="00445EBE">
                                      <w:rPr>
                                        <w:rFonts w:asciiTheme="majorHAnsi" w:eastAsiaTheme="majorEastAsia" w:hAnsiTheme="majorHAnsi" w:cstheme="majorBidi"/>
                                        <w:caps/>
                                        <w:color w:val="2C7FCE" w:themeColor="text2" w:themeTint="99"/>
                                        <w:sz w:val="36"/>
                                        <w:szCs w:val="36"/>
                                      </w:rPr>
                                      <w:t xml:space="preserve"> introduction to physiology               </w:t>
                                    </w:r>
                                    <w:r w:rsidRPr="00C7478B">
                                      <w:rPr>
                                        <w:rFonts w:asciiTheme="majorHAnsi" w:eastAsiaTheme="majorEastAsia" w:hAnsiTheme="majorHAnsi" w:cstheme="majorBidi"/>
                                        <w:caps/>
                                        <w:color w:val="2C7FCE" w:themeColor="text2" w:themeTint="99"/>
                                        <w:sz w:val="36"/>
                                        <w:szCs w:val="36"/>
                                      </w:rPr>
                                      <w:t>M</w:t>
                                    </w:r>
                                    <w:r w:rsidR="00445EBE">
                                      <w:rPr>
                                        <w:rFonts w:asciiTheme="majorHAnsi" w:eastAsiaTheme="majorEastAsia" w:hAnsiTheme="majorHAnsi" w:cstheme="majorBidi"/>
                                        <w:caps/>
                                        <w:color w:val="2C7FCE" w:themeColor="text2" w:themeTint="99"/>
                                        <w:sz w:val="36"/>
                                        <w:szCs w:val="36"/>
                                      </w:rPr>
                                      <w:t>o</w:t>
                                    </w:r>
                                    <w:r w:rsidRPr="00C7478B">
                                      <w:rPr>
                                        <w:rFonts w:asciiTheme="majorHAnsi" w:eastAsiaTheme="majorEastAsia" w:hAnsiTheme="majorHAnsi" w:cstheme="majorBidi"/>
                                        <w:caps/>
                                        <w:color w:val="2C7FCE" w:themeColor="text2" w:themeTint="99"/>
                                        <w:sz w:val="36"/>
                                        <w:szCs w:val="36"/>
                                      </w:rPr>
                                      <w:t>DULE CODE: BMHP50</w:t>
                                    </w:r>
                                    <w:r w:rsidR="00445EBE">
                                      <w:rPr>
                                        <w:rFonts w:asciiTheme="majorHAnsi" w:eastAsiaTheme="majorEastAsia" w:hAnsiTheme="majorHAnsi" w:cstheme="majorBidi"/>
                                        <w:caps/>
                                        <w:color w:val="2C7FCE" w:themeColor="text2" w:themeTint="99"/>
                                        <w:sz w:val="36"/>
                                        <w:szCs w:val="36"/>
                                      </w:rPr>
                                      <w:t>23</w:t>
                                    </w:r>
                                  </w:p>
                                </w:sdtContent>
                              </w:sdt>
                              <w:p w14:paraId="191C56B7" w14:textId="29FD15CB" w:rsidR="003C040B" w:rsidRPr="003C040B" w:rsidRDefault="00000000" w:rsidP="00C7478B">
                                <w:pPr>
                                  <w:pStyle w:val="NoSpacing"/>
                                  <w:spacing w:before="120"/>
                                  <w:rPr>
                                    <w:noProof/>
                                  </w:rPr>
                                </w:pPr>
                                <w:sdt>
                                  <w:sdtPr>
                                    <w:rPr>
                                      <w:rFonts w:asciiTheme="majorHAnsi" w:eastAsiaTheme="majorEastAsia" w:hAnsiTheme="majorHAnsi" w:cstheme="majorBidi"/>
                                      <w:caps/>
                                      <w:color w:val="2C7FCE" w:themeColor="text2" w:themeTint="99"/>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C7478B" w:rsidRPr="00C7478B">
                                      <w:rPr>
                                        <w:rFonts w:asciiTheme="majorHAnsi" w:eastAsiaTheme="majorEastAsia" w:hAnsiTheme="majorHAnsi" w:cstheme="majorBidi"/>
                                        <w:caps/>
                                        <w:color w:val="2C7FCE" w:themeColor="text2" w:themeTint="99"/>
                                        <w:sz w:val="36"/>
                                        <w:szCs w:val="36"/>
                                      </w:rPr>
                                      <w:t xml:space="preserve">MODULE TUTOR: </w:t>
                                    </w:r>
                                    <w:r w:rsidR="00445EBE">
                                      <w:rPr>
                                        <w:rFonts w:asciiTheme="majorHAnsi" w:eastAsiaTheme="majorEastAsia" w:hAnsiTheme="majorHAnsi" w:cstheme="majorBidi"/>
                                        <w:caps/>
                                        <w:color w:val="2C7FCE" w:themeColor="text2" w:themeTint="99"/>
                                        <w:sz w:val="36"/>
                                        <w:szCs w:val="36"/>
                                      </w:rPr>
                                      <w:t xml:space="preserve">robert nartowski                                         </w:t>
                                    </w:r>
                                    <w:r w:rsidR="00C7478B" w:rsidRPr="00C7478B">
                                      <w:rPr>
                                        <w:rFonts w:asciiTheme="majorHAnsi" w:eastAsiaTheme="majorEastAsia" w:hAnsiTheme="majorHAnsi" w:cstheme="majorBidi"/>
                                        <w:caps/>
                                        <w:color w:val="2C7FCE" w:themeColor="text2" w:themeTint="99"/>
                                        <w:sz w:val="36"/>
                                        <w:szCs w:val="36"/>
                                      </w:rPr>
                                      <w:t>WORD COUNT: 21</w:t>
                                    </w:r>
                                    <w:r w:rsidR="00445EBE">
                                      <w:rPr>
                                        <w:rFonts w:asciiTheme="majorHAnsi" w:eastAsiaTheme="majorEastAsia" w:hAnsiTheme="majorHAnsi" w:cstheme="majorBidi"/>
                                        <w:caps/>
                                        <w:color w:val="2C7FCE" w:themeColor="text2" w:themeTint="99"/>
                                        <w:sz w:val="36"/>
                                        <w:szCs w:val="36"/>
                                      </w:rPr>
                                      <w:t>8</w:t>
                                    </w:r>
                                    <w:r w:rsidR="00C7478B" w:rsidRPr="00C7478B">
                                      <w:rPr>
                                        <w:rFonts w:asciiTheme="majorHAnsi" w:eastAsiaTheme="majorEastAsia" w:hAnsiTheme="majorHAnsi" w:cstheme="majorBidi"/>
                                        <w:caps/>
                                        <w:color w:val="2C7FCE" w:themeColor="text2" w:themeTint="99"/>
                                        <w:sz w:val="36"/>
                                        <w:szCs w:val="36"/>
                                      </w:rPr>
                                      <w:t>8</w:t>
                                    </w:r>
                                    <w:r w:rsidR="00445EBE">
                                      <w:rPr>
                                        <w:rFonts w:asciiTheme="majorHAnsi" w:eastAsiaTheme="majorEastAsia" w:hAnsiTheme="majorHAnsi" w:cstheme="majorBidi"/>
                                        <w:caps/>
                                        <w:color w:val="2C7FCE" w:themeColor="text2" w:themeTint="99"/>
                                        <w:sz w:val="36"/>
                                        <w:szCs w:val="36"/>
                                      </w:rPr>
                                      <w:t xml:space="preserve">  </w:t>
                                    </w:r>
                                    <w:r w:rsidR="003C040B">
                                      <w:rPr>
                                        <w:rFonts w:asciiTheme="majorHAnsi" w:eastAsiaTheme="majorEastAsia" w:hAnsiTheme="majorHAnsi" w:cstheme="majorBidi"/>
                                        <w:caps/>
                                        <w:color w:val="2C7FCE" w:themeColor="text2" w:themeTint="99"/>
                                        <w:sz w:val="36"/>
                                        <w:szCs w:val="36"/>
                                      </w:rPr>
                                      <w:t xml:space="preserve">                                                        </w:t>
                                    </w:r>
                                    <w:r w:rsidR="00445EBE">
                                      <w:rPr>
                                        <w:rFonts w:asciiTheme="majorHAnsi" w:eastAsiaTheme="majorEastAsia" w:hAnsiTheme="majorHAnsi" w:cstheme="majorBidi"/>
                                        <w:caps/>
                                        <w:color w:val="2C7FCE" w:themeColor="text2" w:themeTint="99"/>
                                        <w:sz w:val="36"/>
                                        <w:szCs w:val="36"/>
                                      </w:rPr>
                                      <w:t xml:space="preserve">   </w:t>
                                    </w:r>
                                    <w:r w:rsidR="003C040B">
                                      <w:rPr>
                                        <w:rFonts w:asciiTheme="majorHAnsi" w:eastAsiaTheme="majorEastAsia" w:hAnsiTheme="majorHAnsi" w:cstheme="majorBidi"/>
                                        <w:caps/>
                                        <w:color w:val="2C7FCE" w:themeColor="text2" w:themeTint="99"/>
                                        <w:sz w:val="36"/>
                                        <w:szCs w:val="36"/>
                                      </w:rPr>
                                      <w:t>STUDENT NAME: QASIM HASAN</w:t>
                                    </w:r>
                                    <w:r w:rsidR="00445EBE">
                                      <w:rPr>
                                        <w:rFonts w:asciiTheme="majorHAnsi" w:eastAsiaTheme="majorEastAsia" w:hAnsiTheme="majorHAnsi" w:cstheme="majorBidi"/>
                                        <w:caps/>
                                        <w:color w:val="2C7FCE" w:themeColor="text2" w:themeTint="99"/>
                                        <w:sz w:val="36"/>
                                        <w:szCs w:val="36"/>
                                      </w:rPr>
                                      <w:t xml:space="preserve">                                                         </w:t>
                                    </w:r>
                                    <w:r w:rsidR="00C7478B" w:rsidRPr="00C7478B">
                                      <w:rPr>
                                        <w:rFonts w:asciiTheme="majorHAnsi" w:eastAsiaTheme="majorEastAsia" w:hAnsiTheme="majorHAnsi" w:cstheme="majorBidi"/>
                                        <w:caps/>
                                        <w:color w:val="2C7FCE" w:themeColor="text2" w:themeTint="99"/>
                                        <w:sz w:val="36"/>
                                        <w:szCs w:val="36"/>
                                      </w:rPr>
                                      <w:t>STUDENT ID: 2410267</w:t>
                                    </w:r>
                                  </w:sdtContent>
                                </w:sdt>
                                <w:r w:rsidR="00FE7921">
                                  <w:rPr>
                                    <w:noProof/>
                                  </w:rPr>
                                  <w:t xml:space="preserve"> </w:t>
                                </w:r>
                              </w:p>
                              <w:p w14:paraId="068B6B42" w14:textId="77777777" w:rsidR="00FE7921" w:rsidRDefault="00FE79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60D30151"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9494D10" w14:textId="022AACE5" w:rsidR="00FE7921" w:rsidRDefault="00C7478B" w:rsidP="00C7478B">
                              <w:pPr>
                                <w:pStyle w:val="NoSpacing"/>
                                <w:rPr>
                                  <w:rFonts w:asciiTheme="majorHAnsi" w:eastAsiaTheme="majorEastAsia" w:hAnsiTheme="majorHAnsi" w:cstheme="majorBidi"/>
                                  <w:caps/>
                                  <w:color w:val="2C7FCE" w:themeColor="text2" w:themeTint="99"/>
                                  <w:sz w:val="68"/>
                                  <w:szCs w:val="68"/>
                                </w:rPr>
                              </w:pPr>
                              <w:r w:rsidRPr="00C7478B">
                                <w:rPr>
                                  <w:rFonts w:asciiTheme="majorHAnsi" w:eastAsiaTheme="majorEastAsia" w:hAnsiTheme="majorHAnsi" w:cstheme="majorBidi"/>
                                  <w:caps/>
                                  <w:color w:val="2C7FCE" w:themeColor="text2" w:themeTint="99"/>
                                  <w:sz w:val="36"/>
                                  <w:szCs w:val="36"/>
                                </w:rPr>
                                <w:t>ASSIGNMENT TITLE: COMPONENT 1. WRITTEN ASSIGNMENT (</w:t>
                              </w:r>
                              <w:r>
                                <w:rPr>
                                  <w:rFonts w:asciiTheme="majorHAnsi" w:eastAsiaTheme="majorEastAsia" w:hAnsiTheme="majorHAnsi" w:cstheme="majorBidi"/>
                                  <w:caps/>
                                  <w:color w:val="2C7FCE" w:themeColor="text2" w:themeTint="99"/>
                                  <w:sz w:val="36"/>
                                  <w:szCs w:val="36"/>
                                </w:rPr>
                                <w:t xml:space="preserve">case study </w:t>
                              </w:r>
                              <w:r w:rsidR="00445EBE">
                                <w:rPr>
                                  <w:rFonts w:asciiTheme="majorHAnsi" w:eastAsiaTheme="majorEastAsia" w:hAnsiTheme="majorHAnsi" w:cstheme="majorBidi"/>
                                  <w:caps/>
                                  <w:color w:val="2C7FCE" w:themeColor="text2" w:themeTint="99"/>
                                  <w:sz w:val="36"/>
                                  <w:szCs w:val="36"/>
                                </w:rPr>
                                <w:t>report</w:t>
                              </w:r>
                              <w:r w:rsidRPr="00C7478B">
                                <w:rPr>
                                  <w:rFonts w:asciiTheme="majorHAnsi" w:eastAsiaTheme="majorEastAsia" w:hAnsiTheme="majorHAnsi" w:cstheme="majorBidi"/>
                                  <w:caps/>
                                  <w:color w:val="2C7FCE" w:themeColor="text2" w:themeTint="99"/>
                                  <w:sz w:val="36"/>
                                  <w:szCs w:val="36"/>
                                </w:rPr>
                                <w:t>)</w:t>
                              </w:r>
                              <w:r w:rsidR="00445EBE">
                                <w:rPr>
                                  <w:rFonts w:asciiTheme="majorHAnsi" w:eastAsiaTheme="majorEastAsia" w:hAnsiTheme="majorHAnsi" w:cstheme="majorBidi"/>
                                  <w:caps/>
                                  <w:color w:val="2C7FCE" w:themeColor="text2" w:themeTint="99"/>
                                  <w:sz w:val="36"/>
                                  <w:szCs w:val="36"/>
                                </w:rPr>
                                <w:t xml:space="preserve">     (case study1 )                                     </w:t>
                              </w:r>
                              <w:r w:rsidRPr="00C7478B">
                                <w:rPr>
                                  <w:rFonts w:asciiTheme="majorHAnsi" w:eastAsiaTheme="majorEastAsia" w:hAnsiTheme="majorHAnsi" w:cstheme="majorBidi"/>
                                  <w:caps/>
                                  <w:color w:val="2C7FCE" w:themeColor="text2" w:themeTint="99"/>
                                  <w:sz w:val="36"/>
                                  <w:szCs w:val="36"/>
                                </w:rPr>
                                <w:t>MODULE:</w:t>
                              </w:r>
                              <w:r w:rsidR="00445EBE">
                                <w:rPr>
                                  <w:rFonts w:asciiTheme="majorHAnsi" w:eastAsiaTheme="majorEastAsia" w:hAnsiTheme="majorHAnsi" w:cstheme="majorBidi"/>
                                  <w:caps/>
                                  <w:color w:val="2C7FCE" w:themeColor="text2" w:themeTint="99"/>
                                  <w:sz w:val="36"/>
                                  <w:szCs w:val="36"/>
                                </w:rPr>
                                <w:t xml:space="preserve"> introduction to physiology               </w:t>
                              </w:r>
                              <w:r w:rsidRPr="00C7478B">
                                <w:rPr>
                                  <w:rFonts w:asciiTheme="majorHAnsi" w:eastAsiaTheme="majorEastAsia" w:hAnsiTheme="majorHAnsi" w:cstheme="majorBidi"/>
                                  <w:caps/>
                                  <w:color w:val="2C7FCE" w:themeColor="text2" w:themeTint="99"/>
                                  <w:sz w:val="36"/>
                                  <w:szCs w:val="36"/>
                                </w:rPr>
                                <w:t>M</w:t>
                              </w:r>
                              <w:r w:rsidR="00445EBE">
                                <w:rPr>
                                  <w:rFonts w:asciiTheme="majorHAnsi" w:eastAsiaTheme="majorEastAsia" w:hAnsiTheme="majorHAnsi" w:cstheme="majorBidi"/>
                                  <w:caps/>
                                  <w:color w:val="2C7FCE" w:themeColor="text2" w:themeTint="99"/>
                                  <w:sz w:val="36"/>
                                  <w:szCs w:val="36"/>
                                </w:rPr>
                                <w:t>o</w:t>
                              </w:r>
                              <w:r w:rsidRPr="00C7478B">
                                <w:rPr>
                                  <w:rFonts w:asciiTheme="majorHAnsi" w:eastAsiaTheme="majorEastAsia" w:hAnsiTheme="majorHAnsi" w:cstheme="majorBidi"/>
                                  <w:caps/>
                                  <w:color w:val="2C7FCE" w:themeColor="text2" w:themeTint="99"/>
                                  <w:sz w:val="36"/>
                                  <w:szCs w:val="36"/>
                                </w:rPr>
                                <w:t>DULE CODE: BMHP50</w:t>
                              </w:r>
                              <w:r w:rsidR="00445EBE">
                                <w:rPr>
                                  <w:rFonts w:asciiTheme="majorHAnsi" w:eastAsiaTheme="majorEastAsia" w:hAnsiTheme="majorHAnsi" w:cstheme="majorBidi"/>
                                  <w:caps/>
                                  <w:color w:val="2C7FCE" w:themeColor="text2" w:themeTint="99"/>
                                  <w:sz w:val="36"/>
                                  <w:szCs w:val="36"/>
                                </w:rPr>
                                <w:t>23</w:t>
                              </w:r>
                            </w:p>
                          </w:sdtContent>
                        </w:sdt>
                        <w:p w14:paraId="191C56B7" w14:textId="29FD15CB" w:rsidR="003C040B" w:rsidRPr="003C040B" w:rsidRDefault="00000000" w:rsidP="00C7478B">
                          <w:pPr>
                            <w:pStyle w:val="NoSpacing"/>
                            <w:spacing w:before="120"/>
                            <w:rPr>
                              <w:noProof/>
                            </w:rPr>
                          </w:pPr>
                          <w:sdt>
                            <w:sdtPr>
                              <w:rPr>
                                <w:rFonts w:asciiTheme="majorHAnsi" w:eastAsiaTheme="majorEastAsia" w:hAnsiTheme="majorHAnsi" w:cstheme="majorBidi"/>
                                <w:caps/>
                                <w:color w:val="2C7FCE" w:themeColor="text2" w:themeTint="99"/>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C7478B" w:rsidRPr="00C7478B">
                                <w:rPr>
                                  <w:rFonts w:asciiTheme="majorHAnsi" w:eastAsiaTheme="majorEastAsia" w:hAnsiTheme="majorHAnsi" w:cstheme="majorBidi"/>
                                  <w:caps/>
                                  <w:color w:val="2C7FCE" w:themeColor="text2" w:themeTint="99"/>
                                  <w:sz w:val="36"/>
                                  <w:szCs w:val="36"/>
                                </w:rPr>
                                <w:t xml:space="preserve">MODULE TUTOR: </w:t>
                              </w:r>
                              <w:r w:rsidR="00445EBE">
                                <w:rPr>
                                  <w:rFonts w:asciiTheme="majorHAnsi" w:eastAsiaTheme="majorEastAsia" w:hAnsiTheme="majorHAnsi" w:cstheme="majorBidi"/>
                                  <w:caps/>
                                  <w:color w:val="2C7FCE" w:themeColor="text2" w:themeTint="99"/>
                                  <w:sz w:val="36"/>
                                  <w:szCs w:val="36"/>
                                </w:rPr>
                                <w:t xml:space="preserve">robert nartowski                                         </w:t>
                              </w:r>
                              <w:r w:rsidR="00C7478B" w:rsidRPr="00C7478B">
                                <w:rPr>
                                  <w:rFonts w:asciiTheme="majorHAnsi" w:eastAsiaTheme="majorEastAsia" w:hAnsiTheme="majorHAnsi" w:cstheme="majorBidi"/>
                                  <w:caps/>
                                  <w:color w:val="2C7FCE" w:themeColor="text2" w:themeTint="99"/>
                                  <w:sz w:val="36"/>
                                  <w:szCs w:val="36"/>
                                </w:rPr>
                                <w:t>WORD COUNT: 21</w:t>
                              </w:r>
                              <w:r w:rsidR="00445EBE">
                                <w:rPr>
                                  <w:rFonts w:asciiTheme="majorHAnsi" w:eastAsiaTheme="majorEastAsia" w:hAnsiTheme="majorHAnsi" w:cstheme="majorBidi"/>
                                  <w:caps/>
                                  <w:color w:val="2C7FCE" w:themeColor="text2" w:themeTint="99"/>
                                  <w:sz w:val="36"/>
                                  <w:szCs w:val="36"/>
                                </w:rPr>
                                <w:t>8</w:t>
                              </w:r>
                              <w:r w:rsidR="00C7478B" w:rsidRPr="00C7478B">
                                <w:rPr>
                                  <w:rFonts w:asciiTheme="majorHAnsi" w:eastAsiaTheme="majorEastAsia" w:hAnsiTheme="majorHAnsi" w:cstheme="majorBidi"/>
                                  <w:caps/>
                                  <w:color w:val="2C7FCE" w:themeColor="text2" w:themeTint="99"/>
                                  <w:sz w:val="36"/>
                                  <w:szCs w:val="36"/>
                                </w:rPr>
                                <w:t>8</w:t>
                              </w:r>
                              <w:r w:rsidR="00445EBE">
                                <w:rPr>
                                  <w:rFonts w:asciiTheme="majorHAnsi" w:eastAsiaTheme="majorEastAsia" w:hAnsiTheme="majorHAnsi" w:cstheme="majorBidi"/>
                                  <w:caps/>
                                  <w:color w:val="2C7FCE" w:themeColor="text2" w:themeTint="99"/>
                                  <w:sz w:val="36"/>
                                  <w:szCs w:val="36"/>
                                </w:rPr>
                                <w:t xml:space="preserve">  </w:t>
                              </w:r>
                              <w:r w:rsidR="003C040B">
                                <w:rPr>
                                  <w:rFonts w:asciiTheme="majorHAnsi" w:eastAsiaTheme="majorEastAsia" w:hAnsiTheme="majorHAnsi" w:cstheme="majorBidi"/>
                                  <w:caps/>
                                  <w:color w:val="2C7FCE" w:themeColor="text2" w:themeTint="99"/>
                                  <w:sz w:val="36"/>
                                  <w:szCs w:val="36"/>
                                </w:rPr>
                                <w:t xml:space="preserve">                                                        </w:t>
                              </w:r>
                              <w:r w:rsidR="00445EBE">
                                <w:rPr>
                                  <w:rFonts w:asciiTheme="majorHAnsi" w:eastAsiaTheme="majorEastAsia" w:hAnsiTheme="majorHAnsi" w:cstheme="majorBidi"/>
                                  <w:caps/>
                                  <w:color w:val="2C7FCE" w:themeColor="text2" w:themeTint="99"/>
                                  <w:sz w:val="36"/>
                                  <w:szCs w:val="36"/>
                                </w:rPr>
                                <w:t xml:space="preserve">   </w:t>
                              </w:r>
                              <w:r w:rsidR="003C040B">
                                <w:rPr>
                                  <w:rFonts w:asciiTheme="majorHAnsi" w:eastAsiaTheme="majorEastAsia" w:hAnsiTheme="majorHAnsi" w:cstheme="majorBidi"/>
                                  <w:caps/>
                                  <w:color w:val="2C7FCE" w:themeColor="text2" w:themeTint="99"/>
                                  <w:sz w:val="36"/>
                                  <w:szCs w:val="36"/>
                                </w:rPr>
                                <w:t>STUDENT NAME: QASIM HASAN</w:t>
                              </w:r>
                              <w:r w:rsidR="00445EBE">
                                <w:rPr>
                                  <w:rFonts w:asciiTheme="majorHAnsi" w:eastAsiaTheme="majorEastAsia" w:hAnsiTheme="majorHAnsi" w:cstheme="majorBidi"/>
                                  <w:caps/>
                                  <w:color w:val="2C7FCE" w:themeColor="text2" w:themeTint="99"/>
                                  <w:sz w:val="36"/>
                                  <w:szCs w:val="36"/>
                                </w:rPr>
                                <w:t xml:space="preserve">                                                         </w:t>
                              </w:r>
                              <w:r w:rsidR="00C7478B" w:rsidRPr="00C7478B">
                                <w:rPr>
                                  <w:rFonts w:asciiTheme="majorHAnsi" w:eastAsiaTheme="majorEastAsia" w:hAnsiTheme="majorHAnsi" w:cstheme="majorBidi"/>
                                  <w:caps/>
                                  <w:color w:val="2C7FCE" w:themeColor="text2" w:themeTint="99"/>
                                  <w:sz w:val="36"/>
                                  <w:szCs w:val="36"/>
                                </w:rPr>
                                <w:t>STUDENT ID: 2410267</w:t>
                              </w:r>
                            </w:sdtContent>
                          </w:sdt>
                          <w:r w:rsidR="00FE7921">
                            <w:rPr>
                              <w:noProof/>
                            </w:rPr>
                            <w:t xml:space="preserve"> </w:t>
                          </w:r>
                        </w:p>
                        <w:p w14:paraId="068B6B42" w14:textId="77777777" w:rsidR="00FE7921" w:rsidRDefault="00FE7921"/>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398E416C" wp14:editId="2170993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782BC9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7B18ED1" wp14:editId="71C0D398">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1B9051" w14:textId="065143D3" w:rsidR="00FE7921"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45EBE">
                                      <w:rPr>
                                        <w:color w:val="156082" w:themeColor="accent1"/>
                                        <w:sz w:val="36"/>
                                        <w:szCs w:val="36"/>
                                      </w:rPr>
                                      <w:t>University of  Wales. Trinity  St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A7C53A2" w14:textId="32BF125C" w:rsidR="00FE7921" w:rsidRDefault="00445EBE">
                                    <w:pPr>
                                      <w:pStyle w:val="NoSpacing"/>
                                      <w:jc w:val="right"/>
                                      <w:rPr>
                                        <w:color w:val="156082" w:themeColor="accent1"/>
                                        <w:sz w:val="36"/>
                                        <w:szCs w:val="36"/>
                                      </w:rPr>
                                    </w:pPr>
                                    <w:r>
                                      <w:rPr>
                                        <w:color w:val="156082" w:themeColor="accent1"/>
                                        <w:sz w:val="36"/>
                                        <w:szCs w:val="36"/>
                                      </w:rPr>
                                      <w:t>BSc  Health  and  Social Care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7B18ED1"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61B9051" w14:textId="065143D3" w:rsidR="00FE7921"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45EBE">
                                <w:rPr>
                                  <w:color w:val="156082" w:themeColor="accent1"/>
                                  <w:sz w:val="36"/>
                                  <w:szCs w:val="36"/>
                                </w:rPr>
                                <w:t>University of  Wales. Trinity  St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A7C53A2" w14:textId="32BF125C" w:rsidR="00FE7921" w:rsidRDefault="00445EBE">
                              <w:pPr>
                                <w:pStyle w:val="NoSpacing"/>
                                <w:jc w:val="right"/>
                                <w:rPr>
                                  <w:color w:val="156082" w:themeColor="accent1"/>
                                  <w:sz w:val="36"/>
                                  <w:szCs w:val="36"/>
                                </w:rPr>
                              </w:pPr>
                              <w:r>
                                <w:rPr>
                                  <w:color w:val="156082" w:themeColor="accent1"/>
                                  <w:sz w:val="36"/>
                                  <w:szCs w:val="36"/>
                                </w:rPr>
                                <w:t>BSc  Health  and  Social Care</w:t>
                              </w:r>
                            </w:p>
                          </w:sdtContent>
                        </w:sdt>
                      </w:txbxContent>
                    </v:textbox>
                    <w10:wrap anchorx="page" anchory="margin"/>
                  </v:shape>
                </w:pict>
              </mc:Fallback>
            </mc:AlternateContent>
          </w:r>
        </w:p>
        <w:p w14:paraId="5EDDB66B" w14:textId="5A6B6ABA" w:rsidR="00FE7921" w:rsidRDefault="00FE7921">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HAnsi" w:hAnsiTheme="minorHAnsi" w:cstheme="minorBidi"/>
          <w:color w:val="auto"/>
          <w:kern w:val="2"/>
          <w:sz w:val="24"/>
          <w:szCs w:val="24"/>
          <w:lang w:val="en-GB"/>
          <w14:ligatures w14:val="standardContextual"/>
        </w:rPr>
        <w:id w:val="1771661885"/>
        <w:docPartObj>
          <w:docPartGallery w:val="Table of Contents"/>
          <w:docPartUnique/>
        </w:docPartObj>
      </w:sdtPr>
      <w:sdtEndPr>
        <w:rPr>
          <w:b/>
          <w:bCs/>
          <w:noProof/>
        </w:rPr>
      </w:sdtEndPr>
      <w:sdtContent>
        <w:p w14:paraId="6ABC4DB3" w14:textId="65CE4228" w:rsidR="00C7478B" w:rsidRPr="00C7478B" w:rsidRDefault="00C7478B">
          <w:pPr>
            <w:pStyle w:val="TOCHeading"/>
            <w:rPr>
              <w:rFonts w:ascii="Arial" w:hAnsi="Arial" w:cs="Arial"/>
              <w:color w:val="auto"/>
            </w:rPr>
          </w:pPr>
          <w:r w:rsidRPr="00C7478B">
            <w:rPr>
              <w:rFonts w:ascii="Arial" w:hAnsi="Arial" w:cs="Arial"/>
              <w:color w:val="auto"/>
            </w:rPr>
            <w:t>Contents</w:t>
          </w:r>
        </w:p>
        <w:p w14:paraId="58FAEC97" w14:textId="2B775F3D" w:rsidR="00BD25A5" w:rsidRDefault="00C7478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016657" w:history="1">
            <w:r w:rsidR="00BD25A5" w:rsidRPr="001053D8">
              <w:rPr>
                <w:rStyle w:val="Hyperlink"/>
                <w:rFonts w:ascii="Arial" w:hAnsi="Arial" w:cs="Arial"/>
                <w:noProof/>
              </w:rPr>
              <w:t>Introduction:</w:t>
            </w:r>
            <w:r w:rsidR="00BD25A5">
              <w:rPr>
                <w:noProof/>
                <w:webHidden/>
              </w:rPr>
              <w:tab/>
            </w:r>
            <w:r w:rsidR="00BD25A5">
              <w:rPr>
                <w:noProof/>
                <w:webHidden/>
              </w:rPr>
              <w:fldChar w:fldCharType="begin"/>
            </w:r>
            <w:r w:rsidR="00BD25A5">
              <w:rPr>
                <w:noProof/>
                <w:webHidden/>
              </w:rPr>
              <w:instrText xml:space="preserve"> PAGEREF _Toc213016657 \h </w:instrText>
            </w:r>
            <w:r w:rsidR="00BD25A5">
              <w:rPr>
                <w:noProof/>
                <w:webHidden/>
              </w:rPr>
            </w:r>
            <w:r w:rsidR="00BD25A5">
              <w:rPr>
                <w:noProof/>
                <w:webHidden/>
              </w:rPr>
              <w:fldChar w:fldCharType="separate"/>
            </w:r>
            <w:r w:rsidR="00BD25A5">
              <w:rPr>
                <w:noProof/>
                <w:webHidden/>
              </w:rPr>
              <w:t>2</w:t>
            </w:r>
            <w:r w:rsidR="00BD25A5">
              <w:rPr>
                <w:noProof/>
                <w:webHidden/>
              </w:rPr>
              <w:fldChar w:fldCharType="end"/>
            </w:r>
          </w:hyperlink>
        </w:p>
        <w:p w14:paraId="2D533F8A" w14:textId="5502E671" w:rsidR="00BD25A5" w:rsidRDefault="00BD25A5">
          <w:pPr>
            <w:pStyle w:val="TOC1"/>
            <w:tabs>
              <w:tab w:val="right" w:leader="dot" w:pos="9016"/>
            </w:tabs>
            <w:rPr>
              <w:rFonts w:eastAsiaTheme="minorEastAsia"/>
              <w:noProof/>
              <w:lang w:eastAsia="en-GB"/>
            </w:rPr>
          </w:pPr>
          <w:hyperlink w:anchor="_Toc213016658" w:history="1">
            <w:r w:rsidRPr="001053D8">
              <w:rPr>
                <w:rStyle w:val="Hyperlink"/>
                <w:rFonts w:ascii="Arial" w:hAnsi="Arial" w:cs="Arial"/>
                <w:noProof/>
              </w:rPr>
              <w:t>Maintaining Blood sugar Levels at a Safe and effective Level for Body’s Needs.</w:t>
            </w:r>
            <w:r>
              <w:rPr>
                <w:noProof/>
                <w:webHidden/>
              </w:rPr>
              <w:tab/>
            </w:r>
            <w:r>
              <w:rPr>
                <w:noProof/>
                <w:webHidden/>
              </w:rPr>
              <w:fldChar w:fldCharType="begin"/>
            </w:r>
            <w:r>
              <w:rPr>
                <w:noProof/>
                <w:webHidden/>
              </w:rPr>
              <w:instrText xml:space="preserve"> PAGEREF _Toc213016658 \h </w:instrText>
            </w:r>
            <w:r>
              <w:rPr>
                <w:noProof/>
                <w:webHidden/>
              </w:rPr>
            </w:r>
            <w:r>
              <w:rPr>
                <w:noProof/>
                <w:webHidden/>
              </w:rPr>
              <w:fldChar w:fldCharType="separate"/>
            </w:r>
            <w:r>
              <w:rPr>
                <w:noProof/>
                <w:webHidden/>
              </w:rPr>
              <w:t>3</w:t>
            </w:r>
            <w:r>
              <w:rPr>
                <w:noProof/>
                <w:webHidden/>
              </w:rPr>
              <w:fldChar w:fldCharType="end"/>
            </w:r>
          </w:hyperlink>
        </w:p>
        <w:p w14:paraId="6DB94D13" w14:textId="5F23EAB8" w:rsidR="00BD25A5" w:rsidRDefault="00BD25A5">
          <w:pPr>
            <w:pStyle w:val="TOC1"/>
            <w:tabs>
              <w:tab w:val="right" w:leader="dot" w:pos="9016"/>
            </w:tabs>
            <w:rPr>
              <w:rFonts w:eastAsiaTheme="minorEastAsia"/>
              <w:noProof/>
              <w:lang w:eastAsia="en-GB"/>
            </w:rPr>
          </w:pPr>
          <w:hyperlink w:anchor="_Toc213016659" w:history="1">
            <w:r w:rsidRPr="001053D8">
              <w:rPr>
                <w:rStyle w:val="Hyperlink"/>
                <w:rFonts w:ascii="Arial" w:hAnsi="Arial" w:cs="Arial"/>
                <w:noProof/>
              </w:rPr>
              <w:t>How Oxygen and Glucose Are Used to Produce energy Through Cell Metabolism.</w:t>
            </w:r>
            <w:r>
              <w:rPr>
                <w:noProof/>
                <w:webHidden/>
              </w:rPr>
              <w:tab/>
            </w:r>
            <w:r>
              <w:rPr>
                <w:noProof/>
                <w:webHidden/>
              </w:rPr>
              <w:fldChar w:fldCharType="begin"/>
            </w:r>
            <w:r>
              <w:rPr>
                <w:noProof/>
                <w:webHidden/>
              </w:rPr>
              <w:instrText xml:space="preserve"> PAGEREF _Toc213016659 \h </w:instrText>
            </w:r>
            <w:r>
              <w:rPr>
                <w:noProof/>
                <w:webHidden/>
              </w:rPr>
            </w:r>
            <w:r>
              <w:rPr>
                <w:noProof/>
                <w:webHidden/>
              </w:rPr>
              <w:fldChar w:fldCharType="separate"/>
            </w:r>
            <w:r>
              <w:rPr>
                <w:noProof/>
                <w:webHidden/>
              </w:rPr>
              <w:t>4</w:t>
            </w:r>
            <w:r>
              <w:rPr>
                <w:noProof/>
                <w:webHidden/>
              </w:rPr>
              <w:fldChar w:fldCharType="end"/>
            </w:r>
          </w:hyperlink>
        </w:p>
        <w:p w14:paraId="78CEB7BA" w14:textId="4AE646CA" w:rsidR="00BD25A5" w:rsidRDefault="00BD25A5">
          <w:pPr>
            <w:pStyle w:val="TOC1"/>
            <w:tabs>
              <w:tab w:val="right" w:leader="dot" w:pos="9016"/>
            </w:tabs>
            <w:rPr>
              <w:rFonts w:eastAsiaTheme="minorEastAsia"/>
              <w:noProof/>
              <w:lang w:eastAsia="en-GB"/>
            </w:rPr>
          </w:pPr>
          <w:hyperlink w:anchor="_Toc213016660" w:history="1">
            <w:r w:rsidRPr="001053D8">
              <w:rPr>
                <w:rStyle w:val="Hyperlink"/>
                <w:rFonts w:ascii="Arial" w:hAnsi="Arial" w:cs="Arial"/>
                <w:noProof/>
                <w:lang w:eastAsia="zh-CN"/>
              </w:rPr>
              <w:t>Briefly examine how recording and tracking blood sugar levels helps individuals with Type 2 diabetes to safely manage their condition.</w:t>
            </w:r>
            <w:r>
              <w:rPr>
                <w:noProof/>
                <w:webHidden/>
              </w:rPr>
              <w:tab/>
            </w:r>
            <w:r>
              <w:rPr>
                <w:noProof/>
                <w:webHidden/>
              </w:rPr>
              <w:fldChar w:fldCharType="begin"/>
            </w:r>
            <w:r>
              <w:rPr>
                <w:noProof/>
                <w:webHidden/>
              </w:rPr>
              <w:instrText xml:space="preserve"> PAGEREF _Toc213016660 \h </w:instrText>
            </w:r>
            <w:r>
              <w:rPr>
                <w:noProof/>
                <w:webHidden/>
              </w:rPr>
            </w:r>
            <w:r>
              <w:rPr>
                <w:noProof/>
                <w:webHidden/>
              </w:rPr>
              <w:fldChar w:fldCharType="separate"/>
            </w:r>
            <w:r>
              <w:rPr>
                <w:noProof/>
                <w:webHidden/>
              </w:rPr>
              <w:t>5</w:t>
            </w:r>
            <w:r>
              <w:rPr>
                <w:noProof/>
                <w:webHidden/>
              </w:rPr>
              <w:fldChar w:fldCharType="end"/>
            </w:r>
          </w:hyperlink>
        </w:p>
        <w:p w14:paraId="2D6B5514" w14:textId="6D587868" w:rsidR="00BD25A5" w:rsidRDefault="00BD25A5">
          <w:pPr>
            <w:pStyle w:val="TOC1"/>
            <w:tabs>
              <w:tab w:val="right" w:leader="dot" w:pos="9016"/>
            </w:tabs>
            <w:rPr>
              <w:rFonts w:eastAsiaTheme="minorEastAsia"/>
              <w:noProof/>
              <w:lang w:eastAsia="en-GB"/>
            </w:rPr>
          </w:pPr>
          <w:hyperlink w:anchor="_Toc213016661" w:history="1">
            <w:r w:rsidRPr="001053D8">
              <w:rPr>
                <w:rStyle w:val="Hyperlink"/>
                <w:rFonts w:ascii="Arial" w:hAnsi="Arial" w:cs="Arial"/>
                <w:noProof/>
                <w:lang w:eastAsia="zh-CN"/>
              </w:rPr>
              <w:t>Include Evidence-Based Recommendations on How Lifestyle Changes Could Help Improve Their Condition.</w:t>
            </w:r>
            <w:r>
              <w:rPr>
                <w:noProof/>
                <w:webHidden/>
              </w:rPr>
              <w:tab/>
            </w:r>
            <w:r>
              <w:rPr>
                <w:noProof/>
                <w:webHidden/>
              </w:rPr>
              <w:fldChar w:fldCharType="begin"/>
            </w:r>
            <w:r>
              <w:rPr>
                <w:noProof/>
                <w:webHidden/>
              </w:rPr>
              <w:instrText xml:space="preserve"> PAGEREF _Toc213016661 \h </w:instrText>
            </w:r>
            <w:r>
              <w:rPr>
                <w:noProof/>
                <w:webHidden/>
              </w:rPr>
            </w:r>
            <w:r>
              <w:rPr>
                <w:noProof/>
                <w:webHidden/>
              </w:rPr>
              <w:fldChar w:fldCharType="separate"/>
            </w:r>
            <w:r>
              <w:rPr>
                <w:noProof/>
                <w:webHidden/>
              </w:rPr>
              <w:t>6</w:t>
            </w:r>
            <w:r>
              <w:rPr>
                <w:noProof/>
                <w:webHidden/>
              </w:rPr>
              <w:fldChar w:fldCharType="end"/>
            </w:r>
          </w:hyperlink>
        </w:p>
        <w:p w14:paraId="09ABB982" w14:textId="655972F3" w:rsidR="00BD25A5" w:rsidRDefault="00BD25A5">
          <w:pPr>
            <w:pStyle w:val="TOC1"/>
            <w:tabs>
              <w:tab w:val="right" w:leader="dot" w:pos="9016"/>
            </w:tabs>
            <w:rPr>
              <w:rFonts w:eastAsiaTheme="minorEastAsia"/>
              <w:noProof/>
              <w:lang w:eastAsia="en-GB"/>
            </w:rPr>
          </w:pPr>
          <w:hyperlink w:anchor="_Toc213016662" w:history="1">
            <w:r w:rsidRPr="001053D8">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_Toc213016662 \h </w:instrText>
            </w:r>
            <w:r>
              <w:rPr>
                <w:noProof/>
                <w:webHidden/>
              </w:rPr>
            </w:r>
            <w:r>
              <w:rPr>
                <w:noProof/>
                <w:webHidden/>
              </w:rPr>
              <w:fldChar w:fldCharType="separate"/>
            </w:r>
            <w:r>
              <w:rPr>
                <w:noProof/>
                <w:webHidden/>
              </w:rPr>
              <w:t>7</w:t>
            </w:r>
            <w:r>
              <w:rPr>
                <w:noProof/>
                <w:webHidden/>
              </w:rPr>
              <w:fldChar w:fldCharType="end"/>
            </w:r>
          </w:hyperlink>
        </w:p>
        <w:p w14:paraId="1BF87084" w14:textId="76AD03FB" w:rsidR="00BD25A5" w:rsidRDefault="00BD25A5">
          <w:pPr>
            <w:pStyle w:val="TOC1"/>
            <w:tabs>
              <w:tab w:val="right" w:leader="dot" w:pos="9016"/>
            </w:tabs>
            <w:rPr>
              <w:rFonts w:eastAsiaTheme="minorEastAsia"/>
              <w:noProof/>
              <w:lang w:eastAsia="en-GB"/>
            </w:rPr>
          </w:pPr>
          <w:hyperlink w:anchor="_Toc213016663" w:history="1">
            <w:r w:rsidRPr="001053D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_Toc213016663 \h </w:instrText>
            </w:r>
            <w:r>
              <w:rPr>
                <w:noProof/>
                <w:webHidden/>
              </w:rPr>
            </w:r>
            <w:r>
              <w:rPr>
                <w:noProof/>
                <w:webHidden/>
              </w:rPr>
              <w:fldChar w:fldCharType="separate"/>
            </w:r>
            <w:r>
              <w:rPr>
                <w:noProof/>
                <w:webHidden/>
              </w:rPr>
              <w:t>9</w:t>
            </w:r>
            <w:r>
              <w:rPr>
                <w:noProof/>
                <w:webHidden/>
              </w:rPr>
              <w:fldChar w:fldCharType="end"/>
            </w:r>
          </w:hyperlink>
        </w:p>
        <w:p w14:paraId="25014BF3" w14:textId="24EF5651" w:rsidR="00BD25A5" w:rsidRDefault="00BD25A5">
          <w:pPr>
            <w:pStyle w:val="TOC1"/>
            <w:tabs>
              <w:tab w:val="right" w:leader="dot" w:pos="9016"/>
            </w:tabs>
            <w:rPr>
              <w:rFonts w:eastAsiaTheme="minorEastAsia"/>
              <w:noProof/>
              <w:lang w:eastAsia="en-GB"/>
            </w:rPr>
          </w:pPr>
          <w:hyperlink w:anchor="_Toc213016664" w:history="1">
            <w:r w:rsidRPr="001053D8">
              <w:rPr>
                <w:rStyle w:val="Hyperlink"/>
                <w:rFonts w:ascii="Arial" w:hAnsi="Arial" w:cs="Arial"/>
                <w:noProof/>
              </w:rPr>
              <w:t>Appendix A:</w:t>
            </w:r>
            <w:r>
              <w:rPr>
                <w:noProof/>
                <w:webHidden/>
              </w:rPr>
              <w:tab/>
            </w:r>
            <w:r>
              <w:rPr>
                <w:noProof/>
                <w:webHidden/>
              </w:rPr>
              <w:fldChar w:fldCharType="begin"/>
            </w:r>
            <w:r>
              <w:rPr>
                <w:noProof/>
                <w:webHidden/>
              </w:rPr>
              <w:instrText xml:space="preserve"> PAGEREF _Toc213016664 \h </w:instrText>
            </w:r>
            <w:r>
              <w:rPr>
                <w:noProof/>
                <w:webHidden/>
              </w:rPr>
            </w:r>
            <w:r>
              <w:rPr>
                <w:noProof/>
                <w:webHidden/>
              </w:rPr>
              <w:fldChar w:fldCharType="separate"/>
            </w:r>
            <w:r>
              <w:rPr>
                <w:noProof/>
                <w:webHidden/>
              </w:rPr>
              <w:t>13</w:t>
            </w:r>
            <w:r>
              <w:rPr>
                <w:noProof/>
                <w:webHidden/>
              </w:rPr>
              <w:fldChar w:fldCharType="end"/>
            </w:r>
          </w:hyperlink>
        </w:p>
        <w:p w14:paraId="54FDC915" w14:textId="3DCB7481" w:rsidR="00C7478B" w:rsidRDefault="00C7478B">
          <w:r>
            <w:rPr>
              <w:b/>
              <w:bCs/>
              <w:noProof/>
            </w:rPr>
            <w:fldChar w:fldCharType="end"/>
          </w:r>
        </w:p>
      </w:sdtContent>
    </w:sdt>
    <w:p w14:paraId="5FB9ED4B" w14:textId="77777777" w:rsidR="00445EBE" w:rsidRDefault="00445EBE" w:rsidP="00445EBE">
      <w:pPr>
        <w:pStyle w:val="Heading1"/>
      </w:pPr>
    </w:p>
    <w:p w14:paraId="5FC1B41A" w14:textId="77777777" w:rsidR="00445EBE" w:rsidRDefault="00445EBE" w:rsidP="00445EBE"/>
    <w:p w14:paraId="6BD19E8C" w14:textId="77777777" w:rsidR="00445EBE" w:rsidRDefault="00445EBE" w:rsidP="00445EBE"/>
    <w:p w14:paraId="4C157DDF" w14:textId="77777777" w:rsidR="00445EBE" w:rsidRDefault="00445EBE" w:rsidP="00445EBE"/>
    <w:p w14:paraId="35AF7C35" w14:textId="77777777" w:rsidR="00445EBE" w:rsidRDefault="00445EBE" w:rsidP="00445EBE"/>
    <w:p w14:paraId="3CCA76CB" w14:textId="77777777" w:rsidR="00445EBE" w:rsidRDefault="00445EBE" w:rsidP="00445EBE"/>
    <w:p w14:paraId="2450819D" w14:textId="77777777" w:rsidR="00445EBE" w:rsidRDefault="00445EBE" w:rsidP="00445EBE"/>
    <w:p w14:paraId="0D5CDFF7" w14:textId="77777777" w:rsidR="00445EBE" w:rsidRDefault="00445EBE" w:rsidP="00445EBE"/>
    <w:p w14:paraId="4FEA31C0" w14:textId="77777777" w:rsidR="00445EBE" w:rsidRDefault="00445EBE" w:rsidP="00445EBE"/>
    <w:p w14:paraId="59967DC9" w14:textId="77777777" w:rsidR="00445EBE" w:rsidRDefault="00445EBE" w:rsidP="00445EBE"/>
    <w:p w14:paraId="12DC5AA0" w14:textId="77777777" w:rsidR="00445EBE" w:rsidRDefault="00445EBE" w:rsidP="00445EBE"/>
    <w:p w14:paraId="0F4B4995" w14:textId="77777777" w:rsidR="00445EBE" w:rsidRDefault="00445EBE" w:rsidP="00445EBE"/>
    <w:p w14:paraId="39199A46" w14:textId="77777777" w:rsidR="00445EBE" w:rsidRDefault="00445EBE" w:rsidP="00445EBE"/>
    <w:p w14:paraId="08FD4820" w14:textId="77777777" w:rsidR="00445EBE" w:rsidRPr="00445EBE" w:rsidRDefault="00445EBE" w:rsidP="00445EBE"/>
    <w:p w14:paraId="47877E25" w14:textId="77777777" w:rsidR="00445EBE" w:rsidRDefault="00445EBE" w:rsidP="00445EBE">
      <w:pPr>
        <w:pStyle w:val="Heading1"/>
        <w:rPr>
          <w:rFonts w:ascii="Arial" w:hAnsi="Arial" w:cs="Arial"/>
          <w:color w:val="auto"/>
          <w:sz w:val="32"/>
          <w:szCs w:val="32"/>
        </w:rPr>
      </w:pPr>
    </w:p>
    <w:p w14:paraId="3BE6EC17" w14:textId="7AD13913" w:rsidR="00920C55" w:rsidRPr="00C7478B" w:rsidRDefault="00920C55" w:rsidP="00445EBE">
      <w:pPr>
        <w:pStyle w:val="Heading1"/>
        <w:rPr>
          <w:rFonts w:ascii="Arial" w:hAnsi="Arial" w:cs="Arial"/>
          <w:color w:val="auto"/>
          <w:sz w:val="32"/>
          <w:szCs w:val="32"/>
        </w:rPr>
      </w:pPr>
      <w:bookmarkStart w:id="1" w:name="_Toc213016657"/>
      <w:r w:rsidRPr="00C7478B">
        <w:rPr>
          <w:rFonts w:ascii="Arial" w:hAnsi="Arial" w:cs="Arial"/>
          <w:color w:val="auto"/>
          <w:sz w:val="32"/>
          <w:szCs w:val="32"/>
        </w:rPr>
        <w:t>Introduction:</w:t>
      </w:r>
      <w:bookmarkEnd w:id="1"/>
    </w:p>
    <w:p w14:paraId="7EA81620" w14:textId="6BF5D8EF" w:rsidR="00F73AC9" w:rsidRPr="00F73AC9" w:rsidRDefault="00F73AC9" w:rsidP="00F73AC9">
      <w:r>
        <w:t>This report is written based on the case study 1. The detail of the case is described in appendix A.</w:t>
      </w:r>
    </w:p>
    <w:p w14:paraId="179C99BA" w14:textId="0C3A6FE7" w:rsidR="00EA05A6" w:rsidRPr="001E5C4A" w:rsidRDefault="00920C55" w:rsidP="001E5C4A">
      <w:pPr>
        <w:spacing w:line="360" w:lineRule="auto"/>
        <w:rPr>
          <w:rFonts w:ascii="Arial" w:hAnsi="Arial" w:cs="Arial"/>
          <w:sz w:val="22"/>
          <w:szCs w:val="22"/>
        </w:rPr>
      </w:pPr>
      <w:r w:rsidRPr="001E5C4A">
        <w:rPr>
          <w:rFonts w:ascii="Arial" w:hAnsi="Arial" w:cs="Arial"/>
          <w:sz w:val="22"/>
          <w:szCs w:val="22"/>
        </w:rPr>
        <w:t xml:space="preserve">Diabetes mellitus </w:t>
      </w:r>
      <w:r w:rsidR="00B45A3E">
        <w:rPr>
          <w:rFonts w:ascii="Arial" w:hAnsi="Arial" w:cs="Arial"/>
          <w:sz w:val="22"/>
          <w:szCs w:val="22"/>
        </w:rPr>
        <w:t>or more commonly known as diabetes is</w:t>
      </w:r>
      <w:r w:rsidRPr="001E5C4A">
        <w:rPr>
          <w:rFonts w:ascii="Arial" w:hAnsi="Arial" w:cs="Arial"/>
          <w:sz w:val="22"/>
          <w:szCs w:val="22"/>
        </w:rPr>
        <w:t xml:space="preserve"> </w:t>
      </w:r>
      <w:r w:rsidR="00092931" w:rsidRPr="001E5C4A">
        <w:rPr>
          <w:rFonts w:ascii="Arial" w:hAnsi="Arial" w:cs="Arial"/>
          <w:sz w:val="22"/>
          <w:szCs w:val="22"/>
        </w:rPr>
        <w:t>categorised</w:t>
      </w:r>
      <w:r w:rsidRPr="001E5C4A">
        <w:rPr>
          <w:rFonts w:ascii="Arial" w:hAnsi="Arial" w:cs="Arial"/>
          <w:sz w:val="22"/>
          <w:szCs w:val="22"/>
        </w:rPr>
        <w:t xml:space="preserve"> by </w:t>
      </w:r>
      <w:r w:rsidR="00092931" w:rsidRPr="001E5C4A">
        <w:rPr>
          <w:rFonts w:ascii="Arial" w:hAnsi="Arial" w:cs="Arial"/>
          <w:sz w:val="22"/>
          <w:szCs w:val="22"/>
        </w:rPr>
        <w:t>continuing</w:t>
      </w:r>
      <w:r w:rsidRPr="001E5C4A">
        <w:rPr>
          <w:rFonts w:ascii="Arial" w:hAnsi="Arial" w:cs="Arial"/>
          <w:sz w:val="22"/>
          <w:szCs w:val="22"/>
        </w:rPr>
        <w:t xml:space="preserve"> hyperglycaemia, which is brought on by issues with insulin synthesis, insulin function, or both. The most prevalent Type 1 diabetes mellitus (T1DM) is a </w:t>
      </w:r>
      <w:r w:rsidR="00092931">
        <w:rPr>
          <w:rFonts w:ascii="Arial" w:hAnsi="Arial" w:cs="Arial"/>
          <w:sz w:val="22"/>
          <w:szCs w:val="22"/>
        </w:rPr>
        <w:t>type</w:t>
      </w:r>
      <w:r w:rsidRPr="001E5C4A">
        <w:rPr>
          <w:rFonts w:ascii="Arial" w:hAnsi="Arial" w:cs="Arial"/>
          <w:sz w:val="22"/>
          <w:szCs w:val="22"/>
        </w:rPr>
        <w:t xml:space="preserve"> of the </w:t>
      </w:r>
      <w:r w:rsidR="00092931" w:rsidRPr="001E5C4A">
        <w:rPr>
          <w:rFonts w:ascii="Arial" w:hAnsi="Arial" w:cs="Arial"/>
          <w:sz w:val="22"/>
          <w:szCs w:val="22"/>
        </w:rPr>
        <w:t>disease</w:t>
      </w:r>
      <w:r w:rsidR="00092931">
        <w:rPr>
          <w:rFonts w:ascii="Arial" w:hAnsi="Arial" w:cs="Arial"/>
          <w:sz w:val="22"/>
          <w:szCs w:val="22"/>
        </w:rPr>
        <w:t xml:space="preserve"> caused by the attack on</w:t>
      </w:r>
      <w:r w:rsidRPr="001E5C4A">
        <w:rPr>
          <w:rFonts w:ascii="Arial" w:hAnsi="Arial" w:cs="Arial"/>
          <w:sz w:val="22"/>
          <w:szCs w:val="22"/>
        </w:rPr>
        <w:t xml:space="preserve"> pancreatic β-cells</w:t>
      </w:r>
      <w:r w:rsidR="00092931">
        <w:rPr>
          <w:rFonts w:ascii="Arial" w:hAnsi="Arial" w:cs="Arial"/>
          <w:sz w:val="22"/>
          <w:szCs w:val="22"/>
        </w:rPr>
        <w:t xml:space="preserve"> by the immune system</w:t>
      </w:r>
      <w:r w:rsidRPr="001E5C4A">
        <w:rPr>
          <w:rFonts w:ascii="Arial" w:hAnsi="Arial" w:cs="Arial"/>
          <w:sz w:val="22"/>
          <w:szCs w:val="22"/>
        </w:rPr>
        <w:t xml:space="preserve">, </w:t>
      </w:r>
      <w:r w:rsidR="00092931">
        <w:rPr>
          <w:rFonts w:ascii="Arial" w:hAnsi="Arial" w:cs="Arial"/>
          <w:sz w:val="22"/>
          <w:szCs w:val="22"/>
        </w:rPr>
        <w:t>resulting in</w:t>
      </w:r>
      <w:r w:rsidRPr="001E5C4A">
        <w:rPr>
          <w:rFonts w:ascii="Arial" w:hAnsi="Arial" w:cs="Arial"/>
          <w:sz w:val="22"/>
          <w:szCs w:val="22"/>
        </w:rPr>
        <w:t xml:space="preserve"> a complete insulin deficit, and Type 2 is the other form. Diabetes mellitus (T2DM), which is </w:t>
      </w:r>
      <w:r w:rsidR="00092931" w:rsidRPr="001E5C4A">
        <w:rPr>
          <w:rFonts w:ascii="Arial" w:hAnsi="Arial" w:cs="Arial"/>
          <w:sz w:val="22"/>
          <w:szCs w:val="22"/>
        </w:rPr>
        <w:t>recogni</w:t>
      </w:r>
      <w:r w:rsidR="00092931">
        <w:rPr>
          <w:rFonts w:ascii="Arial" w:hAnsi="Arial" w:cs="Arial"/>
          <w:sz w:val="22"/>
          <w:szCs w:val="22"/>
        </w:rPr>
        <w:t>s</w:t>
      </w:r>
      <w:r w:rsidR="00092931" w:rsidRPr="001E5C4A">
        <w:rPr>
          <w:rFonts w:ascii="Arial" w:hAnsi="Arial" w:cs="Arial"/>
          <w:sz w:val="22"/>
          <w:szCs w:val="22"/>
        </w:rPr>
        <w:t>ed</w:t>
      </w:r>
      <w:r w:rsidRPr="001E5C4A">
        <w:rPr>
          <w:rFonts w:ascii="Arial" w:hAnsi="Arial" w:cs="Arial"/>
          <w:sz w:val="22"/>
          <w:szCs w:val="22"/>
        </w:rPr>
        <w:t xml:space="preserve"> by insulin resistance and progressive β-cell dysfunction, is one of the two most prevalent forms of the illness in the UK. In the UK, around 90% of diabetes diagnoses are for T2DM. (Diabetes UK, 2018)</w:t>
      </w:r>
      <w:r w:rsidRPr="001E5C4A">
        <w:rPr>
          <w:rFonts w:ascii="Arial" w:hAnsi="Arial" w:cs="Arial"/>
          <w:sz w:val="22"/>
          <w:szCs w:val="22"/>
        </w:rPr>
        <w:br/>
        <w:t>Approximately 7% of the UK population has been diagnosed with diabetes, and it is estimated that there are an additional one million people who are undiagnosed with T2DM. The prevalence is significant, and Ten percent of the National Health Service (NHS) budget is being spent due to its rising prevalence, putting a huge strain on the healthcare system (Whicher, O’Neill and Holt, 2020).</w:t>
      </w:r>
    </w:p>
    <w:p w14:paraId="62C15CB0" w14:textId="1C875C3B" w:rsidR="00920C55" w:rsidRPr="001E5C4A" w:rsidRDefault="00920C55" w:rsidP="001E5C4A">
      <w:pPr>
        <w:spacing w:line="360" w:lineRule="auto"/>
        <w:rPr>
          <w:rFonts w:ascii="Arial" w:hAnsi="Arial" w:cs="Arial"/>
          <w:sz w:val="22"/>
          <w:szCs w:val="22"/>
        </w:rPr>
      </w:pPr>
      <w:r w:rsidRPr="001E5C4A">
        <w:rPr>
          <w:rFonts w:ascii="Arial" w:hAnsi="Arial" w:cs="Arial"/>
          <w:sz w:val="22"/>
          <w:szCs w:val="22"/>
        </w:rPr>
        <w:t xml:space="preserve">In the UK, several </w:t>
      </w:r>
      <w:r w:rsidR="00092931" w:rsidRPr="001E5C4A">
        <w:rPr>
          <w:rFonts w:ascii="Arial" w:hAnsi="Arial" w:cs="Arial"/>
          <w:sz w:val="22"/>
          <w:szCs w:val="22"/>
        </w:rPr>
        <w:t>changeable</w:t>
      </w:r>
      <w:r w:rsidRPr="001E5C4A">
        <w:rPr>
          <w:rFonts w:ascii="Arial" w:hAnsi="Arial" w:cs="Arial"/>
          <w:sz w:val="22"/>
          <w:szCs w:val="22"/>
        </w:rPr>
        <w:t xml:space="preserve"> and non</w:t>
      </w:r>
      <w:r w:rsidR="00092931">
        <w:rPr>
          <w:rFonts w:ascii="Arial" w:hAnsi="Arial" w:cs="Arial"/>
          <w:sz w:val="22"/>
          <w:szCs w:val="22"/>
        </w:rPr>
        <w:t>-changeable</w:t>
      </w:r>
      <w:r w:rsidRPr="001E5C4A">
        <w:rPr>
          <w:rFonts w:ascii="Arial" w:hAnsi="Arial" w:cs="Arial"/>
          <w:sz w:val="22"/>
          <w:szCs w:val="22"/>
        </w:rPr>
        <w:t xml:space="preserve"> </w:t>
      </w:r>
      <w:r w:rsidR="00AA432B">
        <w:rPr>
          <w:rFonts w:ascii="Arial" w:hAnsi="Arial" w:cs="Arial"/>
          <w:sz w:val="22"/>
          <w:szCs w:val="22"/>
        </w:rPr>
        <w:t>factors</w:t>
      </w:r>
      <w:r w:rsidRPr="001E5C4A">
        <w:rPr>
          <w:rFonts w:ascii="Arial" w:hAnsi="Arial" w:cs="Arial"/>
          <w:sz w:val="22"/>
          <w:szCs w:val="22"/>
        </w:rPr>
        <w:t xml:space="preserve"> </w:t>
      </w:r>
      <w:r w:rsidR="00092931" w:rsidRPr="001E5C4A">
        <w:rPr>
          <w:rFonts w:ascii="Arial" w:hAnsi="Arial" w:cs="Arial"/>
          <w:sz w:val="22"/>
          <w:szCs w:val="22"/>
        </w:rPr>
        <w:t>influence</w:t>
      </w:r>
      <w:r w:rsidRPr="001E5C4A">
        <w:rPr>
          <w:rFonts w:ascii="Arial" w:hAnsi="Arial" w:cs="Arial"/>
          <w:sz w:val="22"/>
          <w:szCs w:val="22"/>
        </w:rPr>
        <w:t xml:space="preserve"> the</w:t>
      </w:r>
      <w:r w:rsidR="00092931">
        <w:rPr>
          <w:rFonts w:ascii="Arial" w:hAnsi="Arial" w:cs="Arial"/>
          <w:sz w:val="22"/>
          <w:szCs w:val="22"/>
        </w:rPr>
        <w:t xml:space="preserve"> onset</w:t>
      </w:r>
      <w:r w:rsidRPr="001E5C4A">
        <w:rPr>
          <w:rFonts w:ascii="Arial" w:hAnsi="Arial" w:cs="Arial"/>
          <w:sz w:val="22"/>
          <w:szCs w:val="22"/>
        </w:rPr>
        <w:t xml:space="preserve"> of T2DM. </w:t>
      </w:r>
      <w:r w:rsidR="00AA432B">
        <w:rPr>
          <w:rFonts w:ascii="Arial" w:hAnsi="Arial" w:cs="Arial"/>
          <w:sz w:val="22"/>
          <w:szCs w:val="22"/>
        </w:rPr>
        <w:t>Factors</w:t>
      </w:r>
      <w:r w:rsidR="008C30B4">
        <w:rPr>
          <w:rFonts w:ascii="Arial" w:hAnsi="Arial" w:cs="Arial"/>
          <w:sz w:val="22"/>
          <w:szCs w:val="22"/>
        </w:rPr>
        <w:t xml:space="preserve"> which are non-changeable</w:t>
      </w:r>
      <w:r w:rsidRPr="001E5C4A">
        <w:rPr>
          <w:rFonts w:ascii="Arial" w:hAnsi="Arial" w:cs="Arial"/>
          <w:sz w:val="22"/>
          <w:szCs w:val="22"/>
        </w:rPr>
        <w:t xml:space="preserve"> include increasing age (the risk increases significantly after age 40), certain ethnic origins and family history of diabetes: </w:t>
      </w:r>
      <w:r w:rsidR="00092931">
        <w:rPr>
          <w:rFonts w:ascii="Arial" w:hAnsi="Arial" w:cs="Arial"/>
          <w:sz w:val="22"/>
          <w:szCs w:val="22"/>
        </w:rPr>
        <w:t xml:space="preserve">In the United Kingdom </w:t>
      </w:r>
      <w:r w:rsidR="008C30B4">
        <w:rPr>
          <w:rFonts w:ascii="Arial" w:hAnsi="Arial" w:cs="Arial"/>
          <w:sz w:val="22"/>
          <w:szCs w:val="22"/>
        </w:rPr>
        <w:t>BAME (Black and Minority Ethnic) are more vulnerable to the risk of diabetes</w:t>
      </w:r>
      <w:r w:rsidRPr="001E5C4A">
        <w:rPr>
          <w:rFonts w:ascii="Arial" w:hAnsi="Arial" w:cs="Arial"/>
          <w:sz w:val="22"/>
          <w:szCs w:val="22"/>
        </w:rPr>
        <w:t xml:space="preserve"> than White British.</w:t>
      </w:r>
      <w:r w:rsidR="008C30B4">
        <w:rPr>
          <w:rFonts w:ascii="Arial" w:hAnsi="Arial" w:cs="Arial"/>
          <w:sz w:val="22"/>
          <w:szCs w:val="22"/>
        </w:rPr>
        <w:t xml:space="preserve"> </w:t>
      </w:r>
      <w:r w:rsidRPr="001E5C4A">
        <w:rPr>
          <w:rFonts w:ascii="Arial" w:hAnsi="Arial" w:cs="Arial"/>
          <w:sz w:val="22"/>
          <w:szCs w:val="22"/>
        </w:rPr>
        <w:t>For instance, a UK analysis revealed that South Asian and African Caribbean communities have a three to five times higher incidence of T2DM and are discovered sooner. (Goff, 2019) Additionally, socioeconomic hardship is linked to a higher rate of T2DM, which is indicative of disparities in both lifestyle and structure. (England, 2018)</w:t>
      </w:r>
      <w:r w:rsidRPr="001E5C4A">
        <w:rPr>
          <w:rFonts w:ascii="Arial" w:hAnsi="Arial" w:cs="Arial"/>
          <w:sz w:val="22"/>
          <w:szCs w:val="22"/>
        </w:rPr>
        <w:br/>
        <w:t>The rising frequency in the UK is mostly due to modifiable risk factors, such as excessive adiposity (especially in the centre and abdomen), a lack of physical exercise, and an unhealthy diet (such as one high in saturated fat and). sedentary behaviour, and sugar consumption. The "obesogenic environment" in the United Kingdom is recognized as a major cause of the T2DM pandemic. (England, 2018)</w:t>
      </w:r>
      <w:r w:rsidRPr="001E5C4A">
        <w:rPr>
          <w:rFonts w:ascii="Arial" w:hAnsi="Arial" w:cs="Arial"/>
          <w:sz w:val="22"/>
          <w:szCs w:val="22"/>
        </w:rPr>
        <w:br/>
      </w:r>
      <w:r w:rsidR="008C30B4">
        <w:rPr>
          <w:rFonts w:ascii="Arial" w:hAnsi="Arial" w:cs="Arial"/>
          <w:sz w:val="22"/>
          <w:szCs w:val="22"/>
        </w:rPr>
        <w:t xml:space="preserve">Large </w:t>
      </w:r>
      <w:r w:rsidRPr="001E5C4A">
        <w:rPr>
          <w:rFonts w:ascii="Arial" w:hAnsi="Arial" w:cs="Arial"/>
          <w:sz w:val="22"/>
          <w:szCs w:val="22"/>
        </w:rPr>
        <w:t xml:space="preserve">Waist </w:t>
      </w:r>
      <w:r w:rsidR="008C30B4">
        <w:rPr>
          <w:rFonts w:ascii="Arial" w:hAnsi="Arial" w:cs="Arial"/>
          <w:sz w:val="22"/>
          <w:szCs w:val="22"/>
        </w:rPr>
        <w:t>size</w:t>
      </w:r>
      <w:r w:rsidRPr="001E5C4A">
        <w:rPr>
          <w:rFonts w:ascii="Arial" w:hAnsi="Arial" w:cs="Arial"/>
          <w:sz w:val="22"/>
          <w:szCs w:val="22"/>
        </w:rPr>
        <w:t xml:space="preserve"> and body mass index (BMI) are </w:t>
      </w:r>
      <w:r w:rsidR="008C30B4" w:rsidRPr="001E5C4A">
        <w:rPr>
          <w:rFonts w:ascii="Arial" w:hAnsi="Arial" w:cs="Arial"/>
          <w:sz w:val="22"/>
          <w:szCs w:val="22"/>
        </w:rPr>
        <w:t>unfailing</w:t>
      </w:r>
      <w:r w:rsidRPr="001E5C4A">
        <w:rPr>
          <w:rFonts w:ascii="Arial" w:hAnsi="Arial" w:cs="Arial"/>
          <w:sz w:val="22"/>
          <w:szCs w:val="22"/>
        </w:rPr>
        <w:t xml:space="preserve"> </w:t>
      </w:r>
      <w:r w:rsidR="008C30B4" w:rsidRPr="001E5C4A">
        <w:rPr>
          <w:rFonts w:ascii="Arial" w:hAnsi="Arial" w:cs="Arial"/>
          <w:sz w:val="22"/>
          <w:szCs w:val="22"/>
        </w:rPr>
        <w:t>markers</w:t>
      </w:r>
      <w:r w:rsidRPr="001E5C4A">
        <w:rPr>
          <w:rFonts w:ascii="Arial" w:hAnsi="Arial" w:cs="Arial"/>
          <w:sz w:val="22"/>
          <w:szCs w:val="22"/>
        </w:rPr>
        <w:t xml:space="preserve"> of </w:t>
      </w:r>
      <w:r w:rsidR="008C30B4" w:rsidRPr="001E5C4A">
        <w:rPr>
          <w:rFonts w:ascii="Arial" w:hAnsi="Arial" w:cs="Arial"/>
          <w:sz w:val="22"/>
          <w:szCs w:val="22"/>
        </w:rPr>
        <w:t>danger</w:t>
      </w:r>
      <w:r w:rsidRPr="001E5C4A">
        <w:rPr>
          <w:rFonts w:ascii="Arial" w:hAnsi="Arial" w:cs="Arial"/>
          <w:sz w:val="22"/>
          <w:szCs w:val="22"/>
        </w:rPr>
        <w:t>; men with very high waist circumference/obesity may be five times more at risk than others. using acceptable metrics. (Powell, Barber, and Loft, 2025)</w:t>
      </w:r>
      <w:r w:rsidRPr="001E5C4A">
        <w:rPr>
          <w:rFonts w:ascii="Arial" w:hAnsi="Arial" w:cs="Arial"/>
          <w:sz w:val="22"/>
          <w:szCs w:val="22"/>
        </w:rPr>
        <w:br/>
        <w:t xml:space="preserve">Hypertension, dyslipidaemia, a history of gestational diabetes, and polycystic ovarian </w:t>
      </w:r>
      <w:r w:rsidRPr="001E5C4A">
        <w:rPr>
          <w:rFonts w:ascii="Arial" w:hAnsi="Arial" w:cs="Arial"/>
          <w:sz w:val="22"/>
          <w:szCs w:val="22"/>
        </w:rPr>
        <w:lastRenderedPageBreak/>
        <w:t>syndrome are additional medical risk factors. These co-morbidities frequently cluster in individuals who are at high risk. (Idris, 2015)</w:t>
      </w:r>
    </w:p>
    <w:p w14:paraId="33204FBE" w14:textId="433554D3" w:rsidR="006973AB" w:rsidRPr="00C7478B" w:rsidRDefault="006973AB" w:rsidP="00FE7921">
      <w:pPr>
        <w:pStyle w:val="Heading1"/>
        <w:rPr>
          <w:rFonts w:ascii="Arial" w:hAnsi="Arial" w:cs="Arial"/>
          <w:color w:val="auto"/>
          <w:sz w:val="32"/>
          <w:szCs w:val="32"/>
        </w:rPr>
      </w:pPr>
      <w:bookmarkStart w:id="2" w:name="_Toc213016658"/>
      <w:r w:rsidRPr="00C7478B">
        <w:rPr>
          <w:rFonts w:ascii="Arial" w:hAnsi="Arial" w:cs="Arial"/>
          <w:color w:val="auto"/>
          <w:sz w:val="32"/>
          <w:szCs w:val="32"/>
        </w:rPr>
        <w:t>Maintaining Blood sugar Levels at a Safe and effective Level for Body’s Needs.</w:t>
      </w:r>
      <w:bookmarkEnd w:id="2"/>
    </w:p>
    <w:p w14:paraId="3B4EC71A" w14:textId="05B460F4" w:rsidR="000F2CAB" w:rsidRPr="001E5C4A" w:rsidRDefault="000F2CAB" w:rsidP="001E5C4A">
      <w:pPr>
        <w:spacing w:line="360" w:lineRule="auto"/>
        <w:rPr>
          <w:rFonts w:ascii="Arial" w:hAnsi="Arial" w:cs="Arial"/>
          <w:sz w:val="22"/>
          <w:szCs w:val="22"/>
        </w:rPr>
      </w:pPr>
      <w:r w:rsidRPr="001E5C4A">
        <w:rPr>
          <w:rFonts w:ascii="Arial" w:hAnsi="Arial" w:cs="Arial"/>
          <w:sz w:val="22"/>
          <w:szCs w:val="22"/>
        </w:rPr>
        <w:t xml:space="preserve">Through a complex </w:t>
      </w:r>
      <w:r w:rsidR="008C30B4" w:rsidRPr="001E5C4A">
        <w:rPr>
          <w:rFonts w:ascii="Arial" w:hAnsi="Arial" w:cs="Arial"/>
          <w:sz w:val="22"/>
          <w:szCs w:val="22"/>
        </w:rPr>
        <w:t>interface</w:t>
      </w:r>
      <w:r w:rsidRPr="001E5C4A">
        <w:rPr>
          <w:rFonts w:ascii="Arial" w:hAnsi="Arial" w:cs="Arial"/>
          <w:sz w:val="22"/>
          <w:szCs w:val="22"/>
        </w:rPr>
        <w:t xml:space="preserve"> of</w:t>
      </w:r>
      <w:r w:rsidR="008C30B4">
        <w:rPr>
          <w:rFonts w:ascii="Arial" w:hAnsi="Arial" w:cs="Arial"/>
          <w:sz w:val="22"/>
          <w:szCs w:val="22"/>
        </w:rPr>
        <w:t xml:space="preserve"> hormones,</w:t>
      </w:r>
      <w:r w:rsidRPr="001E5C4A">
        <w:rPr>
          <w:rFonts w:ascii="Arial" w:hAnsi="Arial" w:cs="Arial"/>
          <w:sz w:val="22"/>
          <w:szCs w:val="22"/>
        </w:rPr>
        <w:t xml:space="preserve"> organs and metabolic pathways, the human body </w:t>
      </w:r>
      <w:r w:rsidR="008C30B4">
        <w:rPr>
          <w:rFonts w:ascii="Arial" w:hAnsi="Arial" w:cs="Arial"/>
          <w:sz w:val="22"/>
          <w:szCs w:val="22"/>
        </w:rPr>
        <w:t>can stabilise</w:t>
      </w:r>
      <w:r w:rsidRPr="001E5C4A">
        <w:rPr>
          <w:rFonts w:ascii="Arial" w:hAnsi="Arial" w:cs="Arial"/>
          <w:sz w:val="22"/>
          <w:szCs w:val="22"/>
        </w:rPr>
        <w:t xml:space="preserve"> blood glucose levels within a </w:t>
      </w:r>
      <w:r w:rsidR="008C30B4">
        <w:rPr>
          <w:rFonts w:ascii="Arial" w:hAnsi="Arial" w:cs="Arial"/>
          <w:sz w:val="22"/>
          <w:szCs w:val="22"/>
        </w:rPr>
        <w:t>small</w:t>
      </w:r>
      <w:r w:rsidRPr="001E5C4A">
        <w:rPr>
          <w:rFonts w:ascii="Arial" w:hAnsi="Arial" w:cs="Arial"/>
          <w:sz w:val="22"/>
          <w:szCs w:val="22"/>
        </w:rPr>
        <w:t xml:space="preserve"> range—usually 4–6 mmol/L (72–108 mg/dL)—thereby This is accomplished by controlling the energy supply and preventing the harm caused by hypoglycaemia or hyperglycaemia. The two main pancreatic hormones at the core of this are glucagon and insulin, which are secreted by beta cells. </w:t>
      </w:r>
      <w:r w:rsidR="00356CA0">
        <w:rPr>
          <w:rFonts w:ascii="Arial" w:hAnsi="Arial" w:cs="Arial"/>
          <w:sz w:val="22"/>
          <w:szCs w:val="22"/>
        </w:rPr>
        <w:t>Asa result</w:t>
      </w:r>
      <w:r w:rsidRPr="001E5C4A">
        <w:rPr>
          <w:rFonts w:ascii="Arial" w:hAnsi="Arial" w:cs="Arial"/>
          <w:sz w:val="22"/>
          <w:szCs w:val="22"/>
        </w:rPr>
        <w:t xml:space="preserve"> </w:t>
      </w:r>
      <w:r w:rsidR="00356CA0">
        <w:rPr>
          <w:rFonts w:ascii="Arial" w:hAnsi="Arial" w:cs="Arial"/>
          <w:sz w:val="22"/>
          <w:szCs w:val="22"/>
        </w:rPr>
        <w:t>of</w:t>
      </w:r>
      <w:r w:rsidRPr="001E5C4A">
        <w:rPr>
          <w:rFonts w:ascii="Arial" w:hAnsi="Arial" w:cs="Arial"/>
          <w:sz w:val="22"/>
          <w:szCs w:val="22"/>
        </w:rPr>
        <w:t xml:space="preserve"> </w:t>
      </w:r>
      <w:r w:rsidR="00356CA0">
        <w:rPr>
          <w:rFonts w:ascii="Arial" w:hAnsi="Arial" w:cs="Arial"/>
          <w:sz w:val="22"/>
          <w:szCs w:val="22"/>
        </w:rPr>
        <w:t xml:space="preserve">extra-ordinary </w:t>
      </w:r>
      <w:r w:rsidRPr="001E5C4A">
        <w:rPr>
          <w:rFonts w:ascii="Arial" w:hAnsi="Arial" w:cs="Arial"/>
          <w:sz w:val="22"/>
          <w:szCs w:val="22"/>
        </w:rPr>
        <w:t xml:space="preserve">blood glucose levels, insulin is released, which aids in absorption into adipose tissue and skeletal muscle, </w:t>
      </w:r>
      <w:r w:rsidR="008C30B4" w:rsidRPr="001E5C4A">
        <w:rPr>
          <w:rFonts w:ascii="Arial" w:hAnsi="Arial" w:cs="Arial"/>
          <w:sz w:val="22"/>
          <w:szCs w:val="22"/>
        </w:rPr>
        <w:t>including</w:t>
      </w:r>
      <w:r w:rsidRPr="001E5C4A">
        <w:rPr>
          <w:rFonts w:ascii="Arial" w:hAnsi="Arial" w:cs="Arial"/>
          <w:sz w:val="22"/>
          <w:szCs w:val="22"/>
        </w:rPr>
        <w:t xml:space="preserve"> glycogen synthesis in the liver. by preventing glycogenolysis and hepatic gluconeogenesis, as well as muscle and muscle. (Eom, Wilson and Bernet, 2022) In contrast, glucagon promotes glycogenolysis when blood glucose levels decline (for example, during fasting). The liver performs gluconeogenesis and glycogenolysis </w:t>
      </w:r>
      <w:r w:rsidR="00356CA0" w:rsidRPr="001E5C4A">
        <w:rPr>
          <w:rFonts w:ascii="Arial" w:hAnsi="Arial" w:cs="Arial"/>
          <w:sz w:val="22"/>
          <w:szCs w:val="22"/>
        </w:rPr>
        <w:t>to</w:t>
      </w:r>
      <w:r w:rsidRPr="001E5C4A">
        <w:rPr>
          <w:rFonts w:ascii="Arial" w:hAnsi="Arial" w:cs="Arial"/>
          <w:sz w:val="22"/>
          <w:szCs w:val="22"/>
        </w:rPr>
        <w:t xml:space="preserve"> release glucose into the bloodstream. (Otto-Buczkowska, 2011)</w:t>
      </w:r>
      <w:r w:rsidRPr="001E5C4A">
        <w:rPr>
          <w:rFonts w:ascii="Arial" w:hAnsi="Arial" w:cs="Arial"/>
          <w:sz w:val="22"/>
          <w:szCs w:val="22"/>
        </w:rPr>
        <w:br/>
        <w:t xml:space="preserve">Other organs and processes also contribute to this "insulin-up, glucagon-down" system. The liver serves as a glucose storage, releasing glucose according to need. (Otto-Buczkowska, 2011) The amount of glucose taken from the bloodstream is determined by peripheral tissues such adipose tissue and skeletal muscle. </w:t>
      </w:r>
      <w:r w:rsidR="00356CA0">
        <w:rPr>
          <w:rFonts w:ascii="Arial" w:hAnsi="Arial" w:cs="Arial"/>
          <w:sz w:val="22"/>
          <w:szCs w:val="22"/>
        </w:rPr>
        <w:t xml:space="preserve">Glucose uptake is regulated by the nervous system. </w:t>
      </w:r>
      <w:r w:rsidRPr="001E5C4A">
        <w:rPr>
          <w:rFonts w:ascii="Arial" w:hAnsi="Arial" w:cs="Arial"/>
          <w:sz w:val="22"/>
          <w:szCs w:val="22"/>
        </w:rPr>
        <w:t>The hypothalamus regulates the production of glucose in the liver and absorption in the periphery by detecting glucose and hormonal signals in the body. (Choi and Kim, 2022)</w:t>
      </w:r>
      <w:r w:rsidRPr="001E5C4A">
        <w:rPr>
          <w:rFonts w:ascii="Arial" w:hAnsi="Arial" w:cs="Arial"/>
          <w:sz w:val="22"/>
          <w:szCs w:val="22"/>
        </w:rPr>
        <w:br/>
        <w:t>Additionally, more recent research emphasizes that the core insulin-glucagon axis is not the only factor; gut-derived hormones (incretins), circadian rhythms in peripheral tissues, and intercellular communication are also involved. Islet cells help with fine-tuning. (</w:t>
      </w:r>
      <w:proofErr w:type="spellStart"/>
      <w:r w:rsidRPr="001E5C4A">
        <w:rPr>
          <w:rFonts w:ascii="Arial" w:hAnsi="Arial" w:cs="Arial"/>
          <w:sz w:val="22"/>
          <w:szCs w:val="22"/>
        </w:rPr>
        <w:t>Gachon</w:t>
      </w:r>
      <w:proofErr w:type="spellEnd"/>
      <w:r w:rsidRPr="001E5C4A">
        <w:rPr>
          <w:rFonts w:ascii="Arial" w:hAnsi="Arial" w:cs="Arial"/>
          <w:sz w:val="22"/>
          <w:szCs w:val="22"/>
        </w:rPr>
        <w:t xml:space="preserve"> et al., 2017)</w:t>
      </w:r>
      <w:r w:rsidRPr="001E5C4A">
        <w:rPr>
          <w:rFonts w:ascii="Arial" w:hAnsi="Arial" w:cs="Arial"/>
          <w:sz w:val="22"/>
          <w:szCs w:val="22"/>
        </w:rPr>
        <w:br/>
        <w:t xml:space="preserve">All of these systems </w:t>
      </w:r>
      <w:r w:rsidR="00356CA0">
        <w:rPr>
          <w:rFonts w:ascii="Arial" w:hAnsi="Arial" w:cs="Arial"/>
          <w:sz w:val="22"/>
          <w:szCs w:val="22"/>
        </w:rPr>
        <w:t>coordinate together</w:t>
      </w:r>
      <w:r w:rsidRPr="001E5C4A">
        <w:rPr>
          <w:rFonts w:ascii="Arial" w:hAnsi="Arial" w:cs="Arial"/>
          <w:sz w:val="22"/>
          <w:szCs w:val="22"/>
        </w:rPr>
        <w:t xml:space="preserve"> to </w:t>
      </w:r>
      <w:r w:rsidR="00356CA0">
        <w:rPr>
          <w:rFonts w:ascii="Arial" w:hAnsi="Arial" w:cs="Arial"/>
          <w:sz w:val="22"/>
          <w:szCs w:val="22"/>
        </w:rPr>
        <w:t>maintain a stability in</w:t>
      </w:r>
      <w:r w:rsidRPr="001E5C4A">
        <w:rPr>
          <w:rFonts w:ascii="Arial" w:hAnsi="Arial" w:cs="Arial"/>
          <w:sz w:val="22"/>
          <w:szCs w:val="22"/>
        </w:rPr>
        <w:t xml:space="preserve"> blood glucose: following a meal, blood glucose increases, which leads to an increase in insulin, which causes uptake/storage, which lowers glucose levels, which in turn causes insulin levels to fall. Glucagon levels increase as needed to bring things back to normal after falls. As seen in diseases like Type 2 Diabetes Mellitus, chronic dysglycaemia is </w:t>
      </w:r>
      <w:r w:rsidR="00356CA0" w:rsidRPr="001E5C4A">
        <w:rPr>
          <w:rFonts w:ascii="Arial" w:hAnsi="Arial" w:cs="Arial"/>
          <w:sz w:val="22"/>
          <w:szCs w:val="22"/>
        </w:rPr>
        <w:t>triggered</w:t>
      </w:r>
      <w:r w:rsidRPr="001E5C4A">
        <w:rPr>
          <w:rFonts w:ascii="Arial" w:hAnsi="Arial" w:cs="Arial"/>
          <w:sz w:val="22"/>
          <w:szCs w:val="22"/>
        </w:rPr>
        <w:t xml:space="preserve"> by any malfunction in this system, such as insufficient insulin production, insulin resistance, or dysregulated glucagon.</w:t>
      </w:r>
      <w:r w:rsidRPr="001E5C4A">
        <w:rPr>
          <w:rFonts w:ascii="Arial" w:hAnsi="Arial" w:cs="Arial"/>
          <w:sz w:val="22"/>
          <w:szCs w:val="22"/>
        </w:rPr>
        <w:br/>
        <w:t>As a result, this regulatory system is essential for both day-to-day energy equilibrium and long-term metabolic health.</w:t>
      </w:r>
    </w:p>
    <w:p w14:paraId="2312DC17" w14:textId="0BAF85F8" w:rsidR="007538E2" w:rsidRPr="00C7478B" w:rsidRDefault="007538E2" w:rsidP="00FE7921">
      <w:pPr>
        <w:pStyle w:val="Heading1"/>
        <w:rPr>
          <w:rFonts w:ascii="Arial" w:hAnsi="Arial" w:cs="Arial"/>
          <w:color w:val="auto"/>
          <w:sz w:val="32"/>
          <w:szCs w:val="32"/>
        </w:rPr>
      </w:pPr>
      <w:bookmarkStart w:id="3" w:name="_Toc213016659"/>
      <w:r w:rsidRPr="00C7478B">
        <w:rPr>
          <w:rFonts w:ascii="Arial" w:hAnsi="Arial" w:cs="Arial"/>
          <w:color w:val="auto"/>
          <w:sz w:val="32"/>
          <w:szCs w:val="32"/>
        </w:rPr>
        <w:lastRenderedPageBreak/>
        <w:t xml:space="preserve">How Oxygen </w:t>
      </w:r>
      <w:r w:rsidR="00FE7921" w:rsidRPr="00C7478B">
        <w:rPr>
          <w:rFonts w:ascii="Arial" w:hAnsi="Arial" w:cs="Arial"/>
          <w:color w:val="auto"/>
          <w:sz w:val="32"/>
          <w:szCs w:val="32"/>
        </w:rPr>
        <w:t>and</w:t>
      </w:r>
      <w:r w:rsidRPr="00C7478B">
        <w:rPr>
          <w:rFonts w:ascii="Arial" w:hAnsi="Arial" w:cs="Arial"/>
          <w:color w:val="auto"/>
          <w:sz w:val="32"/>
          <w:szCs w:val="32"/>
        </w:rPr>
        <w:t xml:space="preserve"> Glucose Are Used to Produce energy Through Cell Metabolism.</w:t>
      </w:r>
      <w:bookmarkEnd w:id="3"/>
    </w:p>
    <w:p w14:paraId="30443A87" w14:textId="2F106D95" w:rsidR="007538E2" w:rsidRPr="001E5C4A" w:rsidRDefault="007538E2" w:rsidP="001E5C4A">
      <w:pPr>
        <w:spacing w:line="360" w:lineRule="auto"/>
        <w:rPr>
          <w:rFonts w:ascii="Arial" w:hAnsi="Arial" w:cs="Arial"/>
          <w:sz w:val="22"/>
          <w:szCs w:val="22"/>
        </w:rPr>
      </w:pPr>
      <w:r w:rsidRPr="001E5C4A">
        <w:rPr>
          <w:rFonts w:ascii="Arial" w:hAnsi="Arial" w:cs="Arial"/>
          <w:sz w:val="22"/>
          <w:szCs w:val="22"/>
        </w:rPr>
        <w:t xml:space="preserve">By oxidizing glucose in the </w:t>
      </w:r>
      <w:r w:rsidR="00356CA0" w:rsidRPr="001E5C4A">
        <w:rPr>
          <w:rFonts w:ascii="Arial" w:hAnsi="Arial" w:cs="Arial"/>
          <w:sz w:val="22"/>
          <w:szCs w:val="22"/>
        </w:rPr>
        <w:t>company</w:t>
      </w:r>
      <w:r w:rsidRPr="001E5C4A">
        <w:rPr>
          <w:rFonts w:ascii="Arial" w:hAnsi="Arial" w:cs="Arial"/>
          <w:sz w:val="22"/>
          <w:szCs w:val="22"/>
        </w:rPr>
        <w:t xml:space="preserve"> of oxygen to </w:t>
      </w:r>
      <w:r w:rsidR="00356CA0" w:rsidRPr="001E5C4A">
        <w:rPr>
          <w:rFonts w:ascii="Arial" w:hAnsi="Arial" w:cs="Arial"/>
          <w:sz w:val="22"/>
          <w:szCs w:val="22"/>
        </w:rPr>
        <w:t>produce</w:t>
      </w:r>
      <w:r w:rsidRPr="001E5C4A">
        <w:rPr>
          <w:rFonts w:ascii="Arial" w:hAnsi="Arial" w:cs="Arial"/>
          <w:sz w:val="22"/>
          <w:szCs w:val="22"/>
        </w:rPr>
        <w:t xml:space="preserve"> adenosine triphosphate (ATP), cells capture chemical energy. The process begins with one molecule of glucose, which is </w:t>
      </w:r>
      <w:r w:rsidR="004449D0">
        <w:rPr>
          <w:rFonts w:ascii="Arial" w:hAnsi="Arial" w:cs="Arial"/>
          <w:sz w:val="22"/>
          <w:szCs w:val="22"/>
        </w:rPr>
        <w:t>divided up</w:t>
      </w:r>
      <w:r w:rsidRPr="001E5C4A">
        <w:rPr>
          <w:rFonts w:ascii="Arial" w:hAnsi="Arial" w:cs="Arial"/>
          <w:sz w:val="22"/>
          <w:szCs w:val="22"/>
        </w:rPr>
        <w:t xml:space="preserve"> in the </w:t>
      </w:r>
      <w:r w:rsidR="00356CA0">
        <w:rPr>
          <w:rFonts w:ascii="Arial" w:hAnsi="Arial" w:cs="Arial"/>
          <w:sz w:val="22"/>
          <w:szCs w:val="22"/>
        </w:rPr>
        <w:t>company</w:t>
      </w:r>
      <w:r w:rsidRPr="001E5C4A">
        <w:rPr>
          <w:rFonts w:ascii="Arial" w:hAnsi="Arial" w:cs="Arial"/>
          <w:sz w:val="22"/>
          <w:szCs w:val="22"/>
        </w:rPr>
        <w:t xml:space="preserve"> of oxygen to produce ATP. In the cytosol, glycolysis breaks down a molecule of glucose into two molecules of pyruvate, resulting in a minor net ATP gain. (Osmosis, 2022) Pyruvate enters the mitochondrion and is transformed into acetyl-coenzyme A, which then enters the tricarboxylic acid (TCA) cycle, when oxygen is plentiful. The TCA The cycle produces less electron carriers (NADH, FADH2), which transport electrons into the mitochondrial electron transport chain (ETC). (Davis, 2023)</w:t>
      </w:r>
      <w:r w:rsidRPr="001E5C4A">
        <w:rPr>
          <w:rFonts w:ascii="Arial" w:hAnsi="Arial" w:cs="Arial"/>
          <w:sz w:val="22"/>
          <w:szCs w:val="22"/>
        </w:rPr>
        <w:br/>
        <w:t>Electrons in the ETC are transferred across a chain of protein complexes and eventually absorbed by oxygen, resulting in the production of water. The movement of electrons drives proton transport across the membrane. This oxidative process generates a proton gradient by pumping across the inner mitochondrial membrane, which in turn powers ATP synthase to transform ADP + Pi into ATP. (Osmosis, 2022) As compared to glycolysis alone, the phosphorylation process produces significantly more ATP per glucose molecule. (</w:t>
      </w:r>
      <w:proofErr w:type="spellStart"/>
      <w:r w:rsidRPr="001E5C4A">
        <w:rPr>
          <w:rFonts w:ascii="Arial" w:hAnsi="Arial" w:cs="Arial"/>
          <w:sz w:val="22"/>
          <w:szCs w:val="22"/>
        </w:rPr>
        <w:t>Nakrani</w:t>
      </w:r>
      <w:proofErr w:type="spellEnd"/>
      <w:r w:rsidRPr="001E5C4A">
        <w:rPr>
          <w:rFonts w:ascii="Arial" w:hAnsi="Arial" w:cs="Arial"/>
          <w:sz w:val="22"/>
          <w:szCs w:val="22"/>
        </w:rPr>
        <w:t>, Wineland, and Anjum, 2023)</w:t>
      </w:r>
      <w:r w:rsidRPr="001E5C4A">
        <w:rPr>
          <w:rFonts w:ascii="Arial" w:hAnsi="Arial" w:cs="Arial"/>
          <w:sz w:val="22"/>
          <w:szCs w:val="22"/>
        </w:rPr>
        <w:br/>
        <w:t>In this way, the combined metabolism of glucose and oxygen allows cells to effectively produce energy to fuel activities like active transport, biosynthesis, and movement. Cells switch to anaerobic metabolism (fermentation) in the absence of enough oxygen, which results in much lower ATP production and the formation of by-products like lactate.</w:t>
      </w:r>
    </w:p>
    <w:p w14:paraId="10162319" w14:textId="1C18A48C" w:rsidR="00843800" w:rsidRPr="001E5C4A" w:rsidRDefault="00843800" w:rsidP="001E5C4A">
      <w:pPr>
        <w:spacing w:line="360" w:lineRule="auto"/>
        <w:rPr>
          <w:rFonts w:ascii="Arial" w:hAnsi="Arial" w:cs="Arial"/>
          <w:sz w:val="22"/>
          <w:szCs w:val="22"/>
        </w:rPr>
      </w:pPr>
      <w:r w:rsidRPr="001E5C4A">
        <w:rPr>
          <w:rFonts w:ascii="Arial" w:hAnsi="Arial" w:cs="Arial"/>
          <w:noProof/>
          <w:sz w:val="22"/>
          <w:szCs w:val="22"/>
        </w:rPr>
        <w:lastRenderedPageBreak/>
        <w:drawing>
          <wp:inline distT="0" distB="0" distL="0" distR="0" wp14:anchorId="12D760A2" wp14:editId="6E4A731D">
            <wp:extent cx="5731510" cy="3629660"/>
            <wp:effectExtent l="0" t="0" r="2540" b="8890"/>
            <wp:docPr id="157371030" name="Picture 1" descr="A diagram of a cell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1030" name="Picture 1" descr="A diagram of a cell cycl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29660"/>
                    </a:xfrm>
                    <a:prstGeom prst="rect">
                      <a:avLst/>
                    </a:prstGeom>
                    <a:noFill/>
                    <a:ln>
                      <a:noFill/>
                    </a:ln>
                  </pic:spPr>
                </pic:pic>
              </a:graphicData>
            </a:graphic>
          </wp:inline>
        </w:drawing>
      </w:r>
    </w:p>
    <w:p w14:paraId="736C10EE" w14:textId="65D4FD36" w:rsidR="00843800" w:rsidRPr="001E5C4A" w:rsidRDefault="00843800" w:rsidP="001E5C4A">
      <w:pPr>
        <w:spacing w:line="360" w:lineRule="auto"/>
        <w:rPr>
          <w:rFonts w:ascii="Arial" w:hAnsi="Arial" w:cs="Arial"/>
          <w:sz w:val="22"/>
          <w:szCs w:val="22"/>
        </w:rPr>
      </w:pPr>
      <w:r w:rsidRPr="001E5C4A">
        <w:rPr>
          <w:rFonts w:ascii="Arial" w:hAnsi="Arial" w:cs="Arial"/>
          <w:sz w:val="22"/>
          <w:szCs w:val="22"/>
        </w:rPr>
        <w:t>(Source: Chemistrytalk.org)</w:t>
      </w:r>
    </w:p>
    <w:p w14:paraId="0818576A" w14:textId="77777777" w:rsidR="00843800" w:rsidRPr="001E5C4A" w:rsidRDefault="00843800" w:rsidP="001E5C4A">
      <w:pPr>
        <w:spacing w:line="360" w:lineRule="auto"/>
        <w:rPr>
          <w:rFonts w:ascii="Arial" w:hAnsi="Arial" w:cs="Arial"/>
          <w:sz w:val="22"/>
          <w:szCs w:val="22"/>
        </w:rPr>
      </w:pPr>
    </w:p>
    <w:p w14:paraId="3DD96DC4" w14:textId="4DF56A36" w:rsidR="009D49DB" w:rsidRPr="00C7478B" w:rsidRDefault="009D49DB" w:rsidP="00FE7921">
      <w:pPr>
        <w:pStyle w:val="Heading1"/>
        <w:rPr>
          <w:rFonts w:ascii="Arial" w:hAnsi="Arial" w:cs="Arial"/>
          <w:color w:val="auto"/>
          <w:sz w:val="32"/>
          <w:szCs w:val="32"/>
          <w:lang w:eastAsia="zh-CN"/>
        </w:rPr>
      </w:pPr>
      <w:bookmarkStart w:id="4" w:name="_Toc213016660"/>
      <w:r w:rsidRPr="00C7478B">
        <w:rPr>
          <w:rFonts w:ascii="Arial" w:hAnsi="Arial" w:cs="Arial"/>
          <w:color w:val="auto"/>
          <w:sz w:val="32"/>
          <w:szCs w:val="32"/>
          <w:lang w:eastAsia="zh-CN"/>
        </w:rPr>
        <w:t>Briefly examine how recording and tracking blood sugar levels helps individuals with Type 2 diabetes to safely manage their condition.</w:t>
      </w:r>
      <w:bookmarkEnd w:id="4"/>
      <w:r w:rsidRPr="00C7478B">
        <w:rPr>
          <w:rFonts w:ascii="Arial" w:hAnsi="Arial" w:cs="Arial"/>
          <w:color w:val="auto"/>
          <w:sz w:val="32"/>
          <w:szCs w:val="32"/>
          <w:lang w:eastAsia="zh-CN"/>
        </w:rPr>
        <w:t xml:space="preserve">  </w:t>
      </w:r>
    </w:p>
    <w:p w14:paraId="45767CA6" w14:textId="0668484C" w:rsidR="009D49DB" w:rsidRPr="001E5C4A" w:rsidRDefault="004449D0" w:rsidP="001E5C4A">
      <w:pPr>
        <w:spacing w:line="360" w:lineRule="auto"/>
        <w:rPr>
          <w:rFonts w:ascii="Arial" w:hAnsi="Arial" w:cs="Arial"/>
          <w:sz w:val="22"/>
          <w:szCs w:val="22"/>
        </w:rPr>
      </w:pPr>
      <w:r w:rsidRPr="001E5C4A">
        <w:rPr>
          <w:rFonts w:ascii="Arial" w:hAnsi="Arial" w:cs="Arial"/>
          <w:sz w:val="22"/>
          <w:szCs w:val="22"/>
        </w:rPr>
        <w:t>Observing</w:t>
      </w:r>
      <w:r w:rsidR="009D49DB" w:rsidRPr="001E5C4A">
        <w:rPr>
          <w:rFonts w:ascii="Arial" w:hAnsi="Arial" w:cs="Arial"/>
          <w:sz w:val="22"/>
          <w:szCs w:val="22"/>
        </w:rPr>
        <w:t xml:space="preserve"> and recording blood sugar levels is an essential aspect of effectively </w:t>
      </w:r>
      <w:r w:rsidRPr="001E5C4A">
        <w:rPr>
          <w:rFonts w:ascii="Arial" w:hAnsi="Arial" w:cs="Arial"/>
          <w:sz w:val="22"/>
          <w:szCs w:val="22"/>
        </w:rPr>
        <w:t>operating</w:t>
      </w:r>
      <w:r w:rsidR="009D49DB" w:rsidRPr="001E5C4A">
        <w:rPr>
          <w:rFonts w:ascii="Arial" w:hAnsi="Arial" w:cs="Arial"/>
          <w:sz w:val="22"/>
          <w:szCs w:val="22"/>
        </w:rPr>
        <w:t xml:space="preserve"> Type 2 Diabetes Mellitus (T2DM).</w:t>
      </w:r>
      <w:r>
        <w:rPr>
          <w:rFonts w:ascii="Arial" w:hAnsi="Arial" w:cs="Arial"/>
          <w:sz w:val="22"/>
          <w:szCs w:val="22"/>
        </w:rPr>
        <w:t xml:space="preserve"> I</w:t>
      </w:r>
      <w:r w:rsidR="009D49DB" w:rsidRPr="001E5C4A">
        <w:rPr>
          <w:rFonts w:ascii="Arial" w:hAnsi="Arial" w:cs="Arial"/>
          <w:sz w:val="22"/>
          <w:szCs w:val="22"/>
        </w:rPr>
        <w:t>ndividuals can understand how their dietary choices, physical activity, medications, and other variables influence glucose variations</w:t>
      </w:r>
      <w:r>
        <w:rPr>
          <w:rFonts w:ascii="Arial" w:hAnsi="Arial" w:cs="Arial"/>
          <w:sz w:val="22"/>
          <w:szCs w:val="22"/>
        </w:rPr>
        <w:t xml:space="preserve"> with the help of keeping a well-maintained record of blood </w:t>
      </w:r>
      <w:proofErr w:type="gramStart"/>
      <w:r>
        <w:rPr>
          <w:rFonts w:ascii="Arial" w:hAnsi="Arial" w:cs="Arial"/>
          <w:sz w:val="22"/>
          <w:szCs w:val="22"/>
        </w:rPr>
        <w:t>glucose.</w:t>
      </w:r>
      <w:r w:rsidR="009D49DB" w:rsidRPr="001E5C4A">
        <w:rPr>
          <w:rFonts w:ascii="Arial" w:hAnsi="Arial" w:cs="Arial"/>
          <w:sz w:val="22"/>
          <w:szCs w:val="22"/>
        </w:rPr>
        <w:t>.</w:t>
      </w:r>
      <w:proofErr w:type="gramEnd"/>
      <w:r w:rsidR="009D49DB" w:rsidRPr="001E5C4A">
        <w:rPr>
          <w:rFonts w:ascii="Arial" w:hAnsi="Arial" w:cs="Arial"/>
          <w:sz w:val="22"/>
          <w:szCs w:val="22"/>
        </w:rPr>
        <w:t xml:space="preserve"> This information promotes increased self-awareness and allows for more prompt self-care actions (such as modifying carbohydrate consumption, enhancing physical activity when readings are elevated, or consulting healthcare professionals when patterns are identified).</w:t>
      </w:r>
    </w:p>
    <w:p w14:paraId="6D98BE59" w14:textId="77777777" w:rsidR="009D49DB" w:rsidRPr="001E5C4A" w:rsidRDefault="009D49DB" w:rsidP="001E5C4A">
      <w:pPr>
        <w:spacing w:line="360" w:lineRule="auto"/>
        <w:rPr>
          <w:rFonts w:ascii="Arial" w:hAnsi="Arial" w:cs="Arial"/>
          <w:sz w:val="22"/>
          <w:szCs w:val="22"/>
        </w:rPr>
      </w:pPr>
      <w:r w:rsidRPr="001E5C4A">
        <w:rPr>
          <w:rFonts w:ascii="Arial" w:hAnsi="Arial" w:cs="Arial"/>
          <w:sz w:val="22"/>
          <w:szCs w:val="22"/>
        </w:rPr>
        <w:t xml:space="preserve">Research indicates that self-monitoring of blood glucose (SMBG) can result in slight yet significant enhancements in glycaemic control among individuals with T2DM. For instance, a meta-analysis encompassing 15 randomized trials with 3,383 non-insulin-treated participants revealed that SMBG led to a mean reduction in HbA1c of –0.33 % (95 % CI –0.45 to –0.22) compared to standard care. (Zhu, Zhu and Leung, 2016). Additionally, another meta-analysis demonstrated that SMBG in non-insulin-treated T2DM patients was linked to a modest </w:t>
      </w:r>
      <w:r w:rsidRPr="001E5C4A">
        <w:rPr>
          <w:rFonts w:ascii="Arial" w:hAnsi="Arial" w:cs="Arial"/>
          <w:sz w:val="22"/>
          <w:szCs w:val="22"/>
        </w:rPr>
        <w:lastRenderedPageBreak/>
        <w:t>decrease in HbA1c (mean difference –0.25 %, 95% CI –0.36 to –0.15) across seven trials. (McIntosh et al., 2020)</w:t>
      </w:r>
    </w:p>
    <w:p w14:paraId="17CB5891" w14:textId="77777777" w:rsidR="009D49DB" w:rsidRPr="001E5C4A" w:rsidRDefault="009D49DB" w:rsidP="001E5C4A">
      <w:pPr>
        <w:spacing w:line="360" w:lineRule="auto"/>
        <w:rPr>
          <w:rFonts w:ascii="Arial" w:hAnsi="Arial" w:cs="Arial"/>
          <w:sz w:val="22"/>
          <w:szCs w:val="22"/>
        </w:rPr>
      </w:pPr>
      <w:r w:rsidRPr="001E5C4A">
        <w:rPr>
          <w:rFonts w:ascii="Arial" w:hAnsi="Arial" w:cs="Arial"/>
          <w:sz w:val="22"/>
          <w:szCs w:val="22"/>
        </w:rPr>
        <w:t>In addition to glycaemic levels, monitoring enables both individuals and healthcare professionals to identify trends of hyperglycaemia (elevated blood sugar) or hypoglycaemia (reduced blood sugar) and react more promptly.</w:t>
      </w:r>
    </w:p>
    <w:p w14:paraId="6F116C71" w14:textId="77777777" w:rsidR="009D49DB" w:rsidRPr="001E5C4A" w:rsidRDefault="009D49DB" w:rsidP="001E5C4A">
      <w:pPr>
        <w:spacing w:line="360" w:lineRule="auto"/>
        <w:rPr>
          <w:rFonts w:ascii="Arial" w:hAnsi="Arial" w:cs="Arial"/>
          <w:sz w:val="22"/>
          <w:szCs w:val="22"/>
        </w:rPr>
      </w:pPr>
      <w:r w:rsidRPr="001E5C4A">
        <w:rPr>
          <w:rFonts w:ascii="Arial" w:hAnsi="Arial" w:cs="Arial"/>
          <w:sz w:val="22"/>
          <w:szCs w:val="22"/>
        </w:rPr>
        <w:t>Practically, this could mean altering medication dosages, changing lifestyle habits, or arranging for an earlier consultation with the healthcare team.</w:t>
      </w:r>
    </w:p>
    <w:p w14:paraId="0A7A2CFB" w14:textId="77777777" w:rsidR="009D49DB" w:rsidRPr="001E5C4A" w:rsidRDefault="009D49DB" w:rsidP="001E5C4A">
      <w:pPr>
        <w:spacing w:line="360" w:lineRule="auto"/>
        <w:rPr>
          <w:rFonts w:ascii="Arial" w:hAnsi="Arial" w:cs="Arial"/>
          <w:sz w:val="22"/>
          <w:szCs w:val="22"/>
        </w:rPr>
      </w:pPr>
      <w:r w:rsidRPr="001E5C4A">
        <w:rPr>
          <w:rFonts w:ascii="Arial" w:hAnsi="Arial" w:cs="Arial"/>
          <w:sz w:val="22"/>
          <w:szCs w:val="22"/>
        </w:rPr>
        <w:t>When such information is utilized in a "structured" manner—meaning there is direction on how to interpret and respond to the readings—the advantages are enhanced.</w:t>
      </w:r>
    </w:p>
    <w:p w14:paraId="0C1C4B77" w14:textId="1AA6CC5C" w:rsidR="009D49DB" w:rsidRPr="001E5C4A" w:rsidRDefault="009D49DB" w:rsidP="001E5C4A">
      <w:pPr>
        <w:spacing w:line="360" w:lineRule="auto"/>
        <w:rPr>
          <w:rFonts w:ascii="Arial" w:hAnsi="Arial" w:cs="Arial"/>
          <w:sz w:val="22"/>
          <w:szCs w:val="22"/>
        </w:rPr>
      </w:pPr>
      <w:r w:rsidRPr="001E5C4A">
        <w:rPr>
          <w:rFonts w:ascii="Arial" w:hAnsi="Arial" w:cs="Arial"/>
          <w:sz w:val="22"/>
          <w:szCs w:val="22"/>
        </w:rPr>
        <w:t xml:space="preserve">A systematic review indicated that </w:t>
      </w:r>
      <w:r w:rsidR="004449D0">
        <w:rPr>
          <w:rFonts w:ascii="Arial" w:hAnsi="Arial" w:cs="Arial"/>
          <w:sz w:val="22"/>
          <w:szCs w:val="22"/>
        </w:rPr>
        <w:t>observing a record</w:t>
      </w:r>
      <w:r w:rsidRPr="001E5C4A">
        <w:rPr>
          <w:rFonts w:ascii="Arial" w:hAnsi="Arial" w:cs="Arial"/>
          <w:sz w:val="22"/>
          <w:szCs w:val="22"/>
        </w:rPr>
        <w:t xml:space="preserve"> of blood glucose (SMBG) led to a decrease in HbA1c levels only when clinicians employed the data to modify treatment; unstructured monitoring (lacking feedback or action) yielded no notable benefits. (Chircop, Sheffield and Kotera, 2021)</w:t>
      </w:r>
    </w:p>
    <w:p w14:paraId="2A3B1AE0" w14:textId="09423ADF" w:rsidR="001E5C4A" w:rsidRPr="00C7478B" w:rsidRDefault="001E5C4A" w:rsidP="001E5C4A">
      <w:pPr>
        <w:pStyle w:val="Heading1"/>
        <w:rPr>
          <w:rFonts w:ascii="Arial" w:hAnsi="Arial" w:cs="Arial"/>
          <w:color w:val="auto"/>
          <w:sz w:val="32"/>
          <w:szCs w:val="32"/>
          <w:lang w:eastAsia="zh-CN"/>
        </w:rPr>
      </w:pPr>
      <w:bookmarkStart w:id="5" w:name="_Toc213016661"/>
      <w:r w:rsidRPr="00C7478B">
        <w:rPr>
          <w:rFonts w:ascii="Arial" w:hAnsi="Arial" w:cs="Arial"/>
          <w:color w:val="auto"/>
          <w:sz w:val="32"/>
          <w:szCs w:val="32"/>
          <w:lang w:eastAsia="zh-CN"/>
        </w:rPr>
        <w:t>Include Evidence-Based Recommendations on How Lifestyle Changes Could Help Improve Their Condition.</w:t>
      </w:r>
      <w:bookmarkEnd w:id="5"/>
    </w:p>
    <w:p w14:paraId="612CCDF7" w14:textId="2B80C541" w:rsidR="001E5C4A" w:rsidRDefault="001E5C4A" w:rsidP="001E5C4A">
      <w:pPr>
        <w:spacing w:line="360" w:lineRule="auto"/>
        <w:rPr>
          <w:rFonts w:ascii="Arial" w:hAnsi="Arial" w:cs="Arial"/>
          <w:sz w:val="22"/>
          <w:szCs w:val="22"/>
        </w:rPr>
      </w:pPr>
      <w:r w:rsidRPr="001E5C4A">
        <w:rPr>
          <w:rFonts w:ascii="Arial" w:hAnsi="Arial" w:cs="Arial"/>
          <w:sz w:val="22"/>
          <w:szCs w:val="22"/>
        </w:rPr>
        <w:t xml:space="preserve">In the UK context, where a large proportion of the data and clinical practice resides, lifestyle change </w:t>
      </w:r>
      <w:r w:rsidR="004449D0">
        <w:rPr>
          <w:rFonts w:ascii="Arial" w:hAnsi="Arial" w:cs="Arial"/>
          <w:sz w:val="22"/>
          <w:szCs w:val="22"/>
        </w:rPr>
        <w:t>marks the main</w:t>
      </w:r>
      <w:r w:rsidRPr="001E5C4A">
        <w:rPr>
          <w:rFonts w:ascii="Arial" w:hAnsi="Arial" w:cs="Arial"/>
          <w:sz w:val="22"/>
          <w:szCs w:val="22"/>
        </w:rPr>
        <w:t xml:space="preserve"> component of managing Type 2 diabetes (T2DM). rooted in national guidelines and the activities of NHS England. The NHS recommends that significant changes in diet, physical activity, and weight control can Help individuals with T2DM by helping them manage their blood sugar levels, lessen their reliance on drugs, lower their cardiovascular risk, and perhaps even achieve remission. (2025, NHS website)</w:t>
      </w:r>
      <w:r w:rsidRPr="001E5C4A">
        <w:rPr>
          <w:rFonts w:ascii="Arial" w:hAnsi="Arial" w:cs="Arial"/>
          <w:sz w:val="22"/>
          <w:szCs w:val="22"/>
        </w:rPr>
        <w:br/>
        <w:t>Dietary modification is emphasized as one of the essential lifestyle strategies in the NHS website's "Treatment for type 2 diabetes" guidance: "try to eat a. " A nutritious diet consisting of fruits, vegetables, whole grains, and pulses like chickpeas and lentils" and to strive for "at least 2. 5 hours of walking or other forms of exercise" are two examples of healthy eating. engaging in a different activity that causes you to be out of breath once a week (NHS website, 2025). Furthermore, the NHS program "Healthier You NHS Diabetes Prevention Programme" in England, in 2025, a nine-month evidence-based lifestyle adjustment curriculum (diet, weight, activity) was proven to lower the risk of T2DM in high-risk people by 37%.</w:t>
      </w:r>
      <w:r w:rsidRPr="001E5C4A">
        <w:rPr>
          <w:rFonts w:ascii="Arial" w:hAnsi="Arial" w:cs="Arial"/>
          <w:sz w:val="22"/>
          <w:szCs w:val="22"/>
        </w:rPr>
        <w:br/>
        <w:t xml:space="preserve">Another top priority is weight management. The NHS advises people with pre-diabetes or early T2DM to concentrate on losing even small amounts of weight and lowering their waist circumference. and embracing healthier eating and exercise practices. (University Hospitals Sussex NHS Foundation Trust, 2023). The national "NHS Type 2 Diabetes Path to </w:t>
      </w:r>
      <w:r w:rsidRPr="001E5C4A">
        <w:rPr>
          <w:rFonts w:ascii="Arial" w:hAnsi="Arial" w:cs="Arial"/>
          <w:sz w:val="22"/>
          <w:szCs w:val="22"/>
        </w:rPr>
        <w:lastRenderedPageBreak/>
        <w:t>Remission Programme" is another example. (England, 2025) demonstrates that a large weight loss (average of around 16 kg) is linked to remission of T2DM in about 32% of subjects.</w:t>
      </w:r>
      <w:r w:rsidRPr="001E5C4A">
        <w:rPr>
          <w:rFonts w:ascii="Arial" w:hAnsi="Arial" w:cs="Arial"/>
          <w:sz w:val="22"/>
          <w:szCs w:val="22"/>
        </w:rPr>
        <w:br/>
        <w:t xml:space="preserve">These UK-specific, NHS-endorsed recommendations are consistent with the larger body of evidence from around the world. Meta-analyses have revealed that lifestyle changes (diet and exercise) lower the incidence of Compared to routine treatment, T2DM has a risk ratio of about 0. 53 (95% CI 0. 41–0.67) (Uusitupa </w:t>
      </w:r>
      <w:proofErr w:type="gramStart"/>
      <w:r w:rsidRPr="001E5C4A">
        <w:rPr>
          <w:rFonts w:ascii="Arial" w:hAnsi="Arial" w:cs="Arial"/>
          <w:sz w:val="22"/>
          <w:szCs w:val="22"/>
        </w:rPr>
        <w:t>et al. ,</w:t>
      </w:r>
      <w:proofErr w:type="gramEnd"/>
      <w:r w:rsidRPr="001E5C4A">
        <w:rPr>
          <w:rFonts w:ascii="Arial" w:hAnsi="Arial" w:cs="Arial"/>
          <w:sz w:val="22"/>
          <w:szCs w:val="22"/>
        </w:rPr>
        <w:t xml:space="preserve"> 2020). In people with T2DM, lifestyle changes such as diet, exercise, According to Huang et al. (2016), this behaviour lowers HbA1c and enhances cardiovascular risk factors.</w:t>
      </w:r>
      <w:r w:rsidRPr="001E5C4A">
        <w:rPr>
          <w:rFonts w:ascii="Arial" w:hAnsi="Arial" w:cs="Arial"/>
          <w:sz w:val="22"/>
          <w:szCs w:val="22"/>
        </w:rPr>
        <w:br/>
        <w:t>This translates into useful UK-centric advice:</w:t>
      </w:r>
      <w:r w:rsidRPr="001E5C4A">
        <w:rPr>
          <w:rFonts w:ascii="Arial" w:hAnsi="Arial" w:cs="Arial"/>
          <w:sz w:val="22"/>
          <w:szCs w:val="22"/>
        </w:rPr>
        <w:br/>
        <w:t xml:space="preserve">• A shift in diet: Prioritize higher consumption of </w:t>
      </w:r>
      <w:r w:rsidR="00510708">
        <w:rPr>
          <w:rFonts w:ascii="Arial" w:hAnsi="Arial" w:cs="Arial"/>
          <w:sz w:val="22"/>
          <w:szCs w:val="22"/>
        </w:rPr>
        <w:t xml:space="preserve">fibrous food fresh </w:t>
      </w:r>
      <w:r w:rsidRPr="001E5C4A">
        <w:rPr>
          <w:rFonts w:ascii="Arial" w:hAnsi="Arial" w:cs="Arial"/>
          <w:sz w:val="22"/>
          <w:szCs w:val="22"/>
        </w:rPr>
        <w:t>fruits</w:t>
      </w:r>
      <w:r w:rsidR="00510708">
        <w:rPr>
          <w:rFonts w:ascii="Arial" w:hAnsi="Arial" w:cs="Arial"/>
          <w:sz w:val="22"/>
          <w:szCs w:val="22"/>
        </w:rPr>
        <w:t xml:space="preserve"> and green </w:t>
      </w:r>
      <w:r w:rsidRPr="001E5C4A">
        <w:rPr>
          <w:rFonts w:ascii="Arial" w:hAnsi="Arial" w:cs="Arial"/>
          <w:sz w:val="22"/>
          <w:szCs w:val="22"/>
        </w:rPr>
        <w:t>vegetables</w:t>
      </w:r>
      <w:r w:rsidR="00510708">
        <w:rPr>
          <w:rFonts w:ascii="Arial" w:hAnsi="Arial" w:cs="Arial"/>
          <w:sz w:val="22"/>
          <w:szCs w:val="22"/>
        </w:rPr>
        <w:t xml:space="preserve"> with</w:t>
      </w:r>
      <w:r w:rsidRPr="001E5C4A">
        <w:rPr>
          <w:rFonts w:ascii="Arial" w:hAnsi="Arial" w:cs="Arial"/>
          <w:sz w:val="22"/>
          <w:szCs w:val="22"/>
        </w:rPr>
        <w:t xml:space="preserve"> pulses and whole grains while cutting back on sugar-sweetened drinks, processed carbohydrates, and saturated fats. This is expressly advised by the NHS. (Scot. nhs.uk, 2025)</w:t>
      </w:r>
      <w:r w:rsidRPr="001E5C4A">
        <w:rPr>
          <w:rFonts w:ascii="Arial" w:hAnsi="Arial" w:cs="Arial"/>
          <w:sz w:val="22"/>
          <w:szCs w:val="22"/>
        </w:rPr>
        <w:br/>
        <w:t xml:space="preserve">• Physical activity goal: As per NHS guidelines, </w:t>
      </w:r>
      <w:r w:rsidR="00510708">
        <w:rPr>
          <w:rFonts w:ascii="Arial" w:hAnsi="Arial" w:cs="Arial"/>
          <w:sz w:val="22"/>
          <w:szCs w:val="22"/>
        </w:rPr>
        <w:t xml:space="preserve">weekly </w:t>
      </w:r>
      <w:r w:rsidRPr="001E5C4A">
        <w:rPr>
          <w:rFonts w:ascii="Arial" w:hAnsi="Arial" w:cs="Arial"/>
          <w:sz w:val="22"/>
          <w:szCs w:val="22"/>
        </w:rPr>
        <w:t xml:space="preserve">engage </w:t>
      </w:r>
      <w:r w:rsidR="00510708">
        <w:rPr>
          <w:rFonts w:ascii="Arial" w:hAnsi="Arial" w:cs="Arial"/>
          <w:sz w:val="22"/>
          <w:szCs w:val="22"/>
        </w:rPr>
        <w:t xml:space="preserve">in three hours </w:t>
      </w:r>
      <w:r w:rsidRPr="001E5C4A">
        <w:rPr>
          <w:rFonts w:ascii="Arial" w:hAnsi="Arial" w:cs="Arial"/>
          <w:sz w:val="22"/>
          <w:szCs w:val="22"/>
        </w:rPr>
        <w:t xml:space="preserve">of </w:t>
      </w:r>
      <w:r w:rsidR="00510708">
        <w:rPr>
          <w:rFonts w:ascii="Arial" w:hAnsi="Arial" w:cs="Arial"/>
          <w:sz w:val="22"/>
          <w:szCs w:val="22"/>
        </w:rPr>
        <w:t xml:space="preserve">less to high level of energetic </w:t>
      </w:r>
      <w:r w:rsidRPr="001E5C4A">
        <w:rPr>
          <w:rFonts w:ascii="Arial" w:hAnsi="Arial" w:cs="Arial"/>
          <w:sz w:val="22"/>
          <w:szCs w:val="22"/>
        </w:rPr>
        <w:t>exercise (such as walking) along with strengthening exercises. These lower insulin levels. fight resistance and encourage weight reduction. (NHS website, 2025)</w:t>
      </w:r>
      <w:r w:rsidRPr="001E5C4A">
        <w:rPr>
          <w:rFonts w:ascii="Arial" w:hAnsi="Arial" w:cs="Arial"/>
          <w:sz w:val="22"/>
          <w:szCs w:val="22"/>
        </w:rPr>
        <w:br/>
        <w:t>• Weight reduction objective: Strive for a 5–10% decrease in body weight to see real metabolic changes; greater weight loss (10–15 kg) may allow remission in eligible individuals under the NHS Path to Remission program. (England, 2025)</w:t>
      </w:r>
      <w:r w:rsidRPr="001E5C4A">
        <w:rPr>
          <w:rFonts w:ascii="Arial" w:hAnsi="Arial" w:cs="Arial"/>
          <w:sz w:val="22"/>
          <w:szCs w:val="22"/>
        </w:rPr>
        <w:br/>
        <w:t>• Structured programs and behavioural assistance: To maintain change, make use of NHS-provided or affiliated programs (such as the Healthy Living online service) that offer counselling, self-monitoring, and frequent assessments. (England, 2025)</w:t>
      </w:r>
    </w:p>
    <w:p w14:paraId="65D6CA38" w14:textId="6287A8B1" w:rsidR="00FE7921" w:rsidRPr="00C7478B" w:rsidRDefault="00FE7921" w:rsidP="00FE7921">
      <w:pPr>
        <w:pStyle w:val="Heading1"/>
        <w:rPr>
          <w:rFonts w:ascii="Arial" w:hAnsi="Arial" w:cs="Arial"/>
          <w:color w:val="auto"/>
          <w:sz w:val="32"/>
          <w:szCs w:val="32"/>
        </w:rPr>
      </w:pPr>
      <w:bookmarkStart w:id="6" w:name="_Toc213016662"/>
      <w:r w:rsidRPr="00C7478B">
        <w:rPr>
          <w:rFonts w:ascii="Arial" w:hAnsi="Arial" w:cs="Arial"/>
          <w:color w:val="auto"/>
          <w:sz w:val="32"/>
          <w:szCs w:val="32"/>
        </w:rPr>
        <w:t>Conclusion:</w:t>
      </w:r>
      <w:bookmarkEnd w:id="6"/>
    </w:p>
    <w:p w14:paraId="2C9839D6" w14:textId="7FC837D2" w:rsidR="00FE7921" w:rsidRDefault="00FE7921" w:rsidP="001E5C4A">
      <w:pPr>
        <w:spacing w:line="360" w:lineRule="auto"/>
        <w:rPr>
          <w:rFonts w:ascii="Arial" w:hAnsi="Arial" w:cs="Arial"/>
          <w:sz w:val="22"/>
          <w:szCs w:val="22"/>
        </w:rPr>
      </w:pPr>
      <w:r w:rsidRPr="00FE7921">
        <w:rPr>
          <w:rFonts w:ascii="Arial" w:hAnsi="Arial" w:cs="Arial"/>
          <w:sz w:val="22"/>
          <w:szCs w:val="22"/>
        </w:rPr>
        <w:t xml:space="preserve">Diabetes mellitus is a </w:t>
      </w:r>
      <w:r w:rsidR="00510708">
        <w:rPr>
          <w:rFonts w:ascii="Arial" w:hAnsi="Arial" w:cs="Arial"/>
          <w:sz w:val="22"/>
          <w:szCs w:val="22"/>
        </w:rPr>
        <w:t>disease</w:t>
      </w:r>
      <w:r w:rsidRPr="00FE7921">
        <w:rPr>
          <w:rFonts w:ascii="Arial" w:hAnsi="Arial" w:cs="Arial"/>
          <w:sz w:val="22"/>
          <w:szCs w:val="22"/>
        </w:rPr>
        <w:t xml:space="preserve"> characteri</w:t>
      </w:r>
      <w:r w:rsidR="00510708">
        <w:rPr>
          <w:rFonts w:ascii="Arial" w:hAnsi="Arial" w:cs="Arial"/>
          <w:sz w:val="22"/>
          <w:szCs w:val="22"/>
        </w:rPr>
        <w:t>s</w:t>
      </w:r>
      <w:r w:rsidRPr="00FE7921">
        <w:rPr>
          <w:rFonts w:ascii="Arial" w:hAnsi="Arial" w:cs="Arial"/>
          <w:sz w:val="22"/>
          <w:szCs w:val="22"/>
        </w:rPr>
        <w:t xml:space="preserve">ed by sustained hyperglycaemia brought about by a deficiency in insulin synthesis, activity, or both. The two primary categories are Type 1 diabetes mellitus (T1DM), which results from the autoimmune </w:t>
      </w:r>
      <w:r w:rsidR="00510708">
        <w:rPr>
          <w:rFonts w:ascii="Arial" w:hAnsi="Arial" w:cs="Arial"/>
          <w:sz w:val="22"/>
          <w:szCs w:val="22"/>
        </w:rPr>
        <w:t>attacking</w:t>
      </w:r>
      <w:r w:rsidRPr="00FE7921">
        <w:rPr>
          <w:rFonts w:ascii="Arial" w:hAnsi="Arial" w:cs="Arial"/>
          <w:sz w:val="22"/>
          <w:szCs w:val="22"/>
        </w:rPr>
        <w:t xml:space="preserve"> pancreatic β-cells and consequent </w:t>
      </w:r>
      <w:r w:rsidR="00510708">
        <w:rPr>
          <w:rFonts w:ascii="Arial" w:hAnsi="Arial" w:cs="Arial"/>
          <w:sz w:val="22"/>
          <w:szCs w:val="22"/>
        </w:rPr>
        <w:t xml:space="preserve">dearth of </w:t>
      </w:r>
      <w:r w:rsidRPr="00FE7921">
        <w:rPr>
          <w:rFonts w:ascii="Arial" w:hAnsi="Arial" w:cs="Arial"/>
          <w:sz w:val="22"/>
          <w:szCs w:val="22"/>
        </w:rPr>
        <w:t xml:space="preserve">insulin, and Type 2 diabetes. mellitus (T2DM), which is marked by </w:t>
      </w:r>
      <w:r w:rsidR="00AA432B">
        <w:rPr>
          <w:rFonts w:ascii="Arial" w:hAnsi="Arial" w:cs="Arial"/>
          <w:sz w:val="22"/>
          <w:szCs w:val="22"/>
        </w:rPr>
        <w:t xml:space="preserve">dearth of </w:t>
      </w:r>
      <w:r w:rsidR="00AA432B" w:rsidRPr="00FE7921">
        <w:rPr>
          <w:rFonts w:ascii="Arial" w:hAnsi="Arial" w:cs="Arial"/>
          <w:sz w:val="22"/>
          <w:szCs w:val="22"/>
        </w:rPr>
        <w:t xml:space="preserve">insulin </w:t>
      </w:r>
      <w:r w:rsidRPr="00FE7921">
        <w:rPr>
          <w:rFonts w:ascii="Arial" w:hAnsi="Arial" w:cs="Arial"/>
          <w:sz w:val="22"/>
          <w:szCs w:val="22"/>
        </w:rPr>
        <w:t>and increasing β-cell malfunction. About 90% of diabetes cases in the UK are T2DM, which affects around 7% of the population, and there are one million persons who are unaware of their illness. With nearly 10% of its budget going toward it, the NHS is significantly burdened by the increasing prevalence.</w:t>
      </w:r>
      <w:r w:rsidRPr="00FE7921">
        <w:rPr>
          <w:rFonts w:ascii="Arial" w:hAnsi="Arial" w:cs="Arial"/>
          <w:sz w:val="22"/>
          <w:szCs w:val="22"/>
        </w:rPr>
        <w:br/>
      </w:r>
      <w:r w:rsidRPr="00FE7921">
        <w:rPr>
          <w:rFonts w:ascii="Arial" w:hAnsi="Arial" w:cs="Arial"/>
          <w:sz w:val="22"/>
          <w:szCs w:val="22"/>
        </w:rPr>
        <w:br/>
        <w:t xml:space="preserve">Both </w:t>
      </w:r>
      <w:r w:rsidR="00510708">
        <w:rPr>
          <w:rFonts w:ascii="Arial" w:hAnsi="Arial" w:cs="Arial"/>
          <w:sz w:val="22"/>
          <w:szCs w:val="22"/>
        </w:rPr>
        <w:t>change</w:t>
      </w:r>
      <w:r w:rsidRPr="00FE7921">
        <w:rPr>
          <w:rFonts w:ascii="Arial" w:hAnsi="Arial" w:cs="Arial"/>
          <w:sz w:val="22"/>
          <w:szCs w:val="22"/>
        </w:rPr>
        <w:t>able and non</w:t>
      </w:r>
      <w:r w:rsidR="00510708">
        <w:rPr>
          <w:rFonts w:ascii="Arial" w:hAnsi="Arial" w:cs="Arial"/>
          <w:sz w:val="22"/>
          <w:szCs w:val="22"/>
        </w:rPr>
        <w:t>-change</w:t>
      </w:r>
      <w:r w:rsidRPr="00FE7921">
        <w:rPr>
          <w:rFonts w:ascii="Arial" w:hAnsi="Arial" w:cs="Arial"/>
          <w:sz w:val="22"/>
          <w:szCs w:val="22"/>
        </w:rPr>
        <w:t xml:space="preserve">able factors contribute to the risk of T2DM. These include age, ethnicity (notably South Asian, Black African, and African-Caribbean backgrounds), </w:t>
      </w:r>
      <w:r w:rsidRPr="00FE7921">
        <w:rPr>
          <w:rFonts w:ascii="Arial" w:hAnsi="Arial" w:cs="Arial"/>
          <w:sz w:val="22"/>
          <w:szCs w:val="22"/>
        </w:rPr>
        <w:lastRenderedPageBreak/>
        <w:t>family history, and socioeconomic disadvantage. rise in susceptibility. The epidemic is driven by modifiable factors, such as obesity, physical inactivity, and unhealthy diets heavy in sugar and saturated fats, which are supported by the "obesogenic environment" in the United Kingdom.</w:t>
      </w:r>
      <w:r w:rsidRPr="00FE7921">
        <w:rPr>
          <w:rFonts w:ascii="Arial" w:hAnsi="Arial" w:cs="Arial"/>
          <w:sz w:val="22"/>
          <w:szCs w:val="22"/>
        </w:rPr>
        <w:br/>
      </w:r>
      <w:r w:rsidRPr="00FE7921">
        <w:rPr>
          <w:rFonts w:ascii="Arial" w:hAnsi="Arial" w:cs="Arial"/>
          <w:sz w:val="22"/>
          <w:szCs w:val="22"/>
        </w:rPr>
        <w:br/>
        <w:t xml:space="preserve">With organs such as the liver, muscles, and adipose tissue keeping blood glucose levels between 4 and 6 mmol/L, glucose regulation is dependent upon a balance between insulin and glucagon. Chronic </w:t>
      </w:r>
      <w:r w:rsidR="00107B0B" w:rsidRPr="00FE7921">
        <w:rPr>
          <w:rFonts w:ascii="Arial" w:hAnsi="Arial" w:cs="Arial"/>
          <w:sz w:val="22"/>
          <w:szCs w:val="22"/>
        </w:rPr>
        <w:t>dysglycaemia</w:t>
      </w:r>
      <w:r w:rsidRPr="00FE7921">
        <w:rPr>
          <w:rFonts w:ascii="Arial" w:hAnsi="Arial" w:cs="Arial"/>
          <w:sz w:val="22"/>
          <w:szCs w:val="22"/>
        </w:rPr>
        <w:t xml:space="preserve"> is caused by dysfunction in this system. The process of glucose oxidation, which involves glycolysis, the TCA cycle, and oxidative phosphorylation, generates ATP efficiently under aerobic conditions.</w:t>
      </w:r>
      <w:r w:rsidRPr="00FE7921">
        <w:rPr>
          <w:rFonts w:ascii="Arial" w:hAnsi="Arial" w:cs="Arial"/>
          <w:sz w:val="22"/>
          <w:szCs w:val="22"/>
        </w:rPr>
        <w:br/>
      </w:r>
      <w:r w:rsidRPr="00FE7921">
        <w:rPr>
          <w:rFonts w:ascii="Arial" w:hAnsi="Arial" w:cs="Arial"/>
          <w:sz w:val="22"/>
          <w:szCs w:val="22"/>
        </w:rPr>
        <w:br/>
        <w:t xml:space="preserve">Blood glucose monitoring and lifestyle modifications are essential for the successful management of T2DM. When healthcare practitioners make changes to therapy </w:t>
      </w:r>
      <w:proofErr w:type="gramStart"/>
      <w:r w:rsidRPr="00FE7921">
        <w:rPr>
          <w:rFonts w:ascii="Arial" w:hAnsi="Arial" w:cs="Arial"/>
          <w:sz w:val="22"/>
          <w:szCs w:val="22"/>
        </w:rPr>
        <w:t>as a result of</w:t>
      </w:r>
      <w:proofErr w:type="gramEnd"/>
      <w:r w:rsidRPr="00FE7921">
        <w:rPr>
          <w:rFonts w:ascii="Arial" w:hAnsi="Arial" w:cs="Arial"/>
          <w:sz w:val="22"/>
          <w:szCs w:val="22"/>
        </w:rPr>
        <w:t xml:space="preserve"> structured self-monitoring, </w:t>
      </w:r>
      <w:r w:rsidR="00107B0B" w:rsidRPr="00FE7921">
        <w:rPr>
          <w:rFonts w:ascii="Arial" w:hAnsi="Arial" w:cs="Arial"/>
          <w:sz w:val="22"/>
          <w:szCs w:val="22"/>
        </w:rPr>
        <w:t>glycaemic</w:t>
      </w:r>
      <w:r w:rsidRPr="00FE7921">
        <w:rPr>
          <w:rFonts w:ascii="Arial" w:hAnsi="Arial" w:cs="Arial"/>
          <w:sz w:val="22"/>
          <w:szCs w:val="22"/>
        </w:rPr>
        <w:t xml:space="preserve"> control is improved, particularly. Regular physical activity (at least 150 minutes per week) and dietary changes are emphasized in NHS guidelines. Weight loss (5–10%) is one of the main strategies, and programs like the NHS Diabetes Prevention and Remission initiative show that long-term lifestyle adjustments can lower the risk of type 2 diabetes. and, in some cases, attain remission.</w:t>
      </w:r>
    </w:p>
    <w:p w14:paraId="59E2AABF" w14:textId="77777777" w:rsidR="00F73AC9" w:rsidRDefault="00F73AC9" w:rsidP="001E5C4A">
      <w:pPr>
        <w:spacing w:line="360" w:lineRule="auto"/>
        <w:rPr>
          <w:rFonts w:ascii="Arial" w:hAnsi="Arial" w:cs="Arial"/>
          <w:sz w:val="22"/>
          <w:szCs w:val="22"/>
        </w:rPr>
      </w:pPr>
    </w:p>
    <w:p w14:paraId="661F547F" w14:textId="77777777" w:rsidR="00F73AC9" w:rsidRDefault="00F73AC9" w:rsidP="001E5C4A">
      <w:pPr>
        <w:spacing w:line="360" w:lineRule="auto"/>
        <w:rPr>
          <w:rFonts w:ascii="Arial" w:hAnsi="Arial" w:cs="Arial"/>
          <w:sz w:val="22"/>
          <w:szCs w:val="22"/>
        </w:rPr>
      </w:pPr>
    </w:p>
    <w:p w14:paraId="2ED24216" w14:textId="77777777" w:rsidR="00F73AC9" w:rsidRDefault="00F73AC9" w:rsidP="001E5C4A">
      <w:pPr>
        <w:spacing w:line="360" w:lineRule="auto"/>
        <w:rPr>
          <w:rFonts w:ascii="Arial" w:hAnsi="Arial" w:cs="Arial"/>
          <w:sz w:val="22"/>
          <w:szCs w:val="22"/>
        </w:rPr>
      </w:pPr>
    </w:p>
    <w:p w14:paraId="0EBA3E30" w14:textId="77777777" w:rsidR="00F73AC9" w:rsidRDefault="00F73AC9" w:rsidP="001E5C4A">
      <w:pPr>
        <w:spacing w:line="360" w:lineRule="auto"/>
        <w:rPr>
          <w:rFonts w:ascii="Arial" w:hAnsi="Arial" w:cs="Arial"/>
          <w:sz w:val="22"/>
          <w:szCs w:val="22"/>
        </w:rPr>
      </w:pPr>
    </w:p>
    <w:p w14:paraId="375C4384" w14:textId="77777777" w:rsidR="00F73AC9" w:rsidRDefault="00F73AC9" w:rsidP="001E5C4A">
      <w:pPr>
        <w:spacing w:line="360" w:lineRule="auto"/>
        <w:rPr>
          <w:rFonts w:ascii="Arial" w:hAnsi="Arial" w:cs="Arial"/>
          <w:sz w:val="22"/>
          <w:szCs w:val="22"/>
        </w:rPr>
      </w:pPr>
    </w:p>
    <w:p w14:paraId="5FF2F3FE" w14:textId="77777777" w:rsidR="00F73AC9" w:rsidRDefault="00F73AC9" w:rsidP="001E5C4A">
      <w:pPr>
        <w:spacing w:line="360" w:lineRule="auto"/>
        <w:rPr>
          <w:rFonts w:ascii="Arial" w:hAnsi="Arial" w:cs="Arial"/>
          <w:sz w:val="22"/>
          <w:szCs w:val="22"/>
        </w:rPr>
      </w:pPr>
    </w:p>
    <w:p w14:paraId="101721CC" w14:textId="77777777" w:rsidR="00F73AC9" w:rsidRDefault="00F73AC9" w:rsidP="001E5C4A">
      <w:pPr>
        <w:spacing w:line="360" w:lineRule="auto"/>
        <w:rPr>
          <w:rFonts w:ascii="Arial" w:hAnsi="Arial" w:cs="Arial"/>
          <w:sz w:val="22"/>
          <w:szCs w:val="22"/>
        </w:rPr>
      </w:pPr>
    </w:p>
    <w:p w14:paraId="3E343CE9" w14:textId="77777777" w:rsidR="00F73AC9" w:rsidRDefault="00F73AC9" w:rsidP="001E5C4A">
      <w:pPr>
        <w:spacing w:line="360" w:lineRule="auto"/>
        <w:rPr>
          <w:rFonts w:ascii="Arial" w:hAnsi="Arial" w:cs="Arial"/>
          <w:sz w:val="22"/>
          <w:szCs w:val="22"/>
        </w:rPr>
      </w:pPr>
    </w:p>
    <w:p w14:paraId="19FFF1E5" w14:textId="77777777" w:rsidR="00BD25A5" w:rsidRDefault="00BD25A5" w:rsidP="00BD25A5">
      <w:pPr>
        <w:pStyle w:val="Heading1"/>
      </w:pPr>
    </w:p>
    <w:p w14:paraId="16718D4B" w14:textId="77777777" w:rsidR="00975920" w:rsidRDefault="00975920" w:rsidP="00BD25A5">
      <w:pPr>
        <w:pStyle w:val="Heading1"/>
        <w:rPr>
          <w:rFonts w:ascii="Arial" w:hAnsi="Arial" w:cs="Arial"/>
          <w:color w:val="auto"/>
          <w:sz w:val="28"/>
          <w:szCs w:val="28"/>
        </w:rPr>
      </w:pPr>
      <w:bookmarkStart w:id="7" w:name="_Toc213016663"/>
    </w:p>
    <w:p w14:paraId="758BF8CE" w14:textId="59FB3D75" w:rsidR="00BD25A5" w:rsidRPr="00DA6CE2" w:rsidRDefault="00F73AC9" w:rsidP="00BD25A5">
      <w:pPr>
        <w:pStyle w:val="Heading1"/>
        <w:rPr>
          <w:rFonts w:ascii="Arial" w:hAnsi="Arial" w:cs="Arial"/>
          <w:color w:val="auto"/>
          <w:sz w:val="28"/>
          <w:szCs w:val="28"/>
        </w:rPr>
      </w:pPr>
      <w:r w:rsidRPr="00BD25A5">
        <w:rPr>
          <w:rFonts w:ascii="Arial" w:hAnsi="Arial" w:cs="Arial"/>
          <w:color w:val="auto"/>
          <w:sz w:val="28"/>
          <w:szCs w:val="28"/>
        </w:rPr>
        <w:t>References:</w:t>
      </w:r>
      <w:bookmarkEnd w:id="7"/>
    </w:p>
    <w:p w14:paraId="15D4FB9D" w14:textId="77777777" w:rsidR="00BD25A5" w:rsidRPr="00070235" w:rsidRDefault="00BD25A5" w:rsidP="00BD25A5">
      <w:pPr>
        <w:spacing w:line="360" w:lineRule="auto"/>
        <w:rPr>
          <w:rFonts w:ascii="Arial" w:hAnsi="Arial" w:cs="Arial"/>
          <w:sz w:val="22"/>
          <w:szCs w:val="22"/>
        </w:rPr>
      </w:pPr>
      <w:r w:rsidRPr="00070235">
        <w:rPr>
          <w:rFonts w:ascii="Arial" w:hAnsi="Arial" w:cs="Arial"/>
          <w:sz w:val="22"/>
          <w:szCs w:val="22"/>
        </w:rPr>
        <w:t>England, P.H. (2018). </w:t>
      </w:r>
      <w:r w:rsidRPr="00070235">
        <w:rPr>
          <w:rFonts w:ascii="Arial" w:hAnsi="Arial" w:cs="Arial"/>
          <w:i/>
          <w:iCs/>
          <w:sz w:val="22"/>
          <w:szCs w:val="22"/>
        </w:rPr>
        <w:t>Health matters: preventing Type 2 Diabetes</w:t>
      </w:r>
      <w:r w:rsidRPr="00070235">
        <w:rPr>
          <w:rFonts w:ascii="Arial" w:hAnsi="Arial" w:cs="Arial"/>
          <w:sz w:val="22"/>
          <w:szCs w:val="22"/>
        </w:rPr>
        <w:t xml:space="preserve">. [online] GOV.UK. Available at: </w:t>
      </w:r>
      <w:hyperlink r:id="rId9" w:history="1">
        <w:r w:rsidRPr="00C41DB7">
          <w:rPr>
            <w:rStyle w:val="Hyperlink"/>
            <w:rFonts w:ascii="Arial" w:hAnsi="Arial" w:cs="Arial"/>
            <w:sz w:val="22"/>
            <w:szCs w:val="22"/>
          </w:rPr>
          <w:t>https://www.gov.uk/government/publications/health-matters-preventing-type-2-diabetes/health-matters-preventing-type-2-diabetes</w:t>
        </w:r>
      </w:hyperlink>
      <w:r>
        <w:rPr>
          <w:rFonts w:ascii="Arial" w:hAnsi="Arial" w:cs="Arial"/>
          <w:sz w:val="22"/>
          <w:szCs w:val="22"/>
        </w:rPr>
        <w:t xml:space="preserve"> </w:t>
      </w:r>
      <w:r w:rsidRPr="00070235">
        <w:rPr>
          <w:rFonts w:ascii="Arial" w:hAnsi="Arial" w:cs="Arial"/>
          <w:sz w:val="22"/>
          <w:szCs w:val="22"/>
        </w:rPr>
        <w:t>[Accessed 2 Nov. 2025].</w:t>
      </w:r>
    </w:p>
    <w:p w14:paraId="26C5646B" w14:textId="77777777" w:rsidR="00BD25A5" w:rsidRPr="00070235" w:rsidRDefault="00BD25A5" w:rsidP="00BD25A5">
      <w:pPr>
        <w:spacing w:line="360" w:lineRule="auto"/>
        <w:rPr>
          <w:rFonts w:ascii="Arial" w:hAnsi="Arial" w:cs="Arial"/>
          <w:sz w:val="22"/>
          <w:szCs w:val="22"/>
        </w:rPr>
      </w:pPr>
      <w:r w:rsidRPr="00241568">
        <w:rPr>
          <w:rFonts w:ascii="Arial" w:hAnsi="Arial" w:cs="Arial"/>
          <w:sz w:val="22"/>
          <w:szCs w:val="22"/>
        </w:rPr>
        <w:t>‌</w:t>
      </w:r>
      <w:r w:rsidRPr="00070235">
        <w:rPr>
          <w:rFonts w:ascii="Arial" w:eastAsia="Times New Roman" w:hAnsi="Arial" w:cs="Arial"/>
          <w:color w:val="000000"/>
          <w:kern w:val="0"/>
          <w:sz w:val="22"/>
          <w:szCs w:val="22"/>
          <w:lang w:eastAsia="en-GB"/>
          <w14:ligatures w14:val="none"/>
        </w:rPr>
        <w:t xml:space="preserve"> </w:t>
      </w:r>
      <w:r w:rsidRPr="00070235">
        <w:rPr>
          <w:rFonts w:ascii="Arial" w:hAnsi="Arial" w:cs="Arial"/>
          <w:sz w:val="22"/>
          <w:szCs w:val="22"/>
        </w:rPr>
        <w:t>Eom, Y.S., Wilson, J.R. and Bernet, V.J. (2022). Links between Thyroid Disorders and Glucose Homeostasis. </w:t>
      </w:r>
      <w:r w:rsidRPr="00070235">
        <w:rPr>
          <w:rFonts w:ascii="Arial" w:hAnsi="Arial" w:cs="Arial"/>
          <w:i/>
          <w:iCs/>
          <w:sz w:val="22"/>
          <w:szCs w:val="22"/>
        </w:rPr>
        <w:t>Diabetes &amp; Metabolism Journal</w:t>
      </w:r>
      <w:r w:rsidRPr="00070235">
        <w:rPr>
          <w:rFonts w:ascii="Arial" w:hAnsi="Arial" w:cs="Arial"/>
          <w:sz w:val="22"/>
          <w:szCs w:val="22"/>
        </w:rPr>
        <w:t xml:space="preserve">, [online] 46(2), pp.239–256. </w:t>
      </w:r>
      <w:proofErr w:type="spellStart"/>
      <w:proofErr w:type="gramStart"/>
      <w:r w:rsidRPr="00070235">
        <w:rPr>
          <w:rFonts w:ascii="Arial" w:hAnsi="Arial" w:cs="Arial"/>
          <w:sz w:val="22"/>
          <w:szCs w:val="22"/>
        </w:rPr>
        <w:t>doi:https</w:t>
      </w:r>
      <w:proofErr w:type="spellEnd"/>
      <w:r w:rsidRPr="00070235">
        <w:rPr>
          <w:rFonts w:ascii="Arial" w:hAnsi="Arial" w:cs="Arial"/>
          <w:sz w:val="22"/>
          <w:szCs w:val="22"/>
        </w:rPr>
        <w:t>://doi.org/10.4093/dmj.2022.0013</w:t>
      </w:r>
      <w:proofErr w:type="gramEnd"/>
      <w:r w:rsidRPr="00070235">
        <w:rPr>
          <w:rFonts w:ascii="Arial" w:hAnsi="Arial" w:cs="Arial"/>
          <w:sz w:val="22"/>
          <w:szCs w:val="22"/>
        </w:rPr>
        <w:t>.</w:t>
      </w:r>
      <w:r>
        <w:rPr>
          <w:rFonts w:ascii="Arial" w:hAnsi="Arial" w:cs="Arial"/>
          <w:sz w:val="22"/>
          <w:szCs w:val="22"/>
        </w:rPr>
        <w:t xml:space="preserve"> </w:t>
      </w:r>
      <w:r w:rsidRPr="00070235">
        <w:rPr>
          <w:rFonts w:ascii="Arial" w:hAnsi="Arial" w:cs="Arial"/>
          <w:sz w:val="22"/>
          <w:szCs w:val="22"/>
        </w:rPr>
        <w:t>[Accessed 2 Nov. 2025].</w:t>
      </w:r>
    </w:p>
    <w:p w14:paraId="7DAA210D" w14:textId="77777777" w:rsidR="00BD25A5" w:rsidRPr="00070235" w:rsidRDefault="00BD25A5" w:rsidP="00BD25A5">
      <w:pPr>
        <w:spacing w:line="360" w:lineRule="auto"/>
        <w:rPr>
          <w:rFonts w:ascii="Arial" w:hAnsi="Arial" w:cs="Arial"/>
          <w:sz w:val="22"/>
          <w:szCs w:val="22"/>
        </w:rPr>
      </w:pPr>
      <w:r w:rsidRPr="001A79BF">
        <w:rPr>
          <w:rFonts w:ascii="Arial" w:hAnsi="Arial" w:cs="Arial"/>
          <w:sz w:val="22"/>
          <w:szCs w:val="22"/>
        </w:rPr>
        <w:t>‌</w:t>
      </w:r>
      <w:r w:rsidRPr="00070235">
        <w:rPr>
          <w:rFonts w:ascii="Arial" w:eastAsia="Times New Roman" w:hAnsi="Arial" w:cs="Arial"/>
          <w:color w:val="000000"/>
          <w:kern w:val="0"/>
          <w:sz w:val="22"/>
          <w:szCs w:val="22"/>
          <w:lang w:eastAsia="en-GB"/>
          <w14:ligatures w14:val="none"/>
        </w:rPr>
        <w:t xml:space="preserve"> </w:t>
      </w:r>
      <w:r w:rsidRPr="00070235">
        <w:rPr>
          <w:rFonts w:ascii="Arial" w:hAnsi="Arial" w:cs="Arial"/>
          <w:sz w:val="22"/>
          <w:szCs w:val="22"/>
        </w:rPr>
        <w:t>NHS website (2025). </w:t>
      </w:r>
      <w:r w:rsidRPr="00070235">
        <w:rPr>
          <w:rFonts w:ascii="Arial" w:hAnsi="Arial" w:cs="Arial"/>
          <w:i/>
          <w:iCs/>
          <w:sz w:val="22"/>
          <w:szCs w:val="22"/>
        </w:rPr>
        <w:t>Treatment for type 2 diabetes</w:t>
      </w:r>
      <w:r w:rsidRPr="00070235">
        <w:rPr>
          <w:rFonts w:ascii="Arial" w:hAnsi="Arial" w:cs="Arial"/>
          <w:sz w:val="22"/>
          <w:szCs w:val="22"/>
        </w:rPr>
        <w:t xml:space="preserve">. [online] nhs.uk. Available at: </w:t>
      </w:r>
      <w:hyperlink r:id="rId10" w:history="1">
        <w:r w:rsidRPr="00C41DB7">
          <w:rPr>
            <w:rStyle w:val="Hyperlink"/>
            <w:rFonts w:ascii="Arial" w:hAnsi="Arial" w:cs="Arial"/>
            <w:sz w:val="22"/>
            <w:szCs w:val="22"/>
          </w:rPr>
          <w:t>https://www.nhs.uk/conditions/type-2-diabetes/treatment/</w:t>
        </w:r>
      </w:hyperlink>
      <w:r>
        <w:rPr>
          <w:rFonts w:ascii="Arial" w:hAnsi="Arial" w:cs="Arial"/>
          <w:sz w:val="22"/>
          <w:szCs w:val="22"/>
        </w:rPr>
        <w:t xml:space="preserve"> </w:t>
      </w:r>
      <w:r w:rsidRPr="00070235">
        <w:rPr>
          <w:rFonts w:ascii="Arial" w:hAnsi="Arial" w:cs="Arial"/>
          <w:sz w:val="22"/>
          <w:szCs w:val="22"/>
        </w:rPr>
        <w:t>[Accessed 2 Nov. 2025].</w:t>
      </w:r>
    </w:p>
    <w:p w14:paraId="02C2FB2B" w14:textId="77777777" w:rsidR="00BD25A5" w:rsidRPr="00070235" w:rsidRDefault="00BD25A5" w:rsidP="00BD25A5">
      <w:pPr>
        <w:spacing w:line="360" w:lineRule="auto"/>
        <w:rPr>
          <w:rFonts w:ascii="Arial" w:hAnsi="Arial" w:cs="Arial"/>
          <w:sz w:val="22"/>
          <w:szCs w:val="22"/>
        </w:rPr>
      </w:pPr>
      <w:r w:rsidRPr="00195146">
        <w:rPr>
          <w:rFonts w:ascii="Arial" w:hAnsi="Arial" w:cs="Arial"/>
          <w:sz w:val="22"/>
          <w:szCs w:val="22"/>
        </w:rPr>
        <w:t>‌</w:t>
      </w:r>
      <w:r w:rsidRPr="00070235">
        <w:rPr>
          <w:rFonts w:ascii="Arial" w:eastAsia="Times New Roman" w:hAnsi="Arial" w:cs="Arial"/>
          <w:color w:val="000000"/>
          <w:kern w:val="0"/>
          <w:sz w:val="22"/>
          <w:szCs w:val="22"/>
          <w:lang w:eastAsia="en-GB"/>
          <w14:ligatures w14:val="none"/>
        </w:rPr>
        <w:t xml:space="preserve"> </w:t>
      </w:r>
      <w:r w:rsidRPr="00070235">
        <w:rPr>
          <w:rFonts w:ascii="Arial" w:hAnsi="Arial" w:cs="Arial"/>
          <w:sz w:val="22"/>
          <w:szCs w:val="22"/>
        </w:rPr>
        <w:t>NHS website (2025). </w:t>
      </w:r>
      <w:r w:rsidRPr="00070235">
        <w:rPr>
          <w:rFonts w:ascii="Arial" w:hAnsi="Arial" w:cs="Arial"/>
          <w:i/>
          <w:iCs/>
          <w:sz w:val="22"/>
          <w:szCs w:val="22"/>
        </w:rPr>
        <w:t>Treatment for type 2 diabetes</w:t>
      </w:r>
      <w:r w:rsidRPr="00070235">
        <w:rPr>
          <w:rFonts w:ascii="Arial" w:hAnsi="Arial" w:cs="Arial"/>
          <w:sz w:val="22"/>
          <w:szCs w:val="22"/>
        </w:rPr>
        <w:t xml:space="preserve">. [online] nhs.uk. Available at: </w:t>
      </w:r>
      <w:hyperlink r:id="rId11" w:history="1">
        <w:r w:rsidRPr="00C41DB7">
          <w:rPr>
            <w:rStyle w:val="Hyperlink"/>
            <w:rFonts w:ascii="Arial" w:hAnsi="Arial" w:cs="Arial"/>
            <w:sz w:val="22"/>
            <w:szCs w:val="22"/>
          </w:rPr>
          <w:t>https://www.nhs.uk/conditions/type-2-diabetes/treatment/</w:t>
        </w:r>
      </w:hyperlink>
      <w:r>
        <w:rPr>
          <w:rFonts w:ascii="Arial" w:hAnsi="Arial" w:cs="Arial"/>
          <w:sz w:val="22"/>
          <w:szCs w:val="22"/>
        </w:rPr>
        <w:t xml:space="preserve"> </w:t>
      </w:r>
      <w:r w:rsidRPr="00070235">
        <w:rPr>
          <w:rFonts w:ascii="Arial" w:hAnsi="Arial" w:cs="Arial"/>
          <w:sz w:val="22"/>
          <w:szCs w:val="22"/>
        </w:rPr>
        <w:t>[Accessed 2 Nov. 2025].</w:t>
      </w:r>
    </w:p>
    <w:p w14:paraId="0D2A5573" w14:textId="77777777" w:rsidR="00BD25A5" w:rsidRPr="00070235" w:rsidRDefault="00BD25A5" w:rsidP="00BD25A5">
      <w:pPr>
        <w:spacing w:line="360" w:lineRule="auto"/>
        <w:rPr>
          <w:rFonts w:ascii="Arial" w:hAnsi="Arial" w:cs="Arial"/>
          <w:sz w:val="22"/>
          <w:szCs w:val="22"/>
        </w:rPr>
      </w:pPr>
      <w:r w:rsidRPr="00583046">
        <w:rPr>
          <w:rFonts w:ascii="Arial" w:hAnsi="Arial" w:cs="Arial"/>
          <w:sz w:val="22"/>
          <w:szCs w:val="22"/>
        </w:rPr>
        <w:t>‌</w:t>
      </w:r>
      <w:r w:rsidRPr="00070235">
        <w:rPr>
          <w:rFonts w:ascii="Arial" w:eastAsia="Times New Roman" w:hAnsi="Arial" w:cs="Arial"/>
          <w:color w:val="000000"/>
          <w:kern w:val="0"/>
          <w:sz w:val="22"/>
          <w:szCs w:val="22"/>
          <w:lang w:eastAsia="en-GB"/>
          <w14:ligatures w14:val="none"/>
        </w:rPr>
        <w:t xml:space="preserve"> </w:t>
      </w:r>
      <w:r w:rsidRPr="00070235">
        <w:rPr>
          <w:rFonts w:ascii="Arial" w:hAnsi="Arial" w:cs="Arial"/>
          <w:sz w:val="22"/>
          <w:szCs w:val="22"/>
        </w:rPr>
        <w:t>Otto-Buczkowska, E. (2011). Glucagon and glucagon-like peptides the role in control glucose homeostasis. Part I. </w:t>
      </w:r>
      <w:proofErr w:type="spellStart"/>
      <w:r w:rsidRPr="00070235">
        <w:rPr>
          <w:rFonts w:ascii="Arial" w:hAnsi="Arial" w:cs="Arial"/>
          <w:i/>
          <w:iCs/>
          <w:sz w:val="22"/>
          <w:szCs w:val="22"/>
        </w:rPr>
        <w:t>Pediatric</w:t>
      </w:r>
      <w:proofErr w:type="spellEnd"/>
      <w:r w:rsidRPr="00070235">
        <w:rPr>
          <w:rFonts w:ascii="Arial" w:hAnsi="Arial" w:cs="Arial"/>
          <w:i/>
          <w:iCs/>
          <w:sz w:val="22"/>
          <w:szCs w:val="22"/>
        </w:rPr>
        <w:t xml:space="preserve"> endocrinology, diabetes, and metabolism</w:t>
      </w:r>
      <w:r w:rsidRPr="00070235">
        <w:rPr>
          <w:rFonts w:ascii="Arial" w:hAnsi="Arial" w:cs="Arial"/>
          <w:sz w:val="22"/>
          <w:szCs w:val="22"/>
        </w:rPr>
        <w:t xml:space="preserve">, [online] 17(4), pp.215–21. Available at: </w:t>
      </w:r>
      <w:hyperlink r:id="rId12" w:history="1">
        <w:r w:rsidRPr="00C41DB7">
          <w:rPr>
            <w:rStyle w:val="Hyperlink"/>
            <w:rFonts w:ascii="Arial" w:hAnsi="Arial" w:cs="Arial"/>
            <w:sz w:val="22"/>
            <w:szCs w:val="22"/>
          </w:rPr>
          <w:t>https://pubmed.ncbi.nlm.nih.gov/22248782/</w:t>
        </w:r>
      </w:hyperlink>
      <w:r w:rsidRPr="00070235">
        <w:rPr>
          <w:rFonts w:ascii="Arial" w:hAnsi="Arial" w:cs="Arial"/>
          <w:sz w:val="22"/>
          <w:szCs w:val="22"/>
        </w:rPr>
        <w:t>.</w:t>
      </w:r>
      <w:r>
        <w:rPr>
          <w:rFonts w:ascii="Arial" w:hAnsi="Arial" w:cs="Arial"/>
          <w:sz w:val="22"/>
          <w:szCs w:val="22"/>
        </w:rPr>
        <w:t xml:space="preserve"> </w:t>
      </w:r>
      <w:r w:rsidRPr="00070235">
        <w:rPr>
          <w:rFonts w:ascii="Arial" w:hAnsi="Arial" w:cs="Arial"/>
          <w:sz w:val="22"/>
          <w:szCs w:val="22"/>
        </w:rPr>
        <w:t>[Accessed 2 Nov. 2025].</w:t>
      </w:r>
    </w:p>
    <w:p w14:paraId="2C1CD26E" w14:textId="77777777" w:rsidR="00BD25A5" w:rsidRPr="00DA6CE2" w:rsidRDefault="00BD25A5" w:rsidP="00BD25A5">
      <w:pPr>
        <w:spacing w:line="360" w:lineRule="auto"/>
        <w:rPr>
          <w:rFonts w:ascii="Arial" w:hAnsi="Arial" w:cs="Arial"/>
          <w:sz w:val="22"/>
          <w:szCs w:val="22"/>
        </w:rPr>
      </w:pPr>
      <w:r>
        <w:rPr>
          <w:rFonts w:ascii="Arial" w:hAnsi="Arial" w:cs="Arial"/>
          <w:sz w:val="22"/>
          <w:szCs w:val="22"/>
        </w:rPr>
        <w:t>Chemistrtalk.org</w:t>
      </w:r>
      <w:r w:rsidRPr="00DA6CE2">
        <w:rPr>
          <w:rFonts w:ascii="Arial" w:hAnsi="Arial" w:cs="Arial"/>
          <w:sz w:val="22"/>
          <w:szCs w:val="22"/>
        </w:rPr>
        <w:t xml:space="preserve">, (n.d.). Available at: https://www.bing.com/images/search?view=detailV2&amp;ccid=Y48MHhra&amp;id=2FFF99CD9E4CDDB79857CB0E97C0E70612AB22B6&amp;thid=OIP.Y48MHhrah4QCS0MF8P6UAgHaEr&amp;mediaurl=https%3A%2F%2Fchemistrytalk.org%2Fwp-content%2Fuploads%2F2023%2F07%2FAdobeStock_188848103-768x486.jpg&amp;cdnurl=https%3A%2F%2Fth.bing.com%2Fth%2Fid%2FR.638f0c1e1ada8784024b4305f0fe9402%3Frik%3DtiKrEgbnwJcOyw%26pid%3DImgRaw%26r%3D0&amp;exph=486&amp;expw=768&amp;q=c%29%09Show+how+oxygen+and+glucose+are+used+to+produce+energy+through+cell+metabolism.+&amp;FORM=IRPRST&amp;ck=4978AE6E0208E6A08DF931291AA67684&amp;selectedIndex=6&amp;itb=0&amp;cw=1375&amp;ch=664&amp;ajaxhist=0&amp;ajaxserp=0 </w:t>
      </w:r>
      <w:r w:rsidRPr="00070235">
        <w:rPr>
          <w:rFonts w:ascii="Arial" w:hAnsi="Arial" w:cs="Arial"/>
          <w:sz w:val="22"/>
          <w:szCs w:val="22"/>
        </w:rPr>
        <w:t>[Accessed 2 Nov. 2025].</w:t>
      </w:r>
    </w:p>
    <w:p w14:paraId="68C19287" w14:textId="77777777" w:rsidR="00BD25A5" w:rsidRPr="001A79BF" w:rsidRDefault="00BD25A5" w:rsidP="00BD25A5">
      <w:pPr>
        <w:spacing w:line="360" w:lineRule="auto"/>
        <w:rPr>
          <w:rFonts w:ascii="Arial" w:hAnsi="Arial" w:cs="Arial"/>
          <w:sz w:val="22"/>
          <w:szCs w:val="22"/>
        </w:rPr>
      </w:pPr>
      <w:r w:rsidRPr="001A79BF">
        <w:rPr>
          <w:rFonts w:ascii="Arial" w:hAnsi="Arial" w:cs="Arial"/>
          <w:sz w:val="22"/>
          <w:szCs w:val="22"/>
        </w:rPr>
        <w:t>Chircop, J., Sheffield, D. and Kotera, Y. (2021). Systematic Review of Self-Monitoring of Blood Glucose in Patients with Type 2 Diabetes. </w:t>
      </w:r>
      <w:r w:rsidRPr="001A79BF">
        <w:rPr>
          <w:rFonts w:ascii="Arial" w:hAnsi="Arial" w:cs="Arial"/>
          <w:i/>
          <w:iCs/>
          <w:sz w:val="22"/>
          <w:szCs w:val="22"/>
        </w:rPr>
        <w:t>Nursing Research</w:t>
      </w:r>
      <w:r w:rsidRPr="001A79BF">
        <w:rPr>
          <w:rFonts w:ascii="Arial" w:hAnsi="Arial" w:cs="Arial"/>
          <w:sz w:val="22"/>
          <w:szCs w:val="22"/>
        </w:rPr>
        <w:t xml:space="preserve">, Publish Ahead of </w:t>
      </w:r>
      <w:proofErr w:type="gramStart"/>
      <w:r w:rsidRPr="001A79BF">
        <w:rPr>
          <w:rFonts w:ascii="Arial" w:hAnsi="Arial" w:cs="Arial"/>
          <w:sz w:val="22"/>
          <w:szCs w:val="22"/>
        </w:rPr>
        <w:t>Print(</w:t>
      </w:r>
      <w:proofErr w:type="gramEnd"/>
      <w:r w:rsidRPr="001A79BF">
        <w:rPr>
          <w:rFonts w:ascii="Arial" w:hAnsi="Arial" w:cs="Arial"/>
          <w:sz w:val="22"/>
          <w:szCs w:val="22"/>
        </w:rPr>
        <w:t xml:space="preserve">6). </w:t>
      </w:r>
      <w:proofErr w:type="spellStart"/>
      <w:proofErr w:type="gramStart"/>
      <w:r w:rsidRPr="001A79BF">
        <w:rPr>
          <w:rFonts w:ascii="Arial" w:hAnsi="Arial" w:cs="Arial"/>
          <w:sz w:val="22"/>
          <w:szCs w:val="22"/>
        </w:rPr>
        <w:t>doi:https</w:t>
      </w:r>
      <w:proofErr w:type="spellEnd"/>
      <w:r w:rsidRPr="001A79BF">
        <w:rPr>
          <w:rFonts w:ascii="Arial" w:hAnsi="Arial" w:cs="Arial"/>
          <w:sz w:val="22"/>
          <w:szCs w:val="22"/>
        </w:rPr>
        <w:t>://doi.org/10.1097/nnr.0000000000000542</w:t>
      </w:r>
      <w:proofErr w:type="gramEnd"/>
      <w:r w:rsidRPr="001A79BF">
        <w:rPr>
          <w:rFonts w:ascii="Arial" w:hAnsi="Arial" w:cs="Arial"/>
          <w:sz w:val="22"/>
          <w:szCs w:val="22"/>
        </w:rPr>
        <w:t>.</w:t>
      </w:r>
      <w:r>
        <w:rPr>
          <w:rFonts w:ascii="Arial" w:hAnsi="Arial" w:cs="Arial"/>
          <w:sz w:val="22"/>
          <w:szCs w:val="22"/>
        </w:rPr>
        <w:t xml:space="preserve"> </w:t>
      </w:r>
      <w:r w:rsidRPr="00070235">
        <w:rPr>
          <w:rFonts w:ascii="Arial" w:hAnsi="Arial" w:cs="Arial"/>
          <w:sz w:val="22"/>
          <w:szCs w:val="22"/>
        </w:rPr>
        <w:t xml:space="preserve">[Accessed </w:t>
      </w:r>
      <w:r>
        <w:rPr>
          <w:rFonts w:ascii="Arial" w:hAnsi="Arial" w:cs="Arial"/>
          <w:sz w:val="22"/>
          <w:szCs w:val="22"/>
        </w:rPr>
        <w:t>4</w:t>
      </w:r>
      <w:r w:rsidRPr="00070235">
        <w:rPr>
          <w:rFonts w:ascii="Arial" w:hAnsi="Arial" w:cs="Arial"/>
          <w:sz w:val="22"/>
          <w:szCs w:val="22"/>
        </w:rPr>
        <w:t xml:space="preserve"> Nov. 2025].</w:t>
      </w:r>
    </w:p>
    <w:p w14:paraId="651F280F" w14:textId="77777777" w:rsidR="00BD25A5" w:rsidRPr="00070235" w:rsidRDefault="00BD25A5" w:rsidP="00BD25A5">
      <w:pPr>
        <w:spacing w:line="360" w:lineRule="auto"/>
        <w:rPr>
          <w:rFonts w:ascii="Arial" w:hAnsi="Arial" w:cs="Arial"/>
          <w:sz w:val="22"/>
          <w:szCs w:val="22"/>
        </w:rPr>
      </w:pPr>
      <w:r w:rsidRPr="00583046">
        <w:rPr>
          <w:rFonts w:ascii="Arial" w:hAnsi="Arial" w:cs="Arial"/>
          <w:sz w:val="22"/>
          <w:szCs w:val="22"/>
        </w:rPr>
        <w:lastRenderedPageBreak/>
        <w:t>‌</w:t>
      </w:r>
      <w:r w:rsidRPr="00070235">
        <w:rPr>
          <w:rFonts w:ascii="Arial" w:hAnsi="Arial" w:cs="Arial"/>
          <w:sz w:val="22"/>
          <w:szCs w:val="22"/>
        </w:rPr>
        <w:t>Choi, J.H. and Kim, M.-S. (2022). Homeostatic Regulation of Glucose Metabolism by the Central Nervous System. </w:t>
      </w:r>
      <w:r w:rsidRPr="00070235">
        <w:rPr>
          <w:rFonts w:ascii="Arial" w:hAnsi="Arial" w:cs="Arial"/>
          <w:i/>
          <w:iCs/>
          <w:sz w:val="22"/>
          <w:szCs w:val="22"/>
        </w:rPr>
        <w:t>Endocrinology and Metabolism</w:t>
      </w:r>
      <w:r w:rsidRPr="00070235">
        <w:rPr>
          <w:rFonts w:ascii="Arial" w:hAnsi="Arial" w:cs="Arial"/>
          <w:sz w:val="22"/>
          <w:szCs w:val="22"/>
        </w:rPr>
        <w:t xml:space="preserve">, [online] 37(1), pp.9–25. </w:t>
      </w:r>
      <w:proofErr w:type="spellStart"/>
      <w:proofErr w:type="gramStart"/>
      <w:r w:rsidRPr="00070235">
        <w:rPr>
          <w:rFonts w:ascii="Arial" w:hAnsi="Arial" w:cs="Arial"/>
          <w:sz w:val="22"/>
          <w:szCs w:val="22"/>
        </w:rPr>
        <w:t>doi:https</w:t>
      </w:r>
      <w:proofErr w:type="spellEnd"/>
      <w:r w:rsidRPr="00070235">
        <w:rPr>
          <w:rFonts w:ascii="Arial" w:hAnsi="Arial" w:cs="Arial"/>
          <w:sz w:val="22"/>
          <w:szCs w:val="22"/>
        </w:rPr>
        <w:t>://doi.org/10.3803/enm.2021.1364</w:t>
      </w:r>
      <w:proofErr w:type="gramEnd"/>
      <w:r w:rsidRPr="00070235">
        <w:rPr>
          <w:rFonts w:ascii="Arial" w:hAnsi="Arial" w:cs="Arial"/>
          <w:sz w:val="22"/>
          <w:szCs w:val="22"/>
        </w:rPr>
        <w:t>.</w:t>
      </w:r>
      <w:r>
        <w:rPr>
          <w:rFonts w:ascii="Arial" w:hAnsi="Arial" w:cs="Arial"/>
          <w:sz w:val="22"/>
          <w:szCs w:val="22"/>
        </w:rPr>
        <w:t xml:space="preserve"> </w:t>
      </w:r>
      <w:r w:rsidRPr="00070235">
        <w:rPr>
          <w:rFonts w:ascii="Arial" w:hAnsi="Arial" w:cs="Arial"/>
          <w:sz w:val="22"/>
          <w:szCs w:val="22"/>
        </w:rPr>
        <w:t>[Accessed 2 Nov. 2025].</w:t>
      </w:r>
    </w:p>
    <w:p w14:paraId="7750B5E4" w14:textId="77777777" w:rsidR="00BD25A5" w:rsidRPr="00070235" w:rsidRDefault="00BD25A5" w:rsidP="00BD25A5">
      <w:pPr>
        <w:spacing w:line="360" w:lineRule="auto"/>
        <w:rPr>
          <w:rFonts w:ascii="Arial" w:hAnsi="Arial" w:cs="Arial"/>
          <w:sz w:val="22"/>
          <w:szCs w:val="22"/>
        </w:rPr>
      </w:pPr>
      <w:r w:rsidRPr="009A3F01">
        <w:rPr>
          <w:rFonts w:ascii="Arial" w:hAnsi="Arial" w:cs="Arial"/>
          <w:sz w:val="22"/>
          <w:szCs w:val="22"/>
        </w:rPr>
        <w:t>Davis, J. (2023). </w:t>
      </w:r>
      <w:r w:rsidRPr="009A3F01">
        <w:rPr>
          <w:rFonts w:ascii="Arial" w:hAnsi="Arial" w:cs="Arial"/>
          <w:i/>
          <w:iCs/>
          <w:sz w:val="22"/>
          <w:szCs w:val="22"/>
        </w:rPr>
        <w:t>Cellular respiration</w:t>
      </w:r>
      <w:r w:rsidRPr="009A3F01">
        <w:rPr>
          <w:rFonts w:ascii="Arial" w:hAnsi="Arial" w:cs="Arial"/>
          <w:sz w:val="22"/>
          <w:szCs w:val="22"/>
        </w:rPr>
        <w:t xml:space="preserve">. [online] Pressbooks.pub. Available at: </w:t>
      </w:r>
      <w:hyperlink r:id="rId13" w:history="1">
        <w:r w:rsidRPr="009A3F01">
          <w:rPr>
            <w:rStyle w:val="Hyperlink"/>
            <w:rFonts w:ascii="Arial" w:hAnsi="Arial" w:cs="Arial"/>
            <w:sz w:val="22"/>
            <w:szCs w:val="22"/>
          </w:rPr>
          <w:t>https://iu.pressbooks.pub/humanphys/chapter/cellular-respiration/</w:t>
        </w:r>
      </w:hyperlink>
      <w:r>
        <w:rPr>
          <w:rFonts w:ascii="Arial" w:hAnsi="Arial" w:cs="Arial"/>
          <w:sz w:val="22"/>
          <w:szCs w:val="22"/>
        </w:rPr>
        <w:t xml:space="preserve"> </w:t>
      </w:r>
      <w:r w:rsidRPr="00070235">
        <w:rPr>
          <w:rFonts w:ascii="Arial" w:hAnsi="Arial" w:cs="Arial"/>
          <w:sz w:val="22"/>
          <w:szCs w:val="22"/>
        </w:rPr>
        <w:t xml:space="preserve">[Accessed </w:t>
      </w:r>
      <w:r>
        <w:rPr>
          <w:rFonts w:ascii="Arial" w:hAnsi="Arial" w:cs="Arial"/>
          <w:sz w:val="22"/>
          <w:szCs w:val="22"/>
        </w:rPr>
        <w:t>3</w:t>
      </w:r>
      <w:r w:rsidRPr="00070235">
        <w:rPr>
          <w:rFonts w:ascii="Arial" w:hAnsi="Arial" w:cs="Arial"/>
          <w:sz w:val="22"/>
          <w:szCs w:val="22"/>
        </w:rPr>
        <w:t xml:space="preserve"> Nov. 2025].</w:t>
      </w:r>
    </w:p>
    <w:p w14:paraId="6E5EE1FD" w14:textId="77777777" w:rsidR="00BD25A5" w:rsidRPr="00241568" w:rsidRDefault="00BD25A5" w:rsidP="00BD25A5">
      <w:pPr>
        <w:spacing w:line="360" w:lineRule="auto"/>
        <w:rPr>
          <w:rFonts w:ascii="Arial" w:hAnsi="Arial" w:cs="Arial"/>
          <w:sz w:val="22"/>
          <w:szCs w:val="22"/>
        </w:rPr>
      </w:pPr>
      <w:r w:rsidRPr="00241568">
        <w:rPr>
          <w:rFonts w:ascii="Arial" w:hAnsi="Arial" w:cs="Arial"/>
          <w:sz w:val="22"/>
          <w:szCs w:val="22"/>
        </w:rPr>
        <w:t>Diabetes UK. (2018). </w:t>
      </w:r>
      <w:r w:rsidRPr="00241568">
        <w:rPr>
          <w:rFonts w:ascii="Arial" w:hAnsi="Arial" w:cs="Arial"/>
          <w:i/>
          <w:iCs/>
          <w:sz w:val="22"/>
          <w:szCs w:val="22"/>
        </w:rPr>
        <w:t>Differences between type 1 and type 2 diabetes</w:t>
      </w:r>
      <w:r w:rsidRPr="00241568">
        <w:rPr>
          <w:rFonts w:ascii="Arial" w:hAnsi="Arial" w:cs="Arial"/>
          <w:sz w:val="22"/>
          <w:szCs w:val="22"/>
        </w:rPr>
        <w:t xml:space="preserve">. [online] Available at: </w:t>
      </w:r>
      <w:hyperlink r:id="rId14" w:history="1">
        <w:r w:rsidRPr="00241568">
          <w:rPr>
            <w:rStyle w:val="Hyperlink"/>
            <w:rFonts w:ascii="Arial" w:hAnsi="Arial" w:cs="Arial"/>
            <w:sz w:val="22"/>
            <w:szCs w:val="22"/>
          </w:rPr>
          <w:t>https://www.diabetes.org.uk/diabetes-the-basics/differences-between-type-1-and-type-2-diabetes</w:t>
        </w:r>
      </w:hyperlink>
      <w:r>
        <w:rPr>
          <w:rFonts w:ascii="Arial" w:hAnsi="Arial" w:cs="Arial"/>
          <w:sz w:val="22"/>
          <w:szCs w:val="22"/>
        </w:rPr>
        <w:t xml:space="preserve"> </w:t>
      </w:r>
      <w:r w:rsidRPr="00070235">
        <w:rPr>
          <w:rFonts w:ascii="Arial" w:hAnsi="Arial" w:cs="Arial"/>
          <w:sz w:val="22"/>
          <w:szCs w:val="22"/>
        </w:rPr>
        <w:t>[Accessed 2 Nov. 2025].</w:t>
      </w:r>
    </w:p>
    <w:p w14:paraId="491091FC" w14:textId="77777777" w:rsidR="00BD25A5" w:rsidRPr="00070235" w:rsidRDefault="00BD25A5" w:rsidP="00BD25A5">
      <w:pPr>
        <w:spacing w:line="360" w:lineRule="auto"/>
        <w:rPr>
          <w:rFonts w:ascii="Arial" w:hAnsi="Arial" w:cs="Arial"/>
          <w:sz w:val="22"/>
          <w:szCs w:val="22"/>
        </w:rPr>
      </w:pPr>
      <w:r w:rsidRPr="00C20677">
        <w:rPr>
          <w:rFonts w:ascii="Arial" w:hAnsi="Arial" w:cs="Arial"/>
          <w:sz w:val="22"/>
          <w:szCs w:val="22"/>
        </w:rPr>
        <w:t>‌</w:t>
      </w:r>
      <w:r w:rsidRPr="00070235">
        <w:rPr>
          <w:rFonts w:ascii="Arial" w:hAnsi="Arial" w:cs="Arial"/>
          <w:sz w:val="22"/>
          <w:szCs w:val="22"/>
        </w:rPr>
        <w:t>England, N. (2025). </w:t>
      </w:r>
      <w:r w:rsidRPr="00070235">
        <w:rPr>
          <w:rFonts w:ascii="Arial" w:hAnsi="Arial" w:cs="Arial"/>
          <w:i/>
          <w:iCs/>
          <w:sz w:val="22"/>
          <w:szCs w:val="22"/>
        </w:rPr>
        <w:t>NHS England» Healthy living for people with type 2 diabetes</w:t>
      </w:r>
      <w:r w:rsidRPr="00070235">
        <w:rPr>
          <w:rFonts w:ascii="Arial" w:hAnsi="Arial" w:cs="Arial"/>
          <w:sz w:val="22"/>
          <w:szCs w:val="22"/>
        </w:rPr>
        <w:t xml:space="preserve">. [online] England.nhs.uk. Available at: </w:t>
      </w:r>
      <w:hyperlink r:id="rId15" w:history="1">
        <w:r w:rsidRPr="00C41DB7">
          <w:rPr>
            <w:rStyle w:val="Hyperlink"/>
            <w:rFonts w:ascii="Arial" w:hAnsi="Arial" w:cs="Arial"/>
            <w:sz w:val="22"/>
            <w:szCs w:val="22"/>
          </w:rPr>
          <w:t>https://www.england.nhs.uk/diabetes/digital-innovations-to-support-diabetes-outcomes/healthy-living/</w:t>
        </w:r>
      </w:hyperlink>
      <w:r>
        <w:rPr>
          <w:rFonts w:ascii="Arial" w:hAnsi="Arial" w:cs="Arial"/>
          <w:sz w:val="22"/>
          <w:szCs w:val="22"/>
        </w:rPr>
        <w:t xml:space="preserve"> </w:t>
      </w:r>
      <w:r w:rsidRPr="00070235">
        <w:rPr>
          <w:rFonts w:ascii="Arial" w:hAnsi="Arial" w:cs="Arial"/>
          <w:sz w:val="22"/>
          <w:szCs w:val="22"/>
        </w:rPr>
        <w:t>[Accessed 2 Nov. 2025].</w:t>
      </w:r>
    </w:p>
    <w:p w14:paraId="1BBD39C1" w14:textId="77777777" w:rsidR="00BD25A5" w:rsidRPr="00070235" w:rsidRDefault="00BD25A5" w:rsidP="00BD25A5">
      <w:pPr>
        <w:spacing w:line="360" w:lineRule="auto"/>
        <w:rPr>
          <w:rFonts w:ascii="Arial" w:hAnsi="Arial" w:cs="Arial"/>
          <w:sz w:val="22"/>
          <w:szCs w:val="22"/>
        </w:rPr>
      </w:pPr>
      <w:r w:rsidRPr="00195146">
        <w:rPr>
          <w:rFonts w:ascii="Arial" w:hAnsi="Arial" w:cs="Arial"/>
          <w:sz w:val="22"/>
          <w:szCs w:val="22"/>
        </w:rPr>
        <w:t>‌</w:t>
      </w:r>
      <w:r w:rsidRPr="00070235">
        <w:rPr>
          <w:rFonts w:ascii="Arial" w:hAnsi="Arial" w:cs="Arial"/>
          <w:sz w:val="22"/>
          <w:szCs w:val="22"/>
        </w:rPr>
        <w:t>England, N. (2025). </w:t>
      </w:r>
      <w:r w:rsidRPr="00070235">
        <w:rPr>
          <w:rFonts w:ascii="Arial" w:hAnsi="Arial" w:cs="Arial"/>
          <w:i/>
          <w:iCs/>
          <w:sz w:val="22"/>
          <w:szCs w:val="22"/>
        </w:rPr>
        <w:t>NHS England» NHS initiative helps thousands more tackle their diabetes risk</w:t>
      </w:r>
      <w:r w:rsidRPr="00070235">
        <w:rPr>
          <w:rFonts w:ascii="Arial" w:hAnsi="Arial" w:cs="Arial"/>
          <w:sz w:val="22"/>
          <w:szCs w:val="22"/>
        </w:rPr>
        <w:t xml:space="preserve">. [online] England.nhs.uk. Available at: </w:t>
      </w:r>
      <w:hyperlink r:id="rId16" w:history="1">
        <w:r w:rsidRPr="00C41DB7">
          <w:rPr>
            <w:rStyle w:val="Hyperlink"/>
            <w:rFonts w:ascii="Arial" w:hAnsi="Arial" w:cs="Arial"/>
            <w:sz w:val="22"/>
            <w:szCs w:val="22"/>
          </w:rPr>
          <w:t>https://www.england.nhs.uk/2025/05/nhs-initiative-helps-thousands-more-tackle-their-diabetes-risk/</w:t>
        </w:r>
      </w:hyperlink>
      <w:r>
        <w:rPr>
          <w:rFonts w:ascii="Arial" w:hAnsi="Arial" w:cs="Arial"/>
          <w:sz w:val="22"/>
          <w:szCs w:val="22"/>
        </w:rPr>
        <w:t xml:space="preserve"> </w:t>
      </w:r>
      <w:r w:rsidRPr="00070235">
        <w:rPr>
          <w:rFonts w:ascii="Arial" w:hAnsi="Arial" w:cs="Arial"/>
          <w:sz w:val="22"/>
          <w:szCs w:val="22"/>
        </w:rPr>
        <w:t xml:space="preserve">[Accessed </w:t>
      </w:r>
      <w:r>
        <w:rPr>
          <w:rFonts w:ascii="Arial" w:hAnsi="Arial" w:cs="Arial"/>
          <w:sz w:val="22"/>
          <w:szCs w:val="22"/>
        </w:rPr>
        <w:t>4</w:t>
      </w:r>
      <w:r w:rsidRPr="00070235">
        <w:rPr>
          <w:rFonts w:ascii="Arial" w:hAnsi="Arial" w:cs="Arial"/>
          <w:sz w:val="22"/>
          <w:szCs w:val="22"/>
        </w:rPr>
        <w:t xml:space="preserve"> Nov. 2025].</w:t>
      </w:r>
    </w:p>
    <w:p w14:paraId="455D6659" w14:textId="77777777" w:rsidR="00BD25A5" w:rsidRPr="00070235" w:rsidRDefault="00BD25A5" w:rsidP="00BD25A5">
      <w:pPr>
        <w:spacing w:line="360" w:lineRule="auto"/>
        <w:rPr>
          <w:rFonts w:ascii="Arial" w:hAnsi="Arial" w:cs="Arial"/>
          <w:sz w:val="22"/>
          <w:szCs w:val="22"/>
        </w:rPr>
      </w:pPr>
      <w:r w:rsidRPr="00195146">
        <w:rPr>
          <w:rFonts w:ascii="Arial" w:hAnsi="Arial" w:cs="Arial"/>
          <w:sz w:val="22"/>
          <w:szCs w:val="22"/>
        </w:rPr>
        <w:t>‌</w:t>
      </w:r>
      <w:r w:rsidRPr="00070235">
        <w:rPr>
          <w:rFonts w:ascii="Arial" w:hAnsi="Arial" w:cs="Arial"/>
          <w:sz w:val="22"/>
          <w:szCs w:val="22"/>
        </w:rPr>
        <w:t>England, N. (2025). </w:t>
      </w:r>
      <w:r w:rsidRPr="00070235">
        <w:rPr>
          <w:rFonts w:ascii="Arial" w:hAnsi="Arial" w:cs="Arial"/>
          <w:i/>
          <w:iCs/>
          <w:sz w:val="22"/>
          <w:szCs w:val="22"/>
        </w:rPr>
        <w:t>NHS England» NHS Type 2 Diabetes Path to Remission Programme</w:t>
      </w:r>
      <w:r w:rsidRPr="00070235">
        <w:rPr>
          <w:rFonts w:ascii="Arial" w:hAnsi="Arial" w:cs="Arial"/>
          <w:sz w:val="22"/>
          <w:szCs w:val="22"/>
        </w:rPr>
        <w:t xml:space="preserve">. [online] England.nhs.uk. Available at: </w:t>
      </w:r>
      <w:hyperlink r:id="rId17" w:history="1">
        <w:r w:rsidRPr="00C41DB7">
          <w:rPr>
            <w:rStyle w:val="Hyperlink"/>
            <w:rFonts w:ascii="Arial" w:hAnsi="Arial" w:cs="Arial"/>
            <w:sz w:val="22"/>
            <w:szCs w:val="22"/>
          </w:rPr>
          <w:t>https://www.england.nhs.uk/diabetes/treatment-care/diabetes-remission/</w:t>
        </w:r>
      </w:hyperlink>
      <w:r>
        <w:rPr>
          <w:rFonts w:ascii="Arial" w:hAnsi="Arial" w:cs="Arial"/>
          <w:sz w:val="22"/>
          <w:szCs w:val="22"/>
        </w:rPr>
        <w:t xml:space="preserve"> </w:t>
      </w:r>
      <w:r w:rsidRPr="00070235">
        <w:rPr>
          <w:rFonts w:ascii="Arial" w:hAnsi="Arial" w:cs="Arial"/>
          <w:sz w:val="22"/>
          <w:szCs w:val="22"/>
        </w:rPr>
        <w:t xml:space="preserve">[Accessed </w:t>
      </w:r>
      <w:r>
        <w:rPr>
          <w:rFonts w:ascii="Arial" w:hAnsi="Arial" w:cs="Arial"/>
          <w:sz w:val="22"/>
          <w:szCs w:val="22"/>
        </w:rPr>
        <w:t>4</w:t>
      </w:r>
      <w:r w:rsidRPr="00070235">
        <w:rPr>
          <w:rFonts w:ascii="Arial" w:hAnsi="Arial" w:cs="Arial"/>
          <w:sz w:val="22"/>
          <w:szCs w:val="22"/>
        </w:rPr>
        <w:t xml:space="preserve"> Nov. 2025].</w:t>
      </w:r>
    </w:p>
    <w:p w14:paraId="2B2C37E1" w14:textId="77777777" w:rsidR="00BD25A5" w:rsidRPr="00070235" w:rsidRDefault="00BD25A5" w:rsidP="00BD25A5">
      <w:pPr>
        <w:spacing w:line="360" w:lineRule="auto"/>
        <w:rPr>
          <w:rFonts w:ascii="Arial" w:hAnsi="Arial" w:cs="Arial"/>
          <w:sz w:val="22"/>
          <w:szCs w:val="22"/>
        </w:rPr>
      </w:pPr>
      <w:r w:rsidRPr="00195146">
        <w:rPr>
          <w:rFonts w:ascii="Arial" w:hAnsi="Arial" w:cs="Arial"/>
          <w:sz w:val="22"/>
          <w:szCs w:val="22"/>
        </w:rPr>
        <w:t>‌</w:t>
      </w:r>
      <w:r w:rsidRPr="00070235">
        <w:rPr>
          <w:rFonts w:ascii="Arial" w:hAnsi="Arial" w:cs="Arial"/>
          <w:sz w:val="22"/>
          <w:szCs w:val="22"/>
        </w:rPr>
        <w:t>England, N. (2025). </w:t>
      </w:r>
      <w:r w:rsidRPr="00070235">
        <w:rPr>
          <w:rFonts w:ascii="Arial" w:hAnsi="Arial" w:cs="Arial"/>
          <w:i/>
          <w:iCs/>
          <w:sz w:val="22"/>
          <w:szCs w:val="22"/>
        </w:rPr>
        <w:t>NHS England» NHS Type 2 Diabetes Path to Remission Programme</w:t>
      </w:r>
      <w:r w:rsidRPr="00070235">
        <w:rPr>
          <w:rFonts w:ascii="Arial" w:hAnsi="Arial" w:cs="Arial"/>
          <w:sz w:val="22"/>
          <w:szCs w:val="22"/>
        </w:rPr>
        <w:t xml:space="preserve">. [online] England.nhs.uk. Available at: </w:t>
      </w:r>
      <w:hyperlink r:id="rId18" w:history="1">
        <w:r w:rsidRPr="00C41DB7">
          <w:rPr>
            <w:rStyle w:val="Hyperlink"/>
            <w:rFonts w:ascii="Arial" w:hAnsi="Arial" w:cs="Arial"/>
            <w:sz w:val="22"/>
            <w:szCs w:val="22"/>
          </w:rPr>
          <w:t>https://www.england.nhs.uk/diabetes/treatment-care/diabetes-remission/</w:t>
        </w:r>
      </w:hyperlink>
      <w:r>
        <w:rPr>
          <w:rFonts w:ascii="Arial" w:hAnsi="Arial" w:cs="Arial"/>
          <w:sz w:val="22"/>
          <w:szCs w:val="22"/>
        </w:rPr>
        <w:t xml:space="preserve"> </w:t>
      </w:r>
      <w:r w:rsidRPr="00070235">
        <w:rPr>
          <w:rFonts w:ascii="Arial" w:hAnsi="Arial" w:cs="Arial"/>
          <w:sz w:val="22"/>
          <w:szCs w:val="22"/>
        </w:rPr>
        <w:t xml:space="preserve">[Accessed </w:t>
      </w:r>
      <w:r>
        <w:rPr>
          <w:rFonts w:ascii="Arial" w:hAnsi="Arial" w:cs="Arial"/>
          <w:sz w:val="22"/>
          <w:szCs w:val="22"/>
        </w:rPr>
        <w:t>4</w:t>
      </w:r>
      <w:r w:rsidRPr="00070235">
        <w:rPr>
          <w:rFonts w:ascii="Arial" w:hAnsi="Arial" w:cs="Arial"/>
          <w:sz w:val="22"/>
          <w:szCs w:val="22"/>
        </w:rPr>
        <w:t xml:space="preserve"> Nov. 2025].</w:t>
      </w:r>
    </w:p>
    <w:p w14:paraId="5A687A85" w14:textId="77777777" w:rsidR="00BD25A5" w:rsidRPr="00241568" w:rsidRDefault="00BD25A5" w:rsidP="00BD25A5">
      <w:pPr>
        <w:spacing w:line="360" w:lineRule="auto"/>
        <w:rPr>
          <w:rFonts w:ascii="Arial" w:hAnsi="Arial" w:cs="Arial"/>
          <w:sz w:val="22"/>
          <w:szCs w:val="22"/>
        </w:rPr>
      </w:pPr>
      <w:r w:rsidRPr="00241568">
        <w:rPr>
          <w:rFonts w:ascii="Arial" w:hAnsi="Arial" w:cs="Arial"/>
          <w:sz w:val="22"/>
          <w:szCs w:val="22"/>
        </w:rPr>
        <w:t>England, P.H. (2018). </w:t>
      </w:r>
      <w:r w:rsidRPr="00241568">
        <w:rPr>
          <w:rFonts w:ascii="Arial" w:hAnsi="Arial" w:cs="Arial"/>
          <w:i/>
          <w:iCs/>
          <w:sz w:val="22"/>
          <w:szCs w:val="22"/>
        </w:rPr>
        <w:t>Health matters: preventing Type 2 Diabetes</w:t>
      </w:r>
      <w:r w:rsidRPr="00241568">
        <w:rPr>
          <w:rFonts w:ascii="Arial" w:hAnsi="Arial" w:cs="Arial"/>
          <w:sz w:val="22"/>
          <w:szCs w:val="22"/>
        </w:rPr>
        <w:t xml:space="preserve">. [online] GOV.UK. Available at: </w:t>
      </w:r>
      <w:hyperlink r:id="rId19" w:history="1">
        <w:r w:rsidRPr="00241568">
          <w:rPr>
            <w:rStyle w:val="Hyperlink"/>
            <w:rFonts w:ascii="Arial" w:hAnsi="Arial" w:cs="Arial"/>
            <w:sz w:val="22"/>
            <w:szCs w:val="22"/>
          </w:rPr>
          <w:t>https://www.gov.uk/government/publications/health-matters-preventing-type-2-diabetes/health-matters-preventing-type-2-diabetes</w:t>
        </w:r>
      </w:hyperlink>
      <w:r>
        <w:rPr>
          <w:rFonts w:ascii="Arial" w:hAnsi="Arial" w:cs="Arial"/>
          <w:sz w:val="22"/>
          <w:szCs w:val="22"/>
        </w:rPr>
        <w:t xml:space="preserve"> </w:t>
      </w:r>
      <w:r w:rsidRPr="00070235">
        <w:rPr>
          <w:rFonts w:ascii="Arial" w:hAnsi="Arial" w:cs="Arial"/>
          <w:sz w:val="22"/>
          <w:szCs w:val="22"/>
        </w:rPr>
        <w:t>[Accessed 2 Nov. 2025].</w:t>
      </w:r>
    </w:p>
    <w:p w14:paraId="75311A9A" w14:textId="77777777" w:rsidR="00BD25A5" w:rsidRPr="00070235" w:rsidRDefault="00BD25A5" w:rsidP="00BD25A5">
      <w:pPr>
        <w:spacing w:line="360" w:lineRule="auto"/>
        <w:rPr>
          <w:rFonts w:ascii="Arial" w:hAnsi="Arial" w:cs="Arial"/>
          <w:sz w:val="22"/>
          <w:szCs w:val="22"/>
        </w:rPr>
      </w:pPr>
      <w:r w:rsidRPr="00DA0B6F">
        <w:rPr>
          <w:rFonts w:ascii="Arial" w:hAnsi="Arial" w:cs="Arial"/>
          <w:sz w:val="22"/>
          <w:szCs w:val="22"/>
        </w:rPr>
        <w:t>Gachon, F., Loizides-Mangold, U., Petrenko, V. and Dibner, C. (2017). Glucose Homeostasis: Regulation by Peripheral Circadian Clocks in Rodents and Humans. </w:t>
      </w:r>
      <w:r w:rsidRPr="00DA0B6F">
        <w:rPr>
          <w:rFonts w:ascii="Arial" w:hAnsi="Arial" w:cs="Arial"/>
          <w:i/>
          <w:iCs/>
          <w:sz w:val="22"/>
          <w:szCs w:val="22"/>
        </w:rPr>
        <w:t>Endocrinology</w:t>
      </w:r>
      <w:r w:rsidRPr="00DA0B6F">
        <w:rPr>
          <w:rFonts w:ascii="Arial" w:hAnsi="Arial" w:cs="Arial"/>
          <w:sz w:val="22"/>
          <w:szCs w:val="22"/>
        </w:rPr>
        <w:t xml:space="preserve">, 158(5), pp.1074–1084. </w:t>
      </w:r>
      <w:proofErr w:type="spellStart"/>
      <w:proofErr w:type="gramStart"/>
      <w:r w:rsidRPr="00DA0B6F">
        <w:rPr>
          <w:rFonts w:ascii="Arial" w:hAnsi="Arial" w:cs="Arial"/>
          <w:sz w:val="22"/>
          <w:szCs w:val="22"/>
        </w:rPr>
        <w:t>doi:https</w:t>
      </w:r>
      <w:proofErr w:type="spellEnd"/>
      <w:r w:rsidRPr="00DA0B6F">
        <w:rPr>
          <w:rFonts w:ascii="Arial" w:hAnsi="Arial" w:cs="Arial"/>
          <w:sz w:val="22"/>
          <w:szCs w:val="22"/>
        </w:rPr>
        <w:t>://doi.org/10.1210/en.2017-00218</w:t>
      </w:r>
      <w:proofErr w:type="gramEnd"/>
      <w:r w:rsidRPr="00DA0B6F">
        <w:rPr>
          <w:rFonts w:ascii="Arial" w:hAnsi="Arial" w:cs="Arial"/>
          <w:sz w:val="22"/>
          <w:szCs w:val="22"/>
        </w:rPr>
        <w:t>.</w:t>
      </w:r>
      <w:r w:rsidRPr="00070235">
        <w:rPr>
          <w:rFonts w:ascii="Arial" w:hAnsi="Arial" w:cs="Arial"/>
          <w:sz w:val="22"/>
          <w:szCs w:val="22"/>
        </w:rPr>
        <w:t xml:space="preserve"> [Accessed </w:t>
      </w:r>
      <w:r>
        <w:rPr>
          <w:rFonts w:ascii="Arial" w:hAnsi="Arial" w:cs="Arial"/>
          <w:sz w:val="22"/>
          <w:szCs w:val="22"/>
        </w:rPr>
        <w:t>3</w:t>
      </w:r>
      <w:r w:rsidRPr="00070235">
        <w:rPr>
          <w:rFonts w:ascii="Arial" w:hAnsi="Arial" w:cs="Arial"/>
          <w:sz w:val="22"/>
          <w:szCs w:val="22"/>
        </w:rPr>
        <w:t xml:space="preserve"> Nov. 2025].</w:t>
      </w:r>
    </w:p>
    <w:p w14:paraId="77D6816D" w14:textId="77777777" w:rsidR="00BD25A5" w:rsidRPr="00070235" w:rsidRDefault="00BD25A5" w:rsidP="00BD25A5">
      <w:pPr>
        <w:spacing w:line="360" w:lineRule="auto"/>
        <w:rPr>
          <w:rFonts w:ascii="Arial" w:hAnsi="Arial" w:cs="Arial"/>
          <w:sz w:val="22"/>
          <w:szCs w:val="22"/>
        </w:rPr>
      </w:pPr>
      <w:r w:rsidRPr="00241568">
        <w:rPr>
          <w:rFonts w:ascii="Arial" w:hAnsi="Arial" w:cs="Arial"/>
          <w:sz w:val="22"/>
          <w:szCs w:val="22"/>
        </w:rPr>
        <w:t>Goff, L.M. (2019). Ethnicity and Type 2 diabetes in the UK. </w:t>
      </w:r>
      <w:r w:rsidRPr="00241568">
        <w:rPr>
          <w:rFonts w:ascii="Arial" w:hAnsi="Arial" w:cs="Arial"/>
          <w:i/>
          <w:iCs/>
          <w:sz w:val="22"/>
          <w:szCs w:val="22"/>
        </w:rPr>
        <w:t>Diabetic Medicine</w:t>
      </w:r>
      <w:r w:rsidRPr="00241568">
        <w:rPr>
          <w:rFonts w:ascii="Arial" w:hAnsi="Arial" w:cs="Arial"/>
          <w:sz w:val="22"/>
          <w:szCs w:val="22"/>
        </w:rPr>
        <w:t xml:space="preserve">, [online] 36(8), pp.927–938. Available at: </w:t>
      </w:r>
      <w:hyperlink r:id="rId20" w:history="1">
        <w:r w:rsidRPr="00241568">
          <w:rPr>
            <w:rStyle w:val="Hyperlink"/>
            <w:rFonts w:ascii="Arial" w:hAnsi="Arial" w:cs="Arial"/>
            <w:sz w:val="22"/>
            <w:szCs w:val="22"/>
          </w:rPr>
          <w:t>https://onlinelibrary.wiley.com/doi/full/10.1111/dme.13895?saml_referrer</w:t>
        </w:r>
      </w:hyperlink>
      <w:r w:rsidRPr="00241568">
        <w:rPr>
          <w:rFonts w:ascii="Arial" w:hAnsi="Arial" w:cs="Arial"/>
          <w:sz w:val="22"/>
          <w:szCs w:val="22"/>
        </w:rPr>
        <w:t>.</w:t>
      </w:r>
      <w:r>
        <w:rPr>
          <w:rFonts w:ascii="Arial" w:hAnsi="Arial" w:cs="Arial"/>
          <w:sz w:val="22"/>
          <w:szCs w:val="22"/>
        </w:rPr>
        <w:t xml:space="preserve"> </w:t>
      </w:r>
      <w:r w:rsidRPr="00070235">
        <w:rPr>
          <w:rFonts w:ascii="Arial" w:hAnsi="Arial" w:cs="Arial"/>
          <w:sz w:val="22"/>
          <w:szCs w:val="22"/>
        </w:rPr>
        <w:t>[Accessed 2 Nov. 2025].</w:t>
      </w:r>
    </w:p>
    <w:p w14:paraId="7B30199F" w14:textId="77777777" w:rsidR="00BD25A5" w:rsidRPr="00070235" w:rsidRDefault="00BD25A5" w:rsidP="00BD25A5">
      <w:pPr>
        <w:spacing w:line="360" w:lineRule="auto"/>
        <w:rPr>
          <w:rFonts w:ascii="Arial" w:hAnsi="Arial" w:cs="Arial"/>
          <w:sz w:val="22"/>
          <w:szCs w:val="22"/>
        </w:rPr>
      </w:pPr>
      <w:r w:rsidRPr="00195146">
        <w:rPr>
          <w:rFonts w:ascii="Arial" w:hAnsi="Arial" w:cs="Arial"/>
          <w:sz w:val="22"/>
          <w:szCs w:val="22"/>
        </w:rPr>
        <w:lastRenderedPageBreak/>
        <w:t>‌</w:t>
      </w:r>
      <w:r w:rsidRPr="00070235">
        <w:rPr>
          <w:rFonts w:ascii="Arial" w:hAnsi="Arial" w:cs="Arial"/>
          <w:sz w:val="22"/>
          <w:szCs w:val="22"/>
        </w:rPr>
        <w:t>Huang, X.-L., Pan, J.-H., Chen, D., Chen, J., Chen, F. and Hu, T.-T. (2016). Efficacy of lifestyle interventions in patients with type 2 diabetes: A systematic review and meta-analysis. </w:t>
      </w:r>
      <w:r w:rsidRPr="00070235">
        <w:rPr>
          <w:rFonts w:ascii="Arial" w:hAnsi="Arial" w:cs="Arial"/>
          <w:i/>
          <w:iCs/>
          <w:sz w:val="22"/>
          <w:szCs w:val="22"/>
        </w:rPr>
        <w:t>European Journal of Internal Medicine</w:t>
      </w:r>
      <w:r w:rsidRPr="00070235">
        <w:rPr>
          <w:rFonts w:ascii="Arial" w:hAnsi="Arial" w:cs="Arial"/>
          <w:sz w:val="22"/>
          <w:szCs w:val="22"/>
        </w:rPr>
        <w:t xml:space="preserve">, 27, pp.37–47. </w:t>
      </w:r>
      <w:proofErr w:type="spellStart"/>
      <w:proofErr w:type="gramStart"/>
      <w:r w:rsidRPr="00070235">
        <w:rPr>
          <w:rFonts w:ascii="Arial" w:hAnsi="Arial" w:cs="Arial"/>
          <w:sz w:val="22"/>
          <w:szCs w:val="22"/>
        </w:rPr>
        <w:t>doi:https</w:t>
      </w:r>
      <w:proofErr w:type="spellEnd"/>
      <w:r w:rsidRPr="00070235">
        <w:rPr>
          <w:rFonts w:ascii="Arial" w:hAnsi="Arial" w:cs="Arial"/>
          <w:sz w:val="22"/>
          <w:szCs w:val="22"/>
        </w:rPr>
        <w:t>://doi.org/10.1016/j.ejim.2015.11.016</w:t>
      </w:r>
      <w:proofErr w:type="gramEnd"/>
      <w:r w:rsidRPr="00070235">
        <w:rPr>
          <w:rFonts w:ascii="Arial" w:hAnsi="Arial" w:cs="Arial"/>
          <w:sz w:val="22"/>
          <w:szCs w:val="22"/>
        </w:rPr>
        <w:t>.</w:t>
      </w:r>
      <w:r>
        <w:rPr>
          <w:rFonts w:ascii="Arial" w:hAnsi="Arial" w:cs="Arial"/>
          <w:sz w:val="22"/>
          <w:szCs w:val="22"/>
        </w:rPr>
        <w:t xml:space="preserve"> </w:t>
      </w:r>
      <w:r w:rsidRPr="00070235">
        <w:rPr>
          <w:rFonts w:ascii="Arial" w:hAnsi="Arial" w:cs="Arial"/>
          <w:sz w:val="22"/>
          <w:szCs w:val="22"/>
        </w:rPr>
        <w:t>[Accessed 2 Nov. 2025].</w:t>
      </w:r>
    </w:p>
    <w:p w14:paraId="7F53DFAB" w14:textId="77777777" w:rsidR="00BD25A5" w:rsidRPr="00070235" w:rsidRDefault="00BD25A5" w:rsidP="00BD25A5">
      <w:pPr>
        <w:spacing w:line="360" w:lineRule="auto"/>
        <w:rPr>
          <w:rFonts w:ascii="Arial" w:hAnsi="Arial" w:cs="Arial"/>
          <w:sz w:val="22"/>
          <w:szCs w:val="22"/>
        </w:rPr>
      </w:pPr>
      <w:r w:rsidRPr="00241568">
        <w:rPr>
          <w:rFonts w:ascii="Arial" w:hAnsi="Arial" w:cs="Arial"/>
          <w:sz w:val="22"/>
          <w:szCs w:val="22"/>
        </w:rPr>
        <w:t>‌</w:t>
      </w:r>
      <w:r w:rsidRPr="00070235">
        <w:rPr>
          <w:rFonts w:ascii="Arial" w:hAnsi="Arial" w:cs="Arial"/>
          <w:sz w:val="22"/>
          <w:szCs w:val="22"/>
        </w:rPr>
        <w:t>Idris, P.I. (2015). </w:t>
      </w:r>
      <w:r w:rsidRPr="00070235">
        <w:rPr>
          <w:rFonts w:ascii="Arial" w:hAnsi="Arial" w:cs="Arial"/>
          <w:i/>
          <w:iCs/>
          <w:sz w:val="22"/>
          <w:szCs w:val="22"/>
        </w:rPr>
        <w:t>Clinical review: Type 2 diabetes</w:t>
      </w:r>
      <w:r w:rsidRPr="00070235">
        <w:rPr>
          <w:rFonts w:ascii="Arial" w:hAnsi="Arial" w:cs="Arial"/>
          <w:sz w:val="22"/>
          <w:szCs w:val="22"/>
        </w:rPr>
        <w:t>. [online] Gponline.com. Available at: https://www.gponline.com/clinical-review-type-2-diabetes/diabetes/diabetes/article/1369625? [Accessed 2 Nov. 2025].</w:t>
      </w:r>
    </w:p>
    <w:p w14:paraId="4FB8AD83" w14:textId="77777777" w:rsidR="00BD25A5" w:rsidRPr="00070235" w:rsidRDefault="00BD25A5" w:rsidP="00BD25A5">
      <w:pPr>
        <w:spacing w:line="360" w:lineRule="auto"/>
        <w:rPr>
          <w:rFonts w:ascii="Arial" w:hAnsi="Arial" w:cs="Arial"/>
          <w:sz w:val="22"/>
          <w:szCs w:val="22"/>
        </w:rPr>
      </w:pPr>
      <w:r w:rsidRPr="00241568">
        <w:rPr>
          <w:rFonts w:ascii="Arial" w:hAnsi="Arial" w:cs="Arial"/>
          <w:sz w:val="22"/>
          <w:szCs w:val="22"/>
        </w:rPr>
        <w:t>‌</w:t>
      </w:r>
      <w:r w:rsidRPr="00070235">
        <w:rPr>
          <w:rFonts w:ascii="Arial" w:hAnsi="Arial" w:cs="Arial"/>
          <w:sz w:val="22"/>
          <w:szCs w:val="22"/>
        </w:rPr>
        <w:t>Loft, P., Barber, S. and Powell, T. (2025). </w:t>
      </w:r>
      <w:r w:rsidRPr="00070235">
        <w:rPr>
          <w:rFonts w:ascii="Arial" w:hAnsi="Arial" w:cs="Arial"/>
          <w:i/>
          <w:iCs/>
          <w:sz w:val="22"/>
          <w:szCs w:val="22"/>
        </w:rPr>
        <w:t>Tailored prevention messaging for diabetes</w:t>
      </w:r>
      <w:r w:rsidRPr="00070235">
        <w:rPr>
          <w:rFonts w:ascii="Arial" w:hAnsi="Arial" w:cs="Arial"/>
          <w:sz w:val="22"/>
          <w:szCs w:val="22"/>
        </w:rPr>
        <w:t xml:space="preserve">. [online] House of Commons Library. Available at: </w:t>
      </w:r>
      <w:hyperlink r:id="rId21" w:history="1">
        <w:r w:rsidRPr="00C41DB7">
          <w:rPr>
            <w:rStyle w:val="Hyperlink"/>
            <w:rFonts w:ascii="Arial" w:hAnsi="Arial" w:cs="Arial"/>
            <w:sz w:val="22"/>
            <w:szCs w:val="22"/>
          </w:rPr>
          <w:t>https://commonslibrary.parliament.uk/research-briefings/cdp-2019-0224/</w:t>
        </w:r>
      </w:hyperlink>
      <w:r>
        <w:rPr>
          <w:rFonts w:ascii="Arial" w:hAnsi="Arial" w:cs="Arial"/>
          <w:sz w:val="22"/>
          <w:szCs w:val="22"/>
        </w:rPr>
        <w:t xml:space="preserve"> </w:t>
      </w:r>
      <w:r w:rsidRPr="00070235">
        <w:rPr>
          <w:rFonts w:ascii="Arial" w:hAnsi="Arial" w:cs="Arial"/>
          <w:sz w:val="22"/>
          <w:szCs w:val="22"/>
        </w:rPr>
        <w:t>[Accessed 2 Nov. 2025].</w:t>
      </w:r>
    </w:p>
    <w:p w14:paraId="7AE5674F" w14:textId="77777777" w:rsidR="00BD25A5" w:rsidRPr="00070235" w:rsidRDefault="00BD25A5" w:rsidP="00BD25A5">
      <w:pPr>
        <w:spacing w:line="360" w:lineRule="auto"/>
        <w:rPr>
          <w:rFonts w:ascii="Arial" w:hAnsi="Arial" w:cs="Arial"/>
          <w:sz w:val="22"/>
          <w:szCs w:val="22"/>
        </w:rPr>
      </w:pPr>
      <w:r w:rsidRPr="001A79BF">
        <w:rPr>
          <w:rFonts w:ascii="Arial" w:hAnsi="Arial" w:cs="Arial"/>
          <w:sz w:val="22"/>
          <w:szCs w:val="22"/>
        </w:rPr>
        <w:t>‌</w:t>
      </w:r>
      <w:r w:rsidRPr="00070235">
        <w:rPr>
          <w:rFonts w:ascii="Arial" w:hAnsi="Arial" w:cs="Arial"/>
          <w:sz w:val="22"/>
          <w:szCs w:val="22"/>
        </w:rPr>
        <w:t>McIntosh, B., Yu, C., Lal, A., Chelak, K., Cameron, C., Singh, S. and Dahl, M. (2020). </w:t>
      </w:r>
      <w:r w:rsidRPr="00070235">
        <w:rPr>
          <w:rFonts w:ascii="Arial" w:hAnsi="Arial" w:cs="Arial"/>
          <w:i/>
          <w:iCs/>
          <w:sz w:val="22"/>
          <w:szCs w:val="22"/>
        </w:rPr>
        <w:t>Efficacy of self-monitoring of blood glucose in patients with type 2 diabetes mellitus managed without insulin: a systematic review and meta-analysis</w:t>
      </w:r>
      <w:r w:rsidRPr="00070235">
        <w:rPr>
          <w:rFonts w:ascii="Arial" w:hAnsi="Arial" w:cs="Arial"/>
          <w:sz w:val="22"/>
          <w:szCs w:val="22"/>
        </w:rPr>
        <w:t>. [online] Nih.gov. Available at: https://www.ncbi.nlm.nih.gov/books/NBK132594/? [Accessed 2 Nov. 2025].</w:t>
      </w:r>
    </w:p>
    <w:p w14:paraId="4DB9310B" w14:textId="77777777" w:rsidR="00BD25A5" w:rsidRPr="009A3F01" w:rsidRDefault="00BD25A5" w:rsidP="00BD25A5">
      <w:pPr>
        <w:spacing w:line="360" w:lineRule="auto"/>
        <w:rPr>
          <w:rFonts w:ascii="Arial" w:hAnsi="Arial" w:cs="Arial"/>
          <w:sz w:val="22"/>
          <w:szCs w:val="22"/>
        </w:rPr>
      </w:pPr>
      <w:proofErr w:type="spellStart"/>
      <w:r w:rsidRPr="009A3F01">
        <w:rPr>
          <w:rFonts w:ascii="Arial" w:hAnsi="Arial" w:cs="Arial"/>
          <w:sz w:val="22"/>
          <w:szCs w:val="22"/>
        </w:rPr>
        <w:t>Nakrani</w:t>
      </w:r>
      <w:proofErr w:type="spellEnd"/>
      <w:r w:rsidRPr="009A3F01">
        <w:rPr>
          <w:rFonts w:ascii="Arial" w:hAnsi="Arial" w:cs="Arial"/>
          <w:sz w:val="22"/>
          <w:szCs w:val="22"/>
        </w:rPr>
        <w:t>, M.N., Wineland, R.H. and Anjum, F. (2023). </w:t>
      </w:r>
      <w:r w:rsidRPr="009A3F01">
        <w:rPr>
          <w:rFonts w:ascii="Arial" w:hAnsi="Arial" w:cs="Arial"/>
          <w:i/>
          <w:iCs/>
          <w:sz w:val="22"/>
          <w:szCs w:val="22"/>
        </w:rPr>
        <w:t>Physiology, Glucose Metabolism</w:t>
      </w:r>
      <w:r w:rsidRPr="009A3F01">
        <w:rPr>
          <w:rFonts w:ascii="Arial" w:hAnsi="Arial" w:cs="Arial"/>
          <w:sz w:val="22"/>
          <w:szCs w:val="22"/>
        </w:rPr>
        <w:t xml:space="preserve">. [online] PubMed. Available at: </w:t>
      </w:r>
      <w:hyperlink r:id="rId22" w:history="1">
        <w:r w:rsidRPr="009A3F01">
          <w:rPr>
            <w:rStyle w:val="Hyperlink"/>
            <w:rFonts w:ascii="Arial" w:hAnsi="Arial" w:cs="Arial"/>
            <w:sz w:val="22"/>
            <w:szCs w:val="22"/>
          </w:rPr>
          <w:t>https://pubmed.ncbi.nlm.nih.gov/32809434/</w:t>
        </w:r>
      </w:hyperlink>
      <w:r w:rsidRPr="009A3F01">
        <w:rPr>
          <w:rFonts w:ascii="Arial" w:hAnsi="Arial" w:cs="Arial"/>
          <w:sz w:val="22"/>
          <w:szCs w:val="22"/>
        </w:rPr>
        <w:t>.</w:t>
      </w:r>
      <w:r>
        <w:rPr>
          <w:rFonts w:ascii="Arial" w:hAnsi="Arial" w:cs="Arial"/>
          <w:sz w:val="22"/>
          <w:szCs w:val="22"/>
        </w:rPr>
        <w:t xml:space="preserve"> </w:t>
      </w:r>
      <w:r w:rsidRPr="00070235">
        <w:rPr>
          <w:rFonts w:ascii="Arial" w:hAnsi="Arial" w:cs="Arial"/>
          <w:sz w:val="22"/>
          <w:szCs w:val="22"/>
        </w:rPr>
        <w:t>[Accessed 2 Nov. 2025].</w:t>
      </w:r>
    </w:p>
    <w:p w14:paraId="549B49D6" w14:textId="77777777" w:rsidR="00BD25A5" w:rsidRPr="00070235" w:rsidRDefault="00BD25A5" w:rsidP="00BD25A5">
      <w:pPr>
        <w:spacing w:line="360" w:lineRule="auto"/>
        <w:rPr>
          <w:rFonts w:ascii="Arial" w:hAnsi="Arial" w:cs="Arial"/>
          <w:sz w:val="22"/>
          <w:szCs w:val="22"/>
        </w:rPr>
      </w:pPr>
      <w:r w:rsidRPr="006E4986">
        <w:rPr>
          <w:rFonts w:ascii="Arial" w:hAnsi="Arial" w:cs="Arial"/>
          <w:sz w:val="22"/>
          <w:szCs w:val="22"/>
        </w:rPr>
        <w:t>Osmosis. (2022). </w:t>
      </w:r>
      <w:r w:rsidRPr="006E4986">
        <w:rPr>
          <w:rFonts w:ascii="Arial" w:hAnsi="Arial" w:cs="Arial"/>
          <w:i/>
          <w:iCs/>
          <w:sz w:val="22"/>
          <w:szCs w:val="22"/>
        </w:rPr>
        <w:t>Cellular Respiration: What Is It, Its Purpose | Osmosis</w:t>
      </w:r>
      <w:r w:rsidRPr="006E4986">
        <w:rPr>
          <w:rFonts w:ascii="Arial" w:hAnsi="Arial" w:cs="Arial"/>
          <w:sz w:val="22"/>
          <w:szCs w:val="22"/>
        </w:rPr>
        <w:t xml:space="preserve">. [online] Available at: </w:t>
      </w:r>
      <w:hyperlink r:id="rId23" w:history="1">
        <w:r w:rsidRPr="006E4986">
          <w:rPr>
            <w:rStyle w:val="Hyperlink"/>
            <w:rFonts w:ascii="Arial" w:hAnsi="Arial" w:cs="Arial"/>
            <w:sz w:val="22"/>
            <w:szCs w:val="22"/>
          </w:rPr>
          <w:t>https://www.osmosis.org/answers/cellular-respiration</w:t>
        </w:r>
      </w:hyperlink>
      <w:r>
        <w:rPr>
          <w:rFonts w:ascii="Arial" w:hAnsi="Arial" w:cs="Arial"/>
          <w:sz w:val="22"/>
          <w:szCs w:val="22"/>
        </w:rPr>
        <w:t xml:space="preserve"> </w:t>
      </w:r>
      <w:r w:rsidRPr="00070235">
        <w:rPr>
          <w:rFonts w:ascii="Arial" w:hAnsi="Arial" w:cs="Arial"/>
          <w:sz w:val="22"/>
          <w:szCs w:val="22"/>
        </w:rPr>
        <w:t xml:space="preserve">[Accessed </w:t>
      </w:r>
      <w:r>
        <w:rPr>
          <w:rFonts w:ascii="Arial" w:hAnsi="Arial" w:cs="Arial"/>
          <w:sz w:val="22"/>
          <w:szCs w:val="22"/>
        </w:rPr>
        <w:t>3</w:t>
      </w:r>
      <w:r w:rsidRPr="00070235">
        <w:rPr>
          <w:rFonts w:ascii="Arial" w:hAnsi="Arial" w:cs="Arial"/>
          <w:sz w:val="22"/>
          <w:szCs w:val="22"/>
        </w:rPr>
        <w:t xml:space="preserve"> Nov. 2025].</w:t>
      </w:r>
    </w:p>
    <w:p w14:paraId="646C8496" w14:textId="77777777" w:rsidR="00BD25A5" w:rsidRPr="00070235" w:rsidRDefault="00BD25A5" w:rsidP="00BD25A5">
      <w:pPr>
        <w:spacing w:line="360" w:lineRule="auto"/>
        <w:rPr>
          <w:rFonts w:ascii="Arial" w:hAnsi="Arial" w:cs="Arial"/>
          <w:sz w:val="22"/>
          <w:szCs w:val="22"/>
        </w:rPr>
      </w:pPr>
      <w:r w:rsidRPr="006E4986">
        <w:rPr>
          <w:rFonts w:ascii="Arial" w:hAnsi="Arial" w:cs="Arial"/>
          <w:sz w:val="22"/>
          <w:szCs w:val="22"/>
        </w:rPr>
        <w:t>Osmosis. (2022). </w:t>
      </w:r>
      <w:r w:rsidRPr="006E4986">
        <w:rPr>
          <w:rFonts w:ascii="Arial" w:hAnsi="Arial" w:cs="Arial"/>
          <w:i/>
          <w:iCs/>
          <w:sz w:val="22"/>
          <w:szCs w:val="22"/>
        </w:rPr>
        <w:t>Cellular Respiration: What Is It, Its Purpose | Osmosis</w:t>
      </w:r>
      <w:r w:rsidRPr="006E4986">
        <w:rPr>
          <w:rFonts w:ascii="Arial" w:hAnsi="Arial" w:cs="Arial"/>
          <w:sz w:val="22"/>
          <w:szCs w:val="22"/>
        </w:rPr>
        <w:t xml:space="preserve">. [online] Available at: </w:t>
      </w:r>
      <w:hyperlink r:id="rId24" w:history="1">
        <w:r w:rsidRPr="006E4986">
          <w:rPr>
            <w:rStyle w:val="Hyperlink"/>
            <w:rFonts w:ascii="Arial" w:hAnsi="Arial" w:cs="Arial"/>
            <w:sz w:val="22"/>
            <w:szCs w:val="22"/>
          </w:rPr>
          <w:t>https://www.osmosis.org/answers/cellular-respiration</w:t>
        </w:r>
      </w:hyperlink>
      <w:r>
        <w:rPr>
          <w:rFonts w:ascii="Arial" w:hAnsi="Arial" w:cs="Arial"/>
          <w:sz w:val="22"/>
          <w:szCs w:val="22"/>
        </w:rPr>
        <w:t xml:space="preserve"> </w:t>
      </w:r>
      <w:r w:rsidRPr="00070235">
        <w:rPr>
          <w:rFonts w:ascii="Arial" w:hAnsi="Arial" w:cs="Arial"/>
          <w:sz w:val="22"/>
          <w:szCs w:val="22"/>
        </w:rPr>
        <w:t xml:space="preserve">[Accessed </w:t>
      </w:r>
      <w:r>
        <w:rPr>
          <w:rFonts w:ascii="Arial" w:hAnsi="Arial" w:cs="Arial"/>
          <w:sz w:val="22"/>
          <w:szCs w:val="22"/>
        </w:rPr>
        <w:t>3</w:t>
      </w:r>
      <w:r w:rsidRPr="00070235">
        <w:rPr>
          <w:rFonts w:ascii="Arial" w:hAnsi="Arial" w:cs="Arial"/>
          <w:sz w:val="22"/>
          <w:szCs w:val="22"/>
        </w:rPr>
        <w:t xml:space="preserve"> Nov. 2025].</w:t>
      </w:r>
    </w:p>
    <w:p w14:paraId="32275346" w14:textId="77777777" w:rsidR="00BD25A5" w:rsidRPr="00070235" w:rsidRDefault="00BD25A5" w:rsidP="00BD25A5">
      <w:pPr>
        <w:spacing w:line="360" w:lineRule="auto"/>
        <w:rPr>
          <w:rFonts w:ascii="Arial" w:hAnsi="Arial" w:cs="Arial"/>
          <w:sz w:val="22"/>
          <w:szCs w:val="22"/>
        </w:rPr>
      </w:pPr>
      <w:r w:rsidRPr="00070235">
        <w:rPr>
          <w:rFonts w:ascii="Arial" w:hAnsi="Arial" w:cs="Arial"/>
          <w:sz w:val="22"/>
          <w:szCs w:val="22"/>
        </w:rPr>
        <w:t>Otto-Buczkowska, E. (2011). Glucagon and glucagon-like peptides the role in control glucose homeostasis. Part I. </w:t>
      </w:r>
      <w:proofErr w:type="spellStart"/>
      <w:r w:rsidRPr="00070235">
        <w:rPr>
          <w:rFonts w:ascii="Arial" w:hAnsi="Arial" w:cs="Arial"/>
          <w:i/>
          <w:iCs/>
          <w:sz w:val="22"/>
          <w:szCs w:val="22"/>
        </w:rPr>
        <w:t>Pediatric</w:t>
      </w:r>
      <w:proofErr w:type="spellEnd"/>
      <w:r w:rsidRPr="00070235">
        <w:rPr>
          <w:rFonts w:ascii="Arial" w:hAnsi="Arial" w:cs="Arial"/>
          <w:i/>
          <w:iCs/>
          <w:sz w:val="22"/>
          <w:szCs w:val="22"/>
        </w:rPr>
        <w:t xml:space="preserve"> endocrinology, diabetes, and metabolism</w:t>
      </w:r>
      <w:r w:rsidRPr="00070235">
        <w:rPr>
          <w:rFonts w:ascii="Arial" w:hAnsi="Arial" w:cs="Arial"/>
          <w:sz w:val="22"/>
          <w:szCs w:val="22"/>
        </w:rPr>
        <w:t xml:space="preserve">, [online] 17(4), pp.215–21. Available at: </w:t>
      </w:r>
      <w:hyperlink r:id="rId25" w:history="1">
        <w:r w:rsidRPr="00C41DB7">
          <w:rPr>
            <w:rStyle w:val="Hyperlink"/>
            <w:rFonts w:ascii="Arial" w:hAnsi="Arial" w:cs="Arial"/>
            <w:sz w:val="22"/>
            <w:szCs w:val="22"/>
          </w:rPr>
          <w:t>https://pubmed.ncbi.nlm.nih.gov/22248782/</w:t>
        </w:r>
      </w:hyperlink>
      <w:r w:rsidRPr="00070235">
        <w:rPr>
          <w:rFonts w:ascii="Arial" w:hAnsi="Arial" w:cs="Arial"/>
          <w:sz w:val="22"/>
          <w:szCs w:val="22"/>
        </w:rPr>
        <w:t>.</w:t>
      </w:r>
      <w:r>
        <w:rPr>
          <w:rFonts w:ascii="Arial" w:hAnsi="Arial" w:cs="Arial"/>
          <w:sz w:val="22"/>
          <w:szCs w:val="22"/>
        </w:rPr>
        <w:t xml:space="preserve"> </w:t>
      </w:r>
      <w:r w:rsidRPr="00070235">
        <w:rPr>
          <w:rFonts w:ascii="Arial" w:hAnsi="Arial" w:cs="Arial"/>
          <w:sz w:val="22"/>
          <w:szCs w:val="22"/>
        </w:rPr>
        <w:t>[Accessed 2 Nov. 2025].</w:t>
      </w:r>
    </w:p>
    <w:p w14:paraId="29B263AC" w14:textId="77777777" w:rsidR="00BD25A5" w:rsidRPr="00070235" w:rsidRDefault="00BD25A5" w:rsidP="00BD25A5">
      <w:pPr>
        <w:spacing w:line="360" w:lineRule="auto"/>
        <w:rPr>
          <w:rFonts w:ascii="Arial" w:hAnsi="Arial" w:cs="Arial"/>
          <w:sz w:val="22"/>
          <w:szCs w:val="22"/>
        </w:rPr>
      </w:pPr>
      <w:r w:rsidRPr="00195146">
        <w:rPr>
          <w:rFonts w:ascii="Arial" w:hAnsi="Arial" w:cs="Arial"/>
          <w:sz w:val="22"/>
          <w:szCs w:val="22"/>
        </w:rPr>
        <w:t>‌</w:t>
      </w:r>
      <w:r w:rsidRPr="00070235">
        <w:rPr>
          <w:rFonts w:ascii="Arial" w:hAnsi="Arial" w:cs="Arial"/>
          <w:sz w:val="22"/>
          <w:szCs w:val="22"/>
        </w:rPr>
        <w:t>Scot.nhs.uk. (2025). </w:t>
      </w:r>
      <w:r w:rsidRPr="00070235">
        <w:rPr>
          <w:rFonts w:ascii="Arial" w:hAnsi="Arial" w:cs="Arial"/>
          <w:i/>
          <w:iCs/>
          <w:sz w:val="22"/>
          <w:szCs w:val="22"/>
        </w:rPr>
        <w:t>Maintaining a healthy weight | Right Decisions</w:t>
      </w:r>
      <w:r w:rsidRPr="00070235">
        <w:rPr>
          <w:rFonts w:ascii="Arial" w:hAnsi="Arial" w:cs="Arial"/>
          <w:sz w:val="22"/>
          <w:szCs w:val="22"/>
        </w:rPr>
        <w:t xml:space="preserve">. [online] Available at: https://rightdecisions.scot.nhs.uk/prevent-the-progress-of-diabetes/i-have-been-diagnosed-with-prediabetes/maintaining-a-healthy-weight/ [Accessed </w:t>
      </w:r>
      <w:r>
        <w:rPr>
          <w:rFonts w:ascii="Arial" w:hAnsi="Arial" w:cs="Arial"/>
          <w:sz w:val="22"/>
          <w:szCs w:val="22"/>
        </w:rPr>
        <w:t>4</w:t>
      </w:r>
      <w:r w:rsidRPr="00070235">
        <w:rPr>
          <w:rFonts w:ascii="Arial" w:hAnsi="Arial" w:cs="Arial"/>
          <w:sz w:val="22"/>
          <w:szCs w:val="22"/>
        </w:rPr>
        <w:t xml:space="preserve"> Nov. 2025].</w:t>
      </w:r>
    </w:p>
    <w:p w14:paraId="3BA67CA6" w14:textId="77777777" w:rsidR="00BD25A5" w:rsidRPr="00070235" w:rsidRDefault="00BD25A5" w:rsidP="00BD25A5">
      <w:pPr>
        <w:spacing w:line="360" w:lineRule="auto"/>
        <w:rPr>
          <w:rFonts w:ascii="Arial" w:hAnsi="Arial" w:cs="Arial"/>
          <w:sz w:val="22"/>
          <w:szCs w:val="22"/>
        </w:rPr>
      </w:pPr>
      <w:r w:rsidRPr="00195146">
        <w:rPr>
          <w:rFonts w:ascii="Arial" w:hAnsi="Arial" w:cs="Arial"/>
          <w:sz w:val="22"/>
          <w:szCs w:val="22"/>
        </w:rPr>
        <w:t>‌</w:t>
      </w:r>
      <w:r w:rsidRPr="00070235">
        <w:rPr>
          <w:rFonts w:ascii="Arial" w:hAnsi="Arial" w:cs="Arial"/>
          <w:sz w:val="22"/>
          <w:szCs w:val="22"/>
        </w:rPr>
        <w:t>University Hospitals Sussex NHS Foundation Trust. (2023). </w:t>
      </w:r>
      <w:r w:rsidRPr="00070235">
        <w:rPr>
          <w:rFonts w:ascii="Arial" w:hAnsi="Arial" w:cs="Arial"/>
          <w:i/>
          <w:iCs/>
          <w:sz w:val="22"/>
          <w:szCs w:val="22"/>
        </w:rPr>
        <w:t>Food Fact: Dietary Advice for Pre Diabetes - University Hospitals Sussex NHS Foundation Trust</w:t>
      </w:r>
      <w:r w:rsidRPr="00070235">
        <w:rPr>
          <w:rFonts w:ascii="Arial" w:hAnsi="Arial" w:cs="Arial"/>
          <w:sz w:val="22"/>
          <w:szCs w:val="22"/>
        </w:rPr>
        <w:t xml:space="preserve">. [online] Available at: https://www.uhsussex.nhs.uk/resources/food-fact-dietary-advice-for-pre-diabetes/ [Accessed </w:t>
      </w:r>
      <w:r>
        <w:rPr>
          <w:rFonts w:ascii="Arial" w:hAnsi="Arial" w:cs="Arial"/>
          <w:sz w:val="22"/>
          <w:szCs w:val="22"/>
        </w:rPr>
        <w:t>4</w:t>
      </w:r>
      <w:r w:rsidRPr="00070235">
        <w:rPr>
          <w:rFonts w:ascii="Arial" w:hAnsi="Arial" w:cs="Arial"/>
          <w:sz w:val="22"/>
          <w:szCs w:val="22"/>
        </w:rPr>
        <w:t xml:space="preserve"> Nov. 2025].</w:t>
      </w:r>
    </w:p>
    <w:p w14:paraId="7D08CADC" w14:textId="77777777" w:rsidR="00BD25A5" w:rsidRPr="00070235" w:rsidRDefault="00BD25A5" w:rsidP="00BD25A5">
      <w:pPr>
        <w:spacing w:line="360" w:lineRule="auto"/>
        <w:rPr>
          <w:rFonts w:ascii="Arial" w:hAnsi="Arial" w:cs="Arial"/>
          <w:sz w:val="22"/>
          <w:szCs w:val="22"/>
        </w:rPr>
      </w:pPr>
      <w:r w:rsidRPr="00195146">
        <w:rPr>
          <w:rFonts w:ascii="Arial" w:hAnsi="Arial" w:cs="Arial"/>
          <w:sz w:val="22"/>
          <w:szCs w:val="22"/>
        </w:rPr>
        <w:lastRenderedPageBreak/>
        <w:t>‌</w:t>
      </w:r>
      <w:r w:rsidRPr="00070235">
        <w:rPr>
          <w:rFonts w:ascii="Arial" w:hAnsi="Arial" w:cs="Arial"/>
          <w:sz w:val="22"/>
          <w:szCs w:val="22"/>
        </w:rPr>
        <w:t xml:space="preserve">Uusitupa, M., Khan, T.A., Viguiliouk, E., Kahleova, H., </w:t>
      </w:r>
      <w:proofErr w:type="spellStart"/>
      <w:r w:rsidRPr="00070235">
        <w:rPr>
          <w:rFonts w:ascii="Arial" w:hAnsi="Arial" w:cs="Arial"/>
          <w:sz w:val="22"/>
          <w:szCs w:val="22"/>
        </w:rPr>
        <w:t>Rivellese</w:t>
      </w:r>
      <w:proofErr w:type="spellEnd"/>
      <w:r w:rsidRPr="00070235">
        <w:rPr>
          <w:rFonts w:ascii="Arial" w:hAnsi="Arial" w:cs="Arial"/>
          <w:sz w:val="22"/>
          <w:szCs w:val="22"/>
        </w:rPr>
        <w:t xml:space="preserve">, A.A., Hermansen, K., Pfeiffer, A., </w:t>
      </w:r>
      <w:proofErr w:type="spellStart"/>
      <w:r w:rsidRPr="00070235">
        <w:rPr>
          <w:rFonts w:ascii="Arial" w:hAnsi="Arial" w:cs="Arial"/>
          <w:sz w:val="22"/>
          <w:szCs w:val="22"/>
        </w:rPr>
        <w:t>Thanopoulou</w:t>
      </w:r>
      <w:proofErr w:type="spellEnd"/>
      <w:r w:rsidRPr="00070235">
        <w:rPr>
          <w:rFonts w:ascii="Arial" w:hAnsi="Arial" w:cs="Arial"/>
          <w:sz w:val="22"/>
          <w:szCs w:val="22"/>
        </w:rPr>
        <w:t>, A., Salas-</w:t>
      </w:r>
      <w:proofErr w:type="spellStart"/>
      <w:r w:rsidRPr="00070235">
        <w:rPr>
          <w:rFonts w:ascii="Arial" w:hAnsi="Arial" w:cs="Arial"/>
          <w:sz w:val="22"/>
          <w:szCs w:val="22"/>
        </w:rPr>
        <w:t>Salvadó</w:t>
      </w:r>
      <w:proofErr w:type="spellEnd"/>
      <w:r w:rsidRPr="00070235">
        <w:rPr>
          <w:rFonts w:ascii="Arial" w:hAnsi="Arial" w:cs="Arial"/>
          <w:sz w:val="22"/>
          <w:szCs w:val="22"/>
        </w:rPr>
        <w:t xml:space="preserve">, J., Schwab, U. and </w:t>
      </w:r>
      <w:proofErr w:type="spellStart"/>
      <w:r w:rsidRPr="00070235">
        <w:rPr>
          <w:rFonts w:ascii="Arial" w:hAnsi="Arial" w:cs="Arial"/>
          <w:sz w:val="22"/>
          <w:szCs w:val="22"/>
        </w:rPr>
        <w:t>Sievenpiper</w:t>
      </w:r>
      <w:proofErr w:type="spellEnd"/>
      <w:r w:rsidRPr="00070235">
        <w:rPr>
          <w:rFonts w:ascii="Arial" w:hAnsi="Arial" w:cs="Arial"/>
          <w:sz w:val="22"/>
          <w:szCs w:val="22"/>
        </w:rPr>
        <w:t xml:space="preserve">, J.L. (2020). Prevention of Type 2 Diabetes by Lifestyle Changes: </w:t>
      </w:r>
      <w:proofErr w:type="gramStart"/>
      <w:r w:rsidRPr="00070235">
        <w:rPr>
          <w:rFonts w:ascii="Arial" w:hAnsi="Arial" w:cs="Arial"/>
          <w:sz w:val="22"/>
          <w:szCs w:val="22"/>
        </w:rPr>
        <w:t>a</w:t>
      </w:r>
      <w:proofErr w:type="gramEnd"/>
      <w:r w:rsidRPr="00070235">
        <w:rPr>
          <w:rFonts w:ascii="Arial" w:hAnsi="Arial" w:cs="Arial"/>
          <w:sz w:val="22"/>
          <w:szCs w:val="22"/>
        </w:rPr>
        <w:t xml:space="preserve"> Systematic Review and Meta-Analysis. </w:t>
      </w:r>
      <w:r w:rsidRPr="00070235">
        <w:rPr>
          <w:rFonts w:ascii="Arial" w:hAnsi="Arial" w:cs="Arial"/>
          <w:i/>
          <w:iCs/>
          <w:sz w:val="22"/>
          <w:szCs w:val="22"/>
        </w:rPr>
        <w:t>Nutrients</w:t>
      </w:r>
      <w:r w:rsidRPr="00070235">
        <w:rPr>
          <w:rFonts w:ascii="Arial" w:hAnsi="Arial" w:cs="Arial"/>
          <w:sz w:val="22"/>
          <w:szCs w:val="22"/>
        </w:rPr>
        <w:t xml:space="preserve">, [online] 11(11), p.2611. </w:t>
      </w:r>
      <w:proofErr w:type="spellStart"/>
      <w:proofErr w:type="gramStart"/>
      <w:r w:rsidRPr="00070235">
        <w:rPr>
          <w:rFonts w:ascii="Arial" w:hAnsi="Arial" w:cs="Arial"/>
          <w:sz w:val="22"/>
          <w:szCs w:val="22"/>
        </w:rPr>
        <w:t>doi:https</w:t>
      </w:r>
      <w:proofErr w:type="spellEnd"/>
      <w:r w:rsidRPr="00070235">
        <w:rPr>
          <w:rFonts w:ascii="Arial" w:hAnsi="Arial" w:cs="Arial"/>
          <w:sz w:val="22"/>
          <w:szCs w:val="22"/>
        </w:rPr>
        <w:t>://doi.org/10.3390/nu11112611</w:t>
      </w:r>
      <w:proofErr w:type="gramEnd"/>
      <w:r w:rsidRPr="00070235">
        <w:rPr>
          <w:rFonts w:ascii="Arial" w:hAnsi="Arial" w:cs="Arial"/>
          <w:sz w:val="22"/>
          <w:szCs w:val="22"/>
        </w:rPr>
        <w:t>.</w:t>
      </w:r>
      <w:r>
        <w:rPr>
          <w:rFonts w:ascii="Arial" w:hAnsi="Arial" w:cs="Arial"/>
          <w:sz w:val="22"/>
          <w:szCs w:val="22"/>
        </w:rPr>
        <w:t xml:space="preserve"> </w:t>
      </w:r>
      <w:r w:rsidRPr="00070235">
        <w:rPr>
          <w:rFonts w:ascii="Arial" w:hAnsi="Arial" w:cs="Arial"/>
          <w:sz w:val="22"/>
          <w:szCs w:val="22"/>
        </w:rPr>
        <w:t xml:space="preserve">[Accessed </w:t>
      </w:r>
      <w:r>
        <w:rPr>
          <w:rFonts w:ascii="Arial" w:hAnsi="Arial" w:cs="Arial"/>
          <w:sz w:val="22"/>
          <w:szCs w:val="22"/>
        </w:rPr>
        <w:t>4</w:t>
      </w:r>
      <w:r w:rsidRPr="00070235">
        <w:rPr>
          <w:rFonts w:ascii="Arial" w:hAnsi="Arial" w:cs="Arial"/>
          <w:sz w:val="22"/>
          <w:szCs w:val="22"/>
        </w:rPr>
        <w:t xml:space="preserve"> Nov. 2025].</w:t>
      </w:r>
    </w:p>
    <w:p w14:paraId="555B62F7" w14:textId="77777777" w:rsidR="00BD25A5" w:rsidRPr="00070235" w:rsidRDefault="00BD25A5" w:rsidP="00BD25A5">
      <w:pPr>
        <w:spacing w:line="360" w:lineRule="auto"/>
        <w:rPr>
          <w:rFonts w:ascii="Arial" w:hAnsi="Arial" w:cs="Arial"/>
          <w:sz w:val="22"/>
          <w:szCs w:val="22"/>
        </w:rPr>
      </w:pPr>
      <w:r w:rsidRPr="00241568">
        <w:rPr>
          <w:rFonts w:ascii="Arial" w:hAnsi="Arial" w:cs="Arial"/>
          <w:sz w:val="22"/>
          <w:szCs w:val="22"/>
        </w:rPr>
        <w:t>Whicher, C.A., O’Neill, S. and Holt, R.I.G. (2020). Diabetes in the UK: 2019. </w:t>
      </w:r>
      <w:r w:rsidRPr="00241568">
        <w:rPr>
          <w:rFonts w:ascii="Arial" w:hAnsi="Arial" w:cs="Arial"/>
          <w:i/>
          <w:iCs/>
          <w:sz w:val="22"/>
          <w:szCs w:val="22"/>
        </w:rPr>
        <w:t>Diabetic Medicine</w:t>
      </w:r>
      <w:r w:rsidRPr="00241568">
        <w:rPr>
          <w:rFonts w:ascii="Arial" w:hAnsi="Arial" w:cs="Arial"/>
          <w:sz w:val="22"/>
          <w:szCs w:val="22"/>
        </w:rPr>
        <w:t xml:space="preserve">, [online] 37(2), pp.242–247. </w:t>
      </w:r>
      <w:proofErr w:type="spellStart"/>
      <w:proofErr w:type="gramStart"/>
      <w:r w:rsidRPr="00241568">
        <w:rPr>
          <w:rFonts w:ascii="Arial" w:hAnsi="Arial" w:cs="Arial"/>
          <w:sz w:val="22"/>
          <w:szCs w:val="22"/>
        </w:rPr>
        <w:t>doi:https</w:t>
      </w:r>
      <w:proofErr w:type="spellEnd"/>
      <w:r w:rsidRPr="00241568">
        <w:rPr>
          <w:rFonts w:ascii="Arial" w:hAnsi="Arial" w:cs="Arial"/>
          <w:sz w:val="22"/>
          <w:szCs w:val="22"/>
        </w:rPr>
        <w:t>://doi.org/10.1111/dme.14225</w:t>
      </w:r>
      <w:proofErr w:type="gramEnd"/>
      <w:r w:rsidRPr="00241568">
        <w:rPr>
          <w:rFonts w:ascii="Arial" w:hAnsi="Arial" w:cs="Arial"/>
          <w:sz w:val="22"/>
          <w:szCs w:val="22"/>
        </w:rPr>
        <w:t>.</w:t>
      </w:r>
      <w:r>
        <w:rPr>
          <w:rFonts w:ascii="Arial" w:hAnsi="Arial" w:cs="Arial"/>
          <w:sz w:val="22"/>
          <w:szCs w:val="22"/>
        </w:rPr>
        <w:t xml:space="preserve"> </w:t>
      </w:r>
      <w:r w:rsidRPr="00070235">
        <w:rPr>
          <w:rFonts w:ascii="Arial" w:hAnsi="Arial" w:cs="Arial"/>
          <w:sz w:val="22"/>
          <w:szCs w:val="22"/>
        </w:rPr>
        <w:t>[Accessed 2 Nov. 2025].</w:t>
      </w:r>
    </w:p>
    <w:p w14:paraId="2DF0801D" w14:textId="77777777" w:rsidR="00BD25A5" w:rsidRPr="001A79BF" w:rsidRDefault="00BD25A5" w:rsidP="00BD25A5">
      <w:pPr>
        <w:spacing w:line="360" w:lineRule="auto"/>
        <w:rPr>
          <w:rFonts w:ascii="Arial" w:hAnsi="Arial" w:cs="Arial"/>
          <w:sz w:val="22"/>
          <w:szCs w:val="22"/>
        </w:rPr>
      </w:pPr>
      <w:r w:rsidRPr="001A79BF">
        <w:rPr>
          <w:rFonts w:ascii="Arial" w:hAnsi="Arial" w:cs="Arial"/>
          <w:sz w:val="22"/>
          <w:szCs w:val="22"/>
        </w:rPr>
        <w:t>Zhu, H., Zhu, Y. and Leung, S. (2016). Is self-monitoring of blood glucose effective in improving glycaemic control in type 2 diabetes without insulin treatment: a meta-analysis of randomised controlled trials. </w:t>
      </w:r>
      <w:r w:rsidRPr="001A79BF">
        <w:rPr>
          <w:rFonts w:ascii="Arial" w:hAnsi="Arial" w:cs="Arial"/>
          <w:i/>
          <w:iCs/>
          <w:sz w:val="22"/>
          <w:szCs w:val="22"/>
        </w:rPr>
        <w:t>BMJ Open</w:t>
      </w:r>
      <w:r w:rsidRPr="001A79BF">
        <w:rPr>
          <w:rFonts w:ascii="Arial" w:hAnsi="Arial" w:cs="Arial"/>
          <w:sz w:val="22"/>
          <w:szCs w:val="22"/>
        </w:rPr>
        <w:t xml:space="preserve">, 6(9), p.e010524. </w:t>
      </w:r>
      <w:proofErr w:type="spellStart"/>
      <w:proofErr w:type="gramStart"/>
      <w:r w:rsidRPr="001A79BF">
        <w:rPr>
          <w:rFonts w:ascii="Arial" w:hAnsi="Arial" w:cs="Arial"/>
          <w:sz w:val="22"/>
          <w:szCs w:val="22"/>
        </w:rPr>
        <w:t>doi:https</w:t>
      </w:r>
      <w:proofErr w:type="spellEnd"/>
      <w:r w:rsidRPr="001A79BF">
        <w:rPr>
          <w:rFonts w:ascii="Arial" w:hAnsi="Arial" w:cs="Arial"/>
          <w:sz w:val="22"/>
          <w:szCs w:val="22"/>
        </w:rPr>
        <w:t>://doi.org/10.1136/bmjopen-2015-010524</w:t>
      </w:r>
      <w:proofErr w:type="gramEnd"/>
      <w:r w:rsidRPr="001A79BF">
        <w:rPr>
          <w:rFonts w:ascii="Arial" w:hAnsi="Arial" w:cs="Arial"/>
          <w:sz w:val="22"/>
          <w:szCs w:val="22"/>
        </w:rPr>
        <w:t>.</w:t>
      </w:r>
      <w:r>
        <w:rPr>
          <w:rFonts w:ascii="Arial" w:hAnsi="Arial" w:cs="Arial"/>
          <w:sz w:val="22"/>
          <w:szCs w:val="22"/>
        </w:rPr>
        <w:t xml:space="preserve"> </w:t>
      </w:r>
      <w:r w:rsidRPr="00070235">
        <w:rPr>
          <w:rFonts w:ascii="Arial" w:hAnsi="Arial" w:cs="Arial"/>
          <w:sz w:val="22"/>
          <w:szCs w:val="22"/>
        </w:rPr>
        <w:t xml:space="preserve">[Accessed </w:t>
      </w:r>
      <w:r>
        <w:rPr>
          <w:rFonts w:ascii="Arial" w:hAnsi="Arial" w:cs="Arial"/>
          <w:sz w:val="22"/>
          <w:szCs w:val="22"/>
        </w:rPr>
        <w:t>3</w:t>
      </w:r>
      <w:r w:rsidRPr="00070235">
        <w:rPr>
          <w:rFonts w:ascii="Arial" w:hAnsi="Arial" w:cs="Arial"/>
          <w:sz w:val="22"/>
          <w:szCs w:val="22"/>
        </w:rPr>
        <w:t xml:space="preserve"> Nov. 2025].</w:t>
      </w:r>
    </w:p>
    <w:p w14:paraId="3ACD13A7" w14:textId="77777777" w:rsidR="00BD25A5" w:rsidRPr="00BD25A5" w:rsidRDefault="00BD25A5" w:rsidP="00BD25A5"/>
    <w:p w14:paraId="192F8E94" w14:textId="77777777" w:rsidR="00F73AC9" w:rsidRDefault="00F73AC9" w:rsidP="00F73AC9"/>
    <w:p w14:paraId="78B612CC" w14:textId="77777777" w:rsidR="00F73AC9" w:rsidRDefault="00F73AC9" w:rsidP="00F73AC9"/>
    <w:p w14:paraId="0E05A6C9" w14:textId="77777777" w:rsidR="00F73AC9" w:rsidRDefault="00F73AC9" w:rsidP="00F73AC9"/>
    <w:p w14:paraId="5B170DFB" w14:textId="77777777" w:rsidR="00F73AC9" w:rsidRDefault="00F73AC9" w:rsidP="00F73AC9"/>
    <w:p w14:paraId="3B093673" w14:textId="77777777" w:rsidR="00F73AC9" w:rsidRDefault="00F73AC9" w:rsidP="00F73AC9"/>
    <w:p w14:paraId="5D04892C" w14:textId="77777777" w:rsidR="00F73AC9" w:rsidRDefault="00F73AC9" w:rsidP="00F73AC9"/>
    <w:p w14:paraId="6FFE688F" w14:textId="77777777" w:rsidR="00F73AC9" w:rsidRDefault="00F73AC9" w:rsidP="00F73AC9"/>
    <w:p w14:paraId="6A42A100" w14:textId="77777777" w:rsidR="00F73AC9" w:rsidRDefault="00F73AC9" w:rsidP="00F73AC9"/>
    <w:p w14:paraId="1B0964EB" w14:textId="77777777" w:rsidR="00F73AC9" w:rsidRDefault="00F73AC9" w:rsidP="00F73AC9"/>
    <w:p w14:paraId="601CDEA1" w14:textId="77777777" w:rsidR="00F73AC9" w:rsidRDefault="00F73AC9" w:rsidP="00F73AC9"/>
    <w:p w14:paraId="5E345CAD" w14:textId="77777777" w:rsidR="00F73AC9" w:rsidRDefault="00F73AC9" w:rsidP="00F73AC9"/>
    <w:p w14:paraId="7F1EDF49" w14:textId="77777777" w:rsidR="00F73AC9" w:rsidRDefault="00F73AC9" w:rsidP="00F73AC9"/>
    <w:p w14:paraId="78445571" w14:textId="77777777" w:rsidR="00F73AC9" w:rsidRDefault="00F73AC9" w:rsidP="00F73AC9"/>
    <w:p w14:paraId="2F235E9B" w14:textId="77777777" w:rsidR="00F73AC9" w:rsidRDefault="00F73AC9" w:rsidP="00F73AC9"/>
    <w:p w14:paraId="6D06325C" w14:textId="77777777" w:rsidR="00BD25A5" w:rsidRDefault="00BD25A5" w:rsidP="00F73AC9">
      <w:pPr>
        <w:pStyle w:val="Heading1"/>
        <w:rPr>
          <w:rFonts w:ascii="Arial" w:hAnsi="Arial" w:cs="Arial"/>
          <w:sz w:val="28"/>
          <w:szCs w:val="28"/>
        </w:rPr>
      </w:pPr>
    </w:p>
    <w:p w14:paraId="410953C6" w14:textId="51921A42" w:rsidR="00F73AC9" w:rsidRPr="00BD25A5" w:rsidRDefault="00F73AC9" w:rsidP="00F73AC9">
      <w:pPr>
        <w:pStyle w:val="Heading1"/>
        <w:rPr>
          <w:rFonts w:ascii="Arial" w:hAnsi="Arial" w:cs="Arial"/>
          <w:sz w:val="28"/>
          <w:szCs w:val="28"/>
        </w:rPr>
      </w:pPr>
      <w:bookmarkStart w:id="8" w:name="_Toc213016664"/>
      <w:r w:rsidRPr="00BD25A5">
        <w:rPr>
          <w:rFonts w:ascii="Arial" w:hAnsi="Arial" w:cs="Arial"/>
          <w:sz w:val="28"/>
          <w:szCs w:val="28"/>
        </w:rPr>
        <w:t>Appendix A:</w:t>
      </w:r>
      <w:bookmarkEnd w:id="8"/>
    </w:p>
    <w:p w14:paraId="7E0F3B2B" w14:textId="3F9264C5" w:rsidR="00F73AC9" w:rsidRPr="00F73AC9" w:rsidRDefault="00F73AC9" w:rsidP="00F73AC9">
      <w:pPr>
        <w:spacing w:before="100" w:beforeAutospacing="1" w:after="100" w:afterAutospacing="1" w:line="360" w:lineRule="auto"/>
        <w:rPr>
          <w:rFonts w:ascii="Arial" w:hAnsi="Arial" w:cs="Arial"/>
          <w:b/>
          <w:bCs/>
          <w:color w:val="000000"/>
          <w:sz w:val="22"/>
          <w:szCs w:val="22"/>
          <w:u w:val="single"/>
          <w:lang w:eastAsia="zh-CN"/>
        </w:rPr>
      </w:pPr>
      <w:bookmarkStart w:id="9" w:name="_Hlk189139413"/>
      <w:r w:rsidRPr="00F73AC9">
        <w:rPr>
          <w:rFonts w:ascii="Arial" w:hAnsi="Arial" w:cs="Arial"/>
          <w:b/>
          <w:bCs/>
          <w:color w:val="000000"/>
          <w:sz w:val="22"/>
          <w:szCs w:val="22"/>
          <w:u w:val="single"/>
          <w:lang w:eastAsia="zh-CN"/>
        </w:rPr>
        <w:t>CASE STUDY 1</w:t>
      </w:r>
    </w:p>
    <w:bookmarkEnd w:id="9"/>
    <w:p w14:paraId="295DDB6E" w14:textId="77777777" w:rsidR="00F73AC9" w:rsidRDefault="00F73AC9" w:rsidP="00F73AC9">
      <w:pPr>
        <w:spacing w:line="360" w:lineRule="auto"/>
        <w:jc w:val="both"/>
        <w:rPr>
          <w:rFonts w:ascii="Arial" w:hAnsi="Arial" w:cs="Arial"/>
          <w:color w:val="000000"/>
          <w:sz w:val="22"/>
          <w:szCs w:val="22"/>
          <w:lang w:eastAsia="zh-CN"/>
        </w:rPr>
      </w:pPr>
      <w:r>
        <w:rPr>
          <w:rFonts w:ascii="Arial" w:hAnsi="Arial" w:cs="Arial"/>
          <w:color w:val="000000"/>
          <w:sz w:val="22"/>
          <w:szCs w:val="22"/>
          <w:lang w:eastAsia="zh-CN"/>
        </w:rPr>
        <w:t xml:space="preserve">You are a practice nurse working in a local GP surgery. An increasing number of your patients have been diagnosed with diabetes, and it is clear from the clinics that they attend with you that many of them would benefit from having an increased understanding of their condition and lifestyle activities which impact on their health as this would enable them to engage more effectively with their care plans to manage their blood sugar levels safely and effectively. </w:t>
      </w:r>
    </w:p>
    <w:p w14:paraId="10B7D9B7" w14:textId="77777777" w:rsidR="00F73AC9" w:rsidRPr="00F73AC9" w:rsidRDefault="00F73AC9" w:rsidP="00F73AC9">
      <w:pPr>
        <w:spacing w:before="100" w:beforeAutospacing="1" w:after="100" w:afterAutospacing="1"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You decide to gather information that could be used to help patients understand their situation. Include information about why it is important for patients to record and track their blood sugar levels over time </w:t>
      </w:r>
      <w:proofErr w:type="gramStart"/>
      <w:r>
        <w:rPr>
          <w:rFonts w:ascii="Arial" w:hAnsi="Arial" w:cs="Arial"/>
          <w:color w:val="000000" w:themeColor="text1"/>
          <w:sz w:val="22"/>
          <w:szCs w:val="22"/>
          <w:lang w:eastAsia="zh-CN"/>
        </w:rPr>
        <w:t>and also</w:t>
      </w:r>
      <w:proofErr w:type="gramEnd"/>
      <w:r>
        <w:rPr>
          <w:rFonts w:ascii="Arial" w:hAnsi="Arial" w:cs="Arial"/>
          <w:color w:val="000000" w:themeColor="text1"/>
          <w:sz w:val="22"/>
          <w:szCs w:val="22"/>
          <w:lang w:eastAsia="zh-CN"/>
        </w:rPr>
        <w:t xml:space="preserve"> how addressing lifestyle factors, such as smoking, diet and exercise </w:t>
      </w:r>
      <w:r w:rsidRPr="00F73AC9">
        <w:rPr>
          <w:rFonts w:ascii="Arial" w:hAnsi="Arial" w:cs="Arial"/>
          <w:color w:val="000000" w:themeColor="text1"/>
          <w:sz w:val="22"/>
          <w:szCs w:val="22"/>
          <w:lang w:eastAsia="zh-CN"/>
        </w:rPr>
        <w:t xml:space="preserve">can help them to manage their condition. </w:t>
      </w:r>
    </w:p>
    <w:p w14:paraId="4C3EABBF" w14:textId="77777777" w:rsidR="00F73AC9" w:rsidRPr="00F73AC9" w:rsidRDefault="00F73AC9" w:rsidP="00F73AC9">
      <w:pPr>
        <w:spacing w:before="100" w:beforeAutospacing="1" w:after="100" w:afterAutospacing="1"/>
        <w:rPr>
          <w:rFonts w:ascii="Arial" w:hAnsi="Arial" w:cs="Arial"/>
          <w:color w:val="000000"/>
          <w:sz w:val="22"/>
          <w:szCs w:val="22"/>
          <w:lang w:eastAsia="zh-CN"/>
        </w:rPr>
      </w:pPr>
      <w:r w:rsidRPr="00F73AC9">
        <w:rPr>
          <w:rFonts w:ascii="Arial" w:hAnsi="Arial" w:cs="Arial"/>
          <w:color w:val="000000" w:themeColor="text1"/>
          <w:sz w:val="22"/>
          <w:szCs w:val="22"/>
          <w:lang w:eastAsia="zh-CN"/>
        </w:rPr>
        <w:t>Write a report that includes the below information:</w:t>
      </w:r>
    </w:p>
    <w:p w14:paraId="1B4FA0FF" w14:textId="77777777" w:rsidR="00F73AC9" w:rsidRDefault="00F73AC9" w:rsidP="00F73AC9">
      <w:pPr>
        <w:pStyle w:val="ListParagraph"/>
        <w:spacing w:before="100" w:beforeAutospacing="1" w:after="100" w:afterAutospacing="1"/>
        <w:rPr>
          <w:rFonts w:ascii="Arial" w:hAnsi="Arial" w:cs="Arial"/>
          <w:color w:val="000000"/>
          <w:sz w:val="22"/>
          <w:szCs w:val="22"/>
          <w:lang w:eastAsia="zh-CN"/>
        </w:rPr>
      </w:pPr>
    </w:p>
    <w:p w14:paraId="58E00B9C" w14:textId="77777777" w:rsidR="00F73AC9" w:rsidRPr="009C4615" w:rsidRDefault="00F73AC9" w:rsidP="00F73AC9">
      <w:pPr>
        <w:pStyle w:val="ListParagraph"/>
        <w:numPr>
          <w:ilvl w:val="0"/>
          <w:numId w:val="1"/>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Introduction (describing what diabetes is and what the risk factors are).</w:t>
      </w:r>
    </w:p>
    <w:p w14:paraId="262A499F" w14:textId="77777777" w:rsidR="00F73AC9" w:rsidRDefault="00F73AC9" w:rsidP="00F73AC9">
      <w:pPr>
        <w:pStyle w:val="ListParagraph"/>
        <w:numPr>
          <w:ilvl w:val="0"/>
          <w:numId w:val="1"/>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t>Explain how blood sugar levels are maintained at a safe and effective level for the body’s needs.</w:t>
      </w:r>
    </w:p>
    <w:p w14:paraId="3F572C75" w14:textId="77777777" w:rsidR="00F73AC9" w:rsidRDefault="00F73AC9" w:rsidP="00F73AC9">
      <w:pPr>
        <w:pStyle w:val="ListParagraph"/>
        <w:numPr>
          <w:ilvl w:val="0"/>
          <w:numId w:val="1"/>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 xml:space="preserve">Show how oxygen and glucose are used to produce energy through cell metabolism. </w:t>
      </w:r>
    </w:p>
    <w:p w14:paraId="0E515A3A" w14:textId="77777777" w:rsidR="00F73AC9" w:rsidRDefault="00F73AC9" w:rsidP="00F73AC9">
      <w:pPr>
        <w:pStyle w:val="ListParagraph"/>
        <w:numPr>
          <w:ilvl w:val="0"/>
          <w:numId w:val="1"/>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t xml:space="preserve">Briefly examine how recording and tracking blood sugar levels helps individuals with Type 2 diabetes to safely manage their condition.  </w:t>
      </w:r>
    </w:p>
    <w:p w14:paraId="61FF0EC0" w14:textId="77777777" w:rsidR="00F73AC9" w:rsidRDefault="00F73AC9" w:rsidP="00F73AC9">
      <w:pPr>
        <w:pStyle w:val="ListParagraph"/>
        <w:numPr>
          <w:ilvl w:val="0"/>
          <w:numId w:val="1"/>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Include evidence-based recommendations on how lifestyle changes could help improve their condition.</w:t>
      </w:r>
    </w:p>
    <w:p w14:paraId="10E5D7FC" w14:textId="77777777" w:rsidR="00F73AC9" w:rsidRDefault="00F73AC9" w:rsidP="00F73AC9">
      <w:pPr>
        <w:pStyle w:val="ListParagraph"/>
        <w:numPr>
          <w:ilvl w:val="0"/>
          <w:numId w:val="1"/>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 xml:space="preserve">Conclusion. </w:t>
      </w:r>
    </w:p>
    <w:p w14:paraId="5C9B982A" w14:textId="77777777" w:rsidR="00F73AC9" w:rsidRDefault="00F73AC9" w:rsidP="00F73AC9">
      <w:pPr>
        <w:pStyle w:val="ListParagraph"/>
        <w:numPr>
          <w:ilvl w:val="0"/>
          <w:numId w:val="1"/>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Reference list.</w:t>
      </w:r>
    </w:p>
    <w:p w14:paraId="66424DC3" w14:textId="77777777" w:rsidR="00F73AC9" w:rsidRDefault="00F73AC9" w:rsidP="00F73AC9">
      <w:pPr>
        <w:spacing w:before="100" w:beforeAutospacing="1" w:after="100" w:afterAutospacing="1" w:line="360" w:lineRule="auto"/>
        <w:jc w:val="both"/>
        <w:rPr>
          <w:rFonts w:ascii="Arial" w:hAnsi="Arial" w:cs="Arial"/>
          <w:color w:val="000000"/>
          <w:sz w:val="22"/>
          <w:szCs w:val="22"/>
          <w:lang w:eastAsia="zh-CN"/>
        </w:rPr>
      </w:pPr>
    </w:p>
    <w:p w14:paraId="7F1259E2" w14:textId="77777777" w:rsidR="00F73AC9" w:rsidRPr="00F73AC9" w:rsidRDefault="00F73AC9" w:rsidP="00F73AC9"/>
    <w:p w14:paraId="5A96AB0C" w14:textId="77777777" w:rsidR="001E5C4A" w:rsidRPr="001E5C4A" w:rsidRDefault="001E5C4A" w:rsidP="001E5C4A">
      <w:pPr>
        <w:spacing w:line="360" w:lineRule="auto"/>
        <w:rPr>
          <w:rFonts w:ascii="Arial" w:hAnsi="Arial" w:cs="Arial"/>
          <w:sz w:val="22"/>
          <w:szCs w:val="22"/>
        </w:rPr>
      </w:pPr>
    </w:p>
    <w:p w14:paraId="6FF5BA9D" w14:textId="77777777" w:rsidR="00843800" w:rsidRPr="001E5C4A" w:rsidRDefault="00843800" w:rsidP="001E5C4A">
      <w:pPr>
        <w:spacing w:line="360" w:lineRule="auto"/>
        <w:rPr>
          <w:rFonts w:ascii="Arial" w:hAnsi="Arial" w:cs="Arial"/>
          <w:sz w:val="22"/>
          <w:szCs w:val="22"/>
        </w:rPr>
      </w:pPr>
    </w:p>
    <w:bookmarkEnd w:id="0"/>
    <w:p w14:paraId="0131467A" w14:textId="77777777" w:rsidR="007538E2" w:rsidRPr="001E5C4A" w:rsidRDefault="007538E2" w:rsidP="001E5C4A">
      <w:pPr>
        <w:spacing w:line="360" w:lineRule="auto"/>
        <w:rPr>
          <w:rFonts w:ascii="Arial" w:hAnsi="Arial" w:cs="Arial"/>
          <w:sz w:val="22"/>
          <w:szCs w:val="22"/>
        </w:rPr>
      </w:pPr>
    </w:p>
    <w:sectPr w:rsidR="007538E2" w:rsidRPr="001E5C4A" w:rsidSect="00FE7921">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186A7" w14:textId="77777777" w:rsidR="00AC7B3C" w:rsidRDefault="00AC7B3C" w:rsidP="00F73AC9">
      <w:pPr>
        <w:spacing w:after="0" w:line="240" w:lineRule="auto"/>
      </w:pPr>
      <w:r>
        <w:separator/>
      </w:r>
    </w:p>
  </w:endnote>
  <w:endnote w:type="continuationSeparator" w:id="0">
    <w:p w14:paraId="62698CBE" w14:textId="77777777" w:rsidR="00AC7B3C" w:rsidRDefault="00AC7B3C" w:rsidP="00F73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4825343"/>
      <w:docPartObj>
        <w:docPartGallery w:val="Page Numbers (Bottom of Page)"/>
        <w:docPartUnique/>
      </w:docPartObj>
    </w:sdtPr>
    <w:sdtEndPr>
      <w:rPr>
        <w:noProof/>
      </w:rPr>
    </w:sdtEndPr>
    <w:sdtContent>
      <w:p w14:paraId="0F8871F8" w14:textId="1CC0F5B0" w:rsidR="00F73AC9" w:rsidRDefault="00F73A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2A85B1" w14:textId="77777777" w:rsidR="00F73AC9" w:rsidRDefault="00F73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A788E" w14:textId="77777777" w:rsidR="00AC7B3C" w:rsidRDefault="00AC7B3C" w:rsidP="00F73AC9">
      <w:pPr>
        <w:spacing w:after="0" w:line="240" w:lineRule="auto"/>
      </w:pPr>
      <w:r>
        <w:separator/>
      </w:r>
    </w:p>
  </w:footnote>
  <w:footnote w:type="continuationSeparator" w:id="0">
    <w:p w14:paraId="5485A2EC" w14:textId="77777777" w:rsidR="00AC7B3C" w:rsidRDefault="00AC7B3C" w:rsidP="00F73A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5661164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C55"/>
    <w:rsid w:val="00092931"/>
    <w:rsid w:val="000F2CAB"/>
    <w:rsid w:val="00107B0B"/>
    <w:rsid w:val="001E5C4A"/>
    <w:rsid w:val="00297ACD"/>
    <w:rsid w:val="00356CA0"/>
    <w:rsid w:val="00377728"/>
    <w:rsid w:val="003C040B"/>
    <w:rsid w:val="004449D0"/>
    <w:rsid w:val="00445EBE"/>
    <w:rsid w:val="004A751A"/>
    <w:rsid w:val="00510708"/>
    <w:rsid w:val="00594A52"/>
    <w:rsid w:val="006973AB"/>
    <w:rsid w:val="006B0401"/>
    <w:rsid w:val="00723041"/>
    <w:rsid w:val="007538E2"/>
    <w:rsid w:val="00843800"/>
    <w:rsid w:val="008C30B4"/>
    <w:rsid w:val="008D204C"/>
    <w:rsid w:val="0090437B"/>
    <w:rsid w:val="00920C55"/>
    <w:rsid w:val="00975920"/>
    <w:rsid w:val="009D49DB"/>
    <w:rsid w:val="00AA432B"/>
    <w:rsid w:val="00AC7B3C"/>
    <w:rsid w:val="00B24F94"/>
    <w:rsid w:val="00B45A3E"/>
    <w:rsid w:val="00BD25A5"/>
    <w:rsid w:val="00C5620C"/>
    <w:rsid w:val="00C7478B"/>
    <w:rsid w:val="00E44C32"/>
    <w:rsid w:val="00EA05A6"/>
    <w:rsid w:val="00F73AC9"/>
    <w:rsid w:val="00FE7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99726"/>
  <w15:chartTrackingRefBased/>
  <w15:docId w15:val="{2273DD2A-632D-46C8-BC9C-1C7903366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78B"/>
  </w:style>
  <w:style w:type="paragraph" w:styleId="Heading1">
    <w:name w:val="heading 1"/>
    <w:basedOn w:val="Normal"/>
    <w:next w:val="Normal"/>
    <w:link w:val="Heading1Char"/>
    <w:uiPriority w:val="9"/>
    <w:qFormat/>
    <w:rsid w:val="00920C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0C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0C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0C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0C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0C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C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C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C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C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0C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0C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0C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0C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0C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C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C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C55"/>
    <w:rPr>
      <w:rFonts w:eastAsiaTheme="majorEastAsia" w:cstheme="majorBidi"/>
      <w:color w:val="272727" w:themeColor="text1" w:themeTint="D8"/>
    </w:rPr>
  </w:style>
  <w:style w:type="paragraph" w:styleId="Title">
    <w:name w:val="Title"/>
    <w:basedOn w:val="Normal"/>
    <w:next w:val="Normal"/>
    <w:link w:val="TitleChar"/>
    <w:uiPriority w:val="10"/>
    <w:qFormat/>
    <w:rsid w:val="00920C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C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C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0C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C55"/>
    <w:pPr>
      <w:spacing w:before="160"/>
      <w:jc w:val="center"/>
    </w:pPr>
    <w:rPr>
      <w:i/>
      <w:iCs/>
      <w:color w:val="404040" w:themeColor="text1" w:themeTint="BF"/>
    </w:rPr>
  </w:style>
  <w:style w:type="character" w:customStyle="1" w:styleId="QuoteChar">
    <w:name w:val="Quote Char"/>
    <w:basedOn w:val="DefaultParagraphFont"/>
    <w:link w:val="Quote"/>
    <w:uiPriority w:val="29"/>
    <w:rsid w:val="00920C55"/>
    <w:rPr>
      <w:i/>
      <w:iCs/>
      <w:color w:val="404040" w:themeColor="text1" w:themeTint="BF"/>
    </w:rPr>
  </w:style>
  <w:style w:type="paragraph" w:styleId="ListParagraph">
    <w:name w:val="List Paragraph"/>
    <w:basedOn w:val="Normal"/>
    <w:link w:val="ListParagraphChar"/>
    <w:uiPriority w:val="34"/>
    <w:qFormat/>
    <w:rsid w:val="00920C55"/>
    <w:pPr>
      <w:ind w:left="720"/>
      <w:contextualSpacing/>
    </w:pPr>
  </w:style>
  <w:style w:type="character" w:styleId="IntenseEmphasis">
    <w:name w:val="Intense Emphasis"/>
    <w:basedOn w:val="DefaultParagraphFont"/>
    <w:uiPriority w:val="21"/>
    <w:qFormat/>
    <w:rsid w:val="00920C55"/>
    <w:rPr>
      <w:i/>
      <w:iCs/>
      <w:color w:val="0F4761" w:themeColor="accent1" w:themeShade="BF"/>
    </w:rPr>
  </w:style>
  <w:style w:type="paragraph" w:styleId="IntenseQuote">
    <w:name w:val="Intense Quote"/>
    <w:basedOn w:val="Normal"/>
    <w:next w:val="Normal"/>
    <w:link w:val="IntenseQuoteChar"/>
    <w:uiPriority w:val="30"/>
    <w:qFormat/>
    <w:rsid w:val="00920C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0C55"/>
    <w:rPr>
      <w:i/>
      <w:iCs/>
      <w:color w:val="0F4761" w:themeColor="accent1" w:themeShade="BF"/>
    </w:rPr>
  </w:style>
  <w:style w:type="character" w:styleId="IntenseReference">
    <w:name w:val="Intense Reference"/>
    <w:basedOn w:val="DefaultParagraphFont"/>
    <w:uiPriority w:val="32"/>
    <w:qFormat/>
    <w:rsid w:val="00920C55"/>
    <w:rPr>
      <w:b/>
      <w:bCs/>
      <w:smallCaps/>
      <w:color w:val="0F4761" w:themeColor="accent1" w:themeShade="BF"/>
      <w:spacing w:val="5"/>
    </w:rPr>
  </w:style>
  <w:style w:type="character" w:customStyle="1" w:styleId="ListParagraphChar">
    <w:name w:val="List Paragraph Char"/>
    <w:link w:val="ListParagraph"/>
    <w:uiPriority w:val="34"/>
    <w:locked/>
    <w:rsid w:val="009D49DB"/>
  </w:style>
  <w:style w:type="paragraph" w:styleId="NoSpacing">
    <w:name w:val="No Spacing"/>
    <w:link w:val="NoSpacingChar"/>
    <w:uiPriority w:val="1"/>
    <w:qFormat/>
    <w:rsid w:val="00FE792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E7921"/>
    <w:rPr>
      <w:rFonts w:eastAsiaTheme="minorEastAsia"/>
      <w:kern w:val="0"/>
      <w:sz w:val="22"/>
      <w:szCs w:val="22"/>
      <w:lang w:val="en-US"/>
      <w14:ligatures w14:val="none"/>
    </w:rPr>
  </w:style>
  <w:style w:type="paragraph" w:styleId="Header">
    <w:name w:val="header"/>
    <w:basedOn w:val="Normal"/>
    <w:link w:val="HeaderChar"/>
    <w:uiPriority w:val="99"/>
    <w:unhideWhenUsed/>
    <w:rsid w:val="00F73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AC9"/>
  </w:style>
  <w:style w:type="paragraph" w:styleId="Footer">
    <w:name w:val="footer"/>
    <w:basedOn w:val="Normal"/>
    <w:link w:val="FooterChar"/>
    <w:uiPriority w:val="99"/>
    <w:unhideWhenUsed/>
    <w:rsid w:val="00F73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AC9"/>
  </w:style>
  <w:style w:type="paragraph" w:styleId="TOCHeading">
    <w:name w:val="TOC Heading"/>
    <w:basedOn w:val="Heading1"/>
    <w:next w:val="Normal"/>
    <w:uiPriority w:val="39"/>
    <w:unhideWhenUsed/>
    <w:qFormat/>
    <w:rsid w:val="00F73AC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73AC9"/>
    <w:pPr>
      <w:spacing w:after="100"/>
    </w:pPr>
  </w:style>
  <w:style w:type="character" w:styleId="Hyperlink">
    <w:name w:val="Hyperlink"/>
    <w:basedOn w:val="DefaultParagraphFont"/>
    <w:uiPriority w:val="99"/>
    <w:unhideWhenUsed/>
    <w:rsid w:val="00F73AC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u.pressbooks.pub/humanphys/chapter/cellular-respiration/" TargetMode="External"/><Relationship Id="rId18" Type="http://schemas.openxmlformats.org/officeDocument/2006/relationships/hyperlink" Target="https://www.england.nhs.uk/diabetes/treatment-care/diabetes-remissio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commonslibrary.parliament.uk/research-briefings/cdp-2019-0224/" TargetMode="External"/><Relationship Id="rId7" Type="http://schemas.openxmlformats.org/officeDocument/2006/relationships/endnotes" Target="endnotes.xml"/><Relationship Id="rId12" Type="http://schemas.openxmlformats.org/officeDocument/2006/relationships/hyperlink" Target="https://pubmed.ncbi.nlm.nih.gov/22248782/" TargetMode="External"/><Relationship Id="rId17" Type="http://schemas.openxmlformats.org/officeDocument/2006/relationships/hyperlink" Target="https://www.england.nhs.uk/diabetes/treatment-care/diabetes-remission/" TargetMode="External"/><Relationship Id="rId25" Type="http://schemas.openxmlformats.org/officeDocument/2006/relationships/hyperlink" Target="https://pubmed.ncbi.nlm.nih.gov/22248782/" TargetMode="External"/><Relationship Id="rId2" Type="http://schemas.openxmlformats.org/officeDocument/2006/relationships/numbering" Target="numbering.xml"/><Relationship Id="rId16" Type="http://schemas.openxmlformats.org/officeDocument/2006/relationships/hyperlink" Target="https://www.england.nhs.uk/2025/05/nhs-initiative-helps-thousands-more-tackle-their-diabetes-risk/" TargetMode="External"/><Relationship Id="rId20" Type="http://schemas.openxmlformats.org/officeDocument/2006/relationships/hyperlink" Target="https://onlinelibrary.wiley.com/doi/full/10.1111/dme.13895?saml_referr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type-2-diabetes/treatment/" TargetMode="External"/><Relationship Id="rId24" Type="http://schemas.openxmlformats.org/officeDocument/2006/relationships/hyperlink" Target="https://www.osmosis.org/answers/cellular-respiration" TargetMode="External"/><Relationship Id="rId5" Type="http://schemas.openxmlformats.org/officeDocument/2006/relationships/webSettings" Target="webSettings.xml"/><Relationship Id="rId15" Type="http://schemas.openxmlformats.org/officeDocument/2006/relationships/hyperlink" Target="https://www.england.nhs.uk/diabetes/digital-innovations-to-support-diabetes-outcomes/healthy-living/" TargetMode="External"/><Relationship Id="rId23" Type="http://schemas.openxmlformats.org/officeDocument/2006/relationships/hyperlink" Target="https://www.osmosis.org/answers/cellular-respiration" TargetMode="External"/><Relationship Id="rId28" Type="http://schemas.openxmlformats.org/officeDocument/2006/relationships/theme" Target="theme/theme1.xml"/><Relationship Id="rId10" Type="http://schemas.openxmlformats.org/officeDocument/2006/relationships/hyperlink" Target="https://www.nhs.uk/conditions/type-2-diabetes/treatment/" TargetMode="External"/><Relationship Id="rId19" Type="http://schemas.openxmlformats.org/officeDocument/2006/relationships/hyperlink" Target="https://www.gov.uk/government/publications/health-matters-preventing-type-2-diabetes/health-matters-preventing-type-2-diabetes" TargetMode="External"/><Relationship Id="rId4" Type="http://schemas.openxmlformats.org/officeDocument/2006/relationships/settings" Target="settings.xml"/><Relationship Id="rId9" Type="http://schemas.openxmlformats.org/officeDocument/2006/relationships/hyperlink" Target="https://www.gov.uk/government/publications/health-matters-preventing-type-2-diabetes/health-matters-preventing-type-2-diabetes" TargetMode="External"/><Relationship Id="rId14" Type="http://schemas.openxmlformats.org/officeDocument/2006/relationships/hyperlink" Target="https://www.diabetes.org.uk/diabetes-the-basics/differences-between-type-1-and-type-2-diabetes" TargetMode="External"/><Relationship Id="rId22" Type="http://schemas.openxmlformats.org/officeDocument/2006/relationships/hyperlink" Target="https://pubmed.ncbi.nlm.nih.gov/3280943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57F4E-E1F4-4049-80D4-A8A6BEC36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14</Pages>
  <Words>3923</Words>
  <Characters>22363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ASSIGNMENT TITLE: COMPONENT 1. WRITTEN ASSIGNMENT (case study report)     (case study1 )                                     MODULE: introduction to physiology               MoDULE CODE: BMHP5023</vt:lpstr>
    </vt:vector>
  </TitlesOfParts>
  <Company>University of  Wales. Trinity  St David</Company>
  <LinksUpToDate>false</LinksUpToDate>
  <CharactersWithSpaces>26234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COMPONENT 1. WRITTEN ASSIGNMENT (case study report)     (case study1 )                                     MODULE: introduction to physiology               MoDULE CODE: BMHP5023</dc:title>
  <dc:subject>MODULE TUTOR: robert nartowski                                         WORD COUNT: 2188                                                             STUDENT NAME: QASIM HASAN                                                         STUDENT ID: 2410267</dc:subject>
  <dc:creator>Qasim Hasan (2410267)</dc:creator>
  <cp:keywords/>
  <dc:description/>
  <cp:lastModifiedBy>Qasim Hasan (2410267)</cp:lastModifiedBy>
  <cp:revision>8</cp:revision>
  <dcterms:created xsi:type="dcterms:W3CDTF">2025-11-02T16:56:00Z</dcterms:created>
  <dcterms:modified xsi:type="dcterms:W3CDTF">2025-11-09T11:57:00Z</dcterms:modified>
  <cp:category>BSc  Health  and  Social Care</cp:category>
</cp:coreProperties>
</file>