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827B6" w14:textId="77777777" w:rsidR="00192BC0" w:rsidRDefault="00192BC0" w:rsidP="00192BC0">
      <w:pPr>
        <w:spacing w:line="360" w:lineRule="auto"/>
        <w:jc w:val="center"/>
        <w:rPr>
          <w:rFonts w:ascii="Arial" w:hAnsi="Arial" w:cs="Arial"/>
          <w:sz w:val="36"/>
          <w:szCs w:val="36"/>
        </w:rPr>
      </w:pPr>
    </w:p>
    <w:p w14:paraId="183E985F" w14:textId="77777777" w:rsidR="00192BC0" w:rsidRDefault="00192BC0" w:rsidP="00192BC0">
      <w:pPr>
        <w:spacing w:line="360" w:lineRule="auto"/>
        <w:jc w:val="center"/>
        <w:rPr>
          <w:rFonts w:ascii="Arial" w:hAnsi="Arial" w:cs="Arial"/>
          <w:sz w:val="36"/>
          <w:szCs w:val="36"/>
        </w:rPr>
      </w:pPr>
    </w:p>
    <w:p w14:paraId="7C11BA02" w14:textId="1A78681B" w:rsidR="007066E9" w:rsidRDefault="00192BC0" w:rsidP="00192BC0">
      <w:pPr>
        <w:spacing w:line="360" w:lineRule="auto"/>
        <w:jc w:val="center"/>
        <w:rPr>
          <w:rFonts w:ascii="Arial" w:hAnsi="Arial" w:cs="Arial"/>
          <w:sz w:val="36"/>
          <w:szCs w:val="36"/>
        </w:rPr>
      </w:pPr>
      <w:r w:rsidRPr="00192BC0">
        <w:rPr>
          <w:rFonts w:ascii="Arial" w:hAnsi="Arial" w:cs="Arial"/>
          <w:sz w:val="36"/>
          <w:szCs w:val="36"/>
        </w:rPr>
        <w:t>Environmental forces and HR manager effectiveness in global organisations</w:t>
      </w:r>
    </w:p>
    <w:p w14:paraId="25292C7C" w14:textId="77777777" w:rsidR="00192BC0" w:rsidRDefault="00192BC0" w:rsidP="00192BC0">
      <w:pPr>
        <w:spacing w:line="360" w:lineRule="auto"/>
        <w:jc w:val="center"/>
        <w:rPr>
          <w:rFonts w:ascii="Arial" w:hAnsi="Arial" w:cs="Arial"/>
          <w:sz w:val="36"/>
          <w:szCs w:val="36"/>
        </w:rPr>
      </w:pPr>
    </w:p>
    <w:p w14:paraId="02B286B3" w14:textId="77777777" w:rsidR="00192BC0" w:rsidRDefault="00192BC0" w:rsidP="00192BC0">
      <w:pPr>
        <w:spacing w:line="360" w:lineRule="auto"/>
        <w:jc w:val="center"/>
        <w:rPr>
          <w:rFonts w:ascii="Arial" w:hAnsi="Arial" w:cs="Arial"/>
          <w:sz w:val="36"/>
          <w:szCs w:val="36"/>
        </w:rPr>
      </w:pPr>
    </w:p>
    <w:p w14:paraId="3984E10A" w14:textId="77777777" w:rsidR="00192BC0" w:rsidRDefault="00192BC0" w:rsidP="00192BC0">
      <w:pPr>
        <w:spacing w:line="360" w:lineRule="auto"/>
        <w:jc w:val="center"/>
        <w:rPr>
          <w:rFonts w:ascii="Arial" w:hAnsi="Arial" w:cs="Arial"/>
          <w:sz w:val="36"/>
          <w:szCs w:val="36"/>
        </w:rPr>
      </w:pPr>
    </w:p>
    <w:p w14:paraId="3497FF23" w14:textId="77777777" w:rsidR="00192BC0" w:rsidRDefault="00192BC0" w:rsidP="00192BC0">
      <w:pPr>
        <w:spacing w:line="360" w:lineRule="auto"/>
        <w:jc w:val="center"/>
        <w:rPr>
          <w:rFonts w:ascii="Arial" w:hAnsi="Arial" w:cs="Arial"/>
          <w:sz w:val="36"/>
          <w:szCs w:val="36"/>
        </w:rPr>
      </w:pPr>
    </w:p>
    <w:p w14:paraId="61BA00F5" w14:textId="77777777" w:rsidR="00192BC0" w:rsidRDefault="00192BC0" w:rsidP="00192BC0">
      <w:pPr>
        <w:spacing w:line="360" w:lineRule="auto"/>
        <w:jc w:val="center"/>
        <w:rPr>
          <w:rFonts w:ascii="Arial" w:hAnsi="Arial" w:cs="Arial"/>
          <w:sz w:val="36"/>
          <w:szCs w:val="36"/>
        </w:rPr>
      </w:pPr>
    </w:p>
    <w:p w14:paraId="6780FEA5" w14:textId="77777777" w:rsidR="00192BC0" w:rsidRDefault="00192BC0" w:rsidP="00192BC0">
      <w:pPr>
        <w:spacing w:line="360" w:lineRule="auto"/>
        <w:jc w:val="center"/>
        <w:rPr>
          <w:rFonts w:ascii="Arial" w:hAnsi="Arial" w:cs="Arial"/>
          <w:sz w:val="36"/>
          <w:szCs w:val="36"/>
        </w:rPr>
      </w:pPr>
    </w:p>
    <w:p w14:paraId="0E64F457" w14:textId="77777777" w:rsidR="00192BC0" w:rsidRDefault="00192BC0" w:rsidP="00192BC0">
      <w:pPr>
        <w:spacing w:line="360" w:lineRule="auto"/>
        <w:jc w:val="center"/>
        <w:rPr>
          <w:rFonts w:ascii="Arial" w:hAnsi="Arial" w:cs="Arial"/>
          <w:sz w:val="36"/>
          <w:szCs w:val="36"/>
        </w:rPr>
      </w:pPr>
    </w:p>
    <w:p w14:paraId="260D5DBE" w14:textId="77777777" w:rsidR="00192BC0" w:rsidRDefault="00192BC0" w:rsidP="00192BC0">
      <w:pPr>
        <w:spacing w:line="360" w:lineRule="auto"/>
        <w:jc w:val="center"/>
        <w:rPr>
          <w:rFonts w:ascii="Arial" w:hAnsi="Arial" w:cs="Arial"/>
          <w:sz w:val="36"/>
          <w:szCs w:val="36"/>
        </w:rPr>
      </w:pPr>
    </w:p>
    <w:p w14:paraId="3B89AA35" w14:textId="77777777" w:rsidR="00192BC0" w:rsidRDefault="00192BC0" w:rsidP="00192BC0">
      <w:pPr>
        <w:spacing w:line="360" w:lineRule="auto"/>
        <w:jc w:val="center"/>
        <w:rPr>
          <w:rFonts w:ascii="Arial" w:hAnsi="Arial" w:cs="Arial"/>
          <w:sz w:val="36"/>
          <w:szCs w:val="36"/>
        </w:rPr>
      </w:pPr>
    </w:p>
    <w:p w14:paraId="41442D47" w14:textId="77777777" w:rsidR="00192BC0" w:rsidRDefault="00192BC0" w:rsidP="00192BC0">
      <w:pPr>
        <w:spacing w:line="360" w:lineRule="auto"/>
        <w:jc w:val="center"/>
        <w:rPr>
          <w:rFonts w:ascii="Arial" w:hAnsi="Arial" w:cs="Arial"/>
          <w:sz w:val="36"/>
          <w:szCs w:val="36"/>
        </w:rPr>
      </w:pPr>
    </w:p>
    <w:p w14:paraId="6384930F" w14:textId="77777777" w:rsidR="00192BC0" w:rsidRPr="00192BC0" w:rsidRDefault="00192BC0" w:rsidP="00192BC0">
      <w:pPr>
        <w:spacing w:line="360" w:lineRule="auto"/>
        <w:rPr>
          <w:rFonts w:ascii="Arial" w:eastAsia="Aptos" w:hAnsi="Arial" w:cs="Arial"/>
        </w:rPr>
      </w:pPr>
      <w:r w:rsidRPr="00192BC0">
        <w:rPr>
          <w:rFonts w:ascii="Arial" w:eastAsia="Aptos" w:hAnsi="Arial" w:cs="Arial"/>
        </w:rPr>
        <w:t xml:space="preserve">Module name: Principles of Human Resource Management </w:t>
      </w:r>
    </w:p>
    <w:p w14:paraId="62607515" w14:textId="55AE250C" w:rsidR="00192BC0" w:rsidRPr="00192BC0" w:rsidRDefault="00192BC0" w:rsidP="00192BC0">
      <w:pPr>
        <w:spacing w:line="360" w:lineRule="auto"/>
        <w:rPr>
          <w:rFonts w:ascii="Arial" w:eastAsia="Aptos" w:hAnsi="Arial" w:cs="Arial"/>
        </w:rPr>
      </w:pPr>
      <w:r w:rsidRPr="00192BC0">
        <w:rPr>
          <w:rFonts w:ascii="Arial" w:eastAsia="Aptos" w:hAnsi="Arial" w:cs="Arial"/>
        </w:rPr>
        <w:t>Module code: LCBB5012</w:t>
      </w:r>
    </w:p>
    <w:p w14:paraId="29788976" w14:textId="77777777" w:rsidR="00192BC0" w:rsidRPr="00192BC0" w:rsidRDefault="00192BC0" w:rsidP="00192BC0">
      <w:pPr>
        <w:spacing w:line="360" w:lineRule="auto"/>
        <w:rPr>
          <w:rFonts w:ascii="Arial" w:eastAsia="Aptos" w:hAnsi="Arial" w:cs="Arial"/>
        </w:rPr>
      </w:pPr>
      <w:r w:rsidRPr="00192BC0">
        <w:rPr>
          <w:rFonts w:ascii="Arial" w:eastAsia="Aptos" w:hAnsi="Arial" w:cs="Arial"/>
        </w:rPr>
        <w:t xml:space="preserve">Student name: Gabriel Catalin Manole </w:t>
      </w:r>
    </w:p>
    <w:p w14:paraId="103E3DC0" w14:textId="77777777" w:rsidR="00192BC0" w:rsidRDefault="00192BC0" w:rsidP="00192BC0">
      <w:pPr>
        <w:spacing w:line="360" w:lineRule="auto"/>
        <w:rPr>
          <w:rFonts w:ascii="Arial" w:eastAsia="Aptos" w:hAnsi="Arial" w:cs="Arial"/>
        </w:rPr>
      </w:pPr>
      <w:r w:rsidRPr="00192BC0">
        <w:rPr>
          <w:rFonts w:ascii="Arial" w:eastAsia="Aptos" w:hAnsi="Arial" w:cs="Arial"/>
        </w:rPr>
        <w:t>Student ID: 2223641</w:t>
      </w:r>
    </w:p>
    <w:p w14:paraId="0D9856E5" w14:textId="77777777" w:rsidR="00192BC0" w:rsidRDefault="00192BC0" w:rsidP="00192BC0">
      <w:pPr>
        <w:spacing w:line="360" w:lineRule="auto"/>
        <w:rPr>
          <w:rFonts w:ascii="Arial" w:eastAsia="Aptos" w:hAnsi="Arial" w:cs="Arial"/>
        </w:rPr>
      </w:pPr>
    </w:p>
    <w:p w14:paraId="4248BEAD" w14:textId="77777777" w:rsidR="00192BC0" w:rsidRDefault="00192BC0" w:rsidP="00192BC0">
      <w:pPr>
        <w:spacing w:line="360" w:lineRule="auto"/>
        <w:rPr>
          <w:rFonts w:ascii="Arial" w:eastAsia="Aptos" w:hAnsi="Arial" w:cs="Arial"/>
        </w:rPr>
      </w:pPr>
    </w:p>
    <w:sdt>
      <w:sdtPr>
        <w:rPr>
          <w:rFonts w:asciiTheme="minorHAnsi" w:eastAsiaTheme="minorHAnsi" w:hAnsiTheme="minorHAnsi" w:cstheme="minorBidi"/>
          <w:color w:val="auto"/>
          <w:kern w:val="2"/>
          <w:sz w:val="24"/>
          <w:szCs w:val="24"/>
          <w:lang w:eastAsia="en-US"/>
          <w14:ligatures w14:val="standardContextual"/>
        </w:rPr>
        <w:id w:val="-1641256104"/>
        <w:docPartObj>
          <w:docPartGallery w:val="Table of Contents"/>
          <w:docPartUnique/>
        </w:docPartObj>
      </w:sdtPr>
      <w:sdtEndPr>
        <w:rPr>
          <w:b/>
          <w:bCs/>
        </w:rPr>
      </w:sdtEndPr>
      <w:sdtContent>
        <w:p w14:paraId="7E21543E" w14:textId="39F34219" w:rsidR="00192BC0" w:rsidRDefault="00192BC0">
          <w:pPr>
            <w:pStyle w:val="TOCHeading"/>
          </w:pPr>
          <w:r>
            <w:t>Table of Contents</w:t>
          </w:r>
        </w:p>
        <w:p w14:paraId="4979ACAF" w14:textId="77F87036" w:rsidR="006360DE" w:rsidRDefault="00192BC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815161" w:history="1">
            <w:r w:rsidR="006360DE" w:rsidRPr="005C0AA4">
              <w:rPr>
                <w:rStyle w:val="Hyperlink"/>
                <w:rFonts w:ascii="Arial" w:eastAsia="Aptos" w:hAnsi="Arial" w:cs="Arial"/>
                <w:noProof/>
              </w:rPr>
              <w:t>Introduction</w:t>
            </w:r>
            <w:r w:rsidR="006360DE">
              <w:rPr>
                <w:noProof/>
                <w:webHidden/>
              </w:rPr>
              <w:tab/>
            </w:r>
            <w:r w:rsidR="006360DE">
              <w:rPr>
                <w:noProof/>
                <w:webHidden/>
              </w:rPr>
              <w:fldChar w:fldCharType="begin"/>
            </w:r>
            <w:r w:rsidR="006360DE">
              <w:rPr>
                <w:noProof/>
                <w:webHidden/>
              </w:rPr>
              <w:instrText xml:space="preserve"> PAGEREF _Toc224815161 \h </w:instrText>
            </w:r>
            <w:r w:rsidR="006360DE">
              <w:rPr>
                <w:noProof/>
                <w:webHidden/>
              </w:rPr>
            </w:r>
            <w:r w:rsidR="006360DE">
              <w:rPr>
                <w:noProof/>
                <w:webHidden/>
              </w:rPr>
              <w:fldChar w:fldCharType="separate"/>
            </w:r>
            <w:r w:rsidR="006360DE">
              <w:rPr>
                <w:noProof/>
                <w:webHidden/>
              </w:rPr>
              <w:t>3</w:t>
            </w:r>
            <w:r w:rsidR="006360DE">
              <w:rPr>
                <w:noProof/>
                <w:webHidden/>
              </w:rPr>
              <w:fldChar w:fldCharType="end"/>
            </w:r>
          </w:hyperlink>
        </w:p>
        <w:p w14:paraId="5BE29BA0" w14:textId="3D5653C3" w:rsidR="006360DE" w:rsidRDefault="006360DE" w:rsidP="006360DE">
          <w:pPr>
            <w:pStyle w:val="TOC2"/>
            <w:tabs>
              <w:tab w:val="right" w:leader="dot" w:pos="9016"/>
            </w:tabs>
            <w:ind w:left="0"/>
            <w:rPr>
              <w:rFonts w:eastAsiaTheme="minorEastAsia"/>
              <w:noProof/>
              <w:lang w:eastAsia="en-GB"/>
            </w:rPr>
          </w:pPr>
          <w:hyperlink w:anchor="_Toc224815162" w:history="1">
            <w:r w:rsidRPr="005C0AA4">
              <w:rPr>
                <w:rStyle w:val="Hyperlink"/>
                <w:rFonts w:ascii="Arial" w:hAnsi="Arial" w:cs="Arial"/>
                <w:noProof/>
              </w:rPr>
              <w:t>Internal and external environment</w:t>
            </w:r>
            <w:r>
              <w:rPr>
                <w:noProof/>
                <w:webHidden/>
              </w:rPr>
              <w:tab/>
            </w:r>
            <w:r>
              <w:rPr>
                <w:noProof/>
                <w:webHidden/>
              </w:rPr>
              <w:fldChar w:fldCharType="begin"/>
            </w:r>
            <w:r>
              <w:rPr>
                <w:noProof/>
                <w:webHidden/>
              </w:rPr>
              <w:instrText xml:space="preserve"> PAGEREF _Toc224815162 \h </w:instrText>
            </w:r>
            <w:r>
              <w:rPr>
                <w:noProof/>
                <w:webHidden/>
              </w:rPr>
            </w:r>
            <w:r>
              <w:rPr>
                <w:noProof/>
                <w:webHidden/>
              </w:rPr>
              <w:fldChar w:fldCharType="separate"/>
            </w:r>
            <w:r>
              <w:rPr>
                <w:noProof/>
                <w:webHidden/>
              </w:rPr>
              <w:t>4</w:t>
            </w:r>
            <w:r>
              <w:rPr>
                <w:noProof/>
                <w:webHidden/>
              </w:rPr>
              <w:fldChar w:fldCharType="end"/>
            </w:r>
          </w:hyperlink>
        </w:p>
        <w:p w14:paraId="1F79321A" w14:textId="0812C66E" w:rsidR="006360DE" w:rsidRDefault="006360DE" w:rsidP="006360DE">
          <w:pPr>
            <w:pStyle w:val="TOC2"/>
            <w:tabs>
              <w:tab w:val="right" w:leader="dot" w:pos="9016"/>
            </w:tabs>
            <w:ind w:left="0"/>
            <w:rPr>
              <w:rFonts w:eastAsiaTheme="minorEastAsia"/>
              <w:noProof/>
              <w:lang w:eastAsia="en-GB"/>
            </w:rPr>
          </w:pPr>
          <w:hyperlink w:anchor="_Toc224815163" w:history="1">
            <w:r w:rsidRPr="005C0AA4">
              <w:rPr>
                <w:rStyle w:val="Hyperlink"/>
                <w:rFonts w:ascii="Arial" w:hAnsi="Arial" w:cs="Arial"/>
                <w:noProof/>
              </w:rPr>
              <w:t>Organisation application</w:t>
            </w:r>
            <w:r>
              <w:rPr>
                <w:noProof/>
                <w:webHidden/>
              </w:rPr>
              <w:tab/>
            </w:r>
            <w:r>
              <w:rPr>
                <w:noProof/>
                <w:webHidden/>
              </w:rPr>
              <w:fldChar w:fldCharType="begin"/>
            </w:r>
            <w:r>
              <w:rPr>
                <w:noProof/>
                <w:webHidden/>
              </w:rPr>
              <w:instrText xml:space="preserve"> PAGEREF _Toc224815163 \h </w:instrText>
            </w:r>
            <w:r>
              <w:rPr>
                <w:noProof/>
                <w:webHidden/>
              </w:rPr>
            </w:r>
            <w:r>
              <w:rPr>
                <w:noProof/>
                <w:webHidden/>
              </w:rPr>
              <w:fldChar w:fldCharType="separate"/>
            </w:r>
            <w:r>
              <w:rPr>
                <w:noProof/>
                <w:webHidden/>
              </w:rPr>
              <w:t>5</w:t>
            </w:r>
            <w:r>
              <w:rPr>
                <w:noProof/>
                <w:webHidden/>
              </w:rPr>
              <w:fldChar w:fldCharType="end"/>
            </w:r>
          </w:hyperlink>
        </w:p>
        <w:p w14:paraId="0783D548" w14:textId="38F5E855" w:rsidR="006360DE" w:rsidRDefault="006360DE" w:rsidP="006360DE">
          <w:pPr>
            <w:pStyle w:val="TOC2"/>
            <w:tabs>
              <w:tab w:val="right" w:leader="dot" w:pos="9016"/>
            </w:tabs>
            <w:ind w:left="0"/>
            <w:rPr>
              <w:rFonts w:eastAsiaTheme="minorEastAsia"/>
              <w:noProof/>
              <w:lang w:eastAsia="en-GB"/>
            </w:rPr>
          </w:pPr>
          <w:hyperlink w:anchor="_Toc224815164" w:history="1">
            <w:r w:rsidRPr="005C0AA4">
              <w:rPr>
                <w:rStyle w:val="Hyperlink"/>
                <w:rFonts w:ascii="Arial" w:hAnsi="Arial" w:cs="Arial"/>
                <w:noProof/>
              </w:rPr>
              <w:t>Application of model</w:t>
            </w:r>
            <w:r>
              <w:rPr>
                <w:noProof/>
                <w:webHidden/>
              </w:rPr>
              <w:tab/>
            </w:r>
            <w:r>
              <w:rPr>
                <w:noProof/>
                <w:webHidden/>
              </w:rPr>
              <w:fldChar w:fldCharType="begin"/>
            </w:r>
            <w:r>
              <w:rPr>
                <w:noProof/>
                <w:webHidden/>
              </w:rPr>
              <w:instrText xml:space="preserve"> PAGEREF _Toc224815164 \h </w:instrText>
            </w:r>
            <w:r>
              <w:rPr>
                <w:noProof/>
                <w:webHidden/>
              </w:rPr>
            </w:r>
            <w:r>
              <w:rPr>
                <w:noProof/>
                <w:webHidden/>
              </w:rPr>
              <w:fldChar w:fldCharType="separate"/>
            </w:r>
            <w:r>
              <w:rPr>
                <w:noProof/>
                <w:webHidden/>
              </w:rPr>
              <w:t>6</w:t>
            </w:r>
            <w:r>
              <w:rPr>
                <w:noProof/>
                <w:webHidden/>
              </w:rPr>
              <w:fldChar w:fldCharType="end"/>
            </w:r>
          </w:hyperlink>
        </w:p>
        <w:p w14:paraId="6799E9B8" w14:textId="1A69C92B" w:rsidR="006360DE" w:rsidRDefault="006360DE">
          <w:pPr>
            <w:pStyle w:val="TOC2"/>
            <w:tabs>
              <w:tab w:val="right" w:leader="dot" w:pos="9016"/>
            </w:tabs>
            <w:rPr>
              <w:rFonts w:eastAsiaTheme="minorEastAsia"/>
              <w:noProof/>
              <w:lang w:eastAsia="en-GB"/>
            </w:rPr>
          </w:pPr>
          <w:hyperlink w:anchor="_Toc224815165" w:history="1">
            <w:r w:rsidRPr="005C0AA4">
              <w:rPr>
                <w:rStyle w:val="Hyperlink"/>
                <w:rFonts w:ascii="Arial" w:hAnsi="Arial" w:cs="Arial"/>
                <w:noProof/>
              </w:rPr>
              <w:t>Political and Legal Factors</w:t>
            </w:r>
            <w:r>
              <w:rPr>
                <w:noProof/>
                <w:webHidden/>
              </w:rPr>
              <w:tab/>
            </w:r>
            <w:r>
              <w:rPr>
                <w:noProof/>
                <w:webHidden/>
              </w:rPr>
              <w:fldChar w:fldCharType="begin"/>
            </w:r>
            <w:r>
              <w:rPr>
                <w:noProof/>
                <w:webHidden/>
              </w:rPr>
              <w:instrText xml:space="preserve"> PAGEREF _Toc224815165 \h </w:instrText>
            </w:r>
            <w:r>
              <w:rPr>
                <w:noProof/>
                <w:webHidden/>
              </w:rPr>
            </w:r>
            <w:r>
              <w:rPr>
                <w:noProof/>
                <w:webHidden/>
              </w:rPr>
              <w:fldChar w:fldCharType="separate"/>
            </w:r>
            <w:r>
              <w:rPr>
                <w:noProof/>
                <w:webHidden/>
              </w:rPr>
              <w:t>6</w:t>
            </w:r>
            <w:r>
              <w:rPr>
                <w:noProof/>
                <w:webHidden/>
              </w:rPr>
              <w:fldChar w:fldCharType="end"/>
            </w:r>
          </w:hyperlink>
        </w:p>
        <w:p w14:paraId="16A82B63" w14:textId="18891524" w:rsidR="006360DE" w:rsidRDefault="006360DE">
          <w:pPr>
            <w:pStyle w:val="TOC2"/>
            <w:tabs>
              <w:tab w:val="right" w:leader="dot" w:pos="9016"/>
            </w:tabs>
            <w:rPr>
              <w:rFonts w:eastAsiaTheme="minorEastAsia"/>
              <w:noProof/>
              <w:lang w:eastAsia="en-GB"/>
            </w:rPr>
          </w:pPr>
          <w:hyperlink w:anchor="_Toc224815166" w:history="1">
            <w:r w:rsidRPr="005C0AA4">
              <w:rPr>
                <w:rStyle w:val="Hyperlink"/>
                <w:rFonts w:ascii="Arial" w:hAnsi="Arial" w:cs="Arial"/>
                <w:noProof/>
              </w:rPr>
              <w:t>Economic Factors</w:t>
            </w:r>
            <w:r>
              <w:rPr>
                <w:noProof/>
                <w:webHidden/>
              </w:rPr>
              <w:tab/>
            </w:r>
            <w:r>
              <w:rPr>
                <w:noProof/>
                <w:webHidden/>
              </w:rPr>
              <w:fldChar w:fldCharType="begin"/>
            </w:r>
            <w:r>
              <w:rPr>
                <w:noProof/>
                <w:webHidden/>
              </w:rPr>
              <w:instrText xml:space="preserve"> PAGEREF _Toc224815166 \h </w:instrText>
            </w:r>
            <w:r>
              <w:rPr>
                <w:noProof/>
                <w:webHidden/>
              </w:rPr>
            </w:r>
            <w:r>
              <w:rPr>
                <w:noProof/>
                <w:webHidden/>
              </w:rPr>
              <w:fldChar w:fldCharType="separate"/>
            </w:r>
            <w:r>
              <w:rPr>
                <w:noProof/>
                <w:webHidden/>
              </w:rPr>
              <w:t>7</w:t>
            </w:r>
            <w:r>
              <w:rPr>
                <w:noProof/>
                <w:webHidden/>
              </w:rPr>
              <w:fldChar w:fldCharType="end"/>
            </w:r>
          </w:hyperlink>
        </w:p>
        <w:p w14:paraId="4C952BE3" w14:textId="45A35486" w:rsidR="006360DE" w:rsidRDefault="006360DE">
          <w:pPr>
            <w:pStyle w:val="TOC2"/>
            <w:tabs>
              <w:tab w:val="right" w:leader="dot" w:pos="9016"/>
            </w:tabs>
            <w:rPr>
              <w:rFonts w:eastAsiaTheme="minorEastAsia"/>
              <w:noProof/>
              <w:lang w:eastAsia="en-GB"/>
            </w:rPr>
          </w:pPr>
          <w:hyperlink w:anchor="_Toc224815167" w:history="1">
            <w:r w:rsidRPr="005C0AA4">
              <w:rPr>
                <w:rStyle w:val="Hyperlink"/>
                <w:rFonts w:ascii="Arial" w:hAnsi="Arial" w:cs="Arial"/>
                <w:noProof/>
              </w:rPr>
              <w:t>Social Factors</w:t>
            </w:r>
            <w:r>
              <w:rPr>
                <w:noProof/>
                <w:webHidden/>
              </w:rPr>
              <w:tab/>
            </w:r>
            <w:r>
              <w:rPr>
                <w:noProof/>
                <w:webHidden/>
              </w:rPr>
              <w:fldChar w:fldCharType="begin"/>
            </w:r>
            <w:r>
              <w:rPr>
                <w:noProof/>
                <w:webHidden/>
              </w:rPr>
              <w:instrText xml:space="preserve"> PAGEREF _Toc224815167 \h </w:instrText>
            </w:r>
            <w:r>
              <w:rPr>
                <w:noProof/>
                <w:webHidden/>
              </w:rPr>
            </w:r>
            <w:r>
              <w:rPr>
                <w:noProof/>
                <w:webHidden/>
              </w:rPr>
              <w:fldChar w:fldCharType="separate"/>
            </w:r>
            <w:r>
              <w:rPr>
                <w:noProof/>
                <w:webHidden/>
              </w:rPr>
              <w:t>7</w:t>
            </w:r>
            <w:r>
              <w:rPr>
                <w:noProof/>
                <w:webHidden/>
              </w:rPr>
              <w:fldChar w:fldCharType="end"/>
            </w:r>
          </w:hyperlink>
        </w:p>
        <w:p w14:paraId="11C182C7" w14:textId="457023B9" w:rsidR="006360DE" w:rsidRDefault="006360DE">
          <w:pPr>
            <w:pStyle w:val="TOC2"/>
            <w:tabs>
              <w:tab w:val="right" w:leader="dot" w:pos="9016"/>
            </w:tabs>
            <w:rPr>
              <w:rFonts w:eastAsiaTheme="minorEastAsia"/>
              <w:noProof/>
              <w:lang w:eastAsia="en-GB"/>
            </w:rPr>
          </w:pPr>
          <w:hyperlink w:anchor="_Toc224815168" w:history="1">
            <w:r w:rsidRPr="005C0AA4">
              <w:rPr>
                <w:rStyle w:val="Hyperlink"/>
                <w:rFonts w:ascii="Arial" w:hAnsi="Arial" w:cs="Arial"/>
                <w:noProof/>
              </w:rPr>
              <w:t>Technological Factors</w:t>
            </w:r>
            <w:r>
              <w:rPr>
                <w:noProof/>
                <w:webHidden/>
              </w:rPr>
              <w:tab/>
            </w:r>
            <w:r>
              <w:rPr>
                <w:noProof/>
                <w:webHidden/>
              </w:rPr>
              <w:fldChar w:fldCharType="begin"/>
            </w:r>
            <w:r>
              <w:rPr>
                <w:noProof/>
                <w:webHidden/>
              </w:rPr>
              <w:instrText xml:space="preserve"> PAGEREF _Toc224815168 \h </w:instrText>
            </w:r>
            <w:r>
              <w:rPr>
                <w:noProof/>
                <w:webHidden/>
              </w:rPr>
            </w:r>
            <w:r>
              <w:rPr>
                <w:noProof/>
                <w:webHidden/>
              </w:rPr>
              <w:fldChar w:fldCharType="separate"/>
            </w:r>
            <w:r>
              <w:rPr>
                <w:noProof/>
                <w:webHidden/>
              </w:rPr>
              <w:t>8</w:t>
            </w:r>
            <w:r>
              <w:rPr>
                <w:noProof/>
                <w:webHidden/>
              </w:rPr>
              <w:fldChar w:fldCharType="end"/>
            </w:r>
          </w:hyperlink>
        </w:p>
        <w:p w14:paraId="47C2C191" w14:textId="6C9A07D8" w:rsidR="006360DE" w:rsidRDefault="006360DE">
          <w:pPr>
            <w:pStyle w:val="TOC2"/>
            <w:tabs>
              <w:tab w:val="right" w:leader="dot" w:pos="9016"/>
            </w:tabs>
            <w:rPr>
              <w:rFonts w:eastAsiaTheme="minorEastAsia"/>
              <w:noProof/>
              <w:lang w:eastAsia="en-GB"/>
            </w:rPr>
          </w:pPr>
          <w:hyperlink w:anchor="_Toc224815169" w:history="1">
            <w:r w:rsidRPr="005C0AA4">
              <w:rPr>
                <w:rStyle w:val="Hyperlink"/>
                <w:rFonts w:ascii="Arial" w:hAnsi="Arial" w:cs="Arial"/>
                <w:noProof/>
              </w:rPr>
              <w:t>Environmental Factors</w:t>
            </w:r>
            <w:r>
              <w:rPr>
                <w:noProof/>
                <w:webHidden/>
              </w:rPr>
              <w:tab/>
            </w:r>
            <w:r>
              <w:rPr>
                <w:noProof/>
                <w:webHidden/>
              </w:rPr>
              <w:fldChar w:fldCharType="begin"/>
            </w:r>
            <w:r>
              <w:rPr>
                <w:noProof/>
                <w:webHidden/>
              </w:rPr>
              <w:instrText xml:space="preserve"> PAGEREF _Toc224815169 \h </w:instrText>
            </w:r>
            <w:r>
              <w:rPr>
                <w:noProof/>
                <w:webHidden/>
              </w:rPr>
            </w:r>
            <w:r>
              <w:rPr>
                <w:noProof/>
                <w:webHidden/>
              </w:rPr>
              <w:fldChar w:fldCharType="separate"/>
            </w:r>
            <w:r>
              <w:rPr>
                <w:noProof/>
                <w:webHidden/>
              </w:rPr>
              <w:t>8</w:t>
            </w:r>
            <w:r>
              <w:rPr>
                <w:noProof/>
                <w:webHidden/>
              </w:rPr>
              <w:fldChar w:fldCharType="end"/>
            </w:r>
          </w:hyperlink>
        </w:p>
        <w:p w14:paraId="1588B723" w14:textId="6B2083B2" w:rsidR="006360DE" w:rsidRDefault="006360DE" w:rsidP="006360DE">
          <w:pPr>
            <w:pStyle w:val="TOC3"/>
            <w:tabs>
              <w:tab w:val="right" w:leader="dot" w:pos="9016"/>
            </w:tabs>
            <w:ind w:left="0"/>
            <w:rPr>
              <w:rFonts w:eastAsiaTheme="minorEastAsia"/>
              <w:noProof/>
              <w:lang w:eastAsia="en-GB"/>
            </w:rPr>
          </w:pPr>
          <w:hyperlink w:anchor="_Toc224815170" w:history="1">
            <w:r w:rsidRPr="005C0AA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_Toc224815170 \h </w:instrText>
            </w:r>
            <w:r>
              <w:rPr>
                <w:noProof/>
                <w:webHidden/>
              </w:rPr>
            </w:r>
            <w:r>
              <w:rPr>
                <w:noProof/>
                <w:webHidden/>
              </w:rPr>
              <w:fldChar w:fldCharType="separate"/>
            </w:r>
            <w:r>
              <w:rPr>
                <w:noProof/>
                <w:webHidden/>
              </w:rPr>
              <w:t>9</w:t>
            </w:r>
            <w:r>
              <w:rPr>
                <w:noProof/>
                <w:webHidden/>
              </w:rPr>
              <w:fldChar w:fldCharType="end"/>
            </w:r>
          </w:hyperlink>
        </w:p>
        <w:p w14:paraId="38E67CED" w14:textId="33BCCBA9" w:rsidR="006360DE" w:rsidRDefault="006360DE" w:rsidP="006360DE">
          <w:pPr>
            <w:pStyle w:val="TOC3"/>
            <w:tabs>
              <w:tab w:val="right" w:leader="dot" w:pos="9016"/>
            </w:tabs>
            <w:ind w:left="0"/>
            <w:rPr>
              <w:rFonts w:eastAsiaTheme="minorEastAsia"/>
              <w:noProof/>
              <w:lang w:eastAsia="en-GB"/>
            </w:rPr>
          </w:pPr>
          <w:hyperlink w:anchor="_Toc224815171" w:history="1">
            <w:r w:rsidRPr="005C0AA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_Toc224815171 \h </w:instrText>
            </w:r>
            <w:r>
              <w:rPr>
                <w:noProof/>
                <w:webHidden/>
              </w:rPr>
            </w:r>
            <w:r>
              <w:rPr>
                <w:noProof/>
                <w:webHidden/>
              </w:rPr>
              <w:fldChar w:fldCharType="separate"/>
            </w:r>
            <w:r>
              <w:rPr>
                <w:noProof/>
                <w:webHidden/>
              </w:rPr>
              <w:t>10</w:t>
            </w:r>
            <w:r>
              <w:rPr>
                <w:noProof/>
                <w:webHidden/>
              </w:rPr>
              <w:fldChar w:fldCharType="end"/>
            </w:r>
          </w:hyperlink>
        </w:p>
        <w:p w14:paraId="5FA9BDDE" w14:textId="7D536750" w:rsidR="00192BC0" w:rsidRDefault="00192BC0">
          <w:r>
            <w:rPr>
              <w:b/>
              <w:bCs/>
            </w:rPr>
            <w:fldChar w:fldCharType="end"/>
          </w:r>
        </w:p>
      </w:sdtContent>
    </w:sdt>
    <w:p w14:paraId="39216356" w14:textId="77777777" w:rsidR="00192BC0" w:rsidRDefault="00192BC0" w:rsidP="00192BC0">
      <w:pPr>
        <w:spacing w:line="360" w:lineRule="auto"/>
        <w:rPr>
          <w:rFonts w:ascii="Arial" w:eastAsia="Aptos" w:hAnsi="Arial" w:cs="Arial"/>
        </w:rPr>
      </w:pPr>
    </w:p>
    <w:p w14:paraId="05329D1F" w14:textId="77777777" w:rsidR="00192BC0" w:rsidRDefault="00192BC0" w:rsidP="00192BC0">
      <w:pPr>
        <w:spacing w:line="360" w:lineRule="auto"/>
        <w:rPr>
          <w:rFonts w:ascii="Arial" w:eastAsia="Aptos" w:hAnsi="Arial" w:cs="Arial"/>
        </w:rPr>
      </w:pPr>
    </w:p>
    <w:p w14:paraId="17497710" w14:textId="77777777" w:rsidR="00192BC0" w:rsidRDefault="00192BC0" w:rsidP="00192BC0">
      <w:pPr>
        <w:spacing w:line="360" w:lineRule="auto"/>
        <w:rPr>
          <w:rFonts w:ascii="Arial" w:eastAsia="Aptos" w:hAnsi="Arial" w:cs="Arial"/>
        </w:rPr>
      </w:pPr>
    </w:p>
    <w:p w14:paraId="7C07413A" w14:textId="77777777" w:rsidR="00192BC0" w:rsidRDefault="00192BC0" w:rsidP="00192BC0">
      <w:pPr>
        <w:spacing w:line="360" w:lineRule="auto"/>
        <w:rPr>
          <w:rFonts w:ascii="Arial" w:eastAsia="Aptos" w:hAnsi="Arial" w:cs="Arial"/>
        </w:rPr>
      </w:pPr>
    </w:p>
    <w:p w14:paraId="64E53113" w14:textId="77777777" w:rsidR="00192BC0" w:rsidRDefault="00192BC0" w:rsidP="00192BC0">
      <w:pPr>
        <w:spacing w:line="360" w:lineRule="auto"/>
        <w:rPr>
          <w:rFonts w:ascii="Arial" w:eastAsia="Aptos" w:hAnsi="Arial" w:cs="Arial"/>
        </w:rPr>
      </w:pPr>
    </w:p>
    <w:p w14:paraId="40B70A34" w14:textId="77777777" w:rsidR="00192BC0" w:rsidRDefault="00192BC0" w:rsidP="00192BC0">
      <w:pPr>
        <w:spacing w:line="360" w:lineRule="auto"/>
        <w:rPr>
          <w:rFonts w:ascii="Arial" w:eastAsia="Aptos" w:hAnsi="Arial" w:cs="Arial"/>
        </w:rPr>
      </w:pPr>
    </w:p>
    <w:p w14:paraId="6A9A9FC9" w14:textId="77777777" w:rsidR="00192BC0" w:rsidRDefault="00192BC0" w:rsidP="00192BC0">
      <w:pPr>
        <w:spacing w:line="360" w:lineRule="auto"/>
        <w:rPr>
          <w:rFonts w:ascii="Arial" w:eastAsia="Aptos" w:hAnsi="Arial" w:cs="Arial"/>
        </w:rPr>
      </w:pPr>
    </w:p>
    <w:p w14:paraId="5746CE60" w14:textId="77777777" w:rsidR="00192BC0" w:rsidRDefault="00192BC0" w:rsidP="00192BC0">
      <w:pPr>
        <w:spacing w:line="360" w:lineRule="auto"/>
        <w:rPr>
          <w:rFonts w:ascii="Arial" w:eastAsia="Aptos" w:hAnsi="Arial" w:cs="Arial"/>
        </w:rPr>
      </w:pPr>
    </w:p>
    <w:p w14:paraId="008586EB" w14:textId="77777777" w:rsidR="00192BC0" w:rsidRDefault="00192BC0" w:rsidP="00192BC0">
      <w:pPr>
        <w:spacing w:line="360" w:lineRule="auto"/>
        <w:rPr>
          <w:rFonts w:ascii="Arial" w:eastAsia="Aptos" w:hAnsi="Arial" w:cs="Arial"/>
        </w:rPr>
      </w:pPr>
    </w:p>
    <w:p w14:paraId="1146154A" w14:textId="77777777" w:rsidR="00192BC0" w:rsidRDefault="00192BC0" w:rsidP="00192BC0">
      <w:pPr>
        <w:spacing w:line="360" w:lineRule="auto"/>
        <w:rPr>
          <w:rFonts w:ascii="Arial" w:eastAsia="Aptos" w:hAnsi="Arial" w:cs="Arial"/>
        </w:rPr>
      </w:pPr>
    </w:p>
    <w:p w14:paraId="75381386" w14:textId="77777777" w:rsidR="00192BC0" w:rsidRDefault="00192BC0" w:rsidP="00192BC0">
      <w:pPr>
        <w:spacing w:line="360" w:lineRule="auto"/>
        <w:rPr>
          <w:rFonts w:ascii="Arial" w:eastAsia="Aptos" w:hAnsi="Arial" w:cs="Arial"/>
        </w:rPr>
      </w:pPr>
    </w:p>
    <w:p w14:paraId="79C04FB6" w14:textId="77777777" w:rsidR="00192BC0" w:rsidRDefault="00192BC0" w:rsidP="00192BC0">
      <w:pPr>
        <w:spacing w:line="360" w:lineRule="auto"/>
        <w:rPr>
          <w:rFonts w:ascii="Arial" w:eastAsia="Aptos" w:hAnsi="Arial" w:cs="Arial"/>
        </w:rPr>
      </w:pPr>
    </w:p>
    <w:p w14:paraId="76C8C387" w14:textId="77777777" w:rsidR="00192BC0" w:rsidRDefault="00192BC0" w:rsidP="00192BC0">
      <w:pPr>
        <w:spacing w:line="360" w:lineRule="auto"/>
        <w:rPr>
          <w:rFonts w:ascii="Arial" w:eastAsia="Aptos" w:hAnsi="Arial" w:cs="Arial"/>
        </w:rPr>
      </w:pPr>
    </w:p>
    <w:p w14:paraId="7DF13B5E" w14:textId="77777777" w:rsidR="00192BC0" w:rsidRDefault="00192BC0" w:rsidP="00192BC0">
      <w:pPr>
        <w:spacing w:line="360" w:lineRule="auto"/>
        <w:rPr>
          <w:rFonts w:ascii="Arial" w:eastAsia="Aptos" w:hAnsi="Arial" w:cs="Arial"/>
        </w:rPr>
      </w:pPr>
    </w:p>
    <w:p w14:paraId="7A2B73DB" w14:textId="3F61E033" w:rsidR="00192BC0" w:rsidRDefault="00192BC0" w:rsidP="00192BC0">
      <w:pPr>
        <w:pStyle w:val="Heading1"/>
        <w:spacing w:line="360" w:lineRule="auto"/>
        <w:jc w:val="both"/>
        <w:rPr>
          <w:rFonts w:ascii="Arial" w:eastAsia="Aptos" w:hAnsi="Arial" w:cs="Arial"/>
          <w:sz w:val="28"/>
          <w:szCs w:val="28"/>
        </w:rPr>
      </w:pPr>
      <w:bookmarkStart w:id="0" w:name="_Toc224815161"/>
      <w:r w:rsidRPr="00192BC0">
        <w:rPr>
          <w:rFonts w:ascii="Arial" w:eastAsia="Aptos" w:hAnsi="Arial" w:cs="Arial"/>
          <w:sz w:val="28"/>
          <w:szCs w:val="28"/>
        </w:rPr>
        <w:lastRenderedPageBreak/>
        <w:t>Introduction</w:t>
      </w:r>
      <w:bookmarkEnd w:id="0"/>
    </w:p>
    <w:p w14:paraId="19A71046" w14:textId="4910B677" w:rsidR="00192BC0" w:rsidRDefault="00A878A8" w:rsidP="00192BC0">
      <w:pPr>
        <w:spacing w:line="360" w:lineRule="auto"/>
        <w:jc w:val="both"/>
        <w:rPr>
          <w:rFonts w:ascii="Arial" w:hAnsi="Arial" w:cs="Arial"/>
        </w:rPr>
      </w:pPr>
      <w:r w:rsidRPr="00A878A8">
        <w:rPr>
          <w:rFonts w:ascii="Arial" w:hAnsi="Arial" w:cs="Arial"/>
        </w:rPr>
        <w:t>Human Resource managers are central to organisational effectiveness because they translate organisational strategy and external environmental constraints into effective people management practices</w:t>
      </w:r>
      <w:r w:rsidR="00192BC0">
        <w:rPr>
          <w:rFonts w:ascii="Arial" w:hAnsi="Arial" w:cs="Arial"/>
        </w:rPr>
        <w:t xml:space="preserve">. </w:t>
      </w:r>
      <w:r w:rsidR="00820BF6">
        <w:rPr>
          <w:rFonts w:ascii="Arial" w:hAnsi="Arial" w:cs="Arial"/>
        </w:rPr>
        <w:t xml:space="preserve">Key HR </w:t>
      </w:r>
      <w:r w:rsidR="00EE07A3">
        <w:rPr>
          <w:rFonts w:ascii="Arial" w:hAnsi="Arial" w:cs="Arial"/>
        </w:rPr>
        <w:t>functions typically encompass talent acquisition and resourcing, employee learning capability development and continuous training, performance management, and the management of workplace relations and employee involvement</w:t>
      </w:r>
      <w:r w:rsidR="00192BC0">
        <w:rPr>
          <w:rFonts w:ascii="Arial" w:hAnsi="Arial" w:cs="Arial"/>
        </w:rPr>
        <w:t>. These functions matter because they shape whether organisations can attract scarce capability, build workforce skills, coordinate performance, and maintain a stable employment relationship – particularly in complex and changing labour markets (CIPD, 2025).</w:t>
      </w:r>
    </w:p>
    <w:p w14:paraId="71B1C1E4" w14:textId="4CD92D35" w:rsidR="00192BC0" w:rsidRDefault="00820BF6" w:rsidP="00192BC0">
      <w:pPr>
        <w:spacing w:line="360" w:lineRule="auto"/>
        <w:jc w:val="both"/>
        <w:rPr>
          <w:rFonts w:ascii="Arial" w:hAnsi="Arial" w:cs="Arial"/>
        </w:rPr>
      </w:pPr>
      <w:r>
        <w:rPr>
          <w:rFonts w:ascii="Arial" w:hAnsi="Arial" w:cs="Arial"/>
        </w:rPr>
        <w:t>Extensive evidence suggests that integrated HR practices are linked to enhanced organisational performance, including lower turnover rates, higher productivity, and improved financial outcomes</w:t>
      </w:r>
      <w:r w:rsidR="00192BC0">
        <w:rPr>
          <w:rFonts w:ascii="Arial" w:hAnsi="Arial" w:cs="Arial"/>
        </w:rPr>
        <w:t xml:space="preserve"> (Huselid, 1995). </w:t>
      </w:r>
    </w:p>
    <w:p w14:paraId="2B7A5553" w14:textId="50ADA908" w:rsidR="00192BC0" w:rsidRDefault="00192BC0" w:rsidP="00192BC0">
      <w:pPr>
        <w:spacing w:line="360" w:lineRule="auto"/>
        <w:jc w:val="both"/>
        <w:rPr>
          <w:rFonts w:ascii="Arial" w:hAnsi="Arial" w:cs="Arial"/>
        </w:rPr>
      </w:pPr>
      <w:r>
        <w:rPr>
          <w:rFonts w:ascii="Arial" w:hAnsi="Arial" w:cs="Arial"/>
        </w:rPr>
        <w:t xml:space="preserve">This report evaluates how internal organisational factors and external environmental forces affect HR managers effectiveness in global organisations. It uses the PESTEL model to structure environmental analysis and then applies the model to Unilever as an illustrative multinational case, drawing on books, peer-reviewed studies, and official websites and reports. </w:t>
      </w:r>
    </w:p>
    <w:p w14:paraId="2BC2ABB2" w14:textId="77777777" w:rsidR="00192BC0" w:rsidRDefault="00192BC0" w:rsidP="00192BC0">
      <w:pPr>
        <w:spacing w:line="360" w:lineRule="auto"/>
        <w:jc w:val="both"/>
        <w:rPr>
          <w:rFonts w:ascii="Arial" w:hAnsi="Arial" w:cs="Arial"/>
        </w:rPr>
      </w:pPr>
    </w:p>
    <w:p w14:paraId="7DF0291F" w14:textId="77777777" w:rsidR="00192BC0" w:rsidRDefault="00192BC0" w:rsidP="00192BC0">
      <w:pPr>
        <w:spacing w:line="360" w:lineRule="auto"/>
        <w:jc w:val="both"/>
        <w:rPr>
          <w:rFonts w:ascii="Arial" w:hAnsi="Arial" w:cs="Arial"/>
        </w:rPr>
      </w:pPr>
    </w:p>
    <w:p w14:paraId="538AA39E" w14:textId="77777777" w:rsidR="00192BC0" w:rsidRDefault="00192BC0" w:rsidP="00192BC0">
      <w:pPr>
        <w:spacing w:line="360" w:lineRule="auto"/>
        <w:jc w:val="both"/>
        <w:rPr>
          <w:rFonts w:ascii="Arial" w:hAnsi="Arial" w:cs="Arial"/>
        </w:rPr>
      </w:pPr>
    </w:p>
    <w:p w14:paraId="744DD382" w14:textId="77777777" w:rsidR="00192BC0" w:rsidRDefault="00192BC0" w:rsidP="00192BC0">
      <w:pPr>
        <w:spacing w:line="360" w:lineRule="auto"/>
        <w:jc w:val="both"/>
        <w:rPr>
          <w:rFonts w:ascii="Arial" w:hAnsi="Arial" w:cs="Arial"/>
        </w:rPr>
      </w:pPr>
    </w:p>
    <w:p w14:paraId="7747D328" w14:textId="77777777" w:rsidR="00192BC0" w:rsidRDefault="00192BC0" w:rsidP="00192BC0">
      <w:pPr>
        <w:spacing w:line="360" w:lineRule="auto"/>
        <w:jc w:val="both"/>
        <w:rPr>
          <w:rFonts w:ascii="Arial" w:hAnsi="Arial" w:cs="Arial"/>
        </w:rPr>
      </w:pPr>
    </w:p>
    <w:p w14:paraId="5F72FDA8" w14:textId="77777777" w:rsidR="00192BC0" w:rsidRDefault="00192BC0" w:rsidP="00192BC0">
      <w:pPr>
        <w:spacing w:line="360" w:lineRule="auto"/>
        <w:jc w:val="both"/>
        <w:rPr>
          <w:rFonts w:ascii="Arial" w:hAnsi="Arial" w:cs="Arial"/>
        </w:rPr>
      </w:pPr>
    </w:p>
    <w:p w14:paraId="3AD6776D" w14:textId="77777777" w:rsidR="00192BC0" w:rsidRDefault="00192BC0" w:rsidP="00192BC0">
      <w:pPr>
        <w:spacing w:line="360" w:lineRule="auto"/>
        <w:jc w:val="both"/>
        <w:rPr>
          <w:rFonts w:ascii="Arial" w:hAnsi="Arial" w:cs="Arial"/>
        </w:rPr>
      </w:pPr>
    </w:p>
    <w:p w14:paraId="1C6E6B29" w14:textId="77777777" w:rsidR="00192BC0" w:rsidRDefault="00192BC0" w:rsidP="00192BC0">
      <w:pPr>
        <w:spacing w:line="360" w:lineRule="auto"/>
        <w:jc w:val="both"/>
        <w:rPr>
          <w:rFonts w:ascii="Arial" w:hAnsi="Arial" w:cs="Arial"/>
        </w:rPr>
      </w:pPr>
    </w:p>
    <w:p w14:paraId="6DBC7AC1" w14:textId="77777777" w:rsidR="00192BC0" w:rsidRDefault="00192BC0" w:rsidP="00192BC0">
      <w:pPr>
        <w:spacing w:line="360" w:lineRule="auto"/>
        <w:jc w:val="both"/>
        <w:rPr>
          <w:rFonts w:ascii="Arial" w:hAnsi="Arial" w:cs="Arial"/>
        </w:rPr>
      </w:pPr>
    </w:p>
    <w:p w14:paraId="4EC258CC" w14:textId="77777777" w:rsidR="00192BC0" w:rsidRDefault="00192BC0" w:rsidP="00192BC0">
      <w:pPr>
        <w:spacing w:line="360" w:lineRule="auto"/>
        <w:jc w:val="both"/>
        <w:rPr>
          <w:rFonts w:ascii="Arial" w:hAnsi="Arial" w:cs="Arial"/>
        </w:rPr>
      </w:pPr>
    </w:p>
    <w:p w14:paraId="639C47A4" w14:textId="47764D3F" w:rsidR="00192BC0" w:rsidRDefault="00192BC0" w:rsidP="00192BC0">
      <w:pPr>
        <w:pStyle w:val="Heading2"/>
        <w:spacing w:line="360" w:lineRule="auto"/>
        <w:jc w:val="both"/>
        <w:rPr>
          <w:rFonts w:ascii="Arial" w:hAnsi="Arial" w:cs="Arial"/>
          <w:sz w:val="28"/>
          <w:szCs w:val="28"/>
        </w:rPr>
      </w:pPr>
      <w:bookmarkStart w:id="1" w:name="_Toc224815162"/>
      <w:r w:rsidRPr="00192BC0">
        <w:rPr>
          <w:rFonts w:ascii="Arial" w:hAnsi="Arial" w:cs="Arial"/>
          <w:sz w:val="28"/>
          <w:szCs w:val="28"/>
        </w:rPr>
        <w:lastRenderedPageBreak/>
        <w:t>Internal and external environment</w:t>
      </w:r>
      <w:bookmarkEnd w:id="1"/>
    </w:p>
    <w:p w14:paraId="776D9A1D" w14:textId="3A287D06" w:rsidR="00192BC0" w:rsidRDefault="00192BC0" w:rsidP="00192BC0">
      <w:pPr>
        <w:spacing w:line="360" w:lineRule="auto"/>
        <w:jc w:val="both"/>
        <w:rPr>
          <w:rFonts w:ascii="Arial" w:hAnsi="Arial" w:cs="Arial"/>
        </w:rPr>
      </w:pPr>
      <w:r>
        <w:rPr>
          <w:rFonts w:ascii="Arial" w:hAnsi="Arial" w:cs="Arial"/>
        </w:rPr>
        <w:t>Environmental scanning is a long-established management activity: organisations monitor external conditions to anticipate risks and opportunities and adjust strategy and capability accordingly (Aguilar, 1967). In contemporary strategy practice,</w:t>
      </w:r>
      <w:r w:rsidR="00A878A8" w:rsidRPr="00A878A8">
        <w:t xml:space="preserve"> </w:t>
      </w:r>
      <w:r w:rsidR="00A878A8" w:rsidRPr="00A878A8">
        <w:rPr>
          <w:rFonts w:ascii="Arial" w:hAnsi="Arial" w:cs="Arial"/>
        </w:rPr>
        <w:t>PESTEL is widely used as a structured framework for analysing macro-environmental forces; however, its usefulness depends on the ability of managers to prioritise and interpret factors rather than simply list them</w:t>
      </w:r>
      <w:r>
        <w:rPr>
          <w:rFonts w:ascii="Arial" w:hAnsi="Arial" w:cs="Arial"/>
        </w:rPr>
        <w:t xml:space="preserve">; </w:t>
      </w:r>
      <w:r w:rsidR="00820BF6">
        <w:rPr>
          <w:rFonts w:ascii="Arial" w:hAnsi="Arial" w:cs="Arial"/>
        </w:rPr>
        <w:t>it enables managers to examine political, economic, social, technological, environmental, and legal infleunces</w:t>
      </w:r>
      <w:r>
        <w:rPr>
          <w:rFonts w:ascii="Arial" w:hAnsi="Arial" w:cs="Arial"/>
        </w:rPr>
        <w:t xml:space="preserve"> (ICAEW, 2017).</w:t>
      </w:r>
    </w:p>
    <w:p w14:paraId="1F27048C" w14:textId="678B212F" w:rsidR="00192BC0" w:rsidRDefault="00192BC0" w:rsidP="00192BC0">
      <w:pPr>
        <w:spacing w:line="360" w:lineRule="auto"/>
        <w:jc w:val="both"/>
        <w:rPr>
          <w:rFonts w:ascii="Arial" w:hAnsi="Arial" w:cs="Arial"/>
        </w:rPr>
      </w:pPr>
      <w:r>
        <w:rPr>
          <w:rFonts w:ascii="Arial" w:hAnsi="Arial" w:cs="Arial"/>
        </w:rPr>
        <w:t xml:space="preserve">The usefulness of PESTEL for HR analysis is that most of the macro forces it captures ultimately operate through people and work: labour supply and skills (economic/social), workforce expectations (social), regulation of employment and data use (legal/political), technology adoption in HR and operations (technological), and climate transition pressures shaping capabilities and jobs (environmental). For global organisations, these forces vary by country and region, creating a continuous tension between global consistency and local responsiveness. </w:t>
      </w:r>
    </w:p>
    <w:p w14:paraId="6645E22D" w14:textId="39E91E40" w:rsidR="00192BC0" w:rsidRDefault="00DC357B" w:rsidP="00192BC0">
      <w:pPr>
        <w:spacing w:line="360" w:lineRule="auto"/>
        <w:jc w:val="both"/>
        <w:rPr>
          <w:rFonts w:ascii="Arial" w:hAnsi="Arial" w:cs="Arial"/>
        </w:rPr>
      </w:pPr>
      <w:r>
        <w:rPr>
          <w:rFonts w:ascii="Arial" w:hAnsi="Arial" w:cs="Arial"/>
        </w:rPr>
        <w:t>Unilever’s own public materials explicitly recognise this challenge – for example, noting that it sells products in around 190 countries and must manage its people and operations across diverse conditions and risks (Unilever, n.d.).</w:t>
      </w:r>
    </w:p>
    <w:p w14:paraId="3A1AF6D3" w14:textId="2B43702B" w:rsidR="00DC357B" w:rsidRDefault="00DC357B" w:rsidP="00192BC0">
      <w:pPr>
        <w:spacing w:line="360" w:lineRule="auto"/>
        <w:jc w:val="both"/>
        <w:rPr>
          <w:rFonts w:ascii="Arial" w:hAnsi="Arial" w:cs="Arial"/>
        </w:rPr>
      </w:pPr>
      <w:r>
        <w:rPr>
          <w:rFonts w:ascii="Arial" w:hAnsi="Arial" w:cs="Arial"/>
        </w:rPr>
        <w:t xml:space="preserve">However, PESTEL has limitations. It can encourage descriptive, unprioritized lists rather than evidence-led judgement about which factors are most material and how they interact. This weakness is well illustrated by research on SWOT usage, where organisations produced lengthy factor lists, often without prioritisation, verification, or subsequent use in strategy processes (Hill and Westbrook, 1997). The implication for HR managers is that environmental frameworks should be treated as starting points: effectiveness depends on translating scanning into prioritised risks/opportunities, measurable workforce implications, and implementable people interventions supported by governance and data. </w:t>
      </w:r>
    </w:p>
    <w:p w14:paraId="1CE07255" w14:textId="3E2EBC09" w:rsidR="00DC357B" w:rsidRDefault="00DC357B" w:rsidP="00192BC0">
      <w:pPr>
        <w:spacing w:line="360" w:lineRule="auto"/>
        <w:jc w:val="both"/>
        <w:rPr>
          <w:rFonts w:ascii="Arial" w:hAnsi="Arial" w:cs="Arial"/>
        </w:rPr>
      </w:pPr>
      <w:r>
        <w:rPr>
          <w:rFonts w:ascii="Arial" w:hAnsi="Arial" w:cs="Arial"/>
        </w:rPr>
        <w:t xml:space="preserve">Linking environment to HR functions is also consistent with the broader idea of professional, evidence-based people practice. The CIPD positions its Profession Map as an international standard intended to help people professionals make better decisions, act with confidence and adapt to different contexts and changes – framing HR effectiveness as context-sensitive and capability-driven rather than purely </w:t>
      </w:r>
      <w:r>
        <w:rPr>
          <w:rFonts w:ascii="Arial" w:hAnsi="Arial" w:cs="Arial"/>
        </w:rPr>
        <w:lastRenderedPageBreak/>
        <w:t xml:space="preserve">procedural (CIPD, n.d.). empirically, the performance relevance of HR systems further reinforces that HR effectiveness is shaped by both internal alignment and external fit: for example, Huselid’s </w:t>
      </w:r>
      <w:r w:rsidR="00820BF6">
        <w:rPr>
          <w:rFonts w:ascii="Arial" w:hAnsi="Arial" w:cs="Arial"/>
        </w:rPr>
        <w:t xml:space="preserve">(1995) </w:t>
      </w:r>
      <w:r w:rsidR="00EE07A3">
        <w:rPr>
          <w:rFonts w:ascii="Arial" w:hAnsi="Arial" w:cs="Arial"/>
        </w:rPr>
        <w:t xml:space="preserve">found that organisations making greater use of advanced HR practices tend to experience reduced employee turnover, alongside improvements in productivity and overall financial results.  </w:t>
      </w:r>
    </w:p>
    <w:p w14:paraId="139E9522" w14:textId="399A4F53" w:rsidR="00DC357B" w:rsidRDefault="00DC357B" w:rsidP="00192BC0">
      <w:pPr>
        <w:spacing w:line="360" w:lineRule="auto"/>
        <w:jc w:val="both"/>
        <w:rPr>
          <w:rFonts w:ascii="Arial" w:hAnsi="Arial" w:cs="Arial"/>
        </w:rPr>
      </w:pPr>
      <w:r>
        <w:rPr>
          <w:rFonts w:ascii="Arial" w:hAnsi="Arial" w:cs="Arial"/>
        </w:rPr>
        <w:t xml:space="preserve">Finally, internal environmental factors matter because they determine whether HR can respond effectively to external pressures. Internal factors include strategic priorities, organisational structure, leadership capability, culture, and the maturity of HR processes and analytics. For example, a major, current HR textbook emphasises strategic HRM, digital HRM and HR analytics, </w:t>
      </w:r>
      <w:r w:rsidR="00820BF6">
        <w:rPr>
          <w:rFonts w:ascii="Arial" w:hAnsi="Arial" w:cs="Arial"/>
        </w:rPr>
        <w:t xml:space="preserve">together with core functions including performance management, learning and development, and employee relations, highlighting that HR effectiveness increasingly relies on both people-related capabilities and </w:t>
      </w:r>
      <w:r w:rsidR="008C7430">
        <w:rPr>
          <w:rFonts w:ascii="Arial" w:hAnsi="Arial" w:cs="Arial"/>
        </w:rPr>
        <w:t>analytical</w:t>
      </w:r>
      <w:r w:rsidR="00820BF6">
        <w:rPr>
          <w:rFonts w:ascii="Arial" w:hAnsi="Arial" w:cs="Arial"/>
        </w:rPr>
        <w:t xml:space="preserve">/digital expertise </w:t>
      </w:r>
      <w:r>
        <w:rPr>
          <w:rFonts w:ascii="Arial" w:hAnsi="Arial" w:cs="Arial"/>
        </w:rPr>
        <w:t>(Armstrong and Taylor, 2026).</w:t>
      </w:r>
    </w:p>
    <w:p w14:paraId="23914C02" w14:textId="77777777" w:rsidR="00DC357B" w:rsidRDefault="00DC357B" w:rsidP="00192BC0">
      <w:pPr>
        <w:spacing w:line="360" w:lineRule="auto"/>
        <w:jc w:val="both"/>
        <w:rPr>
          <w:rFonts w:ascii="Arial" w:hAnsi="Arial" w:cs="Arial"/>
        </w:rPr>
      </w:pPr>
    </w:p>
    <w:p w14:paraId="301EA619" w14:textId="4C17B2D4" w:rsidR="00530CAC" w:rsidRDefault="00530CAC" w:rsidP="00530CAC">
      <w:pPr>
        <w:pStyle w:val="Heading2"/>
        <w:spacing w:line="360" w:lineRule="auto"/>
        <w:jc w:val="both"/>
        <w:rPr>
          <w:rFonts w:ascii="Arial" w:hAnsi="Arial" w:cs="Arial"/>
          <w:sz w:val="28"/>
          <w:szCs w:val="28"/>
        </w:rPr>
      </w:pPr>
      <w:bookmarkStart w:id="2" w:name="_Toc224815163"/>
      <w:r w:rsidRPr="00530CAC">
        <w:rPr>
          <w:rFonts w:ascii="Arial" w:hAnsi="Arial" w:cs="Arial"/>
          <w:sz w:val="28"/>
          <w:szCs w:val="28"/>
        </w:rPr>
        <w:t>Organisation application</w:t>
      </w:r>
      <w:bookmarkEnd w:id="2"/>
      <w:r w:rsidRPr="00530CAC">
        <w:rPr>
          <w:rFonts w:ascii="Arial" w:hAnsi="Arial" w:cs="Arial"/>
          <w:sz w:val="28"/>
          <w:szCs w:val="28"/>
        </w:rPr>
        <w:t xml:space="preserve"> </w:t>
      </w:r>
    </w:p>
    <w:p w14:paraId="17D83B59" w14:textId="2E3164EE" w:rsidR="00530CAC" w:rsidRDefault="00530CAC" w:rsidP="00530CAC">
      <w:pPr>
        <w:spacing w:line="360" w:lineRule="auto"/>
        <w:jc w:val="both"/>
        <w:rPr>
          <w:rFonts w:ascii="Arial" w:hAnsi="Arial" w:cs="Arial"/>
        </w:rPr>
      </w:pPr>
      <w:r>
        <w:rPr>
          <w:rFonts w:ascii="Arial" w:hAnsi="Arial" w:cs="Arial"/>
        </w:rPr>
        <w:t>Unilever is an appropriate case for analysing HR effectiveness under global environmental pressures because it operates at multinational scale and frames people as integral to value creation. In its Annual Report and Accounts 2025, it reports employing around 96,000 people and presents an employee satisfaction indicator as part of its ,,global talent’’ picture (Unilever, 2026).</w:t>
      </w:r>
    </w:p>
    <w:p w14:paraId="06285C71" w14:textId="3410ABA3" w:rsidR="00530CAC" w:rsidRDefault="00530CAC" w:rsidP="00530CAC">
      <w:pPr>
        <w:spacing w:line="360" w:lineRule="auto"/>
        <w:jc w:val="both"/>
        <w:rPr>
          <w:rFonts w:ascii="Arial" w:hAnsi="Arial" w:cs="Arial"/>
        </w:rPr>
      </w:pPr>
      <w:r>
        <w:rPr>
          <w:rFonts w:ascii="Arial" w:hAnsi="Arial" w:cs="Arial"/>
        </w:rPr>
        <w:t>Unilever’s internal environment and HR agenda are articulated as a ,,People &amp; Organisation’’ strategt focused on building a winning culture and performance discipline, being ,,uncompromising on talent’’, and reshaping work to be ,,simpler, faster, better connected in the AI age’’. The report also notes the use of technology and AI to streamline processes – for example deploying chatbots as a first point of contact for most HR matters – indicating a strategic shift towards digital HR service delivery (Unilever, 2026).</w:t>
      </w:r>
    </w:p>
    <w:p w14:paraId="40CA232D" w14:textId="70AE4122" w:rsidR="00530CAC" w:rsidRDefault="00530CAC" w:rsidP="00530CAC">
      <w:pPr>
        <w:spacing w:line="360" w:lineRule="auto"/>
        <w:jc w:val="both"/>
        <w:rPr>
          <w:rFonts w:ascii="Arial" w:hAnsi="Arial" w:cs="Arial"/>
        </w:rPr>
      </w:pPr>
      <w:r>
        <w:rPr>
          <w:rFonts w:ascii="Arial" w:hAnsi="Arial" w:cs="Arial"/>
        </w:rPr>
        <w:t xml:space="preserve">In employee relations and voice, Unilever describes structured workforce engagement activities and the use of tis UniVoice survey to track topics such as engagement, strategy, safety, careers and sustainability (Unilever, 2026). Alongside this, Unilever presents human rights and labour rights as core commitments. Its Human Rights </w:t>
      </w:r>
      <w:r>
        <w:rPr>
          <w:rFonts w:ascii="Arial" w:hAnsi="Arial" w:cs="Arial"/>
        </w:rPr>
        <w:lastRenderedPageBreak/>
        <w:t xml:space="preserve">Policy Statement describes </w:t>
      </w:r>
      <w:r w:rsidR="008C7430">
        <w:rPr>
          <w:rFonts w:ascii="Arial" w:hAnsi="Arial" w:cs="Arial"/>
        </w:rPr>
        <w:t xml:space="preserve">a commitment to implement the UN Guiding Principles on Business and Human Rights and to ensure policies are aligned with internationally recognised human rights </w:t>
      </w:r>
      <w:r>
        <w:rPr>
          <w:rFonts w:ascii="Arial" w:hAnsi="Arial" w:cs="Arial"/>
        </w:rPr>
        <w:t xml:space="preserve">(Unilever, 2023). </w:t>
      </w:r>
    </w:p>
    <w:p w14:paraId="211B6AA0" w14:textId="7A9E0356" w:rsidR="00530CAC" w:rsidRDefault="00530CAC" w:rsidP="00530CAC">
      <w:pPr>
        <w:spacing w:line="360" w:lineRule="auto"/>
        <w:jc w:val="both"/>
        <w:rPr>
          <w:rFonts w:ascii="Arial" w:hAnsi="Arial" w:cs="Arial"/>
        </w:rPr>
      </w:pPr>
      <w:r>
        <w:rPr>
          <w:rFonts w:ascii="Arial" w:hAnsi="Arial" w:cs="Arial"/>
        </w:rPr>
        <w:t xml:space="preserve">Taken together, these features show a multinational HR system attempting to integrate strategic performance culture, talent development, digital HR enablement and rights=based governance – creating a strong foundation for evaluating how environmental forces affect HR manager effectiveness. </w:t>
      </w:r>
    </w:p>
    <w:p w14:paraId="7622BD4C" w14:textId="52280396" w:rsidR="00530CAC" w:rsidRDefault="00A4362A" w:rsidP="00A4362A">
      <w:pPr>
        <w:pStyle w:val="Heading2"/>
        <w:spacing w:line="360" w:lineRule="auto"/>
        <w:jc w:val="both"/>
        <w:rPr>
          <w:rFonts w:ascii="Arial" w:hAnsi="Arial" w:cs="Arial"/>
          <w:sz w:val="28"/>
          <w:szCs w:val="28"/>
        </w:rPr>
      </w:pPr>
      <w:bookmarkStart w:id="3" w:name="_Toc224815164"/>
      <w:r w:rsidRPr="00A4362A">
        <w:rPr>
          <w:rFonts w:ascii="Arial" w:hAnsi="Arial" w:cs="Arial"/>
          <w:sz w:val="28"/>
          <w:szCs w:val="28"/>
        </w:rPr>
        <w:t>Application of model</w:t>
      </w:r>
      <w:bookmarkEnd w:id="3"/>
      <w:r w:rsidRPr="00A4362A">
        <w:rPr>
          <w:rFonts w:ascii="Arial" w:hAnsi="Arial" w:cs="Arial"/>
          <w:sz w:val="28"/>
          <w:szCs w:val="28"/>
        </w:rPr>
        <w:t xml:space="preserve"> </w:t>
      </w:r>
    </w:p>
    <w:p w14:paraId="293462B1" w14:textId="50F7DF95" w:rsidR="006360DE" w:rsidRPr="006360DE" w:rsidRDefault="006360DE" w:rsidP="006360DE">
      <w:pPr>
        <w:spacing w:line="360" w:lineRule="auto"/>
        <w:jc w:val="both"/>
        <w:rPr>
          <w:rFonts w:ascii="Arial" w:hAnsi="Arial" w:cs="Arial"/>
        </w:rPr>
      </w:pPr>
      <w:r w:rsidRPr="006360DE">
        <w:rPr>
          <w:rFonts w:ascii="Arial" w:hAnsi="Arial" w:cs="Arial"/>
        </w:rPr>
        <w:t xml:space="preserve">Applying the PESTEL framework to Unilever demonstrates that HR managers’ effectiveness is shaped by both hard constraints and soft pressures. </w:t>
      </w:r>
      <w:r w:rsidR="008C7430">
        <w:rPr>
          <w:rFonts w:ascii="Arial" w:hAnsi="Arial" w:cs="Arial"/>
        </w:rPr>
        <w:t xml:space="preserve">These external factors shape </w:t>
      </w:r>
      <w:r w:rsidR="00EE07A3">
        <w:rPr>
          <w:rFonts w:ascii="Arial" w:hAnsi="Arial" w:cs="Arial"/>
        </w:rPr>
        <w:t>essential HR responsibilities, for example hiring, developing employee skills, overseeing performance, and maintaining effective workplace relationships.</w:t>
      </w:r>
    </w:p>
    <w:p w14:paraId="59BAF8A4" w14:textId="77777777" w:rsidR="006360DE" w:rsidRPr="006360DE" w:rsidRDefault="006360DE" w:rsidP="006360DE">
      <w:pPr>
        <w:pStyle w:val="Heading2"/>
        <w:spacing w:line="360" w:lineRule="auto"/>
        <w:jc w:val="both"/>
        <w:rPr>
          <w:rFonts w:ascii="Arial" w:hAnsi="Arial" w:cs="Arial"/>
          <w:sz w:val="24"/>
          <w:szCs w:val="24"/>
        </w:rPr>
      </w:pPr>
      <w:bookmarkStart w:id="4" w:name="_Toc224815165"/>
      <w:r w:rsidRPr="006360DE">
        <w:rPr>
          <w:rFonts w:ascii="Arial" w:hAnsi="Arial" w:cs="Arial"/>
          <w:sz w:val="24"/>
          <w:szCs w:val="24"/>
        </w:rPr>
        <w:t>Political and Legal Factors</w:t>
      </w:r>
      <w:bookmarkEnd w:id="4"/>
    </w:p>
    <w:p w14:paraId="74E18B55" w14:textId="77777777" w:rsidR="006360DE" w:rsidRPr="006360DE" w:rsidRDefault="006360DE" w:rsidP="006360DE">
      <w:pPr>
        <w:spacing w:line="360" w:lineRule="auto"/>
        <w:jc w:val="both"/>
        <w:rPr>
          <w:rFonts w:ascii="Arial" w:hAnsi="Arial" w:cs="Arial"/>
        </w:rPr>
      </w:pPr>
      <w:r w:rsidRPr="006360DE">
        <w:rPr>
          <w:rFonts w:ascii="Arial" w:hAnsi="Arial" w:cs="Arial"/>
        </w:rPr>
        <w:t>Political and legal factors are highly influential as they define the boundaries within which HR operates. Unilever emphasises labour rights such as freedom of association and collective bargaining, noting that around 55% of its workforce is covered by trade unions or agreements (Unilever, n.d.). In countries with restrictive legal frameworks, the organisation adopts alternative engagement mechanisms while maintaining support for independent unions. This highlights how HR managers must balance global ethical standards with local institutional constraints.</w:t>
      </w:r>
    </w:p>
    <w:p w14:paraId="0BAB4154" w14:textId="77777777" w:rsidR="006360DE" w:rsidRPr="006360DE" w:rsidRDefault="006360DE" w:rsidP="006360DE">
      <w:pPr>
        <w:spacing w:line="360" w:lineRule="auto"/>
        <w:jc w:val="both"/>
        <w:rPr>
          <w:rFonts w:ascii="Arial" w:hAnsi="Arial" w:cs="Arial"/>
        </w:rPr>
      </w:pPr>
      <w:r w:rsidRPr="006360DE">
        <w:rPr>
          <w:rFonts w:ascii="Arial" w:hAnsi="Arial" w:cs="Arial"/>
        </w:rPr>
        <w:t>These practices align with the International Labour Organisation’s concept of “decent work,” which positions fair employment as central to sustainable development (Unilever, n.d.). For HR managers, this affects recruitment policies, employee relations strategies, and performance management systems, ensuring compliance while maintaining organisational values.</w:t>
      </w:r>
    </w:p>
    <w:p w14:paraId="43F5FA53" w14:textId="77777777" w:rsidR="006360DE" w:rsidRPr="006360DE" w:rsidRDefault="006360DE" w:rsidP="006360DE">
      <w:pPr>
        <w:spacing w:line="360" w:lineRule="auto"/>
        <w:jc w:val="both"/>
        <w:rPr>
          <w:rFonts w:ascii="Arial" w:hAnsi="Arial" w:cs="Arial"/>
        </w:rPr>
      </w:pPr>
      <w:r w:rsidRPr="006360DE">
        <w:rPr>
          <w:rFonts w:ascii="Arial" w:hAnsi="Arial" w:cs="Arial"/>
        </w:rPr>
        <w:t>Legal constraints have expanded with the growth of digital HR systems. In the UK, HR activities are governed by the UK GDPR and the Data Protection Act 2018, which require fairness, transparency, and data minimisation (UK Government, n.d.). The Information Commissioner’s Office (ICO) stresses that employee monitoring must be justified and proportionate, particularly where organisations use surveillance technologies or performance analytics (ICO, n.d.).</w:t>
      </w:r>
    </w:p>
    <w:p w14:paraId="4E910E94" w14:textId="77777777" w:rsidR="006360DE" w:rsidRPr="006360DE" w:rsidRDefault="006360DE" w:rsidP="006360DE">
      <w:pPr>
        <w:spacing w:line="360" w:lineRule="auto"/>
        <w:jc w:val="both"/>
        <w:rPr>
          <w:rFonts w:ascii="Arial" w:hAnsi="Arial" w:cs="Arial"/>
        </w:rPr>
      </w:pPr>
      <w:r w:rsidRPr="006360DE">
        <w:rPr>
          <w:rFonts w:ascii="Arial" w:hAnsi="Arial" w:cs="Arial"/>
        </w:rPr>
        <w:lastRenderedPageBreak/>
        <w:t>Regulation continues to evolve. The UK Data Act 2025 introduces changes to automated decision-making and lawful data processing, increasing compliance demands (ICO, 2025). Similarly, the EU AI Act (Regulation (EU) 2024/1689) creates a risk-based framework affecting HR practices, including restrictions on AI in recruitment and workplace monitoring (European Commission, 2025). These developments require HR managers to develop expertise in data governance and AI ethics, as failure to adapt can reduce effectiveness.</w:t>
      </w:r>
    </w:p>
    <w:p w14:paraId="2DE92819" w14:textId="77777777" w:rsidR="006360DE" w:rsidRPr="006360DE" w:rsidRDefault="006360DE" w:rsidP="006360DE">
      <w:pPr>
        <w:pStyle w:val="Heading2"/>
        <w:spacing w:line="360" w:lineRule="auto"/>
        <w:jc w:val="both"/>
        <w:rPr>
          <w:rFonts w:ascii="Arial" w:hAnsi="Arial" w:cs="Arial"/>
          <w:sz w:val="24"/>
          <w:szCs w:val="24"/>
        </w:rPr>
      </w:pPr>
      <w:bookmarkStart w:id="5" w:name="_Toc224815166"/>
      <w:r w:rsidRPr="006360DE">
        <w:rPr>
          <w:rFonts w:ascii="Arial" w:hAnsi="Arial" w:cs="Arial"/>
          <w:sz w:val="24"/>
          <w:szCs w:val="24"/>
        </w:rPr>
        <w:t>Economic Factors</w:t>
      </w:r>
      <w:bookmarkEnd w:id="5"/>
    </w:p>
    <w:p w14:paraId="64B402DF" w14:textId="77777777" w:rsidR="006360DE" w:rsidRPr="006360DE" w:rsidRDefault="006360DE" w:rsidP="006360DE">
      <w:pPr>
        <w:spacing w:line="360" w:lineRule="auto"/>
        <w:jc w:val="both"/>
        <w:rPr>
          <w:rFonts w:ascii="Arial" w:hAnsi="Arial" w:cs="Arial"/>
        </w:rPr>
      </w:pPr>
      <w:r w:rsidRPr="006360DE">
        <w:rPr>
          <w:rFonts w:ascii="Arial" w:hAnsi="Arial" w:cs="Arial"/>
        </w:rPr>
        <w:t>Economic conditions shape HR effectiveness through labour supply, wage pressures, and skills availability. The World Economic Forum (2025) identifies skill gaps as a major barrier to organisational transformation, with employers expecting significant changes in workforce capabilities by 2030. Many organisations plan to prioritise upskilling, redeployment, and targeted recruitment.</w:t>
      </w:r>
    </w:p>
    <w:p w14:paraId="68DF2344" w14:textId="77777777" w:rsidR="006360DE" w:rsidRPr="006360DE" w:rsidRDefault="006360DE" w:rsidP="006360DE">
      <w:pPr>
        <w:spacing w:line="360" w:lineRule="auto"/>
        <w:jc w:val="both"/>
        <w:rPr>
          <w:rFonts w:ascii="Arial" w:hAnsi="Arial" w:cs="Arial"/>
        </w:rPr>
      </w:pPr>
      <w:r w:rsidRPr="006360DE">
        <w:rPr>
          <w:rFonts w:ascii="Arial" w:hAnsi="Arial" w:cs="Arial"/>
        </w:rPr>
        <w:t>This environment places pressure on HR managers to adopt strategic workforce planning. The CIPD (2025) emphasises that effective recruitment is critical in tight labour markets and must align with long-term organisational goals. Unilever reflects this through initiatives focused on building future skills, strengthening leadership pipelines, and investing in digital capabilities (Unilever, 2026).</w:t>
      </w:r>
    </w:p>
    <w:p w14:paraId="5358C404" w14:textId="77777777" w:rsidR="006360DE" w:rsidRPr="006360DE" w:rsidRDefault="006360DE" w:rsidP="006360DE">
      <w:pPr>
        <w:spacing w:line="360" w:lineRule="auto"/>
        <w:jc w:val="both"/>
        <w:rPr>
          <w:rFonts w:ascii="Arial" w:hAnsi="Arial" w:cs="Arial"/>
        </w:rPr>
      </w:pPr>
      <w:r w:rsidRPr="006360DE">
        <w:rPr>
          <w:rFonts w:ascii="Arial" w:hAnsi="Arial" w:cs="Arial"/>
        </w:rPr>
        <w:t>Therefore, HR effectiveness depends on anticipating skill demands, maintaining employer attractiveness, and delivering reskilling at scale. Inability to respond effectively may result in talent shortages and reduced competitiveness.</w:t>
      </w:r>
    </w:p>
    <w:p w14:paraId="0F649EE7" w14:textId="77777777" w:rsidR="006360DE" w:rsidRPr="006360DE" w:rsidRDefault="006360DE" w:rsidP="006360DE">
      <w:pPr>
        <w:pStyle w:val="Heading2"/>
        <w:spacing w:line="360" w:lineRule="auto"/>
        <w:jc w:val="both"/>
        <w:rPr>
          <w:rFonts w:ascii="Arial" w:hAnsi="Arial" w:cs="Arial"/>
          <w:sz w:val="24"/>
          <w:szCs w:val="24"/>
        </w:rPr>
      </w:pPr>
      <w:bookmarkStart w:id="6" w:name="_Toc224815167"/>
      <w:r w:rsidRPr="006360DE">
        <w:rPr>
          <w:rFonts w:ascii="Arial" w:hAnsi="Arial" w:cs="Arial"/>
          <w:sz w:val="24"/>
          <w:szCs w:val="24"/>
        </w:rPr>
        <w:t>Social Factors</w:t>
      </w:r>
      <w:bookmarkEnd w:id="6"/>
    </w:p>
    <w:p w14:paraId="2230C868" w14:textId="77777777" w:rsidR="006360DE" w:rsidRPr="006360DE" w:rsidRDefault="006360DE" w:rsidP="006360DE">
      <w:pPr>
        <w:spacing w:line="360" w:lineRule="auto"/>
        <w:jc w:val="both"/>
        <w:rPr>
          <w:rFonts w:ascii="Arial" w:hAnsi="Arial" w:cs="Arial"/>
        </w:rPr>
      </w:pPr>
      <w:r w:rsidRPr="006360DE">
        <w:rPr>
          <w:rFonts w:ascii="Arial" w:hAnsi="Arial" w:cs="Arial"/>
        </w:rPr>
        <w:t>Social factors include demographic changes, workforce expectations, and cultural norms. Increasingly, HR effectiveness is assessed through employee experience, wellbeing, and engagement. The World Economic Forum (2025) highlights employee wellbeing as a key factor in attracting and retaining talent, indicating a shift beyond traditional performance metrics.</w:t>
      </w:r>
    </w:p>
    <w:p w14:paraId="4484F202" w14:textId="77777777" w:rsidR="006360DE" w:rsidRPr="006360DE" w:rsidRDefault="006360DE" w:rsidP="006360DE">
      <w:pPr>
        <w:spacing w:line="360" w:lineRule="auto"/>
        <w:jc w:val="both"/>
        <w:rPr>
          <w:rFonts w:ascii="Arial" w:hAnsi="Arial" w:cs="Arial"/>
        </w:rPr>
      </w:pPr>
      <w:r w:rsidRPr="006360DE">
        <w:rPr>
          <w:rFonts w:ascii="Arial" w:hAnsi="Arial" w:cs="Arial"/>
        </w:rPr>
        <w:t>Unilever supports this through tools such as UniVoice and its “Culture Index,” which track employee sentiment and organisational culture (Unilever, 2026). These mechanisms enable HR managers to identify issues and improve engagement.</w:t>
      </w:r>
    </w:p>
    <w:p w14:paraId="3B45015B" w14:textId="48CC87F9" w:rsidR="006360DE" w:rsidRPr="006360DE" w:rsidRDefault="006360DE" w:rsidP="006360DE">
      <w:pPr>
        <w:spacing w:line="360" w:lineRule="auto"/>
        <w:jc w:val="both"/>
        <w:rPr>
          <w:rFonts w:ascii="Arial" w:hAnsi="Arial" w:cs="Arial"/>
        </w:rPr>
      </w:pPr>
      <w:r w:rsidRPr="006360DE">
        <w:rPr>
          <w:rFonts w:ascii="Arial" w:hAnsi="Arial" w:cs="Arial"/>
        </w:rPr>
        <w:lastRenderedPageBreak/>
        <w:t xml:space="preserve">Cultural differences also influence HR practices across countries. Hofstede (2001) identifies </w:t>
      </w:r>
      <w:r w:rsidR="008C7430">
        <w:rPr>
          <w:rFonts w:ascii="Arial" w:hAnsi="Arial" w:cs="Arial"/>
        </w:rPr>
        <w:t>key cultural dimensions, for example power distance and uncertainty avoidance</w:t>
      </w:r>
      <w:r w:rsidRPr="006360DE">
        <w:rPr>
          <w:rFonts w:ascii="Arial" w:hAnsi="Arial" w:cs="Arial"/>
        </w:rPr>
        <w:t>. However, McSweeney (2002) critiques such models for oversimplifying national cultures. For HR managers, this suggests that cultural frameworks should guide, rather than determine, decision-making, supported by local insights.</w:t>
      </w:r>
    </w:p>
    <w:p w14:paraId="6151D699" w14:textId="77777777" w:rsidR="006360DE" w:rsidRPr="006360DE" w:rsidRDefault="006360DE" w:rsidP="006360DE">
      <w:pPr>
        <w:pStyle w:val="Heading2"/>
        <w:spacing w:line="360" w:lineRule="auto"/>
        <w:jc w:val="both"/>
        <w:rPr>
          <w:rFonts w:ascii="Arial" w:hAnsi="Arial" w:cs="Arial"/>
          <w:sz w:val="24"/>
          <w:szCs w:val="24"/>
        </w:rPr>
      </w:pPr>
      <w:bookmarkStart w:id="7" w:name="_Toc224815168"/>
      <w:r w:rsidRPr="006360DE">
        <w:rPr>
          <w:rFonts w:ascii="Arial" w:hAnsi="Arial" w:cs="Arial"/>
          <w:sz w:val="24"/>
          <w:szCs w:val="24"/>
        </w:rPr>
        <w:t>Technological Factors</w:t>
      </w:r>
      <w:bookmarkEnd w:id="7"/>
    </w:p>
    <w:p w14:paraId="1BA2A3EB" w14:textId="77777777" w:rsidR="006360DE" w:rsidRPr="006360DE" w:rsidRDefault="006360DE" w:rsidP="006360DE">
      <w:pPr>
        <w:spacing w:line="360" w:lineRule="auto"/>
        <w:jc w:val="both"/>
        <w:rPr>
          <w:rFonts w:ascii="Arial" w:hAnsi="Arial" w:cs="Arial"/>
        </w:rPr>
      </w:pPr>
      <w:r w:rsidRPr="006360DE">
        <w:rPr>
          <w:rFonts w:ascii="Arial" w:hAnsi="Arial" w:cs="Arial"/>
        </w:rPr>
        <w:t>Technological developments act as both enablers and risks for HR. Unilever’s use of AI and digital tools, including chatbots, reflects a shift towards more efficient HR operations (Unilever, 2026). At the same time, technological skills are becoming increasingly important, as highlighted by the World Economic Forum (2025).</w:t>
      </w:r>
    </w:p>
    <w:p w14:paraId="49773D45" w14:textId="77777777" w:rsidR="006360DE" w:rsidRPr="006360DE" w:rsidRDefault="006360DE" w:rsidP="006360DE">
      <w:pPr>
        <w:spacing w:line="360" w:lineRule="auto"/>
        <w:jc w:val="both"/>
        <w:rPr>
          <w:rFonts w:ascii="Arial" w:hAnsi="Arial" w:cs="Arial"/>
        </w:rPr>
      </w:pPr>
      <w:r w:rsidRPr="006360DE">
        <w:rPr>
          <w:rFonts w:ascii="Arial" w:hAnsi="Arial" w:cs="Arial"/>
        </w:rPr>
        <w:t>However, technology introduces challenges related to data privacy and ethical use of AI. HR managers must ensure compliance with evolving regulations while maintaining employee trust. This creates a dual challenge: supporting digital transformation while managing associated risks effectively.</w:t>
      </w:r>
    </w:p>
    <w:p w14:paraId="7E76642B" w14:textId="77777777" w:rsidR="006360DE" w:rsidRPr="006360DE" w:rsidRDefault="006360DE" w:rsidP="006360DE">
      <w:pPr>
        <w:pStyle w:val="Heading2"/>
        <w:spacing w:line="360" w:lineRule="auto"/>
        <w:jc w:val="both"/>
        <w:rPr>
          <w:rFonts w:ascii="Arial" w:hAnsi="Arial" w:cs="Arial"/>
          <w:sz w:val="24"/>
          <w:szCs w:val="24"/>
        </w:rPr>
      </w:pPr>
      <w:bookmarkStart w:id="8" w:name="_Toc224815169"/>
      <w:r w:rsidRPr="006360DE">
        <w:rPr>
          <w:rFonts w:ascii="Arial" w:hAnsi="Arial" w:cs="Arial"/>
          <w:sz w:val="24"/>
          <w:szCs w:val="24"/>
        </w:rPr>
        <w:t>Environmental Factors</w:t>
      </w:r>
      <w:bookmarkEnd w:id="8"/>
    </w:p>
    <w:p w14:paraId="1EEDB93D" w14:textId="77777777" w:rsidR="006360DE" w:rsidRPr="006360DE" w:rsidRDefault="006360DE" w:rsidP="006360DE">
      <w:pPr>
        <w:spacing w:line="360" w:lineRule="auto"/>
        <w:jc w:val="both"/>
        <w:rPr>
          <w:rFonts w:ascii="Arial" w:hAnsi="Arial" w:cs="Arial"/>
        </w:rPr>
      </w:pPr>
      <w:r w:rsidRPr="006360DE">
        <w:rPr>
          <w:rFonts w:ascii="Arial" w:hAnsi="Arial" w:cs="Arial"/>
        </w:rPr>
        <w:t>Environmental factors increasingly influence HR through their impact on skills and job design. The transition to a low-carbon economy requires significant reskilling and workforce adaptation, as highlighted by the International Labour Organisation (2019).</w:t>
      </w:r>
    </w:p>
    <w:p w14:paraId="20E81721" w14:textId="77777777" w:rsidR="006360DE" w:rsidRPr="006360DE" w:rsidRDefault="006360DE" w:rsidP="006360DE">
      <w:pPr>
        <w:spacing w:line="360" w:lineRule="auto"/>
        <w:jc w:val="both"/>
        <w:rPr>
          <w:rFonts w:ascii="Arial" w:hAnsi="Arial" w:cs="Arial"/>
        </w:rPr>
      </w:pPr>
      <w:r w:rsidRPr="006360DE">
        <w:rPr>
          <w:rFonts w:ascii="Arial" w:hAnsi="Arial" w:cs="Arial"/>
        </w:rPr>
        <w:t>The World Economic Forum (2025) also identifies environmental stewardship as an emerging skill area, suggesting that sustainability is becoming a core workforce capability. HR managers must integrate these skills into training, workforce planning, and leadership development while balancing productivity demands.</w:t>
      </w:r>
    </w:p>
    <w:p w14:paraId="7FDADC83" w14:textId="7F8EE987" w:rsidR="006360DE" w:rsidRDefault="006360DE" w:rsidP="00821964">
      <w:pPr>
        <w:spacing w:line="360" w:lineRule="auto"/>
        <w:jc w:val="both"/>
        <w:rPr>
          <w:rFonts w:ascii="Arial" w:hAnsi="Arial" w:cs="Arial"/>
        </w:rPr>
      </w:pPr>
      <w:r w:rsidRPr="006360DE">
        <w:rPr>
          <w:rFonts w:ascii="Arial" w:hAnsi="Arial" w:cs="Arial"/>
        </w:rPr>
        <w:t>Overall, applying PESTEL shows that HR effectiveness at Unilever depends on the ability to navigate complex external pressures. HR managers must combine compliance, strategic foresight, and cultural sensitivity to support sustainable organisational performance.</w:t>
      </w:r>
    </w:p>
    <w:p w14:paraId="647A0639" w14:textId="35037BFB" w:rsidR="00821964" w:rsidRDefault="004B7060" w:rsidP="004B7060">
      <w:pPr>
        <w:pStyle w:val="Heading3"/>
        <w:spacing w:line="360" w:lineRule="auto"/>
        <w:jc w:val="both"/>
        <w:rPr>
          <w:rFonts w:ascii="Arial" w:hAnsi="Arial" w:cs="Arial"/>
        </w:rPr>
      </w:pPr>
      <w:bookmarkStart w:id="9" w:name="_Toc224815170"/>
      <w:r>
        <w:rPr>
          <w:rFonts w:ascii="Arial" w:hAnsi="Arial" w:cs="Arial"/>
        </w:rPr>
        <w:t>Conclusion</w:t>
      </w:r>
      <w:bookmarkEnd w:id="9"/>
      <w:r>
        <w:rPr>
          <w:rFonts w:ascii="Arial" w:hAnsi="Arial" w:cs="Arial"/>
        </w:rPr>
        <w:t xml:space="preserve">  </w:t>
      </w:r>
      <w:r w:rsidR="00821964">
        <w:rPr>
          <w:rFonts w:ascii="Arial" w:hAnsi="Arial" w:cs="Arial"/>
        </w:rPr>
        <w:t xml:space="preserve">  </w:t>
      </w:r>
    </w:p>
    <w:p w14:paraId="0BEA0A73" w14:textId="1416E92B" w:rsidR="004B7060" w:rsidRDefault="004B7060" w:rsidP="004B7060">
      <w:pPr>
        <w:spacing w:line="360" w:lineRule="auto"/>
        <w:jc w:val="both"/>
        <w:rPr>
          <w:rFonts w:ascii="Arial" w:hAnsi="Arial" w:cs="Arial"/>
        </w:rPr>
      </w:pPr>
      <w:r>
        <w:rPr>
          <w:rFonts w:ascii="Arial" w:hAnsi="Arial" w:cs="Arial"/>
        </w:rPr>
        <w:t xml:space="preserve">Environmental forces shape HR managers effectiveness by determining the constraints, risks and skill needs within which HR functions must operate. Using PESTEL highlights that HR effectiveness in global organisations is simultaneously: </w:t>
      </w:r>
      <w:r>
        <w:rPr>
          <w:rFonts w:ascii="Arial" w:hAnsi="Arial" w:cs="Arial"/>
        </w:rPr>
        <w:lastRenderedPageBreak/>
        <w:t>regulatory, economic, social, technological and environmental (ICAEW, 2017; World Economic Forum, 2025; ILO, 2019).</w:t>
      </w:r>
    </w:p>
    <w:p w14:paraId="4E2C0246" w14:textId="6ECDDC76" w:rsidR="004B7060" w:rsidRDefault="004B7060" w:rsidP="004B7060">
      <w:pPr>
        <w:spacing w:line="360" w:lineRule="auto"/>
        <w:jc w:val="both"/>
        <w:rPr>
          <w:rFonts w:ascii="Arial" w:hAnsi="Arial" w:cs="Arial"/>
        </w:rPr>
      </w:pPr>
      <w:r>
        <w:rPr>
          <w:rFonts w:ascii="Arial" w:hAnsi="Arial" w:cs="Arial"/>
        </w:rPr>
        <w:t>The Unilever case illustrates how internal organisational strategy and culture condition HR’s capacity to respond to these forces. Unilever positions ,,People &amp; Organisation’’ as a strategic lever, reporting large-scale workforce engagement, culture and performance initiatives, and AI-enabled HR service processes (Unilever, 2026). It also frames human rights and labour rights as core commitments and recognises the need to adapt workforce engagement approaches where legal frameworks restrict traditional union activity (Unilever, 2023; Unilever, n.d.).</w:t>
      </w:r>
    </w:p>
    <w:p w14:paraId="1FF82D69" w14:textId="2E174247" w:rsidR="004B7060" w:rsidRDefault="004B7060" w:rsidP="004B7060">
      <w:pPr>
        <w:spacing w:line="360" w:lineRule="auto"/>
        <w:jc w:val="both"/>
        <w:rPr>
          <w:rFonts w:ascii="Arial" w:hAnsi="Arial" w:cs="Arial"/>
        </w:rPr>
      </w:pPr>
      <w:r>
        <w:rPr>
          <w:rFonts w:ascii="Arial" w:hAnsi="Arial" w:cs="Arial"/>
        </w:rPr>
        <w:t xml:space="preserve">Future implications for HR managers in global organisations are likely to intensify. The European </w:t>
      </w:r>
      <w:r w:rsidR="006360DE">
        <w:rPr>
          <w:rFonts w:ascii="Arial" w:hAnsi="Arial" w:cs="Arial"/>
        </w:rPr>
        <w:t>Commission’s</w:t>
      </w:r>
      <w:r>
        <w:rPr>
          <w:rFonts w:ascii="Arial" w:hAnsi="Arial" w:cs="Arial"/>
        </w:rPr>
        <w:t xml:space="preserve"> AI Act timeline and prohibitions demonstrates fast-moving regulatory risk around algorithmic HR, while UK data protection reform under the Data Act 2025 illustrates ongoing legal change that will require governance and process adaptation (European Commission, 2025; ICO, 2025). In this environment, the most effective HR managers will be those who combine professional judgement and ethical principles with evidence-based practice – scanning the environment continuously, prioritising genuinely material factors, and translating them into resourcing, learning, performance and employee relations practices that work across countries and cultures (CIPD, n.d.; Huselid, 1995).</w:t>
      </w:r>
    </w:p>
    <w:p w14:paraId="3ED47B07" w14:textId="77777777" w:rsidR="004B7060" w:rsidRDefault="004B7060" w:rsidP="004B7060">
      <w:pPr>
        <w:spacing w:line="360" w:lineRule="auto"/>
        <w:jc w:val="both"/>
        <w:rPr>
          <w:rFonts w:ascii="Arial" w:hAnsi="Arial" w:cs="Arial"/>
        </w:rPr>
      </w:pPr>
    </w:p>
    <w:p w14:paraId="768B324F" w14:textId="77777777" w:rsidR="004B7060" w:rsidRDefault="004B7060" w:rsidP="004B7060">
      <w:pPr>
        <w:spacing w:line="360" w:lineRule="auto"/>
        <w:jc w:val="both"/>
        <w:rPr>
          <w:rFonts w:ascii="Arial" w:hAnsi="Arial" w:cs="Arial"/>
        </w:rPr>
      </w:pPr>
    </w:p>
    <w:p w14:paraId="44399D30" w14:textId="77777777" w:rsidR="004B7060" w:rsidRDefault="004B7060" w:rsidP="004B7060">
      <w:pPr>
        <w:spacing w:line="360" w:lineRule="auto"/>
        <w:jc w:val="both"/>
        <w:rPr>
          <w:rFonts w:ascii="Arial" w:hAnsi="Arial" w:cs="Arial"/>
        </w:rPr>
      </w:pPr>
    </w:p>
    <w:p w14:paraId="280CDAA1" w14:textId="77777777" w:rsidR="004B7060" w:rsidRDefault="004B7060" w:rsidP="004B7060">
      <w:pPr>
        <w:spacing w:line="360" w:lineRule="auto"/>
        <w:jc w:val="both"/>
        <w:rPr>
          <w:rFonts w:ascii="Arial" w:hAnsi="Arial" w:cs="Arial"/>
        </w:rPr>
      </w:pPr>
    </w:p>
    <w:p w14:paraId="096E2709" w14:textId="77777777" w:rsidR="004B7060" w:rsidRDefault="004B7060" w:rsidP="004B7060">
      <w:pPr>
        <w:spacing w:line="360" w:lineRule="auto"/>
        <w:jc w:val="both"/>
        <w:rPr>
          <w:rFonts w:ascii="Arial" w:hAnsi="Arial" w:cs="Arial"/>
        </w:rPr>
      </w:pPr>
    </w:p>
    <w:p w14:paraId="5A58D4C7" w14:textId="77777777" w:rsidR="004B7060" w:rsidRDefault="004B7060" w:rsidP="004B7060">
      <w:pPr>
        <w:spacing w:line="360" w:lineRule="auto"/>
        <w:jc w:val="both"/>
        <w:rPr>
          <w:rFonts w:ascii="Arial" w:hAnsi="Arial" w:cs="Arial"/>
        </w:rPr>
      </w:pPr>
    </w:p>
    <w:p w14:paraId="031CEED5" w14:textId="77777777" w:rsidR="004B7060" w:rsidRDefault="004B7060" w:rsidP="004B7060">
      <w:pPr>
        <w:spacing w:line="360" w:lineRule="auto"/>
        <w:jc w:val="both"/>
        <w:rPr>
          <w:rFonts w:ascii="Arial" w:hAnsi="Arial" w:cs="Arial"/>
        </w:rPr>
      </w:pPr>
    </w:p>
    <w:p w14:paraId="79E4DFFD" w14:textId="74945212" w:rsidR="004B7060" w:rsidRDefault="004B7060" w:rsidP="004B7060">
      <w:pPr>
        <w:pStyle w:val="Heading3"/>
        <w:spacing w:line="360" w:lineRule="auto"/>
        <w:rPr>
          <w:rFonts w:ascii="Arial" w:hAnsi="Arial" w:cs="Arial"/>
        </w:rPr>
      </w:pPr>
      <w:bookmarkStart w:id="10" w:name="_Toc224815171"/>
      <w:r w:rsidRPr="004B7060">
        <w:rPr>
          <w:rFonts w:ascii="Arial" w:hAnsi="Arial" w:cs="Arial"/>
        </w:rPr>
        <w:t>Reference</w:t>
      </w:r>
      <w:r>
        <w:rPr>
          <w:rFonts w:ascii="Arial" w:hAnsi="Arial" w:cs="Arial"/>
        </w:rPr>
        <w:t>s</w:t>
      </w:r>
      <w:bookmarkEnd w:id="10"/>
      <w:r w:rsidRPr="004B7060">
        <w:rPr>
          <w:rFonts w:ascii="Arial" w:hAnsi="Arial" w:cs="Arial"/>
        </w:rPr>
        <w:t xml:space="preserve"> </w:t>
      </w:r>
    </w:p>
    <w:p w14:paraId="4BDAF874" w14:textId="77777777" w:rsidR="009620F5" w:rsidRPr="009620F5" w:rsidRDefault="009620F5" w:rsidP="009620F5">
      <w:r w:rsidRPr="009620F5">
        <w:t>Aguilar, F.J. (1967) </w:t>
      </w:r>
      <w:r w:rsidRPr="009620F5">
        <w:rPr>
          <w:i/>
          <w:iCs/>
        </w:rPr>
        <w:t>Scanning the Business Environment</w:t>
      </w:r>
      <w:r w:rsidRPr="009620F5">
        <w:t>. New York: Macmillan. </w:t>
      </w:r>
    </w:p>
    <w:p w14:paraId="2A7A61C5" w14:textId="77777777" w:rsidR="009620F5" w:rsidRPr="009620F5" w:rsidRDefault="009620F5" w:rsidP="009620F5">
      <w:r w:rsidRPr="009620F5">
        <w:lastRenderedPageBreak/>
        <w:t>Armstrong, M. and Taylor, S. (2026) </w:t>
      </w:r>
      <w:r w:rsidRPr="009620F5">
        <w:rPr>
          <w:i/>
          <w:iCs/>
        </w:rPr>
        <w:t>Armstrong’s Handbook of Human Resource Management Practice: A Guide to the Theory and Practice of People Management</w:t>
      </w:r>
      <w:r w:rsidRPr="009620F5">
        <w:t>. 17th edn. London: Kogan Page. </w:t>
      </w:r>
    </w:p>
    <w:p w14:paraId="34057E0F" w14:textId="77777777" w:rsidR="009620F5" w:rsidRPr="009620F5" w:rsidRDefault="009620F5" w:rsidP="009620F5">
      <w:r w:rsidRPr="009620F5">
        <w:t>CIPD (2025) ‘Employee relations: An introduction’ (Factsheet, 16 July 2025). Chartered Institute of Personnel and Development. Accessed 19 March 2026. </w:t>
      </w:r>
    </w:p>
    <w:p w14:paraId="51C1E7D4" w14:textId="77777777" w:rsidR="009620F5" w:rsidRPr="009620F5" w:rsidRDefault="009620F5" w:rsidP="009620F5">
      <w:r w:rsidRPr="009620F5">
        <w:t>CIPD (2025) ‘Performance management’ (Factsheet). Chartered Institute of Personnel and Development. Accessed 19 March 2026. </w:t>
      </w:r>
    </w:p>
    <w:p w14:paraId="16E79CD0" w14:textId="77777777" w:rsidR="009620F5" w:rsidRPr="009620F5" w:rsidRDefault="009620F5" w:rsidP="009620F5">
      <w:r w:rsidRPr="009620F5">
        <w:t>CIPD (2025) ‘Recruitment: An introduction’ (Factsheet, 2 December 2025). Chartered Institute of Personnel and Development. Accessed 19 March 2026. </w:t>
      </w:r>
    </w:p>
    <w:p w14:paraId="4E77A783" w14:textId="77777777" w:rsidR="009620F5" w:rsidRPr="009620F5" w:rsidRDefault="009620F5" w:rsidP="009620F5">
      <w:r w:rsidRPr="009620F5">
        <w:t>CIPD (n.d.) ‘The Profession Map’. Chartered Institute of Personnel and Development. Accessed 19 March 2026. </w:t>
      </w:r>
    </w:p>
    <w:p w14:paraId="5F621F29" w14:textId="77777777" w:rsidR="009620F5" w:rsidRPr="009620F5" w:rsidRDefault="009620F5" w:rsidP="009620F5">
      <w:r w:rsidRPr="009620F5">
        <w:t>European Commission (2025) ‘AI Act’ (Policy page on Regulation (EU) 2024/1689, with timeline and prohibited practices). Accessed 19 March 2026. </w:t>
      </w:r>
    </w:p>
    <w:p w14:paraId="5252482D" w14:textId="77777777" w:rsidR="009620F5" w:rsidRPr="009620F5" w:rsidRDefault="009620F5" w:rsidP="009620F5">
      <w:r w:rsidRPr="009620F5">
        <w:t>Gooderham, P., Mayrhofer, W. and Brewster, C. (2018) ‘A framework for comparative institutional research on HRM’ (working paper). University of Reading (CentAUR). Accessed 19 March 2026. </w:t>
      </w:r>
    </w:p>
    <w:p w14:paraId="39A7CFD9" w14:textId="77777777" w:rsidR="009620F5" w:rsidRPr="009620F5" w:rsidRDefault="009620F5" w:rsidP="009620F5">
      <w:r w:rsidRPr="009620F5">
        <w:t>Hill, T. and Westbrook, R. (1997) ‘SWOT analysis: time for a product recall’, </w:t>
      </w:r>
      <w:r w:rsidRPr="009620F5">
        <w:rPr>
          <w:i/>
          <w:iCs/>
        </w:rPr>
        <w:t>Long Range Planning</w:t>
      </w:r>
      <w:r w:rsidRPr="009620F5">
        <w:t>, 30(1), pp. 46–52. </w:t>
      </w:r>
    </w:p>
    <w:p w14:paraId="75DD8814" w14:textId="77777777" w:rsidR="009620F5" w:rsidRPr="009620F5" w:rsidRDefault="009620F5" w:rsidP="009620F5">
      <w:r w:rsidRPr="009620F5">
        <w:t>Hofstede, G. (2001) </w:t>
      </w:r>
      <w:r w:rsidRPr="009620F5">
        <w:rPr>
          <w:i/>
          <w:iCs/>
        </w:rPr>
        <w:t>Culture’s Consequences: Comparing Values, Behaviors, Institutions and Organizations Across Nations</w:t>
      </w:r>
      <w:r w:rsidRPr="009620F5">
        <w:t>. 2nd edn. Thousand Oaks, CA: Sage. </w:t>
      </w:r>
    </w:p>
    <w:p w14:paraId="4EBA55B6" w14:textId="77777777" w:rsidR="009620F5" w:rsidRPr="009620F5" w:rsidRDefault="009620F5" w:rsidP="009620F5">
      <w:r w:rsidRPr="009620F5">
        <w:t>Huselid, M.A. (1995) ‘The impact of human resource management practices on turnover, productivity, and corporate financial performance’, </w:t>
      </w:r>
      <w:r w:rsidRPr="009620F5">
        <w:rPr>
          <w:i/>
          <w:iCs/>
        </w:rPr>
        <w:t>Academy of Management Journal</w:t>
      </w:r>
      <w:r w:rsidRPr="009620F5">
        <w:t>, 38(3), pp. 635–872. </w:t>
      </w:r>
    </w:p>
    <w:p w14:paraId="5D76F710" w14:textId="77777777" w:rsidR="009620F5" w:rsidRPr="009620F5" w:rsidRDefault="009620F5" w:rsidP="009620F5">
      <w:r w:rsidRPr="009620F5">
        <w:t>ICAEW (2017) ‘PESTEL – what is it and how to apply it’ (macro-environment analysis guidance). Institute of Chartered Accountants in England and Wales. Accessed 19 March 2026. </w:t>
      </w:r>
    </w:p>
    <w:p w14:paraId="37F119BF" w14:textId="77777777" w:rsidR="009620F5" w:rsidRPr="009620F5" w:rsidRDefault="009620F5" w:rsidP="009620F5">
      <w:r w:rsidRPr="009620F5">
        <w:t>ICO (n.d.) ‘Employee monitoring – is it right for your business?’ Information Commissioner’s Office. Accessed 19 March 2026. </w:t>
      </w:r>
    </w:p>
    <w:p w14:paraId="377594AC" w14:textId="77777777" w:rsidR="009620F5" w:rsidRPr="009620F5" w:rsidRDefault="009620F5" w:rsidP="009620F5">
      <w:r w:rsidRPr="009620F5">
        <w:t>ICO (2025) ‘The Data Use and Access Act 2025 (DUAA) – what does it mean for organisations?’ Information Commissioner’s Office (guidance updated 19 June 2025). Accessed 19 March 2026. </w:t>
      </w:r>
    </w:p>
    <w:p w14:paraId="5007442C" w14:textId="77777777" w:rsidR="009620F5" w:rsidRPr="009620F5" w:rsidRDefault="009620F5" w:rsidP="009620F5">
      <w:r w:rsidRPr="009620F5">
        <w:t>McSweeney, B. (2002) ‘Hofstede’s model of national cultural differences and their consequences: a triumph of faith – a failure of analysis’, </w:t>
      </w:r>
      <w:r w:rsidRPr="009620F5">
        <w:rPr>
          <w:i/>
          <w:iCs/>
        </w:rPr>
        <w:t>Human Relations</w:t>
      </w:r>
      <w:r w:rsidRPr="009620F5">
        <w:t>, 55(1), pp. 89–118. </w:t>
      </w:r>
    </w:p>
    <w:p w14:paraId="416F7265" w14:textId="77777777" w:rsidR="009620F5" w:rsidRPr="009620F5" w:rsidRDefault="009620F5" w:rsidP="009620F5">
      <w:r w:rsidRPr="009620F5">
        <w:lastRenderedPageBreak/>
        <w:t>UK Government (n.d.) ‘Data protection: the UK’s data protection legislation’. GOV.UK. Accessed 19 March 2026. </w:t>
      </w:r>
    </w:p>
    <w:p w14:paraId="6B846CF9" w14:textId="77777777" w:rsidR="009620F5" w:rsidRPr="009620F5" w:rsidRDefault="009620F5" w:rsidP="009620F5">
      <w:r w:rsidRPr="009620F5">
        <w:t>Unilever (2023) </w:t>
      </w:r>
      <w:r w:rsidRPr="009620F5">
        <w:rPr>
          <w:i/>
          <w:iCs/>
        </w:rPr>
        <w:t>Human Rights Policy Statement</w:t>
      </w:r>
      <w:r w:rsidRPr="009620F5">
        <w:t> (March 2023). Accessed 19 March 2026. </w:t>
      </w:r>
    </w:p>
    <w:p w14:paraId="525575F5" w14:textId="77777777" w:rsidR="009620F5" w:rsidRPr="009620F5" w:rsidRDefault="009620F5" w:rsidP="009620F5">
      <w:r w:rsidRPr="009620F5">
        <w:t>Unilever (2026) </w:t>
      </w:r>
      <w:r w:rsidRPr="009620F5">
        <w:rPr>
          <w:i/>
          <w:iCs/>
        </w:rPr>
        <w:t>Unilever Annual Report and Accounts 2025</w:t>
      </w:r>
      <w:r w:rsidRPr="009620F5">
        <w:t> (PDF published March 2026). Accessed 19 March 2026. </w:t>
      </w:r>
    </w:p>
    <w:p w14:paraId="339B0841" w14:textId="77777777" w:rsidR="009620F5" w:rsidRPr="009620F5" w:rsidRDefault="009620F5" w:rsidP="009620F5">
      <w:r w:rsidRPr="009620F5">
        <w:t>Unilever (n.d.) ‘Human rights in our own operations’ (webpage including labour rights and global presence). Accessed 19 March 2026. </w:t>
      </w:r>
    </w:p>
    <w:p w14:paraId="5D986DB1" w14:textId="77777777" w:rsidR="009620F5" w:rsidRPr="009620F5" w:rsidRDefault="009620F5" w:rsidP="009620F5">
      <w:r w:rsidRPr="009620F5">
        <w:t>World Economic Forum (2025) </w:t>
      </w:r>
      <w:r w:rsidRPr="009620F5">
        <w:rPr>
          <w:i/>
          <w:iCs/>
        </w:rPr>
        <w:t>The Future of Jobs Report 2025</w:t>
      </w:r>
      <w:r w:rsidRPr="009620F5">
        <w:t> (report page and key findings). Accessed 19 March 2026. </w:t>
      </w:r>
    </w:p>
    <w:p w14:paraId="3BB51577" w14:textId="77777777" w:rsidR="009620F5" w:rsidRPr="009620F5" w:rsidRDefault="009620F5" w:rsidP="009620F5">
      <w:r w:rsidRPr="009620F5">
        <w:t>World Economic Forum (2025) ‘Future of Jobs Report 2025: The jobs of the future – and the skills you need to get them’ (article, 8 January 2025). Accessed 19 March 2026. </w:t>
      </w:r>
    </w:p>
    <w:p w14:paraId="2D053ADE" w14:textId="77777777" w:rsidR="009620F5" w:rsidRPr="009620F5" w:rsidRDefault="009620F5" w:rsidP="009620F5">
      <w:r w:rsidRPr="009620F5">
        <w:t>Whittington, R., Regnér, P., Johnson, G., Angwin, D. and Scholes, K. (2019) </w:t>
      </w:r>
      <w:r w:rsidRPr="009620F5">
        <w:rPr>
          <w:i/>
          <w:iCs/>
        </w:rPr>
        <w:t>Exploring Strategy, Text and Cases</w:t>
      </w:r>
      <w:r w:rsidRPr="009620F5">
        <w:t>. 12th edn. Harlow: Pearson. </w:t>
      </w:r>
    </w:p>
    <w:p w14:paraId="4439F237" w14:textId="77777777" w:rsidR="009620F5" w:rsidRPr="00192BC0" w:rsidRDefault="009620F5" w:rsidP="009620F5"/>
    <w:p w14:paraId="3B1FBA2C" w14:textId="77777777" w:rsidR="00192BC0" w:rsidRPr="00192BC0" w:rsidRDefault="00192BC0" w:rsidP="00192BC0">
      <w:pPr>
        <w:spacing w:line="360" w:lineRule="auto"/>
        <w:jc w:val="center"/>
        <w:rPr>
          <w:rFonts w:ascii="Arial" w:hAnsi="Arial" w:cs="Arial"/>
          <w:sz w:val="36"/>
          <w:szCs w:val="36"/>
        </w:rPr>
      </w:pPr>
    </w:p>
    <w:sectPr w:rsidR="00192BC0" w:rsidRPr="00192BC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F1FF0C" w14:textId="77777777" w:rsidR="00601E42" w:rsidRDefault="00601E42" w:rsidP="004A00E9">
      <w:pPr>
        <w:spacing w:after="0" w:line="240" w:lineRule="auto"/>
      </w:pPr>
      <w:r>
        <w:separator/>
      </w:r>
    </w:p>
  </w:endnote>
  <w:endnote w:type="continuationSeparator" w:id="0">
    <w:p w14:paraId="27A3057E" w14:textId="77777777" w:rsidR="00601E42" w:rsidRDefault="00601E42" w:rsidP="004A0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3046001"/>
      <w:docPartObj>
        <w:docPartGallery w:val="Page Numbers (Bottom of Page)"/>
        <w:docPartUnique/>
      </w:docPartObj>
    </w:sdtPr>
    <w:sdtContent>
      <w:p w14:paraId="706A7020" w14:textId="7A3B8609" w:rsidR="004A00E9" w:rsidRDefault="004A00E9">
        <w:pPr>
          <w:pStyle w:val="Footer"/>
          <w:jc w:val="center"/>
        </w:pPr>
        <w:r>
          <w:fldChar w:fldCharType="begin"/>
        </w:r>
        <w:r>
          <w:instrText>PAGE   \* MERGEFORMAT</w:instrText>
        </w:r>
        <w:r>
          <w:fldChar w:fldCharType="separate"/>
        </w:r>
        <w:r>
          <w:t>2</w:t>
        </w:r>
        <w:r>
          <w:fldChar w:fldCharType="end"/>
        </w:r>
      </w:p>
    </w:sdtContent>
  </w:sdt>
  <w:p w14:paraId="0C753187" w14:textId="77777777" w:rsidR="004A00E9" w:rsidRDefault="004A00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40D94" w14:textId="77777777" w:rsidR="00601E42" w:rsidRDefault="00601E42" w:rsidP="004A00E9">
      <w:pPr>
        <w:spacing w:after="0" w:line="240" w:lineRule="auto"/>
      </w:pPr>
      <w:r>
        <w:separator/>
      </w:r>
    </w:p>
  </w:footnote>
  <w:footnote w:type="continuationSeparator" w:id="0">
    <w:p w14:paraId="26C07B5C" w14:textId="77777777" w:rsidR="00601E42" w:rsidRDefault="00601E42" w:rsidP="004A00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6E9"/>
    <w:rsid w:val="00192BC0"/>
    <w:rsid w:val="002C6422"/>
    <w:rsid w:val="003F1B7C"/>
    <w:rsid w:val="004A00E9"/>
    <w:rsid w:val="004B7060"/>
    <w:rsid w:val="00530CAC"/>
    <w:rsid w:val="00546251"/>
    <w:rsid w:val="00601E42"/>
    <w:rsid w:val="006360DE"/>
    <w:rsid w:val="00677ADC"/>
    <w:rsid w:val="007066E9"/>
    <w:rsid w:val="00763E88"/>
    <w:rsid w:val="00820BF6"/>
    <w:rsid w:val="00821964"/>
    <w:rsid w:val="008C7430"/>
    <w:rsid w:val="009620F5"/>
    <w:rsid w:val="00982BDB"/>
    <w:rsid w:val="00A05B65"/>
    <w:rsid w:val="00A4362A"/>
    <w:rsid w:val="00A85605"/>
    <w:rsid w:val="00A878A8"/>
    <w:rsid w:val="00A97854"/>
    <w:rsid w:val="00AC50A5"/>
    <w:rsid w:val="00DC357B"/>
    <w:rsid w:val="00EE0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36F87"/>
  <w15:chartTrackingRefBased/>
  <w15:docId w15:val="{2BD6B1AA-437B-47E8-A79C-FB22C1E1B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6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66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66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6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6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6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6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6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6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6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66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66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66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66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66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66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66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66E9"/>
    <w:rPr>
      <w:rFonts w:eastAsiaTheme="majorEastAsia" w:cstheme="majorBidi"/>
      <w:color w:val="272727" w:themeColor="text1" w:themeTint="D8"/>
    </w:rPr>
  </w:style>
  <w:style w:type="paragraph" w:styleId="Title">
    <w:name w:val="Title"/>
    <w:basedOn w:val="Normal"/>
    <w:next w:val="Normal"/>
    <w:link w:val="TitleChar"/>
    <w:uiPriority w:val="10"/>
    <w:qFormat/>
    <w:rsid w:val="007066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6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66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6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6E9"/>
    <w:pPr>
      <w:spacing w:before="160"/>
      <w:jc w:val="center"/>
    </w:pPr>
    <w:rPr>
      <w:i/>
      <w:iCs/>
      <w:color w:val="404040" w:themeColor="text1" w:themeTint="BF"/>
    </w:rPr>
  </w:style>
  <w:style w:type="character" w:customStyle="1" w:styleId="QuoteChar">
    <w:name w:val="Quote Char"/>
    <w:basedOn w:val="DefaultParagraphFont"/>
    <w:link w:val="Quote"/>
    <w:uiPriority w:val="29"/>
    <w:rsid w:val="007066E9"/>
    <w:rPr>
      <w:i/>
      <w:iCs/>
      <w:color w:val="404040" w:themeColor="text1" w:themeTint="BF"/>
    </w:rPr>
  </w:style>
  <w:style w:type="paragraph" w:styleId="ListParagraph">
    <w:name w:val="List Paragraph"/>
    <w:basedOn w:val="Normal"/>
    <w:uiPriority w:val="34"/>
    <w:qFormat/>
    <w:rsid w:val="007066E9"/>
    <w:pPr>
      <w:ind w:left="720"/>
      <w:contextualSpacing/>
    </w:pPr>
  </w:style>
  <w:style w:type="character" w:styleId="IntenseEmphasis">
    <w:name w:val="Intense Emphasis"/>
    <w:basedOn w:val="DefaultParagraphFont"/>
    <w:uiPriority w:val="21"/>
    <w:qFormat/>
    <w:rsid w:val="007066E9"/>
    <w:rPr>
      <w:i/>
      <w:iCs/>
      <w:color w:val="0F4761" w:themeColor="accent1" w:themeShade="BF"/>
    </w:rPr>
  </w:style>
  <w:style w:type="paragraph" w:styleId="IntenseQuote">
    <w:name w:val="Intense Quote"/>
    <w:basedOn w:val="Normal"/>
    <w:next w:val="Normal"/>
    <w:link w:val="IntenseQuoteChar"/>
    <w:uiPriority w:val="30"/>
    <w:qFormat/>
    <w:rsid w:val="007066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66E9"/>
    <w:rPr>
      <w:i/>
      <w:iCs/>
      <w:color w:val="0F4761" w:themeColor="accent1" w:themeShade="BF"/>
    </w:rPr>
  </w:style>
  <w:style w:type="character" w:styleId="IntenseReference">
    <w:name w:val="Intense Reference"/>
    <w:basedOn w:val="DefaultParagraphFont"/>
    <w:uiPriority w:val="32"/>
    <w:qFormat/>
    <w:rsid w:val="007066E9"/>
    <w:rPr>
      <w:b/>
      <w:bCs/>
      <w:smallCaps/>
      <w:color w:val="0F4761" w:themeColor="accent1" w:themeShade="BF"/>
      <w:spacing w:val="5"/>
    </w:rPr>
  </w:style>
  <w:style w:type="paragraph" w:styleId="TOCHeading">
    <w:name w:val="TOC Heading"/>
    <w:basedOn w:val="Heading1"/>
    <w:next w:val="Normal"/>
    <w:uiPriority w:val="39"/>
    <w:unhideWhenUsed/>
    <w:qFormat/>
    <w:rsid w:val="00192BC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A00E9"/>
    <w:pPr>
      <w:spacing w:after="100"/>
    </w:pPr>
  </w:style>
  <w:style w:type="paragraph" w:styleId="TOC2">
    <w:name w:val="toc 2"/>
    <w:basedOn w:val="Normal"/>
    <w:next w:val="Normal"/>
    <w:autoRedefine/>
    <w:uiPriority w:val="39"/>
    <w:unhideWhenUsed/>
    <w:rsid w:val="004A00E9"/>
    <w:pPr>
      <w:spacing w:after="100"/>
      <w:ind w:left="240"/>
    </w:pPr>
  </w:style>
  <w:style w:type="paragraph" w:styleId="TOC3">
    <w:name w:val="toc 3"/>
    <w:basedOn w:val="Normal"/>
    <w:next w:val="Normal"/>
    <w:autoRedefine/>
    <w:uiPriority w:val="39"/>
    <w:unhideWhenUsed/>
    <w:rsid w:val="004A00E9"/>
    <w:pPr>
      <w:spacing w:after="100"/>
      <w:ind w:left="480"/>
    </w:pPr>
  </w:style>
  <w:style w:type="character" w:styleId="Hyperlink">
    <w:name w:val="Hyperlink"/>
    <w:basedOn w:val="DefaultParagraphFont"/>
    <w:uiPriority w:val="99"/>
    <w:unhideWhenUsed/>
    <w:rsid w:val="004A00E9"/>
    <w:rPr>
      <w:color w:val="467886" w:themeColor="hyperlink"/>
      <w:u w:val="single"/>
    </w:rPr>
  </w:style>
  <w:style w:type="paragraph" w:styleId="Header">
    <w:name w:val="header"/>
    <w:basedOn w:val="Normal"/>
    <w:link w:val="HeaderChar"/>
    <w:uiPriority w:val="99"/>
    <w:unhideWhenUsed/>
    <w:rsid w:val="004A00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0E9"/>
  </w:style>
  <w:style w:type="paragraph" w:styleId="Footer">
    <w:name w:val="footer"/>
    <w:basedOn w:val="Normal"/>
    <w:link w:val="FooterChar"/>
    <w:uiPriority w:val="99"/>
    <w:unhideWhenUsed/>
    <w:rsid w:val="004A00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0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91C74C-022B-4C1B-A164-C3C2E9142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11</Pages>
  <Words>2755</Words>
  <Characters>15708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7</cp:revision>
  <dcterms:created xsi:type="dcterms:W3CDTF">2026-03-19T10:29:00Z</dcterms:created>
  <dcterms:modified xsi:type="dcterms:W3CDTF">2026-03-22T17:49:00Z</dcterms:modified>
</cp:coreProperties>
</file>