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82526699"/>
        <w:docPartObj>
          <w:docPartGallery w:val="Cover Pages"/>
          <w:docPartUnique/>
        </w:docPartObj>
      </w:sdtPr>
      <w:sdtEndPr>
        <w:rPr>
          <w:rFonts w:ascii="Arial Black" w:hAnsi="Arial Black" w:cs="Arial"/>
          <w:color w:val="F1A983" w:themeColor="accent2" w:themeTint="99"/>
        </w:rPr>
      </w:sdtEndPr>
      <w:sdtContent>
        <w:p w14:paraId="538EADB7" w14:textId="6AF1F7D3" w:rsidR="00A16706" w:rsidRDefault="00A16706"/>
        <w:p w14:paraId="2BBF90C1" w14:textId="14A3CCCE" w:rsidR="007B6183" w:rsidRPr="007B6183" w:rsidRDefault="007B6183" w:rsidP="007B6183">
          <w:pPr>
            <w:rPr>
              <w:rFonts w:ascii="Arial Black" w:hAnsi="Arial Black" w:cs="Arial"/>
              <w:color w:val="F1A983" w:themeColor="accent2" w:themeTint="99"/>
            </w:rPr>
          </w:pPr>
          <w:r w:rsidRPr="007B6183">
            <w:rPr>
              <w:rFonts w:ascii="Arial Black" w:hAnsi="Arial Black" w:cs="Arial"/>
              <w:color w:val="F1A983" w:themeColor="accent2" w:themeTint="99"/>
            </w:rPr>
            <w:t>Student name:</w:t>
          </w:r>
          <w:r>
            <w:rPr>
              <w:rFonts w:ascii="Arial Black" w:hAnsi="Arial Black" w:cs="Arial"/>
              <w:color w:val="F1A983" w:themeColor="accent2" w:themeTint="99"/>
            </w:rPr>
            <w:t xml:space="preserve"> Teodora Zenaida Goleanu</w:t>
          </w:r>
          <w:r w:rsidRPr="007B6183">
            <w:rPr>
              <w:rFonts w:ascii="Arial Black" w:hAnsi="Arial Black" w:cs="Arial"/>
              <w:color w:val="F1A983" w:themeColor="accent2" w:themeTint="99"/>
            </w:rPr>
            <w:t xml:space="preserve">     </w:t>
          </w:r>
        </w:p>
        <w:p w14:paraId="6F211640" w14:textId="4BFA74C1" w:rsidR="007B6183" w:rsidRPr="007B6183" w:rsidRDefault="007B6183" w:rsidP="007B6183">
          <w:pPr>
            <w:rPr>
              <w:rFonts w:ascii="Arial Black" w:hAnsi="Arial Black" w:cs="Arial"/>
              <w:color w:val="F1A983" w:themeColor="accent2" w:themeTint="99"/>
            </w:rPr>
          </w:pPr>
          <w:r>
            <w:rPr>
              <w:rFonts w:ascii="Arial Black" w:hAnsi="Arial Black" w:cs="Arial"/>
              <w:color w:val="F1A983" w:themeColor="accent2" w:themeTint="99"/>
            </w:rPr>
            <w:t>Student id number: 2414914</w:t>
          </w:r>
        </w:p>
        <w:p w14:paraId="6F211640" w14:textId="4BFA74C1" w:rsidR="007B6183" w:rsidRPr="007B6183" w:rsidRDefault="007B6183" w:rsidP="007B6183">
          <w:pPr>
            <w:rPr>
              <w:rFonts w:ascii="Arial Black" w:hAnsi="Arial Black" w:cs="Arial"/>
              <w:color w:val="F1A983" w:themeColor="accent2" w:themeTint="99"/>
            </w:rPr>
          </w:pPr>
          <w:r w:rsidRPr="007B6183">
            <w:rPr>
              <w:rFonts w:ascii="Arial Black" w:hAnsi="Arial Black" w:cs="Arial"/>
              <w:color w:val="F1A983" w:themeColor="accent2" w:themeTint="99"/>
            </w:rPr>
            <w:t>Programme:</w:t>
          </w:r>
          <w:r>
            <w:rPr>
              <w:rFonts w:ascii="Arial Black" w:hAnsi="Arial Black" w:cs="Arial"/>
              <w:color w:val="F1A983" w:themeColor="accent2" w:themeTint="99"/>
            </w:rPr>
            <w:t xml:space="preserve"> </w:t>
          </w:r>
          <w:r w:rsidRPr="007B6183">
            <w:rPr>
              <w:rFonts w:ascii="Arial Black" w:hAnsi="Arial Black" w:cs="Arial"/>
              <w:color w:val="F1A983" w:themeColor="accent2" w:themeTint="99"/>
            </w:rPr>
            <w:t>CERT HE Social Enterprise Management</w:t>
          </w:r>
        </w:p>
        <w:p w14:paraId="635F82CB" w14:textId="48AE3E42" w:rsidR="007B6183" w:rsidRPr="007B6183" w:rsidRDefault="007B6183" w:rsidP="007B6183">
          <w:pPr>
            <w:rPr>
              <w:rFonts w:ascii="Arial Black" w:hAnsi="Arial Black" w:cs="Arial"/>
              <w:color w:val="F1A983" w:themeColor="accent2" w:themeTint="99"/>
            </w:rPr>
          </w:pPr>
          <w:r w:rsidRPr="007B6183">
            <w:rPr>
              <w:rFonts w:ascii="Arial Black" w:hAnsi="Arial Black" w:cs="Arial"/>
              <w:color w:val="F1A983" w:themeColor="accent2" w:themeTint="99"/>
            </w:rPr>
            <w:t>Module:</w:t>
          </w:r>
          <w:r>
            <w:rPr>
              <w:rFonts w:ascii="Arial Black" w:hAnsi="Arial Black" w:cs="Arial"/>
              <w:color w:val="F1A983" w:themeColor="accent2" w:themeTint="99"/>
            </w:rPr>
            <w:t xml:space="preserve"> </w:t>
          </w:r>
          <w:r w:rsidRPr="007B6183">
            <w:rPr>
              <w:rFonts w:ascii="Arial Black" w:hAnsi="Arial Black" w:cs="Arial"/>
              <w:color w:val="F1A983" w:themeColor="accent2" w:themeTint="99"/>
            </w:rPr>
            <w:t>Social Enterprise: Theory and Practise</w:t>
          </w:r>
        </w:p>
        <w:p w14:paraId="6CB0EAF9" w14:textId="4BC35B8F" w:rsidR="00A16706" w:rsidRDefault="007B6183" w:rsidP="007B6183">
          <w:pPr>
            <w:rPr>
              <w:rFonts w:ascii="Arial Black" w:hAnsi="Arial Black" w:cs="Arial"/>
              <w:color w:val="F1A983" w:themeColor="accent2" w:themeTint="99"/>
            </w:rPr>
          </w:pPr>
          <w:r w:rsidRPr="007B6183">
            <w:rPr>
              <w:rFonts w:ascii="Arial Black" w:hAnsi="Arial Black" w:cs="Arial"/>
              <w:color w:val="F1A983" w:themeColor="accent2" w:themeTint="99"/>
            </w:rPr>
            <w:t>Module code:</w:t>
          </w:r>
          <w:r>
            <w:rPr>
              <w:rFonts w:ascii="Arial Black" w:hAnsi="Arial Black" w:cs="Arial"/>
              <w:color w:val="F1A983" w:themeColor="accent2" w:themeTint="99"/>
            </w:rPr>
            <w:t xml:space="preserve"> </w:t>
          </w:r>
          <w:r w:rsidRPr="007B6183">
            <w:rPr>
              <w:rFonts w:ascii="Arial Black" w:hAnsi="Arial Black" w:cs="Arial"/>
              <w:color w:val="F1A983" w:themeColor="accent2" w:themeTint="99"/>
            </w:rPr>
            <w:t>BMSE4009D</w:t>
          </w:r>
          <w:r w:rsidR="00A16706">
            <w:rPr>
              <w:noProof/>
            </w:rPr>
            <mc:AlternateContent>
              <mc:Choice Requires="wps">
                <w:drawing>
                  <wp:anchor distT="0" distB="0" distL="114300" distR="114300" simplePos="0" relativeHeight="251662336" behindDoc="0" locked="0" layoutInCell="1" allowOverlap="1" wp14:anchorId="7A86744C" wp14:editId="1328869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F1A983" w:themeColor="accent2" w:themeTint="99"/>
                                    <w:sz w:val="40"/>
                                    <w:szCs w:val="40"/>
                                  </w:rPr>
                                  <w:alias w:val="Publish Date"/>
                                  <w:tag w:val=""/>
                                  <w:id w:val="400952559"/>
                                  <w:dataBinding w:prefixMappings="xmlns:ns0='http://schemas.microsoft.com/office/2006/coverPageProps' " w:xpath="/ns0:CoverPageProperties[1]/ns0:PublishDate[1]" w:storeItemID="{55AF091B-3C7A-41E3-B477-F2FDAA23CFDA}"/>
                                  <w:date w:fullDate="2024-11-10T00:00:00Z">
                                    <w:dateFormat w:val="MMMM d, yyyy"/>
                                    <w:lid w:val="en-US"/>
                                    <w:storeMappedDataAs w:val="dateTime"/>
                                    <w:calendar w:val="gregorian"/>
                                  </w:date>
                                </w:sdtPr>
                                <w:sdtContent>
                                  <w:p w14:paraId="7B398EB2" w14:textId="4580FC90" w:rsidR="00A16706" w:rsidRPr="007B6183" w:rsidRDefault="00A16706">
                                    <w:pPr>
                                      <w:pStyle w:val="NoSpacing"/>
                                      <w:jc w:val="right"/>
                                      <w:rPr>
                                        <w:rFonts w:ascii="Arial Black" w:hAnsi="Arial Black"/>
                                        <w:caps/>
                                        <w:color w:val="F1A983" w:themeColor="accent2" w:themeTint="99"/>
                                        <w:sz w:val="40"/>
                                        <w:szCs w:val="40"/>
                                      </w:rPr>
                                    </w:pPr>
                                    <w:r w:rsidRPr="007B6183">
                                      <w:rPr>
                                        <w:rFonts w:ascii="Arial Black" w:hAnsi="Arial Black"/>
                                        <w:caps/>
                                        <w:color w:val="F1A983" w:themeColor="accent2" w:themeTint="99"/>
                                        <w:sz w:val="40"/>
                                        <w:szCs w:val="40"/>
                                      </w:rPr>
                                      <w:t>November 10,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A86744C"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F1A983" w:themeColor="accent2" w:themeTint="99"/>
                              <w:sz w:val="40"/>
                              <w:szCs w:val="40"/>
                            </w:rPr>
                            <w:alias w:val="Publish Date"/>
                            <w:tag w:val=""/>
                            <w:id w:val="400952559"/>
                            <w:dataBinding w:prefixMappings="xmlns:ns0='http://schemas.microsoft.com/office/2006/coverPageProps' " w:xpath="/ns0:CoverPageProperties[1]/ns0:PublishDate[1]" w:storeItemID="{55AF091B-3C7A-41E3-B477-F2FDAA23CFDA}"/>
                            <w:date w:fullDate="2024-11-10T00:00:00Z">
                              <w:dateFormat w:val="MMMM d, yyyy"/>
                              <w:lid w:val="en-US"/>
                              <w:storeMappedDataAs w:val="dateTime"/>
                              <w:calendar w:val="gregorian"/>
                            </w:date>
                          </w:sdtPr>
                          <w:sdtContent>
                            <w:p w14:paraId="7B398EB2" w14:textId="4580FC90" w:rsidR="00A16706" w:rsidRPr="007B6183" w:rsidRDefault="00A16706">
                              <w:pPr>
                                <w:pStyle w:val="NoSpacing"/>
                                <w:jc w:val="right"/>
                                <w:rPr>
                                  <w:rFonts w:ascii="Arial Black" w:hAnsi="Arial Black"/>
                                  <w:caps/>
                                  <w:color w:val="F1A983" w:themeColor="accent2" w:themeTint="99"/>
                                  <w:sz w:val="40"/>
                                  <w:szCs w:val="40"/>
                                </w:rPr>
                              </w:pPr>
                              <w:r w:rsidRPr="007B6183">
                                <w:rPr>
                                  <w:rFonts w:ascii="Arial Black" w:hAnsi="Arial Black"/>
                                  <w:caps/>
                                  <w:color w:val="F1A983" w:themeColor="accent2" w:themeTint="99"/>
                                  <w:sz w:val="40"/>
                                  <w:szCs w:val="40"/>
                                </w:rPr>
                                <w:t>November 10, 2024</w:t>
                              </w:r>
                            </w:p>
                          </w:sdtContent>
                        </w:sdt>
                      </w:txbxContent>
                    </v:textbox>
                    <w10:wrap type="square" anchorx="page" anchory="page"/>
                  </v:shape>
                </w:pict>
              </mc:Fallback>
            </mc:AlternateContent>
          </w:r>
          <w:r w:rsidR="00A16706">
            <w:rPr>
              <w:noProof/>
            </w:rPr>
            <mc:AlternateContent>
              <mc:Choice Requires="wps">
                <w:drawing>
                  <wp:anchor distT="0" distB="0" distL="114300" distR="114300" simplePos="0" relativeHeight="251660288" behindDoc="0" locked="0" layoutInCell="1" allowOverlap="1" wp14:anchorId="4A03C94F" wp14:editId="77124FB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2284C6" w14:textId="10E263D1" w:rsidR="00A16706" w:rsidRPr="007B6183" w:rsidRDefault="007B6183" w:rsidP="007B6183">
                                <w:pPr>
                                  <w:pStyle w:val="NoSpacing"/>
                                  <w:jc w:val="center"/>
                                  <w:rPr>
                                    <w:caps/>
                                    <w:color w:val="0A1D30" w:themeColor="text2" w:themeShade="BF"/>
                                    <w:sz w:val="52"/>
                                    <w:szCs w:val="52"/>
                                  </w:rPr>
                                </w:pPr>
                                <w:sdt>
                                  <w:sdtPr>
                                    <w:rPr>
                                      <w:rFonts w:ascii="Arial Black" w:hAnsi="Arial Black"/>
                                      <w:caps/>
                                      <w:color w:val="F1A983" w:themeColor="accent2" w:themeTint="99"/>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7B6183">
                                      <w:rPr>
                                        <w:rFonts w:ascii="Arial Black" w:hAnsi="Arial Black"/>
                                        <w:caps/>
                                        <w:color w:val="F1A983" w:themeColor="accent2" w:themeTint="99"/>
                                        <w:sz w:val="56"/>
                                        <w:szCs w:val="56"/>
                                      </w:rPr>
                                      <w:t>Opportunities and Threats to Social Enterprise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A03C94F"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4D2284C6" w14:textId="10E263D1" w:rsidR="00A16706" w:rsidRPr="007B6183" w:rsidRDefault="007B6183" w:rsidP="007B6183">
                          <w:pPr>
                            <w:pStyle w:val="NoSpacing"/>
                            <w:jc w:val="center"/>
                            <w:rPr>
                              <w:caps/>
                              <w:color w:val="0A1D30" w:themeColor="text2" w:themeShade="BF"/>
                              <w:sz w:val="52"/>
                              <w:szCs w:val="52"/>
                            </w:rPr>
                          </w:pPr>
                          <w:sdt>
                            <w:sdtPr>
                              <w:rPr>
                                <w:rFonts w:ascii="Arial Black" w:hAnsi="Arial Black"/>
                                <w:caps/>
                                <w:color w:val="F1A983" w:themeColor="accent2" w:themeTint="99"/>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7B6183">
                                <w:rPr>
                                  <w:rFonts w:ascii="Arial Black" w:hAnsi="Arial Black"/>
                                  <w:caps/>
                                  <w:color w:val="F1A983" w:themeColor="accent2" w:themeTint="99"/>
                                  <w:sz w:val="56"/>
                                  <w:szCs w:val="56"/>
                                </w:rPr>
                                <w:t>Opportunities and Threats to Social Enterprise</w:t>
                              </w:r>
                            </w:sdtContent>
                          </w:sdt>
                        </w:p>
                      </w:txbxContent>
                    </v:textbox>
                    <w10:wrap type="square" anchorx="page" anchory="page"/>
                  </v:shape>
                </w:pict>
              </mc:Fallback>
            </mc:AlternateContent>
          </w:r>
          <w:r w:rsidR="00A16706">
            <w:rPr>
              <w:noProof/>
            </w:rPr>
            <mc:AlternateContent>
              <mc:Choice Requires="wpg">
                <w:drawing>
                  <wp:anchor distT="0" distB="0" distL="114300" distR="114300" simplePos="0" relativeHeight="251659264" behindDoc="0" locked="0" layoutInCell="1" allowOverlap="1" wp14:anchorId="7D3B196E" wp14:editId="5F4B8BF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6337EF6"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A16706">
            <w:rPr>
              <w:rFonts w:ascii="Arial Black" w:hAnsi="Arial Black" w:cs="Arial"/>
              <w:color w:val="F1A983" w:themeColor="accent2" w:themeTint="99"/>
            </w:rPr>
            <w:br w:type="page"/>
          </w:r>
        </w:p>
      </w:sdtContent>
    </w:sdt>
    <w:p w14:paraId="25FCA886" w14:textId="22748F79" w:rsidR="00E664A2" w:rsidRPr="00A16706" w:rsidRDefault="00E664A2" w:rsidP="00E664A2">
      <w:pPr>
        <w:spacing w:line="480" w:lineRule="auto"/>
        <w:jc w:val="both"/>
        <w:rPr>
          <w:rFonts w:ascii="Arial Black" w:hAnsi="Arial Black" w:cs="Arial"/>
          <w:color w:val="F1A983" w:themeColor="accent2" w:themeTint="99"/>
        </w:rPr>
      </w:pPr>
      <w:r w:rsidRPr="00A16706">
        <w:rPr>
          <w:rFonts w:ascii="Arial Black" w:hAnsi="Arial Black" w:cs="Arial"/>
          <w:color w:val="F1A983" w:themeColor="accent2" w:themeTint="99"/>
        </w:rPr>
        <w:lastRenderedPageBreak/>
        <w:t xml:space="preserve">Introduction </w:t>
      </w:r>
    </w:p>
    <w:p w14:paraId="68647244" w14:textId="5AF5E26F" w:rsidR="00E664A2" w:rsidRDefault="00E664A2" w:rsidP="00E664A2">
      <w:pPr>
        <w:spacing w:line="480" w:lineRule="auto"/>
        <w:jc w:val="both"/>
        <w:rPr>
          <w:rFonts w:ascii="Arial" w:hAnsi="Arial" w:cs="Arial"/>
        </w:rPr>
      </w:pPr>
      <w:r w:rsidRPr="00E664A2">
        <w:rPr>
          <w:rFonts w:ascii="Arial" w:hAnsi="Arial" w:cs="Arial"/>
        </w:rPr>
        <w:t>Social enterprises signify a developing convergence of business expertise and social objectives, reflecting a transformative change from traditional profit-oriented entities. Social enterprises aim to create lasting social, environmental, and economic effects, addressing fundamental societal challenges through creative and financially sustainable approaches. Social enterprises create notable opportunities and challenges by merging purpose with profit, influenced by their distinct strengths, weaknesses, external opportunities, and threats. This essay employs a SWOT analysis framework to examine the internal and external elements influencing social enterprises in the present day, incorporating pertinent theories and practical examples to bolster the analysis.</w:t>
      </w:r>
    </w:p>
    <w:p w14:paraId="0C59DAC8" w14:textId="77777777" w:rsidR="00E664A2" w:rsidRDefault="00E664A2" w:rsidP="00E664A2">
      <w:pPr>
        <w:spacing w:line="480" w:lineRule="auto"/>
        <w:jc w:val="both"/>
        <w:rPr>
          <w:rFonts w:ascii="Arial" w:hAnsi="Arial" w:cs="Arial"/>
        </w:rPr>
      </w:pPr>
    </w:p>
    <w:p w14:paraId="7EC94250" w14:textId="77777777" w:rsidR="00E664A2" w:rsidRDefault="00E664A2" w:rsidP="00E664A2">
      <w:pPr>
        <w:spacing w:line="480" w:lineRule="auto"/>
        <w:jc w:val="both"/>
        <w:rPr>
          <w:rFonts w:ascii="Arial" w:hAnsi="Arial" w:cs="Arial"/>
        </w:rPr>
      </w:pPr>
    </w:p>
    <w:p w14:paraId="062D57D6" w14:textId="77777777" w:rsidR="00E664A2" w:rsidRDefault="00E664A2" w:rsidP="00E664A2">
      <w:pPr>
        <w:spacing w:line="480" w:lineRule="auto"/>
        <w:jc w:val="both"/>
        <w:rPr>
          <w:rFonts w:ascii="Arial" w:hAnsi="Arial" w:cs="Arial"/>
        </w:rPr>
      </w:pPr>
    </w:p>
    <w:p w14:paraId="5BE6B074" w14:textId="77777777" w:rsidR="00E664A2" w:rsidRDefault="00E664A2" w:rsidP="00E664A2">
      <w:pPr>
        <w:spacing w:line="480" w:lineRule="auto"/>
        <w:jc w:val="both"/>
        <w:rPr>
          <w:rFonts w:ascii="Arial" w:hAnsi="Arial" w:cs="Arial"/>
        </w:rPr>
      </w:pPr>
    </w:p>
    <w:p w14:paraId="3C1F556A" w14:textId="77777777" w:rsidR="00E664A2" w:rsidRDefault="00E664A2" w:rsidP="00E664A2">
      <w:pPr>
        <w:spacing w:line="480" w:lineRule="auto"/>
        <w:jc w:val="both"/>
        <w:rPr>
          <w:rFonts w:ascii="Arial" w:hAnsi="Arial" w:cs="Arial"/>
        </w:rPr>
      </w:pPr>
    </w:p>
    <w:p w14:paraId="77FE65D2" w14:textId="77777777" w:rsidR="00E664A2" w:rsidRDefault="00E664A2" w:rsidP="00E664A2">
      <w:pPr>
        <w:spacing w:line="480" w:lineRule="auto"/>
        <w:jc w:val="both"/>
        <w:rPr>
          <w:rFonts w:ascii="Arial" w:hAnsi="Arial" w:cs="Arial"/>
        </w:rPr>
      </w:pPr>
    </w:p>
    <w:p w14:paraId="780665B1" w14:textId="77777777" w:rsidR="00E664A2" w:rsidRDefault="00E664A2" w:rsidP="00E664A2">
      <w:pPr>
        <w:spacing w:line="480" w:lineRule="auto"/>
        <w:jc w:val="both"/>
        <w:rPr>
          <w:rFonts w:ascii="Arial" w:hAnsi="Arial" w:cs="Arial"/>
        </w:rPr>
      </w:pPr>
    </w:p>
    <w:p w14:paraId="2397C869" w14:textId="77777777" w:rsidR="00E664A2" w:rsidRDefault="00E664A2" w:rsidP="00E664A2">
      <w:pPr>
        <w:spacing w:line="480" w:lineRule="auto"/>
        <w:jc w:val="both"/>
        <w:rPr>
          <w:rFonts w:ascii="Arial" w:hAnsi="Arial" w:cs="Arial"/>
        </w:rPr>
      </w:pPr>
    </w:p>
    <w:p w14:paraId="680E862E" w14:textId="77777777" w:rsidR="00E664A2" w:rsidRDefault="00E664A2" w:rsidP="00E664A2">
      <w:pPr>
        <w:spacing w:line="480" w:lineRule="auto"/>
        <w:jc w:val="both"/>
        <w:rPr>
          <w:rFonts w:ascii="Arial" w:hAnsi="Arial" w:cs="Arial"/>
        </w:rPr>
      </w:pPr>
    </w:p>
    <w:p w14:paraId="46E282DE" w14:textId="77777777" w:rsidR="00E664A2" w:rsidRDefault="00E664A2" w:rsidP="00E664A2">
      <w:pPr>
        <w:spacing w:line="480" w:lineRule="auto"/>
        <w:jc w:val="both"/>
        <w:rPr>
          <w:rFonts w:ascii="Arial" w:hAnsi="Arial" w:cs="Arial"/>
        </w:rPr>
      </w:pPr>
    </w:p>
    <w:p w14:paraId="751B98A4" w14:textId="77777777" w:rsidR="00E664A2" w:rsidRDefault="00E664A2" w:rsidP="00E664A2">
      <w:pPr>
        <w:spacing w:line="480" w:lineRule="auto"/>
        <w:jc w:val="both"/>
        <w:rPr>
          <w:rFonts w:ascii="Arial" w:hAnsi="Arial" w:cs="Arial"/>
        </w:rPr>
      </w:pPr>
    </w:p>
    <w:p w14:paraId="4E13BC19" w14:textId="77777777" w:rsidR="00E664A2" w:rsidRPr="00A16706" w:rsidRDefault="00E664A2" w:rsidP="00E664A2">
      <w:pPr>
        <w:spacing w:line="480" w:lineRule="auto"/>
        <w:jc w:val="both"/>
        <w:rPr>
          <w:rFonts w:ascii="Arial Black" w:hAnsi="Arial Black" w:cs="Arial"/>
          <w:color w:val="F1A983" w:themeColor="accent2" w:themeTint="99"/>
        </w:rPr>
      </w:pPr>
      <w:r w:rsidRPr="00E664A2">
        <w:rPr>
          <w:rFonts w:ascii="Arial Black" w:hAnsi="Arial Black" w:cs="Arial"/>
          <w:color w:val="F1A983" w:themeColor="accent2" w:themeTint="99"/>
        </w:rPr>
        <w:lastRenderedPageBreak/>
        <w:t>Strengths: Commitment to Mission and Involvement of Stakeholders</w:t>
      </w:r>
    </w:p>
    <w:p w14:paraId="0EFFF304" w14:textId="77777777" w:rsidR="00E664A2" w:rsidRDefault="00E664A2" w:rsidP="00E664A2">
      <w:pPr>
        <w:spacing w:line="480" w:lineRule="auto"/>
        <w:jc w:val="both"/>
        <w:rPr>
          <w:rFonts w:ascii="Arial" w:hAnsi="Arial" w:cs="Arial"/>
        </w:rPr>
      </w:pPr>
      <w:r w:rsidRPr="00E664A2">
        <w:rPr>
          <w:rFonts w:ascii="Arial" w:hAnsi="Arial" w:cs="Arial"/>
        </w:rPr>
        <w:t>A key strength of social enterprises is their focus on mission, which allows them to engage a variety of stakeholders who are dedicated to a common goal. Stakeholder theory, introduced by Freeman (1984), is crucial in this context, as it highlights the significance of generating value for all stakeholders, such as employees, customers, and communities, instead of concentrating exclusively on profit. For example, Divine Chocolate, a social enterprise based in the UK that sources fair-trade cocoa, demonstrates stakeholder engagement by enabling Ghanaian farmers to hold shares in the company. This method is in accordance with Freeman’s perspective as it not only serves the interests of shareholders but also actively promotes the welfare and empowerment of cocoa farming communities.</w:t>
      </w:r>
    </w:p>
    <w:p w14:paraId="77FF184C" w14:textId="77777777" w:rsidR="00E664A2" w:rsidRDefault="00E664A2" w:rsidP="00E664A2">
      <w:pPr>
        <w:spacing w:line="480" w:lineRule="auto"/>
        <w:jc w:val="both"/>
        <w:rPr>
          <w:rFonts w:ascii="Arial" w:hAnsi="Arial" w:cs="Arial"/>
        </w:rPr>
      </w:pPr>
      <w:r w:rsidRPr="00E664A2">
        <w:rPr>
          <w:rFonts w:ascii="Arial" w:hAnsi="Arial" w:cs="Arial"/>
        </w:rPr>
        <w:t>Additionally, the simultaneous emphasis on profit and purpose draws in customers and employees who prioritise socially responsible practices, thereby strengthening brand loyalty and improving employee retention. Jed Emerson's blended value theory further supports this idea, suggesting that financial and social returns are linked rather than separate. Companies such as Warby Parker, an eyewear brand that gives away a pair of glasses for every pair purchased, exemplify this concept by showing that profit and purpose can work together, generating both intrinsic and extrinsic value at the same time. This unique method of generating value frequently gives social enterprises a competitive edge, nurturing strong relationships with socially aware consumers and building lasting brand loyalty.</w:t>
      </w:r>
    </w:p>
    <w:p w14:paraId="209EF9CD" w14:textId="77777777" w:rsidR="00E664A2" w:rsidRPr="00A16706" w:rsidRDefault="00E664A2" w:rsidP="00E664A2">
      <w:pPr>
        <w:spacing w:line="480" w:lineRule="auto"/>
        <w:jc w:val="both"/>
        <w:rPr>
          <w:rFonts w:ascii="Arial Black" w:hAnsi="Arial Black" w:cs="Arial"/>
          <w:color w:val="F1A983" w:themeColor="accent2" w:themeTint="99"/>
        </w:rPr>
      </w:pPr>
      <w:r w:rsidRPr="00E664A2">
        <w:rPr>
          <w:rFonts w:ascii="Arial Black" w:hAnsi="Arial Black" w:cs="Arial"/>
          <w:color w:val="F1A983" w:themeColor="accent2" w:themeTint="99"/>
        </w:rPr>
        <w:t xml:space="preserve">Weaknesses: Dependence on Resources </w:t>
      </w:r>
    </w:p>
    <w:p w14:paraId="37B34496" w14:textId="77777777" w:rsidR="00E664A2" w:rsidRDefault="00E664A2" w:rsidP="00E664A2">
      <w:pPr>
        <w:spacing w:line="480" w:lineRule="auto"/>
        <w:jc w:val="both"/>
        <w:rPr>
          <w:rFonts w:ascii="Arial" w:hAnsi="Arial" w:cs="Arial"/>
        </w:rPr>
      </w:pPr>
      <w:r w:rsidRPr="00E664A2">
        <w:rPr>
          <w:rFonts w:ascii="Arial" w:hAnsi="Arial" w:cs="Arial"/>
        </w:rPr>
        <w:t xml:space="preserve">Nonetheless, social enterprises encounter fundamental vulnerabilities, mainly stemming from their reliance on resources and the potential for mission drift. A variety </w:t>
      </w:r>
      <w:r w:rsidRPr="00E664A2">
        <w:rPr>
          <w:rFonts w:ascii="Arial" w:hAnsi="Arial" w:cs="Arial"/>
        </w:rPr>
        <w:lastRenderedPageBreak/>
        <w:t xml:space="preserve">of funding sources, such as grants, donations, and revenue generated internally, are essential for many social enterprises, which makes them especially susceptible to financial instability. Pfeffer and </w:t>
      </w:r>
      <w:proofErr w:type="spellStart"/>
      <w:r w:rsidRPr="00E664A2">
        <w:rPr>
          <w:rFonts w:ascii="Arial" w:hAnsi="Arial" w:cs="Arial"/>
        </w:rPr>
        <w:t>Salancik’s</w:t>
      </w:r>
      <w:proofErr w:type="spellEnd"/>
      <w:r w:rsidRPr="00E664A2">
        <w:rPr>
          <w:rFonts w:ascii="Arial" w:hAnsi="Arial" w:cs="Arial"/>
        </w:rPr>
        <w:t xml:space="preserve"> resource dependency theory (1978) is relevant in this context, as it illustrates how organisations that depend on external resources frequently encounter considerable difficulties in adjusting to fluctuations in resource availability. For example, TOMS Shoes, which first achieved success with its “one-for-one” model, faced sustainability challenges as it grew quickly without obtaining reliable financial support. Relying on donors or investors can limit the decision-making independence of social enterprises, hindering their ability to uphold their social mission.</w:t>
      </w:r>
    </w:p>
    <w:p w14:paraId="556E592B" w14:textId="77777777" w:rsidR="00E664A2" w:rsidRDefault="00E664A2" w:rsidP="00E664A2">
      <w:pPr>
        <w:spacing w:line="480" w:lineRule="auto"/>
        <w:jc w:val="both"/>
        <w:rPr>
          <w:rFonts w:ascii="Arial" w:hAnsi="Arial" w:cs="Arial"/>
        </w:rPr>
      </w:pPr>
      <w:r w:rsidRPr="00E664A2">
        <w:rPr>
          <w:rFonts w:ascii="Arial" w:hAnsi="Arial" w:cs="Arial"/>
        </w:rPr>
        <w:t>Mission drift represents a notable vulnerability for social enterprises, especially those aiming for self-sufficiency while managing social goals. The mission drift theory (Alter, 2007) warns that social enterprises may stray from their initial objectives if financial ambitions take precedence over social outcomes. Kickstart International, a social enterprise dedicated to reducing poverty by providing affordable agricultural tools, has faced the challenge of ensuring accessibility for low-income farmers while expanding their operations. Even with the achievements, maintaining a balance between profitability and affordability continues to be a significant challenge for social enterprises in comparable situations, as a strong focus on revenue may weaken the organization's dedication to social transformation.</w:t>
      </w:r>
    </w:p>
    <w:p w14:paraId="57F32494" w14:textId="25CF1610" w:rsidR="00E664A2" w:rsidRPr="00A16706" w:rsidRDefault="00E664A2" w:rsidP="00E664A2">
      <w:pPr>
        <w:spacing w:line="480" w:lineRule="auto"/>
        <w:jc w:val="both"/>
        <w:rPr>
          <w:rFonts w:ascii="Arial Black" w:hAnsi="Arial Black" w:cs="Arial"/>
          <w:color w:val="F1A983" w:themeColor="accent2" w:themeTint="99"/>
        </w:rPr>
      </w:pPr>
      <w:r w:rsidRPr="00E664A2">
        <w:rPr>
          <w:rFonts w:ascii="Arial Black" w:hAnsi="Arial Black" w:cs="Arial"/>
          <w:color w:val="F1A983" w:themeColor="accent2" w:themeTint="99"/>
        </w:rPr>
        <w:t>Opportunities: Creativity, Evaluating Impact, and Expanding Social Influenc</w:t>
      </w:r>
      <w:r w:rsidRPr="00A16706">
        <w:rPr>
          <w:rFonts w:ascii="Arial Black" w:hAnsi="Arial Black" w:cs="Arial"/>
          <w:color w:val="F1A983" w:themeColor="accent2" w:themeTint="99"/>
        </w:rPr>
        <w:t>e</w:t>
      </w:r>
    </w:p>
    <w:p w14:paraId="30E6F3F0" w14:textId="77777777" w:rsidR="00E664A2" w:rsidRDefault="00E664A2" w:rsidP="00E664A2">
      <w:pPr>
        <w:spacing w:line="480" w:lineRule="auto"/>
        <w:jc w:val="both"/>
        <w:rPr>
          <w:rFonts w:ascii="Arial" w:hAnsi="Arial" w:cs="Arial"/>
        </w:rPr>
      </w:pPr>
      <w:r w:rsidRPr="00E664A2">
        <w:rPr>
          <w:rFonts w:ascii="Arial" w:hAnsi="Arial" w:cs="Arial"/>
        </w:rPr>
        <w:t xml:space="preserve">Innovation offers a thrilling opportunity for social enterprises, enabling them to tackle intricate social challenges with inventive solutions. According to social innovation </w:t>
      </w:r>
      <w:r w:rsidRPr="00E664A2">
        <w:rPr>
          <w:rFonts w:ascii="Arial" w:hAnsi="Arial" w:cs="Arial"/>
        </w:rPr>
        <w:lastRenderedPageBreak/>
        <w:t xml:space="preserve">theory, as explored by researchers such as Dees (1998) and </w:t>
      </w:r>
      <w:proofErr w:type="spellStart"/>
      <w:r w:rsidRPr="00E664A2">
        <w:rPr>
          <w:rFonts w:ascii="Arial" w:hAnsi="Arial" w:cs="Arial"/>
        </w:rPr>
        <w:t>Mulgan</w:t>
      </w:r>
      <w:proofErr w:type="spellEnd"/>
      <w:r w:rsidRPr="00E664A2">
        <w:rPr>
          <w:rFonts w:ascii="Arial" w:hAnsi="Arial" w:cs="Arial"/>
        </w:rPr>
        <w:t xml:space="preserve"> (2006), social enterprises have the potential to introduce innovative solutions to social issues that conventional models frequently miss. For example, Patagonia, a clothing brand deeply dedicated to environmental sustainability, illustrates this creative approach. The company has implemented practices like encouraging clothing repair and recycling, which are seldom embraced by traditional fashion brands. Through the integration of sustainable practices into its business model, Patagonia showcases how innovation can fulfil environmental objectives while also attaining financial success, thereby generating considerable brand value.</w:t>
      </w:r>
    </w:p>
    <w:p w14:paraId="4AEACC25" w14:textId="77777777" w:rsidR="00E664A2" w:rsidRDefault="00E664A2" w:rsidP="00E664A2">
      <w:pPr>
        <w:spacing w:line="480" w:lineRule="auto"/>
        <w:jc w:val="both"/>
        <w:rPr>
          <w:rFonts w:ascii="Arial" w:hAnsi="Arial" w:cs="Arial"/>
        </w:rPr>
      </w:pPr>
      <w:r w:rsidRPr="00E664A2">
        <w:rPr>
          <w:rFonts w:ascii="Arial" w:hAnsi="Arial" w:cs="Arial"/>
        </w:rPr>
        <w:t xml:space="preserve">Additionally, assessing social impact using frameworks such as Social Return on Investment (SROI) provides social enterprises with the chance to boost their credibility and draw in investors who prioritise impact. The Roberts Enterprise Development Fund (REDF), a leader in SROI, established a method for measuring social outcomes, allowing organisations to more effectively convey their successes. Currently, social enterprises like </w:t>
      </w:r>
      <w:proofErr w:type="spellStart"/>
      <w:r w:rsidRPr="00E664A2">
        <w:rPr>
          <w:rFonts w:ascii="Arial" w:hAnsi="Arial" w:cs="Arial"/>
        </w:rPr>
        <w:t>Benetech</w:t>
      </w:r>
      <w:proofErr w:type="spellEnd"/>
      <w:r w:rsidRPr="00E664A2">
        <w:rPr>
          <w:rFonts w:ascii="Arial" w:hAnsi="Arial" w:cs="Arial"/>
        </w:rPr>
        <w:t>, a nonprofit focused on technology, utilise SROI to assess and communicate the value generated by their accessible technology solutions for individuals with disabilities. By measuring social impact, social enterprises not only show accountability but also attract more funding from impact investors who value returns that extend beyond just financial profits.</w:t>
      </w:r>
    </w:p>
    <w:p w14:paraId="56A00C7E" w14:textId="77777777" w:rsidR="00E664A2" w:rsidRDefault="00E664A2" w:rsidP="00E664A2">
      <w:pPr>
        <w:spacing w:line="480" w:lineRule="auto"/>
        <w:jc w:val="both"/>
        <w:rPr>
          <w:rFonts w:ascii="Arial" w:hAnsi="Arial" w:cs="Arial"/>
        </w:rPr>
      </w:pPr>
      <w:r w:rsidRPr="00E664A2">
        <w:rPr>
          <w:rFonts w:ascii="Arial" w:hAnsi="Arial" w:cs="Arial"/>
        </w:rPr>
        <w:t xml:space="preserve">Expanding social impact presents a valuable opportunity, though it necessitates thoughtful oversight. Dees and Bloom’s SCALERS framework highlights seven key factors—staffing, communicating, alliance building, lobbying, earnings generation, replicating, and stimulating market forces—that can assist social enterprises in expanding their impact. One Acre Fund serves as a prime example of successful scaling by offering agricultural training and financing to smallholder farmers in Africa. </w:t>
      </w:r>
      <w:r w:rsidRPr="00E664A2">
        <w:rPr>
          <w:rFonts w:ascii="Arial" w:hAnsi="Arial" w:cs="Arial"/>
        </w:rPr>
        <w:lastRenderedPageBreak/>
        <w:t>Through the training of local field officers to assist their communities, One Acre Fund has successfully expanded swiftly across various countries, leaving a significant impact on rural areas. Successfully scaling enables social enterprises to enhance their social impact and broaden their mission to reach additional communities, but it necessitates careful planning to guarantee that growth does not compromise social objectives.</w:t>
      </w:r>
    </w:p>
    <w:p w14:paraId="0420FC8B" w14:textId="77777777" w:rsidR="00E664A2" w:rsidRPr="00A16706" w:rsidRDefault="00E664A2" w:rsidP="00E664A2">
      <w:pPr>
        <w:spacing w:line="480" w:lineRule="auto"/>
        <w:jc w:val="both"/>
        <w:rPr>
          <w:rFonts w:ascii="Arial Black" w:hAnsi="Arial Black" w:cs="Arial"/>
          <w:color w:val="F1A983" w:themeColor="accent2" w:themeTint="99"/>
        </w:rPr>
      </w:pPr>
      <w:r w:rsidRPr="00A16706">
        <w:rPr>
          <w:rFonts w:ascii="Arial Black" w:hAnsi="Arial Black" w:cs="Arial"/>
          <w:color w:val="F1A983" w:themeColor="accent2" w:themeTint="99"/>
        </w:rPr>
        <w:t>Threats</w:t>
      </w:r>
      <w:r w:rsidRPr="00E664A2">
        <w:rPr>
          <w:rFonts w:ascii="Arial Black" w:hAnsi="Arial Black" w:cs="Arial"/>
          <w:color w:val="F1A983" w:themeColor="accent2" w:themeTint="99"/>
        </w:rPr>
        <w:t>: Regulatory Hurdles, Rivalry, and Issues of Legitimacy</w:t>
      </w:r>
    </w:p>
    <w:p w14:paraId="544D293B" w14:textId="77777777" w:rsidR="00E664A2" w:rsidRDefault="00E664A2" w:rsidP="00E664A2">
      <w:pPr>
        <w:spacing w:line="480" w:lineRule="auto"/>
        <w:jc w:val="both"/>
        <w:rPr>
          <w:rFonts w:ascii="Arial" w:hAnsi="Arial" w:cs="Arial"/>
        </w:rPr>
      </w:pPr>
      <w:r w:rsidRPr="00E664A2">
        <w:rPr>
          <w:rFonts w:ascii="Arial" w:hAnsi="Arial" w:cs="Arial"/>
        </w:rPr>
        <w:t>Social enterprises function within a difficult external landscape, where regulatory hurdles, competition, and threats to legitimacy frequently hinder their advancement. Regulatory limitations, especially regarding the legal frameworks and tax classifications of social enterprises, create challenges that conventional for-profit or nonprofit entities do not face. In numerous countries, social enterprises face challenges in obtaining tax-exempt status due to their imperfect alignment with either nonprofit or for-profit categories. According to DiMaggio and Powell (1983), institutional theory sheds light on this challenge by indicating that organisations achieve legitimacy through their alignment with societal norms. Social enterprises, which combine aspects of both for-profit and nonprofit sectors, frequently encounter challenges in navigating these standards, resulting in regulatory obstacles that may restrict their operational flexibility.</w:t>
      </w:r>
    </w:p>
    <w:p w14:paraId="712893AE" w14:textId="77777777" w:rsidR="00E664A2" w:rsidRDefault="00E664A2" w:rsidP="00E664A2">
      <w:pPr>
        <w:spacing w:line="480" w:lineRule="auto"/>
        <w:jc w:val="both"/>
        <w:rPr>
          <w:rFonts w:ascii="Arial" w:hAnsi="Arial" w:cs="Arial"/>
        </w:rPr>
      </w:pPr>
      <w:r w:rsidRPr="00E664A2">
        <w:rPr>
          <w:rFonts w:ascii="Arial" w:hAnsi="Arial" w:cs="Arial"/>
        </w:rPr>
        <w:t xml:space="preserve">Rivalry with both conventional enterprises and nonprofit organisations presents a considerable challenge. With the rise of social entrepreneurship, traditional companies are progressively integrating social responsibility initiatives into their business models, creating a blurred line between conventional businesses and social enterprises. For example, multinational companies such as Unilever, which manages brands that have </w:t>
      </w:r>
      <w:r w:rsidRPr="00E664A2">
        <w:rPr>
          <w:rFonts w:ascii="Arial" w:hAnsi="Arial" w:cs="Arial"/>
        </w:rPr>
        <w:lastRenderedPageBreak/>
        <w:t>significant social missions, frequently find themselves in direct competition with smaller social enterprises. The increased competition can pose challenges for social enterprises in setting themselves apart, particularly as larger corporations possess greater resources and marketing capabilities.</w:t>
      </w:r>
    </w:p>
    <w:p w14:paraId="0DF5374F" w14:textId="77777777" w:rsidR="00E664A2" w:rsidRDefault="00E664A2" w:rsidP="00E664A2">
      <w:pPr>
        <w:spacing w:line="480" w:lineRule="auto"/>
        <w:jc w:val="both"/>
        <w:rPr>
          <w:rFonts w:ascii="Arial" w:hAnsi="Arial" w:cs="Arial"/>
        </w:rPr>
      </w:pPr>
      <w:r w:rsidRPr="00E664A2">
        <w:rPr>
          <w:rFonts w:ascii="Arial" w:hAnsi="Arial" w:cs="Arial"/>
        </w:rPr>
        <w:t xml:space="preserve">Challenges to legitimacy add to the complexity of the situation, especially since stakeholders might doubt the true dedication of social enterprises to their declared missions. </w:t>
      </w:r>
      <w:proofErr w:type="spellStart"/>
      <w:r w:rsidRPr="00E664A2">
        <w:rPr>
          <w:rFonts w:ascii="Arial" w:hAnsi="Arial" w:cs="Arial"/>
        </w:rPr>
        <w:t>Granovetter’s</w:t>
      </w:r>
      <w:proofErr w:type="spellEnd"/>
      <w:r w:rsidRPr="00E664A2">
        <w:rPr>
          <w:rFonts w:ascii="Arial" w:hAnsi="Arial" w:cs="Arial"/>
        </w:rPr>
        <w:t xml:space="preserve"> idea of embeddedness highlights the significance of trust and social connections in creating legitimacy. If stakeholders view a social enterprise as excessively focused on profit, the organisation may jeopardise its credibility. This issue is clear in examples such as Grameen Danone, a partnership between Grameen Bank and Danone, which sought to tackle malnutrition in Bangladesh. Although the aim was commendable, Grameen Danone encountered criticism regarding its pricing strategy and accessibility, raising doubts about its genuine dedication to social transformation. Concerns about legitimacy can undermine trust, obstructing the social enterprise's capacity to achieve its mission.</w:t>
      </w:r>
    </w:p>
    <w:p w14:paraId="1F15C71A" w14:textId="77777777" w:rsidR="00E664A2" w:rsidRDefault="00E664A2" w:rsidP="00E664A2">
      <w:pPr>
        <w:spacing w:line="480" w:lineRule="auto"/>
        <w:jc w:val="both"/>
        <w:rPr>
          <w:rFonts w:ascii="Arial" w:hAnsi="Arial" w:cs="Arial"/>
        </w:rPr>
      </w:pPr>
    </w:p>
    <w:p w14:paraId="5C0243F3" w14:textId="77777777" w:rsidR="00E664A2" w:rsidRDefault="00E664A2" w:rsidP="00E664A2">
      <w:pPr>
        <w:spacing w:line="480" w:lineRule="auto"/>
        <w:jc w:val="both"/>
        <w:rPr>
          <w:rFonts w:ascii="Arial" w:hAnsi="Arial" w:cs="Arial"/>
        </w:rPr>
      </w:pPr>
    </w:p>
    <w:p w14:paraId="31FF0310" w14:textId="77777777" w:rsidR="00E664A2" w:rsidRDefault="00E664A2" w:rsidP="00E664A2">
      <w:pPr>
        <w:spacing w:line="480" w:lineRule="auto"/>
        <w:jc w:val="both"/>
        <w:rPr>
          <w:rFonts w:ascii="Arial" w:hAnsi="Arial" w:cs="Arial"/>
        </w:rPr>
      </w:pPr>
    </w:p>
    <w:p w14:paraId="75D63DB5" w14:textId="77777777" w:rsidR="00E664A2" w:rsidRDefault="00E664A2" w:rsidP="00E664A2">
      <w:pPr>
        <w:spacing w:line="480" w:lineRule="auto"/>
        <w:jc w:val="both"/>
        <w:rPr>
          <w:rFonts w:ascii="Arial" w:hAnsi="Arial" w:cs="Arial"/>
        </w:rPr>
      </w:pPr>
    </w:p>
    <w:p w14:paraId="2141894E" w14:textId="77777777" w:rsidR="00E664A2" w:rsidRDefault="00E664A2" w:rsidP="00E664A2">
      <w:pPr>
        <w:spacing w:line="480" w:lineRule="auto"/>
        <w:jc w:val="both"/>
        <w:rPr>
          <w:rFonts w:ascii="Arial" w:hAnsi="Arial" w:cs="Arial"/>
        </w:rPr>
      </w:pPr>
    </w:p>
    <w:p w14:paraId="4C4CEBF1" w14:textId="77777777" w:rsidR="00E664A2" w:rsidRDefault="00E664A2" w:rsidP="00E664A2">
      <w:pPr>
        <w:spacing w:line="480" w:lineRule="auto"/>
        <w:jc w:val="both"/>
        <w:rPr>
          <w:rFonts w:ascii="Arial" w:hAnsi="Arial" w:cs="Arial"/>
        </w:rPr>
      </w:pPr>
    </w:p>
    <w:p w14:paraId="49C0517D" w14:textId="77777777" w:rsidR="00E664A2" w:rsidRDefault="00E664A2" w:rsidP="00E664A2">
      <w:pPr>
        <w:spacing w:line="480" w:lineRule="auto"/>
        <w:jc w:val="both"/>
        <w:rPr>
          <w:rFonts w:ascii="Arial" w:hAnsi="Arial" w:cs="Arial"/>
        </w:rPr>
      </w:pPr>
    </w:p>
    <w:p w14:paraId="0A1452F1" w14:textId="77777777" w:rsidR="00E664A2" w:rsidRDefault="00E664A2" w:rsidP="00E664A2">
      <w:pPr>
        <w:spacing w:line="480" w:lineRule="auto"/>
        <w:jc w:val="both"/>
        <w:rPr>
          <w:rFonts w:ascii="Arial" w:hAnsi="Arial" w:cs="Arial"/>
        </w:rPr>
      </w:pPr>
    </w:p>
    <w:p w14:paraId="5964EF2C" w14:textId="05EF4C22" w:rsidR="00E664A2" w:rsidRPr="00A16706" w:rsidRDefault="00E664A2" w:rsidP="00E664A2">
      <w:pPr>
        <w:spacing w:line="480" w:lineRule="auto"/>
        <w:jc w:val="both"/>
        <w:rPr>
          <w:rFonts w:ascii="Arial Black" w:hAnsi="Arial Black" w:cs="Arial"/>
          <w:color w:val="F1A983" w:themeColor="accent2" w:themeTint="99"/>
        </w:rPr>
      </w:pPr>
      <w:r w:rsidRPr="00A16706">
        <w:rPr>
          <w:rFonts w:ascii="Arial Black" w:hAnsi="Arial Black" w:cs="Arial"/>
          <w:color w:val="F1A983" w:themeColor="accent2" w:themeTint="99"/>
        </w:rPr>
        <w:lastRenderedPageBreak/>
        <w:t xml:space="preserve">Conclusion </w:t>
      </w:r>
    </w:p>
    <w:p w14:paraId="0F2E4E7C" w14:textId="77777777" w:rsidR="00E664A2" w:rsidRDefault="00E664A2" w:rsidP="00E664A2">
      <w:pPr>
        <w:spacing w:line="480" w:lineRule="auto"/>
        <w:jc w:val="both"/>
        <w:rPr>
          <w:rFonts w:ascii="Arial" w:hAnsi="Arial" w:cs="Arial"/>
        </w:rPr>
      </w:pPr>
      <w:r w:rsidRPr="00E664A2">
        <w:rPr>
          <w:rFonts w:ascii="Arial" w:hAnsi="Arial" w:cs="Arial"/>
        </w:rPr>
        <w:t>To sum up, social enterprises represent an innovative method for tackling social and environmental challenges, merging business tactics with a dedication to social welfare. A SWOT analysis reveals that their strengths in mission-driven focus and stakeholder engagement provide a strong basis for impact, whereas their weaknesses in resource dependence and mission drift necessitate careful oversight. Innovative opportunities, along with impact measurement and the scaling of social impact, present promising paths for growth. However, challenges such as regulatory barriers, competition, and issues of legitimacy pose risks to their sustainability in the long run.</w:t>
      </w:r>
    </w:p>
    <w:p w14:paraId="2C127EB6" w14:textId="1ABAE6A0" w:rsidR="00E664A2" w:rsidRDefault="00E664A2" w:rsidP="00E664A2">
      <w:pPr>
        <w:spacing w:line="480" w:lineRule="auto"/>
        <w:jc w:val="both"/>
        <w:rPr>
          <w:rFonts w:ascii="Arial" w:hAnsi="Arial" w:cs="Arial"/>
        </w:rPr>
      </w:pPr>
      <w:r w:rsidRPr="00E664A2">
        <w:rPr>
          <w:rFonts w:ascii="Arial" w:hAnsi="Arial" w:cs="Arial"/>
        </w:rPr>
        <w:t>Utilising theories like stakeholder theory, resource dependency theory, and social innovation theory in real-world scenarios highlights the intricate equilibrium that social enterprises need to uphold. By consistently aligning their financial objectives with their social missions and adopting strict impact measurement practices, social enterprises can improve their resilience and sustainability. In the end, the path of social enterprises highlights the necessity for creative frameworks that bolster their distinctive combination of mission and profit, as they work to transform the function of business within society.</w:t>
      </w:r>
    </w:p>
    <w:p w14:paraId="6A58473C" w14:textId="77777777" w:rsidR="00E664A2" w:rsidRDefault="00E664A2" w:rsidP="00E664A2">
      <w:pPr>
        <w:spacing w:line="480" w:lineRule="auto"/>
        <w:jc w:val="both"/>
        <w:rPr>
          <w:rFonts w:ascii="Arial" w:hAnsi="Arial" w:cs="Arial"/>
        </w:rPr>
      </w:pPr>
    </w:p>
    <w:p w14:paraId="55A4CE48" w14:textId="77777777" w:rsidR="00E664A2" w:rsidRDefault="00E664A2" w:rsidP="00E664A2">
      <w:pPr>
        <w:spacing w:line="480" w:lineRule="auto"/>
        <w:jc w:val="both"/>
        <w:rPr>
          <w:rFonts w:ascii="Arial" w:hAnsi="Arial" w:cs="Arial"/>
        </w:rPr>
      </w:pPr>
    </w:p>
    <w:p w14:paraId="127F716A" w14:textId="77777777" w:rsidR="00E664A2" w:rsidRDefault="00E664A2" w:rsidP="00E664A2">
      <w:pPr>
        <w:spacing w:line="480" w:lineRule="auto"/>
        <w:jc w:val="both"/>
        <w:rPr>
          <w:rFonts w:ascii="Arial" w:hAnsi="Arial" w:cs="Arial"/>
        </w:rPr>
      </w:pPr>
    </w:p>
    <w:p w14:paraId="1ECAA83D" w14:textId="77777777" w:rsidR="00E664A2" w:rsidRDefault="00E664A2" w:rsidP="00E664A2">
      <w:pPr>
        <w:spacing w:line="480" w:lineRule="auto"/>
        <w:jc w:val="both"/>
        <w:rPr>
          <w:rFonts w:ascii="Arial" w:hAnsi="Arial" w:cs="Arial"/>
        </w:rPr>
      </w:pPr>
    </w:p>
    <w:p w14:paraId="54383578" w14:textId="77777777" w:rsidR="00E664A2" w:rsidRDefault="00E664A2" w:rsidP="00E664A2">
      <w:pPr>
        <w:spacing w:line="480" w:lineRule="auto"/>
        <w:jc w:val="both"/>
        <w:rPr>
          <w:rFonts w:ascii="Arial" w:hAnsi="Arial" w:cs="Arial"/>
        </w:rPr>
      </w:pPr>
    </w:p>
    <w:p w14:paraId="25DAAB66" w14:textId="77777777" w:rsidR="00E664A2" w:rsidRDefault="00E664A2" w:rsidP="00E664A2">
      <w:pPr>
        <w:spacing w:line="480" w:lineRule="auto"/>
        <w:jc w:val="both"/>
        <w:rPr>
          <w:rFonts w:ascii="Arial" w:hAnsi="Arial" w:cs="Arial"/>
        </w:rPr>
      </w:pPr>
    </w:p>
    <w:p w14:paraId="5A15FCE7" w14:textId="6F131268" w:rsidR="00E664A2" w:rsidRPr="00A16706" w:rsidRDefault="00E664A2" w:rsidP="00E664A2">
      <w:pPr>
        <w:spacing w:line="480" w:lineRule="auto"/>
        <w:jc w:val="both"/>
        <w:rPr>
          <w:rFonts w:ascii="Arial Black" w:hAnsi="Arial Black" w:cs="Arial"/>
          <w:color w:val="F1A983" w:themeColor="accent2" w:themeTint="99"/>
        </w:rPr>
      </w:pPr>
      <w:r w:rsidRPr="00A16706">
        <w:rPr>
          <w:rFonts w:ascii="Arial Black" w:hAnsi="Arial Black" w:cs="Arial"/>
          <w:color w:val="F1A983" w:themeColor="accent2" w:themeTint="99"/>
        </w:rPr>
        <w:lastRenderedPageBreak/>
        <w:t xml:space="preserve">References </w:t>
      </w:r>
    </w:p>
    <w:p w14:paraId="4254B2AF" w14:textId="77777777" w:rsidR="00A16706" w:rsidRDefault="00A16706" w:rsidP="00E664A2">
      <w:pPr>
        <w:spacing w:line="480" w:lineRule="auto"/>
        <w:jc w:val="both"/>
        <w:rPr>
          <w:rFonts w:ascii="Arial" w:hAnsi="Arial" w:cs="Arial"/>
        </w:rPr>
      </w:pPr>
    </w:p>
    <w:p w14:paraId="3CB15B2A" w14:textId="39BC1D30" w:rsidR="00A16706" w:rsidRDefault="00A16706" w:rsidP="00A16706">
      <w:pPr>
        <w:spacing w:line="480" w:lineRule="auto"/>
        <w:jc w:val="both"/>
        <w:rPr>
          <w:rFonts w:ascii="Arial" w:hAnsi="Arial" w:cs="Arial"/>
        </w:rPr>
      </w:pPr>
      <w:r w:rsidRPr="00A16706">
        <w:rPr>
          <w:rFonts w:ascii="Arial" w:hAnsi="Arial" w:cs="Arial"/>
        </w:rPr>
        <w:t xml:space="preserve">Alter, K. (2007). </w:t>
      </w:r>
      <w:r w:rsidRPr="00A16706">
        <w:rPr>
          <w:rFonts w:ascii="Arial" w:hAnsi="Arial" w:cs="Arial"/>
          <w:i/>
          <w:iCs/>
        </w:rPr>
        <w:t xml:space="preserve">Social enterprise typology. Virtue Ventures LLC. </w:t>
      </w:r>
      <w:r w:rsidRPr="00A16706">
        <w:rPr>
          <w:rFonts w:ascii="Arial" w:hAnsi="Arial" w:cs="Arial"/>
        </w:rPr>
        <w:t xml:space="preserve">Retrieved from </w:t>
      </w:r>
      <w:hyperlink r:id="rId5" w:history="1">
        <w:r w:rsidRPr="008006A0">
          <w:rPr>
            <w:rStyle w:val="Hyperlink"/>
            <w:rFonts w:ascii="Arial" w:hAnsi="Arial" w:cs="Arial"/>
          </w:rPr>
          <w:t>https://www.virtueventures.com/setypology</w:t>
        </w:r>
      </w:hyperlink>
    </w:p>
    <w:p w14:paraId="06096FB1" w14:textId="38DA69B7" w:rsidR="00A16706" w:rsidRDefault="00A16706" w:rsidP="00A16706">
      <w:pPr>
        <w:spacing w:line="480" w:lineRule="auto"/>
        <w:jc w:val="both"/>
        <w:rPr>
          <w:rFonts w:ascii="Arial" w:hAnsi="Arial" w:cs="Arial"/>
        </w:rPr>
      </w:pPr>
      <w:r w:rsidRPr="00A16706">
        <w:rPr>
          <w:rFonts w:ascii="Arial" w:hAnsi="Arial" w:cs="Arial"/>
        </w:rPr>
        <w:t xml:space="preserve">Battilana, J., &amp; Lee, M. (2014). Advancing research on hybrid </w:t>
      </w:r>
      <w:r w:rsidRPr="00A16706">
        <w:rPr>
          <w:rFonts w:ascii="Arial" w:hAnsi="Arial" w:cs="Arial"/>
        </w:rPr>
        <w:t>organizing Insights</w:t>
      </w:r>
      <w:r w:rsidRPr="00A16706">
        <w:rPr>
          <w:rFonts w:ascii="Arial" w:hAnsi="Arial" w:cs="Arial"/>
        </w:rPr>
        <w:t xml:space="preserve"> from the study of social enterprises. </w:t>
      </w:r>
      <w:r w:rsidRPr="00A16706">
        <w:rPr>
          <w:rFonts w:ascii="Arial" w:hAnsi="Arial" w:cs="Arial"/>
          <w:i/>
          <w:iCs/>
        </w:rPr>
        <w:t>Academy of Management Annals, 8</w:t>
      </w:r>
      <w:r w:rsidRPr="00A16706">
        <w:rPr>
          <w:rFonts w:ascii="Arial" w:hAnsi="Arial" w:cs="Arial"/>
        </w:rPr>
        <w:t xml:space="preserve">(1), 397-441. </w:t>
      </w:r>
      <w:hyperlink r:id="rId6" w:history="1">
        <w:r w:rsidRPr="008006A0">
          <w:rPr>
            <w:rStyle w:val="Hyperlink"/>
            <w:rFonts w:ascii="Arial" w:hAnsi="Arial" w:cs="Arial"/>
          </w:rPr>
          <w:t>https://doi.org/10.5465/19416520.2014.893615</w:t>
        </w:r>
      </w:hyperlink>
    </w:p>
    <w:p w14:paraId="23A29FBF" w14:textId="0B0F05C7" w:rsidR="00A16706" w:rsidRDefault="00A16706" w:rsidP="00A16706">
      <w:pPr>
        <w:spacing w:line="480" w:lineRule="auto"/>
        <w:jc w:val="both"/>
        <w:rPr>
          <w:rFonts w:ascii="Arial" w:hAnsi="Arial" w:cs="Arial"/>
        </w:rPr>
      </w:pPr>
      <w:r w:rsidRPr="00A16706">
        <w:rPr>
          <w:rFonts w:ascii="Arial" w:hAnsi="Arial" w:cs="Arial"/>
        </w:rPr>
        <w:t xml:space="preserve">Bloom, P. N., &amp; Dees, J. G. (2008). Cultivating your ecosystem: How to scale social impact. </w:t>
      </w:r>
      <w:r w:rsidRPr="00A16706">
        <w:rPr>
          <w:rFonts w:ascii="Arial" w:hAnsi="Arial" w:cs="Arial"/>
          <w:i/>
          <w:iCs/>
        </w:rPr>
        <w:t>Stanford Social Innovation Review, 6</w:t>
      </w:r>
      <w:r w:rsidRPr="00A16706">
        <w:rPr>
          <w:rFonts w:ascii="Arial" w:hAnsi="Arial" w:cs="Arial"/>
        </w:rPr>
        <w:t xml:space="preserve">(3), 47-53. Retrieved from </w:t>
      </w:r>
      <w:hyperlink r:id="rId7" w:history="1">
        <w:r w:rsidRPr="008006A0">
          <w:rPr>
            <w:rStyle w:val="Hyperlink"/>
            <w:rFonts w:ascii="Arial" w:hAnsi="Arial" w:cs="Arial"/>
          </w:rPr>
          <w:t>https://ssir.org/articles/entry/cultivating_your_ecosystem_how_to_scale_social_impact</w:t>
        </w:r>
      </w:hyperlink>
    </w:p>
    <w:p w14:paraId="593E588E" w14:textId="24B4ED55" w:rsidR="00A16706" w:rsidRDefault="00A16706" w:rsidP="00A16706">
      <w:pPr>
        <w:spacing w:line="480" w:lineRule="auto"/>
        <w:jc w:val="both"/>
        <w:rPr>
          <w:rFonts w:ascii="Arial" w:hAnsi="Arial" w:cs="Arial"/>
        </w:rPr>
      </w:pPr>
      <w:r w:rsidRPr="00A16706">
        <w:rPr>
          <w:rFonts w:ascii="Arial" w:hAnsi="Arial" w:cs="Arial"/>
        </w:rPr>
        <w:t xml:space="preserve">DiMaggio, P. J., &amp; Powell, W. W. (1983). The iron cage revisited: Institutional isomorphism and collective rationality in organizational fields. </w:t>
      </w:r>
      <w:r w:rsidRPr="00A16706">
        <w:rPr>
          <w:rFonts w:ascii="Arial" w:hAnsi="Arial" w:cs="Arial"/>
          <w:i/>
          <w:iCs/>
        </w:rPr>
        <w:t>American Sociological Review, 48(</w:t>
      </w:r>
      <w:r w:rsidRPr="00A16706">
        <w:rPr>
          <w:rFonts w:ascii="Arial" w:hAnsi="Arial" w:cs="Arial"/>
        </w:rPr>
        <w:t xml:space="preserve">2), 147-160. </w:t>
      </w:r>
      <w:hyperlink r:id="rId8" w:history="1">
        <w:r w:rsidRPr="008006A0">
          <w:rPr>
            <w:rStyle w:val="Hyperlink"/>
            <w:rFonts w:ascii="Arial" w:hAnsi="Arial" w:cs="Arial"/>
          </w:rPr>
          <w:t>https://doi.org/10.2307/2095101</w:t>
        </w:r>
      </w:hyperlink>
    </w:p>
    <w:p w14:paraId="7AA1771C" w14:textId="1DFEF65F" w:rsidR="00A16706" w:rsidRPr="00A16706" w:rsidRDefault="00A16706" w:rsidP="00A16706">
      <w:pPr>
        <w:spacing w:line="480" w:lineRule="auto"/>
        <w:jc w:val="both"/>
        <w:rPr>
          <w:rFonts w:ascii="Arial" w:hAnsi="Arial" w:cs="Arial"/>
        </w:rPr>
      </w:pPr>
      <w:r w:rsidRPr="00A16706">
        <w:rPr>
          <w:rFonts w:ascii="Arial" w:hAnsi="Arial" w:cs="Arial"/>
        </w:rPr>
        <w:t xml:space="preserve">Elkington, J. (1997). </w:t>
      </w:r>
      <w:r w:rsidRPr="00A16706">
        <w:rPr>
          <w:rFonts w:ascii="Arial" w:hAnsi="Arial" w:cs="Arial"/>
          <w:i/>
          <w:iCs/>
        </w:rPr>
        <w:t>Cannibals with forks: The triple bottom line of 21st century business.</w:t>
      </w:r>
      <w:r w:rsidRPr="00A16706">
        <w:rPr>
          <w:rFonts w:ascii="Arial" w:hAnsi="Arial" w:cs="Arial"/>
        </w:rPr>
        <w:t xml:space="preserve"> Capstone.</w:t>
      </w:r>
    </w:p>
    <w:p w14:paraId="738D03C7" w14:textId="66BF98E2" w:rsidR="00A16706" w:rsidRDefault="00A16706" w:rsidP="00A16706">
      <w:pPr>
        <w:spacing w:line="480" w:lineRule="auto"/>
        <w:jc w:val="both"/>
        <w:rPr>
          <w:rFonts w:ascii="Arial" w:hAnsi="Arial" w:cs="Arial"/>
        </w:rPr>
      </w:pPr>
      <w:r w:rsidRPr="00A16706">
        <w:rPr>
          <w:rFonts w:ascii="Arial" w:hAnsi="Arial" w:cs="Arial"/>
        </w:rPr>
        <w:t xml:space="preserve">Emerson, J. (2003). The blended value proposition: Integrating social and financial returns. </w:t>
      </w:r>
      <w:r w:rsidRPr="00A16706">
        <w:rPr>
          <w:rFonts w:ascii="Arial" w:hAnsi="Arial" w:cs="Arial"/>
          <w:i/>
          <w:iCs/>
        </w:rPr>
        <w:t>California Management Review, 45</w:t>
      </w:r>
      <w:r w:rsidRPr="00A16706">
        <w:rPr>
          <w:rFonts w:ascii="Arial" w:hAnsi="Arial" w:cs="Arial"/>
        </w:rPr>
        <w:t xml:space="preserve">(4), 35-51. </w:t>
      </w:r>
      <w:hyperlink r:id="rId9" w:history="1">
        <w:r w:rsidRPr="008006A0">
          <w:rPr>
            <w:rStyle w:val="Hyperlink"/>
            <w:rFonts w:ascii="Arial" w:hAnsi="Arial" w:cs="Arial"/>
          </w:rPr>
          <w:t>https://doi.org/10.2307/41166187</w:t>
        </w:r>
      </w:hyperlink>
    </w:p>
    <w:p w14:paraId="4B6DC1E0" w14:textId="4A4C7E10" w:rsidR="00A16706" w:rsidRPr="00A16706" w:rsidRDefault="00A16706" w:rsidP="00A16706">
      <w:pPr>
        <w:spacing w:line="480" w:lineRule="auto"/>
        <w:jc w:val="both"/>
        <w:rPr>
          <w:rFonts w:ascii="Arial" w:hAnsi="Arial" w:cs="Arial"/>
        </w:rPr>
      </w:pPr>
      <w:r w:rsidRPr="00A16706">
        <w:rPr>
          <w:rFonts w:ascii="Arial" w:hAnsi="Arial" w:cs="Arial"/>
        </w:rPr>
        <w:t xml:space="preserve">Freeman, R. E. (1984). </w:t>
      </w:r>
      <w:r w:rsidRPr="00A16706">
        <w:rPr>
          <w:rFonts w:ascii="Arial" w:hAnsi="Arial" w:cs="Arial"/>
          <w:i/>
          <w:iCs/>
        </w:rPr>
        <w:t>Strategic management: A stakeholder approach</w:t>
      </w:r>
      <w:r w:rsidRPr="00A16706">
        <w:rPr>
          <w:rFonts w:ascii="Arial" w:hAnsi="Arial" w:cs="Arial"/>
        </w:rPr>
        <w:t>. Cambridge University Press.</w:t>
      </w:r>
    </w:p>
    <w:p w14:paraId="5C0DDB02" w14:textId="38EBD8B6" w:rsidR="00A16706" w:rsidRDefault="00A16706" w:rsidP="00A16706">
      <w:pPr>
        <w:spacing w:line="480" w:lineRule="auto"/>
        <w:jc w:val="both"/>
        <w:rPr>
          <w:rFonts w:ascii="Arial" w:hAnsi="Arial" w:cs="Arial"/>
        </w:rPr>
      </w:pPr>
      <w:proofErr w:type="spellStart"/>
      <w:r w:rsidRPr="00A16706">
        <w:rPr>
          <w:rFonts w:ascii="Arial" w:hAnsi="Arial" w:cs="Arial"/>
        </w:rPr>
        <w:lastRenderedPageBreak/>
        <w:t>Mulgan</w:t>
      </w:r>
      <w:proofErr w:type="spellEnd"/>
      <w:r w:rsidRPr="00A16706">
        <w:rPr>
          <w:rFonts w:ascii="Arial" w:hAnsi="Arial" w:cs="Arial"/>
        </w:rPr>
        <w:t xml:space="preserve">, G. (2006). The process of social innovation. Innovations: </w:t>
      </w:r>
      <w:r w:rsidRPr="00A16706">
        <w:rPr>
          <w:rFonts w:ascii="Arial" w:hAnsi="Arial" w:cs="Arial"/>
          <w:i/>
          <w:iCs/>
        </w:rPr>
        <w:t>Technology, Governance, Globalization, 1</w:t>
      </w:r>
      <w:r w:rsidRPr="00A16706">
        <w:rPr>
          <w:rFonts w:ascii="Arial" w:hAnsi="Arial" w:cs="Arial"/>
        </w:rPr>
        <w:t xml:space="preserve">(2), 145-162. </w:t>
      </w:r>
      <w:hyperlink r:id="rId10" w:history="1">
        <w:r w:rsidRPr="008006A0">
          <w:rPr>
            <w:rStyle w:val="Hyperlink"/>
            <w:rFonts w:ascii="Arial" w:hAnsi="Arial" w:cs="Arial"/>
          </w:rPr>
          <w:t>https://doi.org/10.1162/itgg.2006.1.2.145</w:t>
        </w:r>
      </w:hyperlink>
    </w:p>
    <w:p w14:paraId="44F7E8E5" w14:textId="0B65D0F4" w:rsidR="00A16706" w:rsidRPr="00A16706" w:rsidRDefault="00A16706" w:rsidP="00A16706">
      <w:pPr>
        <w:spacing w:line="480" w:lineRule="auto"/>
        <w:jc w:val="both"/>
        <w:rPr>
          <w:rFonts w:ascii="Arial" w:hAnsi="Arial" w:cs="Arial"/>
        </w:rPr>
      </w:pPr>
      <w:r w:rsidRPr="00A16706">
        <w:rPr>
          <w:rFonts w:ascii="Arial" w:hAnsi="Arial" w:cs="Arial"/>
        </w:rPr>
        <w:t xml:space="preserve">Pfeffer, J., &amp; </w:t>
      </w:r>
      <w:proofErr w:type="spellStart"/>
      <w:r w:rsidRPr="00A16706">
        <w:rPr>
          <w:rFonts w:ascii="Arial" w:hAnsi="Arial" w:cs="Arial"/>
        </w:rPr>
        <w:t>Salancik</w:t>
      </w:r>
      <w:proofErr w:type="spellEnd"/>
      <w:r w:rsidRPr="00A16706">
        <w:rPr>
          <w:rFonts w:ascii="Arial" w:hAnsi="Arial" w:cs="Arial"/>
        </w:rPr>
        <w:t xml:space="preserve">, G. R. (1978). </w:t>
      </w:r>
      <w:r w:rsidRPr="00A16706">
        <w:rPr>
          <w:rFonts w:ascii="Arial" w:hAnsi="Arial" w:cs="Arial"/>
          <w:i/>
          <w:iCs/>
        </w:rPr>
        <w:t>The external control of organizations: A resource dependence perspective.</w:t>
      </w:r>
      <w:r w:rsidRPr="00A16706">
        <w:rPr>
          <w:rFonts w:ascii="Arial" w:hAnsi="Arial" w:cs="Arial"/>
        </w:rPr>
        <w:t xml:space="preserve"> Harper &amp; Row.</w:t>
      </w:r>
    </w:p>
    <w:p w14:paraId="429F1323" w14:textId="77777777" w:rsidR="00A16706" w:rsidRDefault="00A16706" w:rsidP="00A16706">
      <w:pPr>
        <w:spacing w:line="480" w:lineRule="auto"/>
        <w:jc w:val="both"/>
        <w:rPr>
          <w:rFonts w:ascii="Arial" w:hAnsi="Arial" w:cs="Arial"/>
        </w:rPr>
      </w:pPr>
      <w:r w:rsidRPr="00A16706">
        <w:rPr>
          <w:rFonts w:ascii="Arial" w:hAnsi="Arial" w:cs="Arial"/>
        </w:rPr>
        <w:t xml:space="preserve">Weiss, C. H. (1995). Nothing as practical as good theory: Exploring theory-based evaluation for comprehensive community initiatives for children and families. In J. P. Connell, A. C. Kubisch, L. B. Schorr, &amp; C. H. Weiss (Eds.), </w:t>
      </w:r>
      <w:r w:rsidRPr="00A16706">
        <w:rPr>
          <w:rFonts w:ascii="Arial" w:hAnsi="Arial" w:cs="Arial"/>
          <w:i/>
          <w:iCs/>
        </w:rPr>
        <w:t xml:space="preserve">New approaches to evaluating community initiatives: Concepts, methods, and contexts </w:t>
      </w:r>
      <w:r w:rsidRPr="00A16706">
        <w:rPr>
          <w:rFonts w:ascii="Arial" w:hAnsi="Arial" w:cs="Arial"/>
        </w:rPr>
        <w:t>(pp. 65-92). Aspen Institute.</w:t>
      </w:r>
    </w:p>
    <w:p w14:paraId="4891AE8B" w14:textId="6F23864D" w:rsidR="00A16706" w:rsidRDefault="00A16706" w:rsidP="00A16706">
      <w:pPr>
        <w:spacing w:line="480" w:lineRule="auto"/>
        <w:jc w:val="both"/>
        <w:rPr>
          <w:rFonts w:ascii="Arial" w:hAnsi="Arial" w:cs="Arial"/>
        </w:rPr>
      </w:pPr>
      <w:hyperlink r:id="rId11" w:history="1">
        <w:r w:rsidRPr="008006A0">
          <w:rPr>
            <w:rStyle w:val="Hyperlink"/>
            <w:rFonts w:ascii="Arial" w:hAnsi="Arial" w:cs="Arial"/>
          </w:rPr>
          <w:t>https://www.divinechocolate.com/</w:t>
        </w:r>
      </w:hyperlink>
    </w:p>
    <w:p w14:paraId="6428188C" w14:textId="765BB7A7" w:rsidR="00A16706" w:rsidRDefault="00A16706" w:rsidP="00A16706">
      <w:pPr>
        <w:spacing w:line="480" w:lineRule="auto"/>
        <w:jc w:val="both"/>
        <w:rPr>
          <w:rFonts w:ascii="Arial" w:hAnsi="Arial" w:cs="Arial"/>
        </w:rPr>
      </w:pPr>
      <w:hyperlink r:id="rId12" w:history="1">
        <w:r w:rsidRPr="008006A0">
          <w:rPr>
            <w:rStyle w:val="Hyperlink"/>
            <w:rFonts w:ascii="Arial" w:hAnsi="Arial" w:cs="Arial"/>
          </w:rPr>
          <w:t>https://www.weforum.org/publications/the-state-of-social-enterprise-a-review-of-global-data-2013-2023/</w:t>
        </w:r>
      </w:hyperlink>
    </w:p>
    <w:p w14:paraId="5E68646B" w14:textId="79DD09CA" w:rsidR="00A16706" w:rsidRDefault="00A16706" w:rsidP="00A16706">
      <w:pPr>
        <w:spacing w:line="480" w:lineRule="auto"/>
        <w:jc w:val="both"/>
        <w:rPr>
          <w:rFonts w:ascii="Arial" w:hAnsi="Arial" w:cs="Arial"/>
        </w:rPr>
      </w:pPr>
      <w:hyperlink r:id="rId13" w:history="1">
        <w:r w:rsidRPr="008006A0">
          <w:rPr>
            <w:rStyle w:val="Hyperlink"/>
            <w:rFonts w:ascii="Arial" w:hAnsi="Arial" w:cs="Arial"/>
          </w:rPr>
          <w:t>https://www.socialenterprise.org.uk/social-enterprise-knowledge-centre/the-state-of-social-enterprise/</w:t>
        </w:r>
      </w:hyperlink>
    </w:p>
    <w:p w14:paraId="5D753389" w14:textId="77777777" w:rsidR="00A16706" w:rsidRPr="00A16706" w:rsidRDefault="00A16706" w:rsidP="00A16706">
      <w:pPr>
        <w:spacing w:line="480" w:lineRule="auto"/>
        <w:jc w:val="both"/>
        <w:rPr>
          <w:rFonts w:ascii="Arial" w:hAnsi="Arial" w:cs="Arial"/>
        </w:rPr>
      </w:pPr>
    </w:p>
    <w:p w14:paraId="69972812" w14:textId="77777777" w:rsidR="00E664A2" w:rsidRPr="00E664A2" w:rsidRDefault="00E664A2" w:rsidP="00E664A2">
      <w:pPr>
        <w:spacing w:line="480" w:lineRule="auto"/>
        <w:jc w:val="both"/>
        <w:rPr>
          <w:rFonts w:ascii="Arial" w:hAnsi="Arial" w:cs="Arial"/>
        </w:rPr>
      </w:pPr>
    </w:p>
    <w:p w14:paraId="687721DA" w14:textId="77777777" w:rsidR="00E664A2" w:rsidRPr="00E664A2" w:rsidRDefault="00E664A2" w:rsidP="00E664A2">
      <w:pPr>
        <w:spacing w:line="480" w:lineRule="auto"/>
        <w:jc w:val="both"/>
        <w:rPr>
          <w:rFonts w:ascii="Arial" w:hAnsi="Arial" w:cs="Arial"/>
        </w:rPr>
      </w:pPr>
    </w:p>
    <w:sectPr w:rsidR="00E664A2" w:rsidRPr="00E664A2" w:rsidSect="00A1670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4A2"/>
    <w:rsid w:val="007B6183"/>
    <w:rsid w:val="00930CF1"/>
    <w:rsid w:val="00A16706"/>
    <w:rsid w:val="00E66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A3E0F"/>
  <w15:chartTrackingRefBased/>
  <w15:docId w15:val="{CB85D5B4-A5BA-43F3-9EC2-AA98E6D37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4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64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64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64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64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64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4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4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4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4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64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64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64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64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64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64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64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64A2"/>
    <w:rPr>
      <w:rFonts w:eastAsiaTheme="majorEastAsia" w:cstheme="majorBidi"/>
      <w:color w:val="272727" w:themeColor="text1" w:themeTint="D8"/>
    </w:rPr>
  </w:style>
  <w:style w:type="paragraph" w:styleId="Title">
    <w:name w:val="Title"/>
    <w:basedOn w:val="Normal"/>
    <w:next w:val="Normal"/>
    <w:link w:val="TitleChar"/>
    <w:uiPriority w:val="10"/>
    <w:qFormat/>
    <w:rsid w:val="00E664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4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64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64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64A2"/>
    <w:pPr>
      <w:spacing w:before="160"/>
      <w:jc w:val="center"/>
    </w:pPr>
    <w:rPr>
      <w:i/>
      <w:iCs/>
      <w:color w:val="404040" w:themeColor="text1" w:themeTint="BF"/>
    </w:rPr>
  </w:style>
  <w:style w:type="character" w:customStyle="1" w:styleId="QuoteChar">
    <w:name w:val="Quote Char"/>
    <w:basedOn w:val="DefaultParagraphFont"/>
    <w:link w:val="Quote"/>
    <w:uiPriority w:val="29"/>
    <w:rsid w:val="00E664A2"/>
    <w:rPr>
      <w:i/>
      <w:iCs/>
      <w:color w:val="404040" w:themeColor="text1" w:themeTint="BF"/>
    </w:rPr>
  </w:style>
  <w:style w:type="paragraph" w:styleId="ListParagraph">
    <w:name w:val="List Paragraph"/>
    <w:basedOn w:val="Normal"/>
    <w:uiPriority w:val="34"/>
    <w:qFormat/>
    <w:rsid w:val="00E664A2"/>
    <w:pPr>
      <w:ind w:left="720"/>
      <w:contextualSpacing/>
    </w:pPr>
  </w:style>
  <w:style w:type="character" w:styleId="IntenseEmphasis">
    <w:name w:val="Intense Emphasis"/>
    <w:basedOn w:val="DefaultParagraphFont"/>
    <w:uiPriority w:val="21"/>
    <w:qFormat/>
    <w:rsid w:val="00E664A2"/>
    <w:rPr>
      <w:i/>
      <w:iCs/>
      <w:color w:val="0F4761" w:themeColor="accent1" w:themeShade="BF"/>
    </w:rPr>
  </w:style>
  <w:style w:type="paragraph" w:styleId="IntenseQuote">
    <w:name w:val="Intense Quote"/>
    <w:basedOn w:val="Normal"/>
    <w:next w:val="Normal"/>
    <w:link w:val="IntenseQuoteChar"/>
    <w:uiPriority w:val="30"/>
    <w:qFormat/>
    <w:rsid w:val="00E664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64A2"/>
    <w:rPr>
      <w:i/>
      <w:iCs/>
      <w:color w:val="0F4761" w:themeColor="accent1" w:themeShade="BF"/>
    </w:rPr>
  </w:style>
  <w:style w:type="character" w:styleId="IntenseReference">
    <w:name w:val="Intense Reference"/>
    <w:basedOn w:val="DefaultParagraphFont"/>
    <w:uiPriority w:val="32"/>
    <w:qFormat/>
    <w:rsid w:val="00E664A2"/>
    <w:rPr>
      <w:b/>
      <w:bCs/>
      <w:smallCaps/>
      <w:color w:val="0F4761" w:themeColor="accent1" w:themeShade="BF"/>
      <w:spacing w:val="5"/>
    </w:rPr>
  </w:style>
  <w:style w:type="character" w:styleId="Hyperlink">
    <w:name w:val="Hyperlink"/>
    <w:basedOn w:val="DefaultParagraphFont"/>
    <w:uiPriority w:val="99"/>
    <w:unhideWhenUsed/>
    <w:rsid w:val="00A16706"/>
    <w:rPr>
      <w:color w:val="467886" w:themeColor="hyperlink"/>
      <w:u w:val="single"/>
    </w:rPr>
  </w:style>
  <w:style w:type="character" w:styleId="UnresolvedMention">
    <w:name w:val="Unresolved Mention"/>
    <w:basedOn w:val="DefaultParagraphFont"/>
    <w:uiPriority w:val="99"/>
    <w:semiHidden/>
    <w:unhideWhenUsed/>
    <w:rsid w:val="00A16706"/>
    <w:rPr>
      <w:color w:val="605E5C"/>
      <w:shd w:val="clear" w:color="auto" w:fill="E1DFDD"/>
    </w:rPr>
  </w:style>
  <w:style w:type="paragraph" w:styleId="NoSpacing">
    <w:name w:val="No Spacing"/>
    <w:link w:val="NoSpacingChar"/>
    <w:uiPriority w:val="1"/>
    <w:qFormat/>
    <w:rsid w:val="00A1670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16706"/>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73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095101" TargetMode="External"/><Relationship Id="rId13" Type="http://schemas.openxmlformats.org/officeDocument/2006/relationships/hyperlink" Target="https://www.socialenterprise.org.uk/social-enterprise-knowledge-centre/the-state-of-social-enterprise/" TargetMode="External"/><Relationship Id="rId3" Type="http://schemas.openxmlformats.org/officeDocument/2006/relationships/settings" Target="settings.xml"/><Relationship Id="rId7" Type="http://schemas.openxmlformats.org/officeDocument/2006/relationships/hyperlink" Target="https://ssir.org/articles/entry/cultivating_your_ecosystem_how_to_scale_social_impact" TargetMode="External"/><Relationship Id="rId12" Type="http://schemas.openxmlformats.org/officeDocument/2006/relationships/hyperlink" Target="https://www.weforum.org/publications/the-state-of-social-enterprise-a-review-of-global-data-2013-202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5465/19416520.2014.893615" TargetMode="External"/><Relationship Id="rId11" Type="http://schemas.openxmlformats.org/officeDocument/2006/relationships/hyperlink" Target="https://www.divinechocolate.com/" TargetMode="External"/><Relationship Id="rId5" Type="http://schemas.openxmlformats.org/officeDocument/2006/relationships/hyperlink" Target="https://www.virtueventures.com/setypology" TargetMode="External"/><Relationship Id="rId15" Type="http://schemas.openxmlformats.org/officeDocument/2006/relationships/theme" Target="theme/theme1.xml"/><Relationship Id="rId10" Type="http://schemas.openxmlformats.org/officeDocument/2006/relationships/hyperlink" Target="https://doi.org/10.1162/itgg.2006.1.2.145" TargetMode="External"/><Relationship Id="rId4" Type="http://schemas.openxmlformats.org/officeDocument/2006/relationships/webSettings" Target="webSettings.xml"/><Relationship Id="rId9" Type="http://schemas.openxmlformats.org/officeDocument/2006/relationships/hyperlink" Target="https://doi.org/10.2307/4116618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and Threats to Social Enterprise</dc:title>
  <dc:subject/>
  <dc:creator>Mirabela Voican (1907947)</dc:creator>
  <cp:keywords/>
  <dc:description/>
  <cp:lastModifiedBy>Mirabela Voican (1907947)</cp:lastModifiedBy>
  <cp:revision>1</cp:revision>
  <dcterms:created xsi:type="dcterms:W3CDTF">2024-11-05T00:19:00Z</dcterms:created>
  <dcterms:modified xsi:type="dcterms:W3CDTF">2024-11-05T00:45:00Z</dcterms:modified>
</cp:coreProperties>
</file>