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E8E8F" w14:textId="5C97D1B9" w:rsidR="00C51A6D" w:rsidRPr="00D35FB2" w:rsidRDefault="00191D81">
      <w:pPr>
        <w:rPr>
          <w:rFonts w:ascii="Arial" w:hAnsi="Arial" w:cs="Arial"/>
          <w:sz w:val="24"/>
          <w:szCs w:val="24"/>
        </w:rPr>
      </w:pPr>
      <w:r w:rsidRPr="00D35FB2">
        <w:rPr>
          <w:rFonts w:ascii="Arial" w:hAnsi="Arial" w:cs="Arial"/>
          <w:sz w:val="24"/>
          <w:szCs w:val="24"/>
        </w:rPr>
        <w:t>Change the story: Evaluate how children’s physical literacy and skills can be developed through outdoor/adventure learning.</w:t>
      </w:r>
    </w:p>
    <w:p w14:paraId="12886D93" w14:textId="77777777" w:rsidR="0089650E" w:rsidRPr="0089650E" w:rsidRDefault="0089650E" w:rsidP="0089650E">
      <w:pPr>
        <w:rPr>
          <w:rFonts w:ascii="Arial" w:hAnsi="Arial" w:cs="Arial"/>
          <w:sz w:val="24"/>
          <w:szCs w:val="24"/>
        </w:rPr>
      </w:pPr>
      <w:r w:rsidRPr="0089650E">
        <w:rPr>
          <w:rFonts w:ascii="Arial" w:hAnsi="Arial" w:cs="Arial"/>
          <w:sz w:val="24"/>
          <w:szCs w:val="24"/>
        </w:rPr>
        <w:t>Physical literacy has emerged as a central concept in contemporary physical education, emphasising the motivation, confidence, physical competence, knowledge and understanding required to value and engage in physical activity throughout life (Whitehead, 2010). Outdoor and adventurous learning (OAL) provides a powerful context for developing these attributes, offering rich affordances for exploration, challenge, risk</w:t>
      </w:r>
      <w:r w:rsidRPr="0089650E">
        <w:rPr>
          <w:rFonts w:ascii="Arial" w:hAnsi="Arial" w:cs="Arial"/>
          <w:sz w:val="24"/>
          <w:szCs w:val="24"/>
        </w:rPr>
        <w:noBreakHyphen/>
        <w:t>taking and embodied learning. This essay critically evaluates how children’s physical literacy and wider developmental skills can be enhanced through outdoor and adventure</w:t>
      </w:r>
      <w:r w:rsidRPr="0089650E">
        <w:rPr>
          <w:rFonts w:ascii="Arial" w:hAnsi="Arial" w:cs="Arial"/>
          <w:sz w:val="24"/>
          <w:szCs w:val="24"/>
        </w:rPr>
        <w:noBreakHyphen/>
        <w:t>based experiences, drawing on personal school memories, relevant theory and current educational frameworks.</w:t>
      </w:r>
    </w:p>
    <w:p w14:paraId="16E06E1B" w14:textId="345EDFAD" w:rsidR="0089650E" w:rsidRPr="0089650E" w:rsidRDefault="0089650E" w:rsidP="0089650E">
      <w:pPr>
        <w:rPr>
          <w:rFonts w:ascii="Arial" w:hAnsi="Arial" w:cs="Arial"/>
          <w:sz w:val="24"/>
          <w:szCs w:val="24"/>
        </w:rPr>
      </w:pPr>
      <w:r w:rsidRPr="0089650E">
        <w:rPr>
          <w:rFonts w:ascii="Arial" w:hAnsi="Arial" w:cs="Arial"/>
          <w:sz w:val="24"/>
          <w:szCs w:val="24"/>
        </w:rPr>
        <w:t>Th</w:t>
      </w:r>
      <w:r w:rsidR="00630CE6" w:rsidRPr="00D35FB2">
        <w:rPr>
          <w:rFonts w:ascii="Arial" w:hAnsi="Arial" w:cs="Arial"/>
          <w:sz w:val="24"/>
          <w:szCs w:val="24"/>
        </w:rPr>
        <w:t>is written assignment</w:t>
      </w:r>
      <w:r w:rsidRPr="0089650E">
        <w:rPr>
          <w:rFonts w:ascii="Arial" w:hAnsi="Arial" w:cs="Arial"/>
          <w:sz w:val="24"/>
          <w:szCs w:val="24"/>
        </w:rPr>
        <w:t xml:space="preserve"> begins with a reflective narrative of my own childhood experiences in school and organised outdoor activities, identifying the teaching styles and environmental factors that shaped my early physical literacy. This reflection transitions into a critical analysis of the strengths and gaps within those experiences, contextualised through models such as Whitehead’s physical literacy framework (Whitehead, 2010), Self</w:t>
      </w:r>
      <w:r w:rsidRPr="0089650E">
        <w:rPr>
          <w:rFonts w:ascii="Arial" w:hAnsi="Arial" w:cs="Arial"/>
          <w:sz w:val="24"/>
          <w:szCs w:val="24"/>
        </w:rPr>
        <w:noBreakHyphen/>
        <w:t>Determination Theory (Deci &amp; Ryan, 2000), ecological dynamics (Gibson, 1979), and the Curriculum for Wales’ Health and Wellbeing Area of Learning and Experience.</w:t>
      </w:r>
    </w:p>
    <w:p w14:paraId="3AECC326" w14:textId="77777777" w:rsidR="0089650E" w:rsidRPr="0089650E" w:rsidRDefault="0089650E" w:rsidP="0089650E">
      <w:pPr>
        <w:rPr>
          <w:rFonts w:ascii="Arial" w:hAnsi="Arial" w:cs="Arial"/>
          <w:sz w:val="24"/>
          <w:szCs w:val="24"/>
        </w:rPr>
      </w:pPr>
      <w:r w:rsidRPr="0089650E">
        <w:rPr>
          <w:rFonts w:ascii="Arial" w:hAnsi="Arial" w:cs="Arial"/>
          <w:sz w:val="24"/>
          <w:szCs w:val="24"/>
        </w:rPr>
        <w:t>Building on this analysis, the essay proposes a “change in the story”: a re</w:t>
      </w:r>
      <w:r w:rsidRPr="0089650E">
        <w:rPr>
          <w:rFonts w:ascii="Arial" w:hAnsi="Arial" w:cs="Arial"/>
          <w:sz w:val="24"/>
          <w:szCs w:val="24"/>
        </w:rPr>
        <w:noBreakHyphen/>
        <w:t>imagined approach to planning, facilitating and delivering physical education and outdoor learning that intentionally leverages outdoor affordances to support holistic development. This includes recommendations for learner</w:t>
      </w:r>
      <w:r w:rsidRPr="0089650E">
        <w:rPr>
          <w:rFonts w:ascii="Arial" w:hAnsi="Arial" w:cs="Arial"/>
          <w:sz w:val="24"/>
          <w:szCs w:val="24"/>
        </w:rPr>
        <w:noBreakHyphen/>
        <w:t>centred pedagogy, inclusive design and structured yet flexible adventure</w:t>
      </w:r>
      <w:r w:rsidRPr="0089650E">
        <w:rPr>
          <w:rFonts w:ascii="Arial" w:hAnsi="Arial" w:cs="Arial"/>
          <w:sz w:val="24"/>
          <w:szCs w:val="24"/>
        </w:rPr>
        <w:noBreakHyphen/>
        <w:t>based tasks.</w:t>
      </w:r>
    </w:p>
    <w:p w14:paraId="28074B45" w14:textId="5915B5D1" w:rsidR="0089650E" w:rsidRPr="0089650E" w:rsidRDefault="0089650E" w:rsidP="0089650E">
      <w:pPr>
        <w:rPr>
          <w:rFonts w:ascii="Arial" w:hAnsi="Arial" w:cs="Arial"/>
          <w:sz w:val="24"/>
          <w:szCs w:val="24"/>
        </w:rPr>
      </w:pPr>
      <w:r w:rsidRPr="0089650E">
        <w:rPr>
          <w:rFonts w:ascii="Arial" w:hAnsi="Arial" w:cs="Arial"/>
          <w:sz w:val="24"/>
          <w:szCs w:val="24"/>
        </w:rPr>
        <w:t xml:space="preserve">The </w:t>
      </w:r>
      <w:r w:rsidR="00630CE6" w:rsidRPr="00D35FB2">
        <w:rPr>
          <w:rFonts w:ascii="Arial" w:hAnsi="Arial" w:cs="Arial"/>
          <w:sz w:val="24"/>
          <w:szCs w:val="24"/>
        </w:rPr>
        <w:t xml:space="preserve">written piece </w:t>
      </w:r>
      <w:r w:rsidRPr="0089650E">
        <w:rPr>
          <w:rFonts w:ascii="Arial" w:hAnsi="Arial" w:cs="Arial"/>
          <w:sz w:val="24"/>
          <w:szCs w:val="24"/>
        </w:rPr>
        <w:t>concludes by highlighting the expected benefits of this proposed approach for physical literacy, wellbeing and lifelong engagement. It also reflects on how revisiting my own experiences has strengthened my understanding of outdoor learning and will inform my future practice as an educator committed to inclusive, meaningful and developmentally rich physical activity experiences.</w:t>
      </w:r>
    </w:p>
    <w:p w14:paraId="11E8FFE9" w14:textId="4B60E6B9" w:rsidR="00C908B1" w:rsidRPr="00C908B1" w:rsidRDefault="00C908B1" w:rsidP="00C908B1">
      <w:pPr>
        <w:rPr>
          <w:rFonts w:ascii="Arial" w:hAnsi="Arial" w:cs="Arial"/>
          <w:sz w:val="24"/>
          <w:szCs w:val="24"/>
        </w:rPr>
      </w:pPr>
      <w:r w:rsidRPr="00C908B1">
        <w:rPr>
          <w:rFonts w:ascii="Arial" w:hAnsi="Arial" w:cs="Arial"/>
          <w:sz w:val="24"/>
          <w:szCs w:val="24"/>
        </w:rPr>
        <w:t>My earliest memories of physical activity in school revolve around the large, open playground of my primary school</w:t>
      </w:r>
      <w:r w:rsidR="00630CE6" w:rsidRPr="00D35FB2">
        <w:rPr>
          <w:rFonts w:ascii="Arial" w:hAnsi="Arial" w:cs="Arial"/>
          <w:sz w:val="24"/>
          <w:szCs w:val="24"/>
        </w:rPr>
        <w:t xml:space="preserve">. </w:t>
      </w:r>
      <w:r w:rsidRPr="00C908B1">
        <w:rPr>
          <w:rFonts w:ascii="Arial" w:hAnsi="Arial" w:cs="Arial"/>
          <w:sz w:val="24"/>
          <w:szCs w:val="24"/>
        </w:rPr>
        <w:t xml:space="preserve">The space itself was a significant affordance: uneven ground, grassy banks and a </w:t>
      </w:r>
      <w:r w:rsidR="00D22B2F" w:rsidRPr="00D35FB2">
        <w:rPr>
          <w:rFonts w:ascii="Arial" w:hAnsi="Arial" w:cs="Arial"/>
          <w:sz w:val="24"/>
          <w:szCs w:val="24"/>
        </w:rPr>
        <w:t>small, wooded</w:t>
      </w:r>
      <w:r w:rsidRPr="00C908B1">
        <w:rPr>
          <w:rFonts w:ascii="Arial" w:hAnsi="Arial" w:cs="Arial"/>
          <w:sz w:val="24"/>
          <w:szCs w:val="24"/>
        </w:rPr>
        <w:t xml:space="preserve"> area </w:t>
      </w:r>
      <w:r w:rsidR="00630CE6" w:rsidRPr="00D35FB2">
        <w:rPr>
          <w:rFonts w:ascii="Arial" w:hAnsi="Arial" w:cs="Arial"/>
          <w:sz w:val="24"/>
          <w:szCs w:val="24"/>
        </w:rPr>
        <w:t xml:space="preserve">that </w:t>
      </w:r>
      <w:r w:rsidRPr="00C908B1">
        <w:rPr>
          <w:rFonts w:ascii="Arial" w:hAnsi="Arial" w:cs="Arial"/>
          <w:sz w:val="24"/>
          <w:szCs w:val="24"/>
        </w:rPr>
        <w:t>encouraged imaginative play, climbing, chasing and informal games. These unstructured opportunities align with ecological dynamics, which emphasises how environments invite certain actions and shape movement possibilities (Gibson, 1979).</w:t>
      </w:r>
    </w:p>
    <w:p w14:paraId="32AE3B21" w14:textId="21A30B3D" w:rsidR="00C908B1" w:rsidRPr="00C908B1" w:rsidRDefault="00C908B1" w:rsidP="00C908B1">
      <w:pPr>
        <w:rPr>
          <w:rFonts w:ascii="Arial" w:hAnsi="Arial" w:cs="Arial"/>
          <w:sz w:val="24"/>
          <w:szCs w:val="24"/>
        </w:rPr>
      </w:pPr>
      <w:r w:rsidRPr="00C908B1">
        <w:rPr>
          <w:rFonts w:ascii="Arial" w:hAnsi="Arial" w:cs="Arial"/>
          <w:sz w:val="24"/>
          <w:szCs w:val="24"/>
        </w:rPr>
        <w:t>Weekly PE lessons were delivered by my teacher</w:t>
      </w:r>
      <w:r w:rsidR="00630CE6" w:rsidRPr="00D35FB2">
        <w:rPr>
          <w:rFonts w:ascii="Arial" w:hAnsi="Arial" w:cs="Arial"/>
          <w:sz w:val="24"/>
          <w:szCs w:val="24"/>
        </w:rPr>
        <w:t xml:space="preserve">, </w:t>
      </w:r>
      <w:r w:rsidRPr="00C908B1">
        <w:rPr>
          <w:rFonts w:ascii="Arial" w:hAnsi="Arial" w:cs="Arial"/>
          <w:sz w:val="24"/>
          <w:szCs w:val="24"/>
        </w:rPr>
        <w:t>whose approach combined direct instruction with moments of guided discovery. He often demonstrated skills explicitly before allowing us time to explore variations in small groups. Outside school, I participated in a local outdoor activity club that offered hill</w:t>
      </w:r>
      <w:r w:rsidR="00630CE6" w:rsidRPr="00D35FB2">
        <w:rPr>
          <w:rFonts w:ascii="Arial" w:hAnsi="Arial" w:cs="Arial"/>
          <w:sz w:val="24"/>
          <w:szCs w:val="24"/>
        </w:rPr>
        <w:t>walking</w:t>
      </w:r>
      <w:r w:rsidRPr="00C908B1">
        <w:rPr>
          <w:rFonts w:ascii="Arial" w:hAnsi="Arial" w:cs="Arial"/>
          <w:sz w:val="24"/>
          <w:szCs w:val="24"/>
        </w:rPr>
        <w:t xml:space="preserve">, </w:t>
      </w:r>
      <w:r w:rsidR="00630CE6" w:rsidRPr="00D35FB2">
        <w:rPr>
          <w:rFonts w:ascii="Arial" w:hAnsi="Arial" w:cs="Arial"/>
          <w:sz w:val="24"/>
          <w:szCs w:val="24"/>
        </w:rPr>
        <w:t>abseiling</w:t>
      </w:r>
      <w:r w:rsidRPr="00C908B1">
        <w:rPr>
          <w:rFonts w:ascii="Arial" w:hAnsi="Arial" w:cs="Arial"/>
          <w:sz w:val="24"/>
          <w:szCs w:val="24"/>
        </w:rPr>
        <w:t xml:space="preserve"> and orienteering. The group leader used facilitative teaching styles </w:t>
      </w:r>
      <w:r w:rsidRPr="00D35FB2">
        <w:rPr>
          <w:rFonts w:ascii="Arial" w:hAnsi="Arial" w:cs="Arial"/>
          <w:sz w:val="24"/>
          <w:szCs w:val="24"/>
        </w:rPr>
        <w:t>like</w:t>
      </w:r>
      <w:r w:rsidRPr="00C908B1">
        <w:rPr>
          <w:rFonts w:ascii="Arial" w:hAnsi="Arial" w:cs="Arial"/>
          <w:sz w:val="24"/>
          <w:szCs w:val="24"/>
        </w:rPr>
        <w:t xml:space="preserve"> Mosston and Ashworth’s guided discovery and divergent styles, encouraging us to problem</w:t>
      </w:r>
      <w:r w:rsidRPr="00C908B1">
        <w:rPr>
          <w:rFonts w:ascii="Arial" w:hAnsi="Arial" w:cs="Arial"/>
          <w:sz w:val="24"/>
          <w:szCs w:val="24"/>
        </w:rPr>
        <w:noBreakHyphen/>
        <w:t>solve and collaborate.</w:t>
      </w:r>
    </w:p>
    <w:p w14:paraId="611F1E47" w14:textId="35238263" w:rsidR="00C908B1" w:rsidRPr="00D35FB2" w:rsidRDefault="00C908B1" w:rsidP="00C908B1">
      <w:pPr>
        <w:rPr>
          <w:rFonts w:ascii="Arial" w:hAnsi="Arial" w:cs="Arial"/>
          <w:sz w:val="24"/>
          <w:szCs w:val="24"/>
        </w:rPr>
      </w:pPr>
      <w:r w:rsidRPr="00C908B1">
        <w:rPr>
          <w:rFonts w:ascii="Arial" w:hAnsi="Arial" w:cs="Arial"/>
          <w:sz w:val="24"/>
          <w:szCs w:val="24"/>
        </w:rPr>
        <w:lastRenderedPageBreak/>
        <w:t xml:space="preserve">These experiences supported several components of physical literacy. The varied terrain nurtured fundamental movement skills, while the outdoor club fostered motivation and confidence through achievable challenge—key pillars of </w:t>
      </w:r>
      <w:r w:rsidR="006B063A" w:rsidRPr="00D35FB2">
        <w:rPr>
          <w:rFonts w:ascii="Arial" w:hAnsi="Arial" w:cs="Arial"/>
          <w:sz w:val="24"/>
          <w:szCs w:val="24"/>
        </w:rPr>
        <w:t xml:space="preserve">Whitehead’s </w:t>
      </w:r>
      <w:r w:rsidR="009907E8" w:rsidRPr="00D35FB2">
        <w:rPr>
          <w:rFonts w:ascii="Arial" w:hAnsi="Arial" w:cs="Arial"/>
          <w:sz w:val="24"/>
          <w:szCs w:val="24"/>
        </w:rPr>
        <w:t xml:space="preserve">theory of </w:t>
      </w:r>
      <w:r w:rsidRPr="00C908B1">
        <w:rPr>
          <w:rFonts w:ascii="Arial" w:hAnsi="Arial" w:cs="Arial"/>
          <w:sz w:val="24"/>
          <w:szCs w:val="24"/>
        </w:rPr>
        <w:t>physical literacy (Whitehead, 2010; UWTSD, 2024). However, school experiences were inconsistent. PE lessons were often limited by time, weather or curriculum pressures, and outdoor learning was treated as an occasional enrichment rather than an embedded pedagogical approach.</w:t>
      </w:r>
    </w:p>
    <w:p w14:paraId="32575DE2" w14:textId="05C17A2D" w:rsidR="003823B4" w:rsidRPr="003823B4" w:rsidRDefault="003823B4" w:rsidP="003823B4">
      <w:pPr>
        <w:rPr>
          <w:rFonts w:ascii="Arial" w:hAnsi="Arial" w:cs="Arial"/>
          <w:sz w:val="24"/>
          <w:szCs w:val="24"/>
        </w:rPr>
      </w:pPr>
      <w:r w:rsidRPr="003823B4">
        <w:rPr>
          <w:rFonts w:ascii="Arial" w:hAnsi="Arial" w:cs="Arial"/>
          <w:sz w:val="24"/>
          <w:szCs w:val="24"/>
        </w:rPr>
        <w:t xml:space="preserve">Reflecting as a </w:t>
      </w:r>
      <w:r w:rsidR="001F56A3" w:rsidRPr="00D35FB2">
        <w:rPr>
          <w:rFonts w:ascii="Arial" w:hAnsi="Arial" w:cs="Arial"/>
          <w:sz w:val="24"/>
          <w:szCs w:val="24"/>
        </w:rPr>
        <w:t>student</w:t>
      </w:r>
      <w:r w:rsidRPr="003823B4">
        <w:rPr>
          <w:rFonts w:ascii="Arial" w:hAnsi="Arial" w:cs="Arial"/>
          <w:sz w:val="24"/>
          <w:szCs w:val="24"/>
        </w:rPr>
        <w:t>, I recognise several strengths in my early experiences. First</w:t>
      </w:r>
      <w:r w:rsidR="001F56A3" w:rsidRPr="00D35FB2">
        <w:rPr>
          <w:rFonts w:ascii="Arial" w:hAnsi="Arial" w:cs="Arial"/>
          <w:sz w:val="24"/>
          <w:szCs w:val="24"/>
        </w:rPr>
        <w:t>ly</w:t>
      </w:r>
      <w:r w:rsidRPr="003823B4">
        <w:rPr>
          <w:rFonts w:ascii="Arial" w:hAnsi="Arial" w:cs="Arial"/>
          <w:sz w:val="24"/>
          <w:szCs w:val="24"/>
        </w:rPr>
        <w:t xml:space="preserve">, the presence of rich physical affordances supported my physical competence and creativity, consistent with ecological dynamics (Gibson, 1979). </w:t>
      </w:r>
      <w:r w:rsidR="001F56A3" w:rsidRPr="00D35FB2">
        <w:rPr>
          <w:rFonts w:ascii="Arial" w:hAnsi="Arial" w:cs="Arial"/>
          <w:sz w:val="24"/>
          <w:szCs w:val="24"/>
        </w:rPr>
        <w:t>Next</w:t>
      </w:r>
      <w:r w:rsidRPr="003823B4">
        <w:rPr>
          <w:rFonts w:ascii="Arial" w:hAnsi="Arial" w:cs="Arial"/>
          <w:sz w:val="24"/>
          <w:szCs w:val="24"/>
        </w:rPr>
        <w:t>, the autonomy</w:t>
      </w:r>
      <w:r w:rsidRPr="003823B4">
        <w:rPr>
          <w:rFonts w:ascii="Arial" w:hAnsi="Arial" w:cs="Arial"/>
          <w:sz w:val="24"/>
          <w:szCs w:val="24"/>
        </w:rPr>
        <w:noBreakHyphen/>
        <w:t>supportive teaching styles used in the outdoor club align with Self</w:t>
      </w:r>
      <w:r w:rsidRPr="003823B4">
        <w:rPr>
          <w:rFonts w:ascii="Arial" w:hAnsi="Arial" w:cs="Arial"/>
          <w:sz w:val="24"/>
          <w:szCs w:val="24"/>
        </w:rPr>
        <w:noBreakHyphen/>
        <w:t>Determination Theory, which identifies autonomy, competence and relatedness as key drivers of intrinsic motivation (Deci &amp; Ryan, 2000). I felt trusted, capable and connected to peers, which enhanced my engagement.</w:t>
      </w:r>
    </w:p>
    <w:p w14:paraId="5CB962D1" w14:textId="77777777" w:rsidR="003823B4" w:rsidRPr="003823B4" w:rsidRDefault="003823B4" w:rsidP="003823B4">
      <w:pPr>
        <w:rPr>
          <w:rFonts w:ascii="Arial" w:hAnsi="Arial" w:cs="Arial"/>
          <w:sz w:val="24"/>
          <w:szCs w:val="24"/>
        </w:rPr>
      </w:pPr>
      <w:r w:rsidRPr="003823B4">
        <w:rPr>
          <w:rFonts w:ascii="Arial" w:hAnsi="Arial" w:cs="Arial"/>
          <w:sz w:val="24"/>
          <w:szCs w:val="24"/>
        </w:rPr>
        <w:t>However, there were notable gaps. In school, PE was often dominated by teacher</w:t>
      </w:r>
      <w:r w:rsidRPr="003823B4">
        <w:rPr>
          <w:rFonts w:ascii="Arial" w:hAnsi="Arial" w:cs="Arial"/>
          <w:sz w:val="24"/>
          <w:szCs w:val="24"/>
        </w:rPr>
        <w:noBreakHyphen/>
        <w:t>led instruction and performance</w:t>
      </w:r>
      <w:r w:rsidRPr="003823B4">
        <w:rPr>
          <w:rFonts w:ascii="Arial" w:hAnsi="Arial" w:cs="Arial"/>
          <w:sz w:val="24"/>
          <w:szCs w:val="24"/>
        </w:rPr>
        <w:noBreakHyphen/>
        <w:t>based tasks, limiting opportunities for exploration and self</w:t>
      </w:r>
      <w:r w:rsidRPr="003823B4">
        <w:rPr>
          <w:rFonts w:ascii="Arial" w:hAnsi="Arial" w:cs="Arial"/>
          <w:sz w:val="24"/>
          <w:szCs w:val="24"/>
        </w:rPr>
        <w:noBreakHyphen/>
        <w:t>paced challenge. These elements are now recognised as essential for developing motivation and confidence, core components of physical literacy (Whitehead, 2010). Outdoor learning was not integrated into the curriculum; it was treated as an add</w:t>
      </w:r>
      <w:r w:rsidRPr="003823B4">
        <w:rPr>
          <w:rFonts w:ascii="Arial" w:hAnsi="Arial" w:cs="Arial"/>
          <w:sz w:val="24"/>
          <w:szCs w:val="24"/>
        </w:rPr>
        <w:noBreakHyphen/>
        <w:t>on rather than a meaningful context for learning.</w:t>
      </w:r>
    </w:p>
    <w:p w14:paraId="4F10E336" w14:textId="77777777" w:rsidR="003823B4" w:rsidRPr="00D35FB2" w:rsidRDefault="003823B4" w:rsidP="003823B4">
      <w:pPr>
        <w:rPr>
          <w:rFonts w:ascii="Arial" w:hAnsi="Arial" w:cs="Arial"/>
          <w:sz w:val="24"/>
          <w:szCs w:val="24"/>
        </w:rPr>
      </w:pPr>
      <w:r w:rsidRPr="003823B4">
        <w:rPr>
          <w:rFonts w:ascii="Arial" w:hAnsi="Arial" w:cs="Arial"/>
          <w:sz w:val="24"/>
          <w:szCs w:val="24"/>
        </w:rPr>
        <w:t>From a contemporary perspective, these gaps contrast with the aspirations of the Curriculum for Wales, which positions outdoor learning as a vehicle for developing physical literacy, resilience, problem</w:t>
      </w:r>
      <w:r w:rsidRPr="003823B4">
        <w:rPr>
          <w:rFonts w:ascii="Arial" w:hAnsi="Arial" w:cs="Arial"/>
          <w:sz w:val="24"/>
          <w:szCs w:val="24"/>
        </w:rPr>
        <w:noBreakHyphen/>
        <w:t>solving and social development (Welsh Government, 2020). Research also highlights that adventure</w:t>
      </w:r>
      <w:r w:rsidRPr="003823B4">
        <w:rPr>
          <w:rFonts w:ascii="Arial" w:hAnsi="Arial" w:cs="Arial"/>
          <w:sz w:val="24"/>
          <w:szCs w:val="24"/>
        </w:rPr>
        <w:noBreakHyphen/>
        <w:t>based learning enhances teamwork, emotional regulation and risk competence (Beames, Higgins &amp; Nicol, 2012). Inclusivity was another challenge: activities tended to favour confident, physically able pupils, contradicting the inclusive ethos of physical literacy, which emphasises that every child has the right to develop movement confidence (Whitehead, 2010).</w:t>
      </w:r>
    </w:p>
    <w:p w14:paraId="095D50A9" w14:textId="0B25F301" w:rsidR="009007FE" w:rsidRPr="003823B4" w:rsidRDefault="009007FE" w:rsidP="003823B4">
      <w:pPr>
        <w:rPr>
          <w:rFonts w:ascii="Arial" w:hAnsi="Arial" w:cs="Arial"/>
          <w:sz w:val="24"/>
          <w:szCs w:val="24"/>
        </w:rPr>
      </w:pPr>
      <w:r w:rsidRPr="00D35FB2">
        <w:rPr>
          <w:rFonts w:ascii="Arial" w:hAnsi="Arial" w:cs="Arial"/>
          <w:sz w:val="24"/>
          <w:szCs w:val="24"/>
        </w:rPr>
        <w:t>A further dimension that strengthens the case for outdoor and adventurous learning is the growing body of evidence linking nature</w:t>
      </w:r>
      <w:r w:rsidRPr="00D35FB2">
        <w:rPr>
          <w:rFonts w:ascii="Arial" w:hAnsi="Arial" w:cs="Arial"/>
          <w:sz w:val="24"/>
          <w:szCs w:val="24"/>
        </w:rPr>
        <w:noBreakHyphen/>
        <w:t xml:space="preserve">based physical activity with enhanced cognitive functioning and emotional wellbeing. Recent research by Mann et al. (2022) highlights that children who regularly engage in outdoor physical activity demonstrate improved attention, working memory and emotional regulation compared to peers whose activity is predominantly indoors. These findings align with Attention Restoration Theory (Kaplan &amp; Kaplan, 1989), which proposes that natural environments reduce cognitive fatigue and support mental clarity through “soft fascination”—a gentle attentional engagement that allows the brain to recover. When applied to physical literacy, this suggests that outdoor contexts not only support physical competence but also enhance the cognitive and affective domains that underpin motivation and confidence. This reinforces Whitehead’s (2010) argument that physical literacy is holistic and cannot be developed through physical skill acquisition alone. Incorporating structured yet flexible outdoor tasks—such as </w:t>
      </w:r>
      <w:r w:rsidRPr="00D35FB2">
        <w:rPr>
          <w:rFonts w:ascii="Arial" w:hAnsi="Arial" w:cs="Arial"/>
          <w:sz w:val="24"/>
          <w:szCs w:val="24"/>
        </w:rPr>
        <w:lastRenderedPageBreak/>
        <w:t>navigation challenges, sensory exploration trails or team</w:t>
      </w:r>
      <w:r w:rsidRPr="00D35FB2">
        <w:rPr>
          <w:rFonts w:ascii="Arial" w:hAnsi="Arial" w:cs="Arial"/>
          <w:sz w:val="24"/>
          <w:szCs w:val="24"/>
        </w:rPr>
        <w:noBreakHyphen/>
        <w:t>based problem</w:t>
      </w:r>
      <w:r w:rsidRPr="00D35FB2">
        <w:rPr>
          <w:rFonts w:ascii="Arial" w:hAnsi="Arial" w:cs="Arial"/>
          <w:sz w:val="24"/>
          <w:szCs w:val="24"/>
        </w:rPr>
        <w:noBreakHyphen/>
        <w:t>solving—can therefore support children’s executive functioning while simultaneously nurturing their movement competence and self</w:t>
      </w:r>
      <w:r w:rsidRPr="00D35FB2">
        <w:rPr>
          <w:rFonts w:ascii="Arial" w:hAnsi="Arial" w:cs="Arial"/>
          <w:sz w:val="24"/>
          <w:szCs w:val="24"/>
        </w:rPr>
        <w:noBreakHyphen/>
        <w:t>belief. This broader developmental impact strengthens the rationale for embedding outdoor learning within the curriculum, positioning it as a pedagogical approach that supports whole</w:t>
      </w:r>
      <w:r w:rsidRPr="00D35FB2">
        <w:rPr>
          <w:rFonts w:ascii="Arial" w:hAnsi="Arial" w:cs="Arial"/>
          <w:sz w:val="24"/>
          <w:szCs w:val="24"/>
        </w:rPr>
        <w:noBreakHyphen/>
        <w:t>child development rather than an optional enrichment activity.</w:t>
      </w:r>
    </w:p>
    <w:p w14:paraId="551AFEFA" w14:textId="44B0D8E9" w:rsidR="003823B4" w:rsidRPr="003823B4" w:rsidRDefault="003823B4" w:rsidP="003823B4">
      <w:pPr>
        <w:rPr>
          <w:rFonts w:ascii="Arial" w:hAnsi="Arial" w:cs="Arial"/>
          <w:sz w:val="24"/>
          <w:szCs w:val="24"/>
        </w:rPr>
      </w:pPr>
      <w:r w:rsidRPr="003823B4">
        <w:rPr>
          <w:rFonts w:ascii="Arial" w:hAnsi="Arial" w:cs="Arial"/>
          <w:sz w:val="24"/>
          <w:szCs w:val="24"/>
        </w:rPr>
        <w:t>If I were to redesign these experiences, I would adopt a more intentional, learner</w:t>
      </w:r>
      <w:r w:rsidRPr="003823B4">
        <w:rPr>
          <w:rFonts w:ascii="Arial" w:hAnsi="Arial" w:cs="Arial"/>
          <w:sz w:val="24"/>
          <w:szCs w:val="24"/>
        </w:rPr>
        <w:noBreakHyphen/>
        <w:t>centred and outdoor</w:t>
      </w:r>
      <w:r w:rsidRPr="003823B4">
        <w:rPr>
          <w:rFonts w:ascii="Arial" w:hAnsi="Arial" w:cs="Arial"/>
          <w:sz w:val="24"/>
          <w:szCs w:val="24"/>
        </w:rPr>
        <w:noBreakHyphen/>
        <w:t>integrated approach.</w:t>
      </w:r>
      <w:r w:rsidR="00B84112" w:rsidRPr="00D35FB2">
        <w:rPr>
          <w:rFonts w:ascii="Arial" w:hAnsi="Arial" w:cs="Arial"/>
          <w:sz w:val="24"/>
          <w:szCs w:val="24"/>
        </w:rPr>
        <w:t xml:space="preserve"> </w:t>
      </w:r>
      <w:r w:rsidRPr="003823B4">
        <w:rPr>
          <w:rFonts w:ascii="Arial" w:hAnsi="Arial" w:cs="Arial"/>
          <w:sz w:val="24"/>
          <w:szCs w:val="24"/>
        </w:rPr>
        <w:t>I would prioritise autonomy</w:t>
      </w:r>
      <w:r w:rsidRPr="003823B4">
        <w:rPr>
          <w:rFonts w:ascii="Arial" w:hAnsi="Arial" w:cs="Arial"/>
          <w:sz w:val="24"/>
          <w:szCs w:val="24"/>
        </w:rPr>
        <w:noBreakHyphen/>
        <w:t>supportive teaching styles—guided discovery, reciprocal learning and small</w:t>
      </w:r>
      <w:r w:rsidRPr="003823B4">
        <w:rPr>
          <w:rFonts w:ascii="Arial" w:hAnsi="Arial" w:cs="Arial"/>
          <w:sz w:val="24"/>
          <w:szCs w:val="24"/>
        </w:rPr>
        <w:noBreakHyphen/>
        <w:t>group challenges. These approaches support intrinsic motivation (Deci &amp; Ryan, 2000) and allow learners to develop confidence through self</w:t>
      </w:r>
      <w:r w:rsidRPr="003823B4">
        <w:rPr>
          <w:rFonts w:ascii="Arial" w:hAnsi="Arial" w:cs="Arial"/>
          <w:sz w:val="24"/>
          <w:szCs w:val="24"/>
        </w:rPr>
        <w:noBreakHyphen/>
        <w:t>directed success. For example, instead of demonstrating a single “correct” way to traverse an obstacle, I would invite pupils to experiment with different strategies and reflect on what worked.</w:t>
      </w:r>
      <w:r w:rsidR="00B84112" w:rsidRPr="00D35FB2">
        <w:rPr>
          <w:rFonts w:ascii="Arial" w:hAnsi="Arial" w:cs="Arial"/>
          <w:sz w:val="24"/>
          <w:szCs w:val="24"/>
        </w:rPr>
        <w:t xml:space="preserve"> Additionally, p</w:t>
      </w:r>
      <w:r w:rsidRPr="003823B4">
        <w:rPr>
          <w:rFonts w:ascii="Arial" w:hAnsi="Arial" w:cs="Arial"/>
          <w:sz w:val="24"/>
          <w:szCs w:val="24"/>
        </w:rPr>
        <w:t>lanning would focus on progressive challenge, ensuring tasks are accessible yet stimulating. Activities such as low</w:t>
      </w:r>
      <w:r w:rsidRPr="003823B4">
        <w:rPr>
          <w:rFonts w:ascii="Arial" w:hAnsi="Arial" w:cs="Arial"/>
          <w:sz w:val="24"/>
          <w:szCs w:val="24"/>
        </w:rPr>
        <w:noBreakHyphen/>
        <w:t>rope courses, woodland navigation, improvised shelters or team</w:t>
      </w:r>
      <w:r w:rsidRPr="003823B4">
        <w:rPr>
          <w:rFonts w:ascii="Arial" w:hAnsi="Arial" w:cs="Arial"/>
          <w:sz w:val="24"/>
          <w:szCs w:val="24"/>
        </w:rPr>
        <w:noBreakHyphen/>
        <w:t>based river</w:t>
      </w:r>
      <w:r w:rsidRPr="003823B4">
        <w:rPr>
          <w:rFonts w:ascii="Arial" w:hAnsi="Arial" w:cs="Arial"/>
          <w:sz w:val="24"/>
          <w:szCs w:val="24"/>
        </w:rPr>
        <w:noBreakHyphen/>
        <w:t>crossing simulations can be scaled for ability and confidence. Safety would be managed through shared risk assessment, helping children develop risk competence rather than risk avoidance (Beames et al., 2012).</w:t>
      </w:r>
      <w:r w:rsidR="00B84112" w:rsidRPr="00D35FB2">
        <w:rPr>
          <w:rFonts w:ascii="Arial" w:hAnsi="Arial" w:cs="Arial"/>
          <w:sz w:val="24"/>
          <w:szCs w:val="24"/>
        </w:rPr>
        <w:t xml:space="preserve"> Furthermore, </w:t>
      </w:r>
      <w:r w:rsidRPr="003823B4">
        <w:rPr>
          <w:rFonts w:ascii="Arial" w:hAnsi="Arial" w:cs="Arial"/>
          <w:sz w:val="24"/>
          <w:szCs w:val="24"/>
        </w:rPr>
        <w:t>I would intentionally use natural features—trees, slopes, water, uneven ground—as learning tools. These affordances support proprioception, balance, coordination and spatial awareness in ways indoor spaces cannot replicate (Gibson, 1979). They also foster curiosity and connection with nature, supporting wellbeing.</w:t>
      </w:r>
      <w:r w:rsidR="004B788A" w:rsidRPr="00D35FB2">
        <w:rPr>
          <w:rFonts w:ascii="Arial" w:hAnsi="Arial" w:cs="Arial"/>
          <w:sz w:val="24"/>
          <w:szCs w:val="24"/>
        </w:rPr>
        <w:t xml:space="preserve"> </w:t>
      </w:r>
      <w:r w:rsidRPr="003823B4">
        <w:rPr>
          <w:rFonts w:ascii="Arial" w:hAnsi="Arial" w:cs="Arial"/>
          <w:sz w:val="24"/>
          <w:szCs w:val="24"/>
        </w:rPr>
        <w:t>To ensure all learners benefit, I would incorporate differentiated roles, varied challenge levels and peer</w:t>
      </w:r>
      <w:r w:rsidRPr="003823B4">
        <w:rPr>
          <w:rFonts w:ascii="Arial" w:hAnsi="Arial" w:cs="Arial"/>
          <w:sz w:val="24"/>
          <w:szCs w:val="24"/>
        </w:rPr>
        <w:noBreakHyphen/>
        <w:t xml:space="preserve">support structures. This aligns with the social dimension of physical literacy and ensures that every child </w:t>
      </w:r>
      <w:r w:rsidR="004B788A" w:rsidRPr="00D35FB2">
        <w:rPr>
          <w:rFonts w:ascii="Arial" w:hAnsi="Arial" w:cs="Arial"/>
          <w:sz w:val="24"/>
          <w:szCs w:val="24"/>
        </w:rPr>
        <w:t>experience</w:t>
      </w:r>
      <w:r w:rsidRPr="003823B4">
        <w:rPr>
          <w:rFonts w:ascii="Arial" w:hAnsi="Arial" w:cs="Arial"/>
          <w:sz w:val="24"/>
          <w:szCs w:val="24"/>
        </w:rPr>
        <w:t xml:space="preserve"> success and belonging (Whitehead, 2010).</w:t>
      </w:r>
    </w:p>
    <w:p w14:paraId="46047585" w14:textId="194BD5D5" w:rsidR="003823B4" w:rsidRPr="003823B4" w:rsidRDefault="003823B4" w:rsidP="003823B4">
      <w:pPr>
        <w:rPr>
          <w:rFonts w:ascii="Arial" w:hAnsi="Arial" w:cs="Arial"/>
          <w:sz w:val="24"/>
          <w:szCs w:val="24"/>
        </w:rPr>
      </w:pPr>
      <w:r w:rsidRPr="003823B4">
        <w:rPr>
          <w:rFonts w:ascii="Arial" w:hAnsi="Arial" w:cs="Arial"/>
          <w:sz w:val="24"/>
          <w:szCs w:val="24"/>
        </w:rPr>
        <w:t>The</w:t>
      </w:r>
      <w:r w:rsidR="000F17BB" w:rsidRPr="00D35FB2">
        <w:rPr>
          <w:rFonts w:ascii="Arial" w:hAnsi="Arial" w:cs="Arial"/>
          <w:sz w:val="24"/>
          <w:szCs w:val="24"/>
        </w:rPr>
        <w:t>se</w:t>
      </w:r>
      <w:r w:rsidRPr="003823B4">
        <w:rPr>
          <w:rFonts w:ascii="Arial" w:hAnsi="Arial" w:cs="Arial"/>
          <w:sz w:val="24"/>
          <w:szCs w:val="24"/>
        </w:rPr>
        <w:t xml:space="preserve"> proposed approach</w:t>
      </w:r>
      <w:r w:rsidR="000F17BB" w:rsidRPr="00D35FB2">
        <w:rPr>
          <w:rFonts w:ascii="Arial" w:hAnsi="Arial" w:cs="Arial"/>
          <w:sz w:val="24"/>
          <w:szCs w:val="24"/>
        </w:rPr>
        <w:t>es</w:t>
      </w:r>
      <w:r w:rsidRPr="003823B4">
        <w:rPr>
          <w:rFonts w:ascii="Arial" w:hAnsi="Arial" w:cs="Arial"/>
          <w:sz w:val="24"/>
          <w:szCs w:val="24"/>
        </w:rPr>
        <w:t xml:space="preserve"> offer several benefits grounded in theory and evidence.</w:t>
      </w:r>
      <w:r w:rsidR="000F17BB" w:rsidRPr="00D35FB2">
        <w:rPr>
          <w:rFonts w:ascii="Arial" w:hAnsi="Arial" w:cs="Arial"/>
          <w:sz w:val="24"/>
          <w:szCs w:val="24"/>
        </w:rPr>
        <w:t xml:space="preserve"> </w:t>
      </w:r>
      <w:r w:rsidRPr="003823B4">
        <w:rPr>
          <w:rFonts w:ascii="Arial" w:hAnsi="Arial" w:cs="Arial"/>
          <w:sz w:val="24"/>
          <w:szCs w:val="24"/>
        </w:rPr>
        <w:t>Outdoor environments naturally promote fundamental movement skills, adaptability and embodied understanding. Autonomy</w:t>
      </w:r>
      <w:r w:rsidRPr="003823B4">
        <w:rPr>
          <w:rFonts w:ascii="Arial" w:hAnsi="Arial" w:cs="Arial"/>
          <w:sz w:val="24"/>
          <w:szCs w:val="24"/>
        </w:rPr>
        <w:noBreakHyphen/>
        <w:t>supportive teaching strengthens motivation and confidence, aligning with Whitehead’s holistic definition of physical literacy (Whitehead, 2010)</w:t>
      </w:r>
      <w:r w:rsidR="000F17BB" w:rsidRPr="00D35FB2">
        <w:rPr>
          <w:rFonts w:ascii="Arial" w:hAnsi="Arial" w:cs="Arial"/>
          <w:sz w:val="24"/>
          <w:szCs w:val="24"/>
        </w:rPr>
        <w:t xml:space="preserve">. </w:t>
      </w:r>
      <w:r w:rsidRPr="003823B4">
        <w:rPr>
          <w:rFonts w:ascii="Arial" w:hAnsi="Arial" w:cs="Arial"/>
          <w:sz w:val="24"/>
          <w:szCs w:val="24"/>
        </w:rPr>
        <w:t>Adventure</w:t>
      </w:r>
      <w:r w:rsidRPr="003823B4">
        <w:rPr>
          <w:rFonts w:ascii="Arial" w:hAnsi="Arial" w:cs="Arial"/>
          <w:sz w:val="24"/>
          <w:szCs w:val="24"/>
        </w:rPr>
        <w:noBreakHyphen/>
        <w:t>based tasks require planning, communication, negotiation and problem</w:t>
      </w:r>
      <w:r w:rsidRPr="003823B4">
        <w:rPr>
          <w:rFonts w:ascii="Arial" w:hAnsi="Arial" w:cs="Arial"/>
          <w:sz w:val="24"/>
          <w:szCs w:val="24"/>
        </w:rPr>
        <w:noBreakHyphen/>
        <w:t>solving, aligning with Vygotskian social constructivism (Vygotsky, 1978).</w:t>
      </w:r>
      <w:r w:rsidR="000F17BB" w:rsidRPr="00D35FB2">
        <w:rPr>
          <w:rFonts w:ascii="Arial" w:hAnsi="Arial" w:cs="Arial"/>
          <w:sz w:val="24"/>
          <w:szCs w:val="24"/>
        </w:rPr>
        <w:t xml:space="preserve"> </w:t>
      </w:r>
      <w:r w:rsidRPr="003823B4">
        <w:rPr>
          <w:rFonts w:ascii="Arial" w:hAnsi="Arial" w:cs="Arial"/>
          <w:sz w:val="24"/>
          <w:szCs w:val="24"/>
        </w:rPr>
        <w:t>Outdoor learning exposes children to manageable risk and uncertainty, helping them develop resilience and self</w:t>
      </w:r>
      <w:r w:rsidRPr="003823B4">
        <w:rPr>
          <w:rFonts w:ascii="Arial" w:hAnsi="Arial" w:cs="Arial"/>
          <w:sz w:val="24"/>
          <w:szCs w:val="24"/>
        </w:rPr>
        <w:noBreakHyphen/>
        <w:t>efficacy (Beames et al., 2012).</w:t>
      </w:r>
      <w:r w:rsidR="000F17BB" w:rsidRPr="00D35FB2">
        <w:rPr>
          <w:rFonts w:ascii="Arial" w:hAnsi="Arial" w:cs="Arial"/>
          <w:sz w:val="24"/>
          <w:szCs w:val="24"/>
        </w:rPr>
        <w:t xml:space="preserve"> </w:t>
      </w:r>
      <w:r w:rsidRPr="003823B4">
        <w:rPr>
          <w:rFonts w:ascii="Arial" w:hAnsi="Arial" w:cs="Arial"/>
          <w:sz w:val="24"/>
          <w:szCs w:val="24"/>
        </w:rPr>
        <w:t>Regular outdoor engagement supports environmental awareness, stress reduction and positive mental health.</w:t>
      </w:r>
      <w:r w:rsidR="00D22B2F" w:rsidRPr="00D35FB2">
        <w:rPr>
          <w:rFonts w:ascii="Arial" w:hAnsi="Arial" w:cs="Arial"/>
          <w:sz w:val="24"/>
          <w:szCs w:val="24"/>
        </w:rPr>
        <w:t xml:space="preserve"> </w:t>
      </w:r>
      <w:r w:rsidRPr="003823B4">
        <w:rPr>
          <w:rFonts w:ascii="Arial" w:hAnsi="Arial" w:cs="Arial"/>
          <w:sz w:val="24"/>
          <w:szCs w:val="24"/>
        </w:rPr>
        <w:t>Varied roles and collaborative tasks support diverse learners and foster a sense of community, aligning with the inclusive ethos of physical literacy (UWTSD, 2024).</w:t>
      </w:r>
    </w:p>
    <w:p w14:paraId="60926BF6" w14:textId="77777777" w:rsidR="003823B4" w:rsidRPr="003823B4" w:rsidRDefault="003823B4" w:rsidP="003823B4">
      <w:pPr>
        <w:rPr>
          <w:rFonts w:ascii="Arial" w:hAnsi="Arial" w:cs="Arial"/>
          <w:sz w:val="24"/>
          <w:szCs w:val="24"/>
        </w:rPr>
      </w:pPr>
      <w:r w:rsidRPr="003823B4">
        <w:rPr>
          <w:rFonts w:ascii="Arial" w:hAnsi="Arial" w:cs="Arial"/>
          <w:sz w:val="24"/>
          <w:szCs w:val="24"/>
        </w:rPr>
        <w:t>Re</w:t>
      </w:r>
      <w:r w:rsidRPr="003823B4">
        <w:rPr>
          <w:rFonts w:ascii="Arial" w:hAnsi="Arial" w:cs="Arial"/>
          <w:sz w:val="24"/>
          <w:szCs w:val="24"/>
        </w:rPr>
        <w:noBreakHyphen/>
        <w:t xml:space="preserve">imagining children’s physical literacy development through outdoor and adventurous learning offers a powerful opportunity to create richer, more inclusive and more motivating physical activity experiences. My own childhood experiences provided a foundation of competence and enjoyment, yet they also revealed gaps—particularly in autonomy, inclusivity and consistent outdoor engagement. By integrating contemporary theories such as physical literacy (Whitehead, 2010), </w:t>
      </w:r>
      <w:r w:rsidRPr="003823B4">
        <w:rPr>
          <w:rFonts w:ascii="Arial" w:hAnsi="Arial" w:cs="Arial"/>
          <w:sz w:val="24"/>
          <w:szCs w:val="24"/>
        </w:rPr>
        <w:lastRenderedPageBreak/>
        <w:t>ecological dynamics (Gibson, 1979) and Self</w:t>
      </w:r>
      <w:r w:rsidRPr="003823B4">
        <w:rPr>
          <w:rFonts w:ascii="Arial" w:hAnsi="Arial" w:cs="Arial"/>
          <w:sz w:val="24"/>
          <w:szCs w:val="24"/>
        </w:rPr>
        <w:noBreakHyphen/>
        <w:t>Determination Theory (Deci &amp; Ryan, 2000), it becomes clear that outdoor learning provides unique affordances that can address these gaps.</w:t>
      </w:r>
    </w:p>
    <w:p w14:paraId="6C44B885" w14:textId="77777777" w:rsidR="003823B4" w:rsidRPr="003823B4" w:rsidRDefault="003823B4" w:rsidP="003823B4">
      <w:pPr>
        <w:rPr>
          <w:rFonts w:ascii="Arial" w:hAnsi="Arial" w:cs="Arial"/>
          <w:sz w:val="24"/>
          <w:szCs w:val="24"/>
        </w:rPr>
      </w:pPr>
      <w:r w:rsidRPr="003823B4">
        <w:rPr>
          <w:rFonts w:ascii="Arial" w:hAnsi="Arial" w:cs="Arial"/>
          <w:sz w:val="24"/>
          <w:szCs w:val="24"/>
        </w:rPr>
        <w:t>The proposed changes—embedding outdoor learning regularly, adopting autonomy</w:t>
      </w:r>
      <w:r w:rsidRPr="003823B4">
        <w:rPr>
          <w:rFonts w:ascii="Arial" w:hAnsi="Arial" w:cs="Arial"/>
          <w:sz w:val="24"/>
          <w:szCs w:val="24"/>
        </w:rPr>
        <w:noBreakHyphen/>
        <w:t>supportive teaching styles, leveraging natural affordances and designing inclusive, progressive challenges—are expected to enhance children’s motivation, confidence, competence and understanding. These are not only core components of physical literacy but also essential life skills that support wellbeing, resilience and lifelong engagement in physical activity.</w:t>
      </w:r>
    </w:p>
    <w:p w14:paraId="2367C5B2" w14:textId="77F72616" w:rsidR="003823B4" w:rsidRPr="003823B4" w:rsidRDefault="003823B4" w:rsidP="003823B4">
      <w:pPr>
        <w:rPr>
          <w:rFonts w:ascii="Arial" w:hAnsi="Arial" w:cs="Arial"/>
          <w:sz w:val="24"/>
          <w:szCs w:val="24"/>
        </w:rPr>
      </w:pPr>
      <w:r w:rsidRPr="003823B4">
        <w:rPr>
          <w:rFonts w:ascii="Arial" w:hAnsi="Arial" w:cs="Arial"/>
          <w:sz w:val="24"/>
          <w:szCs w:val="24"/>
        </w:rPr>
        <w:t>Reflecting on my own experiences has deepened my appreciation of how powerful outdoor learning can be when intentionally designed. It has also highlighted the responsibility educators hold in shaping environments that nurture curiosity, agency and belonging. This reflective process has strengthened my commitment to creating learning experiences that honour the holistic nature of physical literacy and the potential of the outdoors as a dynamic, inclusive and inspiring classroom.</w:t>
      </w:r>
    </w:p>
    <w:p w14:paraId="2A1C45B3" w14:textId="77777777" w:rsidR="00B84112" w:rsidRPr="00D35FB2" w:rsidRDefault="00B84112" w:rsidP="003823B4">
      <w:pPr>
        <w:rPr>
          <w:rFonts w:ascii="Arial" w:hAnsi="Arial" w:cs="Arial"/>
          <w:b/>
          <w:bCs/>
          <w:sz w:val="24"/>
          <w:szCs w:val="24"/>
        </w:rPr>
      </w:pPr>
    </w:p>
    <w:p w14:paraId="452ECBBC" w14:textId="77777777" w:rsidR="00B84112" w:rsidRPr="00D35FB2" w:rsidRDefault="00B84112" w:rsidP="003823B4">
      <w:pPr>
        <w:rPr>
          <w:rFonts w:ascii="Arial" w:hAnsi="Arial" w:cs="Arial"/>
          <w:b/>
          <w:bCs/>
          <w:sz w:val="24"/>
          <w:szCs w:val="24"/>
        </w:rPr>
      </w:pPr>
    </w:p>
    <w:p w14:paraId="64344D78" w14:textId="77777777" w:rsidR="00B84112" w:rsidRPr="00D35FB2" w:rsidRDefault="00B84112" w:rsidP="003823B4">
      <w:pPr>
        <w:rPr>
          <w:rFonts w:ascii="Arial" w:hAnsi="Arial" w:cs="Arial"/>
          <w:b/>
          <w:bCs/>
          <w:sz w:val="24"/>
          <w:szCs w:val="24"/>
        </w:rPr>
      </w:pPr>
    </w:p>
    <w:p w14:paraId="4867AC82" w14:textId="77777777" w:rsidR="00B84112" w:rsidRPr="00D35FB2" w:rsidRDefault="00B84112" w:rsidP="003823B4">
      <w:pPr>
        <w:rPr>
          <w:rFonts w:ascii="Arial" w:hAnsi="Arial" w:cs="Arial"/>
          <w:b/>
          <w:bCs/>
          <w:sz w:val="24"/>
          <w:szCs w:val="24"/>
        </w:rPr>
      </w:pPr>
    </w:p>
    <w:p w14:paraId="7CA869FF" w14:textId="77777777" w:rsidR="00B84112" w:rsidRPr="00D35FB2" w:rsidRDefault="00B84112" w:rsidP="003823B4">
      <w:pPr>
        <w:rPr>
          <w:rFonts w:ascii="Arial" w:hAnsi="Arial" w:cs="Arial"/>
          <w:b/>
          <w:bCs/>
          <w:sz w:val="24"/>
          <w:szCs w:val="24"/>
        </w:rPr>
      </w:pPr>
    </w:p>
    <w:p w14:paraId="3BC51D9A" w14:textId="77777777" w:rsidR="009007FE" w:rsidRDefault="009007FE" w:rsidP="003823B4">
      <w:pPr>
        <w:rPr>
          <w:rFonts w:ascii="Arial" w:hAnsi="Arial" w:cs="Arial"/>
          <w:b/>
          <w:bCs/>
          <w:sz w:val="24"/>
          <w:szCs w:val="24"/>
        </w:rPr>
      </w:pPr>
    </w:p>
    <w:p w14:paraId="63F6E6EE" w14:textId="77777777" w:rsidR="00D35FB2" w:rsidRDefault="00D35FB2" w:rsidP="003823B4">
      <w:pPr>
        <w:rPr>
          <w:rFonts w:ascii="Arial" w:hAnsi="Arial" w:cs="Arial"/>
          <w:b/>
          <w:bCs/>
          <w:sz w:val="24"/>
          <w:szCs w:val="24"/>
        </w:rPr>
      </w:pPr>
    </w:p>
    <w:p w14:paraId="1242F43F" w14:textId="77777777" w:rsidR="00D35FB2" w:rsidRDefault="00D35FB2" w:rsidP="003823B4">
      <w:pPr>
        <w:rPr>
          <w:rFonts w:ascii="Arial" w:hAnsi="Arial" w:cs="Arial"/>
          <w:b/>
          <w:bCs/>
          <w:sz w:val="24"/>
          <w:szCs w:val="24"/>
        </w:rPr>
      </w:pPr>
    </w:p>
    <w:p w14:paraId="0BEE6C90" w14:textId="77777777" w:rsidR="00D35FB2" w:rsidRDefault="00D35FB2" w:rsidP="003823B4">
      <w:pPr>
        <w:rPr>
          <w:rFonts w:ascii="Arial" w:hAnsi="Arial" w:cs="Arial"/>
          <w:b/>
          <w:bCs/>
          <w:sz w:val="24"/>
          <w:szCs w:val="24"/>
        </w:rPr>
      </w:pPr>
    </w:p>
    <w:p w14:paraId="0859488E" w14:textId="77777777" w:rsidR="00D35FB2" w:rsidRDefault="00D35FB2" w:rsidP="003823B4">
      <w:pPr>
        <w:rPr>
          <w:rFonts w:ascii="Arial" w:hAnsi="Arial" w:cs="Arial"/>
          <w:b/>
          <w:bCs/>
          <w:sz w:val="24"/>
          <w:szCs w:val="24"/>
        </w:rPr>
      </w:pPr>
    </w:p>
    <w:p w14:paraId="30F97959" w14:textId="77777777" w:rsidR="00D35FB2" w:rsidRDefault="00D35FB2" w:rsidP="003823B4">
      <w:pPr>
        <w:rPr>
          <w:rFonts w:ascii="Arial" w:hAnsi="Arial" w:cs="Arial"/>
          <w:b/>
          <w:bCs/>
          <w:sz w:val="24"/>
          <w:szCs w:val="24"/>
        </w:rPr>
      </w:pPr>
    </w:p>
    <w:p w14:paraId="3FFD19E1" w14:textId="77777777" w:rsidR="00D35FB2" w:rsidRDefault="00D35FB2" w:rsidP="003823B4">
      <w:pPr>
        <w:rPr>
          <w:rFonts w:ascii="Arial" w:hAnsi="Arial" w:cs="Arial"/>
          <w:b/>
          <w:bCs/>
          <w:sz w:val="24"/>
          <w:szCs w:val="24"/>
        </w:rPr>
      </w:pPr>
    </w:p>
    <w:p w14:paraId="26BB36AE" w14:textId="77777777" w:rsidR="00D35FB2" w:rsidRDefault="00D35FB2" w:rsidP="003823B4">
      <w:pPr>
        <w:rPr>
          <w:rFonts w:ascii="Arial" w:hAnsi="Arial" w:cs="Arial"/>
          <w:b/>
          <w:bCs/>
          <w:sz w:val="24"/>
          <w:szCs w:val="24"/>
        </w:rPr>
      </w:pPr>
    </w:p>
    <w:p w14:paraId="23FAFFEC" w14:textId="77777777" w:rsidR="00D35FB2" w:rsidRDefault="00D35FB2" w:rsidP="003823B4">
      <w:pPr>
        <w:rPr>
          <w:rFonts w:ascii="Arial" w:hAnsi="Arial" w:cs="Arial"/>
          <w:b/>
          <w:bCs/>
          <w:sz w:val="24"/>
          <w:szCs w:val="24"/>
        </w:rPr>
      </w:pPr>
    </w:p>
    <w:p w14:paraId="6EED3BB3" w14:textId="77777777" w:rsidR="00D35FB2" w:rsidRDefault="00D35FB2" w:rsidP="003823B4">
      <w:pPr>
        <w:rPr>
          <w:rFonts w:ascii="Arial" w:hAnsi="Arial" w:cs="Arial"/>
          <w:b/>
          <w:bCs/>
          <w:sz w:val="24"/>
          <w:szCs w:val="24"/>
        </w:rPr>
      </w:pPr>
    </w:p>
    <w:p w14:paraId="20254C0D" w14:textId="77777777" w:rsidR="00D35FB2" w:rsidRDefault="00D35FB2" w:rsidP="003823B4">
      <w:pPr>
        <w:rPr>
          <w:rFonts w:ascii="Arial" w:hAnsi="Arial" w:cs="Arial"/>
          <w:b/>
          <w:bCs/>
          <w:sz w:val="24"/>
          <w:szCs w:val="24"/>
        </w:rPr>
      </w:pPr>
    </w:p>
    <w:p w14:paraId="17190892" w14:textId="77777777" w:rsidR="00D35FB2" w:rsidRDefault="00D35FB2" w:rsidP="003823B4">
      <w:pPr>
        <w:rPr>
          <w:rFonts w:ascii="Arial" w:hAnsi="Arial" w:cs="Arial"/>
          <w:b/>
          <w:bCs/>
          <w:sz w:val="24"/>
          <w:szCs w:val="24"/>
        </w:rPr>
      </w:pPr>
    </w:p>
    <w:p w14:paraId="31F4DA90" w14:textId="77777777" w:rsidR="00D35FB2" w:rsidRDefault="00D35FB2" w:rsidP="003823B4">
      <w:pPr>
        <w:rPr>
          <w:rFonts w:ascii="Arial" w:hAnsi="Arial" w:cs="Arial"/>
          <w:b/>
          <w:bCs/>
          <w:sz w:val="24"/>
          <w:szCs w:val="24"/>
        </w:rPr>
      </w:pPr>
    </w:p>
    <w:p w14:paraId="32991DB3" w14:textId="77777777" w:rsidR="00D35FB2" w:rsidRPr="00D35FB2" w:rsidRDefault="00D35FB2" w:rsidP="003823B4">
      <w:pPr>
        <w:rPr>
          <w:rFonts w:ascii="Arial" w:hAnsi="Arial" w:cs="Arial"/>
          <w:b/>
          <w:bCs/>
          <w:sz w:val="24"/>
          <w:szCs w:val="24"/>
        </w:rPr>
      </w:pPr>
    </w:p>
    <w:p w14:paraId="624DFD4E" w14:textId="77777777" w:rsidR="009007FE" w:rsidRPr="00D35FB2" w:rsidRDefault="009007FE" w:rsidP="003823B4">
      <w:pPr>
        <w:rPr>
          <w:rFonts w:ascii="Arial" w:hAnsi="Arial" w:cs="Arial"/>
          <w:b/>
          <w:bCs/>
          <w:sz w:val="24"/>
          <w:szCs w:val="24"/>
        </w:rPr>
      </w:pPr>
    </w:p>
    <w:p w14:paraId="1E392E9E" w14:textId="6F29632F" w:rsidR="009007FE" w:rsidRDefault="00D35FB2" w:rsidP="003823B4">
      <w:pPr>
        <w:rPr>
          <w:rFonts w:ascii="Arial" w:hAnsi="Arial" w:cs="Arial"/>
          <w:b/>
          <w:bCs/>
          <w:sz w:val="24"/>
          <w:szCs w:val="24"/>
        </w:rPr>
      </w:pPr>
      <w:r>
        <w:rPr>
          <w:rFonts w:ascii="Arial" w:hAnsi="Arial" w:cs="Arial"/>
          <w:b/>
          <w:bCs/>
          <w:sz w:val="24"/>
          <w:szCs w:val="24"/>
        </w:rPr>
        <w:t>Word count: 1437</w:t>
      </w:r>
    </w:p>
    <w:p w14:paraId="4CCFC768" w14:textId="77777777" w:rsidR="00D35FB2" w:rsidRPr="00D35FB2" w:rsidRDefault="00D35FB2" w:rsidP="003823B4">
      <w:pPr>
        <w:rPr>
          <w:rFonts w:ascii="Arial" w:hAnsi="Arial" w:cs="Arial"/>
          <w:b/>
          <w:bCs/>
          <w:sz w:val="24"/>
          <w:szCs w:val="24"/>
        </w:rPr>
      </w:pPr>
    </w:p>
    <w:p w14:paraId="5F180F69" w14:textId="3F4BFE90" w:rsidR="003823B4" w:rsidRPr="003823B4" w:rsidRDefault="003823B4" w:rsidP="003823B4">
      <w:pPr>
        <w:rPr>
          <w:rFonts w:ascii="Arial" w:hAnsi="Arial" w:cs="Arial"/>
          <w:sz w:val="24"/>
          <w:szCs w:val="24"/>
        </w:rPr>
      </w:pPr>
      <w:r w:rsidRPr="003823B4">
        <w:rPr>
          <w:rFonts w:ascii="Arial" w:hAnsi="Arial" w:cs="Arial"/>
          <w:b/>
          <w:bCs/>
          <w:sz w:val="24"/>
          <w:szCs w:val="24"/>
        </w:rPr>
        <w:t>Reference List</w:t>
      </w:r>
      <w:r w:rsidR="00B84112" w:rsidRPr="00D35FB2">
        <w:rPr>
          <w:rFonts w:ascii="Arial" w:hAnsi="Arial" w:cs="Arial"/>
          <w:b/>
          <w:bCs/>
          <w:sz w:val="24"/>
          <w:szCs w:val="24"/>
        </w:rPr>
        <w:t>:</w:t>
      </w:r>
    </w:p>
    <w:p w14:paraId="23F1180A"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Beames, S., Higgins, P. and Nicol, R. (2012). </w:t>
      </w:r>
      <w:r w:rsidRPr="00D35FB2">
        <w:rPr>
          <w:rFonts w:ascii="Arial" w:hAnsi="Arial" w:cs="Arial"/>
          <w:i/>
          <w:iCs/>
          <w:sz w:val="24"/>
          <w:szCs w:val="24"/>
        </w:rPr>
        <w:t>Learning outside the Classroom</w:t>
      </w:r>
      <w:r w:rsidRPr="00D35FB2">
        <w:rPr>
          <w:rFonts w:ascii="Arial" w:hAnsi="Arial" w:cs="Arial"/>
          <w:sz w:val="24"/>
          <w:szCs w:val="24"/>
        </w:rPr>
        <w:t>. London: Routledge.</w:t>
      </w:r>
    </w:p>
    <w:p w14:paraId="7333F320"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Deci, E.L. and Ryan, R.M. (2000). Commentaries on ‘The “What” and “Why” of Goal Pursuits: Human Needs and the Self-Determination of Behavior’. </w:t>
      </w:r>
      <w:r w:rsidRPr="00D35FB2">
        <w:rPr>
          <w:rFonts w:ascii="Arial" w:hAnsi="Arial" w:cs="Arial"/>
          <w:i/>
          <w:iCs/>
          <w:sz w:val="24"/>
          <w:szCs w:val="24"/>
        </w:rPr>
        <w:t>Psychological Inquiry</w:t>
      </w:r>
      <w:r w:rsidRPr="00D35FB2">
        <w:rPr>
          <w:rFonts w:ascii="Arial" w:hAnsi="Arial" w:cs="Arial"/>
          <w:sz w:val="24"/>
          <w:szCs w:val="24"/>
        </w:rPr>
        <w:t>, 11(4), pp.227–268.</w:t>
      </w:r>
    </w:p>
    <w:p w14:paraId="2B02F502"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Gibson, J.J. (1979). </w:t>
      </w:r>
      <w:r w:rsidRPr="00D35FB2">
        <w:rPr>
          <w:rFonts w:ascii="Arial" w:hAnsi="Arial" w:cs="Arial"/>
          <w:i/>
          <w:iCs/>
          <w:sz w:val="24"/>
          <w:szCs w:val="24"/>
        </w:rPr>
        <w:t>THE ECOLOGICAL APPROACH TO VISUAL PERCEPTION</w:t>
      </w:r>
      <w:r w:rsidRPr="00D35FB2">
        <w:rPr>
          <w:rFonts w:ascii="Arial" w:hAnsi="Arial" w:cs="Arial"/>
          <w:sz w:val="24"/>
          <w:szCs w:val="24"/>
        </w:rPr>
        <w:t>. [online] Available at: https://library.uniq.edu.iq/storage/books/file/The%20Ecological%20Approach%20to%20Visual%20Perception%20Approach/1667383098The%20Ecological%20Approach%20to%20Visual%20Perception%20Classic%20Edition%20(James%20J.%20Gibson)%20(z-lib.org)%20(1).pdf [Accessed 2 Mar. 2026].</w:t>
      </w:r>
    </w:p>
    <w:p w14:paraId="2B7E143C"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Gibson, J.J. (2013). </w:t>
      </w:r>
      <w:r w:rsidRPr="00D35FB2">
        <w:rPr>
          <w:rFonts w:ascii="Arial" w:hAnsi="Arial" w:cs="Arial"/>
          <w:i/>
          <w:iCs/>
          <w:sz w:val="24"/>
          <w:szCs w:val="24"/>
        </w:rPr>
        <w:t>The Ecological Approach To Visual Perception</w:t>
      </w:r>
      <w:r w:rsidRPr="00D35FB2">
        <w:rPr>
          <w:rFonts w:ascii="Arial" w:hAnsi="Arial" w:cs="Arial"/>
          <w:sz w:val="24"/>
          <w:szCs w:val="24"/>
        </w:rPr>
        <w:t>. Psychology Press.</w:t>
      </w:r>
    </w:p>
    <w:p w14:paraId="1EDB18B7"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Kaplan, R. and Kaplan, S. (1989). </w:t>
      </w:r>
      <w:r w:rsidRPr="00D35FB2">
        <w:rPr>
          <w:rFonts w:ascii="Arial" w:hAnsi="Arial" w:cs="Arial"/>
          <w:i/>
          <w:iCs/>
          <w:sz w:val="24"/>
          <w:szCs w:val="24"/>
        </w:rPr>
        <w:t>Experience of Nature ; A Psychological Perspective.</w:t>
      </w:r>
      <w:r w:rsidRPr="00D35FB2">
        <w:rPr>
          <w:rFonts w:ascii="Arial" w:hAnsi="Arial" w:cs="Arial"/>
          <w:sz w:val="24"/>
          <w:szCs w:val="24"/>
        </w:rPr>
        <w:t xml:space="preserve"> Cambridge University Press.</w:t>
      </w:r>
    </w:p>
    <w:p w14:paraId="564FF2EE"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Mann, J., Gray, T., Truong, S., Brymer, E., Passy, R., Ho, S., Sahlberg, P., Ward, K., Bentsen, P., Curry, C. and Cowper, R. (2022). Getting out of the Classroom and into Nature: </w:t>
      </w:r>
      <w:proofErr w:type="gramStart"/>
      <w:r w:rsidRPr="00D35FB2">
        <w:rPr>
          <w:rFonts w:ascii="Arial" w:hAnsi="Arial" w:cs="Arial"/>
          <w:sz w:val="24"/>
          <w:szCs w:val="24"/>
        </w:rPr>
        <w:t>a</w:t>
      </w:r>
      <w:proofErr w:type="gramEnd"/>
      <w:r w:rsidRPr="00D35FB2">
        <w:rPr>
          <w:rFonts w:ascii="Arial" w:hAnsi="Arial" w:cs="Arial"/>
          <w:sz w:val="24"/>
          <w:szCs w:val="24"/>
        </w:rPr>
        <w:t xml:space="preserve"> Systematic Review of Nature-Specific Outdoor Learning on School Children’s Learning and Development. </w:t>
      </w:r>
      <w:r w:rsidRPr="00D35FB2">
        <w:rPr>
          <w:rFonts w:ascii="Arial" w:hAnsi="Arial" w:cs="Arial"/>
          <w:i/>
          <w:iCs/>
          <w:sz w:val="24"/>
          <w:szCs w:val="24"/>
        </w:rPr>
        <w:t>Frontiers in Public Health</w:t>
      </w:r>
      <w:r w:rsidRPr="00D35FB2">
        <w:rPr>
          <w:rFonts w:ascii="Arial" w:hAnsi="Arial" w:cs="Arial"/>
          <w:sz w:val="24"/>
          <w:szCs w:val="24"/>
        </w:rPr>
        <w:t xml:space="preserve">, [online] 10(10). </w:t>
      </w:r>
      <w:proofErr w:type="gramStart"/>
      <w:r w:rsidRPr="00D35FB2">
        <w:rPr>
          <w:rFonts w:ascii="Arial" w:hAnsi="Arial" w:cs="Arial"/>
          <w:sz w:val="24"/>
          <w:szCs w:val="24"/>
        </w:rPr>
        <w:t>doi:https://doi.org/10.3389/fpubh.2022.877058</w:t>
      </w:r>
      <w:proofErr w:type="gramEnd"/>
      <w:r w:rsidRPr="00D35FB2">
        <w:rPr>
          <w:rFonts w:ascii="Arial" w:hAnsi="Arial" w:cs="Arial"/>
          <w:sz w:val="24"/>
          <w:szCs w:val="24"/>
        </w:rPr>
        <w:t>.</w:t>
      </w:r>
    </w:p>
    <w:p w14:paraId="5427751E"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UWTSD, W.D.T. - (2024). </w:t>
      </w:r>
      <w:r w:rsidRPr="00D35FB2">
        <w:rPr>
          <w:rFonts w:ascii="Arial" w:hAnsi="Arial" w:cs="Arial"/>
          <w:i/>
          <w:iCs/>
          <w:sz w:val="24"/>
          <w:szCs w:val="24"/>
        </w:rPr>
        <w:t>About Physical Literacy</w:t>
      </w:r>
      <w:r w:rsidRPr="00D35FB2">
        <w:rPr>
          <w:rFonts w:ascii="Arial" w:hAnsi="Arial" w:cs="Arial"/>
          <w:sz w:val="24"/>
          <w:szCs w:val="24"/>
        </w:rPr>
        <w:t>. [online] www.uwtsd.ac.uk. Available at: https://www.uwtsd.ac.uk [Accessed 27 Feb. 2026].</w:t>
      </w:r>
    </w:p>
    <w:p w14:paraId="08C4E5E1"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Welsh Government (2020). </w:t>
      </w:r>
      <w:r w:rsidRPr="00D35FB2">
        <w:rPr>
          <w:rFonts w:ascii="Arial" w:hAnsi="Arial" w:cs="Arial"/>
          <w:i/>
          <w:iCs/>
          <w:sz w:val="24"/>
          <w:szCs w:val="24"/>
        </w:rPr>
        <w:t>Health and Well-being: Introduction - Hwb</w:t>
      </w:r>
      <w:r w:rsidRPr="00D35FB2">
        <w:rPr>
          <w:rFonts w:ascii="Arial" w:hAnsi="Arial" w:cs="Arial"/>
          <w:sz w:val="24"/>
          <w:szCs w:val="24"/>
        </w:rPr>
        <w:t xml:space="preserve">. [online] </w:t>
      </w:r>
      <w:proofErr w:type="gramStart"/>
      <w:r w:rsidRPr="00D35FB2">
        <w:rPr>
          <w:rFonts w:ascii="Arial" w:hAnsi="Arial" w:cs="Arial"/>
          <w:sz w:val="24"/>
          <w:szCs w:val="24"/>
        </w:rPr>
        <w:t>hwb.gov.wales</w:t>
      </w:r>
      <w:proofErr w:type="gramEnd"/>
      <w:r w:rsidRPr="00D35FB2">
        <w:rPr>
          <w:rFonts w:ascii="Arial" w:hAnsi="Arial" w:cs="Arial"/>
          <w:sz w:val="24"/>
          <w:szCs w:val="24"/>
        </w:rPr>
        <w:t>. Available at: https://hwb.gov.wales/curriculum-for-wales/health-and-well-being/ [Accessed 27 Feb. 2026].</w:t>
      </w:r>
    </w:p>
    <w:p w14:paraId="04B3A463" w14:textId="77777777" w:rsidR="00D35FB2" w:rsidRPr="00D35FB2" w:rsidRDefault="00D35FB2" w:rsidP="00D35FB2">
      <w:pPr>
        <w:rPr>
          <w:rFonts w:ascii="Arial" w:hAnsi="Arial" w:cs="Arial"/>
          <w:sz w:val="24"/>
          <w:szCs w:val="24"/>
        </w:rPr>
      </w:pPr>
      <w:r w:rsidRPr="00D35FB2">
        <w:rPr>
          <w:rFonts w:ascii="Arial" w:hAnsi="Arial" w:cs="Arial"/>
          <w:sz w:val="24"/>
          <w:szCs w:val="24"/>
        </w:rPr>
        <w:t xml:space="preserve">Whitehead, M. (2010). </w:t>
      </w:r>
      <w:r w:rsidRPr="00D35FB2">
        <w:rPr>
          <w:rFonts w:ascii="Arial" w:hAnsi="Arial" w:cs="Arial"/>
          <w:i/>
          <w:iCs/>
          <w:sz w:val="24"/>
          <w:szCs w:val="24"/>
        </w:rPr>
        <w:t>Physical Literacy</w:t>
      </w:r>
      <w:r w:rsidRPr="00D35FB2">
        <w:rPr>
          <w:rFonts w:ascii="Arial" w:hAnsi="Arial" w:cs="Arial"/>
          <w:sz w:val="24"/>
          <w:szCs w:val="24"/>
        </w:rPr>
        <w:t>. Routledge.</w:t>
      </w:r>
    </w:p>
    <w:p w14:paraId="26EB57CF" w14:textId="77777777" w:rsidR="00C577D9" w:rsidRPr="003823B4" w:rsidRDefault="00C577D9" w:rsidP="003823B4">
      <w:pPr>
        <w:rPr>
          <w:rFonts w:ascii="Arial" w:hAnsi="Arial" w:cs="Arial"/>
          <w:sz w:val="24"/>
          <w:szCs w:val="24"/>
        </w:rPr>
      </w:pPr>
    </w:p>
    <w:p w14:paraId="5C55FE56" w14:textId="77777777" w:rsidR="003823B4" w:rsidRPr="00C908B1" w:rsidRDefault="003823B4" w:rsidP="00C908B1">
      <w:pPr>
        <w:rPr>
          <w:rFonts w:ascii="Arial" w:hAnsi="Arial" w:cs="Arial"/>
          <w:sz w:val="24"/>
          <w:szCs w:val="24"/>
        </w:rPr>
      </w:pPr>
    </w:p>
    <w:p w14:paraId="751A98A0" w14:textId="77777777" w:rsidR="00191D81" w:rsidRPr="00D35FB2" w:rsidRDefault="00191D81">
      <w:pPr>
        <w:rPr>
          <w:rFonts w:ascii="Arial" w:hAnsi="Arial" w:cs="Arial"/>
          <w:sz w:val="24"/>
          <w:szCs w:val="24"/>
        </w:rPr>
      </w:pPr>
    </w:p>
    <w:sectPr w:rsidR="00191D81" w:rsidRPr="00D35FB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801DD" w14:textId="77777777" w:rsidR="007F443F" w:rsidRDefault="007F443F" w:rsidP="00D35FB2">
      <w:pPr>
        <w:spacing w:after="0" w:line="240" w:lineRule="auto"/>
      </w:pPr>
      <w:r>
        <w:separator/>
      </w:r>
    </w:p>
  </w:endnote>
  <w:endnote w:type="continuationSeparator" w:id="0">
    <w:p w14:paraId="756D4335" w14:textId="77777777" w:rsidR="007F443F" w:rsidRDefault="007F443F" w:rsidP="00D3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918818"/>
      <w:docPartObj>
        <w:docPartGallery w:val="Page Numbers (Bottom of Page)"/>
        <w:docPartUnique/>
      </w:docPartObj>
    </w:sdtPr>
    <w:sdtEndPr>
      <w:rPr>
        <w:noProof/>
      </w:rPr>
    </w:sdtEndPr>
    <w:sdtContent>
      <w:p w14:paraId="3AEA4FE9" w14:textId="435530C7" w:rsidR="00D35FB2" w:rsidRDefault="00D35FB2">
        <w:pPr>
          <w:pStyle w:val="Footer"/>
        </w:pPr>
        <w:r>
          <w:fldChar w:fldCharType="begin"/>
        </w:r>
        <w:r>
          <w:instrText xml:space="preserve"> PAGE   \* MERGEFORMAT </w:instrText>
        </w:r>
        <w:r>
          <w:fldChar w:fldCharType="separate"/>
        </w:r>
        <w:r>
          <w:rPr>
            <w:noProof/>
          </w:rPr>
          <w:t>2</w:t>
        </w:r>
        <w:r>
          <w:rPr>
            <w:noProof/>
          </w:rPr>
          <w:fldChar w:fldCharType="end"/>
        </w:r>
      </w:p>
    </w:sdtContent>
  </w:sdt>
  <w:p w14:paraId="0B577619" w14:textId="77777777" w:rsidR="00D35FB2" w:rsidRDefault="00D35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69984" w14:textId="77777777" w:rsidR="007F443F" w:rsidRDefault="007F443F" w:rsidP="00D35FB2">
      <w:pPr>
        <w:spacing w:after="0" w:line="240" w:lineRule="auto"/>
      </w:pPr>
      <w:r>
        <w:separator/>
      </w:r>
    </w:p>
  </w:footnote>
  <w:footnote w:type="continuationSeparator" w:id="0">
    <w:p w14:paraId="3A9D2E9F" w14:textId="77777777" w:rsidR="007F443F" w:rsidRDefault="007F443F" w:rsidP="00D35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1C1FC" w14:textId="1A0C1A9E" w:rsidR="00D35FB2" w:rsidRDefault="00D35FB2">
    <w:pPr>
      <w:pStyle w:val="Header"/>
    </w:pPr>
    <w:r>
      <w:t>BMSH</w:t>
    </w:r>
    <w:r w:rsidR="006B1224">
      <w:t>4102</w:t>
    </w:r>
  </w:p>
  <w:p w14:paraId="26775721" w14:textId="104FD2DA" w:rsidR="006B1224" w:rsidRDefault="006B1224">
    <w:pPr>
      <w:pStyle w:val="Header"/>
    </w:pPr>
    <w:r>
      <w:t>2502023</w:t>
    </w:r>
  </w:p>
  <w:p w14:paraId="233FC9A8" w14:textId="19EE6E07" w:rsidR="006B1224" w:rsidRDefault="006B1224">
    <w:pPr>
      <w:pStyle w:val="Header"/>
    </w:pPr>
    <w:r>
      <w:t xml:space="preserve">Sport, Health &amp; Physical Education </w:t>
    </w:r>
  </w:p>
  <w:p w14:paraId="7323FF60" w14:textId="77777777" w:rsidR="006B1224" w:rsidRDefault="006B12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95"/>
    <w:rsid w:val="000F17BB"/>
    <w:rsid w:val="00191D81"/>
    <w:rsid w:val="00194D51"/>
    <w:rsid w:val="001F56A3"/>
    <w:rsid w:val="00211FA9"/>
    <w:rsid w:val="00241B1C"/>
    <w:rsid w:val="003823B4"/>
    <w:rsid w:val="004B788A"/>
    <w:rsid w:val="00607A5B"/>
    <w:rsid w:val="00630CE6"/>
    <w:rsid w:val="006B063A"/>
    <w:rsid w:val="006B1224"/>
    <w:rsid w:val="00706EDD"/>
    <w:rsid w:val="007F443F"/>
    <w:rsid w:val="0087740E"/>
    <w:rsid w:val="0089650E"/>
    <w:rsid w:val="009007FE"/>
    <w:rsid w:val="009907E8"/>
    <w:rsid w:val="00B84112"/>
    <w:rsid w:val="00B97F03"/>
    <w:rsid w:val="00C51A6D"/>
    <w:rsid w:val="00C577D9"/>
    <w:rsid w:val="00C908B1"/>
    <w:rsid w:val="00D22B2F"/>
    <w:rsid w:val="00D35FB2"/>
    <w:rsid w:val="00FA1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29B9F"/>
  <w15:chartTrackingRefBased/>
  <w15:docId w15:val="{904F38EF-CD89-426F-93BB-36190C52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5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15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15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15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15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15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5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5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5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5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15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15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15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15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1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595"/>
    <w:rPr>
      <w:rFonts w:eastAsiaTheme="majorEastAsia" w:cstheme="majorBidi"/>
      <w:color w:val="272727" w:themeColor="text1" w:themeTint="D8"/>
    </w:rPr>
  </w:style>
  <w:style w:type="paragraph" w:styleId="Title">
    <w:name w:val="Title"/>
    <w:basedOn w:val="Normal"/>
    <w:next w:val="Normal"/>
    <w:link w:val="TitleChar"/>
    <w:uiPriority w:val="10"/>
    <w:qFormat/>
    <w:rsid w:val="00FA1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5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595"/>
    <w:pPr>
      <w:spacing w:before="160"/>
      <w:jc w:val="center"/>
    </w:pPr>
    <w:rPr>
      <w:i/>
      <w:iCs/>
      <w:color w:val="404040" w:themeColor="text1" w:themeTint="BF"/>
    </w:rPr>
  </w:style>
  <w:style w:type="character" w:customStyle="1" w:styleId="QuoteChar">
    <w:name w:val="Quote Char"/>
    <w:basedOn w:val="DefaultParagraphFont"/>
    <w:link w:val="Quote"/>
    <w:uiPriority w:val="29"/>
    <w:rsid w:val="00FA1595"/>
    <w:rPr>
      <w:i/>
      <w:iCs/>
      <w:color w:val="404040" w:themeColor="text1" w:themeTint="BF"/>
    </w:rPr>
  </w:style>
  <w:style w:type="paragraph" w:styleId="ListParagraph">
    <w:name w:val="List Paragraph"/>
    <w:basedOn w:val="Normal"/>
    <w:uiPriority w:val="34"/>
    <w:qFormat/>
    <w:rsid w:val="00FA1595"/>
    <w:pPr>
      <w:ind w:left="720"/>
      <w:contextualSpacing/>
    </w:pPr>
  </w:style>
  <w:style w:type="character" w:styleId="IntenseEmphasis">
    <w:name w:val="Intense Emphasis"/>
    <w:basedOn w:val="DefaultParagraphFont"/>
    <w:uiPriority w:val="21"/>
    <w:qFormat/>
    <w:rsid w:val="00FA1595"/>
    <w:rPr>
      <w:i/>
      <w:iCs/>
      <w:color w:val="2F5496" w:themeColor="accent1" w:themeShade="BF"/>
    </w:rPr>
  </w:style>
  <w:style w:type="paragraph" w:styleId="IntenseQuote">
    <w:name w:val="Intense Quote"/>
    <w:basedOn w:val="Normal"/>
    <w:next w:val="Normal"/>
    <w:link w:val="IntenseQuoteChar"/>
    <w:uiPriority w:val="30"/>
    <w:qFormat/>
    <w:rsid w:val="00FA15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1595"/>
    <w:rPr>
      <w:i/>
      <w:iCs/>
      <w:color w:val="2F5496" w:themeColor="accent1" w:themeShade="BF"/>
    </w:rPr>
  </w:style>
  <w:style w:type="character" w:styleId="IntenseReference">
    <w:name w:val="Intense Reference"/>
    <w:basedOn w:val="DefaultParagraphFont"/>
    <w:uiPriority w:val="32"/>
    <w:qFormat/>
    <w:rsid w:val="00FA1595"/>
    <w:rPr>
      <w:b/>
      <w:bCs/>
      <w:smallCaps/>
      <w:color w:val="2F5496" w:themeColor="accent1" w:themeShade="BF"/>
      <w:spacing w:val="5"/>
    </w:rPr>
  </w:style>
  <w:style w:type="character" w:styleId="Hyperlink">
    <w:name w:val="Hyperlink"/>
    <w:basedOn w:val="DefaultParagraphFont"/>
    <w:uiPriority w:val="99"/>
    <w:unhideWhenUsed/>
    <w:rsid w:val="003823B4"/>
    <w:rPr>
      <w:color w:val="0563C1" w:themeColor="hyperlink"/>
      <w:u w:val="single"/>
    </w:rPr>
  </w:style>
  <w:style w:type="character" w:styleId="UnresolvedMention">
    <w:name w:val="Unresolved Mention"/>
    <w:basedOn w:val="DefaultParagraphFont"/>
    <w:uiPriority w:val="99"/>
    <w:semiHidden/>
    <w:unhideWhenUsed/>
    <w:rsid w:val="003823B4"/>
    <w:rPr>
      <w:color w:val="605E5C"/>
      <w:shd w:val="clear" w:color="auto" w:fill="E1DFDD"/>
    </w:rPr>
  </w:style>
  <w:style w:type="paragraph" w:styleId="Header">
    <w:name w:val="header"/>
    <w:basedOn w:val="Normal"/>
    <w:link w:val="HeaderChar"/>
    <w:uiPriority w:val="99"/>
    <w:unhideWhenUsed/>
    <w:rsid w:val="00D35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FB2"/>
  </w:style>
  <w:style w:type="paragraph" w:styleId="Footer">
    <w:name w:val="footer"/>
    <w:basedOn w:val="Normal"/>
    <w:link w:val="FooterChar"/>
    <w:uiPriority w:val="99"/>
    <w:unhideWhenUsed/>
    <w:rsid w:val="00D35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5</Pages>
  <Words>1890</Words>
  <Characters>10776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katylou2911@icloud.com</dc:creator>
  <cp:keywords/>
  <dc:description/>
  <cp:lastModifiedBy>katylou2911@icloud.com</cp:lastModifiedBy>
  <cp:revision>17</cp:revision>
  <dcterms:created xsi:type="dcterms:W3CDTF">2026-03-06T00:36:00Z</dcterms:created>
  <dcterms:modified xsi:type="dcterms:W3CDTF">2026-03-06T14:53:00Z</dcterms:modified>
</cp:coreProperties>
</file>