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D9E9A" w14:textId="28377100" w:rsidR="00AD3AF1" w:rsidRPr="00FC6480" w:rsidRDefault="00AD3AF1" w:rsidP="00FC6480">
      <w:pPr>
        <w:pStyle w:val="Heading3"/>
        <w:spacing w:line="360" w:lineRule="auto"/>
        <w:jc w:val="both"/>
        <w:rPr>
          <w:rFonts w:ascii="Arial" w:hAnsi="Arial" w:cs="Arial" w:hint="default"/>
          <w:sz w:val="22"/>
          <w:szCs w:val="22"/>
        </w:rPr>
      </w:pPr>
      <w:r w:rsidRPr="00AD3AF1">
        <w:rPr>
          <w:rFonts w:ascii="Arial" w:hAnsi="Arial" w:cs="Arial"/>
          <w:noProof/>
          <w:sz w:val="22"/>
          <w:szCs w:val="22"/>
          <w:lang w:val="en-GB"/>
        </w:rPr>
        <w:drawing>
          <wp:inline distT="0" distB="0" distL="0" distR="0" wp14:anchorId="36A1210F" wp14:editId="5E7DFAB7">
            <wp:extent cx="1987041" cy="1386755"/>
            <wp:effectExtent l="0" t="0" r="13335" b="4445"/>
            <wp:docPr id="3075" name="Picture 1" descr="Discover University of Wales Trinity Saint David">
              <a:extLst xmlns:a="http://schemas.openxmlformats.org/drawingml/2006/main">
                <a:ext uri="{FF2B5EF4-FFF2-40B4-BE49-F238E27FC236}">
                  <a16:creationId xmlns:a16="http://schemas.microsoft.com/office/drawing/2014/main" id="{29786D71-343F-46CB-41F2-EC85B7A878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 name="Picture 1" descr="Discover University of Wales Trinity Saint David">
                      <a:extLst>
                        <a:ext uri="{FF2B5EF4-FFF2-40B4-BE49-F238E27FC236}">
                          <a16:creationId xmlns:a16="http://schemas.microsoft.com/office/drawing/2014/main" id="{29786D71-343F-46CB-41F2-EC85B7A8784E}"/>
                        </a:ext>
                      </a:extLst>
                    </pic:cNvPr>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987041" cy="1386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08F805FE" w14:textId="77777777" w:rsidR="00AD3AF1" w:rsidRDefault="00AD3AF1" w:rsidP="00AD3AF1">
      <w:pPr>
        <w:spacing w:after="0" w:line="240" w:lineRule="auto"/>
        <w:rPr>
          <w:rFonts w:ascii="Arial" w:hAnsi="Arial" w:cs="Arial"/>
        </w:rPr>
      </w:pPr>
    </w:p>
    <w:p w14:paraId="5B629A81" w14:textId="62C12F10" w:rsidR="00AD3AF1" w:rsidRDefault="00AD3AF1" w:rsidP="00AD3AF1">
      <w:pPr>
        <w:spacing w:after="0" w:line="240" w:lineRule="auto"/>
        <w:rPr>
          <w:rStyle w:val="Strong"/>
          <w:rFonts w:ascii="Arial" w:eastAsia="SimSun" w:hAnsi="Arial" w:cs="Arial"/>
          <w:lang w:val="en-US" w:eastAsia="zh-CN"/>
        </w:rPr>
      </w:pPr>
      <w:r w:rsidRPr="00AD3AF1">
        <w:rPr>
          <w:rFonts w:ascii="Arial" w:hAnsi="Arial" w:cs="Arial"/>
        </w:rPr>
        <w:t xml:space="preserve"> </w:t>
      </w:r>
    </w:p>
    <w:p w14:paraId="1E483A10" w14:textId="71F6CDF6" w:rsidR="00FC6480" w:rsidRDefault="00AD3AF1" w:rsidP="00AD3AF1">
      <w:pPr>
        <w:spacing w:line="360" w:lineRule="auto"/>
        <w:rPr>
          <w:rFonts w:ascii="Arial" w:hAnsi="Arial" w:cs="Arial"/>
          <w:sz w:val="28"/>
          <w:szCs w:val="28"/>
        </w:rPr>
      </w:pPr>
      <w:r w:rsidRPr="003D3733">
        <w:rPr>
          <w:rFonts w:ascii="Arial" w:hAnsi="Arial" w:cs="Arial"/>
          <w:b/>
          <w:bCs/>
          <w:sz w:val="28"/>
          <w:szCs w:val="28"/>
        </w:rPr>
        <w:t>Student Name</w:t>
      </w:r>
      <w:r w:rsidRPr="003D3733">
        <w:rPr>
          <w:rFonts w:ascii="Arial" w:hAnsi="Arial" w:cs="Arial"/>
          <w:sz w:val="28"/>
          <w:szCs w:val="28"/>
        </w:rPr>
        <w:t>:  </w:t>
      </w:r>
      <w:r w:rsidRPr="005A3332">
        <w:rPr>
          <w:rFonts w:ascii="Arial" w:hAnsi="Arial" w:cs="Arial"/>
          <w:sz w:val="36"/>
          <w:szCs w:val="36"/>
        </w:rPr>
        <w:t>Titilayo Oluwagbeminiyi Solanke</w:t>
      </w:r>
    </w:p>
    <w:p w14:paraId="51820CE3" w14:textId="77777777" w:rsidR="005A3332" w:rsidRDefault="005A3332" w:rsidP="005A3332">
      <w:pPr>
        <w:spacing w:line="360" w:lineRule="auto"/>
        <w:rPr>
          <w:rFonts w:ascii="Arial" w:hAnsi="Arial" w:cs="Arial"/>
          <w:b/>
          <w:bCs/>
          <w:sz w:val="28"/>
          <w:szCs w:val="28"/>
        </w:rPr>
      </w:pPr>
    </w:p>
    <w:p w14:paraId="608E3D96" w14:textId="3419814C" w:rsidR="005A3332" w:rsidRPr="005A3332" w:rsidRDefault="005A3332" w:rsidP="005A3332">
      <w:pPr>
        <w:spacing w:line="360" w:lineRule="auto"/>
        <w:rPr>
          <w:rFonts w:ascii="Arial" w:hAnsi="Arial" w:cs="Arial"/>
          <w:sz w:val="36"/>
          <w:szCs w:val="36"/>
        </w:rPr>
      </w:pPr>
      <w:r w:rsidRPr="003D3733">
        <w:rPr>
          <w:rFonts w:ascii="Arial" w:hAnsi="Arial" w:cs="Arial"/>
          <w:b/>
          <w:bCs/>
          <w:sz w:val="28"/>
          <w:szCs w:val="28"/>
        </w:rPr>
        <w:t>Student ID</w:t>
      </w:r>
      <w:r w:rsidRPr="003D3733">
        <w:rPr>
          <w:rFonts w:ascii="Arial" w:hAnsi="Arial" w:cs="Arial"/>
          <w:sz w:val="28"/>
          <w:szCs w:val="28"/>
        </w:rPr>
        <w:t>:  </w:t>
      </w:r>
      <w:r>
        <w:rPr>
          <w:rFonts w:ascii="Arial" w:hAnsi="Arial" w:cs="Arial"/>
          <w:sz w:val="28"/>
          <w:szCs w:val="28"/>
        </w:rPr>
        <w:t xml:space="preserve">       </w:t>
      </w:r>
      <w:r w:rsidRPr="005A3332">
        <w:rPr>
          <w:rFonts w:ascii="Arial" w:hAnsi="Arial" w:cs="Arial"/>
          <w:sz w:val="36"/>
          <w:szCs w:val="36"/>
        </w:rPr>
        <w:t>2231188</w:t>
      </w:r>
    </w:p>
    <w:p w14:paraId="74F43236" w14:textId="77777777" w:rsidR="005A3332" w:rsidRPr="00AD3AF1" w:rsidRDefault="005A3332" w:rsidP="005A3332">
      <w:pPr>
        <w:spacing w:line="360" w:lineRule="auto"/>
        <w:rPr>
          <w:rFonts w:ascii="Arial" w:hAnsi="Arial" w:cs="Arial"/>
          <w:sz w:val="28"/>
          <w:szCs w:val="28"/>
        </w:rPr>
      </w:pPr>
    </w:p>
    <w:p w14:paraId="049A723A" w14:textId="77777777" w:rsidR="00FC6480" w:rsidRDefault="00FC6480" w:rsidP="00FC6480">
      <w:pPr>
        <w:spacing w:after="0" w:line="240" w:lineRule="auto"/>
        <w:rPr>
          <w:rFonts w:ascii="Arial" w:hAnsi="Arial" w:cs="Arial"/>
          <w:b/>
          <w:bCs/>
          <w:sz w:val="28"/>
          <w:szCs w:val="28"/>
        </w:rPr>
      </w:pPr>
    </w:p>
    <w:p w14:paraId="4157CE32" w14:textId="77777777" w:rsidR="005A3332" w:rsidRDefault="005A3332" w:rsidP="00FC6480">
      <w:pPr>
        <w:spacing w:after="0" w:line="240" w:lineRule="auto"/>
        <w:rPr>
          <w:rFonts w:ascii="Arial" w:hAnsi="Arial" w:cs="Arial"/>
          <w:b/>
          <w:bCs/>
          <w:sz w:val="28"/>
          <w:szCs w:val="28"/>
        </w:rPr>
      </w:pPr>
    </w:p>
    <w:p w14:paraId="2AF66BB3" w14:textId="6E3704F6" w:rsidR="00FC6480" w:rsidRDefault="00FC6480" w:rsidP="00FC6480">
      <w:pPr>
        <w:spacing w:after="0" w:line="240" w:lineRule="auto"/>
        <w:rPr>
          <w:rFonts w:ascii="Arial" w:hAnsi="Arial" w:cs="Arial"/>
          <w:sz w:val="32"/>
          <w:szCs w:val="32"/>
        </w:rPr>
      </w:pPr>
      <w:r w:rsidRPr="00FC6480">
        <w:rPr>
          <w:rFonts w:ascii="Arial" w:hAnsi="Arial" w:cs="Arial"/>
          <w:b/>
          <w:bCs/>
          <w:sz w:val="28"/>
          <w:szCs w:val="28"/>
        </w:rPr>
        <w:t>Module:</w:t>
      </w:r>
      <w:r>
        <w:rPr>
          <w:rFonts w:ascii="Arial" w:hAnsi="Arial" w:cs="Arial"/>
          <w:b/>
          <w:bCs/>
          <w:sz w:val="28"/>
          <w:szCs w:val="28"/>
        </w:rPr>
        <w:t xml:space="preserve"> </w:t>
      </w:r>
      <w:r w:rsidRPr="00FC6480">
        <w:rPr>
          <w:rFonts w:ascii="Arial" w:hAnsi="Arial" w:cs="Arial"/>
          <w:sz w:val="32"/>
          <w:szCs w:val="32"/>
        </w:rPr>
        <w:t xml:space="preserve">Health, </w:t>
      </w:r>
      <w:r w:rsidR="005A3332">
        <w:rPr>
          <w:rFonts w:ascii="Arial" w:hAnsi="Arial" w:cs="Arial"/>
          <w:sz w:val="32"/>
          <w:szCs w:val="32"/>
        </w:rPr>
        <w:t>Well-being</w:t>
      </w:r>
      <w:r w:rsidRPr="00FC6480">
        <w:rPr>
          <w:rFonts w:ascii="Arial" w:hAnsi="Arial" w:cs="Arial"/>
          <w:sz w:val="32"/>
          <w:szCs w:val="32"/>
        </w:rPr>
        <w:t xml:space="preserve">, and Sustainable Development </w:t>
      </w:r>
      <w:r>
        <w:rPr>
          <w:rFonts w:ascii="Arial" w:hAnsi="Arial" w:cs="Arial"/>
          <w:sz w:val="32"/>
          <w:szCs w:val="32"/>
        </w:rPr>
        <w:t xml:space="preserve">         </w:t>
      </w:r>
    </w:p>
    <w:p w14:paraId="57251626" w14:textId="73FFC9E4" w:rsidR="00FC6480" w:rsidRPr="00FC6480" w:rsidRDefault="00FC6480" w:rsidP="00FC6480">
      <w:pPr>
        <w:spacing w:after="0" w:line="240" w:lineRule="auto"/>
        <w:rPr>
          <w:rStyle w:val="Strong"/>
          <w:rFonts w:ascii="Arial" w:eastAsia="SimSun" w:hAnsi="Arial" w:cs="Arial"/>
          <w:sz w:val="32"/>
          <w:szCs w:val="32"/>
          <w:lang w:val="en-US" w:eastAsia="zh-CN"/>
        </w:rPr>
      </w:pPr>
      <w:r>
        <w:rPr>
          <w:rFonts w:ascii="Arial" w:hAnsi="Arial" w:cs="Arial"/>
          <w:sz w:val="32"/>
          <w:szCs w:val="32"/>
        </w:rPr>
        <w:t xml:space="preserve">               </w:t>
      </w:r>
      <w:r w:rsidR="005A3332">
        <w:rPr>
          <w:rFonts w:ascii="Arial" w:hAnsi="Arial" w:cs="Arial"/>
          <w:sz w:val="32"/>
          <w:szCs w:val="32"/>
        </w:rPr>
        <w:t xml:space="preserve">       </w:t>
      </w:r>
      <w:r>
        <w:rPr>
          <w:rFonts w:ascii="Arial" w:hAnsi="Arial" w:cs="Arial"/>
          <w:sz w:val="32"/>
          <w:szCs w:val="32"/>
        </w:rPr>
        <w:t xml:space="preserve"> </w:t>
      </w:r>
    </w:p>
    <w:p w14:paraId="524D6D47" w14:textId="44CFA631" w:rsidR="00AD3AF1" w:rsidRPr="00FC6480" w:rsidRDefault="00AD3AF1" w:rsidP="00AD3AF1">
      <w:pPr>
        <w:spacing w:line="360" w:lineRule="auto"/>
        <w:rPr>
          <w:rFonts w:ascii="Arial" w:hAnsi="Arial" w:cs="Arial"/>
          <w:b/>
          <w:bCs/>
          <w:sz w:val="28"/>
          <w:szCs w:val="28"/>
        </w:rPr>
      </w:pPr>
    </w:p>
    <w:p w14:paraId="2CA05FC0" w14:textId="77777777" w:rsidR="00823316" w:rsidRDefault="00823316" w:rsidP="00AD3AF1">
      <w:pPr>
        <w:spacing w:line="360" w:lineRule="auto"/>
        <w:rPr>
          <w:rFonts w:ascii="Arial" w:hAnsi="Arial" w:cs="Arial"/>
          <w:b/>
          <w:bCs/>
          <w:sz w:val="28"/>
          <w:szCs w:val="28"/>
        </w:rPr>
      </w:pPr>
    </w:p>
    <w:p w14:paraId="4BB46C9B" w14:textId="387CF3C3" w:rsidR="00FC6480" w:rsidRPr="00FC6480" w:rsidRDefault="00FC6480" w:rsidP="00AD3AF1">
      <w:pPr>
        <w:spacing w:line="360" w:lineRule="auto"/>
        <w:rPr>
          <w:rFonts w:ascii="Arial" w:hAnsi="Arial" w:cs="Arial"/>
          <w:b/>
          <w:bCs/>
          <w:sz w:val="28"/>
          <w:szCs w:val="28"/>
        </w:rPr>
      </w:pPr>
      <w:r>
        <w:rPr>
          <w:rFonts w:ascii="Arial" w:hAnsi="Arial" w:cs="Arial"/>
          <w:b/>
          <w:bCs/>
          <w:sz w:val="28"/>
          <w:szCs w:val="28"/>
        </w:rPr>
        <w:t xml:space="preserve">Module code: </w:t>
      </w:r>
      <w:r w:rsidRPr="00FC6480">
        <w:rPr>
          <w:rFonts w:ascii="Arial" w:hAnsi="Arial" w:cs="Arial"/>
          <w:b/>
          <w:bCs/>
          <w:sz w:val="28"/>
          <w:szCs w:val="28"/>
        </w:rPr>
        <w:t xml:space="preserve">BMHP6030 </w:t>
      </w:r>
    </w:p>
    <w:p w14:paraId="52808A24" w14:textId="77777777" w:rsidR="00FC6480" w:rsidRDefault="00FC6480" w:rsidP="00AD3AF1">
      <w:pPr>
        <w:spacing w:line="360" w:lineRule="auto"/>
        <w:rPr>
          <w:rFonts w:ascii="Arial" w:hAnsi="Arial" w:cs="Arial"/>
          <w:b/>
          <w:bCs/>
          <w:sz w:val="28"/>
          <w:szCs w:val="28"/>
        </w:rPr>
      </w:pPr>
    </w:p>
    <w:p w14:paraId="58365C3A" w14:textId="77777777" w:rsidR="00823316" w:rsidRDefault="00823316" w:rsidP="00AD3AF1">
      <w:pPr>
        <w:spacing w:line="360" w:lineRule="auto"/>
        <w:rPr>
          <w:rFonts w:ascii="Arial" w:hAnsi="Arial" w:cs="Arial"/>
          <w:b/>
          <w:bCs/>
          <w:sz w:val="28"/>
          <w:szCs w:val="28"/>
        </w:rPr>
      </w:pPr>
    </w:p>
    <w:p w14:paraId="7F661534" w14:textId="0CE1E4B6" w:rsidR="00AD3AF1" w:rsidRDefault="00FC6480" w:rsidP="00AD3AF1">
      <w:pPr>
        <w:spacing w:line="360" w:lineRule="auto"/>
        <w:rPr>
          <w:rFonts w:ascii="Arial" w:hAnsi="Arial" w:cs="Arial"/>
          <w:b/>
          <w:bCs/>
          <w:sz w:val="28"/>
          <w:szCs w:val="28"/>
        </w:rPr>
      </w:pPr>
      <w:r>
        <w:rPr>
          <w:rFonts w:ascii="Arial" w:hAnsi="Arial" w:cs="Arial"/>
          <w:b/>
          <w:bCs/>
          <w:sz w:val="28"/>
          <w:szCs w:val="28"/>
        </w:rPr>
        <w:t>Lecture</w:t>
      </w:r>
      <w:r w:rsidR="005A3332">
        <w:rPr>
          <w:rFonts w:ascii="Arial" w:hAnsi="Arial" w:cs="Arial"/>
          <w:b/>
          <w:bCs/>
          <w:sz w:val="28"/>
          <w:szCs w:val="28"/>
        </w:rPr>
        <w:t xml:space="preserve"> Name: </w:t>
      </w:r>
      <w:r w:rsidRPr="00FC6480">
        <w:rPr>
          <w:rFonts w:ascii="Arial" w:hAnsi="Arial" w:cs="Arial"/>
          <w:b/>
          <w:bCs/>
          <w:sz w:val="28"/>
          <w:szCs w:val="28"/>
        </w:rPr>
        <w:t>Shepherd Ziko</w:t>
      </w:r>
    </w:p>
    <w:p w14:paraId="03E9BB05" w14:textId="77777777" w:rsidR="00823316" w:rsidRDefault="00823316" w:rsidP="00AD3AF1">
      <w:pPr>
        <w:spacing w:line="360" w:lineRule="auto"/>
        <w:rPr>
          <w:rFonts w:ascii="Arial" w:hAnsi="Arial" w:cs="Arial"/>
          <w:b/>
          <w:bCs/>
          <w:sz w:val="28"/>
          <w:szCs w:val="28"/>
        </w:rPr>
      </w:pPr>
    </w:p>
    <w:p w14:paraId="14776ABB" w14:textId="77777777" w:rsidR="00823316" w:rsidRDefault="00823316" w:rsidP="00AD3AF1">
      <w:pPr>
        <w:spacing w:line="360" w:lineRule="auto"/>
        <w:rPr>
          <w:rFonts w:ascii="Arial" w:hAnsi="Arial" w:cs="Arial"/>
          <w:b/>
          <w:bCs/>
          <w:sz w:val="28"/>
          <w:szCs w:val="28"/>
        </w:rPr>
      </w:pPr>
    </w:p>
    <w:p w14:paraId="0A4878FC" w14:textId="772EF1E8" w:rsidR="00AD3AF1" w:rsidRPr="003D3733" w:rsidRDefault="00AD3AF1" w:rsidP="00AD3AF1">
      <w:pPr>
        <w:spacing w:line="360" w:lineRule="auto"/>
        <w:rPr>
          <w:rFonts w:ascii="Arial" w:hAnsi="Arial" w:cs="Arial"/>
          <w:sz w:val="28"/>
          <w:szCs w:val="28"/>
        </w:rPr>
      </w:pPr>
      <w:r w:rsidRPr="003D3733">
        <w:rPr>
          <w:rFonts w:ascii="Arial" w:hAnsi="Arial" w:cs="Arial"/>
          <w:b/>
          <w:bCs/>
          <w:sz w:val="28"/>
          <w:szCs w:val="28"/>
        </w:rPr>
        <w:t>Date of submission</w:t>
      </w:r>
      <w:r w:rsidRPr="003D3733">
        <w:rPr>
          <w:rFonts w:ascii="Arial" w:hAnsi="Arial" w:cs="Arial"/>
          <w:sz w:val="28"/>
          <w:szCs w:val="28"/>
        </w:rPr>
        <w:t>:  </w:t>
      </w:r>
      <w:r w:rsidR="00823316">
        <w:rPr>
          <w:rFonts w:ascii="Arial" w:hAnsi="Arial" w:cs="Arial"/>
          <w:sz w:val="28"/>
          <w:szCs w:val="28"/>
        </w:rPr>
        <w:t xml:space="preserve"> 12 December 2025</w:t>
      </w:r>
    </w:p>
    <w:p w14:paraId="19561039" w14:textId="77777777" w:rsidR="00AD3AF1" w:rsidRPr="003D3733" w:rsidRDefault="00AD3AF1" w:rsidP="00AD3AF1">
      <w:pPr>
        <w:spacing w:line="360" w:lineRule="auto"/>
        <w:rPr>
          <w:rFonts w:ascii="Arial" w:hAnsi="Arial" w:cs="Arial"/>
          <w:sz w:val="28"/>
          <w:szCs w:val="28"/>
        </w:rPr>
      </w:pPr>
      <w:r w:rsidRPr="003D3733">
        <w:rPr>
          <w:rFonts w:ascii="Arial" w:hAnsi="Arial" w:cs="Arial"/>
          <w:sz w:val="28"/>
          <w:szCs w:val="28"/>
        </w:rPr>
        <w:t> </w:t>
      </w:r>
    </w:p>
    <w:p w14:paraId="54CBFB74" w14:textId="0F17F310" w:rsidR="00AD3AF1" w:rsidRPr="00E7188E" w:rsidRDefault="00AD3AF1" w:rsidP="00E7188E">
      <w:pPr>
        <w:spacing w:after="0" w:line="240" w:lineRule="auto"/>
        <w:rPr>
          <w:rStyle w:val="Strong"/>
          <w:rFonts w:ascii="Arial" w:eastAsia="SimSun" w:hAnsi="Arial" w:cs="Arial"/>
          <w:lang w:val="en-US" w:eastAsia="zh-CN"/>
        </w:rPr>
      </w:pPr>
      <w:r>
        <w:rPr>
          <w:rStyle w:val="Strong"/>
          <w:rFonts w:ascii="Arial" w:hAnsi="Arial" w:cs="Arial"/>
          <w:b w:val="0"/>
          <w:bCs w:val="0"/>
        </w:rPr>
        <w:br w:type="page"/>
      </w:r>
      <w:r w:rsidR="00FC6480" w:rsidRPr="00FC6480">
        <w:rPr>
          <w:rStyle w:val="Strong"/>
          <w:rFonts w:ascii="Arial" w:hAnsi="Arial" w:cs="Arial"/>
          <w:b w:val="0"/>
          <w:bCs w:val="0"/>
          <w:sz w:val="28"/>
          <w:szCs w:val="28"/>
        </w:rPr>
        <w:lastRenderedPageBreak/>
        <w:t>Table of Contents</w:t>
      </w:r>
      <w:r w:rsidR="00FC6480">
        <w:rPr>
          <w:rStyle w:val="Strong"/>
          <w:rFonts w:ascii="Arial" w:hAnsi="Arial" w:cs="Arial"/>
          <w:b w:val="0"/>
          <w:bCs w:val="0"/>
          <w:sz w:val="28"/>
          <w:szCs w:val="28"/>
        </w:rPr>
        <w:t xml:space="preserve">                                                              </w:t>
      </w:r>
      <w:r w:rsidR="00E7188E">
        <w:rPr>
          <w:rStyle w:val="Strong"/>
          <w:rFonts w:ascii="Arial" w:hAnsi="Arial" w:cs="Arial"/>
          <w:b w:val="0"/>
          <w:bCs w:val="0"/>
          <w:sz w:val="28"/>
          <w:szCs w:val="28"/>
        </w:rPr>
        <w:t xml:space="preserve">    </w:t>
      </w:r>
      <w:r w:rsidR="00FC6480">
        <w:rPr>
          <w:rStyle w:val="Strong"/>
          <w:rFonts w:ascii="Arial" w:hAnsi="Arial" w:cs="Arial"/>
          <w:b w:val="0"/>
          <w:bCs w:val="0"/>
          <w:sz w:val="28"/>
          <w:szCs w:val="28"/>
        </w:rPr>
        <w:t xml:space="preserve">   </w:t>
      </w:r>
      <w:r w:rsidR="004C243E" w:rsidRPr="00E7188E">
        <w:rPr>
          <w:rStyle w:val="Strong"/>
          <w:rFonts w:ascii="Arial" w:hAnsi="Arial" w:cs="Arial"/>
          <w:b w:val="0"/>
          <w:bCs w:val="0"/>
          <w:sz w:val="24"/>
          <w:szCs w:val="24"/>
        </w:rPr>
        <w:t>Pag</w:t>
      </w:r>
      <w:r w:rsidR="0028430C" w:rsidRPr="00E7188E">
        <w:rPr>
          <w:rStyle w:val="Strong"/>
          <w:rFonts w:ascii="Arial" w:hAnsi="Arial" w:cs="Arial"/>
          <w:b w:val="0"/>
          <w:bCs w:val="0"/>
          <w:sz w:val="24"/>
          <w:szCs w:val="24"/>
        </w:rPr>
        <w:t>e</w:t>
      </w:r>
    </w:p>
    <w:p w14:paraId="709CE148" w14:textId="77777777" w:rsidR="00823316" w:rsidRDefault="00823316" w:rsidP="00823316">
      <w:pPr>
        <w:spacing w:line="360" w:lineRule="auto"/>
        <w:rPr>
          <w:lang w:val="en-US" w:eastAsia="zh-CN"/>
        </w:rPr>
      </w:pPr>
    </w:p>
    <w:p w14:paraId="3B010CD0" w14:textId="5A5D65DB" w:rsidR="0028430C" w:rsidRDefault="00E7188E" w:rsidP="00823316">
      <w:pPr>
        <w:spacing w:line="360" w:lineRule="auto"/>
        <w:rPr>
          <w:lang w:val="en-US" w:eastAsia="zh-CN"/>
        </w:rPr>
      </w:pPr>
      <w:r>
        <w:rPr>
          <w:lang w:val="en-US" w:eastAsia="zh-CN"/>
        </w:rPr>
        <w:t>I</w:t>
      </w:r>
      <w:r w:rsidRPr="005F51E0">
        <w:rPr>
          <w:rFonts w:ascii="Arial" w:hAnsi="Arial" w:cs="Arial"/>
          <w:lang w:val="en-US" w:eastAsia="zh-CN"/>
        </w:rPr>
        <w:t>ntroduction</w:t>
      </w:r>
      <w:r>
        <w:rPr>
          <w:lang w:val="en-US" w:eastAsia="zh-CN"/>
        </w:rPr>
        <w:t>…………………………………………………………………………………………………………………</w:t>
      </w:r>
      <w:r w:rsidR="005F51E0">
        <w:rPr>
          <w:lang w:val="en-US" w:eastAsia="zh-CN"/>
        </w:rPr>
        <w:t>…</w:t>
      </w:r>
      <w:r w:rsidR="00823316">
        <w:rPr>
          <w:lang w:val="en-US" w:eastAsia="zh-CN"/>
        </w:rPr>
        <w:t>…4</w:t>
      </w:r>
    </w:p>
    <w:p w14:paraId="1BBBE66B" w14:textId="6135A7E6" w:rsidR="00823316" w:rsidRPr="00823316" w:rsidRDefault="00E7188E" w:rsidP="00823316">
      <w:pPr>
        <w:pStyle w:val="Heading1"/>
        <w:spacing w:line="360" w:lineRule="auto"/>
        <w:jc w:val="both"/>
        <w:rPr>
          <w:rFonts w:ascii="Arial" w:hAnsi="Arial" w:cs="Arial" w:hint="default"/>
          <w:b w:val="0"/>
          <w:bCs w:val="0"/>
          <w:sz w:val="22"/>
          <w:szCs w:val="22"/>
        </w:rPr>
      </w:pPr>
      <w:r w:rsidRPr="00E7188E">
        <w:rPr>
          <w:rStyle w:val="Strong"/>
          <w:rFonts w:ascii="Arial" w:hAnsi="Arial" w:cs="Arial" w:hint="default"/>
          <w:sz w:val="22"/>
          <w:szCs w:val="22"/>
        </w:rPr>
        <w:t>Impact of SDG 3 (Good Health and Well-being) on Citizen Health and Well-being</w:t>
      </w:r>
      <w:r w:rsidR="00823316">
        <w:rPr>
          <w:rStyle w:val="Strong"/>
          <w:rFonts w:ascii="Arial" w:hAnsi="Arial" w:cs="Arial" w:hint="default"/>
          <w:sz w:val="22"/>
          <w:szCs w:val="22"/>
        </w:rPr>
        <w:t>…5</w:t>
      </w:r>
      <w:r>
        <w:rPr>
          <w:rStyle w:val="Strong"/>
          <w:rFonts w:ascii="Arial" w:hAnsi="Arial" w:cs="Arial" w:hint="default"/>
          <w:sz w:val="22"/>
          <w:szCs w:val="22"/>
        </w:rPr>
        <w:t xml:space="preserve"> </w:t>
      </w:r>
    </w:p>
    <w:p w14:paraId="5573FFB7" w14:textId="44ED4A66" w:rsidR="00823316" w:rsidRPr="00823316" w:rsidRDefault="00E7188E" w:rsidP="00823316">
      <w:pPr>
        <w:pStyle w:val="Heading1"/>
        <w:spacing w:line="360" w:lineRule="auto"/>
        <w:jc w:val="both"/>
        <w:rPr>
          <w:rFonts w:ascii="Arial" w:hAnsi="Arial" w:cs="Arial" w:hint="default"/>
          <w:b w:val="0"/>
          <w:bCs w:val="0"/>
          <w:sz w:val="22"/>
          <w:szCs w:val="22"/>
        </w:rPr>
      </w:pPr>
      <w:r w:rsidRPr="00E7188E">
        <w:rPr>
          <w:rStyle w:val="Strong"/>
          <w:rFonts w:ascii="Arial" w:hAnsi="Arial" w:cs="Arial" w:hint="default"/>
          <w:sz w:val="22"/>
          <w:szCs w:val="22"/>
        </w:rPr>
        <w:t>Impact of SDG 1 (No Poverty) on Health and Well-being</w:t>
      </w:r>
      <w:r>
        <w:rPr>
          <w:rStyle w:val="Strong"/>
          <w:rFonts w:ascii="Arial" w:hAnsi="Arial" w:cs="Arial" w:hint="default"/>
          <w:sz w:val="22"/>
          <w:szCs w:val="22"/>
        </w:rPr>
        <w:t>………………………………</w:t>
      </w:r>
      <w:r w:rsidR="00823316">
        <w:rPr>
          <w:rStyle w:val="Strong"/>
          <w:rFonts w:ascii="Arial" w:hAnsi="Arial" w:cs="Arial" w:hint="default"/>
          <w:sz w:val="22"/>
          <w:szCs w:val="22"/>
        </w:rPr>
        <w:t>6</w:t>
      </w:r>
    </w:p>
    <w:p w14:paraId="6EA8A9A4" w14:textId="5E4C135A" w:rsidR="00823316" w:rsidRPr="00823316" w:rsidRDefault="005F51E0" w:rsidP="00823316">
      <w:pPr>
        <w:pStyle w:val="Heading1"/>
        <w:spacing w:line="360" w:lineRule="auto"/>
        <w:jc w:val="both"/>
        <w:rPr>
          <w:rFonts w:ascii="Arial" w:hAnsi="Arial" w:cs="Arial" w:hint="default"/>
          <w:b w:val="0"/>
          <w:bCs w:val="0"/>
          <w:sz w:val="22"/>
          <w:szCs w:val="22"/>
        </w:rPr>
      </w:pPr>
      <w:r w:rsidRPr="005F51E0">
        <w:rPr>
          <w:rStyle w:val="Strong"/>
          <w:rFonts w:ascii="Arial" w:hAnsi="Arial" w:cs="Arial" w:hint="default"/>
          <w:sz w:val="22"/>
          <w:szCs w:val="22"/>
        </w:rPr>
        <w:t>Evaluation of National Health, Wellbeing and Sustainability Initiatives in the UK</w:t>
      </w:r>
      <w:r>
        <w:rPr>
          <w:rStyle w:val="Strong"/>
          <w:rFonts w:ascii="Arial" w:hAnsi="Arial" w:cs="Arial" w:hint="default"/>
          <w:sz w:val="22"/>
          <w:szCs w:val="22"/>
        </w:rPr>
        <w:t>…….</w:t>
      </w:r>
      <w:r w:rsidR="00823316">
        <w:rPr>
          <w:rStyle w:val="Strong"/>
          <w:rFonts w:ascii="Arial" w:hAnsi="Arial" w:cs="Arial" w:hint="default"/>
          <w:sz w:val="22"/>
          <w:szCs w:val="22"/>
        </w:rPr>
        <w:t>7</w:t>
      </w:r>
    </w:p>
    <w:p w14:paraId="33A61A62" w14:textId="278F5DE8" w:rsidR="005F51E0" w:rsidRDefault="005F51E0" w:rsidP="00823316">
      <w:pPr>
        <w:pStyle w:val="Heading1"/>
        <w:spacing w:line="360" w:lineRule="auto"/>
        <w:jc w:val="both"/>
        <w:rPr>
          <w:rStyle w:val="Strong"/>
          <w:rFonts w:ascii="Arial" w:hAnsi="Arial" w:cs="Arial" w:hint="default"/>
          <w:sz w:val="22"/>
          <w:szCs w:val="22"/>
        </w:rPr>
      </w:pPr>
      <w:r w:rsidRPr="005F51E0">
        <w:rPr>
          <w:rStyle w:val="Strong"/>
          <w:rFonts w:ascii="Arial" w:hAnsi="Arial" w:cs="Arial" w:hint="default"/>
          <w:sz w:val="22"/>
          <w:szCs w:val="22"/>
        </w:rPr>
        <w:t>Evaluation of Local Wellbeing and Sustainability Initiatives</w:t>
      </w:r>
      <w:r>
        <w:rPr>
          <w:rStyle w:val="Strong"/>
          <w:rFonts w:ascii="Arial" w:hAnsi="Arial" w:cs="Arial" w:hint="default"/>
          <w:sz w:val="22"/>
          <w:szCs w:val="22"/>
        </w:rPr>
        <w:t>…………………………….</w:t>
      </w:r>
      <w:r w:rsidR="00823316">
        <w:rPr>
          <w:rStyle w:val="Strong"/>
          <w:rFonts w:ascii="Arial" w:hAnsi="Arial" w:cs="Arial" w:hint="default"/>
          <w:sz w:val="22"/>
          <w:szCs w:val="22"/>
        </w:rPr>
        <w:t>9</w:t>
      </w:r>
    </w:p>
    <w:p w14:paraId="31B9D0DC" w14:textId="6F06DA92" w:rsidR="005F51E0" w:rsidRPr="005F51E0" w:rsidRDefault="005F51E0" w:rsidP="00823316">
      <w:pPr>
        <w:spacing w:line="360" w:lineRule="auto"/>
        <w:rPr>
          <w:rFonts w:ascii="Arial" w:hAnsi="Arial" w:cs="Arial"/>
          <w:lang w:val="en-US" w:eastAsia="zh-CN"/>
        </w:rPr>
      </w:pPr>
      <w:r w:rsidRPr="005F51E0">
        <w:rPr>
          <w:rFonts w:ascii="Arial" w:hAnsi="Arial" w:cs="Arial"/>
          <w:lang w:val="en-US" w:eastAsia="zh-CN"/>
        </w:rPr>
        <w:t>Recommendation for policy improvement</w:t>
      </w:r>
      <w:r>
        <w:rPr>
          <w:rFonts w:ascii="Arial" w:hAnsi="Arial" w:cs="Arial"/>
          <w:lang w:val="en-US" w:eastAsia="zh-CN"/>
        </w:rPr>
        <w:t>………………………………………………</w:t>
      </w:r>
      <w:r w:rsidR="00E2579C">
        <w:rPr>
          <w:rFonts w:ascii="Arial" w:hAnsi="Arial" w:cs="Arial"/>
          <w:lang w:val="en-US" w:eastAsia="zh-CN"/>
        </w:rPr>
        <w:t>.10</w:t>
      </w:r>
    </w:p>
    <w:p w14:paraId="4904FA2F" w14:textId="39A5F770" w:rsidR="005F51E0" w:rsidRPr="005F51E0" w:rsidRDefault="005F51E0" w:rsidP="00823316">
      <w:pPr>
        <w:spacing w:line="360" w:lineRule="auto"/>
        <w:rPr>
          <w:rFonts w:ascii="Arial" w:hAnsi="Arial" w:cs="Arial"/>
          <w:lang w:val="en-US" w:eastAsia="zh-CN"/>
        </w:rPr>
      </w:pPr>
      <w:r w:rsidRPr="005F51E0">
        <w:rPr>
          <w:rFonts w:ascii="Arial" w:hAnsi="Arial" w:cs="Arial"/>
          <w:lang w:val="en-US" w:eastAsia="zh-CN"/>
        </w:rPr>
        <w:t>Conclusion</w:t>
      </w:r>
      <w:r>
        <w:rPr>
          <w:rFonts w:ascii="Arial" w:hAnsi="Arial" w:cs="Arial"/>
          <w:lang w:val="en-US" w:eastAsia="zh-CN"/>
        </w:rPr>
        <w:t>………………………………………………………………………………</w:t>
      </w:r>
      <w:r w:rsidR="00E2579C">
        <w:rPr>
          <w:rFonts w:ascii="Arial" w:hAnsi="Arial" w:cs="Arial"/>
          <w:lang w:val="en-US" w:eastAsia="zh-CN"/>
        </w:rPr>
        <w:t>….11</w:t>
      </w:r>
    </w:p>
    <w:p w14:paraId="0EA64D66" w14:textId="6D53FA0E" w:rsidR="005F51E0" w:rsidRPr="005F51E0" w:rsidRDefault="005F51E0" w:rsidP="00823316">
      <w:pPr>
        <w:spacing w:line="360" w:lineRule="auto"/>
        <w:rPr>
          <w:rFonts w:ascii="Arial" w:hAnsi="Arial" w:cs="Arial"/>
          <w:lang w:val="en-US" w:eastAsia="zh-CN"/>
        </w:rPr>
      </w:pPr>
      <w:r w:rsidRPr="005F51E0">
        <w:rPr>
          <w:rFonts w:ascii="Arial" w:hAnsi="Arial" w:cs="Arial"/>
          <w:lang w:val="en-US" w:eastAsia="zh-CN"/>
        </w:rPr>
        <w:t>References</w:t>
      </w:r>
      <w:r>
        <w:rPr>
          <w:rFonts w:ascii="Arial" w:hAnsi="Arial" w:cs="Arial"/>
          <w:lang w:val="en-US" w:eastAsia="zh-CN"/>
        </w:rPr>
        <w:t>…………………………………………………………………………………</w:t>
      </w:r>
      <w:r w:rsidR="00E2579C">
        <w:rPr>
          <w:rFonts w:ascii="Arial" w:hAnsi="Arial" w:cs="Arial"/>
          <w:lang w:val="en-US" w:eastAsia="zh-CN"/>
        </w:rPr>
        <w:t xml:space="preserve"> 12</w:t>
      </w:r>
    </w:p>
    <w:p w14:paraId="4525EDAB" w14:textId="4A778955" w:rsidR="005F51E0" w:rsidRPr="005F51E0" w:rsidRDefault="005F51E0" w:rsidP="005F51E0">
      <w:pPr>
        <w:rPr>
          <w:lang w:val="en-US" w:eastAsia="zh-CN"/>
        </w:rPr>
      </w:pPr>
    </w:p>
    <w:p w14:paraId="6BC65B36" w14:textId="77777777" w:rsidR="005F51E0" w:rsidRPr="005F51E0" w:rsidRDefault="005F51E0" w:rsidP="005F51E0">
      <w:pPr>
        <w:rPr>
          <w:lang w:val="en-US" w:eastAsia="zh-CN"/>
        </w:rPr>
      </w:pPr>
    </w:p>
    <w:p w14:paraId="53D7D642" w14:textId="77777777" w:rsidR="005F51E0" w:rsidRPr="005F51E0" w:rsidRDefault="005F51E0" w:rsidP="005F51E0">
      <w:pPr>
        <w:rPr>
          <w:lang w:val="en-US" w:eastAsia="zh-CN"/>
        </w:rPr>
      </w:pPr>
    </w:p>
    <w:p w14:paraId="204BA1FB" w14:textId="77777777" w:rsidR="00E7188E" w:rsidRPr="00E7188E" w:rsidRDefault="00E7188E" w:rsidP="00E7188E">
      <w:pPr>
        <w:rPr>
          <w:lang w:val="en-US" w:eastAsia="zh-CN"/>
        </w:rPr>
      </w:pPr>
    </w:p>
    <w:p w14:paraId="37388F89" w14:textId="0694023C" w:rsidR="00E7188E" w:rsidRPr="00E7188E" w:rsidRDefault="00E7188E" w:rsidP="00E7188E">
      <w:pPr>
        <w:pStyle w:val="Heading1"/>
        <w:spacing w:line="360" w:lineRule="auto"/>
        <w:jc w:val="both"/>
        <w:rPr>
          <w:rStyle w:val="Strong"/>
          <w:rFonts w:ascii="Arial" w:hAnsi="Arial" w:cs="Arial" w:hint="default"/>
          <w:sz w:val="22"/>
          <w:szCs w:val="22"/>
        </w:rPr>
      </w:pPr>
      <w:r>
        <w:rPr>
          <w:rStyle w:val="Strong"/>
          <w:rFonts w:ascii="Arial" w:hAnsi="Arial" w:cs="Arial" w:hint="default"/>
          <w:sz w:val="22"/>
          <w:szCs w:val="22"/>
        </w:rPr>
        <w:t xml:space="preserve">     </w:t>
      </w:r>
    </w:p>
    <w:p w14:paraId="3EA9F64E" w14:textId="1BEEE79F" w:rsidR="00E7188E" w:rsidRPr="0028430C" w:rsidRDefault="00E7188E" w:rsidP="0028430C">
      <w:pPr>
        <w:rPr>
          <w:lang w:val="en-US" w:eastAsia="zh-CN"/>
        </w:rPr>
      </w:pPr>
    </w:p>
    <w:p w14:paraId="20505D83" w14:textId="77777777" w:rsidR="004C243E" w:rsidRPr="004C243E" w:rsidRDefault="004C243E" w:rsidP="004C243E">
      <w:pPr>
        <w:rPr>
          <w:lang w:val="en-US" w:eastAsia="zh-CN"/>
        </w:rPr>
      </w:pPr>
    </w:p>
    <w:p w14:paraId="7024CD24" w14:textId="77777777" w:rsidR="00AD3AF1" w:rsidRDefault="00AD3AF1">
      <w:pPr>
        <w:spacing w:after="0" w:line="240" w:lineRule="auto"/>
        <w:rPr>
          <w:rStyle w:val="Strong"/>
          <w:rFonts w:ascii="Arial" w:eastAsia="SimSun" w:hAnsi="Arial" w:cs="Arial"/>
          <w:lang w:val="en-US" w:eastAsia="zh-CN"/>
        </w:rPr>
      </w:pPr>
      <w:r>
        <w:rPr>
          <w:rStyle w:val="Strong"/>
          <w:rFonts w:ascii="Arial" w:hAnsi="Arial" w:cs="Arial"/>
          <w:b w:val="0"/>
          <w:bCs w:val="0"/>
        </w:rPr>
        <w:br w:type="page"/>
      </w:r>
    </w:p>
    <w:p w14:paraId="71B0D647" w14:textId="77777777" w:rsidR="00AD3AF1" w:rsidRDefault="00AD3AF1">
      <w:pPr>
        <w:pStyle w:val="Heading3"/>
        <w:spacing w:line="360" w:lineRule="auto"/>
        <w:jc w:val="both"/>
        <w:rPr>
          <w:rStyle w:val="Strong"/>
          <w:rFonts w:ascii="Arial" w:hAnsi="Arial" w:cs="Arial" w:hint="default"/>
          <w:b/>
          <w:bCs/>
          <w:sz w:val="22"/>
          <w:szCs w:val="22"/>
        </w:rPr>
      </w:pPr>
    </w:p>
    <w:p w14:paraId="2CE37A9B" w14:textId="77777777" w:rsidR="00900F65" w:rsidRPr="00900F65" w:rsidRDefault="00900F65" w:rsidP="00900F65">
      <w:pPr>
        <w:spacing w:after="0" w:line="240" w:lineRule="auto"/>
        <w:rPr>
          <w:rFonts w:ascii="Arial" w:hAnsi="Arial" w:cs="Arial"/>
        </w:rPr>
      </w:pPr>
      <w:r w:rsidRPr="00900F65">
        <w:rPr>
          <w:rFonts w:ascii="Arial" w:hAnsi="Arial" w:cs="Arial"/>
          <w:b/>
          <w:bCs/>
        </w:rPr>
        <w:t>Acknowledgement of the use of AI tools</w:t>
      </w:r>
    </w:p>
    <w:p w14:paraId="2DE34AF3" w14:textId="34850088" w:rsidR="00900F65" w:rsidRPr="00900F65" w:rsidRDefault="00900F65" w:rsidP="00900F65">
      <w:pPr>
        <w:spacing w:after="0" w:line="240" w:lineRule="auto"/>
        <w:rPr>
          <w:rFonts w:ascii="Arial" w:hAnsi="Arial" w:cs="Arial"/>
        </w:rPr>
      </w:pPr>
      <w:r w:rsidRPr="00900F65">
        <w:rPr>
          <w:rFonts w:ascii="Arial" w:hAnsi="Arial" w:cs="Arial"/>
        </w:rPr>
        <w:t xml:space="preserve">I confirm that I have not used any AI tools in the research and creation of this assignment. I confirm that I have not presented any </w:t>
      </w:r>
      <w:r w:rsidR="00F03E5B">
        <w:rPr>
          <w:rFonts w:ascii="Arial" w:hAnsi="Arial" w:cs="Arial"/>
        </w:rPr>
        <w:t>AI-generated</w:t>
      </w:r>
      <w:r w:rsidRPr="00900F65">
        <w:rPr>
          <w:rFonts w:ascii="Arial" w:hAnsi="Arial" w:cs="Arial"/>
        </w:rPr>
        <w:t xml:space="preserve"> materials as my own work. I confirm I have copies of my drafts, notes, and other resources I used, which I may be asked to provide in evidence</w:t>
      </w:r>
    </w:p>
    <w:p w14:paraId="6784F61B" w14:textId="77777777" w:rsidR="00AD3AF1" w:rsidRDefault="00AD3AF1">
      <w:pPr>
        <w:spacing w:after="0" w:line="240" w:lineRule="auto"/>
        <w:rPr>
          <w:rStyle w:val="Strong"/>
          <w:rFonts w:ascii="Arial" w:eastAsia="SimSun" w:hAnsi="Arial" w:cs="Arial"/>
          <w:lang w:val="en-US" w:eastAsia="zh-CN"/>
        </w:rPr>
      </w:pPr>
      <w:r>
        <w:rPr>
          <w:rStyle w:val="Strong"/>
          <w:rFonts w:ascii="Arial" w:hAnsi="Arial" w:cs="Arial"/>
          <w:b w:val="0"/>
          <w:bCs w:val="0"/>
        </w:rPr>
        <w:br w:type="page"/>
      </w:r>
    </w:p>
    <w:p w14:paraId="7B2B4BA7" w14:textId="710853D5" w:rsidR="00B96B9F" w:rsidRDefault="00000000">
      <w:pPr>
        <w:pStyle w:val="Heading3"/>
        <w:spacing w:line="360" w:lineRule="auto"/>
        <w:jc w:val="both"/>
        <w:rPr>
          <w:rFonts w:ascii="Arial" w:hAnsi="Arial" w:cs="Arial" w:hint="default"/>
          <w:sz w:val="22"/>
          <w:szCs w:val="22"/>
        </w:rPr>
      </w:pPr>
      <w:r>
        <w:rPr>
          <w:rStyle w:val="Strong"/>
          <w:rFonts w:ascii="Arial" w:hAnsi="Arial" w:cs="Arial" w:hint="default"/>
          <w:b/>
          <w:bCs/>
          <w:sz w:val="22"/>
          <w:szCs w:val="22"/>
        </w:rPr>
        <w:lastRenderedPageBreak/>
        <w:t>Introduction</w:t>
      </w:r>
    </w:p>
    <w:p w14:paraId="47024977" w14:textId="1FF73A2C" w:rsidR="00B96B9F" w:rsidRDefault="004C243E">
      <w:pPr>
        <w:pStyle w:val="NormalWeb"/>
        <w:spacing w:line="360" w:lineRule="auto"/>
        <w:jc w:val="both"/>
        <w:rPr>
          <w:rFonts w:ascii="Arial" w:hAnsi="Arial" w:cs="Arial"/>
          <w:sz w:val="22"/>
          <w:szCs w:val="22"/>
        </w:rPr>
      </w:pPr>
      <w:r>
        <w:rPr>
          <w:rFonts w:ascii="Arial" w:hAnsi="Arial" w:cs="Arial"/>
          <w:sz w:val="22"/>
          <w:szCs w:val="22"/>
        </w:rPr>
        <w:t>Health, well-being, and sustainability are interconnected dimensions that shape the quality of life for individuals and populations worldwide. Modern societies face increasing challenges such as climate change, poverty, widening inequalities, chronic diseases, and demographic shifts, all of which affect the health and well-being of citizens. In response, the United Nations established the Sustainable Development Goals (SDGs) in 2015, a universal framework for equitable and sustainable development (Ashraf et al., 2019). This report critically examines how SDG 3: Good Health and Well-being and SDG 1: No Poverty influence global, national, and local efforts to improve citizen well-being. It further assesses UK initiatives such as the Wellbeing Economy approach, NHS Long Term Plan, and public health frameworks, alongside local-level strategies including community wellbeing programmes. The report concludes with evidence-based recommendations to improve policy effectiveness and support sustainable wellbeing outcomes.</w:t>
      </w:r>
    </w:p>
    <w:p w14:paraId="3DC9478D" w14:textId="1A666AC3" w:rsidR="00B96B9F" w:rsidRDefault="00000000" w:rsidP="004C243E">
      <w:pPr>
        <w:pStyle w:val="Heading1"/>
        <w:spacing w:line="360" w:lineRule="auto"/>
        <w:jc w:val="both"/>
        <w:rPr>
          <w:rStyle w:val="Strong"/>
          <w:rFonts w:ascii="Arial" w:hAnsi="Arial" w:cs="Arial" w:hint="default"/>
          <w:b/>
          <w:bCs/>
          <w:sz w:val="22"/>
          <w:szCs w:val="22"/>
        </w:rPr>
      </w:pPr>
      <w:r>
        <w:rPr>
          <w:rStyle w:val="Strong"/>
          <w:rFonts w:ascii="Arial" w:hAnsi="Arial" w:cs="Arial" w:hint="default"/>
          <w:b/>
          <w:bCs/>
          <w:sz w:val="22"/>
          <w:szCs w:val="22"/>
        </w:rPr>
        <w:t xml:space="preserve">Impact of SDG 3 (Good Health and Well-being) on Citizen Health and </w:t>
      </w:r>
      <w:r w:rsidR="002121CD">
        <w:rPr>
          <w:rStyle w:val="Strong"/>
          <w:rFonts w:ascii="Arial" w:hAnsi="Arial" w:cs="Arial" w:hint="default"/>
          <w:b/>
          <w:bCs/>
          <w:sz w:val="22"/>
          <w:szCs w:val="22"/>
        </w:rPr>
        <w:t>Well-being</w:t>
      </w:r>
    </w:p>
    <w:p w14:paraId="33FD605C" w14:textId="27A3799E" w:rsidR="004C243E" w:rsidRPr="0028430C" w:rsidRDefault="004C243E" w:rsidP="00F03E5B">
      <w:pPr>
        <w:spacing w:line="360" w:lineRule="auto"/>
        <w:rPr>
          <w:rFonts w:ascii="Arial" w:hAnsi="Arial" w:cs="Arial"/>
          <w:lang w:val="en-US" w:eastAsia="zh-CN"/>
        </w:rPr>
      </w:pPr>
      <w:r>
        <w:rPr>
          <w:rFonts w:ascii="Arial" w:hAnsi="Arial" w:cs="Arial"/>
          <w:lang w:val="en-US" w:eastAsia="zh-CN"/>
        </w:rPr>
        <w:t xml:space="preserve"> </w:t>
      </w:r>
      <w:r w:rsidRPr="0028430C">
        <w:rPr>
          <w:rFonts w:ascii="Arial" w:hAnsi="Arial" w:cs="Arial"/>
          <w:lang w:val="en-US" w:eastAsia="zh-CN"/>
        </w:rPr>
        <w:t>Sustainable Development Goals</w:t>
      </w:r>
      <w:r w:rsidR="0028430C" w:rsidRPr="0028430C">
        <w:rPr>
          <w:rFonts w:ascii="Arial" w:hAnsi="Arial" w:cs="Arial"/>
          <w:lang w:val="en-US" w:eastAsia="zh-CN"/>
        </w:rPr>
        <w:t xml:space="preserve"> (SDGs)</w:t>
      </w:r>
      <w:r w:rsidR="0028430C">
        <w:rPr>
          <w:rFonts w:ascii="Arial" w:hAnsi="Arial" w:cs="Arial"/>
          <w:lang w:val="en-US" w:eastAsia="zh-CN"/>
        </w:rPr>
        <w:t xml:space="preserve"> are the </w:t>
      </w:r>
      <w:r w:rsidR="0028430C" w:rsidRPr="0028430C">
        <w:rPr>
          <w:rFonts w:ascii="Arial" w:hAnsi="Arial" w:cs="Arial"/>
          <w:lang w:val="en-US" w:eastAsia="zh-CN"/>
        </w:rPr>
        <w:t>17 interconnected global goals set by the United Nations in 2015 as a universal call to action to end poverty, protect the planet</w:t>
      </w:r>
      <w:r w:rsidR="0028430C">
        <w:rPr>
          <w:rFonts w:ascii="Arial" w:hAnsi="Arial" w:cs="Arial"/>
          <w:lang w:val="en-US" w:eastAsia="zh-CN"/>
        </w:rPr>
        <w:t xml:space="preserve">, </w:t>
      </w:r>
      <w:r w:rsidR="0028430C" w:rsidRPr="0028430C">
        <w:rPr>
          <w:rFonts w:ascii="Arial" w:hAnsi="Arial" w:cs="Arial"/>
          <w:lang w:val="en-US" w:eastAsia="zh-CN"/>
        </w:rPr>
        <w:t>and ensure peace and prosperity for all by 2030.</w:t>
      </w:r>
      <w:r w:rsidR="0028430C">
        <w:rPr>
          <w:rFonts w:ascii="Arial" w:hAnsi="Arial" w:cs="Arial"/>
          <w:lang w:val="en-US" w:eastAsia="zh-CN"/>
        </w:rPr>
        <w:t xml:space="preserve"> One of the SDG goals is SDG 3.</w:t>
      </w:r>
    </w:p>
    <w:p w14:paraId="6DCAC695" w14:textId="22BA9B19" w:rsidR="00B96B9F" w:rsidRDefault="00000000">
      <w:pPr>
        <w:pStyle w:val="NormalWeb"/>
        <w:spacing w:line="360" w:lineRule="auto"/>
        <w:jc w:val="both"/>
        <w:rPr>
          <w:rFonts w:ascii="Arial" w:hAnsi="Arial" w:cs="Arial"/>
          <w:sz w:val="22"/>
          <w:szCs w:val="22"/>
        </w:rPr>
      </w:pPr>
      <w:r>
        <w:rPr>
          <w:rFonts w:ascii="Arial" w:hAnsi="Arial" w:cs="Arial"/>
          <w:sz w:val="22"/>
          <w:szCs w:val="22"/>
        </w:rPr>
        <w:t xml:space="preserve">SDG 3 aims to ensure healthy lives and promote </w:t>
      </w:r>
      <w:r w:rsidR="002121CD">
        <w:rPr>
          <w:rFonts w:ascii="Arial" w:hAnsi="Arial" w:cs="Arial"/>
          <w:sz w:val="22"/>
          <w:szCs w:val="22"/>
        </w:rPr>
        <w:t>well-being</w:t>
      </w:r>
      <w:r>
        <w:rPr>
          <w:rFonts w:ascii="Arial" w:hAnsi="Arial" w:cs="Arial"/>
          <w:sz w:val="22"/>
          <w:szCs w:val="22"/>
        </w:rPr>
        <w:t xml:space="preserve"> for all ages. Its targets span maternal and child health, communicable diseases, non-communicable diseases (NCDs), mental health, universal health coverage (UHC), and health system resilience (UN, 2023).</w:t>
      </w:r>
    </w:p>
    <w:p w14:paraId="17314495"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1.1 Maternal and Child Health</w:t>
      </w:r>
    </w:p>
    <w:p w14:paraId="5820C4BF" w14:textId="12E52E2E" w:rsidR="00B96B9F" w:rsidRDefault="00000000">
      <w:pPr>
        <w:spacing w:line="360" w:lineRule="auto"/>
        <w:jc w:val="both"/>
        <w:rPr>
          <w:rFonts w:ascii="Arial" w:hAnsi="Arial" w:cs="Arial"/>
        </w:rPr>
      </w:pPr>
      <w:r>
        <w:rPr>
          <w:rFonts w:ascii="Arial" w:hAnsi="Arial" w:cs="Arial"/>
        </w:rPr>
        <w:t>One of the most immediate and measurable impacts of SDG 3 is observed in the drastic reduction of preventable deaths among mothers and children under five</w:t>
      </w:r>
      <w:r>
        <w:rPr>
          <w:rFonts w:ascii="Arial" w:hAnsi="Arial" w:cs="Arial"/>
          <w:lang w:val="en-US"/>
        </w:rPr>
        <w:t xml:space="preserve">. </w:t>
      </w:r>
      <w:r>
        <w:rPr>
          <w:rFonts w:ascii="Arial" w:hAnsi="Arial" w:cs="Arial"/>
        </w:rPr>
        <w:t>Reducing maternal mortality to fewer than 70 deaths per 100,000 live births and ending preventable deaths of children under five are core SDG 3 targets (UN, 2015)</w:t>
      </w:r>
      <w:r>
        <w:rPr>
          <w:rFonts w:ascii="Arial" w:hAnsi="Arial" w:cs="Arial"/>
          <w:lang w:val="en-US"/>
        </w:rPr>
        <w:t xml:space="preserve">, </w:t>
      </w:r>
      <w:r>
        <w:rPr>
          <w:rFonts w:ascii="Arial" w:hAnsi="Arial" w:cs="Arial"/>
        </w:rPr>
        <w:t>setting a target of reducing neonatal mortality to at least 12 per 1,000 live births and under-five mortality to at least 25 per 1,000 live births.</w:t>
      </w:r>
      <w:r>
        <w:rPr>
          <w:rFonts w:ascii="Arial" w:hAnsi="Arial" w:cs="Arial"/>
          <w:lang w:val="en-US"/>
        </w:rPr>
        <w:t xml:space="preserve"> </w:t>
      </w:r>
      <w:r>
        <w:rPr>
          <w:rFonts w:ascii="Arial" w:hAnsi="Arial" w:cs="Arial"/>
        </w:rPr>
        <w:t>Countries implementing SDG-aligned interventions</w:t>
      </w:r>
      <w:r w:rsidR="008D1919">
        <w:rPr>
          <w:rFonts w:ascii="Arial" w:hAnsi="Arial" w:cs="Arial"/>
          <w:lang w:val="en-US"/>
        </w:rPr>
        <w:t xml:space="preserve">, such as skilled birth attendance, emergency obstetric care, and </w:t>
      </w:r>
      <w:r w:rsidR="008D1919">
        <w:rPr>
          <w:rFonts w:ascii="Arial" w:hAnsi="Arial" w:cs="Arial"/>
          <w:lang w:val="en-US"/>
        </w:rPr>
        <w:lastRenderedPageBreak/>
        <w:t>expanded antenatal coverage,</w:t>
      </w:r>
      <w:r>
        <w:rPr>
          <w:rFonts w:ascii="Arial" w:hAnsi="Arial" w:cs="Arial"/>
          <w:lang w:val="en-US"/>
        </w:rPr>
        <w:t xml:space="preserve"> </w:t>
      </w:r>
      <w:r>
        <w:rPr>
          <w:rFonts w:ascii="Arial" w:hAnsi="Arial" w:cs="Arial"/>
        </w:rPr>
        <w:t>have recorded notable reductions in maternal mortality (WHO, 2022). Enhanced maternal health also leads to improved household stability, stronger child development outcomes and intergenerational benefits.</w:t>
      </w:r>
    </w:p>
    <w:p w14:paraId="7C28AB33" w14:textId="77777777" w:rsidR="00B96B9F" w:rsidRDefault="00B96B9F">
      <w:pPr>
        <w:spacing w:line="360" w:lineRule="auto"/>
        <w:jc w:val="both"/>
        <w:rPr>
          <w:rFonts w:ascii="Arial" w:hAnsi="Arial" w:cs="Arial"/>
        </w:rPr>
      </w:pPr>
    </w:p>
    <w:p w14:paraId="3F3CBF3C"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1.2 Infectious Disease Control</w:t>
      </w:r>
    </w:p>
    <w:p w14:paraId="18813671" w14:textId="77777777" w:rsidR="00B96B9F" w:rsidRDefault="00000000">
      <w:pPr>
        <w:pStyle w:val="Heading2"/>
        <w:spacing w:line="360" w:lineRule="auto"/>
        <w:jc w:val="both"/>
        <w:rPr>
          <w:rFonts w:ascii="Arial" w:hAnsi="Arial" w:cs="Arial" w:hint="default"/>
          <w:b w:val="0"/>
          <w:bCs w:val="0"/>
          <w:sz w:val="22"/>
          <w:szCs w:val="22"/>
        </w:rPr>
      </w:pPr>
      <w:r>
        <w:rPr>
          <w:rFonts w:ascii="Arial" w:hAnsi="Arial" w:cs="Arial" w:hint="default"/>
          <w:b w:val="0"/>
          <w:bCs w:val="0"/>
          <w:sz w:val="22"/>
          <w:szCs w:val="22"/>
        </w:rPr>
        <w:t>SDG 3 has significantly advanced global efforts against HIV/AIDS, tuberculosis, malaria, and neglected tropical diseases by promoting diagnostics, preventive therapies, and universal access to treatment (Global Fund, 2021). according to Mark (2024), widespread antiretroviral therapy has transformed HIV into a manageable chronic condition, reducing mortality and alleviating social and economic burdens on families and health systems. Similarly, investments in vector control and diagnostics for malaria and tuberculosis mitigate outbreaks, preserving community stability. These interventions not only improve public health outcomes but also enhance economic productivity by enabling affected populations to remain active contributors, demonstrating the profound societal and systemic impact of SDG 3-aligned initiatives.</w:t>
      </w:r>
    </w:p>
    <w:p w14:paraId="30125821"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1.3 Addressing Non-communicable Diseases</w:t>
      </w:r>
    </w:p>
    <w:p w14:paraId="32FFEC40" w14:textId="77777777" w:rsidR="008D1919" w:rsidRDefault="00000000">
      <w:pPr>
        <w:pStyle w:val="Heading2"/>
        <w:spacing w:line="360" w:lineRule="auto"/>
        <w:jc w:val="both"/>
        <w:rPr>
          <w:rFonts w:ascii="Arial" w:hAnsi="Arial" w:cs="Arial" w:hint="default"/>
          <w:b w:val="0"/>
          <w:bCs w:val="0"/>
          <w:sz w:val="22"/>
          <w:szCs w:val="22"/>
        </w:rPr>
      </w:pPr>
      <w:r>
        <w:rPr>
          <w:rFonts w:ascii="Arial" w:hAnsi="Arial" w:cs="Arial" w:hint="default"/>
          <w:b w:val="0"/>
          <w:bCs w:val="0"/>
          <w:sz w:val="22"/>
          <w:szCs w:val="22"/>
        </w:rPr>
        <w:t>The United Nations 2030 Agenda for Sustainable Development comprises 17 Sustainable Development Goals, with Goal 1, “No Poverty,” addressing multidimensional deprivation that hinders progress in health, human security, and environmental sustainability (</w:t>
      </w:r>
      <w:proofErr w:type="spellStart"/>
      <w:r>
        <w:rPr>
          <w:rFonts w:ascii="Arial" w:hAnsi="Arial" w:cs="Arial" w:hint="default"/>
          <w:b w:val="0"/>
          <w:bCs w:val="0"/>
          <w:sz w:val="22"/>
          <w:szCs w:val="22"/>
        </w:rPr>
        <w:t>Nwagbo</w:t>
      </w:r>
      <w:proofErr w:type="spellEnd"/>
      <w:r>
        <w:rPr>
          <w:rFonts w:ascii="Arial" w:hAnsi="Arial" w:cs="Arial" w:hint="default"/>
          <w:b w:val="0"/>
          <w:bCs w:val="0"/>
          <w:sz w:val="22"/>
          <w:szCs w:val="22"/>
        </w:rPr>
        <w:t xml:space="preserve"> et al., 2025). Sustainable Development Goal 1 recognises poverty as overlapping deprivations in health, education, and living standards, measured by indicators such as nutrition, child mortality, school attendance, housing, and sanitation, and </w:t>
      </w:r>
      <w:proofErr w:type="spellStart"/>
      <w:r>
        <w:rPr>
          <w:rFonts w:ascii="Arial" w:hAnsi="Arial" w:cs="Arial" w:hint="default"/>
          <w:b w:val="0"/>
          <w:bCs w:val="0"/>
          <w:sz w:val="22"/>
          <w:szCs w:val="22"/>
        </w:rPr>
        <w:t>operationalised</w:t>
      </w:r>
      <w:proofErr w:type="spellEnd"/>
      <w:r>
        <w:rPr>
          <w:rFonts w:ascii="Arial" w:hAnsi="Arial" w:cs="Arial" w:hint="default"/>
          <w:b w:val="0"/>
          <w:bCs w:val="0"/>
          <w:sz w:val="22"/>
          <w:szCs w:val="22"/>
        </w:rPr>
        <w:t xml:space="preserve"> through the Multidimensional Poverty Index developed by the Oxford Poverty and Human Development Initiative and the United Nations Development Programme (Alkire et al., 2021). </w:t>
      </w:r>
    </w:p>
    <w:p w14:paraId="4ACBC3FA" w14:textId="7D294318" w:rsidR="00B96B9F" w:rsidRDefault="00000000">
      <w:pPr>
        <w:pStyle w:val="Heading2"/>
        <w:spacing w:line="360" w:lineRule="auto"/>
        <w:jc w:val="both"/>
        <w:rPr>
          <w:rFonts w:ascii="Arial" w:hAnsi="Arial" w:cs="Arial" w:hint="default"/>
          <w:b w:val="0"/>
          <w:bCs w:val="0"/>
          <w:sz w:val="22"/>
          <w:szCs w:val="22"/>
        </w:rPr>
      </w:pPr>
      <w:r>
        <w:rPr>
          <w:rFonts w:ascii="Arial" w:hAnsi="Arial" w:cs="Arial" w:hint="default"/>
          <w:b w:val="0"/>
          <w:bCs w:val="0"/>
          <w:sz w:val="22"/>
          <w:szCs w:val="22"/>
        </w:rPr>
        <w:t>Sustainable Development Goal 3, “Good Health and Wellbeing,” complements this by tackling infectious diseases and the rising burden of non-communicable diseases, including cardiovascular disease, cancer, diabetes, and chronic respiratory conditions (</w:t>
      </w:r>
      <w:proofErr w:type="spellStart"/>
      <w:r>
        <w:rPr>
          <w:rFonts w:ascii="Arial" w:hAnsi="Arial" w:cs="Arial" w:hint="default"/>
          <w:b w:val="0"/>
          <w:bCs w:val="0"/>
          <w:sz w:val="22"/>
          <w:szCs w:val="22"/>
        </w:rPr>
        <w:t>Nwagbo</w:t>
      </w:r>
      <w:proofErr w:type="spellEnd"/>
      <w:r>
        <w:rPr>
          <w:rFonts w:ascii="Arial" w:hAnsi="Arial" w:cs="Arial" w:hint="default"/>
          <w:b w:val="0"/>
          <w:bCs w:val="0"/>
          <w:sz w:val="22"/>
          <w:szCs w:val="22"/>
        </w:rPr>
        <w:t xml:space="preserve"> et al., 2025), through early diagnosis, treatment access, and preventive policies promoting healthier lifestyles, thereby enhancing individual and societal productivity.</w:t>
      </w:r>
    </w:p>
    <w:p w14:paraId="3D6F4793" w14:textId="77777777" w:rsidR="00E7188E" w:rsidRDefault="00E7188E">
      <w:pPr>
        <w:pStyle w:val="Heading2"/>
        <w:spacing w:line="360" w:lineRule="auto"/>
        <w:jc w:val="both"/>
        <w:rPr>
          <w:rStyle w:val="Strong"/>
          <w:rFonts w:ascii="Arial" w:hAnsi="Arial" w:cs="Arial" w:hint="default"/>
          <w:b/>
          <w:bCs/>
          <w:sz w:val="22"/>
          <w:szCs w:val="22"/>
        </w:rPr>
      </w:pPr>
    </w:p>
    <w:p w14:paraId="01227600" w14:textId="77777777" w:rsidR="00E7188E" w:rsidRDefault="00E7188E">
      <w:pPr>
        <w:pStyle w:val="Heading2"/>
        <w:spacing w:line="360" w:lineRule="auto"/>
        <w:jc w:val="both"/>
        <w:rPr>
          <w:rStyle w:val="Strong"/>
          <w:rFonts w:ascii="Arial" w:hAnsi="Arial" w:cs="Arial" w:hint="default"/>
          <w:b/>
          <w:bCs/>
          <w:sz w:val="22"/>
          <w:szCs w:val="22"/>
        </w:rPr>
      </w:pPr>
    </w:p>
    <w:p w14:paraId="062A2D6F" w14:textId="7119AD83"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 xml:space="preserve">1.4 Mental Health and </w:t>
      </w:r>
      <w:r w:rsidR="002121CD">
        <w:rPr>
          <w:rStyle w:val="Strong"/>
          <w:rFonts w:ascii="Arial" w:hAnsi="Arial" w:cs="Arial" w:hint="default"/>
          <w:b/>
          <w:bCs/>
          <w:sz w:val="22"/>
          <w:szCs w:val="22"/>
        </w:rPr>
        <w:t>Well-being</w:t>
      </w:r>
    </w:p>
    <w:p w14:paraId="1B1DA61C" w14:textId="3B81C58A" w:rsidR="00B96B9F" w:rsidRDefault="00000000">
      <w:pPr>
        <w:pStyle w:val="Heading1"/>
        <w:spacing w:line="360" w:lineRule="auto"/>
        <w:jc w:val="both"/>
        <w:rPr>
          <w:rFonts w:ascii="Arial" w:hAnsi="Arial" w:cs="Arial" w:hint="default"/>
          <w:b w:val="0"/>
          <w:bCs w:val="0"/>
          <w:sz w:val="22"/>
          <w:szCs w:val="22"/>
        </w:rPr>
      </w:pPr>
      <w:r>
        <w:rPr>
          <w:rFonts w:ascii="Arial" w:hAnsi="Arial" w:cs="Arial" w:hint="default"/>
          <w:b w:val="0"/>
          <w:bCs w:val="0"/>
          <w:sz w:val="22"/>
          <w:szCs w:val="22"/>
        </w:rPr>
        <w:t>SDG 3 recognises mental health as a critical component of global wellbeing, promoting early intervention, stigma reduction, and responses to rising depression and anxiety linked to socioeconomic and environmental stressors (</w:t>
      </w:r>
      <w:r>
        <w:rPr>
          <w:rFonts w:ascii="Arial" w:hAnsi="Arial" w:cs="Arial" w:hint="default"/>
          <w:b w:val="0"/>
          <w:bCs w:val="0"/>
          <w:kern w:val="0"/>
          <w:sz w:val="22"/>
          <w:szCs w:val="22"/>
          <w:lang w:bidi="ar"/>
        </w:rPr>
        <w:t>Martinelli, 2024)</w:t>
      </w:r>
      <w:r>
        <w:rPr>
          <w:rFonts w:ascii="Arial" w:hAnsi="Arial" w:cs="Arial" w:hint="default"/>
          <w:b w:val="0"/>
          <w:bCs w:val="0"/>
          <w:sz w:val="22"/>
          <w:szCs w:val="22"/>
        </w:rPr>
        <w:t xml:space="preserve">. It targets preventable child mortality caused </w:t>
      </w:r>
      <w:r w:rsidR="00E61B78">
        <w:rPr>
          <w:rFonts w:ascii="Arial" w:hAnsi="Arial" w:cs="Arial" w:hint="default"/>
          <w:b w:val="0"/>
          <w:bCs w:val="0"/>
          <w:sz w:val="22"/>
          <w:szCs w:val="22"/>
        </w:rPr>
        <w:t xml:space="preserve">by </w:t>
      </w:r>
      <w:r>
        <w:rPr>
          <w:rFonts w:ascii="Arial" w:hAnsi="Arial" w:cs="Arial" w:hint="default"/>
          <w:b w:val="0"/>
          <w:bCs w:val="0"/>
          <w:sz w:val="22"/>
          <w:szCs w:val="22"/>
        </w:rPr>
        <w:t xml:space="preserve">pneumonia, diarrhoea, malaria, and malnutrition through immunisation, essential medicines, and scaled disease interventions. Ensuring children survive early life free from illness supports cognitive and physical development, educational attainment, and long-term productivity. Additionally, addressing childhood stunting, closely tied to health system effectiveness, enables children to reach their full potential (WHO, 2022). Collectively, SDG 3 links health, mental </w:t>
      </w:r>
      <w:r w:rsidR="002121CD">
        <w:rPr>
          <w:rFonts w:ascii="Arial" w:hAnsi="Arial" w:cs="Arial" w:hint="default"/>
          <w:b w:val="0"/>
          <w:bCs w:val="0"/>
          <w:sz w:val="22"/>
          <w:szCs w:val="22"/>
        </w:rPr>
        <w:t>well-being</w:t>
      </w:r>
      <w:r>
        <w:rPr>
          <w:rFonts w:ascii="Arial" w:hAnsi="Arial" w:cs="Arial" w:hint="default"/>
          <w:b w:val="0"/>
          <w:bCs w:val="0"/>
          <w:sz w:val="22"/>
          <w:szCs w:val="22"/>
        </w:rPr>
        <w:t>, and socioeconomic outcomes.</w:t>
      </w:r>
    </w:p>
    <w:p w14:paraId="5B7A4F25" w14:textId="42B59033" w:rsidR="00B96B9F" w:rsidRDefault="00000000">
      <w:pPr>
        <w:pStyle w:val="Heading1"/>
        <w:spacing w:line="360" w:lineRule="auto"/>
        <w:jc w:val="both"/>
        <w:rPr>
          <w:rFonts w:ascii="Arial" w:hAnsi="Arial" w:cs="Arial" w:hint="default"/>
          <w:sz w:val="22"/>
          <w:szCs w:val="22"/>
        </w:rPr>
      </w:pPr>
      <w:r>
        <w:rPr>
          <w:rStyle w:val="Strong"/>
          <w:rFonts w:ascii="Arial" w:hAnsi="Arial" w:cs="Arial" w:hint="default"/>
          <w:b/>
          <w:bCs/>
          <w:sz w:val="22"/>
          <w:szCs w:val="22"/>
        </w:rPr>
        <w:t xml:space="preserve">2. Impact of SDG 1 (No Poverty) on Health and </w:t>
      </w:r>
      <w:r w:rsidR="002121CD">
        <w:rPr>
          <w:rStyle w:val="Strong"/>
          <w:rFonts w:ascii="Arial" w:hAnsi="Arial" w:cs="Arial" w:hint="default"/>
          <w:b/>
          <w:bCs/>
          <w:sz w:val="22"/>
          <w:szCs w:val="22"/>
        </w:rPr>
        <w:t>Well-being</w:t>
      </w:r>
    </w:p>
    <w:p w14:paraId="7E3B2983" w14:textId="77777777" w:rsidR="00B96B9F" w:rsidRDefault="00000000">
      <w:pPr>
        <w:spacing w:line="360" w:lineRule="auto"/>
        <w:jc w:val="both"/>
        <w:rPr>
          <w:rFonts w:ascii="Arial" w:hAnsi="Arial" w:cs="Arial"/>
        </w:rPr>
      </w:pPr>
      <w:r>
        <w:rPr>
          <w:rFonts w:ascii="Arial" w:hAnsi="Arial" w:cs="Arial"/>
        </w:rPr>
        <w:t>Poverty undermines access to healthcare, food, education, safe housing and economic opportunity. SDG 1 aims to eradicate extreme poverty (living on less than $2.15/day), reduce multidimensional poverty and strengthen social protection systems (UNDP, 2022).</w:t>
      </w:r>
      <w:r>
        <w:rPr>
          <w:rFonts w:ascii="Arial" w:hAnsi="Arial" w:cs="Arial"/>
          <w:lang w:val="en-US"/>
        </w:rPr>
        <w:t xml:space="preserve"> </w:t>
      </w:r>
      <w:r>
        <w:rPr>
          <w:rFonts w:ascii="Arial" w:hAnsi="Arial" w:cs="Arial"/>
        </w:rPr>
        <w:t>Traditionally, the World Bank utilised the International Poverty Line (IPL) to monitor extreme economic deprivation (World Bank). However, the 2030 Agenda requires a more comprehensive and multidimensional framework, recognising that poverty extends beyond insufficient income and encompasses a range of social, economic, and structural deprivations (United Nations)</w:t>
      </w:r>
      <w:r>
        <w:rPr>
          <w:rFonts w:ascii="Arial" w:hAnsi="Arial" w:cs="Arial"/>
          <w:lang w:val="en-US"/>
        </w:rPr>
        <w:t xml:space="preserve"> (</w:t>
      </w:r>
      <w:r>
        <w:rPr>
          <w:rFonts w:ascii="Arial" w:hAnsi="Arial" w:cs="Arial"/>
          <w:lang w:val="en-US" w:eastAsia="zh-CN"/>
        </w:rPr>
        <w:t>Thulo and Mpundu, 2025)</w:t>
      </w:r>
      <w:r>
        <w:rPr>
          <w:rFonts w:ascii="Arial" w:hAnsi="Arial" w:cs="Arial"/>
        </w:rPr>
        <w:t>.</w:t>
      </w:r>
    </w:p>
    <w:p w14:paraId="3EB47615"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2.1 Multidimensional Nature of Poverty</w:t>
      </w:r>
    </w:p>
    <w:p w14:paraId="2C22E842" w14:textId="5E2216D7" w:rsidR="00B96B9F" w:rsidRDefault="00000000">
      <w:pPr>
        <w:pStyle w:val="Heading2"/>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Babu and Srivastava (2024) opined that </w:t>
      </w:r>
      <w:r w:rsidR="002121CD">
        <w:rPr>
          <w:rFonts w:ascii="Arial" w:hAnsi="Arial" w:cs="Arial" w:hint="default"/>
          <w:b w:val="0"/>
          <w:bCs w:val="0"/>
          <w:sz w:val="22"/>
          <w:szCs w:val="22"/>
        </w:rPr>
        <w:t>Sustainable</w:t>
      </w:r>
      <w:r>
        <w:rPr>
          <w:rFonts w:ascii="Arial" w:hAnsi="Arial" w:cs="Arial" w:hint="default"/>
          <w:b w:val="0"/>
          <w:bCs w:val="0"/>
          <w:sz w:val="22"/>
          <w:szCs w:val="22"/>
        </w:rPr>
        <w:t xml:space="preserve"> Development Goal 1 (SDG 1) advances poverty reduction by formally </w:t>
      </w:r>
      <w:r w:rsidR="008D1919">
        <w:rPr>
          <w:rFonts w:ascii="Arial" w:hAnsi="Arial" w:cs="Arial" w:hint="default"/>
          <w:b w:val="0"/>
          <w:bCs w:val="0"/>
          <w:sz w:val="22"/>
          <w:szCs w:val="22"/>
        </w:rPr>
        <w:t>recognising</w:t>
      </w:r>
      <w:r>
        <w:rPr>
          <w:rFonts w:ascii="Arial" w:hAnsi="Arial" w:cs="Arial" w:hint="default"/>
          <w:b w:val="0"/>
          <w:bCs w:val="0"/>
          <w:sz w:val="22"/>
          <w:szCs w:val="22"/>
        </w:rPr>
        <w:t xml:space="preserve"> multidimensional poverty, aiming to reduce by at least half the proportion of individuals living in poverty across all dimensions according to national standards (United Nations). Poverty is understood as overlapping deprivations in health, education, and living standards rather </w:t>
      </w:r>
      <w:r w:rsidR="008D1919">
        <w:rPr>
          <w:rFonts w:ascii="Arial" w:hAnsi="Arial" w:cs="Arial" w:hint="default"/>
          <w:b w:val="0"/>
          <w:bCs w:val="0"/>
          <w:sz w:val="22"/>
          <w:szCs w:val="22"/>
        </w:rPr>
        <w:t>than</w:t>
      </w:r>
      <w:r>
        <w:rPr>
          <w:rFonts w:ascii="Arial" w:hAnsi="Arial" w:cs="Arial" w:hint="default"/>
          <w:b w:val="0"/>
          <w:bCs w:val="0"/>
          <w:sz w:val="22"/>
          <w:szCs w:val="22"/>
        </w:rPr>
        <w:t xml:space="preserve"> financial insufficiency. The Multidimensional Poverty Index, developed by the Oxford Poverty and Human Development Initiative and the United Nations Development </w:t>
      </w:r>
      <w:r>
        <w:rPr>
          <w:rFonts w:ascii="Arial" w:hAnsi="Arial" w:cs="Arial" w:hint="default"/>
          <w:b w:val="0"/>
          <w:bCs w:val="0"/>
          <w:sz w:val="22"/>
          <w:szCs w:val="22"/>
        </w:rPr>
        <w:lastRenderedPageBreak/>
        <w:t>Programme, measures indicators such as nutrition, child mortality, school attendance, housing, sanitation, and access to basic services (Thulo and Mpundu, 2025). Sustainable Development Goal 3 (SDG 3) addresses health and well</w:t>
      </w:r>
      <w:r w:rsidR="008D1919">
        <w:rPr>
          <w:rFonts w:ascii="Arial" w:hAnsi="Arial" w:cs="Arial" w:hint="default"/>
          <w:b w:val="0"/>
          <w:bCs w:val="0"/>
          <w:sz w:val="22"/>
          <w:szCs w:val="22"/>
        </w:rPr>
        <w:t>-</w:t>
      </w:r>
      <w:r>
        <w:rPr>
          <w:rFonts w:ascii="Arial" w:hAnsi="Arial" w:cs="Arial" w:hint="default"/>
          <w:b w:val="0"/>
          <w:bCs w:val="0"/>
          <w:sz w:val="22"/>
          <w:szCs w:val="22"/>
        </w:rPr>
        <w:t>being, including mental health, childhood mortality, communicable diseases, and access to essential medicines, thereby enhancing cognitive, physical, and socioeconomic outcomes across populations.</w:t>
      </w:r>
    </w:p>
    <w:p w14:paraId="523503A4"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2.2 Social Protection Floors</w:t>
      </w:r>
    </w:p>
    <w:p w14:paraId="72B7BB34" w14:textId="77777777" w:rsidR="002121CD" w:rsidRDefault="00000000" w:rsidP="002121CD">
      <w:pPr>
        <w:spacing w:line="360" w:lineRule="auto"/>
        <w:jc w:val="both"/>
        <w:rPr>
          <w:rFonts w:ascii="Arial" w:hAnsi="Arial" w:cs="Arial"/>
        </w:rPr>
      </w:pPr>
      <w:r>
        <w:rPr>
          <w:rFonts w:ascii="Arial" w:hAnsi="Arial" w:cs="Arial"/>
        </w:rPr>
        <w:t>The concept of a social protection floor is central here. This refers to a nationally defined set of basic social security guarantees that ensure access to essential health care and basic income security for all members of society, particularly during life cycle events such as old age, disability, childhood, and unemployment</w:t>
      </w:r>
      <w:r>
        <w:rPr>
          <w:rFonts w:ascii="Arial" w:hAnsi="Arial" w:cs="Arial"/>
          <w:lang w:val="en-US"/>
        </w:rPr>
        <w:t xml:space="preserve"> (</w:t>
      </w:r>
      <w:r>
        <w:rPr>
          <w:rFonts w:ascii="Arial" w:hAnsi="Arial" w:cs="Arial"/>
          <w:lang w:val="en-US" w:eastAsia="zh-CN"/>
        </w:rPr>
        <w:t>Seekings, 2019)</w:t>
      </w:r>
      <w:r>
        <w:rPr>
          <w:rFonts w:ascii="Arial" w:hAnsi="Arial" w:cs="Arial"/>
        </w:rPr>
        <w:t>. Examples include universal child benefits, unemployment insurance, and basic old-age pensions.</w:t>
      </w:r>
    </w:p>
    <w:p w14:paraId="74B66C24" w14:textId="3517F250" w:rsidR="00B96B9F" w:rsidRDefault="00000000" w:rsidP="002121CD">
      <w:pPr>
        <w:spacing w:line="360" w:lineRule="auto"/>
        <w:jc w:val="both"/>
        <w:rPr>
          <w:rFonts w:ascii="Arial" w:hAnsi="Arial" w:cs="Arial"/>
        </w:rPr>
      </w:pPr>
      <w:r>
        <w:rPr>
          <w:rFonts w:ascii="Arial" w:hAnsi="Arial" w:cs="Arial"/>
        </w:rPr>
        <w:t xml:space="preserve"> </w:t>
      </w:r>
      <w:r>
        <w:rPr>
          <w:rStyle w:val="Strong"/>
          <w:rFonts w:ascii="Arial" w:hAnsi="Arial" w:cs="Arial"/>
        </w:rPr>
        <w:t>2.3 Food Security and Nutrition</w:t>
      </w:r>
    </w:p>
    <w:p w14:paraId="155F8ACE" w14:textId="467FEF9B" w:rsidR="00B96B9F" w:rsidRDefault="00000000">
      <w:pPr>
        <w:pStyle w:val="NormalWeb"/>
        <w:spacing w:line="360" w:lineRule="auto"/>
        <w:jc w:val="both"/>
        <w:rPr>
          <w:rFonts w:ascii="Arial" w:hAnsi="Arial" w:cs="Arial"/>
          <w:sz w:val="22"/>
          <w:szCs w:val="22"/>
        </w:rPr>
      </w:pPr>
      <w:r>
        <w:rPr>
          <w:rFonts w:ascii="Arial" w:hAnsi="Arial" w:cs="Arial"/>
          <w:sz w:val="22"/>
          <w:szCs w:val="22"/>
        </w:rPr>
        <w:t>Poverty drives food insecurity, leading to malnutrition, micronutrient deficiencies and stunted development in children (</w:t>
      </w:r>
      <w:r>
        <w:rPr>
          <w:rFonts w:ascii="Arial" w:hAnsi="Arial" w:cs="Arial"/>
          <w:sz w:val="22"/>
          <w:szCs w:val="22"/>
          <w:lang w:bidi="ar"/>
        </w:rPr>
        <w:t>Khan and Ali, 2023)</w:t>
      </w:r>
      <w:r>
        <w:rPr>
          <w:rFonts w:ascii="Arial" w:hAnsi="Arial" w:cs="Arial"/>
          <w:sz w:val="22"/>
          <w:szCs w:val="22"/>
        </w:rPr>
        <w:t xml:space="preserve">. Poor diets increase </w:t>
      </w:r>
      <w:r w:rsidR="002121CD">
        <w:rPr>
          <w:rFonts w:ascii="Arial" w:hAnsi="Arial" w:cs="Arial"/>
          <w:sz w:val="22"/>
          <w:szCs w:val="22"/>
        </w:rPr>
        <w:t>disease susceptibility</w:t>
      </w:r>
      <w:r>
        <w:rPr>
          <w:rFonts w:ascii="Arial" w:hAnsi="Arial" w:cs="Arial"/>
          <w:sz w:val="22"/>
          <w:szCs w:val="22"/>
        </w:rPr>
        <w:t xml:space="preserve">, reduce cognitive development and limit future socioeconomic opportunities. When households operate below the poverty line, dietary choices are often restricted to cheap, energy-dense, but nutrient-poor foods. </w:t>
      </w:r>
    </w:p>
    <w:p w14:paraId="0D5CBFB4"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2.4 Environmental and Housing Conditions</w:t>
      </w:r>
    </w:p>
    <w:p w14:paraId="3A331F14" w14:textId="77777777" w:rsidR="00B96B9F" w:rsidRDefault="00000000">
      <w:pPr>
        <w:spacing w:line="360" w:lineRule="auto"/>
        <w:jc w:val="both"/>
        <w:rPr>
          <w:rFonts w:ascii="Arial" w:hAnsi="Arial" w:cs="Arial"/>
        </w:rPr>
      </w:pPr>
      <w:r>
        <w:rPr>
          <w:rFonts w:ascii="Arial" w:hAnsi="Arial" w:cs="Arial"/>
        </w:rPr>
        <w:t>Poverty frequently forces populations into substandard living conditions characterised by overcrowding, lack of proper sanitation, and exposure to environmental hazards</w:t>
      </w:r>
      <w:r>
        <w:rPr>
          <w:rFonts w:ascii="Arial" w:hAnsi="Arial" w:cs="Arial"/>
          <w:lang w:val="en-US"/>
        </w:rPr>
        <w:t xml:space="preserve"> (</w:t>
      </w:r>
      <w:r>
        <w:rPr>
          <w:rFonts w:ascii="Arial" w:eastAsia="SimSun" w:hAnsi="Arial" w:cs="Arial"/>
          <w:lang w:val="en-US" w:eastAsia="zh-CN" w:bidi="ar"/>
        </w:rPr>
        <w:t>Ifyalem and Jakada, 2023)</w:t>
      </w:r>
      <w:r>
        <w:rPr>
          <w:rFonts w:ascii="Arial" w:hAnsi="Arial" w:cs="Arial"/>
        </w:rPr>
        <w:t>. Slums and informal settlements, often inhabited by the extremely poor, lack safe water sources and waste disposal systems, leading to the rampant spread of waterborne and vector-borne diseases such as cholera, typhoid, and malaria. These conditions exacerbate communicable diseases, respiratory illnesses and stress-related disorders.</w:t>
      </w:r>
    </w:p>
    <w:p w14:paraId="563C0F11" w14:textId="77777777" w:rsidR="00B96B9F" w:rsidRDefault="00000000">
      <w:pPr>
        <w:pStyle w:val="NormalWeb"/>
        <w:spacing w:line="360" w:lineRule="auto"/>
        <w:jc w:val="both"/>
        <w:rPr>
          <w:rFonts w:ascii="Arial" w:hAnsi="Arial" w:cs="Arial"/>
          <w:sz w:val="22"/>
          <w:szCs w:val="22"/>
        </w:rPr>
      </w:pPr>
      <w:r>
        <w:rPr>
          <w:rStyle w:val="Strong"/>
          <w:rFonts w:ascii="Arial" w:hAnsi="Arial" w:cs="Arial"/>
          <w:sz w:val="22"/>
          <w:szCs w:val="22"/>
        </w:rPr>
        <w:t>Together, SDGs 1 and 3 demonstrate that reducing poverty is essential to improving population health and wellbeing.</w:t>
      </w:r>
    </w:p>
    <w:p w14:paraId="2B564336" w14:textId="77777777" w:rsidR="008D1919" w:rsidRDefault="008D1919">
      <w:pPr>
        <w:pStyle w:val="Heading1"/>
        <w:spacing w:line="360" w:lineRule="auto"/>
        <w:jc w:val="both"/>
        <w:rPr>
          <w:rStyle w:val="Strong"/>
          <w:rFonts w:ascii="Arial" w:hAnsi="Arial" w:cs="Arial" w:hint="default"/>
          <w:b/>
          <w:bCs/>
          <w:sz w:val="22"/>
          <w:szCs w:val="22"/>
        </w:rPr>
      </w:pPr>
    </w:p>
    <w:p w14:paraId="591ADFFB" w14:textId="5CD32599" w:rsidR="00B96B9F" w:rsidRDefault="00000000">
      <w:pPr>
        <w:pStyle w:val="Heading1"/>
        <w:spacing w:line="360" w:lineRule="auto"/>
        <w:jc w:val="both"/>
        <w:rPr>
          <w:rFonts w:ascii="Arial" w:hAnsi="Arial" w:cs="Arial" w:hint="default"/>
          <w:sz w:val="22"/>
          <w:szCs w:val="22"/>
        </w:rPr>
      </w:pPr>
      <w:r>
        <w:rPr>
          <w:rStyle w:val="Strong"/>
          <w:rFonts w:ascii="Arial" w:hAnsi="Arial" w:cs="Arial" w:hint="default"/>
          <w:b/>
          <w:bCs/>
          <w:sz w:val="22"/>
          <w:szCs w:val="22"/>
        </w:rPr>
        <w:lastRenderedPageBreak/>
        <w:t>3. Evaluation of National Health, Wellbeing and Sustainability Initiatives in the UK</w:t>
      </w:r>
    </w:p>
    <w:p w14:paraId="770F9418" w14:textId="77777777" w:rsidR="00B96B9F" w:rsidRDefault="00000000">
      <w:pPr>
        <w:pStyle w:val="NormalWeb"/>
        <w:spacing w:line="360" w:lineRule="auto"/>
        <w:jc w:val="both"/>
        <w:rPr>
          <w:rFonts w:ascii="Arial" w:hAnsi="Arial" w:cs="Arial"/>
          <w:sz w:val="22"/>
          <w:szCs w:val="22"/>
        </w:rPr>
      </w:pPr>
      <w:r>
        <w:rPr>
          <w:rFonts w:ascii="Arial" w:hAnsi="Arial" w:cs="Arial"/>
          <w:sz w:val="22"/>
          <w:szCs w:val="22"/>
        </w:rPr>
        <w:t>This section evaluates national initiatives based on effectiveness, coverage and alignment with SDGs.</w:t>
      </w:r>
    </w:p>
    <w:p w14:paraId="1B2065C7" w14:textId="77777777" w:rsidR="00823316" w:rsidRDefault="00823316">
      <w:pPr>
        <w:pStyle w:val="Heading2"/>
        <w:spacing w:line="360" w:lineRule="auto"/>
        <w:jc w:val="both"/>
        <w:rPr>
          <w:rStyle w:val="Strong"/>
          <w:rFonts w:ascii="Arial" w:hAnsi="Arial" w:cs="Arial" w:hint="default"/>
          <w:b/>
          <w:bCs/>
          <w:sz w:val="22"/>
          <w:szCs w:val="22"/>
        </w:rPr>
      </w:pPr>
    </w:p>
    <w:p w14:paraId="2BB15CD9" w14:textId="62596910"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3.1 The NHS Long Term Plan (2019)</w:t>
      </w:r>
    </w:p>
    <w:p w14:paraId="4E43BBAF" w14:textId="77777777" w:rsidR="00B96B9F" w:rsidRDefault="00000000">
      <w:pPr>
        <w:pStyle w:val="NormalWeb"/>
        <w:spacing w:line="360" w:lineRule="auto"/>
        <w:jc w:val="both"/>
        <w:rPr>
          <w:rFonts w:ascii="Arial" w:hAnsi="Arial" w:cs="Arial"/>
          <w:sz w:val="22"/>
          <w:szCs w:val="22"/>
        </w:rPr>
      </w:pPr>
      <w:r>
        <w:rPr>
          <w:rFonts w:ascii="Arial" w:hAnsi="Arial" w:cs="Arial"/>
          <w:sz w:val="22"/>
          <w:szCs w:val="22"/>
        </w:rPr>
        <w:t>The NHS Long Term Plan (2019) sets out a ten-year strategy to improve health outcomes through prevention, stronger mental health services, digital transformation and integrated care. Its strengths include significant investment in mental health, a shift towards early intervention, the introduction of Integrated Care Systems to reduce fragmentation, and enhanced digital access to healthcare. However, the plan faces major barriers (</w:t>
      </w:r>
      <w:r>
        <w:rPr>
          <w:rFonts w:ascii="Arial" w:hAnsi="Arial" w:cs="Arial"/>
          <w:sz w:val="22"/>
          <w:szCs w:val="22"/>
          <w:lang w:bidi="ar"/>
        </w:rPr>
        <w:t>Clark et al., 2023)</w:t>
      </w:r>
      <w:r>
        <w:rPr>
          <w:rFonts w:ascii="Arial" w:hAnsi="Arial" w:cs="Arial"/>
          <w:sz w:val="22"/>
          <w:szCs w:val="22"/>
        </w:rPr>
        <w:t>. Workforce shortages, limited funding relative to rising demand, and persistent weaknesses in social care restrict effective implementation. Regional inequalities also mean progress varies widely across England, while increased reliance on digital services risks excluding vulnerable groups. Overall, the plan is ambitious and progressive but constrained by structural and resource challenges.</w:t>
      </w:r>
    </w:p>
    <w:p w14:paraId="17841406" w14:textId="77777777" w:rsidR="00B96B9F" w:rsidRDefault="00000000">
      <w:pPr>
        <w:pStyle w:val="NormalWeb"/>
        <w:spacing w:line="360" w:lineRule="auto"/>
        <w:jc w:val="both"/>
        <w:rPr>
          <w:rFonts w:ascii="Arial" w:hAnsi="Arial" w:cs="Arial"/>
          <w:sz w:val="22"/>
          <w:szCs w:val="22"/>
        </w:rPr>
      </w:pPr>
      <w:r>
        <w:rPr>
          <w:rFonts w:ascii="Arial" w:hAnsi="Arial" w:cs="Arial"/>
          <w:sz w:val="22"/>
          <w:szCs w:val="22"/>
        </w:rPr>
        <w:t>The plan has improved access to mental health services and introduced personalised care models (</w:t>
      </w:r>
      <w:r>
        <w:rPr>
          <w:rFonts w:ascii="Arial" w:hAnsi="Arial" w:cs="Arial"/>
          <w:sz w:val="22"/>
          <w:szCs w:val="22"/>
          <w:lang w:bidi="ar"/>
        </w:rPr>
        <w:t>Marjanovic et al., 2025)</w:t>
      </w:r>
      <w:r>
        <w:rPr>
          <w:rFonts w:ascii="Arial" w:hAnsi="Arial" w:cs="Arial"/>
          <w:sz w:val="22"/>
          <w:szCs w:val="22"/>
        </w:rPr>
        <w:t>. However, workforce shortages, rising demand and post-pandemic pressures limit implementation. Health inequalities remain persistent, especially in deprived areas.</w:t>
      </w:r>
    </w:p>
    <w:p w14:paraId="4100EFCA"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3.2 The Public Health Outcomes Framework (PHOF)</w:t>
      </w:r>
    </w:p>
    <w:p w14:paraId="5BFBE868" w14:textId="6C3DF1AB" w:rsidR="00B96B9F" w:rsidRDefault="00000000">
      <w:pPr>
        <w:pStyle w:val="Heading2"/>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The Public Health Outcomes Framework (PHOF) provides a national system for monitoring health indicators such as life expectancy, preventable mortality, child development and wider determinants of health. Its main strength is the comprehensive (WHO, 2024a), data-driven approach that helps local authorities identify priorities, reduce inequalities and design targeted interventions. PHOF also promotes accountability and supports evidence-based public health planning. However, it has notable weaknesses. Local implementation varies due to uneven funding and capacity, limiting its effectiveness in deprived areas. Some </w:t>
      </w:r>
      <w:r w:rsidR="00AD3AF1">
        <w:rPr>
          <w:rFonts w:ascii="Arial" w:hAnsi="Arial" w:cs="Arial" w:hint="default"/>
          <w:b w:val="0"/>
          <w:bCs w:val="0"/>
          <w:sz w:val="22"/>
          <w:szCs w:val="22"/>
        </w:rPr>
        <w:t>indicators,</w:t>
      </w:r>
      <w:r>
        <w:rPr>
          <w:rFonts w:ascii="Arial" w:hAnsi="Arial" w:cs="Arial" w:hint="default"/>
          <w:b w:val="0"/>
          <w:bCs w:val="0"/>
          <w:sz w:val="22"/>
          <w:szCs w:val="22"/>
        </w:rPr>
        <w:t xml:space="preserve"> especially around mental health and minority ethnic outcomes</w:t>
      </w:r>
      <w:r w:rsidR="00AD3AF1">
        <w:rPr>
          <w:rFonts w:ascii="Arial" w:hAnsi="Arial" w:cs="Arial" w:hint="default"/>
          <w:b w:val="0"/>
          <w:bCs w:val="0"/>
          <w:sz w:val="22"/>
          <w:szCs w:val="22"/>
        </w:rPr>
        <w:t>,</w:t>
      </w:r>
      <w:r>
        <w:rPr>
          <w:rFonts w:ascii="Arial" w:hAnsi="Arial" w:cs="Arial" w:hint="default"/>
          <w:b w:val="0"/>
          <w:bCs w:val="0"/>
          <w:sz w:val="22"/>
          <w:szCs w:val="22"/>
        </w:rPr>
        <w:t xml:space="preserve"> remain incomplete or inconsistently </w:t>
      </w:r>
      <w:r w:rsidR="004C243E">
        <w:rPr>
          <w:rFonts w:ascii="Arial" w:hAnsi="Arial" w:cs="Arial" w:hint="default"/>
          <w:b w:val="0"/>
          <w:bCs w:val="0"/>
          <w:sz w:val="22"/>
          <w:szCs w:val="22"/>
        </w:rPr>
        <w:t>measured (</w:t>
      </w:r>
      <w:r>
        <w:rPr>
          <w:rFonts w:ascii="Arial" w:hAnsi="Arial" w:cs="Arial" w:hint="default"/>
          <w:b w:val="0"/>
          <w:bCs w:val="0"/>
          <w:sz w:val="22"/>
          <w:szCs w:val="22"/>
        </w:rPr>
        <w:t>WHO, 2024b). Additionally, PHOF provides guidance but lacks enforcement power, meaning improvements depend heavily on local political will and resources. Overall, PHOF is valuable but constrained by data and resource gaps.</w:t>
      </w:r>
    </w:p>
    <w:p w14:paraId="6A0FB751" w14:textId="77777777" w:rsidR="00B96B9F" w:rsidRDefault="00B96B9F">
      <w:pPr>
        <w:rPr>
          <w:rFonts w:ascii="Arial" w:hAnsi="Arial" w:cs="Arial"/>
        </w:rPr>
      </w:pPr>
    </w:p>
    <w:p w14:paraId="77F8A0F3" w14:textId="77777777" w:rsidR="00B96B9F" w:rsidRDefault="00B96B9F">
      <w:pPr>
        <w:rPr>
          <w:rFonts w:ascii="Arial" w:hAnsi="Arial" w:cs="Arial"/>
        </w:rPr>
      </w:pPr>
    </w:p>
    <w:p w14:paraId="3852FA4F" w14:textId="77777777" w:rsidR="00823316" w:rsidRDefault="00823316">
      <w:pPr>
        <w:pStyle w:val="Heading2"/>
        <w:spacing w:line="360" w:lineRule="auto"/>
        <w:jc w:val="both"/>
        <w:rPr>
          <w:rStyle w:val="Strong"/>
          <w:rFonts w:ascii="Arial" w:hAnsi="Arial" w:cs="Arial" w:hint="default"/>
          <w:b/>
          <w:bCs/>
          <w:sz w:val="22"/>
          <w:szCs w:val="22"/>
        </w:rPr>
      </w:pPr>
    </w:p>
    <w:p w14:paraId="18437427" w14:textId="44C44334"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3.3 UK Wellbeing Economy Approach</w:t>
      </w:r>
    </w:p>
    <w:p w14:paraId="3578F9A4" w14:textId="77777777" w:rsidR="002E2F0F" w:rsidRDefault="00000000">
      <w:pPr>
        <w:pStyle w:val="Heading1"/>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The UK Wellbeing Economy Approach promotes a shift from measuring national success </w:t>
      </w:r>
      <w:r w:rsidR="008D1919">
        <w:rPr>
          <w:rFonts w:ascii="Arial" w:hAnsi="Arial" w:cs="Arial" w:hint="default"/>
          <w:b w:val="0"/>
          <w:bCs w:val="0"/>
          <w:sz w:val="22"/>
          <w:szCs w:val="22"/>
        </w:rPr>
        <w:t>solely through economic growth to prioritising health, wellbeing, social equity,</w:t>
      </w:r>
      <w:r>
        <w:rPr>
          <w:rFonts w:ascii="Arial" w:hAnsi="Arial" w:cs="Arial" w:hint="default"/>
          <w:b w:val="0"/>
          <w:bCs w:val="0"/>
          <w:sz w:val="22"/>
          <w:szCs w:val="22"/>
        </w:rPr>
        <w:t xml:space="preserve"> and environmental sustainability (Mesiäislehto et al., 2025). A major strength is its holistic vision, </w:t>
      </w:r>
      <w:r w:rsidR="00AD3AF1">
        <w:rPr>
          <w:rFonts w:ascii="Arial" w:hAnsi="Arial" w:cs="Arial" w:hint="default"/>
          <w:b w:val="0"/>
          <w:bCs w:val="0"/>
          <w:sz w:val="22"/>
          <w:szCs w:val="22"/>
        </w:rPr>
        <w:t>recognising</w:t>
      </w:r>
      <w:r>
        <w:rPr>
          <w:rFonts w:ascii="Arial" w:hAnsi="Arial" w:cs="Arial" w:hint="default"/>
          <w:b w:val="0"/>
          <w:bCs w:val="0"/>
          <w:sz w:val="22"/>
          <w:szCs w:val="22"/>
        </w:rPr>
        <w:t xml:space="preserve"> that economic policy should actively improve </w:t>
      </w:r>
      <w:r w:rsidR="00AD3AF1">
        <w:rPr>
          <w:rFonts w:ascii="Arial" w:hAnsi="Arial" w:cs="Arial" w:hint="default"/>
          <w:b w:val="0"/>
          <w:bCs w:val="0"/>
          <w:sz w:val="22"/>
          <w:szCs w:val="22"/>
        </w:rPr>
        <w:t xml:space="preserve">the </w:t>
      </w:r>
      <w:r>
        <w:rPr>
          <w:rFonts w:ascii="Arial" w:hAnsi="Arial" w:cs="Arial" w:hint="default"/>
          <w:b w:val="0"/>
          <w:bCs w:val="0"/>
          <w:sz w:val="22"/>
          <w:szCs w:val="22"/>
        </w:rPr>
        <w:t xml:space="preserve">quality of life. Wales’ Wellbeing of Future Generations Act and Scotland’s wellbeing budgeting demonstrate practical models that integrate health, environment and social outcomes into decision-making (Gravey et al., 2018). </w:t>
      </w:r>
    </w:p>
    <w:p w14:paraId="6ECBC8F8" w14:textId="7EB9B59B" w:rsidR="00B96B9F" w:rsidRDefault="00000000">
      <w:pPr>
        <w:pStyle w:val="Heading1"/>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The approach also encourages long-term planning and cross-sector collaboration. However, weaknesses include inconsistent adoption across the UK, with England lacking a unified wellbeing framework. To </w:t>
      </w:r>
      <w:r>
        <w:rPr>
          <w:rFonts w:ascii="Arial" w:hAnsi="Arial" w:cs="Arial" w:hint="default"/>
          <w:b w:val="0"/>
          <w:bCs w:val="0"/>
          <w:kern w:val="0"/>
          <w:sz w:val="22"/>
          <w:szCs w:val="22"/>
          <w:lang w:bidi="ar"/>
        </w:rPr>
        <w:t>Clark et al. (2018), f</w:t>
      </w:r>
      <w:r>
        <w:rPr>
          <w:rFonts w:ascii="Arial" w:hAnsi="Arial" w:cs="Arial" w:hint="default"/>
          <w:b w:val="0"/>
          <w:bCs w:val="0"/>
          <w:sz w:val="22"/>
          <w:szCs w:val="22"/>
        </w:rPr>
        <w:t>unding pressures and traditional economic priorities often limit implementation, while public awareness remains low. As a result, the vision is progressive but unevenly applied and difficult to operationalise nationally.</w:t>
      </w:r>
    </w:p>
    <w:p w14:paraId="1AE9B2E7" w14:textId="77777777" w:rsidR="00B96B9F" w:rsidRDefault="00000000">
      <w:pPr>
        <w:pStyle w:val="Heading1"/>
        <w:spacing w:line="360" w:lineRule="auto"/>
        <w:jc w:val="both"/>
        <w:rPr>
          <w:rFonts w:ascii="Arial" w:hAnsi="Arial" w:cs="Arial" w:hint="default"/>
          <w:sz w:val="22"/>
          <w:szCs w:val="22"/>
        </w:rPr>
      </w:pPr>
      <w:r>
        <w:rPr>
          <w:rStyle w:val="Strong"/>
          <w:rFonts w:ascii="Arial" w:hAnsi="Arial" w:cs="Arial" w:hint="default"/>
          <w:b/>
          <w:bCs/>
          <w:sz w:val="22"/>
          <w:szCs w:val="22"/>
        </w:rPr>
        <w:t>4. Evaluation of Local Wellbeing and Sustainability Initiatives</w:t>
      </w:r>
    </w:p>
    <w:p w14:paraId="12811579" w14:textId="08447C5F" w:rsidR="00B96B9F" w:rsidRDefault="00000000">
      <w:pPr>
        <w:pStyle w:val="NormalWeb"/>
        <w:spacing w:line="360" w:lineRule="auto"/>
        <w:jc w:val="both"/>
        <w:rPr>
          <w:rFonts w:ascii="Arial" w:hAnsi="Arial" w:cs="Arial"/>
          <w:sz w:val="22"/>
          <w:szCs w:val="22"/>
        </w:rPr>
      </w:pPr>
      <w:r>
        <w:rPr>
          <w:rFonts w:ascii="Arial" w:hAnsi="Arial" w:cs="Arial"/>
          <w:sz w:val="22"/>
          <w:szCs w:val="22"/>
        </w:rPr>
        <w:t xml:space="preserve">Local authorities deliver health and </w:t>
      </w:r>
      <w:r w:rsidR="00E832BB">
        <w:rPr>
          <w:rFonts w:ascii="Arial" w:hAnsi="Arial" w:cs="Arial"/>
          <w:sz w:val="22"/>
          <w:szCs w:val="22"/>
        </w:rPr>
        <w:t>well-being</w:t>
      </w:r>
      <w:r>
        <w:rPr>
          <w:rFonts w:ascii="Arial" w:hAnsi="Arial" w:cs="Arial"/>
          <w:sz w:val="22"/>
          <w:szCs w:val="22"/>
        </w:rPr>
        <w:t xml:space="preserve"> services through integrated care systems (ICS), public health departments and community partnerships.</w:t>
      </w:r>
    </w:p>
    <w:p w14:paraId="7D21765B"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4.1 Local Authority Public Health Programmes</w:t>
      </w:r>
    </w:p>
    <w:p w14:paraId="07C67221" w14:textId="3213520A" w:rsidR="00B96B9F" w:rsidRDefault="00000000">
      <w:pPr>
        <w:pStyle w:val="Heading2"/>
        <w:spacing w:line="360" w:lineRule="auto"/>
        <w:jc w:val="both"/>
        <w:rPr>
          <w:rFonts w:ascii="Arial" w:hAnsi="Arial" w:cs="Arial" w:hint="default"/>
          <w:b w:val="0"/>
          <w:bCs w:val="0"/>
          <w:sz w:val="22"/>
          <w:szCs w:val="22"/>
        </w:rPr>
      </w:pPr>
      <w:r>
        <w:rPr>
          <w:rFonts w:ascii="Arial" w:hAnsi="Arial" w:cs="Arial" w:hint="default"/>
          <w:b w:val="0"/>
          <w:bCs w:val="0"/>
          <w:sz w:val="22"/>
          <w:szCs w:val="22"/>
        </w:rPr>
        <w:t>Local authority public health programmes provide essential community services such as smoking cessation support, weight management, vaccination outreach, mental health initiatives and environmental health inspections (</w:t>
      </w:r>
      <w:r>
        <w:rPr>
          <w:rFonts w:ascii="Arial" w:hAnsi="Arial" w:cs="Arial" w:hint="default"/>
          <w:b w:val="0"/>
          <w:bCs w:val="0"/>
          <w:sz w:val="22"/>
          <w:szCs w:val="22"/>
          <w:lang w:bidi="ar"/>
        </w:rPr>
        <w:t>White et al., 2018)</w:t>
      </w:r>
      <w:r>
        <w:rPr>
          <w:rFonts w:ascii="Arial" w:hAnsi="Arial" w:cs="Arial" w:hint="default"/>
          <w:b w:val="0"/>
          <w:bCs w:val="0"/>
          <w:sz w:val="22"/>
          <w:szCs w:val="22"/>
        </w:rPr>
        <w:t xml:space="preserve">. Their main strength is their locally tailored approach, allowing councils to address community-specific health needs and reduce inequalities. </w:t>
      </w:r>
      <w:proofErr w:type="spellStart"/>
      <w:r>
        <w:rPr>
          <w:rFonts w:ascii="Arial" w:hAnsi="Arial" w:cs="Arial" w:hint="default"/>
          <w:b w:val="0"/>
          <w:bCs w:val="0"/>
          <w:sz w:val="22"/>
          <w:szCs w:val="22"/>
        </w:rPr>
        <w:t>Programmes</w:t>
      </w:r>
      <w:proofErr w:type="spellEnd"/>
      <w:r>
        <w:rPr>
          <w:rFonts w:ascii="Arial" w:hAnsi="Arial" w:cs="Arial" w:hint="default"/>
          <w:b w:val="0"/>
          <w:bCs w:val="0"/>
          <w:sz w:val="22"/>
          <w:szCs w:val="22"/>
        </w:rPr>
        <w:t xml:space="preserve"> </w:t>
      </w:r>
      <w:r w:rsidR="00E61B78">
        <w:rPr>
          <w:rFonts w:ascii="Arial" w:hAnsi="Arial" w:cs="Arial" w:hint="default"/>
          <w:b w:val="0"/>
          <w:bCs w:val="0"/>
          <w:sz w:val="22"/>
          <w:szCs w:val="22"/>
        </w:rPr>
        <w:t>such as</w:t>
      </w:r>
      <w:r>
        <w:rPr>
          <w:rFonts w:ascii="Arial" w:hAnsi="Arial" w:cs="Arial" w:hint="default"/>
          <w:b w:val="0"/>
          <w:bCs w:val="0"/>
          <w:sz w:val="22"/>
          <w:szCs w:val="22"/>
        </w:rPr>
        <w:t xml:space="preserve"> social prescribing and wellbeing hubs also improve mental health and lessen pressure on primary care (</w:t>
      </w:r>
      <w:r>
        <w:rPr>
          <w:rFonts w:ascii="Arial" w:hAnsi="Arial" w:cs="Arial" w:hint="default"/>
          <w:b w:val="0"/>
          <w:bCs w:val="0"/>
          <w:sz w:val="22"/>
          <w:szCs w:val="22"/>
          <w:lang w:bidi="ar"/>
        </w:rPr>
        <w:t>Aughterson, 2022)</w:t>
      </w:r>
      <w:r>
        <w:rPr>
          <w:rFonts w:ascii="Arial" w:hAnsi="Arial" w:cs="Arial" w:hint="default"/>
          <w:b w:val="0"/>
          <w:bCs w:val="0"/>
          <w:sz w:val="22"/>
          <w:szCs w:val="22"/>
        </w:rPr>
        <w:t>. However, these services face major challenges, including significant budget cuts, workforce shortages and uneven capacity across regions, leading to inconsistent service quality. Despite these constraints, local public health programmes remain vital for prevention, early intervention and improving population wellbeing.</w:t>
      </w:r>
    </w:p>
    <w:p w14:paraId="52C3B335" w14:textId="77777777" w:rsidR="00823316" w:rsidRDefault="00823316">
      <w:pPr>
        <w:pStyle w:val="Heading2"/>
        <w:spacing w:line="360" w:lineRule="auto"/>
        <w:jc w:val="both"/>
        <w:rPr>
          <w:rStyle w:val="Strong"/>
          <w:rFonts w:ascii="Arial" w:hAnsi="Arial" w:cs="Arial" w:hint="default"/>
          <w:b/>
          <w:bCs/>
          <w:sz w:val="22"/>
          <w:szCs w:val="22"/>
        </w:rPr>
      </w:pPr>
    </w:p>
    <w:p w14:paraId="0B1319F5" w14:textId="77777777" w:rsidR="00823316" w:rsidRDefault="00823316">
      <w:pPr>
        <w:pStyle w:val="Heading2"/>
        <w:spacing w:line="360" w:lineRule="auto"/>
        <w:jc w:val="both"/>
        <w:rPr>
          <w:rStyle w:val="Strong"/>
          <w:rFonts w:ascii="Arial" w:hAnsi="Arial" w:cs="Arial" w:hint="default"/>
          <w:b/>
          <w:bCs/>
          <w:sz w:val="22"/>
          <w:szCs w:val="22"/>
        </w:rPr>
      </w:pPr>
    </w:p>
    <w:p w14:paraId="63151335" w14:textId="38BECEDF"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4.2 Integrated Care Systems (ICS)</w:t>
      </w:r>
    </w:p>
    <w:p w14:paraId="3A8ED370" w14:textId="1910B3C8" w:rsidR="00B96B9F" w:rsidRDefault="00000000">
      <w:pPr>
        <w:pStyle w:val="NormalWeb"/>
        <w:spacing w:line="360" w:lineRule="auto"/>
        <w:jc w:val="both"/>
        <w:rPr>
          <w:rFonts w:ascii="Arial" w:hAnsi="Arial" w:cs="Arial"/>
          <w:sz w:val="22"/>
          <w:szCs w:val="22"/>
        </w:rPr>
      </w:pPr>
      <w:r>
        <w:rPr>
          <w:rFonts w:ascii="Arial" w:hAnsi="Arial" w:cs="Arial"/>
          <w:sz w:val="22"/>
          <w:szCs w:val="22"/>
        </w:rPr>
        <w:t xml:space="preserve">ICSs bring together NHS, public health and local councils to coordinate care. Improved coordination between health and social care; Better focus on prevention and inequalities; and </w:t>
      </w:r>
      <w:r w:rsidR="00823316">
        <w:rPr>
          <w:rFonts w:ascii="Arial" w:hAnsi="Arial" w:cs="Arial"/>
          <w:sz w:val="22"/>
          <w:szCs w:val="22"/>
        </w:rPr>
        <w:t>increased</w:t>
      </w:r>
      <w:r>
        <w:rPr>
          <w:rFonts w:ascii="Arial" w:hAnsi="Arial" w:cs="Arial"/>
          <w:sz w:val="22"/>
          <w:szCs w:val="22"/>
        </w:rPr>
        <w:t xml:space="preserve"> community participation have been identified as its </w:t>
      </w:r>
      <w:r w:rsidR="00823316">
        <w:rPr>
          <w:rFonts w:ascii="Arial" w:hAnsi="Arial" w:cs="Arial"/>
          <w:sz w:val="22"/>
          <w:szCs w:val="22"/>
        </w:rPr>
        <w:t>strengths</w:t>
      </w:r>
      <w:r>
        <w:rPr>
          <w:rFonts w:ascii="Arial" w:hAnsi="Arial" w:cs="Arial"/>
          <w:sz w:val="22"/>
          <w:szCs w:val="22"/>
        </w:rPr>
        <w:t xml:space="preserve"> (</w:t>
      </w:r>
      <w:r>
        <w:rPr>
          <w:rFonts w:ascii="Arial" w:hAnsi="Arial" w:cs="Arial"/>
          <w:sz w:val="22"/>
          <w:szCs w:val="22"/>
          <w:lang w:bidi="ar"/>
        </w:rPr>
        <w:t>Buckingham et al., 2023)</w:t>
      </w:r>
      <w:r w:rsidR="00823316">
        <w:rPr>
          <w:rFonts w:ascii="Arial" w:hAnsi="Arial" w:cs="Arial"/>
          <w:sz w:val="22"/>
          <w:szCs w:val="22"/>
          <w:lang w:bidi="ar"/>
        </w:rPr>
        <w:t>,</w:t>
      </w:r>
      <w:r>
        <w:rPr>
          <w:rFonts w:ascii="Arial" w:hAnsi="Arial" w:cs="Arial"/>
          <w:sz w:val="22"/>
          <w:szCs w:val="22"/>
        </w:rPr>
        <w:t xml:space="preserve"> while variability in resource allocation across regions</w:t>
      </w:r>
      <w:r w:rsidR="005F51E0">
        <w:rPr>
          <w:rFonts w:ascii="Arial" w:hAnsi="Arial" w:cs="Arial"/>
          <w:sz w:val="22"/>
          <w:szCs w:val="22"/>
        </w:rPr>
        <w:t>,</w:t>
      </w:r>
      <w:r>
        <w:rPr>
          <w:rFonts w:ascii="Arial" w:hAnsi="Arial" w:cs="Arial"/>
          <w:sz w:val="22"/>
          <w:szCs w:val="22"/>
        </w:rPr>
        <w:t xml:space="preserve"> operational complexity and limited ability to address housing and income inequalities without stronger central support </w:t>
      </w:r>
      <w:r w:rsidR="005F51E0">
        <w:rPr>
          <w:rFonts w:ascii="Arial" w:hAnsi="Arial" w:cs="Arial"/>
          <w:sz w:val="22"/>
          <w:szCs w:val="22"/>
        </w:rPr>
        <w:t>limit</w:t>
      </w:r>
      <w:r>
        <w:rPr>
          <w:rFonts w:ascii="Arial" w:hAnsi="Arial" w:cs="Arial"/>
          <w:sz w:val="22"/>
          <w:szCs w:val="22"/>
        </w:rPr>
        <w:t xml:space="preserve"> its effectiveness (Sun et al., 2024).</w:t>
      </w:r>
    </w:p>
    <w:p w14:paraId="14523AD8" w14:textId="77777777" w:rsidR="00B96B9F" w:rsidRDefault="00000000">
      <w:pPr>
        <w:pStyle w:val="Heading1"/>
        <w:spacing w:line="360" w:lineRule="auto"/>
        <w:jc w:val="both"/>
        <w:rPr>
          <w:rFonts w:ascii="Arial" w:hAnsi="Arial" w:cs="Arial" w:hint="default"/>
          <w:sz w:val="22"/>
          <w:szCs w:val="22"/>
        </w:rPr>
      </w:pPr>
      <w:r>
        <w:rPr>
          <w:rStyle w:val="Strong"/>
          <w:rFonts w:ascii="Arial" w:hAnsi="Arial" w:cs="Arial" w:hint="default"/>
          <w:b/>
          <w:bCs/>
          <w:sz w:val="22"/>
          <w:szCs w:val="22"/>
        </w:rPr>
        <w:t>5. Recommendations for Policy Improvement</w:t>
      </w:r>
    </w:p>
    <w:p w14:paraId="31A82B10"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5.1 Strengthen Integration of SDG 1 and SDG 3</w:t>
      </w:r>
    </w:p>
    <w:p w14:paraId="1B88E04D" w14:textId="6202DB42" w:rsidR="00B96B9F" w:rsidRDefault="002121CD">
      <w:pPr>
        <w:pStyle w:val="Heading2"/>
        <w:spacing w:line="360" w:lineRule="auto"/>
        <w:jc w:val="both"/>
        <w:rPr>
          <w:rFonts w:ascii="Arial" w:hAnsi="Arial" w:cs="Arial" w:hint="default"/>
          <w:b w:val="0"/>
          <w:bCs w:val="0"/>
          <w:sz w:val="22"/>
          <w:szCs w:val="22"/>
          <w:lang w:bidi="ar"/>
        </w:rPr>
      </w:pPr>
      <w:r>
        <w:rPr>
          <w:rFonts w:ascii="Arial" w:hAnsi="Arial" w:cs="Arial" w:hint="default"/>
          <w:b w:val="0"/>
          <w:bCs w:val="0"/>
          <w:sz w:val="22"/>
          <w:szCs w:val="22"/>
        </w:rPr>
        <w:t xml:space="preserve">According to </w:t>
      </w:r>
      <w:r>
        <w:rPr>
          <w:rFonts w:ascii="Arial" w:hAnsi="Arial" w:cs="Arial" w:hint="default"/>
          <w:b w:val="0"/>
          <w:bCs w:val="0"/>
          <w:sz w:val="22"/>
          <w:szCs w:val="22"/>
          <w:lang w:bidi="ar"/>
        </w:rPr>
        <w:t>Khan (2024) and Venkatesh (2022), the policies should tackle poverty and health together by expanding social protection, raising minimum income levels to meet living standards, and integrating poverty screening into routine healthcare.</w:t>
      </w:r>
    </w:p>
    <w:p w14:paraId="6D11BB7E"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5.2 Expand Preventive Health Strategies</w:t>
      </w:r>
    </w:p>
    <w:p w14:paraId="5C52C297" w14:textId="75D2684D" w:rsidR="00B96B9F" w:rsidRDefault="00000000">
      <w:pPr>
        <w:pStyle w:val="Heading2"/>
        <w:spacing w:line="360" w:lineRule="auto"/>
        <w:jc w:val="both"/>
        <w:rPr>
          <w:rFonts w:ascii="Arial" w:hAnsi="Arial" w:cs="Arial" w:hint="default"/>
          <w:sz w:val="22"/>
          <w:szCs w:val="22"/>
        </w:rPr>
      </w:pPr>
      <w:r>
        <w:rPr>
          <w:rFonts w:ascii="Arial" w:hAnsi="Arial" w:cs="Arial" w:hint="default"/>
          <w:b w:val="0"/>
          <w:bCs w:val="0"/>
          <w:sz w:val="22"/>
          <w:szCs w:val="22"/>
        </w:rPr>
        <w:t xml:space="preserve">Strengthen preventive health by investing in early intervention for NCDs and mental health, restoring and expanding local public health funding, and enforcing mandatory healthy food standards in schools and </w:t>
      </w:r>
      <w:r w:rsidR="00E832BB">
        <w:rPr>
          <w:rFonts w:ascii="Arial" w:hAnsi="Arial" w:cs="Arial" w:hint="default"/>
          <w:b w:val="0"/>
          <w:bCs w:val="0"/>
          <w:sz w:val="22"/>
          <w:szCs w:val="22"/>
        </w:rPr>
        <w:t>workplaces (</w:t>
      </w:r>
      <w:r>
        <w:rPr>
          <w:rFonts w:ascii="Arial" w:hAnsi="Arial" w:cs="Arial" w:hint="default"/>
          <w:b w:val="0"/>
          <w:bCs w:val="0"/>
          <w:sz w:val="22"/>
          <w:szCs w:val="22"/>
        </w:rPr>
        <w:t>WHO, 2024c)</w:t>
      </w:r>
      <w:r>
        <w:rPr>
          <w:rFonts w:ascii="Arial" w:hAnsi="Arial" w:cs="Arial" w:hint="default"/>
          <w:sz w:val="22"/>
          <w:szCs w:val="22"/>
        </w:rPr>
        <w:t>.</w:t>
      </w:r>
    </w:p>
    <w:p w14:paraId="6DFFF165"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5.3 Enhance Local Authority Capacity</w:t>
      </w:r>
    </w:p>
    <w:p w14:paraId="0EDCA808" w14:textId="77777777" w:rsidR="00B96B9F" w:rsidRDefault="00000000">
      <w:pPr>
        <w:pStyle w:val="Heading2"/>
        <w:spacing w:line="360" w:lineRule="auto"/>
        <w:jc w:val="both"/>
        <w:rPr>
          <w:rFonts w:ascii="Arial" w:hAnsi="Arial" w:cs="Arial" w:hint="default"/>
          <w:b w:val="0"/>
          <w:bCs w:val="0"/>
          <w:sz w:val="22"/>
          <w:szCs w:val="22"/>
        </w:rPr>
      </w:pPr>
      <w:r>
        <w:rPr>
          <w:rFonts w:ascii="Arial" w:hAnsi="Arial" w:cs="Arial" w:hint="default"/>
          <w:b w:val="0"/>
          <w:bCs w:val="0"/>
          <w:sz w:val="22"/>
          <w:szCs w:val="22"/>
        </w:rPr>
        <w:t>Ensure long-term public health funding for councils, enforce housing standards to reduce environmental risks, and expand social prescribing networks in underserved communities to support local populations (</w:t>
      </w:r>
      <w:r>
        <w:rPr>
          <w:rFonts w:ascii="Arial" w:hAnsi="Arial" w:cs="Arial" w:hint="default"/>
          <w:b w:val="0"/>
          <w:bCs w:val="0"/>
          <w:sz w:val="22"/>
          <w:szCs w:val="22"/>
          <w:lang w:bidi="ar"/>
        </w:rPr>
        <w:t>Yadav et al., 2024)</w:t>
      </w:r>
      <w:r>
        <w:rPr>
          <w:rFonts w:ascii="Arial" w:hAnsi="Arial" w:cs="Arial" w:hint="default"/>
          <w:b w:val="0"/>
          <w:bCs w:val="0"/>
          <w:sz w:val="22"/>
          <w:szCs w:val="22"/>
        </w:rPr>
        <w:t>.</w:t>
      </w:r>
    </w:p>
    <w:p w14:paraId="4226E398" w14:textId="77777777"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t>5.4 Strengthen Wellbeing Economy Implementation</w:t>
      </w:r>
    </w:p>
    <w:p w14:paraId="68F609E5" w14:textId="77777777" w:rsidR="00B96B9F" w:rsidRDefault="00000000">
      <w:pPr>
        <w:pStyle w:val="NormalWeb"/>
        <w:spacing w:line="360" w:lineRule="auto"/>
        <w:jc w:val="both"/>
        <w:rPr>
          <w:rFonts w:ascii="Arial" w:hAnsi="Arial" w:cs="Arial"/>
          <w:sz w:val="22"/>
          <w:szCs w:val="22"/>
        </w:rPr>
      </w:pPr>
      <w:r>
        <w:rPr>
          <w:rStyle w:val="Strong"/>
          <w:rFonts w:ascii="Arial" w:hAnsi="Arial" w:cs="Arial"/>
          <w:b w:val="0"/>
          <w:bCs w:val="0"/>
          <w:sz w:val="22"/>
          <w:szCs w:val="22"/>
        </w:rPr>
        <w:t>Establish a national wellbeing budget, integrate wellbeing indicators into fiscal planning, and strengthen community participation in shaping wellbeing priorities across England (WHO, 2025).</w:t>
      </w:r>
    </w:p>
    <w:p w14:paraId="4EF0DC4A" w14:textId="77777777" w:rsidR="00E61B78" w:rsidRDefault="00E61B78">
      <w:pPr>
        <w:pStyle w:val="Heading2"/>
        <w:spacing w:line="360" w:lineRule="auto"/>
        <w:jc w:val="both"/>
        <w:rPr>
          <w:rStyle w:val="Strong"/>
          <w:rFonts w:ascii="Arial" w:hAnsi="Arial" w:cs="Arial" w:hint="default"/>
          <w:b/>
          <w:bCs/>
          <w:sz w:val="22"/>
          <w:szCs w:val="22"/>
        </w:rPr>
      </w:pPr>
    </w:p>
    <w:p w14:paraId="73622719" w14:textId="77777777" w:rsidR="00E61B78" w:rsidRDefault="00E61B78">
      <w:pPr>
        <w:pStyle w:val="Heading2"/>
        <w:spacing w:line="360" w:lineRule="auto"/>
        <w:jc w:val="both"/>
        <w:rPr>
          <w:rStyle w:val="Strong"/>
          <w:rFonts w:ascii="Arial" w:hAnsi="Arial" w:cs="Arial" w:hint="default"/>
          <w:b/>
          <w:bCs/>
          <w:sz w:val="22"/>
          <w:szCs w:val="22"/>
        </w:rPr>
      </w:pPr>
    </w:p>
    <w:p w14:paraId="41E68190" w14:textId="093FE5DE" w:rsidR="00B96B9F" w:rsidRDefault="00000000">
      <w:pPr>
        <w:pStyle w:val="Heading2"/>
        <w:spacing w:line="360" w:lineRule="auto"/>
        <w:jc w:val="both"/>
        <w:rPr>
          <w:rFonts w:ascii="Arial" w:hAnsi="Arial" w:cs="Arial" w:hint="default"/>
          <w:sz w:val="22"/>
          <w:szCs w:val="22"/>
        </w:rPr>
      </w:pPr>
      <w:r>
        <w:rPr>
          <w:rStyle w:val="Strong"/>
          <w:rFonts w:ascii="Arial" w:hAnsi="Arial" w:cs="Arial" w:hint="default"/>
          <w:b/>
          <w:bCs/>
          <w:sz w:val="22"/>
          <w:szCs w:val="22"/>
        </w:rPr>
        <w:lastRenderedPageBreak/>
        <w:t>5.5 Improve Data and Monitoring</w:t>
      </w:r>
    </w:p>
    <w:p w14:paraId="43055651" w14:textId="36996B2A" w:rsidR="00B96B9F" w:rsidRDefault="00000000">
      <w:pPr>
        <w:pStyle w:val="NormalWeb"/>
        <w:spacing w:line="360" w:lineRule="auto"/>
        <w:jc w:val="both"/>
        <w:rPr>
          <w:rFonts w:ascii="Arial" w:hAnsi="Arial" w:cs="Arial"/>
          <w:sz w:val="22"/>
          <w:szCs w:val="22"/>
        </w:rPr>
      </w:pPr>
      <w:r>
        <w:rPr>
          <w:rStyle w:val="Strong"/>
          <w:rFonts w:ascii="Arial" w:hAnsi="Arial" w:cs="Arial"/>
          <w:b w:val="0"/>
          <w:bCs w:val="0"/>
          <w:sz w:val="22"/>
          <w:szCs w:val="22"/>
        </w:rPr>
        <w:t xml:space="preserve">According to the </w:t>
      </w:r>
      <w:r>
        <w:rPr>
          <w:rFonts w:ascii="Arial" w:hAnsi="Arial" w:cs="Arial"/>
          <w:sz w:val="22"/>
          <w:szCs w:val="22"/>
          <w:lang w:bidi="ar"/>
        </w:rPr>
        <w:t xml:space="preserve">World Health </w:t>
      </w:r>
      <w:r w:rsidR="002121CD">
        <w:rPr>
          <w:rFonts w:ascii="Arial" w:hAnsi="Arial" w:cs="Arial"/>
          <w:sz w:val="22"/>
          <w:szCs w:val="22"/>
          <w:lang w:bidi="ar"/>
        </w:rPr>
        <w:t>Organisation</w:t>
      </w:r>
      <w:r>
        <w:rPr>
          <w:rFonts w:ascii="Arial" w:hAnsi="Arial" w:cs="Arial"/>
          <w:sz w:val="22"/>
          <w:szCs w:val="22"/>
          <w:lang w:bidi="ar"/>
        </w:rPr>
        <w:t xml:space="preserve"> and United Nations Children's Fund (2021), s</w:t>
      </w:r>
      <w:r>
        <w:rPr>
          <w:rStyle w:val="Strong"/>
          <w:rFonts w:ascii="Arial" w:hAnsi="Arial" w:cs="Arial"/>
          <w:b w:val="0"/>
          <w:bCs w:val="0"/>
          <w:sz w:val="22"/>
          <w:szCs w:val="22"/>
        </w:rPr>
        <w:t>trengthen public health accountability by expanding mental health and ethnic minority data in the PHOF, requiring annual local wellbeing impact reports, and improving transparency in ICS performance reporting.</w:t>
      </w:r>
    </w:p>
    <w:p w14:paraId="3ECD3592" w14:textId="77777777" w:rsidR="00B96B9F" w:rsidRDefault="00B96B9F">
      <w:pPr>
        <w:pStyle w:val="Heading1"/>
        <w:spacing w:line="360" w:lineRule="auto"/>
        <w:jc w:val="both"/>
        <w:rPr>
          <w:rStyle w:val="Strong"/>
          <w:rFonts w:ascii="Arial" w:hAnsi="Arial" w:cs="Arial" w:hint="default"/>
          <w:b/>
          <w:bCs/>
          <w:sz w:val="22"/>
          <w:szCs w:val="22"/>
        </w:rPr>
      </w:pPr>
    </w:p>
    <w:p w14:paraId="60F8D305" w14:textId="77777777" w:rsidR="00823316" w:rsidRDefault="00823316">
      <w:pPr>
        <w:pStyle w:val="Heading1"/>
        <w:spacing w:line="360" w:lineRule="auto"/>
        <w:jc w:val="both"/>
        <w:rPr>
          <w:rStyle w:val="Strong"/>
          <w:rFonts w:ascii="Arial" w:hAnsi="Arial" w:cs="Arial" w:hint="default"/>
          <w:b/>
          <w:bCs/>
          <w:sz w:val="22"/>
          <w:szCs w:val="22"/>
        </w:rPr>
      </w:pPr>
    </w:p>
    <w:p w14:paraId="618CFB34" w14:textId="30CDC484" w:rsidR="00B96B9F" w:rsidRDefault="00000000">
      <w:pPr>
        <w:pStyle w:val="Heading1"/>
        <w:spacing w:line="360" w:lineRule="auto"/>
        <w:jc w:val="both"/>
        <w:rPr>
          <w:rFonts w:ascii="Arial" w:hAnsi="Arial" w:cs="Arial" w:hint="default"/>
          <w:sz w:val="22"/>
          <w:szCs w:val="22"/>
        </w:rPr>
      </w:pPr>
      <w:r>
        <w:rPr>
          <w:rStyle w:val="Strong"/>
          <w:rFonts w:ascii="Arial" w:hAnsi="Arial" w:cs="Arial" w:hint="default"/>
          <w:b/>
          <w:bCs/>
          <w:sz w:val="22"/>
          <w:szCs w:val="22"/>
        </w:rPr>
        <w:t>Conclusion</w:t>
      </w:r>
    </w:p>
    <w:p w14:paraId="30B1D4DA" w14:textId="47F8E79C" w:rsidR="00E61B78" w:rsidRDefault="00000000">
      <w:pPr>
        <w:pStyle w:val="NormalWeb"/>
        <w:spacing w:line="360" w:lineRule="auto"/>
        <w:jc w:val="both"/>
        <w:rPr>
          <w:rFonts w:ascii="Arial" w:hAnsi="Arial" w:cs="Arial"/>
          <w:sz w:val="22"/>
          <w:szCs w:val="22"/>
          <w:lang w:bidi="ar"/>
        </w:rPr>
      </w:pPr>
      <w:r>
        <w:rPr>
          <w:rFonts w:ascii="Arial" w:hAnsi="Arial" w:cs="Arial"/>
          <w:sz w:val="22"/>
          <w:szCs w:val="22"/>
        </w:rPr>
        <w:t xml:space="preserve">SDG 3 and SDG 1 highlight the global recognition that good health and </w:t>
      </w:r>
      <w:r w:rsidR="002121CD">
        <w:rPr>
          <w:rFonts w:ascii="Arial" w:hAnsi="Arial" w:cs="Arial"/>
          <w:sz w:val="22"/>
          <w:szCs w:val="22"/>
        </w:rPr>
        <w:t>well-being</w:t>
      </w:r>
      <w:r>
        <w:rPr>
          <w:rFonts w:ascii="Arial" w:hAnsi="Arial" w:cs="Arial"/>
          <w:sz w:val="22"/>
          <w:szCs w:val="22"/>
        </w:rPr>
        <w:t xml:space="preserve"> are inseparable from social and economic conditions (</w:t>
      </w:r>
      <w:r>
        <w:rPr>
          <w:rFonts w:ascii="Arial" w:hAnsi="Arial" w:cs="Arial"/>
          <w:sz w:val="22"/>
          <w:szCs w:val="22"/>
          <w:lang w:bidi="ar"/>
        </w:rPr>
        <w:t>Venkatesh, 2022)</w:t>
      </w:r>
      <w:r>
        <w:rPr>
          <w:rFonts w:ascii="Arial" w:hAnsi="Arial" w:cs="Arial"/>
          <w:sz w:val="22"/>
          <w:szCs w:val="22"/>
        </w:rPr>
        <w:t xml:space="preserve">. Reducing poverty, improving living standards, and strengthening health systems are essential for sustainable </w:t>
      </w:r>
      <w:r w:rsidR="00E61B78">
        <w:rPr>
          <w:rFonts w:ascii="Arial" w:hAnsi="Arial" w:cs="Arial"/>
          <w:sz w:val="22"/>
          <w:szCs w:val="22"/>
        </w:rPr>
        <w:t>well-being</w:t>
      </w:r>
      <w:r>
        <w:rPr>
          <w:rFonts w:ascii="Arial" w:hAnsi="Arial" w:cs="Arial"/>
          <w:sz w:val="22"/>
          <w:szCs w:val="22"/>
        </w:rPr>
        <w:t xml:space="preserve">. In the UK, national policies such as the NHS Long Term </w:t>
      </w:r>
      <w:r w:rsidR="00E61B78">
        <w:rPr>
          <w:rFonts w:ascii="Arial" w:hAnsi="Arial" w:cs="Arial"/>
          <w:sz w:val="22"/>
          <w:szCs w:val="22"/>
        </w:rPr>
        <w:t>Plan</w:t>
      </w:r>
      <w:r>
        <w:rPr>
          <w:rFonts w:ascii="Arial" w:hAnsi="Arial" w:cs="Arial"/>
          <w:sz w:val="22"/>
          <w:szCs w:val="22"/>
        </w:rPr>
        <w:t xml:space="preserve"> and </w:t>
      </w:r>
      <w:r w:rsidR="00E61B78">
        <w:rPr>
          <w:rFonts w:ascii="Arial" w:hAnsi="Arial" w:cs="Arial"/>
          <w:sz w:val="22"/>
          <w:szCs w:val="22"/>
        </w:rPr>
        <w:t>well-being</w:t>
      </w:r>
      <w:r>
        <w:rPr>
          <w:rFonts w:ascii="Arial" w:hAnsi="Arial" w:cs="Arial"/>
          <w:sz w:val="22"/>
          <w:szCs w:val="22"/>
        </w:rPr>
        <w:t>-focused frameworks demonstrate progress (</w:t>
      </w:r>
      <w:r>
        <w:rPr>
          <w:rFonts w:ascii="Arial" w:hAnsi="Arial" w:cs="Arial"/>
          <w:sz w:val="22"/>
          <w:szCs w:val="22"/>
          <w:lang w:bidi="ar"/>
        </w:rPr>
        <w:t>Bundhoo et al., 2025)</w:t>
      </w:r>
      <w:r w:rsidR="00E61B78">
        <w:rPr>
          <w:rFonts w:ascii="Arial" w:hAnsi="Arial" w:cs="Arial"/>
          <w:sz w:val="22"/>
          <w:szCs w:val="22"/>
          <w:lang w:bidi="ar"/>
        </w:rPr>
        <w:t>.</w:t>
      </w:r>
    </w:p>
    <w:p w14:paraId="788DD992" w14:textId="783BFEFB" w:rsidR="00B96B9F" w:rsidRDefault="00E61B78">
      <w:pPr>
        <w:pStyle w:val="NormalWeb"/>
        <w:spacing w:line="360" w:lineRule="auto"/>
        <w:jc w:val="both"/>
        <w:rPr>
          <w:rFonts w:ascii="Arial" w:hAnsi="Arial" w:cs="Arial"/>
          <w:sz w:val="22"/>
          <w:szCs w:val="22"/>
        </w:rPr>
      </w:pPr>
      <w:r>
        <w:rPr>
          <w:rFonts w:ascii="Arial" w:hAnsi="Arial" w:cs="Arial"/>
          <w:sz w:val="22"/>
          <w:szCs w:val="22"/>
        </w:rPr>
        <w:t xml:space="preserve">But </w:t>
      </w:r>
      <w:r w:rsidR="00000000">
        <w:rPr>
          <w:rFonts w:ascii="Arial" w:hAnsi="Arial" w:cs="Arial"/>
          <w:sz w:val="22"/>
          <w:szCs w:val="22"/>
        </w:rPr>
        <w:t>challenges persist, including rising inequalities, workforce shortages and underinvestment in local services. Local initiatives contribute significantly to prevention and community wellbeing but require stronger funding and strategic alignment. Overall, achieving sustainable wellbeing requires integrated national and local action, long-term investment and a commitment to addressing the root social determinants of health (WHO, 2024d).</w:t>
      </w:r>
    </w:p>
    <w:p w14:paraId="43F71DB4" w14:textId="77777777" w:rsidR="002121CD" w:rsidRDefault="002121CD">
      <w:pPr>
        <w:pStyle w:val="Heading1"/>
        <w:spacing w:line="360" w:lineRule="auto"/>
        <w:jc w:val="both"/>
        <w:rPr>
          <w:rStyle w:val="Strong"/>
          <w:rFonts w:ascii="Arial" w:hAnsi="Arial" w:cs="Arial" w:hint="default"/>
          <w:b/>
          <w:bCs/>
          <w:sz w:val="22"/>
          <w:szCs w:val="22"/>
        </w:rPr>
      </w:pPr>
    </w:p>
    <w:p w14:paraId="5422A006" w14:textId="77777777" w:rsidR="002121CD" w:rsidRDefault="002121CD">
      <w:pPr>
        <w:pStyle w:val="Heading1"/>
        <w:spacing w:line="360" w:lineRule="auto"/>
        <w:jc w:val="both"/>
        <w:rPr>
          <w:rStyle w:val="Strong"/>
          <w:rFonts w:ascii="Arial" w:hAnsi="Arial" w:cs="Arial" w:hint="default"/>
          <w:b/>
          <w:bCs/>
          <w:sz w:val="22"/>
          <w:szCs w:val="22"/>
        </w:rPr>
      </w:pPr>
    </w:p>
    <w:p w14:paraId="7B9F11AC" w14:textId="77777777" w:rsidR="002121CD" w:rsidRDefault="002121CD">
      <w:pPr>
        <w:pStyle w:val="Heading1"/>
        <w:spacing w:line="360" w:lineRule="auto"/>
        <w:jc w:val="both"/>
        <w:rPr>
          <w:rStyle w:val="Strong"/>
          <w:rFonts w:ascii="Arial" w:hAnsi="Arial" w:cs="Arial" w:hint="default"/>
          <w:b/>
          <w:bCs/>
          <w:sz w:val="22"/>
          <w:szCs w:val="22"/>
        </w:rPr>
      </w:pPr>
    </w:p>
    <w:p w14:paraId="658E95A7" w14:textId="77777777" w:rsidR="002121CD" w:rsidRDefault="002121CD">
      <w:pPr>
        <w:pStyle w:val="Heading1"/>
        <w:spacing w:line="360" w:lineRule="auto"/>
        <w:jc w:val="both"/>
        <w:rPr>
          <w:rStyle w:val="Strong"/>
          <w:rFonts w:ascii="Arial" w:hAnsi="Arial" w:cs="Arial" w:hint="default"/>
          <w:b/>
          <w:bCs/>
          <w:sz w:val="22"/>
          <w:szCs w:val="22"/>
        </w:rPr>
      </w:pPr>
    </w:p>
    <w:p w14:paraId="446CBA82" w14:textId="77777777" w:rsidR="002121CD" w:rsidRDefault="002121CD">
      <w:pPr>
        <w:pStyle w:val="Heading1"/>
        <w:spacing w:line="360" w:lineRule="auto"/>
        <w:jc w:val="both"/>
        <w:rPr>
          <w:rStyle w:val="Strong"/>
          <w:rFonts w:ascii="Arial" w:hAnsi="Arial" w:cs="Arial" w:hint="default"/>
          <w:b/>
          <w:bCs/>
          <w:sz w:val="22"/>
          <w:szCs w:val="22"/>
        </w:rPr>
      </w:pPr>
    </w:p>
    <w:p w14:paraId="084A1B46" w14:textId="77777777" w:rsidR="002121CD" w:rsidRDefault="002121CD">
      <w:pPr>
        <w:pStyle w:val="Heading1"/>
        <w:spacing w:line="360" w:lineRule="auto"/>
        <w:jc w:val="both"/>
        <w:rPr>
          <w:rStyle w:val="Strong"/>
          <w:rFonts w:ascii="Arial" w:hAnsi="Arial" w:cs="Arial" w:hint="default"/>
          <w:b/>
          <w:bCs/>
          <w:sz w:val="22"/>
          <w:szCs w:val="22"/>
        </w:rPr>
      </w:pPr>
    </w:p>
    <w:p w14:paraId="3F2DEC39" w14:textId="77777777" w:rsidR="002121CD" w:rsidRDefault="002121CD">
      <w:pPr>
        <w:pStyle w:val="Heading1"/>
        <w:spacing w:line="360" w:lineRule="auto"/>
        <w:jc w:val="both"/>
        <w:rPr>
          <w:rStyle w:val="Strong"/>
          <w:rFonts w:ascii="Arial" w:hAnsi="Arial" w:cs="Arial" w:hint="default"/>
          <w:b/>
          <w:bCs/>
          <w:sz w:val="22"/>
          <w:szCs w:val="22"/>
        </w:rPr>
      </w:pPr>
    </w:p>
    <w:p w14:paraId="3500CCEC" w14:textId="77777777" w:rsidR="002121CD" w:rsidRDefault="002121CD">
      <w:pPr>
        <w:pStyle w:val="Heading1"/>
        <w:spacing w:line="360" w:lineRule="auto"/>
        <w:jc w:val="both"/>
        <w:rPr>
          <w:rStyle w:val="Strong"/>
          <w:rFonts w:ascii="Arial" w:hAnsi="Arial" w:cs="Arial" w:hint="default"/>
          <w:b/>
          <w:bCs/>
          <w:sz w:val="22"/>
          <w:szCs w:val="22"/>
        </w:rPr>
      </w:pPr>
    </w:p>
    <w:p w14:paraId="74E0B484" w14:textId="487FD260" w:rsidR="00B96B9F" w:rsidRDefault="00000000">
      <w:pPr>
        <w:pStyle w:val="Heading1"/>
        <w:spacing w:line="360" w:lineRule="auto"/>
        <w:jc w:val="both"/>
        <w:rPr>
          <w:rFonts w:ascii="Arial" w:hAnsi="Arial" w:cs="Arial" w:hint="default"/>
          <w:sz w:val="22"/>
          <w:szCs w:val="22"/>
        </w:rPr>
      </w:pPr>
      <w:r>
        <w:rPr>
          <w:rStyle w:val="Strong"/>
          <w:rFonts w:ascii="Arial" w:hAnsi="Arial" w:cs="Arial" w:hint="default"/>
          <w:b/>
          <w:bCs/>
          <w:sz w:val="22"/>
          <w:szCs w:val="22"/>
        </w:rPr>
        <w:t>References</w:t>
      </w:r>
    </w:p>
    <w:p w14:paraId="46BDE625" w14:textId="77777777" w:rsidR="00B96B9F" w:rsidRDefault="00000000">
      <w:pPr>
        <w:spacing w:line="240" w:lineRule="auto"/>
        <w:jc w:val="both"/>
        <w:rPr>
          <w:rFonts w:ascii="Arial" w:hAnsi="Arial" w:cs="Arial"/>
        </w:rPr>
      </w:pPr>
      <w:r>
        <w:rPr>
          <w:rFonts w:ascii="Arial" w:eastAsia="SimSun" w:hAnsi="Arial" w:cs="Arial"/>
          <w:lang w:val="en-US" w:eastAsia="zh-CN" w:bidi="ar"/>
        </w:rPr>
        <w:t xml:space="preserve">Ashraf, M., Ullah, L., Shuvro, M.A. and Salma, U. (2019). Transition from millennium development goals (MDGs) to sustainable development goals (SDGs): blueprint of Bangladesh for implementing the sustainable development goals (SDGs) 2030. </w:t>
      </w:r>
      <w:r>
        <w:rPr>
          <w:rFonts w:ascii="Arial" w:eastAsia="SimSun" w:hAnsi="Arial" w:cs="Arial"/>
          <w:i/>
          <w:iCs/>
          <w:lang w:val="en-US" w:eastAsia="zh-CN" w:bidi="ar"/>
        </w:rPr>
        <w:t>Medicine Today</w:t>
      </w:r>
      <w:r>
        <w:rPr>
          <w:rFonts w:ascii="Arial" w:eastAsia="SimSun" w:hAnsi="Arial" w:cs="Arial"/>
          <w:lang w:val="en-US" w:eastAsia="zh-CN" w:bidi="ar"/>
        </w:rPr>
        <w:t xml:space="preserve">, </w:t>
      </w:r>
      <w:r>
        <w:rPr>
          <w:rFonts w:ascii="Arial" w:eastAsia="SimSun" w:hAnsi="Arial" w:cs="Arial"/>
          <w:i/>
          <w:iCs/>
          <w:lang w:val="en-US" w:eastAsia="zh-CN" w:bidi="ar"/>
        </w:rPr>
        <w:t>31</w:t>
      </w:r>
      <w:r>
        <w:rPr>
          <w:rFonts w:ascii="Arial" w:eastAsia="SimSun" w:hAnsi="Arial" w:cs="Arial"/>
          <w:lang w:val="en-US" w:eastAsia="zh-CN" w:bidi="ar"/>
        </w:rPr>
        <w:t>(1), pp.46-59.</w:t>
      </w:r>
    </w:p>
    <w:p w14:paraId="7E32E617" w14:textId="77777777" w:rsidR="00B96B9F" w:rsidRDefault="00000000">
      <w:pPr>
        <w:spacing w:line="240" w:lineRule="auto"/>
        <w:jc w:val="both"/>
        <w:rPr>
          <w:rFonts w:ascii="Arial" w:hAnsi="Arial" w:cs="Arial"/>
        </w:rPr>
      </w:pPr>
      <w:r>
        <w:rPr>
          <w:rFonts w:ascii="Arial" w:eastAsia="SimSun" w:hAnsi="Arial" w:cs="Arial"/>
          <w:lang w:val="en-US" w:eastAsia="zh-CN" w:bidi="ar"/>
        </w:rPr>
        <w:t xml:space="preserve">Aughterson, H. (2022). </w:t>
      </w:r>
      <w:r>
        <w:rPr>
          <w:rFonts w:ascii="Arial" w:eastAsia="SimSun" w:hAnsi="Arial" w:cs="Arial"/>
          <w:i/>
          <w:iCs/>
          <w:lang w:val="en-US" w:eastAsia="zh-CN" w:bidi="ar"/>
        </w:rPr>
        <w:t>Social prescribing for mental health and well-being: mechanisms of action, active ingredients, and barriers &amp; enablers to effective engagement</w:t>
      </w:r>
      <w:r>
        <w:rPr>
          <w:rFonts w:ascii="Arial" w:eastAsia="SimSun" w:hAnsi="Arial" w:cs="Arial"/>
          <w:lang w:val="en-US" w:eastAsia="zh-CN" w:bidi="ar"/>
        </w:rPr>
        <w:t xml:space="preserve"> (Doctoral dissertation, UCL (University College London)).</w:t>
      </w:r>
    </w:p>
    <w:p w14:paraId="01B1F998" w14:textId="77777777" w:rsidR="00B96B9F" w:rsidRDefault="00000000">
      <w:pPr>
        <w:spacing w:line="240" w:lineRule="auto"/>
        <w:jc w:val="both"/>
        <w:rPr>
          <w:rFonts w:ascii="Arial" w:hAnsi="Arial" w:cs="Arial"/>
          <w:lang w:val="en-US" w:eastAsia="zh-CN"/>
        </w:rPr>
      </w:pPr>
      <w:r>
        <w:rPr>
          <w:rFonts w:ascii="Arial" w:hAnsi="Arial" w:cs="Arial"/>
          <w:lang w:val="en-US" w:eastAsia="zh-CN"/>
        </w:rPr>
        <w:t>Babu, S.C. and Srivastava, N. (2024). Sustainable Development Goal 1: Ending poverty. In Handbook on Public Policy and Food Security (pp. 80-89). Edward Elgar Publishing.</w:t>
      </w:r>
    </w:p>
    <w:p w14:paraId="23C0EBCD" w14:textId="55A0D58B" w:rsidR="00B96B9F" w:rsidRDefault="00000000">
      <w:pPr>
        <w:spacing w:line="240" w:lineRule="auto"/>
        <w:jc w:val="both"/>
        <w:rPr>
          <w:rFonts w:ascii="Arial" w:hAnsi="Arial" w:cs="Arial"/>
        </w:rPr>
      </w:pPr>
      <w:r>
        <w:rPr>
          <w:rFonts w:ascii="Arial" w:eastAsia="SimSun" w:hAnsi="Arial" w:cs="Arial"/>
          <w:lang w:val="en-US" w:eastAsia="zh-CN" w:bidi="ar"/>
        </w:rPr>
        <w:t xml:space="preserve">Buckingham, H., Reed, S., Kumpunen, S. and Lewis, R. (2023). People, partnerships and place: How can ICSs turn </w:t>
      </w:r>
      <w:r w:rsidR="00E832BB">
        <w:rPr>
          <w:rFonts w:ascii="Arial" w:eastAsia="SimSun" w:hAnsi="Arial" w:cs="Arial"/>
          <w:lang w:val="en-US" w:eastAsia="zh-CN" w:bidi="ar"/>
        </w:rPr>
        <w:t>rhetoric</w:t>
      </w:r>
      <w:r>
        <w:rPr>
          <w:rFonts w:ascii="Arial" w:eastAsia="SimSun" w:hAnsi="Arial" w:cs="Arial"/>
          <w:lang w:val="en-US" w:eastAsia="zh-CN" w:bidi="ar"/>
        </w:rPr>
        <w:t xml:space="preserve"> into reality</w:t>
      </w:r>
      <w:r w:rsidR="00E832BB">
        <w:rPr>
          <w:rFonts w:ascii="Arial" w:eastAsia="SimSun" w:hAnsi="Arial" w:cs="Arial"/>
          <w:lang w:val="en-US" w:eastAsia="zh-CN" w:bidi="ar"/>
        </w:rPr>
        <w:t>?</w:t>
      </w:r>
      <w:r>
        <w:rPr>
          <w:rFonts w:ascii="Arial" w:eastAsia="SimSun" w:hAnsi="Arial" w:cs="Arial"/>
          <w:lang w:val="en-US" w:eastAsia="zh-CN" w:bidi="ar"/>
        </w:rPr>
        <w:t xml:space="preserve"> </w:t>
      </w:r>
      <w:r>
        <w:rPr>
          <w:rFonts w:ascii="Arial" w:eastAsia="SimSun" w:hAnsi="Arial" w:cs="Arial"/>
          <w:i/>
          <w:iCs/>
          <w:lang w:val="en-US" w:eastAsia="zh-CN" w:bidi="ar"/>
        </w:rPr>
        <w:t>Nuffield Trust</w:t>
      </w:r>
      <w:r>
        <w:rPr>
          <w:rFonts w:ascii="Arial" w:eastAsia="SimSun" w:hAnsi="Arial" w:cs="Arial"/>
          <w:lang w:val="en-US" w:eastAsia="zh-CN" w:bidi="ar"/>
        </w:rPr>
        <w:t>.</w:t>
      </w:r>
    </w:p>
    <w:p w14:paraId="3B22D810" w14:textId="77777777" w:rsidR="00B96B9F" w:rsidRDefault="00000000">
      <w:pPr>
        <w:spacing w:line="240" w:lineRule="auto"/>
        <w:jc w:val="both"/>
        <w:rPr>
          <w:rFonts w:ascii="Arial" w:hAnsi="Arial" w:cs="Arial"/>
        </w:rPr>
      </w:pPr>
      <w:r>
        <w:rPr>
          <w:rFonts w:ascii="Arial" w:eastAsia="SimSun" w:hAnsi="Arial" w:cs="Arial"/>
          <w:lang w:val="en-US" w:eastAsia="zh-CN" w:bidi="ar"/>
        </w:rPr>
        <w:t xml:space="preserve">Bundhoo, D., Greenaway, C., Jones, D., Marvell, A.D., Powell, J.R. and Courtney, P. (2025). </w:t>
      </w:r>
      <w:r>
        <w:rPr>
          <w:rFonts w:ascii="Arial" w:eastAsia="SimSun" w:hAnsi="Arial" w:cs="Arial"/>
          <w:i/>
          <w:iCs/>
          <w:lang w:val="en-US" w:eastAsia="zh-CN" w:bidi="ar"/>
        </w:rPr>
        <w:t>Evidence Enquiry for Wellbeing and Heritage</w:t>
      </w:r>
      <w:r>
        <w:rPr>
          <w:rFonts w:ascii="Arial" w:eastAsia="SimSun" w:hAnsi="Arial" w:cs="Arial"/>
          <w:lang w:val="en-US" w:eastAsia="zh-CN" w:bidi="ar"/>
        </w:rPr>
        <w:t>. University of Gloucestershire.</w:t>
      </w:r>
    </w:p>
    <w:p w14:paraId="42C7BE52" w14:textId="589E3454" w:rsidR="00B96B9F" w:rsidRDefault="00000000">
      <w:pPr>
        <w:spacing w:line="240" w:lineRule="auto"/>
        <w:jc w:val="both"/>
        <w:rPr>
          <w:rFonts w:ascii="Arial" w:eastAsia="SimSun" w:hAnsi="Arial" w:cs="Arial"/>
          <w:lang w:val="en-US" w:eastAsia="zh-CN" w:bidi="ar"/>
        </w:rPr>
      </w:pPr>
      <w:r>
        <w:rPr>
          <w:rFonts w:ascii="Arial" w:eastAsia="SimSun" w:hAnsi="Arial" w:cs="Arial"/>
          <w:lang w:val="en-US" w:eastAsia="zh-CN" w:bidi="ar"/>
        </w:rPr>
        <w:t xml:space="preserve">Clark, H., Royal, P., Robillard Webb, L., Doughty, B., Howells, K., Kamaldeep, B., Pinfold, V., Hodgson, A., Purvey, C., Lowe, D. and Godfrey, K. (2023). The Major Conditions </w:t>
      </w:r>
      <w:r w:rsidR="00E832BB">
        <w:rPr>
          <w:rFonts w:ascii="Arial" w:eastAsia="SimSun" w:hAnsi="Arial" w:cs="Arial"/>
          <w:lang w:val="en-US" w:eastAsia="zh-CN" w:bidi="ar"/>
        </w:rPr>
        <w:t>Strategy</w:t>
      </w:r>
      <w:r>
        <w:rPr>
          <w:rFonts w:ascii="Arial" w:eastAsia="SimSun" w:hAnsi="Arial" w:cs="Arial"/>
          <w:lang w:val="en-US" w:eastAsia="zh-CN" w:bidi="ar"/>
        </w:rPr>
        <w:t xml:space="preserve"> </w:t>
      </w:r>
      <w:r w:rsidR="00E832BB">
        <w:rPr>
          <w:rFonts w:ascii="Arial" w:eastAsia="SimSun" w:hAnsi="Arial" w:cs="Arial"/>
          <w:lang w:val="en-US" w:eastAsia="zh-CN" w:bidi="ar"/>
        </w:rPr>
        <w:t>10-year</w:t>
      </w:r>
      <w:r>
        <w:rPr>
          <w:rFonts w:ascii="Arial" w:eastAsia="SimSun" w:hAnsi="Arial" w:cs="Arial"/>
          <w:lang w:val="en-US" w:eastAsia="zh-CN" w:bidi="ar"/>
        </w:rPr>
        <w:t xml:space="preserve"> Failure for Mental Health.</w:t>
      </w:r>
    </w:p>
    <w:p w14:paraId="03DD27D5" w14:textId="684DA4D0" w:rsidR="00B96B9F" w:rsidRDefault="00000000">
      <w:pPr>
        <w:spacing w:line="240" w:lineRule="auto"/>
        <w:jc w:val="both"/>
        <w:rPr>
          <w:rFonts w:ascii="Arial" w:hAnsi="Arial" w:cs="Arial"/>
        </w:rPr>
      </w:pPr>
      <w:r>
        <w:rPr>
          <w:rFonts w:ascii="Arial" w:eastAsia="SimSun" w:hAnsi="Arial" w:cs="Arial"/>
          <w:lang w:val="en-US" w:eastAsia="zh-CN" w:bidi="ar"/>
        </w:rPr>
        <w:t xml:space="preserve">Clark, R., Reed, J. and Sunderland, T. (2018). Bridging funding gaps for climate and sustainable development: Pitfalls, progress and potential of private finance. </w:t>
      </w:r>
      <w:r>
        <w:rPr>
          <w:rFonts w:ascii="Arial" w:eastAsia="SimSun" w:hAnsi="Arial" w:cs="Arial"/>
          <w:i/>
          <w:iCs/>
          <w:lang w:val="en-US" w:eastAsia="zh-CN" w:bidi="ar"/>
        </w:rPr>
        <w:t xml:space="preserve">Land </w:t>
      </w:r>
      <w:r w:rsidR="00E832BB">
        <w:rPr>
          <w:rFonts w:ascii="Arial" w:eastAsia="SimSun" w:hAnsi="Arial" w:cs="Arial"/>
          <w:i/>
          <w:iCs/>
          <w:lang w:val="en-US" w:eastAsia="zh-CN" w:bidi="ar"/>
        </w:rPr>
        <w:t xml:space="preserve">Use Policy, 71, pp. </w:t>
      </w:r>
      <w:r>
        <w:rPr>
          <w:rFonts w:ascii="Arial" w:eastAsia="SimSun" w:hAnsi="Arial" w:cs="Arial"/>
          <w:lang w:val="en-US" w:eastAsia="zh-CN" w:bidi="ar"/>
        </w:rPr>
        <w:t>335-346.</w:t>
      </w:r>
    </w:p>
    <w:p w14:paraId="564DDA43" w14:textId="77777777" w:rsidR="00B96B9F" w:rsidRDefault="00000000">
      <w:pPr>
        <w:pStyle w:val="NormalWeb"/>
        <w:jc w:val="both"/>
        <w:rPr>
          <w:rFonts w:ascii="Arial" w:hAnsi="Arial" w:cs="Arial"/>
          <w:sz w:val="22"/>
          <w:szCs w:val="22"/>
        </w:rPr>
      </w:pPr>
      <w:r>
        <w:rPr>
          <w:rFonts w:ascii="Arial" w:hAnsi="Arial" w:cs="Arial"/>
          <w:sz w:val="22"/>
          <w:szCs w:val="22"/>
        </w:rPr>
        <w:t xml:space="preserve">Global Fund (2021). </w:t>
      </w:r>
      <w:r>
        <w:rPr>
          <w:rStyle w:val="Emphasis"/>
          <w:rFonts w:ascii="Arial" w:hAnsi="Arial" w:cs="Arial"/>
          <w:sz w:val="22"/>
          <w:szCs w:val="22"/>
        </w:rPr>
        <w:t>Results Report</w:t>
      </w:r>
      <w:r>
        <w:rPr>
          <w:rFonts w:ascii="Arial" w:hAnsi="Arial" w:cs="Arial"/>
          <w:sz w:val="22"/>
          <w:szCs w:val="22"/>
        </w:rPr>
        <w:t>. Geneva: Global Fund.</w:t>
      </w:r>
    </w:p>
    <w:p w14:paraId="3E904EE1" w14:textId="77777777" w:rsidR="00B96B9F" w:rsidRDefault="00000000">
      <w:pPr>
        <w:spacing w:line="240" w:lineRule="auto"/>
        <w:jc w:val="both"/>
        <w:rPr>
          <w:rFonts w:ascii="Arial" w:eastAsia="SimSun" w:hAnsi="Arial" w:cs="Arial"/>
          <w:lang w:val="en-US" w:eastAsia="zh-CN" w:bidi="ar"/>
        </w:rPr>
      </w:pPr>
      <w:r>
        <w:rPr>
          <w:rFonts w:ascii="Arial" w:eastAsia="SimSun" w:hAnsi="Arial" w:cs="Arial"/>
          <w:lang w:val="en-US" w:eastAsia="zh-CN" w:bidi="ar"/>
        </w:rPr>
        <w:t>Ifyalem, K.J. and Jakada, Z.A. (2023). The influence of housing and waste management facilities on public health. J. Mater. Environ. Sci., 14 (1), 62, 81.</w:t>
      </w:r>
    </w:p>
    <w:p w14:paraId="412EE149" w14:textId="1871389B" w:rsidR="00B96B9F" w:rsidRDefault="00000000">
      <w:pPr>
        <w:pStyle w:val="NormalWeb"/>
        <w:jc w:val="both"/>
        <w:rPr>
          <w:rFonts w:ascii="Arial" w:hAnsi="Arial" w:cs="Arial"/>
          <w:sz w:val="22"/>
          <w:szCs w:val="22"/>
        </w:rPr>
      </w:pPr>
      <w:r>
        <w:rPr>
          <w:rFonts w:ascii="Arial" w:hAnsi="Arial" w:cs="Arial"/>
          <w:sz w:val="22"/>
          <w:szCs w:val="22"/>
        </w:rPr>
        <w:t xml:space="preserve">ILO (2020). </w:t>
      </w:r>
      <w:r>
        <w:rPr>
          <w:rStyle w:val="Emphasis"/>
          <w:rFonts w:ascii="Arial" w:hAnsi="Arial" w:cs="Arial"/>
          <w:sz w:val="22"/>
          <w:szCs w:val="22"/>
        </w:rPr>
        <w:t>World Social Protection Report 2020–22</w:t>
      </w:r>
      <w:r>
        <w:rPr>
          <w:rFonts w:ascii="Arial" w:hAnsi="Arial" w:cs="Arial"/>
          <w:sz w:val="22"/>
          <w:szCs w:val="22"/>
        </w:rPr>
        <w:t xml:space="preserve">. International Labour </w:t>
      </w:r>
      <w:r w:rsidR="00E832BB">
        <w:rPr>
          <w:rFonts w:ascii="Arial" w:hAnsi="Arial" w:cs="Arial"/>
          <w:sz w:val="22"/>
          <w:szCs w:val="22"/>
        </w:rPr>
        <w:t>Organisation</w:t>
      </w:r>
      <w:r>
        <w:rPr>
          <w:rFonts w:ascii="Arial" w:hAnsi="Arial" w:cs="Arial"/>
          <w:sz w:val="22"/>
          <w:szCs w:val="22"/>
        </w:rPr>
        <w:t>.</w:t>
      </w:r>
    </w:p>
    <w:p w14:paraId="3E85754D" w14:textId="77777777" w:rsidR="00B96B9F" w:rsidRDefault="00000000">
      <w:pPr>
        <w:spacing w:line="240" w:lineRule="auto"/>
        <w:jc w:val="both"/>
        <w:rPr>
          <w:rFonts w:ascii="Arial" w:hAnsi="Arial" w:cs="Arial"/>
        </w:rPr>
      </w:pPr>
      <w:r>
        <w:rPr>
          <w:rFonts w:ascii="Arial" w:eastAsia="SimSun" w:hAnsi="Arial" w:cs="Arial"/>
          <w:lang w:val="en-US" w:eastAsia="zh-CN" w:bidi="ar"/>
        </w:rPr>
        <w:t xml:space="preserve">Khan, S., Yuan, H. and Hussain, M. (2024). Balancing act: Trade‐offs and synergies within Sustainable Development Goals 1st, 10th, and 13th—Poverty, inequality, and climate actions. </w:t>
      </w:r>
      <w:r>
        <w:rPr>
          <w:rFonts w:ascii="Arial" w:eastAsia="SimSun" w:hAnsi="Arial" w:cs="Arial"/>
          <w:i/>
          <w:iCs/>
          <w:lang w:val="en-US" w:eastAsia="zh-CN" w:bidi="ar"/>
        </w:rPr>
        <w:t>Sustainable Development</w:t>
      </w:r>
      <w:r>
        <w:rPr>
          <w:rFonts w:ascii="Arial" w:eastAsia="SimSun" w:hAnsi="Arial" w:cs="Arial"/>
          <w:lang w:val="en-US" w:eastAsia="zh-CN" w:bidi="ar"/>
        </w:rPr>
        <w:t xml:space="preserve">, </w:t>
      </w:r>
      <w:r>
        <w:rPr>
          <w:rFonts w:ascii="Arial" w:eastAsia="SimSun" w:hAnsi="Arial" w:cs="Arial"/>
          <w:i/>
          <w:iCs/>
          <w:lang w:val="en-US" w:eastAsia="zh-CN" w:bidi="ar"/>
        </w:rPr>
        <w:t>32</w:t>
      </w:r>
      <w:r>
        <w:rPr>
          <w:rFonts w:ascii="Arial" w:eastAsia="SimSun" w:hAnsi="Arial" w:cs="Arial"/>
          <w:lang w:val="en-US" w:eastAsia="zh-CN" w:bidi="ar"/>
        </w:rPr>
        <w:t>(6), pp.6950-6967.</w:t>
      </w:r>
    </w:p>
    <w:p w14:paraId="20F1E543" w14:textId="77777777" w:rsidR="00B96B9F" w:rsidRDefault="00000000">
      <w:pPr>
        <w:spacing w:line="240" w:lineRule="auto"/>
        <w:jc w:val="both"/>
        <w:rPr>
          <w:rFonts w:ascii="Arial" w:eastAsia="SimSun" w:hAnsi="Arial" w:cs="Arial"/>
          <w:lang w:val="en-US" w:eastAsia="zh-CN" w:bidi="ar"/>
        </w:rPr>
      </w:pPr>
      <w:r>
        <w:rPr>
          <w:rFonts w:ascii="Arial" w:eastAsia="SimSun" w:hAnsi="Arial" w:cs="Arial"/>
          <w:lang w:val="en-US" w:eastAsia="zh-CN" w:bidi="ar"/>
        </w:rPr>
        <w:t>Khan, Z. and Ali, A. (2023). Global food insecurity and its association with malnutrition. Emerging Challenges in Agriculture and Food Science, 2.</w:t>
      </w:r>
    </w:p>
    <w:p w14:paraId="7AF51075" w14:textId="77777777" w:rsidR="00B96B9F" w:rsidRDefault="00000000">
      <w:pPr>
        <w:spacing w:line="240" w:lineRule="auto"/>
        <w:jc w:val="both"/>
        <w:rPr>
          <w:rFonts w:ascii="Arial" w:eastAsia="SimSun" w:hAnsi="Arial" w:cs="Arial"/>
          <w:lang w:val="en-US" w:eastAsia="zh-CN" w:bidi="ar"/>
        </w:rPr>
      </w:pPr>
      <w:r>
        <w:rPr>
          <w:rFonts w:ascii="Arial" w:eastAsia="SimSun" w:hAnsi="Arial" w:cs="Arial"/>
          <w:lang w:val="en-US" w:eastAsia="zh-CN" w:bidi="ar"/>
        </w:rPr>
        <w:t>Marjanovic, S., Ulytė, A., Toole, H., Marciniak-Nuqui, Z., Stockwell, S., Adams, A., Richard-Sheridan, M., Busceneanu, S., Parkinson, S. and Fahy, N. (2025). Better and more efficient NHS care through innovative approaches to treatment.</w:t>
      </w:r>
    </w:p>
    <w:p w14:paraId="26853F88" w14:textId="77777777" w:rsidR="00B96B9F" w:rsidRDefault="00000000">
      <w:pPr>
        <w:spacing w:line="240" w:lineRule="auto"/>
        <w:jc w:val="both"/>
        <w:rPr>
          <w:rFonts w:ascii="Arial" w:hAnsi="Arial" w:cs="Arial"/>
        </w:rPr>
      </w:pPr>
      <w:r>
        <w:rPr>
          <w:rFonts w:ascii="Arial" w:eastAsia="SimSun" w:hAnsi="Arial" w:cs="Arial"/>
          <w:lang w:val="en-US" w:eastAsia="zh-CN" w:bidi="ar"/>
        </w:rPr>
        <w:t xml:space="preserve">Mark, M. (2024). The international problem of HIV/AIDS in the modern world: a comprehensive review of political, economic, and social impacts. </w:t>
      </w:r>
      <w:r>
        <w:rPr>
          <w:rFonts w:ascii="Arial" w:eastAsia="SimSun" w:hAnsi="Arial" w:cs="Arial"/>
          <w:i/>
          <w:iCs/>
          <w:lang w:val="en-US" w:eastAsia="zh-CN" w:bidi="ar"/>
        </w:rPr>
        <w:t>Res Output J Public Health Med</w:t>
      </w:r>
      <w:r>
        <w:rPr>
          <w:rFonts w:ascii="Arial" w:eastAsia="SimSun" w:hAnsi="Arial" w:cs="Arial"/>
          <w:lang w:val="en-US" w:eastAsia="zh-CN" w:bidi="ar"/>
        </w:rPr>
        <w:t xml:space="preserve">, </w:t>
      </w:r>
      <w:r>
        <w:rPr>
          <w:rFonts w:ascii="Arial" w:eastAsia="SimSun" w:hAnsi="Arial" w:cs="Arial"/>
          <w:i/>
          <w:iCs/>
          <w:lang w:val="en-US" w:eastAsia="zh-CN" w:bidi="ar"/>
        </w:rPr>
        <w:t>42</w:t>
      </w:r>
      <w:r>
        <w:rPr>
          <w:rFonts w:ascii="Arial" w:eastAsia="SimSun" w:hAnsi="Arial" w:cs="Arial"/>
          <w:lang w:val="en-US" w:eastAsia="zh-CN" w:bidi="ar"/>
        </w:rPr>
        <w:t>, pp.47-52.</w:t>
      </w:r>
    </w:p>
    <w:p w14:paraId="60E314F4" w14:textId="77777777" w:rsidR="00B96B9F" w:rsidRDefault="00000000">
      <w:pPr>
        <w:spacing w:line="240" w:lineRule="auto"/>
        <w:jc w:val="both"/>
        <w:rPr>
          <w:rFonts w:ascii="Arial" w:hAnsi="Arial" w:cs="Arial"/>
        </w:rPr>
      </w:pPr>
      <w:r>
        <w:rPr>
          <w:rFonts w:ascii="Arial" w:eastAsia="SimSun" w:hAnsi="Arial" w:cs="Arial"/>
          <w:lang w:val="en-US" w:eastAsia="zh-CN" w:bidi="ar"/>
        </w:rPr>
        <w:t xml:space="preserve">Martinelli, A. (2024). Sustainable promotion of mental health and prevention of mental health disorders across the world. In </w:t>
      </w:r>
      <w:r>
        <w:rPr>
          <w:rFonts w:ascii="Arial" w:eastAsia="SimSun" w:hAnsi="Arial" w:cs="Arial"/>
          <w:i/>
          <w:iCs/>
          <w:lang w:val="en-US" w:eastAsia="zh-CN" w:bidi="ar"/>
        </w:rPr>
        <w:t xml:space="preserve">Integrated Science for Sustainable </w:t>
      </w:r>
      <w:r>
        <w:rPr>
          <w:rFonts w:ascii="Arial" w:eastAsia="SimSun" w:hAnsi="Arial" w:cs="Arial"/>
          <w:i/>
          <w:iCs/>
          <w:lang w:val="en-US" w:eastAsia="zh-CN" w:bidi="ar"/>
        </w:rPr>
        <w:lastRenderedPageBreak/>
        <w:t>Development Goal 3: Empowering Global Wellness Initiatives</w:t>
      </w:r>
      <w:r>
        <w:rPr>
          <w:rFonts w:ascii="Arial" w:eastAsia="SimSun" w:hAnsi="Arial" w:cs="Arial"/>
          <w:lang w:val="en-US" w:eastAsia="zh-CN" w:bidi="ar"/>
        </w:rPr>
        <w:t xml:space="preserve"> (pp. 1-23). Cham: Springer Nature Switzerland.</w:t>
      </w:r>
    </w:p>
    <w:p w14:paraId="02A7B899" w14:textId="77777777" w:rsidR="00B96B9F" w:rsidRDefault="00000000">
      <w:pPr>
        <w:spacing w:line="240" w:lineRule="auto"/>
        <w:jc w:val="both"/>
        <w:rPr>
          <w:rFonts w:ascii="Arial" w:eastAsia="SimSun" w:hAnsi="Arial" w:cs="Arial"/>
          <w:lang w:val="en-US" w:eastAsia="zh-CN" w:bidi="ar"/>
        </w:rPr>
      </w:pPr>
      <w:r>
        <w:rPr>
          <w:rFonts w:ascii="Arial" w:eastAsia="SimSun" w:hAnsi="Arial" w:cs="Arial"/>
          <w:lang w:val="en-US" w:eastAsia="zh-CN" w:bidi="ar"/>
        </w:rPr>
        <w:t xml:space="preserve">Mesiäislehto, M., </w:t>
      </w:r>
      <w:proofErr w:type="spellStart"/>
      <w:r>
        <w:rPr>
          <w:rFonts w:ascii="Arial" w:eastAsia="SimSun" w:hAnsi="Arial" w:cs="Arial"/>
          <w:lang w:val="en-US" w:eastAsia="zh-CN" w:bidi="ar"/>
        </w:rPr>
        <w:t>Hiilamo</w:t>
      </w:r>
      <w:proofErr w:type="spellEnd"/>
      <w:r>
        <w:rPr>
          <w:rFonts w:ascii="Arial" w:eastAsia="SimSun" w:hAnsi="Arial" w:cs="Arial"/>
          <w:lang w:val="en-US" w:eastAsia="zh-CN" w:bidi="ar"/>
        </w:rPr>
        <w:t xml:space="preserve">, H. and </w:t>
      </w:r>
      <w:proofErr w:type="spellStart"/>
      <w:r>
        <w:rPr>
          <w:rFonts w:ascii="Arial" w:eastAsia="SimSun" w:hAnsi="Arial" w:cs="Arial"/>
          <w:lang w:val="en-US" w:eastAsia="zh-CN" w:bidi="ar"/>
        </w:rPr>
        <w:t>Kestilä</w:t>
      </w:r>
      <w:proofErr w:type="spellEnd"/>
      <w:r>
        <w:rPr>
          <w:rFonts w:ascii="Arial" w:eastAsia="SimSun" w:hAnsi="Arial" w:cs="Arial"/>
          <w:lang w:val="en-US" w:eastAsia="zh-CN" w:bidi="ar"/>
        </w:rPr>
        <w:t>, L. (2025). Wellbeing economy: Investments in social justice and future generations.</w:t>
      </w:r>
    </w:p>
    <w:p w14:paraId="776184E5" w14:textId="77777777" w:rsidR="00B96B9F" w:rsidRDefault="00000000">
      <w:pPr>
        <w:spacing w:line="240" w:lineRule="auto"/>
        <w:jc w:val="both"/>
        <w:rPr>
          <w:rFonts w:ascii="Arial" w:hAnsi="Arial" w:cs="Arial"/>
        </w:rPr>
      </w:pPr>
      <w:proofErr w:type="spellStart"/>
      <w:r>
        <w:rPr>
          <w:rFonts w:ascii="Arial" w:eastAsia="SimSun" w:hAnsi="Arial" w:cs="Arial"/>
          <w:lang w:val="en-US" w:eastAsia="zh-CN" w:bidi="ar"/>
        </w:rPr>
        <w:t>Nwagbo</w:t>
      </w:r>
      <w:proofErr w:type="spellEnd"/>
      <w:r>
        <w:rPr>
          <w:rFonts w:ascii="Arial" w:eastAsia="SimSun" w:hAnsi="Arial" w:cs="Arial"/>
          <w:lang w:val="en-US" w:eastAsia="zh-CN" w:bidi="ar"/>
        </w:rPr>
        <w:t xml:space="preserve">, S.N., Francis, A.C. and </w:t>
      </w:r>
      <w:proofErr w:type="spellStart"/>
      <w:r>
        <w:rPr>
          <w:rFonts w:ascii="Arial" w:eastAsia="SimSun" w:hAnsi="Arial" w:cs="Arial"/>
          <w:lang w:val="en-US" w:eastAsia="zh-CN" w:bidi="ar"/>
        </w:rPr>
        <w:t>Ezeakoafor</w:t>
      </w:r>
      <w:proofErr w:type="spellEnd"/>
      <w:r>
        <w:rPr>
          <w:rFonts w:ascii="Arial" w:eastAsia="SimSun" w:hAnsi="Arial" w:cs="Arial"/>
          <w:lang w:val="en-US" w:eastAsia="zh-CN" w:bidi="ar"/>
        </w:rPr>
        <w:t xml:space="preserve">, A. (2025). Insecurity and Attainment of Sustainable Development Goals 1 and 2 in Nigeria. </w:t>
      </w:r>
      <w:r>
        <w:rPr>
          <w:rFonts w:ascii="Arial" w:eastAsia="SimSun" w:hAnsi="Arial" w:cs="Arial"/>
          <w:i/>
          <w:iCs/>
          <w:lang w:val="en-US" w:eastAsia="zh-CN" w:bidi="ar"/>
        </w:rPr>
        <w:t>Advances in Social Sciences Research Journal</w:t>
      </w:r>
      <w:r>
        <w:rPr>
          <w:rFonts w:ascii="Arial" w:eastAsia="SimSun" w:hAnsi="Arial" w:cs="Arial"/>
          <w:lang w:val="en-US" w:eastAsia="zh-CN" w:bidi="ar"/>
        </w:rPr>
        <w:t xml:space="preserve">, </w:t>
      </w:r>
      <w:r>
        <w:rPr>
          <w:rFonts w:ascii="Arial" w:eastAsia="SimSun" w:hAnsi="Arial" w:cs="Arial"/>
          <w:i/>
          <w:iCs/>
          <w:lang w:val="en-US" w:eastAsia="zh-CN" w:bidi="ar"/>
        </w:rPr>
        <w:t>12</w:t>
      </w:r>
      <w:r>
        <w:rPr>
          <w:rFonts w:ascii="Arial" w:eastAsia="SimSun" w:hAnsi="Arial" w:cs="Arial"/>
          <w:lang w:val="en-US" w:eastAsia="zh-CN" w:bidi="ar"/>
        </w:rPr>
        <w:t>(05).</w:t>
      </w:r>
    </w:p>
    <w:p w14:paraId="733431B0" w14:textId="77777777" w:rsidR="00B96B9F" w:rsidRDefault="00000000">
      <w:pPr>
        <w:spacing w:line="240" w:lineRule="auto"/>
        <w:jc w:val="both"/>
        <w:rPr>
          <w:rFonts w:ascii="Arial" w:hAnsi="Arial" w:cs="Arial"/>
          <w:lang w:val="en-US" w:eastAsia="zh-CN"/>
        </w:rPr>
      </w:pPr>
      <w:r>
        <w:rPr>
          <w:rFonts w:ascii="Arial" w:hAnsi="Arial" w:cs="Arial"/>
          <w:lang w:val="en-US" w:eastAsia="zh-CN"/>
        </w:rPr>
        <w:t>Seekings, J. (2019). The limits to ‘</w:t>
      </w:r>
      <w:proofErr w:type="spellStart"/>
      <w:r>
        <w:rPr>
          <w:rFonts w:ascii="Arial" w:hAnsi="Arial" w:cs="Arial"/>
          <w:lang w:val="en-US" w:eastAsia="zh-CN"/>
        </w:rPr>
        <w:t>global’social</w:t>
      </w:r>
      <w:proofErr w:type="spellEnd"/>
      <w:r>
        <w:rPr>
          <w:rFonts w:ascii="Arial" w:hAnsi="Arial" w:cs="Arial"/>
          <w:lang w:val="en-US" w:eastAsia="zh-CN"/>
        </w:rPr>
        <w:t xml:space="preserve"> policy: The ILO, the social protection floor and the politics of welfare in East and Southern Africa. Global Social Policy, 19(1-2), pp.139-158.</w:t>
      </w:r>
    </w:p>
    <w:p w14:paraId="34631E74" w14:textId="77777777" w:rsidR="00B96B9F" w:rsidRDefault="00000000">
      <w:pPr>
        <w:spacing w:line="240" w:lineRule="auto"/>
        <w:jc w:val="both"/>
        <w:rPr>
          <w:rFonts w:ascii="Arial" w:eastAsia="SimSun" w:hAnsi="Arial" w:cs="Arial"/>
        </w:rPr>
      </w:pPr>
      <w:r>
        <w:rPr>
          <w:rFonts w:ascii="Arial" w:eastAsia="SimSun" w:hAnsi="Arial" w:cs="Arial"/>
        </w:rPr>
        <w:t xml:space="preserve">Sun, G., Wu, X., Hao, W., Zhu, Z., Li, J., Chu, Z. and Xiao, P. </w:t>
      </w:r>
      <w:r>
        <w:rPr>
          <w:rFonts w:ascii="Arial" w:eastAsia="SimSun" w:hAnsi="Arial" w:cs="Arial"/>
          <w:lang w:val="en-US"/>
        </w:rPr>
        <w:t>(</w:t>
      </w:r>
      <w:r>
        <w:rPr>
          <w:rFonts w:ascii="Arial" w:eastAsia="SimSun" w:hAnsi="Arial" w:cs="Arial"/>
        </w:rPr>
        <w:t>2024</w:t>
      </w:r>
      <w:r>
        <w:rPr>
          <w:rFonts w:ascii="Arial" w:eastAsia="SimSun" w:hAnsi="Arial" w:cs="Arial"/>
          <w:lang w:val="en-US"/>
        </w:rPr>
        <w:t>)</w:t>
      </w:r>
      <w:r>
        <w:rPr>
          <w:rFonts w:ascii="Arial" w:eastAsia="SimSun" w:hAnsi="Arial" w:cs="Arial"/>
        </w:rPr>
        <w:t xml:space="preserve">. Resource management for integrated communications, computing, and sensing (ICCS) networks. </w:t>
      </w:r>
      <w:r>
        <w:rPr>
          <w:rFonts w:ascii="Arial" w:eastAsia="SimSun" w:hAnsi="Arial" w:cs="Arial"/>
          <w:i/>
          <w:iCs/>
        </w:rPr>
        <w:t>IEEE Transactions on Vehicular Technology</w:t>
      </w:r>
      <w:r>
        <w:rPr>
          <w:rFonts w:ascii="Arial" w:eastAsia="SimSun" w:hAnsi="Arial" w:cs="Arial"/>
        </w:rPr>
        <w:t>.</w:t>
      </w:r>
    </w:p>
    <w:p w14:paraId="23FC5F71" w14:textId="77777777" w:rsidR="00B96B9F" w:rsidRDefault="00000000">
      <w:pPr>
        <w:pStyle w:val="NormalWeb"/>
        <w:jc w:val="both"/>
        <w:rPr>
          <w:rFonts w:ascii="Arial" w:hAnsi="Arial" w:cs="Arial"/>
          <w:sz w:val="22"/>
          <w:szCs w:val="22"/>
        </w:rPr>
      </w:pPr>
      <w:r>
        <w:rPr>
          <w:rFonts w:ascii="Arial" w:hAnsi="Arial" w:cs="Arial"/>
          <w:sz w:val="22"/>
          <w:szCs w:val="22"/>
        </w:rPr>
        <w:t xml:space="preserve">UN (2015). </w:t>
      </w:r>
      <w:r>
        <w:rPr>
          <w:rStyle w:val="Emphasis"/>
          <w:rFonts w:ascii="Arial" w:hAnsi="Arial" w:cs="Arial"/>
          <w:sz w:val="22"/>
          <w:szCs w:val="22"/>
        </w:rPr>
        <w:t>Transforming Our World: The 2030 Agenda for Sustainable Development</w:t>
      </w:r>
      <w:r>
        <w:rPr>
          <w:rFonts w:ascii="Arial" w:hAnsi="Arial" w:cs="Arial"/>
          <w:sz w:val="22"/>
          <w:szCs w:val="22"/>
        </w:rPr>
        <w:t>. United Nations.</w:t>
      </w:r>
    </w:p>
    <w:p w14:paraId="23E63F74" w14:textId="77777777" w:rsidR="00B96B9F" w:rsidRDefault="00000000">
      <w:pPr>
        <w:pStyle w:val="NormalWeb"/>
        <w:jc w:val="both"/>
        <w:rPr>
          <w:rFonts w:ascii="Arial" w:hAnsi="Arial" w:cs="Arial"/>
          <w:sz w:val="22"/>
          <w:szCs w:val="22"/>
        </w:rPr>
      </w:pPr>
      <w:r>
        <w:rPr>
          <w:rFonts w:ascii="Arial" w:hAnsi="Arial" w:cs="Arial"/>
          <w:sz w:val="22"/>
          <w:szCs w:val="22"/>
        </w:rPr>
        <w:t xml:space="preserve">UN (2023). </w:t>
      </w:r>
      <w:r>
        <w:rPr>
          <w:rStyle w:val="Emphasis"/>
          <w:rFonts w:ascii="Arial" w:hAnsi="Arial" w:cs="Arial"/>
          <w:sz w:val="22"/>
          <w:szCs w:val="22"/>
        </w:rPr>
        <w:t>SDG Progress Report</w:t>
      </w:r>
      <w:r>
        <w:rPr>
          <w:rFonts w:ascii="Arial" w:hAnsi="Arial" w:cs="Arial"/>
          <w:sz w:val="22"/>
          <w:szCs w:val="22"/>
        </w:rPr>
        <w:t>. United Nations.</w:t>
      </w:r>
    </w:p>
    <w:p w14:paraId="531D10F8" w14:textId="77777777" w:rsidR="00B96B9F" w:rsidRDefault="00000000">
      <w:pPr>
        <w:pStyle w:val="NormalWeb"/>
        <w:jc w:val="both"/>
        <w:rPr>
          <w:rFonts w:ascii="Arial" w:hAnsi="Arial" w:cs="Arial"/>
          <w:sz w:val="22"/>
          <w:szCs w:val="22"/>
        </w:rPr>
      </w:pPr>
      <w:r>
        <w:rPr>
          <w:rFonts w:ascii="Arial" w:hAnsi="Arial" w:cs="Arial"/>
          <w:sz w:val="22"/>
          <w:szCs w:val="22"/>
        </w:rPr>
        <w:t xml:space="preserve">UNDP (2022). </w:t>
      </w:r>
      <w:r>
        <w:rPr>
          <w:rStyle w:val="Emphasis"/>
          <w:rFonts w:ascii="Arial" w:hAnsi="Arial" w:cs="Arial"/>
          <w:sz w:val="22"/>
          <w:szCs w:val="22"/>
        </w:rPr>
        <w:t>Human Development Report</w:t>
      </w:r>
      <w:r>
        <w:rPr>
          <w:rFonts w:ascii="Arial" w:hAnsi="Arial" w:cs="Arial"/>
          <w:sz w:val="22"/>
          <w:szCs w:val="22"/>
        </w:rPr>
        <w:t>. New York: UNDP.</w:t>
      </w:r>
    </w:p>
    <w:p w14:paraId="1D20CD0B" w14:textId="77777777" w:rsidR="00B96B9F" w:rsidRDefault="00000000">
      <w:pPr>
        <w:spacing w:line="240" w:lineRule="auto"/>
        <w:jc w:val="both"/>
        <w:rPr>
          <w:rFonts w:ascii="Arial" w:hAnsi="Arial" w:cs="Arial"/>
        </w:rPr>
      </w:pPr>
      <w:r>
        <w:rPr>
          <w:rFonts w:ascii="Arial" w:eastAsia="SimSun" w:hAnsi="Arial" w:cs="Arial"/>
          <w:lang w:val="en-US" w:eastAsia="zh-CN" w:bidi="ar"/>
        </w:rPr>
        <w:t xml:space="preserve">Venkatesh, G. (2022). A Brief Analysis of SDG 3–Good Health and Well-being–and its Synergies and Trade-offs with the other Sustainable Development Goals. </w:t>
      </w:r>
      <w:proofErr w:type="spellStart"/>
      <w:r>
        <w:rPr>
          <w:rFonts w:ascii="Arial" w:eastAsia="SimSun" w:hAnsi="Arial" w:cs="Arial"/>
          <w:i/>
          <w:iCs/>
          <w:lang w:val="en-US" w:eastAsia="zh-CN" w:bidi="ar"/>
        </w:rPr>
        <w:t>Problemy</w:t>
      </w:r>
      <w:proofErr w:type="spellEnd"/>
      <w:r>
        <w:rPr>
          <w:rFonts w:ascii="Arial" w:eastAsia="SimSun" w:hAnsi="Arial" w:cs="Arial"/>
          <w:i/>
          <w:iCs/>
          <w:lang w:val="en-US" w:eastAsia="zh-CN" w:bidi="ar"/>
        </w:rPr>
        <w:t xml:space="preserve"> </w:t>
      </w:r>
      <w:proofErr w:type="spellStart"/>
      <w:r>
        <w:rPr>
          <w:rFonts w:ascii="Arial" w:eastAsia="SimSun" w:hAnsi="Arial" w:cs="Arial"/>
          <w:i/>
          <w:iCs/>
          <w:lang w:val="en-US" w:eastAsia="zh-CN" w:bidi="ar"/>
        </w:rPr>
        <w:t>Ekorozwoju</w:t>
      </w:r>
      <w:proofErr w:type="spellEnd"/>
      <w:r>
        <w:rPr>
          <w:rFonts w:ascii="Arial" w:eastAsia="SimSun" w:hAnsi="Arial" w:cs="Arial"/>
          <w:lang w:val="en-US" w:eastAsia="zh-CN" w:bidi="ar"/>
        </w:rPr>
        <w:t xml:space="preserve">, </w:t>
      </w:r>
      <w:r>
        <w:rPr>
          <w:rFonts w:ascii="Arial" w:eastAsia="SimSun" w:hAnsi="Arial" w:cs="Arial"/>
          <w:i/>
          <w:iCs/>
          <w:lang w:val="en-US" w:eastAsia="zh-CN" w:bidi="ar"/>
        </w:rPr>
        <w:t>17</w:t>
      </w:r>
      <w:r>
        <w:rPr>
          <w:rFonts w:ascii="Arial" w:eastAsia="SimSun" w:hAnsi="Arial" w:cs="Arial"/>
          <w:lang w:val="en-US" w:eastAsia="zh-CN" w:bidi="ar"/>
        </w:rPr>
        <w:t>(2).</w:t>
      </w:r>
    </w:p>
    <w:p w14:paraId="0E66D566" w14:textId="77777777" w:rsidR="00B96B9F" w:rsidRDefault="00000000">
      <w:pPr>
        <w:spacing w:line="240" w:lineRule="auto"/>
        <w:jc w:val="both"/>
        <w:rPr>
          <w:rFonts w:ascii="Arial" w:hAnsi="Arial" w:cs="Arial"/>
        </w:rPr>
      </w:pPr>
      <w:r>
        <w:rPr>
          <w:rFonts w:ascii="Arial" w:eastAsia="SimSun" w:hAnsi="Arial" w:cs="Arial"/>
          <w:lang w:val="en-US" w:eastAsia="zh-CN" w:bidi="ar"/>
        </w:rPr>
        <w:t xml:space="preserve">White, P., Skirrow, H., George, A. and Memon, A. (2018). A systematic review of economic evaluations of local authority commissioned preventative public health interventions in overweight and obesity, physical inactivity, alcohol and illicit drugs use and smoking cessation in the United Kingdom. </w:t>
      </w:r>
      <w:r>
        <w:rPr>
          <w:rFonts w:ascii="Arial" w:eastAsia="SimSun" w:hAnsi="Arial" w:cs="Arial"/>
          <w:i/>
          <w:iCs/>
          <w:lang w:val="en-US" w:eastAsia="zh-CN" w:bidi="ar"/>
        </w:rPr>
        <w:t>Journal of Public Health</w:t>
      </w:r>
      <w:r>
        <w:rPr>
          <w:rFonts w:ascii="Arial" w:eastAsia="SimSun" w:hAnsi="Arial" w:cs="Arial"/>
          <w:lang w:val="en-US" w:eastAsia="zh-CN" w:bidi="ar"/>
        </w:rPr>
        <w:t xml:space="preserve">, </w:t>
      </w:r>
      <w:r>
        <w:rPr>
          <w:rFonts w:ascii="Arial" w:eastAsia="SimSun" w:hAnsi="Arial" w:cs="Arial"/>
          <w:i/>
          <w:iCs/>
          <w:lang w:val="en-US" w:eastAsia="zh-CN" w:bidi="ar"/>
        </w:rPr>
        <w:t>40</w:t>
      </w:r>
      <w:r>
        <w:rPr>
          <w:rFonts w:ascii="Arial" w:eastAsia="SimSun" w:hAnsi="Arial" w:cs="Arial"/>
          <w:lang w:val="en-US" w:eastAsia="zh-CN" w:bidi="ar"/>
        </w:rPr>
        <w:t xml:space="preserve">(4), </w:t>
      </w:r>
      <w:proofErr w:type="gramStart"/>
      <w:r>
        <w:rPr>
          <w:rFonts w:ascii="Arial" w:eastAsia="SimSun" w:hAnsi="Arial" w:cs="Arial"/>
          <w:lang w:val="en-US" w:eastAsia="zh-CN" w:bidi="ar"/>
        </w:rPr>
        <w:t>pp.e</w:t>
      </w:r>
      <w:proofErr w:type="gramEnd"/>
      <w:r>
        <w:rPr>
          <w:rFonts w:ascii="Arial" w:eastAsia="SimSun" w:hAnsi="Arial" w:cs="Arial"/>
          <w:lang w:val="en-US" w:eastAsia="zh-CN" w:bidi="ar"/>
        </w:rPr>
        <w:t>521-e530.</w:t>
      </w:r>
    </w:p>
    <w:p w14:paraId="1A155896" w14:textId="1FFF3408" w:rsidR="00B96B9F" w:rsidRDefault="00000000">
      <w:pPr>
        <w:pStyle w:val="NormalWeb"/>
        <w:jc w:val="both"/>
        <w:rPr>
          <w:rFonts w:ascii="Arial" w:hAnsi="Arial" w:cs="Arial"/>
          <w:sz w:val="22"/>
          <w:szCs w:val="22"/>
        </w:rPr>
      </w:pPr>
      <w:r>
        <w:rPr>
          <w:rFonts w:ascii="Arial" w:hAnsi="Arial" w:cs="Arial"/>
          <w:sz w:val="22"/>
          <w:szCs w:val="22"/>
          <w:lang w:bidi="ar"/>
        </w:rPr>
        <w:t xml:space="preserve">World Health </w:t>
      </w:r>
      <w:r w:rsidR="00E832BB">
        <w:rPr>
          <w:rFonts w:ascii="Arial" w:hAnsi="Arial" w:cs="Arial"/>
          <w:sz w:val="22"/>
          <w:szCs w:val="22"/>
          <w:lang w:bidi="ar"/>
        </w:rPr>
        <w:t>Organisation</w:t>
      </w:r>
      <w:r>
        <w:rPr>
          <w:rFonts w:ascii="Arial" w:hAnsi="Arial" w:cs="Arial"/>
          <w:sz w:val="22"/>
          <w:szCs w:val="22"/>
        </w:rPr>
        <w:t xml:space="preserve"> (2021). </w:t>
      </w:r>
      <w:r>
        <w:rPr>
          <w:rStyle w:val="Emphasis"/>
          <w:rFonts w:ascii="Arial" w:hAnsi="Arial" w:cs="Arial"/>
          <w:sz w:val="22"/>
          <w:szCs w:val="22"/>
        </w:rPr>
        <w:t>Noncommunicable Diseases: Key Facts</w:t>
      </w:r>
      <w:r>
        <w:rPr>
          <w:rFonts w:ascii="Arial" w:hAnsi="Arial" w:cs="Arial"/>
          <w:sz w:val="22"/>
          <w:szCs w:val="22"/>
        </w:rPr>
        <w:t xml:space="preserve">. World Health </w:t>
      </w:r>
      <w:r w:rsidR="00E832BB">
        <w:rPr>
          <w:rFonts w:ascii="Arial" w:hAnsi="Arial" w:cs="Arial"/>
          <w:sz w:val="22"/>
          <w:szCs w:val="22"/>
        </w:rPr>
        <w:t>Organisation</w:t>
      </w:r>
      <w:r>
        <w:rPr>
          <w:rFonts w:ascii="Arial" w:hAnsi="Arial" w:cs="Arial"/>
          <w:sz w:val="22"/>
          <w:szCs w:val="22"/>
        </w:rPr>
        <w:t>.</w:t>
      </w:r>
    </w:p>
    <w:p w14:paraId="3FF4449D" w14:textId="36FDFE9E" w:rsidR="00B96B9F" w:rsidRDefault="00000000">
      <w:pPr>
        <w:spacing w:line="240" w:lineRule="auto"/>
        <w:jc w:val="both"/>
        <w:rPr>
          <w:rFonts w:ascii="Arial" w:hAnsi="Arial" w:cs="Arial"/>
        </w:rPr>
      </w:pPr>
      <w:r>
        <w:rPr>
          <w:rFonts w:ascii="Arial" w:eastAsia="SimSun" w:hAnsi="Arial" w:cs="Arial"/>
          <w:lang w:val="en-US" w:eastAsia="zh-CN" w:bidi="ar"/>
        </w:rPr>
        <w:t xml:space="preserve">World Health </w:t>
      </w:r>
      <w:r w:rsidR="00E832BB">
        <w:rPr>
          <w:rFonts w:ascii="Arial" w:eastAsia="SimSun" w:hAnsi="Arial" w:cs="Arial"/>
          <w:lang w:val="en-US" w:eastAsia="zh-CN" w:bidi="ar"/>
        </w:rPr>
        <w:t>Organisation</w:t>
      </w:r>
      <w:r>
        <w:rPr>
          <w:rFonts w:ascii="Arial" w:eastAsia="SimSun" w:hAnsi="Arial" w:cs="Arial"/>
          <w:lang w:val="en-US" w:eastAsia="zh-CN" w:bidi="ar"/>
        </w:rPr>
        <w:t xml:space="preserve"> and United Nations Children's Fund (2021). </w:t>
      </w:r>
      <w:r>
        <w:rPr>
          <w:rFonts w:ascii="Arial" w:eastAsia="SimSun" w:hAnsi="Arial" w:cs="Arial"/>
          <w:i/>
          <w:iCs/>
          <w:lang w:val="en-US" w:eastAsia="zh-CN" w:bidi="ar"/>
        </w:rPr>
        <w:t>Primary health care measurement framework and indicators: monitoring health systems through a primary health care lens</w:t>
      </w:r>
      <w:r>
        <w:rPr>
          <w:rFonts w:ascii="Arial" w:eastAsia="SimSun" w:hAnsi="Arial" w:cs="Arial"/>
          <w:lang w:val="en-US" w:eastAsia="zh-CN" w:bidi="ar"/>
        </w:rPr>
        <w:t xml:space="preserve">. World Health </w:t>
      </w:r>
      <w:r w:rsidR="00E832BB">
        <w:rPr>
          <w:rFonts w:ascii="Arial" w:eastAsia="SimSun" w:hAnsi="Arial" w:cs="Arial"/>
          <w:lang w:val="en-US" w:eastAsia="zh-CN" w:bidi="ar"/>
        </w:rPr>
        <w:t>Organisation</w:t>
      </w:r>
      <w:r>
        <w:rPr>
          <w:rFonts w:ascii="Arial" w:eastAsia="SimSun" w:hAnsi="Arial" w:cs="Arial"/>
          <w:lang w:val="en-US" w:eastAsia="zh-CN" w:bidi="ar"/>
        </w:rPr>
        <w:t>.</w:t>
      </w:r>
    </w:p>
    <w:p w14:paraId="18F917E0" w14:textId="16B91662" w:rsidR="00B96B9F" w:rsidRDefault="00000000">
      <w:pPr>
        <w:pStyle w:val="NormalWeb"/>
        <w:jc w:val="both"/>
        <w:rPr>
          <w:rFonts w:ascii="Arial" w:hAnsi="Arial" w:cs="Arial"/>
          <w:sz w:val="22"/>
          <w:szCs w:val="22"/>
        </w:rPr>
      </w:pPr>
      <w:r>
        <w:rPr>
          <w:rFonts w:ascii="Arial" w:hAnsi="Arial" w:cs="Arial"/>
          <w:sz w:val="22"/>
          <w:szCs w:val="22"/>
          <w:lang w:bidi="ar"/>
        </w:rPr>
        <w:t xml:space="preserve">World Health </w:t>
      </w:r>
      <w:r w:rsidR="00E832BB">
        <w:rPr>
          <w:rFonts w:ascii="Arial" w:hAnsi="Arial" w:cs="Arial"/>
          <w:sz w:val="22"/>
          <w:szCs w:val="22"/>
          <w:lang w:bidi="ar"/>
        </w:rPr>
        <w:t>Organisation</w:t>
      </w:r>
      <w:r>
        <w:rPr>
          <w:rFonts w:ascii="Arial" w:hAnsi="Arial" w:cs="Arial"/>
          <w:sz w:val="22"/>
          <w:szCs w:val="22"/>
        </w:rPr>
        <w:t xml:space="preserve"> (2022). </w:t>
      </w:r>
      <w:r>
        <w:rPr>
          <w:rStyle w:val="Emphasis"/>
          <w:rFonts w:ascii="Arial" w:hAnsi="Arial" w:cs="Arial"/>
          <w:sz w:val="22"/>
          <w:szCs w:val="22"/>
        </w:rPr>
        <w:t>Trends in Maternal Mortality 2000–2020</w:t>
      </w:r>
      <w:r>
        <w:rPr>
          <w:rFonts w:ascii="Arial" w:hAnsi="Arial" w:cs="Arial"/>
          <w:sz w:val="22"/>
          <w:szCs w:val="22"/>
        </w:rPr>
        <w:t xml:space="preserve">. World Health </w:t>
      </w:r>
      <w:r w:rsidR="00E832BB">
        <w:rPr>
          <w:rFonts w:ascii="Arial" w:hAnsi="Arial" w:cs="Arial"/>
          <w:sz w:val="22"/>
          <w:szCs w:val="22"/>
        </w:rPr>
        <w:t>Organisation</w:t>
      </w:r>
      <w:r>
        <w:rPr>
          <w:rFonts w:ascii="Arial" w:hAnsi="Arial" w:cs="Arial"/>
          <w:sz w:val="22"/>
          <w:szCs w:val="22"/>
        </w:rPr>
        <w:t>.</w:t>
      </w:r>
    </w:p>
    <w:p w14:paraId="2715A1E0" w14:textId="26908055" w:rsidR="00B96B9F" w:rsidRDefault="00000000">
      <w:pPr>
        <w:spacing w:line="240" w:lineRule="auto"/>
        <w:jc w:val="both"/>
        <w:rPr>
          <w:rFonts w:ascii="Arial" w:hAnsi="Arial" w:cs="Arial"/>
        </w:rPr>
      </w:pPr>
      <w:r>
        <w:rPr>
          <w:rFonts w:ascii="Arial" w:hAnsi="Arial" w:cs="Arial"/>
          <w:lang w:val="en-US" w:eastAsia="zh-CN"/>
        </w:rPr>
        <w:t xml:space="preserve">World Health </w:t>
      </w:r>
      <w:r w:rsidR="00E832BB">
        <w:rPr>
          <w:rFonts w:ascii="Arial" w:hAnsi="Arial" w:cs="Arial"/>
          <w:lang w:val="en-US" w:eastAsia="zh-CN"/>
        </w:rPr>
        <w:t>Organisation</w:t>
      </w:r>
      <w:r>
        <w:rPr>
          <w:rFonts w:ascii="Arial" w:hAnsi="Arial" w:cs="Arial"/>
          <w:lang w:val="en-US" w:eastAsia="zh-CN"/>
        </w:rPr>
        <w:t xml:space="preserve"> (2022b). World mental health report: Transforming mental health for all. World Health </w:t>
      </w:r>
      <w:r w:rsidR="00E832BB">
        <w:rPr>
          <w:rFonts w:ascii="Arial" w:hAnsi="Arial" w:cs="Arial"/>
          <w:lang w:val="en-US" w:eastAsia="zh-CN"/>
        </w:rPr>
        <w:t>Organisation</w:t>
      </w:r>
      <w:r>
        <w:rPr>
          <w:rFonts w:ascii="Arial" w:hAnsi="Arial" w:cs="Arial"/>
          <w:lang w:val="en-US" w:eastAsia="zh-CN"/>
        </w:rPr>
        <w:t>.</w:t>
      </w:r>
    </w:p>
    <w:p w14:paraId="03EFDC61" w14:textId="14807BC3" w:rsidR="00B96B9F" w:rsidRDefault="00000000">
      <w:pPr>
        <w:spacing w:line="240" w:lineRule="auto"/>
        <w:jc w:val="both"/>
        <w:rPr>
          <w:rFonts w:ascii="Arial" w:eastAsia="SimSun" w:hAnsi="Arial" w:cs="Arial"/>
          <w:lang w:val="en-US" w:eastAsia="zh-CN" w:bidi="ar"/>
        </w:rPr>
      </w:pPr>
      <w:r>
        <w:rPr>
          <w:rFonts w:ascii="Arial" w:eastAsia="SimSun" w:hAnsi="Arial" w:cs="Arial"/>
          <w:lang w:val="en-US" w:eastAsia="zh-CN" w:bidi="ar"/>
        </w:rPr>
        <w:t>World Health Organi</w:t>
      </w:r>
      <w:r w:rsidR="007C4C2D">
        <w:rPr>
          <w:rFonts w:ascii="Arial" w:eastAsia="SimSun" w:hAnsi="Arial" w:cs="Arial"/>
          <w:lang w:val="en-US" w:eastAsia="zh-CN" w:bidi="ar"/>
        </w:rPr>
        <w:t>s</w:t>
      </w:r>
      <w:r>
        <w:rPr>
          <w:rFonts w:ascii="Arial" w:eastAsia="SimSun" w:hAnsi="Arial" w:cs="Arial"/>
          <w:lang w:val="en-US" w:eastAsia="zh-CN" w:bidi="ar"/>
        </w:rPr>
        <w:t>ation (2024a). Operational framework for monitoring social determinants of health equity. World Health Organization.</w:t>
      </w:r>
    </w:p>
    <w:p w14:paraId="50362055" w14:textId="0B3709A1" w:rsidR="00B96B9F" w:rsidRDefault="00000000">
      <w:pPr>
        <w:spacing w:line="240" w:lineRule="auto"/>
        <w:jc w:val="both"/>
        <w:rPr>
          <w:rFonts w:ascii="Arial" w:hAnsi="Arial" w:cs="Arial"/>
        </w:rPr>
      </w:pPr>
      <w:r>
        <w:rPr>
          <w:rFonts w:ascii="Arial" w:eastAsia="SimSun" w:hAnsi="Arial" w:cs="Arial"/>
          <w:lang w:val="en-US" w:eastAsia="zh-CN" w:bidi="ar"/>
        </w:rPr>
        <w:t xml:space="preserve">World Health </w:t>
      </w:r>
      <w:proofErr w:type="spellStart"/>
      <w:r>
        <w:rPr>
          <w:rFonts w:ascii="Arial" w:eastAsia="SimSun" w:hAnsi="Arial" w:cs="Arial"/>
          <w:lang w:val="en-US" w:eastAsia="zh-CN" w:bidi="ar"/>
        </w:rPr>
        <w:t>Organi</w:t>
      </w:r>
      <w:r w:rsidR="007C4C2D">
        <w:rPr>
          <w:rFonts w:ascii="Arial" w:eastAsia="SimSun" w:hAnsi="Arial" w:cs="Arial"/>
          <w:lang w:val="en-US" w:eastAsia="zh-CN" w:bidi="ar"/>
        </w:rPr>
        <w:t>s</w:t>
      </w:r>
      <w:r>
        <w:rPr>
          <w:rFonts w:ascii="Arial" w:eastAsia="SimSun" w:hAnsi="Arial" w:cs="Arial"/>
          <w:lang w:val="en-US" w:eastAsia="zh-CN" w:bidi="ar"/>
        </w:rPr>
        <w:t>ation</w:t>
      </w:r>
      <w:proofErr w:type="spellEnd"/>
      <w:r>
        <w:rPr>
          <w:rFonts w:ascii="Arial" w:eastAsia="SimSun" w:hAnsi="Arial" w:cs="Arial"/>
          <w:lang w:val="en-US" w:eastAsia="zh-CN" w:bidi="ar"/>
        </w:rPr>
        <w:t xml:space="preserve"> (2024c). </w:t>
      </w:r>
      <w:r>
        <w:rPr>
          <w:rFonts w:ascii="Arial" w:eastAsia="SimSun" w:hAnsi="Arial" w:cs="Arial"/>
          <w:i/>
          <w:iCs/>
          <w:lang w:val="en-US" w:eastAsia="zh-CN" w:bidi="ar"/>
        </w:rPr>
        <w:t>Tackling NCDs: best buys and other recommended interventions for the prevention and control of noncommunicable diseases</w:t>
      </w:r>
      <w:r>
        <w:rPr>
          <w:rFonts w:ascii="Arial" w:eastAsia="SimSun" w:hAnsi="Arial" w:cs="Arial"/>
          <w:lang w:val="en-US" w:eastAsia="zh-CN" w:bidi="ar"/>
        </w:rPr>
        <w:t>. World Health Organization.</w:t>
      </w:r>
    </w:p>
    <w:p w14:paraId="47833CA3" w14:textId="232A4713" w:rsidR="00B96B9F" w:rsidRDefault="00000000">
      <w:pPr>
        <w:spacing w:line="240" w:lineRule="auto"/>
        <w:jc w:val="both"/>
        <w:rPr>
          <w:rFonts w:ascii="Arial" w:hAnsi="Arial" w:cs="Arial"/>
        </w:rPr>
      </w:pPr>
      <w:r>
        <w:rPr>
          <w:rFonts w:ascii="Arial" w:eastAsia="SimSun" w:hAnsi="Arial" w:cs="Arial"/>
          <w:lang w:val="en-US" w:eastAsia="zh-CN" w:bidi="ar"/>
        </w:rPr>
        <w:lastRenderedPageBreak/>
        <w:t xml:space="preserve">World Health </w:t>
      </w:r>
      <w:proofErr w:type="spellStart"/>
      <w:r>
        <w:rPr>
          <w:rFonts w:ascii="Arial" w:eastAsia="SimSun" w:hAnsi="Arial" w:cs="Arial"/>
          <w:lang w:val="en-US" w:eastAsia="zh-CN" w:bidi="ar"/>
        </w:rPr>
        <w:t>Organi</w:t>
      </w:r>
      <w:r w:rsidR="007C4C2D">
        <w:rPr>
          <w:rFonts w:ascii="Arial" w:eastAsia="SimSun" w:hAnsi="Arial" w:cs="Arial"/>
          <w:lang w:val="en-US" w:eastAsia="zh-CN" w:bidi="ar"/>
        </w:rPr>
        <w:t>s</w:t>
      </w:r>
      <w:r>
        <w:rPr>
          <w:rFonts w:ascii="Arial" w:eastAsia="SimSun" w:hAnsi="Arial" w:cs="Arial"/>
          <w:lang w:val="en-US" w:eastAsia="zh-CN" w:bidi="ar"/>
        </w:rPr>
        <w:t>ation</w:t>
      </w:r>
      <w:proofErr w:type="spellEnd"/>
      <w:r>
        <w:rPr>
          <w:rFonts w:ascii="Arial" w:eastAsia="SimSun" w:hAnsi="Arial" w:cs="Arial"/>
          <w:lang w:val="en-US" w:eastAsia="zh-CN" w:bidi="ar"/>
        </w:rPr>
        <w:t xml:space="preserve"> (2024d). </w:t>
      </w:r>
      <w:r>
        <w:rPr>
          <w:rFonts w:ascii="Arial" w:eastAsia="SimSun" w:hAnsi="Arial" w:cs="Arial"/>
          <w:i/>
          <w:iCs/>
          <w:lang w:val="en-US" w:eastAsia="zh-CN" w:bidi="ar"/>
        </w:rPr>
        <w:t xml:space="preserve">Achieving well-being: a global framework for integrating well-being into public health </w:t>
      </w:r>
      <w:proofErr w:type="spellStart"/>
      <w:r>
        <w:rPr>
          <w:rFonts w:ascii="Arial" w:eastAsia="SimSun" w:hAnsi="Arial" w:cs="Arial"/>
          <w:i/>
          <w:iCs/>
          <w:lang w:val="en-US" w:eastAsia="zh-CN" w:bidi="ar"/>
        </w:rPr>
        <w:t>utili</w:t>
      </w:r>
      <w:r w:rsidR="007C4C2D">
        <w:rPr>
          <w:rFonts w:ascii="Arial" w:eastAsia="SimSun" w:hAnsi="Arial" w:cs="Arial"/>
          <w:i/>
          <w:iCs/>
          <w:lang w:val="en-US" w:eastAsia="zh-CN" w:bidi="ar"/>
        </w:rPr>
        <w:t>s</w:t>
      </w:r>
      <w:r>
        <w:rPr>
          <w:rFonts w:ascii="Arial" w:eastAsia="SimSun" w:hAnsi="Arial" w:cs="Arial"/>
          <w:i/>
          <w:iCs/>
          <w:lang w:val="en-US" w:eastAsia="zh-CN" w:bidi="ar"/>
        </w:rPr>
        <w:t>ing</w:t>
      </w:r>
      <w:proofErr w:type="spellEnd"/>
      <w:r>
        <w:rPr>
          <w:rFonts w:ascii="Arial" w:eastAsia="SimSun" w:hAnsi="Arial" w:cs="Arial"/>
          <w:i/>
          <w:iCs/>
          <w:lang w:val="en-US" w:eastAsia="zh-CN" w:bidi="ar"/>
        </w:rPr>
        <w:t xml:space="preserve"> a health promotion approach</w:t>
      </w:r>
      <w:r>
        <w:rPr>
          <w:rFonts w:ascii="Arial" w:eastAsia="SimSun" w:hAnsi="Arial" w:cs="Arial"/>
          <w:lang w:val="en-US" w:eastAsia="zh-CN" w:bidi="ar"/>
        </w:rPr>
        <w:t>. World Health Organization.</w:t>
      </w:r>
    </w:p>
    <w:p w14:paraId="10BA184D" w14:textId="33356996" w:rsidR="00B96B9F" w:rsidRDefault="00000000">
      <w:pPr>
        <w:spacing w:line="240" w:lineRule="auto"/>
        <w:jc w:val="both"/>
        <w:rPr>
          <w:rFonts w:ascii="Arial" w:hAnsi="Arial" w:cs="Arial"/>
        </w:rPr>
      </w:pPr>
      <w:r>
        <w:rPr>
          <w:rFonts w:ascii="Arial" w:eastAsia="SimSun" w:hAnsi="Arial" w:cs="Arial"/>
          <w:lang w:val="en-US" w:eastAsia="zh-CN" w:bidi="ar"/>
        </w:rPr>
        <w:t xml:space="preserve">World Health Organization (2025). </w:t>
      </w:r>
      <w:r>
        <w:rPr>
          <w:rFonts w:ascii="Arial" w:eastAsia="SimSun" w:hAnsi="Arial" w:cs="Arial"/>
          <w:i/>
          <w:iCs/>
          <w:lang w:val="en-US" w:eastAsia="zh-CN" w:bidi="ar"/>
        </w:rPr>
        <w:t>Implementing the global framework on well-being at country level: Policy pathways</w:t>
      </w:r>
      <w:r>
        <w:rPr>
          <w:rFonts w:ascii="Arial" w:eastAsia="SimSun" w:hAnsi="Arial" w:cs="Arial"/>
          <w:lang w:val="en-US" w:eastAsia="zh-CN" w:bidi="ar"/>
        </w:rPr>
        <w:t xml:space="preserve">. World Health </w:t>
      </w:r>
      <w:proofErr w:type="spellStart"/>
      <w:r w:rsidR="007C4C2D">
        <w:rPr>
          <w:rFonts w:ascii="Arial" w:eastAsia="SimSun" w:hAnsi="Arial" w:cs="Arial"/>
          <w:lang w:val="en-US" w:eastAsia="zh-CN" w:bidi="ar"/>
        </w:rPr>
        <w:t>Organisation</w:t>
      </w:r>
      <w:proofErr w:type="spellEnd"/>
      <w:r>
        <w:rPr>
          <w:rFonts w:ascii="Arial" w:eastAsia="SimSun" w:hAnsi="Arial" w:cs="Arial"/>
          <w:lang w:val="en-US" w:eastAsia="zh-CN" w:bidi="ar"/>
        </w:rPr>
        <w:t>.</w:t>
      </w:r>
    </w:p>
    <w:p w14:paraId="4E4308B4" w14:textId="77777777" w:rsidR="00B96B9F" w:rsidRDefault="00000000">
      <w:pPr>
        <w:spacing w:line="240" w:lineRule="auto"/>
        <w:jc w:val="both"/>
        <w:rPr>
          <w:rFonts w:ascii="Arial" w:hAnsi="Arial" w:cs="Arial"/>
        </w:rPr>
      </w:pPr>
      <w:r>
        <w:rPr>
          <w:rFonts w:ascii="Arial" w:eastAsia="SimSun" w:hAnsi="Arial" w:cs="Arial"/>
          <w:lang w:val="en-US" w:eastAsia="zh-CN" w:bidi="ar"/>
        </w:rPr>
        <w:t xml:space="preserve">Yadav, U.N., Paudel, G., Ghimire, S., Khatiwada, B., Gurung, A., </w:t>
      </w:r>
      <w:proofErr w:type="spellStart"/>
      <w:r>
        <w:rPr>
          <w:rFonts w:ascii="Arial" w:eastAsia="SimSun" w:hAnsi="Arial" w:cs="Arial"/>
          <w:lang w:val="en-US" w:eastAsia="zh-CN" w:bidi="ar"/>
        </w:rPr>
        <w:t>Parsekar</w:t>
      </w:r>
      <w:proofErr w:type="spellEnd"/>
      <w:r>
        <w:rPr>
          <w:rFonts w:ascii="Arial" w:eastAsia="SimSun" w:hAnsi="Arial" w:cs="Arial"/>
          <w:lang w:val="en-US" w:eastAsia="zh-CN" w:bidi="ar"/>
        </w:rPr>
        <w:t xml:space="preserve">, S.S. and Mistry, S.K. (2024). A rapid review of opportunities and challenges in the implementation of social prescription interventions for addressing the unmet needs of individuals living with long-term chronic conditions. </w:t>
      </w:r>
      <w:r>
        <w:rPr>
          <w:rFonts w:ascii="Arial" w:eastAsia="SimSun" w:hAnsi="Arial" w:cs="Arial"/>
          <w:i/>
          <w:iCs/>
          <w:lang w:val="en-US" w:eastAsia="zh-CN" w:bidi="ar"/>
        </w:rPr>
        <w:t>BMC public health</w:t>
      </w:r>
      <w:r>
        <w:rPr>
          <w:rFonts w:ascii="Arial" w:eastAsia="SimSun" w:hAnsi="Arial" w:cs="Arial"/>
          <w:lang w:val="en-US" w:eastAsia="zh-CN" w:bidi="ar"/>
        </w:rPr>
        <w:t xml:space="preserve">, </w:t>
      </w:r>
      <w:r>
        <w:rPr>
          <w:rFonts w:ascii="Arial" w:eastAsia="SimSun" w:hAnsi="Arial" w:cs="Arial"/>
          <w:i/>
          <w:iCs/>
          <w:lang w:val="en-US" w:eastAsia="zh-CN" w:bidi="ar"/>
        </w:rPr>
        <w:t>24</w:t>
      </w:r>
      <w:r>
        <w:rPr>
          <w:rFonts w:ascii="Arial" w:eastAsia="SimSun" w:hAnsi="Arial" w:cs="Arial"/>
          <w:lang w:val="en-US" w:eastAsia="zh-CN" w:bidi="ar"/>
        </w:rPr>
        <w:t>(1), p.306.</w:t>
      </w:r>
    </w:p>
    <w:sectPr w:rsidR="00B96B9F">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AE5C3" w14:textId="77777777" w:rsidR="00FD6833" w:rsidRDefault="00FD6833">
      <w:pPr>
        <w:spacing w:line="240" w:lineRule="auto"/>
      </w:pPr>
      <w:r>
        <w:separator/>
      </w:r>
    </w:p>
  </w:endnote>
  <w:endnote w:type="continuationSeparator" w:id="0">
    <w:p w14:paraId="05A5286F" w14:textId="77777777" w:rsidR="00FD6833" w:rsidRDefault="00FD68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8F63A" w14:textId="77777777" w:rsidR="005F51E0" w:rsidRDefault="005F51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3727778"/>
      <w:docPartObj>
        <w:docPartGallery w:val="Page Numbers (Bottom of Page)"/>
        <w:docPartUnique/>
      </w:docPartObj>
    </w:sdtPr>
    <w:sdtContent>
      <w:p w14:paraId="7B6DF7DE" w14:textId="6CB5A6F5" w:rsidR="005F51E0" w:rsidRDefault="005F51E0">
        <w:pPr>
          <w:pStyle w:val="Footer"/>
          <w:jc w:val="center"/>
        </w:pPr>
        <w:r>
          <w:fldChar w:fldCharType="begin"/>
        </w:r>
        <w:r>
          <w:instrText>PAGE   \* MERGEFORMAT</w:instrText>
        </w:r>
        <w:r>
          <w:fldChar w:fldCharType="separate"/>
        </w:r>
        <w:r>
          <w:t>2</w:t>
        </w:r>
        <w:r>
          <w:fldChar w:fldCharType="end"/>
        </w:r>
      </w:p>
    </w:sdtContent>
  </w:sdt>
  <w:p w14:paraId="2A63AB4E" w14:textId="77777777" w:rsidR="005F51E0" w:rsidRDefault="005F51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9E3BEE" w14:textId="77777777" w:rsidR="005F51E0" w:rsidRDefault="005F5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6C2AC" w14:textId="77777777" w:rsidR="00FD6833" w:rsidRDefault="00FD6833">
      <w:pPr>
        <w:spacing w:after="0"/>
      </w:pPr>
      <w:r>
        <w:separator/>
      </w:r>
    </w:p>
  </w:footnote>
  <w:footnote w:type="continuationSeparator" w:id="0">
    <w:p w14:paraId="108F692B" w14:textId="77777777" w:rsidR="00FD6833" w:rsidRDefault="00FD683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72EFA" w14:textId="77777777" w:rsidR="005F51E0" w:rsidRDefault="005F51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09DBB" w14:textId="77777777" w:rsidR="005F51E0" w:rsidRDefault="005F51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200162" w14:textId="77777777" w:rsidR="005F51E0" w:rsidRDefault="005F51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192145"/>
    <w:multiLevelType w:val="hybridMultilevel"/>
    <w:tmpl w:val="44A84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435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5127A1A"/>
    <w:rsid w:val="002121CD"/>
    <w:rsid w:val="0028430C"/>
    <w:rsid w:val="002E2F0F"/>
    <w:rsid w:val="00357D37"/>
    <w:rsid w:val="00496940"/>
    <w:rsid w:val="004C243E"/>
    <w:rsid w:val="005A3332"/>
    <w:rsid w:val="005F51E0"/>
    <w:rsid w:val="007C4C2D"/>
    <w:rsid w:val="00823316"/>
    <w:rsid w:val="008D1919"/>
    <w:rsid w:val="00900F65"/>
    <w:rsid w:val="00A763C3"/>
    <w:rsid w:val="00AD3AF1"/>
    <w:rsid w:val="00AF490D"/>
    <w:rsid w:val="00B96B9F"/>
    <w:rsid w:val="00D15369"/>
    <w:rsid w:val="00E2579C"/>
    <w:rsid w:val="00E2658B"/>
    <w:rsid w:val="00E61B78"/>
    <w:rsid w:val="00E7188E"/>
    <w:rsid w:val="00E832BB"/>
    <w:rsid w:val="00F03E5B"/>
    <w:rsid w:val="00FC6480"/>
    <w:rsid w:val="00FD6833"/>
    <w:rsid w:val="17690018"/>
    <w:rsid w:val="1FBA482F"/>
    <w:rsid w:val="23832F26"/>
    <w:rsid w:val="3AB26A42"/>
    <w:rsid w:val="3C065C06"/>
    <w:rsid w:val="45127A1A"/>
    <w:rsid w:val="4889710F"/>
    <w:rsid w:val="491621F6"/>
    <w:rsid w:val="5FEF5938"/>
    <w:rsid w:val="62152230"/>
    <w:rsid w:val="642E50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05FA70"/>
  <w15:docId w15:val="{7877ACB3-49D6-4A10-B760-0A0A17C90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eastAsia="en-US"/>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val="en-US" w:eastAsia="zh-CN"/>
    </w:rPr>
  </w:style>
  <w:style w:type="paragraph" w:styleId="Heading3">
    <w:name w:val="heading 3"/>
    <w:next w:val="Normal"/>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Header">
    <w:name w:val="header"/>
    <w:basedOn w:val="Normal"/>
    <w:link w:val="HeaderChar"/>
    <w:rsid w:val="005F51E0"/>
    <w:pPr>
      <w:tabs>
        <w:tab w:val="center" w:pos="4513"/>
        <w:tab w:val="right" w:pos="9026"/>
      </w:tabs>
      <w:spacing w:after="0" w:line="240" w:lineRule="auto"/>
    </w:pPr>
  </w:style>
  <w:style w:type="character" w:customStyle="1" w:styleId="HeaderChar">
    <w:name w:val="Header Char"/>
    <w:basedOn w:val="DefaultParagraphFont"/>
    <w:link w:val="Header"/>
    <w:rsid w:val="005F51E0"/>
    <w:rPr>
      <w:rFonts w:asciiTheme="minorHAnsi" w:eastAsiaTheme="minorHAnsi" w:hAnsiTheme="minorHAnsi" w:cstheme="minorBidi"/>
      <w:sz w:val="22"/>
      <w:szCs w:val="22"/>
      <w:lang w:eastAsia="en-US"/>
    </w:rPr>
  </w:style>
  <w:style w:type="paragraph" w:styleId="Footer">
    <w:name w:val="footer"/>
    <w:basedOn w:val="Normal"/>
    <w:link w:val="FooterChar"/>
    <w:uiPriority w:val="99"/>
    <w:rsid w:val="005F5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1E0"/>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TotalTime>
  <Pages>13</Pages>
  <Words>3431</Words>
  <Characters>19563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ADEGOKE Omofolasaye Omobolanle</dc:creator>
  <cp:lastModifiedBy>Titi Solanke</cp:lastModifiedBy>
  <cp:revision>5</cp:revision>
  <dcterms:created xsi:type="dcterms:W3CDTF">2025-12-12T00:47:00Z</dcterms:created>
  <dcterms:modified xsi:type="dcterms:W3CDTF">2025-12-12T12:00:00Z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B089B7961DE7481E8946E9D4907B72A6_11</vt:lpwstr>
  </property>
  <property fmtid="{D5CDD505-2E9C-101B-9397-08002B2CF9AE}" pid="4" name="GrammarlyDocumentId">
    <vt:lpwstr>eb1577a6-6530-427e-977d-44c06b1de846</vt:lpwstr>
  </property>
</Properties>
</file>