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69527" w14:textId="5674A034" w:rsidR="00D969F9" w:rsidRDefault="00D969F9">
      <w:pPr>
        <w:pStyle w:val="NoSpacing"/>
        <w:spacing w:before="1540" w:after="240"/>
        <w:jc w:val="center"/>
        <w:rPr>
          <w:rFonts w:eastAsiaTheme="minorHAnsi"/>
          <w:color w:val="156082" w:themeColor="accent1"/>
          <w:kern w:val="2"/>
          <w:lang w:eastAsia="en-US"/>
          <w14:ligatures w14:val="standardContextual"/>
        </w:rPr>
      </w:pPr>
      <w:r>
        <w:rPr>
          <w:rFonts w:eastAsiaTheme="minorHAnsi"/>
          <w:color w:val="156082" w:themeColor="accent1"/>
          <w:kern w:val="2"/>
          <w:lang w:eastAsia="en-US"/>
          <w14:ligatures w14:val="standardContextual"/>
        </w:rPr>
        <w:t xml:space="preserve"> </w:t>
      </w:r>
    </w:p>
    <w:sdt>
      <w:sdtPr>
        <w:rPr>
          <w:rFonts w:eastAsiaTheme="minorHAnsi"/>
          <w:color w:val="156082" w:themeColor="accent1"/>
          <w:kern w:val="2"/>
          <w:lang w:eastAsia="en-US"/>
          <w14:ligatures w14:val="standardContextual"/>
        </w:rPr>
        <w:id w:val="871121713"/>
        <w:docPartObj>
          <w:docPartGallery w:val="Cover Pages"/>
          <w:docPartUnique/>
        </w:docPartObj>
      </w:sdtPr>
      <w:sdtEndPr>
        <w:rPr>
          <w:color w:val="auto"/>
        </w:rPr>
      </w:sdtEndPr>
      <w:sdtContent>
        <w:p w14:paraId="5977B6F0" w14:textId="5AABD065" w:rsidR="001C396C" w:rsidRDefault="001C396C">
          <w:pPr>
            <w:pStyle w:val="NoSpacing"/>
            <w:spacing w:before="1540" w:after="240"/>
            <w:jc w:val="center"/>
            <w:rPr>
              <w:rFonts w:eastAsiaTheme="minorHAnsi"/>
              <w:color w:val="156082" w:themeColor="accent1"/>
              <w:kern w:val="2"/>
              <w:lang w:eastAsia="en-US"/>
              <w14:ligatures w14:val="standardContextual"/>
            </w:rPr>
          </w:pPr>
        </w:p>
        <w:p w14:paraId="27A414C4" w14:textId="38AA5BF4" w:rsidR="001C396C" w:rsidRDefault="00C70C9C">
          <w:pPr>
            <w:pStyle w:val="NoSpacing"/>
            <w:spacing w:before="1540" w:after="240"/>
            <w:jc w:val="center"/>
            <w:rPr>
              <w:rFonts w:eastAsiaTheme="minorHAnsi"/>
              <w:color w:val="156082" w:themeColor="accent1"/>
              <w:kern w:val="2"/>
              <w:lang w:eastAsia="en-US"/>
              <w14:ligatures w14:val="standardContextual"/>
            </w:rPr>
          </w:pPr>
          <w:r>
            <w:rPr>
              <w:rFonts w:eastAsiaTheme="minorHAnsi"/>
              <w:color w:val="156082" w:themeColor="accent1"/>
              <w:kern w:val="2"/>
              <w:lang w:eastAsia="en-US"/>
              <w14:ligatures w14:val="standardContextual"/>
            </w:rPr>
            <w:t xml:space="preserve">                             </w:t>
          </w:r>
          <w:r w:rsidR="001C396C">
            <w:rPr>
              <w:rFonts w:eastAsiaTheme="minorHAnsi"/>
              <w:noProof/>
              <w:color w:val="156082" w:themeColor="accent1"/>
              <w:kern w:val="2"/>
              <w:lang w:eastAsia="en-US"/>
              <w14:ligatures w14:val="standardContextual"/>
            </w:rPr>
            <w:drawing>
              <wp:inline distT="0" distB="0" distL="0" distR="0" wp14:anchorId="151E0D0E" wp14:editId="44DA022D">
                <wp:extent cx="2794289" cy="1093120"/>
                <wp:effectExtent l="0" t="0" r="6350" b="0"/>
                <wp:docPr id="1518964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8393" cy="1098637"/>
                        </a:xfrm>
                        <a:prstGeom prst="rect">
                          <a:avLst/>
                        </a:prstGeom>
                        <a:noFill/>
                      </pic:spPr>
                    </pic:pic>
                  </a:graphicData>
                </a:graphic>
              </wp:inline>
            </w:drawing>
          </w:r>
          <w:r w:rsidR="001C396C">
            <w:rPr>
              <w:rFonts w:eastAsiaTheme="minorHAnsi"/>
              <w:color w:val="156082" w:themeColor="accent1"/>
              <w:kern w:val="2"/>
              <w:lang w:eastAsia="en-US"/>
              <w14:ligatures w14:val="standardContextual"/>
            </w:rPr>
            <w:t xml:space="preserve"> </w:t>
          </w:r>
          <w:r w:rsidRPr="00C70C9C">
            <w:rPr>
              <w:rFonts w:eastAsiaTheme="minorHAnsi"/>
              <w:color w:val="156082" w:themeColor="accent1"/>
              <w:kern w:val="2"/>
              <w:sz w:val="12"/>
              <w:szCs w:val="12"/>
              <w:lang w:eastAsia="en-US"/>
              <w14:ligatures w14:val="standardContextual"/>
            </w:rPr>
            <w:t>Study In UK, (2025).</w:t>
          </w:r>
        </w:p>
        <w:p w14:paraId="0C19CE1A" w14:textId="60B1FF82" w:rsidR="006F011A" w:rsidRDefault="006F011A">
          <w:pPr>
            <w:pStyle w:val="NoSpacing"/>
            <w:spacing w:before="1540" w:after="240"/>
            <w:jc w:val="center"/>
            <w:rPr>
              <w:color w:val="156082" w:themeColor="accent1"/>
            </w:rPr>
          </w:pPr>
          <w:r>
            <w:rPr>
              <w:noProof/>
              <w:color w:val="156082" w:themeColor="accent1"/>
            </w:rPr>
            <w:drawing>
              <wp:inline distT="0" distB="0" distL="0" distR="0" wp14:anchorId="24B3E9D3" wp14:editId="1A7F4CE5">
                <wp:extent cx="723974" cy="383562"/>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34105" cy="388929"/>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40"/>
              <w:szCs w:val="40"/>
            </w:rPr>
            <w:alias w:val="Title"/>
            <w:tag w:val=""/>
            <w:id w:val="1735040861"/>
            <w:placeholder>
              <w:docPart w:val="661EB898645F49CD894CA822151B4A57"/>
            </w:placeholder>
            <w:dataBinding w:prefixMappings="xmlns:ns0='http://purl.org/dc/elements/1.1/' xmlns:ns1='http://schemas.openxmlformats.org/package/2006/metadata/core-properties' " w:xpath="/ns1:coreProperties[1]/ns0:title[1]" w:storeItemID="{6C3C8BC8-F283-45AE-878A-BAB7291924A1}"/>
            <w:text/>
          </w:sdtPr>
          <w:sdtEndPr/>
          <w:sdtContent>
            <w:p w14:paraId="5504646E" w14:textId="19A706C7" w:rsidR="006F011A" w:rsidRPr="007C66C5" w:rsidRDefault="006F011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32"/>
                  <w:szCs w:val="32"/>
                </w:rPr>
              </w:pPr>
              <w:r w:rsidRPr="00A32C6A">
                <w:rPr>
                  <w:rFonts w:asciiTheme="majorHAnsi" w:eastAsiaTheme="majorEastAsia" w:hAnsiTheme="majorHAnsi" w:cstheme="majorBidi"/>
                  <w:caps/>
                  <w:color w:val="156082" w:themeColor="accent1"/>
                  <w:sz w:val="40"/>
                  <w:szCs w:val="40"/>
                </w:rPr>
                <w:t>A systematic review o</w:t>
              </w:r>
              <w:r w:rsidR="00611AEC" w:rsidRPr="00A32C6A">
                <w:rPr>
                  <w:rFonts w:asciiTheme="majorHAnsi" w:eastAsiaTheme="majorEastAsia" w:hAnsiTheme="majorHAnsi" w:cstheme="majorBidi"/>
                  <w:caps/>
                  <w:color w:val="156082" w:themeColor="accent1"/>
                  <w:sz w:val="40"/>
                  <w:szCs w:val="40"/>
                </w:rPr>
                <w:t xml:space="preserve">f </w:t>
              </w:r>
              <w:r w:rsidR="00BF5429" w:rsidRPr="00A32C6A">
                <w:rPr>
                  <w:rFonts w:asciiTheme="majorHAnsi" w:eastAsiaTheme="majorEastAsia" w:hAnsiTheme="majorHAnsi" w:cstheme="majorBidi"/>
                  <w:caps/>
                  <w:color w:val="156082" w:themeColor="accent1"/>
                  <w:sz w:val="40"/>
                  <w:szCs w:val="40"/>
                </w:rPr>
                <w:t>the ed</w:t>
              </w:r>
              <w:r w:rsidRPr="00A32C6A">
                <w:rPr>
                  <w:rFonts w:asciiTheme="majorHAnsi" w:eastAsiaTheme="majorEastAsia" w:hAnsiTheme="majorHAnsi" w:cstheme="majorBidi"/>
                  <w:caps/>
                  <w:color w:val="156082" w:themeColor="accent1"/>
                  <w:sz w:val="40"/>
                  <w:szCs w:val="40"/>
                </w:rPr>
                <w:t>ucational</w:t>
              </w:r>
              <w:r w:rsidR="00BF5429" w:rsidRPr="00A32C6A">
                <w:rPr>
                  <w:rFonts w:asciiTheme="majorHAnsi" w:eastAsiaTheme="majorEastAsia" w:hAnsiTheme="majorHAnsi" w:cstheme="majorBidi"/>
                  <w:caps/>
                  <w:color w:val="156082" w:themeColor="accent1"/>
                  <w:sz w:val="40"/>
                  <w:szCs w:val="40"/>
                </w:rPr>
                <w:t xml:space="preserve">-to- </w:t>
              </w:r>
              <w:r w:rsidRPr="00A32C6A">
                <w:rPr>
                  <w:rFonts w:asciiTheme="majorHAnsi" w:eastAsiaTheme="majorEastAsia" w:hAnsiTheme="majorHAnsi" w:cstheme="majorBidi"/>
                  <w:caps/>
                  <w:color w:val="156082" w:themeColor="accent1"/>
                  <w:sz w:val="40"/>
                  <w:szCs w:val="40"/>
                </w:rPr>
                <w:t>socioeconomic</w:t>
              </w:r>
              <w:r w:rsidR="00BF5429" w:rsidRPr="00A32C6A">
                <w:rPr>
                  <w:rFonts w:asciiTheme="majorHAnsi" w:eastAsiaTheme="majorEastAsia" w:hAnsiTheme="majorHAnsi" w:cstheme="majorBidi"/>
                  <w:caps/>
                  <w:color w:val="156082" w:themeColor="accent1"/>
                  <w:sz w:val="40"/>
                  <w:szCs w:val="40"/>
                </w:rPr>
                <w:t xml:space="preserve"> Transition</w:t>
              </w:r>
              <w:r w:rsidR="000D3C8A" w:rsidRPr="00A32C6A">
                <w:rPr>
                  <w:rFonts w:asciiTheme="majorHAnsi" w:eastAsiaTheme="majorEastAsia" w:hAnsiTheme="majorHAnsi" w:cstheme="majorBidi"/>
                  <w:caps/>
                  <w:color w:val="156082" w:themeColor="accent1"/>
                  <w:sz w:val="40"/>
                  <w:szCs w:val="40"/>
                </w:rPr>
                <w:t>: Mapping Mechanisms of business Participation</w:t>
              </w:r>
              <w:r w:rsidR="003B4D51" w:rsidRPr="00A32C6A">
                <w:rPr>
                  <w:rFonts w:asciiTheme="majorHAnsi" w:eastAsiaTheme="majorEastAsia" w:hAnsiTheme="majorHAnsi" w:cstheme="majorBidi"/>
                  <w:caps/>
                  <w:color w:val="156082" w:themeColor="accent1"/>
                  <w:sz w:val="40"/>
                  <w:szCs w:val="40"/>
                </w:rPr>
                <w:t xml:space="preserve"> and risk among Black Males</w:t>
              </w:r>
            </w:p>
          </w:sdtContent>
        </w:sdt>
        <w:sdt>
          <w:sdtPr>
            <w:rPr>
              <w:color w:val="156082" w:themeColor="accent1"/>
              <w:sz w:val="24"/>
              <w:szCs w:val="24"/>
            </w:rPr>
            <w:alias w:val="Subtitle"/>
            <w:tag w:val=""/>
            <w:id w:val="328029620"/>
            <w:placeholder>
              <w:docPart w:val="A01BDDF07F404A2D9728E8369F115D27"/>
            </w:placeholder>
            <w:dataBinding w:prefixMappings="xmlns:ns0='http://purl.org/dc/elements/1.1/' xmlns:ns1='http://schemas.openxmlformats.org/package/2006/metadata/core-properties' " w:xpath="/ns1:coreProperties[1]/ns0:subject[1]" w:storeItemID="{6C3C8BC8-F283-45AE-878A-BAB7291924A1}"/>
            <w:text/>
          </w:sdtPr>
          <w:sdtEndPr/>
          <w:sdtContent>
            <w:p w14:paraId="248DB784" w14:textId="2D3A8F4D" w:rsidR="006F011A" w:rsidRDefault="006F011A">
              <w:pPr>
                <w:pStyle w:val="NoSpacing"/>
                <w:jc w:val="center"/>
                <w:rPr>
                  <w:color w:val="156082" w:themeColor="accent1"/>
                  <w:sz w:val="28"/>
                  <w:szCs w:val="28"/>
                </w:rPr>
              </w:pPr>
              <w:r w:rsidRPr="007C66C5">
                <w:rPr>
                  <w:color w:val="156082" w:themeColor="accent1"/>
                  <w:sz w:val="24"/>
                  <w:szCs w:val="24"/>
                </w:rPr>
                <w:t>Critical Literature Review for Doctoral Research LCDB7009</w:t>
              </w:r>
            </w:p>
          </w:sdtContent>
        </w:sdt>
        <w:p w14:paraId="6BC5F77A" w14:textId="77777777" w:rsidR="006F011A" w:rsidRDefault="006F011A">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0C675E97" wp14:editId="74A487A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3-26T00:00:00Z">
                                    <w:dateFormat w:val="dd MMMM yyyy"/>
                                    <w:lid w:val="en-GB"/>
                                    <w:storeMappedDataAs w:val="dateTime"/>
                                    <w:calendar w:val="gregorian"/>
                                  </w:date>
                                </w:sdtPr>
                                <w:sdtEndPr/>
                                <w:sdtContent>
                                  <w:p w14:paraId="3BE46FD8" w14:textId="41334E05" w:rsidR="006F011A" w:rsidRPr="007C66C5" w:rsidRDefault="006F011A">
                                    <w:pPr>
                                      <w:pStyle w:val="NoSpacing"/>
                                      <w:spacing w:after="40"/>
                                      <w:jc w:val="center"/>
                                      <w:rPr>
                                        <w:caps/>
                                        <w:color w:val="156082" w:themeColor="accent1"/>
                                      </w:rPr>
                                    </w:pPr>
                                    <w:r w:rsidRPr="007C66C5">
                                      <w:rPr>
                                        <w:caps/>
                                        <w:color w:val="156082" w:themeColor="accent1"/>
                                      </w:rPr>
                                      <w:t>26 March 2026</w:t>
                                    </w:r>
                                  </w:p>
                                </w:sdtContent>
                              </w:sdt>
                              <w:p w14:paraId="45A37461" w14:textId="3591B604" w:rsidR="006F011A" w:rsidRPr="007C66C5" w:rsidRDefault="0061602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F011A" w:rsidRPr="007C66C5">
                                      <w:rPr>
                                        <w:caps/>
                                        <w:color w:val="156082" w:themeColor="accent1"/>
                                      </w:rPr>
                                      <w:t>Student: Sabrina Reid 1920873</w:t>
                                    </w:r>
                                  </w:sdtContent>
                                </w:sdt>
                              </w:p>
                              <w:p w14:paraId="2AB48EF2" w14:textId="77E758D8" w:rsidR="006F011A" w:rsidRDefault="0061602C">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F011A" w:rsidRPr="007C66C5">
                                      <w:rPr>
                                        <w:color w:val="156082" w:themeColor="accent1"/>
                                      </w:rPr>
                                      <w:t>Lecturer: Dr Mansoob Murshed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C675E9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3-26T00:00:00Z">
                              <w:dateFormat w:val="dd MMMM yyyy"/>
                              <w:lid w:val="en-GB"/>
                              <w:storeMappedDataAs w:val="dateTime"/>
                              <w:calendar w:val="gregorian"/>
                            </w:date>
                          </w:sdtPr>
                          <w:sdtEndPr/>
                          <w:sdtContent>
                            <w:p w14:paraId="3BE46FD8" w14:textId="41334E05" w:rsidR="006F011A" w:rsidRPr="007C66C5" w:rsidRDefault="006F011A">
                              <w:pPr>
                                <w:pStyle w:val="NoSpacing"/>
                                <w:spacing w:after="40"/>
                                <w:jc w:val="center"/>
                                <w:rPr>
                                  <w:caps/>
                                  <w:color w:val="156082" w:themeColor="accent1"/>
                                </w:rPr>
                              </w:pPr>
                              <w:r w:rsidRPr="007C66C5">
                                <w:rPr>
                                  <w:caps/>
                                  <w:color w:val="156082" w:themeColor="accent1"/>
                                </w:rPr>
                                <w:t>26 March 2026</w:t>
                              </w:r>
                            </w:p>
                          </w:sdtContent>
                        </w:sdt>
                        <w:p w14:paraId="45A37461" w14:textId="3591B604" w:rsidR="006F011A" w:rsidRPr="007C66C5" w:rsidRDefault="0061602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F011A" w:rsidRPr="007C66C5">
                                <w:rPr>
                                  <w:caps/>
                                  <w:color w:val="156082" w:themeColor="accent1"/>
                                </w:rPr>
                                <w:t>Student: Sabrina Reid 1920873</w:t>
                              </w:r>
                            </w:sdtContent>
                          </w:sdt>
                        </w:p>
                        <w:p w14:paraId="2AB48EF2" w14:textId="77E758D8" w:rsidR="006F011A" w:rsidRDefault="0061602C">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F011A" w:rsidRPr="007C66C5">
                                <w:rPr>
                                  <w:color w:val="156082" w:themeColor="accent1"/>
                                </w:rPr>
                                <w:t>Lecturer: Dr Mansoob Murshed</w:t>
                              </w:r>
                            </w:sdtContent>
                          </w:sdt>
                        </w:p>
                      </w:txbxContent>
                    </v:textbox>
                    <w10:wrap anchorx="margin" anchory="page"/>
                  </v:shape>
                </w:pict>
              </mc:Fallback>
            </mc:AlternateContent>
          </w:r>
          <w:r>
            <w:rPr>
              <w:noProof/>
              <w:color w:val="156082" w:themeColor="accent1"/>
            </w:rPr>
            <w:drawing>
              <wp:inline distT="0" distB="0" distL="0" distR="0" wp14:anchorId="66F58987" wp14:editId="58BE6040">
                <wp:extent cx="405436" cy="255848"/>
                <wp:effectExtent l="0" t="0" r="0"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10685" cy="259160"/>
                        </a:xfrm>
                        <a:prstGeom prst="rect">
                          <a:avLst/>
                        </a:prstGeom>
                      </pic:spPr>
                    </pic:pic>
                  </a:graphicData>
                </a:graphic>
              </wp:inline>
            </w:drawing>
          </w:r>
        </w:p>
        <w:p w14:paraId="5D52A368" w14:textId="702010CB" w:rsidR="006F011A" w:rsidRDefault="006F011A">
          <w:r>
            <w:br w:type="page"/>
          </w:r>
        </w:p>
      </w:sdtContent>
    </w:sdt>
    <w:sdt>
      <w:sdtPr>
        <w:rPr>
          <w:rFonts w:asciiTheme="minorHAnsi" w:eastAsiaTheme="minorHAnsi" w:hAnsiTheme="minorHAnsi" w:cstheme="minorBidi"/>
          <w:color w:val="auto"/>
          <w:kern w:val="2"/>
          <w:sz w:val="22"/>
          <w:szCs w:val="22"/>
          <w:lang w:eastAsia="en-US"/>
          <w14:ligatures w14:val="standardContextual"/>
        </w:rPr>
        <w:id w:val="-1100561953"/>
        <w:docPartObj>
          <w:docPartGallery w:val="Table of Contents"/>
          <w:docPartUnique/>
        </w:docPartObj>
      </w:sdtPr>
      <w:sdtEndPr>
        <w:rPr>
          <w:b/>
          <w:bCs/>
        </w:rPr>
      </w:sdtEndPr>
      <w:sdtContent>
        <w:p w14:paraId="431EA272" w14:textId="37875E27" w:rsidR="00DA1C47" w:rsidRDefault="00DA1C47">
          <w:pPr>
            <w:pStyle w:val="TOCHeading"/>
          </w:pPr>
          <w:r>
            <w:t>Table of Contents</w:t>
          </w:r>
        </w:p>
        <w:p w14:paraId="011C9E77" w14:textId="5641AD8A" w:rsidR="00E72C34" w:rsidRDefault="00DA1C47">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936238" w:history="1">
            <w:r w:rsidR="00E72C34" w:rsidRPr="007E6057">
              <w:rPr>
                <w:rStyle w:val="Hyperlink"/>
                <w:noProof/>
              </w:rPr>
              <w:t>Purpose of a critical literature review</w:t>
            </w:r>
            <w:r w:rsidR="00E72C34">
              <w:rPr>
                <w:noProof/>
                <w:webHidden/>
              </w:rPr>
              <w:tab/>
            </w:r>
            <w:r w:rsidR="00E72C34">
              <w:rPr>
                <w:noProof/>
                <w:webHidden/>
              </w:rPr>
              <w:fldChar w:fldCharType="begin"/>
            </w:r>
            <w:r w:rsidR="00E72C34">
              <w:rPr>
                <w:noProof/>
                <w:webHidden/>
              </w:rPr>
              <w:instrText xml:space="preserve"> PAGEREF _Toc227936238 \h </w:instrText>
            </w:r>
            <w:r w:rsidR="00E72C34">
              <w:rPr>
                <w:noProof/>
                <w:webHidden/>
              </w:rPr>
            </w:r>
            <w:r w:rsidR="00E72C34">
              <w:rPr>
                <w:noProof/>
                <w:webHidden/>
              </w:rPr>
              <w:fldChar w:fldCharType="separate"/>
            </w:r>
            <w:r w:rsidR="00E72C34">
              <w:rPr>
                <w:noProof/>
                <w:webHidden/>
              </w:rPr>
              <w:t>3</w:t>
            </w:r>
            <w:r w:rsidR="00E72C34">
              <w:rPr>
                <w:noProof/>
                <w:webHidden/>
              </w:rPr>
              <w:fldChar w:fldCharType="end"/>
            </w:r>
          </w:hyperlink>
        </w:p>
        <w:p w14:paraId="41F7F00E" w14:textId="3DA4F4BC" w:rsidR="00E72C34" w:rsidRDefault="00E72C34">
          <w:pPr>
            <w:pStyle w:val="TOC2"/>
            <w:tabs>
              <w:tab w:val="right" w:leader="dot" w:pos="9016"/>
            </w:tabs>
            <w:rPr>
              <w:rFonts w:eastAsiaTheme="minorEastAsia"/>
              <w:noProof/>
              <w:sz w:val="24"/>
              <w:szCs w:val="24"/>
              <w:lang w:eastAsia="en-GB"/>
            </w:rPr>
          </w:pPr>
          <w:hyperlink w:anchor="_Toc227936239" w:history="1">
            <w:r w:rsidRPr="007E6057">
              <w:rPr>
                <w:rStyle w:val="Hyperlink"/>
                <w:noProof/>
              </w:rPr>
              <w:t>Content of a Critical Literature Review</w:t>
            </w:r>
            <w:r>
              <w:rPr>
                <w:noProof/>
                <w:webHidden/>
              </w:rPr>
              <w:tab/>
            </w:r>
            <w:r>
              <w:rPr>
                <w:noProof/>
                <w:webHidden/>
              </w:rPr>
              <w:fldChar w:fldCharType="begin"/>
            </w:r>
            <w:r>
              <w:rPr>
                <w:noProof/>
                <w:webHidden/>
              </w:rPr>
              <w:instrText xml:space="preserve"> PAGEREF _Toc227936239 \h </w:instrText>
            </w:r>
            <w:r>
              <w:rPr>
                <w:noProof/>
                <w:webHidden/>
              </w:rPr>
            </w:r>
            <w:r>
              <w:rPr>
                <w:noProof/>
                <w:webHidden/>
              </w:rPr>
              <w:fldChar w:fldCharType="separate"/>
            </w:r>
            <w:r>
              <w:rPr>
                <w:noProof/>
                <w:webHidden/>
              </w:rPr>
              <w:t>4</w:t>
            </w:r>
            <w:r>
              <w:rPr>
                <w:noProof/>
                <w:webHidden/>
              </w:rPr>
              <w:fldChar w:fldCharType="end"/>
            </w:r>
          </w:hyperlink>
        </w:p>
        <w:p w14:paraId="5FC12519" w14:textId="4C259FA2" w:rsidR="00E72C34" w:rsidRDefault="00E72C34">
          <w:pPr>
            <w:pStyle w:val="TOC2"/>
            <w:tabs>
              <w:tab w:val="right" w:leader="dot" w:pos="9016"/>
            </w:tabs>
            <w:rPr>
              <w:rFonts w:eastAsiaTheme="minorEastAsia"/>
              <w:noProof/>
              <w:sz w:val="24"/>
              <w:szCs w:val="24"/>
              <w:lang w:eastAsia="en-GB"/>
            </w:rPr>
          </w:pPr>
          <w:hyperlink w:anchor="_Toc227936240" w:history="1">
            <w:r w:rsidRPr="007E6057">
              <w:rPr>
                <w:rStyle w:val="Hyperlink"/>
                <w:noProof/>
              </w:rPr>
              <w:t>Structure and Format for a Doctoral Critical Literature Review</w:t>
            </w:r>
            <w:r>
              <w:rPr>
                <w:noProof/>
                <w:webHidden/>
              </w:rPr>
              <w:tab/>
            </w:r>
            <w:r>
              <w:rPr>
                <w:noProof/>
                <w:webHidden/>
              </w:rPr>
              <w:fldChar w:fldCharType="begin"/>
            </w:r>
            <w:r>
              <w:rPr>
                <w:noProof/>
                <w:webHidden/>
              </w:rPr>
              <w:instrText xml:space="preserve"> PAGEREF _Toc227936240 \h </w:instrText>
            </w:r>
            <w:r>
              <w:rPr>
                <w:noProof/>
                <w:webHidden/>
              </w:rPr>
            </w:r>
            <w:r>
              <w:rPr>
                <w:noProof/>
                <w:webHidden/>
              </w:rPr>
              <w:fldChar w:fldCharType="separate"/>
            </w:r>
            <w:r>
              <w:rPr>
                <w:noProof/>
                <w:webHidden/>
              </w:rPr>
              <w:t>5</w:t>
            </w:r>
            <w:r>
              <w:rPr>
                <w:noProof/>
                <w:webHidden/>
              </w:rPr>
              <w:fldChar w:fldCharType="end"/>
            </w:r>
          </w:hyperlink>
        </w:p>
        <w:p w14:paraId="0FB9177D" w14:textId="2DB2338F" w:rsidR="00E72C34" w:rsidRDefault="00E72C34">
          <w:pPr>
            <w:pStyle w:val="TOC1"/>
            <w:tabs>
              <w:tab w:val="right" w:leader="dot" w:pos="9016"/>
            </w:tabs>
            <w:rPr>
              <w:rFonts w:eastAsiaTheme="minorEastAsia"/>
              <w:noProof/>
              <w:sz w:val="24"/>
              <w:szCs w:val="24"/>
              <w:lang w:eastAsia="en-GB"/>
            </w:rPr>
          </w:pPr>
          <w:hyperlink w:anchor="_Toc227936241" w:history="1">
            <w:r w:rsidRPr="007E6057">
              <w:rPr>
                <w:rStyle w:val="Hyperlink"/>
                <w:noProof/>
              </w:rPr>
              <w:t>Bibliography</w:t>
            </w:r>
            <w:r>
              <w:rPr>
                <w:noProof/>
                <w:webHidden/>
              </w:rPr>
              <w:tab/>
            </w:r>
            <w:r>
              <w:rPr>
                <w:noProof/>
                <w:webHidden/>
              </w:rPr>
              <w:fldChar w:fldCharType="begin"/>
            </w:r>
            <w:r>
              <w:rPr>
                <w:noProof/>
                <w:webHidden/>
              </w:rPr>
              <w:instrText xml:space="preserve"> PAGEREF _Toc227936241 \h </w:instrText>
            </w:r>
            <w:r>
              <w:rPr>
                <w:noProof/>
                <w:webHidden/>
              </w:rPr>
            </w:r>
            <w:r>
              <w:rPr>
                <w:noProof/>
                <w:webHidden/>
              </w:rPr>
              <w:fldChar w:fldCharType="separate"/>
            </w:r>
            <w:r>
              <w:rPr>
                <w:noProof/>
                <w:webHidden/>
              </w:rPr>
              <w:t>8</w:t>
            </w:r>
            <w:r>
              <w:rPr>
                <w:noProof/>
                <w:webHidden/>
              </w:rPr>
              <w:fldChar w:fldCharType="end"/>
            </w:r>
          </w:hyperlink>
        </w:p>
        <w:p w14:paraId="4AC6BCFF" w14:textId="0636610C" w:rsidR="00E72C34" w:rsidRDefault="00E72C34">
          <w:pPr>
            <w:pStyle w:val="TOC2"/>
            <w:tabs>
              <w:tab w:val="right" w:leader="dot" w:pos="9016"/>
            </w:tabs>
            <w:rPr>
              <w:rFonts w:eastAsiaTheme="minorEastAsia"/>
              <w:noProof/>
              <w:sz w:val="24"/>
              <w:szCs w:val="24"/>
              <w:lang w:eastAsia="en-GB"/>
            </w:rPr>
          </w:pPr>
          <w:hyperlink w:anchor="_Toc227936242" w:history="1">
            <w:r w:rsidRPr="007E6057">
              <w:rPr>
                <w:rStyle w:val="Hyperlink"/>
                <w:noProof/>
              </w:rPr>
              <w:t>1. Introduction to the Research Field</w:t>
            </w:r>
            <w:r>
              <w:rPr>
                <w:noProof/>
                <w:webHidden/>
              </w:rPr>
              <w:tab/>
            </w:r>
            <w:r>
              <w:rPr>
                <w:noProof/>
                <w:webHidden/>
              </w:rPr>
              <w:fldChar w:fldCharType="begin"/>
            </w:r>
            <w:r>
              <w:rPr>
                <w:noProof/>
                <w:webHidden/>
              </w:rPr>
              <w:instrText xml:space="preserve"> PAGEREF _Toc227936242 \h </w:instrText>
            </w:r>
            <w:r>
              <w:rPr>
                <w:noProof/>
                <w:webHidden/>
              </w:rPr>
            </w:r>
            <w:r>
              <w:rPr>
                <w:noProof/>
                <w:webHidden/>
              </w:rPr>
              <w:fldChar w:fldCharType="separate"/>
            </w:r>
            <w:r>
              <w:rPr>
                <w:noProof/>
                <w:webHidden/>
              </w:rPr>
              <w:t>40</w:t>
            </w:r>
            <w:r>
              <w:rPr>
                <w:noProof/>
                <w:webHidden/>
              </w:rPr>
              <w:fldChar w:fldCharType="end"/>
            </w:r>
          </w:hyperlink>
        </w:p>
        <w:p w14:paraId="454D7161" w14:textId="7C972408" w:rsidR="00E72C34" w:rsidRDefault="00E72C34">
          <w:pPr>
            <w:pStyle w:val="TOC3"/>
            <w:tabs>
              <w:tab w:val="right" w:leader="dot" w:pos="9016"/>
            </w:tabs>
            <w:rPr>
              <w:rFonts w:eastAsiaTheme="minorEastAsia"/>
              <w:noProof/>
              <w:sz w:val="24"/>
              <w:szCs w:val="24"/>
              <w:lang w:eastAsia="en-GB"/>
            </w:rPr>
          </w:pPr>
          <w:hyperlink w:anchor="_Toc227936243" w:history="1">
            <w:r w:rsidRPr="007E6057">
              <w:rPr>
                <w:rStyle w:val="Hyperlink"/>
                <w:noProof/>
              </w:rPr>
              <w:t>1,1Research Gap</w:t>
            </w:r>
            <w:r>
              <w:rPr>
                <w:noProof/>
                <w:webHidden/>
              </w:rPr>
              <w:tab/>
            </w:r>
            <w:r>
              <w:rPr>
                <w:noProof/>
                <w:webHidden/>
              </w:rPr>
              <w:fldChar w:fldCharType="begin"/>
            </w:r>
            <w:r>
              <w:rPr>
                <w:noProof/>
                <w:webHidden/>
              </w:rPr>
              <w:instrText xml:space="preserve"> PAGEREF _Toc227936243 \h </w:instrText>
            </w:r>
            <w:r>
              <w:rPr>
                <w:noProof/>
                <w:webHidden/>
              </w:rPr>
            </w:r>
            <w:r>
              <w:rPr>
                <w:noProof/>
                <w:webHidden/>
              </w:rPr>
              <w:fldChar w:fldCharType="separate"/>
            </w:r>
            <w:r>
              <w:rPr>
                <w:noProof/>
                <w:webHidden/>
              </w:rPr>
              <w:t>41</w:t>
            </w:r>
            <w:r>
              <w:rPr>
                <w:noProof/>
                <w:webHidden/>
              </w:rPr>
              <w:fldChar w:fldCharType="end"/>
            </w:r>
          </w:hyperlink>
        </w:p>
        <w:p w14:paraId="470381E9" w14:textId="4C646D70" w:rsidR="00E72C34" w:rsidRDefault="00E72C34">
          <w:pPr>
            <w:pStyle w:val="TOC2"/>
            <w:tabs>
              <w:tab w:val="right" w:leader="dot" w:pos="9016"/>
            </w:tabs>
            <w:rPr>
              <w:rFonts w:eastAsiaTheme="minorEastAsia"/>
              <w:noProof/>
              <w:sz w:val="24"/>
              <w:szCs w:val="24"/>
              <w:lang w:eastAsia="en-GB"/>
            </w:rPr>
          </w:pPr>
          <w:hyperlink w:anchor="_Toc227936244" w:history="1">
            <w:r w:rsidRPr="007E6057">
              <w:rPr>
                <w:rStyle w:val="Hyperlink"/>
                <w:noProof/>
              </w:rPr>
              <w:t>2. Research Aim, Objectives, and Questions</w:t>
            </w:r>
            <w:r>
              <w:rPr>
                <w:noProof/>
                <w:webHidden/>
              </w:rPr>
              <w:tab/>
            </w:r>
            <w:r>
              <w:rPr>
                <w:noProof/>
                <w:webHidden/>
              </w:rPr>
              <w:fldChar w:fldCharType="begin"/>
            </w:r>
            <w:r>
              <w:rPr>
                <w:noProof/>
                <w:webHidden/>
              </w:rPr>
              <w:instrText xml:space="preserve"> PAGEREF _Toc227936244 \h </w:instrText>
            </w:r>
            <w:r>
              <w:rPr>
                <w:noProof/>
                <w:webHidden/>
              </w:rPr>
            </w:r>
            <w:r>
              <w:rPr>
                <w:noProof/>
                <w:webHidden/>
              </w:rPr>
              <w:fldChar w:fldCharType="separate"/>
            </w:r>
            <w:r>
              <w:rPr>
                <w:noProof/>
                <w:webHidden/>
              </w:rPr>
              <w:t>42</w:t>
            </w:r>
            <w:r>
              <w:rPr>
                <w:noProof/>
                <w:webHidden/>
              </w:rPr>
              <w:fldChar w:fldCharType="end"/>
            </w:r>
          </w:hyperlink>
        </w:p>
        <w:p w14:paraId="6C9BA228" w14:textId="5042F92F" w:rsidR="00E72C34" w:rsidRDefault="00E72C34">
          <w:pPr>
            <w:pStyle w:val="TOC2"/>
            <w:tabs>
              <w:tab w:val="right" w:leader="dot" w:pos="9016"/>
            </w:tabs>
            <w:rPr>
              <w:rFonts w:eastAsiaTheme="minorEastAsia"/>
              <w:noProof/>
              <w:sz w:val="24"/>
              <w:szCs w:val="24"/>
              <w:lang w:eastAsia="en-GB"/>
            </w:rPr>
          </w:pPr>
          <w:hyperlink w:anchor="_Toc227936245" w:history="1">
            <w:r w:rsidRPr="007E6057">
              <w:rPr>
                <w:rStyle w:val="Hyperlink"/>
                <w:noProof/>
              </w:rPr>
              <w:t>2.1The Aim</w:t>
            </w:r>
            <w:r>
              <w:rPr>
                <w:noProof/>
                <w:webHidden/>
              </w:rPr>
              <w:tab/>
            </w:r>
            <w:r>
              <w:rPr>
                <w:noProof/>
                <w:webHidden/>
              </w:rPr>
              <w:fldChar w:fldCharType="begin"/>
            </w:r>
            <w:r>
              <w:rPr>
                <w:noProof/>
                <w:webHidden/>
              </w:rPr>
              <w:instrText xml:space="preserve"> PAGEREF _Toc227936245 \h </w:instrText>
            </w:r>
            <w:r>
              <w:rPr>
                <w:noProof/>
                <w:webHidden/>
              </w:rPr>
            </w:r>
            <w:r>
              <w:rPr>
                <w:noProof/>
                <w:webHidden/>
              </w:rPr>
              <w:fldChar w:fldCharType="separate"/>
            </w:r>
            <w:r>
              <w:rPr>
                <w:noProof/>
                <w:webHidden/>
              </w:rPr>
              <w:t>42</w:t>
            </w:r>
            <w:r>
              <w:rPr>
                <w:noProof/>
                <w:webHidden/>
              </w:rPr>
              <w:fldChar w:fldCharType="end"/>
            </w:r>
          </w:hyperlink>
        </w:p>
        <w:p w14:paraId="29A8C28E" w14:textId="246F8361" w:rsidR="00E72C34" w:rsidRDefault="00E72C34">
          <w:pPr>
            <w:pStyle w:val="TOC2"/>
            <w:tabs>
              <w:tab w:val="right" w:leader="dot" w:pos="9016"/>
            </w:tabs>
            <w:rPr>
              <w:rFonts w:eastAsiaTheme="minorEastAsia"/>
              <w:noProof/>
              <w:sz w:val="24"/>
              <w:szCs w:val="24"/>
              <w:lang w:eastAsia="en-GB"/>
            </w:rPr>
          </w:pPr>
          <w:hyperlink w:anchor="_Toc227936246" w:history="1">
            <w:r w:rsidRPr="007E6057">
              <w:rPr>
                <w:rStyle w:val="Hyperlink"/>
                <w:noProof/>
              </w:rPr>
              <w:t>The Objectives</w:t>
            </w:r>
            <w:r>
              <w:rPr>
                <w:noProof/>
                <w:webHidden/>
              </w:rPr>
              <w:tab/>
            </w:r>
            <w:r>
              <w:rPr>
                <w:noProof/>
                <w:webHidden/>
              </w:rPr>
              <w:fldChar w:fldCharType="begin"/>
            </w:r>
            <w:r>
              <w:rPr>
                <w:noProof/>
                <w:webHidden/>
              </w:rPr>
              <w:instrText xml:space="preserve"> PAGEREF _Toc227936246 \h </w:instrText>
            </w:r>
            <w:r>
              <w:rPr>
                <w:noProof/>
                <w:webHidden/>
              </w:rPr>
            </w:r>
            <w:r>
              <w:rPr>
                <w:noProof/>
                <w:webHidden/>
              </w:rPr>
              <w:fldChar w:fldCharType="separate"/>
            </w:r>
            <w:r>
              <w:rPr>
                <w:noProof/>
                <w:webHidden/>
              </w:rPr>
              <w:t>42</w:t>
            </w:r>
            <w:r>
              <w:rPr>
                <w:noProof/>
                <w:webHidden/>
              </w:rPr>
              <w:fldChar w:fldCharType="end"/>
            </w:r>
          </w:hyperlink>
        </w:p>
        <w:p w14:paraId="4A3C9C53" w14:textId="2BEEFD02" w:rsidR="00E72C34" w:rsidRDefault="00E72C34">
          <w:pPr>
            <w:pStyle w:val="TOC3"/>
            <w:tabs>
              <w:tab w:val="right" w:leader="dot" w:pos="9016"/>
            </w:tabs>
            <w:rPr>
              <w:rFonts w:eastAsiaTheme="minorEastAsia"/>
              <w:noProof/>
              <w:sz w:val="24"/>
              <w:szCs w:val="24"/>
              <w:lang w:eastAsia="en-GB"/>
            </w:rPr>
          </w:pPr>
          <w:hyperlink w:anchor="_Toc227936247" w:history="1">
            <w:r w:rsidRPr="007E6057">
              <w:rPr>
                <w:rStyle w:val="Hyperlink"/>
                <w:noProof/>
              </w:rPr>
              <w:t>2.2 Scope of the Study</w:t>
            </w:r>
            <w:r>
              <w:rPr>
                <w:noProof/>
                <w:webHidden/>
              </w:rPr>
              <w:tab/>
            </w:r>
            <w:r>
              <w:rPr>
                <w:noProof/>
                <w:webHidden/>
              </w:rPr>
              <w:fldChar w:fldCharType="begin"/>
            </w:r>
            <w:r>
              <w:rPr>
                <w:noProof/>
                <w:webHidden/>
              </w:rPr>
              <w:instrText xml:space="preserve"> PAGEREF _Toc227936247 \h </w:instrText>
            </w:r>
            <w:r>
              <w:rPr>
                <w:noProof/>
                <w:webHidden/>
              </w:rPr>
            </w:r>
            <w:r>
              <w:rPr>
                <w:noProof/>
                <w:webHidden/>
              </w:rPr>
              <w:fldChar w:fldCharType="separate"/>
            </w:r>
            <w:r>
              <w:rPr>
                <w:noProof/>
                <w:webHidden/>
              </w:rPr>
              <w:t>43</w:t>
            </w:r>
            <w:r>
              <w:rPr>
                <w:noProof/>
                <w:webHidden/>
              </w:rPr>
              <w:fldChar w:fldCharType="end"/>
            </w:r>
          </w:hyperlink>
        </w:p>
        <w:p w14:paraId="1245F4B8" w14:textId="108012F4" w:rsidR="00E72C34" w:rsidRDefault="00E72C34">
          <w:pPr>
            <w:pStyle w:val="TOC3"/>
            <w:tabs>
              <w:tab w:val="right" w:leader="dot" w:pos="9016"/>
            </w:tabs>
            <w:rPr>
              <w:rFonts w:eastAsiaTheme="minorEastAsia"/>
              <w:noProof/>
              <w:sz w:val="24"/>
              <w:szCs w:val="24"/>
              <w:lang w:eastAsia="en-GB"/>
            </w:rPr>
          </w:pPr>
          <w:hyperlink w:anchor="_Toc227936248" w:history="1">
            <w:r w:rsidRPr="007E6057">
              <w:rPr>
                <w:rStyle w:val="Hyperlink"/>
                <w:noProof/>
              </w:rPr>
              <w:t>2.3 Challenges of the Study</w:t>
            </w:r>
            <w:r>
              <w:rPr>
                <w:noProof/>
                <w:webHidden/>
              </w:rPr>
              <w:tab/>
            </w:r>
            <w:r>
              <w:rPr>
                <w:noProof/>
                <w:webHidden/>
              </w:rPr>
              <w:fldChar w:fldCharType="begin"/>
            </w:r>
            <w:r>
              <w:rPr>
                <w:noProof/>
                <w:webHidden/>
              </w:rPr>
              <w:instrText xml:space="preserve"> PAGEREF _Toc227936248 \h </w:instrText>
            </w:r>
            <w:r>
              <w:rPr>
                <w:noProof/>
                <w:webHidden/>
              </w:rPr>
            </w:r>
            <w:r>
              <w:rPr>
                <w:noProof/>
                <w:webHidden/>
              </w:rPr>
              <w:fldChar w:fldCharType="separate"/>
            </w:r>
            <w:r>
              <w:rPr>
                <w:noProof/>
                <w:webHidden/>
              </w:rPr>
              <w:t>43</w:t>
            </w:r>
            <w:r>
              <w:rPr>
                <w:noProof/>
                <w:webHidden/>
              </w:rPr>
              <w:fldChar w:fldCharType="end"/>
            </w:r>
          </w:hyperlink>
        </w:p>
        <w:p w14:paraId="20CA0525" w14:textId="3B09D087" w:rsidR="00E72C34" w:rsidRDefault="00E72C34">
          <w:pPr>
            <w:pStyle w:val="TOC2"/>
            <w:tabs>
              <w:tab w:val="right" w:leader="dot" w:pos="9016"/>
            </w:tabs>
            <w:rPr>
              <w:rFonts w:eastAsiaTheme="minorEastAsia"/>
              <w:noProof/>
              <w:sz w:val="24"/>
              <w:szCs w:val="24"/>
              <w:lang w:eastAsia="en-GB"/>
            </w:rPr>
          </w:pPr>
          <w:hyperlink w:anchor="_Toc227936249" w:history="1">
            <w:r w:rsidRPr="007E6057">
              <w:rPr>
                <w:rStyle w:val="Hyperlink"/>
                <w:noProof/>
              </w:rPr>
              <w:t>2.4 Research Questions</w:t>
            </w:r>
            <w:r>
              <w:rPr>
                <w:noProof/>
                <w:webHidden/>
              </w:rPr>
              <w:tab/>
            </w:r>
            <w:r>
              <w:rPr>
                <w:noProof/>
                <w:webHidden/>
              </w:rPr>
              <w:fldChar w:fldCharType="begin"/>
            </w:r>
            <w:r>
              <w:rPr>
                <w:noProof/>
                <w:webHidden/>
              </w:rPr>
              <w:instrText xml:space="preserve"> PAGEREF _Toc227936249 \h </w:instrText>
            </w:r>
            <w:r>
              <w:rPr>
                <w:noProof/>
                <w:webHidden/>
              </w:rPr>
            </w:r>
            <w:r>
              <w:rPr>
                <w:noProof/>
                <w:webHidden/>
              </w:rPr>
              <w:fldChar w:fldCharType="separate"/>
            </w:r>
            <w:r>
              <w:rPr>
                <w:noProof/>
                <w:webHidden/>
              </w:rPr>
              <w:t>44</w:t>
            </w:r>
            <w:r>
              <w:rPr>
                <w:noProof/>
                <w:webHidden/>
              </w:rPr>
              <w:fldChar w:fldCharType="end"/>
            </w:r>
          </w:hyperlink>
        </w:p>
        <w:p w14:paraId="01342F2B" w14:textId="29ED9293" w:rsidR="00E72C34" w:rsidRDefault="00E72C34">
          <w:pPr>
            <w:pStyle w:val="TOC2"/>
            <w:tabs>
              <w:tab w:val="right" w:leader="dot" w:pos="9016"/>
            </w:tabs>
            <w:rPr>
              <w:rFonts w:eastAsiaTheme="minorEastAsia"/>
              <w:noProof/>
              <w:sz w:val="24"/>
              <w:szCs w:val="24"/>
              <w:lang w:eastAsia="en-GB"/>
            </w:rPr>
          </w:pPr>
          <w:hyperlink w:anchor="_Toc227936250" w:history="1">
            <w:r w:rsidRPr="007E6057">
              <w:rPr>
                <w:rStyle w:val="Hyperlink"/>
                <w:noProof/>
              </w:rPr>
              <w:t>3 Systematic Literature Review</w:t>
            </w:r>
            <w:r>
              <w:rPr>
                <w:noProof/>
                <w:webHidden/>
              </w:rPr>
              <w:tab/>
            </w:r>
            <w:r>
              <w:rPr>
                <w:noProof/>
                <w:webHidden/>
              </w:rPr>
              <w:fldChar w:fldCharType="begin"/>
            </w:r>
            <w:r>
              <w:rPr>
                <w:noProof/>
                <w:webHidden/>
              </w:rPr>
              <w:instrText xml:space="preserve"> PAGEREF _Toc227936250 \h </w:instrText>
            </w:r>
            <w:r>
              <w:rPr>
                <w:noProof/>
                <w:webHidden/>
              </w:rPr>
            </w:r>
            <w:r>
              <w:rPr>
                <w:noProof/>
                <w:webHidden/>
              </w:rPr>
              <w:fldChar w:fldCharType="separate"/>
            </w:r>
            <w:r>
              <w:rPr>
                <w:noProof/>
                <w:webHidden/>
              </w:rPr>
              <w:t>44</w:t>
            </w:r>
            <w:r>
              <w:rPr>
                <w:noProof/>
                <w:webHidden/>
              </w:rPr>
              <w:fldChar w:fldCharType="end"/>
            </w:r>
          </w:hyperlink>
        </w:p>
        <w:p w14:paraId="4A02261D" w14:textId="60C1C5FC" w:rsidR="00E72C34" w:rsidRDefault="00E72C34">
          <w:pPr>
            <w:pStyle w:val="TOC3"/>
            <w:tabs>
              <w:tab w:val="right" w:leader="dot" w:pos="9016"/>
            </w:tabs>
            <w:rPr>
              <w:rFonts w:eastAsiaTheme="minorEastAsia"/>
              <w:noProof/>
              <w:sz w:val="24"/>
              <w:szCs w:val="24"/>
              <w:lang w:eastAsia="en-GB"/>
            </w:rPr>
          </w:pPr>
          <w:hyperlink w:anchor="_Toc227936251" w:history="1">
            <w:r w:rsidRPr="007E6057">
              <w:rPr>
                <w:rStyle w:val="Hyperlink"/>
                <w:noProof/>
              </w:rPr>
              <w:t>3.1 Theoretical/Conceptual Framework of this Study</w:t>
            </w:r>
            <w:r>
              <w:rPr>
                <w:noProof/>
                <w:webHidden/>
              </w:rPr>
              <w:tab/>
            </w:r>
            <w:r>
              <w:rPr>
                <w:noProof/>
                <w:webHidden/>
              </w:rPr>
              <w:fldChar w:fldCharType="begin"/>
            </w:r>
            <w:r>
              <w:rPr>
                <w:noProof/>
                <w:webHidden/>
              </w:rPr>
              <w:instrText xml:space="preserve"> PAGEREF _Toc227936251 \h </w:instrText>
            </w:r>
            <w:r>
              <w:rPr>
                <w:noProof/>
                <w:webHidden/>
              </w:rPr>
            </w:r>
            <w:r>
              <w:rPr>
                <w:noProof/>
                <w:webHidden/>
              </w:rPr>
              <w:fldChar w:fldCharType="separate"/>
            </w:r>
            <w:r>
              <w:rPr>
                <w:noProof/>
                <w:webHidden/>
              </w:rPr>
              <w:t>44</w:t>
            </w:r>
            <w:r>
              <w:rPr>
                <w:noProof/>
                <w:webHidden/>
              </w:rPr>
              <w:fldChar w:fldCharType="end"/>
            </w:r>
          </w:hyperlink>
        </w:p>
        <w:p w14:paraId="4F7D07CB" w14:textId="0275513A" w:rsidR="00E72C34" w:rsidRDefault="00E72C34">
          <w:pPr>
            <w:pStyle w:val="TOC3"/>
            <w:tabs>
              <w:tab w:val="right" w:leader="dot" w:pos="9016"/>
            </w:tabs>
            <w:rPr>
              <w:rFonts w:eastAsiaTheme="minorEastAsia"/>
              <w:noProof/>
              <w:sz w:val="24"/>
              <w:szCs w:val="24"/>
              <w:lang w:eastAsia="en-GB"/>
            </w:rPr>
          </w:pPr>
          <w:hyperlink w:anchor="_Toc227936252" w:history="1">
            <w:r w:rsidRPr="007E6057">
              <w:rPr>
                <w:rStyle w:val="Hyperlink"/>
                <w:noProof/>
              </w:rPr>
              <w:t>3.2 Theoretical Framework of this Study: Critical Race Theory (CRT)</w:t>
            </w:r>
            <w:r>
              <w:rPr>
                <w:noProof/>
                <w:webHidden/>
              </w:rPr>
              <w:tab/>
            </w:r>
            <w:r>
              <w:rPr>
                <w:noProof/>
                <w:webHidden/>
              </w:rPr>
              <w:fldChar w:fldCharType="begin"/>
            </w:r>
            <w:r>
              <w:rPr>
                <w:noProof/>
                <w:webHidden/>
              </w:rPr>
              <w:instrText xml:space="preserve"> PAGEREF _Toc227936252 \h </w:instrText>
            </w:r>
            <w:r>
              <w:rPr>
                <w:noProof/>
                <w:webHidden/>
              </w:rPr>
            </w:r>
            <w:r>
              <w:rPr>
                <w:noProof/>
                <w:webHidden/>
              </w:rPr>
              <w:fldChar w:fldCharType="separate"/>
            </w:r>
            <w:r>
              <w:rPr>
                <w:noProof/>
                <w:webHidden/>
              </w:rPr>
              <w:t>44</w:t>
            </w:r>
            <w:r>
              <w:rPr>
                <w:noProof/>
                <w:webHidden/>
              </w:rPr>
              <w:fldChar w:fldCharType="end"/>
            </w:r>
          </w:hyperlink>
        </w:p>
        <w:p w14:paraId="0AA0D336" w14:textId="16CB8F01" w:rsidR="00E72C34" w:rsidRDefault="00E72C34">
          <w:pPr>
            <w:pStyle w:val="TOC3"/>
            <w:tabs>
              <w:tab w:val="right" w:leader="dot" w:pos="9016"/>
            </w:tabs>
            <w:rPr>
              <w:rFonts w:eastAsiaTheme="minorEastAsia"/>
              <w:noProof/>
              <w:sz w:val="24"/>
              <w:szCs w:val="24"/>
              <w:lang w:eastAsia="en-GB"/>
            </w:rPr>
          </w:pPr>
          <w:hyperlink w:anchor="_Toc227936253" w:history="1">
            <w:r w:rsidRPr="007E6057">
              <w:rPr>
                <w:rStyle w:val="Hyperlink"/>
                <w:noProof/>
              </w:rPr>
              <w:t>3.3 Conceptual Framework Diagram</w:t>
            </w:r>
            <w:r>
              <w:rPr>
                <w:noProof/>
                <w:webHidden/>
              </w:rPr>
              <w:tab/>
            </w:r>
            <w:r>
              <w:rPr>
                <w:noProof/>
                <w:webHidden/>
              </w:rPr>
              <w:fldChar w:fldCharType="begin"/>
            </w:r>
            <w:r>
              <w:rPr>
                <w:noProof/>
                <w:webHidden/>
              </w:rPr>
              <w:instrText xml:space="preserve"> PAGEREF _Toc227936253 \h </w:instrText>
            </w:r>
            <w:r>
              <w:rPr>
                <w:noProof/>
                <w:webHidden/>
              </w:rPr>
            </w:r>
            <w:r>
              <w:rPr>
                <w:noProof/>
                <w:webHidden/>
              </w:rPr>
              <w:fldChar w:fldCharType="separate"/>
            </w:r>
            <w:r>
              <w:rPr>
                <w:noProof/>
                <w:webHidden/>
              </w:rPr>
              <w:t>45</w:t>
            </w:r>
            <w:r>
              <w:rPr>
                <w:noProof/>
                <w:webHidden/>
              </w:rPr>
              <w:fldChar w:fldCharType="end"/>
            </w:r>
          </w:hyperlink>
        </w:p>
        <w:p w14:paraId="56D377A3" w14:textId="38DE29F9" w:rsidR="00E72C34" w:rsidRDefault="00E72C34">
          <w:pPr>
            <w:pStyle w:val="TOC3"/>
            <w:tabs>
              <w:tab w:val="right" w:leader="dot" w:pos="9016"/>
            </w:tabs>
            <w:rPr>
              <w:rFonts w:eastAsiaTheme="minorEastAsia"/>
              <w:noProof/>
              <w:sz w:val="24"/>
              <w:szCs w:val="24"/>
              <w:lang w:eastAsia="en-GB"/>
            </w:rPr>
          </w:pPr>
          <w:hyperlink w:anchor="_Toc227936254" w:history="1">
            <w:r w:rsidRPr="007E6057">
              <w:rPr>
                <w:rStyle w:val="Hyperlink"/>
                <w:noProof/>
              </w:rPr>
              <w:t>3.4 Conceptual Framework</w:t>
            </w:r>
            <w:r>
              <w:rPr>
                <w:noProof/>
                <w:webHidden/>
              </w:rPr>
              <w:tab/>
            </w:r>
            <w:r>
              <w:rPr>
                <w:noProof/>
                <w:webHidden/>
              </w:rPr>
              <w:fldChar w:fldCharType="begin"/>
            </w:r>
            <w:r>
              <w:rPr>
                <w:noProof/>
                <w:webHidden/>
              </w:rPr>
              <w:instrText xml:space="preserve"> PAGEREF _Toc227936254 \h </w:instrText>
            </w:r>
            <w:r>
              <w:rPr>
                <w:noProof/>
                <w:webHidden/>
              </w:rPr>
            </w:r>
            <w:r>
              <w:rPr>
                <w:noProof/>
                <w:webHidden/>
              </w:rPr>
              <w:fldChar w:fldCharType="separate"/>
            </w:r>
            <w:r>
              <w:rPr>
                <w:noProof/>
                <w:webHidden/>
              </w:rPr>
              <w:t>46</w:t>
            </w:r>
            <w:r>
              <w:rPr>
                <w:noProof/>
                <w:webHidden/>
              </w:rPr>
              <w:fldChar w:fldCharType="end"/>
            </w:r>
          </w:hyperlink>
        </w:p>
        <w:p w14:paraId="09A18AD3" w14:textId="2FA28F65" w:rsidR="00E72C34" w:rsidRDefault="00E72C34">
          <w:pPr>
            <w:pStyle w:val="TOC3"/>
            <w:tabs>
              <w:tab w:val="right" w:leader="dot" w:pos="9016"/>
            </w:tabs>
            <w:rPr>
              <w:rFonts w:eastAsiaTheme="minorEastAsia"/>
              <w:noProof/>
              <w:sz w:val="24"/>
              <w:szCs w:val="24"/>
              <w:lang w:eastAsia="en-GB"/>
            </w:rPr>
          </w:pPr>
          <w:hyperlink w:anchor="_Toc227936255" w:history="1">
            <w:r w:rsidRPr="007E6057">
              <w:rPr>
                <w:rStyle w:val="Hyperlink"/>
                <w:noProof/>
              </w:rPr>
              <w:t>4 Methodology</w:t>
            </w:r>
            <w:r>
              <w:rPr>
                <w:noProof/>
                <w:webHidden/>
              </w:rPr>
              <w:tab/>
            </w:r>
            <w:r>
              <w:rPr>
                <w:noProof/>
                <w:webHidden/>
              </w:rPr>
              <w:fldChar w:fldCharType="begin"/>
            </w:r>
            <w:r>
              <w:rPr>
                <w:noProof/>
                <w:webHidden/>
              </w:rPr>
              <w:instrText xml:space="preserve"> PAGEREF _Toc227936255 \h </w:instrText>
            </w:r>
            <w:r>
              <w:rPr>
                <w:noProof/>
                <w:webHidden/>
              </w:rPr>
            </w:r>
            <w:r>
              <w:rPr>
                <w:noProof/>
                <w:webHidden/>
              </w:rPr>
              <w:fldChar w:fldCharType="separate"/>
            </w:r>
            <w:r>
              <w:rPr>
                <w:noProof/>
                <w:webHidden/>
              </w:rPr>
              <w:t>50</w:t>
            </w:r>
            <w:r>
              <w:rPr>
                <w:noProof/>
                <w:webHidden/>
              </w:rPr>
              <w:fldChar w:fldCharType="end"/>
            </w:r>
          </w:hyperlink>
        </w:p>
        <w:p w14:paraId="155775A1" w14:textId="3650ACEF" w:rsidR="00E72C34" w:rsidRDefault="00E72C34">
          <w:pPr>
            <w:pStyle w:val="TOC3"/>
            <w:tabs>
              <w:tab w:val="right" w:leader="dot" w:pos="9016"/>
            </w:tabs>
            <w:rPr>
              <w:rFonts w:eastAsiaTheme="minorEastAsia"/>
              <w:noProof/>
              <w:sz w:val="24"/>
              <w:szCs w:val="24"/>
              <w:lang w:eastAsia="en-GB"/>
            </w:rPr>
          </w:pPr>
          <w:hyperlink w:anchor="_Toc227936256" w:history="1">
            <w:r w:rsidRPr="007E6057">
              <w:rPr>
                <w:rStyle w:val="Hyperlink"/>
                <w:noProof/>
              </w:rPr>
              <w:t>4.1 Cimo Framework</w:t>
            </w:r>
            <w:r>
              <w:rPr>
                <w:noProof/>
                <w:webHidden/>
              </w:rPr>
              <w:tab/>
            </w:r>
            <w:r>
              <w:rPr>
                <w:noProof/>
                <w:webHidden/>
              </w:rPr>
              <w:fldChar w:fldCharType="begin"/>
            </w:r>
            <w:r>
              <w:rPr>
                <w:noProof/>
                <w:webHidden/>
              </w:rPr>
              <w:instrText xml:space="preserve"> PAGEREF _Toc227936256 \h </w:instrText>
            </w:r>
            <w:r>
              <w:rPr>
                <w:noProof/>
                <w:webHidden/>
              </w:rPr>
            </w:r>
            <w:r>
              <w:rPr>
                <w:noProof/>
                <w:webHidden/>
              </w:rPr>
              <w:fldChar w:fldCharType="separate"/>
            </w:r>
            <w:r>
              <w:rPr>
                <w:noProof/>
                <w:webHidden/>
              </w:rPr>
              <w:t>52</w:t>
            </w:r>
            <w:r>
              <w:rPr>
                <w:noProof/>
                <w:webHidden/>
              </w:rPr>
              <w:fldChar w:fldCharType="end"/>
            </w:r>
          </w:hyperlink>
        </w:p>
        <w:p w14:paraId="57486513" w14:textId="3B8E8E83" w:rsidR="00E72C34" w:rsidRDefault="00E72C34">
          <w:pPr>
            <w:pStyle w:val="TOC3"/>
            <w:tabs>
              <w:tab w:val="right" w:leader="dot" w:pos="9016"/>
            </w:tabs>
            <w:rPr>
              <w:rFonts w:eastAsiaTheme="minorEastAsia"/>
              <w:noProof/>
              <w:sz w:val="24"/>
              <w:szCs w:val="24"/>
              <w:lang w:eastAsia="en-GB"/>
            </w:rPr>
          </w:pPr>
          <w:hyperlink w:anchor="_Toc227936257" w:history="1">
            <w:r w:rsidRPr="007E6057">
              <w:rPr>
                <w:rStyle w:val="Hyperlink"/>
                <w:noProof/>
              </w:rPr>
              <w:t>CIMO Table</w:t>
            </w:r>
            <w:r>
              <w:rPr>
                <w:noProof/>
                <w:webHidden/>
              </w:rPr>
              <w:tab/>
            </w:r>
            <w:r>
              <w:rPr>
                <w:noProof/>
                <w:webHidden/>
              </w:rPr>
              <w:fldChar w:fldCharType="begin"/>
            </w:r>
            <w:r>
              <w:rPr>
                <w:noProof/>
                <w:webHidden/>
              </w:rPr>
              <w:instrText xml:space="preserve"> PAGEREF _Toc227936257 \h </w:instrText>
            </w:r>
            <w:r>
              <w:rPr>
                <w:noProof/>
                <w:webHidden/>
              </w:rPr>
            </w:r>
            <w:r>
              <w:rPr>
                <w:noProof/>
                <w:webHidden/>
              </w:rPr>
              <w:fldChar w:fldCharType="separate"/>
            </w:r>
            <w:r>
              <w:rPr>
                <w:noProof/>
                <w:webHidden/>
              </w:rPr>
              <w:t>52</w:t>
            </w:r>
            <w:r>
              <w:rPr>
                <w:noProof/>
                <w:webHidden/>
              </w:rPr>
              <w:fldChar w:fldCharType="end"/>
            </w:r>
          </w:hyperlink>
        </w:p>
        <w:p w14:paraId="0F5A5D9A" w14:textId="390CBBDF" w:rsidR="00E72C34" w:rsidRDefault="00E72C34">
          <w:pPr>
            <w:pStyle w:val="TOC3"/>
            <w:tabs>
              <w:tab w:val="right" w:leader="dot" w:pos="9016"/>
            </w:tabs>
            <w:rPr>
              <w:rFonts w:eastAsiaTheme="minorEastAsia"/>
              <w:noProof/>
              <w:sz w:val="24"/>
              <w:szCs w:val="24"/>
              <w:lang w:eastAsia="en-GB"/>
            </w:rPr>
          </w:pPr>
          <w:hyperlink w:anchor="_Toc227936258" w:history="1">
            <w:r w:rsidRPr="007E6057">
              <w:rPr>
                <w:rStyle w:val="Hyperlink"/>
                <w:noProof/>
              </w:rPr>
              <w:t>4.2 Database list</w:t>
            </w:r>
            <w:r>
              <w:rPr>
                <w:noProof/>
                <w:webHidden/>
              </w:rPr>
              <w:tab/>
            </w:r>
            <w:r>
              <w:rPr>
                <w:noProof/>
                <w:webHidden/>
              </w:rPr>
              <w:fldChar w:fldCharType="begin"/>
            </w:r>
            <w:r>
              <w:rPr>
                <w:noProof/>
                <w:webHidden/>
              </w:rPr>
              <w:instrText xml:space="preserve"> PAGEREF _Toc227936258 \h </w:instrText>
            </w:r>
            <w:r>
              <w:rPr>
                <w:noProof/>
                <w:webHidden/>
              </w:rPr>
            </w:r>
            <w:r>
              <w:rPr>
                <w:noProof/>
                <w:webHidden/>
              </w:rPr>
              <w:fldChar w:fldCharType="separate"/>
            </w:r>
            <w:r>
              <w:rPr>
                <w:noProof/>
                <w:webHidden/>
              </w:rPr>
              <w:t>53</w:t>
            </w:r>
            <w:r>
              <w:rPr>
                <w:noProof/>
                <w:webHidden/>
              </w:rPr>
              <w:fldChar w:fldCharType="end"/>
            </w:r>
          </w:hyperlink>
        </w:p>
        <w:p w14:paraId="18C58C4D" w14:textId="0CCEFEA4" w:rsidR="00E72C34" w:rsidRDefault="00E72C34">
          <w:pPr>
            <w:pStyle w:val="TOC3"/>
            <w:tabs>
              <w:tab w:val="right" w:leader="dot" w:pos="9016"/>
            </w:tabs>
            <w:rPr>
              <w:rFonts w:eastAsiaTheme="minorEastAsia"/>
              <w:noProof/>
              <w:sz w:val="24"/>
              <w:szCs w:val="24"/>
              <w:lang w:eastAsia="en-GB"/>
            </w:rPr>
          </w:pPr>
          <w:hyperlink w:anchor="_Toc227936259" w:history="1">
            <w:r w:rsidRPr="007E6057">
              <w:rPr>
                <w:rStyle w:val="Hyperlink"/>
                <w:noProof/>
              </w:rPr>
              <w:t>4.3 Inclusion/exclusion Criteria</w:t>
            </w:r>
            <w:r>
              <w:rPr>
                <w:noProof/>
                <w:webHidden/>
              </w:rPr>
              <w:tab/>
            </w:r>
            <w:r>
              <w:rPr>
                <w:noProof/>
                <w:webHidden/>
              </w:rPr>
              <w:fldChar w:fldCharType="begin"/>
            </w:r>
            <w:r>
              <w:rPr>
                <w:noProof/>
                <w:webHidden/>
              </w:rPr>
              <w:instrText xml:space="preserve"> PAGEREF _Toc227936259 \h </w:instrText>
            </w:r>
            <w:r>
              <w:rPr>
                <w:noProof/>
                <w:webHidden/>
              </w:rPr>
            </w:r>
            <w:r>
              <w:rPr>
                <w:noProof/>
                <w:webHidden/>
              </w:rPr>
              <w:fldChar w:fldCharType="separate"/>
            </w:r>
            <w:r>
              <w:rPr>
                <w:noProof/>
                <w:webHidden/>
              </w:rPr>
              <w:t>54</w:t>
            </w:r>
            <w:r>
              <w:rPr>
                <w:noProof/>
                <w:webHidden/>
              </w:rPr>
              <w:fldChar w:fldCharType="end"/>
            </w:r>
          </w:hyperlink>
        </w:p>
        <w:p w14:paraId="6DA43804" w14:textId="6379B4E2" w:rsidR="00E72C34" w:rsidRDefault="00E72C34">
          <w:pPr>
            <w:pStyle w:val="TOC3"/>
            <w:tabs>
              <w:tab w:val="right" w:leader="dot" w:pos="9016"/>
            </w:tabs>
            <w:rPr>
              <w:rFonts w:eastAsiaTheme="minorEastAsia"/>
              <w:noProof/>
              <w:sz w:val="24"/>
              <w:szCs w:val="24"/>
              <w:lang w:eastAsia="en-GB"/>
            </w:rPr>
          </w:pPr>
          <w:hyperlink w:anchor="_Toc227936260" w:history="1">
            <w:r w:rsidRPr="007E6057">
              <w:rPr>
                <w:rStyle w:val="Hyperlink"/>
                <w:noProof/>
              </w:rPr>
              <w:t>Inclusive and Exclusive Criteria</w:t>
            </w:r>
            <w:r>
              <w:rPr>
                <w:noProof/>
                <w:webHidden/>
              </w:rPr>
              <w:tab/>
            </w:r>
            <w:r>
              <w:rPr>
                <w:noProof/>
                <w:webHidden/>
              </w:rPr>
              <w:fldChar w:fldCharType="begin"/>
            </w:r>
            <w:r>
              <w:rPr>
                <w:noProof/>
                <w:webHidden/>
              </w:rPr>
              <w:instrText xml:space="preserve"> PAGEREF _Toc227936260 \h </w:instrText>
            </w:r>
            <w:r>
              <w:rPr>
                <w:noProof/>
                <w:webHidden/>
              </w:rPr>
            </w:r>
            <w:r>
              <w:rPr>
                <w:noProof/>
                <w:webHidden/>
              </w:rPr>
              <w:fldChar w:fldCharType="separate"/>
            </w:r>
            <w:r>
              <w:rPr>
                <w:noProof/>
                <w:webHidden/>
              </w:rPr>
              <w:t>54</w:t>
            </w:r>
            <w:r>
              <w:rPr>
                <w:noProof/>
                <w:webHidden/>
              </w:rPr>
              <w:fldChar w:fldCharType="end"/>
            </w:r>
          </w:hyperlink>
        </w:p>
        <w:p w14:paraId="5005EDAF" w14:textId="2E6ED410" w:rsidR="00E72C34" w:rsidRDefault="00E72C34">
          <w:pPr>
            <w:pStyle w:val="TOC3"/>
            <w:tabs>
              <w:tab w:val="right" w:leader="dot" w:pos="9016"/>
            </w:tabs>
            <w:rPr>
              <w:rFonts w:eastAsiaTheme="minorEastAsia"/>
              <w:noProof/>
              <w:sz w:val="24"/>
              <w:szCs w:val="24"/>
              <w:lang w:eastAsia="en-GB"/>
            </w:rPr>
          </w:pPr>
          <w:hyperlink w:anchor="_Toc227936261" w:history="1">
            <w:r w:rsidRPr="007E6057">
              <w:rPr>
                <w:rStyle w:val="Hyperlink"/>
                <w:noProof/>
              </w:rPr>
              <w:t>5  Quality Appraisal</w:t>
            </w:r>
            <w:r>
              <w:rPr>
                <w:noProof/>
                <w:webHidden/>
              </w:rPr>
              <w:tab/>
            </w:r>
            <w:r>
              <w:rPr>
                <w:noProof/>
                <w:webHidden/>
              </w:rPr>
              <w:fldChar w:fldCharType="begin"/>
            </w:r>
            <w:r>
              <w:rPr>
                <w:noProof/>
                <w:webHidden/>
              </w:rPr>
              <w:instrText xml:space="preserve"> PAGEREF _Toc227936261 \h </w:instrText>
            </w:r>
            <w:r>
              <w:rPr>
                <w:noProof/>
                <w:webHidden/>
              </w:rPr>
            </w:r>
            <w:r>
              <w:rPr>
                <w:noProof/>
                <w:webHidden/>
              </w:rPr>
              <w:fldChar w:fldCharType="separate"/>
            </w:r>
            <w:r>
              <w:rPr>
                <w:noProof/>
                <w:webHidden/>
              </w:rPr>
              <w:t>55</w:t>
            </w:r>
            <w:r>
              <w:rPr>
                <w:noProof/>
                <w:webHidden/>
              </w:rPr>
              <w:fldChar w:fldCharType="end"/>
            </w:r>
          </w:hyperlink>
        </w:p>
        <w:p w14:paraId="0E7C32B6" w14:textId="26643169" w:rsidR="00E72C34" w:rsidRDefault="00E72C34">
          <w:pPr>
            <w:pStyle w:val="TOC3"/>
            <w:tabs>
              <w:tab w:val="right" w:leader="dot" w:pos="9016"/>
            </w:tabs>
            <w:rPr>
              <w:rFonts w:eastAsiaTheme="minorEastAsia"/>
              <w:noProof/>
              <w:sz w:val="24"/>
              <w:szCs w:val="24"/>
              <w:lang w:eastAsia="en-GB"/>
            </w:rPr>
          </w:pPr>
          <w:hyperlink w:anchor="_Toc227936262" w:history="1">
            <w:r w:rsidRPr="007E6057">
              <w:rPr>
                <w:rStyle w:val="Hyperlink"/>
                <w:noProof/>
              </w:rPr>
              <w:t>5.1  Prisma Mapping Diagram</w:t>
            </w:r>
            <w:r>
              <w:rPr>
                <w:noProof/>
                <w:webHidden/>
              </w:rPr>
              <w:tab/>
            </w:r>
            <w:r>
              <w:rPr>
                <w:noProof/>
                <w:webHidden/>
              </w:rPr>
              <w:fldChar w:fldCharType="begin"/>
            </w:r>
            <w:r>
              <w:rPr>
                <w:noProof/>
                <w:webHidden/>
              </w:rPr>
              <w:instrText xml:space="preserve"> PAGEREF _Toc227936262 \h </w:instrText>
            </w:r>
            <w:r>
              <w:rPr>
                <w:noProof/>
                <w:webHidden/>
              </w:rPr>
            </w:r>
            <w:r>
              <w:rPr>
                <w:noProof/>
                <w:webHidden/>
              </w:rPr>
              <w:fldChar w:fldCharType="separate"/>
            </w:r>
            <w:r>
              <w:rPr>
                <w:noProof/>
                <w:webHidden/>
              </w:rPr>
              <w:t>55</w:t>
            </w:r>
            <w:r>
              <w:rPr>
                <w:noProof/>
                <w:webHidden/>
              </w:rPr>
              <w:fldChar w:fldCharType="end"/>
            </w:r>
          </w:hyperlink>
        </w:p>
        <w:p w14:paraId="4DB22551" w14:textId="5CE0C25C" w:rsidR="00E72C34" w:rsidRDefault="00E72C34">
          <w:pPr>
            <w:pStyle w:val="TOC3"/>
            <w:tabs>
              <w:tab w:val="right" w:leader="dot" w:pos="9016"/>
            </w:tabs>
            <w:rPr>
              <w:rFonts w:eastAsiaTheme="minorEastAsia"/>
              <w:noProof/>
              <w:sz w:val="24"/>
              <w:szCs w:val="24"/>
              <w:lang w:eastAsia="en-GB"/>
            </w:rPr>
          </w:pPr>
          <w:hyperlink w:anchor="_Toc227936263" w:history="1">
            <w:r w:rsidRPr="007E6057">
              <w:rPr>
                <w:rStyle w:val="Hyperlink"/>
                <w:noProof/>
              </w:rPr>
              <w:t>5.2 Data Analysis Table</w:t>
            </w:r>
            <w:r>
              <w:rPr>
                <w:noProof/>
                <w:webHidden/>
              </w:rPr>
              <w:tab/>
            </w:r>
            <w:r>
              <w:rPr>
                <w:noProof/>
                <w:webHidden/>
              </w:rPr>
              <w:fldChar w:fldCharType="begin"/>
            </w:r>
            <w:r>
              <w:rPr>
                <w:noProof/>
                <w:webHidden/>
              </w:rPr>
              <w:instrText xml:space="preserve"> PAGEREF _Toc227936263 \h </w:instrText>
            </w:r>
            <w:r>
              <w:rPr>
                <w:noProof/>
                <w:webHidden/>
              </w:rPr>
            </w:r>
            <w:r>
              <w:rPr>
                <w:noProof/>
                <w:webHidden/>
              </w:rPr>
              <w:fldChar w:fldCharType="separate"/>
            </w:r>
            <w:r>
              <w:rPr>
                <w:noProof/>
                <w:webHidden/>
              </w:rPr>
              <w:t>56</w:t>
            </w:r>
            <w:r>
              <w:rPr>
                <w:noProof/>
                <w:webHidden/>
              </w:rPr>
              <w:fldChar w:fldCharType="end"/>
            </w:r>
          </w:hyperlink>
        </w:p>
        <w:p w14:paraId="464E6CEB" w14:textId="01076C42" w:rsidR="00E72C34" w:rsidRDefault="00E72C34">
          <w:pPr>
            <w:pStyle w:val="TOC3"/>
            <w:tabs>
              <w:tab w:val="right" w:leader="dot" w:pos="9016"/>
            </w:tabs>
            <w:rPr>
              <w:rFonts w:eastAsiaTheme="minorEastAsia"/>
              <w:noProof/>
              <w:sz w:val="24"/>
              <w:szCs w:val="24"/>
              <w:lang w:eastAsia="en-GB"/>
            </w:rPr>
          </w:pPr>
          <w:hyperlink w:anchor="_Toc227936264" w:history="1">
            <w:r w:rsidRPr="007E6057">
              <w:rPr>
                <w:rStyle w:val="Hyperlink"/>
                <w:noProof/>
              </w:rPr>
              <w:t>5.3 Methodological Choice</w:t>
            </w:r>
            <w:r>
              <w:rPr>
                <w:noProof/>
                <w:webHidden/>
              </w:rPr>
              <w:tab/>
            </w:r>
            <w:r>
              <w:rPr>
                <w:noProof/>
                <w:webHidden/>
              </w:rPr>
              <w:fldChar w:fldCharType="begin"/>
            </w:r>
            <w:r>
              <w:rPr>
                <w:noProof/>
                <w:webHidden/>
              </w:rPr>
              <w:instrText xml:space="preserve"> PAGEREF _Toc227936264 \h </w:instrText>
            </w:r>
            <w:r>
              <w:rPr>
                <w:noProof/>
                <w:webHidden/>
              </w:rPr>
            </w:r>
            <w:r>
              <w:rPr>
                <w:noProof/>
                <w:webHidden/>
              </w:rPr>
              <w:fldChar w:fldCharType="separate"/>
            </w:r>
            <w:r>
              <w:rPr>
                <w:noProof/>
                <w:webHidden/>
              </w:rPr>
              <w:t>61</w:t>
            </w:r>
            <w:r>
              <w:rPr>
                <w:noProof/>
                <w:webHidden/>
              </w:rPr>
              <w:fldChar w:fldCharType="end"/>
            </w:r>
          </w:hyperlink>
        </w:p>
        <w:p w14:paraId="49B53AB4" w14:textId="2A529A8E" w:rsidR="00E72C34" w:rsidRDefault="00E72C34">
          <w:pPr>
            <w:pStyle w:val="TOC3"/>
            <w:tabs>
              <w:tab w:val="right" w:leader="dot" w:pos="9016"/>
            </w:tabs>
            <w:rPr>
              <w:rFonts w:eastAsiaTheme="minorEastAsia"/>
              <w:noProof/>
              <w:sz w:val="24"/>
              <w:szCs w:val="24"/>
              <w:lang w:eastAsia="en-GB"/>
            </w:rPr>
          </w:pPr>
          <w:hyperlink w:anchor="_Toc227936265" w:history="1">
            <w:r w:rsidRPr="007E6057">
              <w:rPr>
                <w:rStyle w:val="Hyperlink"/>
                <w:noProof/>
              </w:rPr>
              <w:t>5.4 Methodological Choice for the Review Table</w:t>
            </w:r>
            <w:r>
              <w:rPr>
                <w:noProof/>
                <w:webHidden/>
              </w:rPr>
              <w:tab/>
            </w:r>
            <w:r>
              <w:rPr>
                <w:noProof/>
                <w:webHidden/>
              </w:rPr>
              <w:fldChar w:fldCharType="begin"/>
            </w:r>
            <w:r>
              <w:rPr>
                <w:noProof/>
                <w:webHidden/>
              </w:rPr>
              <w:instrText xml:space="preserve"> PAGEREF _Toc227936265 \h </w:instrText>
            </w:r>
            <w:r>
              <w:rPr>
                <w:noProof/>
                <w:webHidden/>
              </w:rPr>
            </w:r>
            <w:r>
              <w:rPr>
                <w:noProof/>
                <w:webHidden/>
              </w:rPr>
              <w:fldChar w:fldCharType="separate"/>
            </w:r>
            <w:r>
              <w:rPr>
                <w:noProof/>
                <w:webHidden/>
              </w:rPr>
              <w:t>61</w:t>
            </w:r>
            <w:r>
              <w:rPr>
                <w:noProof/>
                <w:webHidden/>
              </w:rPr>
              <w:fldChar w:fldCharType="end"/>
            </w:r>
          </w:hyperlink>
        </w:p>
        <w:p w14:paraId="4899E23B" w14:textId="2461D96C" w:rsidR="00E72C34" w:rsidRDefault="00E72C34">
          <w:pPr>
            <w:pStyle w:val="TOC2"/>
            <w:tabs>
              <w:tab w:val="right" w:leader="dot" w:pos="9016"/>
            </w:tabs>
            <w:rPr>
              <w:rFonts w:eastAsiaTheme="minorEastAsia"/>
              <w:noProof/>
              <w:sz w:val="24"/>
              <w:szCs w:val="24"/>
              <w:lang w:eastAsia="en-GB"/>
            </w:rPr>
          </w:pPr>
          <w:hyperlink w:anchor="_Toc227936266" w:history="1">
            <w:r w:rsidRPr="007E6057">
              <w:rPr>
                <w:rStyle w:val="Hyperlink"/>
                <w:rFonts w:asciiTheme="majorHAnsi" w:eastAsiaTheme="majorEastAsia" w:hAnsiTheme="majorHAnsi" w:cstheme="majorBidi"/>
                <w:noProof/>
              </w:rPr>
              <w:t>6 Key Concepts and Theoretical Foundations</w:t>
            </w:r>
            <w:r>
              <w:rPr>
                <w:noProof/>
                <w:webHidden/>
              </w:rPr>
              <w:tab/>
            </w:r>
            <w:r>
              <w:rPr>
                <w:noProof/>
                <w:webHidden/>
              </w:rPr>
              <w:fldChar w:fldCharType="begin"/>
            </w:r>
            <w:r>
              <w:rPr>
                <w:noProof/>
                <w:webHidden/>
              </w:rPr>
              <w:instrText xml:space="preserve"> PAGEREF _Toc227936266 \h </w:instrText>
            </w:r>
            <w:r>
              <w:rPr>
                <w:noProof/>
                <w:webHidden/>
              </w:rPr>
            </w:r>
            <w:r>
              <w:rPr>
                <w:noProof/>
                <w:webHidden/>
              </w:rPr>
              <w:fldChar w:fldCharType="separate"/>
            </w:r>
            <w:r>
              <w:rPr>
                <w:noProof/>
                <w:webHidden/>
              </w:rPr>
              <w:t>63</w:t>
            </w:r>
            <w:r>
              <w:rPr>
                <w:noProof/>
                <w:webHidden/>
              </w:rPr>
              <w:fldChar w:fldCharType="end"/>
            </w:r>
          </w:hyperlink>
        </w:p>
        <w:p w14:paraId="5288DF47" w14:textId="75DE1465" w:rsidR="00E72C34" w:rsidRDefault="00E72C34">
          <w:pPr>
            <w:pStyle w:val="TOC3"/>
            <w:tabs>
              <w:tab w:val="right" w:leader="dot" w:pos="9016"/>
            </w:tabs>
            <w:rPr>
              <w:rFonts w:eastAsiaTheme="minorEastAsia"/>
              <w:noProof/>
              <w:sz w:val="24"/>
              <w:szCs w:val="24"/>
              <w:lang w:eastAsia="en-GB"/>
            </w:rPr>
          </w:pPr>
          <w:hyperlink w:anchor="_Toc227936267" w:history="1">
            <w:r w:rsidRPr="007E6057">
              <w:rPr>
                <w:rStyle w:val="Hyperlink"/>
                <w:rFonts w:eastAsiaTheme="majorEastAsia" w:cstheme="majorBidi"/>
                <w:noProof/>
              </w:rPr>
              <w:t>6.1 Educational (Under)Support</w:t>
            </w:r>
            <w:r>
              <w:rPr>
                <w:noProof/>
                <w:webHidden/>
              </w:rPr>
              <w:tab/>
            </w:r>
            <w:r>
              <w:rPr>
                <w:noProof/>
                <w:webHidden/>
              </w:rPr>
              <w:fldChar w:fldCharType="begin"/>
            </w:r>
            <w:r>
              <w:rPr>
                <w:noProof/>
                <w:webHidden/>
              </w:rPr>
              <w:instrText xml:space="preserve"> PAGEREF _Toc227936267 \h </w:instrText>
            </w:r>
            <w:r>
              <w:rPr>
                <w:noProof/>
                <w:webHidden/>
              </w:rPr>
            </w:r>
            <w:r>
              <w:rPr>
                <w:noProof/>
                <w:webHidden/>
              </w:rPr>
              <w:fldChar w:fldCharType="separate"/>
            </w:r>
            <w:r>
              <w:rPr>
                <w:noProof/>
                <w:webHidden/>
              </w:rPr>
              <w:t>63</w:t>
            </w:r>
            <w:r>
              <w:rPr>
                <w:noProof/>
                <w:webHidden/>
              </w:rPr>
              <w:fldChar w:fldCharType="end"/>
            </w:r>
          </w:hyperlink>
        </w:p>
        <w:p w14:paraId="67EA8B92" w14:textId="0C1CA1CF" w:rsidR="00E72C34" w:rsidRDefault="00E72C34">
          <w:pPr>
            <w:pStyle w:val="TOC3"/>
            <w:tabs>
              <w:tab w:val="right" w:leader="dot" w:pos="9016"/>
            </w:tabs>
            <w:rPr>
              <w:rFonts w:eastAsiaTheme="minorEastAsia"/>
              <w:noProof/>
              <w:sz w:val="24"/>
              <w:szCs w:val="24"/>
              <w:lang w:eastAsia="en-GB"/>
            </w:rPr>
          </w:pPr>
          <w:hyperlink w:anchor="_Toc227936268" w:history="1">
            <w:r w:rsidRPr="007E6057">
              <w:rPr>
                <w:rStyle w:val="Hyperlink"/>
                <w:rFonts w:eastAsiaTheme="majorEastAsia" w:cstheme="majorBidi"/>
                <w:noProof/>
              </w:rPr>
              <w:t>6.2 School</w:t>
            </w:r>
            <w:r w:rsidRPr="007E6057">
              <w:rPr>
                <w:rStyle w:val="Hyperlink"/>
                <w:rFonts w:ascii="Cambria Math" w:eastAsiaTheme="majorEastAsia" w:hAnsi="Cambria Math" w:cs="Cambria Math"/>
                <w:noProof/>
              </w:rPr>
              <w:t>‑</w:t>
            </w:r>
            <w:r w:rsidRPr="007E6057">
              <w:rPr>
                <w:rStyle w:val="Hyperlink"/>
                <w:rFonts w:eastAsiaTheme="majorEastAsia" w:cstheme="majorBidi"/>
                <w:noProof/>
              </w:rPr>
              <w:t>Level Practices</w:t>
            </w:r>
            <w:r>
              <w:rPr>
                <w:noProof/>
                <w:webHidden/>
              </w:rPr>
              <w:tab/>
            </w:r>
            <w:r>
              <w:rPr>
                <w:noProof/>
                <w:webHidden/>
              </w:rPr>
              <w:fldChar w:fldCharType="begin"/>
            </w:r>
            <w:r>
              <w:rPr>
                <w:noProof/>
                <w:webHidden/>
              </w:rPr>
              <w:instrText xml:space="preserve"> PAGEREF _Toc227936268 \h </w:instrText>
            </w:r>
            <w:r>
              <w:rPr>
                <w:noProof/>
                <w:webHidden/>
              </w:rPr>
            </w:r>
            <w:r>
              <w:rPr>
                <w:noProof/>
                <w:webHidden/>
              </w:rPr>
              <w:fldChar w:fldCharType="separate"/>
            </w:r>
            <w:r>
              <w:rPr>
                <w:noProof/>
                <w:webHidden/>
              </w:rPr>
              <w:t>65</w:t>
            </w:r>
            <w:r>
              <w:rPr>
                <w:noProof/>
                <w:webHidden/>
              </w:rPr>
              <w:fldChar w:fldCharType="end"/>
            </w:r>
          </w:hyperlink>
        </w:p>
        <w:p w14:paraId="2BF945A5" w14:textId="3C091B83" w:rsidR="00E72C34" w:rsidRDefault="00E72C34">
          <w:pPr>
            <w:pStyle w:val="TOC3"/>
            <w:tabs>
              <w:tab w:val="right" w:leader="dot" w:pos="9016"/>
            </w:tabs>
            <w:rPr>
              <w:rFonts w:eastAsiaTheme="minorEastAsia"/>
              <w:noProof/>
              <w:sz w:val="24"/>
              <w:szCs w:val="24"/>
              <w:lang w:eastAsia="en-GB"/>
            </w:rPr>
          </w:pPr>
          <w:hyperlink w:anchor="_Toc227936269" w:history="1">
            <w:r w:rsidRPr="007E6057">
              <w:rPr>
                <w:rStyle w:val="Hyperlink"/>
                <w:rFonts w:eastAsiaTheme="majorEastAsia" w:cstheme="majorBidi"/>
                <w:noProof/>
              </w:rPr>
              <w:t>6.3 Socioeconomic Participation and Business Engagement</w:t>
            </w:r>
            <w:r>
              <w:rPr>
                <w:noProof/>
                <w:webHidden/>
              </w:rPr>
              <w:tab/>
            </w:r>
            <w:r>
              <w:rPr>
                <w:noProof/>
                <w:webHidden/>
              </w:rPr>
              <w:fldChar w:fldCharType="begin"/>
            </w:r>
            <w:r>
              <w:rPr>
                <w:noProof/>
                <w:webHidden/>
              </w:rPr>
              <w:instrText xml:space="preserve"> PAGEREF _Toc227936269 \h </w:instrText>
            </w:r>
            <w:r>
              <w:rPr>
                <w:noProof/>
                <w:webHidden/>
              </w:rPr>
            </w:r>
            <w:r>
              <w:rPr>
                <w:noProof/>
                <w:webHidden/>
              </w:rPr>
              <w:fldChar w:fldCharType="separate"/>
            </w:r>
            <w:r>
              <w:rPr>
                <w:noProof/>
                <w:webHidden/>
              </w:rPr>
              <w:t>66</w:t>
            </w:r>
            <w:r>
              <w:rPr>
                <w:noProof/>
                <w:webHidden/>
              </w:rPr>
              <w:fldChar w:fldCharType="end"/>
            </w:r>
          </w:hyperlink>
        </w:p>
        <w:p w14:paraId="14F18A1C" w14:textId="474A2644" w:rsidR="00E72C34" w:rsidRDefault="00E72C34">
          <w:pPr>
            <w:pStyle w:val="TOC3"/>
            <w:tabs>
              <w:tab w:val="right" w:leader="dot" w:pos="9016"/>
            </w:tabs>
            <w:rPr>
              <w:rFonts w:eastAsiaTheme="minorEastAsia"/>
              <w:noProof/>
              <w:sz w:val="24"/>
              <w:szCs w:val="24"/>
              <w:lang w:eastAsia="en-GB"/>
            </w:rPr>
          </w:pPr>
          <w:hyperlink w:anchor="_Toc227936270" w:history="1">
            <w:r w:rsidRPr="007E6057">
              <w:rPr>
                <w:rStyle w:val="Hyperlink"/>
                <w:rFonts w:eastAsiaTheme="majorEastAsia" w:cstheme="majorBidi"/>
                <w:noProof/>
              </w:rPr>
              <w:t>6.4 Risk and Criminal Exploitation</w:t>
            </w:r>
            <w:r>
              <w:rPr>
                <w:noProof/>
                <w:webHidden/>
              </w:rPr>
              <w:tab/>
            </w:r>
            <w:r>
              <w:rPr>
                <w:noProof/>
                <w:webHidden/>
              </w:rPr>
              <w:fldChar w:fldCharType="begin"/>
            </w:r>
            <w:r>
              <w:rPr>
                <w:noProof/>
                <w:webHidden/>
              </w:rPr>
              <w:instrText xml:space="preserve"> PAGEREF _Toc227936270 \h </w:instrText>
            </w:r>
            <w:r>
              <w:rPr>
                <w:noProof/>
                <w:webHidden/>
              </w:rPr>
            </w:r>
            <w:r>
              <w:rPr>
                <w:noProof/>
                <w:webHidden/>
              </w:rPr>
              <w:fldChar w:fldCharType="separate"/>
            </w:r>
            <w:r>
              <w:rPr>
                <w:noProof/>
                <w:webHidden/>
              </w:rPr>
              <w:t>68</w:t>
            </w:r>
            <w:r>
              <w:rPr>
                <w:noProof/>
                <w:webHidden/>
              </w:rPr>
              <w:fldChar w:fldCharType="end"/>
            </w:r>
          </w:hyperlink>
        </w:p>
        <w:p w14:paraId="114C0C5F" w14:textId="6E08CC43" w:rsidR="00E72C34" w:rsidRDefault="00E72C34">
          <w:pPr>
            <w:pStyle w:val="TOC3"/>
            <w:tabs>
              <w:tab w:val="right" w:leader="dot" w:pos="9016"/>
            </w:tabs>
            <w:rPr>
              <w:rFonts w:eastAsiaTheme="minorEastAsia"/>
              <w:noProof/>
              <w:sz w:val="24"/>
              <w:szCs w:val="24"/>
              <w:lang w:eastAsia="en-GB"/>
            </w:rPr>
          </w:pPr>
          <w:hyperlink w:anchor="_Toc227936271" w:history="1">
            <w:r w:rsidRPr="007E6057">
              <w:rPr>
                <w:rStyle w:val="Hyperlink"/>
                <w:noProof/>
              </w:rPr>
              <w:t>7 Thematic Analysis</w:t>
            </w:r>
            <w:r>
              <w:rPr>
                <w:noProof/>
                <w:webHidden/>
              </w:rPr>
              <w:tab/>
            </w:r>
            <w:r>
              <w:rPr>
                <w:noProof/>
                <w:webHidden/>
              </w:rPr>
              <w:fldChar w:fldCharType="begin"/>
            </w:r>
            <w:r>
              <w:rPr>
                <w:noProof/>
                <w:webHidden/>
              </w:rPr>
              <w:instrText xml:space="preserve"> PAGEREF _Toc227936271 \h </w:instrText>
            </w:r>
            <w:r>
              <w:rPr>
                <w:noProof/>
                <w:webHidden/>
              </w:rPr>
            </w:r>
            <w:r>
              <w:rPr>
                <w:noProof/>
                <w:webHidden/>
              </w:rPr>
              <w:fldChar w:fldCharType="separate"/>
            </w:r>
            <w:r>
              <w:rPr>
                <w:noProof/>
                <w:webHidden/>
              </w:rPr>
              <w:t>69</w:t>
            </w:r>
            <w:r>
              <w:rPr>
                <w:noProof/>
                <w:webHidden/>
              </w:rPr>
              <w:fldChar w:fldCharType="end"/>
            </w:r>
          </w:hyperlink>
        </w:p>
        <w:p w14:paraId="2D8354D5" w14:textId="73C2FF4A" w:rsidR="00E72C34" w:rsidRDefault="00E72C34">
          <w:pPr>
            <w:pStyle w:val="TOC2"/>
            <w:tabs>
              <w:tab w:val="right" w:leader="dot" w:pos="9016"/>
            </w:tabs>
            <w:rPr>
              <w:rFonts w:eastAsiaTheme="minorEastAsia"/>
              <w:noProof/>
              <w:sz w:val="24"/>
              <w:szCs w:val="24"/>
              <w:lang w:eastAsia="en-GB"/>
            </w:rPr>
          </w:pPr>
          <w:hyperlink w:anchor="_Toc227936272" w:history="1">
            <w:r w:rsidRPr="007E6057">
              <w:rPr>
                <w:rStyle w:val="Hyperlink"/>
                <w:noProof/>
              </w:rPr>
              <w:t>8 Review of Major Studies</w:t>
            </w:r>
            <w:r>
              <w:rPr>
                <w:noProof/>
                <w:webHidden/>
              </w:rPr>
              <w:tab/>
            </w:r>
            <w:r>
              <w:rPr>
                <w:noProof/>
                <w:webHidden/>
              </w:rPr>
              <w:fldChar w:fldCharType="begin"/>
            </w:r>
            <w:r>
              <w:rPr>
                <w:noProof/>
                <w:webHidden/>
              </w:rPr>
              <w:instrText xml:space="preserve"> PAGEREF _Toc227936272 \h </w:instrText>
            </w:r>
            <w:r>
              <w:rPr>
                <w:noProof/>
                <w:webHidden/>
              </w:rPr>
            </w:r>
            <w:r>
              <w:rPr>
                <w:noProof/>
                <w:webHidden/>
              </w:rPr>
              <w:fldChar w:fldCharType="separate"/>
            </w:r>
            <w:r>
              <w:rPr>
                <w:noProof/>
                <w:webHidden/>
              </w:rPr>
              <w:t>71</w:t>
            </w:r>
            <w:r>
              <w:rPr>
                <w:noProof/>
                <w:webHidden/>
              </w:rPr>
              <w:fldChar w:fldCharType="end"/>
            </w:r>
          </w:hyperlink>
        </w:p>
        <w:p w14:paraId="225A2B53" w14:textId="1F336B5D" w:rsidR="00E72C34" w:rsidRDefault="00E72C34">
          <w:pPr>
            <w:pStyle w:val="TOC3"/>
            <w:tabs>
              <w:tab w:val="right" w:leader="dot" w:pos="9016"/>
            </w:tabs>
            <w:rPr>
              <w:rFonts w:eastAsiaTheme="minorEastAsia"/>
              <w:noProof/>
              <w:sz w:val="24"/>
              <w:szCs w:val="24"/>
              <w:lang w:eastAsia="en-GB"/>
            </w:rPr>
          </w:pPr>
          <w:hyperlink w:anchor="_Toc227936273" w:history="1">
            <w:r w:rsidRPr="007E6057">
              <w:rPr>
                <w:rStyle w:val="Hyperlink"/>
                <w:noProof/>
              </w:rPr>
              <w:t>9 Discussion</w:t>
            </w:r>
            <w:r>
              <w:rPr>
                <w:noProof/>
                <w:webHidden/>
              </w:rPr>
              <w:tab/>
            </w:r>
            <w:r>
              <w:rPr>
                <w:noProof/>
                <w:webHidden/>
              </w:rPr>
              <w:fldChar w:fldCharType="begin"/>
            </w:r>
            <w:r>
              <w:rPr>
                <w:noProof/>
                <w:webHidden/>
              </w:rPr>
              <w:instrText xml:space="preserve"> PAGEREF _Toc227936273 \h </w:instrText>
            </w:r>
            <w:r>
              <w:rPr>
                <w:noProof/>
                <w:webHidden/>
              </w:rPr>
            </w:r>
            <w:r>
              <w:rPr>
                <w:noProof/>
                <w:webHidden/>
              </w:rPr>
              <w:fldChar w:fldCharType="separate"/>
            </w:r>
            <w:r>
              <w:rPr>
                <w:noProof/>
                <w:webHidden/>
              </w:rPr>
              <w:t>72</w:t>
            </w:r>
            <w:r>
              <w:rPr>
                <w:noProof/>
                <w:webHidden/>
              </w:rPr>
              <w:fldChar w:fldCharType="end"/>
            </w:r>
          </w:hyperlink>
        </w:p>
        <w:p w14:paraId="783CCE9D" w14:textId="33AA269F" w:rsidR="00E72C34" w:rsidRDefault="00E72C34">
          <w:pPr>
            <w:pStyle w:val="TOC3"/>
            <w:tabs>
              <w:tab w:val="right" w:leader="dot" w:pos="9016"/>
            </w:tabs>
            <w:rPr>
              <w:rFonts w:eastAsiaTheme="minorEastAsia"/>
              <w:noProof/>
              <w:sz w:val="24"/>
              <w:szCs w:val="24"/>
              <w:lang w:eastAsia="en-GB"/>
            </w:rPr>
          </w:pPr>
          <w:hyperlink w:anchor="_Toc227936274" w:history="1">
            <w:r w:rsidRPr="007E6057">
              <w:rPr>
                <w:rStyle w:val="Hyperlink"/>
                <w:noProof/>
              </w:rPr>
              <w:t>10 Expected Contributions and Policy Development</w:t>
            </w:r>
            <w:r>
              <w:rPr>
                <w:noProof/>
                <w:webHidden/>
              </w:rPr>
              <w:tab/>
            </w:r>
            <w:r>
              <w:rPr>
                <w:noProof/>
                <w:webHidden/>
              </w:rPr>
              <w:fldChar w:fldCharType="begin"/>
            </w:r>
            <w:r>
              <w:rPr>
                <w:noProof/>
                <w:webHidden/>
              </w:rPr>
              <w:instrText xml:space="preserve"> PAGEREF _Toc227936274 \h </w:instrText>
            </w:r>
            <w:r>
              <w:rPr>
                <w:noProof/>
                <w:webHidden/>
              </w:rPr>
            </w:r>
            <w:r>
              <w:rPr>
                <w:noProof/>
                <w:webHidden/>
              </w:rPr>
              <w:fldChar w:fldCharType="separate"/>
            </w:r>
            <w:r>
              <w:rPr>
                <w:noProof/>
                <w:webHidden/>
              </w:rPr>
              <w:t>72</w:t>
            </w:r>
            <w:r>
              <w:rPr>
                <w:noProof/>
                <w:webHidden/>
              </w:rPr>
              <w:fldChar w:fldCharType="end"/>
            </w:r>
          </w:hyperlink>
        </w:p>
        <w:p w14:paraId="4FCF5778" w14:textId="72F86709" w:rsidR="00E72C34" w:rsidRDefault="00E72C34">
          <w:pPr>
            <w:pStyle w:val="TOC3"/>
            <w:tabs>
              <w:tab w:val="right" w:leader="dot" w:pos="9016"/>
            </w:tabs>
            <w:rPr>
              <w:rFonts w:eastAsiaTheme="minorEastAsia"/>
              <w:noProof/>
              <w:sz w:val="24"/>
              <w:szCs w:val="24"/>
              <w:lang w:eastAsia="en-GB"/>
            </w:rPr>
          </w:pPr>
          <w:hyperlink w:anchor="_Toc227936275" w:history="1">
            <w:r w:rsidRPr="007E6057">
              <w:rPr>
                <w:rStyle w:val="Hyperlink"/>
                <w:noProof/>
              </w:rPr>
              <w:t>10.1 Academic Contribution</w:t>
            </w:r>
            <w:r>
              <w:rPr>
                <w:noProof/>
                <w:webHidden/>
              </w:rPr>
              <w:tab/>
            </w:r>
            <w:r>
              <w:rPr>
                <w:noProof/>
                <w:webHidden/>
              </w:rPr>
              <w:fldChar w:fldCharType="begin"/>
            </w:r>
            <w:r>
              <w:rPr>
                <w:noProof/>
                <w:webHidden/>
              </w:rPr>
              <w:instrText xml:space="preserve"> PAGEREF _Toc227936275 \h </w:instrText>
            </w:r>
            <w:r>
              <w:rPr>
                <w:noProof/>
                <w:webHidden/>
              </w:rPr>
            </w:r>
            <w:r>
              <w:rPr>
                <w:noProof/>
                <w:webHidden/>
              </w:rPr>
              <w:fldChar w:fldCharType="separate"/>
            </w:r>
            <w:r>
              <w:rPr>
                <w:noProof/>
                <w:webHidden/>
              </w:rPr>
              <w:t>72</w:t>
            </w:r>
            <w:r>
              <w:rPr>
                <w:noProof/>
                <w:webHidden/>
              </w:rPr>
              <w:fldChar w:fldCharType="end"/>
            </w:r>
          </w:hyperlink>
        </w:p>
        <w:p w14:paraId="605B68F0" w14:textId="10F2DB0D" w:rsidR="00E72C34" w:rsidRDefault="00E72C34">
          <w:pPr>
            <w:pStyle w:val="TOC3"/>
            <w:tabs>
              <w:tab w:val="right" w:leader="dot" w:pos="9016"/>
            </w:tabs>
            <w:rPr>
              <w:rFonts w:eastAsiaTheme="minorEastAsia"/>
              <w:noProof/>
              <w:sz w:val="24"/>
              <w:szCs w:val="24"/>
              <w:lang w:eastAsia="en-GB"/>
            </w:rPr>
          </w:pPr>
          <w:hyperlink w:anchor="_Toc227936276" w:history="1">
            <w:r w:rsidRPr="007E6057">
              <w:rPr>
                <w:rStyle w:val="Hyperlink"/>
                <w:noProof/>
              </w:rPr>
              <w:t>Policy Development</w:t>
            </w:r>
            <w:r>
              <w:rPr>
                <w:noProof/>
                <w:webHidden/>
              </w:rPr>
              <w:tab/>
            </w:r>
            <w:r>
              <w:rPr>
                <w:noProof/>
                <w:webHidden/>
              </w:rPr>
              <w:fldChar w:fldCharType="begin"/>
            </w:r>
            <w:r>
              <w:rPr>
                <w:noProof/>
                <w:webHidden/>
              </w:rPr>
              <w:instrText xml:space="preserve"> PAGEREF _Toc227936276 \h </w:instrText>
            </w:r>
            <w:r>
              <w:rPr>
                <w:noProof/>
                <w:webHidden/>
              </w:rPr>
            </w:r>
            <w:r>
              <w:rPr>
                <w:noProof/>
                <w:webHidden/>
              </w:rPr>
              <w:fldChar w:fldCharType="separate"/>
            </w:r>
            <w:r>
              <w:rPr>
                <w:noProof/>
                <w:webHidden/>
              </w:rPr>
              <w:t>73</w:t>
            </w:r>
            <w:r>
              <w:rPr>
                <w:noProof/>
                <w:webHidden/>
              </w:rPr>
              <w:fldChar w:fldCharType="end"/>
            </w:r>
          </w:hyperlink>
        </w:p>
        <w:p w14:paraId="2DD5B0EE" w14:textId="1D75BF89" w:rsidR="00E72C34" w:rsidRDefault="00E72C34">
          <w:pPr>
            <w:pStyle w:val="TOC3"/>
            <w:tabs>
              <w:tab w:val="right" w:leader="dot" w:pos="9016"/>
            </w:tabs>
            <w:rPr>
              <w:rFonts w:eastAsiaTheme="minorEastAsia"/>
              <w:noProof/>
              <w:sz w:val="24"/>
              <w:szCs w:val="24"/>
              <w:lang w:eastAsia="en-GB"/>
            </w:rPr>
          </w:pPr>
          <w:hyperlink w:anchor="_Toc227936277" w:history="1">
            <w:r w:rsidRPr="007E6057">
              <w:rPr>
                <w:rStyle w:val="Hyperlink"/>
                <w:noProof/>
              </w:rPr>
              <w:t>Future research gap</w:t>
            </w:r>
            <w:r>
              <w:rPr>
                <w:noProof/>
                <w:webHidden/>
              </w:rPr>
              <w:tab/>
            </w:r>
            <w:r>
              <w:rPr>
                <w:noProof/>
                <w:webHidden/>
              </w:rPr>
              <w:fldChar w:fldCharType="begin"/>
            </w:r>
            <w:r>
              <w:rPr>
                <w:noProof/>
                <w:webHidden/>
              </w:rPr>
              <w:instrText xml:space="preserve"> PAGEREF _Toc227936277 \h </w:instrText>
            </w:r>
            <w:r>
              <w:rPr>
                <w:noProof/>
                <w:webHidden/>
              </w:rPr>
            </w:r>
            <w:r>
              <w:rPr>
                <w:noProof/>
                <w:webHidden/>
              </w:rPr>
              <w:fldChar w:fldCharType="separate"/>
            </w:r>
            <w:r>
              <w:rPr>
                <w:noProof/>
                <w:webHidden/>
              </w:rPr>
              <w:t>73</w:t>
            </w:r>
            <w:r>
              <w:rPr>
                <w:noProof/>
                <w:webHidden/>
              </w:rPr>
              <w:fldChar w:fldCharType="end"/>
            </w:r>
          </w:hyperlink>
        </w:p>
        <w:p w14:paraId="79F169F5" w14:textId="774672B3" w:rsidR="00E72C34" w:rsidRDefault="00E72C34">
          <w:pPr>
            <w:pStyle w:val="TOC2"/>
            <w:tabs>
              <w:tab w:val="right" w:leader="dot" w:pos="9016"/>
            </w:tabs>
            <w:rPr>
              <w:rFonts w:eastAsiaTheme="minorEastAsia"/>
              <w:noProof/>
              <w:sz w:val="24"/>
              <w:szCs w:val="24"/>
              <w:lang w:eastAsia="en-GB"/>
            </w:rPr>
          </w:pPr>
          <w:hyperlink w:anchor="_Toc227936278" w:history="1">
            <w:r w:rsidRPr="007E6057">
              <w:rPr>
                <w:rStyle w:val="Hyperlink"/>
                <w:noProof/>
              </w:rPr>
              <w:t>11. Gaps in the Literature</w:t>
            </w:r>
            <w:r>
              <w:rPr>
                <w:noProof/>
                <w:webHidden/>
              </w:rPr>
              <w:tab/>
            </w:r>
            <w:r>
              <w:rPr>
                <w:noProof/>
                <w:webHidden/>
              </w:rPr>
              <w:fldChar w:fldCharType="begin"/>
            </w:r>
            <w:r>
              <w:rPr>
                <w:noProof/>
                <w:webHidden/>
              </w:rPr>
              <w:instrText xml:space="preserve"> PAGEREF _Toc227936278 \h </w:instrText>
            </w:r>
            <w:r>
              <w:rPr>
                <w:noProof/>
                <w:webHidden/>
              </w:rPr>
            </w:r>
            <w:r>
              <w:rPr>
                <w:noProof/>
                <w:webHidden/>
              </w:rPr>
              <w:fldChar w:fldCharType="separate"/>
            </w:r>
            <w:r>
              <w:rPr>
                <w:noProof/>
                <w:webHidden/>
              </w:rPr>
              <w:t>74</w:t>
            </w:r>
            <w:r>
              <w:rPr>
                <w:noProof/>
                <w:webHidden/>
              </w:rPr>
              <w:fldChar w:fldCharType="end"/>
            </w:r>
          </w:hyperlink>
        </w:p>
        <w:p w14:paraId="3D7AD17E" w14:textId="17647D40" w:rsidR="00E72C34" w:rsidRDefault="00E72C34">
          <w:pPr>
            <w:pStyle w:val="TOC3"/>
            <w:tabs>
              <w:tab w:val="right" w:leader="dot" w:pos="9016"/>
            </w:tabs>
            <w:rPr>
              <w:rFonts w:eastAsiaTheme="minorEastAsia"/>
              <w:noProof/>
              <w:sz w:val="24"/>
              <w:szCs w:val="24"/>
              <w:lang w:eastAsia="en-GB"/>
            </w:rPr>
          </w:pPr>
          <w:hyperlink w:anchor="_Toc227936279" w:history="1">
            <w:r w:rsidRPr="007E6057">
              <w:rPr>
                <w:rStyle w:val="Hyperlink"/>
                <w:noProof/>
              </w:rPr>
              <w:t>11.1 Key Gaps in the Literature</w:t>
            </w:r>
            <w:r>
              <w:rPr>
                <w:noProof/>
                <w:webHidden/>
              </w:rPr>
              <w:tab/>
            </w:r>
            <w:r>
              <w:rPr>
                <w:noProof/>
                <w:webHidden/>
              </w:rPr>
              <w:fldChar w:fldCharType="begin"/>
            </w:r>
            <w:r>
              <w:rPr>
                <w:noProof/>
                <w:webHidden/>
              </w:rPr>
              <w:instrText xml:space="preserve"> PAGEREF _Toc227936279 \h </w:instrText>
            </w:r>
            <w:r>
              <w:rPr>
                <w:noProof/>
                <w:webHidden/>
              </w:rPr>
            </w:r>
            <w:r>
              <w:rPr>
                <w:noProof/>
                <w:webHidden/>
              </w:rPr>
              <w:fldChar w:fldCharType="separate"/>
            </w:r>
            <w:r>
              <w:rPr>
                <w:noProof/>
                <w:webHidden/>
              </w:rPr>
              <w:t>74</w:t>
            </w:r>
            <w:r>
              <w:rPr>
                <w:noProof/>
                <w:webHidden/>
              </w:rPr>
              <w:fldChar w:fldCharType="end"/>
            </w:r>
          </w:hyperlink>
        </w:p>
        <w:p w14:paraId="2BC3A16C" w14:textId="1532B84D" w:rsidR="00E72C34" w:rsidRDefault="00E72C34">
          <w:pPr>
            <w:pStyle w:val="TOC2"/>
            <w:tabs>
              <w:tab w:val="right" w:leader="dot" w:pos="9016"/>
            </w:tabs>
            <w:rPr>
              <w:rFonts w:eastAsiaTheme="minorEastAsia"/>
              <w:noProof/>
              <w:sz w:val="24"/>
              <w:szCs w:val="24"/>
              <w:lang w:eastAsia="en-GB"/>
            </w:rPr>
          </w:pPr>
          <w:hyperlink w:anchor="_Toc227936280" w:history="1">
            <w:r w:rsidRPr="007E6057">
              <w:rPr>
                <w:rStyle w:val="Hyperlink"/>
                <w:noProof/>
              </w:rPr>
              <w:t>12 Future Research Questions</w:t>
            </w:r>
            <w:r>
              <w:rPr>
                <w:noProof/>
                <w:webHidden/>
              </w:rPr>
              <w:tab/>
            </w:r>
            <w:r>
              <w:rPr>
                <w:noProof/>
                <w:webHidden/>
              </w:rPr>
              <w:fldChar w:fldCharType="begin"/>
            </w:r>
            <w:r>
              <w:rPr>
                <w:noProof/>
                <w:webHidden/>
              </w:rPr>
              <w:instrText xml:space="preserve"> PAGEREF _Toc227936280 \h </w:instrText>
            </w:r>
            <w:r>
              <w:rPr>
                <w:noProof/>
                <w:webHidden/>
              </w:rPr>
            </w:r>
            <w:r>
              <w:rPr>
                <w:noProof/>
                <w:webHidden/>
              </w:rPr>
              <w:fldChar w:fldCharType="separate"/>
            </w:r>
            <w:r>
              <w:rPr>
                <w:noProof/>
                <w:webHidden/>
              </w:rPr>
              <w:t>75</w:t>
            </w:r>
            <w:r>
              <w:rPr>
                <w:noProof/>
                <w:webHidden/>
              </w:rPr>
              <w:fldChar w:fldCharType="end"/>
            </w:r>
          </w:hyperlink>
        </w:p>
        <w:p w14:paraId="0B146D20" w14:textId="6D427050" w:rsidR="00E72C34" w:rsidRDefault="00E72C34">
          <w:pPr>
            <w:pStyle w:val="TOC2"/>
            <w:tabs>
              <w:tab w:val="right" w:leader="dot" w:pos="9016"/>
            </w:tabs>
            <w:rPr>
              <w:rFonts w:eastAsiaTheme="minorEastAsia"/>
              <w:noProof/>
              <w:sz w:val="24"/>
              <w:szCs w:val="24"/>
              <w:lang w:eastAsia="en-GB"/>
            </w:rPr>
          </w:pPr>
          <w:hyperlink w:anchor="_Toc227936281" w:history="1">
            <w:r w:rsidRPr="007E6057">
              <w:rPr>
                <w:rStyle w:val="Hyperlink"/>
                <w:noProof/>
              </w:rPr>
              <w:t>13 Limitation of the study</w:t>
            </w:r>
            <w:r>
              <w:rPr>
                <w:noProof/>
                <w:webHidden/>
              </w:rPr>
              <w:tab/>
            </w:r>
            <w:r>
              <w:rPr>
                <w:noProof/>
                <w:webHidden/>
              </w:rPr>
              <w:fldChar w:fldCharType="begin"/>
            </w:r>
            <w:r>
              <w:rPr>
                <w:noProof/>
                <w:webHidden/>
              </w:rPr>
              <w:instrText xml:space="preserve"> PAGEREF _Toc227936281 \h </w:instrText>
            </w:r>
            <w:r>
              <w:rPr>
                <w:noProof/>
                <w:webHidden/>
              </w:rPr>
            </w:r>
            <w:r>
              <w:rPr>
                <w:noProof/>
                <w:webHidden/>
              </w:rPr>
              <w:fldChar w:fldCharType="separate"/>
            </w:r>
            <w:r>
              <w:rPr>
                <w:noProof/>
                <w:webHidden/>
              </w:rPr>
              <w:t>75</w:t>
            </w:r>
            <w:r>
              <w:rPr>
                <w:noProof/>
                <w:webHidden/>
              </w:rPr>
              <w:fldChar w:fldCharType="end"/>
            </w:r>
          </w:hyperlink>
        </w:p>
        <w:p w14:paraId="29AB23A4" w14:textId="0E567E3E" w:rsidR="00E72C34" w:rsidRDefault="00E72C34">
          <w:pPr>
            <w:pStyle w:val="TOC2"/>
            <w:tabs>
              <w:tab w:val="right" w:leader="dot" w:pos="9016"/>
            </w:tabs>
            <w:rPr>
              <w:rFonts w:eastAsiaTheme="minorEastAsia"/>
              <w:noProof/>
              <w:sz w:val="24"/>
              <w:szCs w:val="24"/>
              <w:lang w:eastAsia="en-GB"/>
            </w:rPr>
          </w:pPr>
          <w:hyperlink w:anchor="_Toc227936282" w:history="1">
            <w:r w:rsidRPr="007E6057">
              <w:rPr>
                <w:rStyle w:val="Hyperlink"/>
                <w:noProof/>
              </w:rPr>
              <w:t>14 Conclusion</w:t>
            </w:r>
            <w:r>
              <w:rPr>
                <w:noProof/>
                <w:webHidden/>
              </w:rPr>
              <w:tab/>
            </w:r>
            <w:r>
              <w:rPr>
                <w:noProof/>
                <w:webHidden/>
              </w:rPr>
              <w:fldChar w:fldCharType="begin"/>
            </w:r>
            <w:r>
              <w:rPr>
                <w:noProof/>
                <w:webHidden/>
              </w:rPr>
              <w:instrText xml:space="preserve"> PAGEREF _Toc227936282 \h </w:instrText>
            </w:r>
            <w:r>
              <w:rPr>
                <w:noProof/>
                <w:webHidden/>
              </w:rPr>
            </w:r>
            <w:r>
              <w:rPr>
                <w:noProof/>
                <w:webHidden/>
              </w:rPr>
              <w:fldChar w:fldCharType="separate"/>
            </w:r>
            <w:r>
              <w:rPr>
                <w:noProof/>
                <w:webHidden/>
              </w:rPr>
              <w:t>76</w:t>
            </w:r>
            <w:r>
              <w:rPr>
                <w:noProof/>
                <w:webHidden/>
              </w:rPr>
              <w:fldChar w:fldCharType="end"/>
            </w:r>
          </w:hyperlink>
        </w:p>
        <w:p w14:paraId="25831B34" w14:textId="582AFD73" w:rsidR="00E72C34" w:rsidRDefault="00E72C34">
          <w:pPr>
            <w:pStyle w:val="TOC2"/>
            <w:tabs>
              <w:tab w:val="right" w:leader="dot" w:pos="9016"/>
            </w:tabs>
            <w:rPr>
              <w:rFonts w:eastAsiaTheme="minorEastAsia"/>
              <w:noProof/>
              <w:sz w:val="24"/>
              <w:szCs w:val="24"/>
              <w:lang w:eastAsia="en-GB"/>
            </w:rPr>
          </w:pPr>
          <w:hyperlink w:anchor="_Toc227936283" w:history="1">
            <w:r w:rsidRPr="007E6057">
              <w:rPr>
                <w:rStyle w:val="Hyperlink"/>
                <w:noProof/>
              </w:rPr>
              <w:t>Reference</w:t>
            </w:r>
            <w:r>
              <w:rPr>
                <w:noProof/>
                <w:webHidden/>
              </w:rPr>
              <w:tab/>
            </w:r>
            <w:r>
              <w:rPr>
                <w:noProof/>
                <w:webHidden/>
              </w:rPr>
              <w:fldChar w:fldCharType="begin"/>
            </w:r>
            <w:r>
              <w:rPr>
                <w:noProof/>
                <w:webHidden/>
              </w:rPr>
              <w:instrText xml:space="preserve"> PAGEREF _Toc227936283 \h </w:instrText>
            </w:r>
            <w:r>
              <w:rPr>
                <w:noProof/>
                <w:webHidden/>
              </w:rPr>
            </w:r>
            <w:r>
              <w:rPr>
                <w:noProof/>
                <w:webHidden/>
              </w:rPr>
              <w:fldChar w:fldCharType="separate"/>
            </w:r>
            <w:r>
              <w:rPr>
                <w:noProof/>
                <w:webHidden/>
              </w:rPr>
              <w:t>77</w:t>
            </w:r>
            <w:r>
              <w:rPr>
                <w:noProof/>
                <w:webHidden/>
              </w:rPr>
              <w:fldChar w:fldCharType="end"/>
            </w:r>
          </w:hyperlink>
        </w:p>
        <w:p w14:paraId="094ABFF7" w14:textId="31B75E74" w:rsidR="00DA1C47" w:rsidRDefault="00DA1C47">
          <w:r>
            <w:rPr>
              <w:b/>
              <w:bCs/>
              <w:noProof/>
            </w:rPr>
            <w:fldChar w:fldCharType="end"/>
          </w:r>
        </w:p>
      </w:sdtContent>
    </w:sdt>
    <w:p w14:paraId="5536767A" w14:textId="34F8AD57" w:rsidR="005D63D1" w:rsidRDefault="005D63D1"/>
    <w:p w14:paraId="063BEF59" w14:textId="77777777" w:rsidR="00DA1C47" w:rsidRDefault="00DA1C47"/>
    <w:p w14:paraId="46DA7E79" w14:textId="77777777" w:rsidR="00DA1C47" w:rsidRDefault="00DA1C47"/>
    <w:p w14:paraId="032FEA8B" w14:textId="77777777" w:rsidR="00DA1C47" w:rsidRDefault="00DA1C47"/>
    <w:p w14:paraId="4523EDD2" w14:textId="0DF03EA9" w:rsidR="001E28BE" w:rsidRDefault="001E28BE"/>
    <w:p w14:paraId="2FB6ABF9" w14:textId="491CFB99" w:rsidR="001E28BE" w:rsidRDefault="001E28BE" w:rsidP="00C1542C">
      <w:r>
        <w:br w:type="page"/>
      </w:r>
    </w:p>
    <w:p w14:paraId="2FFE2DFA" w14:textId="18577DAA" w:rsidR="00AF4101" w:rsidRDefault="00B743BF" w:rsidP="009E58ED">
      <w:pPr>
        <w:pStyle w:val="Heading2"/>
        <w:jc w:val="both"/>
      </w:pPr>
      <w:bookmarkStart w:id="0" w:name="_Toc227936238"/>
      <w:r>
        <w:lastRenderedPageBreak/>
        <w:t xml:space="preserve">Purpose of </w:t>
      </w:r>
      <w:r w:rsidR="00CE5762">
        <w:t>a critical literature review</w:t>
      </w:r>
      <w:bookmarkEnd w:id="0"/>
    </w:p>
    <w:p w14:paraId="38C964F9" w14:textId="0598C82A" w:rsidR="00BD3B91" w:rsidRPr="00BD3B91" w:rsidRDefault="00BD3B91" w:rsidP="009E58ED">
      <w:pPr>
        <w:pStyle w:val="Subtitle"/>
        <w:jc w:val="both"/>
      </w:pPr>
      <w:r w:rsidRPr="00BD3B91">
        <w:t xml:space="preserve">Situate the </w:t>
      </w:r>
      <w:r w:rsidR="001942F3">
        <w:t>R</w:t>
      </w:r>
      <w:r w:rsidRPr="00BD3B91">
        <w:t xml:space="preserve">esearch </w:t>
      </w:r>
      <w:r w:rsidR="001942F3">
        <w:t>I</w:t>
      </w:r>
      <w:r w:rsidRPr="00BD3B91">
        <w:t xml:space="preserve">nvestigation </w:t>
      </w:r>
      <w:r w:rsidR="001942F3">
        <w:t>I</w:t>
      </w:r>
      <w:r w:rsidRPr="00BD3B91">
        <w:t>ntellectually</w:t>
      </w:r>
    </w:p>
    <w:p w14:paraId="72A37EED" w14:textId="01D9D130" w:rsidR="0071171F" w:rsidRDefault="0077358A" w:rsidP="009E58ED">
      <w:pPr>
        <w:spacing w:line="360" w:lineRule="auto"/>
        <w:jc w:val="both"/>
        <w:rPr>
          <w:rFonts w:ascii="Arial" w:hAnsi="Arial" w:cs="Arial"/>
          <w:sz w:val="24"/>
          <w:szCs w:val="24"/>
        </w:rPr>
      </w:pPr>
      <w:r>
        <w:rPr>
          <w:rFonts w:ascii="Arial" w:hAnsi="Arial" w:cs="Arial"/>
          <w:sz w:val="24"/>
          <w:szCs w:val="24"/>
        </w:rPr>
        <w:t>A critical literature review (CLR) is essential for identifying research gaps and shaping research questions by assessing academic studies. Nuruddeen (2015) notes that CLRs reveal errors in existing scholarship and refine findings. Similarly, Saunders et al. (2011) highlight that literature reviews frame research and clarify known and unknown aspects. Bolderston (2008) emphasises that critical evaluation uncovers knowledge gaps and generates future research questions, while Khraban (2024) stresses the importance of gathering relevant articles.</w:t>
      </w:r>
    </w:p>
    <w:p w14:paraId="7F947F64" w14:textId="51666614" w:rsidR="00E642EB" w:rsidRDefault="002A4510" w:rsidP="009E58ED">
      <w:pPr>
        <w:pStyle w:val="Subtitle"/>
        <w:jc w:val="both"/>
      </w:pPr>
      <w:r w:rsidRPr="002A4510">
        <w:t xml:space="preserve">Demonstrate </w:t>
      </w:r>
      <w:r w:rsidR="001942F3">
        <w:t>A</w:t>
      </w:r>
      <w:r w:rsidRPr="002A4510">
        <w:t xml:space="preserve">nalytical </w:t>
      </w:r>
      <w:r w:rsidR="001942F3">
        <w:t>S</w:t>
      </w:r>
      <w:r w:rsidRPr="002A4510">
        <w:t xml:space="preserve">cholastic </w:t>
      </w:r>
      <w:r w:rsidR="001942F3">
        <w:t>P</w:t>
      </w:r>
      <w:r w:rsidRPr="002A4510">
        <w:t>roficiency</w:t>
      </w:r>
    </w:p>
    <w:p w14:paraId="1237080A" w14:textId="3565E1A8" w:rsidR="0071171F" w:rsidRDefault="00B801F1" w:rsidP="009E58ED">
      <w:pPr>
        <w:spacing w:line="360" w:lineRule="auto"/>
        <w:jc w:val="both"/>
        <w:rPr>
          <w:rFonts w:ascii="Arial" w:hAnsi="Arial" w:cs="Arial"/>
          <w:sz w:val="24"/>
          <w:szCs w:val="24"/>
        </w:rPr>
      </w:pPr>
      <w:r>
        <w:rPr>
          <w:rFonts w:ascii="Arial" w:hAnsi="Arial" w:cs="Arial"/>
          <w:sz w:val="24"/>
          <w:szCs w:val="24"/>
        </w:rPr>
        <w:t xml:space="preserve">A literature review showcases analytical skills and diverse evidence sources. Fernandez (2019) emphasises expertise, while </w:t>
      </w:r>
      <w:proofErr w:type="spellStart"/>
      <w:r>
        <w:rPr>
          <w:rFonts w:ascii="Arial" w:hAnsi="Arial" w:cs="Arial"/>
          <w:sz w:val="24"/>
          <w:szCs w:val="24"/>
        </w:rPr>
        <w:t>Obagi</w:t>
      </w:r>
      <w:proofErr w:type="spellEnd"/>
      <w:r>
        <w:rPr>
          <w:rFonts w:ascii="Arial" w:hAnsi="Arial" w:cs="Arial"/>
          <w:sz w:val="24"/>
          <w:szCs w:val="24"/>
        </w:rPr>
        <w:t xml:space="preserve"> et al. (2008) highlight the necessity of thorough research for effective reviews. Hassan et al. (2017) note the enhancement of evaluation skills, and both Mogonea and Mogonea (2019) and Castillo-Martínez and Ramirez-Montoya (2021) affirm their role in developing research techniques and critical thinking. Saunders et al. (2011) underline the importance of contextualising research and demonstrating academic judgment, reflecting scholarly competence across eight sources.</w:t>
      </w:r>
    </w:p>
    <w:p w14:paraId="6C9B7362" w14:textId="77A1CC2A" w:rsidR="002E312F" w:rsidRPr="002E312F" w:rsidRDefault="002E312F" w:rsidP="009E58ED">
      <w:pPr>
        <w:pStyle w:val="Subtitle"/>
        <w:jc w:val="both"/>
      </w:pPr>
      <w:r w:rsidRPr="002E312F">
        <w:t xml:space="preserve">Synthesise </w:t>
      </w:r>
      <w:r w:rsidR="001942F3">
        <w:t>K</w:t>
      </w:r>
      <w:r w:rsidRPr="002E312F">
        <w:t xml:space="preserve">nowledge </w:t>
      </w:r>
      <w:r w:rsidR="001942F3">
        <w:t>I</w:t>
      </w:r>
      <w:r w:rsidRPr="002E312F">
        <w:t xml:space="preserve">nstead of </w:t>
      </w:r>
      <w:r w:rsidR="001942F3">
        <w:t>M</w:t>
      </w:r>
      <w:r w:rsidRPr="002E312F">
        <w:t xml:space="preserve">erely </w:t>
      </w:r>
      <w:r w:rsidR="001942F3">
        <w:t>L</w:t>
      </w:r>
      <w:r w:rsidRPr="002E312F">
        <w:t xml:space="preserve">isting </w:t>
      </w:r>
      <w:r w:rsidR="001942F3">
        <w:t>I</w:t>
      </w:r>
      <w:r w:rsidRPr="002E312F">
        <w:t>nformation</w:t>
      </w:r>
    </w:p>
    <w:p w14:paraId="5F271305" w14:textId="3ADE62BE" w:rsidR="00B801F1" w:rsidRDefault="00485453" w:rsidP="009E58ED">
      <w:pPr>
        <w:spacing w:line="360" w:lineRule="auto"/>
        <w:jc w:val="both"/>
        <w:rPr>
          <w:rFonts w:ascii="Arial" w:hAnsi="Arial" w:cs="Arial"/>
          <w:sz w:val="24"/>
          <w:szCs w:val="24"/>
        </w:rPr>
      </w:pPr>
      <w:r>
        <w:rPr>
          <w:rFonts w:ascii="Arial" w:hAnsi="Arial" w:cs="Arial"/>
          <w:sz w:val="24"/>
          <w:szCs w:val="24"/>
        </w:rPr>
        <w:t>A critical literature analysis evaluates and integrates sources instead of just summarizing them. Samuels (2016) argues for demonstrating a deep understanding of arguments, methodologies, and outcomes, while Kahlke et al. (2023) highlight the significance of interpretive analysis, where researchers assess and interpret information rather than merely define it.</w:t>
      </w:r>
    </w:p>
    <w:p w14:paraId="13A8CE47" w14:textId="1F33D198" w:rsidR="005A3FD2" w:rsidRDefault="00FF4842" w:rsidP="009E58ED">
      <w:pPr>
        <w:pStyle w:val="Subtitle"/>
        <w:jc w:val="both"/>
      </w:pPr>
      <w:r w:rsidRPr="00FF4842">
        <w:t>Identifying </w:t>
      </w:r>
      <w:r w:rsidR="001942F3">
        <w:t>G</w:t>
      </w:r>
      <w:r w:rsidRPr="00FF4842">
        <w:t xml:space="preserve">aps, </w:t>
      </w:r>
      <w:r w:rsidR="001942F3">
        <w:t>T</w:t>
      </w:r>
      <w:r w:rsidRPr="00FF4842">
        <w:t xml:space="preserve">ensions, and </w:t>
      </w:r>
      <w:r w:rsidR="001942F3">
        <w:t>P</w:t>
      </w:r>
      <w:r w:rsidRPr="00FF4842">
        <w:t xml:space="preserve">otential </w:t>
      </w:r>
      <w:r w:rsidR="001942F3">
        <w:t>O</w:t>
      </w:r>
      <w:r w:rsidRPr="00FF4842">
        <w:t>pportunities.</w:t>
      </w:r>
    </w:p>
    <w:p w14:paraId="4F8B761D" w14:textId="3918D086" w:rsidR="00A23D6A" w:rsidRDefault="000C0D80" w:rsidP="009E58ED">
      <w:pPr>
        <w:spacing w:line="360" w:lineRule="auto"/>
        <w:jc w:val="both"/>
        <w:rPr>
          <w:rFonts w:ascii="Arial" w:hAnsi="Arial" w:cs="Arial"/>
          <w:sz w:val="24"/>
          <w:szCs w:val="24"/>
        </w:rPr>
      </w:pPr>
      <w:r>
        <w:rPr>
          <w:rFonts w:ascii="Arial" w:hAnsi="Arial" w:cs="Arial"/>
          <w:sz w:val="24"/>
          <w:szCs w:val="24"/>
        </w:rPr>
        <w:t xml:space="preserve">Chigbu et al. (2023) state that literature reviews synthesise existing research to identify knowledge gaps and enhance understanding of a topic. These gaps can be classified into seven types: empirical, knowledge, evidence, theoretical, population, </w:t>
      </w:r>
      <w:r>
        <w:rPr>
          <w:rFonts w:ascii="Arial" w:hAnsi="Arial" w:cs="Arial"/>
          <w:sz w:val="24"/>
          <w:szCs w:val="24"/>
        </w:rPr>
        <w:lastRenderedPageBreak/>
        <w:t>application/implementation, and technique. Addressing them can significantly advance research.</w:t>
      </w:r>
    </w:p>
    <w:p w14:paraId="052D980C" w14:textId="5B3B2F65" w:rsidR="00A74FA3" w:rsidRDefault="004229DA" w:rsidP="009E58ED">
      <w:pPr>
        <w:pStyle w:val="Subtitle"/>
        <w:jc w:val="both"/>
      </w:pPr>
      <w:r w:rsidRPr="004229DA">
        <w:t xml:space="preserve">Develop a </w:t>
      </w:r>
      <w:r w:rsidR="001942F3">
        <w:t>T</w:t>
      </w:r>
      <w:r w:rsidRPr="004229DA">
        <w:t xml:space="preserve">heoretical or </w:t>
      </w:r>
      <w:r w:rsidR="001942F3">
        <w:t>C</w:t>
      </w:r>
      <w:r w:rsidRPr="004229DA">
        <w:t xml:space="preserve">onceptual </w:t>
      </w:r>
      <w:r w:rsidR="001942F3">
        <w:t>P</w:t>
      </w:r>
      <w:r w:rsidRPr="004229DA">
        <w:t>latform.</w:t>
      </w:r>
    </w:p>
    <w:p w14:paraId="0E6BDDCF" w14:textId="60D6C079" w:rsidR="005960E7" w:rsidRDefault="00485453" w:rsidP="009E58ED">
      <w:pPr>
        <w:spacing w:line="360" w:lineRule="auto"/>
        <w:jc w:val="both"/>
        <w:rPr>
          <w:rFonts w:ascii="Arial" w:hAnsi="Arial" w:cs="Arial"/>
          <w:sz w:val="24"/>
          <w:szCs w:val="24"/>
        </w:rPr>
      </w:pPr>
      <w:r>
        <w:rPr>
          <w:rFonts w:ascii="Arial" w:hAnsi="Arial" w:cs="Arial"/>
          <w:sz w:val="24"/>
          <w:szCs w:val="24"/>
        </w:rPr>
        <w:t>A critical literature review develops a theoretical framework by systematically synthesising ideas from primary research (Okoli, 2021). This includes integrating both quantitative and qualitative concepts and highlighting connections among theories and contextual factors. Concepts can be organised in a matrix with journal articles as rows and theoretical concepts as columns. Researchers may focus on one measurable theoretical concept per section or provide a meta-analytic summary of findings (Borenstein et al., 2009).</w:t>
      </w:r>
    </w:p>
    <w:p w14:paraId="124A6BBB" w14:textId="525026FF" w:rsidR="00196240" w:rsidRDefault="00196240" w:rsidP="009E58ED">
      <w:pPr>
        <w:pStyle w:val="Heading2"/>
        <w:jc w:val="both"/>
      </w:pPr>
      <w:bookmarkStart w:id="1" w:name="_Toc227936239"/>
      <w:r w:rsidRPr="00196240">
        <w:t>Content of a Critical Literature Review</w:t>
      </w:r>
      <w:bookmarkEnd w:id="1"/>
    </w:p>
    <w:p w14:paraId="0A38F391" w14:textId="28B3064E" w:rsidR="005F7C44" w:rsidRDefault="005F7C44" w:rsidP="009E58ED">
      <w:pPr>
        <w:pStyle w:val="Subtitle"/>
        <w:jc w:val="both"/>
      </w:pPr>
      <w:r w:rsidRPr="005F7C44">
        <w:t xml:space="preserve">Mapping </w:t>
      </w:r>
      <w:r w:rsidR="001942F3">
        <w:t>P</w:t>
      </w:r>
      <w:r w:rsidRPr="005F7C44">
        <w:t xml:space="preserve">hilosophical </w:t>
      </w:r>
      <w:r w:rsidR="001942F3">
        <w:t>T</w:t>
      </w:r>
      <w:r w:rsidRPr="005F7C44">
        <w:t>erritory</w:t>
      </w:r>
    </w:p>
    <w:p w14:paraId="1A7A4AC2" w14:textId="6C91B597" w:rsidR="00485453" w:rsidRDefault="00D527ED" w:rsidP="009E58ED">
      <w:pPr>
        <w:spacing w:line="360" w:lineRule="auto"/>
        <w:jc w:val="both"/>
        <w:rPr>
          <w:rFonts w:ascii="Arial" w:hAnsi="Arial" w:cs="Arial"/>
          <w:sz w:val="24"/>
          <w:szCs w:val="24"/>
        </w:rPr>
      </w:pPr>
      <w:r>
        <w:rPr>
          <w:rFonts w:ascii="Arial" w:hAnsi="Arial" w:cs="Arial"/>
          <w:sz w:val="24"/>
          <w:szCs w:val="24"/>
        </w:rPr>
        <w:t>A literature review helps researchers grasp current knowledge and develop relevant research questions (Tranfield et al., 2003). In fields with limited empirical literature, existing work is often theoretical, highlighting the importance of qualitative methods like grounded theory (Cranwell and Daly, 2001). It primarily analyses existing theories to inform effective research methodologies.</w:t>
      </w:r>
    </w:p>
    <w:p w14:paraId="4DC703EB" w14:textId="0A643347" w:rsidR="008A4F2E" w:rsidRDefault="008A4F2E" w:rsidP="009E58ED">
      <w:pPr>
        <w:pStyle w:val="Subtitle"/>
        <w:jc w:val="both"/>
      </w:pPr>
      <w:r w:rsidRPr="008A4F2E">
        <w:t xml:space="preserve">Critical </w:t>
      </w:r>
      <w:r w:rsidR="001942F3">
        <w:t>E</w:t>
      </w:r>
      <w:r w:rsidRPr="008A4F2E">
        <w:t xml:space="preserve">valuation of </w:t>
      </w:r>
      <w:r w:rsidR="001942F3">
        <w:t>I</w:t>
      </w:r>
      <w:r w:rsidRPr="008A4F2E">
        <w:t xml:space="preserve">ndividual and </w:t>
      </w:r>
      <w:r w:rsidR="001942F3">
        <w:t>C</w:t>
      </w:r>
      <w:r w:rsidRPr="008A4F2E">
        <w:t xml:space="preserve">ollaborative </w:t>
      </w:r>
      <w:r w:rsidR="001942F3">
        <w:t>I</w:t>
      </w:r>
      <w:r w:rsidRPr="008A4F2E">
        <w:t>nvestigations</w:t>
      </w:r>
    </w:p>
    <w:p w14:paraId="1AB2A4DC" w14:textId="046BB2FF" w:rsidR="00D527ED" w:rsidRDefault="00EC4132" w:rsidP="009E58ED">
      <w:pPr>
        <w:spacing w:line="360" w:lineRule="auto"/>
        <w:jc w:val="both"/>
        <w:rPr>
          <w:rFonts w:ascii="Arial" w:hAnsi="Arial" w:cs="Arial"/>
          <w:sz w:val="24"/>
          <w:szCs w:val="24"/>
        </w:rPr>
      </w:pPr>
      <w:r>
        <w:rPr>
          <w:rFonts w:ascii="Arial" w:hAnsi="Arial" w:cs="Arial"/>
          <w:sz w:val="24"/>
          <w:szCs w:val="24"/>
        </w:rPr>
        <w:t>Theoretical studies emphasise essential elements for clear summaries that support evaluations. Understanding these concepts requires specific methodologies, as shown in related research. This discussion will explore the philosophical principles and advantages of the chosen methodology (Cranwell and Daly, 2001). Kahlke et al. (2023) stress the importance of clear theoretical rationales in evaluations and advocate for expanded critical thinking, including documentation of methodological choices. Milliken (2018) found that ethical sensitivity is primarily a theoretical construct with limited practical application.</w:t>
      </w:r>
    </w:p>
    <w:p w14:paraId="5AC5A2F4" w14:textId="50FAFFD8" w:rsidR="00456762" w:rsidRDefault="00456762" w:rsidP="009E58ED">
      <w:pPr>
        <w:pStyle w:val="Subtitle"/>
        <w:jc w:val="both"/>
      </w:pPr>
      <w:r w:rsidRPr="00456762">
        <w:t xml:space="preserve">Synthesis </w:t>
      </w:r>
      <w:r w:rsidR="001942F3">
        <w:t>A</w:t>
      </w:r>
      <w:r w:rsidRPr="00456762">
        <w:t xml:space="preserve">cross </w:t>
      </w:r>
      <w:r w:rsidR="001942F3">
        <w:t>R</w:t>
      </w:r>
      <w:r w:rsidRPr="00456762">
        <w:t xml:space="preserve">esearch </w:t>
      </w:r>
      <w:r w:rsidR="001942F3">
        <w:t>S</w:t>
      </w:r>
      <w:r w:rsidRPr="00456762">
        <w:t>tudies</w:t>
      </w:r>
    </w:p>
    <w:p w14:paraId="64D2B917" w14:textId="6F1C69E4" w:rsidR="00BE59F8" w:rsidRDefault="00EC4132" w:rsidP="009E58ED">
      <w:pPr>
        <w:spacing w:line="360" w:lineRule="auto"/>
        <w:jc w:val="both"/>
        <w:rPr>
          <w:rFonts w:ascii="Arial" w:hAnsi="Arial" w:cs="Arial"/>
          <w:sz w:val="24"/>
          <w:szCs w:val="24"/>
        </w:rPr>
      </w:pPr>
      <w:r>
        <w:rPr>
          <w:rFonts w:ascii="Arial" w:hAnsi="Arial" w:cs="Arial"/>
          <w:sz w:val="24"/>
          <w:szCs w:val="24"/>
        </w:rPr>
        <w:lastRenderedPageBreak/>
        <w:t>Thematic synthesis generates hypotheses and identifies patterns (Lucas et al., 2007)</w:t>
      </w:r>
      <w:r w:rsidR="00BE59F8" w:rsidRPr="00BE59F8">
        <w:rPr>
          <w:rFonts w:ascii="Arial" w:hAnsi="Arial" w:cs="Arial"/>
          <w:sz w:val="24"/>
          <w:szCs w:val="24"/>
        </w:rPr>
        <w:t>, but it may disregard the quality of the evidence</w:t>
      </w:r>
      <w:r>
        <w:rPr>
          <w:rFonts w:ascii="Arial" w:hAnsi="Arial" w:cs="Arial"/>
          <w:sz w:val="24"/>
          <w:szCs w:val="24"/>
        </w:rPr>
        <w:t>, unlike narrative synthesis. Siddaway et al. (2019) highlight that effective reviews connect theory and evidence for meaningful outcomes. Kahlke et al. (2023) suggest that critical reviews can challenge conventional methods and introduce new frameworks. However, there is often a lack of quantifiable indicators and comparative data on synthesis methods. Systematic reviews, as defined by Siddaway et al. (2019), integrate results using quantitative (e.g., meta-analysis) or qualitative methods (e.g., narrative reviews).</w:t>
      </w:r>
    </w:p>
    <w:p w14:paraId="77444A21" w14:textId="1FEAC39A" w:rsidR="00F04635" w:rsidRDefault="00F04635" w:rsidP="009E58ED">
      <w:pPr>
        <w:pStyle w:val="Subtitle"/>
        <w:jc w:val="both"/>
      </w:pPr>
      <w:r w:rsidRPr="00480A83">
        <w:t>Articulating</w:t>
      </w:r>
      <w:r w:rsidRPr="00F04635">
        <w:t xml:space="preserve"> </w:t>
      </w:r>
      <w:r w:rsidR="001942F3">
        <w:t>G</w:t>
      </w:r>
      <w:r w:rsidRPr="00F04635">
        <w:t xml:space="preserve">aps, </w:t>
      </w:r>
      <w:r w:rsidR="001942F3">
        <w:t>T</w:t>
      </w:r>
      <w:r w:rsidRPr="00F04635">
        <w:t xml:space="preserve">ensions, and </w:t>
      </w:r>
      <w:r w:rsidR="001942F3">
        <w:t>C</w:t>
      </w:r>
      <w:r w:rsidRPr="00F04635">
        <w:t>ontributions</w:t>
      </w:r>
    </w:p>
    <w:p w14:paraId="5D76CF38" w14:textId="72CE3BC3" w:rsidR="00EC4132" w:rsidRPr="00251D03" w:rsidRDefault="00506C2C" w:rsidP="009E58ED">
      <w:pPr>
        <w:spacing w:line="360" w:lineRule="auto"/>
        <w:jc w:val="both"/>
        <w:rPr>
          <w:rFonts w:ascii="Arial" w:hAnsi="Arial" w:cs="Arial"/>
          <w:sz w:val="24"/>
          <w:szCs w:val="24"/>
        </w:rPr>
      </w:pPr>
      <w:r>
        <w:rPr>
          <w:rFonts w:ascii="Arial" w:hAnsi="Arial" w:cs="Arial"/>
          <w:sz w:val="24"/>
          <w:szCs w:val="24"/>
        </w:rPr>
        <w:t>Chigbu et al. (2023) identified six research gaps: empirical, theoretical, knowledge, methodological, implementation, and demographic. Machimbidzofa (2025) emphasises the need to analyse conflicting findings to recognise these gaps. Theoretical gaps involve integrating tactical planning with operational techniques and contextualising leadership models for developing markets (Israel et al., 2025; Snyder, 2019). Machimbidzofa et al. (2025) and Snyder suggest a systematic approach that includes innovative models and new methodologies. Rivard (2024) highlights the need for thoughtful analysis, while Snyder stresses the importance of a clear methodology for reproducible literature reviews.</w:t>
      </w:r>
    </w:p>
    <w:p w14:paraId="45665AD8" w14:textId="609A6DFA" w:rsidR="000F7570" w:rsidRDefault="009C7A54" w:rsidP="009E58ED">
      <w:pPr>
        <w:pStyle w:val="Heading2"/>
        <w:jc w:val="both"/>
        <w:rPr>
          <w:rFonts w:ascii="Arial" w:hAnsi="Arial" w:cs="Arial"/>
          <w:sz w:val="24"/>
          <w:szCs w:val="24"/>
        </w:rPr>
      </w:pPr>
      <w:bookmarkStart w:id="2" w:name="_Toc227936240"/>
      <w:r w:rsidRPr="009C7A54">
        <w:t>Structure and Format for a Doctoral Critical Literature Review</w:t>
      </w:r>
      <w:bookmarkEnd w:id="2"/>
    </w:p>
    <w:p w14:paraId="70D2E5AA" w14:textId="442B4797" w:rsidR="00C822F4" w:rsidRDefault="00D43ABA" w:rsidP="009E58ED">
      <w:pPr>
        <w:pStyle w:val="Subtitle"/>
        <w:jc w:val="both"/>
      </w:pPr>
      <w:r w:rsidRPr="00D43ABA">
        <w:t>The Introduction of the Chapter</w:t>
      </w:r>
    </w:p>
    <w:p w14:paraId="294DB49F" w14:textId="5A996CBC" w:rsidR="00506C2C" w:rsidRDefault="00510385" w:rsidP="009E58ED">
      <w:pPr>
        <w:spacing w:line="360" w:lineRule="auto"/>
        <w:jc w:val="both"/>
        <w:rPr>
          <w:rFonts w:ascii="Arial" w:hAnsi="Arial" w:cs="Arial"/>
          <w:sz w:val="24"/>
          <w:szCs w:val="24"/>
        </w:rPr>
      </w:pPr>
      <w:r>
        <w:rPr>
          <w:rFonts w:ascii="Arial" w:hAnsi="Arial" w:cs="Arial"/>
          <w:sz w:val="24"/>
          <w:szCs w:val="24"/>
        </w:rPr>
        <w:t>Hassan, Pandya, and Varma (2022) highlight the importance of recognising research issues beyond personal grievances. A lack of substantial academic literature may weaken a student's contributions (Ferrari, 2015). Berdanier and Lenart (2020) recommend organising a literature review by subject matter, using a macrostructure framework. Visualising the review as an inverted triangle starts with broad citations to establish relevance before narrowing down to specific topics, helping readers understand the research's necessity and societal contributions (Shah, Ahmed, and Khan, 2018).</w:t>
      </w:r>
    </w:p>
    <w:p w14:paraId="09486432" w14:textId="4C062FF1" w:rsidR="00CE2978" w:rsidRPr="00C855FE" w:rsidRDefault="00F51C3F" w:rsidP="009E58ED">
      <w:pPr>
        <w:pStyle w:val="Subtitle"/>
        <w:jc w:val="both"/>
      </w:pPr>
      <w:r>
        <w:t xml:space="preserve">Scope and Review Methodology </w:t>
      </w:r>
      <w:r w:rsidR="001942F3">
        <w:t>(I</w:t>
      </w:r>
      <w:r>
        <w:t>ncluding “Narrative” Reviews)</w:t>
      </w:r>
    </w:p>
    <w:p w14:paraId="0F1F9B93" w14:textId="04EBAB3F" w:rsidR="00510385" w:rsidRPr="006A4287" w:rsidRDefault="0006072A" w:rsidP="009E58ED">
      <w:pPr>
        <w:spacing w:line="360" w:lineRule="auto"/>
        <w:jc w:val="both"/>
        <w:rPr>
          <w:rFonts w:ascii="Arial" w:hAnsi="Arial" w:cs="Arial"/>
          <w:sz w:val="24"/>
          <w:szCs w:val="24"/>
        </w:rPr>
      </w:pPr>
      <w:r>
        <w:rPr>
          <w:rFonts w:ascii="Arial" w:hAnsi="Arial" w:cs="Arial"/>
          <w:sz w:val="24"/>
          <w:szCs w:val="24"/>
        </w:rPr>
        <w:lastRenderedPageBreak/>
        <w:t>After defining the purpose and research questions, begin the evaluation process (Snyder, 2019). Conducting a pilot test refines your method using a smaller dataset. Use quality filters, such as ABS-ranked journals, to ensure credibility. Ferrari (2015) distinguishes between systematic and non-systematic (narrative) reviews. Narrative reviews summarise existing research while systematic reviews follow PRISMA guidelines. RAMSES offers recommendations for systematic narrative reviews (Wong et al., 2013) and integrative reviews (Torraco, 2005). Medical researchers analyse studies to synthesise information for editorial purposes.</w:t>
      </w:r>
    </w:p>
    <w:p w14:paraId="17AA057A" w14:textId="1174BD6B" w:rsidR="0070779F" w:rsidRPr="0070779F" w:rsidRDefault="006A4287" w:rsidP="009E58ED">
      <w:pPr>
        <w:pStyle w:val="Subtitle"/>
        <w:jc w:val="both"/>
      </w:pPr>
      <w:r>
        <w:t>T</w:t>
      </w:r>
      <w:r w:rsidRPr="006A4287">
        <w:t xml:space="preserve">heoretical and </w:t>
      </w:r>
      <w:r>
        <w:t>C</w:t>
      </w:r>
      <w:r w:rsidRPr="006A4287">
        <w:t xml:space="preserve">onceptual </w:t>
      </w:r>
      <w:r>
        <w:t>F</w:t>
      </w:r>
      <w:r w:rsidRPr="006A4287">
        <w:t>oundations</w:t>
      </w:r>
    </w:p>
    <w:p w14:paraId="298426F1" w14:textId="79DC425B" w:rsidR="0006072A" w:rsidRDefault="007A54F4" w:rsidP="009E58ED">
      <w:pPr>
        <w:spacing w:line="360" w:lineRule="auto"/>
        <w:jc w:val="both"/>
        <w:rPr>
          <w:rFonts w:ascii="Arial" w:hAnsi="Arial" w:cs="Arial"/>
          <w:sz w:val="24"/>
          <w:szCs w:val="24"/>
        </w:rPr>
      </w:pPr>
      <w:r>
        <w:rPr>
          <w:rFonts w:ascii="Arial" w:hAnsi="Arial" w:cs="Arial"/>
          <w:sz w:val="24"/>
          <w:szCs w:val="24"/>
        </w:rPr>
        <w:t>A doctoral dissertation requires a solid theoretical foundation, making it vital to clearly outline its theoretical underpinnings. The literature review chapter is essential in providing context for this framework (Hassan, Pandya, and Varma, 2022).</w:t>
      </w:r>
    </w:p>
    <w:p w14:paraId="5AC63479" w14:textId="2447387A" w:rsidR="005E726B" w:rsidRPr="00D21F1C" w:rsidRDefault="005E726B" w:rsidP="009E58ED">
      <w:pPr>
        <w:pStyle w:val="Subtitle"/>
        <w:jc w:val="both"/>
      </w:pPr>
      <w:r w:rsidRPr="00D21F1C">
        <w:t>Thematic Analysis</w:t>
      </w:r>
    </w:p>
    <w:p w14:paraId="6F63B34F" w14:textId="2A969F39" w:rsidR="007A54F4" w:rsidRPr="00B74096" w:rsidRDefault="007A54F4" w:rsidP="009E58ED">
      <w:pPr>
        <w:spacing w:line="360" w:lineRule="auto"/>
        <w:jc w:val="both"/>
        <w:rPr>
          <w:rFonts w:ascii="Arial" w:hAnsi="Arial" w:cs="Arial"/>
          <w:sz w:val="24"/>
          <w:szCs w:val="24"/>
        </w:rPr>
      </w:pPr>
      <w:r>
        <w:rPr>
          <w:rFonts w:ascii="Arial" w:hAnsi="Arial" w:cs="Arial"/>
          <w:sz w:val="24"/>
          <w:szCs w:val="24"/>
        </w:rPr>
        <w:t>Clarke and Braun (2017) describe thematic analysis as a method for identifying patterns in research. Willie (2025) emphasises the role of thematic structuring and theoretical frameworks in literature reviews. Shah et al. (2018) outline key research phases: critical reading, summarisation, organisation, and synthesis. Schirmer (2018) presents a framework of literature selection, pattern detection, synthesis, and conclusion. Thematic structures create cohesive narratives around major debates and showcase advanced evaluation skills. Recent guidelines indicate that thematic reviews uncover knowledge gaps and research trends, thereby enhancing scholarly discourse (Cronin, 2011; Snyder, 2019).</w:t>
      </w:r>
    </w:p>
    <w:p w14:paraId="508C21E3" w14:textId="7874BE29" w:rsidR="00871352" w:rsidRPr="00871352" w:rsidRDefault="00871352" w:rsidP="009E58ED">
      <w:pPr>
        <w:pStyle w:val="Subtitle"/>
        <w:jc w:val="both"/>
      </w:pPr>
      <w:r w:rsidRPr="00BC3A66">
        <w:t>Cros</w:t>
      </w:r>
      <w:r w:rsidRPr="00871352">
        <w:t>s-</w:t>
      </w:r>
      <w:r w:rsidR="00493A96">
        <w:t>C</w:t>
      </w:r>
      <w:r w:rsidRPr="00871352">
        <w:t xml:space="preserve">utting </w:t>
      </w:r>
      <w:r w:rsidR="00493A96">
        <w:t>S</w:t>
      </w:r>
      <w:r w:rsidRPr="00871352">
        <w:t xml:space="preserve">ynthesis and </w:t>
      </w:r>
      <w:r w:rsidR="00493A96">
        <w:t>C</w:t>
      </w:r>
      <w:r w:rsidRPr="00871352">
        <w:t>ritique</w:t>
      </w:r>
    </w:p>
    <w:p w14:paraId="60121DCF" w14:textId="4F754E92" w:rsidR="007A54F4" w:rsidRPr="004E559A" w:rsidRDefault="0076631D" w:rsidP="009E58ED">
      <w:pPr>
        <w:spacing w:line="360" w:lineRule="auto"/>
        <w:jc w:val="both"/>
        <w:rPr>
          <w:rFonts w:ascii="Arial" w:hAnsi="Arial" w:cs="Arial"/>
          <w:sz w:val="24"/>
          <w:szCs w:val="24"/>
        </w:rPr>
      </w:pPr>
      <w:r>
        <w:rPr>
          <w:rFonts w:ascii="Arial" w:hAnsi="Arial" w:cs="Arial"/>
          <w:sz w:val="24"/>
          <w:szCs w:val="24"/>
        </w:rPr>
        <w:t>The doctoral literature review involves gathering and synthesising relevant scholarship (Green, 2009). A critical review organises studies to showcase the researcher’s insights (Shah et al., 2018). Utilising a synthetic framework helps identify pertinent literature, analyse findings, recognise trends, and develop coherent conclusions (Schirmer, 2018).</w:t>
      </w:r>
    </w:p>
    <w:p w14:paraId="14886F3F" w14:textId="23A9A4C5" w:rsidR="00221B1D" w:rsidRPr="008B1CFA" w:rsidRDefault="0082615D" w:rsidP="009E58ED">
      <w:pPr>
        <w:pStyle w:val="Subtitle"/>
        <w:jc w:val="both"/>
      </w:pPr>
      <w:r w:rsidRPr="002B2D25">
        <w:lastRenderedPageBreak/>
        <w:t>Conc</w:t>
      </w:r>
      <w:r w:rsidRPr="0082615D">
        <w:t xml:space="preserve">eptual Framework and Research </w:t>
      </w:r>
      <w:r>
        <w:t>Q</w:t>
      </w:r>
      <w:r w:rsidRPr="0082615D">
        <w:t>uestions</w:t>
      </w:r>
    </w:p>
    <w:p w14:paraId="50432073" w14:textId="4DA2258C" w:rsidR="0076631D" w:rsidRDefault="00AE0FCF" w:rsidP="009E58ED">
      <w:pPr>
        <w:spacing w:line="360" w:lineRule="auto"/>
        <w:jc w:val="both"/>
        <w:rPr>
          <w:rFonts w:ascii="Arial" w:hAnsi="Arial" w:cs="Arial"/>
          <w:sz w:val="24"/>
          <w:szCs w:val="24"/>
        </w:rPr>
      </w:pPr>
      <w:r>
        <w:rPr>
          <w:rFonts w:ascii="Arial" w:hAnsi="Arial" w:cs="Arial"/>
          <w:sz w:val="24"/>
          <w:szCs w:val="24"/>
        </w:rPr>
        <w:t>The conceptual framework clarifies theoretical structures and research themes (Berman et al., 2013). This chapter highlights the issue's significance (Rogers et al., 2016), while the literature review assesses existing knowledge. Though distinct, the literature review, theoretical framework, and conceptual framework are complementary, enhancing the rigour of doctoral research.</w:t>
      </w:r>
    </w:p>
    <w:p w14:paraId="01687836" w14:textId="02B82F54" w:rsidR="00B226D3" w:rsidRDefault="004A753F" w:rsidP="009E58ED">
      <w:pPr>
        <w:pStyle w:val="Subtitle"/>
        <w:jc w:val="both"/>
      </w:pPr>
      <w:r>
        <w:t>Chapter Conclusion</w:t>
      </w:r>
    </w:p>
    <w:p w14:paraId="46E4D97A" w14:textId="71AE2617" w:rsidR="00B7411F" w:rsidRPr="003D08DE" w:rsidRDefault="00360113" w:rsidP="009E58ED">
      <w:pPr>
        <w:spacing w:line="360" w:lineRule="auto"/>
        <w:jc w:val="both"/>
        <w:rPr>
          <w:rFonts w:ascii="Arial" w:hAnsi="Arial" w:cs="Arial"/>
          <w:sz w:val="24"/>
          <w:szCs w:val="24"/>
        </w:rPr>
      </w:pPr>
      <w:r>
        <w:rPr>
          <w:rFonts w:ascii="Arial" w:hAnsi="Arial" w:cs="Arial"/>
          <w:sz w:val="24"/>
          <w:szCs w:val="24"/>
        </w:rPr>
        <w:t xml:space="preserve">Research on this topic is limited. Nathaniel (2022) states that a thesis's final chapter should include sections </w:t>
      </w:r>
      <w:r w:rsidR="00192D5A">
        <w:rPr>
          <w:rFonts w:ascii="Arial" w:hAnsi="Arial" w:cs="Arial"/>
          <w:sz w:val="24"/>
          <w:szCs w:val="24"/>
        </w:rPr>
        <w:t xml:space="preserve">such as a Summary of Findings and Recommendations, focusing on conclusions rather than the </w:t>
      </w:r>
      <w:r>
        <w:rPr>
          <w:rFonts w:ascii="Arial" w:hAnsi="Arial" w:cs="Arial"/>
          <w:sz w:val="24"/>
          <w:szCs w:val="24"/>
        </w:rPr>
        <w:t xml:space="preserve">literature review. Carnwell et al. (2001) </w:t>
      </w:r>
      <w:r w:rsidR="00192D5A">
        <w:rPr>
          <w:rFonts w:ascii="Arial" w:hAnsi="Arial" w:cs="Arial"/>
          <w:sz w:val="24"/>
          <w:szCs w:val="24"/>
        </w:rPr>
        <w:t>emphasise</w:t>
      </w:r>
      <w:r>
        <w:rPr>
          <w:rFonts w:ascii="Arial" w:hAnsi="Arial" w:cs="Arial"/>
          <w:sz w:val="24"/>
          <w:szCs w:val="24"/>
        </w:rPr>
        <w:t xml:space="preserve"> the importance of literature assessments in guiding future research. Shah et al. (2018) argue for integrating conceptual and theoretical foundations in literature reviews, while Schirmer (2018) highlights the need to </w:t>
      </w:r>
      <w:r w:rsidR="00192D5A">
        <w:rPr>
          <w:rFonts w:ascii="Arial" w:hAnsi="Arial" w:cs="Arial"/>
          <w:sz w:val="24"/>
          <w:szCs w:val="24"/>
        </w:rPr>
        <w:t>summarise</w:t>
      </w:r>
      <w:r>
        <w:rPr>
          <w:rFonts w:ascii="Arial" w:hAnsi="Arial" w:cs="Arial"/>
          <w:sz w:val="24"/>
          <w:szCs w:val="24"/>
        </w:rPr>
        <w:t xml:space="preserve"> existing knowledge and identify gaps to suggest future research directions.</w:t>
      </w:r>
    </w:p>
    <w:p w14:paraId="4138BC38" w14:textId="1AC48916" w:rsidR="00871352" w:rsidRDefault="0081256B" w:rsidP="009E58ED">
      <w:pPr>
        <w:pStyle w:val="Subtitle"/>
        <w:jc w:val="both"/>
      </w:pPr>
      <w:r>
        <w:t>Chara</w:t>
      </w:r>
      <w:r w:rsidR="00455C49">
        <w:t>cteristics</w:t>
      </w:r>
      <w:r w:rsidR="000B53E7">
        <w:t xml:space="preserve"> of an </w:t>
      </w:r>
      <w:r w:rsidR="00BB2777">
        <w:t>Analytical Writing Style and Presentation</w:t>
      </w:r>
    </w:p>
    <w:p w14:paraId="35D2B6F0" w14:textId="4FC0B510" w:rsidR="0028374F" w:rsidRDefault="00105DBD" w:rsidP="009E58ED">
      <w:pPr>
        <w:spacing w:line="360" w:lineRule="auto"/>
        <w:jc w:val="both"/>
        <w:rPr>
          <w:rFonts w:ascii="Arial" w:hAnsi="Arial" w:cs="Arial"/>
          <w:sz w:val="24"/>
          <w:szCs w:val="24"/>
        </w:rPr>
      </w:pPr>
      <w:r>
        <w:rPr>
          <w:rFonts w:ascii="Arial" w:hAnsi="Arial" w:cs="Arial"/>
          <w:sz w:val="24"/>
          <w:szCs w:val="24"/>
        </w:rPr>
        <w:t>Critical and analytical writing relies on logical reasoning, thematic arguments, and text engagement. Effective annotation methods, such as critical inquiry and highlighting, enhance analytical writing compared to verbatim transcription (</w:t>
      </w:r>
      <w:proofErr w:type="spellStart"/>
      <w:r>
        <w:rPr>
          <w:rFonts w:ascii="Arial" w:hAnsi="Arial" w:cs="Arial"/>
          <w:sz w:val="24"/>
          <w:szCs w:val="24"/>
        </w:rPr>
        <w:t>Keming</w:t>
      </w:r>
      <w:proofErr w:type="spellEnd"/>
      <w:r>
        <w:rPr>
          <w:rFonts w:ascii="Arial" w:hAnsi="Arial" w:cs="Arial"/>
          <w:sz w:val="24"/>
          <w:szCs w:val="24"/>
        </w:rPr>
        <w:t>, 2006). The critical review genre evaluates through valuation, composition, and reaction (Devira and Westin, 2021). A concept-centric approach aids in mapping literature and emphasizes critical analysis (Walker, 2019). Reflexivity addresses personal and theoretical aspects (Corlett and Sharon Mavin, 2018), while positionality considers the impact of researchers' social identities on interpretations (Jacobson and Nida Mustafa, 2019).</w:t>
      </w:r>
    </w:p>
    <w:p w14:paraId="50B50916" w14:textId="77777777" w:rsidR="00BE65F9" w:rsidRDefault="00BE65F9" w:rsidP="009E58ED">
      <w:pPr>
        <w:spacing w:line="360" w:lineRule="auto"/>
        <w:jc w:val="both"/>
        <w:rPr>
          <w:rFonts w:ascii="Arial" w:hAnsi="Arial" w:cs="Arial"/>
          <w:sz w:val="24"/>
          <w:szCs w:val="24"/>
        </w:rPr>
      </w:pPr>
    </w:p>
    <w:p w14:paraId="68E5263A" w14:textId="1FE31CAF" w:rsidR="00E943F6" w:rsidRDefault="00E943F6" w:rsidP="00E943F6">
      <w:pPr>
        <w:pStyle w:val="Subtitle"/>
      </w:pPr>
      <w:r w:rsidRPr="00E943F6">
        <w:t>Analysis of typical pitfalls</w:t>
      </w:r>
    </w:p>
    <w:p w14:paraId="3D5D1C65" w14:textId="6BF6EDA5" w:rsidR="005E726B" w:rsidRDefault="000758B4" w:rsidP="00AC186B">
      <w:pPr>
        <w:spacing w:line="360" w:lineRule="auto"/>
        <w:jc w:val="both"/>
      </w:pPr>
      <w:r>
        <w:rPr>
          <w:rFonts w:ascii="Arial" w:hAnsi="Arial" w:cs="Arial"/>
          <w:sz w:val="24"/>
          <w:szCs w:val="24"/>
        </w:rPr>
        <w:t xml:space="preserve">Choosing sources and discussing them effectively is key to shaping our academic dialogue. An annotated bibliography (AB) is a useful tool for summarising, describing, </w:t>
      </w:r>
      <w:r>
        <w:rPr>
          <w:rFonts w:ascii="Arial" w:hAnsi="Arial" w:cs="Arial"/>
          <w:sz w:val="24"/>
          <w:szCs w:val="24"/>
        </w:rPr>
        <w:lastRenderedPageBreak/>
        <w:t xml:space="preserve">and evaluating sources in relation to research, often required for graduate theses and potentially publishable in peer-reviewed journals (Merkle, 2021). A systematic review aims to identify and summarise relevant studies on specific research </w:t>
      </w:r>
      <w:proofErr w:type="gramStart"/>
      <w:r>
        <w:rPr>
          <w:rFonts w:ascii="Arial" w:hAnsi="Arial" w:cs="Arial"/>
          <w:sz w:val="24"/>
          <w:szCs w:val="24"/>
        </w:rPr>
        <w:t>questions, but</w:t>
      </w:r>
      <w:proofErr w:type="gramEnd"/>
      <w:r>
        <w:rPr>
          <w:rFonts w:ascii="Arial" w:hAnsi="Arial" w:cs="Arial"/>
          <w:sz w:val="24"/>
          <w:szCs w:val="24"/>
        </w:rPr>
        <w:t xml:space="preserve"> may face methodological challenges that lead to overly procedural reviews. Typically, it evaluates the effectiveness of interventions or therapies, making it a complex research process (</w:t>
      </w:r>
      <w:proofErr w:type="spellStart"/>
      <w:r>
        <w:rPr>
          <w:rFonts w:ascii="Arial" w:hAnsi="Arial" w:cs="Arial"/>
          <w:sz w:val="24"/>
          <w:szCs w:val="24"/>
        </w:rPr>
        <w:t>Tufanaru</w:t>
      </w:r>
      <w:proofErr w:type="spellEnd"/>
      <w:r>
        <w:rPr>
          <w:rFonts w:ascii="Arial" w:hAnsi="Arial" w:cs="Arial"/>
          <w:sz w:val="24"/>
          <w:szCs w:val="24"/>
        </w:rPr>
        <w:t xml:space="preserve"> et al., 2015).</w:t>
      </w:r>
      <w:r w:rsidR="00314F99">
        <w:t xml:space="preserve"> </w:t>
      </w:r>
    </w:p>
    <w:p w14:paraId="3AF270FC" w14:textId="4F064073" w:rsidR="005022F0" w:rsidRDefault="00897FD7" w:rsidP="00AC186B">
      <w:pPr>
        <w:pStyle w:val="Heading1"/>
      </w:pPr>
      <w:bookmarkStart w:id="3" w:name="_Toc227936241"/>
      <w:r w:rsidRPr="00AC186B">
        <w:t>Bibliography</w:t>
      </w:r>
      <w:bookmarkEnd w:id="3"/>
      <w:r w:rsidRPr="00AC186B">
        <w:t xml:space="preserve"> </w:t>
      </w:r>
    </w:p>
    <w:tbl>
      <w:tblPr>
        <w:tblStyle w:val="TableGrid"/>
        <w:tblW w:w="0" w:type="auto"/>
        <w:tblLayout w:type="fixed"/>
        <w:tblLook w:val="04A0" w:firstRow="1" w:lastRow="0" w:firstColumn="1" w:lastColumn="0" w:noHBand="0" w:noVBand="1"/>
      </w:tblPr>
      <w:tblGrid>
        <w:gridCol w:w="704"/>
        <w:gridCol w:w="3969"/>
        <w:gridCol w:w="4343"/>
      </w:tblGrid>
      <w:tr w:rsidR="00EC67F0" w:rsidRPr="00EC67F0" w14:paraId="76DA5378" w14:textId="77777777" w:rsidTr="00340A70">
        <w:trPr>
          <w:trHeight w:val="288"/>
        </w:trPr>
        <w:tc>
          <w:tcPr>
            <w:tcW w:w="704" w:type="dxa"/>
            <w:shd w:val="clear" w:color="auto" w:fill="95DCF7" w:themeFill="accent4" w:themeFillTint="66"/>
            <w:noWrap/>
            <w:hideMark/>
          </w:tcPr>
          <w:p w14:paraId="1F8C046C" w14:textId="77777777" w:rsidR="00EC67F0" w:rsidRPr="00340A70" w:rsidRDefault="00EC67F0">
            <w:pPr>
              <w:rPr>
                <w:b/>
                <w:bCs/>
                <w:i/>
                <w:iCs/>
              </w:rPr>
            </w:pPr>
            <w:r w:rsidRPr="00340A70">
              <w:rPr>
                <w:b/>
                <w:bCs/>
                <w:i/>
                <w:iCs/>
              </w:rPr>
              <w:t>S.N.</w:t>
            </w:r>
          </w:p>
        </w:tc>
        <w:tc>
          <w:tcPr>
            <w:tcW w:w="3969" w:type="dxa"/>
            <w:shd w:val="clear" w:color="auto" w:fill="95DCF7" w:themeFill="accent4" w:themeFillTint="66"/>
            <w:noWrap/>
            <w:hideMark/>
          </w:tcPr>
          <w:p w14:paraId="59926F96" w14:textId="77777777" w:rsidR="00EC67F0" w:rsidRPr="00340A70" w:rsidRDefault="00EC67F0">
            <w:pPr>
              <w:rPr>
                <w:b/>
                <w:bCs/>
                <w:i/>
                <w:iCs/>
              </w:rPr>
            </w:pPr>
            <w:r w:rsidRPr="00340A70">
              <w:rPr>
                <w:b/>
                <w:bCs/>
                <w:i/>
                <w:iCs/>
              </w:rPr>
              <w:t>Reference</w:t>
            </w:r>
          </w:p>
        </w:tc>
        <w:tc>
          <w:tcPr>
            <w:tcW w:w="4343" w:type="dxa"/>
            <w:shd w:val="clear" w:color="auto" w:fill="95DCF7" w:themeFill="accent4" w:themeFillTint="66"/>
            <w:noWrap/>
            <w:hideMark/>
          </w:tcPr>
          <w:p w14:paraId="61CFAADA" w14:textId="77777777" w:rsidR="00EC67F0" w:rsidRPr="00340A70" w:rsidRDefault="00EC67F0">
            <w:pPr>
              <w:rPr>
                <w:b/>
                <w:bCs/>
                <w:i/>
                <w:iCs/>
              </w:rPr>
            </w:pPr>
            <w:r w:rsidRPr="00340A70">
              <w:rPr>
                <w:b/>
                <w:bCs/>
                <w:i/>
                <w:iCs/>
              </w:rPr>
              <w:t>Summary and Findings</w:t>
            </w:r>
          </w:p>
        </w:tc>
      </w:tr>
      <w:tr w:rsidR="00EC67F0" w:rsidRPr="00EC67F0" w14:paraId="05089374" w14:textId="77777777" w:rsidTr="00340A70">
        <w:trPr>
          <w:trHeight w:val="2880"/>
        </w:trPr>
        <w:tc>
          <w:tcPr>
            <w:tcW w:w="704" w:type="dxa"/>
            <w:shd w:val="clear" w:color="auto" w:fill="CAEDFB" w:themeFill="accent4" w:themeFillTint="33"/>
            <w:noWrap/>
            <w:hideMark/>
          </w:tcPr>
          <w:p w14:paraId="30C12079" w14:textId="77777777" w:rsidR="00EC67F0" w:rsidRPr="00340A70" w:rsidRDefault="00EC67F0" w:rsidP="00EC67F0">
            <w:r w:rsidRPr="00340A70">
              <w:t>1</w:t>
            </w:r>
          </w:p>
        </w:tc>
        <w:tc>
          <w:tcPr>
            <w:tcW w:w="3969" w:type="dxa"/>
            <w:hideMark/>
          </w:tcPr>
          <w:p w14:paraId="7C07A1C9" w14:textId="77777777" w:rsidR="00EC67F0" w:rsidRPr="00EC67F0" w:rsidRDefault="00EC67F0" w:rsidP="00A6007E">
            <w:pPr>
              <w:jc w:val="center"/>
            </w:pPr>
            <w:r w:rsidRPr="00EC67F0">
              <w:t>Abbott, D. (2002). 'Teachers are failing black boys'. The Guardian, 6 January, Politics. Available at: https://www.theguardian.com/politics/2002/jan/06/publicservices.race (Accessed: 18 March 2026).</w:t>
            </w:r>
          </w:p>
        </w:tc>
        <w:tc>
          <w:tcPr>
            <w:tcW w:w="4343" w:type="dxa"/>
            <w:hideMark/>
          </w:tcPr>
          <w:p w14:paraId="4BD6A86F" w14:textId="42E2C1CD" w:rsidR="00EC67F0" w:rsidRPr="00EC67F0" w:rsidRDefault="00EC67F0" w:rsidP="00A6007E">
            <w:pPr>
              <w:jc w:val="center"/>
            </w:pPr>
            <w:r w:rsidRPr="00EC67F0">
              <w:t xml:space="preserve">This analysis examines systemic school failures and exclusionary practices that undermine the attainment of Black boys, situating these issues within the context of educational under-support and subsequent pathways to labour-market marginalisation and risk. </w:t>
            </w:r>
            <w:r w:rsidR="00340A70">
              <w:t>Risk</w:t>
            </w:r>
            <w:r w:rsidRPr="00EC67F0">
              <w:t xml:space="preserve"> factors for Black males.</w:t>
            </w:r>
          </w:p>
        </w:tc>
      </w:tr>
      <w:tr w:rsidR="00EC67F0" w:rsidRPr="00EC67F0" w14:paraId="7BE0BA42" w14:textId="77777777" w:rsidTr="00340A70">
        <w:trPr>
          <w:trHeight w:val="3168"/>
        </w:trPr>
        <w:tc>
          <w:tcPr>
            <w:tcW w:w="704" w:type="dxa"/>
            <w:shd w:val="clear" w:color="auto" w:fill="CAEDFB" w:themeFill="accent4" w:themeFillTint="33"/>
            <w:noWrap/>
            <w:hideMark/>
          </w:tcPr>
          <w:p w14:paraId="350D768C" w14:textId="77777777" w:rsidR="00EC67F0" w:rsidRPr="00340A70" w:rsidRDefault="00EC67F0" w:rsidP="00EC67F0">
            <w:r w:rsidRPr="00340A70">
              <w:t>2</w:t>
            </w:r>
          </w:p>
        </w:tc>
        <w:tc>
          <w:tcPr>
            <w:tcW w:w="3969" w:type="dxa"/>
            <w:hideMark/>
          </w:tcPr>
          <w:p w14:paraId="6089B58B" w14:textId="77777777" w:rsidR="00EC67F0" w:rsidRPr="00EC67F0" w:rsidRDefault="00EC67F0" w:rsidP="00A6007E">
            <w:pPr>
              <w:jc w:val="center"/>
            </w:pPr>
            <w:r w:rsidRPr="00EC67F0">
              <w:t xml:space="preserve">Adams, A., Realpe, A., Vail, L., Buckingham, C., </w:t>
            </w:r>
            <w:proofErr w:type="spellStart"/>
            <w:proofErr w:type="gramStart"/>
            <w:r w:rsidRPr="00EC67F0">
              <w:t>Erby,L</w:t>
            </w:r>
            <w:proofErr w:type="spellEnd"/>
            <w:r w:rsidRPr="00EC67F0">
              <w:t>.</w:t>
            </w:r>
            <w:proofErr w:type="gramEnd"/>
            <w:r w:rsidRPr="00EC67F0">
              <w:t xml:space="preserve">, and Roter, D. (2015). 'How doctors’ communication style and race concordance influence African–Caribbean patients when disclosing depression', Patient Education and </w:t>
            </w:r>
            <w:proofErr w:type="spellStart"/>
            <w:r w:rsidRPr="00EC67F0">
              <w:t>Counseling</w:t>
            </w:r>
            <w:proofErr w:type="spellEnd"/>
            <w:r w:rsidRPr="00EC67F0">
              <w:t>, 98(10), pp. 1266–1273. Available at: https://www.sciencedirect.com/science/article/pii/S0738399115300562 (Accessed: 30 March 2026).</w:t>
            </w:r>
          </w:p>
        </w:tc>
        <w:tc>
          <w:tcPr>
            <w:tcW w:w="4343" w:type="dxa"/>
            <w:hideMark/>
          </w:tcPr>
          <w:p w14:paraId="1E0689CA" w14:textId="0A796D5D" w:rsidR="00EC67F0" w:rsidRPr="00EC67F0" w:rsidRDefault="00EC67F0" w:rsidP="00A6007E">
            <w:pPr>
              <w:jc w:val="center"/>
            </w:pPr>
            <w:r w:rsidRPr="00EC67F0">
              <w:t>The findings demonstrate that race-concordant communication enhances depression disclosure among African-Caribbean individuals</w:t>
            </w:r>
            <w:r w:rsidR="00340A70">
              <w:t xml:space="preserve"> and highlight</w:t>
            </w:r>
            <w:r w:rsidRPr="00EC67F0">
              <w:t xml:space="preserve"> mental health help-seeking barriers that mediate vulnerability during the transition from education to employment.</w:t>
            </w:r>
          </w:p>
        </w:tc>
      </w:tr>
      <w:tr w:rsidR="00EC67F0" w:rsidRPr="00EC67F0" w14:paraId="171A2540" w14:textId="77777777" w:rsidTr="00340A70">
        <w:trPr>
          <w:trHeight w:val="2880"/>
        </w:trPr>
        <w:tc>
          <w:tcPr>
            <w:tcW w:w="704" w:type="dxa"/>
            <w:shd w:val="clear" w:color="auto" w:fill="CAEDFB" w:themeFill="accent4" w:themeFillTint="33"/>
            <w:noWrap/>
            <w:hideMark/>
          </w:tcPr>
          <w:p w14:paraId="775678CC" w14:textId="77777777" w:rsidR="00EC67F0" w:rsidRPr="00340A70" w:rsidRDefault="00EC67F0" w:rsidP="00EC67F0">
            <w:r w:rsidRPr="00340A70">
              <w:t>3</w:t>
            </w:r>
          </w:p>
        </w:tc>
        <w:tc>
          <w:tcPr>
            <w:tcW w:w="3969" w:type="dxa"/>
            <w:hideMark/>
          </w:tcPr>
          <w:p w14:paraId="4B653002" w14:textId="77777777" w:rsidR="00EC67F0" w:rsidRPr="00EC67F0" w:rsidRDefault="00EC67F0" w:rsidP="00A6007E">
            <w:pPr>
              <w:jc w:val="center"/>
            </w:pPr>
            <w:r w:rsidRPr="00EC67F0">
              <w:t>Adami, R. (2024). 'Financial Exclusion in the UK: Evidence on Ethnicity', Social Policy and Society, 23(3), pp. 529–547. Available at: https://www.proquest.com/docview/3147270343?accountid=130472&amp;parentSessionId=I5v9068LUgq3d3l%2BDaKrTdwBCsMiyd7jxo92VTHw4sg%3D&amp;pq-origsite=primo&amp;sourcetype=Scholarly%20Journals (Accessed: date).</w:t>
            </w:r>
          </w:p>
        </w:tc>
        <w:tc>
          <w:tcPr>
            <w:tcW w:w="4343" w:type="dxa"/>
            <w:hideMark/>
          </w:tcPr>
          <w:p w14:paraId="03EF86FC" w14:textId="77777777" w:rsidR="00EC67F0" w:rsidRPr="00EC67F0" w:rsidRDefault="00EC67F0" w:rsidP="00A6007E">
            <w:pPr>
              <w:jc w:val="center"/>
            </w:pPr>
            <w:r w:rsidRPr="00EC67F0">
              <w:t>This source documents ethnic financial exclusion in the UK, linking restricted credit access and high-cost borrowing to entrepreneurship barriers and increased economic vulnerability among Black males.</w:t>
            </w:r>
          </w:p>
        </w:tc>
      </w:tr>
      <w:tr w:rsidR="00EC67F0" w:rsidRPr="00EC67F0" w14:paraId="493478B4" w14:textId="77777777" w:rsidTr="00340A70">
        <w:trPr>
          <w:trHeight w:val="2592"/>
        </w:trPr>
        <w:tc>
          <w:tcPr>
            <w:tcW w:w="704" w:type="dxa"/>
            <w:shd w:val="clear" w:color="auto" w:fill="CAEDFB" w:themeFill="accent4" w:themeFillTint="33"/>
            <w:noWrap/>
            <w:hideMark/>
          </w:tcPr>
          <w:p w14:paraId="6113C876" w14:textId="77777777" w:rsidR="00EC67F0" w:rsidRPr="00340A70" w:rsidRDefault="00EC67F0" w:rsidP="00EC67F0">
            <w:r w:rsidRPr="00340A70">
              <w:lastRenderedPageBreak/>
              <w:t>4</w:t>
            </w:r>
          </w:p>
        </w:tc>
        <w:tc>
          <w:tcPr>
            <w:tcW w:w="3969" w:type="dxa"/>
            <w:hideMark/>
          </w:tcPr>
          <w:p w14:paraId="4EFE4A42" w14:textId="77777777" w:rsidR="00EC67F0" w:rsidRPr="00EC67F0" w:rsidRDefault="00EC67F0" w:rsidP="00A6007E">
            <w:pPr>
              <w:jc w:val="center"/>
            </w:pPr>
            <w:r w:rsidRPr="00EC67F0">
              <w:t>Allen, Q. (2015) '“I’m Trying to Get My A”: Black Male Achievers Talk About Race, School and Achievement', The Urban Review, 47, pp. 209-231. Available at: https://link.springer.com/article/10.1007/s11256-014-0315-4 (Accessed: 21 March 2026).</w:t>
            </w:r>
          </w:p>
        </w:tc>
        <w:tc>
          <w:tcPr>
            <w:tcW w:w="4343" w:type="dxa"/>
            <w:hideMark/>
          </w:tcPr>
          <w:p w14:paraId="0C739554" w14:textId="3A5EA7BA" w:rsidR="00EC67F0" w:rsidRPr="00EC67F0" w:rsidRDefault="00EC67F0" w:rsidP="00A6007E">
            <w:pPr>
              <w:jc w:val="center"/>
            </w:pPr>
            <w:r w:rsidRPr="00EC67F0">
              <w:t xml:space="preserve">This study examines the strategies employed by Black male achievers to resist stereotypes, demonstrating how support, identity, and resilience influence academic attainment and </w:t>
            </w:r>
            <w:r w:rsidR="00340A70">
              <w:t>employment transitions</w:t>
            </w:r>
            <w:r w:rsidRPr="00EC67F0">
              <w:t>.</w:t>
            </w:r>
          </w:p>
        </w:tc>
      </w:tr>
      <w:tr w:rsidR="00EC67F0" w:rsidRPr="00EC67F0" w14:paraId="66E5CE97" w14:textId="77777777" w:rsidTr="00340A70">
        <w:trPr>
          <w:trHeight w:val="3744"/>
        </w:trPr>
        <w:tc>
          <w:tcPr>
            <w:tcW w:w="704" w:type="dxa"/>
            <w:shd w:val="clear" w:color="auto" w:fill="CAEDFB" w:themeFill="accent4" w:themeFillTint="33"/>
            <w:noWrap/>
            <w:hideMark/>
          </w:tcPr>
          <w:p w14:paraId="7D076C46" w14:textId="77777777" w:rsidR="00EC67F0" w:rsidRPr="00340A70" w:rsidRDefault="00EC67F0" w:rsidP="00EC67F0">
            <w:r w:rsidRPr="00340A70">
              <w:t>5</w:t>
            </w:r>
          </w:p>
        </w:tc>
        <w:tc>
          <w:tcPr>
            <w:tcW w:w="3969" w:type="dxa"/>
            <w:hideMark/>
          </w:tcPr>
          <w:p w14:paraId="20D1C64C" w14:textId="77777777" w:rsidR="00EC67F0" w:rsidRPr="00EC67F0" w:rsidRDefault="00EC67F0" w:rsidP="00A6007E">
            <w:pPr>
              <w:jc w:val="center"/>
            </w:pPr>
            <w:r w:rsidRPr="00EC67F0">
              <w:t>Alston, G., Guy, B., and Campbell, D. (2017). Ready for the Professoriate? The Influence of Mentoring on Career Development for Black Male Graduate Students in STEM, Journal of African American Males in Education, 8(1), pp. 45-66. Available at: https://web.archive.org/web/20180421015727id_/http://journalofafricanamericanmales.com/wp-content/uploads/2017/08/Alston-et-al-2017-Black-Male-PhD-FINAL.pdf (Accessed: 13 March 2026).</w:t>
            </w:r>
          </w:p>
        </w:tc>
        <w:tc>
          <w:tcPr>
            <w:tcW w:w="4343" w:type="dxa"/>
            <w:hideMark/>
          </w:tcPr>
          <w:p w14:paraId="2AB117AB" w14:textId="77777777" w:rsidR="00EC67F0" w:rsidRPr="00EC67F0" w:rsidRDefault="00EC67F0" w:rsidP="00A6007E">
            <w:pPr>
              <w:jc w:val="center"/>
            </w:pPr>
            <w:r w:rsidRPr="00EC67F0">
              <w:t>This study examines the impact of mentoring on the career development of Black male STEM graduate students, highlighting the connection between culturally responsive support and improved retention and labour-market outcomes.</w:t>
            </w:r>
          </w:p>
        </w:tc>
      </w:tr>
      <w:tr w:rsidR="00EC67F0" w:rsidRPr="00EC67F0" w14:paraId="10FEA32C" w14:textId="77777777" w:rsidTr="00340A70">
        <w:trPr>
          <w:trHeight w:val="2304"/>
        </w:trPr>
        <w:tc>
          <w:tcPr>
            <w:tcW w:w="704" w:type="dxa"/>
            <w:shd w:val="clear" w:color="auto" w:fill="CAEDFB" w:themeFill="accent4" w:themeFillTint="33"/>
            <w:noWrap/>
            <w:hideMark/>
          </w:tcPr>
          <w:p w14:paraId="19335E09" w14:textId="77777777" w:rsidR="00EC67F0" w:rsidRPr="00340A70" w:rsidRDefault="00EC67F0" w:rsidP="00EC67F0">
            <w:r w:rsidRPr="00340A70">
              <w:t>6</w:t>
            </w:r>
          </w:p>
        </w:tc>
        <w:tc>
          <w:tcPr>
            <w:tcW w:w="3969" w:type="dxa"/>
            <w:hideMark/>
          </w:tcPr>
          <w:p w14:paraId="62AB3750" w14:textId="77777777" w:rsidR="00EC67F0" w:rsidRPr="00EC67F0" w:rsidRDefault="00EC67F0" w:rsidP="00A6007E">
            <w:pPr>
              <w:jc w:val="center"/>
            </w:pPr>
            <w:r w:rsidRPr="00EC67F0">
              <w:t xml:space="preserve">American Civil Liberties Union (ACLU) (2017). Bullies in Blue: The Origins and Consequences </w:t>
            </w:r>
            <w:proofErr w:type="gramStart"/>
            <w:r w:rsidRPr="00EC67F0">
              <w:t>Of</w:t>
            </w:r>
            <w:proofErr w:type="gramEnd"/>
            <w:r w:rsidRPr="00EC67F0">
              <w:t xml:space="preserve"> School Policing. Available at: https://www.aclu.org/wp-content/uploads/publications/aclu_bullies_in_blue_4_11_17_final.pdf (Accessed: 22 March 2026).</w:t>
            </w:r>
          </w:p>
        </w:tc>
        <w:tc>
          <w:tcPr>
            <w:tcW w:w="4343" w:type="dxa"/>
            <w:hideMark/>
          </w:tcPr>
          <w:p w14:paraId="5D75F32B" w14:textId="77777777" w:rsidR="00EC67F0" w:rsidRPr="00EC67F0" w:rsidRDefault="00EC67F0" w:rsidP="00A6007E">
            <w:pPr>
              <w:jc w:val="center"/>
            </w:pPr>
            <w:r w:rsidRPr="00EC67F0">
              <w:t>This work documents how school policing criminalises students, increases exclusions, and exacerbates racial disparities, thereby informing school-to-prison mechanisms that disproportionately affect Black males.</w:t>
            </w:r>
          </w:p>
        </w:tc>
      </w:tr>
      <w:tr w:rsidR="00EC67F0" w:rsidRPr="00EC67F0" w14:paraId="4CF2F652" w14:textId="77777777" w:rsidTr="00340A70">
        <w:trPr>
          <w:trHeight w:val="2592"/>
        </w:trPr>
        <w:tc>
          <w:tcPr>
            <w:tcW w:w="704" w:type="dxa"/>
            <w:shd w:val="clear" w:color="auto" w:fill="CAEDFB" w:themeFill="accent4" w:themeFillTint="33"/>
            <w:noWrap/>
            <w:hideMark/>
          </w:tcPr>
          <w:p w14:paraId="13C68DB4" w14:textId="77777777" w:rsidR="00EC67F0" w:rsidRPr="00340A70" w:rsidRDefault="00EC67F0" w:rsidP="00EC67F0">
            <w:r w:rsidRPr="00340A70">
              <w:t>7</w:t>
            </w:r>
          </w:p>
        </w:tc>
        <w:tc>
          <w:tcPr>
            <w:tcW w:w="3969" w:type="dxa"/>
            <w:hideMark/>
          </w:tcPr>
          <w:p w14:paraId="4336E724" w14:textId="77777777" w:rsidR="00EC67F0" w:rsidRPr="00EC67F0" w:rsidRDefault="00EC67F0" w:rsidP="00A6007E">
            <w:pPr>
              <w:jc w:val="center"/>
            </w:pPr>
            <w:r w:rsidRPr="00EC67F0">
              <w:t xml:space="preserve">Beattie, G., and Johnson, P. (2011). 'Possible unconscious bias in recruitment and promotion and the need to promote equality', Perspectives: Policy and Practice in Higher Education, 16(1), pp. 7–13. Available at: </w:t>
            </w:r>
            <w:proofErr w:type="gramStart"/>
            <w:r w:rsidRPr="00EC67F0">
              <w:t>https://www.tandfonline.com/doi/full/10.1080/13603108.2011.611833  (</w:t>
            </w:r>
            <w:proofErr w:type="gramEnd"/>
            <w:r w:rsidRPr="00EC67F0">
              <w:t>Accessed: 19 March 2026.</w:t>
            </w:r>
          </w:p>
        </w:tc>
        <w:tc>
          <w:tcPr>
            <w:tcW w:w="4343" w:type="dxa"/>
            <w:hideMark/>
          </w:tcPr>
          <w:p w14:paraId="2C4E2520" w14:textId="77777777" w:rsidR="00EC67F0" w:rsidRPr="00EC67F0" w:rsidRDefault="00EC67F0" w:rsidP="00A6007E">
            <w:pPr>
              <w:jc w:val="center"/>
            </w:pPr>
            <w:r w:rsidRPr="00EC67F0">
              <w:t>This analysis highlights unconscious bias in recruitment and promotion processes, elucidating how employer discrimination diminishes Black graduates' labour-market returns and impedes their career progression.</w:t>
            </w:r>
          </w:p>
        </w:tc>
      </w:tr>
      <w:tr w:rsidR="00EC67F0" w:rsidRPr="00EC67F0" w14:paraId="57AA9D8D" w14:textId="77777777" w:rsidTr="00340A70">
        <w:trPr>
          <w:trHeight w:val="3168"/>
        </w:trPr>
        <w:tc>
          <w:tcPr>
            <w:tcW w:w="704" w:type="dxa"/>
            <w:shd w:val="clear" w:color="auto" w:fill="CAEDFB" w:themeFill="accent4" w:themeFillTint="33"/>
            <w:noWrap/>
            <w:hideMark/>
          </w:tcPr>
          <w:p w14:paraId="1FE07C63" w14:textId="77777777" w:rsidR="00EC67F0" w:rsidRPr="00340A70" w:rsidRDefault="00EC67F0" w:rsidP="00EC67F0">
            <w:r w:rsidRPr="00340A70">
              <w:lastRenderedPageBreak/>
              <w:t>8</w:t>
            </w:r>
          </w:p>
        </w:tc>
        <w:tc>
          <w:tcPr>
            <w:tcW w:w="3969" w:type="dxa"/>
            <w:hideMark/>
          </w:tcPr>
          <w:p w14:paraId="02109838" w14:textId="77777777" w:rsidR="00EC67F0" w:rsidRPr="00EC67F0" w:rsidRDefault="00EC67F0" w:rsidP="00A6007E">
            <w:pPr>
              <w:jc w:val="center"/>
            </w:pPr>
            <w:r w:rsidRPr="00EC67F0">
              <w:t>Bernal, D., and Villalpando, O. (2002). 'An Apartheid of Knowledge in Academia: The Struggle Over the "Legitimate" Knowledge of Faculty of Colour', Equity and Excellence in Education, 35(2), pp. 169–180. Available at:  https://www.academia.edu/16786755/An_Apartheid_of_Knowledge_in_Academia_The_Struggle_Over_the_Legitimate_Knowledge_of_Faculty_of_Color (Accessed: 23 March 2026).</w:t>
            </w:r>
          </w:p>
        </w:tc>
        <w:tc>
          <w:tcPr>
            <w:tcW w:w="4343" w:type="dxa"/>
            <w:hideMark/>
          </w:tcPr>
          <w:p w14:paraId="51AC3CF0" w14:textId="11AF9B5F" w:rsidR="00EC67F0" w:rsidRPr="00EC67F0" w:rsidRDefault="00EC67F0" w:rsidP="00A6007E">
            <w:pPr>
              <w:jc w:val="center"/>
            </w:pPr>
            <w:r w:rsidRPr="00EC67F0">
              <w:t>Critiques Eurocentric academic knowledge</w:t>
            </w:r>
            <w:r w:rsidR="00340A70">
              <w:t>,</w:t>
            </w:r>
            <w:r w:rsidRPr="00EC67F0">
              <w:t xml:space="preserve"> privileging whiteness, explaining curricular marginalisation that undermines Black students’ belonging, progression, and transition outcomes.</w:t>
            </w:r>
          </w:p>
        </w:tc>
      </w:tr>
      <w:tr w:rsidR="00EC67F0" w:rsidRPr="00EC67F0" w14:paraId="47166465" w14:textId="77777777" w:rsidTr="00340A70">
        <w:trPr>
          <w:trHeight w:val="3744"/>
        </w:trPr>
        <w:tc>
          <w:tcPr>
            <w:tcW w:w="704" w:type="dxa"/>
            <w:shd w:val="clear" w:color="auto" w:fill="CAEDFB" w:themeFill="accent4" w:themeFillTint="33"/>
            <w:noWrap/>
            <w:hideMark/>
          </w:tcPr>
          <w:p w14:paraId="476B1D50" w14:textId="77777777" w:rsidR="00EC67F0" w:rsidRPr="00340A70" w:rsidRDefault="00EC67F0" w:rsidP="00EC67F0">
            <w:r w:rsidRPr="00340A70">
              <w:t>9</w:t>
            </w:r>
          </w:p>
        </w:tc>
        <w:tc>
          <w:tcPr>
            <w:tcW w:w="3969" w:type="dxa"/>
            <w:hideMark/>
          </w:tcPr>
          <w:p w14:paraId="73505FE6" w14:textId="77777777" w:rsidR="00EC67F0" w:rsidRPr="00EC67F0" w:rsidRDefault="00EC67F0" w:rsidP="00A6007E">
            <w:pPr>
              <w:jc w:val="center"/>
            </w:pPr>
            <w:r w:rsidRPr="00EC67F0">
              <w:t xml:space="preserve">Bhavsar, V., Jannesari, S., McGuire, P., MacCabe, H., Das-Munshi, J., Bhugra, D., Dorrington, S., Brown, J., </w:t>
            </w:r>
            <w:proofErr w:type="spellStart"/>
            <w:r w:rsidRPr="00EC67F0">
              <w:t>Hotopf</w:t>
            </w:r>
            <w:proofErr w:type="spellEnd"/>
            <w:r w:rsidRPr="00EC67F0">
              <w:t>, M., and Hatch, S. (2021). 'The association of migration and ethnicity with use of the Improving Access to Psychological Treatment (IAPT) programme: a general population cohort study', Social Psychiatry and Psychiatric Epidemiology, 56, pp. 1943-1956. Available at: https://link.springer.com/article/10.1007/s00127-021-02035-7 (Accessed: 30 March 2026).</w:t>
            </w:r>
          </w:p>
        </w:tc>
        <w:tc>
          <w:tcPr>
            <w:tcW w:w="4343" w:type="dxa"/>
            <w:hideMark/>
          </w:tcPr>
          <w:p w14:paraId="6D7BF296" w14:textId="77777777" w:rsidR="00EC67F0" w:rsidRPr="00EC67F0" w:rsidRDefault="00EC67F0" w:rsidP="00A6007E">
            <w:pPr>
              <w:jc w:val="center"/>
            </w:pPr>
            <w:r w:rsidRPr="00EC67F0">
              <w:t>This study quantifies ethnic and migrant disparities in psychological treatment utilisation, providing insights into mental health mediation of vulnerability during the education-to-work transition among Black males.</w:t>
            </w:r>
          </w:p>
        </w:tc>
      </w:tr>
      <w:tr w:rsidR="00EC67F0" w:rsidRPr="00EC67F0" w14:paraId="342914BF" w14:textId="77777777" w:rsidTr="00340A70">
        <w:trPr>
          <w:trHeight w:val="2592"/>
        </w:trPr>
        <w:tc>
          <w:tcPr>
            <w:tcW w:w="704" w:type="dxa"/>
            <w:shd w:val="clear" w:color="auto" w:fill="CAEDFB" w:themeFill="accent4" w:themeFillTint="33"/>
            <w:noWrap/>
            <w:hideMark/>
          </w:tcPr>
          <w:p w14:paraId="411652EE" w14:textId="77777777" w:rsidR="00EC67F0" w:rsidRPr="00340A70" w:rsidRDefault="00EC67F0" w:rsidP="00EC67F0">
            <w:r w:rsidRPr="00340A70">
              <w:t>10</w:t>
            </w:r>
          </w:p>
        </w:tc>
        <w:tc>
          <w:tcPr>
            <w:tcW w:w="3969" w:type="dxa"/>
            <w:hideMark/>
          </w:tcPr>
          <w:p w14:paraId="10783EF1" w14:textId="77777777" w:rsidR="00EC67F0" w:rsidRPr="00EC67F0" w:rsidRDefault="00EC67F0" w:rsidP="00A6007E">
            <w:pPr>
              <w:jc w:val="center"/>
            </w:pPr>
            <w:proofErr w:type="spellStart"/>
            <w:r w:rsidRPr="00EC67F0">
              <w:t>Bjerstedt</w:t>
            </w:r>
            <w:proofErr w:type="spellEnd"/>
            <w:r w:rsidRPr="00EC67F0">
              <w:t>, A. (1999) 'Objectives Related to Multicultural Education: Bias Awareness, Cultural Fluency, Diversity Appreciation, Empathy, Equality Attitudes, Intercultural Communicative Competence, Tolerance, and Transcultural Identities', School of Education, pp. 1-31. Available at: https://files.eric.ed.gov/fulltext/ED432526.pdf (Accessed: 24 March 2026).</w:t>
            </w:r>
          </w:p>
        </w:tc>
        <w:tc>
          <w:tcPr>
            <w:tcW w:w="4343" w:type="dxa"/>
            <w:hideMark/>
          </w:tcPr>
          <w:p w14:paraId="70136C27" w14:textId="77777777" w:rsidR="00EC67F0" w:rsidRPr="00EC67F0" w:rsidRDefault="00EC67F0" w:rsidP="00A6007E">
            <w:pPr>
              <w:jc w:val="center"/>
            </w:pPr>
            <w:r w:rsidRPr="00EC67F0">
              <w:t>This source offers multicultural objectives, such as bias awareness and cultural fluency, which inform curriculum reforms aimed at reducing racialised exclusion and enhancing outcomes for Black male students.</w:t>
            </w:r>
          </w:p>
        </w:tc>
      </w:tr>
      <w:tr w:rsidR="00EC67F0" w:rsidRPr="00EC67F0" w14:paraId="01945E1B" w14:textId="77777777" w:rsidTr="00340A70">
        <w:trPr>
          <w:trHeight w:val="2592"/>
        </w:trPr>
        <w:tc>
          <w:tcPr>
            <w:tcW w:w="704" w:type="dxa"/>
            <w:shd w:val="clear" w:color="auto" w:fill="CAEDFB" w:themeFill="accent4" w:themeFillTint="33"/>
            <w:noWrap/>
            <w:hideMark/>
          </w:tcPr>
          <w:p w14:paraId="270DB18A" w14:textId="77777777" w:rsidR="00EC67F0" w:rsidRPr="00340A70" w:rsidRDefault="00EC67F0" w:rsidP="00EC67F0">
            <w:r w:rsidRPr="00340A70">
              <w:t>11</w:t>
            </w:r>
          </w:p>
        </w:tc>
        <w:tc>
          <w:tcPr>
            <w:tcW w:w="3969" w:type="dxa"/>
            <w:hideMark/>
          </w:tcPr>
          <w:p w14:paraId="5360BFEB" w14:textId="77777777" w:rsidR="00EC67F0" w:rsidRPr="00EC67F0" w:rsidRDefault="00EC67F0" w:rsidP="00A6007E">
            <w:pPr>
              <w:jc w:val="center"/>
            </w:pPr>
            <w:r w:rsidRPr="00EC67F0">
              <w:t>Blair, I. (2002). 'The Malleability of Automatic Stereotypes and Prejudice', Personality and Social Psychology Review, 6(3), pp. 242–261. Available at: https://journals.sagepub.com/doi/epdf/10.1207/S15327957PSPR0603_8 (Accessed: 19 March 2026).</w:t>
            </w:r>
          </w:p>
        </w:tc>
        <w:tc>
          <w:tcPr>
            <w:tcW w:w="4343" w:type="dxa"/>
            <w:hideMark/>
          </w:tcPr>
          <w:p w14:paraId="41AF6A78" w14:textId="77777777" w:rsidR="00EC67F0" w:rsidRPr="00EC67F0" w:rsidRDefault="00EC67F0" w:rsidP="00A6007E">
            <w:pPr>
              <w:jc w:val="center"/>
            </w:pPr>
            <w:r w:rsidRPr="00EC67F0">
              <w:t>The study is valuable in explaining the malleability of implicit bias, which can inform interventions for educators and employers to reduce harms driven by stereotypes. However, its psychological focus may understate the significance of structural racism.</w:t>
            </w:r>
          </w:p>
        </w:tc>
      </w:tr>
      <w:tr w:rsidR="00EC67F0" w:rsidRPr="00EC67F0" w14:paraId="76A17558" w14:textId="77777777" w:rsidTr="00340A70">
        <w:trPr>
          <w:trHeight w:val="2880"/>
        </w:trPr>
        <w:tc>
          <w:tcPr>
            <w:tcW w:w="704" w:type="dxa"/>
            <w:shd w:val="clear" w:color="auto" w:fill="CAEDFB" w:themeFill="accent4" w:themeFillTint="33"/>
            <w:noWrap/>
            <w:hideMark/>
          </w:tcPr>
          <w:p w14:paraId="33EAE37D" w14:textId="77777777" w:rsidR="00EC67F0" w:rsidRPr="00340A70" w:rsidRDefault="00EC67F0" w:rsidP="00EC67F0">
            <w:r w:rsidRPr="00340A70">
              <w:lastRenderedPageBreak/>
              <w:t>12</w:t>
            </w:r>
          </w:p>
        </w:tc>
        <w:tc>
          <w:tcPr>
            <w:tcW w:w="3969" w:type="dxa"/>
            <w:hideMark/>
          </w:tcPr>
          <w:p w14:paraId="5525F64C" w14:textId="77777777" w:rsidR="00EC67F0" w:rsidRPr="00EC67F0" w:rsidRDefault="00EC67F0" w:rsidP="00A6007E">
            <w:pPr>
              <w:jc w:val="center"/>
            </w:pPr>
            <w:r w:rsidRPr="00EC67F0">
              <w:t>Borooah, V., and Hart M. (1999) 'Factors Affecting Self-Employment among Indian and Black Caribbean Men in Britain', Small Business Economics, 13, pp. 111-129. Available at: https://link.springer.com/article/10.1023/A:1008134627296 (Accessed: 30 March 2026).</w:t>
            </w:r>
          </w:p>
        </w:tc>
        <w:tc>
          <w:tcPr>
            <w:tcW w:w="4343" w:type="dxa"/>
            <w:hideMark/>
          </w:tcPr>
          <w:p w14:paraId="2C669651" w14:textId="77777777" w:rsidR="00EC67F0" w:rsidRPr="00EC67F0" w:rsidRDefault="00EC67F0" w:rsidP="00A6007E">
            <w:pPr>
              <w:jc w:val="center"/>
            </w:pPr>
            <w:r w:rsidRPr="00EC67F0">
              <w:t>This source provides an early empirical analysis of the determinants of ethnic self-employment in Britain, offering insights into entrepreneurship pathways for Black Caribbean men. However, its findings are limited by the study's dated nature and reduced contemporary relevance.</w:t>
            </w:r>
          </w:p>
        </w:tc>
      </w:tr>
      <w:tr w:rsidR="00EC67F0" w:rsidRPr="00EC67F0" w14:paraId="3FE6411B" w14:textId="77777777" w:rsidTr="00340A70">
        <w:trPr>
          <w:trHeight w:val="6048"/>
        </w:trPr>
        <w:tc>
          <w:tcPr>
            <w:tcW w:w="704" w:type="dxa"/>
            <w:shd w:val="clear" w:color="auto" w:fill="CAEDFB" w:themeFill="accent4" w:themeFillTint="33"/>
            <w:noWrap/>
            <w:hideMark/>
          </w:tcPr>
          <w:p w14:paraId="2B1F9B98" w14:textId="77777777" w:rsidR="00EC67F0" w:rsidRPr="00340A70" w:rsidRDefault="00EC67F0" w:rsidP="00EC67F0">
            <w:r w:rsidRPr="00340A70">
              <w:t>13</w:t>
            </w:r>
          </w:p>
        </w:tc>
        <w:tc>
          <w:tcPr>
            <w:tcW w:w="3969" w:type="dxa"/>
            <w:hideMark/>
          </w:tcPr>
          <w:p w14:paraId="76A0DBF9" w14:textId="77777777" w:rsidR="00EC67F0" w:rsidRPr="00EC67F0" w:rsidRDefault="00EC67F0" w:rsidP="00A6007E">
            <w:pPr>
              <w:jc w:val="center"/>
            </w:pPr>
            <w:r w:rsidRPr="00EC67F0">
              <w:t xml:space="preserve">Butler-Barnes, S., and Inniss-Thompson, M. (2020) '“My Teacher Doesn’t Like Me”: Perceptions of Teacher Discrimination and School Discipline among </w:t>
            </w:r>
            <w:proofErr w:type="gramStart"/>
            <w:r w:rsidRPr="00EC67F0">
              <w:t>African-American</w:t>
            </w:r>
            <w:proofErr w:type="gramEnd"/>
            <w:r w:rsidRPr="00EC67F0">
              <w:t xml:space="preserve"> and Caribbean Black Adolescent Girls', Education Sciences, 10(2), pp. 1-14. Available at: https://www.researchgate.net/profile/Sheretta-Butler-Barnes/publication/340607737_My_Teacher_Doesn't_Like_Me_Perceptions_of_Teacher_Discrimination_and_School_Discipline_among_African-American_and_Caribbean_Black_Adolescent_Girls/links/5e948a014585150839dad76f/My-Teacher-Doesnt-Like-Me-Perceptions-of-Teacher-Discrimination-and-School-Discipline-among-African-American-and-Caribbean-Black-Adolescent-Girls.pdf (Accessed: 10 March 2026).</w:t>
            </w:r>
          </w:p>
        </w:tc>
        <w:tc>
          <w:tcPr>
            <w:tcW w:w="4343" w:type="dxa"/>
            <w:hideMark/>
          </w:tcPr>
          <w:p w14:paraId="1423E3C9" w14:textId="77777777" w:rsidR="00EC67F0" w:rsidRPr="00EC67F0" w:rsidRDefault="00EC67F0" w:rsidP="00A6007E">
            <w:pPr>
              <w:jc w:val="center"/>
            </w:pPr>
            <w:r w:rsidRPr="00EC67F0">
              <w:t>This study is valuable for its examination of how teacher discrimination affects student discipline and exclusion. However, its focus on a US-based, female sample limits the generalizability of findings to Black male populations in UK contexts.</w:t>
            </w:r>
          </w:p>
        </w:tc>
      </w:tr>
      <w:tr w:rsidR="00EC67F0" w:rsidRPr="00EC67F0" w14:paraId="63ED0EEC" w14:textId="77777777" w:rsidTr="00340A70">
        <w:trPr>
          <w:trHeight w:val="4320"/>
        </w:trPr>
        <w:tc>
          <w:tcPr>
            <w:tcW w:w="704" w:type="dxa"/>
            <w:shd w:val="clear" w:color="auto" w:fill="CAEDFB" w:themeFill="accent4" w:themeFillTint="33"/>
            <w:noWrap/>
            <w:hideMark/>
          </w:tcPr>
          <w:p w14:paraId="7F5C6D4A" w14:textId="77777777" w:rsidR="00EC67F0" w:rsidRPr="00340A70" w:rsidRDefault="00EC67F0" w:rsidP="00EC67F0">
            <w:r w:rsidRPr="00340A70">
              <w:lastRenderedPageBreak/>
              <w:t>14</w:t>
            </w:r>
          </w:p>
        </w:tc>
        <w:tc>
          <w:tcPr>
            <w:tcW w:w="3969" w:type="dxa"/>
            <w:hideMark/>
          </w:tcPr>
          <w:p w14:paraId="17D9B0D6" w14:textId="77777777" w:rsidR="00EC67F0" w:rsidRPr="00EC67F0" w:rsidRDefault="00EC67F0" w:rsidP="00A6007E">
            <w:pPr>
              <w:jc w:val="center"/>
            </w:pPr>
            <w:r w:rsidRPr="00EC67F0">
              <w:t>Campbell, I. (2017). Serious organised crime in Scotland: The role of communications in reducing demand, victimisation and fear; An evidence review and toolkit for communicators. Reference number (if available). Publisher or Available at: https://www.gov.scot/binaries/content/documents/govscot/publications/factsheet/2017/09/serious-organised-crime-role-communications-reducing-demand-victimisation-fear/documents/00525233-pdf/00525233-pdf/govscot%3Adocument/00525233.pdf (Accessed: 2 April 2026).</w:t>
            </w:r>
          </w:p>
        </w:tc>
        <w:tc>
          <w:tcPr>
            <w:tcW w:w="4343" w:type="dxa"/>
            <w:hideMark/>
          </w:tcPr>
          <w:p w14:paraId="1561CC73" w14:textId="0310AF19" w:rsidR="00EC67F0" w:rsidRPr="00EC67F0" w:rsidRDefault="00EC67F0" w:rsidP="00A6007E">
            <w:pPr>
              <w:jc w:val="center"/>
            </w:pPr>
            <w:r w:rsidRPr="00EC67F0">
              <w:t xml:space="preserve">This section outlines communication strategies aimed at reducing organised crime demand and </w:t>
            </w:r>
            <w:r w:rsidR="00340A70" w:rsidRPr="00EC67F0">
              <w:t>victimisation and</w:t>
            </w:r>
            <w:r w:rsidRPr="00EC67F0">
              <w:t xml:space="preserve"> connects these approaches to prevention messaging and community interventions that address exploitation risk among Black males.</w:t>
            </w:r>
          </w:p>
        </w:tc>
      </w:tr>
      <w:tr w:rsidR="00EC67F0" w:rsidRPr="00EC67F0" w14:paraId="79CADED8" w14:textId="77777777" w:rsidTr="00340A70">
        <w:trPr>
          <w:trHeight w:val="2592"/>
        </w:trPr>
        <w:tc>
          <w:tcPr>
            <w:tcW w:w="704" w:type="dxa"/>
            <w:shd w:val="clear" w:color="auto" w:fill="CAEDFB" w:themeFill="accent4" w:themeFillTint="33"/>
            <w:noWrap/>
            <w:hideMark/>
          </w:tcPr>
          <w:p w14:paraId="186267F3" w14:textId="77777777" w:rsidR="00EC67F0" w:rsidRPr="00340A70" w:rsidRDefault="00EC67F0" w:rsidP="00EC67F0">
            <w:r w:rsidRPr="00340A70">
              <w:t>15</w:t>
            </w:r>
          </w:p>
        </w:tc>
        <w:tc>
          <w:tcPr>
            <w:tcW w:w="3969" w:type="dxa"/>
            <w:hideMark/>
          </w:tcPr>
          <w:p w14:paraId="123AA48E" w14:textId="77777777" w:rsidR="00EC67F0" w:rsidRPr="00EC67F0" w:rsidRDefault="00EC67F0" w:rsidP="00A6007E">
            <w:pPr>
              <w:jc w:val="center"/>
            </w:pPr>
            <w:r w:rsidRPr="00EC67F0">
              <w:t>Centre for Social Justice and Justice and Care (2024) Criminal exploitation: Modern slavery by another name. Centre for Social Justice and Justice and Care Available at:  https://www.antislaverycommissioner.co.uk/media/2bhhuyiu/csj-jc_criminal_exploitation.pdf (Accessed: 1 April 2026).</w:t>
            </w:r>
          </w:p>
        </w:tc>
        <w:tc>
          <w:tcPr>
            <w:tcW w:w="4343" w:type="dxa"/>
            <w:hideMark/>
          </w:tcPr>
          <w:p w14:paraId="6EC795CD" w14:textId="77777777" w:rsidR="00EC67F0" w:rsidRPr="00EC67F0" w:rsidRDefault="00EC67F0" w:rsidP="00A6007E">
            <w:pPr>
              <w:jc w:val="center"/>
            </w:pPr>
            <w:r w:rsidRPr="00EC67F0">
              <w:t>This source frames County Lines as a form of modern slavery, providing a detailed analysis of recruitment methods, vulnerabilities, and policy responses. It directly informs understanding of exploitation pathways and prevention strategies for Black males.</w:t>
            </w:r>
          </w:p>
        </w:tc>
      </w:tr>
      <w:tr w:rsidR="00EC67F0" w:rsidRPr="00EC67F0" w14:paraId="2847F629" w14:textId="77777777" w:rsidTr="00340A70">
        <w:trPr>
          <w:trHeight w:val="2304"/>
        </w:trPr>
        <w:tc>
          <w:tcPr>
            <w:tcW w:w="704" w:type="dxa"/>
            <w:shd w:val="clear" w:color="auto" w:fill="CAEDFB" w:themeFill="accent4" w:themeFillTint="33"/>
            <w:noWrap/>
            <w:hideMark/>
          </w:tcPr>
          <w:p w14:paraId="76D3EA98" w14:textId="77777777" w:rsidR="00EC67F0" w:rsidRPr="00340A70" w:rsidRDefault="00EC67F0" w:rsidP="00EC67F0">
            <w:r w:rsidRPr="00340A70">
              <w:t>16</w:t>
            </w:r>
          </w:p>
        </w:tc>
        <w:tc>
          <w:tcPr>
            <w:tcW w:w="3969" w:type="dxa"/>
            <w:hideMark/>
          </w:tcPr>
          <w:p w14:paraId="3ADBB93D" w14:textId="77777777" w:rsidR="00EC67F0" w:rsidRPr="00EC67F0" w:rsidRDefault="00EC67F0" w:rsidP="00A6007E">
            <w:pPr>
              <w:jc w:val="center"/>
            </w:pPr>
            <w:r w:rsidRPr="00EC67F0">
              <w:t>Chiswick, B. (1991). 'Speaking, Reading, and Earnings among Low-Skilled Immigrants', Journal of Labor Economics, 9(2), pp. 149–170. Available at: https://www-jstor-org.uwtsd.idm.oclc.org/stable/2535238?sid=primo&amp;seq</w:t>
            </w:r>
            <w:proofErr w:type="gramStart"/>
            <w:r w:rsidRPr="00EC67F0">
              <w:t>=  (</w:t>
            </w:r>
            <w:proofErr w:type="gramEnd"/>
            <w:r w:rsidRPr="00EC67F0">
              <w:t>Accessed: 25 March 2026).</w:t>
            </w:r>
          </w:p>
        </w:tc>
        <w:tc>
          <w:tcPr>
            <w:tcW w:w="4343" w:type="dxa"/>
            <w:hideMark/>
          </w:tcPr>
          <w:p w14:paraId="1A5E21EB" w14:textId="77777777" w:rsidR="00EC67F0" w:rsidRPr="00EC67F0" w:rsidRDefault="00EC67F0" w:rsidP="00A6007E">
            <w:pPr>
              <w:jc w:val="center"/>
            </w:pPr>
            <w:r w:rsidRPr="00EC67F0">
              <w:t>This analysis links language proficiency to earnings, emphasising communication-related human capital barriers that limit labour-market outcomes and mobility for Black immigrant males.</w:t>
            </w:r>
          </w:p>
        </w:tc>
      </w:tr>
      <w:tr w:rsidR="00EC67F0" w:rsidRPr="00EC67F0" w14:paraId="22F19557" w14:textId="77777777" w:rsidTr="00340A70">
        <w:trPr>
          <w:trHeight w:val="2592"/>
        </w:trPr>
        <w:tc>
          <w:tcPr>
            <w:tcW w:w="704" w:type="dxa"/>
            <w:shd w:val="clear" w:color="auto" w:fill="CAEDFB" w:themeFill="accent4" w:themeFillTint="33"/>
            <w:noWrap/>
            <w:hideMark/>
          </w:tcPr>
          <w:p w14:paraId="6BBB48CD" w14:textId="77777777" w:rsidR="00EC67F0" w:rsidRPr="00340A70" w:rsidRDefault="00EC67F0" w:rsidP="00EC67F0">
            <w:r w:rsidRPr="00340A70">
              <w:t>17</w:t>
            </w:r>
          </w:p>
        </w:tc>
        <w:tc>
          <w:tcPr>
            <w:tcW w:w="3969" w:type="dxa"/>
            <w:hideMark/>
          </w:tcPr>
          <w:p w14:paraId="0AE4CC5F" w14:textId="77777777" w:rsidR="00EC67F0" w:rsidRPr="00EC67F0" w:rsidRDefault="00EC67F0" w:rsidP="00A6007E">
            <w:pPr>
              <w:jc w:val="center"/>
            </w:pPr>
            <w:r w:rsidRPr="00EC67F0">
              <w:t>Callender, C. (2020) 'Black male teachers, white education spaces: Troubling school practices of othering and surveillance', British Educational Journal, 46(5), pp. 1081-1098. Available at: https://bera-journals.onlinelibrary.wiley.com/doi/epdf/10.1002/berj.3614?saml_referrer (Accessed: 30 March 2026).</w:t>
            </w:r>
          </w:p>
        </w:tc>
        <w:tc>
          <w:tcPr>
            <w:tcW w:w="4343" w:type="dxa"/>
            <w:hideMark/>
          </w:tcPr>
          <w:p w14:paraId="06812192" w14:textId="77777777" w:rsidR="00EC67F0" w:rsidRPr="00EC67F0" w:rsidRDefault="00EC67F0" w:rsidP="00A6007E">
            <w:pPr>
              <w:jc w:val="center"/>
            </w:pPr>
            <w:r w:rsidRPr="00EC67F0">
              <w:t>This work examines the experiences of Black male teachers regarding othering and surveillance, emphasising the scarcity of role models and institutional cultures that marginalise Black boys.</w:t>
            </w:r>
          </w:p>
        </w:tc>
      </w:tr>
      <w:tr w:rsidR="00EC67F0" w:rsidRPr="00EC67F0" w14:paraId="7DA31F47" w14:textId="77777777" w:rsidTr="00340A70">
        <w:trPr>
          <w:trHeight w:val="3168"/>
        </w:trPr>
        <w:tc>
          <w:tcPr>
            <w:tcW w:w="704" w:type="dxa"/>
            <w:shd w:val="clear" w:color="auto" w:fill="CAEDFB" w:themeFill="accent4" w:themeFillTint="33"/>
            <w:noWrap/>
            <w:hideMark/>
          </w:tcPr>
          <w:p w14:paraId="28FAE008" w14:textId="77777777" w:rsidR="00EC67F0" w:rsidRPr="00340A70" w:rsidRDefault="00EC67F0" w:rsidP="00EC67F0">
            <w:r w:rsidRPr="00340A70">
              <w:lastRenderedPageBreak/>
              <w:t>18</w:t>
            </w:r>
          </w:p>
        </w:tc>
        <w:tc>
          <w:tcPr>
            <w:tcW w:w="3969" w:type="dxa"/>
            <w:hideMark/>
          </w:tcPr>
          <w:p w14:paraId="3B7159F0" w14:textId="77777777" w:rsidR="00EC67F0" w:rsidRPr="00EC67F0" w:rsidRDefault="00EC67F0" w:rsidP="00A6007E">
            <w:pPr>
              <w:jc w:val="center"/>
            </w:pPr>
            <w:r w:rsidRPr="00EC67F0">
              <w:t>Clerger, P. (2018) Beyond Race and Culture: A Comparative Study of the Effect of Economic Conditions on the Development of Identity Among Afro-Caribbean Communities in the United Kingdom and France. Undergraduate Thesis. Columbia University. Available at: https://history.columbia.edu/wp-content/uploads/sites/29/2016/06/Clerger-Pieter-Thesis.pdf (Accessed: 20 March 2026).</w:t>
            </w:r>
          </w:p>
        </w:tc>
        <w:tc>
          <w:tcPr>
            <w:tcW w:w="4343" w:type="dxa"/>
            <w:hideMark/>
          </w:tcPr>
          <w:p w14:paraId="06942D86" w14:textId="77777777" w:rsidR="00EC67F0" w:rsidRPr="00EC67F0" w:rsidRDefault="00EC67F0" w:rsidP="00A6007E">
            <w:pPr>
              <w:jc w:val="center"/>
            </w:pPr>
            <w:r w:rsidRPr="00EC67F0">
              <w:t>This work provides comparative insight into how economic contexts shape Afro-Caribbean identity and elucidates the influence of socioeconomic conditions on the educational and occupational transitions of Black males.</w:t>
            </w:r>
          </w:p>
        </w:tc>
      </w:tr>
      <w:tr w:rsidR="00EC67F0" w:rsidRPr="00EC67F0" w14:paraId="166DB9E5" w14:textId="77777777" w:rsidTr="00340A70">
        <w:trPr>
          <w:trHeight w:val="2592"/>
        </w:trPr>
        <w:tc>
          <w:tcPr>
            <w:tcW w:w="704" w:type="dxa"/>
            <w:shd w:val="clear" w:color="auto" w:fill="CAEDFB" w:themeFill="accent4" w:themeFillTint="33"/>
            <w:noWrap/>
            <w:hideMark/>
          </w:tcPr>
          <w:p w14:paraId="75F3F06F" w14:textId="77777777" w:rsidR="00EC67F0" w:rsidRPr="00340A70" w:rsidRDefault="00EC67F0" w:rsidP="00EC67F0">
            <w:r w:rsidRPr="00340A70">
              <w:t>19</w:t>
            </w:r>
          </w:p>
        </w:tc>
        <w:tc>
          <w:tcPr>
            <w:tcW w:w="3969" w:type="dxa"/>
            <w:hideMark/>
          </w:tcPr>
          <w:p w14:paraId="2A5BC617" w14:textId="77777777" w:rsidR="00EC67F0" w:rsidRPr="00EC67F0" w:rsidRDefault="00EC67F0" w:rsidP="00A6007E">
            <w:pPr>
              <w:jc w:val="center"/>
            </w:pPr>
            <w:r w:rsidRPr="00EC67F0">
              <w:t xml:space="preserve">Coles, J., and Powell, T. (2020) 'A </w:t>
            </w:r>
            <w:proofErr w:type="spellStart"/>
            <w:r w:rsidRPr="00EC67F0">
              <w:t>BlackCrit</w:t>
            </w:r>
            <w:proofErr w:type="spellEnd"/>
            <w:r w:rsidRPr="00EC67F0">
              <w:t xml:space="preserve"> analysis on Black urban youth and suspension disproportionality as anti-Black symbolic violence', Race Ethnicity and Education, 23(1), pp. 113-133. Available at: https://www-tandfonline-com.uwtsd.idm.oclc.org/doi/full/10.1080/13613324.2019.1631778#abstract (Accessed: 25 March 2026).</w:t>
            </w:r>
          </w:p>
        </w:tc>
        <w:tc>
          <w:tcPr>
            <w:tcW w:w="4343" w:type="dxa"/>
            <w:hideMark/>
          </w:tcPr>
          <w:p w14:paraId="1DCB2C43" w14:textId="77777777" w:rsidR="00EC67F0" w:rsidRPr="00EC67F0" w:rsidRDefault="00EC67F0" w:rsidP="00A6007E">
            <w:pPr>
              <w:jc w:val="center"/>
            </w:pPr>
            <w:proofErr w:type="spellStart"/>
            <w:r w:rsidRPr="00EC67F0">
              <w:t>BlackCrit</w:t>
            </w:r>
            <w:proofErr w:type="spellEnd"/>
            <w:r w:rsidRPr="00EC67F0">
              <w:t xml:space="preserve"> conceptualises suspensions as a form of anti-Black symbolic violence, connecting discriminatory disciplinary practices to exclusion, stigma, and subsequent socioeconomic marginalisation.</w:t>
            </w:r>
          </w:p>
        </w:tc>
      </w:tr>
      <w:tr w:rsidR="00EC67F0" w:rsidRPr="00EC67F0" w14:paraId="56ECF0B2" w14:textId="77777777" w:rsidTr="00340A70">
        <w:trPr>
          <w:trHeight w:val="3456"/>
        </w:trPr>
        <w:tc>
          <w:tcPr>
            <w:tcW w:w="704" w:type="dxa"/>
            <w:shd w:val="clear" w:color="auto" w:fill="CAEDFB" w:themeFill="accent4" w:themeFillTint="33"/>
            <w:noWrap/>
            <w:hideMark/>
          </w:tcPr>
          <w:p w14:paraId="0A813879" w14:textId="77777777" w:rsidR="00EC67F0" w:rsidRPr="00340A70" w:rsidRDefault="00EC67F0" w:rsidP="00EC67F0">
            <w:r w:rsidRPr="00340A70">
              <w:t>20</w:t>
            </w:r>
          </w:p>
        </w:tc>
        <w:tc>
          <w:tcPr>
            <w:tcW w:w="3969" w:type="dxa"/>
            <w:hideMark/>
          </w:tcPr>
          <w:p w14:paraId="1A6028DD" w14:textId="77777777" w:rsidR="00EC67F0" w:rsidRPr="00EC67F0" w:rsidRDefault="00EC67F0" w:rsidP="00A6007E">
            <w:pPr>
              <w:jc w:val="center"/>
            </w:pPr>
            <w:r w:rsidRPr="00EC67F0">
              <w:t xml:space="preserve">Connolly, L., </w:t>
            </w:r>
            <w:proofErr w:type="spellStart"/>
            <w:r w:rsidRPr="00EC67F0">
              <w:t>Legane</w:t>
            </w:r>
            <w:proofErr w:type="spellEnd"/>
            <w:r w:rsidRPr="00EC67F0">
              <w:t>, R., and Joseph-Salisbury (2020). Decriminalise the Classroom: A Community Response to Police in Greater Manchester's Schools. Available at: https://nopoliceinschools.co.uk/resources/Decriminalise%20the%20Classroom%20-%20A%20Community%20Response%20to%20Police%20in%20Greater%20Manchester%27s%20Schools.pdf (Accessed: 22 March 2026).</w:t>
            </w:r>
          </w:p>
        </w:tc>
        <w:tc>
          <w:tcPr>
            <w:tcW w:w="4343" w:type="dxa"/>
            <w:hideMark/>
          </w:tcPr>
          <w:p w14:paraId="760C74E2" w14:textId="77777777" w:rsidR="00EC67F0" w:rsidRPr="00EC67F0" w:rsidRDefault="00EC67F0" w:rsidP="00A6007E">
            <w:pPr>
              <w:jc w:val="center"/>
            </w:pPr>
            <w:r w:rsidRPr="00EC67F0">
              <w:t>Community-based evidence opposing school policing highlights harms, exclusions, and racialised criminalisation. Such evidence informs alternatives aimed at reducing Black males' pathways from school to prison.</w:t>
            </w:r>
          </w:p>
        </w:tc>
      </w:tr>
      <w:tr w:rsidR="00EC67F0" w:rsidRPr="00EC67F0" w14:paraId="1EDADEAA" w14:textId="77777777" w:rsidTr="00340A70">
        <w:trPr>
          <w:trHeight w:val="2592"/>
        </w:trPr>
        <w:tc>
          <w:tcPr>
            <w:tcW w:w="704" w:type="dxa"/>
            <w:shd w:val="clear" w:color="auto" w:fill="CAEDFB" w:themeFill="accent4" w:themeFillTint="33"/>
            <w:noWrap/>
            <w:hideMark/>
          </w:tcPr>
          <w:p w14:paraId="5ADABA66" w14:textId="77777777" w:rsidR="00EC67F0" w:rsidRPr="00340A70" w:rsidRDefault="00EC67F0" w:rsidP="00EC67F0">
            <w:r w:rsidRPr="00340A70">
              <w:t>21</w:t>
            </w:r>
          </w:p>
        </w:tc>
        <w:tc>
          <w:tcPr>
            <w:tcW w:w="3969" w:type="dxa"/>
            <w:hideMark/>
          </w:tcPr>
          <w:p w14:paraId="142DBDD0" w14:textId="77777777" w:rsidR="00EC67F0" w:rsidRPr="00EC67F0" w:rsidRDefault="00EC67F0" w:rsidP="00A6007E">
            <w:pPr>
              <w:jc w:val="center"/>
            </w:pPr>
            <w:r w:rsidRPr="00EC67F0">
              <w:t>Crozier, G. (2006). 'There's a war against our children': black educational underachievement revisited', British Journal of Sociology of Education, 26(5), pp. 585-598. Available at: https://www-tandfonline-com.uwtsd.idm.oclc.org/doi/full/10.1080/01425690500293520#d1e217 (Accessed: 19 March 2026).</w:t>
            </w:r>
          </w:p>
        </w:tc>
        <w:tc>
          <w:tcPr>
            <w:tcW w:w="4343" w:type="dxa"/>
            <w:hideMark/>
          </w:tcPr>
          <w:p w14:paraId="39D79779" w14:textId="77777777" w:rsidR="00EC67F0" w:rsidRPr="00EC67F0" w:rsidRDefault="00EC67F0" w:rsidP="00A6007E">
            <w:pPr>
              <w:jc w:val="center"/>
            </w:pPr>
            <w:r w:rsidRPr="00EC67F0">
              <w:t>This UK-based analysis examines systemic underachievement, teacher expectations, and exclusion, providing insight into the educational factors influencing Black males' labour-market outcomes and risk trajectories.</w:t>
            </w:r>
          </w:p>
        </w:tc>
      </w:tr>
      <w:tr w:rsidR="00EC67F0" w:rsidRPr="00EC67F0" w14:paraId="74E214FD" w14:textId="77777777" w:rsidTr="00340A70">
        <w:trPr>
          <w:trHeight w:val="2016"/>
        </w:trPr>
        <w:tc>
          <w:tcPr>
            <w:tcW w:w="704" w:type="dxa"/>
            <w:shd w:val="clear" w:color="auto" w:fill="CAEDFB" w:themeFill="accent4" w:themeFillTint="33"/>
            <w:noWrap/>
            <w:hideMark/>
          </w:tcPr>
          <w:p w14:paraId="4D9CF434" w14:textId="77777777" w:rsidR="00EC67F0" w:rsidRPr="00340A70" w:rsidRDefault="00EC67F0" w:rsidP="00EC67F0">
            <w:r w:rsidRPr="00340A70">
              <w:lastRenderedPageBreak/>
              <w:t>22</w:t>
            </w:r>
          </w:p>
        </w:tc>
        <w:tc>
          <w:tcPr>
            <w:tcW w:w="3969" w:type="dxa"/>
            <w:hideMark/>
          </w:tcPr>
          <w:p w14:paraId="19513D91" w14:textId="77777777" w:rsidR="00EC67F0" w:rsidRPr="00EC67F0" w:rsidRDefault="00EC67F0" w:rsidP="00A6007E">
            <w:pPr>
              <w:jc w:val="center"/>
            </w:pPr>
            <w:r w:rsidRPr="00EC67F0">
              <w:t>Dandridge, N. (2010). 'Racial Etiquette and Social Capital: Challenges Facing Black Entrepreneurs', Western New England Law Review, 32(32), pp. 471–481. Available at: https://digitalcommons.law.wne.edu/cgi/viewcontent.cgi?article=1644&amp;context=lawreview (Accessed: 26 March 2026).</w:t>
            </w:r>
          </w:p>
        </w:tc>
        <w:tc>
          <w:tcPr>
            <w:tcW w:w="4343" w:type="dxa"/>
            <w:hideMark/>
          </w:tcPr>
          <w:p w14:paraId="5CB3B2E0" w14:textId="77777777" w:rsidR="00EC67F0" w:rsidRPr="00EC67F0" w:rsidRDefault="00EC67F0" w:rsidP="00A6007E">
            <w:pPr>
              <w:jc w:val="center"/>
            </w:pPr>
            <w:r w:rsidRPr="00EC67F0">
              <w:t>This work highlights social capital and micro-discrimination barriers encountered by Black entrepreneurs. However, its US focus limits empirical applicability to the UK context.</w:t>
            </w:r>
          </w:p>
        </w:tc>
      </w:tr>
      <w:tr w:rsidR="00EC67F0" w:rsidRPr="00EC67F0" w14:paraId="4834A562" w14:textId="77777777" w:rsidTr="00340A70">
        <w:trPr>
          <w:trHeight w:val="2880"/>
        </w:trPr>
        <w:tc>
          <w:tcPr>
            <w:tcW w:w="704" w:type="dxa"/>
            <w:shd w:val="clear" w:color="auto" w:fill="CAEDFB" w:themeFill="accent4" w:themeFillTint="33"/>
            <w:noWrap/>
            <w:hideMark/>
          </w:tcPr>
          <w:p w14:paraId="204C110B" w14:textId="77777777" w:rsidR="00EC67F0" w:rsidRPr="00340A70" w:rsidRDefault="00EC67F0" w:rsidP="00EC67F0">
            <w:r w:rsidRPr="00340A70">
              <w:t>23</w:t>
            </w:r>
          </w:p>
        </w:tc>
        <w:tc>
          <w:tcPr>
            <w:tcW w:w="3969" w:type="dxa"/>
            <w:hideMark/>
          </w:tcPr>
          <w:p w14:paraId="21369276" w14:textId="77777777" w:rsidR="00EC67F0" w:rsidRPr="00EC67F0" w:rsidRDefault="00EC67F0" w:rsidP="00A6007E">
            <w:pPr>
              <w:jc w:val="center"/>
            </w:pPr>
            <w:r w:rsidRPr="00EC67F0">
              <w:t>Das-Munshi, J., Bhugra, D., and Crawford, M. (2018). 'Ethnic minority inequalities in access to treatments for schizophrenia and schizoaffective disorders: findings from a nationally representative cross-sectional study', BMC Medicine,16(55). Available at: https://link.springer.com/article/10.1186/s12916-018-1035-5#citeas (Accessed: 30 March 2026).</w:t>
            </w:r>
          </w:p>
        </w:tc>
        <w:tc>
          <w:tcPr>
            <w:tcW w:w="4343" w:type="dxa"/>
            <w:hideMark/>
          </w:tcPr>
          <w:p w14:paraId="459D8CF0" w14:textId="77777777" w:rsidR="00EC67F0" w:rsidRPr="00EC67F0" w:rsidRDefault="00EC67F0" w:rsidP="00A6007E">
            <w:pPr>
              <w:jc w:val="center"/>
            </w:pPr>
            <w:r w:rsidRPr="00EC67F0">
              <w:t>This work documents ethnic disparities in schizophrenia treatment and highlights mental health service gaps that contribute to educational disengagement and increased socioeconomic vulnerability.</w:t>
            </w:r>
          </w:p>
        </w:tc>
      </w:tr>
      <w:tr w:rsidR="00EC67F0" w:rsidRPr="00EC67F0" w14:paraId="6D3D92C6" w14:textId="77777777" w:rsidTr="00340A70">
        <w:trPr>
          <w:trHeight w:val="4320"/>
        </w:trPr>
        <w:tc>
          <w:tcPr>
            <w:tcW w:w="704" w:type="dxa"/>
            <w:shd w:val="clear" w:color="auto" w:fill="CAEDFB" w:themeFill="accent4" w:themeFillTint="33"/>
            <w:noWrap/>
            <w:hideMark/>
          </w:tcPr>
          <w:p w14:paraId="26B98468" w14:textId="77777777" w:rsidR="00EC67F0" w:rsidRPr="00340A70" w:rsidRDefault="00EC67F0" w:rsidP="00EC67F0">
            <w:r w:rsidRPr="00340A70">
              <w:t>24</w:t>
            </w:r>
          </w:p>
        </w:tc>
        <w:tc>
          <w:tcPr>
            <w:tcW w:w="3969" w:type="dxa"/>
            <w:hideMark/>
          </w:tcPr>
          <w:p w14:paraId="36196186" w14:textId="77777777" w:rsidR="00EC67F0" w:rsidRPr="00EC67F0" w:rsidRDefault="00EC67F0" w:rsidP="00A6007E">
            <w:pPr>
              <w:jc w:val="center"/>
            </w:pPr>
            <w:r w:rsidRPr="00EC67F0">
              <w:t>Davis, J., and Marsh, N. (2020) 'Boys to men: the cost of ‘adultification’ in safeguarding responses to Black boys', Critical and Radical Social Work, An international journal, 8(2), pp. 255-259. Available at: https://www.researchgate.net/profile/Nicholas-Marsh-3/publication/354887988_Boys_to_men_the_cost_of_'adultification'_in_safeguarding_responses_to_Black_boys/links/626babe8ef19bf606decfa5d/Boys-to-men-the-cost-of-adultification-in-safeguarding-responses-to-Black-boys.pdf (Accessed: 30 March 2026).</w:t>
            </w:r>
          </w:p>
        </w:tc>
        <w:tc>
          <w:tcPr>
            <w:tcW w:w="4343" w:type="dxa"/>
            <w:hideMark/>
          </w:tcPr>
          <w:p w14:paraId="06BF200F" w14:textId="77777777" w:rsidR="00EC67F0" w:rsidRPr="00EC67F0" w:rsidRDefault="00EC67F0" w:rsidP="00A6007E">
            <w:pPr>
              <w:jc w:val="center"/>
            </w:pPr>
            <w:r w:rsidRPr="00EC67F0">
              <w:t>This source is valuable for its analysis of adultification, which leads to stricter safeguarding measures, intensified policing, and increased exclusions, thereby elevating the risk of criminalisation for Black boys. However, its limitation lies in the brevity of its commentary.</w:t>
            </w:r>
          </w:p>
        </w:tc>
      </w:tr>
      <w:tr w:rsidR="00EC67F0" w:rsidRPr="00EC67F0" w14:paraId="1497CE66" w14:textId="77777777" w:rsidTr="00340A70">
        <w:trPr>
          <w:trHeight w:val="2592"/>
        </w:trPr>
        <w:tc>
          <w:tcPr>
            <w:tcW w:w="704" w:type="dxa"/>
            <w:shd w:val="clear" w:color="auto" w:fill="CAEDFB" w:themeFill="accent4" w:themeFillTint="33"/>
            <w:noWrap/>
            <w:hideMark/>
          </w:tcPr>
          <w:p w14:paraId="6E34A007" w14:textId="77777777" w:rsidR="00EC67F0" w:rsidRPr="00340A70" w:rsidRDefault="00EC67F0" w:rsidP="00EC67F0">
            <w:r w:rsidRPr="00340A70">
              <w:t>25</w:t>
            </w:r>
          </w:p>
        </w:tc>
        <w:tc>
          <w:tcPr>
            <w:tcW w:w="3969" w:type="dxa"/>
            <w:hideMark/>
          </w:tcPr>
          <w:p w14:paraId="73EC0E2C" w14:textId="77777777" w:rsidR="00EC67F0" w:rsidRPr="00EC67F0" w:rsidRDefault="00EC67F0" w:rsidP="00A6007E">
            <w:pPr>
              <w:jc w:val="center"/>
            </w:pPr>
            <w:r w:rsidRPr="00EC67F0">
              <w:t>Demie, F., and Mclean, C. (2017). Black Caribbean Underachievement in Schools in England. Research and Statistics Unit, Lambeth Education and Learning. Available at: https://pih.org.uk/wp-content/uploads/2021/05/black_caribbean_underachievement_in_schools_in_england_2017-1.pdf (Accessed: 18 March 2026).</w:t>
            </w:r>
          </w:p>
        </w:tc>
        <w:tc>
          <w:tcPr>
            <w:tcW w:w="4343" w:type="dxa"/>
            <w:hideMark/>
          </w:tcPr>
          <w:p w14:paraId="41E8A1E6" w14:textId="77777777" w:rsidR="00EC67F0" w:rsidRPr="00EC67F0" w:rsidRDefault="00EC67F0" w:rsidP="00A6007E">
            <w:pPr>
              <w:jc w:val="center"/>
            </w:pPr>
            <w:r w:rsidRPr="00EC67F0">
              <w:t>UK data on Black Caribbean underachievement demonstrate connections among teacher expectations, exclusions, and systemic factors, which contribute to educational disadvantage and negative labour-market outcomes.</w:t>
            </w:r>
          </w:p>
        </w:tc>
      </w:tr>
      <w:tr w:rsidR="00EC67F0" w:rsidRPr="00EC67F0" w14:paraId="7B6E7227" w14:textId="77777777" w:rsidTr="00340A70">
        <w:trPr>
          <w:trHeight w:val="2592"/>
        </w:trPr>
        <w:tc>
          <w:tcPr>
            <w:tcW w:w="704" w:type="dxa"/>
            <w:shd w:val="clear" w:color="auto" w:fill="CAEDFB" w:themeFill="accent4" w:themeFillTint="33"/>
            <w:noWrap/>
            <w:hideMark/>
          </w:tcPr>
          <w:p w14:paraId="1ED5CA5E" w14:textId="77777777" w:rsidR="00EC67F0" w:rsidRPr="00340A70" w:rsidRDefault="00EC67F0" w:rsidP="00EC67F0">
            <w:r w:rsidRPr="00340A70">
              <w:lastRenderedPageBreak/>
              <w:t>26</w:t>
            </w:r>
          </w:p>
        </w:tc>
        <w:tc>
          <w:tcPr>
            <w:tcW w:w="3969" w:type="dxa"/>
            <w:hideMark/>
          </w:tcPr>
          <w:p w14:paraId="0AC12B2E" w14:textId="77777777" w:rsidR="00EC67F0" w:rsidRPr="00EC67F0" w:rsidRDefault="00EC67F0" w:rsidP="00A6007E">
            <w:pPr>
              <w:jc w:val="center"/>
            </w:pPr>
            <w:r w:rsidRPr="00EC67F0">
              <w:t>Department for Education (2017) Permanent and Fixed Period Exclusions in England: 2015 to 2016. Education Standards Evidence and Dissemination Division Available at: https://assets.publishing.service.gov.uk/media/5a81f13840f0b62302699feb/SFR35_2017_text.pdf (Accessed: 21 March 2026).</w:t>
            </w:r>
          </w:p>
        </w:tc>
        <w:tc>
          <w:tcPr>
            <w:tcW w:w="4343" w:type="dxa"/>
            <w:hideMark/>
          </w:tcPr>
          <w:p w14:paraId="2FA22B93" w14:textId="77777777" w:rsidR="00EC67F0" w:rsidRPr="00EC67F0" w:rsidRDefault="00EC67F0" w:rsidP="00A6007E">
            <w:pPr>
              <w:jc w:val="center"/>
            </w:pPr>
            <w:r w:rsidRPr="00EC67F0">
              <w:t>This source provides national exclusion statistics that demonstrate disproportionality among disadvantaged and Black and Minority Ethnic (BME) pupils, offering evidence that school disruption is associated with subsequent marginalisation and increased risk.</w:t>
            </w:r>
          </w:p>
        </w:tc>
      </w:tr>
      <w:tr w:rsidR="00EC67F0" w:rsidRPr="00EC67F0" w14:paraId="50529DB9" w14:textId="77777777" w:rsidTr="00340A70">
        <w:trPr>
          <w:trHeight w:val="2304"/>
        </w:trPr>
        <w:tc>
          <w:tcPr>
            <w:tcW w:w="704" w:type="dxa"/>
            <w:shd w:val="clear" w:color="auto" w:fill="CAEDFB" w:themeFill="accent4" w:themeFillTint="33"/>
            <w:noWrap/>
            <w:hideMark/>
          </w:tcPr>
          <w:p w14:paraId="571E3482" w14:textId="77777777" w:rsidR="00EC67F0" w:rsidRPr="00340A70" w:rsidRDefault="00EC67F0" w:rsidP="00EC67F0">
            <w:r w:rsidRPr="00340A70">
              <w:t>27</w:t>
            </w:r>
          </w:p>
        </w:tc>
        <w:tc>
          <w:tcPr>
            <w:tcW w:w="3969" w:type="dxa"/>
            <w:hideMark/>
          </w:tcPr>
          <w:p w14:paraId="3CD14042" w14:textId="77777777" w:rsidR="00EC67F0" w:rsidRPr="00EC67F0" w:rsidRDefault="00EC67F0" w:rsidP="00A6007E">
            <w:pPr>
              <w:jc w:val="center"/>
            </w:pPr>
            <w:r w:rsidRPr="00EC67F0">
              <w:t>Dick, C. (2020). 'Cressida Dick: We owe it to grieving mothers to end the scourge of violent crime', The Standard, 3 January. Available at: https://www.standard.co.uk/comment/comment/cressida-dick-violent-crime-a4325816.html (Accessed: 22 March 2026).</w:t>
            </w:r>
          </w:p>
        </w:tc>
        <w:tc>
          <w:tcPr>
            <w:tcW w:w="4343" w:type="dxa"/>
            <w:hideMark/>
          </w:tcPr>
          <w:p w14:paraId="429B066F" w14:textId="77777777" w:rsidR="00EC67F0" w:rsidRPr="00EC67F0" w:rsidRDefault="00EC67F0" w:rsidP="00A6007E">
            <w:pPr>
              <w:jc w:val="center"/>
            </w:pPr>
            <w:r w:rsidRPr="00EC67F0">
              <w:br/>
              <w:t>Policing rhetoric legitimises securitised responses, which influence school policing and punitive policies that may contribute to the increased criminalisation and exclusion of Black youth.</w:t>
            </w:r>
          </w:p>
        </w:tc>
      </w:tr>
      <w:tr w:rsidR="00EC67F0" w:rsidRPr="00EC67F0" w14:paraId="743C79BB" w14:textId="77777777" w:rsidTr="00340A70">
        <w:trPr>
          <w:trHeight w:val="2880"/>
        </w:trPr>
        <w:tc>
          <w:tcPr>
            <w:tcW w:w="704" w:type="dxa"/>
            <w:shd w:val="clear" w:color="auto" w:fill="CAEDFB" w:themeFill="accent4" w:themeFillTint="33"/>
            <w:noWrap/>
            <w:hideMark/>
          </w:tcPr>
          <w:p w14:paraId="0C79B467" w14:textId="77777777" w:rsidR="00EC67F0" w:rsidRPr="00340A70" w:rsidRDefault="00EC67F0" w:rsidP="00EC67F0">
            <w:r w:rsidRPr="00340A70">
              <w:t>28</w:t>
            </w:r>
          </w:p>
        </w:tc>
        <w:tc>
          <w:tcPr>
            <w:tcW w:w="3969" w:type="dxa"/>
            <w:hideMark/>
          </w:tcPr>
          <w:p w14:paraId="340A8000" w14:textId="77777777" w:rsidR="00EC67F0" w:rsidRPr="00EC67F0" w:rsidRDefault="00EC67F0" w:rsidP="00A6007E">
            <w:pPr>
              <w:jc w:val="center"/>
            </w:pPr>
            <w:r w:rsidRPr="00EC67F0">
              <w:t>Dustmann, C., Frattini, T., Theodoropoulos, N. (2011). 'Ethnicity and Second-Generation Immigrants', in P. Gregg, J. Wadsworth Surname (eds.), The Labour Market in Winter: The State of Working Britain. Oxford, pp. 1–20. Available at: https://www.homepages.ucl.ac.uk/~uctpb21/Cpapers/Ethn_2gen_revision_C1.pdf (Accessed: 25 March 2026).</w:t>
            </w:r>
          </w:p>
        </w:tc>
        <w:tc>
          <w:tcPr>
            <w:tcW w:w="4343" w:type="dxa"/>
            <w:hideMark/>
          </w:tcPr>
          <w:p w14:paraId="11DD5CC4" w14:textId="77777777" w:rsidR="00EC67F0" w:rsidRPr="00EC67F0" w:rsidRDefault="00EC67F0" w:rsidP="00A6007E">
            <w:pPr>
              <w:jc w:val="center"/>
            </w:pPr>
            <w:r w:rsidRPr="00EC67F0">
              <w:br w:type="page"/>
              <w:t>This analysis examines second-generation ethnic labour-market outcomes, highlighting how assimilation, discrimination, and ethnic penalties influence the post-education employment trajectories of Black males.</w:t>
            </w:r>
          </w:p>
        </w:tc>
      </w:tr>
      <w:tr w:rsidR="00EC67F0" w:rsidRPr="00EC67F0" w14:paraId="23F83667" w14:textId="77777777" w:rsidTr="00340A70">
        <w:trPr>
          <w:trHeight w:val="3168"/>
        </w:trPr>
        <w:tc>
          <w:tcPr>
            <w:tcW w:w="704" w:type="dxa"/>
            <w:shd w:val="clear" w:color="auto" w:fill="CAEDFB" w:themeFill="accent4" w:themeFillTint="33"/>
            <w:noWrap/>
            <w:hideMark/>
          </w:tcPr>
          <w:p w14:paraId="4F16F36B" w14:textId="77777777" w:rsidR="00EC67F0" w:rsidRPr="00340A70" w:rsidRDefault="00EC67F0" w:rsidP="00EC67F0">
            <w:r w:rsidRPr="00340A70">
              <w:t>29</w:t>
            </w:r>
          </w:p>
        </w:tc>
        <w:tc>
          <w:tcPr>
            <w:tcW w:w="3969" w:type="dxa"/>
            <w:hideMark/>
          </w:tcPr>
          <w:p w14:paraId="3E852CB5" w14:textId="77777777" w:rsidR="00EC67F0" w:rsidRPr="00EC67F0" w:rsidRDefault="00EC67F0" w:rsidP="00A6007E">
            <w:pPr>
              <w:jc w:val="center"/>
            </w:pPr>
            <w:proofErr w:type="spellStart"/>
            <w:r w:rsidRPr="00EC67F0">
              <w:t>Ekwulugo</w:t>
            </w:r>
            <w:proofErr w:type="spellEnd"/>
            <w:r w:rsidRPr="00EC67F0">
              <w:t>, F. (2006). 'Entrepreneurship and SMEs in London (UK): Evaluating the role of black Africans in this emergent sector', The Journal of Management Development, 25(1), pp. 65–79. Available at: https://www.proquest.com/docview/216356912?accountid=130472&amp;parentSessionId=JZRJ%2BbdzzWw4aneG7A66SQIuIMWGdw57Vs%2B7%2BkzHGYo%3D&amp;pq-origsite=primo&amp;sourcetype=Scholarly%20Journals (Accessed: 26 March 2026).</w:t>
            </w:r>
          </w:p>
        </w:tc>
        <w:tc>
          <w:tcPr>
            <w:tcW w:w="4343" w:type="dxa"/>
            <w:hideMark/>
          </w:tcPr>
          <w:p w14:paraId="1610F79E" w14:textId="77777777" w:rsidR="00EC67F0" w:rsidRPr="00EC67F0" w:rsidRDefault="00EC67F0" w:rsidP="00A6007E">
            <w:pPr>
              <w:jc w:val="center"/>
            </w:pPr>
            <w:r w:rsidRPr="00EC67F0">
              <w:t>This study investigates Black African entrepreneurship in London, emphasising the structural barriers, sectoral niches, and sustainability challenges that shape Black male business participation.</w:t>
            </w:r>
          </w:p>
        </w:tc>
      </w:tr>
      <w:tr w:rsidR="00EC67F0" w:rsidRPr="00EC67F0" w14:paraId="67840132" w14:textId="77777777" w:rsidTr="00340A70">
        <w:trPr>
          <w:trHeight w:val="2592"/>
        </w:trPr>
        <w:tc>
          <w:tcPr>
            <w:tcW w:w="704" w:type="dxa"/>
            <w:shd w:val="clear" w:color="auto" w:fill="CAEDFB" w:themeFill="accent4" w:themeFillTint="33"/>
            <w:noWrap/>
            <w:hideMark/>
          </w:tcPr>
          <w:p w14:paraId="044BC445" w14:textId="77777777" w:rsidR="00EC67F0" w:rsidRPr="00340A70" w:rsidRDefault="00EC67F0" w:rsidP="00EC67F0">
            <w:r w:rsidRPr="00340A70">
              <w:lastRenderedPageBreak/>
              <w:t>30</w:t>
            </w:r>
          </w:p>
        </w:tc>
        <w:tc>
          <w:tcPr>
            <w:tcW w:w="3969" w:type="dxa"/>
            <w:hideMark/>
          </w:tcPr>
          <w:p w14:paraId="69B53D0B" w14:textId="77777777" w:rsidR="00EC67F0" w:rsidRPr="00EC67F0" w:rsidRDefault="00EC67F0" w:rsidP="00A6007E">
            <w:pPr>
              <w:jc w:val="center"/>
            </w:pPr>
            <w:r w:rsidRPr="00EC67F0">
              <w:t>Equality and Human Rights Commission (EHRC) (2019) Tackling Racial Harassment: Universities challenged. ISBN 978-1-84206-807-6.  Equality and Human Rights Commission. Available at: https://www.equalityhumanrights.com/sites/default/files/tackling-racial-harassment-universities-challenged.pdf (Accessed: 21 March 2026).</w:t>
            </w:r>
          </w:p>
        </w:tc>
        <w:tc>
          <w:tcPr>
            <w:tcW w:w="4343" w:type="dxa"/>
            <w:hideMark/>
          </w:tcPr>
          <w:p w14:paraId="68F3AEC1" w14:textId="77777777" w:rsidR="00EC67F0" w:rsidRPr="00EC67F0" w:rsidRDefault="00EC67F0" w:rsidP="00A6007E">
            <w:pPr>
              <w:jc w:val="center"/>
            </w:pPr>
            <w:r w:rsidRPr="00EC67F0">
              <w:t>Recent evidence from the UK regarding racial harassment in universities indicates that campus racism substantially diminishes Black students' sense of belonging, retention rates, academic progression, and preparedness for the labour market.</w:t>
            </w:r>
          </w:p>
        </w:tc>
      </w:tr>
      <w:tr w:rsidR="00EC67F0" w:rsidRPr="00EC67F0" w14:paraId="65EF10E1" w14:textId="77777777" w:rsidTr="00340A70">
        <w:trPr>
          <w:trHeight w:val="2880"/>
        </w:trPr>
        <w:tc>
          <w:tcPr>
            <w:tcW w:w="704" w:type="dxa"/>
            <w:shd w:val="clear" w:color="auto" w:fill="CAEDFB" w:themeFill="accent4" w:themeFillTint="33"/>
            <w:noWrap/>
            <w:hideMark/>
          </w:tcPr>
          <w:p w14:paraId="4E2EC842" w14:textId="77777777" w:rsidR="00EC67F0" w:rsidRPr="00340A70" w:rsidRDefault="00EC67F0" w:rsidP="00EC67F0">
            <w:r w:rsidRPr="00340A70">
              <w:t>31</w:t>
            </w:r>
          </w:p>
        </w:tc>
        <w:tc>
          <w:tcPr>
            <w:tcW w:w="3969" w:type="dxa"/>
            <w:hideMark/>
          </w:tcPr>
          <w:p w14:paraId="73C577CC" w14:textId="77777777" w:rsidR="00EC67F0" w:rsidRPr="00EC67F0" w:rsidRDefault="00EC67F0" w:rsidP="00A6007E">
            <w:pPr>
              <w:jc w:val="center"/>
            </w:pPr>
            <w:r w:rsidRPr="00EC67F0">
              <w:t>Fairlie, R., Robb, A. (2007). 'Why Are Black-Owned Businesses Less Successful than White-Owned Businesses? The Role of Families, Inheritances, and Business Human Capital', Journal of Labor Economics, 25(2), pp.289–323. Available at: https://rfairlie.sites.luskin.ucla.edu/wp-content/uploads/sites/32/2022/08/jole-2007-blackbusiness-1.pdf (Accessed: 28 March 2026).</w:t>
            </w:r>
          </w:p>
        </w:tc>
        <w:tc>
          <w:tcPr>
            <w:tcW w:w="4343" w:type="dxa"/>
            <w:hideMark/>
          </w:tcPr>
          <w:p w14:paraId="7991B58E" w14:textId="77777777" w:rsidR="00EC67F0" w:rsidRPr="00EC67F0" w:rsidRDefault="00EC67F0" w:rsidP="00A6007E">
            <w:pPr>
              <w:jc w:val="center"/>
            </w:pPr>
            <w:r w:rsidRPr="00EC67F0">
              <w:t>The study is valuable for identifying wealth, inheritance, and human-capital deficits as factors contributing to lower Black business success. However, its reliance on US data may limit generalisability to UK contexts.</w:t>
            </w:r>
          </w:p>
        </w:tc>
      </w:tr>
      <w:tr w:rsidR="00EC67F0" w:rsidRPr="00EC67F0" w14:paraId="426AEDAB" w14:textId="77777777" w:rsidTr="00340A70">
        <w:trPr>
          <w:trHeight w:val="2304"/>
        </w:trPr>
        <w:tc>
          <w:tcPr>
            <w:tcW w:w="704" w:type="dxa"/>
            <w:shd w:val="clear" w:color="auto" w:fill="CAEDFB" w:themeFill="accent4" w:themeFillTint="33"/>
            <w:noWrap/>
            <w:hideMark/>
          </w:tcPr>
          <w:p w14:paraId="1F67712A" w14:textId="77777777" w:rsidR="00EC67F0" w:rsidRPr="00340A70" w:rsidRDefault="00EC67F0" w:rsidP="00EC67F0">
            <w:r w:rsidRPr="00340A70">
              <w:t>32</w:t>
            </w:r>
          </w:p>
        </w:tc>
        <w:tc>
          <w:tcPr>
            <w:tcW w:w="3969" w:type="dxa"/>
            <w:hideMark/>
          </w:tcPr>
          <w:p w14:paraId="5E6D2189" w14:textId="77777777" w:rsidR="00EC67F0" w:rsidRPr="00EC67F0" w:rsidRDefault="00EC67F0" w:rsidP="00A6007E">
            <w:pPr>
              <w:jc w:val="center"/>
            </w:pPr>
            <w:r w:rsidRPr="00EC67F0">
              <w:t>Federation of Small Businesses (FSB) (2020). Unlocking Opportunity: The Value of Ethnic Minority Firms to UK Economic Activity and Enterprise. FSB Available at: https://www.enterpriseresearch.ac.uk/wp-content/uploads/2020/07/Unlocking-Opportunity_FSB-Report-.2020.pdf (Accessed: 26 March 2026).</w:t>
            </w:r>
          </w:p>
        </w:tc>
        <w:tc>
          <w:tcPr>
            <w:tcW w:w="4343" w:type="dxa"/>
            <w:hideMark/>
          </w:tcPr>
          <w:p w14:paraId="1BAC7756" w14:textId="77777777" w:rsidR="00EC67F0" w:rsidRPr="00EC67F0" w:rsidRDefault="00EC67F0" w:rsidP="00A6007E">
            <w:pPr>
              <w:jc w:val="center"/>
            </w:pPr>
            <w:r w:rsidRPr="00EC67F0">
              <w:t>UK evidence on the economic contributions of ethnic minority firms, as well as the barriers to finance, procurement, and support, informs policy development to increase Black male entrepreneurship.</w:t>
            </w:r>
          </w:p>
        </w:tc>
      </w:tr>
      <w:tr w:rsidR="00EC67F0" w:rsidRPr="00EC67F0" w14:paraId="4F445A8D" w14:textId="77777777" w:rsidTr="00340A70">
        <w:trPr>
          <w:trHeight w:val="2592"/>
        </w:trPr>
        <w:tc>
          <w:tcPr>
            <w:tcW w:w="704" w:type="dxa"/>
            <w:shd w:val="clear" w:color="auto" w:fill="CAEDFB" w:themeFill="accent4" w:themeFillTint="33"/>
            <w:noWrap/>
            <w:hideMark/>
          </w:tcPr>
          <w:p w14:paraId="1B2C8148" w14:textId="77777777" w:rsidR="00EC67F0" w:rsidRPr="00340A70" w:rsidRDefault="00EC67F0" w:rsidP="00EC67F0">
            <w:r w:rsidRPr="00340A70">
              <w:t>33</w:t>
            </w:r>
          </w:p>
        </w:tc>
        <w:tc>
          <w:tcPr>
            <w:tcW w:w="3969" w:type="dxa"/>
            <w:hideMark/>
          </w:tcPr>
          <w:p w14:paraId="15685790" w14:textId="77777777" w:rsidR="00EC67F0" w:rsidRPr="00EC67F0" w:rsidRDefault="00EC67F0" w:rsidP="00A6007E">
            <w:pPr>
              <w:jc w:val="center"/>
            </w:pPr>
            <w:r w:rsidRPr="00EC67F0">
              <w:t>Freeland, R., and Keister, L. (2016). 'How Does Race and Ethnicity Affect Persistence in Immature Ventures?', Journal of Small Business Management, 54(1), pp. 210–228. Available at: https://dukespace.lib.duke.edu/server/api/core/bitstreams/851bc185-5de1-4d80-89b0-4880f643a7b4/content (Accessed: 27 March 2026).</w:t>
            </w:r>
          </w:p>
        </w:tc>
        <w:tc>
          <w:tcPr>
            <w:tcW w:w="4343" w:type="dxa"/>
            <w:hideMark/>
          </w:tcPr>
          <w:p w14:paraId="5EF3EFD3" w14:textId="77777777" w:rsidR="00EC67F0" w:rsidRPr="00EC67F0" w:rsidRDefault="00EC67F0" w:rsidP="00A6007E">
            <w:pPr>
              <w:jc w:val="center"/>
            </w:pPr>
            <w:r w:rsidRPr="00EC67F0">
              <w:t>This source demonstrates racial disparities in venture persistence, attributing reduced firm survival and sustainability among Black entrepreneurs to resource constraints and discrimination.</w:t>
            </w:r>
          </w:p>
        </w:tc>
      </w:tr>
      <w:tr w:rsidR="00EC67F0" w:rsidRPr="00EC67F0" w14:paraId="047EBBBD" w14:textId="77777777" w:rsidTr="00340A70">
        <w:trPr>
          <w:trHeight w:val="2592"/>
        </w:trPr>
        <w:tc>
          <w:tcPr>
            <w:tcW w:w="704" w:type="dxa"/>
            <w:shd w:val="clear" w:color="auto" w:fill="CAEDFB" w:themeFill="accent4" w:themeFillTint="33"/>
            <w:noWrap/>
            <w:hideMark/>
          </w:tcPr>
          <w:p w14:paraId="0C52B874" w14:textId="77777777" w:rsidR="00EC67F0" w:rsidRPr="00340A70" w:rsidRDefault="00EC67F0" w:rsidP="00EC67F0">
            <w:r w:rsidRPr="00340A70">
              <w:lastRenderedPageBreak/>
              <w:t>34</w:t>
            </w:r>
          </w:p>
        </w:tc>
        <w:tc>
          <w:tcPr>
            <w:tcW w:w="3969" w:type="dxa"/>
            <w:hideMark/>
          </w:tcPr>
          <w:p w14:paraId="5C7AFCD3" w14:textId="77777777" w:rsidR="00EC67F0" w:rsidRPr="00EC67F0" w:rsidRDefault="00EC67F0" w:rsidP="00A6007E">
            <w:pPr>
              <w:jc w:val="center"/>
            </w:pPr>
            <w:r w:rsidRPr="00EC67F0">
              <w:t xml:space="preserve">Fuller, A., Unwin, L., </w:t>
            </w:r>
            <w:proofErr w:type="spellStart"/>
            <w:r w:rsidRPr="00EC67F0">
              <w:t>Cavaglia</w:t>
            </w:r>
            <w:proofErr w:type="spellEnd"/>
            <w:r w:rsidRPr="00EC67F0">
              <w:t>, C., McNally, S., and Ventura, G. (2017). Better Apprenticeships: Access, quality and labour market outcomes in the English apprenticeship system. The Sutton Trust. Available at: https://dera.ioe.ac.uk/id/eprint/30618/1/Better-Apprenticeships-1-1.pdf (Accessed: 26 March 2026).</w:t>
            </w:r>
          </w:p>
        </w:tc>
        <w:tc>
          <w:tcPr>
            <w:tcW w:w="4343" w:type="dxa"/>
            <w:hideMark/>
          </w:tcPr>
          <w:p w14:paraId="75421DD0" w14:textId="77777777" w:rsidR="00EC67F0" w:rsidRPr="00EC67F0" w:rsidRDefault="00EC67F0" w:rsidP="00A6007E">
            <w:pPr>
              <w:jc w:val="center"/>
            </w:pPr>
            <w:r w:rsidRPr="00EC67F0">
              <w:t>This work evaluates apprenticeship access and quality as they affect disadvantaged learners, emphasising barriers that restrict Black males' vocational pathways and labour-market mobility.</w:t>
            </w:r>
          </w:p>
        </w:tc>
      </w:tr>
      <w:tr w:rsidR="00EC67F0" w:rsidRPr="00EC67F0" w14:paraId="096EFC09" w14:textId="77777777" w:rsidTr="00340A70">
        <w:trPr>
          <w:trHeight w:val="2304"/>
        </w:trPr>
        <w:tc>
          <w:tcPr>
            <w:tcW w:w="704" w:type="dxa"/>
            <w:shd w:val="clear" w:color="auto" w:fill="CAEDFB" w:themeFill="accent4" w:themeFillTint="33"/>
            <w:noWrap/>
            <w:hideMark/>
          </w:tcPr>
          <w:p w14:paraId="0CF4E8DA" w14:textId="77777777" w:rsidR="00EC67F0" w:rsidRPr="00340A70" w:rsidRDefault="00EC67F0" w:rsidP="00EC67F0">
            <w:r w:rsidRPr="00340A70">
              <w:t>35</w:t>
            </w:r>
          </w:p>
        </w:tc>
        <w:tc>
          <w:tcPr>
            <w:tcW w:w="3969" w:type="dxa"/>
            <w:hideMark/>
          </w:tcPr>
          <w:p w14:paraId="2A95A699" w14:textId="77777777" w:rsidR="00EC67F0" w:rsidRPr="00EC67F0" w:rsidRDefault="00EC67F0" w:rsidP="00A6007E">
            <w:pPr>
              <w:jc w:val="center"/>
            </w:pPr>
            <w:r w:rsidRPr="00EC67F0">
              <w:t>Gayle, D. (2019). 'Home secretary Priti Patel criticised over wish for criminals to feel terror’, The Guardian, 3 August. Available at: https://www.theguardian.com/politics/2019/aug/03/priti-patel-home-secretary-wants-criminals-to-literally-feel-terror (Accessed: 22 March 2026).</w:t>
            </w:r>
          </w:p>
        </w:tc>
        <w:tc>
          <w:tcPr>
            <w:tcW w:w="4343" w:type="dxa"/>
            <w:hideMark/>
          </w:tcPr>
          <w:p w14:paraId="4A250649" w14:textId="77777777" w:rsidR="00EC67F0" w:rsidRPr="00EC67F0" w:rsidRDefault="00EC67F0" w:rsidP="00A6007E">
            <w:pPr>
              <w:jc w:val="center"/>
            </w:pPr>
            <w:r w:rsidRPr="00EC67F0">
              <w:br/>
              <w:t>Punitive political rhetoric legitimises stricter policing and securitised policies, which may contribute to increased school criminalisation and the exclusion of Black youth.</w:t>
            </w:r>
          </w:p>
        </w:tc>
      </w:tr>
      <w:tr w:rsidR="00EC67F0" w:rsidRPr="00EC67F0" w14:paraId="182365E5" w14:textId="77777777" w:rsidTr="00340A70">
        <w:trPr>
          <w:trHeight w:val="2880"/>
        </w:trPr>
        <w:tc>
          <w:tcPr>
            <w:tcW w:w="704" w:type="dxa"/>
            <w:shd w:val="clear" w:color="auto" w:fill="CAEDFB" w:themeFill="accent4" w:themeFillTint="33"/>
            <w:noWrap/>
            <w:hideMark/>
          </w:tcPr>
          <w:p w14:paraId="01C78CC3" w14:textId="77777777" w:rsidR="00EC67F0" w:rsidRPr="00340A70" w:rsidRDefault="00EC67F0" w:rsidP="00EC67F0">
            <w:r w:rsidRPr="00340A70">
              <w:t>36</w:t>
            </w:r>
          </w:p>
        </w:tc>
        <w:tc>
          <w:tcPr>
            <w:tcW w:w="3969" w:type="dxa"/>
            <w:hideMark/>
          </w:tcPr>
          <w:p w14:paraId="5F6FBDC0" w14:textId="77777777" w:rsidR="00EC67F0" w:rsidRPr="00EC67F0" w:rsidRDefault="00EC67F0" w:rsidP="00A6007E">
            <w:pPr>
              <w:jc w:val="center"/>
            </w:pPr>
            <w:proofErr w:type="spellStart"/>
            <w:r w:rsidRPr="00EC67F0">
              <w:t>Gazard</w:t>
            </w:r>
            <w:proofErr w:type="spellEnd"/>
            <w:r w:rsidRPr="00EC67F0">
              <w:t xml:space="preserve">, B., Frisia, S., Nellums, L., </w:t>
            </w:r>
            <w:proofErr w:type="spellStart"/>
            <w:r w:rsidRPr="00EC67F0">
              <w:t>Hotopf</w:t>
            </w:r>
            <w:proofErr w:type="spellEnd"/>
            <w:r w:rsidRPr="00EC67F0">
              <w:t>, M., and Hatch, S. (2015). 'Challenges in researching migration status, health and health service use: an intersectional analysis of a South London community', Ethnicity and Health, 20(6), pp. 564-593. Available at: https://www.tandfonline.com/doi/full/10.1080/13557858.2014.961410#d1e239 (Accessed: 30 March 2026).</w:t>
            </w:r>
          </w:p>
        </w:tc>
        <w:tc>
          <w:tcPr>
            <w:tcW w:w="4343" w:type="dxa"/>
            <w:hideMark/>
          </w:tcPr>
          <w:p w14:paraId="5CCF4F55" w14:textId="29E40007" w:rsidR="00EC67F0" w:rsidRPr="00EC67F0" w:rsidRDefault="00EC67F0" w:rsidP="00A6007E">
            <w:pPr>
              <w:jc w:val="center"/>
            </w:pPr>
            <w:r w:rsidRPr="00EC67F0">
              <w:t>An intersectional analysis of migration and health service use provides insights into methodological and access barriers that shape education-to-work vulnerabilities among Black migrants.</w:t>
            </w:r>
          </w:p>
        </w:tc>
      </w:tr>
      <w:tr w:rsidR="00EC67F0" w:rsidRPr="00EC67F0" w14:paraId="1708D8A9" w14:textId="77777777" w:rsidTr="00340A70">
        <w:trPr>
          <w:trHeight w:val="2592"/>
        </w:trPr>
        <w:tc>
          <w:tcPr>
            <w:tcW w:w="704" w:type="dxa"/>
            <w:shd w:val="clear" w:color="auto" w:fill="CAEDFB" w:themeFill="accent4" w:themeFillTint="33"/>
            <w:noWrap/>
            <w:hideMark/>
          </w:tcPr>
          <w:p w14:paraId="2108B8E4" w14:textId="77777777" w:rsidR="00EC67F0" w:rsidRPr="00340A70" w:rsidRDefault="00EC67F0" w:rsidP="00EC67F0">
            <w:r w:rsidRPr="00340A70">
              <w:t>37</w:t>
            </w:r>
          </w:p>
        </w:tc>
        <w:tc>
          <w:tcPr>
            <w:tcW w:w="3969" w:type="dxa"/>
            <w:hideMark/>
          </w:tcPr>
          <w:p w14:paraId="66A9CD3B" w14:textId="77777777" w:rsidR="00EC67F0" w:rsidRPr="00EC67F0" w:rsidRDefault="00EC67F0" w:rsidP="00A6007E">
            <w:pPr>
              <w:jc w:val="center"/>
            </w:pPr>
            <w:r w:rsidRPr="00EC67F0">
              <w:t>Gereffi, G., Lee, J. (2012). 'Why the World Suddenly Cares About Global Supply Chains', Journal of Supply Chain Management, 48(3), pp. 24–32. Available at: https://dukespace.lib.duke.edu/server/api/core/bitstreams/03e2e477-78d2-4652-b01a-551cd8f3a9ea/content (Accessed: 26 March 2026).</w:t>
            </w:r>
          </w:p>
        </w:tc>
        <w:tc>
          <w:tcPr>
            <w:tcW w:w="4343" w:type="dxa"/>
            <w:hideMark/>
          </w:tcPr>
          <w:p w14:paraId="1B333870" w14:textId="77777777" w:rsidR="00EC67F0" w:rsidRPr="00EC67F0" w:rsidRDefault="00EC67F0" w:rsidP="00A6007E">
            <w:pPr>
              <w:jc w:val="center"/>
            </w:pPr>
            <w:r w:rsidRPr="00EC67F0">
              <w:t>This analysis connects global supply chains to market access and opportunities, demonstrating how integrating Black entrepreneurs influences business participation and long-term sustainability.</w:t>
            </w:r>
          </w:p>
        </w:tc>
      </w:tr>
      <w:tr w:rsidR="00EC67F0" w:rsidRPr="00EC67F0" w14:paraId="13D8E521" w14:textId="77777777" w:rsidTr="00340A70">
        <w:trPr>
          <w:trHeight w:val="8192"/>
        </w:trPr>
        <w:tc>
          <w:tcPr>
            <w:tcW w:w="704" w:type="dxa"/>
            <w:shd w:val="clear" w:color="auto" w:fill="CAEDFB" w:themeFill="accent4" w:themeFillTint="33"/>
            <w:noWrap/>
            <w:hideMark/>
          </w:tcPr>
          <w:p w14:paraId="496C992B" w14:textId="77777777" w:rsidR="00EC67F0" w:rsidRPr="00340A70" w:rsidRDefault="00EC67F0" w:rsidP="00EC67F0">
            <w:r w:rsidRPr="00340A70">
              <w:lastRenderedPageBreak/>
              <w:t>38</w:t>
            </w:r>
          </w:p>
        </w:tc>
        <w:tc>
          <w:tcPr>
            <w:tcW w:w="3969" w:type="dxa"/>
            <w:hideMark/>
          </w:tcPr>
          <w:p w14:paraId="663CF54A" w14:textId="77777777" w:rsidR="00EC67F0" w:rsidRPr="00EC67F0" w:rsidRDefault="00EC67F0" w:rsidP="00A6007E">
            <w:pPr>
              <w:jc w:val="center"/>
            </w:pPr>
            <w:r w:rsidRPr="00EC67F0">
              <w:t>Gillborn, D., Rollock, N., Vincent, C., and Ball, S. (2012) '‘You got a pass, so what more do you want?’: race, class and gender intersections in the educational experiences of the Black middle class', Race Ethnicity and Education, 15(1), pp. 121-139. Available at: https://d1wqtxts1xzle7.cloudfront.net/90231176/13613324.2012.63886920220825-1-xd6604-libre.pdf?1661422314=&amp;response-content-disposition=inline%3B+filename%3DYou_got_a_pass_so_what_more_do_you_want.pdf&amp;Expires=1776428189&amp;Signature=UM-VTmXn5X4B-yS~s26fiyNCgiFXj~XHichyvteVsjU2W4cSRNaUceWLcJYZq6hxxgOKmUju1Wl4oZ6d9AfBR2BvU7z8I4erGB9Yr4e0vb5xdzI914XwDj5rRGbqDgqiBiEEH3P~4wSWcogewgjX1p8Xtf93poXGUyj-6c9Ad1cuPZHpPsVZ1gs-p4u~rqTiVS9Mt4pu3QfQppqmbdASiWyyC2uzWM5Jni6-~Cqc5VvClZYPe53MDc5vqgDs-k-Ww04TnEGQauhWAl0VeufpM0hXJfMXMOlfJG54qWTnKHVMuvy4WijgJDt99x4~KzHt00ACRvxhITgwkPFBlVUrdA__&amp;Key-Pair-Id=APKAJLOHF5GGSLRBV4ZA (Accessed: 12 March 2026).</w:t>
            </w:r>
          </w:p>
        </w:tc>
        <w:tc>
          <w:tcPr>
            <w:tcW w:w="4343" w:type="dxa"/>
            <w:hideMark/>
          </w:tcPr>
          <w:p w14:paraId="4B9AFC96" w14:textId="77777777" w:rsidR="00EC67F0" w:rsidRPr="00EC67F0" w:rsidRDefault="00EC67F0" w:rsidP="00A6007E">
            <w:pPr>
              <w:jc w:val="center"/>
            </w:pPr>
            <w:r w:rsidRPr="00EC67F0">
              <w:t>This analysis reveals intersections of race, class, and gender, demonstrating that Black middle-class students' academic attainment often results in limited returns. These findings inform discussions of credential devaluation and barriers to educational transitions.</w:t>
            </w:r>
          </w:p>
        </w:tc>
      </w:tr>
      <w:tr w:rsidR="00EC67F0" w:rsidRPr="00EC67F0" w14:paraId="6BFB95B5" w14:textId="77777777" w:rsidTr="00340A70">
        <w:trPr>
          <w:trHeight w:val="2592"/>
        </w:trPr>
        <w:tc>
          <w:tcPr>
            <w:tcW w:w="704" w:type="dxa"/>
            <w:shd w:val="clear" w:color="auto" w:fill="CAEDFB" w:themeFill="accent4" w:themeFillTint="33"/>
            <w:noWrap/>
            <w:hideMark/>
          </w:tcPr>
          <w:p w14:paraId="02DAE647" w14:textId="77777777" w:rsidR="00EC67F0" w:rsidRPr="00340A70" w:rsidRDefault="00EC67F0" w:rsidP="00EC67F0">
            <w:r w:rsidRPr="00340A70">
              <w:t>39</w:t>
            </w:r>
          </w:p>
        </w:tc>
        <w:tc>
          <w:tcPr>
            <w:tcW w:w="3969" w:type="dxa"/>
            <w:hideMark/>
          </w:tcPr>
          <w:p w14:paraId="22C0E99E" w14:textId="77777777" w:rsidR="00EC67F0" w:rsidRPr="00EC67F0" w:rsidRDefault="00EC67F0" w:rsidP="00A6007E">
            <w:pPr>
              <w:jc w:val="center"/>
            </w:pPr>
            <w:r w:rsidRPr="00EC67F0">
              <w:t>Good, C., Aronson, J., Harder, J. (2008) 'Problems in the pipeline: Stereotype threat and women's achievement in high-level math courses', Journal of Applied Developmental Psychology, 29(1), pp. 17-28. Available at: https://www.sciencedirect.com/science/article/abs/pii/S0193397307001244 (Accessed: 19 March 2026).</w:t>
            </w:r>
          </w:p>
        </w:tc>
        <w:tc>
          <w:tcPr>
            <w:tcW w:w="4343" w:type="dxa"/>
            <w:hideMark/>
          </w:tcPr>
          <w:p w14:paraId="5DCF123D" w14:textId="77777777" w:rsidR="00EC67F0" w:rsidRPr="00EC67F0" w:rsidRDefault="00EC67F0" w:rsidP="00A6007E">
            <w:pPr>
              <w:jc w:val="center"/>
            </w:pPr>
            <w:r w:rsidRPr="00EC67F0">
              <w:t>This source demonstrates that stereotype threat reduces academic attainment, thereby illustrating a psychological mechanism that can undermine the educational outcomes and transitions of Black males.</w:t>
            </w:r>
          </w:p>
        </w:tc>
      </w:tr>
      <w:tr w:rsidR="00EC67F0" w:rsidRPr="00EC67F0" w14:paraId="27A6B51E" w14:textId="77777777" w:rsidTr="00340A70">
        <w:trPr>
          <w:trHeight w:val="3168"/>
        </w:trPr>
        <w:tc>
          <w:tcPr>
            <w:tcW w:w="704" w:type="dxa"/>
            <w:shd w:val="clear" w:color="auto" w:fill="CAEDFB" w:themeFill="accent4" w:themeFillTint="33"/>
            <w:noWrap/>
            <w:hideMark/>
          </w:tcPr>
          <w:p w14:paraId="2DAB4202" w14:textId="77777777" w:rsidR="00EC67F0" w:rsidRPr="00340A70" w:rsidRDefault="00EC67F0" w:rsidP="00EC67F0">
            <w:r w:rsidRPr="00340A70">
              <w:lastRenderedPageBreak/>
              <w:t>40</w:t>
            </w:r>
          </w:p>
        </w:tc>
        <w:tc>
          <w:tcPr>
            <w:tcW w:w="3969" w:type="dxa"/>
            <w:hideMark/>
          </w:tcPr>
          <w:p w14:paraId="1E1006F1" w14:textId="77777777" w:rsidR="00EC67F0" w:rsidRPr="00EC67F0" w:rsidRDefault="00EC67F0" w:rsidP="00A6007E">
            <w:pPr>
              <w:jc w:val="center"/>
            </w:pPr>
            <w:r w:rsidRPr="00EC67F0">
              <w:t>Gough, O., and Hick, R. (2006). 'Ethnic Minorities, Retirement Planning and Personal Accounts', The International Journal of Sociology and Social Policy, 23(9/10), pp. 488–497. Available at: https://www.proquest.com/docview/203787580?accountid=130472&amp;parentSessionId=vv%2BXBZK7W11e2sscpNqQ6JmXho7fV8JF3Px56k28iy4%3D&amp;pq-origsite=primo&amp;sourcetype=Scholarly%20Journals (Accessed: 27 March 2026).</w:t>
            </w:r>
          </w:p>
        </w:tc>
        <w:tc>
          <w:tcPr>
            <w:tcW w:w="4343" w:type="dxa"/>
            <w:hideMark/>
          </w:tcPr>
          <w:p w14:paraId="67E71893" w14:textId="77777777" w:rsidR="00EC67F0" w:rsidRPr="00EC67F0" w:rsidRDefault="00EC67F0" w:rsidP="00A6007E">
            <w:pPr>
              <w:jc w:val="center"/>
            </w:pPr>
            <w:r w:rsidRPr="00EC67F0">
              <w:t>This analysis connects ethnic disparities in retirement planning to persistent financial exclusion throughout the life course, which influences capital accumulation, entrepreneurial opportunities, and long-term socioeconomic mobility among Black males.</w:t>
            </w:r>
          </w:p>
        </w:tc>
      </w:tr>
      <w:tr w:rsidR="00EC67F0" w:rsidRPr="00EC67F0" w14:paraId="3F785195" w14:textId="77777777" w:rsidTr="00340A70">
        <w:trPr>
          <w:trHeight w:val="2592"/>
        </w:trPr>
        <w:tc>
          <w:tcPr>
            <w:tcW w:w="704" w:type="dxa"/>
            <w:shd w:val="clear" w:color="auto" w:fill="CAEDFB" w:themeFill="accent4" w:themeFillTint="33"/>
            <w:noWrap/>
            <w:hideMark/>
          </w:tcPr>
          <w:p w14:paraId="417F0116" w14:textId="77777777" w:rsidR="00EC67F0" w:rsidRPr="00340A70" w:rsidRDefault="00EC67F0" w:rsidP="00EC67F0">
            <w:r w:rsidRPr="00340A70">
              <w:t>41</w:t>
            </w:r>
          </w:p>
        </w:tc>
        <w:tc>
          <w:tcPr>
            <w:tcW w:w="3969" w:type="dxa"/>
            <w:hideMark/>
          </w:tcPr>
          <w:p w14:paraId="405983E1" w14:textId="77777777" w:rsidR="00EC67F0" w:rsidRPr="00EC67F0" w:rsidRDefault="00EC67F0" w:rsidP="00A6007E">
            <w:pPr>
              <w:jc w:val="center"/>
            </w:pPr>
            <w:r w:rsidRPr="00EC67F0">
              <w:t>Graham, M., Robinson, G. (2004) '“The Silent Catastrophe": Institutional Racism in the British Educational System and the Underachievement of Black Boys', Journal of Black Studies, 34(5), pp. 653-671. Available at: https://journals.sagepub.com/doi/epdf/10.1177/0021934703259347 (Accessed: 22 March 2026).</w:t>
            </w:r>
          </w:p>
        </w:tc>
        <w:tc>
          <w:tcPr>
            <w:tcW w:w="4343" w:type="dxa"/>
            <w:hideMark/>
          </w:tcPr>
          <w:p w14:paraId="4525353D" w14:textId="77777777" w:rsidR="00EC67F0" w:rsidRPr="00EC67F0" w:rsidRDefault="00EC67F0" w:rsidP="00A6007E">
            <w:pPr>
              <w:jc w:val="center"/>
            </w:pPr>
            <w:r w:rsidRPr="00EC67F0">
              <w:t>A UK-based analysis of institutional racism identifies its role in contributing to the underachievement of Black boys. The study connects systemic deficits in schooling, exclusions, and lowered expectations to subsequent labour-market marginalisation.</w:t>
            </w:r>
          </w:p>
        </w:tc>
      </w:tr>
      <w:tr w:rsidR="00EC67F0" w:rsidRPr="00EC67F0" w14:paraId="1EA96136" w14:textId="77777777" w:rsidTr="00340A70">
        <w:trPr>
          <w:trHeight w:val="3168"/>
        </w:trPr>
        <w:tc>
          <w:tcPr>
            <w:tcW w:w="704" w:type="dxa"/>
            <w:shd w:val="clear" w:color="auto" w:fill="CAEDFB" w:themeFill="accent4" w:themeFillTint="33"/>
            <w:noWrap/>
            <w:hideMark/>
          </w:tcPr>
          <w:p w14:paraId="05DE949A" w14:textId="77777777" w:rsidR="00EC67F0" w:rsidRPr="00340A70" w:rsidRDefault="00EC67F0" w:rsidP="00EC67F0">
            <w:r w:rsidRPr="00340A70">
              <w:t>42</w:t>
            </w:r>
          </w:p>
        </w:tc>
        <w:tc>
          <w:tcPr>
            <w:tcW w:w="3969" w:type="dxa"/>
            <w:hideMark/>
          </w:tcPr>
          <w:p w14:paraId="46F798C2" w14:textId="77777777" w:rsidR="00EC67F0" w:rsidRPr="00EC67F0" w:rsidRDefault="00EC67F0" w:rsidP="00A6007E">
            <w:pPr>
              <w:jc w:val="center"/>
            </w:pPr>
            <w:r w:rsidRPr="00EC67F0">
              <w:t xml:space="preserve">Hackett, R., Ronaldson, A., </w:t>
            </w:r>
            <w:proofErr w:type="spellStart"/>
            <w:r w:rsidRPr="00EC67F0">
              <w:t>Bhui</w:t>
            </w:r>
            <w:proofErr w:type="spellEnd"/>
            <w:r w:rsidRPr="00EC67F0">
              <w:t xml:space="preserve">, K., Steptoe, A., and Jackson, S. (2020). 'Racial discrimination and health: a prospective study of ethnic minorities in the United Kingdom', BMC Public Health, 20, (1652) pp.1–13. Available at: </w:t>
            </w:r>
            <w:proofErr w:type="gramStart"/>
            <w:r w:rsidRPr="00EC67F0">
              <w:t>https://www.scienceopen.com/document_file/3c93c772-01f0-4a81-a069-cb06feb2bc49/PubMedCentral/3c93c772-01f0-4a81-a069-cb06feb2bc49.pdf  (</w:t>
            </w:r>
            <w:proofErr w:type="gramEnd"/>
            <w:r w:rsidRPr="00EC67F0">
              <w:t>Accessed: 30 March 2026).</w:t>
            </w:r>
          </w:p>
        </w:tc>
        <w:tc>
          <w:tcPr>
            <w:tcW w:w="4343" w:type="dxa"/>
            <w:hideMark/>
          </w:tcPr>
          <w:p w14:paraId="23AC28E3" w14:textId="77777777" w:rsidR="00EC67F0" w:rsidRPr="00EC67F0" w:rsidRDefault="00EC67F0" w:rsidP="00A6007E">
            <w:pPr>
              <w:jc w:val="center"/>
            </w:pPr>
            <w:r w:rsidRPr="00EC67F0">
              <w:t>Prospective evidence from the United Kingdom demonstrates a link between racial discrimination and poorer health outcomes, with discrimination-driven mediation negatively affecting Black males' educational and employment trajectories.</w:t>
            </w:r>
          </w:p>
        </w:tc>
      </w:tr>
      <w:tr w:rsidR="00EC67F0" w:rsidRPr="00EC67F0" w14:paraId="4ED10149" w14:textId="77777777" w:rsidTr="00340A70">
        <w:trPr>
          <w:trHeight w:val="3168"/>
        </w:trPr>
        <w:tc>
          <w:tcPr>
            <w:tcW w:w="704" w:type="dxa"/>
            <w:shd w:val="clear" w:color="auto" w:fill="CAEDFB" w:themeFill="accent4" w:themeFillTint="33"/>
            <w:noWrap/>
            <w:hideMark/>
          </w:tcPr>
          <w:p w14:paraId="630318CD" w14:textId="77777777" w:rsidR="00EC67F0" w:rsidRPr="00340A70" w:rsidRDefault="00EC67F0" w:rsidP="00EC67F0">
            <w:r w:rsidRPr="00340A70">
              <w:t>43</w:t>
            </w:r>
          </w:p>
        </w:tc>
        <w:tc>
          <w:tcPr>
            <w:tcW w:w="3969" w:type="dxa"/>
            <w:hideMark/>
          </w:tcPr>
          <w:p w14:paraId="08DB558E" w14:textId="77777777" w:rsidR="00EC67F0" w:rsidRPr="00EC67F0" w:rsidRDefault="00EC67F0" w:rsidP="00A6007E">
            <w:pPr>
              <w:jc w:val="center"/>
            </w:pPr>
            <w:r w:rsidRPr="00EC67F0">
              <w:t>Hardaway, C., and McLoyd, V. (2009) 'Escaping Poverty and Securing Middle Class Status: How Race and Socioeconomic Status Shape Mobility Prospects for African Americans During the Transition to Adulthood', Journal of Youth and Adolescence, 38, pp. 242-256. Available at: https://link.springer.com/article/10.1007/s10964-008-9354-z (Accessed: 18 March 2026).</w:t>
            </w:r>
          </w:p>
        </w:tc>
        <w:tc>
          <w:tcPr>
            <w:tcW w:w="4343" w:type="dxa"/>
            <w:hideMark/>
          </w:tcPr>
          <w:p w14:paraId="616DDD55" w14:textId="77777777" w:rsidR="00EC67F0" w:rsidRPr="00EC67F0" w:rsidRDefault="00EC67F0" w:rsidP="00A6007E">
            <w:pPr>
              <w:jc w:val="center"/>
            </w:pPr>
            <w:r w:rsidRPr="00EC67F0">
              <w:t>This work demonstrates how race and socioeconomic status constrain mobility during the transition to adulthood, thereby informing barriers to Black males' education-to-work trajectories. advancement.</w:t>
            </w:r>
          </w:p>
        </w:tc>
      </w:tr>
      <w:tr w:rsidR="00EC67F0" w:rsidRPr="00EC67F0" w14:paraId="2F56E13A" w14:textId="77777777" w:rsidTr="00340A70">
        <w:trPr>
          <w:trHeight w:val="4032"/>
        </w:trPr>
        <w:tc>
          <w:tcPr>
            <w:tcW w:w="704" w:type="dxa"/>
            <w:shd w:val="clear" w:color="auto" w:fill="CAEDFB" w:themeFill="accent4" w:themeFillTint="33"/>
            <w:noWrap/>
            <w:hideMark/>
          </w:tcPr>
          <w:p w14:paraId="432B2D94" w14:textId="77777777" w:rsidR="00EC67F0" w:rsidRPr="00340A70" w:rsidRDefault="00EC67F0" w:rsidP="00EC67F0">
            <w:r w:rsidRPr="00340A70">
              <w:lastRenderedPageBreak/>
              <w:t>44</w:t>
            </w:r>
          </w:p>
        </w:tc>
        <w:tc>
          <w:tcPr>
            <w:tcW w:w="3969" w:type="dxa"/>
            <w:hideMark/>
          </w:tcPr>
          <w:p w14:paraId="6A805B5B" w14:textId="77777777" w:rsidR="00EC67F0" w:rsidRPr="00EC67F0" w:rsidRDefault="00EC67F0" w:rsidP="00A6007E">
            <w:pPr>
              <w:jc w:val="center"/>
            </w:pPr>
            <w:r w:rsidRPr="00EC67F0">
              <w:t xml:space="preserve">Hesketh, R., and Robinson, G. (2019) 'Grafting: “the </w:t>
            </w:r>
            <w:proofErr w:type="spellStart"/>
            <w:r w:rsidRPr="00EC67F0">
              <w:t>boyz</w:t>
            </w:r>
            <w:proofErr w:type="spellEnd"/>
            <w:r w:rsidRPr="00EC67F0">
              <w:t>” just doing business? Deviant entrepreneurship in street gangs', Safer Communities, 18 (2), pp. 54-63. Available at: https://www.researchgate.net/profile/Grace-Robinson-8/publication/334633203_Grafting_the_boyz_just_doing_business_Deviant_entrepreneurship_in_street_gangs/links/5d440fb84585153e59355987/Grafting-the-boyz-just-doing-business-Deviant-entrepreneurship-in-street-gangs.pdf (Accessed: 2 April 2026).</w:t>
            </w:r>
          </w:p>
        </w:tc>
        <w:tc>
          <w:tcPr>
            <w:tcW w:w="4343" w:type="dxa"/>
            <w:hideMark/>
          </w:tcPr>
          <w:p w14:paraId="593DB508" w14:textId="77777777" w:rsidR="00EC67F0" w:rsidRPr="00EC67F0" w:rsidRDefault="00EC67F0" w:rsidP="00A6007E">
            <w:pPr>
              <w:jc w:val="center"/>
            </w:pPr>
            <w:r w:rsidRPr="00EC67F0">
              <w:t>This work connects deviant entrepreneurship within gangs to alternative economic pathways, demonstrating how social exclusion and precarity contribute to exploitation and the growth of informal enterprises. entrepreneurial activity and highlights the associated exploitation risks faced by Black males.</w:t>
            </w:r>
          </w:p>
        </w:tc>
      </w:tr>
      <w:tr w:rsidR="00EC67F0" w:rsidRPr="00EC67F0" w14:paraId="6DB4DC91" w14:textId="77777777" w:rsidTr="00340A70">
        <w:trPr>
          <w:trHeight w:val="4608"/>
        </w:trPr>
        <w:tc>
          <w:tcPr>
            <w:tcW w:w="704" w:type="dxa"/>
            <w:shd w:val="clear" w:color="auto" w:fill="CAEDFB" w:themeFill="accent4" w:themeFillTint="33"/>
            <w:noWrap/>
            <w:hideMark/>
          </w:tcPr>
          <w:p w14:paraId="330B486F" w14:textId="77777777" w:rsidR="00EC67F0" w:rsidRPr="00340A70" w:rsidRDefault="00EC67F0" w:rsidP="00EC67F0">
            <w:r w:rsidRPr="00340A70">
              <w:t>45</w:t>
            </w:r>
          </w:p>
        </w:tc>
        <w:tc>
          <w:tcPr>
            <w:tcW w:w="3969" w:type="dxa"/>
            <w:hideMark/>
          </w:tcPr>
          <w:p w14:paraId="52E6A669" w14:textId="77777777" w:rsidR="00EC67F0" w:rsidRPr="00EC67F0" w:rsidRDefault="00EC67F0" w:rsidP="00A6007E">
            <w:pPr>
              <w:jc w:val="center"/>
            </w:pPr>
            <w:r w:rsidRPr="00EC67F0">
              <w:t>Hawi, N., and Samaha, M. (2016). 'The Relations Among Social Media Addiction, Self-Esteem, and Life Satisfaction in University Students', Social Science Computer Review, 35(5), pp. 1-11. Available at: https://www.researchgate.net/profile/Nazir-Hawi/publication/306048463_The_Relations_Among_Social_Media_Addiction_Self-Esteem_and_Life_Satisfaction_in_University_Students/links/59efa4b6a6fdcce2096dc335/The-Relations-Among-Social-Media-Addiction-Self-Esteem-and-Life-Satisfaction-in-University-Students.pdf (Accessed: 2 April 2026).</w:t>
            </w:r>
          </w:p>
        </w:tc>
        <w:tc>
          <w:tcPr>
            <w:tcW w:w="4343" w:type="dxa"/>
            <w:hideMark/>
          </w:tcPr>
          <w:p w14:paraId="758AED0C" w14:textId="77777777" w:rsidR="00EC67F0" w:rsidRPr="00EC67F0" w:rsidRDefault="00EC67F0" w:rsidP="00A6007E">
            <w:pPr>
              <w:jc w:val="center"/>
            </w:pPr>
            <w:r w:rsidRPr="00EC67F0">
              <w:br/>
              <w:t>Social media use is associated with self-esteem and life satisfaction, which are relevant factors in student identity and financial pressures that may increase vulnerability to exploitation and entrepreneurship.</w:t>
            </w:r>
          </w:p>
        </w:tc>
      </w:tr>
      <w:tr w:rsidR="00EC67F0" w:rsidRPr="00EC67F0" w14:paraId="498E6F39" w14:textId="77777777" w:rsidTr="00340A70">
        <w:trPr>
          <w:trHeight w:val="288"/>
        </w:trPr>
        <w:tc>
          <w:tcPr>
            <w:tcW w:w="704" w:type="dxa"/>
            <w:shd w:val="clear" w:color="auto" w:fill="CAEDFB" w:themeFill="accent4" w:themeFillTint="33"/>
            <w:noWrap/>
            <w:hideMark/>
          </w:tcPr>
          <w:p w14:paraId="4E7EA694" w14:textId="77777777" w:rsidR="00EC67F0" w:rsidRPr="00340A70" w:rsidRDefault="00EC67F0" w:rsidP="00EC67F0">
            <w:r w:rsidRPr="00340A70">
              <w:t>46</w:t>
            </w:r>
          </w:p>
        </w:tc>
        <w:tc>
          <w:tcPr>
            <w:tcW w:w="3969" w:type="dxa"/>
            <w:hideMark/>
          </w:tcPr>
          <w:p w14:paraId="6BC95800" w14:textId="77777777" w:rsidR="00EC67F0" w:rsidRPr="00EC67F0" w:rsidRDefault="00EC67F0" w:rsidP="00A6007E">
            <w:pPr>
              <w:jc w:val="center"/>
            </w:pPr>
          </w:p>
        </w:tc>
        <w:tc>
          <w:tcPr>
            <w:tcW w:w="4343" w:type="dxa"/>
            <w:hideMark/>
          </w:tcPr>
          <w:p w14:paraId="2641E8D8" w14:textId="77777777" w:rsidR="00EC67F0" w:rsidRPr="00EC67F0" w:rsidRDefault="00EC67F0" w:rsidP="00A6007E">
            <w:pPr>
              <w:jc w:val="center"/>
            </w:pPr>
          </w:p>
        </w:tc>
      </w:tr>
      <w:tr w:rsidR="00EC67F0" w:rsidRPr="00EC67F0" w14:paraId="356DE7EF" w14:textId="77777777" w:rsidTr="00340A70">
        <w:trPr>
          <w:trHeight w:val="2304"/>
        </w:trPr>
        <w:tc>
          <w:tcPr>
            <w:tcW w:w="704" w:type="dxa"/>
            <w:shd w:val="clear" w:color="auto" w:fill="CAEDFB" w:themeFill="accent4" w:themeFillTint="33"/>
            <w:noWrap/>
            <w:hideMark/>
          </w:tcPr>
          <w:p w14:paraId="784DC5DB" w14:textId="77777777" w:rsidR="00EC67F0" w:rsidRPr="00340A70" w:rsidRDefault="00EC67F0" w:rsidP="00EC67F0">
            <w:r w:rsidRPr="00340A70">
              <w:t>47</w:t>
            </w:r>
          </w:p>
        </w:tc>
        <w:tc>
          <w:tcPr>
            <w:tcW w:w="3969" w:type="dxa"/>
            <w:hideMark/>
          </w:tcPr>
          <w:p w14:paraId="5AAC4ED4" w14:textId="77777777" w:rsidR="00EC67F0" w:rsidRPr="00EC67F0" w:rsidRDefault="00EC67F0" w:rsidP="00A6007E">
            <w:pPr>
              <w:jc w:val="center"/>
            </w:pPr>
            <w:r w:rsidRPr="00EC67F0">
              <w:t>Henshall, A. (2018). 'On the school beat: police officers based in English schools', British Journal of Sociology of Education, 39(5), pp. 593–606. Available at: https://www.tandfonline.com/doi/full/10.1080/01425692.2017.1375401?scroll=top&amp;needAccess=true#abstract (Accessed: 22 March 2026).</w:t>
            </w:r>
          </w:p>
        </w:tc>
        <w:tc>
          <w:tcPr>
            <w:tcW w:w="4343" w:type="dxa"/>
            <w:hideMark/>
          </w:tcPr>
          <w:p w14:paraId="1F5906FD" w14:textId="77777777" w:rsidR="00EC67F0" w:rsidRPr="00EC67F0" w:rsidRDefault="00EC67F0" w:rsidP="00A6007E">
            <w:pPr>
              <w:jc w:val="center"/>
            </w:pPr>
            <w:r w:rsidRPr="00EC67F0">
              <w:t>A UK study of school-based police demonstrates increased surveillance, exclusions, and racialised criminalisation, which directly implicate school-to-prison pathways for Black males.</w:t>
            </w:r>
          </w:p>
        </w:tc>
      </w:tr>
      <w:tr w:rsidR="00EC67F0" w:rsidRPr="00EC67F0" w14:paraId="2F0CB71C" w14:textId="77777777" w:rsidTr="00340A70">
        <w:trPr>
          <w:trHeight w:val="2880"/>
        </w:trPr>
        <w:tc>
          <w:tcPr>
            <w:tcW w:w="704" w:type="dxa"/>
            <w:shd w:val="clear" w:color="auto" w:fill="CAEDFB" w:themeFill="accent4" w:themeFillTint="33"/>
            <w:noWrap/>
            <w:hideMark/>
          </w:tcPr>
          <w:p w14:paraId="5467955D" w14:textId="77777777" w:rsidR="00EC67F0" w:rsidRPr="00340A70" w:rsidRDefault="00EC67F0" w:rsidP="00EC67F0">
            <w:r w:rsidRPr="00340A70">
              <w:lastRenderedPageBreak/>
              <w:t>48</w:t>
            </w:r>
          </w:p>
        </w:tc>
        <w:tc>
          <w:tcPr>
            <w:tcW w:w="3969" w:type="dxa"/>
            <w:hideMark/>
          </w:tcPr>
          <w:p w14:paraId="24D9ECF3" w14:textId="77777777" w:rsidR="00EC67F0" w:rsidRPr="00EC67F0" w:rsidRDefault="00EC67F0" w:rsidP="00A6007E">
            <w:pPr>
              <w:jc w:val="center"/>
            </w:pPr>
            <w:r w:rsidRPr="00EC67F0">
              <w:t xml:space="preserve">Hines, E., Fletcher, E., Moore, J., and Ford, D. (2022) 'Culturally Responsive Postsecondary Readiness Practices for Black Males: Practice and Policy Recommendations for School </w:t>
            </w:r>
            <w:proofErr w:type="spellStart"/>
            <w:r w:rsidRPr="00EC67F0">
              <w:t>Counselors</w:t>
            </w:r>
            <w:proofErr w:type="spellEnd"/>
            <w:r w:rsidRPr="00EC67F0">
              <w:t xml:space="preserve">', Journal of School-Based </w:t>
            </w:r>
            <w:proofErr w:type="spellStart"/>
            <w:r w:rsidRPr="00EC67F0">
              <w:t>Counseling</w:t>
            </w:r>
            <w:proofErr w:type="spellEnd"/>
            <w:r w:rsidRPr="00EC67F0">
              <w:t xml:space="preserve"> Policy and Evaluation, 4(1), pp. 10-25. Available at: https://par.nsf.gov/servlets/purl/10482629 (Accessed: 26 March 2026).</w:t>
            </w:r>
          </w:p>
        </w:tc>
        <w:tc>
          <w:tcPr>
            <w:tcW w:w="4343" w:type="dxa"/>
            <w:hideMark/>
          </w:tcPr>
          <w:p w14:paraId="5763E9C9" w14:textId="77777777" w:rsidR="00EC67F0" w:rsidRPr="00EC67F0" w:rsidRDefault="00EC67F0" w:rsidP="00A6007E">
            <w:pPr>
              <w:jc w:val="center"/>
            </w:pPr>
            <w:r w:rsidRPr="00EC67F0">
              <w:t>This work advocates for culturally responsive readiness practices, demonstrating that tailored counselling enhances Black males' transitions to postsecondary education and employment while reducing the risk of exploitation.</w:t>
            </w:r>
          </w:p>
        </w:tc>
      </w:tr>
      <w:tr w:rsidR="00EC67F0" w:rsidRPr="00EC67F0" w14:paraId="206036A9" w14:textId="77777777" w:rsidTr="00340A70">
        <w:trPr>
          <w:trHeight w:val="2592"/>
        </w:trPr>
        <w:tc>
          <w:tcPr>
            <w:tcW w:w="704" w:type="dxa"/>
            <w:shd w:val="clear" w:color="auto" w:fill="CAEDFB" w:themeFill="accent4" w:themeFillTint="33"/>
            <w:noWrap/>
            <w:hideMark/>
          </w:tcPr>
          <w:p w14:paraId="15D98704" w14:textId="77777777" w:rsidR="00EC67F0" w:rsidRPr="00340A70" w:rsidRDefault="00EC67F0" w:rsidP="00EC67F0">
            <w:r w:rsidRPr="00340A70">
              <w:t>49</w:t>
            </w:r>
          </w:p>
        </w:tc>
        <w:tc>
          <w:tcPr>
            <w:tcW w:w="3969" w:type="dxa"/>
            <w:hideMark/>
          </w:tcPr>
          <w:p w14:paraId="551D4FC3" w14:textId="77777777" w:rsidR="00EC67F0" w:rsidRPr="00EC67F0" w:rsidRDefault="00EC67F0" w:rsidP="00A6007E">
            <w:pPr>
              <w:jc w:val="center"/>
            </w:pPr>
            <w:r w:rsidRPr="00EC67F0">
              <w:t>HM Chief Inspector of Prisons for England and Wales (2018). HM Chief Inspector of Prisons for England and Wales Annual Report 2017–18. ISBN: 978-1-5286-0611-0. Open Government Licence. Available at: https://assets.publishing.service.gov.uk/media/5c06893bed915d7463b34dbe/hmi-prisons-annual-report-2017-18-revised-web.pdf (Accessed: 22 March 2026).</w:t>
            </w:r>
          </w:p>
        </w:tc>
        <w:tc>
          <w:tcPr>
            <w:tcW w:w="4343" w:type="dxa"/>
            <w:hideMark/>
          </w:tcPr>
          <w:p w14:paraId="6089C53A" w14:textId="77777777" w:rsidR="00EC67F0" w:rsidRPr="00EC67F0" w:rsidRDefault="00EC67F0" w:rsidP="00A6007E">
            <w:pPr>
              <w:jc w:val="center"/>
            </w:pPr>
            <w:r w:rsidRPr="00EC67F0">
              <w:t>The source offers authoritative evidence on youth custody and the disproportionate representation of BME individuals, demonstrating a link between school exclusions, heightened incarceration risk, and disrupted transitions from education to employment.</w:t>
            </w:r>
          </w:p>
        </w:tc>
      </w:tr>
      <w:tr w:rsidR="00EC67F0" w:rsidRPr="00EC67F0" w14:paraId="41F22DA7" w14:textId="77777777" w:rsidTr="00340A70">
        <w:trPr>
          <w:trHeight w:val="3168"/>
        </w:trPr>
        <w:tc>
          <w:tcPr>
            <w:tcW w:w="704" w:type="dxa"/>
            <w:shd w:val="clear" w:color="auto" w:fill="CAEDFB" w:themeFill="accent4" w:themeFillTint="33"/>
            <w:noWrap/>
            <w:hideMark/>
          </w:tcPr>
          <w:p w14:paraId="261DBD26" w14:textId="77777777" w:rsidR="00EC67F0" w:rsidRPr="00340A70" w:rsidRDefault="00EC67F0" w:rsidP="00EC67F0">
            <w:r w:rsidRPr="00340A70">
              <w:t>50</w:t>
            </w:r>
          </w:p>
        </w:tc>
        <w:tc>
          <w:tcPr>
            <w:tcW w:w="3969" w:type="dxa"/>
            <w:hideMark/>
          </w:tcPr>
          <w:p w14:paraId="5DEE26C8" w14:textId="77777777" w:rsidR="00EC67F0" w:rsidRPr="00EC67F0" w:rsidRDefault="00EC67F0" w:rsidP="00A6007E">
            <w:pPr>
              <w:jc w:val="center"/>
            </w:pPr>
            <w:r w:rsidRPr="00EC67F0">
              <w:t>Home Affairs Committee (2019). Government Response House of Commons Home Affairs Committee: Serious Youth Violence – Sixteenth Report of Session 2017-2019. Available at: https://www.parliament.uk/globalassets/documents/commons-committees/home-affairs/Correspondence-19-20/Government-Response-to-the-Committees-Report-on-Serious-Youth-Violence.pdf (Accessed: 22 March 2026).</w:t>
            </w:r>
          </w:p>
        </w:tc>
        <w:tc>
          <w:tcPr>
            <w:tcW w:w="4343" w:type="dxa"/>
            <w:hideMark/>
          </w:tcPr>
          <w:p w14:paraId="1452A78B" w14:textId="77777777" w:rsidR="00EC67F0" w:rsidRPr="00EC67F0" w:rsidRDefault="00EC67F0" w:rsidP="00A6007E">
            <w:pPr>
              <w:jc w:val="center"/>
            </w:pPr>
            <w:r w:rsidRPr="00EC67F0">
              <w:t>This source outlines government responses to youth violence, detailing their influence on policing, prevention strategies, and school policies. It is particularly relevant to exclusion, criminalisation, and the transition risks faced by Black males.</w:t>
            </w:r>
          </w:p>
        </w:tc>
      </w:tr>
      <w:tr w:rsidR="00EC67F0" w:rsidRPr="00EC67F0" w14:paraId="469676CA" w14:textId="77777777" w:rsidTr="00340A70">
        <w:trPr>
          <w:trHeight w:val="2304"/>
        </w:trPr>
        <w:tc>
          <w:tcPr>
            <w:tcW w:w="704" w:type="dxa"/>
            <w:shd w:val="clear" w:color="auto" w:fill="CAEDFB" w:themeFill="accent4" w:themeFillTint="33"/>
            <w:noWrap/>
            <w:hideMark/>
          </w:tcPr>
          <w:p w14:paraId="02CE3551" w14:textId="77777777" w:rsidR="00EC67F0" w:rsidRPr="00340A70" w:rsidRDefault="00EC67F0" w:rsidP="00EC67F0">
            <w:r w:rsidRPr="00340A70">
              <w:t>51</w:t>
            </w:r>
          </w:p>
        </w:tc>
        <w:tc>
          <w:tcPr>
            <w:tcW w:w="3969" w:type="dxa"/>
            <w:hideMark/>
          </w:tcPr>
          <w:p w14:paraId="3BE00924" w14:textId="77777777" w:rsidR="00EC67F0" w:rsidRPr="00EC67F0" w:rsidRDefault="00EC67F0" w:rsidP="00A6007E">
            <w:pPr>
              <w:jc w:val="center"/>
            </w:pPr>
            <w:r w:rsidRPr="00EC67F0">
              <w:t>Hooks, B. (1992). Black Looks: Race and Representation Bell Hooks. Open Hand Publishing Inc. Available at: https://www.slideshare.net/slideshow/bell-hooks-black-looks_-race-and-representation-south-end-press-1999-pdf/282583086 (Accessed: 17 March 2026).</w:t>
            </w:r>
          </w:p>
        </w:tc>
        <w:tc>
          <w:tcPr>
            <w:tcW w:w="4343" w:type="dxa"/>
            <w:hideMark/>
          </w:tcPr>
          <w:p w14:paraId="1CCB8412" w14:textId="77777777" w:rsidR="00EC67F0" w:rsidRPr="00EC67F0" w:rsidRDefault="00EC67F0" w:rsidP="00A6007E">
            <w:pPr>
              <w:jc w:val="center"/>
            </w:pPr>
            <w:r w:rsidRPr="00EC67F0">
              <w:t>This work critiques racialised representations that shape stereotypes of Black masculinity, influencing teacher expectations, student identity formation, and institutional marginalisation during educational transitions.</w:t>
            </w:r>
          </w:p>
        </w:tc>
      </w:tr>
      <w:tr w:rsidR="00EC67F0" w:rsidRPr="00EC67F0" w14:paraId="530E75A8" w14:textId="77777777" w:rsidTr="00340A70">
        <w:trPr>
          <w:trHeight w:val="2592"/>
        </w:trPr>
        <w:tc>
          <w:tcPr>
            <w:tcW w:w="704" w:type="dxa"/>
            <w:shd w:val="clear" w:color="auto" w:fill="CAEDFB" w:themeFill="accent4" w:themeFillTint="33"/>
            <w:noWrap/>
            <w:hideMark/>
          </w:tcPr>
          <w:p w14:paraId="1557EB77" w14:textId="77777777" w:rsidR="00EC67F0" w:rsidRPr="00340A70" w:rsidRDefault="00EC67F0" w:rsidP="00EC67F0">
            <w:r w:rsidRPr="00340A70">
              <w:lastRenderedPageBreak/>
              <w:t>52</w:t>
            </w:r>
          </w:p>
        </w:tc>
        <w:tc>
          <w:tcPr>
            <w:tcW w:w="3969" w:type="dxa"/>
            <w:hideMark/>
          </w:tcPr>
          <w:p w14:paraId="68F10407" w14:textId="77777777" w:rsidR="00EC67F0" w:rsidRPr="00EC67F0" w:rsidRDefault="00EC67F0" w:rsidP="00A6007E">
            <w:pPr>
              <w:jc w:val="center"/>
            </w:pPr>
            <w:r w:rsidRPr="00EC67F0">
              <w:t>Howard, T. (2013) 'How Does It Feel to Be a Problem? Black Male Students, Schools, and Learning in Enhancing the Knowledge Base to Disrupt Deficit Frameworks', Review of Research in Education, 37(1), pp. 54-86. Available at: https://journals.sagepub.com/doi/full/10.3102/0091732X12462985 (Accessed: 23 March 2026).</w:t>
            </w:r>
          </w:p>
        </w:tc>
        <w:tc>
          <w:tcPr>
            <w:tcW w:w="4343" w:type="dxa"/>
            <w:hideMark/>
          </w:tcPr>
          <w:p w14:paraId="01346B8B" w14:textId="77777777" w:rsidR="00EC67F0" w:rsidRPr="00EC67F0" w:rsidRDefault="00EC67F0" w:rsidP="00A6007E">
            <w:pPr>
              <w:jc w:val="center"/>
            </w:pPr>
            <w:r w:rsidRPr="00EC67F0">
              <w:t>This work synthesises critiques of deficit frameworks, highlights the experiences of Black male students, and advocates for pedagogical reforms to enhance belonging, academic attainment, and educational transitions.</w:t>
            </w:r>
          </w:p>
        </w:tc>
      </w:tr>
      <w:tr w:rsidR="00EC67F0" w:rsidRPr="00EC67F0" w14:paraId="69647C51" w14:textId="77777777" w:rsidTr="00340A70">
        <w:trPr>
          <w:trHeight w:val="3168"/>
        </w:trPr>
        <w:tc>
          <w:tcPr>
            <w:tcW w:w="704" w:type="dxa"/>
            <w:shd w:val="clear" w:color="auto" w:fill="CAEDFB" w:themeFill="accent4" w:themeFillTint="33"/>
            <w:noWrap/>
            <w:hideMark/>
          </w:tcPr>
          <w:p w14:paraId="6CC496C8" w14:textId="77777777" w:rsidR="00EC67F0" w:rsidRPr="00340A70" w:rsidRDefault="00EC67F0" w:rsidP="00EC67F0">
            <w:r w:rsidRPr="00340A70">
              <w:t>53</w:t>
            </w:r>
          </w:p>
        </w:tc>
        <w:tc>
          <w:tcPr>
            <w:tcW w:w="3969" w:type="dxa"/>
            <w:hideMark/>
          </w:tcPr>
          <w:p w14:paraId="4CD95969" w14:textId="77777777" w:rsidR="00EC67F0" w:rsidRPr="00EC67F0" w:rsidRDefault="00EC67F0" w:rsidP="00A6007E">
            <w:pPr>
              <w:jc w:val="center"/>
            </w:pPr>
            <w:r w:rsidRPr="00EC67F0">
              <w:t>Hunter, K. (2019). Institutionalised Criminalisation: Black and Minority Ethnic Children and Looked After Children in the Youth Justice System in England and Wales. Doctor of Philosophy. Degree awarding body. Available at: https://www.proquest.com/docview/2447835853?pq-origsite=gscholar&amp;fromopenview=true&amp;sourcetype=Dissertations%20&amp;%20Theses (Accessed: 5 April 2026).</w:t>
            </w:r>
          </w:p>
        </w:tc>
        <w:tc>
          <w:tcPr>
            <w:tcW w:w="4343" w:type="dxa"/>
            <w:hideMark/>
          </w:tcPr>
          <w:p w14:paraId="4947FA92" w14:textId="77777777" w:rsidR="00EC67F0" w:rsidRPr="00EC67F0" w:rsidRDefault="00EC67F0" w:rsidP="00A6007E">
            <w:pPr>
              <w:jc w:val="center"/>
            </w:pPr>
            <w:r w:rsidRPr="00EC67F0">
              <w:t>This analysis examines the institutional criminalisation of BME and looked-after children, highlighting the connections between care systems, school exclusions, youth justice involvement, and disrupted transitions from education to employment.</w:t>
            </w:r>
          </w:p>
        </w:tc>
      </w:tr>
      <w:tr w:rsidR="00EC67F0" w:rsidRPr="00EC67F0" w14:paraId="0BDFECD8" w14:textId="77777777" w:rsidTr="00340A70">
        <w:trPr>
          <w:trHeight w:val="2592"/>
        </w:trPr>
        <w:tc>
          <w:tcPr>
            <w:tcW w:w="704" w:type="dxa"/>
            <w:shd w:val="clear" w:color="auto" w:fill="CAEDFB" w:themeFill="accent4" w:themeFillTint="33"/>
            <w:noWrap/>
            <w:hideMark/>
          </w:tcPr>
          <w:p w14:paraId="4F0221FE" w14:textId="77777777" w:rsidR="00EC67F0" w:rsidRPr="00340A70" w:rsidRDefault="00EC67F0" w:rsidP="00EC67F0">
            <w:r w:rsidRPr="00340A70">
              <w:t>54</w:t>
            </w:r>
          </w:p>
        </w:tc>
        <w:tc>
          <w:tcPr>
            <w:tcW w:w="3969" w:type="dxa"/>
            <w:hideMark/>
          </w:tcPr>
          <w:p w14:paraId="1FDEDCB3" w14:textId="77777777" w:rsidR="00EC67F0" w:rsidRPr="00EC67F0" w:rsidRDefault="00EC67F0" w:rsidP="00A6007E">
            <w:pPr>
              <w:jc w:val="center"/>
            </w:pPr>
            <w:r w:rsidRPr="00EC67F0">
              <w:t xml:space="preserve">Hussain, J., Millman, C., Scott, J., Scott, P., and </w:t>
            </w:r>
            <w:proofErr w:type="spellStart"/>
            <w:r w:rsidRPr="00EC67F0">
              <w:t>Matlay</w:t>
            </w:r>
            <w:proofErr w:type="spellEnd"/>
            <w:r w:rsidRPr="00EC67F0">
              <w:t>, H. (2007) 'Ethnic Minority Graduate Entrepreneurs in the UK: Characteristics, Motivation and Access to Finance', Industry and Higher Education, 21(6), pp. 455-463. Available at: https://journals.sagepub.com/doi/epdf/10.5367/000000007783099845 (Accessed: 11 March 2026).</w:t>
            </w:r>
          </w:p>
        </w:tc>
        <w:tc>
          <w:tcPr>
            <w:tcW w:w="4343" w:type="dxa"/>
            <w:hideMark/>
          </w:tcPr>
          <w:p w14:paraId="43C5872F" w14:textId="77777777" w:rsidR="00EC67F0" w:rsidRPr="00EC67F0" w:rsidRDefault="00EC67F0" w:rsidP="00A6007E">
            <w:pPr>
              <w:jc w:val="center"/>
            </w:pPr>
            <w:r w:rsidRPr="00EC67F0">
              <w:t>This study analyses the motivations and access to finance for ethnic-minority graduate entrepreneurs, highlighting barriers that affect the business formation and sustainability of Black male graduates.</w:t>
            </w:r>
          </w:p>
        </w:tc>
      </w:tr>
      <w:tr w:rsidR="00EC67F0" w:rsidRPr="00EC67F0" w14:paraId="3E2BD49C" w14:textId="77777777" w:rsidTr="00340A70">
        <w:trPr>
          <w:trHeight w:val="2016"/>
        </w:trPr>
        <w:tc>
          <w:tcPr>
            <w:tcW w:w="704" w:type="dxa"/>
            <w:shd w:val="clear" w:color="auto" w:fill="CAEDFB" w:themeFill="accent4" w:themeFillTint="33"/>
            <w:noWrap/>
            <w:hideMark/>
          </w:tcPr>
          <w:p w14:paraId="288DDAFC" w14:textId="77777777" w:rsidR="00EC67F0" w:rsidRPr="00340A70" w:rsidRDefault="00EC67F0" w:rsidP="00EC67F0">
            <w:r w:rsidRPr="00340A70">
              <w:t>55</w:t>
            </w:r>
          </w:p>
        </w:tc>
        <w:tc>
          <w:tcPr>
            <w:tcW w:w="3969" w:type="dxa"/>
            <w:hideMark/>
          </w:tcPr>
          <w:p w14:paraId="6516B815" w14:textId="77777777" w:rsidR="00EC67F0" w:rsidRPr="00EC67F0" w:rsidRDefault="00EC67F0" w:rsidP="00A6007E">
            <w:pPr>
              <w:jc w:val="center"/>
            </w:pPr>
            <w:r w:rsidRPr="00EC67F0">
              <w:t>IPA (2012). 2012 Multicultural Britain. IPA Available at: https://www.slideshare.net/slideshow/multicultural-britain-2012-28376057/28376057 (Accessed: 26 March 2026).</w:t>
            </w:r>
          </w:p>
        </w:tc>
        <w:tc>
          <w:tcPr>
            <w:tcW w:w="4343" w:type="dxa"/>
            <w:hideMark/>
          </w:tcPr>
          <w:p w14:paraId="33A0E2DC" w14:textId="77777777" w:rsidR="00EC67F0" w:rsidRPr="00EC67F0" w:rsidRDefault="00EC67F0" w:rsidP="00A6007E">
            <w:pPr>
              <w:jc w:val="center"/>
            </w:pPr>
            <w:r w:rsidRPr="00EC67F0">
              <w:t>Provides demographic and economic context for multicultural Britain, situating Black males' education, labour-market participation, and entrepreneurship.</w:t>
            </w:r>
          </w:p>
        </w:tc>
      </w:tr>
      <w:tr w:rsidR="00EC67F0" w:rsidRPr="00EC67F0" w14:paraId="2FC748E1" w14:textId="77777777" w:rsidTr="00340A70">
        <w:trPr>
          <w:trHeight w:val="5184"/>
        </w:trPr>
        <w:tc>
          <w:tcPr>
            <w:tcW w:w="704" w:type="dxa"/>
            <w:shd w:val="clear" w:color="auto" w:fill="CAEDFB" w:themeFill="accent4" w:themeFillTint="33"/>
            <w:noWrap/>
            <w:hideMark/>
          </w:tcPr>
          <w:p w14:paraId="32883179" w14:textId="77777777" w:rsidR="00EC67F0" w:rsidRPr="00340A70" w:rsidRDefault="00EC67F0" w:rsidP="00EC67F0">
            <w:r w:rsidRPr="00340A70">
              <w:lastRenderedPageBreak/>
              <w:t>56</w:t>
            </w:r>
          </w:p>
        </w:tc>
        <w:tc>
          <w:tcPr>
            <w:tcW w:w="3969" w:type="dxa"/>
            <w:hideMark/>
          </w:tcPr>
          <w:p w14:paraId="2DDECFC4" w14:textId="77777777" w:rsidR="00EC67F0" w:rsidRPr="00EC67F0" w:rsidRDefault="00EC67F0" w:rsidP="00A6007E">
            <w:pPr>
              <w:jc w:val="center"/>
            </w:pPr>
            <w:r w:rsidRPr="00EC67F0">
              <w:t>Jacklin, A., and Robinson, C. (2007). 'What is meant by ‘support’ in higher education? Towards a model of academic and welfare support', Journal of Research in Special Educational Needs, 7(2), pp. 114–123. Available at: https://www.researchgate.net/profile/Carol-Robinson-3/publication/230076115_What_is_meant_by_'support'_in_higher_education_Towards_a_model_of_academic_and_welfare_support/links/5a3a2e2da6fdcc34776b39fc/What-is-meant-by-support-in-higher-education-Towards-a-model-of-academic-and-welfare-support.pdf?_sg%5B0%5D=started_experiment_milestone&amp;origin=journalDetail&amp;_rtd=e30%3D (Accessed: 24 March 2026).</w:t>
            </w:r>
          </w:p>
        </w:tc>
        <w:tc>
          <w:tcPr>
            <w:tcW w:w="4343" w:type="dxa"/>
            <w:hideMark/>
          </w:tcPr>
          <w:p w14:paraId="57D55FC1" w14:textId="77777777" w:rsidR="00EC67F0" w:rsidRPr="00EC67F0" w:rsidRDefault="00EC67F0" w:rsidP="00A6007E">
            <w:pPr>
              <w:jc w:val="center"/>
            </w:pPr>
            <w:r w:rsidRPr="00EC67F0">
              <w:t>This paper defines academic and welfare support models in higher education and examines how tailored services enhance retention, sense of belonging, and transition outcomes for Black male students.</w:t>
            </w:r>
          </w:p>
        </w:tc>
      </w:tr>
      <w:tr w:rsidR="00EC67F0" w:rsidRPr="00EC67F0" w14:paraId="42403288" w14:textId="77777777" w:rsidTr="00340A70">
        <w:trPr>
          <w:trHeight w:val="4320"/>
        </w:trPr>
        <w:tc>
          <w:tcPr>
            <w:tcW w:w="704" w:type="dxa"/>
            <w:shd w:val="clear" w:color="auto" w:fill="CAEDFB" w:themeFill="accent4" w:themeFillTint="33"/>
            <w:noWrap/>
            <w:hideMark/>
          </w:tcPr>
          <w:p w14:paraId="0B43AA72" w14:textId="77777777" w:rsidR="00EC67F0" w:rsidRPr="00340A70" w:rsidRDefault="00EC67F0" w:rsidP="00EC67F0">
            <w:r w:rsidRPr="00340A70">
              <w:t>57</w:t>
            </w:r>
          </w:p>
        </w:tc>
        <w:tc>
          <w:tcPr>
            <w:tcW w:w="3969" w:type="dxa"/>
            <w:hideMark/>
          </w:tcPr>
          <w:p w14:paraId="3DEE8E90" w14:textId="77777777" w:rsidR="00EC67F0" w:rsidRPr="00EC67F0" w:rsidRDefault="00EC67F0" w:rsidP="00A6007E">
            <w:pPr>
              <w:jc w:val="center"/>
            </w:pPr>
            <w:r w:rsidRPr="00EC67F0">
              <w:t>Jones, T., Barrett, G., McEvoy, D. (2000). 'Market Potential as a Decisive Influence on the Performance of Ethnic Minority Business', in J. Rath (ed.), Immigrant Businesses: The Economic, Political and Social Environment. Macmillan Press LTD, pp. 37–53. Available at: https://www.researchgate.net/profile/Jan-Rath/publication/259345625_Immigrant_businesses_The_economic_political_and_social_environment/links/5ca35cf3a6fdcc12ee8c630c/Immigrant-businesses-The-economic-political-and-social-environment.pdf#page=54 (Accessed: 28 March 2026).</w:t>
            </w:r>
          </w:p>
        </w:tc>
        <w:tc>
          <w:tcPr>
            <w:tcW w:w="4343" w:type="dxa"/>
            <w:hideMark/>
          </w:tcPr>
          <w:p w14:paraId="03DFF82B" w14:textId="77777777" w:rsidR="00EC67F0" w:rsidRPr="00EC67F0" w:rsidRDefault="00EC67F0" w:rsidP="00A6007E">
            <w:pPr>
              <w:jc w:val="center"/>
            </w:pPr>
            <w:r w:rsidRPr="00EC67F0">
              <w:t>This work connects market potential to the performance of ethnic minority businesses, demonstrating how local demand and market access influence the success and sustainability of Black male entrepreneurs.</w:t>
            </w:r>
          </w:p>
        </w:tc>
      </w:tr>
      <w:tr w:rsidR="00EC67F0" w:rsidRPr="00EC67F0" w14:paraId="7064A014" w14:textId="77777777" w:rsidTr="00340A70">
        <w:trPr>
          <w:trHeight w:val="2592"/>
        </w:trPr>
        <w:tc>
          <w:tcPr>
            <w:tcW w:w="704" w:type="dxa"/>
            <w:shd w:val="clear" w:color="auto" w:fill="CAEDFB" w:themeFill="accent4" w:themeFillTint="33"/>
            <w:noWrap/>
            <w:hideMark/>
          </w:tcPr>
          <w:p w14:paraId="33DF6BFD" w14:textId="77777777" w:rsidR="00EC67F0" w:rsidRPr="00340A70" w:rsidRDefault="00EC67F0" w:rsidP="00EC67F0">
            <w:r w:rsidRPr="00340A70">
              <w:t>58</w:t>
            </w:r>
          </w:p>
        </w:tc>
        <w:tc>
          <w:tcPr>
            <w:tcW w:w="3969" w:type="dxa"/>
            <w:hideMark/>
          </w:tcPr>
          <w:p w14:paraId="1D3EA7EC" w14:textId="77777777" w:rsidR="00EC67F0" w:rsidRPr="00EC67F0" w:rsidRDefault="00EC67F0" w:rsidP="00A6007E">
            <w:pPr>
              <w:jc w:val="center"/>
            </w:pPr>
            <w:r w:rsidRPr="00EC67F0">
              <w:t>Joseph, A. (2020). 'Navigating neoliberal school spaces: Parent and school staff perspectives on racially disproportional school exclusions in England', International Social Work, 63(4), pp. 445–458. Available at: https://journals.sagepub.com/doi/epub/10.1177/0020872818808557 (Accessed: 22 March 2026).</w:t>
            </w:r>
          </w:p>
        </w:tc>
        <w:tc>
          <w:tcPr>
            <w:tcW w:w="4343" w:type="dxa"/>
            <w:hideMark/>
          </w:tcPr>
          <w:p w14:paraId="07BCC881" w14:textId="77777777" w:rsidR="00EC67F0" w:rsidRPr="00EC67F0" w:rsidRDefault="00EC67F0" w:rsidP="00A6007E">
            <w:pPr>
              <w:jc w:val="center"/>
            </w:pPr>
            <w:r w:rsidRPr="00EC67F0">
              <w:t>This work connects neoliberal educational policies to racially disproportionate exclusions, demonstrating how policy pressures intensify educational disruption and labour-market marginalisation among Black males.</w:t>
            </w:r>
          </w:p>
        </w:tc>
      </w:tr>
      <w:tr w:rsidR="00EC67F0" w:rsidRPr="00EC67F0" w14:paraId="13CB218C" w14:textId="77777777" w:rsidTr="00340A70">
        <w:trPr>
          <w:trHeight w:val="2592"/>
        </w:trPr>
        <w:tc>
          <w:tcPr>
            <w:tcW w:w="704" w:type="dxa"/>
            <w:shd w:val="clear" w:color="auto" w:fill="CAEDFB" w:themeFill="accent4" w:themeFillTint="33"/>
            <w:noWrap/>
            <w:hideMark/>
          </w:tcPr>
          <w:p w14:paraId="5F5E0757" w14:textId="77777777" w:rsidR="00EC67F0" w:rsidRPr="00340A70" w:rsidRDefault="00EC67F0" w:rsidP="00EC67F0">
            <w:r w:rsidRPr="00340A70">
              <w:lastRenderedPageBreak/>
              <w:t>59</w:t>
            </w:r>
          </w:p>
        </w:tc>
        <w:tc>
          <w:tcPr>
            <w:tcW w:w="3969" w:type="dxa"/>
            <w:hideMark/>
          </w:tcPr>
          <w:p w14:paraId="354C79FC" w14:textId="77777777" w:rsidR="00EC67F0" w:rsidRPr="00EC67F0" w:rsidRDefault="00EC67F0" w:rsidP="00A6007E">
            <w:pPr>
              <w:jc w:val="center"/>
            </w:pPr>
            <w:r w:rsidRPr="00EC67F0">
              <w:t>Jivraj, S., and Alao, C. (2023). 'Are ethnic employment penalties mitigated in deprived neighbourhoods and in ethnically dense neighbourhoods?', Population, Space and Place, 29(3), pp. 1–15. Available at: https://onlinelibrary.wiley.com/doi/epdf/10.1002/psp.2646 (Accessed: 25 March 2026).</w:t>
            </w:r>
          </w:p>
        </w:tc>
        <w:tc>
          <w:tcPr>
            <w:tcW w:w="4343" w:type="dxa"/>
            <w:hideMark/>
          </w:tcPr>
          <w:p w14:paraId="51F0892B" w14:textId="77777777" w:rsidR="00EC67F0" w:rsidRPr="00EC67F0" w:rsidRDefault="00EC67F0" w:rsidP="00A6007E">
            <w:pPr>
              <w:jc w:val="center"/>
            </w:pPr>
            <w:r w:rsidRPr="00EC67F0">
              <w:t>This study investigates the impact of neighbourhood context on ethnic employment penalties, highlighting how geographic location influences labour-market disadvantages and transition outcomes for Black males.</w:t>
            </w:r>
          </w:p>
        </w:tc>
      </w:tr>
      <w:tr w:rsidR="00EC67F0" w:rsidRPr="00EC67F0" w14:paraId="3DBEE909" w14:textId="77777777" w:rsidTr="00340A70">
        <w:trPr>
          <w:trHeight w:val="2592"/>
        </w:trPr>
        <w:tc>
          <w:tcPr>
            <w:tcW w:w="704" w:type="dxa"/>
            <w:shd w:val="clear" w:color="auto" w:fill="CAEDFB" w:themeFill="accent4" w:themeFillTint="33"/>
            <w:noWrap/>
            <w:hideMark/>
          </w:tcPr>
          <w:p w14:paraId="72D2B30D" w14:textId="77777777" w:rsidR="00EC67F0" w:rsidRPr="00340A70" w:rsidRDefault="00EC67F0" w:rsidP="00EC67F0">
            <w:r w:rsidRPr="00340A70">
              <w:t>60</w:t>
            </w:r>
          </w:p>
        </w:tc>
        <w:tc>
          <w:tcPr>
            <w:tcW w:w="3969" w:type="dxa"/>
            <w:hideMark/>
          </w:tcPr>
          <w:p w14:paraId="182BE699" w14:textId="77777777" w:rsidR="00EC67F0" w:rsidRPr="00EC67F0" w:rsidRDefault="00EC67F0" w:rsidP="00A6007E">
            <w:pPr>
              <w:jc w:val="center"/>
            </w:pPr>
            <w:proofErr w:type="spellStart"/>
            <w:r w:rsidRPr="00EC67F0">
              <w:t>Kalunta</w:t>
            </w:r>
            <w:proofErr w:type="spellEnd"/>
            <w:r w:rsidRPr="00EC67F0">
              <w:t>-Crumpton, A. (2000) 'The criminalization of "Black deprivation" in the United Kingdom', Social Justice, 27(1), pp. 76-100. Available at: https://www.proquest.com/docview/231912053?pq-origsite=gscholar&amp;fromopenview=true&amp;sourcetype=Scholarly%20Journals (Accessed: 26 March 2026).</w:t>
            </w:r>
          </w:p>
        </w:tc>
        <w:tc>
          <w:tcPr>
            <w:tcW w:w="4343" w:type="dxa"/>
            <w:hideMark/>
          </w:tcPr>
          <w:p w14:paraId="673A2C35" w14:textId="77777777" w:rsidR="00EC67F0" w:rsidRPr="00EC67F0" w:rsidRDefault="00EC67F0" w:rsidP="00A6007E">
            <w:pPr>
              <w:jc w:val="center"/>
            </w:pPr>
            <w:r w:rsidRPr="00EC67F0">
              <w:t>This work critiques narratives that criminalise Black deprivation, demonstrating how policy and media framing contribute to policing, exclusion, and the socioeconomic marginalisation of Black males.</w:t>
            </w:r>
          </w:p>
        </w:tc>
      </w:tr>
      <w:tr w:rsidR="00EC67F0" w:rsidRPr="00EC67F0" w14:paraId="34CC9B73" w14:textId="77777777" w:rsidTr="00340A70">
        <w:trPr>
          <w:trHeight w:val="2592"/>
        </w:trPr>
        <w:tc>
          <w:tcPr>
            <w:tcW w:w="704" w:type="dxa"/>
            <w:shd w:val="clear" w:color="auto" w:fill="CAEDFB" w:themeFill="accent4" w:themeFillTint="33"/>
            <w:noWrap/>
            <w:hideMark/>
          </w:tcPr>
          <w:p w14:paraId="5FFEDACE" w14:textId="77777777" w:rsidR="00EC67F0" w:rsidRPr="00340A70" w:rsidRDefault="00EC67F0" w:rsidP="00EC67F0">
            <w:r w:rsidRPr="00340A70">
              <w:t>61</w:t>
            </w:r>
          </w:p>
        </w:tc>
        <w:tc>
          <w:tcPr>
            <w:tcW w:w="3969" w:type="dxa"/>
            <w:hideMark/>
          </w:tcPr>
          <w:p w14:paraId="4F1CF730" w14:textId="77777777" w:rsidR="00EC67F0" w:rsidRPr="00EC67F0" w:rsidRDefault="00EC67F0" w:rsidP="00A6007E">
            <w:pPr>
              <w:jc w:val="center"/>
            </w:pPr>
            <w:r w:rsidRPr="00EC67F0">
              <w:t xml:space="preserve">Kapadia, D., </w:t>
            </w:r>
            <w:proofErr w:type="spellStart"/>
            <w:r w:rsidRPr="00EC67F0">
              <w:t>Nazroo</w:t>
            </w:r>
            <w:proofErr w:type="spellEnd"/>
            <w:r w:rsidRPr="00EC67F0">
              <w:t>, J., and Tranmer, M. (2018). 'Ethnic differences in women’s use of mental health services: do social networks play a role? Findings from a national survey.', Ethnicity and Health, 23(3), pp. 293–306. Available at: https://www.tandfonline.com/doi/full/10.1080/13557858.2016.1263283#abstract (Accessed: 30 March 2026).</w:t>
            </w:r>
          </w:p>
        </w:tc>
        <w:tc>
          <w:tcPr>
            <w:tcW w:w="4343" w:type="dxa"/>
            <w:hideMark/>
          </w:tcPr>
          <w:p w14:paraId="2543CAED" w14:textId="77777777" w:rsidR="00EC67F0" w:rsidRPr="00EC67F0" w:rsidRDefault="00EC67F0" w:rsidP="00A6007E">
            <w:pPr>
              <w:jc w:val="center"/>
            </w:pPr>
            <w:r w:rsidRPr="00EC67F0">
              <w:t>This work demonstrates that social networks influence ethnic disparities in mental health service utilisation and elucidates how these networks mediate vulnerability during Black males' transitions from education to employment.</w:t>
            </w:r>
          </w:p>
        </w:tc>
      </w:tr>
      <w:tr w:rsidR="00EC67F0" w:rsidRPr="00EC67F0" w14:paraId="76BCDCEE" w14:textId="77777777" w:rsidTr="00340A70">
        <w:trPr>
          <w:trHeight w:val="7200"/>
        </w:trPr>
        <w:tc>
          <w:tcPr>
            <w:tcW w:w="704" w:type="dxa"/>
            <w:shd w:val="clear" w:color="auto" w:fill="CAEDFB" w:themeFill="accent4" w:themeFillTint="33"/>
            <w:noWrap/>
            <w:hideMark/>
          </w:tcPr>
          <w:p w14:paraId="28744AD8" w14:textId="77777777" w:rsidR="00EC67F0" w:rsidRPr="00340A70" w:rsidRDefault="00EC67F0" w:rsidP="00EC67F0">
            <w:r w:rsidRPr="00340A70">
              <w:lastRenderedPageBreak/>
              <w:t>62</w:t>
            </w:r>
          </w:p>
        </w:tc>
        <w:tc>
          <w:tcPr>
            <w:tcW w:w="3969" w:type="dxa"/>
            <w:hideMark/>
          </w:tcPr>
          <w:p w14:paraId="1067FF90" w14:textId="77777777" w:rsidR="00EC67F0" w:rsidRPr="00EC67F0" w:rsidRDefault="00EC67F0" w:rsidP="00A6007E">
            <w:pPr>
              <w:jc w:val="center"/>
            </w:pPr>
            <w:r w:rsidRPr="00EC67F0">
              <w:t>Khan, O. (2010a). Why Do Assets Matter? Assets, Equality and Ethnicity- Building towards Financial Inclusion, Runnymede Trust. Available at: https://d1wqtxts1xzle7.cloudfront.net/31960835/whydoassetsmatter-libre.pdf?1392477046=&amp;response-content-disposition=inline%3B+filename%3DAssets_Equality_and_Ethnicity_Building_t.pdf&amp;Expires=1775689111&amp;Signature=IH2JeFRdMVlsBn0ycQglf4Nm6r5eh2R~cquiKr6ZJH8Xjz9b6gsYf4WPdk7ns38raUQlUHRcjxP7S0S~rQaUNjxuDM3lJaW1O5PEQRfb4Q0OwdK3eaaDu4BO8wMfZ5zcs8vjPfzV~dHmpZS-qBTDk6Vp6Y5VhTORfuI7YWMGrxUCXHcnEYlMx~wxz~eZbjewUuNQdTxRlmq1arp7R67-LraaLG6SWxAPHFtni77kBaRuVwAYj4SM~LYG7AXdqXQNSJEYX~jmXqxWhCJoshM-h809MS1zJD7UCdkfXFgYhceCl5sfHDZ7JYOFVkU~7I95klY3MEDeE7-TryXeZH5ILw__&amp;Key-Pair-Id=APKAJLOHF5GGSLRBV4ZA (Accessed: 27 Maech 2026).</w:t>
            </w:r>
          </w:p>
        </w:tc>
        <w:tc>
          <w:tcPr>
            <w:tcW w:w="4343" w:type="dxa"/>
            <w:hideMark/>
          </w:tcPr>
          <w:p w14:paraId="00C3E88B" w14:textId="77777777" w:rsidR="00EC67F0" w:rsidRPr="00EC67F0" w:rsidRDefault="00EC67F0" w:rsidP="00A6007E">
            <w:pPr>
              <w:jc w:val="center"/>
            </w:pPr>
            <w:r w:rsidRPr="00EC67F0">
              <w:t>This source explains how asset inequalities contribute to financial exclusion, thereby restricting Black individuals' access to business capital, entrepreneurship opportunities, and socioeconomic mobility.</w:t>
            </w:r>
          </w:p>
        </w:tc>
      </w:tr>
      <w:tr w:rsidR="00EC67F0" w:rsidRPr="00EC67F0" w14:paraId="1B1AEFE0" w14:textId="77777777" w:rsidTr="00340A70">
        <w:trPr>
          <w:trHeight w:val="4032"/>
        </w:trPr>
        <w:tc>
          <w:tcPr>
            <w:tcW w:w="704" w:type="dxa"/>
            <w:shd w:val="clear" w:color="auto" w:fill="CAEDFB" w:themeFill="accent4" w:themeFillTint="33"/>
            <w:noWrap/>
            <w:hideMark/>
          </w:tcPr>
          <w:p w14:paraId="46749EC2" w14:textId="77777777" w:rsidR="00EC67F0" w:rsidRPr="00340A70" w:rsidRDefault="00EC67F0" w:rsidP="00EC67F0">
            <w:r w:rsidRPr="00340A70">
              <w:t>63</w:t>
            </w:r>
          </w:p>
        </w:tc>
        <w:tc>
          <w:tcPr>
            <w:tcW w:w="3969" w:type="dxa"/>
            <w:hideMark/>
          </w:tcPr>
          <w:p w14:paraId="02FB4715" w14:textId="77777777" w:rsidR="00EC67F0" w:rsidRPr="00EC67F0" w:rsidRDefault="00EC67F0" w:rsidP="00A6007E">
            <w:pPr>
              <w:jc w:val="center"/>
            </w:pPr>
            <w:r w:rsidRPr="00EC67F0">
              <w:t xml:space="preserve">Knox, C., Latif, F., Cornejo, N., and Johnson, M. (2023). 'Mentoring across difference and distance: building effective virtual research opportunities for under-represented minority undergraduate students in biological sciences', </w:t>
            </w:r>
            <w:proofErr w:type="spellStart"/>
            <w:r w:rsidRPr="00EC67F0">
              <w:t>Mbio</w:t>
            </w:r>
            <w:proofErr w:type="spellEnd"/>
            <w:r w:rsidRPr="00EC67F0">
              <w:t>, 15(1), pp. 1–15. Available at: https://www.researchgate.net/publication/376453976_Mentoring_across_difference_and_distance_building_effective_virtual_research_opportunities_for_underrepresented_minority_undergraduate_students_in_biological_sciences (Accessed: 24 March 2026).</w:t>
            </w:r>
          </w:p>
        </w:tc>
        <w:tc>
          <w:tcPr>
            <w:tcW w:w="4343" w:type="dxa"/>
            <w:hideMark/>
          </w:tcPr>
          <w:p w14:paraId="7CE2927E" w14:textId="77777777" w:rsidR="00EC67F0" w:rsidRPr="00EC67F0" w:rsidRDefault="00EC67F0" w:rsidP="00A6007E">
            <w:pPr>
              <w:jc w:val="center"/>
            </w:pPr>
            <w:r w:rsidRPr="00EC67F0">
              <w:t>Virtual mentoring expands access to research, professional networks, and skill development, thereby enhancing the employability and prospects for the education-to-work transition of underrepresented students.</w:t>
            </w:r>
          </w:p>
        </w:tc>
      </w:tr>
      <w:tr w:rsidR="00EC67F0" w:rsidRPr="00EC67F0" w14:paraId="4FB0793C" w14:textId="77777777" w:rsidTr="00340A70">
        <w:trPr>
          <w:trHeight w:val="2592"/>
        </w:trPr>
        <w:tc>
          <w:tcPr>
            <w:tcW w:w="704" w:type="dxa"/>
            <w:shd w:val="clear" w:color="auto" w:fill="CAEDFB" w:themeFill="accent4" w:themeFillTint="33"/>
            <w:noWrap/>
            <w:hideMark/>
          </w:tcPr>
          <w:p w14:paraId="737137C4" w14:textId="77777777" w:rsidR="00EC67F0" w:rsidRPr="00340A70" w:rsidRDefault="00EC67F0" w:rsidP="00EC67F0">
            <w:r w:rsidRPr="00340A70">
              <w:lastRenderedPageBreak/>
              <w:t>64</w:t>
            </w:r>
          </w:p>
        </w:tc>
        <w:tc>
          <w:tcPr>
            <w:tcW w:w="3969" w:type="dxa"/>
            <w:hideMark/>
          </w:tcPr>
          <w:p w14:paraId="597560C6" w14:textId="77777777" w:rsidR="00EC67F0" w:rsidRPr="00EC67F0" w:rsidRDefault="00EC67F0" w:rsidP="00A6007E">
            <w:pPr>
              <w:jc w:val="center"/>
            </w:pPr>
            <w:r w:rsidRPr="00EC67F0">
              <w:t>Langenkamp, A., and Carbonara, W. (2018) 'How School Socioeconomic Status Affects Achievement Growth across School Transitions in Early Educational Careers', Sociology of Education, 91(4), pp. 358-378. Available at: https://journals.sagepub.com/doi/full/10.1177/0038040718802257 (Accessed: 18 March 2026).</w:t>
            </w:r>
          </w:p>
        </w:tc>
        <w:tc>
          <w:tcPr>
            <w:tcW w:w="4343" w:type="dxa"/>
            <w:hideMark/>
          </w:tcPr>
          <w:p w14:paraId="070E6E77" w14:textId="77777777" w:rsidR="00EC67F0" w:rsidRPr="00EC67F0" w:rsidRDefault="00EC67F0" w:rsidP="00A6007E">
            <w:pPr>
              <w:jc w:val="center"/>
            </w:pPr>
            <w:r w:rsidRPr="00EC67F0">
              <w:t>School socioeconomic status influences achievement trajectories during educational transitions, demonstrating that structural context intensifies educational disadvantage and impacts Black males' subsequent labour-market outcomes.</w:t>
            </w:r>
          </w:p>
        </w:tc>
      </w:tr>
      <w:tr w:rsidR="00EC67F0" w:rsidRPr="00EC67F0" w14:paraId="77A92987" w14:textId="77777777" w:rsidTr="00340A70">
        <w:trPr>
          <w:trHeight w:val="5760"/>
        </w:trPr>
        <w:tc>
          <w:tcPr>
            <w:tcW w:w="704" w:type="dxa"/>
            <w:shd w:val="clear" w:color="auto" w:fill="CAEDFB" w:themeFill="accent4" w:themeFillTint="33"/>
            <w:noWrap/>
            <w:hideMark/>
          </w:tcPr>
          <w:p w14:paraId="4027E0DE" w14:textId="77777777" w:rsidR="00EC67F0" w:rsidRPr="00340A70" w:rsidRDefault="00EC67F0" w:rsidP="00EC67F0">
            <w:r w:rsidRPr="00340A70">
              <w:t>65</w:t>
            </w:r>
          </w:p>
        </w:tc>
        <w:tc>
          <w:tcPr>
            <w:tcW w:w="3969" w:type="dxa"/>
            <w:hideMark/>
          </w:tcPr>
          <w:p w14:paraId="54EA77F8" w14:textId="77777777" w:rsidR="00EC67F0" w:rsidRPr="00EC67F0" w:rsidRDefault="00EC67F0" w:rsidP="00A6007E">
            <w:pPr>
              <w:jc w:val="center"/>
            </w:pPr>
            <w:r w:rsidRPr="00EC67F0">
              <w:t>Langdon, P., Denne, L., Thompson, P., Hayden, N., Blumenfeld, F., Cullen, S., Flynn, S., Taylor, E., Williams, C., Grey, K., and Hastings, R. (2023) Reducing the Risk of Criminal Exploitation Using Multisystemic Therapy – the RESET Study. Youth Endowment Fund Available at: https://www.researchgate.net/profile/Nikita-Hayden/publication/380605644_Reducing_the_Risk_of_Criminal_Exploitation_Using_Multisystemic_Therapy_-the_RESET_Study_Feasibility_study_report_About_the_Youth_Endowment_Fund/links/6645e9e70b0d2845743715ea/Reducing-the-Risk-of-Criminal-Exploitation-Using-Multisystemic-Therapy-the-RESET-Study-Feasibility-study-report-About-the-Youth-Endowment-Fund.pdf (Accessed: 2 April 2026).</w:t>
            </w:r>
          </w:p>
        </w:tc>
        <w:tc>
          <w:tcPr>
            <w:tcW w:w="4343" w:type="dxa"/>
            <w:hideMark/>
          </w:tcPr>
          <w:p w14:paraId="42093E55" w14:textId="77777777" w:rsidR="00EC67F0" w:rsidRPr="00EC67F0" w:rsidRDefault="00EC67F0" w:rsidP="00A6007E">
            <w:pPr>
              <w:jc w:val="center"/>
            </w:pPr>
            <w:r w:rsidRPr="00EC67F0">
              <w:t>This study evaluates the feasibility of MST in reducing the risk of criminal exploitation, thereby informing intervention strategies for vulnerable Black males transitioning from education to employment.</w:t>
            </w:r>
          </w:p>
        </w:tc>
      </w:tr>
      <w:tr w:rsidR="00EC67F0" w:rsidRPr="00EC67F0" w14:paraId="6AA90EE7" w14:textId="77777777" w:rsidTr="00340A70">
        <w:trPr>
          <w:trHeight w:val="2592"/>
        </w:trPr>
        <w:tc>
          <w:tcPr>
            <w:tcW w:w="704" w:type="dxa"/>
            <w:shd w:val="clear" w:color="auto" w:fill="CAEDFB" w:themeFill="accent4" w:themeFillTint="33"/>
            <w:noWrap/>
            <w:hideMark/>
          </w:tcPr>
          <w:p w14:paraId="2FAB1A67" w14:textId="77777777" w:rsidR="00EC67F0" w:rsidRPr="00340A70" w:rsidRDefault="00EC67F0" w:rsidP="00EC67F0">
            <w:r w:rsidRPr="00340A70">
              <w:t>66</w:t>
            </w:r>
          </w:p>
        </w:tc>
        <w:tc>
          <w:tcPr>
            <w:tcW w:w="3969" w:type="dxa"/>
            <w:hideMark/>
          </w:tcPr>
          <w:p w14:paraId="5220ACB8" w14:textId="77777777" w:rsidR="00EC67F0" w:rsidRPr="00EC67F0" w:rsidRDefault="00EC67F0" w:rsidP="00A6007E">
            <w:pPr>
              <w:jc w:val="center"/>
            </w:pPr>
            <w:r w:rsidRPr="00EC67F0">
              <w:t>Li, Y., and Heath, A. (2020). 'Persisting disadvantages: a study of labour market dynamics of ethnic unemployment and earnings in the UK (2009–2015)', Journal of Ethnic and Migration Studies, 46(5), pp. 857–878. Available at: https://www.tandfonline.com/doi/full/10.1080/1369183X.2018.1539241#abstract (Accessed: 25 March 2026).</w:t>
            </w:r>
          </w:p>
        </w:tc>
        <w:tc>
          <w:tcPr>
            <w:tcW w:w="4343" w:type="dxa"/>
            <w:hideMark/>
          </w:tcPr>
          <w:p w14:paraId="4A8EFDBD" w14:textId="77777777" w:rsidR="00EC67F0" w:rsidRPr="00EC67F0" w:rsidRDefault="00EC67F0" w:rsidP="00A6007E">
            <w:pPr>
              <w:jc w:val="center"/>
            </w:pPr>
            <w:r w:rsidRPr="00EC67F0">
              <w:t>This work provides evidence of persistent ethnic disparities in unemployment and earnings. It also demonstrates how discrimination, job instability, and labour-market penalties constrain post-education outcomes for Black males.</w:t>
            </w:r>
          </w:p>
        </w:tc>
      </w:tr>
      <w:tr w:rsidR="00EC67F0" w:rsidRPr="00EC67F0" w14:paraId="64BE3398" w14:textId="77777777" w:rsidTr="00340A70">
        <w:trPr>
          <w:trHeight w:val="2016"/>
        </w:trPr>
        <w:tc>
          <w:tcPr>
            <w:tcW w:w="704" w:type="dxa"/>
            <w:shd w:val="clear" w:color="auto" w:fill="CAEDFB" w:themeFill="accent4" w:themeFillTint="33"/>
            <w:noWrap/>
            <w:hideMark/>
          </w:tcPr>
          <w:p w14:paraId="72ADAC8D" w14:textId="77777777" w:rsidR="00EC67F0" w:rsidRPr="00340A70" w:rsidRDefault="00EC67F0" w:rsidP="00EC67F0">
            <w:r w:rsidRPr="00340A70">
              <w:lastRenderedPageBreak/>
              <w:t>67</w:t>
            </w:r>
          </w:p>
        </w:tc>
        <w:tc>
          <w:tcPr>
            <w:tcW w:w="3969" w:type="dxa"/>
            <w:hideMark/>
          </w:tcPr>
          <w:p w14:paraId="0BC18800" w14:textId="77777777" w:rsidR="00EC67F0" w:rsidRPr="00EC67F0" w:rsidRDefault="00EC67F0" w:rsidP="00A6007E">
            <w:pPr>
              <w:jc w:val="center"/>
            </w:pPr>
            <w:r w:rsidRPr="00EC67F0">
              <w:t>Longhi, S., and Platt, L. (2008). Pay Gaps Across Equalities Areas. ISBN 978 1 84206 078 0, Equality and Human Rights Commission. Available at: https://www.equalityhumanrights.com/sites/default/files/pay_gaps_accross_equalities_areas.pdf (Accessed: 20 March 2026).</w:t>
            </w:r>
          </w:p>
        </w:tc>
        <w:tc>
          <w:tcPr>
            <w:tcW w:w="4343" w:type="dxa"/>
            <w:hideMark/>
          </w:tcPr>
          <w:p w14:paraId="1A8B1556" w14:textId="77777777" w:rsidR="00EC67F0" w:rsidRPr="00EC67F0" w:rsidRDefault="00EC67F0" w:rsidP="00A6007E">
            <w:pPr>
              <w:jc w:val="center"/>
            </w:pPr>
            <w:r w:rsidRPr="00EC67F0">
              <w:t>Evidence is presented regarding pay gaps across multiple equality domains, demonstrating that ethnic pay disparities limit the economic returns on education for Black males.</w:t>
            </w:r>
          </w:p>
        </w:tc>
      </w:tr>
      <w:tr w:rsidR="00EC67F0" w:rsidRPr="00EC67F0" w14:paraId="0E824E5E" w14:textId="77777777" w:rsidTr="00340A70">
        <w:trPr>
          <w:trHeight w:val="2304"/>
        </w:trPr>
        <w:tc>
          <w:tcPr>
            <w:tcW w:w="704" w:type="dxa"/>
            <w:shd w:val="clear" w:color="auto" w:fill="CAEDFB" w:themeFill="accent4" w:themeFillTint="33"/>
            <w:noWrap/>
            <w:hideMark/>
          </w:tcPr>
          <w:p w14:paraId="6FCE46A0" w14:textId="77777777" w:rsidR="00EC67F0" w:rsidRPr="00340A70" w:rsidRDefault="00EC67F0" w:rsidP="00EC67F0">
            <w:r w:rsidRPr="00340A70">
              <w:t>68</w:t>
            </w:r>
          </w:p>
        </w:tc>
        <w:tc>
          <w:tcPr>
            <w:tcW w:w="3969" w:type="dxa"/>
            <w:hideMark/>
          </w:tcPr>
          <w:p w14:paraId="5778645B" w14:textId="77777777" w:rsidR="00EC67F0" w:rsidRPr="00EC67F0" w:rsidRDefault="00EC67F0" w:rsidP="00A6007E">
            <w:pPr>
              <w:jc w:val="center"/>
            </w:pPr>
            <w:r w:rsidRPr="00EC67F0">
              <w:t>Macpherson, W. (1999). The Stephen Lawrence Inquiry. Cm 4262-1. Available at: https://assets.publishing.service.gov.uk/media/5a7c2af540f0b645ba3c7202/4262.pdf (Accessed: 19 March 2026).</w:t>
            </w:r>
          </w:p>
        </w:tc>
        <w:tc>
          <w:tcPr>
            <w:tcW w:w="4343" w:type="dxa"/>
            <w:hideMark/>
          </w:tcPr>
          <w:p w14:paraId="40AED731" w14:textId="77777777" w:rsidR="00EC67F0" w:rsidRPr="00EC67F0" w:rsidRDefault="00EC67F0" w:rsidP="00A6007E">
            <w:pPr>
              <w:jc w:val="center"/>
            </w:pPr>
            <w:r w:rsidRPr="00EC67F0">
              <w:t>Institutional racism in policing has contributed to widespread distrust, influenced policy reform debates, and shaped contexts of criminalisation that negatively impact the educational and socioeconomic trajectories of Black males.</w:t>
            </w:r>
          </w:p>
        </w:tc>
      </w:tr>
      <w:tr w:rsidR="00EC67F0" w:rsidRPr="00EC67F0" w14:paraId="447E3613" w14:textId="77777777" w:rsidTr="00340A70">
        <w:trPr>
          <w:trHeight w:val="2592"/>
        </w:trPr>
        <w:tc>
          <w:tcPr>
            <w:tcW w:w="704" w:type="dxa"/>
            <w:shd w:val="clear" w:color="auto" w:fill="CAEDFB" w:themeFill="accent4" w:themeFillTint="33"/>
            <w:noWrap/>
            <w:hideMark/>
          </w:tcPr>
          <w:p w14:paraId="38051E47" w14:textId="77777777" w:rsidR="00EC67F0" w:rsidRPr="00340A70" w:rsidRDefault="00EC67F0" w:rsidP="00EC67F0">
            <w:r w:rsidRPr="00340A70">
              <w:t>69</w:t>
            </w:r>
          </w:p>
        </w:tc>
        <w:tc>
          <w:tcPr>
            <w:tcW w:w="3969" w:type="dxa"/>
            <w:hideMark/>
          </w:tcPr>
          <w:p w14:paraId="37675120" w14:textId="77777777" w:rsidR="00EC67F0" w:rsidRPr="00EC67F0" w:rsidRDefault="00EC67F0" w:rsidP="00A6007E">
            <w:pPr>
              <w:jc w:val="center"/>
            </w:pPr>
            <w:r w:rsidRPr="00EC67F0">
              <w:t>Mahmud, A., and Gagnon, J. (2023). 'Racial disparities in student outcomes in British higher education: examining mindsets and bias', Teaching in Higher Education, 28(2), pp. 254–269. Available at: https://www.tandfonline.com/doi/full/10.1080/13562517.2020.1796619?scroll=top&amp;needAccess=true#abstract (Accessed: 19 March 2026).</w:t>
            </w:r>
          </w:p>
        </w:tc>
        <w:tc>
          <w:tcPr>
            <w:tcW w:w="4343" w:type="dxa"/>
            <w:hideMark/>
          </w:tcPr>
          <w:p w14:paraId="11A00F78" w14:textId="77777777" w:rsidR="00EC67F0" w:rsidRPr="00EC67F0" w:rsidRDefault="00EC67F0" w:rsidP="00A6007E">
            <w:pPr>
              <w:jc w:val="center"/>
            </w:pPr>
            <w:r w:rsidRPr="00EC67F0">
              <w:t>This work connects teacher mindsets and biases to racial attainment gaps in UK higher education, influencing the progression and labour-market transitions of Black male students.</w:t>
            </w:r>
          </w:p>
        </w:tc>
      </w:tr>
      <w:tr w:rsidR="00EC67F0" w:rsidRPr="00EC67F0" w14:paraId="3003FCEB" w14:textId="77777777" w:rsidTr="00340A70">
        <w:trPr>
          <w:trHeight w:val="3168"/>
        </w:trPr>
        <w:tc>
          <w:tcPr>
            <w:tcW w:w="704" w:type="dxa"/>
            <w:shd w:val="clear" w:color="auto" w:fill="CAEDFB" w:themeFill="accent4" w:themeFillTint="33"/>
            <w:noWrap/>
            <w:hideMark/>
          </w:tcPr>
          <w:p w14:paraId="38ED5BAF" w14:textId="77777777" w:rsidR="00EC67F0" w:rsidRPr="00340A70" w:rsidRDefault="00EC67F0" w:rsidP="00EC67F0">
            <w:r w:rsidRPr="00340A70">
              <w:t>70</w:t>
            </w:r>
          </w:p>
        </w:tc>
        <w:tc>
          <w:tcPr>
            <w:tcW w:w="3969" w:type="dxa"/>
            <w:hideMark/>
          </w:tcPr>
          <w:p w14:paraId="04E307D1" w14:textId="77777777" w:rsidR="00EC67F0" w:rsidRPr="00EC67F0" w:rsidRDefault="00EC67F0" w:rsidP="00A6007E">
            <w:pPr>
              <w:jc w:val="center"/>
            </w:pPr>
            <w:r w:rsidRPr="00EC67F0">
              <w:t xml:space="preserve">Mansour, R., </w:t>
            </w:r>
            <w:proofErr w:type="spellStart"/>
            <w:r w:rsidRPr="00EC67F0">
              <w:t>Tsamakis</w:t>
            </w:r>
            <w:proofErr w:type="spellEnd"/>
            <w:r w:rsidRPr="00EC67F0">
              <w:t>, K., Rizos, E., Perea, G., Munshi, J., Stewart, R., and Mueller, C. (2020). 'Late-life depression in people from ethnic minority backgrounds: Differences in presentation and management', Journal of Affective Disorders, 264(1), pp. 340–347. Available at: https://www.sciencedirect.com/science/article/pii/S0165032719329271 (Accessed: 30 March 2026).</w:t>
            </w:r>
          </w:p>
        </w:tc>
        <w:tc>
          <w:tcPr>
            <w:tcW w:w="4343" w:type="dxa"/>
            <w:hideMark/>
          </w:tcPr>
          <w:p w14:paraId="14AF9C18" w14:textId="77777777" w:rsidR="00EC67F0" w:rsidRPr="00EC67F0" w:rsidRDefault="00EC67F0" w:rsidP="00A6007E">
            <w:pPr>
              <w:jc w:val="center"/>
            </w:pPr>
            <w:r w:rsidRPr="00EC67F0">
              <w:t>This work highlights ethnic differences in the presentation and management of depression, illustrating persistent mental health disparities that negatively affect socioeconomic trajectories and access to support.</w:t>
            </w:r>
          </w:p>
        </w:tc>
      </w:tr>
      <w:tr w:rsidR="00EC67F0" w:rsidRPr="00EC67F0" w14:paraId="5D430DC3" w14:textId="77777777" w:rsidTr="00340A70">
        <w:trPr>
          <w:trHeight w:val="2304"/>
        </w:trPr>
        <w:tc>
          <w:tcPr>
            <w:tcW w:w="704" w:type="dxa"/>
            <w:shd w:val="clear" w:color="auto" w:fill="CAEDFB" w:themeFill="accent4" w:themeFillTint="33"/>
            <w:noWrap/>
            <w:hideMark/>
          </w:tcPr>
          <w:p w14:paraId="240A7FB1" w14:textId="77777777" w:rsidR="00EC67F0" w:rsidRPr="00340A70" w:rsidRDefault="00EC67F0" w:rsidP="00EC67F0">
            <w:r w:rsidRPr="00340A70">
              <w:t>71</w:t>
            </w:r>
          </w:p>
        </w:tc>
        <w:tc>
          <w:tcPr>
            <w:tcW w:w="3969" w:type="dxa"/>
            <w:hideMark/>
          </w:tcPr>
          <w:p w14:paraId="41D1653E" w14:textId="77777777" w:rsidR="00EC67F0" w:rsidRPr="00EC67F0" w:rsidRDefault="00EC67F0" w:rsidP="00A6007E">
            <w:pPr>
              <w:jc w:val="center"/>
            </w:pPr>
            <w:r w:rsidRPr="00EC67F0">
              <w:t>Marsh, S. (2020) 'County lines dealers 'posing as students to sell class A drugs'', The Guardian (Edition), 6 January, County lines. Available at: https://www.theguardian.com/uk-news/2020/jan/06/county-lines-dealers-posing-as-students-to-sell-</w:t>
            </w:r>
            <w:r w:rsidRPr="00EC67F0">
              <w:lastRenderedPageBreak/>
              <w:t>class-a-drugs-experts-warn (Accessed: 1 April 2026).</w:t>
            </w:r>
          </w:p>
        </w:tc>
        <w:tc>
          <w:tcPr>
            <w:tcW w:w="4343" w:type="dxa"/>
            <w:hideMark/>
          </w:tcPr>
          <w:p w14:paraId="1925E15B" w14:textId="77777777" w:rsidR="00EC67F0" w:rsidRPr="00EC67F0" w:rsidRDefault="00EC67F0" w:rsidP="00A6007E">
            <w:pPr>
              <w:jc w:val="center"/>
            </w:pPr>
            <w:r w:rsidRPr="00EC67F0">
              <w:lastRenderedPageBreak/>
              <w:t>Reports indicate that County Lines groups are posing as students and employing campus recruitment tactics. Financial precarity further increases the risk of exploitation for Black male students.</w:t>
            </w:r>
          </w:p>
        </w:tc>
      </w:tr>
      <w:tr w:rsidR="00EC67F0" w:rsidRPr="00EC67F0" w14:paraId="50329922" w14:textId="77777777" w:rsidTr="00340A70">
        <w:trPr>
          <w:trHeight w:val="2880"/>
        </w:trPr>
        <w:tc>
          <w:tcPr>
            <w:tcW w:w="704" w:type="dxa"/>
            <w:shd w:val="clear" w:color="auto" w:fill="CAEDFB" w:themeFill="accent4" w:themeFillTint="33"/>
            <w:noWrap/>
            <w:hideMark/>
          </w:tcPr>
          <w:p w14:paraId="7073EA66" w14:textId="77777777" w:rsidR="00EC67F0" w:rsidRPr="00340A70" w:rsidRDefault="00EC67F0" w:rsidP="00EC67F0">
            <w:r w:rsidRPr="00340A70">
              <w:t>72</w:t>
            </w:r>
          </w:p>
        </w:tc>
        <w:tc>
          <w:tcPr>
            <w:tcW w:w="3969" w:type="dxa"/>
            <w:hideMark/>
          </w:tcPr>
          <w:p w14:paraId="29F42EDC" w14:textId="77777777" w:rsidR="00EC67F0" w:rsidRPr="00EC67F0" w:rsidRDefault="00EC67F0" w:rsidP="00A6007E">
            <w:pPr>
              <w:jc w:val="center"/>
            </w:pPr>
            <w:r w:rsidRPr="00EC67F0">
              <w:t>Marshall, M., Dobbs-Oates, J., Kunberger, T., and Greene, J. (2021). 'The peer mentor experience: benefits and challenges in undergraduate programs', Mentoring and Tutoring: Partnership in Learning, 29(2), pp. 1–21. Available at: https://www.researchgate.net/publication/350163467_The_peer_mentor_experience_benefits_and_challenges_in_undergraduate_programs (Accessed: 24 March 2026).</w:t>
            </w:r>
          </w:p>
        </w:tc>
        <w:tc>
          <w:tcPr>
            <w:tcW w:w="4343" w:type="dxa"/>
            <w:hideMark/>
          </w:tcPr>
          <w:p w14:paraId="17B685AA" w14:textId="77777777" w:rsidR="00EC67F0" w:rsidRPr="00EC67F0" w:rsidRDefault="00EC67F0" w:rsidP="00A6007E">
            <w:pPr>
              <w:jc w:val="center"/>
            </w:pPr>
            <w:r w:rsidRPr="00EC67F0">
              <w:t>Peer mentoring has been shown to enhance retention, sense of belonging, and employability, thereby informing scalable strategies to support Black males' transitions from education to employment.</w:t>
            </w:r>
          </w:p>
        </w:tc>
      </w:tr>
      <w:tr w:rsidR="00EC67F0" w:rsidRPr="00EC67F0" w14:paraId="3B658727" w14:textId="77777777" w:rsidTr="00340A70">
        <w:trPr>
          <w:trHeight w:val="2592"/>
        </w:trPr>
        <w:tc>
          <w:tcPr>
            <w:tcW w:w="704" w:type="dxa"/>
            <w:shd w:val="clear" w:color="auto" w:fill="CAEDFB" w:themeFill="accent4" w:themeFillTint="33"/>
            <w:noWrap/>
            <w:hideMark/>
          </w:tcPr>
          <w:p w14:paraId="4029870B" w14:textId="77777777" w:rsidR="00EC67F0" w:rsidRPr="00340A70" w:rsidRDefault="00EC67F0" w:rsidP="00EC67F0">
            <w:r w:rsidRPr="00340A70">
              <w:t>73</w:t>
            </w:r>
          </w:p>
        </w:tc>
        <w:tc>
          <w:tcPr>
            <w:tcW w:w="3969" w:type="dxa"/>
            <w:hideMark/>
          </w:tcPr>
          <w:p w14:paraId="142E74BC" w14:textId="77777777" w:rsidR="00EC67F0" w:rsidRPr="00EC67F0" w:rsidRDefault="00EC67F0" w:rsidP="00A6007E">
            <w:pPr>
              <w:jc w:val="center"/>
            </w:pPr>
            <w:r w:rsidRPr="00EC67F0">
              <w:t>Mayes, R., Hines, E., and Rodman, J. (2019) '</w:t>
            </w:r>
            <w:proofErr w:type="spellStart"/>
            <w:r w:rsidRPr="00EC67F0">
              <w:t>Counselors</w:t>
            </w:r>
            <w:proofErr w:type="spellEnd"/>
            <w:r w:rsidRPr="00EC67F0">
              <w:t xml:space="preserve"> and Psychologists Mentoring Gifted Black Males </w:t>
            </w:r>
            <w:proofErr w:type="gramStart"/>
            <w:r w:rsidRPr="00EC67F0">
              <w:t>With</w:t>
            </w:r>
            <w:proofErr w:type="gramEnd"/>
            <w:r w:rsidRPr="00EC67F0">
              <w:t xml:space="preserve"> Disabilities to Foster College and Career Readiness', Gifted Child Today, 42(3), pp. 157-164. Available at: https://journals.sagepub.com/doi/full/10.1177/1076217519843150 (Accessed: 20 March 2026).</w:t>
            </w:r>
          </w:p>
        </w:tc>
        <w:tc>
          <w:tcPr>
            <w:tcW w:w="4343" w:type="dxa"/>
            <w:hideMark/>
          </w:tcPr>
          <w:p w14:paraId="55410B90" w14:textId="77777777" w:rsidR="00EC67F0" w:rsidRPr="00EC67F0" w:rsidRDefault="00EC67F0" w:rsidP="00A6007E">
            <w:pPr>
              <w:jc w:val="center"/>
            </w:pPr>
            <w:r w:rsidRPr="00EC67F0">
              <w:t>Mentoring for gifted Black males with disabilities has been shown to enhance college and career readiness, thereby informing targeted support strategies to improve transitions and reduce marginalisation.</w:t>
            </w:r>
          </w:p>
        </w:tc>
      </w:tr>
      <w:tr w:rsidR="00EC67F0" w:rsidRPr="00EC67F0" w14:paraId="49710994" w14:textId="77777777" w:rsidTr="00340A70">
        <w:trPr>
          <w:trHeight w:val="2592"/>
        </w:trPr>
        <w:tc>
          <w:tcPr>
            <w:tcW w:w="704" w:type="dxa"/>
            <w:shd w:val="clear" w:color="auto" w:fill="CAEDFB" w:themeFill="accent4" w:themeFillTint="33"/>
            <w:noWrap/>
            <w:hideMark/>
          </w:tcPr>
          <w:p w14:paraId="40FEB5F7" w14:textId="77777777" w:rsidR="00EC67F0" w:rsidRPr="00340A70" w:rsidRDefault="00EC67F0" w:rsidP="00EC67F0">
            <w:r w:rsidRPr="00340A70">
              <w:t>74</w:t>
            </w:r>
          </w:p>
        </w:tc>
        <w:tc>
          <w:tcPr>
            <w:tcW w:w="3969" w:type="dxa"/>
            <w:hideMark/>
          </w:tcPr>
          <w:p w14:paraId="0697938F" w14:textId="77777777" w:rsidR="00EC67F0" w:rsidRPr="00EC67F0" w:rsidRDefault="00EC67F0" w:rsidP="00A6007E">
            <w:pPr>
              <w:jc w:val="center"/>
            </w:pPr>
            <w:r w:rsidRPr="00EC67F0">
              <w:t>Maylor, U. (2008). '"They do not relate to Black people like us": Black teachers as role models for Black pupils', Journal of Education Policy, 24(1), pp. 1–21. Available at: https://www.tandfonline.com/doi/full/10.1080/02680930802382946?scroll=top&amp;needAccess=true#d1e223 (Accessed: 20 March 2026).</w:t>
            </w:r>
          </w:p>
        </w:tc>
        <w:tc>
          <w:tcPr>
            <w:tcW w:w="4343" w:type="dxa"/>
            <w:hideMark/>
          </w:tcPr>
          <w:p w14:paraId="00048BBA" w14:textId="77777777" w:rsidR="00EC67F0" w:rsidRPr="00EC67F0" w:rsidRDefault="00EC67F0" w:rsidP="00A6007E">
            <w:pPr>
              <w:jc w:val="center"/>
            </w:pPr>
            <w:r w:rsidRPr="00EC67F0">
              <w:t>The evidence demonstrates that Black teachers' role modelling enhances aspirations, sense of belonging, and academic attainment, thereby mitigating educational disadvantage and improving transition outcomes for Black male students.</w:t>
            </w:r>
          </w:p>
        </w:tc>
      </w:tr>
      <w:tr w:rsidR="00EC67F0" w:rsidRPr="00EC67F0" w14:paraId="3F4A5392" w14:textId="77777777" w:rsidTr="00340A70">
        <w:trPr>
          <w:trHeight w:val="2592"/>
        </w:trPr>
        <w:tc>
          <w:tcPr>
            <w:tcW w:w="704" w:type="dxa"/>
            <w:shd w:val="clear" w:color="auto" w:fill="CAEDFB" w:themeFill="accent4" w:themeFillTint="33"/>
            <w:noWrap/>
            <w:hideMark/>
          </w:tcPr>
          <w:p w14:paraId="108956A6" w14:textId="77777777" w:rsidR="00EC67F0" w:rsidRPr="00340A70" w:rsidRDefault="00EC67F0" w:rsidP="00EC67F0">
            <w:r w:rsidRPr="00340A70">
              <w:lastRenderedPageBreak/>
              <w:t>75</w:t>
            </w:r>
          </w:p>
        </w:tc>
        <w:tc>
          <w:tcPr>
            <w:tcW w:w="3969" w:type="dxa"/>
            <w:hideMark/>
          </w:tcPr>
          <w:p w14:paraId="7FCDE482" w14:textId="77777777" w:rsidR="00EC67F0" w:rsidRPr="00EC67F0" w:rsidRDefault="00EC67F0" w:rsidP="00A6007E">
            <w:pPr>
              <w:jc w:val="center"/>
            </w:pPr>
            <w:r w:rsidRPr="00EC67F0">
              <w:t xml:space="preserve">Mayor of London (2021) Understanding serious violence among young </w:t>
            </w:r>
            <w:proofErr w:type="spellStart"/>
            <w:r w:rsidRPr="00EC67F0">
              <w:t>peoplein</w:t>
            </w:r>
            <w:proofErr w:type="spellEnd"/>
            <w:r w:rsidRPr="00EC67F0">
              <w:t xml:space="preserve"> London. Greater London Authority. Available at: https://data.london.gov.uk/download/exyxr/b9b4258a-5d02-4677-9dd6-374f55fd167f/Crime%20speech%20report%20December%202021.pdf (Accessed: 22 March 2026).</w:t>
            </w:r>
          </w:p>
        </w:tc>
        <w:tc>
          <w:tcPr>
            <w:tcW w:w="4343" w:type="dxa"/>
            <w:hideMark/>
          </w:tcPr>
          <w:p w14:paraId="18C45700" w14:textId="77777777" w:rsidR="00EC67F0" w:rsidRPr="00EC67F0" w:rsidRDefault="00EC67F0" w:rsidP="00A6007E">
            <w:pPr>
              <w:jc w:val="center"/>
            </w:pPr>
            <w:r w:rsidRPr="00EC67F0">
              <w:t>This source provides London-specific data on youth violence, offering insights into spatial patterns, risk factors, and policy contexts that influence the exclusion and exploitation of Black males.</w:t>
            </w:r>
          </w:p>
        </w:tc>
      </w:tr>
      <w:tr w:rsidR="00EC67F0" w:rsidRPr="00EC67F0" w14:paraId="708AAB63" w14:textId="77777777" w:rsidTr="00340A70">
        <w:trPr>
          <w:trHeight w:val="3168"/>
        </w:trPr>
        <w:tc>
          <w:tcPr>
            <w:tcW w:w="704" w:type="dxa"/>
            <w:shd w:val="clear" w:color="auto" w:fill="CAEDFB" w:themeFill="accent4" w:themeFillTint="33"/>
            <w:noWrap/>
            <w:hideMark/>
          </w:tcPr>
          <w:p w14:paraId="2174E733" w14:textId="77777777" w:rsidR="00EC67F0" w:rsidRPr="00340A70" w:rsidRDefault="00EC67F0" w:rsidP="00EC67F0">
            <w:r w:rsidRPr="00340A70">
              <w:t>76</w:t>
            </w:r>
          </w:p>
        </w:tc>
        <w:tc>
          <w:tcPr>
            <w:tcW w:w="3969" w:type="dxa"/>
            <w:hideMark/>
          </w:tcPr>
          <w:p w14:paraId="1CD65D3B" w14:textId="77777777" w:rsidR="00EC67F0" w:rsidRPr="00EC67F0" w:rsidRDefault="00EC67F0" w:rsidP="00A6007E">
            <w:pPr>
              <w:jc w:val="center"/>
            </w:pPr>
            <w:r w:rsidRPr="00EC67F0">
              <w:t>McEvoy, D., and Hafeez, K. (2009). 'ETHNIC MINORITY ENTREPRENEURSHIP IN BRITAIN', Management and Marketing, 4(1), pp. 55–64. Available at: https://www.researchgate.net/profile/David-Mcevoy-4/publication/46542782_Ethnic_minority_entrepreneurship_in_Britain/links/0deec5347edec83ed1000000/Ethnic-minority-entrepreneurship-in-Britain.pdf (Accessed: 26 March 2026).</w:t>
            </w:r>
          </w:p>
        </w:tc>
        <w:tc>
          <w:tcPr>
            <w:tcW w:w="4343" w:type="dxa"/>
            <w:hideMark/>
          </w:tcPr>
          <w:p w14:paraId="66C361C5" w14:textId="77777777" w:rsidR="00EC67F0" w:rsidRPr="00EC67F0" w:rsidRDefault="00EC67F0" w:rsidP="00A6007E">
            <w:pPr>
              <w:jc w:val="center"/>
            </w:pPr>
            <w:r w:rsidRPr="00EC67F0">
              <w:t>This source reviews barriers to ethnic minority entrepreneurship in the UK, including access to finance, networks, and sectoral limitations, thereby informing constraints and opportunities for Black male business participation.</w:t>
            </w:r>
          </w:p>
        </w:tc>
      </w:tr>
      <w:tr w:rsidR="00EC67F0" w:rsidRPr="00EC67F0" w14:paraId="51A0ED2F" w14:textId="77777777" w:rsidTr="00340A70">
        <w:trPr>
          <w:trHeight w:val="2592"/>
        </w:trPr>
        <w:tc>
          <w:tcPr>
            <w:tcW w:w="704" w:type="dxa"/>
            <w:shd w:val="clear" w:color="auto" w:fill="CAEDFB" w:themeFill="accent4" w:themeFillTint="33"/>
            <w:noWrap/>
            <w:hideMark/>
          </w:tcPr>
          <w:p w14:paraId="12DDF997" w14:textId="77777777" w:rsidR="00EC67F0" w:rsidRPr="00340A70" w:rsidRDefault="00EC67F0" w:rsidP="00EC67F0">
            <w:r w:rsidRPr="00340A70">
              <w:t>77</w:t>
            </w:r>
          </w:p>
        </w:tc>
        <w:tc>
          <w:tcPr>
            <w:tcW w:w="3969" w:type="dxa"/>
            <w:hideMark/>
          </w:tcPr>
          <w:p w14:paraId="68BCDCCF" w14:textId="77777777" w:rsidR="00EC67F0" w:rsidRPr="00EC67F0" w:rsidRDefault="00EC67F0" w:rsidP="00A6007E">
            <w:pPr>
              <w:jc w:val="center"/>
            </w:pPr>
            <w:r w:rsidRPr="00EC67F0">
              <w:t>Mental Health Foundation (2024). Black, Asian and minority ethnic (BAME) communities. Available at: https://www.mentalhealth.org.uk/explore-mental-health/a-z-topics/black-asian-and-minority-ethnic-bame-communities (Accessed: 30 March 2026).</w:t>
            </w:r>
          </w:p>
        </w:tc>
        <w:tc>
          <w:tcPr>
            <w:tcW w:w="4343" w:type="dxa"/>
            <w:hideMark/>
          </w:tcPr>
          <w:p w14:paraId="306FF1ED" w14:textId="77777777" w:rsidR="00EC67F0" w:rsidRPr="00EC67F0" w:rsidRDefault="00EC67F0" w:rsidP="00A6007E">
            <w:pPr>
              <w:jc w:val="center"/>
            </w:pPr>
            <w:r w:rsidRPr="00EC67F0">
              <w:t>This work summarises mental health disparities, access barriers, and stigma within BAME communities, providing insights into how these factors mediate the relationship between educational disadvantage and exploitation risk.</w:t>
            </w:r>
          </w:p>
        </w:tc>
      </w:tr>
      <w:tr w:rsidR="00EC67F0" w:rsidRPr="00EC67F0" w14:paraId="2013E9B5" w14:textId="77777777" w:rsidTr="00340A70">
        <w:trPr>
          <w:trHeight w:val="3168"/>
        </w:trPr>
        <w:tc>
          <w:tcPr>
            <w:tcW w:w="704" w:type="dxa"/>
            <w:shd w:val="clear" w:color="auto" w:fill="CAEDFB" w:themeFill="accent4" w:themeFillTint="33"/>
            <w:noWrap/>
            <w:hideMark/>
          </w:tcPr>
          <w:p w14:paraId="25B806FB" w14:textId="77777777" w:rsidR="00EC67F0" w:rsidRPr="00340A70" w:rsidRDefault="00EC67F0" w:rsidP="00EC67F0">
            <w:r w:rsidRPr="00340A70">
              <w:t>78</w:t>
            </w:r>
          </w:p>
        </w:tc>
        <w:tc>
          <w:tcPr>
            <w:tcW w:w="3969" w:type="dxa"/>
            <w:hideMark/>
          </w:tcPr>
          <w:p w14:paraId="1FF09C09" w14:textId="77777777" w:rsidR="00EC67F0" w:rsidRPr="00EC67F0" w:rsidRDefault="00EC67F0" w:rsidP="00A6007E">
            <w:pPr>
              <w:jc w:val="center"/>
            </w:pPr>
            <w:r w:rsidRPr="00EC67F0">
              <w:t>Meredith, I., Davis, J., Stubbings, D., and Payne, L. (2025). 'Unsuspectingly Vulnerable: A rapid evidence assessment on the vulnerability of university students to criminal exploitation.', International Journal of Offender Therapy and Comparative Criminology, 70(6-7), pp. 722–741. Available at: https://journals.sagepub.com/doi/epdf/10.1177/0306624X251329944 (Accessed: 1 April 2026).</w:t>
            </w:r>
          </w:p>
        </w:tc>
        <w:tc>
          <w:tcPr>
            <w:tcW w:w="4343" w:type="dxa"/>
            <w:hideMark/>
          </w:tcPr>
          <w:p w14:paraId="6C9EB85E" w14:textId="77777777" w:rsidR="00EC67F0" w:rsidRPr="00EC67F0" w:rsidRDefault="00EC67F0" w:rsidP="00A6007E">
            <w:pPr>
              <w:jc w:val="center"/>
            </w:pPr>
            <w:r w:rsidRPr="00EC67F0">
              <w:t>This work assesses university students' vulnerability to criminal exploitation, emphasising financial precarity, the recruitment of individuals with no criminal record, and gaps in prevention evidence.</w:t>
            </w:r>
          </w:p>
        </w:tc>
      </w:tr>
      <w:tr w:rsidR="00EC67F0" w:rsidRPr="00EC67F0" w14:paraId="26184380" w14:textId="77777777" w:rsidTr="00340A70">
        <w:trPr>
          <w:trHeight w:val="2304"/>
        </w:trPr>
        <w:tc>
          <w:tcPr>
            <w:tcW w:w="704" w:type="dxa"/>
            <w:shd w:val="clear" w:color="auto" w:fill="CAEDFB" w:themeFill="accent4" w:themeFillTint="33"/>
            <w:noWrap/>
            <w:hideMark/>
          </w:tcPr>
          <w:p w14:paraId="36F98C76" w14:textId="77777777" w:rsidR="00EC67F0" w:rsidRPr="00340A70" w:rsidRDefault="00EC67F0" w:rsidP="00EC67F0">
            <w:r w:rsidRPr="00340A70">
              <w:lastRenderedPageBreak/>
              <w:t>79</w:t>
            </w:r>
          </w:p>
        </w:tc>
        <w:tc>
          <w:tcPr>
            <w:tcW w:w="3969" w:type="dxa"/>
            <w:hideMark/>
          </w:tcPr>
          <w:p w14:paraId="1E8E5E31" w14:textId="77777777" w:rsidR="00EC67F0" w:rsidRPr="00EC67F0" w:rsidRDefault="00EC67F0" w:rsidP="00A6007E">
            <w:pPr>
              <w:jc w:val="center"/>
            </w:pPr>
            <w:proofErr w:type="spellStart"/>
            <w:r w:rsidRPr="00EC67F0">
              <w:t>Mimirinis</w:t>
            </w:r>
            <w:proofErr w:type="spellEnd"/>
            <w:r w:rsidRPr="00EC67F0">
              <w:t xml:space="preserve">, M., </w:t>
            </w:r>
            <w:proofErr w:type="spellStart"/>
            <w:r w:rsidRPr="00EC67F0">
              <w:t>Ventouris</w:t>
            </w:r>
            <w:proofErr w:type="spellEnd"/>
            <w:r w:rsidRPr="00EC67F0">
              <w:t>, A., and Wright, E. (2023). 'Variation in Black students’ conceptions of academic support', British Educational Research Journal, 50(1), pp. 1–453. Available at: https://bera-journals.onlinelibrary.wiley.com/doi/epdf/10.1002/berj.3921 (Accessed: 24 March 2026).</w:t>
            </w:r>
          </w:p>
        </w:tc>
        <w:tc>
          <w:tcPr>
            <w:tcW w:w="4343" w:type="dxa"/>
            <w:hideMark/>
          </w:tcPr>
          <w:p w14:paraId="56C030AD" w14:textId="77777777" w:rsidR="00EC67F0" w:rsidRPr="00EC67F0" w:rsidRDefault="00EC67F0" w:rsidP="00A6007E">
            <w:pPr>
              <w:jc w:val="center"/>
            </w:pPr>
            <w:r w:rsidRPr="00EC67F0">
              <w:t>This work examines the varying expectations of academic support among Black students and highlights the significance of tailored interventions in shaping retention, sense of belonging, and post-graduation outcomes.</w:t>
            </w:r>
          </w:p>
        </w:tc>
      </w:tr>
      <w:tr w:rsidR="00EC67F0" w:rsidRPr="00EC67F0" w14:paraId="1389A07D" w14:textId="77777777" w:rsidTr="00340A70">
        <w:trPr>
          <w:trHeight w:val="3168"/>
        </w:trPr>
        <w:tc>
          <w:tcPr>
            <w:tcW w:w="704" w:type="dxa"/>
            <w:shd w:val="clear" w:color="auto" w:fill="CAEDFB" w:themeFill="accent4" w:themeFillTint="33"/>
            <w:noWrap/>
            <w:hideMark/>
          </w:tcPr>
          <w:p w14:paraId="0BE25980" w14:textId="77777777" w:rsidR="00EC67F0" w:rsidRPr="00340A70" w:rsidRDefault="00EC67F0" w:rsidP="00EC67F0">
            <w:r w:rsidRPr="00340A70">
              <w:t>80</w:t>
            </w:r>
          </w:p>
        </w:tc>
        <w:tc>
          <w:tcPr>
            <w:tcW w:w="3969" w:type="dxa"/>
            <w:hideMark/>
          </w:tcPr>
          <w:p w14:paraId="0590285E" w14:textId="77777777" w:rsidR="00EC67F0" w:rsidRPr="00EC67F0" w:rsidRDefault="00EC67F0" w:rsidP="00A6007E">
            <w:pPr>
              <w:jc w:val="center"/>
            </w:pPr>
            <w:r w:rsidRPr="00EC67F0">
              <w:t>Mocombe, P., Tomlin, C., and Wright, C. (2014). 'Race and class distinctions within black communities in the United States and United Kingdom: a reading in phenomenological structuralism', African and Black Diaspora: An International Journal, 8(1), pp. 111–125. Available at: https://www-tandfonline-com.uwtsd.idm.oclc.org/doi/full/10.1080/17528631.2014.972703#d1e154 (Accessed: 18 March 2026).</w:t>
            </w:r>
          </w:p>
        </w:tc>
        <w:tc>
          <w:tcPr>
            <w:tcW w:w="4343" w:type="dxa"/>
            <w:hideMark/>
          </w:tcPr>
          <w:p w14:paraId="06695FB7" w14:textId="77777777" w:rsidR="00EC67F0" w:rsidRPr="00EC67F0" w:rsidRDefault="00EC67F0" w:rsidP="00A6007E">
            <w:pPr>
              <w:jc w:val="center"/>
            </w:pPr>
            <w:r w:rsidRPr="00EC67F0">
              <w:t>This analysis emphasises intragroup racial and class distinctions that shape experiences and inform nuanced examinations of Black males' transitions from education to employment.</w:t>
            </w:r>
          </w:p>
        </w:tc>
      </w:tr>
      <w:tr w:rsidR="00EC67F0" w:rsidRPr="00EC67F0" w14:paraId="6AA7289D" w14:textId="77777777" w:rsidTr="00340A70">
        <w:trPr>
          <w:trHeight w:val="2304"/>
        </w:trPr>
        <w:tc>
          <w:tcPr>
            <w:tcW w:w="704" w:type="dxa"/>
            <w:shd w:val="clear" w:color="auto" w:fill="CAEDFB" w:themeFill="accent4" w:themeFillTint="33"/>
            <w:noWrap/>
            <w:hideMark/>
          </w:tcPr>
          <w:p w14:paraId="21DE86F2" w14:textId="77777777" w:rsidR="00EC67F0" w:rsidRPr="00340A70" w:rsidRDefault="00EC67F0" w:rsidP="00EC67F0">
            <w:r w:rsidRPr="00340A70">
              <w:t>81</w:t>
            </w:r>
          </w:p>
        </w:tc>
        <w:tc>
          <w:tcPr>
            <w:tcW w:w="3969" w:type="dxa"/>
            <w:hideMark/>
          </w:tcPr>
          <w:p w14:paraId="70EBB9D8" w14:textId="77777777" w:rsidR="00EC67F0" w:rsidRPr="00EC67F0" w:rsidRDefault="00EC67F0" w:rsidP="00A6007E">
            <w:pPr>
              <w:jc w:val="center"/>
            </w:pPr>
            <w:r w:rsidRPr="00EC67F0">
              <w:t xml:space="preserve">Molefe, T. (2016). 'Oppression Must Fall: South Africa’s Revolution in Theory', World Policy Journal, 33(1), pp. 30–37. Available at: </w:t>
            </w:r>
            <w:proofErr w:type="gramStart"/>
            <w:r w:rsidRPr="00EC67F0">
              <w:t>https://muse.jhu.edu/pub/4/article/613174/summary  (</w:t>
            </w:r>
            <w:proofErr w:type="gramEnd"/>
            <w:r w:rsidRPr="00EC67F0">
              <w:t>Accessed: 23 March 2026).</w:t>
            </w:r>
          </w:p>
        </w:tc>
        <w:tc>
          <w:tcPr>
            <w:tcW w:w="4343" w:type="dxa"/>
            <w:hideMark/>
          </w:tcPr>
          <w:p w14:paraId="1E457BB2" w14:textId="77777777" w:rsidR="00EC67F0" w:rsidRPr="00EC67F0" w:rsidRDefault="00EC67F0" w:rsidP="00A6007E">
            <w:pPr>
              <w:jc w:val="center"/>
            </w:pPr>
            <w:r w:rsidRPr="00EC67F0">
              <w:t>This analysis applies decolonial theory to support arguments for curriculum decolonisation, specifically addressing curricular whiteness and enhancing Black male students' sense of belonging and educational outcomes.</w:t>
            </w:r>
          </w:p>
        </w:tc>
      </w:tr>
      <w:tr w:rsidR="00EC67F0" w:rsidRPr="00EC67F0" w14:paraId="0DED308D" w14:textId="77777777" w:rsidTr="00340A70">
        <w:trPr>
          <w:trHeight w:val="2016"/>
        </w:trPr>
        <w:tc>
          <w:tcPr>
            <w:tcW w:w="704" w:type="dxa"/>
            <w:shd w:val="clear" w:color="auto" w:fill="CAEDFB" w:themeFill="accent4" w:themeFillTint="33"/>
            <w:noWrap/>
            <w:hideMark/>
          </w:tcPr>
          <w:p w14:paraId="29CDFDC8" w14:textId="77777777" w:rsidR="00EC67F0" w:rsidRPr="00340A70" w:rsidRDefault="00EC67F0" w:rsidP="00EC67F0">
            <w:r w:rsidRPr="00340A70">
              <w:t>82</w:t>
            </w:r>
          </w:p>
        </w:tc>
        <w:tc>
          <w:tcPr>
            <w:tcW w:w="3969" w:type="dxa"/>
            <w:hideMark/>
          </w:tcPr>
          <w:p w14:paraId="5E8DA6F7" w14:textId="77777777" w:rsidR="00EC67F0" w:rsidRPr="00EC67F0" w:rsidRDefault="00EC67F0" w:rsidP="00A6007E">
            <w:pPr>
              <w:jc w:val="center"/>
            </w:pPr>
            <w:r w:rsidRPr="00EC67F0">
              <w:t>Nijjar, J. (2021). 'Police–School Partnerships and the War on Black Youth', Critical Social Policy, 41(3), pp. 491–501. Available at: https://bura.brunel.ac.uk/bitstream/2438/30026/1/FullText.pdf (Accessed: 22 March 2026).</w:t>
            </w:r>
          </w:p>
        </w:tc>
        <w:tc>
          <w:tcPr>
            <w:tcW w:w="4343" w:type="dxa"/>
            <w:hideMark/>
          </w:tcPr>
          <w:p w14:paraId="7B4B2C3E" w14:textId="77777777" w:rsidR="00EC67F0" w:rsidRPr="00EC67F0" w:rsidRDefault="00EC67F0" w:rsidP="00A6007E">
            <w:pPr>
              <w:jc w:val="center"/>
            </w:pPr>
            <w:r w:rsidRPr="00EC67F0">
              <w:t>This work critiques the racial harms of police–school partnerships, demonstrating that securitisation increases exclusion, criminalisation, and vulnerability among Black male students.</w:t>
            </w:r>
          </w:p>
        </w:tc>
      </w:tr>
      <w:tr w:rsidR="00EC67F0" w:rsidRPr="00EC67F0" w14:paraId="74132D87" w14:textId="77777777" w:rsidTr="00340A70">
        <w:trPr>
          <w:trHeight w:val="3168"/>
        </w:trPr>
        <w:tc>
          <w:tcPr>
            <w:tcW w:w="704" w:type="dxa"/>
            <w:shd w:val="clear" w:color="auto" w:fill="CAEDFB" w:themeFill="accent4" w:themeFillTint="33"/>
            <w:noWrap/>
            <w:hideMark/>
          </w:tcPr>
          <w:p w14:paraId="5F6C4599" w14:textId="77777777" w:rsidR="00EC67F0" w:rsidRPr="00340A70" w:rsidRDefault="00EC67F0" w:rsidP="00EC67F0">
            <w:r w:rsidRPr="00340A70">
              <w:lastRenderedPageBreak/>
              <w:t>83</w:t>
            </w:r>
          </w:p>
        </w:tc>
        <w:tc>
          <w:tcPr>
            <w:tcW w:w="3969" w:type="dxa"/>
            <w:hideMark/>
          </w:tcPr>
          <w:p w14:paraId="57B6D725" w14:textId="77777777" w:rsidR="00EC67F0" w:rsidRPr="00EC67F0" w:rsidRDefault="00EC67F0" w:rsidP="00A6007E">
            <w:pPr>
              <w:jc w:val="center"/>
            </w:pPr>
            <w:r w:rsidRPr="00EC67F0">
              <w:t>Nwankwo, S. (2005). 'Characterisation of Black African entrepreneurship in the UK: a pilot study', Journal of Small Business and Enterprise Development, 12(1), pp. 120–136. Available at: https://www.proquest.com/docview/219239252?accountid=130472&amp;parentSessionId=JyBdns9wLCm5C7ZTgtJyDsZwgj55Z1IScOH%2FgKjQVqc%3D&amp;pq-origsite=primo&amp;sourcetype=Scholarly%20Journals (Accessed: 28 March 2026).</w:t>
            </w:r>
          </w:p>
        </w:tc>
        <w:tc>
          <w:tcPr>
            <w:tcW w:w="4343" w:type="dxa"/>
            <w:hideMark/>
          </w:tcPr>
          <w:p w14:paraId="1C689B1B" w14:textId="77777777" w:rsidR="00EC67F0" w:rsidRPr="00EC67F0" w:rsidRDefault="00EC67F0" w:rsidP="00A6007E">
            <w:pPr>
              <w:jc w:val="center"/>
            </w:pPr>
            <w:r w:rsidRPr="00EC67F0">
              <w:t>This study examines Black African entrepreneurship in the UK, emphasising sectoral niches, resource limitations, and structural barriers that influence the business participation and sustainability of Black males.</w:t>
            </w:r>
          </w:p>
        </w:tc>
      </w:tr>
      <w:tr w:rsidR="00EC67F0" w:rsidRPr="00EC67F0" w14:paraId="0E879210" w14:textId="77777777" w:rsidTr="00340A70">
        <w:trPr>
          <w:trHeight w:val="2304"/>
        </w:trPr>
        <w:tc>
          <w:tcPr>
            <w:tcW w:w="704" w:type="dxa"/>
            <w:shd w:val="clear" w:color="auto" w:fill="CAEDFB" w:themeFill="accent4" w:themeFillTint="33"/>
            <w:noWrap/>
            <w:hideMark/>
          </w:tcPr>
          <w:p w14:paraId="1EC68244" w14:textId="77777777" w:rsidR="00EC67F0" w:rsidRPr="00340A70" w:rsidRDefault="00EC67F0" w:rsidP="00EC67F0">
            <w:r w:rsidRPr="00340A70">
              <w:t>84</w:t>
            </w:r>
          </w:p>
        </w:tc>
        <w:tc>
          <w:tcPr>
            <w:tcW w:w="3969" w:type="dxa"/>
            <w:hideMark/>
          </w:tcPr>
          <w:p w14:paraId="408025AC" w14:textId="77777777" w:rsidR="00EC67F0" w:rsidRPr="00EC67F0" w:rsidRDefault="00EC67F0" w:rsidP="00A6007E">
            <w:pPr>
              <w:jc w:val="center"/>
            </w:pPr>
            <w:r w:rsidRPr="00EC67F0">
              <w:t>Office for National Statistics (ONS). (2020a) Crime in England and Wales: year ending March 2020. Office for National Statistics. Available at: https://www.ons.gov.uk/peoplepopulationandcommunity/crimeandjustice/bulletins/crimeinenglandandwales/yearendingmarch2020 (Accessed: 23 March 2026).</w:t>
            </w:r>
          </w:p>
        </w:tc>
        <w:tc>
          <w:tcPr>
            <w:tcW w:w="4343" w:type="dxa"/>
            <w:hideMark/>
          </w:tcPr>
          <w:p w14:paraId="0F320F74" w14:textId="77777777" w:rsidR="00EC67F0" w:rsidRPr="00EC67F0" w:rsidRDefault="00EC67F0" w:rsidP="00A6007E">
            <w:pPr>
              <w:jc w:val="center"/>
            </w:pPr>
            <w:r w:rsidRPr="00EC67F0">
              <w:t>Provides national crime trends showing youth violence and geographic concentrations, informing risk contexts and disproportionality affecting Black males' vulnerability.</w:t>
            </w:r>
          </w:p>
        </w:tc>
      </w:tr>
      <w:tr w:rsidR="00EC67F0" w:rsidRPr="00EC67F0" w14:paraId="7ADC812F" w14:textId="77777777" w:rsidTr="00340A70">
        <w:trPr>
          <w:trHeight w:val="2016"/>
        </w:trPr>
        <w:tc>
          <w:tcPr>
            <w:tcW w:w="704" w:type="dxa"/>
            <w:shd w:val="clear" w:color="auto" w:fill="CAEDFB" w:themeFill="accent4" w:themeFillTint="33"/>
            <w:noWrap/>
            <w:hideMark/>
          </w:tcPr>
          <w:p w14:paraId="01FB16C8" w14:textId="77777777" w:rsidR="00EC67F0" w:rsidRPr="00340A70" w:rsidRDefault="00EC67F0" w:rsidP="00EC67F0">
            <w:r w:rsidRPr="00340A70">
              <w:t>85</w:t>
            </w:r>
          </w:p>
        </w:tc>
        <w:tc>
          <w:tcPr>
            <w:tcW w:w="3969" w:type="dxa"/>
            <w:hideMark/>
          </w:tcPr>
          <w:p w14:paraId="18A59528" w14:textId="77777777" w:rsidR="00EC67F0" w:rsidRPr="00EC67F0" w:rsidRDefault="00EC67F0" w:rsidP="00A6007E">
            <w:pPr>
              <w:jc w:val="center"/>
            </w:pPr>
            <w:r w:rsidRPr="00EC67F0">
              <w:t>Office of the Children’s Commissioner (2019) A Manifesto for Children: Office of the Children’s Commissioner. Available at: https://assets.childrenscommissioner.gov.uk/wpuploads/2019/09/cco-a-manifesto-for-children.pdf (Accessed: 22 March 2026).</w:t>
            </w:r>
          </w:p>
        </w:tc>
        <w:tc>
          <w:tcPr>
            <w:tcW w:w="4343" w:type="dxa"/>
            <w:hideMark/>
          </w:tcPr>
          <w:p w14:paraId="2357D03D" w14:textId="5546674F" w:rsidR="00EC67F0" w:rsidRPr="00EC67F0" w:rsidRDefault="00EC67F0" w:rsidP="00A6007E">
            <w:pPr>
              <w:jc w:val="center"/>
            </w:pPr>
            <w:r w:rsidRPr="00EC67F0">
              <w:t xml:space="preserve">Advocates </w:t>
            </w:r>
            <w:r w:rsidR="00B73A39">
              <w:t xml:space="preserve">for child-centred policy and safeguarding priorities, informing prevention, support, and </w:t>
            </w:r>
            <w:r w:rsidRPr="00EC67F0">
              <w:t>reforms to reduce exclusions and exploitation risks for Black males.</w:t>
            </w:r>
          </w:p>
        </w:tc>
      </w:tr>
      <w:tr w:rsidR="00EC67F0" w:rsidRPr="00EC67F0" w14:paraId="6C5FAA6F" w14:textId="77777777" w:rsidTr="00340A70">
        <w:trPr>
          <w:trHeight w:val="3744"/>
        </w:trPr>
        <w:tc>
          <w:tcPr>
            <w:tcW w:w="704" w:type="dxa"/>
            <w:shd w:val="clear" w:color="auto" w:fill="CAEDFB" w:themeFill="accent4" w:themeFillTint="33"/>
            <w:noWrap/>
            <w:hideMark/>
          </w:tcPr>
          <w:p w14:paraId="7854DDC9" w14:textId="77777777" w:rsidR="00EC67F0" w:rsidRPr="00340A70" w:rsidRDefault="00EC67F0" w:rsidP="00EC67F0">
            <w:r w:rsidRPr="00340A70">
              <w:t>86</w:t>
            </w:r>
          </w:p>
        </w:tc>
        <w:tc>
          <w:tcPr>
            <w:tcW w:w="3969" w:type="dxa"/>
            <w:hideMark/>
          </w:tcPr>
          <w:p w14:paraId="6ACD4FA5" w14:textId="77777777" w:rsidR="00EC67F0" w:rsidRPr="00EC67F0" w:rsidRDefault="00EC67F0" w:rsidP="00A6007E">
            <w:pPr>
              <w:jc w:val="center"/>
            </w:pPr>
            <w:r w:rsidRPr="00EC67F0">
              <w:t>Ofsted (2005). Race equality in further education: a report by HMI. The Stationery Office Available at: https://dera.ioe.ac.uk/id/eprint/5547/1/Race%20equality%20in%20further%20education%20a%20report%20by%20HMI%20progress%20and%20good%20practice%20in%20colleges%20in%20the%20further%20education%20sector%20in%20response%20to%20the%20Race%20Relations%20%28Amendment%29%20Act%202000%20%28PDF%20format.pdf (Accessed: 20 March 2026).</w:t>
            </w:r>
          </w:p>
        </w:tc>
        <w:tc>
          <w:tcPr>
            <w:tcW w:w="4343" w:type="dxa"/>
            <w:hideMark/>
          </w:tcPr>
          <w:p w14:paraId="61754EDF" w14:textId="77777777" w:rsidR="00EC67F0" w:rsidRPr="00EC67F0" w:rsidRDefault="00EC67F0" w:rsidP="00A6007E">
            <w:pPr>
              <w:jc w:val="center"/>
            </w:pPr>
            <w:r w:rsidRPr="00EC67F0">
              <w:t>This report evaluates race equality within FE, presenting evidence of current practices, progress, and existing gaps that shape supportive FE environments and enhance the educational trajectories of Black males.</w:t>
            </w:r>
          </w:p>
        </w:tc>
      </w:tr>
      <w:tr w:rsidR="00EC67F0" w:rsidRPr="00EC67F0" w14:paraId="092B4136" w14:textId="77777777" w:rsidTr="00340A70">
        <w:trPr>
          <w:trHeight w:val="2592"/>
        </w:trPr>
        <w:tc>
          <w:tcPr>
            <w:tcW w:w="704" w:type="dxa"/>
            <w:shd w:val="clear" w:color="auto" w:fill="CAEDFB" w:themeFill="accent4" w:themeFillTint="33"/>
            <w:noWrap/>
            <w:hideMark/>
          </w:tcPr>
          <w:p w14:paraId="2D1A53F8" w14:textId="77777777" w:rsidR="00EC67F0" w:rsidRPr="00340A70" w:rsidRDefault="00EC67F0" w:rsidP="00EC67F0">
            <w:r w:rsidRPr="00340A70">
              <w:lastRenderedPageBreak/>
              <w:t>87</w:t>
            </w:r>
          </w:p>
        </w:tc>
        <w:tc>
          <w:tcPr>
            <w:tcW w:w="3969" w:type="dxa"/>
            <w:hideMark/>
          </w:tcPr>
          <w:p w14:paraId="66141D72" w14:textId="77777777" w:rsidR="00EC67F0" w:rsidRPr="00EC67F0" w:rsidRDefault="00EC67F0" w:rsidP="00A6007E">
            <w:pPr>
              <w:jc w:val="center"/>
            </w:pPr>
            <w:r w:rsidRPr="00EC67F0">
              <w:t>O’Hagan, A., and Edmundson, C. (2021). 'County lines: The exploitation of vulnerable members of society', Forensic Research and Criminology International Journal, 9(2), pp. 47-57. Available at: https://irep.ntu.ac.uk/id/eprint/44335/1/1475824_O%27Hagan.pdf (Accessed: 2 April 2026).</w:t>
            </w:r>
          </w:p>
        </w:tc>
        <w:tc>
          <w:tcPr>
            <w:tcW w:w="4343" w:type="dxa"/>
            <w:hideMark/>
          </w:tcPr>
          <w:p w14:paraId="2CBA7BC7" w14:textId="77777777" w:rsidR="00EC67F0" w:rsidRPr="00EC67F0" w:rsidRDefault="00EC67F0" w:rsidP="00A6007E">
            <w:pPr>
              <w:jc w:val="center"/>
            </w:pPr>
            <w:r w:rsidRPr="00EC67F0">
              <w:t>This analysis examines County Lines exploitation mechanisms that target vulnerable youth, highlighting the connections between school exclusion, financial precarity, and increased recruitment risks for Black males.</w:t>
            </w:r>
          </w:p>
        </w:tc>
      </w:tr>
      <w:tr w:rsidR="00EC67F0" w:rsidRPr="00EC67F0" w14:paraId="3E414DC9" w14:textId="77777777" w:rsidTr="00340A70">
        <w:trPr>
          <w:trHeight w:val="2880"/>
        </w:trPr>
        <w:tc>
          <w:tcPr>
            <w:tcW w:w="704" w:type="dxa"/>
            <w:shd w:val="clear" w:color="auto" w:fill="CAEDFB" w:themeFill="accent4" w:themeFillTint="33"/>
            <w:noWrap/>
            <w:hideMark/>
          </w:tcPr>
          <w:p w14:paraId="5B7165C5" w14:textId="77777777" w:rsidR="00EC67F0" w:rsidRPr="00340A70" w:rsidRDefault="00EC67F0" w:rsidP="00EC67F0">
            <w:r w:rsidRPr="00340A70">
              <w:t>88</w:t>
            </w:r>
          </w:p>
        </w:tc>
        <w:tc>
          <w:tcPr>
            <w:tcW w:w="3969" w:type="dxa"/>
            <w:hideMark/>
          </w:tcPr>
          <w:p w14:paraId="285A1667" w14:textId="77777777" w:rsidR="00EC67F0" w:rsidRPr="00EC67F0" w:rsidRDefault="00EC67F0" w:rsidP="00A6007E">
            <w:pPr>
              <w:jc w:val="center"/>
            </w:pPr>
            <w:r w:rsidRPr="00EC67F0">
              <w:t>Olutola, I. (2019). An Interpretive Analysis of Long-Term Success of Black Businesses in Britain.  Doctor of Philosophy. University of East London. Available at: https://web.archive.org/web/20200217013122id_/https://repository.uel.ac.uk/download/ab4ce0e77fc4ea547a22b9fd9a32178c1fb4955b756d8a52c6d515de31c80543/1514295/2019_PhD_Olutola.pdf (28 March 2026).</w:t>
            </w:r>
          </w:p>
        </w:tc>
        <w:tc>
          <w:tcPr>
            <w:tcW w:w="4343" w:type="dxa"/>
            <w:hideMark/>
          </w:tcPr>
          <w:p w14:paraId="231A2D1C" w14:textId="77777777" w:rsidR="00EC67F0" w:rsidRPr="00EC67F0" w:rsidRDefault="00EC67F0" w:rsidP="00A6007E">
            <w:pPr>
              <w:jc w:val="center"/>
            </w:pPr>
            <w:r w:rsidRPr="00EC67F0">
              <w:t>This UK-based qualitative study examines long-term determinants of Black business success, including finance, networks, and mentorship, and highlights sustainability challenges faced by Black male entrepreneurs.</w:t>
            </w:r>
          </w:p>
        </w:tc>
      </w:tr>
      <w:tr w:rsidR="00EC67F0" w:rsidRPr="00EC67F0" w14:paraId="26772EC3" w14:textId="77777777" w:rsidTr="00340A70">
        <w:trPr>
          <w:trHeight w:val="2592"/>
        </w:trPr>
        <w:tc>
          <w:tcPr>
            <w:tcW w:w="704" w:type="dxa"/>
            <w:shd w:val="clear" w:color="auto" w:fill="CAEDFB" w:themeFill="accent4" w:themeFillTint="33"/>
            <w:noWrap/>
            <w:hideMark/>
          </w:tcPr>
          <w:p w14:paraId="6A51DDDA" w14:textId="77777777" w:rsidR="00EC67F0" w:rsidRPr="00340A70" w:rsidRDefault="00EC67F0" w:rsidP="00EC67F0">
            <w:r w:rsidRPr="00340A70">
              <w:t>89</w:t>
            </w:r>
          </w:p>
        </w:tc>
        <w:tc>
          <w:tcPr>
            <w:tcW w:w="3969" w:type="dxa"/>
            <w:hideMark/>
          </w:tcPr>
          <w:p w14:paraId="61B8D91F" w14:textId="77777777" w:rsidR="00EC67F0" w:rsidRPr="00EC67F0" w:rsidRDefault="00EC67F0" w:rsidP="00A6007E">
            <w:pPr>
              <w:jc w:val="center"/>
            </w:pPr>
            <w:r w:rsidRPr="00EC67F0">
              <w:t>Parliamentary Business (2005). Ethnic minority employment (Select Committee on Work and Pensions Fourth Report). Parliament UK. Available at: https://publications.parliament.uk/pa/cm200405/cmselect/cmworpen/268/26811.htm (Accessed: 25 March 2026).</w:t>
            </w:r>
          </w:p>
        </w:tc>
        <w:tc>
          <w:tcPr>
            <w:tcW w:w="4343" w:type="dxa"/>
            <w:hideMark/>
          </w:tcPr>
          <w:p w14:paraId="0B6E6DCE" w14:textId="77777777" w:rsidR="00EC67F0" w:rsidRPr="00EC67F0" w:rsidRDefault="00EC67F0" w:rsidP="00A6007E">
            <w:pPr>
              <w:jc w:val="center"/>
            </w:pPr>
            <w:r w:rsidRPr="00EC67F0">
              <w:t>An official UK inquiry into ethnic minority employment provides evidence of structural labour-market barriers, discrimination, and policy implications that affect the employment transitions of Black males.</w:t>
            </w:r>
          </w:p>
        </w:tc>
      </w:tr>
      <w:tr w:rsidR="00EC67F0" w:rsidRPr="00EC67F0" w14:paraId="3CF28DFC" w14:textId="77777777" w:rsidTr="00340A70">
        <w:trPr>
          <w:trHeight w:val="2592"/>
        </w:trPr>
        <w:tc>
          <w:tcPr>
            <w:tcW w:w="704" w:type="dxa"/>
            <w:shd w:val="clear" w:color="auto" w:fill="CAEDFB" w:themeFill="accent4" w:themeFillTint="33"/>
            <w:noWrap/>
            <w:hideMark/>
          </w:tcPr>
          <w:p w14:paraId="4549A7C9" w14:textId="77777777" w:rsidR="00EC67F0" w:rsidRPr="00340A70" w:rsidRDefault="00EC67F0" w:rsidP="00EC67F0">
            <w:r w:rsidRPr="00340A70">
              <w:t>90</w:t>
            </w:r>
          </w:p>
        </w:tc>
        <w:tc>
          <w:tcPr>
            <w:tcW w:w="3969" w:type="dxa"/>
            <w:hideMark/>
          </w:tcPr>
          <w:p w14:paraId="35B6A5A8" w14:textId="77777777" w:rsidR="00EC67F0" w:rsidRPr="00EC67F0" w:rsidRDefault="00EC67F0" w:rsidP="00A6007E">
            <w:pPr>
              <w:jc w:val="center"/>
            </w:pPr>
            <w:r w:rsidRPr="00EC67F0">
              <w:t>Payne, J. (2001). Patterns of Participation in Full-Time Education after 16: An Analysis of the England and Wales Youth Cohort Study. RR307. Queen’s Printer. Available at: https://dera.ioe.ac.uk/id/eprint/4577/1/RR307.pdf (Accessed: 18 March 2026).</w:t>
            </w:r>
          </w:p>
        </w:tc>
        <w:tc>
          <w:tcPr>
            <w:tcW w:w="4343" w:type="dxa"/>
            <w:hideMark/>
          </w:tcPr>
          <w:p w14:paraId="3AFDFD7E" w14:textId="77777777" w:rsidR="00EC67F0" w:rsidRPr="00EC67F0" w:rsidRDefault="00EC67F0" w:rsidP="00A6007E">
            <w:pPr>
              <w:jc w:val="center"/>
            </w:pPr>
            <w:r w:rsidRPr="00EC67F0">
              <w:t>This analysis examines post-16 participation patterns to inform understanding of how educational pathways, retention, and transitions influence Black males' progression into employment, apprenticeships, or increased vulnerability.</w:t>
            </w:r>
          </w:p>
        </w:tc>
      </w:tr>
      <w:tr w:rsidR="00EC67F0" w:rsidRPr="00EC67F0" w14:paraId="4B09CC70" w14:textId="77777777" w:rsidTr="00340A70">
        <w:trPr>
          <w:trHeight w:val="2304"/>
        </w:trPr>
        <w:tc>
          <w:tcPr>
            <w:tcW w:w="704" w:type="dxa"/>
            <w:shd w:val="clear" w:color="auto" w:fill="CAEDFB" w:themeFill="accent4" w:themeFillTint="33"/>
            <w:noWrap/>
            <w:hideMark/>
          </w:tcPr>
          <w:p w14:paraId="403DD3C4" w14:textId="77777777" w:rsidR="00EC67F0" w:rsidRPr="00340A70" w:rsidRDefault="00EC67F0" w:rsidP="00EC67F0">
            <w:r w:rsidRPr="00340A70">
              <w:lastRenderedPageBreak/>
              <w:t>91</w:t>
            </w:r>
          </w:p>
        </w:tc>
        <w:tc>
          <w:tcPr>
            <w:tcW w:w="3969" w:type="dxa"/>
            <w:hideMark/>
          </w:tcPr>
          <w:p w14:paraId="1EF1CA2A" w14:textId="77777777" w:rsidR="00EC67F0" w:rsidRPr="00EC67F0" w:rsidRDefault="00EC67F0" w:rsidP="00A6007E">
            <w:pPr>
              <w:jc w:val="center"/>
            </w:pPr>
            <w:r w:rsidRPr="00EC67F0">
              <w:t>Peters, M. (2015). 'Why is My Curriculum White?', Educational Philosophy and Theory, 47(7), pp. 641–646. Available at: https://www.tandfonline.com/doi/epdf/10.1080/00131857.2015.1037227?needAccess=true (Accessed: 23 March 2026).</w:t>
            </w:r>
          </w:p>
        </w:tc>
        <w:tc>
          <w:tcPr>
            <w:tcW w:w="4343" w:type="dxa"/>
            <w:hideMark/>
          </w:tcPr>
          <w:p w14:paraId="3CE57D6E" w14:textId="77777777" w:rsidR="00EC67F0" w:rsidRPr="00EC67F0" w:rsidRDefault="00EC67F0" w:rsidP="00A6007E">
            <w:pPr>
              <w:jc w:val="center"/>
            </w:pPr>
            <w:r w:rsidRPr="00EC67F0">
              <w:t>This analysis contends that curricula privilege whiteness, thereby undermining representation and belonging. These findings inform curricular reforms to improve educational outcomes and transitions for Black males.</w:t>
            </w:r>
          </w:p>
        </w:tc>
      </w:tr>
      <w:tr w:rsidR="00EC67F0" w:rsidRPr="00EC67F0" w14:paraId="7D86AC37" w14:textId="77777777" w:rsidTr="00340A70">
        <w:trPr>
          <w:trHeight w:val="2880"/>
        </w:trPr>
        <w:tc>
          <w:tcPr>
            <w:tcW w:w="704" w:type="dxa"/>
            <w:shd w:val="clear" w:color="auto" w:fill="CAEDFB" w:themeFill="accent4" w:themeFillTint="33"/>
            <w:noWrap/>
            <w:hideMark/>
          </w:tcPr>
          <w:p w14:paraId="51F4B89B" w14:textId="77777777" w:rsidR="00EC67F0" w:rsidRPr="00340A70" w:rsidRDefault="00EC67F0" w:rsidP="00EC67F0">
            <w:r w:rsidRPr="00340A70">
              <w:t>92</w:t>
            </w:r>
          </w:p>
        </w:tc>
        <w:tc>
          <w:tcPr>
            <w:tcW w:w="3969" w:type="dxa"/>
            <w:hideMark/>
          </w:tcPr>
          <w:p w14:paraId="345AFCEF" w14:textId="77777777" w:rsidR="00EC67F0" w:rsidRPr="00EC67F0" w:rsidRDefault="00EC67F0" w:rsidP="00A6007E">
            <w:pPr>
              <w:jc w:val="center"/>
            </w:pPr>
            <w:r w:rsidRPr="00EC67F0">
              <w:t>Perera, J. (2020). How Black Working-Class Youth Are Criminalised and Excluded in the English School System: A London Case Study. The Institute of Race Relations. Available at: https://irr.org.uk/wp-content/uploads/2020/09/How-Black-Working-Class-Youth-are-Criminalised-and-Excluded-in-the-English-School-System.pdf (Accessed: 23 March 2026).</w:t>
            </w:r>
          </w:p>
        </w:tc>
        <w:tc>
          <w:tcPr>
            <w:tcW w:w="4343" w:type="dxa"/>
            <w:hideMark/>
          </w:tcPr>
          <w:p w14:paraId="21A62282" w14:textId="77777777" w:rsidR="00EC67F0" w:rsidRPr="00EC67F0" w:rsidRDefault="00EC67F0" w:rsidP="00A6007E">
            <w:pPr>
              <w:jc w:val="center"/>
            </w:pPr>
            <w:r w:rsidRPr="00EC67F0">
              <w:t>A London-based case study demonstrates that school exclusion, surveillance, and criminalisation disproportionately affect Black working-class youth, thereby disrupting their transitions from education to employment.</w:t>
            </w:r>
          </w:p>
        </w:tc>
      </w:tr>
      <w:tr w:rsidR="00EC67F0" w:rsidRPr="00EC67F0" w14:paraId="52791A8E" w14:textId="77777777" w:rsidTr="00340A70">
        <w:trPr>
          <w:trHeight w:val="2016"/>
        </w:trPr>
        <w:tc>
          <w:tcPr>
            <w:tcW w:w="704" w:type="dxa"/>
            <w:shd w:val="clear" w:color="auto" w:fill="CAEDFB" w:themeFill="accent4" w:themeFillTint="33"/>
            <w:noWrap/>
            <w:hideMark/>
          </w:tcPr>
          <w:p w14:paraId="3289B5C3" w14:textId="77777777" w:rsidR="00EC67F0" w:rsidRPr="00340A70" w:rsidRDefault="00EC67F0" w:rsidP="00EC67F0">
            <w:r w:rsidRPr="00340A70">
              <w:t>93</w:t>
            </w:r>
          </w:p>
        </w:tc>
        <w:tc>
          <w:tcPr>
            <w:tcW w:w="3969" w:type="dxa"/>
            <w:hideMark/>
          </w:tcPr>
          <w:p w14:paraId="680ED660" w14:textId="77777777" w:rsidR="00EC67F0" w:rsidRPr="00EC67F0" w:rsidRDefault="00EC67F0" w:rsidP="00A6007E">
            <w:pPr>
              <w:jc w:val="center"/>
            </w:pPr>
            <w:r w:rsidRPr="00EC67F0">
              <w:t>Pilkington, A. (2013). 'The interacting dynamics of institutional racism in higher education', Race Ethnicity and Education, 16(2), pp. 225–245. Available at: https://www.tandfonline.com/doi/full/10.1080/13613324.2011.646255#d1e204 (Accessed: 23 March 2026).</w:t>
            </w:r>
          </w:p>
        </w:tc>
        <w:tc>
          <w:tcPr>
            <w:tcW w:w="4343" w:type="dxa"/>
            <w:hideMark/>
          </w:tcPr>
          <w:p w14:paraId="1C43073B" w14:textId="77777777" w:rsidR="00EC67F0" w:rsidRPr="00EC67F0" w:rsidRDefault="00EC67F0" w:rsidP="00A6007E">
            <w:pPr>
              <w:jc w:val="center"/>
            </w:pPr>
            <w:r w:rsidRPr="00EC67F0">
              <w:t>This work examines institutional racism in higher education, highlighting systemic practices in recruitment, curriculum, and assessment that impede the progression and transitions of Black students.</w:t>
            </w:r>
          </w:p>
        </w:tc>
      </w:tr>
      <w:tr w:rsidR="00EC67F0" w:rsidRPr="00EC67F0" w14:paraId="519419CC" w14:textId="77777777" w:rsidTr="00340A70">
        <w:trPr>
          <w:trHeight w:val="2304"/>
        </w:trPr>
        <w:tc>
          <w:tcPr>
            <w:tcW w:w="704" w:type="dxa"/>
            <w:shd w:val="clear" w:color="auto" w:fill="CAEDFB" w:themeFill="accent4" w:themeFillTint="33"/>
            <w:noWrap/>
            <w:hideMark/>
          </w:tcPr>
          <w:p w14:paraId="0AFC954D" w14:textId="77777777" w:rsidR="00EC67F0" w:rsidRPr="00340A70" w:rsidRDefault="00EC67F0" w:rsidP="00EC67F0">
            <w:r w:rsidRPr="00340A70">
              <w:t>94</w:t>
            </w:r>
          </w:p>
        </w:tc>
        <w:tc>
          <w:tcPr>
            <w:tcW w:w="3969" w:type="dxa"/>
            <w:hideMark/>
          </w:tcPr>
          <w:p w14:paraId="16F86B0A" w14:textId="77777777" w:rsidR="00EC67F0" w:rsidRPr="00EC67F0" w:rsidRDefault="00EC67F0" w:rsidP="00A6007E">
            <w:pPr>
              <w:jc w:val="center"/>
            </w:pPr>
            <w:r w:rsidRPr="00EC67F0">
              <w:t>Platt, L., and Nandi, A. (2020). 'Ethnic diversity in the UK: new opportunities and changing constraints.', Journal of Ethnic &amp; Migration Studies, 46(5), pp. 839–856. Available at: https://research.ebsco.com/c/onvpsy/search/details/gxq3ffaxnz?db=aph (Accessed: 25 March 2025).</w:t>
            </w:r>
          </w:p>
        </w:tc>
        <w:tc>
          <w:tcPr>
            <w:tcW w:w="4343" w:type="dxa"/>
            <w:hideMark/>
          </w:tcPr>
          <w:p w14:paraId="532F1DB9" w14:textId="77777777" w:rsidR="00EC67F0" w:rsidRPr="00EC67F0" w:rsidRDefault="00EC67F0" w:rsidP="00A6007E">
            <w:pPr>
              <w:jc w:val="center"/>
            </w:pPr>
            <w:r w:rsidRPr="00EC67F0">
              <w:t>This analysis examines the labour-market implications of ethnic diversity, highlighting both evolving opportunities and persistent constraints that influence Black males' employment and entrepreneurship transitions.</w:t>
            </w:r>
          </w:p>
        </w:tc>
      </w:tr>
      <w:tr w:rsidR="00EC67F0" w:rsidRPr="00EC67F0" w14:paraId="322ECB93" w14:textId="77777777" w:rsidTr="00340A70">
        <w:trPr>
          <w:trHeight w:val="2592"/>
        </w:trPr>
        <w:tc>
          <w:tcPr>
            <w:tcW w:w="704" w:type="dxa"/>
            <w:shd w:val="clear" w:color="auto" w:fill="CAEDFB" w:themeFill="accent4" w:themeFillTint="33"/>
            <w:noWrap/>
            <w:hideMark/>
          </w:tcPr>
          <w:p w14:paraId="39AE8DE9" w14:textId="77777777" w:rsidR="00EC67F0" w:rsidRPr="00340A70" w:rsidRDefault="00EC67F0" w:rsidP="00EC67F0">
            <w:r w:rsidRPr="00340A70">
              <w:t>95</w:t>
            </w:r>
          </w:p>
        </w:tc>
        <w:tc>
          <w:tcPr>
            <w:tcW w:w="3969" w:type="dxa"/>
            <w:hideMark/>
          </w:tcPr>
          <w:p w14:paraId="78870593" w14:textId="77777777" w:rsidR="00EC67F0" w:rsidRPr="00EC67F0" w:rsidRDefault="00EC67F0" w:rsidP="00A6007E">
            <w:pPr>
              <w:jc w:val="center"/>
            </w:pPr>
            <w:r w:rsidRPr="00EC67F0">
              <w:t>Powell, A. (2019). Independent panel report to the Review of Post-18 Education and Funding. CP 117. Her Majesty’s Stationery Office. Available at: https://assets.publishing.service.gov.uk/media/5ceeb35740f0b62373577770/Review_of_post_18_education_and_funding.pdf (Accessed: 26 March 2026).</w:t>
            </w:r>
          </w:p>
        </w:tc>
        <w:tc>
          <w:tcPr>
            <w:tcW w:w="4343" w:type="dxa"/>
            <w:hideMark/>
          </w:tcPr>
          <w:p w14:paraId="6EEDC1C0" w14:textId="2190B3FF" w:rsidR="00EC67F0" w:rsidRPr="00EC67F0" w:rsidRDefault="00EC67F0" w:rsidP="00A6007E">
            <w:pPr>
              <w:jc w:val="center"/>
            </w:pPr>
            <w:r w:rsidRPr="00EC67F0">
              <w:t xml:space="preserve">This source outlines post-18 funding reforms that impact access to higher education and student </w:t>
            </w:r>
            <w:r w:rsidR="00B73A39" w:rsidRPr="00EC67F0">
              <w:t>finances and</w:t>
            </w:r>
            <w:r w:rsidRPr="00EC67F0">
              <w:t xml:space="preserve"> examines the structural factors influencing Black males’ participation in higher education and the barriers they face during transitions.</w:t>
            </w:r>
          </w:p>
        </w:tc>
      </w:tr>
      <w:tr w:rsidR="00EC67F0" w:rsidRPr="00EC67F0" w14:paraId="1DB198FB" w14:textId="77777777" w:rsidTr="00340A70">
        <w:trPr>
          <w:trHeight w:val="2304"/>
        </w:trPr>
        <w:tc>
          <w:tcPr>
            <w:tcW w:w="704" w:type="dxa"/>
            <w:shd w:val="clear" w:color="auto" w:fill="CAEDFB" w:themeFill="accent4" w:themeFillTint="33"/>
            <w:noWrap/>
            <w:hideMark/>
          </w:tcPr>
          <w:p w14:paraId="4844A4BD" w14:textId="77777777" w:rsidR="00EC67F0" w:rsidRPr="00340A70" w:rsidRDefault="00EC67F0" w:rsidP="00EC67F0">
            <w:r w:rsidRPr="00340A70">
              <w:lastRenderedPageBreak/>
              <w:t>96</w:t>
            </w:r>
          </w:p>
        </w:tc>
        <w:tc>
          <w:tcPr>
            <w:tcW w:w="3969" w:type="dxa"/>
            <w:hideMark/>
          </w:tcPr>
          <w:p w14:paraId="0C70B470" w14:textId="77777777" w:rsidR="00EC67F0" w:rsidRPr="00EC67F0" w:rsidRDefault="00EC67F0" w:rsidP="00A6007E">
            <w:pPr>
              <w:jc w:val="center"/>
            </w:pPr>
            <w:r w:rsidRPr="00EC67F0">
              <w:t>Rafferty, A. (2012). 'Ethnic penalties in graduate-level over-education, unemployment and wages: evidence from Britain', Work, Employment and Society, 26(6), pp. 987–1006. Available at: https://journals.sagepub.com/doi/epub/10.1177/0950017012458021 (Accessed: 20 March 2026).</w:t>
            </w:r>
          </w:p>
        </w:tc>
        <w:tc>
          <w:tcPr>
            <w:tcW w:w="4343" w:type="dxa"/>
            <w:hideMark/>
          </w:tcPr>
          <w:p w14:paraId="5AC6F4FE" w14:textId="77777777" w:rsidR="00EC67F0" w:rsidRPr="00EC67F0" w:rsidRDefault="00EC67F0" w:rsidP="00A6007E">
            <w:pPr>
              <w:jc w:val="center"/>
            </w:pPr>
            <w:r w:rsidRPr="00EC67F0">
              <w:t>This analysis provides evidence of ethnic penalties in graduate over-education, unemployment, and wages, elucidating the factors contributing to reduced returns and labour-market barriers for Black graduates.</w:t>
            </w:r>
          </w:p>
        </w:tc>
      </w:tr>
      <w:tr w:rsidR="00EC67F0" w:rsidRPr="00EC67F0" w14:paraId="19B0FBE1" w14:textId="77777777" w:rsidTr="00340A70">
        <w:trPr>
          <w:trHeight w:val="4896"/>
        </w:trPr>
        <w:tc>
          <w:tcPr>
            <w:tcW w:w="704" w:type="dxa"/>
            <w:shd w:val="clear" w:color="auto" w:fill="CAEDFB" w:themeFill="accent4" w:themeFillTint="33"/>
            <w:noWrap/>
            <w:hideMark/>
          </w:tcPr>
          <w:p w14:paraId="41468D74" w14:textId="77777777" w:rsidR="00EC67F0" w:rsidRPr="00340A70" w:rsidRDefault="00EC67F0" w:rsidP="00EC67F0">
            <w:r w:rsidRPr="00340A70">
              <w:t>97</w:t>
            </w:r>
          </w:p>
        </w:tc>
        <w:tc>
          <w:tcPr>
            <w:tcW w:w="3969" w:type="dxa"/>
            <w:hideMark/>
          </w:tcPr>
          <w:p w14:paraId="4AAD84CA" w14:textId="77777777" w:rsidR="00EC67F0" w:rsidRPr="00EC67F0" w:rsidRDefault="00EC67F0" w:rsidP="00A6007E">
            <w:pPr>
              <w:jc w:val="center"/>
            </w:pPr>
            <w:r w:rsidRPr="00EC67F0">
              <w:t>Rahman, Z., Ullah, F., and Thompson, P. (2018). 'Challenges and issues facing ethnic minority small business owners: The Scottish experience', The International Journal of Entrepreneurship and Innovation, 19(3), pp. 1–17. Available at:  https://www.researchgate.net/profile/Robert-Smith-23/publication/310488545_What_influences_ethnic_entrepreneurs'_decision_to_start-up_Some_evidence_from_Aberdeen_Scotland/links/5c31eb45299bf12be3b24802/What-influences-ethnic-entrepreneurs-decision-to-start-up-Some-evidence-from-Aberdeen-Scotland.pdf (Accessed: 27 March 2026).</w:t>
            </w:r>
          </w:p>
        </w:tc>
        <w:tc>
          <w:tcPr>
            <w:tcW w:w="4343" w:type="dxa"/>
            <w:hideMark/>
          </w:tcPr>
          <w:p w14:paraId="7DCC1790" w14:textId="77777777" w:rsidR="00EC67F0" w:rsidRPr="00EC67F0" w:rsidRDefault="00EC67F0" w:rsidP="00A6007E">
            <w:pPr>
              <w:jc w:val="center"/>
            </w:pPr>
            <w:r w:rsidRPr="00EC67F0">
              <w:t>This work details the challenges faced by Scottish ethnic-minority small and medium-sized enterprises, including finance, networks, and discrimination, thereby informing structural barriers and policy needs for Black male entrepreneurship.</w:t>
            </w:r>
          </w:p>
        </w:tc>
      </w:tr>
      <w:tr w:rsidR="00EC67F0" w:rsidRPr="00EC67F0" w14:paraId="2250C56D" w14:textId="77777777" w:rsidTr="00340A70">
        <w:trPr>
          <w:trHeight w:val="6048"/>
        </w:trPr>
        <w:tc>
          <w:tcPr>
            <w:tcW w:w="704" w:type="dxa"/>
            <w:shd w:val="clear" w:color="auto" w:fill="CAEDFB" w:themeFill="accent4" w:themeFillTint="33"/>
            <w:noWrap/>
            <w:hideMark/>
          </w:tcPr>
          <w:p w14:paraId="35BBB74A" w14:textId="77777777" w:rsidR="00EC67F0" w:rsidRPr="00340A70" w:rsidRDefault="00EC67F0" w:rsidP="00EC67F0">
            <w:r w:rsidRPr="00340A70">
              <w:lastRenderedPageBreak/>
              <w:t>98</w:t>
            </w:r>
          </w:p>
        </w:tc>
        <w:tc>
          <w:tcPr>
            <w:tcW w:w="3969" w:type="dxa"/>
            <w:hideMark/>
          </w:tcPr>
          <w:p w14:paraId="7D734F78" w14:textId="77777777" w:rsidR="00EC67F0" w:rsidRPr="00EC67F0" w:rsidRDefault="00EC67F0" w:rsidP="00A6007E">
            <w:pPr>
              <w:jc w:val="center"/>
            </w:pPr>
            <w:r w:rsidRPr="00EC67F0">
              <w:t>Richardson, J. (2018). 'Understanding the Under-Attainment of Ethnic Minority Students in UK Higher Education: The Known Knowns and the Known Unknowns', in J. Arday, and H. Mirza (ed.), Dismantling Race in Higher Education: Racism, Whiteness and Decolonising the Academy.  Springer International Publishing, pp. 87–102. Available at: https://www.researchgate.net/profile/Andrew-Pilkington/publication/327352755_The_Rise_and_Fall_in_the_Salience_of_Race_Equality_in_Higher_Education_Racism_Whiteness_and_Decolonising_the_Academy/links/641b181692cfd54f842051f3/The-Rise-and-Fall-in-the-Salience-of-Race-Equality-in-Higher-Education-Racism-Whiteness-and-Decolonising-the-Academy.pdf#page=110 (Accessed: 24 March 2026).</w:t>
            </w:r>
          </w:p>
        </w:tc>
        <w:tc>
          <w:tcPr>
            <w:tcW w:w="4343" w:type="dxa"/>
            <w:hideMark/>
          </w:tcPr>
          <w:p w14:paraId="4BBCBAA2" w14:textId="77777777" w:rsidR="00EC67F0" w:rsidRPr="00EC67F0" w:rsidRDefault="00EC67F0" w:rsidP="00A6007E">
            <w:pPr>
              <w:jc w:val="center"/>
            </w:pPr>
            <w:r w:rsidRPr="00EC67F0">
              <w:t>This work synthesises evidence on ethnic under-attainment in UK higher education, identifies existing gaps and structural causes, and informs interventions to support Black males’ educational transitions.</w:t>
            </w:r>
          </w:p>
        </w:tc>
      </w:tr>
      <w:tr w:rsidR="00EC67F0" w:rsidRPr="00EC67F0" w14:paraId="5BCDBA73" w14:textId="77777777" w:rsidTr="00340A70">
        <w:trPr>
          <w:trHeight w:val="2592"/>
        </w:trPr>
        <w:tc>
          <w:tcPr>
            <w:tcW w:w="704" w:type="dxa"/>
            <w:shd w:val="clear" w:color="auto" w:fill="CAEDFB" w:themeFill="accent4" w:themeFillTint="33"/>
            <w:noWrap/>
            <w:hideMark/>
          </w:tcPr>
          <w:p w14:paraId="0FB2A1A5" w14:textId="77777777" w:rsidR="00EC67F0" w:rsidRPr="00340A70" w:rsidRDefault="00EC67F0" w:rsidP="00EC67F0">
            <w:r w:rsidRPr="00340A70">
              <w:t>99</w:t>
            </w:r>
          </w:p>
        </w:tc>
        <w:tc>
          <w:tcPr>
            <w:tcW w:w="3969" w:type="dxa"/>
            <w:hideMark/>
          </w:tcPr>
          <w:p w14:paraId="52EFEF83" w14:textId="77777777" w:rsidR="00EC67F0" w:rsidRPr="00EC67F0" w:rsidRDefault="00EC67F0" w:rsidP="00A6007E">
            <w:pPr>
              <w:jc w:val="center"/>
            </w:pPr>
            <w:r w:rsidRPr="00EC67F0">
              <w:t>Robertson, L., and Wainwright, P. (2020) 'Black Boys’ and Young Men’s Experiences with Criminal Justice and Desistance in England and Wales: A Literature Review', Genealogy, 4(2.50) pp. 1-15. Available at: https://www.pure.ed.ac.uk/ws/portalfiles/portal/212590218/RobertsonLWainwrightJ2020GBlackBoysAndYoungMensExperiences.pdf (Accessed: 5 April 2026).</w:t>
            </w:r>
          </w:p>
        </w:tc>
        <w:tc>
          <w:tcPr>
            <w:tcW w:w="4343" w:type="dxa"/>
            <w:hideMark/>
          </w:tcPr>
          <w:p w14:paraId="59C453BF" w14:textId="77777777" w:rsidR="00EC67F0" w:rsidRPr="00EC67F0" w:rsidRDefault="00EC67F0" w:rsidP="00A6007E">
            <w:pPr>
              <w:jc w:val="center"/>
            </w:pPr>
            <w:r w:rsidRPr="00EC67F0">
              <w:t>This review examines the criminal justice experiences and desistance processes of Black boys, emphasising systemic disproportionality, barriers to reintegration, and implications for transitions from education to employment.</w:t>
            </w:r>
          </w:p>
        </w:tc>
      </w:tr>
      <w:tr w:rsidR="00EC67F0" w:rsidRPr="00EC67F0" w14:paraId="72D4C711" w14:textId="77777777" w:rsidTr="00340A70">
        <w:trPr>
          <w:trHeight w:val="2016"/>
        </w:trPr>
        <w:tc>
          <w:tcPr>
            <w:tcW w:w="704" w:type="dxa"/>
            <w:shd w:val="clear" w:color="auto" w:fill="CAEDFB" w:themeFill="accent4" w:themeFillTint="33"/>
            <w:noWrap/>
            <w:hideMark/>
          </w:tcPr>
          <w:p w14:paraId="7E76B57A" w14:textId="77777777" w:rsidR="00EC67F0" w:rsidRPr="00340A70" w:rsidRDefault="00EC67F0" w:rsidP="00EC67F0">
            <w:r w:rsidRPr="00340A70">
              <w:t>100</w:t>
            </w:r>
          </w:p>
        </w:tc>
        <w:tc>
          <w:tcPr>
            <w:tcW w:w="3969" w:type="dxa"/>
            <w:hideMark/>
          </w:tcPr>
          <w:p w14:paraId="2B1CF226" w14:textId="77777777" w:rsidR="00EC67F0" w:rsidRPr="00EC67F0" w:rsidRDefault="00EC67F0" w:rsidP="00A6007E">
            <w:pPr>
              <w:jc w:val="center"/>
            </w:pPr>
            <w:r w:rsidRPr="00EC67F0">
              <w:t xml:space="preserve">Rollock, N. (2016). 'How much does your university do for racial equality?', The Guardian, 19 January. Available at: </w:t>
            </w:r>
            <w:proofErr w:type="gramStart"/>
            <w:r w:rsidRPr="00EC67F0">
              <w:t>https://www.theguardian.com/higher-education-network/2016/jan/19/how-much-does-your-university-do-for-racial-equality  (</w:t>
            </w:r>
            <w:proofErr w:type="gramEnd"/>
            <w:r w:rsidRPr="00EC67F0">
              <w:t>Accessed: 23 March 2026).</w:t>
            </w:r>
          </w:p>
        </w:tc>
        <w:tc>
          <w:tcPr>
            <w:tcW w:w="4343" w:type="dxa"/>
            <w:hideMark/>
          </w:tcPr>
          <w:p w14:paraId="108253C8" w14:textId="77777777" w:rsidR="00EC67F0" w:rsidRPr="00EC67F0" w:rsidRDefault="00EC67F0" w:rsidP="00A6007E">
            <w:pPr>
              <w:jc w:val="center"/>
            </w:pPr>
            <w:r w:rsidRPr="00EC67F0">
              <w:t>This work highlights university racial-equality initiatives and shortcomings, providing evidence of institutional barriers affecting Black students' sense of belonging, academic progression, and transitions.</w:t>
            </w:r>
          </w:p>
        </w:tc>
      </w:tr>
      <w:tr w:rsidR="00EC67F0" w:rsidRPr="00EC67F0" w14:paraId="696652F0" w14:textId="77777777" w:rsidTr="00340A70">
        <w:trPr>
          <w:trHeight w:val="3456"/>
        </w:trPr>
        <w:tc>
          <w:tcPr>
            <w:tcW w:w="704" w:type="dxa"/>
            <w:shd w:val="clear" w:color="auto" w:fill="CAEDFB" w:themeFill="accent4" w:themeFillTint="33"/>
            <w:noWrap/>
            <w:hideMark/>
          </w:tcPr>
          <w:p w14:paraId="67E5C5D8" w14:textId="77777777" w:rsidR="00EC67F0" w:rsidRPr="00340A70" w:rsidRDefault="00EC67F0" w:rsidP="00EC67F0">
            <w:r w:rsidRPr="00340A70">
              <w:lastRenderedPageBreak/>
              <w:t>101</w:t>
            </w:r>
          </w:p>
        </w:tc>
        <w:tc>
          <w:tcPr>
            <w:tcW w:w="3969" w:type="dxa"/>
            <w:hideMark/>
          </w:tcPr>
          <w:p w14:paraId="74E3D43F" w14:textId="77777777" w:rsidR="00EC67F0" w:rsidRPr="00EC67F0" w:rsidRDefault="00EC67F0" w:rsidP="00A6007E">
            <w:pPr>
              <w:jc w:val="center"/>
            </w:pPr>
            <w:proofErr w:type="spellStart"/>
            <w:r w:rsidRPr="00EC67F0">
              <w:t>Salignac</w:t>
            </w:r>
            <w:proofErr w:type="spellEnd"/>
            <w:r w:rsidRPr="00EC67F0">
              <w:t xml:space="preserve">, F., Muir, K., and Wong, J. (2016). 'Are you </w:t>
            </w:r>
            <w:proofErr w:type="gramStart"/>
            <w:r w:rsidRPr="00EC67F0">
              <w:t>really Financially</w:t>
            </w:r>
            <w:proofErr w:type="gramEnd"/>
            <w:r w:rsidRPr="00EC67F0">
              <w:t xml:space="preserve"> Excluded if you Choose not to be Included? Insights from Social Exclusion, Resilience and Ecological Systems', Journal of Social Policy, 45(2), pp. 269–286. Available at: https://www.proquest.com/docview/1938516395?accountid=130472&amp;parentSessionId=x8Hg8E08b%2B%2F2IGXomfxBsOJ0CRyNStKhh2TcNLgEuBs%3D&amp;pq-origsite=primo&amp;sourcetype=Scholarly%20Journals (Accessed: 27 March 2026).</w:t>
            </w:r>
          </w:p>
        </w:tc>
        <w:tc>
          <w:tcPr>
            <w:tcW w:w="4343" w:type="dxa"/>
            <w:hideMark/>
          </w:tcPr>
          <w:p w14:paraId="63525A7D" w14:textId="77777777" w:rsidR="00EC67F0" w:rsidRPr="00EC67F0" w:rsidRDefault="00EC67F0" w:rsidP="00A6007E">
            <w:pPr>
              <w:jc w:val="center"/>
            </w:pPr>
            <w:r w:rsidRPr="00EC67F0">
              <w:t>This work reframes financial exclusion by considering individual choice, resilience, and systemic factors, thereby informing a nuanced analysis of Black males' financial behaviours and the structural barriers they face.</w:t>
            </w:r>
          </w:p>
        </w:tc>
      </w:tr>
      <w:tr w:rsidR="00EC67F0" w:rsidRPr="00EC67F0" w14:paraId="65827782" w14:textId="77777777" w:rsidTr="00340A70">
        <w:trPr>
          <w:trHeight w:val="2592"/>
        </w:trPr>
        <w:tc>
          <w:tcPr>
            <w:tcW w:w="704" w:type="dxa"/>
            <w:shd w:val="clear" w:color="auto" w:fill="CAEDFB" w:themeFill="accent4" w:themeFillTint="33"/>
            <w:noWrap/>
            <w:hideMark/>
          </w:tcPr>
          <w:p w14:paraId="15889FC0" w14:textId="77777777" w:rsidR="00EC67F0" w:rsidRPr="00340A70" w:rsidRDefault="00EC67F0" w:rsidP="00EC67F0">
            <w:r w:rsidRPr="00340A70">
              <w:t>102</w:t>
            </w:r>
          </w:p>
        </w:tc>
        <w:tc>
          <w:tcPr>
            <w:tcW w:w="3969" w:type="dxa"/>
            <w:hideMark/>
          </w:tcPr>
          <w:p w14:paraId="35654511" w14:textId="77777777" w:rsidR="00EC67F0" w:rsidRPr="00EC67F0" w:rsidRDefault="00EC67F0" w:rsidP="00A6007E">
            <w:pPr>
              <w:jc w:val="center"/>
            </w:pPr>
            <w:r w:rsidRPr="00EC67F0">
              <w:t>Sardar, Z. (2008). 'I think it would be good if certain things were said: Fanon and the epidemiology of oppression', in F. Fanon (Online ed.), Black Skin White Mask. Pluto Press, pp. 1–225. Available at: https://files.libcom.org/files/%5BFrantz_Fanon%5D_Black_Skin,_White_Masks_(Pluto_Clas(BookZZ.org).pdf (Accessed: 23 March 2026).</w:t>
            </w:r>
          </w:p>
        </w:tc>
        <w:tc>
          <w:tcPr>
            <w:tcW w:w="4343" w:type="dxa"/>
            <w:hideMark/>
          </w:tcPr>
          <w:p w14:paraId="09177F7C" w14:textId="77777777" w:rsidR="00EC67F0" w:rsidRPr="00EC67F0" w:rsidRDefault="00EC67F0" w:rsidP="00A6007E">
            <w:pPr>
              <w:jc w:val="center"/>
            </w:pPr>
            <w:r w:rsidRPr="00EC67F0">
              <w:t>Fanon’s analysis of oppression elucidates how internalised stigma and structural racism influence Black males’ identity formation, educational experiences, and post-school transition outcomes.</w:t>
            </w:r>
          </w:p>
        </w:tc>
      </w:tr>
      <w:tr w:rsidR="00EC67F0" w:rsidRPr="00EC67F0" w14:paraId="61579C22" w14:textId="77777777" w:rsidTr="00340A70">
        <w:trPr>
          <w:trHeight w:val="3168"/>
        </w:trPr>
        <w:tc>
          <w:tcPr>
            <w:tcW w:w="704" w:type="dxa"/>
            <w:shd w:val="clear" w:color="auto" w:fill="CAEDFB" w:themeFill="accent4" w:themeFillTint="33"/>
            <w:noWrap/>
            <w:hideMark/>
          </w:tcPr>
          <w:p w14:paraId="592FB0A8" w14:textId="77777777" w:rsidR="00EC67F0" w:rsidRPr="00340A70" w:rsidRDefault="00EC67F0" w:rsidP="00EC67F0">
            <w:r w:rsidRPr="00340A70">
              <w:t>103</w:t>
            </w:r>
          </w:p>
        </w:tc>
        <w:tc>
          <w:tcPr>
            <w:tcW w:w="3969" w:type="dxa"/>
            <w:hideMark/>
          </w:tcPr>
          <w:p w14:paraId="15991598" w14:textId="77777777" w:rsidR="00EC67F0" w:rsidRPr="00EC67F0" w:rsidRDefault="00EC67F0" w:rsidP="00A6007E">
            <w:pPr>
              <w:jc w:val="center"/>
            </w:pPr>
            <w:r w:rsidRPr="00EC67F0">
              <w:t>Scerri, M., Presbury, R., and Goh, E. (2020). 'An application of the mentoring framework to investigate the effectiveness of mentoring programs between industry mentors and student mentees in hospitality', Journal of Hospitality and Tourism Management, 45, pp. 143–151. Available at: https://www.sciencedirect.com/science/article/pii/S1447677020301972 (Accessed: 24 March 2026).</w:t>
            </w:r>
          </w:p>
        </w:tc>
        <w:tc>
          <w:tcPr>
            <w:tcW w:w="4343" w:type="dxa"/>
            <w:hideMark/>
          </w:tcPr>
          <w:p w14:paraId="2CDE25A9" w14:textId="77777777" w:rsidR="00EC67F0" w:rsidRPr="00EC67F0" w:rsidRDefault="00EC67F0" w:rsidP="00A6007E">
            <w:pPr>
              <w:jc w:val="center"/>
            </w:pPr>
            <w:r w:rsidRPr="00EC67F0">
              <w:t>This study evaluates the effectiveness of industry–student mentoring, demonstrating that mentoring enhances skills, professional networks, and employability, thereby informing support strategies for Black male graduates' transitions.</w:t>
            </w:r>
          </w:p>
        </w:tc>
      </w:tr>
      <w:tr w:rsidR="00EC67F0" w:rsidRPr="00EC67F0" w14:paraId="2571F339" w14:textId="77777777" w:rsidTr="00340A70">
        <w:trPr>
          <w:trHeight w:val="2592"/>
        </w:trPr>
        <w:tc>
          <w:tcPr>
            <w:tcW w:w="704" w:type="dxa"/>
            <w:shd w:val="clear" w:color="auto" w:fill="CAEDFB" w:themeFill="accent4" w:themeFillTint="33"/>
            <w:noWrap/>
            <w:hideMark/>
          </w:tcPr>
          <w:p w14:paraId="790DB916" w14:textId="77777777" w:rsidR="00EC67F0" w:rsidRPr="00340A70" w:rsidRDefault="00EC67F0" w:rsidP="00EC67F0">
            <w:r w:rsidRPr="00340A70">
              <w:t>104</w:t>
            </w:r>
          </w:p>
        </w:tc>
        <w:tc>
          <w:tcPr>
            <w:tcW w:w="3969" w:type="dxa"/>
            <w:hideMark/>
          </w:tcPr>
          <w:p w14:paraId="1E82810C" w14:textId="77777777" w:rsidR="00EC67F0" w:rsidRPr="00EC67F0" w:rsidRDefault="00EC67F0" w:rsidP="00A6007E">
            <w:pPr>
              <w:jc w:val="center"/>
            </w:pPr>
            <w:r w:rsidRPr="00EC67F0">
              <w:t>Sewell, T. (1997). Black Masculinities and Schooling How Black Boys Survive Modern Schooling. Trentham Books Limited. Available at: https://www.scribd.com/document/186524710/Black-Masculinities-and-Schooling-How-Black-Boys-Survive-Modern-Schooling-1997-Blackatk (Accessed: 17 March 2026).</w:t>
            </w:r>
          </w:p>
        </w:tc>
        <w:tc>
          <w:tcPr>
            <w:tcW w:w="4343" w:type="dxa"/>
            <w:hideMark/>
          </w:tcPr>
          <w:p w14:paraId="0F9D6D2C" w14:textId="77777777" w:rsidR="00EC67F0" w:rsidRPr="00EC67F0" w:rsidRDefault="00EC67F0" w:rsidP="00A6007E">
            <w:pPr>
              <w:jc w:val="center"/>
            </w:pPr>
            <w:r w:rsidRPr="00EC67F0">
              <w:t>This work examines the survival strategies employed by Black boys in response to racism within educational settings, emphasising the roles of identity, resistance, and systemic exclusion in shaping subsequent socioeconomic outcomes.</w:t>
            </w:r>
          </w:p>
        </w:tc>
      </w:tr>
      <w:tr w:rsidR="00EC67F0" w:rsidRPr="00EC67F0" w14:paraId="78C108CC" w14:textId="77777777" w:rsidTr="00340A70">
        <w:trPr>
          <w:trHeight w:val="2016"/>
        </w:trPr>
        <w:tc>
          <w:tcPr>
            <w:tcW w:w="704" w:type="dxa"/>
            <w:shd w:val="clear" w:color="auto" w:fill="CAEDFB" w:themeFill="accent4" w:themeFillTint="33"/>
            <w:noWrap/>
            <w:hideMark/>
          </w:tcPr>
          <w:p w14:paraId="1F8C9B10" w14:textId="77777777" w:rsidR="00EC67F0" w:rsidRPr="00340A70" w:rsidRDefault="00EC67F0" w:rsidP="00EC67F0">
            <w:r w:rsidRPr="00340A70">
              <w:lastRenderedPageBreak/>
              <w:t>105</w:t>
            </w:r>
          </w:p>
        </w:tc>
        <w:tc>
          <w:tcPr>
            <w:tcW w:w="3969" w:type="dxa"/>
            <w:hideMark/>
          </w:tcPr>
          <w:p w14:paraId="702587FB" w14:textId="77777777" w:rsidR="00EC67F0" w:rsidRPr="00EC67F0" w:rsidRDefault="00EC67F0" w:rsidP="00A6007E">
            <w:pPr>
              <w:jc w:val="center"/>
            </w:pPr>
            <w:r w:rsidRPr="00EC67F0">
              <w:t xml:space="preserve">Shiner, M., Carre, Z., Delsol, R., and Eastwood, N. (2018) Title. </w:t>
            </w:r>
            <w:proofErr w:type="gramStart"/>
            <w:r w:rsidRPr="00EC67F0">
              <w:t>Stop Watch</w:t>
            </w:r>
            <w:proofErr w:type="gramEnd"/>
            <w:r w:rsidRPr="00EC67F0">
              <w:t xml:space="preserve"> and Release. Available at: https://www.lse.ac.uk/united-states/Assets/Documents/The-Colour-of-Injustice.pdf (Accessed: 5 April 2026).</w:t>
            </w:r>
          </w:p>
        </w:tc>
        <w:tc>
          <w:tcPr>
            <w:tcW w:w="4343" w:type="dxa"/>
            <w:hideMark/>
          </w:tcPr>
          <w:p w14:paraId="6ADE99D9" w14:textId="15A74EF5" w:rsidR="00EC67F0" w:rsidRPr="00EC67F0" w:rsidRDefault="00EC67F0" w:rsidP="00A6007E">
            <w:pPr>
              <w:jc w:val="center"/>
            </w:pPr>
            <w:r w:rsidRPr="00EC67F0">
              <w:t xml:space="preserve">Evidence demonstrates racial disparities in stop-and-search practices, linking </w:t>
            </w:r>
            <w:r w:rsidR="00B73A39" w:rsidRPr="00EC67F0">
              <w:t>over policing</w:t>
            </w:r>
            <w:r w:rsidRPr="00EC67F0">
              <w:t xml:space="preserve"> to criminalisation, diminished trust, and disrupted education-to-work pathways for Black males.</w:t>
            </w:r>
          </w:p>
        </w:tc>
      </w:tr>
      <w:tr w:rsidR="00EC67F0" w:rsidRPr="00EC67F0" w14:paraId="02256A46" w14:textId="77777777" w:rsidTr="00340A70">
        <w:trPr>
          <w:trHeight w:val="3168"/>
        </w:trPr>
        <w:tc>
          <w:tcPr>
            <w:tcW w:w="704" w:type="dxa"/>
            <w:shd w:val="clear" w:color="auto" w:fill="CAEDFB" w:themeFill="accent4" w:themeFillTint="33"/>
            <w:noWrap/>
            <w:hideMark/>
          </w:tcPr>
          <w:p w14:paraId="207B7AC3" w14:textId="77777777" w:rsidR="00EC67F0" w:rsidRPr="00340A70" w:rsidRDefault="00EC67F0" w:rsidP="00EC67F0">
            <w:r w:rsidRPr="00340A70">
              <w:t>106</w:t>
            </w:r>
          </w:p>
        </w:tc>
        <w:tc>
          <w:tcPr>
            <w:tcW w:w="3969" w:type="dxa"/>
            <w:hideMark/>
          </w:tcPr>
          <w:p w14:paraId="3C216009" w14:textId="77777777" w:rsidR="00EC67F0" w:rsidRPr="00EC67F0" w:rsidRDefault="00EC67F0" w:rsidP="00A6007E">
            <w:pPr>
              <w:jc w:val="center"/>
            </w:pPr>
            <w:r w:rsidRPr="00EC67F0">
              <w:t>Singh, D. (2011). 'Black and Minority Ethnic (BME) Students' Participation and Success in Higher Education: Improving Retention and Success - A Synthesis of Research Evidence'. Available at: https://www.academia.edu/38297591/Black_and_Minority_Ethnic_BME_students_participation_and_success_in_Higher_Education_improving_retention_and_success_A_Synthesis_of_Research_Evidence (Accessed: 19 March 2026).</w:t>
            </w:r>
          </w:p>
        </w:tc>
        <w:tc>
          <w:tcPr>
            <w:tcW w:w="4343" w:type="dxa"/>
            <w:hideMark/>
          </w:tcPr>
          <w:p w14:paraId="676E00E6" w14:textId="77777777" w:rsidR="00EC67F0" w:rsidRPr="00EC67F0" w:rsidRDefault="00EC67F0" w:rsidP="00A6007E">
            <w:pPr>
              <w:jc w:val="center"/>
            </w:pPr>
            <w:r w:rsidRPr="00EC67F0">
              <w:t>This synthesis of evidence on BME higher education retention and success informs interventions to enhance Black male students' sense of belonging, academic attainment, and transition outcomes.</w:t>
            </w:r>
          </w:p>
        </w:tc>
      </w:tr>
      <w:tr w:rsidR="00EC67F0" w:rsidRPr="00EC67F0" w14:paraId="57B52BF5" w14:textId="77777777" w:rsidTr="00340A70">
        <w:trPr>
          <w:trHeight w:val="3168"/>
        </w:trPr>
        <w:tc>
          <w:tcPr>
            <w:tcW w:w="704" w:type="dxa"/>
            <w:shd w:val="clear" w:color="auto" w:fill="CAEDFB" w:themeFill="accent4" w:themeFillTint="33"/>
            <w:noWrap/>
            <w:hideMark/>
          </w:tcPr>
          <w:p w14:paraId="706AB66D" w14:textId="77777777" w:rsidR="00EC67F0" w:rsidRPr="00340A70" w:rsidRDefault="00EC67F0" w:rsidP="00EC67F0">
            <w:r w:rsidRPr="00340A70">
              <w:t>107</w:t>
            </w:r>
          </w:p>
        </w:tc>
        <w:tc>
          <w:tcPr>
            <w:tcW w:w="3969" w:type="dxa"/>
            <w:hideMark/>
          </w:tcPr>
          <w:p w14:paraId="48E559E0" w14:textId="77777777" w:rsidR="00EC67F0" w:rsidRPr="00EC67F0" w:rsidRDefault="00EC67F0" w:rsidP="00A6007E">
            <w:pPr>
              <w:jc w:val="center"/>
            </w:pPr>
            <w:r w:rsidRPr="00EC67F0">
              <w:t xml:space="preserve">Smith, S., </w:t>
            </w:r>
            <w:proofErr w:type="gramStart"/>
            <w:r w:rsidRPr="00EC67F0">
              <w:t>Taylor-Smith</w:t>
            </w:r>
            <w:proofErr w:type="gramEnd"/>
            <w:r w:rsidRPr="00EC67F0">
              <w:t>, E., Fabian, K., Zarb, M., Paterson, J., Barr, M., and Berg, T. (2021). 'A multi-institutional exploration of the social mobility potential of degree apprenticeships', Journal of Education and Work, 34(4), pp. 488–503. Available at: https://researchonline.gcu.ac.uk/ws/portalfiles/portal/58499336/A_multi_institutional_exploration_of_the_social_mobility_potential_of_degree_apprenticeships.pdf (Accessed: 26 March 2026).</w:t>
            </w:r>
          </w:p>
        </w:tc>
        <w:tc>
          <w:tcPr>
            <w:tcW w:w="4343" w:type="dxa"/>
            <w:hideMark/>
          </w:tcPr>
          <w:p w14:paraId="21B5D4E5" w14:textId="77777777" w:rsidR="00EC67F0" w:rsidRPr="00EC67F0" w:rsidRDefault="00EC67F0" w:rsidP="00A6007E">
            <w:pPr>
              <w:jc w:val="center"/>
            </w:pPr>
            <w:r w:rsidRPr="00EC67F0">
              <w:t>This study investigates the potential of degree apprenticeships to enhance social mobility by evaluating vocational pathways that may improve labour market outcomes for disadvantaged Black male graduates.</w:t>
            </w:r>
          </w:p>
        </w:tc>
      </w:tr>
      <w:tr w:rsidR="00EC67F0" w:rsidRPr="00EC67F0" w14:paraId="36696E1A" w14:textId="77777777" w:rsidTr="00340A70">
        <w:trPr>
          <w:trHeight w:val="3168"/>
        </w:trPr>
        <w:tc>
          <w:tcPr>
            <w:tcW w:w="704" w:type="dxa"/>
            <w:shd w:val="clear" w:color="auto" w:fill="CAEDFB" w:themeFill="accent4" w:themeFillTint="33"/>
            <w:noWrap/>
            <w:hideMark/>
          </w:tcPr>
          <w:p w14:paraId="5C643CE1" w14:textId="77777777" w:rsidR="00EC67F0" w:rsidRPr="00340A70" w:rsidRDefault="00EC67F0" w:rsidP="00EC67F0">
            <w:r w:rsidRPr="00340A70">
              <w:t>108</w:t>
            </w:r>
          </w:p>
        </w:tc>
        <w:tc>
          <w:tcPr>
            <w:tcW w:w="3969" w:type="dxa"/>
            <w:hideMark/>
          </w:tcPr>
          <w:p w14:paraId="0C806CA4" w14:textId="77777777" w:rsidR="00EC67F0" w:rsidRPr="00EC67F0" w:rsidRDefault="00EC67F0" w:rsidP="00A6007E">
            <w:pPr>
              <w:jc w:val="center"/>
            </w:pPr>
            <w:r w:rsidRPr="00EC67F0">
              <w:t>Sohdi, R. (2026). 'Apprenticeship as social leveller? A critical exploration of vocational pathways through a social justice lens', Education + Training, Issue information, pp. 1–18. Available at: https://sure.sunderland.ac.uk/id/eprint/19878/1/Apprenticeship%20as%20Social%20Leveller_%20A%20Critical%20Exploration%20of%20Vocational%20Pathways%20through%20a%20Social%20Justice%20Lens.pdf (Accessed: 26 March 2026).</w:t>
            </w:r>
          </w:p>
        </w:tc>
        <w:tc>
          <w:tcPr>
            <w:tcW w:w="4343" w:type="dxa"/>
            <w:hideMark/>
          </w:tcPr>
          <w:p w14:paraId="35D48E72" w14:textId="77777777" w:rsidR="00EC67F0" w:rsidRPr="00EC67F0" w:rsidRDefault="00EC67F0" w:rsidP="00A6007E">
            <w:pPr>
              <w:jc w:val="center"/>
            </w:pPr>
            <w:r w:rsidRPr="00EC67F0">
              <w:t>This work critically examines the equity claims of apprenticeships, contending that vocational pathways may perpetuate inequalities unless targeted access, quality measures, and anti-racist supports for Black males are implemented.</w:t>
            </w:r>
          </w:p>
        </w:tc>
      </w:tr>
      <w:tr w:rsidR="00EC67F0" w:rsidRPr="00EC67F0" w14:paraId="61934ABE" w14:textId="77777777" w:rsidTr="00340A70">
        <w:trPr>
          <w:trHeight w:val="2592"/>
        </w:trPr>
        <w:tc>
          <w:tcPr>
            <w:tcW w:w="704" w:type="dxa"/>
            <w:shd w:val="clear" w:color="auto" w:fill="CAEDFB" w:themeFill="accent4" w:themeFillTint="33"/>
            <w:noWrap/>
            <w:hideMark/>
          </w:tcPr>
          <w:p w14:paraId="05B1A840" w14:textId="77777777" w:rsidR="00EC67F0" w:rsidRPr="00340A70" w:rsidRDefault="00EC67F0" w:rsidP="00EC67F0">
            <w:r w:rsidRPr="00340A70">
              <w:lastRenderedPageBreak/>
              <w:t>109</w:t>
            </w:r>
          </w:p>
        </w:tc>
        <w:tc>
          <w:tcPr>
            <w:tcW w:w="3969" w:type="dxa"/>
            <w:hideMark/>
          </w:tcPr>
          <w:p w14:paraId="0B9059B3" w14:textId="77777777" w:rsidR="00EC67F0" w:rsidRPr="00EC67F0" w:rsidRDefault="00EC67F0" w:rsidP="00A6007E">
            <w:pPr>
              <w:jc w:val="center"/>
            </w:pPr>
            <w:r w:rsidRPr="00EC67F0">
              <w:t>Stacey, C. (2019). Double discrimination?  Unlock. Available at: https://unlock.org.uk/wp-content/uploads/2024/03/Double-discrimination-Full-report-July-2019.pdf (Accessed: 5 April 2026).</w:t>
            </w:r>
          </w:p>
        </w:tc>
        <w:tc>
          <w:tcPr>
            <w:tcW w:w="4343" w:type="dxa"/>
            <w:hideMark/>
          </w:tcPr>
          <w:p w14:paraId="3BCDCF37" w14:textId="77777777" w:rsidR="00EC67F0" w:rsidRPr="00EC67F0" w:rsidRDefault="00EC67F0" w:rsidP="00A6007E">
            <w:pPr>
              <w:jc w:val="center"/>
            </w:pPr>
            <w:r w:rsidRPr="00EC67F0">
              <w:t>This source provides evidence of post-contact "double discrimination" experienced by BAME ex-offenders, emphasising employment and re-entry barriers that impede the socioeconomic recovery of Black males.</w:t>
            </w:r>
            <w:r w:rsidRPr="00EC67F0">
              <w:br w:type="page"/>
            </w:r>
          </w:p>
        </w:tc>
      </w:tr>
      <w:tr w:rsidR="00EC67F0" w:rsidRPr="00EC67F0" w14:paraId="794E0AC5" w14:textId="77777777" w:rsidTr="00340A70">
        <w:trPr>
          <w:trHeight w:val="3168"/>
        </w:trPr>
        <w:tc>
          <w:tcPr>
            <w:tcW w:w="704" w:type="dxa"/>
            <w:shd w:val="clear" w:color="auto" w:fill="CAEDFB" w:themeFill="accent4" w:themeFillTint="33"/>
            <w:noWrap/>
            <w:hideMark/>
          </w:tcPr>
          <w:p w14:paraId="6AA74C17" w14:textId="77777777" w:rsidR="00EC67F0" w:rsidRPr="00340A70" w:rsidRDefault="00EC67F0" w:rsidP="00EC67F0">
            <w:r w:rsidRPr="00340A70">
              <w:t>110</w:t>
            </w:r>
          </w:p>
        </w:tc>
        <w:tc>
          <w:tcPr>
            <w:tcW w:w="3969" w:type="dxa"/>
            <w:hideMark/>
          </w:tcPr>
          <w:p w14:paraId="2F1EEBDE" w14:textId="77777777" w:rsidR="00EC67F0" w:rsidRPr="00EC67F0" w:rsidRDefault="00EC67F0" w:rsidP="00A6007E">
            <w:pPr>
              <w:jc w:val="center"/>
            </w:pPr>
            <w:r w:rsidRPr="00EC67F0">
              <w:t>Strayhorn, T. (2019). College Students’ Sense of Belonging: A Key to Educational Success for All Students. Routledge. Available at: https://www.researchgate.net/profile/Terrell-Strayhorn/publication/328109869_College_Students'_Sense_of_Belonging/links/5c3a847c92851c22a370cdfd/College-Students-Sense-of-Belonging.pdf (Accessed: 24 March 2026).</w:t>
            </w:r>
          </w:p>
        </w:tc>
        <w:tc>
          <w:tcPr>
            <w:tcW w:w="4343" w:type="dxa"/>
            <w:hideMark/>
          </w:tcPr>
          <w:p w14:paraId="504B7180" w14:textId="77777777" w:rsidR="00EC67F0" w:rsidRPr="00EC67F0" w:rsidRDefault="00EC67F0" w:rsidP="00A6007E">
            <w:pPr>
              <w:jc w:val="center"/>
            </w:pPr>
            <w:r w:rsidRPr="00EC67F0">
              <w:t>This work demonstrates the critical role of belonging in retention, achievement, and well-being, thereby informing interventions to improve higher education outcomes and transitions for Black males.</w:t>
            </w:r>
          </w:p>
        </w:tc>
      </w:tr>
    </w:tbl>
    <w:p w14:paraId="6D4E1AB3" w14:textId="77777777" w:rsidR="00EC67F0" w:rsidRPr="00EC67F0" w:rsidRDefault="00EC67F0" w:rsidP="00EC67F0"/>
    <w:p w14:paraId="3C105A69" w14:textId="77777777" w:rsidR="007C7F9E" w:rsidRDefault="007C7F9E" w:rsidP="001E4ADB">
      <w:pPr>
        <w:spacing w:line="360" w:lineRule="auto"/>
        <w:jc w:val="both"/>
        <w:rPr>
          <w:rFonts w:ascii="Arial" w:hAnsi="Arial" w:cs="Arial"/>
          <w:sz w:val="24"/>
          <w:szCs w:val="24"/>
        </w:rPr>
      </w:pPr>
    </w:p>
    <w:p w14:paraId="156ED08F" w14:textId="77777777" w:rsidR="00CB00DC" w:rsidRDefault="00CB00DC" w:rsidP="00CB00DC">
      <w:pPr>
        <w:spacing w:line="360" w:lineRule="auto"/>
        <w:jc w:val="both"/>
        <w:rPr>
          <w:rFonts w:ascii="Arial" w:hAnsi="Arial" w:cs="Arial"/>
          <w:sz w:val="24"/>
          <w:szCs w:val="24"/>
        </w:rPr>
      </w:pPr>
    </w:p>
    <w:p w14:paraId="5C0B87FB" w14:textId="77777777" w:rsidR="00CB00DC" w:rsidRDefault="00CB00DC" w:rsidP="00CB00DC">
      <w:pPr>
        <w:spacing w:line="360" w:lineRule="auto"/>
        <w:jc w:val="both"/>
        <w:rPr>
          <w:rFonts w:ascii="Arial" w:hAnsi="Arial" w:cs="Arial"/>
          <w:sz w:val="24"/>
          <w:szCs w:val="24"/>
        </w:rPr>
      </w:pPr>
    </w:p>
    <w:p w14:paraId="7F459DFD" w14:textId="77777777" w:rsidR="00CB00DC" w:rsidRDefault="00CB00DC" w:rsidP="00CB00DC">
      <w:pPr>
        <w:spacing w:line="360" w:lineRule="auto"/>
        <w:jc w:val="both"/>
        <w:rPr>
          <w:rFonts w:ascii="Arial" w:hAnsi="Arial" w:cs="Arial"/>
          <w:sz w:val="24"/>
          <w:szCs w:val="24"/>
        </w:rPr>
      </w:pPr>
    </w:p>
    <w:p w14:paraId="005C172E" w14:textId="77777777" w:rsidR="00CB00DC" w:rsidRPr="00CB00DC" w:rsidRDefault="00CB00DC" w:rsidP="00CB00DC">
      <w:pPr>
        <w:spacing w:line="360" w:lineRule="auto"/>
        <w:jc w:val="both"/>
      </w:pPr>
    </w:p>
    <w:p w14:paraId="7CBB8DC9" w14:textId="77777777" w:rsidR="005A00D9" w:rsidRDefault="005A00D9" w:rsidP="005E234F">
      <w:pPr>
        <w:pStyle w:val="Title"/>
        <w:jc w:val="center"/>
        <w:rPr>
          <w:rFonts w:ascii="Arial" w:hAnsi="Arial" w:cs="Arial"/>
          <w:b/>
          <w:bCs/>
          <w:sz w:val="40"/>
          <w:szCs w:val="40"/>
        </w:rPr>
      </w:pPr>
    </w:p>
    <w:p w14:paraId="7A3CDE58" w14:textId="77777777" w:rsidR="005A00D9" w:rsidRDefault="005A00D9" w:rsidP="005E234F">
      <w:pPr>
        <w:pStyle w:val="Title"/>
        <w:jc w:val="center"/>
        <w:rPr>
          <w:rFonts w:ascii="Arial" w:hAnsi="Arial" w:cs="Arial"/>
          <w:b/>
          <w:bCs/>
          <w:sz w:val="40"/>
          <w:szCs w:val="40"/>
        </w:rPr>
      </w:pPr>
    </w:p>
    <w:p w14:paraId="634FFD2E" w14:textId="77777777" w:rsidR="005A00D9" w:rsidRDefault="005A00D9" w:rsidP="005E234F">
      <w:pPr>
        <w:pStyle w:val="Title"/>
        <w:jc w:val="center"/>
        <w:rPr>
          <w:rFonts w:ascii="Arial" w:hAnsi="Arial" w:cs="Arial"/>
          <w:b/>
          <w:bCs/>
          <w:sz w:val="40"/>
          <w:szCs w:val="40"/>
        </w:rPr>
      </w:pPr>
    </w:p>
    <w:p w14:paraId="2BBF2AE3" w14:textId="77777777" w:rsidR="005A00D9" w:rsidRDefault="005A00D9" w:rsidP="005E234F">
      <w:pPr>
        <w:pStyle w:val="Title"/>
        <w:jc w:val="center"/>
        <w:rPr>
          <w:rFonts w:ascii="Arial" w:hAnsi="Arial" w:cs="Arial"/>
          <w:b/>
          <w:bCs/>
          <w:sz w:val="40"/>
          <w:szCs w:val="40"/>
        </w:rPr>
      </w:pPr>
    </w:p>
    <w:p w14:paraId="3C8FB729" w14:textId="77777777" w:rsidR="005A00D9" w:rsidRDefault="005A00D9" w:rsidP="005E234F">
      <w:pPr>
        <w:pStyle w:val="Title"/>
        <w:jc w:val="center"/>
        <w:rPr>
          <w:rFonts w:ascii="Arial" w:hAnsi="Arial" w:cs="Arial"/>
          <w:b/>
          <w:bCs/>
          <w:sz w:val="40"/>
          <w:szCs w:val="40"/>
        </w:rPr>
      </w:pPr>
    </w:p>
    <w:p w14:paraId="738109C9" w14:textId="77777777" w:rsidR="005A00D9" w:rsidRDefault="005A00D9" w:rsidP="005E234F">
      <w:pPr>
        <w:pStyle w:val="Title"/>
        <w:jc w:val="center"/>
        <w:rPr>
          <w:rFonts w:ascii="Arial" w:hAnsi="Arial" w:cs="Arial"/>
          <w:b/>
          <w:bCs/>
          <w:sz w:val="40"/>
          <w:szCs w:val="40"/>
        </w:rPr>
      </w:pPr>
    </w:p>
    <w:p w14:paraId="07A59A9E" w14:textId="77777777" w:rsidR="005A00D9" w:rsidRDefault="005A00D9" w:rsidP="005E234F">
      <w:pPr>
        <w:pStyle w:val="Title"/>
        <w:jc w:val="center"/>
        <w:rPr>
          <w:rFonts w:ascii="Arial" w:hAnsi="Arial" w:cs="Arial"/>
          <w:b/>
          <w:bCs/>
          <w:sz w:val="40"/>
          <w:szCs w:val="40"/>
        </w:rPr>
      </w:pPr>
    </w:p>
    <w:p w14:paraId="08740082" w14:textId="77777777" w:rsidR="005A00D9" w:rsidRDefault="005A00D9" w:rsidP="005E234F">
      <w:pPr>
        <w:pStyle w:val="Title"/>
        <w:jc w:val="center"/>
        <w:rPr>
          <w:rFonts w:ascii="Arial" w:hAnsi="Arial" w:cs="Arial"/>
          <w:b/>
          <w:bCs/>
          <w:sz w:val="40"/>
          <w:szCs w:val="40"/>
        </w:rPr>
      </w:pPr>
    </w:p>
    <w:p w14:paraId="01481D85" w14:textId="77777777" w:rsidR="005A00D9" w:rsidRDefault="005A00D9" w:rsidP="005E234F">
      <w:pPr>
        <w:pStyle w:val="Title"/>
        <w:jc w:val="center"/>
        <w:rPr>
          <w:rFonts w:ascii="Arial" w:hAnsi="Arial" w:cs="Arial"/>
          <w:b/>
          <w:bCs/>
          <w:sz w:val="40"/>
          <w:szCs w:val="40"/>
        </w:rPr>
      </w:pPr>
    </w:p>
    <w:p w14:paraId="2DC5D882" w14:textId="77777777" w:rsidR="005A00D9" w:rsidRDefault="005A00D9" w:rsidP="005E234F">
      <w:pPr>
        <w:pStyle w:val="Title"/>
        <w:jc w:val="center"/>
        <w:rPr>
          <w:rFonts w:ascii="Arial" w:hAnsi="Arial" w:cs="Arial"/>
          <w:b/>
          <w:bCs/>
          <w:sz w:val="40"/>
          <w:szCs w:val="40"/>
        </w:rPr>
      </w:pPr>
    </w:p>
    <w:p w14:paraId="6BF5AE70" w14:textId="77777777" w:rsidR="005A00D9" w:rsidRDefault="005A00D9" w:rsidP="005E234F">
      <w:pPr>
        <w:pStyle w:val="Title"/>
        <w:jc w:val="center"/>
        <w:rPr>
          <w:rFonts w:ascii="Arial" w:hAnsi="Arial" w:cs="Arial"/>
          <w:b/>
          <w:bCs/>
          <w:sz w:val="40"/>
          <w:szCs w:val="40"/>
        </w:rPr>
      </w:pPr>
    </w:p>
    <w:p w14:paraId="13F85B07" w14:textId="77777777" w:rsidR="005A00D9" w:rsidRDefault="005A00D9" w:rsidP="005E234F">
      <w:pPr>
        <w:pStyle w:val="Title"/>
        <w:jc w:val="center"/>
        <w:rPr>
          <w:rFonts w:ascii="Arial" w:hAnsi="Arial" w:cs="Arial"/>
          <w:b/>
          <w:bCs/>
          <w:sz w:val="40"/>
          <w:szCs w:val="40"/>
        </w:rPr>
      </w:pPr>
    </w:p>
    <w:p w14:paraId="398F2C76" w14:textId="00067D0F" w:rsidR="00376060" w:rsidRPr="008C7205" w:rsidRDefault="00376060" w:rsidP="005E234F">
      <w:pPr>
        <w:pStyle w:val="Title"/>
        <w:jc w:val="center"/>
        <w:rPr>
          <w:rFonts w:ascii="Arial" w:hAnsi="Arial" w:cs="Arial"/>
          <w:b/>
          <w:bCs/>
          <w:sz w:val="40"/>
          <w:szCs w:val="40"/>
        </w:rPr>
      </w:pPr>
      <w:r w:rsidRPr="008C7205">
        <w:rPr>
          <w:rFonts w:ascii="Arial" w:hAnsi="Arial" w:cs="Arial"/>
          <w:b/>
          <w:bCs/>
          <w:sz w:val="40"/>
          <w:szCs w:val="40"/>
        </w:rPr>
        <w:t xml:space="preserve">A </w:t>
      </w:r>
      <w:r w:rsidR="00F32A16" w:rsidRPr="008C7205">
        <w:rPr>
          <w:rFonts w:ascii="Arial" w:hAnsi="Arial" w:cs="Arial"/>
          <w:b/>
          <w:bCs/>
          <w:sz w:val="40"/>
          <w:szCs w:val="40"/>
        </w:rPr>
        <w:t xml:space="preserve">DBA </w:t>
      </w:r>
      <w:r w:rsidRPr="008C7205">
        <w:rPr>
          <w:rFonts w:ascii="Arial" w:hAnsi="Arial" w:cs="Arial"/>
          <w:b/>
          <w:bCs/>
          <w:sz w:val="40"/>
          <w:szCs w:val="40"/>
        </w:rPr>
        <w:t>Systematic Review of the Educational</w:t>
      </w:r>
      <w:r w:rsidRPr="008C7205">
        <w:rPr>
          <w:rFonts w:ascii="Cambria Math" w:hAnsi="Cambria Math" w:cs="Cambria Math"/>
          <w:b/>
          <w:bCs/>
          <w:sz w:val="40"/>
          <w:szCs w:val="40"/>
        </w:rPr>
        <w:t>‑</w:t>
      </w:r>
      <w:r w:rsidRPr="008C7205">
        <w:rPr>
          <w:rFonts w:ascii="Arial" w:hAnsi="Arial" w:cs="Arial"/>
          <w:b/>
          <w:bCs/>
          <w:sz w:val="40"/>
          <w:szCs w:val="40"/>
        </w:rPr>
        <w:t>to</w:t>
      </w:r>
      <w:r w:rsidRPr="008C7205">
        <w:rPr>
          <w:rFonts w:ascii="Cambria Math" w:hAnsi="Cambria Math" w:cs="Cambria Math"/>
          <w:b/>
          <w:bCs/>
          <w:sz w:val="40"/>
          <w:szCs w:val="40"/>
        </w:rPr>
        <w:t>‑</w:t>
      </w:r>
      <w:r w:rsidRPr="008C7205">
        <w:rPr>
          <w:rFonts w:ascii="Arial" w:hAnsi="Arial" w:cs="Arial"/>
          <w:b/>
          <w:bCs/>
          <w:sz w:val="40"/>
          <w:szCs w:val="40"/>
        </w:rPr>
        <w:t>Socioeconomic Transition: Mapping Mechanisms of Business Participation and Risk Among Black Males</w:t>
      </w:r>
    </w:p>
    <w:p w14:paraId="73A816D5" w14:textId="77777777" w:rsidR="00085AFA" w:rsidRDefault="00085AFA" w:rsidP="005E234F">
      <w:pPr>
        <w:jc w:val="center"/>
        <w:rPr>
          <w:sz w:val="32"/>
          <w:szCs w:val="32"/>
        </w:rPr>
      </w:pPr>
    </w:p>
    <w:p w14:paraId="1DC9ACCD" w14:textId="02A79FBF" w:rsidR="005E234F" w:rsidRPr="002316CB" w:rsidRDefault="005E234F" w:rsidP="005E234F">
      <w:pPr>
        <w:jc w:val="center"/>
        <w:rPr>
          <w:rFonts w:ascii="Arial" w:hAnsi="Arial" w:cs="Arial"/>
          <w:sz w:val="32"/>
          <w:szCs w:val="32"/>
        </w:rPr>
      </w:pPr>
      <w:r w:rsidRPr="002316CB">
        <w:rPr>
          <w:rFonts w:ascii="Arial" w:hAnsi="Arial" w:cs="Arial"/>
          <w:sz w:val="32"/>
          <w:szCs w:val="32"/>
        </w:rPr>
        <w:t>Sabrina E Reid</w:t>
      </w:r>
    </w:p>
    <w:p w14:paraId="00E76A94" w14:textId="6005579B" w:rsidR="002410A3" w:rsidRPr="002316CB" w:rsidRDefault="002410A3" w:rsidP="005E234F">
      <w:pPr>
        <w:jc w:val="center"/>
        <w:rPr>
          <w:rFonts w:ascii="Arial" w:hAnsi="Arial" w:cs="Arial"/>
          <w:i/>
          <w:iCs/>
          <w:sz w:val="28"/>
          <w:szCs w:val="28"/>
        </w:rPr>
      </w:pPr>
      <w:r w:rsidRPr="002316CB">
        <w:rPr>
          <w:rFonts w:ascii="Arial" w:hAnsi="Arial" w:cs="Arial"/>
          <w:i/>
          <w:iCs/>
          <w:sz w:val="28"/>
          <w:szCs w:val="28"/>
        </w:rPr>
        <w:t>DBA Candidate</w:t>
      </w:r>
      <w:r w:rsidR="0096375D" w:rsidRPr="002316CB">
        <w:rPr>
          <w:rFonts w:ascii="Arial" w:hAnsi="Arial" w:cs="Arial"/>
          <w:i/>
          <w:iCs/>
          <w:sz w:val="28"/>
          <w:szCs w:val="28"/>
        </w:rPr>
        <w:t xml:space="preserve"> Critical Literature Review for Doctor</w:t>
      </w:r>
      <w:r w:rsidR="00017075" w:rsidRPr="002316CB">
        <w:rPr>
          <w:rFonts w:ascii="Arial" w:hAnsi="Arial" w:cs="Arial"/>
          <w:i/>
          <w:iCs/>
          <w:sz w:val="28"/>
          <w:szCs w:val="28"/>
        </w:rPr>
        <w:t>al Research</w:t>
      </w:r>
      <w:r w:rsidR="000A7DAF" w:rsidRPr="002316CB">
        <w:rPr>
          <w:rFonts w:ascii="Arial" w:hAnsi="Arial" w:cs="Arial"/>
          <w:i/>
          <w:iCs/>
          <w:sz w:val="28"/>
          <w:szCs w:val="28"/>
        </w:rPr>
        <w:t xml:space="preserve"> LCDB7009</w:t>
      </w:r>
    </w:p>
    <w:p w14:paraId="568CD1CD" w14:textId="393F6B17" w:rsidR="00AF1809" w:rsidRPr="002316CB" w:rsidRDefault="00AF1809" w:rsidP="005E234F">
      <w:pPr>
        <w:jc w:val="center"/>
        <w:rPr>
          <w:rFonts w:ascii="Arial" w:hAnsi="Arial" w:cs="Arial"/>
          <w:i/>
          <w:iCs/>
          <w:sz w:val="28"/>
          <w:szCs w:val="28"/>
        </w:rPr>
      </w:pPr>
      <w:r w:rsidRPr="002316CB">
        <w:rPr>
          <w:rFonts w:ascii="Arial" w:hAnsi="Arial" w:cs="Arial"/>
          <w:i/>
          <w:iCs/>
          <w:sz w:val="28"/>
          <w:szCs w:val="28"/>
        </w:rPr>
        <w:t>University of Wales Trinity Saint David</w:t>
      </w:r>
    </w:p>
    <w:p w14:paraId="6CA1F742" w14:textId="77777777" w:rsidR="00D356E0" w:rsidRPr="002316CB" w:rsidRDefault="00D356E0" w:rsidP="00786C35">
      <w:pPr>
        <w:spacing w:line="360" w:lineRule="auto"/>
        <w:jc w:val="center"/>
        <w:rPr>
          <w:rFonts w:ascii="Arial" w:hAnsi="Arial" w:cs="Arial"/>
          <w:i/>
          <w:iCs/>
          <w:sz w:val="28"/>
          <w:szCs w:val="28"/>
        </w:rPr>
      </w:pPr>
    </w:p>
    <w:p w14:paraId="7C7B1F38" w14:textId="6CD2CAA8" w:rsidR="00D356E0" w:rsidRPr="006A4374" w:rsidRDefault="002316CB" w:rsidP="00786C35">
      <w:pPr>
        <w:spacing w:line="360" w:lineRule="auto"/>
        <w:jc w:val="both"/>
        <w:rPr>
          <w:rFonts w:ascii="Arial" w:hAnsi="Arial" w:cs="Arial"/>
          <w:b/>
          <w:bCs/>
          <w:sz w:val="24"/>
          <w:szCs w:val="24"/>
        </w:rPr>
      </w:pPr>
      <w:r w:rsidRPr="006A4374">
        <w:rPr>
          <w:rFonts w:ascii="Arial" w:hAnsi="Arial" w:cs="Arial"/>
          <w:b/>
          <w:bCs/>
          <w:sz w:val="24"/>
          <w:szCs w:val="24"/>
        </w:rPr>
        <w:t>Abstract</w:t>
      </w:r>
      <w:r w:rsidR="008603D5" w:rsidRPr="006A4374">
        <w:rPr>
          <w:rFonts w:ascii="Arial" w:hAnsi="Arial" w:cs="Arial"/>
          <w:b/>
          <w:bCs/>
          <w:sz w:val="24"/>
          <w:szCs w:val="24"/>
        </w:rPr>
        <w:t xml:space="preserve"> </w:t>
      </w:r>
    </w:p>
    <w:p w14:paraId="21CB15AD" w14:textId="7F074722" w:rsidR="00AF224B" w:rsidRPr="006A4374" w:rsidRDefault="00AF224B" w:rsidP="00786C35">
      <w:pPr>
        <w:spacing w:line="360" w:lineRule="auto"/>
        <w:jc w:val="both"/>
        <w:rPr>
          <w:rFonts w:ascii="Arial" w:hAnsi="Arial" w:cs="Arial"/>
          <w:b/>
          <w:bCs/>
          <w:sz w:val="24"/>
          <w:szCs w:val="24"/>
        </w:rPr>
      </w:pPr>
      <w:r w:rsidRPr="006A4374">
        <w:rPr>
          <w:rFonts w:ascii="Arial" w:hAnsi="Arial" w:cs="Arial"/>
          <w:b/>
          <w:bCs/>
          <w:sz w:val="24"/>
          <w:szCs w:val="24"/>
        </w:rPr>
        <w:t>Purpose</w:t>
      </w:r>
      <w:r w:rsidR="008603D5" w:rsidRPr="006A4374">
        <w:rPr>
          <w:rFonts w:ascii="Arial" w:hAnsi="Arial" w:cs="Arial"/>
          <w:sz w:val="24"/>
          <w:szCs w:val="24"/>
        </w:rPr>
        <w:t xml:space="preserve"> -</w:t>
      </w:r>
      <w:r w:rsidR="00786C35" w:rsidRPr="006A4374">
        <w:rPr>
          <w:rFonts w:ascii="Arial" w:hAnsi="Arial" w:cs="Arial"/>
          <w:sz w:val="24"/>
          <w:szCs w:val="24"/>
        </w:rPr>
        <w:t xml:space="preserve"> </w:t>
      </w:r>
      <w:r w:rsidR="007003C0" w:rsidRPr="006A4374">
        <w:rPr>
          <w:rFonts w:ascii="Arial" w:hAnsi="Arial" w:cs="Arial"/>
          <w:sz w:val="24"/>
          <w:szCs w:val="24"/>
        </w:rPr>
        <w:t>This study aims to synthesise evidence regarding the influence of educational support and school-level practices on Black males’ transitions from further or higher education into employment, entrepreneurship, and susceptibility to criminal exploitation. Additionally, it seeks to map mechanisms and feedback loops associated with structural racism.</w:t>
      </w:r>
    </w:p>
    <w:p w14:paraId="605FFFAF" w14:textId="7484054F" w:rsidR="00AF224B" w:rsidRPr="006A4374" w:rsidRDefault="00AF224B" w:rsidP="00786C35">
      <w:pPr>
        <w:spacing w:line="360" w:lineRule="auto"/>
        <w:jc w:val="both"/>
        <w:rPr>
          <w:rFonts w:ascii="Arial" w:hAnsi="Arial" w:cs="Arial"/>
          <w:b/>
          <w:bCs/>
          <w:sz w:val="24"/>
          <w:szCs w:val="24"/>
        </w:rPr>
      </w:pPr>
      <w:r w:rsidRPr="006A4374">
        <w:rPr>
          <w:rFonts w:ascii="Arial" w:hAnsi="Arial" w:cs="Arial"/>
          <w:b/>
          <w:bCs/>
          <w:sz w:val="24"/>
          <w:szCs w:val="24"/>
        </w:rPr>
        <w:t>Design/methodology/appro</w:t>
      </w:r>
      <w:r w:rsidR="008603D5" w:rsidRPr="006A4374">
        <w:rPr>
          <w:rFonts w:ascii="Arial" w:hAnsi="Arial" w:cs="Arial"/>
          <w:b/>
          <w:bCs/>
          <w:sz w:val="24"/>
          <w:szCs w:val="24"/>
        </w:rPr>
        <w:t xml:space="preserve">ach </w:t>
      </w:r>
      <w:r w:rsidR="0060155C" w:rsidRPr="00795DDE">
        <w:rPr>
          <w:rFonts w:ascii="Arial" w:hAnsi="Arial" w:cs="Arial"/>
          <w:sz w:val="24"/>
          <w:szCs w:val="24"/>
        </w:rPr>
        <w:t>-</w:t>
      </w:r>
      <w:r w:rsidR="00795DDE">
        <w:rPr>
          <w:rFonts w:ascii="Arial" w:hAnsi="Arial" w:cs="Arial"/>
          <w:sz w:val="24"/>
          <w:szCs w:val="24"/>
        </w:rPr>
        <w:t xml:space="preserve"> </w:t>
      </w:r>
      <w:r w:rsidR="00795DDE" w:rsidRPr="00795DDE">
        <w:rPr>
          <w:rFonts w:ascii="Arial" w:hAnsi="Arial" w:cs="Arial"/>
          <w:sz w:val="24"/>
          <w:szCs w:val="24"/>
        </w:rPr>
        <w:t>A systematic literature review was conducted, integrating UK and international peer-reviewed studies, policy reports, and grey literature. Sources were organised by theoretical lenses (</w:t>
      </w:r>
      <w:r w:rsidR="00F125A2" w:rsidRPr="00F125A2">
        <w:rPr>
          <w:rFonts w:ascii="Arial" w:hAnsi="Arial" w:cs="Arial"/>
          <w:sz w:val="24"/>
          <w:szCs w:val="24"/>
        </w:rPr>
        <w:t>Critical Race Theory</w:t>
      </w:r>
      <w:r w:rsidR="00795DDE" w:rsidRPr="00795DDE">
        <w:rPr>
          <w:rFonts w:ascii="Arial" w:hAnsi="Arial" w:cs="Arial"/>
          <w:sz w:val="24"/>
          <w:szCs w:val="24"/>
        </w:rPr>
        <w:t xml:space="preserve">, cumulative disadvantage, </w:t>
      </w:r>
      <w:r w:rsidR="00795DDE" w:rsidRPr="00795DDE">
        <w:rPr>
          <w:rFonts w:ascii="Arial" w:hAnsi="Arial" w:cs="Arial"/>
          <w:sz w:val="24"/>
          <w:szCs w:val="24"/>
        </w:rPr>
        <w:t>mixed embeddedness</w:t>
      </w:r>
      <w:r w:rsidR="00795DDE" w:rsidRPr="00795DDE">
        <w:rPr>
          <w:rFonts w:ascii="Arial" w:hAnsi="Arial" w:cs="Arial"/>
          <w:sz w:val="24"/>
          <w:szCs w:val="24"/>
        </w:rPr>
        <w:t>) and coded for mechanisms, mediators, outcomes, and research gaps.</w:t>
      </w:r>
    </w:p>
    <w:p w14:paraId="300D631A" w14:textId="198C18C6" w:rsidR="008603D5" w:rsidRPr="006A4374" w:rsidRDefault="008603D5" w:rsidP="00786C35">
      <w:pPr>
        <w:spacing w:line="360" w:lineRule="auto"/>
        <w:jc w:val="both"/>
        <w:rPr>
          <w:rFonts w:ascii="Arial" w:hAnsi="Arial" w:cs="Arial"/>
          <w:b/>
          <w:bCs/>
          <w:sz w:val="24"/>
          <w:szCs w:val="24"/>
        </w:rPr>
      </w:pPr>
      <w:r w:rsidRPr="006A4374">
        <w:rPr>
          <w:rFonts w:ascii="Arial" w:hAnsi="Arial" w:cs="Arial"/>
          <w:b/>
          <w:bCs/>
          <w:sz w:val="24"/>
          <w:szCs w:val="24"/>
        </w:rPr>
        <w:lastRenderedPageBreak/>
        <w:t>Findings</w:t>
      </w:r>
      <w:r w:rsidR="0060155C" w:rsidRPr="006A4374">
        <w:rPr>
          <w:rFonts w:ascii="Arial" w:hAnsi="Arial" w:cs="Arial"/>
          <w:b/>
          <w:bCs/>
          <w:sz w:val="24"/>
          <w:szCs w:val="24"/>
        </w:rPr>
        <w:t xml:space="preserve"> </w:t>
      </w:r>
      <w:r w:rsidR="0060155C" w:rsidRPr="00795DDE">
        <w:rPr>
          <w:rFonts w:ascii="Arial" w:hAnsi="Arial" w:cs="Arial"/>
          <w:sz w:val="24"/>
          <w:szCs w:val="24"/>
        </w:rPr>
        <w:t>-</w:t>
      </w:r>
      <w:r w:rsidR="00795DDE">
        <w:rPr>
          <w:rFonts w:ascii="Arial" w:hAnsi="Arial" w:cs="Arial"/>
          <w:sz w:val="24"/>
          <w:szCs w:val="24"/>
        </w:rPr>
        <w:t xml:space="preserve"> </w:t>
      </w:r>
      <w:r w:rsidR="000C3320" w:rsidRPr="000C3320">
        <w:rPr>
          <w:rFonts w:ascii="Arial" w:hAnsi="Arial" w:cs="Arial"/>
          <w:sz w:val="24"/>
          <w:szCs w:val="24"/>
        </w:rPr>
        <w:t xml:space="preserve">Existing evidence identifies lowered expectations, biased monitoring, exclusions, curricular whiteness, school policing, mentoring deficits, and financial exclusion as contributing factors to ethnic penalties, necessity entrepreneurship, and pathways into criminal exploitation. Although there </w:t>
      </w:r>
      <w:proofErr w:type="gramStart"/>
      <w:r w:rsidR="000C3320" w:rsidRPr="000C3320">
        <w:rPr>
          <w:rFonts w:ascii="Arial" w:hAnsi="Arial" w:cs="Arial"/>
          <w:sz w:val="24"/>
          <w:szCs w:val="24"/>
        </w:rPr>
        <w:t>is</w:t>
      </w:r>
      <w:proofErr w:type="gramEnd"/>
      <w:r w:rsidR="000C3320" w:rsidRPr="000C3320">
        <w:rPr>
          <w:rFonts w:ascii="Arial" w:hAnsi="Arial" w:cs="Arial"/>
          <w:sz w:val="24"/>
          <w:szCs w:val="24"/>
        </w:rPr>
        <w:t xml:space="preserve"> strong thematic consensus, causal longitudinal evidence and disaggregated studies specific to the UK are still limited.</w:t>
      </w:r>
    </w:p>
    <w:p w14:paraId="1A3B52E1" w14:textId="4A7719A5" w:rsidR="00AF5A53" w:rsidRPr="006A4374" w:rsidRDefault="00AF5A53" w:rsidP="00786C35">
      <w:pPr>
        <w:spacing w:line="360" w:lineRule="auto"/>
        <w:jc w:val="both"/>
        <w:rPr>
          <w:rFonts w:ascii="Arial" w:hAnsi="Arial" w:cs="Arial"/>
          <w:b/>
          <w:bCs/>
          <w:sz w:val="24"/>
          <w:szCs w:val="24"/>
        </w:rPr>
      </w:pPr>
      <w:r w:rsidRPr="006A4374">
        <w:rPr>
          <w:rFonts w:ascii="Arial" w:hAnsi="Arial" w:cs="Arial"/>
          <w:b/>
          <w:bCs/>
          <w:sz w:val="24"/>
          <w:szCs w:val="24"/>
        </w:rPr>
        <w:t>Practical</w:t>
      </w:r>
      <w:r w:rsidR="00006CCC">
        <w:rPr>
          <w:rFonts w:ascii="Arial" w:hAnsi="Arial" w:cs="Arial"/>
          <w:b/>
          <w:bCs/>
          <w:sz w:val="24"/>
          <w:szCs w:val="24"/>
        </w:rPr>
        <w:t xml:space="preserve"> </w:t>
      </w:r>
      <w:r w:rsidRPr="006A4374">
        <w:rPr>
          <w:rFonts w:ascii="Arial" w:hAnsi="Arial" w:cs="Arial"/>
          <w:b/>
          <w:bCs/>
          <w:sz w:val="24"/>
          <w:szCs w:val="24"/>
        </w:rPr>
        <w:t>Implications</w:t>
      </w:r>
      <w:r w:rsidR="0060155C" w:rsidRPr="006A4374">
        <w:rPr>
          <w:rFonts w:ascii="Arial" w:hAnsi="Arial" w:cs="Arial"/>
          <w:b/>
          <w:bCs/>
          <w:sz w:val="24"/>
          <w:szCs w:val="24"/>
        </w:rPr>
        <w:t xml:space="preserve"> </w:t>
      </w:r>
      <w:r w:rsidR="0060155C" w:rsidRPr="000C3320">
        <w:rPr>
          <w:rFonts w:ascii="Arial" w:hAnsi="Arial" w:cs="Arial"/>
          <w:sz w:val="24"/>
          <w:szCs w:val="24"/>
        </w:rPr>
        <w:t>-</w:t>
      </w:r>
      <w:r w:rsidR="000C3320">
        <w:rPr>
          <w:rFonts w:ascii="Arial" w:hAnsi="Arial" w:cs="Arial"/>
          <w:sz w:val="24"/>
          <w:szCs w:val="24"/>
        </w:rPr>
        <w:t xml:space="preserve"> </w:t>
      </w:r>
      <w:r w:rsidR="00006CCC" w:rsidRPr="00006CCC">
        <w:rPr>
          <w:rFonts w:ascii="Arial" w:hAnsi="Arial" w:cs="Arial"/>
          <w:sz w:val="24"/>
          <w:szCs w:val="24"/>
        </w:rPr>
        <w:t>Policies should prioritise disaggregated longitudinal evaluation, culturally responsive mentoring, decolonised curricula, equitable access to apprenticeships, and anti-bias reforms to address cumulative disadvantage.</w:t>
      </w:r>
    </w:p>
    <w:p w14:paraId="78C03E70" w14:textId="5A0C99C4" w:rsidR="00AF5A53" w:rsidRPr="006A4374" w:rsidRDefault="00AF5A53" w:rsidP="00786C35">
      <w:pPr>
        <w:spacing w:line="360" w:lineRule="auto"/>
        <w:jc w:val="both"/>
        <w:rPr>
          <w:rFonts w:ascii="Arial" w:hAnsi="Arial" w:cs="Arial"/>
          <w:b/>
          <w:bCs/>
          <w:sz w:val="24"/>
          <w:szCs w:val="24"/>
        </w:rPr>
      </w:pPr>
      <w:r w:rsidRPr="006A4374">
        <w:rPr>
          <w:rFonts w:ascii="Arial" w:hAnsi="Arial" w:cs="Arial"/>
          <w:b/>
          <w:bCs/>
          <w:sz w:val="24"/>
          <w:szCs w:val="24"/>
        </w:rPr>
        <w:t>Originality/Value</w:t>
      </w:r>
      <w:r w:rsidR="0060155C" w:rsidRPr="006A4374">
        <w:rPr>
          <w:rFonts w:ascii="Arial" w:hAnsi="Arial" w:cs="Arial"/>
          <w:b/>
          <w:bCs/>
          <w:sz w:val="24"/>
          <w:szCs w:val="24"/>
        </w:rPr>
        <w:t xml:space="preserve"> </w:t>
      </w:r>
      <w:r w:rsidR="0060155C" w:rsidRPr="00006CCC">
        <w:rPr>
          <w:rFonts w:ascii="Arial" w:hAnsi="Arial" w:cs="Arial"/>
          <w:sz w:val="24"/>
          <w:szCs w:val="24"/>
        </w:rPr>
        <w:t>-</w:t>
      </w:r>
      <w:r w:rsidR="00006CCC">
        <w:rPr>
          <w:rFonts w:ascii="Arial" w:hAnsi="Arial" w:cs="Arial"/>
          <w:sz w:val="24"/>
          <w:szCs w:val="24"/>
        </w:rPr>
        <w:t xml:space="preserve"> </w:t>
      </w:r>
      <w:r w:rsidR="00CD1D28" w:rsidRPr="00CD1D28">
        <w:rPr>
          <w:rFonts w:ascii="Arial" w:hAnsi="Arial" w:cs="Arial"/>
          <w:sz w:val="24"/>
          <w:szCs w:val="24"/>
        </w:rPr>
        <w:t>This work presents a theory-driven, mechanism-focused synthesis that connects education, labour markets, and business participation to exploitation risk and proposes directions for future research and policy.</w:t>
      </w:r>
    </w:p>
    <w:p w14:paraId="0239338D" w14:textId="185A1C6D" w:rsidR="00AF5A53" w:rsidRPr="00F125A2" w:rsidRDefault="00AF5A53" w:rsidP="00786C35">
      <w:pPr>
        <w:spacing w:line="360" w:lineRule="auto"/>
        <w:jc w:val="both"/>
        <w:rPr>
          <w:rFonts w:ascii="Arial" w:hAnsi="Arial" w:cs="Arial"/>
          <w:sz w:val="24"/>
          <w:szCs w:val="24"/>
        </w:rPr>
      </w:pPr>
      <w:r w:rsidRPr="006A4374">
        <w:rPr>
          <w:rFonts w:ascii="Arial" w:hAnsi="Arial" w:cs="Arial"/>
          <w:b/>
          <w:bCs/>
          <w:sz w:val="24"/>
          <w:szCs w:val="24"/>
        </w:rPr>
        <w:t>Keywords</w:t>
      </w:r>
      <w:r w:rsidR="0060155C" w:rsidRPr="006A4374">
        <w:rPr>
          <w:rFonts w:ascii="Arial" w:hAnsi="Arial" w:cs="Arial"/>
          <w:b/>
          <w:bCs/>
          <w:sz w:val="24"/>
          <w:szCs w:val="24"/>
        </w:rPr>
        <w:t>:</w:t>
      </w:r>
      <w:r w:rsidR="00F125A2">
        <w:rPr>
          <w:rFonts w:ascii="Arial" w:hAnsi="Arial" w:cs="Arial"/>
          <w:b/>
          <w:bCs/>
          <w:sz w:val="24"/>
          <w:szCs w:val="24"/>
        </w:rPr>
        <w:t xml:space="preserve"> </w:t>
      </w:r>
      <w:r w:rsidR="00C84ED1" w:rsidRPr="00C84ED1">
        <w:rPr>
          <w:rFonts w:ascii="Arial" w:hAnsi="Arial" w:cs="Arial"/>
          <w:sz w:val="24"/>
          <w:szCs w:val="24"/>
        </w:rPr>
        <w:t xml:space="preserve">Keywords: Black males; Black men; African; </w:t>
      </w:r>
      <w:r w:rsidR="00C84ED1" w:rsidRPr="00C84ED1">
        <w:rPr>
          <w:rFonts w:ascii="Arial" w:hAnsi="Arial" w:cs="Arial"/>
          <w:sz w:val="24"/>
          <w:szCs w:val="24"/>
        </w:rPr>
        <w:t>Caribbean</w:t>
      </w:r>
      <w:r w:rsidR="00C84ED1" w:rsidRPr="00C84ED1">
        <w:rPr>
          <w:rFonts w:ascii="Arial" w:hAnsi="Arial" w:cs="Arial"/>
          <w:sz w:val="24"/>
          <w:szCs w:val="24"/>
        </w:rPr>
        <w:t>; UK; England; United Kingdom; higher education; further education; education</w:t>
      </w:r>
      <w:r w:rsidR="00C84ED1" w:rsidRPr="00C84ED1">
        <w:rPr>
          <w:rFonts w:ascii="Cambria Math" w:hAnsi="Cambria Math" w:cs="Cambria Math"/>
          <w:sz w:val="24"/>
          <w:szCs w:val="24"/>
        </w:rPr>
        <w:t>‑</w:t>
      </w:r>
      <w:r w:rsidR="00C84ED1" w:rsidRPr="00C84ED1">
        <w:rPr>
          <w:rFonts w:ascii="Arial" w:hAnsi="Arial" w:cs="Arial"/>
          <w:sz w:val="24"/>
          <w:szCs w:val="24"/>
        </w:rPr>
        <w:t>to</w:t>
      </w:r>
      <w:r w:rsidR="00C84ED1" w:rsidRPr="00C84ED1">
        <w:rPr>
          <w:rFonts w:ascii="Cambria Math" w:hAnsi="Cambria Math" w:cs="Cambria Math"/>
          <w:sz w:val="24"/>
          <w:szCs w:val="24"/>
        </w:rPr>
        <w:t>‑</w:t>
      </w:r>
      <w:r w:rsidR="00C84ED1" w:rsidRPr="00C84ED1">
        <w:rPr>
          <w:rFonts w:ascii="Arial" w:hAnsi="Arial" w:cs="Arial"/>
          <w:sz w:val="24"/>
          <w:szCs w:val="24"/>
        </w:rPr>
        <w:t>work transition; education; Critical Race Theory; school exclusions; policing; entrepreneurship; employment; entrepreneur; County Lines; cumulative disadvantage; social/cultural capital; mentoring; financial exclusion; apprenticeships; racial; school policing; curricular decolonisation; mixed embeddedness; mental health; ethnic; criminal exploitation.</w:t>
      </w:r>
    </w:p>
    <w:p w14:paraId="44A9824F" w14:textId="7CA74D34" w:rsidR="00376060" w:rsidRPr="00376060" w:rsidRDefault="0060155C" w:rsidP="00786C35">
      <w:pPr>
        <w:spacing w:line="360" w:lineRule="auto"/>
        <w:jc w:val="both"/>
        <w:rPr>
          <w:rFonts w:ascii="Arial" w:hAnsi="Arial" w:cs="Arial"/>
          <w:sz w:val="24"/>
          <w:szCs w:val="24"/>
        </w:rPr>
      </w:pPr>
      <w:r w:rsidRPr="006A4374">
        <w:rPr>
          <w:rFonts w:ascii="Arial" w:hAnsi="Arial" w:cs="Arial"/>
          <w:b/>
          <w:bCs/>
          <w:sz w:val="24"/>
          <w:szCs w:val="24"/>
        </w:rPr>
        <w:t>Paper type:</w:t>
      </w:r>
      <w:r w:rsidRPr="006A4374">
        <w:rPr>
          <w:rFonts w:ascii="Arial" w:hAnsi="Arial" w:cs="Arial"/>
          <w:sz w:val="24"/>
          <w:szCs w:val="24"/>
        </w:rPr>
        <w:t xml:space="preserve"> </w:t>
      </w:r>
      <w:r w:rsidR="007F1CB2" w:rsidRPr="006A4374">
        <w:rPr>
          <w:rFonts w:ascii="Arial" w:hAnsi="Arial" w:cs="Arial"/>
          <w:sz w:val="24"/>
          <w:szCs w:val="24"/>
        </w:rPr>
        <w:t>Literature review</w:t>
      </w:r>
    </w:p>
    <w:p w14:paraId="7E7F4DF5" w14:textId="512C331D" w:rsidR="005B028D" w:rsidRDefault="00376060" w:rsidP="009E58ED">
      <w:pPr>
        <w:pStyle w:val="Heading2"/>
        <w:jc w:val="both"/>
      </w:pPr>
      <w:bookmarkStart w:id="4" w:name="_Toc227936242"/>
      <w:r w:rsidRPr="00376060">
        <w:t>1. Introduction to the Research Field</w:t>
      </w:r>
      <w:bookmarkEnd w:id="4"/>
    </w:p>
    <w:p w14:paraId="4D740131" w14:textId="43B55474" w:rsidR="00401C51" w:rsidRDefault="009D6751" w:rsidP="009E58ED">
      <w:pPr>
        <w:pStyle w:val="Quote"/>
        <w:spacing w:line="360" w:lineRule="auto"/>
        <w:jc w:val="both"/>
        <w:rPr>
          <w:rFonts w:ascii="Arial" w:hAnsi="Arial" w:cs="Arial"/>
          <w:i w:val="0"/>
          <w:iCs w:val="0"/>
          <w:color w:val="auto"/>
          <w:sz w:val="24"/>
          <w:szCs w:val="24"/>
        </w:rPr>
      </w:pPr>
      <w:r>
        <w:rPr>
          <w:rFonts w:ascii="Arial" w:hAnsi="Arial" w:cs="Arial"/>
          <w:i w:val="0"/>
          <w:iCs w:val="0"/>
          <w:color w:val="auto"/>
          <w:sz w:val="24"/>
          <w:szCs w:val="24"/>
        </w:rPr>
        <w:t xml:space="preserve">The transition from higher education to employment is particularly challenging for Black males in the UK. Despite more participation in further education, they encounter barriers like racial discrimination, financial exclusion, and negative schooling practices, often leading to unstable job markets or criminal activities. This review examines how school exclusions, surveillance, a Eurocentric curriculum, and a lack of mentoring contribute to systemic racism and ongoing disadvantages during the education-employment shift. Utilising Critical Race Theory, it assesses pathways into </w:t>
      </w:r>
      <w:r>
        <w:rPr>
          <w:rFonts w:ascii="Arial" w:hAnsi="Arial" w:cs="Arial"/>
          <w:i w:val="0"/>
          <w:iCs w:val="0"/>
          <w:color w:val="auto"/>
          <w:sz w:val="24"/>
          <w:szCs w:val="24"/>
        </w:rPr>
        <w:lastRenderedPageBreak/>
        <w:t xml:space="preserve">work, highlights research gaps, and proposes a new conceptual model to guide policy and future studies. </w:t>
      </w:r>
      <w:r w:rsidR="00740913" w:rsidRPr="00740913">
        <w:rPr>
          <w:rFonts w:ascii="Arial" w:hAnsi="Arial" w:cs="Arial"/>
          <w:i w:val="0"/>
          <w:iCs w:val="0"/>
          <w:color w:val="auto"/>
          <w:sz w:val="24"/>
          <w:szCs w:val="24"/>
        </w:rPr>
        <w:t>The transition to work is especially challenging for lower</w:t>
      </w:r>
      <w:r w:rsidR="00740913" w:rsidRPr="00740913">
        <w:rPr>
          <w:rFonts w:ascii="Cambria Math" w:hAnsi="Cambria Math" w:cs="Cambria Math"/>
          <w:i w:val="0"/>
          <w:iCs w:val="0"/>
          <w:color w:val="auto"/>
          <w:sz w:val="24"/>
          <w:szCs w:val="24"/>
        </w:rPr>
        <w:t>‑</w:t>
      </w:r>
      <w:r w:rsidR="00187CB9" w:rsidRPr="00187CB9">
        <w:rPr>
          <w:rFonts w:ascii="Arial" w:hAnsi="Arial" w:cs="Arial"/>
          <w:i w:val="0"/>
          <w:iCs w:val="0"/>
          <w:color w:val="auto"/>
          <w:sz w:val="24"/>
          <w:szCs w:val="24"/>
        </w:rPr>
        <w:t>socioeconomic status</w:t>
      </w:r>
      <w:r w:rsidR="00187CB9" w:rsidRPr="00187CB9">
        <w:rPr>
          <w:rFonts w:ascii="Cambria Math" w:hAnsi="Cambria Math" w:cs="Cambria Math"/>
          <w:i w:val="0"/>
          <w:iCs w:val="0"/>
          <w:color w:val="auto"/>
          <w:sz w:val="24"/>
          <w:szCs w:val="24"/>
        </w:rPr>
        <w:t xml:space="preserve"> </w:t>
      </w:r>
      <w:r w:rsidR="00187CB9">
        <w:rPr>
          <w:rFonts w:ascii="Cambria Math" w:hAnsi="Cambria Math" w:cs="Cambria Math"/>
          <w:i w:val="0"/>
          <w:iCs w:val="0"/>
          <w:color w:val="auto"/>
          <w:sz w:val="24"/>
          <w:szCs w:val="24"/>
        </w:rPr>
        <w:t>(</w:t>
      </w:r>
      <w:r w:rsidR="00740913" w:rsidRPr="00740913">
        <w:rPr>
          <w:rFonts w:ascii="Arial" w:hAnsi="Arial" w:cs="Arial"/>
          <w:i w:val="0"/>
          <w:iCs w:val="0"/>
          <w:color w:val="auto"/>
          <w:sz w:val="24"/>
          <w:szCs w:val="24"/>
        </w:rPr>
        <w:t>SES</w:t>
      </w:r>
      <w:r w:rsidR="00187CB9">
        <w:rPr>
          <w:rFonts w:ascii="Arial" w:hAnsi="Arial" w:cs="Arial"/>
          <w:i w:val="0"/>
          <w:iCs w:val="0"/>
          <w:color w:val="auto"/>
          <w:sz w:val="24"/>
          <w:szCs w:val="24"/>
        </w:rPr>
        <w:t>)</w:t>
      </w:r>
      <w:r w:rsidR="00740913" w:rsidRPr="00740913">
        <w:rPr>
          <w:rFonts w:ascii="Arial" w:hAnsi="Arial" w:cs="Arial"/>
          <w:i w:val="0"/>
          <w:iCs w:val="0"/>
          <w:color w:val="auto"/>
          <w:sz w:val="24"/>
          <w:szCs w:val="24"/>
        </w:rPr>
        <w:t xml:space="preserve"> graduates (De Schepper, Clycq, and Kyndt, 2022). Although higher education supports mobility (Osborne, 2003; Smith et al., 2016; Marginson, 2016), success relies on social and cultural capital (Stuber, 2011; Lee and Kramer, 2012; Chambliss </w:t>
      </w:r>
      <w:r w:rsidR="008E1E36">
        <w:rPr>
          <w:rFonts w:ascii="Arial" w:hAnsi="Arial" w:cs="Arial"/>
          <w:i w:val="0"/>
          <w:iCs w:val="0"/>
          <w:color w:val="auto"/>
          <w:sz w:val="24"/>
          <w:szCs w:val="24"/>
        </w:rPr>
        <w:t>and</w:t>
      </w:r>
      <w:r w:rsidR="00740913" w:rsidRPr="00740913">
        <w:rPr>
          <w:rFonts w:ascii="Arial" w:hAnsi="Arial" w:cs="Arial"/>
          <w:i w:val="0"/>
          <w:iCs w:val="0"/>
          <w:color w:val="auto"/>
          <w:sz w:val="24"/>
          <w:szCs w:val="24"/>
        </w:rPr>
        <w:t xml:space="preserve"> Takacs, 2014) amid persistent integration disparities (Wilkins, 2014).</w:t>
      </w:r>
    </w:p>
    <w:p w14:paraId="42C7D6C7" w14:textId="07EA9573" w:rsidR="008B15F4" w:rsidRPr="006861BB" w:rsidRDefault="00007206" w:rsidP="006861BB">
      <w:pPr>
        <w:pStyle w:val="Quote"/>
        <w:rPr>
          <w:rStyle w:val="Emphasis"/>
          <w:i/>
          <w:iCs/>
        </w:rPr>
      </w:pPr>
      <w:r w:rsidRPr="006861BB">
        <w:rPr>
          <w:rStyle w:val="Emphasis"/>
          <w:i/>
          <w:iCs/>
        </w:rPr>
        <w:t>The depiction of black masculinity consistently portrays black men as ‘failures'</w:t>
      </w:r>
      <w:r w:rsidR="007E4A0A" w:rsidRPr="006861BB">
        <w:rPr>
          <w:rStyle w:val="Emphasis"/>
          <w:i/>
          <w:iCs/>
        </w:rPr>
        <w:t xml:space="preserve">- </w:t>
      </w:r>
      <w:r w:rsidR="007C4345" w:rsidRPr="006861BB">
        <w:rPr>
          <w:rStyle w:val="Emphasis"/>
          <w:i/>
          <w:iCs/>
        </w:rPr>
        <w:t>Yet</w:t>
      </w:r>
      <w:r w:rsidR="008B15F4" w:rsidRPr="006861BB">
        <w:rPr>
          <w:rStyle w:val="Emphasis"/>
          <w:i/>
          <w:iCs/>
        </w:rPr>
        <w:t xml:space="preserve"> there has never been a time in the history of the United States when</w:t>
      </w:r>
      <w:r w:rsidR="005D60C8" w:rsidRPr="006861BB">
        <w:rPr>
          <w:rStyle w:val="Emphasis"/>
          <w:i/>
          <w:iCs/>
        </w:rPr>
        <w:t xml:space="preserve"> </w:t>
      </w:r>
      <w:r w:rsidR="008B15F4" w:rsidRPr="006861BB">
        <w:rPr>
          <w:rStyle w:val="Emphasis"/>
          <w:i/>
          <w:iCs/>
        </w:rPr>
        <w:t xml:space="preserve">black folks, particularly black men, have not been enraged by the dominant culture’s </w:t>
      </w:r>
      <w:r w:rsidR="005D60C8" w:rsidRPr="006861BB">
        <w:rPr>
          <w:rStyle w:val="Emphasis"/>
          <w:i/>
          <w:iCs/>
        </w:rPr>
        <w:t>stereotypical</w:t>
      </w:r>
      <w:r w:rsidR="008B15F4" w:rsidRPr="006861BB">
        <w:rPr>
          <w:rStyle w:val="Emphasis"/>
          <w:i/>
          <w:iCs/>
        </w:rPr>
        <w:t>, fantastical representations of black masculinity</w:t>
      </w:r>
      <w:r w:rsidR="007E4A0A" w:rsidRPr="006861BB">
        <w:rPr>
          <w:rStyle w:val="Emphasis"/>
          <w:i/>
          <w:iCs/>
        </w:rPr>
        <w:t xml:space="preserve">- </w:t>
      </w:r>
      <w:r w:rsidR="008B15F4" w:rsidRPr="006861BB">
        <w:rPr>
          <w:rStyle w:val="Emphasis"/>
          <w:i/>
          <w:iCs/>
        </w:rPr>
        <w:t>(Hooks, 1992, p. 89)</w:t>
      </w:r>
    </w:p>
    <w:p w14:paraId="185A5CD7" w14:textId="70F57DFC" w:rsidR="006444E3" w:rsidRDefault="003B2FAC" w:rsidP="009E58ED">
      <w:pPr>
        <w:spacing w:line="360" w:lineRule="auto"/>
        <w:jc w:val="both"/>
        <w:rPr>
          <w:rFonts w:ascii="Arial" w:hAnsi="Arial" w:cs="Arial"/>
          <w:sz w:val="24"/>
          <w:szCs w:val="24"/>
        </w:rPr>
      </w:pPr>
      <w:r w:rsidRPr="003B2FAC">
        <w:rPr>
          <w:rFonts w:ascii="Arial" w:hAnsi="Arial" w:cs="Arial"/>
          <w:sz w:val="24"/>
          <w:szCs w:val="24"/>
        </w:rPr>
        <w:t>Hooks’ statement reflects a dominant stereotype portraying Black men as inherently ‘failing’ (Wright, Maylor, and Becker, 2016), reinforced by labels of underachievement and persistent attainment and unemployment gaps (Farkas, 2003; REACH, 2007; Strand, 2010; DfE, 2013; ONS, 2012). These patterns sustain narratives of ‘failing Black masculinity’ (Sewell, 1997; Reynolds, 2006) and intersect with criminal justice overrepresentation, shaping interpretations of Black male achievement (House of Commons Home Affairs Committee, 2007; Gillborn, 2008; Mocombe, Tomlin, and Wright, 2014).</w:t>
      </w:r>
    </w:p>
    <w:p w14:paraId="7DAD5A10" w14:textId="77777777" w:rsidR="00C5481B" w:rsidRPr="001950DA" w:rsidRDefault="00C5481B" w:rsidP="00C5481B">
      <w:pPr>
        <w:pStyle w:val="Quote"/>
        <w:rPr>
          <w:rFonts w:ascii="Arial" w:hAnsi="Arial" w:cs="Arial"/>
        </w:rPr>
      </w:pPr>
      <w:r w:rsidRPr="001950DA">
        <w:rPr>
          <w:rFonts w:ascii="Arial" w:hAnsi="Arial" w:cs="Arial"/>
        </w:rPr>
        <w:t>There is a silent catastrophe happening in Britain’s schools in the way they continue to fail black British children.</w:t>
      </w:r>
    </w:p>
    <w:p w14:paraId="7E650EB8" w14:textId="77777777" w:rsidR="00C5481B" w:rsidRPr="001950DA" w:rsidRDefault="00C5481B" w:rsidP="00C5481B">
      <w:pPr>
        <w:pStyle w:val="Quote"/>
        <w:rPr>
          <w:rFonts w:ascii="Arial" w:hAnsi="Arial" w:cs="Arial"/>
        </w:rPr>
      </w:pPr>
      <w:r w:rsidRPr="001950DA">
        <w:rPr>
          <w:rFonts w:ascii="Arial" w:hAnsi="Arial" w:cs="Arial"/>
        </w:rPr>
        <w:t xml:space="preserve">Diane Abbott, </w:t>
      </w:r>
      <w:r>
        <w:rPr>
          <w:rFonts w:ascii="Arial" w:hAnsi="Arial" w:cs="Arial"/>
        </w:rPr>
        <w:t>M</w:t>
      </w:r>
      <w:r w:rsidRPr="001950DA">
        <w:rPr>
          <w:rFonts w:ascii="Arial" w:hAnsi="Arial" w:cs="Arial"/>
        </w:rPr>
        <w:t>ember of Parliament (2002).</w:t>
      </w:r>
    </w:p>
    <w:p w14:paraId="42F396E6" w14:textId="457E61A6" w:rsidR="002B7DA5" w:rsidRDefault="005769BC" w:rsidP="00AB0EF4">
      <w:pPr>
        <w:pStyle w:val="Heading3"/>
      </w:pPr>
      <w:bookmarkStart w:id="5" w:name="_Toc227936243"/>
      <w:r>
        <w:t>1,1</w:t>
      </w:r>
      <w:r w:rsidR="002B7DA5" w:rsidRPr="00AB0EF4">
        <w:t>Research Gap</w:t>
      </w:r>
      <w:bookmarkEnd w:id="5"/>
      <w:r w:rsidR="002B7DA5" w:rsidRPr="00AB0EF4">
        <w:t xml:space="preserve"> </w:t>
      </w:r>
    </w:p>
    <w:p w14:paraId="3EDAA9D3" w14:textId="5AD72CF0" w:rsidR="00AB0EF4" w:rsidRPr="00AB0EF4" w:rsidRDefault="00AB0EF4" w:rsidP="009E58ED">
      <w:pPr>
        <w:spacing w:line="360" w:lineRule="auto"/>
        <w:jc w:val="both"/>
        <w:rPr>
          <w:rFonts w:ascii="Arial" w:hAnsi="Arial" w:cs="Arial"/>
          <w:strike/>
          <w:sz w:val="24"/>
          <w:szCs w:val="24"/>
        </w:rPr>
      </w:pPr>
      <w:r w:rsidRPr="00AB0EF4">
        <w:rPr>
          <w:rFonts w:ascii="Arial" w:hAnsi="Arial" w:cs="Arial"/>
          <w:sz w:val="24"/>
          <w:szCs w:val="24"/>
        </w:rPr>
        <w:t xml:space="preserve">Although substantial scholarship exists, significant gaps persist. There is a lack of UK-based longitudinal and process-tracing studies that connect further and higher education experiences to employment, entrepreneurship, or criminal exploitation outcomes. The continued use of aggregated BAME/BME categories obscures distinctions among Black African, Black Caribbean, mixed-identity, and generational groups. Intersectional analyses that consider the interplay of race, gender, class, migration status, and place remain limited. Few studies examine causal mechanisms or mediation processes linking school practices, such as exclusions, policing, and </w:t>
      </w:r>
      <w:r w:rsidRPr="00AB0EF4">
        <w:rPr>
          <w:rFonts w:ascii="Arial" w:hAnsi="Arial" w:cs="Arial"/>
          <w:sz w:val="24"/>
          <w:szCs w:val="24"/>
        </w:rPr>
        <w:lastRenderedPageBreak/>
        <w:t>curriculum, to labour-market and exploitation outcomes. Research specific to higher education on County Lines and organised crime group recruitment is scarce. UK metrics on finance, procurement, and investor-network access influencing business sustainability are inadequate. There is insufficient differentiation between opportunity-driven and necessity-driven entrepreneurship. Rigorous evaluations, including randomised controlled trials and quasi-experimental designs, of mentoring, decolonised curricula, apprenticeship outreach, and anti-bias interventions are rare. The mediating role of mental health is underexplored, and spatial or place-based analyses are limited. Evidence on school-based policing outside London is sparse, and research on post-justice employment and entrepreneurial reintegration for Black men is minimal. Addressing these gaps requires disaggregated, longitudinal, mixed-methods, and evaluation research to test the review’s A</w:t>
      </w:r>
      <w:r>
        <w:rPr>
          <w:rFonts w:ascii="Arial" w:hAnsi="Arial" w:cs="Arial"/>
          <w:sz w:val="24"/>
          <w:szCs w:val="24"/>
        </w:rPr>
        <w:t xml:space="preserve"> </w:t>
      </w:r>
      <w:r w:rsidRPr="00AB0EF4">
        <w:rPr>
          <w:rFonts w:ascii="Arial" w:hAnsi="Arial" w:cs="Arial"/>
          <w:sz w:val="24"/>
          <w:szCs w:val="24"/>
        </w:rPr>
        <w:sym w:font="Wingdings" w:char="F0E0"/>
      </w:r>
      <w:r>
        <w:rPr>
          <w:rFonts w:ascii="Arial" w:hAnsi="Arial" w:cs="Arial"/>
          <w:sz w:val="24"/>
          <w:szCs w:val="24"/>
        </w:rPr>
        <w:t xml:space="preserve"> </w:t>
      </w:r>
      <w:r w:rsidRPr="00AB0EF4">
        <w:rPr>
          <w:rFonts w:ascii="Arial" w:hAnsi="Arial" w:cs="Arial"/>
          <w:sz w:val="24"/>
          <w:szCs w:val="24"/>
        </w:rPr>
        <w:t>F mechanism framework.</w:t>
      </w:r>
    </w:p>
    <w:p w14:paraId="6F55AA3F" w14:textId="701849E7" w:rsidR="00376060" w:rsidRPr="00376060" w:rsidRDefault="00376060" w:rsidP="009E58ED">
      <w:pPr>
        <w:pStyle w:val="Heading2"/>
        <w:jc w:val="both"/>
      </w:pPr>
      <w:bookmarkStart w:id="6" w:name="_Toc227936244"/>
      <w:r w:rsidRPr="00376060">
        <w:t>2. Research Aim, Objectives, and Questions</w:t>
      </w:r>
      <w:bookmarkEnd w:id="6"/>
    </w:p>
    <w:p w14:paraId="417D7C3F" w14:textId="5F5205EA" w:rsidR="00376060" w:rsidRPr="00376060" w:rsidRDefault="005769BC" w:rsidP="009E58ED">
      <w:pPr>
        <w:pStyle w:val="Heading2"/>
        <w:jc w:val="both"/>
      </w:pPr>
      <w:bookmarkStart w:id="7" w:name="_Toc227936245"/>
      <w:r>
        <w:t>2.1</w:t>
      </w:r>
      <w:r w:rsidR="00EB08D4">
        <w:t xml:space="preserve">The </w:t>
      </w:r>
      <w:r w:rsidR="00376060" w:rsidRPr="00376060">
        <w:t>Aim</w:t>
      </w:r>
      <w:bookmarkEnd w:id="7"/>
    </w:p>
    <w:p w14:paraId="55418FE3" w14:textId="75A6C9F6" w:rsidR="00376060" w:rsidRPr="00376060" w:rsidRDefault="00695D00" w:rsidP="009E58ED">
      <w:pPr>
        <w:spacing w:line="360" w:lineRule="auto"/>
        <w:jc w:val="both"/>
        <w:rPr>
          <w:rFonts w:ascii="Arial" w:hAnsi="Arial" w:cs="Arial"/>
          <w:sz w:val="24"/>
          <w:szCs w:val="24"/>
        </w:rPr>
      </w:pPr>
      <w:r>
        <w:rPr>
          <w:rFonts w:ascii="Arial" w:hAnsi="Arial" w:cs="Arial"/>
          <w:sz w:val="24"/>
          <w:szCs w:val="24"/>
        </w:rPr>
        <w:t>To systematically examine how educational (under)support and school-level practices influence the socioeconomic trajectories, business participation opportunities, and risk exposure of Black males, and to identify the mechanisms and feedback loops through which structural racism generates cumulative disadvantage across the educational-to-socioeconomic transition.</w:t>
      </w:r>
    </w:p>
    <w:p w14:paraId="7B24AC37" w14:textId="0E1BF800" w:rsidR="00376060" w:rsidRPr="00376060" w:rsidRDefault="00EB08D4" w:rsidP="009E58ED">
      <w:pPr>
        <w:pStyle w:val="Heading2"/>
        <w:jc w:val="both"/>
      </w:pPr>
      <w:bookmarkStart w:id="8" w:name="_Toc227936246"/>
      <w:r>
        <w:t>The</w:t>
      </w:r>
      <w:r w:rsidR="00376060" w:rsidRPr="00376060">
        <w:t xml:space="preserve"> Objectives</w:t>
      </w:r>
      <w:bookmarkEnd w:id="8"/>
    </w:p>
    <w:p w14:paraId="304D88D2"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 xml:space="preserve">1. Identify and synthesise evidence on forms of educational (under)support experienced by Black males.  </w:t>
      </w:r>
    </w:p>
    <w:p w14:paraId="29869F61"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2. Examine the mechanisms through which school</w:t>
      </w:r>
      <w:r w:rsidRPr="00376060">
        <w:rPr>
          <w:rFonts w:ascii="Cambria Math" w:hAnsi="Cambria Math" w:cs="Cambria Math"/>
          <w:sz w:val="24"/>
          <w:szCs w:val="24"/>
        </w:rPr>
        <w:t>‑</w:t>
      </w:r>
      <w:r w:rsidRPr="00376060">
        <w:rPr>
          <w:rFonts w:ascii="Arial" w:hAnsi="Arial" w:cs="Arial"/>
          <w:sz w:val="24"/>
          <w:szCs w:val="24"/>
        </w:rPr>
        <w:t>level practices shape labour</w:t>
      </w:r>
      <w:r w:rsidRPr="00376060">
        <w:rPr>
          <w:rFonts w:ascii="Cambria Math" w:hAnsi="Cambria Math" w:cs="Cambria Math"/>
          <w:sz w:val="24"/>
          <w:szCs w:val="24"/>
        </w:rPr>
        <w:t>‑</w:t>
      </w:r>
      <w:r w:rsidRPr="00376060">
        <w:rPr>
          <w:rFonts w:ascii="Arial" w:hAnsi="Arial" w:cs="Arial"/>
          <w:sz w:val="24"/>
          <w:szCs w:val="24"/>
        </w:rPr>
        <w:t xml:space="preserve">market outcomes for Black males.  </w:t>
      </w:r>
    </w:p>
    <w:p w14:paraId="2C9D23D5"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3. Analyse how interruptions in the educational</w:t>
      </w:r>
      <w:r w:rsidRPr="00376060">
        <w:rPr>
          <w:rFonts w:ascii="Cambria Math" w:hAnsi="Cambria Math" w:cs="Cambria Math"/>
          <w:sz w:val="24"/>
          <w:szCs w:val="24"/>
        </w:rPr>
        <w:t>‑</w:t>
      </w:r>
      <w:r w:rsidRPr="00376060">
        <w:rPr>
          <w:rFonts w:ascii="Arial" w:hAnsi="Arial" w:cs="Arial"/>
          <w:sz w:val="24"/>
          <w:szCs w:val="24"/>
        </w:rPr>
        <w:t>to</w:t>
      </w:r>
      <w:r w:rsidRPr="00376060">
        <w:rPr>
          <w:rFonts w:ascii="Cambria Math" w:hAnsi="Cambria Math" w:cs="Cambria Math"/>
          <w:sz w:val="24"/>
          <w:szCs w:val="24"/>
        </w:rPr>
        <w:t>‑</w:t>
      </w:r>
      <w:r w:rsidRPr="00376060">
        <w:rPr>
          <w:rFonts w:ascii="Arial" w:hAnsi="Arial" w:cs="Arial"/>
          <w:sz w:val="24"/>
          <w:szCs w:val="24"/>
        </w:rPr>
        <w:t xml:space="preserve">work transition create feedback loops that heighten exposure to criminal exploitation.  </w:t>
      </w:r>
    </w:p>
    <w:p w14:paraId="237462D2"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 xml:space="preserve">4. Evaluate existing theoretical models explaining the interaction between educational trajectories, structural racism, and business/market participation.  </w:t>
      </w:r>
    </w:p>
    <w:p w14:paraId="42FFCDDB" w14:textId="77777777" w:rsidR="00376060" w:rsidRDefault="00376060" w:rsidP="009E58ED">
      <w:pPr>
        <w:spacing w:line="360" w:lineRule="auto"/>
        <w:jc w:val="both"/>
        <w:rPr>
          <w:rFonts w:ascii="Arial" w:hAnsi="Arial" w:cs="Arial"/>
          <w:sz w:val="24"/>
          <w:szCs w:val="24"/>
        </w:rPr>
      </w:pPr>
      <w:r w:rsidRPr="00376060">
        <w:rPr>
          <w:rFonts w:ascii="Arial" w:hAnsi="Arial" w:cs="Arial"/>
          <w:sz w:val="24"/>
          <w:szCs w:val="24"/>
        </w:rPr>
        <w:lastRenderedPageBreak/>
        <w:t>5. Develop a conceptual model linking educational inputs, mediating mechanisms, and socioeconomic outcomes for Black males.</w:t>
      </w:r>
    </w:p>
    <w:p w14:paraId="15A63E9D" w14:textId="47F90AC4" w:rsidR="00EB08D4" w:rsidRDefault="00FE1279" w:rsidP="00143C11">
      <w:pPr>
        <w:pStyle w:val="Heading3"/>
      </w:pPr>
      <w:bookmarkStart w:id="9" w:name="_Toc227936247"/>
      <w:r>
        <w:t xml:space="preserve">2.2 </w:t>
      </w:r>
      <w:r w:rsidR="00EB08D4" w:rsidRPr="009717DD">
        <w:t>Scope of the Study</w:t>
      </w:r>
      <w:bookmarkEnd w:id="9"/>
    </w:p>
    <w:p w14:paraId="16E31949" w14:textId="219F1DCB" w:rsidR="009717DD" w:rsidRPr="009717DD" w:rsidRDefault="00143C11" w:rsidP="009E58ED">
      <w:pPr>
        <w:spacing w:line="360" w:lineRule="auto"/>
        <w:jc w:val="both"/>
        <w:rPr>
          <w:rFonts w:ascii="Arial" w:hAnsi="Arial" w:cs="Arial"/>
          <w:sz w:val="24"/>
          <w:szCs w:val="24"/>
        </w:rPr>
      </w:pPr>
      <w:r w:rsidRPr="00143C11">
        <w:rPr>
          <w:rFonts w:ascii="Arial" w:hAnsi="Arial" w:cs="Arial"/>
          <w:sz w:val="24"/>
          <w:szCs w:val="24"/>
        </w:rPr>
        <w:t xml:space="preserve">This review examines Black males, disaggregating Black African, Black Caribbean, and mixed Black identities where possible, and considers generational and socioeconomic status variation. The analysis primarily utilises UK-based evidence, supplemented by comparative international studies. It addresses compulsory education, pupil referral and alternative provision, further education (FE), and higher education (HE), and traces transitions from FE and HE into the labour market, apprenticeships, self-employment or entrepreneurship (distinguishing between opportunity and necessity), and informal or illicit economic activity, including County Lines and organised criminal groups (OCGs). Key outcomes assessed include employment quality, underemployment and unemployment, apprenticeship access, entrepreneurial type and sustainability, exposure to criminal exploitation, mental health, and post-justice system re-entry. The review employs a mechanism-focused synthesis informed by critical race theory (CRT) and Whiteness studies, cumulative (dis)advantage, </w:t>
      </w:r>
      <w:proofErr w:type="spellStart"/>
      <w:r w:rsidRPr="00143C11">
        <w:rPr>
          <w:rFonts w:ascii="Arial" w:hAnsi="Arial" w:cs="Arial"/>
          <w:sz w:val="24"/>
          <w:szCs w:val="24"/>
        </w:rPr>
        <w:t>Bourdieuian</w:t>
      </w:r>
      <w:proofErr w:type="spellEnd"/>
      <w:r w:rsidRPr="00143C11">
        <w:rPr>
          <w:rFonts w:ascii="Arial" w:hAnsi="Arial" w:cs="Arial"/>
          <w:sz w:val="24"/>
          <w:szCs w:val="24"/>
        </w:rPr>
        <w:t xml:space="preserve"> social and cultural capital, labelling and school-to-prison pipeline frameworks, mixed-embeddedness, human capital and social network models, and intersectionality. The synthesis draws on peer-reviewed empirical research, longitudinal and cohort studies, qualitative and process-tracing analyses, policy documents, and grey literature from the contemporary policy era (post-austerity, pre- and post-COVID). Limitations include reliance on BAME-aggregated reporting, a scarcity of UK longitudinal studies, and uneven geographic representativeness.</w:t>
      </w:r>
    </w:p>
    <w:p w14:paraId="43C8889B" w14:textId="040400F0" w:rsidR="00EB08D4" w:rsidRDefault="00FE1279" w:rsidP="002C7A63">
      <w:pPr>
        <w:pStyle w:val="Heading3"/>
      </w:pPr>
      <w:bookmarkStart w:id="10" w:name="_Toc227936248"/>
      <w:r>
        <w:t xml:space="preserve">2.3 </w:t>
      </w:r>
      <w:r w:rsidR="00EB08D4" w:rsidRPr="002C7A63">
        <w:t>Cha</w:t>
      </w:r>
      <w:r w:rsidR="00086A69" w:rsidRPr="002C7A63">
        <w:t>llenges of the Study</w:t>
      </w:r>
      <w:bookmarkEnd w:id="10"/>
    </w:p>
    <w:p w14:paraId="69EFF213" w14:textId="7C5A56E8" w:rsidR="002C7A63" w:rsidRPr="00EB08D4" w:rsidRDefault="002C7A63" w:rsidP="009E58ED">
      <w:pPr>
        <w:spacing w:line="360" w:lineRule="auto"/>
        <w:jc w:val="both"/>
        <w:rPr>
          <w:rFonts w:ascii="Arial" w:hAnsi="Arial" w:cs="Arial"/>
          <w:color w:val="EE0000"/>
          <w:sz w:val="24"/>
          <w:szCs w:val="24"/>
        </w:rPr>
      </w:pPr>
      <w:r w:rsidRPr="002C7A63">
        <w:rPr>
          <w:rFonts w:ascii="Arial" w:hAnsi="Arial" w:cs="Arial"/>
          <w:sz w:val="24"/>
          <w:szCs w:val="24"/>
        </w:rPr>
        <w:t xml:space="preserve">Several interrelated challenges affect this study. Limited UK longitudinal and cohort data, along with widespread aggregation of Black, Asian and Minority Ethnic (BAME) groups, restrict causal inference and subgroup analysis, such as distinctions between Black African and Caribbean populations, generational status, and socioeconomic status. Inconsistent measures of exclusions, entrepreneurship, and exploitation reduce comparability across studies. Sensitive criminal justice and exploitation data </w:t>
      </w:r>
      <w:r w:rsidRPr="002C7A63">
        <w:rPr>
          <w:rFonts w:ascii="Arial" w:hAnsi="Arial" w:cs="Arial"/>
          <w:sz w:val="24"/>
          <w:szCs w:val="24"/>
        </w:rPr>
        <w:lastRenderedPageBreak/>
        <w:t>introduce barriers related to access, disclosure, and ethics. Methodological complexity arises when operationalising constructs such as curricular whiteness, stigma, “</w:t>
      </w:r>
      <w:proofErr w:type="gramStart"/>
      <w:r w:rsidRPr="002C7A63">
        <w:rPr>
          <w:rFonts w:ascii="Arial" w:hAnsi="Arial" w:cs="Arial"/>
          <w:sz w:val="24"/>
          <w:szCs w:val="24"/>
        </w:rPr>
        <w:t>clean-skin</w:t>
      </w:r>
      <w:proofErr w:type="gramEnd"/>
      <w:r w:rsidRPr="002C7A63">
        <w:rPr>
          <w:rFonts w:ascii="Arial" w:hAnsi="Arial" w:cs="Arial"/>
          <w:sz w:val="24"/>
          <w:szCs w:val="24"/>
        </w:rPr>
        <w:t>” recruitment, and necessity entrepreneurship. A research bias toward London and other urban areas, combined with place-based heterogeneity, limits the generalisability of findings at the national level. Evaluations of interventions, including randomised controlled trials and quasi-experiments, face practical and ethical constraints. Rapidly evolving policy contexts, including austerity, the COVID-19 pandemic, and policing reforms, further complicate temporal analysis. Finally, the resource-intensive and interdisciplinary nature of linked datasets, mixed-methods designs, and participatory, culturally competent approaches requires substantial funding, governance, and ethical oversight.</w:t>
      </w:r>
    </w:p>
    <w:p w14:paraId="0C6B0E55" w14:textId="621387DA" w:rsidR="00376060" w:rsidRPr="00376060" w:rsidRDefault="00FE1279" w:rsidP="009E58ED">
      <w:pPr>
        <w:pStyle w:val="Heading2"/>
        <w:jc w:val="both"/>
        <w:rPr>
          <w:rFonts w:ascii="Arial" w:hAnsi="Arial" w:cs="Arial"/>
          <w:sz w:val="24"/>
          <w:szCs w:val="24"/>
        </w:rPr>
      </w:pPr>
      <w:bookmarkStart w:id="11" w:name="_Toc227936249"/>
      <w:r>
        <w:t xml:space="preserve">2.4 </w:t>
      </w:r>
      <w:r w:rsidR="00376060" w:rsidRPr="00376060">
        <w:t>Research Questions</w:t>
      </w:r>
      <w:bookmarkEnd w:id="11"/>
    </w:p>
    <w:p w14:paraId="02117B92"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 xml:space="preserve">1. How do specific forms of educational (under)support experienced by Black males shape their pathways into, or exclusion from, legitimate socioeconomic participation?  </w:t>
      </w:r>
    </w:p>
    <w:p w14:paraId="73BE355A"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2. Through what mechanisms do school</w:t>
      </w:r>
      <w:r w:rsidRPr="00376060">
        <w:rPr>
          <w:rFonts w:ascii="Cambria Math" w:hAnsi="Cambria Math" w:cs="Cambria Math"/>
          <w:sz w:val="24"/>
          <w:szCs w:val="24"/>
        </w:rPr>
        <w:t>‑</w:t>
      </w:r>
      <w:r w:rsidRPr="00376060">
        <w:rPr>
          <w:rFonts w:ascii="Arial" w:hAnsi="Arial" w:cs="Arial"/>
          <w:sz w:val="24"/>
          <w:szCs w:val="24"/>
        </w:rPr>
        <w:t>level practices translate into patterns of labour</w:t>
      </w:r>
      <w:r w:rsidRPr="00376060">
        <w:rPr>
          <w:rFonts w:ascii="Cambria Math" w:hAnsi="Cambria Math" w:cs="Cambria Math"/>
          <w:sz w:val="24"/>
          <w:szCs w:val="24"/>
        </w:rPr>
        <w:t>‑</w:t>
      </w:r>
      <w:r w:rsidRPr="00376060">
        <w:rPr>
          <w:rFonts w:ascii="Arial" w:hAnsi="Arial" w:cs="Arial"/>
          <w:sz w:val="24"/>
          <w:szCs w:val="24"/>
        </w:rPr>
        <w:t xml:space="preserve">market opportunity, precarious work, or economic marginalisation?  </w:t>
      </w:r>
    </w:p>
    <w:p w14:paraId="6311A911" w14:textId="77777777" w:rsidR="00376060" w:rsidRPr="00376060" w:rsidRDefault="00376060" w:rsidP="009E58ED">
      <w:pPr>
        <w:spacing w:line="360" w:lineRule="auto"/>
        <w:jc w:val="both"/>
        <w:rPr>
          <w:rFonts w:ascii="Arial" w:hAnsi="Arial" w:cs="Arial"/>
          <w:sz w:val="24"/>
          <w:szCs w:val="24"/>
        </w:rPr>
      </w:pPr>
      <w:r w:rsidRPr="00376060">
        <w:rPr>
          <w:rFonts w:ascii="Arial" w:hAnsi="Arial" w:cs="Arial"/>
          <w:sz w:val="24"/>
          <w:szCs w:val="24"/>
        </w:rPr>
        <w:t>3. How do interruptions in the educational</w:t>
      </w:r>
      <w:r w:rsidRPr="00376060">
        <w:rPr>
          <w:rFonts w:ascii="Cambria Math" w:hAnsi="Cambria Math" w:cs="Cambria Math"/>
          <w:sz w:val="24"/>
          <w:szCs w:val="24"/>
        </w:rPr>
        <w:t>‑</w:t>
      </w:r>
      <w:r w:rsidRPr="00376060">
        <w:rPr>
          <w:rFonts w:ascii="Arial" w:hAnsi="Arial" w:cs="Arial"/>
          <w:sz w:val="24"/>
          <w:szCs w:val="24"/>
        </w:rPr>
        <w:t>to</w:t>
      </w:r>
      <w:r w:rsidRPr="00376060">
        <w:rPr>
          <w:rFonts w:ascii="Cambria Math" w:hAnsi="Cambria Math" w:cs="Cambria Math"/>
          <w:sz w:val="24"/>
          <w:szCs w:val="24"/>
        </w:rPr>
        <w:t>‑</w:t>
      </w:r>
      <w:r w:rsidRPr="00376060">
        <w:rPr>
          <w:rFonts w:ascii="Arial" w:hAnsi="Arial" w:cs="Arial"/>
          <w:sz w:val="24"/>
          <w:szCs w:val="24"/>
        </w:rPr>
        <w:t xml:space="preserve">work transition create feedback loops that heighten exposure to criminal exploitation?  </w:t>
      </w:r>
    </w:p>
    <w:p w14:paraId="26D22F24" w14:textId="5C50E805" w:rsidR="00376060" w:rsidRDefault="00376060" w:rsidP="009E58ED">
      <w:pPr>
        <w:spacing w:line="360" w:lineRule="auto"/>
        <w:jc w:val="both"/>
        <w:rPr>
          <w:rFonts w:ascii="Arial" w:hAnsi="Arial" w:cs="Arial"/>
          <w:sz w:val="24"/>
          <w:szCs w:val="24"/>
        </w:rPr>
      </w:pPr>
      <w:r w:rsidRPr="00376060">
        <w:rPr>
          <w:rFonts w:ascii="Arial" w:hAnsi="Arial" w:cs="Arial"/>
          <w:sz w:val="24"/>
          <w:szCs w:val="24"/>
        </w:rPr>
        <w:t>4. What models or frameworks best explain the interaction between educational trajectories, structural racism, and business/market participation in producing differential risk outcomes?</w:t>
      </w:r>
    </w:p>
    <w:p w14:paraId="075AC975" w14:textId="6160FA6C" w:rsidR="00481452" w:rsidRDefault="00FE1279" w:rsidP="00B91188">
      <w:pPr>
        <w:pStyle w:val="Heading2"/>
      </w:pPr>
      <w:bookmarkStart w:id="12" w:name="_Toc227936250"/>
      <w:r>
        <w:t xml:space="preserve">3 </w:t>
      </w:r>
      <w:r w:rsidR="008B4790" w:rsidRPr="00B91188">
        <w:t>Systematic Literature Review</w:t>
      </w:r>
      <w:bookmarkEnd w:id="12"/>
    </w:p>
    <w:p w14:paraId="44D82C63" w14:textId="5F81F4F6" w:rsidR="008B4790" w:rsidRDefault="00FE1279" w:rsidP="00B91188">
      <w:pPr>
        <w:pStyle w:val="Heading3"/>
      </w:pPr>
      <w:bookmarkStart w:id="13" w:name="_Toc227936251"/>
      <w:r>
        <w:t xml:space="preserve">3.1 </w:t>
      </w:r>
      <w:r w:rsidR="00CB04A0" w:rsidRPr="00B91188">
        <w:t>Theoretical</w:t>
      </w:r>
      <w:r w:rsidR="00551145">
        <w:t>/Co</w:t>
      </w:r>
      <w:r w:rsidR="00CB04A0" w:rsidRPr="00B91188">
        <w:t xml:space="preserve">nceptual </w:t>
      </w:r>
      <w:r w:rsidR="00551145">
        <w:t>F</w:t>
      </w:r>
      <w:r w:rsidR="00CB04A0" w:rsidRPr="00B91188">
        <w:t xml:space="preserve">ramework of this </w:t>
      </w:r>
      <w:r w:rsidR="00551145">
        <w:t>S</w:t>
      </w:r>
      <w:r w:rsidR="00CB04A0" w:rsidRPr="00B91188">
        <w:t>tudy</w:t>
      </w:r>
      <w:bookmarkEnd w:id="13"/>
    </w:p>
    <w:p w14:paraId="25134C28" w14:textId="59A878D6" w:rsidR="009B7740" w:rsidRDefault="004B6A3E" w:rsidP="00501DD3">
      <w:pPr>
        <w:pStyle w:val="Heading3"/>
        <w:jc w:val="both"/>
        <w:rPr>
          <w:rFonts w:ascii="Arial" w:hAnsi="Arial" w:cs="Arial"/>
          <w:sz w:val="24"/>
          <w:szCs w:val="24"/>
        </w:rPr>
      </w:pPr>
      <w:bookmarkStart w:id="14" w:name="_Toc227936252"/>
      <w:r w:rsidRPr="00376060">
        <w:t>3.</w:t>
      </w:r>
      <w:r w:rsidR="00FE1279">
        <w:t>2</w:t>
      </w:r>
      <w:r w:rsidRPr="00376060">
        <w:t xml:space="preserve"> Theoretical Framework</w:t>
      </w:r>
      <w:r w:rsidR="00B43403">
        <w:t xml:space="preserve"> of this </w:t>
      </w:r>
      <w:r w:rsidR="00B91188">
        <w:t>S</w:t>
      </w:r>
      <w:r w:rsidR="00B43403">
        <w:t>tud</w:t>
      </w:r>
      <w:r w:rsidR="00B91188">
        <w:t>y</w:t>
      </w:r>
      <w:r w:rsidRPr="00376060">
        <w:t>: Critical Race Theory (CRT)</w:t>
      </w:r>
      <w:bookmarkEnd w:id="14"/>
    </w:p>
    <w:p w14:paraId="7A8C9BC0" w14:textId="11CA62D6" w:rsidR="004B6A3E" w:rsidRDefault="00DD0146" w:rsidP="004B6A3E">
      <w:pPr>
        <w:spacing w:line="360" w:lineRule="auto"/>
        <w:jc w:val="both"/>
        <w:rPr>
          <w:rFonts w:ascii="Arial" w:hAnsi="Arial" w:cs="Arial"/>
          <w:sz w:val="24"/>
          <w:szCs w:val="24"/>
        </w:rPr>
      </w:pPr>
      <w:r w:rsidRPr="00DD0146">
        <w:rPr>
          <w:rFonts w:ascii="Arial" w:hAnsi="Arial" w:cs="Arial"/>
          <w:sz w:val="24"/>
          <w:szCs w:val="24"/>
        </w:rPr>
        <w:t xml:space="preserve">This analytical synthesis framework </w:t>
      </w:r>
      <w:r w:rsidR="00501DD3" w:rsidRPr="007E26E2">
        <w:rPr>
          <w:rFonts w:ascii="Arial" w:hAnsi="Arial" w:cs="Arial"/>
          <w:sz w:val="24"/>
          <w:szCs w:val="24"/>
        </w:rPr>
        <w:t>centres</w:t>
      </w:r>
      <w:r w:rsidR="007E26E2" w:rsidRPr="007E26E2">
        <w:rPr>
          <w:rFonts w:ascii="Arial" w:hAnsi="Arial" w:cs="Arial"/>
          <w:sz w:val="24"/>
          <w:szCs w:val="24"/>
        </w:rPr>
        <w:t xml:space="preserve"> Critical Race Theory and Whiteness (Bell, 1995), integrating cumulative (dis)advantage (Crystal et al., 2016), </w:t>
      </w:r>
      <w:proofErr w:type="spellStart"/>
      <w:r w:rsidR="007E26E2" w:rsidRPr="007E26E2">
        <w:rPr>
          <w:rFonts w:ascii="Arial" w:hAnsi="Arial" w:cs="Arial"/>
          <w:sz w:val="24"/>
          <w:szCs w:val="24"/>
        </w:rPr>
        <w:t>Bourdieuian</w:t>
      </w:r>
      <w:proofErr w:type="spellEnd"/>
      <w:r w:rsidR="007E26E2" w:rsidRPr="007E26E2">
        <w:rPr>
          <w:rFonts w:ascii="Arial" w:hAnsi="Arial" w:cs="Arial"/>
          <w:sz w:val="24"/>
          <w:szCs w:val="24"/>
        </w:rPr>
        <w:t xml:space="preserve"> social and cultural capital (Bourdieu et al., 2011), and social network models (Berkman and Glass, 2000) to elucidate how structural racism influences school practices such as </w:t>
      </w:r>
      <w:r w:rsidR="00501DD3" w:rsidRPr="007E26E2">
        <w:rPr>
          <w:rFonts w:ascii="Arial" w:hAnsi="Arial" w:cs="Arial"/>
          <w:sz w:val="24"/>
          <w:szCs w:val="24"/>
        </w:rPr>
        <w:lastRenderedPageBreak/>
        <w:t>labelling</w:t>
      </w:r>
      <w:r w:rsidR="007E26E2" w:rsidRPr="007E26E2">
        <w:rPr>
          <w:rFonts w:ascii="Arial" w:hAnsi="Arial" w:cs="Arial"/>
          <w:sz w:val="24"/>
          <w:szCs w:val="24"/>
        </w:rPr>
        <w:t xml:space="preserve"> and exclusions (Becker, 1963), mediating states including reduced capital, stigma, and debt, as well as socioeconomic outcomes such as ethnic penalties, unequal returns, and mixed-embeddedness entrepreneurship (Kloosterman et al., 1999). Risk pathways, including County Lines and organised crime group recruitment (</w:t>
      </w:r>
      <w:r w:rsidR="007E26E2" w:rsidRPr="00501DD3">
        <w:rPr>
          <w:rFonts w:ascii="Arial" w:hAnsi="Arial" w:cs="Arial"/>
          <w:sz w:val="24"/>
          <w:szCs w:val="24"/>
        </w:rPr>
        <w:t xml:space="preserve">Olver and </w:t>
      </w:r>
      <w:proofErr w:type="spellStart"/>
      <w:r w:rsidR="007E26E2" w:rsidRPr="00501DD3">
        <w:rPr>
          <w:rFonts w:ascii="Arial" w:hAnsi="Arial" w:cs="Arial"/>
          <w:sz w:val="24"/>
          <w:szCs w:val="24"/>
        </w:rPr>
        <w:t>Cockbain</w:t>
      </w:r>
      <w:proofErr w:type="spellEnd"/>
      <w:r w:rsidR="007E26E2" w:rsidRPr="00501DD3">
        <w:rPr>
          <w:rFonts w:ascii="Arial" w:hAnsi="Arial" w:cs="Arial"/>
          <w:sz w:val="24"/>
          <w:szCs w:val="24"/>
        </w:rPr>
        <w:t>, 2021; Meredith et al., 2025),</w:t>
      </w:r>
      <w:r w:rsidR="007E26E2" w:rsidRPr="007E26E2">
        <w:rPr>
          <w:rFonts w:ascii="Arial" w:hAnsi="Arial" w:cs="Arial"/>
          <w:sz w:val="24"/>
          <w:szCs w:val="24"/>
        </w:rPr>
        <w:t xml:space="preserve"> are also considered. The framework incorporates intersectionality (race, class, gender, generation, and place) and life-course sequencing to capture conditional effects and feedback loops, wherein criminalisation, business failure, and financial exclusion perpetuate disadvantage. The model delineates A</w:t>
      </w:r>
      <w:r w:rsidR="00E4592C">
        <w:rPr>
          <w:rFonts w:ascii="Arial" w:hAnsi="Arial" w:cs="Arial"/>
          <w:sz w:val="24"/>
          <w:szCs w:val="24"/>
        </w:rPr>
        <w:t xml:space="preserve"> </w:t>
      </w:r>
      <w:r w:rsidR="00F03B94" w:rsidRPr="00F03B94">
        <w:rPr>
          <w:rFonts w:ascii="Arial" w:hAnsi="Arial" w:cs="Arial"/>
          <w:sz w:val="24"/>
          <w:szCs w:val="24"/>
        </w:rPr>
        <w:sym w:font="Wingdings" w:char="F0E0"/>
      </w:r>
      <w:r w:rsidR="00E4592C">
        <w:rPr>
          <w:rFonts w:ascii="Arial" w:hAnsi="Arial" w:cs="Arial"/>
          <w:sz w:val="24"/>
          <w:szCs w:val="24"/>
        </w:rPr>
        <w:t xml:space="preserve"> </w:t>
      </w:r>
      <w:r w:rsidR="007E26E2" w:rsidRPr="007E26E2">
        <w:rPr>
          <w:rFonts w:ascii="Arial" w:hAnsi="Arial" w:cs="Arial"/>
          <w:sz w:val="24"/>
          <w:szCs w:val="24"/>
        </w:rPr>
        <w:t>F nodes (structural driver</w:t>
      </w:r>
      <w:r w:rsidR="00E4592C">
        <w:rPr>
          <w:rFonts w:ascii="Arial" w:hAnsi="Arial" w:cs="Arial"/>
          <w:sz w:val="24"/>
          <w:szCs w:val="24"/>
        </w:rPr>
        <w:t>s</w:t>
      </w:r>
      <w:r w:rsidR="00AB4439">
        <w:rPr>
          <w:rFonts w:ascii="Arial" w:hAnsi="Arial" w:cs="Arial"/>
          <w:sz w:val="24"/>
          <w:szCs w:val="24"/>
        </w:rPr>
        <w:t xml:space="preserve"> </w:t>
      </w:r>
      <w:r w:rsidR="00F03B94" w:rsidRPr="00F03B94">
        <w:rPr>
          <w:rFonts w:ascii="Arial" w:hAnsi="Arial" w:cs="Arial"/>
          <w:sz w:val="24"/>
          <w:szCs w:val="24"/>
        </w:rPr>
        <w:sym w:font="Wingdings" w:char="F0E0"/>
      </w:r>
      <w:r w:rsidR="00AB4439">
        <w:rPr>
          <w:rFonts w:ascii="Arial" w:hAnsi="Arial" w:cs="Arial"/>
          <w:sz w:val="24"/>
          <w:szCs w:val="24"/>
        </w:rPr>
        <w:t xml:space="preserve"> </w:t>
      </w:r>
      <w:r w:rsidR="007E26E2" w:rsidRPr="007E26E2">
        <w:rPr>
          <w:rFonts w:ascii="Arial" w:hAnsi="Arial" w:cs="Arial"/>
          <w:sz w:val="24"/>
          <w:szCs w:val="24"/>
        </w:rPr>
        <w:t>school practices</w:t>
      </w:r>
      <w:r w:rsidR="00AB4439">
        <w:rPr>
          <w:rFonts w:ascii="Arial" w:hAnsi="Arial" w:cs="Arial"/>
          <w:sz w:val="24"/>
          <w:szCs w:val="24"/>
        </w:rPr>
        <w:t xml:space="preserve"> </w:t>
      </w:r>
      <w:r w:rsidR="00AB4439" w:rsidRPr="00AB4439">
        <w:rPr>
          <w:rFonts w:ascii="Arial" w:hAnsi="Arial" w:cs="Arial"/>
          <w:sz w:val="24"/>
          <w:szCs w:val="24"/>
        </w:rPr>
        <w:sym w:font="Wingdings" w:char="F0E0"/>
      </w:r>
      <w:r w:rsidR="007E26E2" w:rsidRPr="007E26E2">
        <w:rPr>
          <w:rFonts w:ascii="Arial" w:hAnsi="Arial" w:cs="Arial"/>
          <w:sz w:val="24"/>
          <w:szCs w:val="24"/>
        </w:rPr>
        <w:t xml:space="preserve"> mediators, outcomes</w:t>
      </w:r>
      <w:r w:rsidR="00AB4439">
        <w:rPr>
          <w:rFonts w:ascii="Arial" w:hAnsi="Arial" w:cs="Arial"/>
          <w:sz w:val="24"/>
          <w:szCs w:val="24"/>
        </w:rPr>
        <w:t xml:space="preserve"> </w:t>
      </w:r>
      <w:r w:rsidR="00AB4439" w:rsidRPr="00AB4439">
        <w:rPr>
          <w:rFonts w:ascii="Arial" w:hAnsi="Arial" w:cs="Arial"/>
          <w:sz w:val="24"/>
          <w:szCs w:val="24"/>
        </w:rPr>
        <w:sym w:font="Wingdings" w:char="F0E0"/>
      </w:r>
      <w:r w:rsidR="007E26E2" w:rsidRPr="007E26E2">
        <w:rPr>
          <w:rFonts w:ascii="Arial" w:hAnsi="Arial" w:cs="Arial"/>
          <w:sz w:val="24"/>
          <w:szCs w:val="24"/>
        </w:rPr>
        <w:t xml:space="preserve"> exploitation</w:t>
      </w:r>
      <w:r w:rsidR="00AB4439">
        <w:rPr>
          <w:rFonts w:ascii="Arial" w:hAnsi="Arial" w:cs="Arial"/>
          <w:sz w:val="24"/>
          <w:szCs w:val="24"/>
        </w:rPr>
        <w:t xml:space="preserve"> </w:t>
      </w:r>
      <w:r w:rsidR="00AB4439" w:rsidRPr="00AB4439">
        <w:rPr>
          <w:rFonts w:ascii="Arial" w:hAnsi="Arial" w:cs="Arial"/>
          <w:sz w:val="24"/>
          <w:szCs w:val="24"/>
        </w:rPr>
        <w:sym w:font="Wingdings" w:char="F0E0"/>
      </w:r>
      <w:r w:rsidR="007E26E2" w:rsidRPr="007E26E2">
        <w:rPr>
          <w:rFonts w:ascii="Arial" w:hAnsi="Arial" w:cs="Arial"/>
          <w:sz w:val="24"/>
          <w:szCs w:val="24"/>
        </w:rPr>
        <w:t xml:space="preserve"> feedback) for operationalisation, and prioritises longitudinal, mixed-methods, and process-tracing designs to evaluate mediations and policy interventions such as mentoring, decolonised curricula, apprenticeship access, and anti-bias reforms.</w:t>
      </w:r>
      <w:r w:rsidR="00501DD3">
        <w:rPr>
          <w:rFonts w:ascii="Arial" w:hAnsi="Arial" w:cs="Arial"/>
          <w:sz w:val="24"/>
          <w:szCs w:val="24"/>
        </w:rPr>
        <w:t xml:space="preserve"> </w:t>
      </w:r>
      <w:r w:rsidR="004B6A3E">
        <w:rPr>
          <w:rFonts w:ascii="Arial" w:hAnsi="Arial" w:cs="Arial"/>
          <w:sz w:val="24"/>
          <w:szCs w:val="24"/>
        </w:rPr>
        <w:t>Figure 1 illustrates the conceptual framework of the mechanisms and theoretical lenses:</w:t>
      </w:r>
    </w:p>
    <w:p w14:paraId="39F018DE" w14:textId="5766C674" w:rsidR="00086A69" w:rsidRDefault="00912682" w:rsidP="001A457E">
      <w:pPr>
        <w:pStyle w:val="Heading3"/>
      </w:pPr>
      <w:bookmarkStart w:id="15" w:name="_Toc227936253"/>
      <w:r>
        <w:t xml:space="preserve">3.3 </w:t>
      </w:r>
      <w:r w:rsidR="003B50D0" w:rsidRPr="001A457E">
        <w:t xml:space="preserve">Conceptual Framework </w:t>
      </w:r>
      <w:r w:rsidR="00F81088">
        <w:t>Diagram</w:t>
      </w:r>
      <w:bookmarkEnd w:id="15"/>
    </w:p>
    <w:p w14:paraId="7267D04E" w14:textId="75BAF031" w:rsidR="001A457E" w:rsidRDefault="00CD5778" w:rsidP="009E58ED">
      <w:pPr>
        <w:spacing w:line="360" w:lineRule="auto"/>
        <w:jc w:val="both"/>
        <w:rPr>
          <w:rFonts w:ascii="Arial" w:hAnsi="Arial" w:cs="Arial"/>
          <w:color w:val="EE0000"/>
          <w:sz w:val="24"/>
          <w:szCs w:val="24"/>
        </w:rPr>
      </w:pPr>
      <w:r w:rsidRPr="00CD5778">
        <w:rPr>
          <w:rFonts w:ascii="Arial" w:hAnsi="Arial" w:cs="Arial"/>
          <w:sz w:val="24"/>
          <w:szCs w:val="24"/>
        </w:rPr>
        <w:drawing>
          <wp:inline distT="0" distB="0" distL="0" distR="0" wp14:anchorId="35C9C3A3" wp14:editId="26840B5A">
            <wp:extent cx="5917635" cy="3916680"/>
            <wp:effectExtent l="0" t="0" r="6985" b="7620"/>
            <wp:docPr id="980625391" name="Picture 1" descr="The diagram illustrates a multi-layered framework linking historical and institutional racism to educational practices, societal mediation, socioeconomic outcomes, risk and exploitation pathways, feedback loops, and intergenerational eff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625391" name="Picture 1" descr="The diagram illustrates a multi-layered framework linking historical and institutional racism to educational practices, societal mediation, socioeconomic outcomes, risk and exploitation pathways, feedback loops, and intergenerational effects.&#10;&#10;AI-generated content may be incorrect."/>
                    <pic:cNvPicPr/>
                  </pic:nvPicPr>
                  <pic:blipFill>
                    <a:blip r:embed="rId15"/>
                    <a:stretch>
                      <a:fillRect/>
                    </a:stretch>
                  </pic:blipFill>
                  <pic:spPr>
                    <a:xfrm>
                      <a:off x="0" y="0"/>
                      <a:ext cx="5919542" cy="3917942"/>
                    </a:xfrm>
                    <a:prstGeom prst="rect">
                      <a:avLst/>
                    </a:prstGeom>
                  </pic:spPr>
                </pic:pic>
              </a:graphicData>
            </a:graphic>
          </wp:inline>
        </w:drawing>
      </w:r>
    </w:p>
    <w:p w14:paraId="7A18F11C" w14:textId="36D846AD" w:rsidR="00F02999" w:rsidRPr="00376060" w:rsidRDefault="00F02999" w:rsidP="00F02999">
      <w:pPr>
        <w:pStyle w:val="Heading4"/>
      </w:pPr>
      <w:r>
        <w:lastRenderedPageBreak/>
        <w:t>Figure 1: Conceptual Framework Diagram, Source</w:t>
      </w:r>
      <w:r w:rsidR="00F42146">
        <w:t>(s)</w:t>
      </w:r>
      <w:r>
        <w:t xml:space="preserve">: Authors’ work </w:t>
      </w:r>
    </w:p>
    <w:p w14:paraId="7B733AD0" w14:textId="77777777" w:rsidR="00F02999" w:rsidRDefault="00F02999" w:rsidP="009E58ED">
      <w:pPr>
        <w:spacing w:line="360" w:lineRule="auto"/>
        <w:jc w:val="both"/>
        <w:rPr>
          <w:rFonts w:ascii="Arial" w:hAnsi="Arial" w:cs="Arial"/>
          <w:color w:val="EE0000"/>
          <w:sz w:val="24"/>
          <w:szCs w:val="24"/>
        </w:rPr>
      </w:pPr>
    </w:p>
    <w:p w14:paraId="21005EE2" w14:textId="4C27A7FC" w:rsidR="003B50D0" w:rsidRPr="00602B0F" w:rsidRDefault="00912682" w:rsidP="00B67D01">
      <w:pPr>
        <w:pStyle w:val="Heading3"/>
      </w:pPr>
      <w:bookmarkStart w:id="16" w:name="_Toc227936254"/>
      <w:r>
        <w:t xml:space="preserve">3.4 </w:t>
      </w:r>
      <w:r w:rsidR="003B50D0" w:rsidRPr="00602B0F">
        <w:t>Conceptual Framework</w:t>
      </w:r>
      <w:bookmarkEnd w:id="16"/>
    </w:p>
    <w:p w14:paraId="61F2F585" w14:textId="49EB4E3A" w:rsidR="00602B0F" w:rsidRDefault="00F42146" w:rsidP="000A21FC">
      <w:pPr>
        <w:spacing w:line="360" w:lineRule="auto"/>
        <w:jc w:val="both"/>
        <w:rPr>
          <w:rFonts w:ascii="Arial" w:hAnsi="Arial" w:cs="Arial"/>
          <w:sz w:val="24"/>
          <w:szCs w:val="24"/>
        </w:rPr>
      </w:pPr>
      <w:r w:rsidRPr="00F42146">
        <w:rPr>
          <w:rFonts w:ascii="Arial" w:hAnsi="Arial" w:cs="Arial"/>
          <w:sz w:val="24"/>
          <w:szCs w:val="24"/>
        </w:rPr>
        <w:t>The central premise is that structural racism and whiteness, as conceptualised within CRT, influence school-level practices. These practices, through mediating mechanisms, generate unequal socioeconomic outcomes and increase the risk of exploitation for Black males. Feedback loops subsequently reinforce these disadvantages throughout the life course.</w:t>
      </w:r>
    </w:p>
    <w:p w14:paraId="15B68848" w14:textId="3E3EAA17" w:rsidR="00F42146" w:rsidRDefault="00092C8E" w:rsidP="001F2B6D">
      <w:pPr>
        <w:pStyle w:val="Heading5"/>
      </w:pPr>
      <w:r>
        <w:t xml:space="preserve">Framework </w:t>
      </w:r>
      <w:r w:rsidR="000053D6">
        <w:t>c</w:t>
      </w:r>
      <w:r>
        <w:t xml:space="preserve">omponents </w:t>
      </w:r>
      <w:r w:rsidR="00531070">
        <w:t>(</w:t>
      </w:r>
      <w:r>
        <w:t>flow</w:t>
      </w:r>
      <w:r w:rsidR="00531070">
        <w:t xml:space="preserve"> A </w:t>
      </w:r>
      <w:r w:rsidR="00531070" w:rsidRPr="00531070">
        <w:sym w:font="Wingdings" w:char="F0E0"/>
      </w:r>
      <w:r w:rsidR="00531070">
        <w:t>F)</w:t>
      </w:r>
    </w:p>
    <w:p w14:paraId="7748497C" w14:textId="77777777" w:rsidR="007B3F7B" w:rsidRPr="007B3F7B" w:rsidRDefault="007B3F7B" w:rsidP="007B3F7B">
      <w:pPr>
        <w:spacing w:line="360" w:lineRule="auto"/>
        <w:jc w:val="both"/>
        <w:rPr>
          <w:rFonts w:ascii="Arial" w:hAnsi="Arial" w:cs="Arial"/>
          <w:sz w:val="24"/>
          <w:szCs w:val="24"/>
        </w:rPr>
      </w:pPr>
      <w:r w:rsidRPr="007B3F7B">
        <w:rPr>
          <w:rFonts w:ascii="Arial" w:hAnsi="Arial" w:cs="Arial"/>
          <w:sz w:val="24"/>
          <w:szCs w:val="24"/>
        </w:rPr>
        <w:t>A. Structural drivers (macro level) include historical and institutional racism, neoliberal policies, neighbourhood deprivation, labour market segmentation, and financial exclusion.</w:t>
      </w:r>
    </w:p>
    <w:p w14:paraId="2B380E1D" w14:textId="77777777" w:rsidR="007B3F7B" w:rsidRPr="007B3F7B" w:rsidRDefault="007B3F7B" w:rsidP="007B3F7B">
      <w:pPr>
        <w:spacing w:line="360" w:lineRule="auto"/>
        <w:jc w:val="both"/>
        <w:rPr>
          <w:rFonts w:ascii="Arial" w:hAnsi="Arial" w:cs="Arial"/>
          <w:sz w:val="24"/>
          <w:szCs w:val="24"/>
        </w:rPr>
      </w:pPr>
      <w:r w:rsidRPr="007B3F7B">
        <w:rPr>
          <w:rFonts w:ascii="Arial" w:hAnsi="Arial" w:cs="Arial"/>
          <w:sz w:val="24"/>
          <w:szCs w:val="24"/>
        </w:rPr>
        <w:t>B. School and institutional practices (meso level) encompass teacher expectations, academic tracking, exclusionary disciplinary measures, surveillance and school policing, curricular whiteness, and insufficient career guidance or mentoring.</w:t>
      </w:r>
    </w:p>
    <w:p w14:paraId="20822FF3" w14:textId="77777777" w:rsidR="007B3F7B" w:rsidRPr="007B3F7B" w:rsidRDefault="007B3F7B" w:rsidP="007B3F7B">
      <w:pPr>
        <w:spacing w:line="360" w:lineRule="auto"/>
        <w:jc w:val="both"/>
        <w:rPr>
          <w:rFonts w:ascii="Arial" w:hAnsi="Arial" w:cs="Arial"/>
          <w:sz w:val="24"/>
          <w:szCs w:val="24"/>
        </w:rPr>
      </w:pPr>
      <w:r w:rsidRPr="007B3F7B">
        <w:rPr>
          <w:rFonts w:ascii="Arial" w:hAnsi="Arial" w:cs="Arial"/>
          <w:sz w:val="24"/>
          <w:szCs w:val="24"/>
        </w:rPr>
        <w:t>C. Mediating states (micro level) involve diminished social and cultural capital, weakened social networks, stigma, mental health harms, debt or financial exclusion, and a reduced sense of belonging.</w:t>
      </w:r>
    </w:p>
    <w:p w14:paraId="3D7646B5" w14:textId="77777777" w:rsidR="007B3F7B" w:rsidRPr="007B3F7B" w:rsidRDefault="007B3F7B" w:rsidP="007B3F7B">
      <w:pPr>
        <w:spacing w:line="360" w:lineRule="auto"/>
        <w:jc w:val="both"/>
        <w:rPr>
          <w:rFonts w:ascii="Arial" w:hAnsi="Arial" w:cs="Arial"/>
          <w:sz w:val="24"/>
          <w:szCs w:val="24"/>
        </w:rPr>
      </w:pPr>
      <w:r w:rsidRPr="007B3F7B">
        <w:rPr>
          <w:rFonts w:ascii="Arial" w:hAnsi="Arial" w:cs="Arial"/>
          <w:sz w:val="24"/>
          <w:szCs w:val="24"/>
        </w:rPr>
        <w:t>D. Socioeconomic outcomes in early adulthood include underemployment, precarious employment, unequal access to apprenticeships, unemployment, entrepreneurship driven by opportunity versus necessity, and low business sustainability.</w:t>
      </w:r>
    </w:p>
    <w:p w14:paraId="7D8367E4" w14:textId="77777777" w:rsidR="007B3F7B" w:rsidRPr="007B3F7B" w:rsidRDefault="007B3F7B" w:rsidP="007B3F7B">
      <w:pPr>
        <w:spacing w:line="360" w:lineRule="auto"/>
        <w:jc w:val="both"/>
        <w:rPr>
          <w:rFonts w:ascii="Arial" w:hAnsi="Arial" w:cs="Arial"/>
          <w:sz w:val="24"/>
          <w:szCs w:val="24"/>
        </w:rPr>
      </w:pPr>
      <w:r w:rsidRPr="007B3F7B">
        <w:rPr>
          <w:rFonts w:ascii="Arial" w:hAnsi="Arial" w:cs="Arial"/>
          <w:sz w:val="24"/>
          <w:szCs w:val="24"/>
        </w:rPr>
        <w:t>E. Risk and exploitation pathways arise when economic precarity and social isolation facilitate grooming or recruitment by County Lines or organised criminal groups, victimisation, and the acquisition of criminal records.</w:t>
      </w:r>
    </w:p>
    <w:p w14:paraId="52E97240" w14:textId="35358360" w:rsidR="000053D6" w:rsidRDefault="007B3F7B" w:rsidP="007B3F7B">
      <w:pPr>
        <w:spacing w:line="360" w:lineRule="auto"/>
        <w:jc w:val="both"/>
        <w:rPr>
          <w:rFonts w:ascii="Arial" w:hAnsi="Arial" w:cs="Arial"/>
          <w:sz w:val="24"/>
          <w:szCs w:val="24"/>
        </w:rPr>
      </w:pPr>
      <w:r w:rsidRPr="007B3F7B">
        <w:rPr>
          <w:rFonts w:ascii="Arial" w:hAnsi="Arial" w:cs="Arial"/>
          <w:sz w:val="24"/>
          <w:szCs w:val="24"/>
        </w:rPr>
        <w:t>F. Feedback loops, which are cyclical in nature, include criminalisation, business failure, reduced access to finance, and community mistrust. These factors reinforce structural drivers, school and institutional practices, mediating states, and perpetuate intergenerational disadvantage.</w:t>
      </w:r>
    </w:p>
    <w:p w14:paraId="2343E865" w14:textId="4D156394" w:rsidR="007B3F7B" w:rsidRDefault="006C5AFA" w:rsidP="001F2B6D">
      <w:pPr>
        <w:pStyle w:val="Heading5"/>
      </w:pPr>
      <w:r>
        <w:lastRenderedPageBreak/>
        <w:t>Theoretical Anchors</w:t>
      </w:r>
    </w:p>
    <w:p w14:paraId="551185C4" w14:textId="182B0605" w:rsidR="006C5AFA" w:rsidRDefault="00B87C8B" w:rsidP="007B3F7B">
      <w:pPr>
        <w:spacing w:line="360" w:lineRule="auto"/>
        <w:jc w:val="both"/>
        <w:rPr>
          <w:rFonts w:ascii="Arial" w:hAnsi="Arial" w:cs="Arial"/>
          <w:sz w:val="24"/>
          <w:szCs w:val="24"/>
        </w:rPr>
      </w:pPr>
      <w:r w:rsidRPr="00B87C8B">
        <w:rPr>
          <w:rFonts w:ascii="Arial" w:hAnsi="Arial" w:cs="Arial"/>
          <w:sz w:val="24"/>
          <w:szCs w:val="24"/>
        </w:rPr>
        <w:t xml:space="preserve">Critical Race Theory and Whiteness (Bell, 1995) serve as the primary analytical lens, integrated with frameworks of cumulative (dis)advantage (Crystal et al., 2016), </w:t>
      </w:r>
      <w:proofErr w:type="spellStart"/>
      <w:r w:rsidRPr="00B87C8B">
        <w:rPr>
          <w:rFonts w:ascii="Arial" w:hAnsi="Arial" w:cs="Arial"/>
          <w:sz w:val="24"/>
          <w:szCs w:val="24"/>
        </w:rPr>
        <w:t>Bourdieuian</w:t>
      </w:r>
      <w:proofErr w:type="spellEnd"/>
      <w:r w:rsidRPr="00B87C8B">
        <w:rPr>
          <w:rFonts w:ascii="Arial" w:hAnsi="Arial" w:cs="Arial"/>
          <w:sz w:val="24"/>
          <w:szCs w:val="24"/>
        </w:rPr>
        <w:t xml:space="preserve"> concepts of social and cultural capital and social network models (Bourdieu et al., 2011; Berkman and Glass, 2000), labelling and school-to-prison pipeline theory (Becker, 1963), mixed-embeddedness entrepreneurship (Kloosterman et al., 1999), and human capital and ethnic penalty perspectives.</w:t>
      </w:r>
    </w:p>
    <w:p w14:paraId="4DCBCC43" w14:textId="5335A041" w:rsidR="00B87C8B" w:rsidRDefault="004A1647" w:rsidP="001F2B6D">
      <w:pPr>
        <w:pStyle w:val="Heading5"/>
      </w:pPr>
      <w:r>
        <w:t xml:space="preserve">Operationalisation </w:t>
      </w:r>
    </w:p>
    <w:p w14:paraId="041D102E" w14:textId="77777777" w:rsidR="00312C4B" w:rsidRPr="00312C4B" w:rsidRDefault="00312C4B" w:rsidP="00312C4B">
      <w:pPr>
        <w:spacing w:line="360" w:lineRule="auto"/>
        <w:jc w:val="both"/>
        <w:rPr>
          <w:rFonts w:ascii="Arial" w:hAnsi="Arial" w:cs="Arial"/>
          <w:sz w:val="24"/>
          <w:szCs w:val="24"/>
        </w:rPr>
      </w:pPr>
      <w:r w:rsidRPr="00312C4B">
        <w:rPr>
          <w:rFonts w:ascii="Arial" w:hAnsi="Arial" w:cs="Arial"/>
          <w:sz w:val="24"/>
          <w:szCs w:val="24"/>
        </w:rPr>
        <w:t>A: Per-pupil school funding, neighbourhood Index of Multiple Deprivation (IMD), and policy intensity measures.</w:t>
      </w:r>
    </w:p>
    <w:p w14:paraId="6A025860" w14:textId="77777777" w:rsidR="00312C4B" w:rsidRPr="00312C4B" w:rsidRDefault="00312C4B" w:rsidP="00312C4B">
      <w:pPr>
        <w:spacing w:line="360" w:lineRule="auto"/>
        <w:jc w:val="both"/>
        <w:rPr>
          <w:rFonts w:ascii="Arial" w:hAnsi="Arial" w:cs="Arial"/>
          <w:sz w:val="24"/>
          <w:szCs w:val="24"/>
        </w:rPr>
      </w:pPr>
      <w:r w:rsidRPr="00312C4B">
        <w:rPr>
          <w:rFonts w:ascii="Arial" w:hAnsi="Arial" w:cs="Arial"/>
          <w:sz w:val="24"/>
          <w:szCs w:val="24"/>
        </w:rPr>
        <w:t>B: Exclusion rates, placement settings, presence of school officers, curriculum diversity indices, and hours of career guidance.</w:t>
      </w:r>
    </w:p>
    <w:p w14:paraId="77054665" w14:textId="77777777" w:rsidR="00312C4B" w:rsidRPr="00312C4B" w:rsidRDefault="00312C4B" w:rsidP="00312C4B">
      <w:pPr>
        <w:spacing w:line="360" w:lineRule="auto"/>
        <w:jc w:val="both"/>
        <w:rPr>
          <w:rFonts w:ascii="Arial" w:hAnsi="Arial" w:cs="Arial"/>
          <w:sz w:val="24"/>
          <w:szCs w:val="24"/>
        </w:rPr>
      </w:pPr>
      <w:r w:rsidRPr="00312C4B">
        <w:rPr>
          <w:rFonts w:ascii="Arial" w:hAnsi="Arial" w:cs="Arial"/>
          <w:sz w:val="24"/>
          <w:szCs w:val="24"/>
        </w:rPr>
        <w:t>C: Network size and quality scales, access to mentoring, validated mental health measures, and household debt and wealth metrics.</w:t>
      </w:r>
    </w:p>
    <w:p w14:paraId="206A83A2" w14:textId="77777777" w:rsidR="00312C4B" w:rsidRPr="00312C4B" w:rsidRDefault="00312C4B" w:rsidP="00312C4B">
      <w:pPr>
        <w:spacing w:line="360" w:lineRule="auto"/>
        <w:jc w:val="both"/>
        <w:rPr>
          <w:rFonts w:ascii="Arial" w:hAnsi="Arial" w:cs="Arial"/>
          <w:sz w:val="24"/>
          <w:szCs w:val="24"/>
        </w:rPr>
      </w:pPr>
      <w:r w:rsidRPr="00312C4B">
        <w:rPr>
          <w:rFonts w:ascii="Arial" w:hAnsi="Arial" w:cs="Arial"/>
          <w:sz w:val="24"/>
          <w:szCs w:val="24"/>
        </w:rPr>
        <w:t>D: Employment status, hourly wages, occupational class, apprenticeship starts and completions, and business survival rates.</w:t>
      </w:r>
    </w:p>
    <w:p w14:paraId="3148A9E8" w14:textId="77777777" w:rsidR="00312C4B" w:rsidRPr="00312C4B" w:rsidRDefault="00312C4B" w:rsidP="00312C4B">
      <w:pPr>
        <w:spacing w:line="360" w:lineRule="auto"/>
        <w:jc w:val="both"/>
        <w:rPr>
          <w:rFonts w:ascii="Arial" w:hAnsi="Arial" w:cs="Arial"/>
          <w:sz w:val="24"/>
          <w:szCs w:val="24"/>
        </w:rPr>
      </w:pPr>
      <w:r w:rsidRPr="00312C4B">
        <w:rPr>
          <w:rFonts w:ascii="Arial" w:hAnsi="Arial" w:cs="Arial"/>
          <w:sz w:val="24"/>
          <w:szCs w:val="24"/>
        </w:rPr>
        <w:t>E: Recorded recruitment incidents, County Lines referrals, victimisation reports, and criminal justice contacts.</w:t>
      </w:r>
    </w:p>
    <w:p w14:paraId="4BAAEAC5" w14:textId="77777777" w:rsidR="00312C4B" w:rsidRPr="00312C4B" w:rsidRDefault="00312C4B" w:rsidP="00312C4B">
      <w:pPr>
        <w:spacing w:line="360" w:lineRule="auto"/>
        <w:jc w:val="both"/>
        <w:rPr>
          <w:rFonts w:ascii="Arial" w:hAnsi="Arial" w:cs="Arial"/>
          <w:sz w:val="24"/>
          <w:szCs w:val="24"/>
        </w:rPr>
      </w:pPr>
      <w:r w:rsidRPr="00312C4B">
        <w:rPr>
          <w:rFonts w:ascii="Arial" w:hAnsi="Arial" w:cs="Arial"/>
          <w:sz w:val="24"/>
          <w:szCs w:val="24"/>
        </w:rPr>
        <w:t>F: Repeated outcome measures across waves and intergenerational indicators, such as household wealth and education.</w:t>
      </w:r>
    </w:p>
    <w:p w14:paraId="590A2EEC" w14:textId="5652C2B5" w:rsidR="004F4CE5" w:rsidRDefault="00E5460B" w:rsidP="001F2B6D">
      <w:pPr>
        <w:pStyle w:val="Heading5"/>
      </w:pPr>
      <w:r w:rsidRPr="00E5460B">
        <w:t>Examples of testable approaches</w:t>
      </w:r>
    </w:p>
    <w:p w14:paraId="0296C61D" w14:textId="77777777" w:rsidR="00325DF4" w:rsidRPr="00325DF4" w:rsidRDefault="00325DF4" w:rsidP="00325DF4">
      <w:pPr>
        <w:spacing w:line="360" w:lineRule="auto"/>
        <w:jc w:val="both"/>
        <w:rPr>
          <w:rFonts w:ascii="Arial" w:hAnsi="Arial" w:cs="Arial"/>
          <w:sz w:val="24"/>
          <w:szCs w:val="24"/>
        </w:rPr>
      </w:pPr>
      <w:r w:rsidRPr="00325DF4">
        <w:rPr>
          <w:rFonts w:ascii="Arial" w:hAnsi="Arial" w:cs="Arial"/>
          <w:sz w:val="24"/>
          <w:szCs w:val="24"/>
        </w:rPr>
        <w:t>Exclusions (B) lead to reduced networks (C), which, in turn, result in underemployment (D) and an increased risk of exploitation (E). The presence of mentoring moderates this pathway.</w:t>
      </w:r>
    </w:p>
    <w:p w14:paraId="7F63FC11" w14:textId="6D3AF97C" w:rsidR="00271BB6" w:rsidRDefault="00325DF4" w:rsidP="00325DF4">
      <w:pPr>
        <w:spacing w:line="360" w:lineRule="auto"/>
        <w:jc w:val="both"/>
        <w:rPr>
          <w:rFonts w:ascii="Arial" w:hAnsi="Arial" w:cs="Arial"/>
          <w:sz w:val="24"/>
          <w:szCs w:val="24"/>
        </w:rPr>
      </w:pPr>
      <w:r w:rsidRPr="00325DF4">
        <w:rPr>
          <w:rFonts w:ascii="Arial" w:hAnsi="Arial" w:cs="Arial"/>
          <w:sz w:val="24"/>
          <w:szCs w:val="24"/>
        </w:rPr>
        <w:t>Financial exclusion (A) contributes to debt accumulation (C), which prompts necessity entrepreneurship (D). This process frequently leads to business failure (F), thereby exacerbating the individual's structural position (A).</w:t>
      </w:r>
    </w:p>
    <w:p w14:paraId="35B7EC3D" w14:textId="2F80483D" w:rsidR="00F42146" w:rsidRDefault="00BF3270" w:rsidP="001F2B6D">
      <w:pPr>
        <w:pStyle w:val="Heading5"/>
      </w:pPr>
      <w:r>
        <w:lastRenderedPageBreak/>
        <w:t>Research Methodology proposal</w:t>
      </w:r>
    </w:p>
    <w:p w14:paraId="25AD4639" w14:textId="77B341C7" w:rsidR="00667273" w:rsidRDefault="00BE07C3" w:rsidP="000A21FC">
      <w:pPr>
        <w:spacing w:line="360" w:lineRule="auto"/>
        <w:jc w:val="both"/>
        <w:rPr>
          <w:rFonts w:ascii="Arial" w:hAnsi="Arial" w:cs="Arial"/>
          <w:sz w:val="24"/>
          <w:szCs w:val="24"/>
        </w:rPr>
      </w:pPr>
      <w:r w:rsidRPr="00BE07C3">
        <w:rPr>
          <w:rFonts w:ascii="Arial" w:hAnsi="Arial" w:cs="Arial"/>
          <w:sz w:val="24"/>
          <w:szCs w:val="24"/>
        </w:rPr>
        <w:t>Employ disaggregated, longitudinal, mixed-methods, and process-tracing research designs. Integrate administrative, survey, and qualitative data sources. Evaluate mediation and moderation models as well as the effects of interventions such as mentoring, decolonised curricula, financial inclusion, and apprenticeship outreach.</w:t>
      </w:r>
    </w:p>
    <w:p w14:paraId="4BF28759" w14:textId="0DE28A16" w:rsidR="002F5F97" w:rsidRDefault="00E3541D" w:rsidP="001F2B6D">
      <w:pPr>
        <w:pStyle w:val="Heading5"/>
      </w:pPr>
      <w:r w:rsidRPr="00E3541D">
        <w:t>Policy-relevant leverage mechanisms</w:t>
      </w:r>
    </w:p>
    <w:p w14:paraId="4E52B41E" w14:textId="17A6E524" w:rsidR="002F5F97" w:rsidRDefault="002F5F97" w:rsidP="000A21FC">
      <w:pPr>
        <w:spacing w:line="360" w:lineRule="auto"/>
        <w:jc w:val="both"/>
        <w:rPr>
          <w:rFonts w:ascii="Arial" w:hAnsi="Arial" w:cs="Arial"/>
          <w:sz w:val="24"/>
          <w:szCs w:val="24"/>
        </w:rPr>
      </w:pPr>
      <w:r w:rsidRPr="002F5F97">
        <w:rPr>
          <w:rFonts w:ascii="Arial" w:hAnsi="Arial" w:cs="Arial"/>
          <w:sz w:val="24"/>
          <w:szCs w:val="24"/>
        </w:rPr>
        <w:t>Reform school discipline practices and policing (B); expand culturally responsive mentoring and mental health support services (C); enhance access to apprenticeships and financial resources (D); implement diversion and prevention programs to address exploitation (E).</w:t>
      </w:r>
    </w:p>
    <w:p w14:paraId="5D6CE6D1" w14:textId="2E33F005" w:rsidR="00F42146" w:rsidRDefault="00B47694" w:rsidP="000A21FC">
      <w:pPr>
        <w:spacing w:line="360" w:lineRule="auto"/>
        <w:jc w:val="both"/>
        <w:rPr>
          <w:rFonts w:ascii="Arial" w:hAnsi="Arial" w:cs="Arial"/>
          <w:sz w:val="24"/>
          <w:szCs w:val="24"/>
        </w:rPr>
      </w:pPr>
      <w:r w:rsidRPr="001F2B6D">
        <w:rPr>
          <w:rStyle w:val="Heading5Char"/>
        </w:rPr>
        <w:t>Integrated Contribution</w:t>
      </w:r>
      <w:r w:rsidR="006E0622" w:rsidRPr="001F2B6D">
        <w:rPr>
          <w:rStyle w:val="Heading5Char"/>
        </w:rPr>
        <w:t>:</w:t>
      </w:r>
      <w:r w:rsidR="006E0622">
        <w:rPr>
          <w:rFonts w:ascii="Arial" w:hAnsi="Arial" w:cs="Arial"/>
          <w:sz w:val="24"/>
          <w:szCs w:val="24"/>
        </w:rPr>
        <w:t xml:space="preserve"> </w:t>
      </w:r>
      <w:r w:rsidR="002146C5" w:rsidRPr="002146C5">
        <w:rPr>
          <w:rFonts w:ascii="Arial" w:hAnsi="Arial" w:cs="Arial"/>
          <w:sz w:val="24"/>
          <w:szCs w:val="24"/>
        </w:rPr>
        <w:t xml:space="preserve">This review synthesises CRT/Whiteness with cumulative disadvantage, </w:t>
      </w:r>
      <w:proofErr w:type="spellStart"/>
      <w:r w:rsidR="002146C5" w:rsidRPr="002146C5">
        <w:rPr>
          <w:rFonts w:ascii="Arial" w:hAnsi="Arial" w:cs="Arial"/>
          <w:sz w:val="24"/>
          <w:szCs w:val="24"/>
        </w:rPr>
        <w:t>Bourdieuian</w:t>
      </w:r>
      <w:proofErr w:type="spellEnd"/>
      <w:r w:rsidR="002146C5" w:rsidRPr="002146C5">
        <w:rPr>
          <w:rFonts w:ascii="Arial" w:hAnsi="Arial" w:cs="Arial"/>
          <w:sz w:val="24"/>
          <w:szCs w:val="24"/>
        </w:rPr>
        <w:t xml:space="preserve"> social/cultural capital, labelling/school-to-prison, mixed embeddedness, and social network theories into a multi-level A→F mechanism model linking structural racism, school practices, mediators, socioeconomic outcomes, exploitation pathways, and feedback loops. Contributions: (1) maps causal pathways from educational (under)support to ethnic</w:t>
      </w:r>
      <w:r w:rsidR="002146C5" w:rsidRPr="002146C5">
        <w:rPr>
          <w:rFonts w:ascii="Cambria Math" w:hAnsi="Cambria Math" w:cs="Cambria Math"/>
          <w:sz w:val="24"/>
          <w:szCs w:val="24"/>
        </w:rPr>
        <w:t>‑</w:t>
      </w:r>
      <w:r w:rsidR="002146C5" w:rsidRPr="002146C5">
        <w:rPr>
          <w:rFonts w:ascii="Arial" w:hAnsi="Arial" w:cs="Arial"/>
          <w:sz w:val="24"/>
          <w:szCs w:val="24"/>
        </w:rPr>
        <w:t>penalties, necessity entrepreneurship and criminal</w:t>
      </w:r>
      <w:r w:rsidR="002146C5" w:rsidRPr="002146C5">
        <w:rPr>
          <w:rFonts w:ascii="Cambria Math" w:hAnsi="Cambria Math" w:cs="Cambria Math"/>
          <w:sz w:val="24"/>
          <w:szCs w:val="24"/>
        </w:rPr>
        <w:t>‑</w:t>
      </w:r>
      <w:r w:rsidR="002146C5" w:rsidRPr="002146C5">
        <w:rPr>
          <w:rFonts w:ascii="Arial" w:hAnsi="Arial" w:cs="Arial"/>
          <w:sz w:val="24"/>
          <w:szCs w:val="24"/>
        </w:rPr>
        <w:t>exploitation risk; (2) generates testable, theory</w:t>
      </w:r>
      <w:r w:rsidR="002146C5" w:rsidRPr="002146C5">
        <w:rPr>
          <w:rFonts w:ascii="Cambria Math" w:hAnsi="Cambria Math" w:cs="Cambria Math"/>
          <w:sz w:val="24"/>
          <w:szCs w:val="24"/>
        </w:rPr>
        <w:t>‑</w:t>
      </w:r>
      <w:r w:rsidR="002146C5" w:rsidRPr="002146C5">
        <w:rPr>
          <w:rFonts w:ascii="Arial" w:hAnsi="Arial" w:cs="Arial"/>
          <w:sz w:val="24"/>
          <w:szCs w:val="24"/>
        </w:rPr>
        <w:t>driven hypotheses and operationalised nodes for longitudinal, mixed</w:t>
      </w:r>
      <w:r w:rsidR="002146C5" w:rsidRPr="002146C5">
        <w:rPr>
          <w:rFonts w:ascii="Cambria Math" w:hAnsi="Cambria Math" w:cs="Cambria Math"/>
          <w:sz w:val="24"/>
          <w:szCs w:val="24"/>
        </w:rPr>
        <w:t>‑</w:t>
      </w:r>
      <w:r w:rsidR="002146C5" w:rsidRPr="002146C5">
        <w:rPr>
          <w:rFonts w:ascii="Arial" w:hAnsi="Arial" w:cs="Arial"/>
          <w:sz w:val="24"/>
          <w:szCs w:val="24"/>
        </w:rPr>
        <w:t>methods and process</w:t>
      </w:r>
      <w:r w:rsidR="002146C5" w:rsidRPr="002146C5">
        <w:rPr>
          <w:rFonts w:ascii="Cambria Math" w:hAnsi="Cambria Math" w:cs="Cambria Math"/>
          <w:sz w:val="24"/>
          <w:szCs w:val="24"/>
        </w:rPr>
        <w:t>‑</w:t>
      </w:r>
      <w:r w:rsidR="002146C5" w:rsidRPr="002146C5">
        <w:rPr>
          <w:rFonts w:ascii="Arial" w:hAnsi="Arial" w:cs="Arial"/>
          <w:sz w:val="24"/>
          <w:szCs w:val="24"/>
        </w:rPr>
        <w:t>tracing research; (3) identifies policy leverage points (discipline/policing, curriculum decolonisation, mentoring, financial inclusion, apprenticeship access, diversionary programmes); and (4) highlights empirical gaps—disaggregation, longitudinal causality, HE</w:t>
      </w:r>
      <w:r w:rsidR="002146C5" w:rsidRPr="002146C5">
        <w:rPr>
          <w:rFonts w:ascii="Cambria Math" w:hAnsi="Cambria Math" w:cs="Cambria Math"/>
          <w:sz w:val="24"/>
          <w:szCs w:val="24"/>
        </w:rPr>
        <w:t>‑</w:t>
      </w:r>
      <w:r w:rsidR="002146C5" w:rsidRPr="002146C5">
        <w:rPr>
          <w:rFonts w:ascii="Arial" w:hAnsi="Arial" w:cs="Arial"/>
          <w:sz w:val="24"/>
          <w:szCs w:val="24"/>
        </w:rPr>
        <w:t>specific exploitation, finance metrics and rigorous intervention evaluations—guiding research and policy priorities.</w:t>
      </w:r>
    </w:p>
    <w:p w14:paraId="2A21775D" w14:textId="217B6C7D" w:rsidR="00793966" w:rsidRDefault="00793966" w:rsidP="006E0622">
      <w:pPr>
        <w:spacing w:line="360" w:lineRule="auto"/>
        <w:jc w:val="both"/>
        <w:rPr>
          <w:rFonts w:ascii="Arial" w:hAnsi="Arial" w:cs="Arial"/>
          <w:sz w:val="24"/>
          <w:szCs w:val="24"/>
        </w:rPr>
      </w:pPr>
      <w:r w:rsidRPr="001F2B6D">
        <w:rPr>
          <w:rStyle w:val="Heading5Char"/>
        </w:rPr>
        <w:t>Complementarity</w:t>
      </w:r>
      <w:r w:rsidR="006E0622" w:rsidRPr="001F2B6D">
        <w:rPr>
          <w:rStyle w:val="Heading5Char"/>
        </w:rPr>
        <w:t>:</w:t>
      </w:r>
      <w:r w:rsidR="006E0622">
        <w:rPr>
          <w:rFonts w:ascii="Arial" w:hAnsi="Arial" w:cs="Arial"/>
          <w:sz w:val="24"/>
          <w:szCs w:val="24"/>
        </w:rPr>
        <w:t xml:space="preserve"> </w:t>
      </w:r>
      <w:r w:rsidRPr="00793966">
        <w:rPr>
          <w:rFonts w:ascii="Arial" w:hAnsi="Arial" w:cs="Arial"/>
          <w:sz w:val="24"/>
          <w:szCs w:val="24"/>
        </w:rPr>
        <w:t xml:space="preserve">The conceptual framework is centred on Critical Race Theory (CRT) and Whiteness studies, while integrating theories of cumulative disadvantage, social and cultural capital, labelling, mixed embeddedness, and social networks to map multilevel mechanisms from education to socioeconomic outcomes. This framework aligns directly with the review’s aims by identifying mediators, feedback loops, and intervention points, and operationalises measurable nodes (A to F) to guide disaggregated, longitudinal, mixed-methods, and process-tracing research. By linking </w:t>
      </w:r>
      <w:r w:rsidRPr="00793966">
        <w:rPr>
          <w:rFonts w:ascii="Arial" w:hAnsi="Arial" w:cs="Arial"/>
          <w:sz w:val="24"/>
          <w:szCs w:val="24"/>
        </w:rPr>
        <w:lastRenderedPageBreak/>
        <w:t>theoretical constructs to testable pathways and policy levers such as discipline, curriculum, mentoring, finance, apprenticeships, and diversion, the framework structures the literature synthesis and informs targeted empirical and policy action.</w:t>
      </w:r>
    </w:p>
    <w:p w14:paraId="09CC4A98" w14:textId="78FFA701" w:rsidR="006E0622" w:rsidRDefault="006E0622" w:rsidP="00793966">
      <w:pPr>
        <w:spacing w:line="360" w:lineRule="auto"/>
        <w:rPr>
          <w:rFonts w:ascii="Arial" w:hAnsi="Arial" w:cs="Arial"/>
          <w:sz w:val="24"/>
          <w:szCs w:val="24"/>
        </w:rPr>
      </w:pPr>
      <w:r w:rsidRPr="001F2B6D">
        <w:rPr>
          <w:rStyle w:val="Heading5Char"/>
        </w:rPr>
        <w:t xml:space="preserve">Achieving the </w:t>
      </w:r>
      <w:r w:rsidR="001F2B6D" w:rsidRPr="001F2B6D">
        <w:rPr>
          <w:rStyle w:val="Heading5Char"/>
        </w:rPr>
        <w:t>study's</w:t>
      </w:r>
      <w:r w:rsidRPr="001F2B6D">
        <w:rPr>
          <w:rStyle w:val="Heading5Char"/>
        </w:rPr>
        <w:t xml:space="preserve"> aim:</w:t>
      </w:r>
      <w:r>
        <w:rPr>
          <w:rFonts w:ascii="Arial" w:hAnsi="Arial" w:cs="Arial"/>
          <w:sz w:val="24"/>
          <w:szCs w:val="24"/>
        </w:rPr>
        <w:t xml:space="preserve"> </w:t>
      </w:r>
      <w:r w:rsidRPr="006E0622">
        <w:rPr>
          <w:rFonts w:ascii="Arial" w:hAnsi="Arial" w:cs="Arial"/>
          <w:sz w:val="24"/>
          <w:szCs w:val="24"/>
        </w:rPr>
        <w:t>The framework operationalises the review’s aim by centring CRT</w:t>
      </w:r>
      <w:r w:rsidRPr="006E0622">
        <w:rPr>
          <w:rFonts w:ascii="Cambria Math" w:hAnsi="Cambria Math" w:cs="Cambria Math"/>
          <w:sz w:val="24"/>
          <w:szCs w:val="24"/>
        </w:rPr>
        <w:t>‑</w:t>
      </w:r>
      <w:r w:rsidRPr="006E0622">
        <w:rPr>
          <w:rFonts w:ascii="Arial" w:hAnsi="Arial" w:cs="Arial"/>
          <w:sz w:val="24"/>
          <w:szCs w:val="24"/>
        </w:rPr>
        <w:t>informed structural racism and mapping multilevel A to F nodes, including structural drivers, school practices, mediators, socioeconomic outcomes, exploitation, and feedback. This structure identifies and connects specific mechanisms and testable pathways, guides theory</w:t>
      </w:r>
      <w:r w:rsidRPr="006E0622">
        <w:rPr>
          <w:rFonts w:ascii="Cambria Math" w:hAnsi="Cambria Math" w:cs="Cambria Math"/>
          <w:sz w:val="24"/>
          <w:szCs w:val="24"/>
        </w:rPr>
        <w:t>‑</w:t>
      </w:r>
      <w:r w:rsidRPr="006E0622">
        <w:rPr>
          <w:rFonts w:ascii="Arial" w:hAnsi="Arial" w:cs="Arial"/>
          <w:sz w:val="24"/>
          <w:szCs w:val="24"/>
        </w:rPr>
        <w:t>driven study selection and data extraction, and directs longitudinal, mediation, and mixed</w:t>
      </w:r>
      <w:r w:rsidRPr="006E0622">
        <w:rPr>
          <w:rFonts w:ascii="Cambria Math" w:hAnsi="Cambria Math" w:cs="Cambria Math"/>
          <w:sz w:val="24"/>
          <w:szCs w:val="24"/>
        </w:rPr>
        <w:t>‑</w:t>
      </w:r>
      <w:r w:rsidRPr="006E0622">
        <w:rPr>
          <w:rFonts w:ascii="Arial" w:hAnsi="Arial" w:cs="Arial"/>
          <w:sz w:val="24"/>
          <w:szCs w:val="24"/>
        </w:rPr>
        <w:t>methods analyses. By specifying measurable indicators and intervention leverage points, the framework enables synthesis that explains how educational support or lack thereof influences Black males’ socioeconomic trajectories and informs targeted policy responses.</w:t>
      </w:r>
    </w:p>
    <w:p w14:paraId="5B53E46B" w14:textId="6BD12575" w:rsidR="00405A1C" w:rsidRDefault="008A0990" w:rsidP="001F2B6D">
      <w:pPr>
        <w:pStyle w:val="Heading5"/>
      </w:pPr>
      <w:r>
        <w:t xml:space="preserve">Implications </w:t>
      </w:r>
      <w:r w:rsidR="002A66E2">
        <w:t>for the Systematic Review Process</w:t>
      </w:r>
    </w:p>
    <w:p w14:paraId="69126D07" w14:textId="5B8BAC60" w:rsidR="006A218D" w:rsidRPr="00602B0F" w:rsidRDefault="002A66E2" w:rsidP="001F2B6D">
      <w:pPr>
        <w:spacing w:line="360" w:lineRule="auto"/>
        <w:rPr>
          <w:rFonts w:ascii="Arial" w:hAnsi="Arial" w:cs="Arial"/>
          <w:sz w:val="24"/>
          <w:szCs w:val="24"/>
        </w:rPr>
      </w:pPr>
      <w:r w:rsidRPr="002A66E2">
        <w:rPr>
          <w:rFonts w:ascii="Arial" w:hAnsi="Arial" w:cs="Arial"/>
          <w:sz w:val="24"/>
          <w:szCs w:val="24"/>
        </w:rPr>
        <w:t>The conceptual framework necessitates a theory-driven, systematic review process. Search strategies should incorporate terms such as critical race theory (CRT), cumulative disadvantage, social capital, mixed embeddedness, labelling, apprenticeship, County Lines, and related concepts, and should include both peer-reviewed and grey literature. Inclusion criteria prioritise studies conducted in the United Kingdom</w:t>
      </w:r>
      <w:r>
        <w:rPr>
          <w:rFonts w:ascii="Arial" w:hAnsi="Arial" w:cs="Arial"/>
          <w:sz w:val="24"/>
          <w:szCs w:val="24"/>
        </w:rPr>
        <w:t xml:space="preserve"> and consider</w:t>
      </w:r>
      <w:r w:rsidRPr="002A66E2">
        <w:rPr>
          <w:rFonts w:ascii="Arial" w:hAnsi="Arial" w:cs="Arial"/>
          <w:sz w:val="24"/>
          <w:szCs w:val="24"/>
        </w:rPr>
        <w:t xml:space="preserve"> comparative evidence that explicitly links educational inputs to socioeconomic, entrepreneurship, or exploitation mechanisms. Data extraction should map findings to the A</w:t>
      </w:r>
      <w:r w:rsidR="003B594F">
        <w:rPr>
          <w:rFonts w:ascii="Arial" w:hAnsi="Arial" w:cs="Arial"/>
          <w:sz w:val="24"/>
          <w:szCs w:val="24"/>
        </w:rPr>
        <w:t xml:space="preserve"> </w:t>
      </w:r>
      <w:r w:rsidR="003B594F" w:rsidRPr="003B594F">
        <w:rPr>
          <w:rFonts w:ascii="Arial" w:hAnsi="Arial" w:cs="Arial"/>
          <w:sz w:val="24"/>
          <w:szCs w:val="24"/>
        </w:rPr>
        <w:sym w:font="Wingdings" w:char="F0E0"/>
      </w:r>
      <w:r w:rsidR="003B594F">
        <w:rPr>
          <w:rFonts w:ascii="Arial" w:hAnsi="Arial" w:cs="Arial"/>
          <w:sz w:val="24"/>
          <w:szCs w:val="24"/>
        </w:rPr>
        <w:t xml:space="preserve"> </w:t>
      </w:r>
      <w:r w:rsidRPr="002A66E2">
        <w:rPr>
          <w:rFonts w:ascii="Arial" w:hAnsi="Arial" w:cs="Arial"/>
          <w:sz w:val="24"/>
          <w:szCs w:val="24"/>
        </w:rPr>
        <w:t>F nodes (structural drivers; school practices; mediators such as capital, mental health, and debt; socioeconomic outcomes; exploitation pathways; and feedback loops), code for theoretical framing and level of analysis (macro, meso, micro; CRT versus human capital), and disaggregate results by ethnicity (Black African, Black Caribbean, mixed), gender, generation, socioeconomic status, and geography where available. Quality appraisal should be appropriate for quantitative, qualitative, and mixed-methods designs, assigning greater weight to longitudinal, process-tracing, and intervention studies for causal inference, while treating cross-sectional studies as hypothesis-generating. Synthesis should employ a narrative or thematic approach structured by the A</w:t>
      </w:r>
      <w:r w:rsidR="003B594F">
        <w:rPr>
          <w:rFonts w:ascii="Arial" w:hAnsi="Arial" w:cs="Arial"/>
          <w:sz w:val="24"/>
          <w:szCs w:val="24"/>
        </w:rPr>
        <w:t xml:space="preserve"> </w:t>
      </w:r>
      <w:r w:rsidR="003B594F" w:rsidRPr="003B594F">
        <w:rPr>
          <w:rFonts w:ascii="Arial" w:hAnsi="Arial" w:cs="Arial"/>
          <w:sz w:val="24"/>
          <w:szCs w:val="24"/>
        </w:rPr>
        <w:sym w:font="Wingdings" w:char="F0E0"/>
      </w:r>
      <w:r w:rsidR="003B594F">
        <w:rPr>
          <w:rFonts w:ascii="Arial" w:hAnsi="Arial" w:cs="Arial"/>
          <w:sz w:val="24"/>
          <w:szCs w:val="24"/>
        </w:rPr>
        <w:t xml:space="preserve"> </w:t>
      </w:r>
      <w:r w:rsidRPr="002A66E2">
        <w:rPr>
          <w:rFonts w:ascii="Arial" w:hAnsi="Arial" w:cs="Arial"/>
          <w:sz w:val="24"/>
          <w:szCs w:val="24"/>
        </w:rPr>
        <w:t xml:space="preserve">F </w:t>
      </w:r>
      <w:r w:rsidRPr="002A66E2">
        <w:rPr>
          <w:rFonts w:ascii="Arial" w:hAnsi="Arial" w:cs="Arial"/>
          <w:sz w:val="24"/>
          <w:szCs w:val="24"/>
        </w:rPr>
        <w:lastRenderedPageBreak/>
        <w:t>framework, include mediation logic mapping, and, where feasible, conduct meta-analyses of comparable outcomes. The synthesis must explicitly report heterogeneity and gaps, such as geographic bias and measurement inconsistency, and incorporate stakeholder validation. Reporting should transparently acknowledge limitations, avoid deficit-based framings, and recommend ethically robust, participatory approaches for research involving vulnerable populations.</w:t>
      </w:r>
    </w:p>
    <w:p w14:paraId="4411AF69" w14:textId="2F392C8B" w:rsidR="00FC0CA4" w:rsidRPr="005D459B" w:rsidRDefault="00912682" w:rsidP="004414E1">
      <w:pPr>
        <w:pStyle w:val="Heading3"/>
      </w:pPr>
      <w:bookmarkStart w:id="17" w:name="_Toc227936255"/>
      <w:r>
        <w:t xml:space="preserve">4 </w:t>
      </w:r>
      <w:r w:rsidR="00FC0CA4" w:rsidRPr="005D459B">
        <w:t>Methodology</w:t>
      </w:r>
      <w:bookmarkEnd w:id="17"/>
      <w:r w:rsidR="00FC0CA4" w:rsidRPr="005D459B">
        <w:t xml:space="preserve"> </w:t>
      </w:r>
    </w:p>
    <w:p w14:paraId="1A54704E" w14:textId="77777777" w:rsidR="005F549E" w:rsidRPr="005F549E" w:rsidRDefault="005F549E" w:rsidP="005F549E">
      <w:pPr>
        <w:spacing w:line="360" w:lineRule="auto"/>
        <w:jc w:val="both"/>
        <w:rPr>
          <w:rFonts w:ascii="Arial" w:hAnsi="Arial" w:cs="Arial"/>
          <w:sz w:val="24"/>
          <w:szCs w:val="24"/>
        </w:rPr>
      </w:pPr>
      <w:r w:rsidRPr="005F549E">
        <w:rPr>
          <w:rFonts w:ascii="Arial" w:hAnsi="Arial" w:cs="Arial"/>
          <w:sz w:val="24"/>
          <w:szCs w:val="24"/>
        </w:rPr>
        <w:t>A theory-driven systematic literature review was undertaken, integrating comprehensive database and grey literature searches (Web of Science, Google Scholar, ERIC, PsycINFO, PubMed, UK government repositories) with targeted citation tracking and snowballing using CRT-focused and mechanism-oriented keywords. The review is grounded in a critical realist approach within a broader critical paradigm, utilising CRT and Whiteness as normative frameworks to identify structural racism as a causally significant mechanism. Critical Realism establishes the ontological and epistemological foundation for analysing layered mechanisms, generative causation, and testable pathways at macro, meso, and micro levels.</w:t>
      </w:r>
    </w:p>
    <w:p w14:paraId="34651F5A" w14:textId="5EF97809" w:rsidR="005F549E" w:rsidRPr="005F549E" w:rsidRDefault="005F549E" w:rsidP="005F549E">
      <w:pPr>
        <w:spacing w:line="360" w:lineRule="auto"/>
        <w:jc w:val="both"/>
        <w:rPr>
          <w:rFonts w:ascii="Arial" w:hAnsi="Arial" w:cs="Arial"/>
          <w:sz w:val="24"/>
          <w:szCs w:val="24"/>
        </w:rPr>
      </w:pPr>
      <w:r w:rsidRPr="005F549E">
        <w:rPr>
          <w:rFonts w:ascii="Arial" w:hAnsi="Arial" w:cs="Arial"/>
          <w:sz w:val="24"/>
          <w:szCs w:val="24"/>
        </w:rPr>
        <w:t>Inclusion criteria prioritised UK-based empirical and policy studies, supplemented by comparative international evidence, that link educational inputs to employment, apprenticeship, entrepreneurship, or criminal exploitation outcomes for Black males. Eligible studies were required to report mechanisms, mediators, or relevant outcomes. Dual independent screening and double data extraction were employed to map studies onto the A</w:t>
      </w:r>
      <w:r>
        <w:rPr>
          <w:rFonts w:ascii="Arial" w:hAnsi="Arial" w:cs="Arial"/>
          <w:sz w:val="24"/>
          <w:szCs w:val="24"/>
        </w:rPr>
        <w:t xml:space="preserve"> </w:t>
      </w:r>
      <w:r w:rsidRPr="005F549E">
        <w:rPr>
          <w:rFonts w:ascii="Arial" w:hAnsi="Arial" w:cs="Arial"/>
          <w:sz w:val="24"/>
          <w:szCs w:val="24"/>
        </w:rPr>
        <w:sym w:font="Wingdings" w:char="F0E0"/>
      </w:r>
      <w:r w:rsidRPr="005F549E">
        <w:rPr>
          <w:rFonts w:ascii="Arial" w:hAnsi="Arial" w:cs="Arial"/>
          <w:sz w:val="24"/>
          <w:szCs w:val="24"/>
        </w:rPr>
        <w:t xml:space="preserve"> F framework (structural drivers, school practices, mediators, socioeconomic outcomes, exploitation, feedback), documenting study design, population disaggregation, measurement approaches, and theoretical framing. Quality appraisal was conducted using established tools (e.g., ABS journal ranking, CASP), with study quality weighting incorporated into the synthesis.</w:t>
      </w:r>
    </w:p>
    <w:p w14:paraId="26709052" w14:textId="7FD513FC" w:rsidR="005F549E" w:rsidRPr="005F549E" w:rsidRDefault="005F549E" w:rsidP="005F549E">
      <w:pPr>
        <w:spacing w:line="360" w:lineRule="auto"/>
        <w:jc w:val="both"/>
        <w:rPr>
          <w:rFonts w:ascii="Arial" w:hAnsi="Arial" w:cs="Arial"/>
          <w:sz w:val="24"/>
          <w:szCs w:val="24"/>
        </w:rPr>
      </w:pPr>
      <w:r w:rsidRPr="005F549E">
        <w:rPr>
          <w:rFonts w:ascii="Arial" w:hAnsi="Arial" w:cs="Arial"/>
          <w:sz w:val="24"/>
          <w:szCs w:val="24"/>
        </w:rPr>
        <w:t>Boolean search strings included terms such as educational (under)support “AND” material, relational, and institutional learning conditions “AND” economic vulnerability of Afro</w:t>
      </w:r>
      <w:r w:rsidRPr="005F549E">
        <w:rPr>
          <w:rFonts w:ascii="Cambria Math" w:hAnsi="Cambria Math" w:cs="Cambria Math"/>
          <w:sz w:val="24"/>
          <w:szCs w:val="24"/>
        </w:rPr>
        <w:t>‑</w:t>
      </w:r>
      <w:r w:rsidRPr="005F549E">
        <w:rPr>
          <w:rFonts w:ascii="Arial" w:hAnsi="Arial" w:cs="Arial"/>
          <w:sz w:val="24"/>
          <w:szCs w:val="24"/>
        </w:rPr>
        <w:t xml:space="preserve">Caribbean Black men in the UK. Keywords included “Black male”, “education”, </w:t>
      </w:r>
      <w:r w:rsidRPr="005F549E">
        <w:rPr>
          <w:rFonts w:ascii="Arial" w:hAnsi="Arial" w:cs="Arial"/>
          <w:sz w:val="24"/>
          <w:szCs w:val="24"/>
        </w:rPr>
        <w:lastRenderedPageBreak/>
        <w:t xml:space="preserve">“higher education”, “further education”, “school exclusion”, “policing”, “apprenticeship”, “employment”, “entrepreneur”, “financial exclusion”, “County Lines”, “criminal exploitation”, “racial”, “ethnic”, “England”, “United Kingdom”, alongside theoretical terms such as CRT, social capital, and mixed embeddedness. Searches covered major databases and grey literature from 2010 </w:t>
      </w:r>
      <w:r w:rsidR="00694D06">
        <w:rPr>
          <w:rFonts w:ascii="Arial" w:hAnsi="Arial" w:cs="Arial"/>
          <w:sz w:val="24"/>
          <w:szCs w:val="24"/>
        </w:rPr>
        <w:t>to</w:t>
      </w:r>
      <w:r w:rsidRPr="005F549E">
        <w:rPr>
          <w:rFonts w:ascii="Arial" w:hAnsi="Arial" w:cs="Arial"/>
          <w:sz w:val="24"/>
          <w:szCs w:val="24"/>
        </w:rPr>
        <w:t xml:space="preserve"> 2026, with seminal earlier works included.</w:t>
      </w:r>
    </w:p>
    <w:p w14:paraId="5688D6FE" w14:textId="0613D484" w:rsidR="00E02826" w:rsidRDefault="005F549E" w:rsidP="005F549E">
      <w:pPr>
        <w:spacing w:line="360" w:lineRule="auto"/>
        <w:jc w:val="both"/>
        <w:rPr>
          <w:rFonts w:ascii="Arial" w:hAnsi="Arial" w:cs="Arial"/>
          <w:sz w:val="24"/>
          <w:szCs w:val="24"/>
        </w:rPr>
      </w:pPr>
      <w:r w:rsidRPr="005F549E">
        <w:rPr>
          <w:rFonts w:ascii="Arial" w:hAnsi="Arial" w:cs="Arial"/>
          <w:sz w:val="24"/>
          <w:szCs w:val="24"/>
        </w:rPr>
        <w:t>The PRISMA framework was employed to ensure transparency and reproducibility, while thematic synthesis was used to identify recurring barriers and enabling factors. This approach aligns with Critical Realism by integrating diverse forms of evidence and systematically interrogating conceptual, methodological, and contextual gaps. The Saunders Research Onion (Saunders et al., 2023) provided the structure for the methodological design, guiding the process from philosophical orientation to data collection.</w:t>
      </w:r>
      <w:r w:rsidR="00694D06">
        <w:rPr>
          <w:rFonts w:ascii="Arial" w:hAnsi="Arial" w:cs="Arial"/>
          <w:sz w:val="24"/>
          <w:szCs w:val="24"/>
        </w:rPr>
        <w:t xml:space="preserve"> </w:t>
      </w:r>
    </w:p>
    <w:p w14:paraId="65E6F0E6" w14:textId="73F6652A" w:rsidR="00047AE5" w:rsidRDefault="00047AE5" w:rsidP="005F549E">
      <w:pPr>
        <w:spacing w:line="360" w:lineRule="auto"/>
        <w:jc w:val="both"/>
        <w:rPr>
          <w:rFonts w:ascii="Arial" w:hAnsi="Arial" w:cs="Arial"/>
          <w:sz w:val="24"/>
          <w:szCs w:val="24"/>
        </w:rPr>
      </w:pPr>
      <w:r>
        <w:rPr>
          <w:rFonts w:ascii="Arial" w:hAnsi="Arial" w:cs="Arial"/>
          <w:noProof/>
          <w:sz w:val="24"/>
          <w:szCs w:val="24"/>
        </w:rPr>
        <w:drawing>
          <wp:inline distT="0" distB="0" distL="0" distR="0" wp14:anchorId="021D6FA9" wp14:editId="51BA525C">
            <wp:extent cx="5907405" cy="4084955"/>
            <wp:effectExtent l="0" t="0" r="0" b="0"/>
            <wp:docPr id="4227972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7405" cy="4084955"/>
                    </a:xfrm>
                    <a:prstGeom prst="rect">
                      <a:avLst/>
                    </a:prstGeom>
                    <a:noFill/>
                  </pic:spPr>
                </pic:pic>
              </a:graphicData>
            </a:graphic>
          </wp:inline>
        </w:drawing>
      </w:r>
    </w:p>
    <w:p w14:paraId="1AB299BD" w14:textId="77777777" w:rsidR="00045B79" w:rsidRPr="00EA2592" w:rsidRDefault="00045B79" w:rsidP="00045B79">
      <w:pPr>
        <w:keepNext/>
        <w:keepLines/>
        <w:spacing w:before="80" w:after="40"/>
        <w:outlineLvl w:val="3"/>
        <w:rPr>
          <w:rFonts w:eastAsiaTheme="majorEastAsia" w:cstheme="majorBidi"/>
          <w:i/>
          <w:iCs/>
          <w:color w:val="0F4761" w:themeColor="accent1" w:themeShade="BF"/>
        </w:rPr>
      </w:pPr>
      <w:r w:rsidRPr="00EA2592">
        <w:rPr>
          <w:rFonts w:eastAsiaTheme="majorEastAsia" w:cstheme="majorBidi"/>
          <w:i/>
          <w:iCs/>
          <w:color w:val="0F4761" w:themeColor="accent1" w:themeShade="BF"/>
        </w:rPr>
        <w:lastRenderedPageBreak/>
        <w:t>Figure 2: The research Onion: Source: © 2022 Mark NK Saunders; developed from Saunders et al. 2023</w:t>
      </w:r>
    </w:p>
    <w:p w14:paraId="34F7D4E7" w14:textId="0D5899F0" w:rsidR="00FC0CA4" w:rsidRDefault="00912682" w:rsidP="00895F36">
      <w:pPr>
        <w:pStyle w:val="Heading3"/>
      </w:pPr>
      <w:bookmarkStart w:id="18" w:name="_Toc227936256"/>
      <w:r>
        <w:t xml:space="preserve">4.1 </w:t>
      </w:r>
      <w:r w:rsidR="00FC0CA4" w:rsidRPr="00115233">
        <w:t>Cimo Framework</w:t>
      </w:r>
      <w:bookmarkEnd w:id="18"/>
    </w:p>
    <w:p w14:paraId="3D5D0773" w14:textId="383CC1A2" w:rsidR="00895F36" w:rsidRDefault="00895F36" w:rsidP="009E58ED">
      <w:pPr>
        <w:spacing w:line="360" w:lineRule="auto"/>
        <w:jc w:val="both"/>
        <w:rPr>
          <w:rFonts w:ascii="Arial" w:hAnsi="Arial" w:cs="Arial"/>
          <w:sz w:val="24"/>
          <w:szCs w:val="24"/>
        </w:rPr>
      </w:pPr>
      <w:r w:rsidRPr="00895F36">
        <w:rPr>
          <w:rFonts w:ascii="Arial" w:hAnsi="Arial" w:cs="Arial"/>
          <w:sz w:val="24"/>
          <w:szCs w:val="24"/>
        </w:rPr>
        <w:t>The CIMO framework structures th</w:t>
      </w:r>
      <w:r w:rsidR="007C7135">
        <w:rPr>
          <w:rFonts w:ascii="Arial" w:hAnsi="Arial" w:cs="Arial"/>
          <w:sz w:val="24"/>
          <w:szCs w:val="24"/>
        </w:rPr>
        <w:t>e</w:t>
      </w:r>
      <w:r w:rsidRPr="00895F36">
        <w:rPr>
          <w:rFonts w:ascii="Arial" w:hAnsi="Arial" w:cs="Arial"/>
          <w:sz w:val="24"/>
          <w:szCs w:val="24"/>
        </w:rPr>
        <w:t xml:space="preserve"> review as a theory</w:t>
      </w:r>
      <w:r w:rsidRPr="00895F36">
        <w:rPr>
          <w:rFonts w:ascii="Cambria Math" w:hAnsi="Cambria Math" w:cs="Cambria Math"/>
          <w:sz w:val="24"/>
          <w:szCs w:val="24"/>
        </w:rPr>
        <w:t>‑</w:t>
      </w:r>
      <w:r w:rsidRPr="00895F36">
        <w:rPr>
          <w:rFonts w:ascii="Arial" w:hAnsi="Arial" w:cs="Arial"/>
          <w:sz w:val="24"/>
          <w:szCs w:val="24"/>
        </w:rPr>
        <w:t>driven, mechanism</w:t>
      </w:r>
      <w:r w:rsidRPr="00895F36">
        <w:rPr>
          <w:rFonts w:ascii="Cambria Math" w:hAnsi="Cambria Math" w:cs="Cambria Math"/>
          <w:sz w:val="24"/>
          <w:szCs w:val="24"/>
        </w:rPr>
        <w:t>‑</w:t>
      </w:r>
      <w:r w:rsidRPr="00895F36">
        <w:rPr>
          <w:rFonts w:ascii="Arial" w:hAnsi="Arial" w:cs="Arial"/>
          <w:sz w:val="24"/>
          <w:szCs w:val="24"/>
        </w:rPr>
        <w:t>focused analysis that links Contexts, Interventions, Mechanisms, and Outcomes to explain how educational experiences shape socioeconomic trajectories and exploitation risk for Black males. Searches prioritise UK studies (schools, PRUs, FE, HE) and comparable international evidence on Black males in disadvantaged contexts, covering school, relational, economic and policy interventions such as mentoring, anti</w:t>
      </w:r>
      <w:r w:rsidRPr="00895F36">
        <w:rPr>
          <w:rFonts w:ascii="Cambria Math" w:hAnsi="Cambria Math" w:cs="Cambria Math"/>
          <w:sz w:val="24"/>
          <w:szCs w:val="24"/>
        </w:rPr>
        <w:t>‑</w:t>
      </w:r>
      <w:r w:rsidRPr="00895F36">
        <w:rPr>
          <w:rFonts w:ascii="Arial" w:hAnsi="Arial" w:cs="Arial"/>
          <w:sz w:val="24"/>
          <w:szCs w:val="24"/>
        </w:rPr>
        <w:t>bias training, apprenticeship outreach, financial inclusion and diversionary programmes. Data extraction follows CIMO, recording contextual descriptors (ethnicity, SES, locality), intervention details, mechanisms (teacher expectations, exclusion, social</w:t>
      </w:r>
      <w:r w:rsidRPr="00895F36">
        <w:rPr>
          <w:rFonts w:ascii="Cambria Math" w:hAnsi="Cambria Math" w:cs="Cambria Math"/>
          <w:sz w:val="24"/>
          <w:szCs w:val="24"/>
        </w:rPr>
        <w:t>‑</w:t>
      </w:r>
      <w:r w:rsidRPr="00895F36">
        <w:rPr>
          <w:rFonts w:ascii="Arial" w:hAnsi="Arial" w:cs="Arial"/>
          <w:sz w:val="24"/>
          <w:szCs w:val="24"/>
        </w:rPr>
        <w:t>capital loss, mental</w:t>
      </w:r>
      <w:r w:rsidRPr="00895F36">
        <w:rPr>
          <w:rFonts w:ascii="Cambria Math" w:hAnsi="Cambria Math" w:cs="Cambria Math"/>
          <w:sz w:val="24"/>
          <w:szCs w:val="24"/>
        </w:rPr>
        <w:t>‑</w:t>
      </w:r>
      <w:r w:rsidRPr="00895F36">
        <w:rPr>
          <w:rFonts w:ascii="Arial" w:hAnsi="Arial" w:cs="Arial"/>
          <w:sz w:val="24"/>
          <w:szCs w:val="24"/>
        </w:rPr>
        <w:t>health harms, debt, network isolation) and outcomes (employment, apprenticeship, entrepreneurship, County Lines/exploitation, mental health). Studies are coded by level (macro/meso/micro), theoretical framing (CRT, human</w:t>
      </w:r>
      <w:r w:rsidRPr="00895F36">
        <w:rPr>
          <w:rFonts w:ascii="Cambria Math" w:hAnsi="Cambria Math" w:cs="Cambria Math"/>
          <w:sz w:val="24"/>
          <w:szCs w:val="24"/>
        </w:rPr>
        <w:t>‑</w:t>
      </w:r>
      <w:r w:rsidRPr="00895F36">
        <w:rPr>
          <w:rFonts w:ascii="Arial" w:hAnsi="Arial" w:cs="Arial"/>
          <w:sz w:val="24"/>
          <w:szCs w:val="24"/>
        </w:rPr>
        <w:t>capital, mixed</w:t>
      </w:r>
      <w:r w:rsidRPr="00895F36">
        <w:rPr>
          <w:rFonts w:ascii="Cambria Math" w:hAnsi="Cambria Math" w:cs="Cambria Math"/>
          <w:sz w:val="24"/>
          <w:szCs w:val="24"/>
        </w:rPr>
        <w:t>‑</w:t>
      </w:r>
      <w:r w:rsidRPr="00895F36">
        <w:rPr>
          <w:rFonts w:ascii="Arial" w:hAnsi="Arial" w:cs="Arial"/>
          <w:sz w:val="24"/>
          <w:szCs w:val="24"/>
        </w:rPr>
        <w:t>embeddedness), design and quality. CIMO chains test causal pathways (e.g., exclusion → reduced social/cultural capital → underemployment), with longitudinal, mediation and process</w:t>
      </w:r>
      <w:r w:rsidRPr="00895F36">
        <w:rPr>
          <w:rFonts w:ascii="Cambria Math" w:hAnsi="Cambria Math" w:cs="Cambria Math"/>
          <w:sz w:val="24"/>
          <w:szCs w:val="24"/>
        </w:rPr>
        <w:t>‑</w:t>
      </w:r>
      <w:r w:rsidRPr="00895F36">
        <w:rPr>
          <w:rFonts w:ascii="Arial" w:hAnsi="Arial" w:cs="Arial"/>
          <w:sz w:val="24"/>
          <w:szCs w:val="24"/>
        </w:rPr>
        <w:t>tracing studies prioritised. Comparative analysis examines contextual moderators and intersectional differences. Synthesised evidence identifies effective interventions, gaps and methodological priorities, refining the A→F model and informing targeted policy recommendations to disrupt cumulative disadvantage for Black males.</w:t>
      </w:r>
    </w:p>
    <w:p w14:paraId="0D7C15BF" w14:textId="77777777" w:rsidR="00B615DD" w:rsidRDefault="00B615DD" w:rsidP="009E58ED">
      <w:pPr>
        <w:spacing w:line="360" w:lineRule="auto"/>
        <w:jc w:val="both"/>
        <w:rPr>
          <w:rFonts w:ascii="Arial" w:hAnsi="Arial" w:cs="Arial"/>
          <w:sz w:val="24"/>
          <w:szCs w:val="24"/>
        </w:rPr>
      </w:pPr>
    </w:p>
    <w:p w14:paraId="7783DFE1" w14:textId="77777777" w:rsidR="00B615DD" w:rsidRDefault="00B615DD" w:rsidP="009E58ED">
      <w:pPr>
        <w:spacing w:line="360" w:lineRule="auto"/>
        <w:jc w:val="both"/>
        <w:rPr>
          <w:rFonts w:ascii="Arial" w:hAnsi="Arial" w:cs="Arial"/>
          <w:sz w:val="24"/>
          <w:szCs w:val="24"/>
        </w:rPr>
      </w:pPr>
    </w:p>
    <w:p w14:paraId="7A10E8DE" w14:textId="77777777" w:rsidR="00B615DD" w:rsidRDefault="00B615DD" w:rsidP="009E58ED">
      <w:pPr>
        <w:spacing w:line="360" w:lineRule="auto"/>
        <w:jc w:val="both"/>
        <w:rPr>
          <w:rFonts w:ascii="Arial" w:hAnsi="Arial" w:cs="Arial"/>
          <w:sz w:val="24"/>
          <w:szCs w:val="24"/>
        </w:rPr>
      </w:pPr>
    </w:p>
    <w:p w14:paraId="43DEB627" w14:textId="77777777" w:rsidR="00B615DD" w:rsidRDefault="00B615DD" w:rsidP="009E58ED">
      <w:pPr>
        <w:spacing w:line="360" w:lineRule="auto"/>
        <w:jc w:val="both"/>
        <w:rPr>
          <w:rFonts w:ascii="Arial" w:hAnsi="Arial" w:cs="Arial"/>
          <w:sz w:val="24"/>
          <w:szCs w:val="24"/>
        </w:rPr>
      </w:pPr>
    </w:p>
    <w:p w14:paraId="1C20AA2B" w14:textId="77777777" w:rsidR="00793CEE" w:rsidRDefault="00793CEE" w:rsidP="009E58ED">
      <w:pPr>
        <w:spacing w:line="360" w:lineRule="auto"/>
        <w:jc w:val="both"/>
        <w:rPr>
          <w:rFonts w:ascii="Arial" w:hAnsi="Arial" w:cs="Arial"/>
          <w:sz w:val="24"/>
          <w:szCs w:val="24"/>
        </w:rPr>
      </w:pPr>
    </w:p>
    <w:p w14:paraId="5453BD1A" w14:textId="77777777" w:rsidR="00793CEE" w:rsidRDefault="00793CEE" w:rsidP="009E58ED">
      <w:pPr>
        <w:spacing w:line="360" w:lineRule="auto"/>
        <w:jc w:val="both"/>
        <w:rPr>
          <w:rFonts w:ascii="Arial" w:hAnsi="Arial" w:cs="Arial"/>
          <w:sz w:val="24"/>
          <w:szCs w:val="24"/>
        </w:rPr>
      </w:pPr>
    </w:p>
    <w:p w14:paraId="35F7BFFD" w14:textId="64D076F3" w:rsidR="00B615DD" w:rsidRDefault="00793CEE" w:rsidP="00BF7944">
      <w:pPr>
        <w:pStyle w:val="Heading3"/>
      </w:pPr>
      <w:bookmarkStart w:id="19" w:name="_Toc227936257"/>
      <w:r>
        <w:t xml:space="preserve">CIMO </w:t>
      </w:r>
      <w:r w:rsidR="00BF7944">
        <w:t>Table</w:t>
      </w:r>
      <w:bookmarkEnd w:id="19"/>
    </w:p>
    <w:tbl>
      <w:tblPr>
        <w:tblStyle w:val="TableGrid"/>
        <w:tblW w:w="9493" w:type="dxa"/>
        <w:tblLook w:val="04A0" w:firstRow="1" w:lastRow="0" w:firstColumn="1" w:lastColumn="0" w:noHBand="0" w:noVBand="1"/>
      </w:tblPr>
      <w:tblGrid>
        <w:gridCol w:w="1472"/>
        <w:gridCol w:w="8021"/>
      </w:tblGrid>
      <w:tr w:rsidR="00115233" w14:paraId="41D1745E" w14:textId="77777777" w:rsidTr="00BF7944">
        <w:tc>
          <w:tcPr>
            <w:tcW w:w="1271" w:type="dxa"/>
            <w:shd w:val="clear" w:color="auto" w:fill="DAE9F7" w:themeFill="text2" w:themeFillTint="1A"/>
          </w:tcPr>
          <w:p w14:paraId="049A72DF" w14:textId="77777777" w:rsidR="00A41F89" w:rsidRPr="00BD281E" w:rsidRDefault="00A41F89" w:rsidP="00A41F89">
            <w:pPr>
              <w:spacing w:line="360" w:lineRule="auto"/>
              <w:jc w:val="center"/>
              <w:rPr>
                <w:rFonts w:ascii="Arial" w:hAnsi="Arial" w:cs="Arial"/>
                <w:b/>
                <w:bCs/>
                <w:i/>
                <w:iCs/>
                <w:sz w:val="20"/>
                <w:szCs w:val="20"/>
              </w:rPr>
            </w:pPr>
          </w:p>
          <w:p w14:paraId="7E5C6586" w14:textId="77777777" w:rsidR="00A41F89" w:rsidRPr="00BD281E" w:rsidRDefault="00A41F89" w:rsidP="00A41F89">
            <w:pPr>
              <w:spacing w:line="360" w:lineRule="auto"/>
              <w:jc w:val="center"/>
              <w:rPr>
                <w:rFonts w:ascii="Arial" w:hAnsi="Arial" w:cs="Arial"/>
                <w:b/>
                <w:bCs/>
                <w:i/>
                <w:iCs/>
                <w:sz w:val="20"/>
                <w:szCs w:val="20"/>
              </w:rPr>
            </w:pPr>
          </w:p>
          <w:p w14:paraId="3E45202C" w14:textId="77777777" w:rsidR="00BD281E" w:rsidRDefault="000344F3" w:rsidP="00A41F89">
            <w:pPr>
              <w:spacing w:line="360" w:lineRule="auto"/>
              <w:jc w:val="center"/>
              <w:rPr>
                <w:rFonts w:ascii="Arial" w:hAnsi="Arial" w:cs="Arial"/>
                <w:b/>
                <w:bCs/>
                <w:i/>
                <w:iCs/>
                <w:sz w:val="20"/>
                <w:szCs w:val="20"/>
              </w:rPr>
            </w:pPr>
            <w:r w:rsidRPr="00BD281E">
              <w:rPr>
                <w:rFonts w:ascii="Arial" w:hAnsi="Arial" w:cs="Arial"/>
                <w:b/>
                <w:bCs/>
                <w:i/>
                <w:iCs/>
                <w:sz w:val="20"/>
                <w:szCs w:val="20"/>
              </w:rPr>
              <w:t xml:space="preserve">Context </w:t>
            </w:r>
          </w:p>
          <w:p w14:paraId="5B3DB4C5" w14:textId="24C1EA45" w:rsidR="00115233" w:rsidRPr="00BD281E" w:rsidRDefault="000344F3" w:rsidP="00A41F89">
            <w:pPr>
              <w:spacing w:line="360" w:lineRule="auto"/>
              <w:jc w:val="center"/>
              <w:rPr>
                <w:rFonts w:ascii="Arial" w:hAnsi="Arial" w:cs="Arial"/>
                <w:b/>
                <w:bCs/>
                <w:i/>
                <w:iCs/>
                <w:sz w:val="20"/>
                <w:szCs w:val="20"/>
              </w:rPr>
            </w:pPr>
            <w:r w:rsidRPr="00BD281E">
              <w:rPr>
                <w:rFonts w:ascii="Arial" w:hAnsi="Arial" w:cs="Arial"/>
                <w:b/>
                <w:bCs/>
                <w:i/>
                <w:iCs/>
                <w:sz w:val="20"/>
                <w:szCs w:val="20"/>
              </w:rPr>
              <w:t>(C)</w:t>
            </w:r>
          </w:p>
        </w:tc>
        <w:tc>
          <w:tcPr>
            <w:tcW w:w="8222" w:type="dxa"/>
            <w:shd w:val="clear" w:color="auto" w:fill="DAE9F7" w:themeFill="text2" w:themeFillTint="1A"/>
          </w:tcPr>
          <w:p w14:paraId="36152CC4" w14:textId="77777777" w:rsidR="00FB6664" w:rsidRPr="00793CEE" w:rsidRDefault="00FB6664" w:rsidP="00A6007E">
            <w:pPr>
              <w:spacing w:line="360" w:lineRule="auto"/>
              <w:jc w:val="both"/>
              <w:rPr>
                <w:rFonts w:ascii="Arial" w:hAnsi="Arial" w:cs="Arial"/>
                <w:sz w:val="18"/>
                <w:szCs w:val="18"/>
              </w:rPr>
            </w:pPr>
            <w:r w:rsidRPr="00793CEE">
              <w:rPr>
                <w:rFonts w:ascii="Arial" w:hAnsi="Arial" w:cs="Arial"/>
                <w:b/>
                <w:bCs/>
                <w:sz w:val="18"/>
                <w:szCs w:val="18"/>
              </w:rPr>
              <w:t>Population:</w:t>
            </w:r>
            <w:r w:rsidRPr="00793CEE">
              <w:rPr>
                <w:rFonts w:ascii="Arial" w:hAnsi="Arial" w:cs="Arial"/>
                <w:sz w:val="18"/>
                <w:szCs w:val="18"/>
              </w:rPr>
              <w:t xml:space="preserve"> Black males in the United Kingdom, disaggregated where possible by Black African, Black Caribbean, and mixed heritage, across generations and socioeconomic status.</w:t>
            </w:r>
          </w:p>
          <w:p w14:paraId="656334BE" w14:textId="77777777" w:rsidR="00FB6664" w:rsidRPr="00793CEE" w:rsidRDefault="00FB6664" w:rsidP="00A6007E">
            <w:pPr>
              <w:spacing w:line="360" w:lineRule="auto"/>
              <w:jc w:val="both"/>
              <w:rPr>
                <w:rFonts w:ascii="Arial" w:hAnsi="Arial" w:cs="Arial"/>
                <w:sz w:val="18"/>
                <w:szCs w:val="18"/>
              </w:rPr>
            </w:pPr>
            <w:r w:rsidRPr="00793CEE">
              <w:rPr>
                <w:rFonts w:ascii="Arial" w:hAnsi="Arial" w:cs="Arial"/>
                <w:b/>
                <w:bCs/>
                <w:sz w:val="18"/>
                <w:szCs w:val="18"/>
              </w:rPr>
              <w:t>Settings:</w:t>
            </w:r>
            <w:r w:rsidRPr="00793CEE">
              <w:rPr>
                <w:rFonts w:ascii="Arial" w:hAnsi="Arial" w:cs="Arial"/>
                <w:sz w:val="18"/>
                <w:szCs w:val="18"/>
              </w:rPr>
              <w:t xml:space="preserve"> Compulsory schools, pupil referral units or alternative provision, FE, HE, and neighbourhoods with varying levels of deprivation and labour market contexts.</w:t>
            </w:r>
          </w:p>
          <w:p w14:paraId="694CC93F" w14:textId="29EB3930" w:rsidR="00115233" w:rsidRPr="00793CEE" w:rsidRDefault="00FB6664" w:rsidP="00A6007E">
            <w:pPr>
              <w:spacing w:line="360" w:lineRule="auto"/>
              <w:jc w:val="both"/>
              <w:rPr>
                <w:rFonts w:ascii="Arial" w:hAnsi="Arial" w:cs="Arial"/>
                <w:sz w:val="18"/>
                <w:szCs w:val="18"/>
              </w:rPr>
            </w:pPr>
            <w:r w:rsidRPr="00793CEE">
              <w:rPr>
                <w:rFonts w:ascii="Arial" w:hAnsi="Arial" w:cs="Arial"/>
                <w:b/>
                <w:bCs/>
                <w:sz w:val="18"/>
                <w:szCs w:val="18"/>
              </w:rPr>
              <w:t>Macro context:</w:t>
            </w:r>
            <w:r w:rsidRPr="00793CEE">
              <w:rPr>
                <w:rFonts w:ascii="Arial" w:hAnsi="Arial" w:cs="Arial"/>
                <w:sz w:val="18"/>
                <w:szCs w:val="18"/>
              </w:rPr>
              <w:t xml:space="preserve"> Structural racism and Whiteness, neoliberal policy, austerity measures, local labour market conditions, and barriers within the financial system.</w:t>
            </w:r>
          </w:p>
        </w:tc>
      </w:tr>
      <w:tr w:rsidR="00115233" w14:paraId="60A04D62" w14:textId="77777777" w:rsidTr="00BF7944">
        <w:tc>
          <w:tcPr>
            <w:tcW w:w="1271" w:type="dxa"/>
            <w:shd w:val="clear" w:color="auto" w:fill="DAE9F7" w:themeFill="text2" w:themeFillTint="1A"/>
          </w:tcPr>
          <w:p w14:paraId="4AF07500" w14:textId="77777777" w:rsidR="00AD6BC9" w:rsidRDefault="00AD6BC9" w:rsidP="00AD6BC9">
            <w:pPr>
              <w:spacing w:line="360" w:lineRule="auto"/>
              <w:jc w:val="center"/>
              <w:rPr>
                <w:rFonts w:ascii="Arial" w:hAnsi="Arial" w:cs="Arial"/>
                <w:b/>
                <w:bCs/>
                <w:i/>
                <w:iCs/>
                <w:sz w:val="20"/>
                <w:szCs w:val="20"/>
              </w:rPr>
            </w:pPr>
          </w:p>
          <w:p w14:paraId="60C6339F" w14:textId="77777777" w:rsidR="00BF7944" w:rsidRDefault="00BF7944" w:rsidP="00AD6BC9">
            <w:pPr>
              <w:spacing w:line="360" w:lineRule="auto"/>
              <w:jc w:val="center"/>
              <w:rPr>
                <w:rFonts w:ascii="Arial" w:hAnsi="Arial" w:cs="Arial"/>
                <w:b/>
                <w:bCs/>
                <w:i/>
                <w:iCs/>
                <w:sz w:val="20"/>
                <w:szCs w:val="20"/>
              </w:rPr>
            </w:pPr>
          </w:p>
          <w:p w14:paraId="492F9E2A" w14:textId="77777777" w:rsidR="00BF7944" w:rsidRDefault="00BF7944" w:rsidP="00AD6BC9">
            <w:pPr>
              <w:spacing w:line="360" w:lineRule="auto"/>
              <w:jc w:val="center"/>
              <w:rPr>
                <w:rFonts w:ascii="Arial" w:hAnsi="Arial" w:cs="Arial"/>
                <w:b/>
                <w:bCs/>
                <w:i/>
                <w:iCs/>
                <w:sz w:val="20"/>
                <w:szCs w:val="20"/>
              </w:rPr>
            </w:pPr>
          </w:p>
          <w:p w14:paraId="47F0D6BD" w14:textId="77777777" w:rsidR="00BF7944" w:rsidRPr="00BD281E" w:rsidRDefault="00BF7944" w:rsidP="00AD6BC9">
            <w:pPr>
              <w:spacing w:line="360" w:lineRule="auto"/>
              <w:jc w:val="center"/>
              <w:rPr>
                <w:rFonts w:ascii="Arial" w:hAnsi="Arial" w:cs="Arial"/>
                <w:b/>
                <w:bCs/>
                <w:i/>
                <w:iCs/>
                <w:sz w:val="20"/>
                <w:szCs w:val="20"/>
              </w:rPr>
            </w:pPr>
          </w:p>
          <w:p w14:paraId="1B6A0501" w14:textId="0DE2A569" w:rsidR="00115233" w:rsidRPr="00BD281E" w:rsidRDefault="00817C86" w:rsidP="00AD6BC9">
            <w:pPr>
              <w:spacing w:line="360" w:lineRule="auto"/>
              <w:jc w:val="center"/>
              <w:rPr>
                <w:rFonts w:ascii="Arial" w:hAnsi="Arial" w:cs="Arial"/>
                <w:b/>
                <w:bCs/>
                <w:i/>
                <w:iCs/>
                <w:sz w:val="20"/>
                <w:szCs w:val="20"/>
              </w:rPr>
            </w:pPr>
            <w:r w:rsidRPr="00BD281E">
              <w:rPr>
                <w:rFonts w:ascii="Arial" w:hAnsi="Arial" w:cs="Arial"/>
                <w:b/>
                <w:bCs/>
                <w:i/>
                <w:iCs/>
                <w:sz w:val="20"/>
                <w:szCs w:val="20"/>
              </w:rPr>
              <w:t>Interventions (I)</w:t>
            </w:r>
          </w:p>
        </w:tc>
        <w:tc>
          <w:tcPr>
            <w:tcW w:w="8222" w:type="dxa"/>
            <w:shd w:val="clear" w:color="auto" w:fill="DAE9F7" w:themeFill="text2" w:themeFillTint="1A"/>
          </w:tcPr>
          <w:p w14:paraId="379A0AE0" w14:textId="77777777" w:rsidR="00757E9F" w:rsidRPr="00793CEE" w:rsidRDefault="00757E9F" w:rsidP="00A6007E">
            <w:pPr>
              <w:spacing w:line="360" w:lineRule="auto"/>
              <w:jc w:val="both"/>
              <w:rPr>
                <w:rFonts w:ascii="Arial" w:hAnsi="Arial" w:cs="Arial"/>
                <w:sz w:val="18"/>
                <w:szCs w:val="18"/>
              </w:rPr>
            </w:pPr>
            <w:r w:rsidRPr="00793CEE">
              <w:rPr>
                <w:rFonts w:ascii="Arial" w:hAnsi="Arial" w:cs="Arial"/>
                <w:b/>
                <w:bCs/>
                <w:sz w:val="18"/>
                <w:szCs w:val="18"/>
              </w:rPr>
              <w:t>School-level interventions:</w:t>
            </w:r>
            <w:r w:rsidRPr="00793CEE">
              <w:rPr>
                <w:rFonts w:ascii="Arial" w:hAnsi="Arial" w:cs="Arial"/>
                <w:sz w:val="18"/>
                <w:szCs w:val="18"/>
              </w:rPr>
              <w:t xml:space="preserve"> anti-bias training, restorative pastoral models, reduction of exclusions, removal or reform of school-based policing, decolonised curricula, and culturally responsive career guidance.</w:t>
            </w:r>
          </w:p>
          <w:p w14:paraId="2BA00D24" w14:textId="77777777" w:rsidR="00757E9F" w:rsidRPr="00793CEE" w:rsidRDefault="00757E9F" w:rsidP="00A6007E">
            <w:pPr>
              <w:spacing w:line="360" w:lineRule="auto"/>
              <w:jc w:val="both"/>
              <w:rPr>
                <w:rFonts w:ascii="Arial" w:hAnsi="Arial" w:cs="Arial"/>
                <w:sz w:val="18"/>
                <w:szCs w:val="18"/>
              </w:rPr>
            </w:pPr>
            <w:r w:rsidRPr="00793CEE">
              <w:rPr>
                <w:rFonts w:ascii="Arial" w:hAnsi="Arial" w:cs="Arial"/>
                <w:b/>
                <w:bCs/>
                <w:sz w:val="18"/>
                <w:szCs w:val="18"/>
              </w:rPr>
              <w:t>Individual and relational interventions:</w:t>
            </w:r>
            <w:r w:rsidRPr="00793CEE">
              <w:rPr>
                <w:rFonts w:ascii="Arial" w:hAnsi="Arial" w:cs="Arial"/>
                <w:sz w:val="18"/>
                <w:szCs w:val="18"/>
              </w:rPr>
              <w:t xml:space="preserve"> culturally responsive mentoring, including shared-ethnicity and virtual formats; peer mentoring; mental health supports; and apprenticeship outreach.</w:t>
            </w:r>
          </w:p>
          <w:p w14:paraId="3624E8C8" w14:textId="77777777" w:rsidR="00757E9F" w:rsidRPr="00793CEE" w:rsidRDefault="00757E9F" w:rsidP="00A6007E">
            <w:pPr>
              <w:spacing w:line="360" w:lineRule="auto"/>
              <w:jc w:val="both"/>
              <w:rPr>
                <w:rFonts w:ascii="Arial" w:hAnsi="Arial" w:cs="Arial"/>
                <w:sz w:val="18"/>
                <w:szCs w:val="18"/>
              </w:rPr>
            </w:pPr>
            <w:r w:rsidRPr="00793CEE">
              <w:rPr>
                <w:rFonts w:ascii="Arial" w:hAnsi="Arial" w:cs="Arial"/>
                <w:sz w:val="18"/>
                <w:szCs w:val="18"/>
              </w:rPr>
              <w:t>Economic and structural interventions: targeted financial inclusion, such as start-up loans and procurement access; employer accountability in apprenticeships; diversionary programmes; and re-entry supports for individuals with criminal records.</w:t>
            </w:r>
          </w:p>
          <w:p w14:paraId="4D4EBC72" w14:textId="41031E2B" w:rsidR="00115233" w:rsidRPr="00793CEE" w:rsidRDefault="00757E9F" w:rsidP="00A6007E">
            <w:pPr>
              <w:spacing w:line="360" w:lineRule="auto"/>
              <w:jc w:val="both"/>
              <w:rPr>
                <w:rFonts w:ascii="Arial" w:hAnsi="Arial" w:cs="Arial"/>
                <w:sz w:val="18"/>
                <w:szCs w:val="18"/>
              </w:rPr>
            </w:pPr>
            <w:r w:rsidRPr="00793CEE">
              <w:rPr>
                <w:rFonts w:ascii="Arial" w:hAnsi="Arial" w:cs="Arial"/>
                <w:b/>
                <w:bCs/>
                <w:sz w:val="18"/>
                <w:szCs w:val="18"/>
              </w:rPr>
              <w:t>Research and analytic interventions:</w:t>
            </w:r>
            <w:r w:rsidRPr="00793CEE">
              <w:rPr>
                <w:rFonts w:ascii="Arial" w:hAnsi="Arial" w:cs="Arial"/>
                <w:sz w:val="18"/>
                <w:szCs w:val="18"/>
              </w:rPr>
              <w:t xml:space="preserve"> longitudinal cohort studies, process tracing, mixed-methods evaluations, and randomised controlled trials or quasi-experimental evaluations of interventions.</w:t>
            </w:r>
          </w:p>
        </w:tc>
      </w:tr>
      <w:tr w:rsidR="00115233" w14:paraId="684FFCF0" w14:textId="77777777" w:rsidTr="00BF7944">
        <w:tc>
          <w:tcPr>
            <w:tcW w:w="1271" w:type="dxa"/>
            <w:shd w:val="clear" w:color="auto" w:fill="DAE9F7" w:themeFill="text2" w:themeFillTint="1A"/>
          </w:tcPr>
          <w:p w14:paraId="79B2AA3A" w14:textId="77777777" w:rsidR="00BD281E" w:rsidRPr="00BD281E" w:rsidRDefault="00BD281E" w:rsidP="00AD6BC9">
            <w:pPr>
              <w:spacing w:line="360" w:lineRule="auto"/>
              <w:jc w:val="center"/>
              <w:rPr>
                <w:rFonts w:ascii="Arial" w:hAnsi="Arial" w:cs="Arial"/>
                <w:b/>
                <w:bCs/>
                <w:i/>
                <w:iCs/>
                <w:sz w:val="20"/>
                <w:szCs w:val="20"/>
              </w:rPr>
            </w:pPr>
          </w:p>
          <w:p w14:paraId="76164A04" w14:textId="77777777" w:rsidR="00BD281E" w:rsidRPr="00BD281E" w:rsidRDefault="00BD281E" w:rsidP="00AD6BC9">
            <w:pPr>
              <w:spacing w:line="360" w:lineRule="auto"/>
              <w:jc w:val="center"/>
              <w:rPr>
                <w:rFonts w:ascii="Arial" w:hAnsi="Arial" w:cs="Arial"/>
                <w:b/>
                <w:bCs/>
                <w:i/>
                <w:iCs/>
                <w:sz w:val="20"/>
                <w:szCs w:val="20"/>
              </w:rPr>
            </w:pPr>
          </w:p>
          <w:p w14:paraId="565908EB" w14:textId="77777777" w:rsidR="00BD281E" w:rsidRPr="00BD281E" w:rsidRDefault="00BD281E" w:rsidP="00AD6BC9">
            <w:pPr>
              <w:spacing w:line="360" w:lineRule="auto"/>
              <w:jc w:val="center"/>
              <w:rPr>
                <w:rFonts w:ascii="Arial" w:hAnsi="Arial" w:cs="Arial"/>
                <w:b/>
                <w:bCs/>
                <w:i/>
                <w:iCs/>
                <w:sz w:val="20"/>
                <w:szCs w:val="20"/>
              </w:rPr>
            </w:pPr>
          </w:p>
          <w:p w14:paraId="00C59EFE" w14:textId="50227E6D" w:rsidR="00115233" w:rsidRPr="00BD281E" w:rsidRDefault="00641294" w:rsidP="00AD6BC9">
            <w:pPr>
              <w:spacing w:line="360" w:lineRule="auto"/>
              <w:jc w:val="center"/>
              <w:rPr>
                <w:rFonts w:ascii="Arial" w:hAnsi="Arial" w:cs="Arial"/>
                <w:b/>
                <w:bCs/>
                <w:i/>
                <w:iCs/>
                <w:sz w:val="20"/>
                <w:szCs w:val="20"/>
              </w:rPr>
            </w:pPr>
            <w:r w:rsidRPr="00BD281E">
              <w:rPr>
                <w:rFonts w:ascii="Arial" w:hAnsi="Arial" w:cs="Arial"/>
                <w:b/>
                <w:bCs/>
                <w:i/>
                <w:iCs/>
                <w:sz w:val="20"/>
                <w:szCs w:val="20"/>
              </w:rPr>
              <w:t>Mechanisms (M)</w:t>
            </w:r>
          </w:p>
        </w:tc>
        <w:tc>
          <w:tcPr>
            <w:tcW w:w="8222" w:type="dxa"/>
            <w:shd w:val="clear" w:color="auto" w:fill="DAE9F7" w:themeFill="text2" w:themeFillTint="1A"/>
          </w:tcPr>
          <w:p w14:paraId="6B4C0A36" w14:textId="77777777" w:rsidR="00EB3FA1" w:rsidRPr="00793CEE" w:rsidRDefault="00EB3FA1" w:rsidP="00A6007E">
            <w:pPr>
              <w:spacing w:line="360" w:lineRule="auto"/>
              <w:jc w:val="both"/>
              <w:rPr>
                <w:rFonts w:ascii="Arial" w:hAnsi="Arial" w:cs="Arial"/>
                <w:sz w:val="18"/>
                <w:szCs w:val="18"/>
              </w:rPr>
            </w:pPr>
            <w:r w:rsidRPr="00793CEE">
              <w:rPr>
                <w:rFonts w:ascii="Arial" w:hAnsi="Arial" w:cs="Arial"/>
                <w:b/>
                <w:bCs/>
                <w:sz w:val="18"/>
                <w:szCs w:val="18"/>
              </w:rPr>
              <w:t>Institutional to individual mediators:</w:t>
            </w:r>
            <w:r w:rsidRPr="00793CEE">
              <w:rPr>
                <w:rFonts w:ascii="Arial" w:hAnsi="Arial" w:cs="Arial"/>
                <w:sz w:val="18"/>
                <w:szCs w:val="18"/>
              </w:rPr>
              <w:t xml:space="preserve"> lowered teacher expectations, tracking or setting, biased monitoring, exclusions and stigma, and curriculum marginalisation.</w:t>
            </w:r>
          </w:p>
          <w:p w14:paraId="5F309C25" w14:textId="77777777" w:rsidR="00EB3FA1" w:rsidRPr="00793CEE" w:rsidRDefault="00EB3FA1" w:rsidP="00A6007E">
            <w:pPr>
              <w:spacing w:line="360" w:lineRule="auto"/>
              <w:jc w:val="both"/>
              <w:rPr>
                <w:rFonts w:ascii="Arial" w:hAnsi="Arial" w:cs="Arial"/>
                <w:sz w:val="18"/>
                <w:szCs w:val="18"/>
              </w:rPr>
            </w:pPr>
            <w:r w:rsidRPr="00793CEE">
              <w:rPr>
                <w:rFonts w:ascii="Arial" w:hAnsi="Arial" w:cs="Arial"/>
                <w:b/>
                <w:bCs/>
                <w:sz w:val="18"/>
                <w:szCs w:val="18"/>
              </w:rPr>
              <w:t>Resource and relational mediators:</w:t>
            </w:r>
            <w:r w:rsidRPr="00793CEE">
              <w:rPr>
                <w:rFonts w:ascii="Arial" w:hAnsi="Arial" w:cs="Arial"/>
                <w:sz w:val="18"/>
                <w:szCs w:val="18"/>
              </w:rPr>
              <w:t xml:space="preserve"> reduced social and cultural capital, weakened networks and mentoring, limited access to apprenticeships and financial resources, and increased debt and financial precarity.</w:t>
            </w:r>
          </w:p>
          <w:p w14:paraId="66E3323F" w14:textId="77777777" w:rsidR="00EB3FA1" w:rsidRPr="00793CEE" w:rsidRDefault="00EB3FA1" w:rsidP="00A6007E">
            <w:pPr>
              <w:spacing w:line="360" w:lineRule="auto"/>
              <w:jc w:val="both"/>
              <w:rPr>
                <w:rFonts w:ascii="Arial" w:hAnsi="Arial" w:cs="Arial"/>
                <w:sz w:val="18"/>
                <w:szCs w:val="18"/>
              </w:rPr>
            </w:pPr>
            <w:r w:rsidRPr="00793CEE">
              <w:rPr>
                <w:rFonts w:ascii="Arial" w:hAnsi="Arial" w:cs="Arial"/>
                <w:b/>
                <w:bCs/>
                <w:sz w:val="18"/>
                <w:szCs w:val="18"/>
              </w:rPr>
              <w:t>Health and psychosocial mediators:</w:t>
            </w:r>
            <w:r w:rsidRPr="00793CEE">
              <w:rPr>
                <w:rFonts w:ascii="Arial" w:hAnsi="Arial" w:cs="Arial"/>
                <w:sz w:val="18"/>
                <w:szCs w:val="18"/>
              </w:rPr>
              <w:t xml:space="preserve"> mental health harms, social isolation, stereotype threat, and reduced sense of belonging.</w:t>
            </w:r>
          </w:p>
          <w:p w14:paraId="38712973" w14:textId="350B8FED" w:rsidR="00115233" w:rsidRPr="00793CEE" w:rsidRDefault="00EB3FA1" w:rsidP="00A6007E">
            <w:pPr>
              <w:spacing w:line="360" w:lineRule="auto"/>
              <w:jc w:val="both"/>
              <w:rPr>
                <w:rFonts w:ascii="Arial" w:hAnsi="Arial" w:cs="Arial"/>
                <w:sz w:val="18"/>
                <w:szCs w:val="18"/>
              </w:rPr>
            </w:pPr>
            <w:r w:rsidRPr="00793CEE">
              <w:rPr>
                <w:rFonts w:ascii="Arial" w:hAnsi="Arial" w:cs="Arial"/>
                <w:b/>
                <w:bCs/>
                <w:sz w:val="18"/>
                <w:szCs w:val="18"/>
              </w:rPr>
              <w:t>Network and vulnerability mediators:</w:t>
            </w:r>
            <w:r w:rsidRPr="00793CEE">
              <w:rPr>
                <w:rFonts w:ascii="Arial" w:hAnsi="Arial" w:cs="Arial"/>
                <w:sz w:val="18"/>
                <w:szCs w:val="18"/>
              </w:rPr>
              <w:t xml:space="preserve"> social isolation and economic precarity that facilitate grooming or recruitment by criminal networks, and criminal records that reinforce stigma.</w:t>
            </w:r>
          </w:p>
        </w:tc>
      </w:tr>
      <w:tr w:rsidR="00115233" w14:paraId="2215903F" w14:textId="77777777" w:rsidTr="00BF7944">
        <w:tc>
          <w:tcPr>
            <w:tcW w:w="1271" w:type="dxa"/>
            <w:shd w:val="clear" w:color="auto" w:fill="DAE9F7" w:themeFill="text2" w:themeFillTint="1A"/>
          </w:tcPr>
          <w:p w14:paraId="0B0F7B14" w14:textId="77777777" w:rsidR="00BD281E" w:rsidRPr="00BD281E" w:rsidRDefault="00BD281E" w:rsidP="00AD6BC9">
            <w:pPr>
              <w:spacing w:line="360" w:lineRule="auto"/>
              <w:jc w:val="center"/>
              <w:rPr>
                <w:rFonts w:ascii="Arial" w:hAnsi="Arial" w:cs="Arial"/>
                <w:b/>
                <w:bCs/>
                <w:i/>
                <w:iCs/>
                <w:sz w:val="20"/>
                <w:szCs w:val="20"/>
              </w:rPr>
            </w:pPr>
          </w:p>
          <w:p w14:paraId="26312858" w14:textId="77777777" w:rsidR="00BD281E" w:rsidRPr="00BD281E" w:rsidRDefault="00BD281E" w:rsidP="00AD6BC9">
            <w:pPr>
              <w:spacing w:line="360" w:lineRule="auto"/>
              <w:jc w:val="center"/>
              <w:rPr>
                <w:rFonts w:ascii="Arial" w:hAnsi="Arial" w:cs="Arial"/>
                <w:b/>
                <w:bCs/>
                <w:i/>
                <w:iCs/>
                <w:sz w:val="20"/>
                <w:szCs w:val="20"/>
              </w:rPr>
            </w:pPr>
          </w:p>
          <w:p w14:paraId="6D5FE32A" w14:textId="77777777" w:rsidR="00BD281E" w:rsidRPr="00BD281E" w:rsidRDefault="00BD281E" w:rsidP="00AD6BC9">
            <w:pPr>
              <w:spacing w:line="360" w:lineRule="auto"/>
              <w:jc w:val="center"/>
              <w:rPr>
                <w:rFonts w:ascii="Arial" w:hAnsi="Arial" w:cs="Arial"/>
                <w:b/>
                <w:bCs/>
                <w:i/>
                <w:iCs/>
                <w:sz w:val="20"/>
                <w:szCs w:val="20"/>
              </w:rPr>
            </w:pPr>
          </w:p>
          <w:p w14:paraId="560BFBA6" w14:textId="77777777" w:rsidR="00BD281E" w:rsidRDefault="000505AD" w:rsidP="00AD6BC9">
            <w:pPr>
              <w:spacing w:line="360" w:lineRule="auto"/>
              <w:jc w:val="center"/>
              <w:rPr>
                <w:rFonts w:ascii="Arial" w:hAnsi="Arial" w:cs="Arial"/>
                <w:b/>
                <w:bCs/>
                <w:i/>
                <w:iCs/>
                <w:sz w:val="20"/>
                <w:szCs w:val="20"/>
              </w:rPr>
            </w:pPr>
            <w:r w:rsidRPr="00BD281E">
              <w:rPr>
                <w:rFonts w:ascii="Arial" w:hAnsi="Arial" w:cs="Arial"/>
                <w:b/>
                <w:bCs/>
                <w:i/>
                <w:iCs/>
                <w:sz w:val="20"/>
                <w:szCs w:val="20"/>
              </w:rPr>
              <w:t>Outcomes</w:t>
            </w:r>
          </w:p>
          <w:p w14:paraId="5FA77886" w14:textId="129AC1DD" w:rsidR="00115233" w:rsidRPr="00BD281E" w:rsidRDefault="000505AD" w:rsidP="00AD6BC9">
            <w:pPr>
              <w:spacing w:line="360" w:lineRule="auto"/>
              <w:jc w:val="center"/>
              <w:rPr>
                <w:rFonts w:ascii="Arial" w:hAnsi="Arial" w:cs="Arial"/>
                <w:b/>
                <w:bCs/>
                <w:i/>
                <w:iCs/>
                <w:sz w:val="20"/>
                <w:szCs w:val="20"/>
              </w:rPr>
            </w:pPr>
            <w:r w:rsidRPr="00BD281E">
              <w:rPr>
                <w:rFonts w:ascii="Arial" w:hAnsi="Arial" w:cs="Arial"/>
                <w:b/>
                <w:bCs/>
                <w:i/>
                <w:iCs/>
                <w:sz w:val="20"/>
                <w:szCs w:val="20"/>
              </w:rPr>
              <w:t xml:space="preserve"> (O)</w:t>
            </w:r>
          </w:p>
        </w:tc>
        <w:tc>
          <w:tcPr>
            <w:tcW w:w="8222" w:type="dxa"/>
            <w:shd w:val="clear" w:color="auto" w:fill="DAE9F7" w:themeFill="text2" w:themeFillTint="1A"/>
          </w:tcPr>
          <w:p w14:paraId="72717495" w14:textId="77777777" w:rsidR="00FE4B5F" w:rsidRPr="00793CEE" w:rsidRDefault="00FE4B5F" w:rsidP="00A6007E">
            <w:pPr>
              <w:spacing w:line="360" w:lineRule="auto"/>
              <w:jc w:val="both"/>
              <w:rPr>
                <w:rFonts w:ascii="Arial" w:hAnsi="Arial" w:cs="Arial"/>
                <w:sz w:val="18"/>
                <w:szCs w:val="18"/>
              </w:rPr>
            </w:pPr>
            <w:r w:rsidRPr="00793CEE">
              <w:rPr>
                <w:rFonts w:ascii="Arial" w:hAnsi="Arial" w:cs="Arial"/>
                <w:b/>
                <w:bCs/>
                <w:sz w:val="18"/>
                <w:szCs w:val="18"/>
              </w:rPr>
              <w:t>Employment outcomes:</w:t>
            </w:r>
            <w:r w:rsidRPr="00793CEE">
              <w:rPr>
                <w:rFonts w:ascii="Arial" w:hAnsi="Arial" w:cs="Arial"/>
                <w:sz w:val="18"/>
                <w:szCs w:val="18"/>
              </w:rPr>
              <w:t xml:space="preserve"> underemployment and unemployment, occupational quality, wages, over-education, and apprenticeship starts and completions.</w:t>
            </w:r>
          </w:p>
          <w:p w14:paraId="05927530" w14:textId="77777777" w:rsidR="00FE4B5F" w:rsidRPr="00793CEE" w:rsidRDefault="00FE4B5F" w:rsidP="00A6007E">
            <w:pPr>
              <w:spacing w:line="360" w:lineRule="auto"/>
              <w:jc w:val="both"/>
              <w:rPr>
                <w:rFonts w:ascii="Arial" w:hAnsi="Arial" w:cs="Arial"/>
                <w:sz w:val="18"/>
                <w:szCs w:val="18"/>
              </w:rPr>
            </w:pPr>
            <w:r w:rsidRPr="00793CEE">
              <w:rPr>
                <w:rFonts w:ascii="Arial" w:hAnsi="Arial" w:cs="Arial"/>
                <w:b/>
                <w:bCs/>
                <w:sz w:val="18"/>
                <w:szCs w:val="18"/>
              </w:rPr>
              <w:t>Entrepreneurship outcomes:</w:t>
            </w:r>
            <w:r w:rsidRPr="00793CEE">
              <w:rPr>
                <w:rFonts w:ascii="Arial" w:hAnsi="Arial" w:cs="Arial"/>
                <w:sz w:val="18"/>
                <w:szCs w:val="18"/>
              </w:rPr>
              <w:t xml:space="preserve"> business start-up rates, opportunity-driven versus necessity-driven entrepreneurship, access to finance, firm survival and sustainability, and market access.</w:t>
            </w:r>
          </w:p>
          <w:p w14:paraId="5EA66C0E" w14:textId="77777777" w:rsidR="00FE4B5F" w:rsidRPr="00793CEE" w:rsidRDefault="00FE4B5F" w:rsidP="00A6007E">
            <w:pPr>
              <w:spacing w:line="360" w:lineRule="auto"/>
              <w:jc w:val="both"/>
              <w:rPr>
                <w:rFonts w:ascii="Arial" w:hAnsi="Arial" w:cs="Arial"/>
                <w:sz w:val="18"/>
                <w:szCs w:val="18"/>
              </w:rPr>
            </w:pPr>
            <w:r w:rsidRPr="00793CEE">
              <w:rPr>
                <w:rFonts w:ascii="Arial" w:hAnsi="Arial" w:cs="Arial"/>
                <w:b/>
                <w:bCs/>
                <w:sz w:val="18"/>
                <w:szCs w:val="18"/>
              </w:rPr>
              <w:t>Risk outcomes:</w:t>
            </w:r>
            <w:r w:rsidRPr="00793CEE">
              <w:rPr>
                <w:rFonts w:ascii="Arial" w:hAnsi="Arial" w:cs="Arial"/>
                <w:sz w:val="18"/>
                <w:szCs w:val="18"/>
              </w:rPr>
              <w:t xml:space="preserve"> exposure to criminal exploitation, including County Lines and OCGs, victimisation, contact with the criminal justice system, and barriers to post-custodial reintegration.</w:t>
            </w:r>
          </w:p>
          <w:p w14:paraId="318C4913" w14:textId="77777777" w:rsidR="00FE4B5F" w:rsidRPr="00793CEE" w:rsidRDefault="00FE4B5F" w:rsidP="00A6007E">
            <w:pPr>
              <w:spacing w:line="360" w:lineRule="auto"/>
              <w:jc w:val="both"/>
              <w:rPr>
                <w:rFonts w:ascii="Arial" w:hAnsi="Arial" w:cs="Arial"/>
                <w:sz w:val="18"/>
                <w:szCs w:val="18"/>
              </w:rPr>
            </w:pPr>
            <w:r w:rsidRPr="00793CEE">
              <w:rPr>
                <w:rFonts w:ascii="Arial" w:hAnsi="Arial" w:cs="Arial"/>
                <w:b/>
                <w:bCs/>
                <w:sz w:val="18"/>
                <w:szCs w:val="18"/>
              </w:rPr>
              <w:t>Wellbeing outcomes:</w:t>
            </w:r>
            <w:r w:rsidRPr="00793CEE">
              <w:rPr>
                <w:rFonts w:ascii="Arial" w:hAnsi="Arial" w:cs="Arial"/>
                <w:sz w:val="18"/>
                <w:szCs w:val="18"/>
              </w:rPr>
              <w:t xml:space="preserve"> mental health status, educational retention, sense of belonging, and the intergenerational accumulation of disadvantage.</w:t>
            </w:r>
          </w:p>
          <w:p w14:paraId="36C797C1" w14:textId="77777777" w:rsidR="00115233" w:rsidRPr="00793CEE" w:rsidRDefault="00115233" w:rsidP="00A6007E">
            <w:pPr>
              <w:spacing w:line="360" w:lineRule="auto"/>
              <w:jc w:val="both"/>
              <w:rPr>
                <w:rFonts w:ascii="Arial" w:hAnsi="Arial" w:cs="Arial"/>
                <w:sz w:val="18"/>
                <w:szCs w:val="18"/>
              </w:rPr>
            </w:pPr>
          </w:p>
        </w:tc>
      </w:tr>
    </w:tbl>
    <w:p w14:paraId="1305D10E" w14:textId="77777777" w:rsidR="00115233" w:rsidRDefault="00115233" w:rsidP="009E58ED">
      <w:pPr>
        <w:spacing w:line="360" w:lineRule="auto"/>
        <w:jc w:val="both"/>
        <w:rPr>
          <w:rFonts w:ascii="Arial" w:hAnsi="Arial" w:cs="Arial"/>
          <w:sz w:val="24"/>
          <w:szCs w:val="24"/>
        </w:rPr>
      </w:pPr>
    </w:p>
    <w:p w14:paraId="3AC3F96D" w14:textId="77777777" w:rsidR="00D60A54" w:rsidRDefault="00D60A54" w:rsidP="00D60A54">
      <w:pPr>
        <w:pStyle w:val="Heading4"/>
        <w:rPr>
          <w:rFonts w:ascii="Calibri" w:hAnsi="Calibri" w:cs="Calibri"/>
        </w:rPr>
      </w:pPr>
      <w:r>
        <w:rPr>
          <w:rFonts w:ascii="Calibri" w:hAnsi="Calibri" w:cs="Calibri"/>
        </w:rPr>
        <w:t xml:space="preserve">Figure 3: The CIMO Framework: </w:t>
      </w:r>
      <w:r w:rsidRPr="00F346C3">
        <w:rPr>
          <w:rFonts w:ascii="Calibri" w:hAnsi="Calibri" w:cs="Calibri"/>
        </w:rPr>
        <w:t>Source(s): Authors’ Work</w:t>
      </w:r>
    </w:p>
    <w:p w14:paraId="4BA2DB3E" w14:textId="77777777" w:rsidR="00115233" w:rsidRDefault="00115233" w:rsidP="009E58ED">
      <w:pPr>
        <w:spacing w:line="360" w:lineRule="auto"/>
        <w:jc w:val="both"/>
        <w:rPr>
          <w:rFonts w:ascii="Arial" w:hAnsi="Arial" w:cs="Arial"/>
          <w:sz w:val="24"/>
          <w:szCs w:val="24"/>
        </w:rPr>
      </w:pPr>
    </w:p>
    <w:p w14:paraId="2FDE85AE" w14:textId="4699919F" w:rsidR="00805C6B" w:rsidRDefault="005559C9" w:rsidP="00B77FF7">
      <w:pPr>
        <w:pStyle w:val="Heading3"/>
      </w:pPr>
      <w:bookmarkStart w:id="20" w:name="_Toc227936258"/>
      <w:r>
        <w:t xml:space="preserve">4.2 </w:t>
      </w:r>
      <w:r w:rsidR="00B77FF7">
        <w:t>Database list</w:t>
      </w:r>
      <w:bookmarkEnd w:id="20"/>
      <w:r w:rsidR="00366FF9">
        <w:t xml:space="preserve"> </w:t>
      </w:r>
      <w:r w:rsidR="007D1879">
        <w:t xml:space="preserve"> </w:t>
      </w:r>
    </w:p>
    <w:tbl>
      <w:tblPr>
        <w:tblStyle w:val="LightShading-Accent1"/>
        <w:tblW w:w="5000" w:type="pct"/>
        <w:tblLook w:val="0660" w:firstRow="1" w:lastRow="1" w:firstColumn="0" w:lastColumn="0" w:noHBand="1" w:noVBand="1"/>
      </w:tblPr>
      <w:tblGrid>
        <w:gridCol w:w="4705"/>
        <w:gridCol w:w="1440"/>
        <w:gridCol w:w="1440"/>
        <w:gridCol w:w="1441"/>
      </w:tblGrid>
      <w:tr w:rsidR="00BA5AB1" w14:paraId="0476F02C" w14:textId="77777777" w:rsidTr="002F03C0">
        <w:trPr>
          <w:cnfStyle w:val="100000000000" w:firstRow="1" w:lastRow="0" w:firstColumn="0" w:lastColumn="0" w:oddVBand="0" w:evenVBand="0" w:oddHBand="0" w:evenHBand="0" w:firstRowFirstColumn="0" w:firstRowLastColumn="0" w:lastRowFirstColumn="0" w:lastRowLastColumn="0"/>
        </w:trPr>
        <w:tc>
          <w:tcPr>
            <w:tcW w:w="2606" w:type="pct"/>
            <w:noWrap/>
          </w:tcPr>
          <w:p w14:paraId="356E213F" w14:textId="77777777" w:rsidR="00B2532F" w:rsidRPr="002B726E" w:rsidRDefault="00B2532F" w:rsidP="00B2532F">
            <w:pPr>
              <w:spacing w:after="160" w:line="259" w:lineRule="auto"/>
              <w:rPr>
                <w:rFonts w:eastAsiaTheme="minorHAnsi"/>
                <w:color w:val="auto"/>
                <w:kern w:val="2"/>
                <w:lang w:eastAsia="en-US"/>
                <w14:ligatures w14:val="standardContextual"/>
              </w:rPr>
            </w:pPr>
            <w:r w:rsidRPr="002B726E">
              <w:rPr>
                <w:rFonts w:eastAsiaTheme="minorHAnsi"/>
                <w:b w:val="0"/>
                <w:bCs w:val="0"/>
                <w:color w:val="auto"/>
                <w:kern w:val="2"/>
                <w:lang w:eastAsia="en-US"/>
                <w14:ligatures w14:val="standardContextual"/>
              </w:rPr>
              <w:t xml:space="preserve">Search 1 </w:t>
            </w:r>
          </w:p>
          <w:p w14:paraId="06BB25A1" w14:textId="5CFE2CAD" w:rsidR="00B2532F" w:rsidRDefault="00B2532F" w:rsidP="00B2532F">
            <w:r w:rsidRPr="002B726E">
              <w:rPr>
                <w:rFonts w:eastAsiaTheme="minorHAnsi"/>
                <w:b w:val="0"/>
                <w:bCs w:val="0"/>
                <w:color w:val="auto"/>
                <w:kern w:val="2"/>
                <w:lang w:eastAsia="en-US"/>
                <w14:ligatures w14:val="standardContextual"/>
              </w:rPr>
              <w:t>Database</w:t>
            </w:r>
          </w:p>
        </w:tc>
        <w:tc>
          <w:tcPr>
            <w:tcW w:w="798" w:type="pct"/>
          </w:tcPr>
          <w:p w14:paraId="549F348E" w14:textId="38E9DD62" w:rsidR="00B2532F" w:rsidRDefault="00B2532F" w:rsidP="00B2532F">
            <w:r w:rsidRPr="002B726E">
              <w:rPr>
                <w:rFonts w:eastAsiaTheme="minorHAnsi"/>
                <w:b w:val="0"/>
                <w:bCs w:val="0"/>
                <w:color w:val="auto"/>
                <w:kern w:val="2"/>
                <w:lang w:eastAsia="en-US"/>
                <w14:ligatures w14:val="standardContextual"/>
              </w:rPr>
              <w:t>Results</w:t>
            </w:r>
          </w:p>
        </w:tc>
        <w:tc>
          <w:tcPr>
            <w:tcW w:w="798" w:type="pct"/>
          </w:tcPr>
          <w:p w14:paraId="7AB005B9" w14:textId="3E59F8F0" w:rsidR="00B2532F" w:rsidRDefault="00B2532F" w:rsidP="00B2532F"/>
        </w:tc>
        <w:tc>
          <w:tcPr>
            <w:tcW w:w="798" w:type="pct"/>
          </w:tcPr>
          <w:p w14:paraId="4DD877C0" w14:textId="00C0B42C" w:rsidR="00B2532F" w:rsidRDefault="00B2532F" w:rsidP="00B2532F"/>
        </w:tc>
      </w:tr>
      <w:tr w:rsidR="00BA5AB1" w14:paraId="24987BDB" w14:textId="77777777" w:rsidTr="002F03C0">
        <w:tc>
          <w:tcPr>
            <w:tcW w:w="2606" w:type="pct"/>
            <w:noWrap/>
          </w:tcPr>
          <w:p w14:paraId="61E87F48" w14:textId="77777777" w:rsidR="00B2532F" w:rsidRDefault="00B2532F" w:rsidP="00B2532F"/>
        </w:tc>
        <w:tc>
          <w:tcPr>
            <w:tcW w:w="798" w:type="pct"/>
          </w:tcPr>
          <w:p w14:paraId="2F67C8F2" w14:textId="234AD5E1" w:rsidR="00B2532F" w:rsidRDefault="00B2532F" w:rsidP="00B2532F">
            <w:pPr>
              <w:rPr>
                <w:rStyle w:val="SubtleEmphasis"/>
              </w:rPr>
            </w:pPr>
          </w:p>
        </w:tc>
        <w:tc>
          <w:tcPr>
            <w:tcW w:w="798" w:type="pct"/>
          </w:tcPr>
          <w:p w14:paraId="3B94B2F2" w14:textId="77777777" w:rsidR="00B2532F" w:rsidRDefault="00B2532F" w:rsidP="00B2532F"/>
        </w:tc>
        <w:tc>
          <w:tcPr>
            <w:tcW w:w="798" w:type="pct"/>
          </w:tcPr>
          <w:p w14:paraId="52A1CF3F" w14:textId="77777777" w:rsidR="00B2532F" w:rsidRDefault="00B2532F" w:rsidP="00B2532F"/>
        </w:tc>
      </w:tr>
      <w:tr w:rsidR="00BA5AB1" w14:paraId="574C698A" w14:textId="77777777" w:rsidTr="002F03C0">
        <w:tc>
          <w:tcPr>
            <w:tcW w:w="2606" w:type="pct"/>
            <w:noWrap/>
          </w:tcPr>
          <w:p w14:paraId="08D43D7B" w14:textId="615F5975" w:rsidR="00B2532F" w:rsidRDefault="00297D28" w:rsidP="00B2532F">
            <w:r>
              <w:t>Webs of Science</w:t>
            </w:r>
          </w:p>
        </w:tc>
        <w:tc>
          <w:tcPr>
            <w:tcW w:w="798" w:type="pct"/>
          </w:tcPr>
          <w:p w14:paraId="51473EA5" w14:textId="74B81406" w:rsidR="00B2532F" w:rsidRDefault="00B2532F" w:rsidP="00B2532F">
            <w:pPr>
              <w:pStyle w:val="DecimalAligned"/>
            </w:pPr>
            <w:r>
              <w:t>1</w:t>
            </w:r>
            <w:r w:rsidR="00643962">
              <w:t>2</w:t>
            </w:r>
          </w:p>
        </w:tc>
        <w:tc>
          <w:tcPr>
            <w:tcW w:w="798" w:type="pct"/>
          </w:tcPr>
          <w:p w14:paraId="353B2B2A" w14:textId="24C1F540" w:rsidR="00B2532F" w:rsidRDefault="00B2532F" w:rsidP="00B2532F">
            <w:pPr>
              <w:pStyle w:val="DecimalAligned"/>
            </w:pPr>
          </w:p>
        </w:tc>
        <w:tc>
          <w:tcPr>
            <w:tcW w:w="798" w:type="pct"/>
          </w:tcPr>
          <w:p w14:paraId="39F3C153" w14:textId="1CAFF11F" w:rsidR="00B2532F" w:rsidRDefault="00B2532F" w:rsidP="00B2532F">
            <w:pPr>
              <w:pStyle w:val="DecimalAligned"/>
            </w:pPr>
          </w:p>
        </w:tc>
      </w:tr>
      <w:tr w:rsidR="00BA5AB1" w14:paraId="66F2B90C" w14:textId="77777777" w:rsidTr="002F03C0">
        <w:tc>
          <w:tcPr>
            <w:tcW w:w="2606" w:type="pct"/>
            <w:noWrap/>
          </w:tcPr>
          <w:p w14:paraId="2979AB8D" w14:textId="4AC9AD7E" w:rsidR="00B2532F" w:rsidRDefault="009B7429" w:rsidP="00B2532F">
            <w:r>
              <w:t>University of Wales Trinity Saint David</w:t>
            </w:r>
            <w:r w:rsidR="00BA5AB1">
              <w:t xml:space="preserve"> E- Library</w:t>
            </w:r>
          </w:p>
        </w:tc>
        <w:tc>
          <w:tcPr>
            <w:tcW w:w="798" w:type="pct"/>
          </w:tcPr>
          <w:p w14:paraId="3BB70096" w14:textId="53118B6E" w:rsidR="00B2532F" w:rsidRDefault="00B2532F" w:rsidP="00B2532F">
            <w:pPr>
              <w:pStyle w:val="DecimalAligned"/>
            </w:pPr>
            <w:r>
              <w:t>22</w:t>
            </w:r>
          </w:p>
        </w:tc>
        <w:tc>
          <w:tcPr>
            <w:tcW w:w="798" w:type="pct"/>
          </w:tcPr>
          <w:p w14:paraId="769E5574" w14:textId="1CA116A3" w:rsidR="00B2532F" w:rsidRDefault="00B2532F" w:rsidP="00B2532F">
            <w:pPr>
              <w:pStyle w:val="DecimalAligned"/>
            </w:pPr>
          </w:p>
        </w:tc>
        <w:tc>
          <w:tcPr>
            <w:tcW w:w="798" w:type="pct"/>
          </w:tcPr>
          <w:p w14:paraId="3341309D" w14:textId="3FEA5A90" w:rsidR="00B2532F" w:rsidRDefault="00B2532F" w:rsidP="00B2532F">
            <w:pPr>
              <w:pStyle w:val="DecimalAligned"/>
            </w:pPr>
          </w:p>
        </w:tc>
      </w:tr>
      <w:tr w:rsidR="00BA5AB1" w14:paraId="66C4B821" w14:textId="77777777" w:rsidTr="002F03C0">
        <w:tc>
          <w:tcPr>
            <w:tcW w:w="2606" w:type="pct"/>
            <w:noWrap/>
          </w:tcPr>
          <w:p w14:paraId="08B1DC2D" w14:textId="39B3158D" w:rsidR="00B2532F" w:rsidRDefault="0091148A" w:rsidP="00B2532F">
            <w:r>
              <w:t>SSRN</w:t>
            </w:r>
            <w:r w:rsidR="00B2532F">
              <w:t xml:space="preserve"> </w:t>
            </w:r>
          </w:p>
        </w:tc>
        <w:tc>
          <w:tcPr>
            <w:tcW w:w="798" w:type="pct"/>
          </w:tcPr>
          <w:p w14:paraId="2A586385" w14:textId="33C0F33C" w:rsidR="00B2532F" w:rsidRDefault="00863F8A" w:rsidP="00B2532F">
            <w:pPr>
              <w:pStyle w:val="DecimalAligned"/>
            </w:pPr>
            <w:r>
              <w:t>34</w:t>
            </w:r>
          </w:p>
        </w:tc>
        <w:tc>
          <w:tcPr>
            <w:tcW w:w="798" w:type="pct"/>
          </w:tcPr>
          <w:p w14:paraId="1BEEAF7F" w14:textId="503E0E61" w:rsidR="00B2532F" w:rsidRDefault="00B2532F" w:rsidP="00B2532F">
            <w:pPr>
              <w:pStyle w:val="DecimalAligned"/>
            </w:pPr>
          </w:p>
        </w:tc>
        <w:tc>
          <w:tcPr>
            <w:tcW w:w="798" w:type="pct"/>
          </w:tcPr>
          <w:p w14:paraId="2ECF6E3C" w14:textId="6AEE3A43" w:rsidR="00B2532F" w:rsidRDefault="00B2532F" w:rsidP="00B2532F">
            <w:pPr>
              <w:pStyle w:val="DecimalAligned"/>
            </w:pPr>
          </w:p>
        </w:tc>
      </w:tr>
      <w:tr w:rsidR="00BA5AB1" w14:paraId="05B706C3" w14:textId="77777777" w:rsidTr="002F03C0">
        <w:tc>
          <w:tcPr>
            <w:tcW w:w="2606" w:type="pct"/>
            <w:noWrap/>
          </w:tcPr>
          <w:p w14:paraId="23D8BD01" w14:textId="12B6345B" w:rsidR="00B2532F" w:rsidRDefault="00BA5AB1" w:rsidP="00B2532F">
            <w:r>
              <w:t>Emerald Publishin</w:t>
            </w:r>
            <w:r w:rsidR="00DB4337">
              <w:t>g</w:t>
            </w:r>
          </w:p>
        </w:tc>
        <w:tc>
          <w:tcPr>
            <w:tcW w:w="798" w:type="pct"/>
          </w:tcPr>
          <w:p w14:paraId="4CD7A23C" w14:textId="0C4016D9" w:rsidR="00B2532F" w:rsidRDefault="00B2532F" w:rsidP="00B2532F">
            <w:pPr>
              <w:pStyle w:val="DecimalAligned"/>
            </w:pPr>
            <w:r>
              <w:t>13</w:t>
            </w:r>
          </w:p>
        </w:tc>
        <w:tc>
          <w:tcPr>
            <w:tcW w:w="798" w:type="pct"/>
          </w:tcPr>
          <w:p w14:paraId="0777AD98" w14:textId="4A6A276B" w:rsidR="00B2532F" w:rsidRDefault="00B2532F" w:rsidP="00B2532F">
            <w:pPr>
              <w:pStyle w:val="DecimalAligned"/>
            </w:pPr>
          </w:p>
        </w:tc>
        <w:tc>
          <w:tcPr>
            <w:tcW w:w="798" w:type="pct"/>
          </w:tcPr>
          <w:p w14:paraId="154B52E0" w14:textId="77BA8AC2" w:rsidR="00B2532F" w:rsidRDefault="00B2532F" w:rsidP="00B2532F">
            <w:pPr>
              <w:pStyle w:val="DecimalAligned"/>
            </w:pPr>
          </w:p>
        </w:tc>
      </w:tr>
      <w:tr w:rsidR="00BA5AB1" w14:paraId="7DC492ED" w14:textId="77777777" w:rsidTr="002F03C0">
        <w:tc>
          <w:tcPr>
            <w:tcW w:w="2606" w:type="pct"/>
            <w:noWrap/>
          </w:tcPr>
          <w:p w14:paraId="598B20D5" w14:textId="0C30EB6B" w:rsidR="00B2532F" w:rsidRDefault="00DB4337" w:rsidP="00B2532F">
            <w:r>
              <w:t>Sage</w:t>
            </w:r>
          </w:p>
        </w:tc>
        <w:tc>
          <w:tcPr>
            <w:tcW w:w="798" w:type="pct"/>
          </w:tcPr>
          <w:p w14:paraId="49777BD9" w14:textId="11B93257" w:rsidR="00B2532F" w:rsidRDefault="00B2532F" w:rsidP="00B2532F">
            <w:pPr>
              <w:pStyle w:val="DecimalAligned"/>
            </w:pPr>
            <w:r>
              <w:t>22</w:t>
            </w:r>
          </w:p>
        </w:tc>
        <w:tc>
          <w:tcPr>
            <w:tcW w:w="798" w:type="pct"/>
          </w:tcPr>
          <w:p w14:paraId="07D6FFF7" w14:textId="2144E896" w:rsidR="00B2532F" w:rsidRDefault="00B2532F" w:rsidP="00B2532F">
            <w:pPr>
              <w:pStyle w:val="DecimalAligned"/>
            </w:pPr>
          </w:p>
        </w:tc>
        <w:tc>
          <w:tcPr>
            <w:tcW w:w="798" w:type="pct"/>
          </w:tcPr>
          <w:p w14:paraId="5E2648D2" w14:textId="6576FFEC" w:rsidR="00B2532F" w:rsidRDefault="00B2532F" w:rsidP="00B2532F">
            <w:pPr>
              <w:pStyle w:val="DecimalAligned"/>
            </w:pPr>
          </w:p>
        </w:tc>
      </w:tr>
      <w:tr w:rsidR="00BA5AB1" w14:paraId="072D5D8E" w14:textId="77777777" w:rsidTr="002F03C0">
        <w:tc>
          <w:tcPr>
            <w:tcW w:w="2606" w:type="pct"/>
            <w:noWrap/>
          </w:tcPr>
          <w:p w14:paraId="79458ADA" w14:textId="77777777" w:rsidR="00B2532F" w:rsidRDefault="00B2532F" w:rsidP="00B2532F"/>
        </w:tc>
        <w:tc>
          <w:tcPr>
            <w:tcW w:w="798" w:type="pct"/>
          </w:tcPr>
          <w:p w14:paraId="7BECB7AA" w14:textId="1EFDA414" w:rsidR="00B2532F" w:rsidRDefault="00B2532F" w:rsidP="00B2532F">
            <w:pPr>
              <w:rPr>
                <w:rStyle w:val="SubtleEmphasis"/>
              </w:rPr>
            </w:pPr>
          </w:p>
        </w:tc>
        <w:tc>
          <w:tcPr>
            <w:tcW w:w="798" w:type="pct"/>
          </w:tcPr>
          <w:p w14:paraId="434EF94E" w14:textId="77777777" w:rsidR="00B2532F" w:rsidRDefault="00B2532F" w:rsidP="00B2532F"/>
        </w:tc>
        <w:tc>
          <w:tcPr>
            <w:tcW w:w="798" w:type="pct"/>
          </w:tcPr>
          <w:p w14:paraId="47BF0B9D" w14:textId="77777777" w:rsidR="00B2532F" w:rsidRDefault="00B2532F" w:rsidP="00B2532F"/>
        </w:tc>
      </w:tr>
      <w:tr w:rsidR="00BA5AB1" w14:paraId="7730F10F" w14:textId="77777777" w:rsidTr="002F03C0">
        <w:tc>
          <w:tcPr>
            <w:tcW w:w="2606" w:type="pct"/>
            <w:noWrap/>
          </w:tcPr>
          <w:p w14:paraId="726ACA0E" w14:textId="490D48E5" w:rsidR="00B2532F" w:rsidRDefault="00DB4337" w:rsidP="00B2532F">
            <w:r>
              <w:t>Research Gate</w:t>
            </w:r>
          </w:p>
        </w:tc>
        <w:tc>
          <w:tcPr>
            <w:tcW w:w="798" w:type="pct"/>
          </w:tcPr>
          <w:p w14:paraId="05D66124" w14:textId="51839B13" w:rsidR="00B2532F" w:rsidRDefault="00B229D3" w:rsidP="00B2532F">
            <w:pPr>
              <w:pStyle w:val="DecimalAligned"/>
            </w:pPr>
            <w:r>
              <w:t>38</w:t>
            </w:r>
          </w:p>
        </w:tc>
        <w:tc>
          <w:tcPr>
            <w:tcW w:w="798" w:type="pct"/>
          </w:tcPr>
          <w:p w14:paraId="0C5964D8" w14:textId="4A5F0AD8" w:rsidR="00B2532F" w:rsidRDefault="00B2532F" w:rsidP="00B2532F">
            <w:pPr>
              <w:pStyle w:val="DecimalAligned"/>
            </w:pPr>
          </w:p>
        </w:tc>
        <w:tc>
          <w:tcPr>
            <w:tcW w:w="798" w:type="pct"/>
          </w:tcPr>
          <w:p w14:paraId="5C7E5FE0" w14:textId="6B9B92E3" w:rsidR="00B2532F" w:rsidRDefault="00B2532F" w:rsidP="00B2532F">
            <w:pPr>
              <w:pStyle w:val="DecimalAligned"/>
            </w:pPr>
          </w:p>
        </w:tc>
      </w:tr>
      <w:tr w:rsidR="00BA5AB1" w14:paraId="4428D05E" w14:textId="77777777" w:rsidTr="002F03C0">
        <w:tc>
          <w:tcPr>
            <w:tcW w:w="2606" w:type="pct"/>
            <w:noWrap/>
          </w:tcPr>
          <w:p w14:paraId="2B9CC0BD" w14:textId="773DAD1B" w:rsidR="00B2532F" w:rsidRDefault="00EE28C7" w:rsidP="00B2532F">
            <w:r>
              <w:t>Taylor and Francis</w:t>
            </w:r>
          </w:p>
        </w:tc>
        <w:tc>
          <w:tcPr>
            <w:tcW w:w="798" w:type="pct"/>
          </w:tcPr>
          <w:p w14:paraId="379AE8E7" w14:textId="0DFC8962" w:rsidR="00B2532F" w:rsidRDefault="00B229D3" w:rsidP="00B2532F">
            <w:pPr>
              <w:pStyle w:val="DecimalAligned"/>
            </w:pPr>
            <w:r>
              <w:t>27</w:t>
            </w:r>
          </w:p>
        </w:tc>
        <w:tc>
          <w:tcPr>
            <w:tcW w:w="798" w:type="pct"/>
          </w:tcPr>
          <w:p w14:paraId="4CE5C261" w14:textId="38D937B6" w:rsidR="00B2532F" w:rsidRDefault="00B2532F" w:rsidP="00B2532F">
            <w:pPr>
              <w:pStyle w:val="DecimalAligned"/>
            </w:pPr>
          </w:p>
        </w:tc>
        <w:tc>
          <w:tcPr>
            <w:tcW w:w="798" w:type="pct"/>
          </w:tcPr>
          <w:p w14:paraId="255EE2A0" w14:textId="3B2FEE64" w:rsidR="00B2532F" w:rsidRDefault="00B2532F" w:rsidP="00B2532F">
            <w:pPr>
              <w:pStyle w:val="DecimalAligned"/>
            </w:pPr>
          </w:p>
        </w:tc>
      </w:tr>
      <w:tr w:rsidR="00BA5AB1" w14:paraId="21A73E69" w14:textId="77777777" w:rsidTr="002F03C0">
        <w:tc>
          <w:tcPr>
            <w:tcW w:w="2606" w:type="pct"/>
            <w:noWrap/>
          </w:tcPr>
          <w:p w14:paraId="6CCE817C" w14:textId="6966D6E0" w:rsidR="00B2532F" w:rsidRDefault="0091148A" w:rsidP="00B2532F">
            <w:r>
              <w:t>Elsevier</w:t>
            </w:r>
          </w:p>
        </w:tc>
        <w:tc>
          <w:tcPr>
            <w:tcW w:w="798" w:type="pct"/>
          </w:tcPr>
          <w:p w14:paraId="494A5BFF" w14:textId="27F357AA" w:rsidR="00B2532F" w:rsidRDefault="00B229D3" w:rsidP="00B2532F">
            <w:pPr>
              <w:pStyle w:val="DecimalAligned"/>
            </w:pPr>
            <w:r>
              <w:t>11</w:t>
            </w:r>
          </w:p>
        </w:tc>
        <w:tc>
          <w:tcPr>
            <w:tcW w:w="798" w:type="pct"/>
          </w:tcPr>
          <w:p w14:paraId="44B8197B" w14:textId="77AB2D7B" w:rsidR="00B2532F" w:rsidRDefault="00B2532F" w:rsidP="00B2532F">
            <w:pPr>
              <w:pStyle w:val="DecimalAligned"/>
            </w:pPr>
          </w:p>
        </w:tc>
        <w:tc>
          <w:tcPr>
            <w:tcW w:w="798" w:type="pct"/>
          </w:tcPr>
          <w:p w14:paraId="65B66756" w14:textId="003B229A" w:rsidR="00B2532F" w:rsidRDefault="00B2532F" w:rsidP="00B2532F">
            <w:pPr>
              <w:pStyle w:val="DecimalAligned"/>
            </w:pPr>
          </w:p>
        </w:tc>
      </w:tr>
      <w:tr w:rsidR="00BA5AB1" w14:paraId="20DB5EA4" w14:textId="77777777" w:rsidTr="002F03C0">
        <w:tc>
          <w:tcPr>
            <w:tcW w:w="2606" w:type="pct"/>
            <w:noWrap/>
          </w:tcPr>
          <w:p w14:paraId="281218C3" w14:textId="3C6949EF" w:rsidR="00B2532F" w:rsidRDefault="009D7F1F" w:rsidP="00B2532F">
            <w:r>
              <w:t>Science Direct</w:t>
            </w:r>
          </w:p>
        </w:tc>
        <w:tc>
          <w:tcPr>
            <w:tcW w:w="798" w:type="pct"/>
          </w:tcPr>
          <w:p w14:paraId="594CC9C7" w14:textId="3C0FD18F" w:rsidR="00B2532F" w:rsidRDefault="00F447A8" w:rsidP="00B2532F">
            <w:pPr>
              <w:pStyle w:val="DecimalAligned"/>
            </w:pPr>
            <w:r>
              <w:t>29</w:t>
            </w:r>
          </w:p>
        </w:tc>
        <w:tc>
          <w:tcPr>
            <w:tcW w:w="798" w:type="pct"/>
          </w:tcPr>
          <w:p w14:paraId="71E5C86F" w14:textId="08BB2D88" w:rsidR="00B2532F" w:rsidRDefault="00B2532F" w:rsidP="00B2532F">
            <w:pPr>
              <w:pStyle w:val="DecimalAligned"/>
            </w:pPr>
          </w:p>
        </w:tc>
        <w:tc>
          <w:tcPr>
            <w:tcW w:w="798" w:type="pct"/>
          </w:tcPr>
          <w:p w14:paraId="17472ECE" w14:textId="7CFCC915" w:rsidR="00B2532F" w:rsidRDefault="00B2532F" w:rsidP="00B2532F">
            <w:pPr>
              <w:pStyle w:val="DecimalAligned"/>
            </w:pPr>
          </w:p>
        </w:tc>
      </w:tr>
      <w:tr w:rsidR="00BA5AB1" w14:paraId="0EE28944" w14:textId="77777777" w:rsidTr="002F03C0">
        <w:tc>
          <w:tcPr>
            <w:tcW w:w="2606" w:type="pct"/>
            <w:noWrap/>
          </w:tcPr>
          <w:p w14:paraId="1ACA9033" w14:textId="540E9330" w:rsidR="00B2532F" w:rsidRDefault="009D7F1F" w:rsidP="00B2532F">
            <w:r>
              <w:t>Google Scholar</w:t>
            </w:r>
          </w:p>
        </w:tc>
        <w:tc>
          <w:tcPr>
            <w:tcW w:w="798" w:type="pct"/>
          </w:tcPr>
          <w:p w14:paraId="680AA71A" w14:textId="6A0BE9FE" w:rsidR="00B2532F" w:rsidRDefault="00B77FF7" w:rsidP="00B2532F">
            <w:pPr>
              <w:pStyle w:val="DecimalAligned"/>
            </w:pPr>
            <w:r>
              <w:t>5</w:t>
            </w:r>
            <w:r w:rsidR="00726145">
              <w:t>0</w:t>
            </w:r>
          </w:p>
        </w:tc>
        <w:tc>
          <w:tcPr>
            <w:tcW w:w="798" w:type="pct"/>
          </w:tcPr>
          <w:p w14:paraId="7BB98195" w14:textId="7F3D330B" w:rsidR="00B2532F" w:rsidRDefault="00B2532F" w:rsidP="00B2532F">
            <w:pPr>
              <w:pStyle w:val="DecimalAligned"/>
            </w:pPr>
          </w:p>
        </w:tc>
        <w:tc>
          <w:tcPr>
            <w:tcW w:w="798" w:type="pct"/>
          </w:tcPr>
          <w:p w14:paraId="16AD3BF9" w14:textId="0FCE7A79" w:rsidR="00B2532F" w:rsidRDefault="00B2532F" w:rsidP="00B2532F">
            <w:pPr>
              <w:pStyle w:val="DecimalAligned"/>
            </w:pPr>
          </w:p>
        </w:tc>
      </w:tr>
      <w:tr w:rsidR="00BA5AB1" w14:paraId="05E98222" w14:textId="77777777" w:rsidTr="002F03C0">
        <w:trPr>
          <w:cnfStyle w:val="010000000000" w:firstRow="0" w:lastRow="1" w:firstColumn="0" w:lastColumn="0" w:oddVBand="0" w:evenVBand="0" w:oddHBand="0" w:evenHBand="0" w:firstRowFirstColumn="0" w:firstRowLastColumn="0" w:lastRowFirstColumn="0" w:lastRowLastColumn="0"/>
        </w:trPr>
        <w:tc>
          <w:tcPr>
            <w:tcW w:w="2606" w:type="pct"/>
            <w:noWrap/>
          </w:tcPr>
          <w:p w14:paraId="23B8A5F6" w14:textId="77777777" w:rsidR="00B2532F" w:rsidRDefault="00B2532F" w:rsidP="00B2532F">
            <w:r>
              <w:t>Total</w:t>
            </w:r>
          </w:p>
        </w:tc>
        <w:tc>
          <w:tcPr>
            <w:tcW w:w="798" w:type="pct"/>
          </w:tcPr>
          <w:p w14:paraId="7DC380F1" w14:textId="3EEA9231" w:rsidR="00B2532F" w:rsidRDefault="00B77FF7" w:rsidP="00B2532F">
            <w:pPr>
              <w:pStyle w:val="DecimalAligned"/>
            </w:pPr>
            <w:r>
              <w:t>252</w:t>
            </w:r>
          </w:p>
        </w:tc>
        <w:tc>
          <w:tcPr>
            <w:tcW w:w="798" w:type="pct"/>
          </w:tcPr>
          <w:p w14:paraId="50368EB1" w14:textId="3E689328" w:rsidR="00B2532F" w:rsidRDefault="00B2532F" w:rsidP="00B2532F">
            <w:pPr>
              <w:pStyle w:val="DecimalAligned"/>
            </w:pPr>
          </w:p>
        </w:tc>
        <w:tc>
          <w:tcPr>
            <w:tcW w:w="798" w:type="pct"/>
          </w:tcPr>
          <w:p w14:paraId="580D00EE" w14:textId="69DC2AF3" w:rsidR="00B2532F" w:rsidRDefault="00B2532F" w:rsidP="00B2532F">
            <w:pPr>
              <w:pStyle w:val="DecimalAligned"/>
            </w:pPr>
          </w:p>
        </w:tc>
      </w:tr>
    </w:tbl>
    <w:p w14:paraId="1446B8D4" w14:textId="77777777" w:rsidR="002F03C0" w:rsidRPr="00FF2580" w:rsidRDefault="002F03C0" w:rsidP="002F03C0">
      <w:pPr>
        <w:pStyle w:val="Heading4"/>
        <w:rPr>
          <w:rFonts w:eastAsiaTheme="minorEastAsia"/>
          <w:sz w:val="20"/>
          <w:szCs w:val="20"/>
          <w:lang w:eastAsia="en-GB"/>
        </w:rPr>
      </w:pPr>
      <w:r w:rsidRPr="00FF2580">
        <w:rPr>
          <w:rFonts w:eastAsiaTheme="minorEastAsia"/>
          <w:lang w:eastAsia="en-GB"/>
        </w:rPr>
        <w:t>Figure 4</w:t>
      </w:r>
      <w:r>
        <w:rPr>
          <w:rFonts w:eastAsiaTheme="minorEastAsia"/>
          <w:lang w:eastAsia="en-GB"/>
        </w:rPr>
        <w:t xml:space="preserve">: </w:t>
      </w:r>
      <w:r w:rsidRPr="00FF2580">
        <w:rPr>
          <w:rFonts w:eastAsiaTheme="minorEastAsia"/>
          <w:lang w:eastAsia="en-GB"/>
        </w:rPr>
        <w:t xml:space="preserve"> Database list:  Source(s): Author's work</w:t>
      </w:r>
    </w:p>
    <w:p w14:paraId="782D6086" w14:textId="77777777" w:rsidR="002F03C0" w:rsidRDefault="002F03C0" w:rsidP="002F03C0">
      <w:pPr>
        <w:spacing w:line="360" w:lineRule="auto"/>
        <w:jc w:val="both"/>
        <w:rPr>
          <w:rFonts w:ascii="Arial" w:hAnsi="Arial" w:cs="Arial"/>
        </w:rPr>
      </w:pPr>
    </w:p>
    <w:p w14:paraId="030B7687" w14:textId="008FEF0C" w:rsidR="00C84ED1" w:rsidRDefault="00E127D7" w:rsidP="009E58ED">
      <w:pPr>
        <w:spacing w:line="360" w:lineRule="auto"/>
        <w:jc w:val="both"/>
        <w:rPr>
          <w:rFonts w:ascii="Arial" w:hAnsi="Arial" w:cs="Arial"/>
          <w:sz w:val="24"/>
          <w:szCs w:val="24"/>
        </w:rPr>
      </w:pPr>
      <w:r w:rsidRPr="00B165C1">
        <w:rPr>
          <w:rStyle w:val="Heading5Char"/>
        </w:rPr>
        <w:t>Keywords</w:t>
      </w:r>
      <w:r w:rsidR="001E6509" w:rsidRPr="00B165C1">
        <w:rPr>
          <w:rStyle w:val="Heading5Char"/>
        </w:rPr>
        <w:t>:</w:t>
      </w:r>
      <w:r w:rsidR="001E6509" w:rsidRPr="001E6509">
        <w:rPr>
          <w:rFonts w:ascii="Arial" w:hAnsi="Arial" w:cs="Arial"/>
          <w:sz w:val="24"/>
          <w:szCs w:val="24"/>
        </w:rPr>
        <w:t xml:space="preserve"> Black males; Black men; African; </w:t>
      </w:r>
      <w:r w:rsidR="00C84ED1" w:rsidRPr="001E6509">
        <w:rPr>
          <w:rFonts w:ascii="Arial" w:hAnsi="Arial" w:cs="Arial"/>
          <w:sz w:val="24"/>
          <w:szCs w:val="24"/>
        </w:rPr>
        <w:t>Caribbean</w:t>
      </w:r>
      <w:r w:rsidR="001E6509" w:rsidRPr="001E6509">
        <w:rPr>
          <w:rFonts w:ascii="Arial" w:hAnsi="Arial" w:cs="Arial"/>
          <w:sz w:val="24"/>
          <w:szCs w:val="24"/>
        </w:rPr>
        <w:t>; UK; England; United Kingdom; higher education; further education; education</w:t>
      </w:r>
      <w:r w:rsidR="001E6509" w:rsidRPr="001E6509">
        <w:rPr>
          <w:rFonts w:ascii="Cambria Math" w:hAnsi="Cambria Math" w:cs="Cambria Math"/>
          <w:sz w:val="24"/>
          <w:szCs w:val="24"/>
        </w:rPr>
        <w:t>‑</w:t>
      </w:r>
      <w:r w:rsidR="001E6509" w:rsidRPr="001E6509">
        <w:rPr>
          <w:rFonts w:ascii="Arial" w:hAnsi="Arial" w:cs="Arial"/>
          <w:sz w:val="24"/>
          <w:szCs w:val="24"/>
        </w:rPr>
        <w:t>to</w:t>
      </w:r>
      <w:r w:rsidR="001E6509" w:rsidRPr="001E6509">
        <w:rPr>
          <w:rFonts w:ascii="Cambria Math" w:hAnsi="Cambria Math" w:cs="Cambria Math"/>
          <w:sz w:val="24"/>
          <w:szCs w:val="24"/>
        </w:rPr>
        <w:t>‑</w:t>
      </w:r>
      <w:r w:rsidR="001E6509" w:rsidRPr="001E6509">
        <w:rPr>
          <w:rFonts w:ascii="Arial" w:hAnsi="Arial" w:cs="Arial"/>
          <w:sz w:val="24"/>
          <w:szCs w:val="24"/>
        </w:rPr>
        <w:t>work transition;</w:t>
      </w:r>
      <w:r w:rsidR="00C84ED1">
        <w:rPr>
          <w:rFonts w:ascii="Arial" w:hAnsi="Arial" w:cs="Arial"/>
          <w:sz w:val="24"/>
          <w:szCs w:val="24"/>
        </w:rPr>
        <w:t xml:space="preserve"> </w:t>
      </w:r>
      <w:r w:rsidR="001E6509" w:rsidRPr="001E6509">
        <w:rPr>
          <w:rFonts w:ascii="Arial" w:hAnsi="Arial" w:cs="Arial"/>
          <w:sz w:val="24"/>
          <w:szCs w:val="24"/>
        </w:rPr>
        <w:t>education; Critical Race Theory; school exclusions; policing; entrepreneurship; employment; entrepreneur;  County Lines; cumulative disadvantage; social/cultural capital; mentoring; financial exclusion; apprenticeships; racial; school policing; curricular decolonisation; mixed embeddedness; mental health; ethnic; criminal exploitation.</w:t>
      </w:r>
    </w:p>
    <w:p w14:paraId="2322B110" w14:textId="1CC76413" w:rsidR="00D81C47" w:rsidRDefault="005559C9" w:rsidP="00D4129B">
      <w:pPr>
        <w:pStyle w:val="Heading3"/>
      </w:pPr>
      <w:bookmarkStart w:id="21" w:name="_Toc227936259"/>
      <w:r>
        <w:lastRenderedPageBreak/>
        <w:t xml:space="preserve">4.3 </w:t>
      </w:r>
      <w:r w:rsidR="00D81C47" w:rsidRPr="00D4129B">
        <w:t>Inclusion/exclusion Criteria</w:t>
      </w:r>
      <w:bookmarkEnd w:id="21"/>
    </w:p>
    <w:p w14:paraId="50512009" w14:textId="77777777" w:rsidR="00D4129B" w:rsidRDefault="00D4129B" w:rsidP="00D4129B"/>
    <w:p w14:paraId="391DFAF9" w14:textId="31059FA7" w:rsidR="00D4129B" w:rsidRPr="00D4129B" w:rsidRDefault="00D4129B" w:rsidP="00885AB9">
      <w:pPr>
        <w:pStyle w:val="Heading3"/>
      </w:pPr>
      <w:r w:rsidRPr="00D4129B">
        <w:t xml:space="preserve"> </w:t>
      </w:r>
      <w:bookmarkStart w:id="22" w:name="_Toc227936260"/>
      <w:r w:rsidRPr="00D4129B">
        <w:t>Inclusive and Exclusive Criteria</w:t>
      </w:r>
      <w:bookmarkEnd w:id="22"/>
    </w:p>
    <w:p w14:paraId="4E31E9DD" w14:textId="77777777" w:rsidR="00D4129B" w:rsidRPr="00D4129B" w:rsidRDefault="00D4129B" w:rsidP="00D4129B">
      <w:pPr>
        <w:keepNext/>
        <w:keepLines/>
        <w:spacing w:before="80" w:after="40"/>
        <w:outlineLvl w:val="3"/>
        <w:rPr>
          <w:rFonts w:eastAsiaTheme="majorEastAsia" w:cstheme="majorBidi"/>
          <w:i/>
          <w:iCs/>
          <w:color w:val="0F4761" w:themeColor="accent1" w:themeShade="BF"/>
        </w:rPr>
      </w:pPr>
      <w:r w:rsidRPr="00D4129B">
        <w:rPr>
          <w:rFonts w:eastAsiaTheme="majorEastAsia" w:cstheme="majorBidi"/>
          <w:i/>
          <w:iCs/>
          <w:color w:val="0F4761" w:themeColor="accent1" w:themeShade="BF"/>
        </w:rPr>
        <w:t>Inclusion and Exclusion Table</w:t>
      </w:r>
    </w:p>
    <w:p w14:paraId="6BE5A118" w14:textId="77777777" w:rsidR="00D4129B" w:rsidRPr="00D4129B" w:rsidRDefault="00D4129B" w:rsidP="00D4129B"/>
    <w:tbl>
      <w:tblPr>
        <w:tblStyle w:val="LightShading-Accent1"/>
        <w:tblW w:w="4026" w:type="pct"/>
        <w:tblLayout w:type="fixed"/>
        <w:tblLook w:val="0660" w:firstRow="1" w:lastRow="1" w:firstColumn="0" w:lastColumn="0" w:noHBand="1" w:noVBand="1"/>
      </w:tblPr>
      <w:tblGrid>
        <w:gridCol w:w="2080"/>
        <w:gridCol w:w="2631"/>
        <w:gridCol w:w="2321"/>
        <w:gridCol w:w="236"/>
      </w:tblGrid>
      <w:tr w:rsidR="00D4129B" w:rsidRPr="00D4129B" w14:paraId="4C8A15E0" w14:textId="77777777" w:rsidTr="00EF1755">
        <w:trPr>
          <w:cnfStyle w:val="100000000000" w:firstRow="1" w:lastRow="0" w:firstColumn="0" w:lastColumn="0" w:oddVBand="0" w:evenVBand="0" w:oddHBand="0" w:evenHBand="0" w:firstRowFirstColumn="0" w:firstRowLastColumn="0" w:lastRowFirstColumn="0" w:lastRowLastColumn="0"/>
          <w:trHeight w:val="199"/>
        </w:trPr>
        <w:tc>
          <w:tcPr>
            <w:tcW w:w="1431" w:type="pct"/>
            <w:noWrap/>
          </w:tcPr>
          <w:p w14:paraId="6361FF71" w14:textId="77777777" w:rsidR="00D4129B" w:rsidRPr="00D4129B" w:rsidRDefault="00D4129B" w:rsidP="00D4129B">
            <w:r w:rsidRPr="00D4129B">
              <w:t>Criteria</w:t>
            </w:r>
          </w:p>
        </w:tc>
        <w:tc>
          <w:tcPr>
            <w:tcW w:w="1810" w:type="pct"/>
          </w:tcPr>
          <w:p w14:paraId="41917747" w14:textId="77777777" w:rsidR="00D4129B" w:rsidRPr="00D4129B" w:rsidRDefault="00D4129B" w:rsidP="00D4129B">
            <w:r w:rsidRPr="00D4129B">
              <w:t>Inclusion</w:t>
            </w:r>
          </w:p>
        </w:tc>
        <w:tc>
          <w:tcPr>
            <w:tcW w:w="1597" w:type="pct"/>
          </w:tcPr>
          <w:p w14:paraId="0499C7D9" w14:textId="77777777" w:rsidR="00D4129B" w:rsidRPr="00D4129B" w:rsidRDefault="00D4129B" w:rsidP="00D4129B">
            <w:r w:rsidRPr="00D4129B">
              <w:t>Exclusion</w:t>
            </w:r>
          </w:p>
        </w:tc>
        <w:tc>
          <w:tcPr>
            <w:tcW w:w="162" w:type="pct"/>
          </w:tcPr>
          <w:p w14:paraId="1A947646" w14:textId="77777777" w:rsidR="00D4129B" w:rsidRPr="00D4129B" w:rsidRDefault="00D4129B" w:rsidP="00D4129B"/>
        </w:tc>
      </w:tr>
      <w:tr w:rsidR="00D4129B" w:rsidRPr="00D4129B" w14:paraId="72F47015" w14:textId="77777777" w:rsidTr="00EF1755">
        <w:trPr>
          <w:trHeight w:val="199"/>
        </w:trPr>
        <w:tc>
          <w:tcPr>
            <w:tcW w:w="1431" w:type="pct"/>
            <w:noWrap/>
          </w:tcPr>
          <w:p w14:paraId="6875FFEC" w14:textId="77777777" w:rsidR="00D4129B" w:rsidRPr="00D4129B" w:rsidRDefault="00D4129B" w:rsidP="00D4129B"/>
        </w:tc>
        <w:tc>
          <w:tcPr>
            <w:tcW w:w="1810" w:type="pct"/>
          </w:tcPr>
          <w:p w14:paraId="11E800DD" w14:textId="77777777" w:rsidR="00D4129B" w:rsidRPr="00D4129B" w:rsidRDefault="00D4129B" w:rsidP="00D4129B">
            <w:pPr>
              <w:rPr>
                <w:i/>
                <w:iCs/>
              </w:rPr>
            </w:pPr>
          </w:p>
        </w:tc>
        <w:tc>
          <w:tcPr>
            <w:tcW w:w="1597" w:type="pct"/>
          </w:tcPr>
          <w:p w14:paraId="0C75E8FE" w14:textId="77777777" w:rsidR="00D4129B" w:rsidRPr="00D4129B" w:rsidRDefault="00D4129B" w:rsidP="00D4129B"/>
        </w:tc>
        <w:tc>
          <w:tcPr>
            <w:tcW w:w="162" w:type="pct"/>
          </w:tcPr>
          <w:p w14:paraId="22780F6C" w14:textId="77777777" w:rsidR="00D4129B" w:rsidRPr="00D4129B" w:rsidRDefault="00D4129B" w:rsidP="00D4129B"/>
        </w:tc>
      </w:tr>
      <w:tr w:rsidR="00D4129B" w:rsidRPr="00D4129B" w14:paraId="75C8AA14" w14:textId="77777777" w:rsidTr="00EF1755">
        <w:trPr>
          <w:trHeight w:val="381"/>
        </w:trPr>
        <w:tc>
          <w:tcPr>
            <w:tcW w:w="1431" w:type="pct"/>
            <w:noWrap/>
          </w:tcPr>
          <w:p w14:paraId="267CCB45" w14:textId="77777777" w:rsidR="00D4129B" w:rsidRPr="00D4129B" w:rsidRDefault="00D4129B" w:rsidP="00D4129B">
            <w:r w:rsidRPr="00D4129B">
              <w:t xml:space="preserve">Language </w:t>
            </w:r>
          </w:p>
        </w:tc>
        <w:tc>
          <w:tcPr>
            <w:tcW w:w="1810" w:type="pct"/>
          </w:tcPr>
          <w:p w14:paraId="1C8ED070" w14:textId="77777777" w:rsidR="00D4129B" w:rsidRPr="00D4129B" w:rsidRDefault="00D4129B" w:rsidP="00D4129B">
            <w:pPr>
              <w:tabs>
                <w:tab w:val="decimal" w:pos="360"/>
              </w:tabs>
              <w:spacing w:after="200" w:line="276" w:lineRule="auto"/>
              <w:rPr>
                <w:rFonts w:cs="Times New Roman"/>
              </w:rPr>
            </w:pPr>
            <w:r w:rsidRPr="00D4129B">
              <w:rPr>
                <w:rFonts w:cs="Times New Roman"/>
              </w:rPr>
              <w:t xml:space="preserve">English </w:t>
            </w:r>
          </w:p>
          <w:p w14:paraId="2DDF1F45" w14:textId="6082A48F" w:rsidR="00D4129B" w:rsidRPr="00D4129B" w:rsidRDefault="00D4129B" w:rsidP="00D4129B">
            <w:pPr>
              <w:tabs>
                <w:tab w:val="decimal" w:pos="360"/>
              </w:tabs>
              <w:spacing w:after="200" w:line="276" w:lineRule="auto"/>
              <w:rPr>
                <w:rFonts w:cs="Times New Roman"/>
              </w:rPr>
            </w:pPr>
          </w:p>
        </w:tc>
        <w:tc>
          <w:tcPr>
            <w:tcW w:w="1597" w:type="pct"/>
          </w:tcPr>
          <w:p w14:paraId="63BF77F3" w14:textId="77777777" w:rsidR="00D4129B" w:rsidRPr="00D4129B" w:rsidRDefault="00D4129B" w:rsidP="00D4129B">
            <w:pPr>
              <w:tabs>
                <w:tab w:val="decimal" w:pos="360"/>
              </w:tabs>
              <w:spacing w:after="200" w:line="276" w:lineRule="auto"/>
              <w:rPr>
                <w:rFonts w:cs="Times New Roman"/>
              </w:rPr>
            </w:pPr>
            <w:r w:rsidRPr="00D4129B">
              <w:rPr>
                <w:rFonts w:cs="Times New Roman"/>
              </w:rPr>
              <w:t>Non-English</w:t>
            </w:r>
          </w:p>
          <w:p w14:paraId="436995F8" w14:textId="31A25277" w:rsidR="00D4129B" w:rsidRPr="00D4129B" w:rsidRDefault="00D4129B" w:rsidP="00D4129B">
            <w:pPr>
              <w:tabs>
                <w:tab w:val="decimal" w:pos="360"/>
              </w:tabs>
              <w:spacing w:after="200" w:line="276" w:lineRule="auto"/>
              <w:rPr>
                <w:rFonts w:cs="Times New Roman"/>
              </w:rPr>
            </w:pPr>
            <w:r w:rsidRPr="00D4129B">
              <w:rPr>
                <w:rFonts w:cs="Times New Roman"/>
              </w:rPr>
              <w:t xml:space="preserve"> </w:t>
            </w:r>
          </w:p>
        </w:tc>
        <w:tc>
          <w:tcPr>
            <w:tcW w:w="162" w:type="pct"/>
          </w:tcPr>
          <w:p w14:paraId="44AB2C20" w14:textId="77777777" w:rsidR="00D4129B" w:rsidRPr="00D4129B" w:rsidRDefault="00D4129B" w:rsidP="00D4129B">
            <w:pPr>
              <w:tabs>
                <w:tab w:val="decimal" w:pos="360"/>
              </w:tabs>
              <w:spacing w:after="200" w:line="276" w:lineRule="auto"/>
              <w:rPr>
                <w:rFonts w:cs="Times New Roman"/>
              </w:rPr>
            </w:pPr>
          </w:p>
        </w:tc>
      </w:tr>
      <w:tr w:rsidR="00D4129B" w:rsidRPr="00D4129B" w14:paraId="3DCB329E" w14:textId="77777777" w:rsidTr="00EF1755">
        <w:trPr>
          <w:trHeight w:val="627"/>
        </w:trPr>
        <w:tc>
          <w:tcPr>
            <w:tcW w:w="1431" w:type="pct"/>
            <w:noWrap/>
          </w:tcPr>
          <w:p w14:paraId="2E31B508" w14:textId="77777777" w:rsidR="00D4129B" w:rsidRPr="00D4129B" w:rsidRDefault="00D4129B" w:rsidP="00D4129B">
            <w:r w:rsidRPr="00D4129B">
              <w:t>Document Type</w:t>
            </w:r>
          </w:p>
        </w:tc>
        <w:tc>
          <w:tcPr>
            <w:tcW w:w="1810" w:type="pct"/>
          </w:tcPr>
          <w:p w14:paraId="43FABFCF" w14:textId="3A88EABE" w:rsidR="00D4129B" w:rsidRPr="00D4129B" w:rsidRDefault="00D4129B" w:rsidP="00D4129B">
            <w:pPr>
              <w:tabs>
                <w:tab w:val="decimal" w:pos="360"/>
              </w:tabs>
              <w:spacing w:after="200" w:line="276" w:lineRule="auto"/>
              <w:rPr>
                <w:rFonts w:cs="Times New Roman"/>
              </w:rPr>
            </w:pPr>
            <w:r w:rsidRPr="00D4129B">
              <w:rPr>
                <w:rFonts w:cs="Times New Roman"/>
              </w:rPr>
              <w:t xml:space="preserve">Peer – reviewed Journals, Government Reports, Government statistics, Grey Literature, </w:t>
            </w:r>
            <w:r>
              <w:rPr>
                <w:rFonts w:cs="Times New Roman"/>
              </w:rPr>
              <w:t>governmental N</w:t>
            </w:r>
            <w:r w:rsidR="00907DCC">
              <w:rPr>
                <w:rFonts w:cs="Times New Roman"/>
              </w:rPr>
              <w:t>GOs</w:t>
            </w:r>
            <w:r w:rsidRPr="00D4129B">
              <w:rPr>
                <w:rFonts w:cs="Times New Roman"/>
              </w:rPr>
              <w:t xml:space="preserve">, Newspapers, Editorials </w:t>
            </w:r>
          </w:p>
        </w:tc>
        <w:tc>
          <w:tcPr>
            <w:tcW w:w="1597" w:type="pct"/>
          </w:tcPr>
          <w:p w14:paraId="059D421E" w14:textId="77777777" w:rsidR="00D4129B" w:rsidRPr="00D4129B" w:rsidRDefault="00D4129B" w:rsidP="00D4129B">
            <w:pPr>
              <w:tabs>
                <w:tab w:val="decimal" w:pos="360"/>
              </w:tabs>
              <w:spacing w:after="200" w:line="276" w:lineRule="auto"/>
              <w:rPr>
                <w:rFonts w:cs="Times New Roman"/>
              </w:rPr>
            </w:pPr>
            <w:r w:rsidRPr="00D4129B">
              <w:rPr>
                <w:rFonts w:cs="Times New Roman"/>
              </w:rPr>
              <w:t>Social media</w:t>
            </w:r>
          </w:p>
        </w:tc>
        <w:tc>
          <w:tcPr>
            <w:tcW w:w="162" w:type="pct"/>
          </w:tcPr>
          <w:p w14:paraId="7CFE2B2C" w14:textId="77777777" w:rsidR="00D4129B" w:rsidRPr="00D4129B" w:rsidRDefault="00D4129B" w:rsidP="00D4129B">
            <w:pPr>
              <w:tabs>
                <w:tab w:val="decimal" w:pos="360"/>
              </w:tabs>
              <w:spacing w:after="200" w:line="276" w:lineRule="auto"/>
              <w:rPr>
                <w:rFonts w:cs="Times New Roman"/>
              </w:rPr>
            </w:pPr>
          </w:p>
        </w:tc>
      </w:tr>
      <w:tr w:rsidR="00D4129B" w:rsidRPr="00D4129B" w14:paraId="4E8909E3" w14:textId="77777777" w:rsidTr="00EF1755">
        <w:trPr>
          <w:trHeight w:val="618"/>
        </w:trPr>
        <w:tc>
          <w:tcPr>
            <w:tcW w:w="1431" w:type="pct"/>
            <w:noWrap/>
          </w:tcPr>
          <w:p w14:paraId="3761A626" w14:textId="77777777" w:rsidR="00D4129B" w:rsidRPr="00D4129B" w:rsidRDefault="00D4129B" w:rsidP="00D4129B">
            <w:r w:rsidRPr="00D4129B">
              <w:t xml:space="preserve">Study Design </w:t>
            </w:r>
          </w:p>
        </w:tc>
        <w:tc>
          <w:tcPr>
            <w:tcW w:w="1810" w:type="pct"/>
          </w:tcPr>
          <w:p w14:paraId="382FD5F9" w14:textId="77777777" w:rsidR="00D4129B" w:rsidRPr="00D4129B" w:rsidRDefault="00D4129B" w:rsidP="00D4129B">
            <w:pPr>
              <w:tabs>
                <w:tab w:val="decimal" w:pos="360"/>
              </w:tabs>
              <w:spacing w:after="200" w:line="276" w:lineRule="auto"/>
              <w:rPr>
                <w:rFonts w:cs="Times New Roman"/>
              </w:rPr>
            </w:pPr>
            <w:r w:rsidRPr="00D4129B">
              <w:rPr>
                <w:rFonts w:cs="Times New Roman"/>
              </w:rPr>
              <w:t xml:space="preserve">Empirical (Qualitative/Quantitative) </w:t>
            </w:r>
          </w:p>
        </w:tc>
        <w:tc>
          <w:tcPr>
            <w:tcW w:w="1597" w:type="pct"/>
          </w:tcPr>
          <w:p w14:paraId="1E3086F4" w14:textId="77777777" w:rsidR="00D4129B" w:rsidRPr="00D4129B" w:rsidRDefault="00D4129B" w:rsidP="00D4129B">
            <w:pPr>
              <w:tabs>
                <w:tab w:val="decimal" w:pos="360"/>
              </w:tabs>
              <w:spacing w:after="200" w:line="276" w:lineRule="auto"/>
              <w:rPr>
                <w:rFonts w:cs="Times New Roman"/>
              </w:rPr>
            </w:pPr>
            <w:r w:rsidRPr="00D4129B">
              <w:rPr>
                <w:rFonts w:cs="Times New Roman"/>
              </w:rPr>
              <w:t xml:space="preserve">Purely Theoretical </w:t>
            </w:r>
          </w:p>
        </w:tc>
        <w:tc>
          <w:tcPr>
            <w:tcW w:w="162" w:type="pct"/>
          </w:tcPr>
          <w:p w14:paraId="46B5FBC8" w14:textId="77777777" w:rsidR="00D4129B" w:rsidRPr="00D4129B" w:rsidRDefault="00D4129B" w:rsidP="00D4129B">
            <w:pPr>
              <w:tabs>
                <w:tab w:val="decimal" w:pos="360"/>
              </w:tabs>
              <w:spacing w:after="200" w:line="276" w:lineRule="auto"/>
              <w:rPr>
                <w:rFonts w:cs="Times New Roman"/>
              </w:rPr>
            </w:pPr>
          </w:p>
        </w:tc>
      </w:tr>
      <w:tr w:rsidR="00D4129B" w:rsidRPr="00D4129B" w14:paraId="6E0D290A" w14:textId="77777777" w:rsidTr="00EF1755">
        <w:trPr>
          <w:trHeight w:val="618"/>
        </w:trPr>
        <w:tc>
          <w:tcPr>
            <w:tcW w:w="1431" w:type="pct"/>
            <w:noWrap/>
          </w:tcPr>
          <w:p w14:paraId="7A4D2852" w14:textId="77777777" w:rsidR="00D4129B" w:rsidRPr="00D4129B" w:rsidRDefault="00D4129B" w:rsidP="00D4129B">
            <w:r w:rsidRPr="00D4129B">
              <w:t>Sector</w:t>
            </w:r>
          </w:p>
        </w:tc>
        <w:tc>
          <w:tcPr>
            <w:tcW w:w="1810" w:type="pct"/>
          </w:tcPr>
          <w:p w14:paraId="7D10D057" w14:textId="3A3ADA4E" w:rsidR="00D4129B" w:rsidRPr="00D4129B" w:rsidRDefault="002429CA" w:rsidP="00D4129B">
            <w:pPr>
              <w:tabs>
                <w:tab w:val="decimal" w:pos="360"/>
              </w:tabs>
              <w:spacing w:after="200" w:line="276" w:lineRule="auto"/>
              <w:rPr>
                <w:rFonts w:cs="Times New Roman"/>
              </w:rPr>
            </w:pPr>
            <w:r>
              <w:rPr>
                <w:rFonts w:cs="Times New Roman"/>
              </w:rPr>
              <w:t>Education</w:t>
            </w:r>
            <w:r w:rsidR="00666ABD">
              <w:rPr>
                <w:rFonts w:cs="Times New Roman"/>
              </w:rPr>
              <w:t>/Employment</w:t>
            </w:r>
          </w:p>
          <w:p w14:paraId="091591DE" w14:textId="1F28C60D" w:rsidR="00D4129B" w:rsidRPr="00D4129B" w:rsidRDefault="00D4129B" w:rsidP="00D4129B">
            <w:pPr>
              <w:tabs>
                <w:tab w:val="decimal" w:pos="360"/>
              </w:tabs>
              <w:spacing w:after="200" w:line="276" w:lineRule="auto"/>
              <w:rPr>
                <w:rFonts w:cs="Times New Roman"/>
              </w:rPr>
            </w:pPr>
            <w:r w:rsidRPr="00D4129B">
              <w:rPr>
                <w:rFonts w:cs="Times New Roman"/>
              </w:rPr>
              <w:t>Healthcare/Education</w:t>
            </w:r>
            <w:r w:rsidR="00885AB9">
              <w:rPr>
                <w:rFonts w:cs="Times New Roman"/>
              </w:rPr>
              <w:t>/Society</w:t>
            </w:r>
            <w:r w:rsidRPr="00D4129B">
              <w:rPr>
                <w:rFonts w:cs="Times New Roman"/>
              </w:rPr>
              <w:tab/>
            </w:r>
          </w:p>
        </w:tc>
        <w:tc>
          <w:tcPr>
            <w:tcW w:w="1597" w:type="pct"/>
          </w:tcPr>
          <w:p w14:paraId="1B89B9A8" w14:textId="77777777" w:rsidR="00D4129B" w:rsidRPr="00D4129B" w:rsidRDefault="00D4129B" w:rsidP="00D4129B">
            <w:pPr>
              <w:tabs>
                <w:tab w:val="decimal" w:pos="360"/>
              </w:tabs>
              <w:spacing w:after="200" w:line="276" w:lineRule="auto"/>
              <w:rPr>
                <w:rFonts w:cs="Times New Roman"/>
              </w:rPr>
            </w:pPr>
          </w:p>
        </w:tc>
        <w:tc>
          <w:tcPr>
            <w:tcW w:w="162" w:type="pct"/>
          </w:tcPr>
          <w:p w14:paraId="0DA42ADD" w14:textId="77777777" w:rsidR="00D4129B" w:rsidRPr="00D4129B" w:rsidRDefault="00D4129B" w:rsidP="00D4129B">
            <w:pPr>
              <w:tabs>
                <w:tab w:val="decimal" w:pos="360"/>
              </w:tabs>
              <w:spacing w:after="200" w:line="276" w:lineRule="auto"/>
              <w:rPr>
                <w:rFonts w:cs="Times New Roman"/>
              </w:rPr>
            </w:pPr>
          </w:p>
        </w:tc>
      </w:tr>
      <w:tr w:rsidR="00D4129B" w:rsidRPr="00D4129B" w14:paraId="238F4E5E" w14:textId="77777777" w:rsidTr="00EF1755">
        <w:trPr>
          <w:trHeight w:val="618"/>
        </w:trPr>
        <w:tc>
          <w:tcPr>
            <w:tcW w:w="1431" w:type="pct"/>
            <w:noWrap/>
          </w:tcPr>
          <w:p w14:paraId="09EC4CC9" w14:textId="77777777" w:rsidR="00D4129B" w:rsidRPr="00D4129B" w:rsidRDefault="00D4129B" w:rsidP="00D4129B">
            <w:r w:rsidRPr="00D4129B">
              <w:t>Timeline of Study</w:t>
            </w:r>
          </w:p>
        </w:tc>
        <w:tc>
          <w:tcPr>
            <w:tcW w:w="1810" w:type="pct"/>
          </w:tcPr>
          <w:p w14:paraId="494A8114" w14:textId="77777777" w:rsidR="00D4129B" w:rsidRPr="00D4129B" w:rsidRDefault="00D4129B" w:rsidP="00D4129B">
            <w:pPr>
              <w:tabs>
                <w:tab w:val="decimal" w:pos="360"/>
              </w:tabs>
              <w:spacing w:after="200" w:line="276" w:lineRule="auto"/>
              <w:rPr>
                <w:rFonts w:cs="Times New Roman"/>
              </w:rPr>
            </w:pPr>
            <w:r w:rsidRPr="00D4129B">
              <w:rPr>
                <w:rFonts w:cs="Times New Roman"/>
              </w:rPr>
              <w:t>Articles Published From 2005 to 2026</w:t>
            </w:r>
          </w:p>
        </w:tc>
        <w:tc>
          <w:tcPr>
            <w:tcW w:w="1597" w:type="pct"/>
          </w:tcPr>
          <w:p w14:paraId="4A46AFBC" w14:textId="77777777" w:rsidR="00D4129B" w:rsidRPr="00D4129B" w:rsidRDefault="00D4129B" w:rsidP="00D4129B">
            <w:pPr>
              <w:tabs>
                <w:tab w:val="decimal" w:pos="360"/>
              </w:tabs>
              <w:spacing w:after="200" w:line="276" w:lineRule="auto"/>
              <w:rPr>
                <w:rFonts w:cs="Times New Roman"/>
              </w:rPr>
            </w:pPr>
            <w:r w:rsidRPr="00D4129B">
              <w:rPr>
                <w:rFonts w:cs="Times New Roman"/>
              </w:rPr>
              <w:t>Articles Published Before 2004</w:t>
            </w:r>
          </w:p>
        </w:tc>
        <w:tc>
          <w:tcPr>
            <w:tcW w:w="162" w:type="pct"/>
          </w:tcPr>
          <w:p w14:paraId="14D0A67A" w14:textId="77777777" w:rsidR="00D4129B" w:rsidRPr="00D4129B" w:rsidRDefault="00D4129B" w:rsidP="00D4129B">
            <w:pPr>
              <w:tabs>
                <w:tab w:val="decimal" w:pos="360"/>
              </w:tabs>
              <w:spacing w:after="200" w:line="276" w:lineRule="auto"/>
              <w:rPr>
                <w:rFonts w:cs="Times New Roman"/>
              </w:rPr>
            </w:pPr>
          </w:p>
        </w:tc>
      </w:tr>
      <w:tr w:rsidR="00D4129B" w:rsidRPr="00D4129B" w14:paraId="383B0828" w14:textId="77777777" w:rsidTr="00EF1755">
        <w:trPr>
          <w:trHeight w:val="199"/>
        </w:trPr>
        <w:tc>
          <w:tcPr>
            <w:tcW w:w="1431" w:type="pct"/>
            <w:noWrap/>
          </w:tcPr>
          <w:p w14:paraId="4BBE40E4" w14:textId="77777777" w:rsidR="00D4129B" w:rsidRPr="00D4129B" w:rsidRDefault="00D4129B" w:rsidP="00D4129B"/>
        </w:tc>
        <w:tc>
          <w:tcPr>
            <w:tcW w:w="1810" w:type="pct"/>
          </w:tcPr>
          <w:p w14:paraId="5CCC5560" w14:textId="77777777" w:rsidR="00D4129B" w:rsidRPr="00D4129B" w:rsidRDefault="00D4129B" w:rsidP="00D4129B">
            <w:pPr>
              <w:rPr>
                <w:i/>
                <w:iCs/>
              </w:rPr>
            </w:pPr>
          </w:p>
        </w:tc>
        <w:tc>
          <w:tcPr>
            <w:tcW w:w="1597" w:type="pct"/>
          </w:tcPr>
          <w:p w14:paraId="25F428F5" w14:textId="77777777" w:rsidR="00D4129B" w:rsidRPr="00D4129B" w:rsidRDefault="00D4129B" w:rsidP="00D4129B"/>
        </w:tc>
        <w:tc>
          <w:tcPr>
            <w:tcW w:w="162" w:type="pct"/>
          </w:tcPr>
          <w:p w14:paraId="22D3F3C1" w14:textId="77777777" w:rsidR="00D4129B" w:rsidRPr="00D4129B" w:rsidRDefault="00D4129B" w:rsidP="00D4129B"/>
        </w:tc>
      </w:tr>
      <w:tr w:rsidR="00D4129B" w:rsidRPr="00D4129B" w14:paraId="71D168E1" w14:textId="77777777" w:rsidTr="00EF1755">
        <w:trPr>
          <w:trHeight w:val="1174"/>
        </w:trPr>
        <w:tc>
          <w:tcPr>
            <w:tcW w:w="1431" w:type="pct"/>
            <w:noWrap/>
          </w:tcPr>
          <w:p w14:paraId="4BB4C697" w14:textId="77777777" w:rsidR="00D4129B" w:rsidRPr="00D4129B" w:rsidRDefault="00D4129B" w:rsidP="00D4129B">
            <w:r w:rsidRPr="00D4129B">
              <w:t>Keywords of Study</w:t>
            </w:r>
          </w:p>
        </w:tc>
        <w:tc>
          <w:tcPr>
            <w:tcW w:w="1810" w:type="pct"/>
          </w:tcPr>
          <w:p w14:paraId="71336372" w14:textId="163E7961" w:rsidR="00D4129B" w:rsidRPr="00D4129B" w:rsidRDefault="00D4129B" w:rsidP="00D4129B">
            <w:pPr>
              <w:tabs>
                <w:tab w:val="decimal" w:pos="360"/>
              </w:tabs>
              <w:spacing w:after="200" w:line="276" w:lineRule="auto"/>
              <w:rPr>
                <w:rFonts w:cs="Times New Roman"/>
                <w:sz w:val="20"/>
                <w:szCs w:val="20"/>
              </w:rPr>
            </w:pPr>
            <w:r w:rsidRPr="00D4129B">
              <w:rPr>
                <w:rFonts w:cs="Times New Roman"/>
                <w:sz w:val="20"/>
                <w:szCs w:val="20"/>
              </w:rPr>
              <w:t xml:space="preserve">Articles consisting of the keywords: </w:t>
            </w:r>
            <w:r w:rsidR="00907DCC" w:rsidRPr="00963241">
              <w:rPr>
                <w:rFonts w:ascii="Arial" w:hAnsi="Arial" w:cs="Arial"/>
                <w:sz w:val="20"/>
                <w:szCs w:val="20"/>
              </w:rPr>
              <w:t>Black males; Black men; African; Caribbean; UK; England; United Kingdom; higher education; further education; education</w:t>
            </w:r>
            <w:r w:rsidR="00907DCC" w:rsidRPr="00963241">
              <w:rPr>
                <w:rFonts w:ascii="Cambria Math" w:hAnsi="Cambria Math" w:cs="Cambria Math"/>
                <w:sz w:val="20"/>
                <w:szCs w:val="20"/>
              </w:rPr>
              <w:t>‑</w:t>
            </w:r>
            <w:r w:rsidR="00907DCC" w:rsidRPr="00963241">
              <w:rPr>
                <w:rFonts w:ascii="Arial" w:hAnsi="Arial" w:cs="Arial"/>
                <w:sz w:val="20"/>
                <w:szCs w:val="20"/>
              </w:rPr>
              <w:t>to</w:t>
            </w:r>
            <w:r w:rsidR="00907DCC" w:rsidRPr="00963241">
              <w:rPr>
                <w:rFonts w:ascii="Cambria Math" w:hAnsi="Cambria Math" w:cs="Cambria Math"/>
                <w:sz w:val="20"/>
                <w:szCs w:val="20"/>
              </w:rPr>
              <w:t>‑</w:t>
            </w:r>
            <w:r w:rsidR="00907DCC" w:rsidRPr="00963241">
              <w:rPr>
                <w:rFonts w:ascii="Arial" w:hAnsi="Arial" w:cs="Arial"/>
                <w:sz w:val="20"/>
                <w:szCs w:val="20"/>
              </w:rPr>
              <w:t xml:space="preserve">work transition; education; Critical Race Theory; school exclusions; policing; entrepreneurship; employment; entrepreneur;  </w:t>
            </w:r>
            <w:r w:rsidR="00907DCC" w:rsidRPr="00963241">
              <w:rPr>
                <w:rFonts w:ascii="Arial" w:hAnsi="Arial" w:cs="Arial"/>
                <w:sz w:val="20"/>
                <w:szCs w:val="20"/>
              </w:rPr>
              <w:lastRenderedPageBreak/>
              <w:t>County Lines; cumulative disadvantage; social/cultural capital; mentoring; financial exclusion; apprenticeships; racial; school policing; curricular decolonisation; mixed embeddedness; mental health; ethnic; criminal exploitation</w:t>
            </w:r>
          </w:p>
        </w:tc>
        <w:tc>
          <w:tcPr>
            <w:tcW w:w="1597" w:type="pct"/>
          </w:tcPr>
          <w:p w14:paraId="5B7B0F63" w14:textId="77777777" w:rsidR="00D4129B" w:rsidRPr="00D4129B" w:rsidRDefault="00D4129B" w:rsidP="00D4129B">
            <w:pPr>
              <w:tabs>
                <w:tab w:val="decimal" w:pos="360"/>
              </w:tabs>
              <w:spacing w:after="200" w:line="276" w:lineRule="auto"/>
              <w:rPr>
                <w:rFonts w:cs="Times New Roman"/>
              </w:rPr>
            </w:pPr>
          </w:p>
        </w:tc>
        <w:tc>
          <w:tcPr>
            <w:tcW w:w="162" w:type="pct"/>
          </w:tcPr>
          <w:p w14:paraId="1B0A364A" w14:textId="77777777" w:rsidR="00D4129B" w:rsidRPr="00D4129B" w:rsidRDefault="00D4129B" w:rsidP="00D4129B">
            <w:pPr>
              <w:tabs>
                <w:tab w:val="decimal" w:pos="360"/>
              </w:tabs>
              <w:spacing w:after="200" w:line="276" w:lineRule="auto"/>
              <w:rPr>
                <w:rFonts w:cs="Times New Roman"/>
              </w:rPr>
            </w:pPr>
          </w:p>
        </w:tc>
      </w:tr>
      <w:tr w:rsidR="00D4129B" w:rsidRPr="00D4129B" w14:paraId="5A0F11AE" w14:textId="77777777" w:rsidTr="00EF1755">
        <w:trPr>
          <w:trHeight w:val="108"/>
        </w:trPr>
        <w:tc>
          <w:tcPr>
            <w:tcW w:w="1431" w:type="pct"/>
            <w:noWrap/>
          </w:tcPr>
          <w:p w14:paraId="09B18231" w14:textId="77777777" w:rsidR="00D4129B" w:rsidRPr="00D4129B" w:rsidRDefault="00D4129B" w:rsidP="00D4129B">
            <w:r w:rsidRPr="00D4129B">
              <w:t xml:space="preserve">Country and Region </w:t>
            </w:r>
          </w:p>
          <w:p w14:paraId="79DC4E6A" w14:textId="77777777" w:rsidR="00D4129B" w:rsidRPr="00D4129B" w:rsidRDefault="00D4129B" w:rsidP="00D4129B">
            <w:r w:rsidRPr="00D4129B">
              <w:t>of Study</w:t>
            </w:r>
          </w:p>
        </w:tc>
        <w:tc>
          <w:tcPr>
            <w:tcW w:w="1810" w:type="pct"/>
          </w:tcPr>
          <w:p w14:paraId="13B936B1" w14:textId="2473793C" w:rsidR="00D4129B" w:rsidRPr="00D4129B" w:rsidRDefault="00907DCC" w:rsidP="00D4129B">
            <w:pPr>
              <w:tabs>
                <w:tab w:val="decimal" w:pos="360"/>
              </w:tabs>
              <w:spacing w:after="200" w:line="276" w:lineRule="auto"/>
              <w:rPr>
                <w:rFonts w:cs="Times New Roman"/>
              </w:rPr>
            </w:pPr>
            <w:r>
              <w:rPr>
                <w:rFonts w:cs="Times New Roman"/>
              </w:rPr>
              <w:t>United Kingdom</w:t>
            </w:r>
          </w:p>
        </w:tc>
        <w:tc>
          <w:tcPr>
            <w:tcW w:w="1597" w:type="pct"/>
          </w:tcPr>
          <w:p w14:paraId="4373D348" w14:textId="10D557D3" w:rsidR="00D4129B" w:rsidRPr="00D4129B" w:rsidRDefault="00D4129B" w:rsidP="00D4129B">
            <w:pPr>
              <w:tabs>
                <w:tab w:val="decimal" w:pos="360"/>
              </w:tabs>
              <w:spacing w:after="200" w:line="276" w:lineRule="auto"/>
              <w:rPr>
                <w:rFonts w:cs="Times New Roman"/>
              </w:rPr>
            </w:pPr>
          </w:p>
        </w:tc>
        <w:tc>
          <w:tcPr>
            <w:tcW w:w="162" w:type="pct"/>
          </w:tcPr>
          <w:p w14:paraId="4D7D46B9" w14:textId="77777777" w:rsidR="00D4129B" w:rsidRPr="00D4129B" w:rsidRDefault="00D4129B" w:rsidP="00D4129B">
            <w:pPr>
              <w:tabs>
                <w:tab w:val="decimal" w:pos="360"/>
              </w:tabs>
              <w:spacing w:after="200" w:line="276" w:lineRule="auto"/>
              <w:rPr>
                <w:rFonts w:cs="Times New Roman"/>
              </w:rPr>
            </w:pPr>
          </w:p>
        </w:tc>
      </w:tr>
      <w:tr w:rsidR="00D4129B" w:rsidRPr="00D4129B" w14:paraId="4CDAC258" w14:textId="77777777" w:rsidTr="00EF1755">
        <w:trPr>
          <w:cnfStyle w:val="010000000000" w:firstRow="0" w:lastRow="1" w:firstColumn="0" w:lastColumn="0" w:oddVBand="0" w:evenVBand="0" w:oddHBand="0" w:evenHBand="0" w:firstRowFirstColumn="0" w:firstRowLastColumn="0" w:lastRowFirstColumn="0" w:lastRowLastColumn="0"/>
          <w:trHeight w:val="36"/>
        </w:trPr>
        <w:tc>
          <w:tcPr>
            <w:tcW w:w="1431" w:type="pct"/>
            <w:noWrap/>
          </w:tcPr>
          <w:p w14:paraId="0F261E53" w14:textId="77777777" w:rsidR="00D4129B" w:rsidRPr="00D4129B" w:rsidRDefault="00D4129B" w:rsidP="00D4129B"/>
        </w:tc>
        <w:tc>
          <w:tcPr>
            <w:tcW w:w="1810" w:type="pct"/>
          </w:tcPr>
          <w:p w14:paraId="44660F06" w14:textId="77777777" w:rsidR="00D4129B" w:rsidRPr="00D4129B" w:rsidRDefault="00D4129B" w:rsidP="00D4129B">
            <w:pPr>
              <w:tabs>
                <w:tab w:val="decimal" w:pos="360"/>
              </w:tabs>
              <w:spacing w:after="200" w:line="276" w:lineRule="auto"/>
              <w:rPr>
                <w:rFonts w:cs="Times New Roman"/>
              </w:rPr>
            </w:pPr>
          </w:p>
        </w:tc>
        <w:tc>
          <w:tcPr>
            <w:tcW w:w="1597" w:type="pct"/>
          </w:tcPr>
          <w:p w14:paraId="1A5B2DDA" w14:textId="77777777" w:rsidR="00D4129B" w:rsidRPr="00D4129B" w:rsidRDefault="00D4129B" w:rsidP="00D4129B">
            <w:pPr>
              <w:tabs>
                <w:tab w:val="decimal" w:pos="360"/>
              </w:tabs>
              <w:spacing w:after="200" w:line="276" w:lineRule="auto"/>
              <w:rPr>
                <w:rFonts w:cs="Times New Roman"/>
              </w:rPr>
            </w:pPr>
          </w:p>
        </w:tc>
        <w:tc>
          <w:tcPr>
            <w:tcW w:w="162" w:type="pct"/>
          </w:tcPr>
          <w:p w14:paraId="36FAC16A" w14:textId="77777777" w:rsidR="00D4129B" w:rsidRPr="00D4129B" w:rsidRDefault="00D4129B" w:rsidP="00D4129B">
            <w:pPr>
              <w:tabs>
                <w:tab w:val="decimal" w:pos="360"/>
              </w:tabs>
              <w:spacing w:after="200" w:line="276" w:lineRule="auto"/>
              <w:rPr>
                <w:rFonts w:cs="Times New Roman"/>
              </w:rPr>
            </w:pPr>
          </w:p>
        </w:tc>
      </w:tr>
    </w:tbl>
    <w:p w14:paraId="7F5E84B4" w14:textId="77777777" w:rsidR="00D4129B" w:rsidRPr="00D4129B" w:rsidRDefault="00D4129B" w:rsidP="00D4129B">
      <w:pPr>
        <w:keepNext/>
        <w:keepLines/>
        <w:spacing w:before="80" w:after="40"/>
        <w:outlineLvl w:val="3"/>
        <w:rPr>
          <w:rFonts w:eastAsiaTheme="majorEastAsia" w:cstheme="majorBidi"/>
          <w:i/>
          <w:iCs/>
          <w:color w:val="0F4761" w:themeColor="accent1" w:themeShade="BF"/>
        </w:rPr>
      </w:pPr>
      <w:r w:rsidRPr="00D4129B">
        <w:rPr>
          <w:rFonts w:eastAsiaTheme="majorEastAsia" w:cstheme="majorBidi"/>
          <w:i/>
          <w:iCs/>
          <w:color w:val="0F4761" w:themeColor="accent1" w:themeShade="BF"/>
        </w:rPr>
        <w:t>Figure 5:  Inclusion and Exclusion Table: Source(s): Authors’ Work</w:t>
      </w:r>
    </w:p>
    <w:p w14:paraId="6815EC51" w14:textId="77777777" w:rsidR="00D4129B" w:rsidRPr="00D4129B" w:rsidRDefault="00D4129B" w:rsidP="00D4129B">
      <w:pPr>
        <w:spacing w:line="360" w:lineRule="auto"/>
        <w:jc w:val="both"/>
        <w:rPr>
          <w:rFonts w:ascii="Arial" w:hAnsi="Arial" w:cs="Arial"/>
        </w:rPr>
      </w:pPr>
    </w:p>
    <w:p w14:paraId="6ED79FE0" w14:textId="451B40A0" w:rsidR="00560322" w:rsidRDefault="005559C9" w:rsidP="00B91556">
      <w:pPr>
        <w:pStyle w:val="Heading3"/>
      </w:pPr>
      <w:bookmarkStart w:id="23" w:name="_Toc227936261"/>
      <w:proofErr w:type="gramStart"/>
      <w:r>
        <w:t xml:space="preserve">5  </w:t>
      </w:r>
      <w:r w:rsidR="00560322" w:rsidRPr="00B91556">
        <w:t>Quality</w:t>
      </w:r>
      <w:proofErr w:type="gramEnd"/>
      <w:r w:rsidR="00560322" w:rsidRPr="00B91556">
        <w:t xml:space="preserve"> App</w:t>
      </w:r>
      <w:r w:rsidR="00974ED0" w:rsidRPr="00B91556">
        <w:t>raisal</w:t>
      </w:r>
      <w:bookmarkEnd w:id="23"/>
      <w:r w:rsidR="00974ED0" w:rsidRPr="00B91556">
        <w:t xml:space="preserve"> </w:t>
      </w:r>
    </w:p>
    <w:p w14:paraId="4BA709AB" w14:textId="0FB215C5" w:rsidR="00B91556" w:rsidRDefault="00B91556" w:rsidP="009E58ED">
      <w:pPr>
        <w:spacing w:line="360" w:lineRule="auto"/>
        <w:jc w:val="both"/>
        <w:rPr>
          <w:rFonts w:ascii="Arial" w:hAnsi="Arial" w:cs="Arial"/>
          <w:sz w:val="24"/>
          <w:szCs w:val="24"/>
        </w:rPr>
      </w:pPr>
      <w:r w:rsidRPr="00B91556">
        <w:rPr>
          <w:rFonts w:ascii="Arial" w:hAnsi="Arial" w:cs="Arial"/>
          <w:sz w:val="24"/>
          <w:szCs w:val="24"/>
        </w:rPr>
        <w:t>Significant UK-specific data limitations exist regarding Black African and Black Caribbean males, who are often subsumed within broad BAME classifications, thereby obscuring group-specific patterns. The evidence base is further constrained by the predominance of U.S.-focused studies, which fall outside the review’s geographical scope. To address these gaps, relevant grey literature was incorporated, and all included studies were systematically appraised using the CASP tool and ABS journal rankings to assess their rigour, relevance, and suitability for informing business-focused solutions.</w:t>
      </w:r>
    </w:p>
    <w:p w14:paraId="0D0DE1A3" w14:textId="5D79A89A" w:rsidR="008E307C" w:rsidRDefault="005559C9" w:rsidP="00B91556">
      <w:pPr>
        <w:pStyle w:val="Heading3"/>
      </w:pPr>
      <w:bookmarkStart w:id="24" w:name="_Toc227936262"/>
      <w:proofErr w:type="gramStart"/>
      <w:r>
        <w:t xml:space="preserve">5.1  </w:t>
      </w:r>
      <w:r w:rsidR="0079544C" w:rsidRPr="008E307C">
        <w:t>Prisma</w:t>
      </w:r>
      <w:proofErr w:type="gramEnd"/>
      <w:r w:rsidR="00280C29" w:rsidRPr="008E307C">
        <w:t xml:space="preserve"> Mapping Diagram</w:t>
      </w:r>
      <w:bookmarkEnd w:id="24"/>
    </w:p>
    <w:p w14:paraId="268973EE" w14:textId="052BA46E" w:rsidR="0009227B" w:rsidRPr="00554591" w:rsidRDefault="00554591" w:rsidP="00554591">
      <w:pPr>
        <w:spacing w:line="360" w:lineRule="auto"/>
        <w:rPr>
          <w:rFonts w:ascii="Arial" w:hAnsi="Arial" w:cs="Arial"/>
        </w:rPr>
      </w:pPr>
      <w:r w:rsidRPr="00106693">
        <w:rPr>
          <w:rFonts w:ascii="Arial" w:hAnsi="Arial" w:cs="Arial"/>
          <w:sz w:val="24"/>
          <w:szCs w:val="24"/>
        </w:rPr>
        <w:t xml:space="preserve">The initial search process identified 250 records. After removing two duplicates, 83 items were excluded for being outside the study’s scope. An additional 20 records were excluded during timeframe screening, and 14 did not meet the required quality threshold. Due to significant UK-specific data gaps regarding Black African and Black Caribbean males, and an evidence base largely dominated by U.S. studies outside the review’s geographical remit, the pool of eligible literature was constrained. As a result, grey literature and studies that did not meet ABS journal-ranking criteria were included to maintain conceptual breadth. All remaining items were evaluated using </w:t>
      </w:r>
      <w:r w:rsidRPr="00106693">
        <w:rPr>
          <w:rFonts w:ascii="Arial" w:hAnsi="Arial" w:cs="Arial"/>
          <w:sz w:val="24"/>
          <w:szCs w:val="24"/>
        </w:rPr>
        <w:lastRenderedPageBreak/>
        <w:t>the CASP framework to assess methodological rigour, relevance, and applicability. Ultimately, 51 studies met all inclusion criteria and were selected for final synthesis</w:t>
      </w:r>
      <w:r w:rsidRPr="00554591">
        <w:rPr>
          <w:rFonts w:ascii="Arial" w:hAnsi="Arial" w:cs="Arial"/>
        </w:rPr>
        <w:t>.</w:t>
      </w:r>
    </w:p>
    <w:p w14:paraId="378A4180" w14:textId="77777777" w:rsidR="0009227B" w:rsidRDefault="0009227B" w:rsidP="0009227B"/>
    <w:p w14:paraId="61A2585C" w14:textId="77777777" w:rsidR="0009227B" w:rsidRPr="0009227B" w:rsidRDefault="0009227B" w:rsidP="0009227B"/>
    <w:p w14:paraId="24484016" w14:textId="6360DEC2" w:rsidR="008E307C" w:rsidRDefault="008E307C" w:rsidP="009E58ED">
      <w:pPr>
        <w:spacing w:line="360" w:lineRule="auto"/>
        <w:jc w:val="both"/>
        <w:rPr>
          <w:rFonts w:ascii="Arial" w:hAnsi="Arial" w:cs="Arial"/>
          <w:sz w:val="24"/>
          <w:szCs w:val="24"/>
        </w:rPr>
      </w:pPr>
      <w:r w:rsidRPr="008E307C">
        <w:rPr>
          <w:rFonts w:ascii="Arial" w:hAnsi="Arial" w:cs="Arial"/>
          <w:sz w:val="24"/>
          <w:szCs w:val="24"/>
        </w:rPr>
        <w:drawing>
          <wp:inline distT="0" distB="0" distL="0" distR="0" wp14:anchorId="164E9790" wp14:editId="7E35E08F">
            <wp:extent cx="5731510" cy="3512185"/>
            <wp:effectExtent l="0" t="0" r="2540" b="0"/>
            <wp:docPr id="923219592" name="Picture 1" descr="The diagram illustrates the process of selecting articles for a study, starting with a database of 250 articles, filtering duplicates, screening for relevance, conducting quality checks, and finally including 51 articles in the stu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19592" name="Picture 1" descr="The diagram illustrates the process of selecting articles for a study, starting with a database of 250 articles, filtering duplicates, screening for relevance, conducting quality checks, and finally including 51 articles in the study.&#10;&#10;AI-generated content may be incorrect."/>
                    <pic:cNvPicPr/>
                  </pic:nvPicPr>
                  <pic:blipFill>
                    <a:blip r:embed="rId17"/>
                    <a:stretch>
                      <a:fillRect/>
                    </a:stretch>
                  </pic:blipFill>
                  <pic:spPr>
                    <a:xfrm>
                      <a:off x="0" y="0"/>
                      <a:ext cx="5731510" cy="3512185"/>
                    </a:xfrm>
                    <a:prstGeom prst="rect">
                      <a:avLst/>
                    </a:prstGeom>
                  </pic:spPr>
                </pic:pic>
              </a:graphicData>
            </a:graphic>
          </wp:inline>
        </w:drawing>
      </w:r>
    </w:p>
    <w:p w14:paraId="1A8DE66A" w14:textId="77777777" w:rsidR="00852D6E" w:rsidRDefault="00852D6E" w:rsidP="00852D6E">
      <w:pPr>
        <w:pStyle w:val="Heading4"/>
        <w:rPr>
          <w:rFonts w:eastAsia="Times New Roman"/>
          <w:lang w:eastAsia="en-GB"/>
        </w:rPr>
      </w:pPr>
      <w:r w:rsidRPr="009E4230">
        <w:rPr>
          <w:rFonts w:eastAsia="Times New Roman"/>
          <w:lang w:eastAsia="en-GB"/>
        </w:rPr>
        <w:t xml:space="preserve">Figure </w:t>
      </w:r>
      <w:r>
        <w:rPr>
          <w:rFonts w:eastAsia="Times New Roman"/>
          <w:lang w:eastAsia="en-GB"/>
        </w:rPr>
        <w:t xml:space="preserve">6: </w:t>
      </w:r>
      <w:r w:rsidRPr="009E4230">
        <w:rPr>
          <w:rFonts w:eastAsia="Times New Roman"/>
          <w:lang w:eastAsia="en-GB"/>
        </w:rPr>
        <w:t xml:space="preserve"> </w:t>
      </w:r>
      <w:r>
        <w:rPr>
          <w:rFonts w:eastAsia="Times New Roman"/>
          <w:lang w:eastAsia="en-GB"/>
        </w:rPr>
        <w:t>PRISMA Mapping</w:t>
      </w:r>
      <w:r w:rsidRPr="009E4230">
        <w:rPr>
          <w:rFonts w:eastAsia="Times New Roman"/>
          <w:lang w:eastAsia="en-GB"/>
        </w:rPr>
        <w:t>: Source(s): Authors’ Work</w:t>
      </w:r>
    </w:p>
    <w:p w14:paraId="1687EA79" w14:textId="4AA7E32E" w:rsidR="00004C54" w:rsidRDefault="005559C9" w:rsidP="00782738">
      <w:pPr>
        <w:pStyle w:val="Heading3"/>
      </w:pPr>
      <w:bookmarkStart w:id="25" w:name="_Toc227936263"/>
      <w:r>
        <w:t xml:space="preserve">5.2 </w:t>
      </w:r>
      <w:r w:rsidR="00B075F2" w:rsidRPr="00DD6F9C">
        <w:t>Data Analysis</w:t>
      </w:r>
      <w:r w:rsidR="00634275" w:rsidRPr="00DD6F9C">
        <w:t xml:space="preserve"> </w:t>
      </w:r>
      <w:r w:rsidR="00852D6E">
        <w:t>T</w:t>
      </w:r>
      <w:r w:rsidR="00634275" w:rsidRPr="00DD6F9C">
        <w:t>able</w:t>
      </w:r>
      <w:bookmarkEnd w:id="25"/>
      <w:r w:rsidR="00634275" w:rsidRPr="00DD6F9C">
        <w:t xml:space="preserve"> </w:t>
      </w:r>
      <w:r w:rsidR="00004C54">
        <w:fldChar w:fldCharType="begin"/>
      </w:r>
      <w:r w:rsidR="00004C54">
        <w:instrText xml:space="preserve"> LINK Excel.OpenDocumentSpreadsheet.12 "Book2" "Sheet3!R1C1:R52C6" \a \f 5 \h  \* MERGEFORMAT </w:instrText>
      </w:r>
      <w:r w:rsidR="00004C54">
        <w:fldChar w:fldCharType="separate"/>
      </w:r>
    </w:p>
    <w:tbl>
      <w:tblPr>
        <w:tblW w:w="9140" w:type="dxa"/>
        <w:tblCellMar>
          <w:left w:w="0" w:type="dxa"/>
          <w:right w:w="0" w:type="dxa"/>
        </w:tblCellMar>
        <w:tblLook w:val="04A0" w:firstRow="1" w:lastRow="0" w:firstColumn="1" w:lastColumn="0" w:noHBand="0" w:noVBand="1"/>
      </w:tblPr>
      <w:tblGrid>
        <w:gridCol w:w="477"/>
        <w:gridCol w:w="1415"/>
        <w:gridCol w:w="1993"/>
        <w:gridCol w:w="1754"/>
        <w:gridCol w:w="2842"/>
        <w:gridCol w:w="659"/>
      </w:tblGrid>
      <w:tr w:rsidR="00004C54" w:rsidRPr="00004C54" w14:paraId="516CB3A4" w14:textId="77777777">
        <w:trPr>
          <w:trHeight w:val="432"/>
        </w:trPr>
        <w:tc>
          <w:tcPr>
            <w:tcW w:w="480" w:type="dxa"/>
            <w:tcBorders>
              <w:top w:val="single" w:sz="4" w:space="0" w:color="auto"/>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946832E" w14:textId="02231276" w:rsidR="00004C54" w:rsidRPr="00004C54" w:rsidRDefault="00004C54" w:rsidP="00004C54">
            <w:pPr>
              <w:spacing w:after="0" w:line="240" w:lineRule="auto"/>
              <w:jc w:val="center"/>
              <w:rPr>
                <w:rFonts w:ascii="Aptos Narrow" w:eastAsia="Times New Roman" w:hAnsi="Aptos Narrow" w:cs="Times New Roman"/>
                <w:b/>
                <w:bCs/>
                <w:i/>
                <w:iCs/>
                <w:color w:val="000000"/>
                <w:kern w:val="0"/>
                <w:sz w:val="16"/>
                <w:szCs w:val="16"/>
                <w:lang w:eastAsia="en-GB"/>
                <w14:ligatures w14:val="none"/>
              </w:rPr>
            </w:pPr>
            <w:proofErr w:type="gramStart"/>
            <w:r w:rsidRPr="00004C54">
              <w:rPr>
                <w:rFonts w:ascii="Aptos Narrow" w:eastAsia="Times New Roman" w:hAnsi="Aptos Narrow" w:cs="Times New Roman"/>
                <w:b/>
                <w:bCs/>
                <w:i/>
                <w:iCs/>
                <w:color w:val="000000"/>
                <w:kern w:val="0"/>
                <w:sz w:val="16"/>
                <w:szCs w:val="16"/>
                <w:lang w:eastAsia="en-GB"/>
                <w14:ligatures w14:val="none"/>
              </w:rPr>
              <w:t>S.N</w:t>
            </w:r>
            <w:proofErr w:type="gramEnd"/>
          </w:p>
        </w:tc>
        <w:tc>
          <w:tcPr>
            <w:tcW w:w="1420" w:type="dxa"/>
            <w:tcBorders>
              <w:top w:val="single" w:sz="4" w:space="0" w:color="auto"/>
              <w:left w:val="nil"/>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12367AF" w14:textId="77777777" w:rsidR="00004C54" w:rsidRPr="00004C54" w:rsidRDefault="00004C54" w:rsidP="00004C54">
            <w:pPr>
              <w:spacing w:after="0" w:line="240" w:lineRule="auto"/>
              <w:jc w:val="center"/>
              <w:rPr>
                <w:rFonts w:ascii="Aptos Narrow" w:eastAsia="Times New Roman" w:hAnsi="Aptos Narrow" w:cs="Times New Roman"/>
                <w:b/>
                <w:bCs/>
                <w:i/>
                <w:iCs/>
                <w:color w:val="000000"/>
                <w:kern w:val="0"/>
                <w:sz w:val="16"/>
                <w:szCs w:val="16"/>
                <w:lang w:eastAsia="en-GB"/>
                <w14:ligatures w14:val="none"/>
              </w:rPr>
            </w:pPr>
            <w:r w:rsidRPr="00004C54">
              <w:rPr>
                <w:rFonts w:ascii="Aptos Narrow" w:eastAsia="Times New Roman" w:hAnsi="Aptos Narrow" w:cs="Times New Roman"/>
                <w:b/>
                <w:bCs/>
                <w:i/>
                <w:iCs/>
                <w:color w:val="000000"/>
                <w:kern w:val="0"/>
                <w:sz w:val="16"/>
                <w:szCs w:val="16"/>
                <w:lang w:eastAsia="en-GB"/>
                <w14:ligatures w14:val="none"/>
              </w:rPr>
              <w:t>Author</w:t>
            </w:r>
          </w:p>
        </w:tc>
        <w:tc>
          <w:tcPr>
            <w:tcW w:w="2000" w:type="dxa"/>
            <w:tcBorders>
              <w:top w:val="single" w:sz="4" w:space="0" w:color="auto"/>
              <w:left w:val="nil"/>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64D7499" w14:textId="77777777" w:rsidR="00004C54" w:rsidRPr="00004C54" w:rsidRDefault="00004C54" w:rsidP="00004C54">
            <w:pPr>
              <w:spacing w:after="0" w:line="240" w:lineRule="auto"/>
              <w:jc w:val="center"/>
              <w:rPr>
                <w:rFonts w:ascii="Aptos Narrow" w:eastAsia="Times New Roman" w:hAnsi="Aptos Narrow" w:cs="Times New Roman"/>
                <w:b/>
                <w:bCs/>
                <w:i/>
                <w:iCs/>
                <w:color w:val="000000"/>
                <w:kern w:val="0"/>
                <w:sz w:val="16"/>
                <w:szCs w:val="16"/>
                <w:lang w:eastAsia="en-GB"/>
                <w14:ligatures w14:val="none"/>
              </w:rPr>
            </w:pPr>
            <w:r w:rsidRPr="00004C54">
              <w:rPr>
                <w:rFonts w:ascii="Aptos Narrow" w:eastAsia="Times New Roman" w:hAnsi="Aptos Narrow" w:cs="Times New Roman"/>
                <w:b/>
                <w:bCs/>
                <w:i/>
                <w:iCs/>
                <w:color w:val="000000"/>
                <w:kern w:val="0"/>
                <w:sz w:val="16"/>
                <w:szCs w:val="16"/>
                <w:lang w:eastAsia="en-GB"/>
                <w14:ligatures w14:val="none"/>
              </w:rPr>
              <w:t>Title</w:t>
            </w:r>
          </w:p>
        </w:tc>
        <w:tc>
          <w:tcPr>
            <w:tcW w:w="1720" w:type="dxa"/>
            <w:tcBorders>
              <w:top w:val="single" w:sz="4" w:space="0" w:color="auto"/>
              <w:left w:val="nil"/>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47EEB1E" w14:textId="77777777" w:rsidR="00004C54" w:rsidRPr="00004C54" w:rsidRDefault="00004C54" w:rsidP="00004C54">
            <w:pPr>
              <w:spacing w:after="0" w:line="240" w:lineRule="auto"/>
              <w:jc w:val="center"/>
              <w:rPr>
                <w:rFonts w:ascii="Aptos Narrow" w:eastAsia="Times New Roman" w:hAnsi="Aptos Narrow" w:cs="Times New Roman"/>
                <w:b/>
                <w:bCs/>
                <w:i/>
                <w:iCs/>
                <w:color w:val="000000"/>
                <w:kern w:val="0"/>
                <w:sz w:val="16"/>
                <w:szCs w:val="16"/>
                <w:lang w:eastAsia="en-GB"/>
                <w14:ligatures w14:val="none"/>
              </w:rPr>
            </w:pPr>
            <w:r w:rsidRPr="00004C54">
              <w:rPr>
                <w:rFonts w:ascii="Aptos Narrow" w:eastAsia="Times New Roman" w:hAnsi="Aptos Narrow" w:cs="Times New Roman"/>
                <w:b/>
                <w:bCs/>
                <w:i/>
                <w:iCs/>
                <w:color w:val="000000"/>
                <w:kern w:val="0"/>
                <w:sz w:val="16"/>
                <w:szCs w:val="16"/>
                <w:lang w:eastAsia="en-GB"/>
                <w14:ligatures w14:val="none"/>
              </w:rPr>
              <w:t>Source Type</w:t>
            </w:r>
          </w:p>
        </w:tc>
        <w:tc>
          <w:tcPr>
            <w:tcW w:w="2860" w:type="dxa"/>
            <w:tcBorders>
              <w:top w:val="single" w:sz="4" w:space="0" w:color="auto"/>
              <w:left w:val="nil"/>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40EE06C" w14:textId="77777777" w:rsidR="00004C54" w:rsidRPr="00004C54" w:rsidRDefault="00004C54" w:rsidP="00004C54">
            <w:pPr>
              <w:spacing w:after="0" w:line="240" w:lineRule="auto"/>
              <w:jc w:val="center"/>
              <w:rPr>
                <w:rFonts w:ascii="Aptos Narrow" w:eastAsia="Times New Roman" w:hAnsi="Aptos Narrow" w:cs="Times New Roman"/>
                <w:b/>
                <w:bCs/>
                <w:i/>
                <w:iCs/>
                <w:color w:val="000000"/>
                <w:kern w:val="0"/>
                <w:sz w:val="16"/>
                <w:szCs w:val="16"/>
                <w:lang w:eastAsia="en-GB"/>
                <w14:ligatures w14:val="none"/>
              </w:rPr>
            </w:pPr>
            <w:r w:rsidRPr="00004C54">
              <w:rPr>
                <w:rFonts w:ascii="Aptos Narrow" w:eastAsia="Times New Roman" w:hAnsi="Aptos Narrow" w:cs="Times New Roman"/>
                <w:b/>
                <w:bCs/>
                <w:i/>
                <w:iCs/>
                <w:color w:val="000000"/>
                <w:kern w:val="0"/>
                <w:sz w:val="16"/>
                <w:szCs w:val="16"/>
                <w:lang w:eastAsia="en-GB"/>
                <w14:ligatures w14:val="none"/>
              </w:rPr>
              <w:t>Theme/Evidence</w:t>
            </w:r>
          </w:p>
        </w:tc>
        <w:tc>
          <w:tcPr>
            <w:tcW w:w="660" w:type="dxa"/>
            <w:tcBorders>
              <w:top w:val="single" w:sz="4" w:space="0" w:color="auto"/>
              <w:left w:val="nil"/>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9C47943" w14:textId="77777777" w:rsidR="00004C54" w:rsidRPr="00004C54" w:rsidRDefault="00004C54" w:rsidP="00004C54">
            <w:pPr>
              <w:spacing w:after="0" w:line="240" w:lineRule="auto"/>
              <w:jc w:val="center"/>
              <w:rPr>
                <w:rFonts w:ascii="Aptos Narrow" w:eastAsia="Times New Roman" w:hAnsi="Aptos Narrow" w:cs="Times New Roman"/>
                <w:b/>
                <w:bCs/>
                <w:i/>
                <w:iCs/>
                <w:color w:val="000000"/>
                <w:kern w:val="0"/>
                <w:sz w:val="16"/>
                <w:szCs w:val="16"/>
                <w:lang w:eastAsia="en-GB"/>
                <w14:ligatures w14:val="none"/>
              </w:rPr>
            </w:pPr>
            <w:r w:rsidRPr="00004C54">
              <w:rPr>
                <w:rFonts w:ascii="Aptos Narrow" w:eastAsia="Times New Roman" w:hAnsi="Aptos Narrow" w:cs="Times New Roman"/>
                <w:b/>
                <w:bCs/>
                <w:i/>
                <w:iCs/>
                <w:color w:val="000000"/>
                <w:kern w:val="0"/>
                <w:sz w:val="16"/>
                <w:szCs w:val="16"/>
                <w:lang w:eastAsia="en-GB"/>
                <w14:ligatures w14:val="none"/>
              </w:rPr>
              <w:t>ABS Ranking</w:t>
            </w:r>
          </w:p>
        </w:tc>
      </w:tr>
      <w:tr w:rsidR="00004C54" w:rsidRPr="00004C54" w14:paraId="2E38A594"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2346C2D"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026CCC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Abbott (2002)</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B8A73E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Teachers are failing black boys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98DA362" w14:textId="4737E25B"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w:t>
            </w:r>
            <w:r w:rsidR="00782738">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Newspaper article</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9C1DC77"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Abbott argues schools fail Black boys through low expectations, racial bias, and systemic neglect, calling for urgent action to address entrenched inequalities.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2D33906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7A13E352"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E34DB8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CD6D62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American Civil Liberties Union (ACLU) (2017)</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8E2AFF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Bullies in Blue: The Origins and Consequences </w:t>
            </w:r>
            <w:proofErr w:type="gramStart"/>
            <w:r w:rsidRPr="00004C54">
              <w:rPr>
                <w:rFonts w:ascii="Aptos Narrow" w:eastAsia="Times New Roman" w:hAnsi="Aptos Narrow" w:cs="Times New Roman"/>
                <w:color w:val="000000"/>
                <w:kern w:val="0"/>
                <w:sz w:val="16"/>
                <w:szCs w:val="16"/>
                <w:lang w:eastAsia="en-GB"/>
                <w14:ligatures w14:val="none"/>
              </w:rPr>
              <w:t>Of</w:t>
            </w:r>
            <w:proofErr w:type="gramEnd"/>
            <w:r w:rsidRPr="00004C54">
              <w:rPr>
                <w:rFonts w:ascii="Aptos Narrow" w:eastAsia="Times New Roman" w:hAnsi="Aptos Narrow" w:cs="Times New Roman"/>
                <w:color w:val="000000"/>
                <w:kern w:val="0"/>
                <w:sz w:val="16"/>
                <w:szCs w:val="16"/>
                <w:lang w:eastAsia="en-GB"/>
                <w14:ligatures w14:val="none"/>
              </w:rPr>
              <w:t xml:space="preserve"> School Policing</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B869FF4" w14:textId="127BD589"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782738">
              <w:rPr>
                <w:rFonts w:ascii="Aptos Narrow" w:eastAsia="Times New Roman" w:hAnsi="Aptos Narrow" w:cs="Times New Roman"/>
                <w:color w:val="000000"/>
                <w:kern w:val="0"/>
                <w:sz w:val="16"/>
                <w:szCs w:val="16"/>
                <w:lang w:eastAsia="en-GB"/>
                <w14:ligatures w14:val="none"/>
              </w:rPr>
              <w:t>Literature</w:t>
            </w:r>
            <w:r w:rsidRPr="00004C54">
              <w:rPr>
                <w:rFonts w:ascii="Aptos Narrow" w:eastAsia="Times New Roman" w:hAnsi="Aptos Narrow" w:cs="Times New Roman"/>
                <w:color w:val="000000"/>
                <w:kern w:val="0"/>
                <w:sz w:val="16"/>
                <w:szCs w:val="16"/>
                <w:lang w:eastAsia="en-GB"/>
                <w14:ligatures w14:val="none"/>
              </w:rPr>
              <w:t xml:space="preserve"> ACLU Advocacy and Research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6B3371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ACLU shows school policing stems from punitive, racialised policies that criminalise students and expand the school</w:t>
            </w:r>
            <w:r w:rsidRPr="00004C54">
              <w:rPr>
                <w:rFonts w:ascii="Aptos Narrow" w:eastAsia="Times New Roman" w:hAnsi="Aptos Narrow" w:cs="Times New Roman"/>
                <w:color w:val="000000"/>
                <w:kern w:val="0"/>
                <w:sz w:val="16"/>
                <w:szCs w:val="16"/>
                <w:lang w:eastAsia="en-GB"/>
                <w14:ligatures w14:val="none"/>
              </w:rPr>
              <w:noBreakHyphen/>
              <w:t>to</w:t>
            </w:r>
            <w:r w:rsidRPr="00004C54">
              <w:rPr>
                <w:rFonts w:ascii="Aptos Narrow" w:eastAsia="Times New Roman" w:hAnsi="Aptos Narrow" w:cs="Times New Roman"/>
                <w:color w:val="000000"/>
                <w:kern w:val="0"/>
                <w:sz w:val="16"/>
                <w:szCs w:val="16"/>
                <w:lang w:eastAsia="en-GB"/>
                <w14:ligatures w14:val="none"/>
              </w:rPr>
              <w:noBreakHyphen/>
              <w:t>prison pipeline nationwide.</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445488E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38D4B709"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804BAD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880ECA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Anderson and Peart (2016)</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5028F2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Back on track: exploring how a further education college re-motivates learners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E3A29D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Academic Journal Research in Post</w:t>
            </w:r>
            <w:r w:rsidRPr="00004C54">
              <w:rPr>
                <w:rFonts w:ascii="Aptos Narrow" w:eastAsia="Times New Roman" w:hAnsi="Aptos Narrow" w:cs="Times New Roman"/>
                <w:color w:val="000000"/>
                <w:kern w:val="0"/>
                <w:sz w:val="16"/>
                <w:szCs w:val="16"/>
                <w:lang w:eastAsia="en-GB"/>
                <w14:ligatures w14:val="none"/>
              </w:rPr>
              <w:noBreakHyphen/>
              <w:t>Compulsory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8636403" w14:textId="7687FE3E"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Anderson and Peart show </w:t>
            </w:r>
            <w:r w:rsidR="00782738">
              <w:rPr>
                <w:rFonts w:ascii="Aptos Narrow" w:eastAsia="Times New Roman" w:hAnsi="Aptos Narrow" w:cs="Times New Roman"/>
                <w:color w:val="000000"/>
                <w:kern w:val="0"/>
                <w:sz w:val="16"/>
                <w:szCs w:val="16"/>
                <w:lang w:eastAsia="en-GB"/>
                <w14:ligatures w14:val="none"/>
              </w:rPr>
              <w:t>that FE colleges can re-motivate</w:t>
            </w:r>
            <w:r w:rsidRPr="00004C54">
              <w:rPr>
                <w:rFonts w:ascii="Aptos Narrow" w:eastAsia="Times New Roman" w:hAnsi="Aptos Narrow" w:cs="Times New Roman"/>
                <w:color w:val="000000"/>
                <w:kern w:val="0"/>
                <w:sz w:val="16"/>
                <w:szCs w:val="16"/>
                <w:lang w:eastAsia="en-GB"/>
                <w14:ligatures w14:val="none"/>
              </w:rPr>
              <w:t xml:space="preserve"> disengaged learners through supportive relationships, personalised pathways, high expectations, and a strong sense of belonging.</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2800915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w:t>
            </w:r>
          </w:p>
        </w:tc>
      </w:tr>
      <w:tr w:rsidR="00004C54" w:rsidRPr="00004C54" w14:paraId="177C1429"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37E947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lastRenderedPageBreak/>
              <w:t>4</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13261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Arday, </w:t>
            </w:r>
            <w:proofErr w:type="spellStart"/>
            <w:r w:rsidRPr="00004C54">
              <w:rPr>
                <w:rFonts w:ascii="Aptos Narrow" w:eastAsia="Times New Roman" w:hAnsi="Aptos Narrow" w:cs="Times New Roman"/>
                <w:color w:val="000000"/>
                <w:kern w:val="0"/>
                <w:sz w:val="16"/>
                <w:szCs w:val="16"/>
                <w:lang w:eastAsia="en-GB"/>
                <w14:ligatures w14:val="none"/>
              </w:rPr>
              <w:t>Belluigi</w:t>
            </w:r>
            <w:proofErr w:type="spellEnd"/>
            <w:r w:rsidRPr="00004C54">
              <w:rPr>
                <w:rFonts w:ascii="Aptos Narrow" w:eastAsia="Times New Roman" w:hAnsi="Aptos Narrow" w:cs="Times New Roman"/>
                <w:color w:val="000000"/>
                <w:kern w:val="0"/>
                <w:sz w:val="16"/>
                <w:szCs w:val="16"/>
                <w:lang w:eastAsia="en-GB"/>
                <w14:ligatures w14:val="none"/>
              </w:rPr>
              <w:t xml:space="preserve"> and Thomas (2021)</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BA8764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Attempting to break the chain: reimaging inclusive pedagogy and decolonising the curriculum within the academy</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CD5CC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Educational Philosophy and Theory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96DFF5C" w14:textId="2DDB8484"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Arday, </w:t>
            </w:r>
            <w:proofErr w:type="spellStart"/>
            <w:r w:rsidRPr="00004C54">
              <w:rPr>
                <w:rFonts w:ascii="Aptos Narrow" w:eastAsia="Times New Roman" w:hAnsi="Aptos Narrow" w:cs="Times New Roman"/>
                <w:color w:val="000000"/>
                <w:kern w:val="0"/>
                <w:sz w:val="16"/>
                <w:szCs w:val="16"/>
                <w:lang w:eastAsia="en-GB"/>
                <w14:ligatures w14:val="none"/>
              </w:rPr>
              <w:t>Belluigi</w:t>
            </w:r>
            <w:proofErr w:type="spellEnd"/>
            <w:r w:rsidRPr="00004C54">
              <w:rPr>
                <w:rFonts w:ascii="Aptos Narrow" w:eastAsia="Times New Roman" w:hAnsi="Aptos Narrow" w:cs="Times New Roman"/>
                <w:color w:val="000000"/>
                <w:kern w:val="0"/>
                <w:sz w:val="16"/>
                <w:szCs w:val="16"/>
                <w:lang w:eastAsia="en-GB"/>
                <w14:ligatures w14:val="none"/>
              </w:rPr>
              <w:t xml:space="preserve"> and Thomas argue </w:t>
            </w:r>
            <w:r w:rsidR="00782738">
              <w:rPr>
                <w:rFonts w:ascii="Aptos Narrow" w:eastAsia="Times New Roman" w:hAnsi="Aptos Narrow" w:cs="Times New Roman"/>
                <w:color w:val="000000"/>
                <w:kern w:val="0"/>
                <w:sz w:val="16"/>
                <w:szCs w:val="16"/>
                <w:lang w:eastAsia="en-GB"/>
                <w14:ligatures w14:val="none"/>
              </w:rPr>
              <w:t>that colonising</w:t>
            </w:r>
            <w:r w:rsidRPr="00004C54">
              <w:rPr>
                <w:rFonts w:ascii="Aptos Narrow" w:eastAsia="Times New Roman" w:hAnsi="Aptos Narrow" w:cs="Times New Roman"/>
                <w:color w:val="000000"/>
                <w:kern w:val="0"/>
                <w:sz w:val="16"/>
                <w:szCs w:val="16"/>
                <w:lang w:eastAsia="en-GB"/>
                <w14:ligatures w14:val="none"/>
              </w:rPr>
              <w:t xml:space="preserve"> curricula requires reimagining inclusive pedagogy, challenging whiteness, and transforming institutional cultures to achieve racial justice.</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BEA52EC"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125CF08D"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E1E1614"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5</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341C50C"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Ball (2003)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D3137A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teacher's soul and the terrors of performativity</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430B06C"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scholarly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ED064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Ball argues performativity pressures reshape teachers’ identities, producing anxiety, compliance and self</w:t>
            </w:r>
            <w:r w:rsidRPr="00004C54">
              <w:rPr>
                <w:rFonts w:ascii="Aptos Narrow" w:eastAsia="Times New Roman" w:hAnsi="Aptos Narrow" w:cs="Times New Roman"/>
                <w:color w:val="000000"/>
                <w:kern w:val="0"/>
                <w:sz w:val="16"/>
                <w:szCs w:val="16"/>
                <w:lang w:eastAsia="en-GB"/>
                <w14:ligatures w14:val="none"/>
              </w:rPr>
              <w:noBreakHyphen/>
              <w:t>surveillance as marketised accountability regimes dominate schooling.</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321608D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0BE4CEB4"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128514A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6</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6765D2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Bhopal and Pitkin (2020)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5E07F2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Investigating higher education institutions and their views on the Race Equality Charter</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79E64A" w14:textId="30329922"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782738">
              <w:rPr>
                <w:rFonts w:ascii="Aptos Narrow" w:eastAsia="Times New Roman" w:hAnsi="Aptos Narrow" w:cs="Times New Roman"/>
                <w:color w:val="000000"/>
                <w:kern w:val="0"/>
                <w:sz w:val="16"/>
                <w:szCs w:val="16"/>
                <w:lang w:eastAsia="en-GB"/>
                <w14:ligatures w14:val="none"/>
              </w:rPr>
              <w:t>Literature</w:t>
            </w:r>
            <w:r w:rsidR="00782738" w:rsidRPr="00004C54">
              <w:rPr>
                <w:rFonts w:ascii="Aptos Narrow" w:eastAsia="Times New Roman" w:hAnsi="Aptos Narrow" w:cs="Times New Roman"/>
                <w:color w:val="000000"/>
                <w:kern w:val="0"/>
                <w:sz w:val="16"/>
                <w:szCs w:val="16"/>
                <w:lang w:eastAsia="en-GB"/>
                <w14:ligatures w14:val="none"/>
              </w:rPr>
              <w:t xml:space="preserve"> UCU</w:t>
            </w:r>
            <w:r w:rsidRPr="00004C54">
              <w:rPr>
                <w:rFonts w:ascii="Aptos Narrow" w:eastAsia="Times New Roman" w:hAnsi="Aptos Narrow" w:cs="Times New Roman"/>
                <w:color w:val="000000"/>
                <w:kern w:val="0"/>
                <w:sz w:val="16"/>
                <w:szCs w:val="16"/>
                <w:lang w:eastAsia="en-GB"/>
                <w14:ligatures w14:val="none"/>
              </w:rPr>
              <w:noBreakHyphen/>
              <w:t>Commissioned Institutional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F845B6D" w14:textId="00BBDD56"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Bhopal and Pitkin find </w:t>
            </w:r>
            <w:r w:rsidR="00782738">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universities value the Race Equality Charter symbolically but show inconsistent commitment, limited action, and slow structural change.</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13B46DC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1C6B8604"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3DA8D94"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7</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2765DD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Blair (2002)</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1FA598C"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Malleability of Automatic Stereotypes and Prejudice</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4A06E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Academic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EF8C5B4" w14:textId="4BE97196"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Blair argues </w:t>
            </w:r>
            <w:r w:rsidR="00782738">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automatic stereotypes are flexible, shaped by context and experience, and can be reduced through intentional strategies that disrupt biased responses.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8C58427"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w:t>
            </w:r>
          </w:p>
        </w:tc>
      </w:tr>
      <w:tr w:rsidR="00004C54" w:rsidRPr="00004C54" w14:paraId="06D9FB69"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401039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8</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5F4BF22"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Byars</w:t>
            </w:r>
            <w:r w:rsidRPr="00004C54">
              <w:rPr>
                <w:rFonts w:ascii="Aptos Narrow" w:eastAsia="Times New Roman" w:hAnsi="Aptos Narrow" w:cs="Times New Roman"/>
                <w:color w:val="000000"/>
                <w:kern w:val="0"/>
                <w:sz w:val="16"/>
                <w:szCs w:val="16"/>
                <w:lang w:eastAsia="en-GB"/>
                <w14:ligatures w14:val="none"/>
              </w:rPr>
              <w:noBreakHyphen/>
              <w:t>Winston and Butz (2021)</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55430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Culturally responsive mentoring literature</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6FA69C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Scholarly Literature</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B883CE" w14:textId="5D1817AC"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Byars</w:t>
            </w:r>
            <w:r w:rsidRPr="00004C54">
              <w:rPr>
                <w:rFonts w:ascii="Aptos Narrow" w:eastAsia="Times New Roman" w:hAnsi="Aptos Narrow" w:cs="Times New Roman"/>
                <w:color w:val="000000"/>
                <w:kern w:val="0"/>
                <w:sz w:val="16"/>
                <w:szCs w:val="16"/>
                <w:lang w:eastAsia="en-GB"/>
                <w14:ligatures w14:val="none"/>
              </w:rPr>
              <w:noBreakHyphen/>
              <w:t>Winston</w:t>
            </w:r>
            <w:r w:rsidR="00A556D8">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and Butz highlight how culturally responsive mentoring improves equity by addressing identity, context and structural barriers shaping mentees’ development.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74A55C7C"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C8317CF"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38E9015"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9</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F3A648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Croizet and Claire (1998)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E2F3BE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Extending stereotype threat to social class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51AC55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Academic Psychology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F1291EB" w14:textId="17CAB3FB"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Croizet and Claire show </w:t>
            </w:r>
            <w:r w:rsidR="00782738">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stereotype threat lowers working</w:t>
            </w:r>
            <w:r w:rsidRPr="00004C54">
              <w:rPr>
                <w:rFonts w:ascii="Aptos Narrow" w:eastAsia="Times New Roman" w:hAnsi="Aptos Narrow" w:cs="Times New Roman"/>
                <w:color w:val="000000"/>
                <w:kern w:val="0"/>
                <w:sz w:val="16"/>
                <w:szCs w:val="16"/>
                <w:lang w:eastAsia="en-GB"/>
                <w14:ligatures w14:val="none"/>
              </w:rPr>
              <w:noBreakHyphen/>
              <w:t>class students’ performance by activating class</w:t>
            </w:r>
            <w:r w:rsidRPr="00004C54">
              <w:rPr>
                <w:rFonts w:ascii="Aptos Narrow" w:eastAsia="Times New Roman" w:hAnsi="Aptos Narrow" w:cs="Times New Roman"/>
                <w:color w:val="000000"/>
                <w:kern w:val="0"/>
                <w:sz w:val="16"/>
                <w:szCs w:val="16"/>
                <w:lang w:eastAsia="en-GB"/>
                <w14:ligatures w14:val="none"/>
              </w:rPr>
              <w:noBreakHyphen/>
              <w:t>based stigma, extending the phenomenon beyond race and gender.</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674DE5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5C670BA7"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C35365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10</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07389A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Demie and McLean (2017)</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B743C1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Black Caribbean Underachievement in Schools in England</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531D3DC" w14:textId="163C064F"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782738">
              <w:rPr>
                <w:rFonts w:ascii="Aptos Narrow" w:eastAsia="Times New Roman" w:hAnsi="Aptos Narrow" w:cs="Times New Roman"/>
                <w:color w:val="000000"/>
                <w:kern w:val="0"/>
                <w:sz w:val="16"/>
                <w:szCs w:val="16"/>
                <w:lang w:eastAsia="en-GB"/>
                <w14:ligatures w14:val="none"/>
              </w:rPr>
              <w:t>l</w:t>
            </w:r>
            <w:r w:rsidRPr="00004C54">
              <w:rPr>
                <w:rFonts w:ascii="Aptos Narrow" w:eastAsia="Times New Roman" w:hAnsi="Aptos Narrow" w:cs="Times New Roman"/>
                <w:color w:val="000000"/>
                <w:kern w:val="0"/>
                <w:sz w:val="16"/>
                <w:szCs w:val="16"/>
                <w:lang w:eastAsia="en-GB"/>
                <w14:ligatures w14:val="none"/>
              </w:rPr>
              <w:t>iterature</w:t>
            </w:r>
            <w:r w:rsidR="00782738">
              <w:rPr>
                <w:rFonts w:ascii="Aptos Narrow" w:eastAsia="Times New Roman" w:hAnsi="Aptos Narrow" w:cs="Times New Roman"/>
                <w:color w:val="000000"/>
                <w:kern w:val="0"/>
                <w:sz w:val="16"/>
                <w:szCs w:val="16"/>
                <w:lang w:eastAsia="en-GB"/>
                <w14:ligatures w14:val="none"/>
              </w:rPr>
              <w:t xml:space="preserve"> </w:t>
            </w:r>
            <w:r w:rsidRPr="00004C54">
              <w:rPr>
                <w:rFonts w:ascii="Aptos Narrow" w:eastAsia="Times New Roman" w:hAnsi="Aptos Narrow" w:cs="Times New Roman"/>
                <w:color w:val="000000"/>
                <w:kern w:val="0"/>
                <w:sz w:val="16"/>
                <w:szCs w:val="16"/>
                <w:lang w:eastAsia="en-GB"/>
                <w14:ligatures w14:val="none"/>
              </w:rPr>
              <w:t xml:space="preserve">Government/Education Department </w:t>
            </w:r>
            <w:r w:rsidR="00782738" w:rsidRPr="00004C54">
              <w:rPr>
                <w:rFonts w:ascii="Aptos Narrow" w:eastAsia="Times New Roman" w:hAnsi="Aptos Narrow" w:cs="Times New Roman"/>
                <w:color w:val="000000"/>
                <w:kern w:val="0"/>
                <w:sz w:val="16"/>
                <w:szCs w:val="16"/>
                <w:lang w:eastAsia="en-GB"/>
                <w14:ligatures w14:val="none"/>
              </w:rPr>
              <w:t>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997DC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Demie and McLean show Black Caribbean pupils face persistent underachievement driven by systemic inequalities, low expectations, and inconsistent school support across England.</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27B39D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507796AF"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836ECF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11</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E2EB89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Department for Education (DfE) (2017)</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16D786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Permanent and Fixed Period Exclusions in England: 2015 to 2016</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FB14D7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DfE Official Statistical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FF537E7"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DfE reports permanent exclusions fell slightly, fixed</w:t>
            </w:r>
            <w:r w:rsidRPr="00004C54">
              <w:rPr>
                <w:rFonts w:ascii="Aptos Narrow" w:eastAsia="Times New Roman" w:hAnsi="Aptos Narrow" w:cs="Times New Roman"/>
                <w:color w:val="000000"/>
                <w:kern w:val="0"/>
                <w:sz w:val="16"/>
                <w:szCs w:val="16"/>
                <w:lang w:eastAsia="en-GB"/>
                <w14:ligatures w14:val="none"/>
              </w:rPr>
              <w:noBreakHyphen/>
              <w:t>period exclusions rose, and disadvantaged and minority pupils remained disproportionately affected in 2015–16.</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3D6E6DD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5CD641A5"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16DC946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12</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7365C02"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Devine, Forscher, Austin and Cox (2012)</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B7486B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Long-term reduction in implicit race bias: A prejudice habit-breaking intervention</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0616AC7"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Journal of Experimental Social Psychology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44A52FF" w14:textId="28D6A29F"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Devine et al. show </w:t>
            </w:r>
            <w:r w:rsidR="00A556D8">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 xml:space="preserve">a </w:t>
            </w:r>
            <w:r w:rsidR="00A556D8">
              <w:rPr>
                <w:rFonts w:ascii="Aptos Narrow" w:eastAsia="Times New Roman" w:hAnsi="Aptos Narrow" w:cs="Times New Roman"/>
                <w:color w:val="000000"/>
                <w:kern w:val="0"/>
                <w:sz w:val="16"/>
                <w:szCs w:val="16"/>
                <w:lang w:eastAsia="en-GB"/>
                <w14:ligatures w14:val="none"/>
              </w:rPr>
              <w:t>habit-breaking intervention significantly reduces implicit race bias in the long term by increasing awareness, concern, and the use of bias-reduction</w:t>
            </w:r>
            <w:r w:rsidRPr="00004C54">
              <w:rPr>
                <w:rFonts w:ascii="Aptos Narrow" w:eastAsia="Times New Roman" w:hAnsi="Aptos Narrow" w:cs="Times New Roman"/>
                <w:color w:val="000000"/>
                <w:kern w:val="0"/>
                <w:sz w:val="16"/>
                <w:szCs w:val="16"/>
                <w:lang w:eastAsia="en-GB"/>
                <w14:ligatures w14:val="none"/>
              </w:rPr>
              <w:t xml:space="preserve"> strategies.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125EE07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r>
      <w:tr w:rsidR="00004C54" w:rsidRPr="00004C54" w14:paraId="5B7AEAFA"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22A13FE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13</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F1DE03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Eby, Allen, Evans, Ng and DuBois (2008)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2F0FD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Does Mentoring Matter? A Multidisciplinary Meta-Analysis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7EB878" w14:textId="77668E45"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 xml:space="preserve">reviewed Journal of Vocational </w:t>
            </w:r>
            <w:r w:rsidR="00A556D8">
              <w:rPr>
                <w:rFonts w:ascii="Aptos Narrow" w:eastAsia="Times New Roman" w:hAnsi="Aptos Narrow" w:cs="Times New Roman"/>
                <w:color w:val="000000"/>
                <w:kern w:val="0"/>
                <w:sz w:val="16"/>
                <w:szCs w:val="16"/>
                <w:lang w:eastAsia="en-GB"/>
                <w14:ligatures w14:val="none"/>
              </w:rPr>
              <w:t>Behaviour</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8778A8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Eby et al.’s meta</w:t>
            </w:r>
            <w:r w:rsidRPr="00004C54">
              <w:rPr>
                <w:rFonts w:ascii="Aptos Narrow" w:eastAsia="Times New Roman" w:hAnsi="Aptos Narrow" w:cs="Times New Roman"/>
                <w:color w:val="000000"/>
                <w:kern w:val="0"/>
                <w:sz w:val="16"/>
                <w:szCs w:val="16"/>
                <w:lang w:eastAsia="en-GB"/>
                <w14:ligatures w14:val="none"/>
              </w:rPr>
              <w:noBreakHyphen/>
              <w:t>analysis shows mentoring reliably improves career, psychological, and academic outcomes across disciplines, though effects vary by relationship quality.</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D09C94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r>
      <w:tr w:rsidR="00004C54" w:rsidRPr="00004C54" w14:paraId="47787613"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1595584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14</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D68855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Equality and Human Rights Commission (EHRC) (2019)</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DD13E5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Racial harassment inquiry: survey of university students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F52601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EHRC Official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3DE25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EHRC survey shows widespread racial harassment in UK universities, with many students experiencing abuse, under</w:t>
            </w:r>
            <w:r w:rsidRPr="00004C54">
              <w:rPr>
                <w:rFonts w:ascii="Aptos Narrow" w:eastAsia="Times New Roman" w:hAnsi="Aptos Narrow" w:cs="Times New Roman"/>
                <w:color w:val="000000"/>
                <w:kern w:val="0"/>
                <w:sz w:val="16"/>
                <w:szCs w:val="16"/>
                <w:lang w:eastAsia="en-GB"/>
                <w14:ligatures w14:val="none"/>
              </w:rPr>
              <w:noBreakHyphen/>
              <w:t>reporting incidents, and lacking institutional support.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4F21319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ED51C69"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356994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15</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C434BF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Fekete (2020)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C59F97"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How Black Working-Class Youth Are Criminalised and Excluded in the English School System</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488366D" w14:textId="4CC1F660"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A556D8">
              <w:rPr>
                <w:rFonts w:ascii="Aptos Narrow" w:eastAsia="Times New Roman" w:hAnsi="Aptos Narrow" w:cs="Times New Roman"/>
                <w:color w:val="000000"/>
                <w:kern w:val="0"/>
                <w:sz w:val="16"/>
                <w:szCs w:val="16"/>
                <w:lang w:eastAsia="en-GB"/>
                <w14:ligatures w14:val="none"/>
              </w:rPr>
              <w:t>Literature</w:t>
            </w:r>
            <w:r w:rsidRPr="00004C54">
              <w:rPr>
                <w:rFonts w:ascii="Aptos Narrow" w:eastAsia="Times New Roman" w:hAnsi="Aptos Narrow" w:cs="Times New Roman"/>
                <w:color w:val="000000"/>
                <w:kern w:val="0"/>
                <w:sz w:val="16"/>
                <w:szCs w:val="16"/>
                <w:lang w:eastAsia="en-GB"/>
                <w14:ligatures w14:val="none"/>
              </w:rPr>
              <w:t xml:space="preserve"> Institute of Race Relations Research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9CD3E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Fekete shows Black working</w:t>
            </w:r>
            <w:r w:rsidRPr="00004C54">
              <w:rPr>
                <w:rFonts w:ascii="Aptos Narrow" w:eastAsia="Times New Roman" w:hAnsi="Aptos Narrow" w:cs="Times New Roman"/>
                <w:color w:val="000000"/>
                <w:kern w:val="0"/>
                <w:sz w:val="16"/>
                <w:szCs w:val="16"/>
                <w:lang w:eastAsia="en-GB"/>
                <w14:ligatures w14:val="none"/>
              </w:rPr>
              <w:noBreakHyphen/>
              <w:t>class youth face systemic criminalisation and exclusion through racialised school practices, punitive policies, and shrinking educational support.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1379483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5E963F23"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0AFB03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lastRenderedPageBreak/>
              <w:t>16</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F0870D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Fyfe and Figueroa (1993)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1DEDFA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Education for cultural diversity: the challenge for a new era</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E36A578" w14:textId="4FC0C580"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A556D8">
              <w:rPr>
                <w:rFonts w:ascii="Aptos Narrow" w:eastAsia="Times New Roman" w:hAnsi="Aptos Narrow" w:cs="Times New Roman"/>
                <w:color w:val="000000"/>
                <w:kern w:val="0"/>
                <w:sz w:val="16"/>
                <w:szCs w:val="16"/>
                <w:lang w:eastAsia="en-GB"/>
                <w14:ligatures w14:val="none"/>
              </w:rPr>
              <w:t>Literature</w:t>
            </w:r>
            <w:r w:rsidRPr="00004C54">
              <w:rPr>
                <w:rFonts w:ascii="Aptos Narrow" w:eastAsia="Times New Roman" w:hAnsi="Aptos Narrow" w:cs="Times New Roman"/>
                <w:color w:val="000000"/>
                <w:kern w:val="0"/>
                <w:sz w:val="16"/>
                <w:szCs w:val="16"/>
                <w:lang w:eastAsia="en-GB"/>
                <w14:ligatures w14:val="none"/>
              </w:rPr>
              <w:t xml:space="preserve"> Scholarly Book</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176AF0E" w14:textId="13F6B4C6"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Fyfe and Figueroa argue </w:t>
            </w:r>
            <w:r w:rsidR="00A556D8">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education must embrace cultural diversity, challenging monocultural curricula and promoting inclusive practices for increasingly plural societies.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21268A5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812EC8D" w14:textId="77777777">
        <w:trPr>
          <w:trHeight w:val="1296"/>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5011481"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17</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57C7D3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Gillborn and Youdell (2000)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DBA2F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Rationing education: policy, practice, reform and equity</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C0768E5" w14:textId="732CF72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B478C4">
              <w:rPr>
                <w:rFonts w:ascii="Aptos Narrow" w:eastAsia="Times New Roman" w:hAnsi="Aptos Narrow" w:cs="Times New Roman"/>
                <w:color w:val="000000"/>
                <w:kern w:val="0"/>
                <w:sz w:val="16"/>
                <w:szCs w:val="16"/>
                <w:lang w:eastAsia="en-GB"/>
                <w14:ligatures w14:val="none"/>
              </w:rPr>
              <w:t>L</w:t>
            </w:r>
            <w:r w:rsidRPr="00004C54">
              <w:rPr>
                <w:rFonts w:ascii="Aptos Narrow" w:eastAsia="Times New Roman" w:hAnsi="Aptos Narrow" w:cs="Times New Roman"/>
                <w:color w:val="000000"/>
                <w:kern w:val="0"/>
                <w:sz w:val="16"/>
                <w:szCs w:val="16"/>
                <w:lang w:eastAsia="en-GB"/>
                <w14:ligatures w14:val="none"/>
              </w:rPr>
              <w:t>iterature</w:t>
            </w:r>
            <w:r w:rsidR="00A556D8">
              <w:rPr>
                <w:rFonts w:ascii="Aptos Narrow" w:eastAsia="Times New Roman" w:hAnsi="Aptos Narrow" w:cs="Times New Roman"/>
                <w:color w:val="000000"/>
                <w:kern w:val="0"/>
                <w:sz w:val="16"/>
                <w:szCs w:val="16"/>
                <w:lang w:eastAsia="en-GB"/>
                <w14:ligatures w14:val="none"/>
              </w:rPr>
              <w:t xml:space="preserve"> an</w:t>
            </w:r>
            <w:r w:rsidR="00B478C4">
              <w:rPr>
                <w:rFonts w:ascii="Aptos Narrow" w:eastAsia="Times New Roman" w:hAnsi="Aptos Narrow" w:cs="Times New Roman"/>
                <w:color w:val="000000"/>
                <w:kern w:val="0"/>
                <w:sz w:val="16"/>
                <w:szCs w:val="16"/>
                <w:lang w:eastAsia="en-GB"/>
                <w14:ligatures w14:val="none"/>
              </w:rPr>
              <w:t>d</w:t>
            </w:r>
            <w:r w:rsidR="00A556D8">
              <w:rPr>
                <w:rFonts w:ascii="Aptos Narrow" w:eastAsia="Times New Roman" w:hAnsi="Aptos Narrow" w:cs="Times New Roman"/>
                <w:color w:val="000000"/>
                <w:kern w:val="0"/>
                <w:sz w:val="16"/>
                <w:szCs w:val="16"/>
                <w:lang w:eastAsia="en-GB"/>
                <w14:ligatures w14:val="none"/>
              </w:rPr>
              <w:t xml:space="preserve"> </w:t>
            </w:r>
            <w:r w:rsidR="00840744">
              <w:rPr>
                <w:rFonts w:ascii="Aptos Narrow" w:eastAsia="Times New Roman" w:hAnsi="Aptos Narrow" w:cs="Times New Roman"/>
                <w:color w:val="000000"/>
                <w:kern w:val="0"/>
                <w:sz w:val="16"/>
                <w:szCs w:val="16"/>
                <w:lang w:eastAsia="en-GB"/>
                <w14:ligatures w14:val="none"/>
              </w:rPr>
              <w:t xml:space="preserve">an </w:t>
            </w:r>
            <w:r w:rsidR="00B478C4">
              <w:rPr>
                <w:rFonts w:ascii="Aptos Narrow" w:eastAsia="Times New Roman" w:hAnsi="Aptos Narrow" w:cs="Times New Roman"/>
                <w:color w:val="000000"/>
                <w:kern w:val="0"/>
                <w:sz w:val="16"/>
                <w:szCs w:val="16"/>
                <w:lang w:eastAsia="en-GB"/>
                <w14:ligatures w14:val="none"/>
              </w:rPr>
              <w:t>A</w:t>
            </w:r>
            <w:r w:rsidR="00A556D8">
              <w:rPr>
                <w:rFonts w:ascii="Aptos Narrow" w:eastAsia="Times New Roman" w:hAnsi="Aptos Narrow" w:cs="Times New Roman"/>
                <w:color w:val="000000"/>
                <w:kern w:val="0"/>
                <w:sz w:val="16"/>
                <w:szCs w:val="16"/>
                <w:lang w:eastAsia="en-GB"/>
                <w14:ligatures w14:val="none"/>
              </w:rPr>
              <w:t>cademic</w:t>
            </w:r>
            <w:r w:rsidRPr="00004C54">
              <w:rPr>
                <w:rFonts w:ascii="Aptos Narrow" w:eastAsia="Times New Roman" w:hAnsi="Aptos Narrow" w:cs="Times New Roman"/>
                <w:color w:val="000000"/>
                <w:kern w:val="0"/>
                <w:sz w:val="16"/>
                <w:szCs w:val="16"/>
                <w:lang w:eastAsia="en-GB"/>
                <w14:ligatures w14:val="none"/>
              </w:rPr>
              <w:t xml:space="preserve"> </w:t>
            </w:r>
            <w:r w:rsidR="00B478C4">
              <w:rPr>
                <w:rFonts w:ascii="Aptos Narrow" w:eastAsia="Times New Roman" w:hAnsi="Aptos Narrow" w:cs="Times New Roman"/>
                <w:color w:val="000000"/>
                <w:kern w:val="0"/>
                <w:sz w:val="16"/>
                <w:szCs w:val="16"/>
                <w:lang w:eastAsia="en-GB"/>
                <w14:ligatures w14:val="none"/>
              </w:rPr>
              <w:t>B</w:t>
            </w:r>
            <w:r w:rsidRPr="00004C54">
              <w:rPr>
                <w:rFonts w:ascii="Aptos Narrow" w:eastAsia="Times New Roman" w:hAnsi="Aptos Narrow" w:cs="Times New Roman"/>
                <w:color w:val="000000"/>
                <w:kern w:val="0"/>
                <w:sz w:val="16"/>
                <w:szCs w:val="16"/>
                <w:lang w:eastAsia="en-GB"/>
                <w14:ligatures w14:val="none"/>
              </w:rPr>
              <w:t xml:space="preserve">ook from a </w:t>
            </w:r>
            <w:r w:rsidR="00840744">
              <w:rPr>
                <w:rFonts w:ascii="Aptos Narrow" w:eastAsia="Times New Roman" w:hAnsi="Aptos Narrow" w:cs="Times New Roman"/>
                <w:color w:val="000000"/>
                <w:kern w:val="0"/>
                <w:sz w:val="16"/>
                <w:szCs w:val="16"/>
                <w:lang w:eastAsia="en-GB"/>
                <w14:ligatures w14:val="none"/>
              </w:rPr>
              <w:t>S</w:t>
            </w:r>
            <w:r w:rsidRPr="00004C54">
              <w:rPr>
                <w:rFonts w:ascii="Aptos Narrow" w:eastAsia="Times New Roman" w:hAnsi="Aptos Narrow" w:cs="Times New Roman"/>
                <w:color w:val="000000"/>
                <w:kern w:val="0"/>
                <w:sz w:val="16"/>
                <w:szCs w:val="16"/>
                <w:lang w:eastAsia="en-GB"/>
                <w14:ligatures w14:val="none"/>
              </w:rPr>
              <w:t xml:space="preserve">cholarly </w:t>
            </w:r>
            <w:r w:rsidR="00840744">
              <w:rPr>
                <w:rFonts w:ascii="Aptos Narrow" w:eastAsia="Times New Roman" w:hAnsi="Aptos Narrow" w:cs="Times New Roman"/>
                <w:color w:val="000000"/>
                <w:kern w:val="0"/>
                <w:sz w:val="16"/>
                <w:szCs w:val="16"/>
                <w:lang w:eastAsia="en-GB"/>
                <w14:ligatures w14:val="none"/>
              </w:rPr>
              <w:t>P</w:t>
            </w:r>
            <w:r w:rsidRPr="00004C54">
              <w:rPr>
                <w:rFonts w:ascii="Aptos Narrow" w:eastAsia="Times New Roman" w:hAnsi="Aptos Narrow" w:cs="Times New Roman"/>
                <w:color w:val="000000"/>
                <w:kern w:val="0"/>
                <w:sz w:val="16"/>
                <w:szCs w:val="16"/>
                <w:lang w:eastAsia="en-GB"/>
                <w14:ligatures w14:val="none"/>
              </w:rPr>
              <w:t>ress</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34FF582" w14:textId="6F68F519"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Gillborn and Youdell show </w:t>
            </w:r>
            <w:r w:rsidR="00A556D8">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education policies ration opportunities, disproportionately disadvantaging marginalised students through structural inequalities and high</w:t>
            </w:r>
            <w:r w:rsidRPr="00004C54">
              <w:rPr>
                <w:rFonts w:ascii="Aptos Narrow" w:eastAsia="Times New Roman" w:hAnsi="Aptos Narrow" w:cs="Times New Roman"/>
                <w:color w:val="000000"/>
                <w:kern w:val="0"/>
                <w:sz w:val="16"/>
                <w:szCs w:val="16"/>
                <w:lang w:eastAsia="en-GB"/>
                <w14:ligatures w14:val="none"/>
              </w:rPr>
              <w:noBreakHyphen/>
              <w:t>stakes accountability practices.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2D8A275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305CC862"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909A87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18</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2902BB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Gill, Quilter</w:t>
            </w:r>
            <w:r w:rsidRPr="00004C54">
              <w:rPr>
                <w:rFonts w:ascii="Aptos Narrow" w:eastAsia="Times New Roman" w:hAnsi="Aptos Narrow" w:cs="Times New Roman"/>
                <w:color w:val="000000"/>
                <w:kern w:val="0"/>
                <w:sz w:val="16"/>
                <w:szCs w:val="16"/>
                <w:lang w:eastAsia="en-GB"/>
                <w14:ligatures w14:val="none"/>
              </w:rPr>
              <w:noBreakHyphen/>
              <w:t>Pinner and Swift (2017)</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FE96FD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Making The Difference: Breaking The Link Between School Exclusion and Social Exclusion</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74173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IPPR policy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5ACA6C7" w14:textId="73C26146"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Gill, Quilter</w:t>
            </w:r>
            <w:r w:rsidRPr="00004C54">
              <w:rPr>
                <w:rFonts w:ascii="Aptos Narrow" w:eastAsia="Times New Roman" w:hAnsi="Aptos Narrow" w:cs="Times New Roman"/>
                <w:color w:val="000000"/>
                <w:kern w:val="0"/>
                <w:sz w:val="16"/>
                <w:szCs w:val="16"/>
                <w:lang w:eastAsia="en-GB"/>
                <w14:ligatures w14:val="none"/>
              </w:rPr>
              <w:noBreakHyphen/>
            </w:r>
            <w:r w:rsidR="00840744">
              <w:rPr>
                <w:rFonts w:ascii="Aptos Narrow" w:eastAsia="Times New Roman" w:hAnsi="Aptos Narrow" w:cs="Times New Roman"/>
                <w:color w:val="000000"/>
                <w:kern w:val="0"/>
                <w:sz w:val="16"/>
                <w:szCs w:val="16"/>
                <w:lang w:eastAsia="en-GB"/>
                <w14:ligatures w14:val="none"/>
              </w:rPr>
              <w:t xml:space="preserve">, Pinner and Swift show that exclusions drive long-term social harm and argue that </w:t>
            </w:r>
            <w:r w:rsidRPr="00004C54">
              <w:rPr>
                <w:rFonts w:ascii="Aptos Narrow" w:eastAsia="Times New Roman" w:hAnsi="Aptos Narrow" w:cs="Times New Roman"/>
                <w:color w:val="000000"/>
                <w:kern w:val="0"/>
                <w:sz w:val="16"/>
                <w:szCs w:val="16"/>
                <w:lang w:eastAsia="en-GB"/>
                <w14:ligatures w14:val="none"/>
              </w:rPr>
              <w:t>targeted support, early intervention and systemic reform can break this link.</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B86E06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68AB4E0B"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2802B25"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19</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04189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Good, Aronson and Harder (2008)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A300CE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Problems in the pipeline: Stereotype threat and women's achievement</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06CE98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 xml:space="preserve">reviewed </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D474BBC" w14:textId="6BBDA976"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Good, Aronson and Harder show </w:t>
            </w:r>
            <w:r w:rsidR="00840744">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stereotype threat undermines women’s maths performance by increasing anxiety and reducing confidence, weakening persistence in advanced courses.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133162E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09DE4EB"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EDDE2F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20</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1584DC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Heleta (2016)</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3ACD2C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Decolonisation of higher education: Dismantling epistemic violence and Eurocentrism</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1E6C4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Transformation in Higher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22C35FC" w14:textId="17009180"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Heleta argues </w:t>
            </w:r>
            <w:r w:rsidR="00840744">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decolonising higher education requires dismantling Eurocentrism and epistemic violence to create inclusive, socially just knowledge systems.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351FD0E6"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435F68DC"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463CB4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21</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37A870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Henshall (2018)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E9B441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On the school beat: police officers based in English schools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5907F7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British Journal of Sociology of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78144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Henshall shows police in English schools concentrate in disadvantaged areas, raising concerns about surveillance, inequality, and limited evidence on their actual impact.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0AE221C"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721223BA"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E468DD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22</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3BC941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Jenkins (2005)</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489795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Commentary on outsourcing pastoral services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901C42C" w14:textId="1AFD0703"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3354B0">
              <w:rPr>
                <w:rFonts w:ascii="Aptos Narrow" w:eastAsia="Times New Roman" w:hAnsi="Aptos Narrow" w:cs="Times New Roman"/>
                <w:color w:val="000000"/>
                <w:kern w:val="0"/>
                <w:sz w:val="16"/>
                <w:szCs w:val="16"/>
                <w:lang w:eastAsia="en-GB"/>
                <w14:ligatures w14:val="none"/>
              </w:rPr>
              <w:t>L</w:t>
            </w:r>
            <w:r w:rsidRPr="00004C54">
              <w:rPr>
                <w:rFonts w:ascii="Aptos Narrow" w:eastAsia="Times New Roman" w:hAnsi="Aptos Narrow" w:cs="Times New Roman"/>
                <w:color w:val="000000"/>
                <w:kern w:val="0"/>
                <w:sz w:val="16"/>
                <w:szCs w:val="16"/>
                <w:lang w:eastAsia="en-GB"/>
                <w14:ligatures w14:val="none"/>
              </w:rPr>
              <w:t xml:space="preserve">iterature </w:t>
            </w:r>
            <w:r w:rsidR="003354B0">
              <w:rPr>
                <w:rFonts w:ascii="Aptos Narrow" w:eastAsia="Times New Roman" w:hAnsi="Aptos Narrow" w:cs="Times New Roman"/>
                <w:color w:val="000000"/>
                <w:kern w:val="0"/>
                <w:sz w:val="16"/>
                <w:szCs w:val="16"/>
                <w:lang w:eastAsia="en-GB"/>
                <w14:ligatures w14:val="none"/>
              </w:rPr>
              <w:t>S</w:t>
            </w:r>
            <w:r w:rsidR="00840744">
              <w:rPr>
                <w:rFonts w:ascii="Aptos Narrow" w:eastAsia="Times New Roman" w:hAnsi="Aptos Narrow" w:cs="Times New Roman"/>
                <w:color w:val="000000"/>
                <w:kern w:val="0"/>
                <w:sz w:val="16"/>
                <w:szCs w:val="16"/>
                <w:lang w:eastAsia="en-GB"/>
                <w14:ligatures w14:val="none"/>
              </w:rPr>
              <w:t>ector</w:t>
            </w:r>
            <w:r w:rsidRPr="00004C54">
              <w:rPr>
                <w:rFonts w:ascii="Aptos Narrow" w:eastAsia="Times New Roman" w:hAnsi="Aptos Narrow" w:cs="Times New Roman"/>
                <w:color w:val="000000"/>
                <w:kern w:val="0"/>
                <w:sz w:val="16"/>
                <w:szCs w:val="16"/>
                <w:lang w:eastAsia="en-GB"/>
                <w14:ligatures w14:val="none"/>
              </w:rPr>
              <w:t>/</w:t>
            </w:r>
            <w:r w:rsidR="003354B0">
              <w:rPr>
                <w:rFonts w:ascii="Aptos Narrow" w:eastAsia="Times New Roman" w:hAnsi="Aptos Narrow" w:cs="Times New Roman"/>
                <w:color w:val="000000"/>
                <w:kern w:val="0"/>
                <w:sz w:val="16"/>
                <w:szCs w:val="16"/>
                <w:lang w:eastAsia="en-GB"/>
                <w14:ligatures w14:val="none"/>
              </w:rPr>
              <w:t>G</w:t>
            </w:r>
            <w:r w:rsidRPr="00004C54">
              <w:rPr>
                <w:rFonts w:ascii="Aptos Narrow" w:eastAsia="Times New Roman" w:hAnsi="Aptos Narrow" w:cs="Times New Roman"/>
                <w:color w:val="000000"/>
                <w:kern w:val="0"/>
                <w:sz w:val="16"/>
                <w:szCs w:val="16"/>
                <w:lang w:eastAsia="en-GB"/>
                <w14:ligatures w14:val="none"/>
              </w:rPr>
              <w:t>overnment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CF883B" w14:textId="15ED71FB"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Jenkins critiques </w:t>
            </w:r>
            <w:r w:rsidR="00840744">
              <w:rPr>
                <w:rFonts w:ascii="Aptos Narrow" w:eastAsia="Times New Roman" w:hAnsi="Aptos Narrow" w:cs="Times New Roman"/>
                <w:color w:val="000000"/>
                <w:kern w:val="0"/>
                <w:sz w:val="16"/>
                <w:szCs w:val="16"/>
                <w:lang w:eastAsia="en-GB"/>
                <w14:ligatures w14:val="none"/>
              </w:rPr>
              <w:t xml:space="preserve">the outsourcing of pastoral services, arguing that </w:t>
            </w:r>
            <w:r w:rsidRPr="00004C54">
              <w:rPr>
                <w:rFonts w:ascii="Aptos Narrow" w:eastAsia="Times New Roman" w:hAnsi="Aptos Narrow" w:cs="Times New Roman"/>
                <w:color w:val="000000"/>
                <w:kern w:val="0"/>
                <w:sz w:val="16"/>
                <w:szCs w:val="16"/>
                <w:lang w:eastAsia="en-GB"/>
                <w14:ligatures w14:val="none"/>
              </w:rPr>
              <w:t>it weakens relational support, reduces continuity, and undermines schools’ capacity to meet pupils’ holistic needs.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BA9F46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46FA4206"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CF190C7"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23</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A4C060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Joseph (2020)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18FE4F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Navigating neoliberal school spaces: Parent and school staff perspectives on racially disproportional school exclusions in England</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84F372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 Peer</w:t>
            </w:r>
            <w:r w:rsidRPr="00004C54">
              <w:rPr>
                <w:rFonts w:ascii="Aptos Narrow" w:eastAsia="Times New Roman" w:hAnsi="Aptos Narrow" w:cs="Times New Roman"/>
                <w:color w:val="000000"/>
                <w:kern w:val="0"/>
                <w:sz w:val="16"/>
                <w:szCs w:val="16"/>
                <w:lang w:eastAsia="en-GB"/>
                <w14:ligatures w14:val="none"/>
              </w:rPr>
              <w:noBreakHyphen/>
              <w:t>reviewed International Social Work</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203131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Joseph shows neoliberal school policies intensify racial disproportionality in exclusions, with parents and staff highlighting structural bias and reduced support for Black pupils.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B00C10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55AE6629" w14:textId="77777777">
        <w:trPr>
          <w:trHeight w:val="1512"/>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9C3AC2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24</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B05B6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Knox, Latif, Cornejo and Johnson (2023)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AFC607"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Mentoring across difference and distance: building effective virtual research opportunities for under-represented minority undergraduate students in biological sciences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4CD03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mBio scientific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9DB8C84" w14:textId="19DE9F4D"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Knox et al. show </w:t>
            </w:r>
            <w:r w:rsidR="003354B0">
              <w:rPr>
                <w:rFonts w:ascii="Aptos Narrow" w:eastAsia="Times New Roman" w:hAnsi="Aptos Narrow" w:cs="Times New Roman"/>
                <w:color w:val="000000"/>
                <w:kern w:val="0"/>
                <w:sz w:val="16"/>
                <w:szCs w:val="16"/>
                <w:lang w:eastAsia="en-GB"/>
                <w14:ligatures w14:val="none"/>
              </w:rPr>
              <w:t xml:space="preserve">that virtual, cross-difference mentoring expands research access and effectively supports underrepresented minority undergraduates in the </w:t>
            </w:r>
            <w:r w:rsidRPr="00004C54">
              <w:rPr>
                <w:rFonts w:ascii="Aptos Narrow" w:eastAsia="Times New Roman" w:hAnsi="Aptos Narrow" w:cs="Times New Roman"/>
                <w:color w:val="000000"/>
                <w:kern w:val="0"/>
                <w:sz w:val="16"/>
                <w:szCs w:val="16"/>
                <w:lang w:eastAsia="en-GB"/>
                <w14:ligatures w14:val="none"/>
              </w:rPr>
              <w:t>biological sciences.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6AA7DF2"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7AB3F4D6"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1E92040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25</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B1E8F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Lefebvre, Bloom and Loughead (2020)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E435D2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A citation network analysis of career mentoring</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95A03C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Psychology of Sport and Exercise</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D4EC160" w14:textId="2878E550"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Lefebvre, Bloom</w:t>
            </w:r>
            <w:r w:rsidR="003354B0">
              <w:rPr>
                <w:rFonts w:ascii="Aptos Narrow" w:eastAsia="Times New Roman" w:hAnsi="Aptos Narrow" w:cs="Times New Roman"/>
                <w:color w:val="000000"/>
                <w:kern w:val="0"/>
                <w:sz w:val="16"/>
                <w:szCs w:val="16"/>
                <w:lang w:eastAsia="en-GB"/>
                <w14:ligatures w14:val="none"/>
              </w:rPr>
              <w:t>, and Loughead map the mentoring scholarship, showing influential authors, themes,</w:t>
            </w:r>
            <w:r w:rsidRPr="00004C54">
              <w:rPr>
                <w:rFonts w:ascii="Aptos Narrow" w:eastAsia="Times New Roman" w:hAnsi="Aptos Narrow" w:cs="Times New Roman"/>
                <w:color w:val="000000"/>
                <w:kern w:val="0"/>
                <w:sz w:val="16"/>
                <w:szCs w:val="16"/>
                <w:lang w:eastAsia="en-GB"/>
                <w14:ligatures w14:val="none"/>
              </w:rPr>
              <w:t xml:space="preserve"> and evolving research clusters shaping career mentoring in sport psychology.</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15D7DE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01FAC24F"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4C4A17D"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26</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674256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Leonardo (2004)</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0CCD1D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The </w:t>
            </w:r>
            <w:proofErr w:type="spellStart"/>
            <w:r w:rsidRPr="00004C54">
              <w:rPr>
                <w:rFonts w:ascii="Aptos Narrow" w:eastAsia="Times New Roman" w:hAnsi="Aptos Narrow" w:cs="Times New Roman"/>
                <w:color w:val="000000"/>
                <w:kern w:val="0"/>
                <w:sz w:val="16"/>
                <w:szCs w:val="16"/>
                <w:lang w:eastAsia="en-GB"/>
                <w14:ligatures w14:val="none"/>
              </w:rPr>
              <w:t>Color</w:t>
            </w:r>
            <w:proofErr w:type="spellEnd"/>
            <w:r w:rsidRPr="00004C54">
              <w:rPr>
                <w:rFonts w:ascii="Aptos Narrow" w:eastAsia="Times New Roman" w:hAnsi="Aptos Narrow" w:cs="Times New Roman"/>
                <w:color w:val="000000"/>
                <w:kern w:val="0"/>
                <w:sz w:val="16"/>
                <w:szCs w:val="16"/>
                <w:lang w:eastAsia="en-GB"/>
                <w14:ligatures w14:val="none"/>
              </w:rPr>
              <w:t xml:space="preserve"> of Supremacy: Beyond the discourse of 'white privilege</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9A052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Educational Philosophy and Theory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BC3CAC2" w14:textId="580EF5BC"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Leonardo argues white supremacy operates structurally, not just through “privilege,” demanding </w:t>
            </w:r>
            <w:r w:rsidR="003354B0">
              <w:rPr>
                <w:rFonts w:ascii="Aptos Narrow" w:eastAsia="Times New Roman" w:hAnsi="Aptos Narrow" w:cs="Times New Roman"/>
                <w:color w:val="000000"/>
                <w:kern w:val="0"/>
                <w:sz w:val="16"/>
                <w:szCs w:val="16"/>
                <w:lang w:eastAsia="en-GB"/>
                <w14:ligatures w14:val="none"/>
              </w:rPr>
              <w:t xml:space="preserve">a </w:t>
            </w:r>
            <w:r w:rsidRPr="00004C54">
              <w:rPr>
                <w:rFonts w:ascii="Aptos Narrow" w:eastAsia="Times New Roman" w:hAnsi="Aptos Narrow" w:cs="Times New Roman"/>
                <w:color w:val="000000"/>
                <w:kern w:val="0"/>
                <w:sz w:val="16"/>
                <w:szCs w:val="16"/>
                <w:lang w:eastAsia="en-GB"/>
                <w14:ligatures w14:val="none"/>
              </w:rPr>
              <w:t>deeper critique of power sustaining racial domination in education.</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146536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4E3ABE8A"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BFCF80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lastRenderedPageBreak/>
              <w:t>27</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2C4647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Mahmud and Gagnon (2023)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34F301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Racial disparities in student outcomes in British higher education: examining mindsets and bias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F41989" w14:textId="52B12683"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Academic Journal</w:t>
            </w:r>
            <w:r w:rsidR="003354B0">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Teaching in Higher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84879E" w14:textId="0581CBB0"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Mahmud and Gagnon show </w:t>
            </w:r>
            <w:r w:rsidR="003354B0">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racial attainment gaps persist in UK higher education, shaped by implicit bias, mindsets, and unequal institutional experiences.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115392FD"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081F7EF9"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EAC8AAD"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28</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50E0D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Maylor (2008)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5CDA73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They do not relate to Black people like us': Black teachers as role models for Black pupils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D93C09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Journal of Education Policy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851419F" w14:textId="0A4804BF"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Maylor shows </w:t>
            </w:r>
            <w:r w:rsidR="003354B0">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Black teachers’ role</w:t>
            </w:r>
            <w:r w:rsidRPr="00004C54">
              <w:rPr>
                <w:rFonts w:ascii="Aptos Narrow" w:eastAsia="Times New Roman" w:hAnsi="Aptos Narrow" w:cs="Times New Roman"/>
                <w:color w:val="000000"/>
                <w:kern w:val="0"/>
                <w:sz w:val="16"/>
                <w:szCs w:val="16"/>
                <w:lang w:eastAsia="en-GB"/>
                <w14:ligatures w14:val="none"/>
              </w:rPr>
              <w:noBreakHyphen/>
              <w:t>model status is complex, shaped by pupils’ identification, racialised expectations, and school contexts that limit authentic connection.</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04F2A8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w:t>
            </w:r>
          </w:p>
        </w:tc>
      </w:tr>
      <w:tr w:rsidR="00004C54" w:rsidRPr="00004C54" w14:paraId="31146DCE"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B56C896"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29</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B59E9D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NAACP (2005)</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36C1A7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Dismantling The School-to-Prison Pipeline</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541419F" w14:textId="40C3C5E4"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literature NAACP Legal </w:t>
            </w:r>
            <w:r w:rsidR="003354B0">
              <w:rPr>
                <w:rFonts w:ascii="Aptos Narrow" w:eastAsia="Times New Roman" w:hAnsi="Aptos Narrow" w:cs="Times New Roman"/>
                <w:color w:val="000000"/>
                <w:kern w:val="0"/>
                <w:sz w:val="16"/>
                <w:szCs w:val="16"/>
                <w:lang w:eastAsia="en-GB"/>
                <w14:ligatures w14:val="none"/>
              </w:rPr>
              <w:t>Defence</w:t>
            </w:r>
            <w:r w:rsidRPr="00004C54">
              <w:rPr>
                <w:rFonts w:ascii="Aptos Narrow" w:eastAsia="Times New Roman" w:hAnsi="Aptos Narrow" w:cs="Times New Roman"/>
                <w:color w:val="000000"/>
                <w:kern w:val="0"/>
                <w:sz w:val="16"/>
                <w:szCs w:val="16"/>
                <w:lang w:eastAsia="en-GB"/>
                <w14:ligatures w14:val="none"/>
              </w:rPr>
              <w:t xml:space="preserve"> Fund advocacy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7F2F2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NAACP argues punitive school policies push marginalised children from classrooms into juvenile justice systems, urging structural reform to dismantle the school</w:t>
            </w:r>
            <w:r w:rsidRPr="00004C54">
              <w:rPr>
                <w:rFonts w:ascii="Aptos Narrow" w:eastAsia="Times New Roman" w:hAnsi="Aptos Narrow" w:cs="Times New Roman"/>
                <w:color w:val="000000"/>
                <w:kern w:val="0"/>
                <w:sz w:val="16"/>
                <w:szCs w:val="16"/>
                <w:lang w:eastAsia="en-GB"/>
                <w14:ligatures w14:val="none"/>
              </w:rPr>
              <w:noBreakHyphen/>
              <w:t>to</w:t>
            </w:r>
            <w:r w:rsidRPr="00004C54">
              <w:rPr>
                <w:rFonts w:ascii="Aptos Narrow" w:eastAsia="Times New Roman" w:hAnsi="Aptos Narrow" w:cs="Times New Roman"/>
                <w:color w:val="000000"/>
                <w:kern w:val="0"/>
                <w:sz w:val="16"/>
                <w:szCs w:val="16"/>
                <w:lang w:eastAsia="en-GB"/>
                <w14:ligatures w14:val="none"/>
              </w:rPr>
              <w:noBreakHyphen/>
              <w:t>prison pipeline.</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141B6F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4DCAEF63"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7C55664"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30</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890435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Nelson (2016)</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17575E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Relational Teaching with Black Boys: Strategies for Learning at a Single-Sex Middle School for Boys of </w:t>
            </w:r>
            <w:proofErr w:type="spellStart"/>
            <w:r w:rsidRPr="00004C54">
              <w:rPr>
                <w:rFonts w:ascii="Aptos Narrow" w:eastAsia="Times New Roman" w:hAnsi="Aptos Narrow" w:cs="Times New Roman"/>
                <w:color w:val="000000"/>
                <w:kern w:val="0"/>
                <w:sz w:val="16"/>
                <w:szCs w:val="16"/>
                <w:lang w:eastAsia="en-GB"/>
                <w14:ligatures w14:val="none"/>
              </w:rPr>
              <w:t>Color</w:t>
            </w:r>
            <w:proofErr w:type="spellEnd"/>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23898A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Teachers College Record, A Scholarly Academic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44021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Nelson shows relational, culturally responsive teaching strengthens Black boys’ engagement and achievement in a single</w:t>
            </w:r>
            <w:r w:rsidRPr="00004C54">
              <w:rPr>
                <w:rFonts w:ascii="Aptos Narrow" w:eastAsia="Times New Roman" w:hAnsi="Aptos Narrow" w:cs="Times New Roman"/>
                <w:color w:val="000000"/>
                <w:kern w:val="0"/>
                <w:sz w:val="16"/>
                <w:szCs w:val="16"/>
                <w:lang w:eastAsia="en-GB"/>
                <w14:ligatures w14:val="none"/>
              </w:rPr>
              <w:noBreakHyphen/>
              <w:t>sex school by prioritising trust, care, and high expectations.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C1070F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368EFE77" w14:textId="77777777">
        <w:trPr>
          <w:trHeight w:val="1296"/>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D4E92FC"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31</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A69CE9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proofErr w:type="gramStart"/>
            <w:r w:rsidRPr="00004C54">
              <w:rPr>
                <w:rFonts w:ascii="Aptos Narrow" w:eastAsia="Times New Roman" w:hAnsi="Aptos Narrow" w:cs="Times New Roman"/>
                <w:color w:val="000000"/>
                <w:kern w:val="0"/>
                <w:sz w:val="16"/>
                <w:szCs w:val="16"/>
                <w:lang w:eastAsia="en-GB"/>
                <w14:ligatures w14:val="none"/>
              </w:rPr>
              <w:t>Noguera( 2003</w:t>
            </w:r>
            <w:proofErr w:type="gramEnd"/>
            <w:r w:rsidRPr="00004C54">
              <w:rPr>
                <w:rFonts w:ascii="Aptos Narrow" w:eastAsia="Times New Roman" w:hAnsi="Aptos Narrow" w:cs="Times New Roman"/>
                <w:color w:val="000000"/>
                <w:kern w:val="0"/>
                <w:sz w:val="16"/>
                <w:szCs w:val="16"/>
                <w:lang w:eastAsia="en-GB"/>
                <w14:ligatures w14:val="none"/>
              </w:rPr>
              <w:t>)</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26AF2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Trouble with Black Boys: The Role and Influence of Environmental and Cultural Factors on the Academic Performance of African American Males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F1A252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Academic Journal Urban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910865E" w14:textId="67140153"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Noguera argues Black boys’ underachievement stems from structural inequalities, environmental stressors, and school practices that </w:t>
            </w:r>
            <w:proofErr w:type="spellStart"/>
            <w:r w:rsidR="002723F9">
              <w:rPr>
                <w:rFonts w:ascii="Aptos Narrow" w:eastAsia="Times New Roman" w:hAnsi="Aptos Narrow" w:cs="Times New Roman"/>
                <w:color w:val="000000"/>
                <w:kern w:val="0"/>
                <w:sz w:val="16"/>
                <w:szCs w:val="16"/>
                <w:lang w:eastAsia="en-GB"/>
                <w14:ligatures w14:val="none"/>
              </w:rPr>
              <w:t>pathologise</w:t>
            </w:r>
            <w:proofErr w:type="spellEnd"/>
            <w:r w:rsidRPr="00004C54">
              <w:rPr>
                <w:rFonts w:ascii="Aptos Narrow" w:eastAsia="Times New Roman" w:hAnsi="Aptos Narrow" w:cs="Times New Roman"/>
                <w:color w:val="000000"/>
                <w:kern w:val="0"/>
                <w:sz w:val="16"/>
                <w:szCs w:val="16"/>
                <w:lang w:eastAsia="en-GB"/>
                <w14:ligatures w14:val="none"/>
              </w:rPr>
              <w:t xml:space="preserve"> behaviour rather than support learning.</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9FF69E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0E17ACA"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26C4E782"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32</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AF23C9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Obara, Saiki, </w:t>
            </w:r>
            <w:proofErr w:type="spellStart"/>
            <w:r w:rsidRPr="00004C54">
              <w:rPr>
                <w:rFonts w:ascii="Aptos Narrow" w:eastAsia="Times New Roman" w:hAnsi="Aptos Narrow" w:cs="Times New Roman"/>
                <w:color w:val="000000"/>
                <w:kern w:val="0"/>
                <w:sz w:val="16"/>
                <w:szCs w:val="16"/>
                <w:lang w:eastAsia="en-GB"/>
                <w14:ligatures w14:val="none"/>
              </w:rPr>
              <w:t>Imafuku</w:t>
            </w:r>
            <w:proofErr w:type="spellEnd"/>
            <w:r w:rsidRPr="00004C54">
              <w:rPr>
                <w:rFonts w:ascii="Aptos Narrow" w:eastAsia="Times New Roman" w:hAnsi="Aptos Narrow" w:cs="Times New Roman"/>
                <w:color w:val="000000"/>
                <w:kern w:val="0"/>
                <w:sz w:val="16"/>
                <w:szCs w:val="16"/>
                <w:lang w:eastAsia="en-GB"/>
                <w14:ligatures w14:val="none"/>
              </w:rPr>
              <w:t>, Fujisaki and Suzuki (2021)</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A0C63C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Influence of national culture on mentoring relationship</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5D603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BMC Medical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1425A9B" w14:textId="0358EE30"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Obara et al. show </w:t>
            </w:r>
            <w:r w:rsidR="002723F9">
              <w:rPr>
                <w:rFonts w:ascii="Aptos Narrow" w:eastAsia="Times New Roman" w:hAnsi="Aptos Narrow" w:cs="Times New Roman"/>
                <w:color w:val="000000"/>
                <w:kern w:val="0"/>
                <w:sz w:val="16"/>
                <w:szCs w:val="16"/>
                <w:lang w:eastAsia="en-GB"/>
                <w14:ligatures w14:val="none"/>
              </w:rPr>
              <w:t>that Japanese mentoring reflects national cultural norms—hierarchy, collectivism, and paternalism—shaping mentees’ expectations, dependency, and long-term</w:t>
            </w:r>
            <w:r w:rsidRPr="00004C54">
              <w:rPr>
                <w:rFonts w:ascii="Aptos Narrow" w:eastAsia="Times New Roman" w:hAnsi="Aptos Narrow" w:cs="Times New Roman"/>
                <w:color w:val="000000"/>
                <w:kern w:val="0"/>
                <w:sz w:val="16"/>
                <w:szCs w:val="16"/>
                <w:lang w:eastAsia="en-GB"/>
                <w14:ligatures w14:val="none"/>
              </w:rPr>
              <w:t xml:space="preserve"> mentor relationships.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599AC0C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02A9B0C1"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5306696"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33</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CDC3BB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Ofsted (2005) </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7ECCB2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Race equality in further education: a report by HMI</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23A7CEB" w14:textId="295EB01B"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2723F9">
              <w:rPr>
                <w:rFonts w:ascii="Aptos Narrow" w:eastAsia="Times New Roman" w:hAnsi="Aptos Narrow" w:cs="Times New Roman"/>
                <w:color w:val="000000"/>
                <w:kern w:val="0"/>
                <w:sz w:val="16"/>
                <w:szCs w:val="16"/>
                <w:lang w:eastAsia="en-GB"/>
                <w14:ligatures w14:val="none"/>
              </w:rPr>
              <w:t>L</w:t>
            </w:r>
            <w:r w:rsidRPr="00004C54">
              <w:rPr>
                <w:rFonts w:ascii="Aptos Narrow" w:eastAsia="Times New Roman" w:hAnsi="Aptos Narrow" w:cs="Times New Roman"/>
                <w:color w:val="000000"/>
                <w:kern w:val="0"/>
                <w:sz w:val="16"/>
                <w:szCs w:val="16"/>
                <w:lang w:eastAsia="en-GB"/>
                <w14:ligatures w14:val="none"/>
              </w:rPr>
              <w:t>iterature</w:t>
            </w:r>
            <w:r w:rsidR="002723F9">
              <w:rPr>
                <w:rFonts w:ascii="Aptos Narrow" w:eastAsia="Times New Roman" w:hAnsi="Aptos Narrow" w:cs="Times New Roman"/>
                <w:color w:val="000000"/>
                <w:kern w:val="0"/>
                <w:sz w:val="16"/>
                <w:szCs w:val="16"/>
                <w:lang w:eastAsia="en-GB"/>
                <w14:ligatures w14:val="none"/>
              </w:rPr>
              <w:t xml:space="preserve">: </w:t>
            </w:r>
            <w:r w:rsidRPr="00004C54">
              <w:rPr>
                <w:rFonts w:ascii="Aptos Narrow" w:eastAsia="Times New Roman" w:hAnsi="Aptos Narrow" w:cs="Times New Roman"/>
                <w:color w:val="000000"/>
                <w:kern w:val="0"/>
                <w:sz w:val="16"/>
                <w:szCs w:val="16"/>
                <w:lang w:eastAsia="en-GB"/>
                <w14:ligatures w14:val="none"/>
              </w:rPr>
              <w:t xml:space="preserve">Ofsted </w:t>
            </w:r>
            <w:r w:rsidR="002723F9">
              <w:rPr>
                <w:rFonts w:ascii="Aptos Narrow" w:eastAsia="Times New Roman" w:hAnsi="Aptos Narrow" w:cs="Times New Roman"/>
                <w:color w:val="000000"/>
                <w:kern w:val="0"/>
                <w:sz w:val="16"/>
                <w:szCs w:val="16"/>
                <w:lang w:eastAsia="en-GB"/>
                <w14:ligatures w14:val="none"/>
              </w:rPr>
              <w:t>G</w:t>
            </w:r>
            <w:r w:rsidRPr="00004C54">
              <w:rPr>
                <w:rFonts w:ascii="Aptos Narrow" w:eastAsia="Times New Roman" w:hAnsi="Aptos Narrow" w:cs="Times New Roman"/>
                <w:color w:val="000000"/>
                <w:kern w:val="0"/>
                <w:sz w:val="16"/>
                <w:szCs w:val="16"/>
                <w:lang w:eastAsia="en-GB"/>
                <w14:ligatures w14:val="none"/>
              </w:rPr>
              <w:t xml:space="preserve">overnment </w:t>
            </w:r>
            <w:r w:rsidR="002723F9">
              <w:rPr>
                <w:rFonts w:ascii="Aptos Narrow" w:eastAsia="Times New Roman" w:hAnsi="Aptos Narrow" w:cs="Times New Roman"/>
                <w:color w:val="000000"/>
                <w:kern w:val="0"/>
                <w:sz w:val="16"/>
                <w:szCs w:val="16"/>
                <w:lang w:eastAsia="en-GB"/>
                <w14:ligatures w14:val="none"/>
              </w:rPr>
              <w:t>I</w:t>
            </w:r>
            <w:r w:rsidRPr="00004C54">
              <w:rPr>
                <w:rFonts w:ascii="Aptos Narrow" w:eastAsia="Times New Roman" w:hAnsi="Aptos Narrow" w:cs="Times New Roman"/>
                <w:color w:val="000000"/>
                <w:kern w:val="0"/>
                <w:sz w:val="16"/>
                <w:szCs w:val="16"/>
                <w:lang w:eastAsia="en-GB"/>
                <w14:ligatures w14:val="none"/>
              </w:rPr>
              <w:t xml:space="preserve">nspection </w:t>
            </w:r>
            <w:r w:rsidR="002723F9">
              <w:rPr>
                <w:rFonts w:ascii="Aptos Narrow" w:eastAsia="Times New Roman" w:hAnsi="Aptos Narrow" w:cs="Times New Roman"/>
                <w:color w:val="000000"/>
                <w:kern w:val="0"/>
                <w:sz w:val="16"/>
                <w:szCs w:val="16"/>
                <w:lang w:eastAsia="en-GB"/>
                <w14:ligatures w14:val="none"/>
              </w:rPr>
              <w:t>R</w:t>
            </w:r>
            <w:r w:rsidRPr="00004C54">
              <w:rPr>
                <w:rFonts w:ascii="Aptos Narrow" w:eastAsia="Times New Roman" w:hAnsi="Aptos Narrow" w:cs="Times New Roman"/>
                <w:color w:val="000000"/>
                <w:kern w:val="0"/>
                <w:sz w:val="16"/>
                <w:szCs w:val="16"/>
                <w:lang w:eastAsia="en-GB"/>
                <w14:ligatures w14:val="none"/>
              </w:rPr>
              <w:t>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8D736D6"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Ofsted found inconsistent progress on race equality in FE colleges, with persistent gaps and weak strategic action limiting meaningful improvement.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35F862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1B39BE88"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2EE8CE4"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34</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49FEA2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Office of the Children’s Commissioner (OCC) (2012)</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5E7F86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Reports on exclusions (manifesto/children's commissioner outputs)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F30328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Official Children’s Commissioner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70FFD1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Children’s Commissioner urges stronger protections, support, and accountability to reduce exclusions and ensure children’s rights and wellbeing are prioritised in education.</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3B6E8D91"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DDAAC9D"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114F2C7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35</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56AA362"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Ofsted (2006)</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70AB6A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Ofsted Departmental Report 2006-07</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10CF1AA" w14:textId="23BC986E"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7064F6">
              <w:rPr>
                <w:rFonts w:ascii="Aptos Narrow" w:eastAsia="Times New Roman" w:hAnsi="Aptos Narrow" w:cs="Times New Roman"/>
                <w:color w:val="000000"/>
                <w:kern w:val="0"/>
                <w:sz w:val="16"/>
                <w:szCs w:val="16"/>
                <w:lang w:eastAsia="en-GB"/>
                <w14:ligatures w14:val="none"/>
              </w:rPr>
              <w:t>Literature</w:t>
            </w:r>
            <w:r w:rsidRPr="00004C54">
              <w:rPr>
                <w:rFonts w:ascii="Aptos Narrow" w:eastAsia="Times New Roman" w:hAnsi="Aptos Narrow" w:cs="Times New Roman"/>
                <w:color w:val="000000"/>
                <w:kern w:val="0"/>
                <w:sz w:val="16"/>
                <w:szCs w:val="16"/>
                <w:lang w:eastAsia="en-GB"/>
                <w14:ligatures w14:val="none"/>
              </w:rPr>
              <w:t xml:space="preserve"> Ofsted Departmental/Government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89FE2EC"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Ofsted outlines inspection activity, performance priorities, and system challenges, highlighting efforts to improve educational standards, accountability, and service effectiveness in 2006–07.</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18D13B3F"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737A9A1E"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91CDCE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36</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524F0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Ogbonna (2019)</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7AF58C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uneasy alliance of organisational culture and equal opportunities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CEC8BF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Human Resource Management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C2C192" w14:textId="0D48207E"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Ogbonna argues </w:t>
            </w:r>
            <w:r w:rsidR="007064F6">
              <w:rPr>
                <w:rFonts w:ascii="Aptos Narrow" w:eastAsia="Times New Roman" w:hAnsi="Aptos Narrow" w:cs="Times New Roman"/>
                <w:color w:val="000000"/>
                <w:kern w:val="0"/>
                <w:sz w:val="16"/>
                <w:szCs w:val="16"/>
                <w:lang w:eastAsia="en-GB"/>
                <w14:ligatures w14:val="none"/>
              </w:rPr>
              <w:t xml:space="preserve">that organisational cultures often undermine equal </w:t>
            </w:r>
            <w:r w:rsidRPr="00004C54">
              <w:rPr>
                <w:rFonts w:ascii="Aptos Narrow" w:eastAsia="Times New Roman" w:hAnsi="Aptos Narrow" w:cs="Times New Roman"/>
                <w:color w:val="000000"/>
                <w:kern w:val="0"/>
                <w:sz w:val="16"/>
                <w:szCs w:val="16"/>
                <w:lang w:eastAsia="en-GB"/>
                <w14:ligatures w14:val="none"/>
              </w:rPr>
              <w:t>opportunities initiatives, creating tension between stated commitments and everyday practices that reproduce inequality.</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F88F061"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r>
      <w:tr w:rsidR="00004C54" w:rsidRPr="00004C54" w14:paraId="379DEBF4"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1776BD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37</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D718D3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ONS (2020)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84477D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Crime in England and Wales: year ending March 2020</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5B53CC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ONS Official Statistical Bulletin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EA874B" w14:textId="6781B27E" w:rsidR="00004C54" w:rsidRPr="00004C54" w:rsidRDefault="007064F6"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Pr>
                <w:rFonts w:ascii="Aptos Narrow" w:eastAsia="Times New Roman" w:hAnsi="Aptos Narrow" w:cs="Times New Roman"/>
                <w:color w:val="000000"/>
                <w:kern w:val="0"/>
                <w:sz w:val="16"/>
                <w:szCs w:val="16"/>
                <w:lang w:eastAsia="en-GB"/>
                <w14:ligatures w14:val="none"/>
              </w:rPr>
              <w:t>The Office for National Statistics (ONS) reports that overall crime fell by 9%, while police-recorded crime rose by 3%, driven by increases in fraud, computer misuse,</w:t>
            </w:r>
            <w:r w:rsidR="00004C54" w:rsidRPr="00004C54">
              <w:rPr>
                <w:rFonts w:ascii="Aptos Narrow" w:eastAsia="Times New Roman" w:hAnsi="Aptos Narrow" w:cs="Times New Roman"/>
                <w:color w:val="000000"/>
                <w:kern w:val="0"/>
                <w:sz w:val="16"/>
                <w:szCs w:val="16"/>
                <w:lang w:eastAsia="en-GB"/>
                <w14:ligatures w14:val="none"/>
              </w:rPr>
              <w:t xml:space="preserve"> and violence.</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4554DF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6FB376B5"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071D1F2"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lastRenderedPageBreak/>
              <w:t>38</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9016B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ONS (2021)</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7C54B1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Ethnic group, national identity and religion</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DEA9E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Official Government Statistical/Methodology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72959C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ONS outlines classifications for ethnicity, national identity, and religion, providing standardised categories to ensure consistent measurement across UK data collections.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3867584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05DA7C5"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2DDFDC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39</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95EB20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Perera (2020)</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0DFDF5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How Black Working-Class Youth Are Criminalised and Excluded in the English School System: A London Case Study</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78762E0" w14:textId="187BF72A"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7064F6">
              <w:rPr>
                <w:rFonts w:ascii="Aptos Narrow" w:eastAsia="Times New Roman" w:hAnsi="Aptos Narrow" w:cs="Times New Roman"/>
                <w:color w:val="000000"/>
                <w:kern w:val="0"/>
                <w:sz w:val="16"/>
                <w:szCs w:val="16"/>
                <w:lang w:eastAsia="en-GB"/>
                <w14:ligatures w14:val="none"/>
              </w:rPr>
              <w:t>Literature</w:t>
            </w:r>
            <w:r w:rsidRPr="00004C54">
              <w:rPr>
                <w:rFonts w:ascii="Aptos Narrow" w:eastAsia="Times New Roman" w:hAnsi="Aptos Narrow" w:cs="Times New Roman"/>
                <w:color w:val="000000"/>
                <w:kern w:val="0"/>
                <w:sz w:val="16"/>
                <w:szCs w:val="16"/>
                <w:lang w:eastAsia="en-GB"/>
                <w14:ligatures w14:val="none"/>
              </w:rPr>
              <w:t xml:space="preserve"> Institute of Race Relations Report</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FE8D82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Perera shows Black working</w:t>
            </w:r>
            <w:r w:rsidRPr="00004C54">
              <w:rPr>
                <w:rFonts w:ascii="Aptos Narrow" w:eastAsia="Times New Roman" w:hAnsi="Aptos Narrow" w:cs="Times New Roman"/>
                <w:color w:val="000000"/>
                <w:kern w:val="0"/>
                <w:sz w:val="16"/>
                <w:szCs w:val="16"/>
                <w:lang w:eastAsia="en-GB"/>
                <w14:ligatures w14:val="none"/>
              </w:rPr>
              <w:noBreakHyphen/>
              <w:t>class youth in London are criminalised through surveillance, exclusions and racialised school practices that restrict support and opportunity.</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2BA4E6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70987ECF"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3FA03D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40</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7114D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Peters (2015)</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391A27"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Why is My Curriculum White?</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3AD1DC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Educational Philosophy and Theory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35C9D22"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Peters argues curricula remain dominated by white epistemologies, marginalising non</w:t>
            </w:r>
            <w:r w:rsidRPr="00004C54">
              <w:rPr>
                <w:rFonts w:ascii="Aptos Narrow" w:eastAsia="Times New Roman" w:hAnsi="Aptos Narrow" w:cs="Times New Roman"/>
                <w:color w:val="000000"/>
                <w:kern w:val="0"/>
                <w:sz w:val="16"/>
                <w:szCs w:val="16"/>
                <w:lang w:eastAsia="en-GB"/>
                <w14:ligatures w14:val="none"/>
              </w:rPr>
              <w:noBreakHyphen/>
              <w:t>White knowledge and demanding structural decolonisation of educational philosophy and practice.</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304F786"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3146A3C7"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2545AEB5"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41</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D4C28B2"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Pilkington (2013)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DC237C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interacting dynamics of institutional racism in higher education</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EE3156D" w14:textId="6CB0E21E"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Race</w:t>
            </w:r>
            <w:r w:rsidR="007064F6">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Ethnicity</w:t>
            </w:r>
            <w:r w:rsidR="007064F6">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and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B9D6B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Pilkington shows cultural, structural and institutional processes interact to reproduce racial inequalities, revealing how racism persists within UK higher</w:t>
            </w:r>
            <w:r w:rsidRPr="00004C54">
              <w:rPr>
                <w:rFonts w:ascii="Aptos Narrow" w:eastAsia="Times New Roman" w:hAnsi="Aptos Narrow" w:cs="Times New Roman"/>
                <w:color w:val="000000"/>
                <w:kern w:val="0"/>
                <w:sz w:val="16"/>
                <w:szCs w:val="16"/>
                <w:lang w:eastAsia="en-GB"/>
                <w14:ligatures w14:val="none"/>
              </w:rPr>
              <w:noBreakHyphen/>
              <w:t>education systems.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C6F9F8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0E4AE484"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E05DE8F"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42</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23808E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Richardson (2018)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BAC14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Understanding the Under-Attainment of Ethnic Minority Students in UK Higher Education</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96FEC4" w14:textId="6F66FC8C"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Grey </w:t>
            </w:r>
            <w:r w:rsidR="007064F6">
              <w:rPr>
                <w:rFonts w:ascii="Aptos Narrow" w:eastAsia="Times New Roman" w:hAnsi="Aptos Narrow" w:cs="Times New Roman"/>
                <w:color w:val="000000"/>
                <w:kern w:val="0"/>
                <w:sz w:val="16"/>
                <w:szCs w:val="16"/>
                <w:lang w:eastAsia="en-GB"/>
                <w14:ligatures w14:val="none"/>
              </w:rPr>
              <w:t>L</w:t>
            </w:r>
            <w:r w:rsidR="007064F6" w:rsidRPr="00004C54">
              <w:rPr>
                <w:rFonts w:ascii="Aptos Narrow" w:eastAsia="Times New Roman" w:hAnsi="Aptos Narrow" w:cs="Times New Roman"/>
                <w:color w:val="000000"/>
                <w:kern w:val="0"/>
                <w:sz w:val="16"/>
                <w:szCs w:val="16"/>
                <w:lang w:eastAsia="en-GB"/>
                <w14:ligatures w14:val="none"/>
              </w:rPr>
              <w:t>iterature Book</w:t>
            </w:r>
            <w:r w:rsidRPr="00004C54">
              <w:rPr>
                <w:rFonts w:ascii="Aptos Narrow" w:eastAsia="Times New Roman" w:hAnsi="Aptos Narrow" w:cs="Times New Roman"/>
                <w:color w:val="000000"/>
                <w:kern w:val="0"/>
                <w:sz w:val="16"/>
                <w:szCs w:val="16"/>
                <w:lang w:eastAsia="en-GB"/>
                <w14:ligatures w14:val="none"/>
              </w:rPr>
              <w:t xml:space="preserve"> Chapter in an Edited Scholarly Volume</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0B883D6" w14:textId="5CF38A5B"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Richardson argues </w:t>
            </w:r>
            <w:r w:rsidR="007064F6">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ethnic</w:t>
            </w:r>
            <w:r w:rsidRPr="00004C54">
              <w:rPr>
                <w:rFonts w:ascii="Aptos Narrow" w:eastAsia="Times New Roman" w:hAnsi="Aptos Narrow" w:cs="Times New Roman"/>
                <w:color w:val="000000"/>
                <w:kern w:val="0"/>
                <w:sz w:val="16"/>
                <w:szCs w:val="16"/>
                <w:lang w:eastAsia="en-GB"/>
                <w14:ligatures w14:val="none"/>
              </w:rPr>
              <w:noBreakHyphen/>
              <w:t>minority under</w:t>
            </w:r>
            <w:r w:rsidRPr="00004C54">
              <w:rPr>
                <w:rFonts w:ascii="Aptos Narrow" w:eastAsia="Times New Roman" w:hAnsi="Aptos Narrow" w:cs="Times New Roman"/>
                <w:color w:val="000000"/>
                <w:kern w:val="0"/>
                <w:sz w:val="16"/>
                <w:szCs w:val="16"/>
                <w:lang w:eastAsia="en-GB"/>
                <w14:ligatures w14:val="none"/>
              </w:rPr>
              <w:noBreakHyphen/>
              <w:t>attainment stems from structural racism, limited institutional action, and persistent evidence gaps shaping unequal UK higher</w:t>
            </w:r>
            <w:r w:rsidRPr="00004C54">
              <w:rPr>
                <w:rFonts w:ascii="Aptos Narrow" w:eastAsia="Times New Roman" w:hAnsi="Aptos Narrow" w:cs="Times New Roman"/>
                <w:color w:val="000000"/>
                <w:kern w:val="0"/>
                <w:sz w:val="16"/>
                <w:szCs w:val="16"/>
                <w:lang w:eastAsia="en-GB"/>
                <w14:ligatures w14:val="none"/>
              </w:rPr>
              <w:noBreakHyphen/>
              <w:t>education outcomes.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21A69265"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1B4F037A"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A2D5BC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43</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274B4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Scandura (1992) </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380603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Mentorship and Career Mobility</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EF76A35" w14:textId="28776568"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 xml:space="preserve">reviewed Journal of </w:t>
            </w:r>
            <w:r w:rsidR="007064F6">
              <w:rPr>
                <w:rFonts w:ascii="Aptos Narrow" w:eastAsia="Times New Roman" w:hAnsi="Aptos Narrow" w:cs="Times New Roman"/>
                <w:color w:val="000000"/>
                <w:kern w:val="0"/>
                <w:sz w:val="16"/>
                <w:szCs w:val="16"/>
                <w:lang w:eastAsia="en-GB"/>
                <w14:ligatures w14:val="none"/>
              </w:rPr>
              <w:t>Organizational</w:t>
            </w:r>
            <w:r w:rsidRPr="00004C54">
              <w:rPr>
                <w:rFonts w:ascii="Aptos Narrow" w:eastAsia="Times New Roman" w:hAnsi="Aptos Narrow" w:cs="Times New Roman"/>
                <w:color w:val="000000"/>
                <w:kern w:val="0"/>
                <w:sz w:val="16"/>
                <w:szCs w:val="16"/>
                <w:lang w:eastAsia="en-GB"/>
                <w14:ligatures w14:val="none"/>
              </w:rPr>
              <w:t xml:space="preserve"> </w:t>
            </w:r>
            <w:r w:rsidR="007064F6" w:rsidRPr="00004C54">
              <w:rPr>
                <w:rFonts w:ascii="Aptos Narrow" w:eastAsia="Times New Roman" w:hAnsi="Aptos Narrow" w:cs="Times New Roman"/>
                <w:color w:val="000000"/>
                <w:kern w:val="0"/>
                <w:sz w:val="16"/>
                <w:szCs w:val="16"/>
                <w:lang w:eastAsia="en-GB"/>
                <w14:ligatures w14:val="none"/>
              </w:rPr>
              <w:t>Behaviour</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4B23963" w14:textId="18BAC4D8"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Scandura finds </w:t>
            </w:r>
            <w:r w:rsidR="007064F6">
              <w:rPr>
                <w:rFonts w:ascii="Aptos Narrow" w:eastAsia="Times New Roman" w:hAnsi="Aptos Narrow" w:cs="Times New Roman"/>
                <w:color w:val="000000"/>
                <w:kern w:val="0"/>
                <w:sz w:val="16"/>
                <w:szCs w:val="16"/>
                <w:lang w:eastAsia="en-GB"/>
                <w14:ligatures w14:val="none"/>
              </w:rPr>
              <w:t xml:space="preserve">that mentorship enhances career mobility by increasing opportunities, support, and advancement, and that strong mentor–protégé relationships are </w:t>
            </w:r>
            <w:r w:rsidRPr="00004C54">
              <w:rPr>
                <w:rFonts w:ascii="Aptos Narrow" w:eastAsia="Times New Roman" w:hAnsi="Aptos Narrow" w:cs="Times New Roman"/>
                <w:color w:val="000000"/>
                <w:kern w:val="0"/>
                <w:sz w:val="16"/>
                <w:szCs w:val="16"/>
                <w:lang w:eastAsia="en-GB"/>
                <w14:ligatures w14:val="none"/>
              </w:rPr>
              <w:t>linked to greater career success.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0450656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r>
      <w:tr w:rsidR="00004C54" w:rsidRPr="00004C54" w14:paraId="3A30083C"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414517BE"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44</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2ACA54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Schmader and Johns (2003)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44C37D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Converging Evidence That Stereotype Threat Reduces Working Memory Capacity</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B06A6F7" w14:textId="717C19DD"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r>
            <w:r w:rsidR="007064F6" w:rsidRPr="00004C54">
              <w:rPr>
                <w:rFonts w:ascii="Aptos Narrow" w:eastAsia="Times New Roman" w:hAnsi="Aptos Narrow" w:cs="Times New Roman"/>
                <w:color w:val="000000"/>
                <w:kern w:val="0"/>
                <w:sz w:val="16"/>
                <w:szCs w:val="16"/>
                <w:lang w:eastAsia="en-GB"/>
                <w14:ligatures w14:val="none"/>
              </w:rPr>
              <w:t>reviewed Journal</w:t>
            </w:r>
            <w:r w:rsidRPr="00004C54">
              <w:rPr>
                <w:rFonts w:ascii="Aptos Narrow" w:eastAsia="Times New Roman" w:hAnsi="Aptos Narrow" w:cs="Times New Roman"/>
                <w:color w:val="000000"/>
                <w:kern w:val="0"/>
                <w:sz w:val="16"/>
                <w:szCs w:val="16"/>
                <w:lang w:eastAsia="en-GB"/>
                <w14:ligatures w14:val="none"/>
              </w:rPr>
              <w:t xml:space="preserve"> of Personality and Social Psychology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9404199" w14:textId="32FF96BF"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Schmader and Johns show </w:t>
            </w:r>
            <w:r w:rsidR="007064F6">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stereotype threat impairs performance by reducing working</w:t>
            </w:r>
            <w:r w:rsidR="007064F6">
              <w:rPr>
                <w:rFonts w:ascii="Aptos Narrow" w:eastAsia="Times New Roman" w:hAnsi="Aptos Narrow" w:cs="Times New Roman"/>
                <w:color w:val="000000"/>
                <w:kern w:val="0"/>
                <w:sz w:val="16"/>
                <w:szCs w:val="16"/>
                <w:lang w:eastAsia="en-GB"/>
                <w14:ligatures w14:val="none"/>
              </w:rPr>
              <w:t xml:space="preserve"> memory capacity, thereby limiting the </w:t>
            </w:r>
            <w:r w:rsidRPr="00004C54">
              <w:rPr>
                <w:rFonts w:ascii="Aptos Narrow" w:eastAsia="Times New Roman" w:hAnsi="Aptos Narrow" w:cs="Times New Roman"/>
                <w:color w:val="000000"/>
                <w:kern w:val="0"/>
                <w:sz w:val="16"/>
                <w:szCs w:val="16"/>
                <w:lang w:eastAsia="en-GB"/>
                <w14:ligatures w14:val="none"/>
              </w:rPr>
              <w:t>cognitive resources needed for complex tasks.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41216BC4"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r>
      <w:tr w:rsidR="00004C54" w:rsidRPr="00004C54" w14:paraId="61E20488"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FB8AAF4"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45</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A83459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Sewell (2004) </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911310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Work on Black boys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392D9D3"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Grey literature Book/Chapter</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3BB25EF"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Sewell argues Black boys develop resistant masculinities in response to school racism, highlighting identity negotiation, peer dynamics, and the need for supportive structures.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3DAAF0BB"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422A402F"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36D4C40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46</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B7011BD"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Strand (2012)</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5653C0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The White British–Black Caribbean achievement gap</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7BDA800"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British Educational Research Journal</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1E2C359"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Strand finds a persistent White British–Black Caribbean attainment gap driven by socioeconomic factors, school practices, and differential teacher expectations.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436CDB6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3*</w:t>
            </w:r>
          </w:p>
        </w:tc>
      </w:tr>
      <w:tr w:rsidR="00004C54" w:rsidRPr="00004C54" w14:paraId="12092D2B"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69ED1A45"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47</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815C90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Tate and Bagguley (2017)</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6CE8E2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Building the anti-racist university: next steps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D2F4761" w14:textId="616E67EC"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Race</w:t>
            </w:r>
            <w:r w:rsidR="007064F6">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Ethnicity</w:t>
            </w:r>
            <w:r w:rsidR="007064F6">
              <w:rPr>
                <w:rFonts w:ascii="Aptos Narrow" w:eastAsia="Times New Roman" w:hAnsi="Aptos Narrow" w:cs="Times New Roman"/>
                <w:color w:val="000000"/>
                <w:kern w:val="0"/>
                <w:sz w:val="16"/>
                <w:szCs w:val="16"/>
                <w:lang w:eastAsia="en-GB"/>
                <w14:ligatures w14:val="none"/>
              </w:rPr>
              <w:t>,</w:t>
            </w:r>
            <w:r w:rsidRPr="00004C54">
              <w:rPr>
                <w:rFonts w:ascii="Aptos Narrow" w:eastAsia="Times New Roman" w:hAnsi="Aptos Narrow" w:cs="Times New Roman"/>
                <w:color w:val="000000"/>
                <w:kern w:val="0"/>
                <w:sz w:val="16"/>
                <w:szCs w:val="16"/>
                <w:lang w:eastAsia="en-GB"/>
                <w14:ligatures w14:val="none"/>
              </w:rPr>
              <w:t xml:space="preserve"> and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9D22157" w14:textId="09CA2DA6"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Tate and Bagguley argue </w:t>
            </w:r>
            <w:r w:rsidR="007064F6">
              <w:rPr>
                <w:rFonts w:ascii="Aptos Narrow" w:eastAsia="Times New Roman" w:hAnsi="Aptos Narrow" w:cs="Times New Roman"/>
                <w:color w:val="000000"/>
                <w:kern w:val="0"/>
                <w:sz w:val="16"/>
                <w:szCs w:val="16"/>
                <w:lang w:eastAsia="en-GB"/>
                <w14:ligatures w14:val="none"/>
              </w:rPr>
              <w:t xml:space="preserve">that </w:t>
            </w:r>
            <w:r w:rsidRPr="00004C54">
              <w:rPr>
                <w:rFonts w:ascii="Aptos Narrow" w:eastAsia="Times New Roman" w:hAnsi="Aptos Narrow" w:cs="Times New Roman"/>
                <w:color w:val="000000"/>
                <w:kern w:val="0"/>
                <w:sz w:val="16"/>
                <w:szCs w:val="16"/>
                <w:lang w:eastAsia="en-GB"/>
                <w14:ligatures w14:val="none"/>
              </w:rPr>
              <w:t>universities must confront whiteness, embed anti</w:t>
            </w:r>
            <w:r w:rsidRPr="00004C54">
              <w:rPr>
                <w:rFonts w:ascii="Aptos Narrow" w:eastAsia="Times New Roman" w:hAnsi="Aptos Narrow" w:cs="Times New Roman"/>
                <w:color w:val="000000"/>
                <w:kern w:val="0"/>
                <w:sz w:val="16"/>
                <w:szCs w:val="16"/>
                <w:lang w:eastAsia="en-GB"/>
                <w14:ligatures w14:val="none"/>
              </w:rPr>
              <w:noBreakHyphen/>
              <w:t>racist structures, and transform institutional cultures to achieve genuine racial equity.</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D55DCEC"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7E15ABC6"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05167F9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48</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B29D42B"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Thomson and Pennacchia (2016)</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EBD495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Disciplinary regimes of ‘care’ and complementary alternative education</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EB27E2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Critical Studies in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09E237E"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Thomson and Pennacchia show alternative education uses “care” as disciplinary control, shaping student behaviour while masking exclusionary, regulatory practices.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4DC44847"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05A64B65"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206BCA63"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49</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3FEA64"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Tsui, Egan and O’Reilly (1992)</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90FE18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Being Different: Relational Demography and Organizational Attachment</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14C0B22" w14:textId="0C7D9D1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r>
            <w:r w:rsidR="007064F6" w:rsidRPr="00004C54">
              <w:rPr>
                <w:rFonts w:ascii="Aptos Narrow" w:eastAsia="Times New Roman" w:hAnsi="Aptos Narrow" w:cs="Times New Roman"/>
                <w:color w:val="000000"/>
                <w:kern w:val="0"/>
                <w:sz w:val="16"/>
                <w:szCs w:val="16"/>
                <w:lang w:eastAsia="en-GB"/>
                <w14:ligatures w14:val="none"/>
              </w:rPr>
              <w:t>reviewed Administrative</w:t>
            </w:r>
            <w:r w:rsidRPr="00004C54">
              <w:rPr>
                <w:rFonts w:ascii="Aptos Narrow" w:eastAsia="Times New Roman" w:hAnsi="Aptos Narrow" w:cs="Times New Roman"/>
                <w:color w:val="000000"/>
                <w:kern w:val="0"/>
                <w:sz w:val="16"/>
                <w:szCs w:val="16"/>
                <w:lang w:eastAsia="en-GB"/>
                <w14:ligatures w14:val="none"/>
              </w:rPr>
              <w:t xml:space="preserve"> Science Quarterly</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D53B9F8" w14:textId="024587BF"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Tsui, Egan and O’Reilly show </w:t>
            </w:r>
            <w:r w:rsidR="007064F6">
              <w:rPr>
                <w:rFonts w:ascii="Aptos Narrow" w:eastAsia="Times New Roman" w:hAnsi="Aptos Narrow" w:cs="Times New Roman"/>
                <w:color w:val="000000"/>
                <w:kern w:val="0"/>
                <w:sz w:val="16"/>
                <w:szCs w:val="16"/>
                <w:lang w:eastAsia="en-GB"/>
                <w14:ligatures w14:val="none"/>
              </w:rPr>
              <w:t>that demographic differences from coworkers reduce</w:t>
            </w:r>
            <w:r w:rsidRPr="00004C54">
              <w:rPr>
                <w:rFonts w:ascii="Aptos Narrow" w:eastAsia="Times New Roman" w:hAnsi="Aptos Narrow" w:cs="Times New Roman"/>
                <w:color w:val="000000"/>
                <w:kern w:val="0"/>
                <w:sz w:val="16"/>
                <w:szCs w:val="16"/>
                <w:lang w:eastAsia="en-GB"/>
                <w14:ligatures w14:val="none"/>
              </w:rPr>
              <w:t xml:space="preserve"> attachment, as dissimilarity heightens isolation, lowers inclusion, and weakens organisational commitment.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701235C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4*</w:t>
            </w:r>
          </w:p>
        </w:tc>
      </w:tr>
      <w:tr w:rsidR="00004C54" w:rsidRPr="00004C54" w14:paraId="5DD9807C" w14:textId="77777777">
        <w:trPr>
          <w:trHeight w:val="864"/>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57A72068"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lastRenderedPageBreak/>
              <w:t>50</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19310E5"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 xml:space="preserve">Wanberg, Welsh and </w:t>
            </w:r>
            <w:proofErr w:type="spellStart"/>
            <w:r w:rsidRPr="00004C54">
              <w:rPr>
                <w:rFonts w:ascii="Aptos Narrow" w:eastAsia="Times New Roman" w:hAnsi="Aptos Narrow" w:cs="Times New Roman"/>
                <w:color w:val="000000"/>
                <w:kern w:val="0"/>
                <w:sz w:val="16"/>
                <w:szCs w:val="16"/>
                <w:lang w:eastAsia="en-GB"/>
                <w14:ligatures w14:val="none"/>
              </w:rPr>
              <w:t>Hezlett</w:t>
            </w:r>
            <w:proofErr w:type="spellEnd"/>
            <w:r w:rsidRPr="00004C54">
              <w:rPr>
                <w:rFonts w:ascii="Aptos Narrow" w:eastAsia="Times New Roman" w:hAnsi="Aptos Narrow" w:cs="Times New Roman"/>
                <w:color w:val="000000"/>
                <w:kern w:val="0"/>
                <w:sz w:val="16"/>
                <w:szCs w:val="16"/>
                <w:lang w:eastAsia="en-GB"/>
                <w14:ligatures w14:val="none"/>
              </w:rPr>
              <w:t xml:space="preserve"> (2003)</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1FBF63C"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Mentoring Research: A Review and Dynamic Process Model</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223BD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Scholarly Review Article</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E5F1528" w14:textId="533D0CBB"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Wanberg, Welsh</w:t>
            </w:r>
            <w:r w:rsidR="007064F6">
              <w:rPr>
                <w:rFonts w:ascii="Aptos Narrow" w:eastAsia="Times New Roman" w:hAnsi="Aptos Narrow" w:cs="Times New Roman"/>
                <w:color w:val="000000"/>
                <w:kern w:val="0"/>
                <w:sz w:val="16"/>
                <w:szCs w:val="16"/>
                <w:lang w:eastAsia="en-GB"/>
                <w14:ligatures w14:val="none"/>
              </w:rPr>
              <w:t xml:space="preserve">, and </w:t>
            </w:r>
            <w:proofErr w:type="spellStart"/>
            <w:r w:rsidR="007064F6">
              <w:rPr>
                <w:rFonts w:ascii="Aptos Narrow" w:eastAsia="Times New Roman" w:hAnsi="Aptos Narrow" w:cs="Times New Roman"/>
                <w:color w:val="000000"/>
                <w:kern w:val="0"/>
                <w:sz w:val="16"/>
                <w:szCs w:val="16"/>
                <w:lang w:eastAsia="en-GB"/>
                <w14:ligatures w14:val="none"/>
              </w:rPr>
              <w:t>Hezlett</w:t>
            </w:r>
            <w:proofErr w:type="spellEnd"/>
            <w:r w:rsidR="007064F6">
              <w:rPr>
                <w:rFonts w:ascii="Aptos Narrow" w:eastAsia="Times New Roman" w:hAnsi="Aptos Narrow" w:cs="Times New Roman"/>
                <w:color w:val="000000"/>
                <w:kern w:val="0"/>
                <w:sz w:val="16"/>
                <w:szCs w:val="16"/>
                <w:lang w:eastAsia="en-GB"/>
                <w14:ligatures w14:val="none"/>
              </w:rPr>
              <w:t xml:space="preserve"> synthesise mentoring research and propose</w:t>
            </w:r>
            <w:r w:rsidRPr="00004C54">
              <w:rPr>
                <w:rFonts w:ascii="Aptos Narrow" w:eastAsia="Times New Roman" w:hAnsi="Aptos Narrow" w:cs="Times New Roman"/>
                <w:color w:val="000000"/>
                <w:kern w:val="0"/>
                <w:sz w:val="16"/>
                <w:szCs w:val="16"/>
                <w:lang w:eastAsia="en-GB"/>
                <w14:ligatures w14:val="none"/>
              </w:rPr>
              <w:t xml:space="preserve"> a dynamic model linking mentor–protégé processes to developmental outcomes across contexts.</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70BB55DA"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r w:rsidR="00004C54" w:rsidRPr="00004C54" w14:paraId="26A4539C" w14:textId="77777777">
        <w:trPr>
          <w:trHeight w:val="1080"/>
        </w:trPr>
        <w:tc>
          <w:tcPr>
            <w:tcW w:w="480" w:type="dxa"/>
            <w:tcBorders>
              <w:top w:val="nil"/>
              <w:left w:val="single" w:sz="4" w:space="0" w:color="auto"/>
              <w:bottom w:val="single" w:sz="4" w:space="0" w:color="auto"/>
              <w:right w:val="single" w:sz="4" w:space="0" w:color="auto"/>
            </w:tcBorders>
            <w:shd w:val="clear" w:color="000000" w:fill="CAEDFB"/>
            <w:tcMar>
              <w:top w:w="15" w:type="dxa"/>
              <w:left w:w="15" w:type="dxa"/>
              <w:bottom w:w="0" w:type="dxa"/>
              <w:right w:w="15" w:type="dxa"/>
            </w:tcMar>
            <w:vAlign w:val="center"/>
            <w:hideMark/>
          </w:tcPr>
          <w:p w14:paraId="7C22EB49"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51</w:t>
            </w:r>
          </w:p>
        </w:tc>
        <w:tc>
          <w:tcPr>
            <w:tcW w:w="14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A9525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Wright, Weeks, McGlaughlin and Webb (1998)</w:t>
            </w:r>
          </w:p>
        </w:tc>
        <w:tc>
          <w:tcPr>
            <w:tcW w:w="20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4C8D981"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Masculinised discourses within education and the construction of black male identities</w:t>
            </w:r>
          </w:p>
        </w:tc>
        <w:tc>
          <w:tcPr>
            <w:tcW w:w="172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4CF40A"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Peer</w:t>
            </w:r>
            <w:r w:rsidRPr="00004C54">
              <w:rPr>
                <w:rFonts w:ascii="Aptos Narrow" w:eastAsia="Times New Roman" w:hAnsi="Aptos Narrow" w:cs="Times New Roman"/>
                <w:color w:val="000000"/>
                <w:kern w:val="0"/>
                <w:sz w:val="16"/>
                <w:szCs w:val="16"/>
                <w:lang w:eastAsia="en-GB"/>
                <w14:ligatures w14:val="none"/>
              </w:rPr>
              <w:noBreakHyphen/>
              <w:t>reviewed British Journal of Sociology of Education</w:t>
            </w:r>
          </w:p>
        </w:tc>
        <w:tc>
          <w:tcPr>
            <w:tcW w:w="28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B3B1D18" w14:textId="77777777" w:rsidR="00004C54" w:rsidRPr="00004C54" w:rsidRDefault="00004C54" w:rsidP="00004C54">
            <w:pPr>
              <w:spacing w:after="0" w:line="240" w:lineRule="auto"/>
              <w:jc w:val="center"/>
              <w:rPr>
                <w:rFonts w:ascii="Aptos Narrow" w:eastAsia="Times New Roman" w:hAnsi="Aptos Narrow" w:cs="Times New Roman"/>
                <w:color w:val="000000"/>
                <w:kern w:val="0"/>
                <w:sz w:val="16"/>
                <w:szCs w:val="16"/>
                <w:lang w:eastAsia="en-GB"/>
                <w14:ligatures w14:val="none"/>
              </w:rPr>
            </w:pPr>
            <w:r w:rsidRPr="00004C54">
              <w:rPr>
                <w:rFonts w:ascii="Aptos Narrow" w:eastAsia="Times New Roman" w:hAnsi="Aptos Narrow" w:cs="Times New Roman"/>
                <w:color w:val="000000"/>
                <w:kern w:val="0"/>
                <w:sz w:val="16"/>
                <w:szCs w:val="16"/>
                <w:lang w:eastAsia="en-GB"/>
                <w14:ligatures w14:val="none"/>
              </w:rPr>
              <w:t>Wright et al. show school discourses construct Black male identities through racialised, masculinised expectations that shape behaviour, teacher interactions, and achievement.</w:t>
            </w:r>
          </w:p>
        </w:tc>
        <w:tc>
          <w:tcPr>
            <w:tcW w:w="0" w:type="auto"/>
            <w:tcBorders>
              <w:top w:val="nil"/>
              <w:left w:val="nil"/>
              <w:bottom w:val="single" w:sz="4" w:space="0" w:color="auto"/>
              <w:right w:val="single" w:sz="4" w:space="0" w:color="auto"/>
            </w:tcBorders>
            <w:shd w:val="clear" w:color="000000" w:fill="CAEDFB"/>
            <w:noWrap/>
            <w:tcMar>
              <w:top w:w="15" w:type="dxa"/>
              <w:left w:w="15" w:type="dxa"/>
              <w:bottom w:w="0" w:type="dxa"/>
              <w:right w:w="15" w:type="dxa"/>
            </w:tcMar>
            <w:vAlign w:val="center"/>
            <w:hideMark/>
          </w:tcPr>
          <w:p w14:paraId="65D7E620" w14:textId="77777777" w:rsidR="00004C54" w:rsidRPr="00004C54" w:rsidRDefault="00004C54" w:rsidP="00004C54">
            <w:pPr>
              <w:spacing w:after="0" w:line="240" w:lineRule="auto"/>
              <w:jc w:val="center"/>
              <w:rPr>
                <w:rFonts w:ascii="Aptos Narrow" w:eastAsia="Times New Roman" w:hAnsi="Aptos Narrow" w:cs="Times New Roman"/>
                <w:b/>
                <w:bCs/>
                <w:color w:val="000000"/>
                <w:kern w:val="0"/>
                <w:sz w:val="16"/>
                <w:szCs w:val="16"/>
                <w:lang w:eastAsia="en-GB"/>
                <w14:ligatures w14:val="none"/>
              </w:rPr>
            </w:pPr>
            <w:r w:rsidRPr="00004C54">
              <w:rPr>
                <w:rFonts w:ascii="Aptos Narrow" w:eastAsia="Times New Roman" w:hAnsi="Aptos Narrow" w:cs="Times New Roman"/>
                <w:b/>
                <w:bCs/>
                <w:color w:val="000000"/>
                <w:kern w:val="0"/>
                <w:sz w:val="16"/>
                <w:szCs w:val="16"/>
                <w:lang w:eastAsia="en-GB"/>
                <w14:ligatures w14:val="none"/>
              </w:rPr>
              <w:t>0</w:t>
            </w:r>
          </w:p>
        </w:tc>
      </w:tr>
    </w:tbl>
    <w:p w14:paraId="0800DC48" w14:textId="77777777" w:rsidR="00004C54" w:rsidRDefault="00004C54" w:rsidP="009E58ED">
      <w:pPr>
        <w:spacing w:line="360" w:lineRule="auto"/>
        <w:jc w:val="both"/>
      </w:pPr>
      <w:r>
        <w:fldChar w:fldCharType="end"/>
      </w:r>
    </w:p>
    <w:p w14:paraId="1F7E3EA2" w14:textId="77777777" w:rsidR="00A5522F" w:rsidRDefault="00A5522F" w:rsidP="00A5522F">
      <w:pPr>
        <w:pStyle w:val="Heading4"/>
        <w:rPr>
          <w:rFonts w:eastAsia="Times New Roman"/>
          <w:lang w:eastAsia="en-GB"/>
        </w:rPr>
      </w:pPr>
      <w:r w:rsidRPr="009E4230">
        <w:rPr>
          <w:rFonts w:eastAsia="Times New Roman"/>
          <w:lang w:eastAsia="en-GB"/>
        </w:rPr>
        <w:t>Figure</w:t>
      </w:r>
      <w:r>
        <w:rPr>
          <w:rFonts w:eastAsia="Times New Roman"/>
          <w:lang w:eastAsia="en-GB"/>
        </w:rPr>
        <w:t xml:space="preserve"> 7: </w:t>
      </w:r>
      <w:r w:rsidRPr="009E4230">
        <w:rPr>
          <w:rFonts w:eastAsia="Times New Roman"/>
          <w:lang w:eastAsia="en-GB"/>
        </w:rPr>
        <w:t xml:space="preserve"> </w:t>
      </w:r>
      <w:r>
        <w:rPr>
          <w:rFonts w:eastAsia="Times New Roman"/>
          <w:lang w:eastAsia="en-GB"/>
        </w:rPr>
        <w:t>Data Analysis</w:t>
      </w:r>
      <w:r w:rsidRPr="009E4230">
        <w:rPr>
          <w:rFonts w:eastAsia="Times New Roman"/>
          <w:lang w:eastAsia="en-GB"/>
        </w:rPr>
        <w:t>: Source(s): Authors’ Work</w:t>
      </w:r>
    </w:p>
    <w:p w14:paraId="0A8AED6E" w14:textId="10A882D3" w:rsidR="00634275" w:rsidRDefault="005559C9" w:rsidP="006F201A">
      <w:pPr>
        <w:pStyle w:val="Heading3"/>
      </w:pPr>
      <w:bookmarkStart w:id="26" w:name="_Toc227936264"/>
      <w:r>
        <w:t xml:space="preserve">5.3 </w:t>
      </w:r>
      <w:r w:rsidR="00634275" w:rsidRPr="006F201A">
        <w:t>Methodological Choice</w:t>
      </w:r>
      <w:bookmarkEnd w:id="26"/>
    </w:p>
    <w:p w14:paraId="29F75443" w14:textId="269D6ED5" w:rsidR="006F201A" w:rsidRDefault="006F201A" w:rsidP="006F201A">
      <w:pPr>
        <w:spacing w:line="360" w:lineRule="auto"/>
        <w:jc w:val="both"/>
        <w:rPr>
          <w:rFonts w:ascii="Arial" w:hAnsi="Arial" w:cs="Arial"/>
          <w:sz w:val="24"/>
          <w:szCs w:val="24"/>
        </w:rPr>
      </w:pPr>
      <w:r w:rsidRPr="006F201A">
        <w:rPr>
          <w:rFonts w:ascii="Arial" w:hAnsi="Arial" w:cs="Arial"/>
          <w:sz w:val="24"/>
          <w:szCs w:val="24"/>
        </w:rPr>
        <w:t>A theory-driven systematic literature review was conducted within a critical-realist, CRT-centred paradigm. Comprehensive searches were performed across multiple databases (Web of Science, University of Wales Trinity Saint David E-Library, Open Africa, Research Online, Emerald Publishing, Sage, ResearchGate, Taylor and Francis, Library of Science, ScienceDirect, SSRN (Elsevier), ERIC, PsycINFO, PubMed, HESA, government and NGO repositories, Google Scholar) and grey literature sources (policy reports, commissions, theses) using mechanism-focused and CRT-related keywords. Dual independent screening and double data extraction were implemented to map studies to the A→F conceptual nodes (structural drivers, school practices, mediators, socioeconomic outcomes, exploitation, feedback), with documentation of population disaggregation, setting, design, measures, and theoretical framing. Quality appraisal utilised appropriate tools for each study type (ROB2/ROBINS-I for quantitative, CASP for qualitative, MMAT for mixed methods), and quality weighting was incorporated into the synthesis. The primary synthesis approach was narrative and thematic, including mechanism and CIMO mapping, and was supplemented by process-tracing and mediation-logic mapping. Meta-analysis was conducted only for sufficiently homogeneous quantitative outcomes. Stakeholder validation and reflexive positionality informed the contextualization of findings and policy implications.</w:t>
      </w:r>
    </w:p>
    <w:p w14:paraId="23DEF21C" w14:textId="31DAED97" w:rsidR="00634275" w:rsidRPr="00B0181A" w:rsidRDefault="005559C9" w:rsidP="009F292F">
      <w:pPr>
        <w:pStyle w:val="Heading3"/>
      </w:pPr>
      <w:bookmarkStart w:id="27" w:name="_Toc227936265"/>
      <w:r>
        <w:t xml:space="preserve">5.4 </w:t>
      </w:r>
      <w:r w:rsidR="00634275" w:rsidRPr="00B0181A">
        <w:t xml:space="preserve">Methodological </w:t>
      </w:r>
      <w:r w:rsidR="00EF5487">
        <w:t xml:space="preserve">Choice </w:t>
      </w:r>
      <w:r w:rsidR="00B45453">
        <w:t xml:space="preserve">for the Review </w:t>
      </w:r>
      <w:r w:rsidR="00634275" w:rsidRPr="00B0181A">
        <w:t>T</w:t>
      </w:r>
      <w:r w:rsidR="005F3202" w:rsidRPr="00B0181A">
        <w:t>a</w:t>
      </w:r>
      <w:r w:rsidR="00634275" w:rsidRPr="00B0181A">
        <w:t>ble</w:t>
      </w:r>
      <w:bookmarkEnd w:id="27"/>
    </w:p>
    <w:tbl>
      <w:tblPr>
        <w:tblStyle w:val="TableGrid"/>
        <w:tblW w:w="10468" w:type="dxa"/>
        <w:tblInd w:w="-289" w:type="dxa"/>
        <w:tblLayout w:type="fixed"/>
        <w:tblLook w:val="04A0" w:firstRow="1" w:lastRow="0" w:firstColumn="1" w:lastColumn="0" w:noHBand="0" w:noVBand="1"/>
      </w:tblPr>
      <w:tblGrid>
        <w:gridCol w:w="1844"/>
        <w:gridCol w:w="2409"/>
        <w:gridCol w:w="2552"/>
        <w:gridCol w:w="3663"/>
      </w:tblGrid>
      <w:tr w:rsidR="00B45453" w:rsidRPr="00AE0018" w14:paraId="1A83B5AC" w14:textId="77777777" w:rsidTr="00E6279F">
        <w:tc>
          <w:tcPr>
            <w:tcW w:w="1844" w:type="dxa"/>
            <w:shd w:val="clear" w:color="auto" w:fill="C1E4F5" w:themeFill="accent1" w:themeFillTint="33"/>
          </w:tcPr>
          <w:p w14:paraId="04589DF7" w14:textId="6C973F8D" w:rsidR="000406A8" w:rsidRPr="00AE0018" w:rsidRDefault="005E139B" w:rsidP="009E58ED">
            <w:pPr>
              <w:spacing w:line="360" w:lineRule="auto"/>
              <w:jc w:val="both"/>
              <w:rPr>
                <w:rFonts w:ascii="Arial" w:hAnsi="Arial" w:cs="Arial"/>
                <w:b/>
                <w:bCs/>
                <w:i/>
                <w:iCs/>
              </w:rPr>
            </w:pPr>
            <w:r w:rsidRPr="00AE0018">
              <w:rPr>
                <w:rFonts w:ascii="Arial" w:hAnsi="Arial" w:cs="Arial"/>
                <w:b/>
                <w:bCs/>
                <w:i/>
                <w:iCs/>
              </w:rPr>
              <w:t>Aspect</w:t>
            </w:r>
          </w:p>
        </w:tc>
        <w:tc>
          <w:tcPr>
            <w:tcW w:w="2409" w:type="dxa"/>
            <w:shd w:val="clear" w:color="auto" w:fill="C1E4F5" w:themeFill="accent1" w:themeFillTint="33"/>
          </w:tcPr>
          <w:p w14:paraId="56B0C680" w14:textId="47FDE5B6" w:rsidR="000406A8" w:rsidRPr="00AE0018" w:rsidRDefault="00CE0CB9" w:rsidP="009E58ED">
            <w:pPr>
              <w:spacing w:line="360" w:lineRule="auto"/>
              <w:jc w:val="both"/>
              <w:rPr>
                <w:rFonts w:ascii="Arial" w:hAnsi="Arial" w:cs="Arial"/>
                <w:b/>
                <w:bCs/>
                <w:i/>
                <w:iCs/>
              </w:rPr>
            </w:pPr>
            <w:r w:rsidRPr="00AE0018">
              <w:rPr>
                <w:rFonts w:ascii="Arial" w:hAnsi="Arial" w:cs="Arial"/>
                <w:b/>
                <w:bCs/>
                <w:i/>
                <w:iCs/>
              </w:rPr>
              <w:t>C</w:t>
            </w:r>
            <w:r w:rsidR="005E139B" w:rsidRPr="00AE0018">
              <w:rPr>
                <w:rFonts w:ascii="Arial" w:hAnsi="Arial" w:cs="Arial"/>
                <w:b/>
                <w:bCs/>
                <w:i/>
                <w:iCs/>
              </w:rPr>
              <w:t>hoice</w:t>
            </w:r>
          </w:p>
        </w:tc>
        <w:tc>
          <w:tcPr>
            <w:tcW w:w="2552" w:type="dxa"/>
            <w:shd w:val="clear" w:color="auto" w:fill="C1E4F5" w:themeFill="accent1" w:themeFillTint="33"/>
          </w:tcPr>
          <w:p w14:paraId="56BBF810" w14:textId="532CA5D1" w:rsidR="000406A8" w:rsidRPr="00AE0018" w:rsidRDefault="00361F2E" w:rsidP="009E58ED">
            <w:pPr>
              <w:spacing w:line="360" w:lineRule="auto"/>
              <w:jc w:val="both"/>
              <w:rPr>
                <w:rFonts w:ascii="Arial" w:hAnsi="Arial" w:cs="Arial"/>
                <w:b/>
                <w:bCs/>
                <w:i/>
                <w:iCs/>
              </w:rPr>
            </w:pPr>
            <w:r w:rsidRPr="00AE0018">
              <w:rPr>
                <w:rFonts w:ascii="Arial" w:hAnsi="Arial" w:cs="Arial"/>
                <w:b/>
                <w:bCs/>
                <w:i/>
                <w:iCs/>
              </w:rPr>
              <w:t>Rationale</w:t>
            </w:r>
          </w:p>
        </w:tc>
        <w:tc>
          <w:tcPr>
            <w:tcW w:w="3663" w:type="dxa"/>
            <w:shd w:val="clear" w:color="auto" w:fill="C1E4F5" w:themeFill="accent1" w:themeFillTint="33"/>
          </w:tcPr>
          <w:p w14:paraId="0428564F" w14:textId="27914F4D" w:rsidR="000406A8" w:rsidRPr="00AE0018" w:rsidRDefault="00361F2E" w:rsidP="009E58ED">
            <w:pPr>
              <w:spacing w:line="360" w:lineRule="auto"/>
              <w:jc w:val="both"/>
              <w:rPr>
                <w:rFonts w:ascii="Arial" w:hAnsi="Arial" w:cs="Arial"/>
                <w:b/>
                <w:bCs/>
                <w:i/>
                <w:iCs/>
              </w:rPr>
            </w:pPr>
            <w:r w:rsidRPr="00AE0018">
              <w:rPr>
                <w:rFonts w:ascii="Arial" w:hAnsi="Arial" w:cs="Arial"/>
                <w:b/>
                <w:bCs/>
                <w:i/>
                <w:iCs/>
              </w:rPr>
              <w:t>Tools/</w:t>
            </w:r>
            <w:r w:rsidR="00BE029B" w:rsidRPr="00AE0018">
              <w:rPr>
                <w:rFonts w:ascii="Arial" w:hAnsi="Arial" w:cs="Arial"/>
                <w:b/>
                <w:bCs/>
                <w:i/>
                <w:iCs/>
              </w:rPr>
              <w:t xml:space="preserve"> </w:t>
            </w:r>
            <w:r w:rsidRPr="00AE0018">
              <w:rPr>
                <w:rFonts w:ascii="Arial" w:hAnsi="Arial" w:cs="Arial"/>
                <w:b/>
                <w:bCs/>
                <w:i/>
                <w:iCs/>
              </w:rPr>
              <w:t>Notes</w:t>
            </w:r>
          </w:p>
        </w:tc>
      </w:tr>
      <w:tr w:rsidR="00B45453" w:rsidRPr="00AE0018" w14:paraId="5148C4C6" w14:textId="77777777" w:rsidTr="00E6279F">
        <w:tc>
          <w:tcPr>
            <w:tcW w:w="1844" w:type="dxa"/>
          </w:tcPr>
          <w:p w14:paraId="49DD37F6" w14:textId="1677844B" w:rsidR="000406A8" w:rsidRPr="00AE0018" w:rsidRDefault="00BE029B" w:rsidP="00AE0018">
            <w:pPr>
              <w:spacing w:line="360" w:lineRule="auto"/>
              <w:jc w:val="center"/>
              <w:rPr>
                <w:rFonts w:ascii="Arial" w:hAnsi="Arial" w:cs="Arial"/>
                <w:sz w:val="18"/>
                <w:szCs w:val="18"/>
              </w:rPr>
            </w:pPr>
            <w:r w:rsidRPr="00AE0018">
              <w:rPr>
                <w:rFonts w:ascii="Arial" w:hAnsi="Arial" w:cs="Arial"/>
                <w:sz w:val="18"/>
                <w:szCs w:val="18"/>
              </w:rPr>
              <w:lastRenderedPageBreak/>
              <w:t>Paradigm</w:t>
            </w:r>
          </w:p>
        </w:tc>
        <w:tc>
          <w:tcPr>
            <w:tcW w:w="2409" w:type="dxa"/>
          </w:tcPr>
          <w:p w14:paraId="46B8C636" w14:textId="4475BEBA" w:rsidR="000406A8" w:rsidRPr="00AE0018" w:rsidRDefault="008644A6" w:rsidP="00AE0018">
            <w:pPr>
              <w:spacing w:line="360" w:lineRule="auto"/>
              <w:jc w:val="center"/>
              <w:rPr>
                <w:rFonts w:ascii="Arial" w:hAnsi="Arial" w:cs="Arial"/>
                <w:sz w:val="18"/>
                <w:szCs w:val="18"/>
              </w:rPr>
            </w:pPr>
            <w:r w:rsidRPr="00AE0018">
              <w:rPr>
                <w:rFonts w:ascii="Arial" w:hAnsi="Arial" w:cs="Arial"/>
                <w:sz w:val="18"/>
                <w:szCs w:val="18"/>
              </w:rPr>
              <w:t>CRT-</w:t>
            </w:r>
            <w:r w:rsidR="00B45453" w:rsidRPr="00AE0018">
              <w:rPr>
                <w:rFonts w:ascii="Arial" w:hAnsi="Arial" w:cs="Arial"/>
                <w:sz w:val="18"/>
                <w:szCs w:val="18"/>
              </w:rPr>
              <w:t xml:space="preserve"> centred</w:t>
            </w:r>
            <w:r w:rsidRPr="00AE0018">
              <w:rPr>
                <w:rFonts w:ascii="Arial" w:hAnsi="Arial" w:cs="Arial"/>
                <w:sz w:val="18"/>
                <w:szCs w:val="18"/>
              </w:rPr>
              <w:t xml:space="preserve"> critical paradigm with a critical-realist perspective</w:t>
            </w:r>
          </w:p>
        </w:tc>
        <w:tc>
          <w:tcPr>
            <w:tcW w:w="2552" w:type="dxa"/>
          </w:tcPr>
          <w:p w14:paraId="3998EA65" w14:textId="49C4C0EF" w:rsidR="000406A8" w:rsidRPr="00AE0018" w:rsidRDefault="00A57D67" w:rsidP="00AE0018">
            <w:pPr>
              <w:spacing w:line="360" w:lineRule="auto"/>
              <w:jc w:val="center"/>
              <w:rPr>
                <w:rFonts w:ascii="Arial" w:hAnsi="Arial" w:cs="Arial"/>
                <w:sz w:val="18"/>
                <w:szCs w:val="18"/>
              </w:rPr>
            </w:pPr>
            <w:r w:rsidRPr="00AE0018">
              <w:rPr>
                <w:rFonts w:ascii="Arial" w:hAnsi="Arial" w:cs="Arial"/>
                <w:sz w:val="18"/>
                <w:szCs w:val="18"/>
              </w:rPr>
              <w:t>Identify generative processes and structural factors while enabling empirical testing</w:t>
            </w:r>
          </w:p>
        </w:tc>
        <w:tc>
          <w:tcPr>
            <w:tcW w:w="3663" w:type="dxa"/>
          </w:tcPr>
          <w:p w14:paraId="3A650A4B" w14:textId="25AC7893" w:rsidR="000406A8" w:rsidRPr="00AE0018" w:rsidRDefault="00D92B19" w:rsidP="00AE0018">
            <w:pPr>
              <w:spacing w:line="360" w:lineRule="auto"/>
              <w:jc w:val="center"/>
              <w:rPr>
                <w:rFonts w:ascii="Arial" w:hAnsi="Arial" w:cs="Arial"/>
                <w:sz w:val="18"/>
                <w:szCs w:val="18"/>
              </w:rPr>
            </w:pPr>
            <w:r w:rsidRPr="00AE0018">
              <w:rPr>
                <w:rFonts w:ascii="Arial" w:hAnsi="Arial" w:cs="Arial"/>
                <w:sz w:val="18"/>
                <w:szCs w:val="18"/>
              </w:rPr>
              <w:t>CRT frames analysis; critical realism guides mechanism tracing</w:t>
            </w:r>
          </w:p>
        </w:tc>
      </w:tr>
      <w:tr w:rsidR="00B45453" w:rsidRPr="00AE0018" w14:paraId="34BFB2F1" w14:textId="77777777" w:rsidTr="00E6279F">
        <w:tc>
          <w:tcPr>
            <w:tcW w:w="1844" w:type="dxa"/>
          </w:tcPr>
          <w:p w14:paraId="235E025D" w14:textId="256FDFCA" w:rsidR="000406A8" w:rsidRPr="00AE0018" w:rsidRDefault="005450D3" w:rsidP="00AE0018">
            <w:pPr>
              <w:spacing w:line="360" w:lineRule="auto"/>
              <w:jc w:val="center"/>
              <w:rPr>
                <w:rFonts w:ascii="Arial" w:hAnsi="Arial" w:cs="Arial"/>
                <w:sz w:val="18"/>
                <w:szCs w:val="18"/>
              </w:rPr>
            </w:pPr>
            <w:r w:rsidRPr="00AE0018">
              <w:rPr>
                <w:rFonts w:ascii="Arial" w:hAnsi="Arial" w:cs="Arial"/>
                <w:sz w:val="18"/>
                <w:szCs w:val="18"/>
              </w:rPr>
              <w:t>Review design</w:t>
            </w:r>
          </w:p>
        </w:tc>
        <w:tc>
          <w:tcPr>
            <w:tcW w:w="2409" w:type="dxa"/>
          </w:tcPr>
          <w:p w14:paraId="688D73D0" w14:textId="4BC53685" w:rsidR="000406A8" w:rsidRPr="00AE0018" w:rsidRDefault="0094208D" w:rsidP="00AE0018">
            <w:pPr>
              <w:spacing w:line="360" w:lineRule="auto"/>
              <w:jc w:val="center"/>
              <w:rPr>
                <w:rFonts w:ascii="Arial" w:hAnsi="Arial" w:cs="Arial"/>
                <w:sz w:val="18"/>
                <w:szCs w:val="18"/>
              </w:rPr>
            </w:pPr>
            <w:r w:rsidRPr="00AE0018">
              <w:rPr>
                <w:rFonts w:ascii="Arial" w:hAnsi="Arial" w:cs="Arial"/>
                <w:sz w:val="18"/>
                <w:szCs w:val="18"/>
              </w:rPr>
              <w:t>Theory -driven systematic literature review</w:t>
            </w:r>
          </w:p>
        </w:tc>
        <w:tc>
          <w:tcPr>
            <w:tcW w:w="2552" w:type="dxa"/>
          </w:tcPr>
          <w:p w14:paraId="15A0DE16" w14:textId="58315A3D" w:rsidR="000406A8" w:rsidRPr="00AE0018" w:rsidRDefault="009B3C59" w:rsidP="00AE0018">
            <w:pPr>
              <w:spacing w:line="360" w:lineRule="auto"/>
              <w:jc w:val="center"/>
              <w:rPr>
                <w:rFonts w:ascii="Arial" w:hAnsi="Arial" w:cs="Arial"/>
                <w:sz w:val="18"/>
                <w:szCs w:val="18"/>
              </w:rPr>
            </w:pPr>
            <w:r w:rsidRPr="00AE0018">
              <w:rPr>
                <w:rFonts w:ascii="Arial" w:hAnsi="Arial" w:cs="Arial"/>
                <w:sz w:val="18"/>
                <w:szCs w:val="18"/>
              </w:rPr>
              <w:t>Map A</w:t>
            </w:r>
            <w:r w:rsidR="00F56B30" w:rsidRPr="00AE0018">
              <w:rPr>
                <w:rFonts w:ascii="Arial" w:hAnsi="Arial" w:cs="Arial"/>
                <w:sz w:val="18"/>
                <w:szCs w:val="18"/>
              </w:rPr>
              <w:t xml:space="preserve"> </w:t>
            </w:r>
            <w:r w:rsidRPr="00AE0018">
              <w:rPr>
                <w:rFonts w:ascii="Arial" w:hAnsi="Arial" w:cs="Arial"/>
                <w:sz w:val="18"/>
                <w:szCs w:val="18"/>
              </w:rPr>
              <w:sym w:font="Wingdings" w:char="F0E0"/>
            </w:r>
            <w:r w:rsidRPr="00AE0018">
              <w:rPr>
                <w:rFonts w:ascii="Arial" w:hAnsi="Arial" w:cs="Arial"/>
                <w:sz w:val="18"/>
                <w:szCs w:val="18"/>
              </w:rPr>
              <w:t xml:space="preserve"> F mechan</w:t>
            </w:r>
            <w:r w:rsidR="00BD70A7" w:rsidRPr="00AE0018">
              <w:rPr>
                <w:rFonts w:ascii="Arial" w:hAnsi="Arial" w:cs="Arial"/>
                <w:sz w:val="18"/>
                <w:szCs w:val="18"/>
              </w:rPr>
              <w:t>isms and integrated diverse evidence types</w:t>
            </w:r>
          </w:p>
        </w:tc>
        <w:tc>
          <w:tcPr>
            <w:tcW w:w="3663" w:type="dxa"/>
          </w:tcPr>
          <w:p w14:paraId="5774BE91" w14:textId="25C11B4D" w:rsidR="000406A8" w:rsidRPr="00AE0018" w:rsidRDefault="00AF5A75" w:rsidP="00AE0018">
            <w:pPr>
              <w:spacing w:line="360" w:lineRule="auto"/>
              <w:jc w:val="center"/>
              <w:rPr>
                <w:rFonts w:ascii="Arial" w:hAnsi="Arial" w:cs="Arial"/>
                <w:sz w:val="18"/>
                <w:szCs w:val="18"/>
              </w:rPr>
            </w:pPr>
            <w:r w:rsidRPr="00AE0018">
              <w:rPr>
                <w:rFonts w:ascii="Arial" w:hAnsi="Arial" w:cs="Arial"/>
                <w:sz w:val="18"/>
                <w:szCs w:val="18"/>
              </w:rPr>
              <w:t xml:space="preserve">Web of Science, University of Wales Trinity Saint David E-Library, </w:t>
            </w:r>
            <w:r w:rsidR="00491874">
              <w:rPr>
                <w:rFonts w:ascii="Arial" w:hAnsi="Arial" w:cs="Arial"/>
                <w:sz w:val="18"/>
                <w:szCs w:val="18"/>
              </w:rPr>
              <w:t>R</w:t>
            </w:r>
            <w:r w:rsidRPr="00AE0018">
              <w:rPr>
                <w:rFonts w:ascii="Arial" w:hAnsi="Arial" w:cs="Arial"/>
                <w:sz w:val="18"/>
                <w:szCs w:val="18"/>
              </w:rPr>
              <w:t>esearch Online, Emerald Publishing, Sage, ResearchGate, Taylor and Francis, Library of Science, ScienceDirect, SSRN (Elsevier), ERIC, PsycINFO, PubMed, HESA, government and NGO repositories, Google Scholar</w:t>
            </w:r>
            <w:r w:rsidR="00135074" w:rsidRPr="00AE0018">
              <w:rPr>
                <w:rFonts w:ascii="Arial" w:hAnsi="Arial" w:cs="Arial"/>
                <w:sz w:val="18"/>
                <w:szCs w:val="18"/>
              </w:rPr>
              <w:t>, CRT/ mechanism Boolean strings</w:t>
            </w:r>
          </w:p>
        </w:tc>
      </w:tr>
      <w:tr w:rsidR="00B45453" w:rsidRPr="00AE0018" w14:paraId="731ADDAB" w14:textId="77777777" w:rsidTr="00E6279F">
        <w:tc>
          <w:tcPr>
            <w:tcW w:w="1844" w:type="dxa"/>
          </w:tcPr>
          <w:p w14:paraId="25D22D02" w14:textId="0B0749E5" w:rsidR="000406A8" w:rsidRPr="00AE0018" w:rsidRDefault="005450D3" w:rsidP="00AE0018">
            <w:pPr>
              <w:spacing w:line="360" w:lineRule="auto"/>
              <w:jc w:val="center"/>
              <w:rPr>
                <w:rFonts w:ascii="Arial" w:hAnsi="Arial" w:cs="Arial"/>
                <w:sz w:val="18"/>
                <w:szCs w:val="18"/>
              </w:rPr>
            </w:pPr>
            <w:r w:rsidRPr="00AE0018">
              <w:rPr>
                <w:rFonts w:ascii="Arial" w:hAnsi="Arial" w:cs="Arial"/>
                <w:sz w:val="18"/>
                <w:szCs w:val="18"/>
              </w:rPr>
              <w:t>Search Strateg</w:t>
            </w:r>
            <w:r w:rsidR="0094208D" w:rsidRPr="00AE0018">
              <w:rPr>
                <w:rFonts w:ascii="Arial" w:hAnsi="Arial" w:cs="Arial"/>
                <w:sz w:val="18"/>
                <w:szCs w:val="18"/>
              </w:rPr>
              <w:t>y</w:t>
            </w:r>
          </w:p>
        </w:tc>
        <w:tc>
          <w:tcPr>
            <w:tcW w:w="2409" w:type="dxa"/>
          </w:tcPr>
          <w:p w14:paraId="0B155AB4" w14:textId="7FA6F3B3" w:rsidR="000406A8" w:rsidRPr="00AE0018" w:rsidRDefault="0094208D" w:rsidP="00AE0018">
            <w:pPr>
              <w:spacing w:line="360" w:lineRule="auto"/>
              <w:jc w:val="center"/>
              <w:rPr>
                <w:rFonts w:ascii="Arial" w:hAnsi="Arial" w:cs="Arial"/>
                <w:sz w:val="18"/>
                <w:szCs w:val="18"/>
              </w:rPr>
            </w:pPr>
            <w:r w:rsidRPr="00AE0018">
              <w:rPr>
                <w:rFonts w:ascii="Arial" w:hAnsi="Arial" w:cs="Arial"/>
                <w:sz w:val="18"/>
                <w:szCs w:val="18"/>
              </w:rPr>
              <w:t>Comprehensive database</w:t>
            </w:r>
            <w:r w:rsidR="009B3C59" w:rsidRPr="00AE0018">
              <w:rPr>
                <w:rFonts w:ascii="Arial" w:hAnsi="Arial" w:cs="Arial"/>
                <w:sz w:val="18"/>
                <w:szCs w:val="18"/>
              </w:rPr>
              <w:t xml:space="preserve"> + grey literature searches</w:t>
            </w:r>
          </w:p>
        </w:tc>
        <w:tc>
          <w:tcPr>
            <w:tcW w:w="2552" w:type="dxa"/>
          </w:tcPr>
          <w:p w14:paraId="4D456EFA" w14:textId="095B51C1" w:rsidR="000406A8" w:rsidRPr="00AE0018" w:rsidRDefault="00F56B30" w:rsidP="00AE0018">
            <w:pPr>
              <w:spacing w:line="360" w:lineRule="auto"/>
              <w:jc w:val="center"/>
              <w:rPr>
                <w:rFonts w:ascii="Arial" w:hAnsi="Arial" w:cs="Arial"/>
                <w:sz w:val="18"/>
                <w:szCs w:val="18"/>
              </w:rPr>
            </w:pPr>
            <w:r w:rsidRPr="00AE0018">
              <w:rPr>
                <w:rFonts w:ascii="Arial" w:hAnsi="Arial" w:cs="Arial"/>
                <w:sz w:val="18"/>
                <w:szCs w:val="18"/>
              </w:rPr>
              <w:t>Capture Academic and policy evidence (U</w:t>
            </w:r>
            <w:r w:rsidR="001A120A" w:rsidRPr="00AE0018">
              <w:rPr>
                <w:rFonts w:ascii="Arial" w:hAnsi="Arial" w:cs="Arial"/>
                <w:sz w:val="18"/>
                <w:szCs w:val="18"/>
              </w:rPr>
              <w:t>K- focused, comparative)</w:t>
            </w:r>
          </w:p>
        </w:tc>
        <w:tc>
          <w:tcPr>
            <w:tcW w:w="3663" w:type="dxa"/>
          </w:tcPr>
          <w:p w14:paraId="7BBF4083" w14:textId="77777777" w:rsidR="000406A8" w:rsidRPr="00AE0018" w:rsidRDefault="000406A8" w:rsidP="00AE0018">
            <w:pPr>
              <w:spacing w:line="360" w:lineRule="auto"/>
              <w:jc w:val="center"/>
              <w:rPr>
                <w:rFonts w:ascii="Arial" w:hAnsi="Arial" w:cs="Arial"/>
                <w:sz w:val="18"/>
                <w:szCs w:val="18"/>
              </w:rPr>
            </w:pPr>
          </w:p>
        </w:tc>
      </w:tr>
      <w:tr w:rsidR="00B45453" w:rsidRPr="00AE0018" w14:paraId="3945A45E" w14:textId="77777777" w:rsidTr="00E6279F">
        <w:tc>
          <w:tcPr>
            <w:tcW w:w="1844" w:type="dxa"/>
          </w:tcPr>
          <w:p w14:paraId="456A013B" w14:textId="23EEACF6" w:rsidR="000406A8" w:rsidRPr="00AE0018" w:rsidRDefault="00AB2841" w:rsidP="00AE0018">
            <w:pPr>
              <w:spacing w:line="360" w:lineRule="auto"/>
              <w:jc w:val="center"/>
              <w:rPr>
                <w:rFonts w:ascii="Arial" w:hAnsi="Arial" w:cs="Arial"/>
                <w:sz w:val="18"/>
                <w:szCs w:val="18"/>
              </w:rPr>
            </w:pPr>
            <w:r w:rsidRPr="00AE0018">
              <w:rPr>
                <w:rFonts w:ascii="Arial" w:hAnsi="Arial" w:cs="Arial"/>
                <w:sz w:val="18"/>
                <w:szCs w:val="18"/>
              </w:rPr>
              <w:t>Timeframe and Scope</w:t>
            </w:r>
          </w:p>
        </w:tc>
        <w:tc>
          <w:tcPr>
            <w:tcW w:w="2409" w:type="dxa"/>
          </w:tcPr>
          <w:p w14:paraId="0EBE08E2" w14:textId="37404983" w:rsidR="000406A8" w:rsidRPr="00AE0018" w:rsidRDefault="00AB2841" w:rsidP="00AE0018">
            <w:pPr>
              <w:spacing w:line="360" w:lineRule="auto"/>
              <w:jc w:val="center"/>
              <w:rPr>
                <w:rFonts w:ascii="Arial" w:hAnsi="Arial" w:cs="Arial"/>
                <w:sz w:val="18"/>
                <w:szCs w:val="18"/>
              </w:rPr>
            </w:pPr>
            <w:r w:rsidRPr="00AE0018">
              <w:rPr>
                <w:rFonts w:ascii="Arial" w:hAnsi="Arial" w:cs="Arial"/>
                <w:sz w:val="18"/>
                <w:szCs w:val="18"/>
              </w:rPr>
              <w:t>Contemporary policy era (primar</w:t>
            </w:r>
            <w:r w:rsidR="0001464F" w:rsidRPr="00AE0018">
              <w:rPr>
                <w:rFonts w:ascii="Arial" w:hAnsi="Arial" w:cs="Arial"/>
                <w:sz w:val="18"/>
                <w:szCs w:val="18"/>
              </w:rPr>
              <w:t>ily 2010-2026) with seminal earlier works</w:t>
            </w:r>
          </w:p>
        </w:tc>
        <w:tc>
          <w:tcPr>
            <w:tcW w:w="2552" w:type="dxa"/>
          </w:tcPr>
          <w:p w14:paraId="2B676E6A" w14:textId="05FBC117" w:rsidR="000406A8" w:rsidRPr="00AE0018" w:rsidRDefault="000E571A" w:rsidP="00AE0018">
            <w:pPr>
              <w:spacing w:line="360" w:lineRule="auto"/>
              <w:jc w:val="center"/>
              <w:rPr>
                <w:rFonts w:ascii="Arial" w:hAnsi="Arial" w:cs="Arial"/>
                <w:sz w:val="18"/>
                <w:szCs w:val="18"/>
              </w:rPr>
            </w:pPr>
            <w:r w:rsidRPr="00AE0018">
              <w:rPr>
                <w:rFonts w:ascii="Arial" w:hAnsi="Arial" w:cs="Arial"/>
                <w:sz w:val="18"/>
                <w:szCs w:val="18"/>
              </w:rPr>
              <w:t>Balance current relevance with foundational theory</w:t>
            </w:r>
          </w:p>
        </w:tc>
        <w:tc>
          <w:tcPr>
            <w:tcW w:w="3663" w:type="dxa"/>
          </w:tcPr>
          <w:p w14:paraId="3A03A7B5" w14:textId="7ED07907" w:rsidR="000406A8" w:rsidRPr="00AE0018" w:rsidRDefault="000E571A" w:rsidP="00AE0018">
            <w:pPr>
              <w:spacing w:line="360" w:lineRule="auto"/>
              <w:jc w:val="center"/>
              <w:rPr>
                <w:rFonts w:ascii="Arial" w:hAnsi="Arial" w:cs="Arial"/>
                <w:sz w:val="18"/>
                <w:szCs w:val="18"/>
              </w:rPr>
            </w:pPr>
            <w:r w:rsidRPr="00AE0018">
              <w:rPr>
                <w:rFonts w:ascii="Arial" w:hAnsi="Arial" w:cs="Arial"/>
                <w:sz w:val="18"/>
                <w:szCs w:val="18"/>
              </w:rPr>
              <w:t>Include pre 2010 seminal text</w:t>
            </w:r>
            <w:r w:rsidR="00D73856" w:rsidRPr="00AE0018">
              <w:rPr>
                <w:rFonts w:ascii="Arial" w:hAnsi="Arial" w:cs="Arial"/>
                <w:sz w:val="18"/>
                <w:szCs w:val="18"/>
              </w:rPr>
              <w:t>s</w:t>
            </w:r>
          </w:p>
        </w:tc>
      </w:tr>
      <w:tr w:rsidR="00B45453" w:rsidRPr="00AE0018" w14:paraId="29B13618" w14:textId="77777777" w:rsidTr="00E6279F">
        <w:tc>
          <w:tcPr>
            <w:tcW w:w="1844" w:type="dxa"/>
          </w:tcPr>
          <w:p w14:paraId="0B20F097" w14:textId="60AEDAA1" w:rsidR="000406A8" w:rsidRPr="00AE0018" w:rsidRDefault="00D73856" w:rsidP="00AE0018">
            <w:pPr>
              <w:spacing w:line="360" w:lineRule="auto"/>
              <w:jc w:val="center"/>
              <w:rPr>
                <w:rFonts w:ascii="Arial" w:hAnsi="Arial" w:cs="Arial"/>
                <w:sz w:val="18"/>
                <w:szCs w:val="18"/>
              </w:rPr>
            </w:pPr>
            <w:r w:rsidRPr="00AE0018">
              <w:rPr>
                <w:rFonts w:ascii="Arial" w:hAnsi="Arial" w:cs="Arial"/>
                <w:sz w:val="18"/>
                <w:szCs w:val="18"/>
              </w:rPr>
              <w:t>Inclusion</w:t>
            </w:r>
            <w:r w:rsidR="00754EE3" w:rsidRPr="00AE0018">
              <w:rPr>
                <w:rFonts w:ascii="Arial" w:hAnsi="Arial" w:cs="Arial"/>
                <w:sz w:val="18"/>
                <w:szCs w:val="18"/>
              </w:rPr>
              <w:t>/ exclusion criteria</w:t>
            </w:r>
          </w:p>
        </w:tc>
        <w:tc>
          <w:tcPr>
            <w:tcW w:w="2409" w:type="dxa"/>
          </w:tcPr>
          <w:p w14:paraId="09BA9AD0" w14:textId="45CF3A8C" w:rsidR="000406A8" w:rsidRPr="00AE0018" w:rsidRDefault="00B840C6" w:rsidP="00AE0018">
            <w:pPr>
              <w:spacing w:line="360" w:lineRule="auto"/>
              <w:jc w:val="center"/>
              <w:rPr>
                <w:rFonts w:ascii="Arial" w:hAnsi="Arial" w:cs="Arial"/>
                <w:sz w:val="18"/>
                <w:szCs w:val="18"/>
              </w:rPr>
            </w:pPr>
            <w:r w:rsidRPr="00AE0018">
              <w:rPr>
                <w:rFonts w:ascii="Arial" w:hAnsi="Arial" w:cs="Arial"/>
                <w:sz w:val="18"/>
                <w:szCs w:val="18"/>
              </w:rPr>
              <w:t>Empirical</w:t>
            </w:r>
            <w:r w:rsidR="00754EE3" w:rsidRPr="00AE0018">
              <w:rPr>
                <w:rFonts w:ascii="Arial" w:hAnsi="Arial" w:cs="Arial"/>
                <w:sz w:val="18"/>
                <w:szCs w:val="18"/>
              </w:rPr>
              <w:t>/theoretical studies linking education</w:t>
            </w:r>
            <w:r w:rsidR="00213658" w:rsidRPr="00AE0018">
              <w:rPr>
                <w:rFonts w:ascii="Arial" w:hAnsi="Arial" w:cs="Arial"/>
                <w:sz w:val="18"/>
                <w:szCs w:val="18"/>
              </w:rPr>
              <w:sym w:font="Wingdings" w:char="F0E0"/>
            </w:r>
            <w:r w:rsidR="00213658" w:rsidRPr="00AE0018">
              <w:rPr>
                <w:rFonts w:ascii="Arial" w:hAnsi="Arial" w:cs="Arial"/>
                <w:sz w:val="18"/>
                <w:szCs w:val="18"/>
              </w:rPr>
              <w:t xml:space="preserve"> employment/entrepren</w:t>
            </w:r>
            <w:r w:rsidR="00420177" w:rsidRPr="00AE0018">
              <w:rPr>
                <w:rFonts w:ascii="Arial" w:hAnsi="Arial" w:cs="Arial"/>
                <w:sz w:val="18"/>
                <w:szCs w:val="18"/>
              </w:rPr>
              <w:t>eurship/exploitation for Black males</w:t>
            </w:r>
            <w:r w:rsidR="005F3621" w:rsidRPr="00AE0018">
              <w:rPr>
                <w:rFonts w:ascii="Arial" w:hAnsi="Arial" w:cs="Arial"/>
                <w:sz w:val="18"/>
                <w:szCs w:val="18"/>
              </w:rPr>
              <w:t>; UK-</w:t>
            </w:r>
            <w:r w:rsidR="00980F30" w:rsidRPr="00AE0018">
              <w:rPr>
                <w:rFonts w:ascii="Arial" w:hAnsi="Arial" w:cs="Arial"/>
                <w:sz w:val="18"/>
                <w:szCs w:val="18"/>
              </w:rPr>
              <w:t>preferred</w:t>
            </w:r>
            <w:r w:rsidR="005F3621" w:rsidRPr="00AE0018">
              <w:rPr>
                <w:rFonts w:ascii="Arial" w:hAnsi="Arial" w:cs="Arial"/>
                <w:sz w:val="18"/>
                <w:szCs w:val="18"/>
              </w:rPr>
              <w:t>; English</w:t>
            </w:r>
          </w:p>
        </w:tc>
        <w:tc>
          <w:tcPr>
            <w:tcW w:w="2552" w:type="dxa"/>
          </w:tcPr>
          <w:p w14:paraId="56D1DBC0" w14:textId="26B733D0" w:rsidR="000406A8" w:rsidRPr="00AE0018" w:rsidRDefault="005F3621" w:rsidP="00AE0018">
            <w:pPr>
              <w:spacing w:line="360" w:lineRule="auto"/>
              <w:jc w:val="center"/>
              <w:rPr>
                <w:rFonts w:ascii="Arial" w:hAnsi="Arial" w:cs="Arial"/>
                <w:sz w:val="18"/>
                <w:szCs w:val="18"/>
              </w:rPr>
            </w:pPr>
            <w:r w:rsidRPr="00AE0018">
              <w:rPr>
                <w:rFonts w:ascii="Arial" w:hAnsi="Arial" w:cs="Arial"/>
                <w:sz w:val="18"/>
                <w:szCs w:val="18"/>
              </w:rPr>
              <w:t>Focus on Mechanisms and policy applicab</w:t>
            </w:r>
            <w:r w:rsidR="008C0206" w:rsidRPr="00AE0018">
              <w:rPr>
                <w:rFonts w:ascii="Arial" w:hAnsi="Arial" w:cs="Arial"/>
                <w:sz w:val="18"/>
                <w:szCs w:val="18"/>
              </w:rPr>
              <w:t>ility</w:t>
            </w:r>
          </w:p>
        </w:tc>
        <w:tc>
          <w:tcPr>
            <w:tcW w:w="3663" w:type="dxa"/>
          </w:tcPr>
          <w:p w14:paraId="4BE84BD0" w14:textId="49A4D155" w:rsidR="000406A8" w:rsidRPr="00AE0018" w:rsidRDefault="008C0206" w:rsidP="00AE0018">
            <w:pPr>
              <w:spacing w:line="360" w:lineRule="auto"/>
              <w:jc w:val="center"/>
              <w:rPr>
                <w:rFonts w:ascii="Arial" w:hAnsi="Arial" w:cs="Arial"/>
                <w:sz w:val="18"/>
                <w:szCs w:val="18"/>
              </w:rPr>
            </w:pPr>
            <w:r w:rsidRPr="00AE0018">
              <w:rPr>
                <w:rFonts w:ascii="Arial" w:hAnsi="Arial" w:cs="Arial"/>
                <w:sz w:val="18"/>
                <w:szCs w:val="18"/>
              </w:rPr>
              <w:t xml:space="preserve">Excluded studies not addressing mechanisms </w:t>
            </w:r>
            <w:r w:rsidR="00980F30" w:rsidRPr="00AE0018">
              <w:rPr>
                <w:rFonts w:ascii="Arial" w:hAnsi="Arial" w:cs="Arial"/>
                <w:sz w:val="18"/>
                <w:szCs w:val="18"/>
              </w:rPr>
              <w:t>or not</w:t>
            </w:r>
            <w:r w:rsidR="002855B8" w:rsidRPr="00AE0018">
              <w:rPr>
                <w:rFonts w:ascii="Arial" w:hAnsi="Arial" w:cs="Arial"/>
                <w:sz w:val="18"/>
                <w:szCs w:val="18"/>
              </w:rPr>
              <w:t xml:space="preserve"> dis</w:t>
            </w:r>
            <w:r w:rsidR="00A374D4" w:rsidRPr="00AE0018">
              <w:rPr>
                <w:rFonts w:ascii="Arial" w:hAnsi="Arial" w:cs="Arial"/>
                <w:sz w:val="18"/>
                <w:szCs w:val="18"/>
              </w:rPr>
              <w:t>aggregatable</w:t>
            </w:r>
          </w:p>
        </w:tc>
      </w:tr>
      <w:tr w:rsidR="00B45453" w:rsidRPr="00AE0018" w14:paraId="5CDC3FA5" w14:textId="77777777" w:rsidTr="00E6279F">
        <w:tc>
          <w:tcPr>
            <w:tcW w:w="1844" w:type="dxa"/>
          </w:tcPr>
          <w:p w14:paraId="3F61A279" w14:textId="6B4B0667" w:rsidR="000406A8" w:rsidRPr="00AE0018" w:rsidRDefault="00B840C6" w:rsidP="00AE0018">
            <w:pPr>
              <w:spacing w:line="360" w:lineRule="auto"/>
              <w:jc w:val="center"/>
              <w:rPr>
                <w:rFonts w:ascii="Arial" w:hAnsi="Arial" w:cs="Arial"/>
                <w:sz w:val="18"/>
                <w:szCs w:val="18"/>
              </w:rPr>
            </w:pPr>
            <w:r w:rsidRPr="00AE0018">
              <w:rPr>
                <w:rFonts w:ascii="Arial" w:hAnsi="Arial" w:cs="Arial"/>
                <w:sz w:val="18"/>
                <w:szCs w:val="18"/>
              </w:rPr>
              <w:t>Screening and selection</w:t>
            </w:r>
          </w:p>
        </w:tc>
        <w:tc>
          <w:tcPr>
            <w:tcW w:w="2409" w:type="dxa"/>
          </w:tcPr>
          <w:p w14:paraId="1FA2CC95" w14:textId="0B844554" w:rsidR="000406A8" w:rsidRPr="00AE0018" w:rsidRDefault="00B840C6" w:rsidP="00AE0018">
            <w:pPr>
              <w:spacing w:line="360" w:lineRule="auto"/>
              <w:jc w:val="center"/>
              <w:rPr>
                <w:rFonts w:ascii="Arial" w:hAnsi="Arial" w:cs="Arial"/>
                <w:sz w:val="18"/>
                <w:szCs w:val="18"/>
              </w:rPr>
            </w:pPr>
            <w:r w:rsidRPr="00AE0018">
              <w:rPr>
                <w:rFonts w:ascii="Arial" w:hAnsi="Arial" w:cs="Arial"/>
                <w:sz w:val="18"/>
                <w:szCs w:val="18"/>
              </w:rPr>
              <w:t>Dual indepen</w:t>
            </w:r>
            <w:r w:rsidR="00C86377" w:rsidRPr="00AE0018">
              <w:rPr>
                <w:rFonts w:ascii="Arial" w:hAnsi="Arial" w:cs="Arial"/>
                <w:sz w:val="18"/>
                <w:szCs w:val="18"/>
              </w:rPr>
              <w:t>dent screening (</w:t>
            </w:r>
            <w:r w:rsidR="00D25771" w:rsidRPr="00AE0018">
              <w:rPr>
                <w:rFonts w:ascii="Arial" w:hAnsi="Arial" w:cs="Arial"/>
                <w:sz w:val="18"/>
                <w:szCs w:val="18"/>
              </w:rPr>
              <w:t>title</w:t>
            </w:r>
            <w:r w:rsidR="00C86377" w:rsidRPr="00AE0018">
              <w:rPr>
                <w:rFonts w:ascii="Arial" w:hAnsi="Arial" w:cs="Arial"/>
                <w:sz w:val="18"/>
                <w:szCs w:val="18"/>
              </w:rPr>
              <w:t>/abstract, full</w:t>
            </w:r>
            <w:r w:rsidR="00D25771" w:rsidRPr="00AE0018">
              <w:rPr>
                <w:rFonts w:ascii="Arial" w:hAnsi="Arial" w:cs="Arial"/>
                <w:sz w:val="18"/>
                <w:szCs w:val="18"/>
              </w:rPr>
              <w:t xml:space="preserve"> </w:t>
            </w:r>
            <w:r w:rsidR="00C86377" w:rsidRPr="00AE0018">
              <w:rPr>
                <w:rFonts w:ascii="Arial" w:hAnsi="Arial" w:cs="Arial"/>
                <w:sz w:val="18"/>
                <w:szCs w:val="18"/>
              </w:rPr>
              <w:t>text) with conflict resolution</w:t>
            </w:r>
          </w:p>
        </w:tc>
        <w:tc>
          <w:tcPr>
            <w:tcW w:w="2552" w:type="dxa"/>
          </w:tcPr>
          <w:p w14:paraId="438F34B0" w14:textId="43DB2846" w:rsidR="000406A8" w:rsidRPr="00AE0018" w:rsidRDefault="00D25771" w:rsidP="00AE0018">
            <w:pPr>
              <w:spacing w:line="360" w:lineRule="auto"/>
              <w:jc w:val="center"/>
              <w:rPr>
                <w:rFonts w:ascii="Arial" w:hAnsi="Arial" w:cs="Arial"/>
                <w:sz w:val="18"/>
                <w:szCs w:val="18"/>
              </w:rPr>
            </w:pPr>
            <w:r w:rsidRPr="00AE0018">
              <w:rPr>
                <w:rFonts w:ascii="Arial" w:hAnsi="Arial" w:cs="Arial"/>
                <w:sz w:val="18"/>
                <w:szCs w:val="18"/>
              </w:rPr>
              <w:t xml:space="preserve">Minimise selections and ensure </w:t>
            </w:r>
            <w:r w:rsidR="00D24D6A" w:rsidRPr="00AE0018">
              <w:rPr>
                <w:rFonts w:ascii="Arial" w:hAnsi="Arial" w:cs="Arial"/>
                <w:sz w:val="18"/>
                <w:szCs w:val="18"/>
              </w:rPr>
              <w:t>reproducibility</w:t>
            </w:r>
          </w:p>
        </w:tc>
        <w:tc>
          <w:tcPr>
            <w:tcW w:w="3663" w:type="dxa"/>
          </w:tcPr>
          <w:p w14:paraId="67E5257E" w14:textId="5ADE5B76" w:rsidR="000406A8" w:rsidRPr="00AE0018" w:rsidRDefault="00D24D6A" w:rsidP="00AE0018">
            <w:pPr>
              <w:spacing w:line="360" w:lineRule="auto"/>
              <w:jc w:val="center"/>
              <w:rPr>
                <w:rFonts w:ascii="Arial" w:hAnsi="Arial" w:cs="Arial"/>
                <w:sz w:val="18"/>
                <w:szCs w:val="18"/>
              </w:rPr>
            </w:pPr>
            <w:r w:rsidRPr="00AE0018">
              <w:rPr>
                <w:rFonts w:ascii="Arial" w:hAnsi="Arial" w:cs="Arial"/>
                <w:sz w:val="18"/>
                <w:szCs w:val="18"/>
              </w:rPr>
              <w:t>PRISMA flowchart</w:t>
            </w:r>
          </w:p>
        </w:tc>
      </w:tr>
      <w:tr w:rsidR="00B45453" w:rsidRPr="00AE0018" w14:paraId="2A070A8B" w14:textId="77777777" w:rsidTr="00E6279F">
        <w:tc>
          <w:tcPr>
            <w:tcW w:w="1844" w:type="dxa"/>
          </w:tcPr>
          <w:p w14:paraId="4E4A88EB" w14:textId="09E1E7DB" w:rsidR="000406A8" w:rsidRPr="00AE0018" w:rsidRDefault="00D24D6A" w:rsidP="00AE0018">
            <w:pPr>
              <w:spacing w:line="360" w:lineRule="auto"/>
              <w:jc w:val="center"/>
              <w:rPr>
                <w:rFonts w:ascii="Arial" w:hAnsi="Arial" w:cs="Arial"/>
                <w:sz w:val="18"/>
                <w:szCs w:val="18"/>
              </w:rPr>
            </w:pPr>
            <w:r w:rsidRPr="00AE0018">
              <w:rPr>
                <w:rFonts w:ascii="Arial" w:hAnsi="Arial" w:cs="Arial"/>
                <w:sz w:val="18"/>
                <w:szCs w:val="18"/>
              </w:rPr>
              <w:t>Data extraction</w:t>
            </w:r>
          </w:p>
        </w:tc>
        <w:tc>
          <w:tcPr>
            <w:tcW w:w="2409" w:type="dxa"/>
          </w:tcPr>
          <w:p w14:paraId="1C739131" w14:textId="0EA1931D" w:rsidR="000406A8" w:rsidRPr="00AE0018" w:rsidRDefault="003A42D4" w:rsidP="00AE0018">
            <w:pPr>
              <w:spacing w:line="360" w:lineRule="auto"/>
              <w:jc w:val="center"/>
              <w:rPr>
                <w:rFonts w:ascii="Arial" w:hAnsi="Arial" w:cs="Arial"/>
                <w:sz w:val="18"/>
                <w:szCs w:val="18"/>
              </w:rPr>
            </w:pPr>
            <w:r w:rsidRPr="00AE0018">
              <w:rPr>
                <w:rFonts w:ascii="Arial" w:hAnsi="Arial" w:cs="Arial"/>
                <w:sz w:val="18"/>
                <w:szCs w:val="18"/>
              </w:rPr>
              <w:t xml:space="preserve">Double extraction mapped to A </w:t>
            </w:r>
            <w:r w:rsidRPr="00AE0018">
              <w:rPr>
                <w:rFonts w:ascii="Arial" w:hAnsi="Arial" w:cs="Arial"/>
                <w:sz w:val="18"/>
                <w:szCs w:val="18"/>
              </w:rPr>
              <w:sym w:font="Wingdings" w:char="F0E0"/>
            </w:r>
            <w:r w:rsidRPr="00AE0018">
              <w:rPr>
                <w:rFonts w:ascii="Arial" w:hAnsi="Arial" w:cs="Arial"/>
                <w:sz w:val="18"/>
                <w:szCs w:val="18"/>
              </w:rPr>
              <w:t xml:space="preserve"> F (context, exposure, mechani</w:t>
            </w:r>
            <w:r w:rsidR="00814DBA" w:rsidRPr="00AE0018">
              <w:rPr>
                <w:rFonts w:ascii="Arial" w:hAnsi="Arial" w:cs="Arial"/>
                <w:sz w:val="18"/>
                <w:szCs w:val="18"/>
              </w:rPr>
              <w:t>sms, mediators, outcomes, design, disaggregation)</w:t>
            </w:r>
          </w:p>
        </w:tc>
        <w:tc>
          <w:tcPr>
            <w:tcW w:w="2552" w:type="dxa"/>
          </w:tcPr>
          <w:p w14:paraId="1895B4E8" w14:textId="1F357F69" w:rsidR="000406A8" w:rsidRPr="00AE0018" w:rsidRDefault="00814DBA" w:rsidP="00AE0018">
            <w:pPr>
              <w:spacing w:line="360" w:lineRule="auto"/>
              <w:jc w:val="center"/>
              <w:rPr>
                <w:rFonts w:ascii="Arial" w:hAnsi="Arial" w:cs="Arial"/>
                <w:sz w:val="18"/>
                <w:szCs w:val="18"/>
              </w:rPr>
            </w:pPr>
            <w:r w:rsidRPr="00AE0018">
              <w:rPr>
                <w:rFonts w:ascii="Arial" w:hAnsi="Arial" w:cs="Arial"/>
                <w:sz w:val="18"/>
                <w:szCs w:val="18"/>
              </w:rPr>
              <w:t>Standar</w:t>
            </w:r>
            <w:r w:rsidR="00CD73D3" w:rsidRPr="00AE0018">
              <w:rPr>
                <w:rFonts w:ascii="Arial" w:hAnsi="Arial" w:cs="Arial"/>
                <w:sz w:val="18"/>
                <w:szCs w:val="18"/>
              </w:rPr>
              <w:t>dised capture for mechanism mapping and synthesis</w:t>
            </w:r>
          </w:p>
        </w:tc>
        <w:tc>
          <w:tcPr>
            <w:tcW w:w="3663" w:type="dxa"/>
          </w:tcPr>
          <w:p w14:paraId="4249F349" w14:textId="3A3CD726" w:rsidR="000406A8" w:rsidRPr="00AE0018" w:rsidRDefault="00CD73D3" w:rsidP="00AE0018">
            <w:pPr>
              <w:spacing w:line="360" w:lineRule="auto"/>
              <w:jc w:val="center"/>
              <w:rPr>
                <w:rFonts w:ascii="Arial" w:hAnsi="Arial" w:cs="Arial"/>
                <w:sz w:val="18"/>
                <w:szCs w:val="18"/>
              </w:rPr>
            </w:pPr>
            <w:r w:rsidRPr="00AE0018">
              <w:rPr>
                <w:rFonts w:ascii="Arial" w:hAnsi="Arial" w:cs="Arial"/>
                <w:sz w:val="18"/>
                <w:szCs w:val="18"/>
              </w:rPr>
              <w:t>Extraction form/</w:t>
            </w:r>
            <w:r w:rsidR="005825ED" w:rsidRPr="00AE0018">
              <w:rPr>
                <w:rFonts w:ascii="Arial" w:hAnsi="Arial" w:cs="Arial"/>
                <w:sz w:val="18"/>
                <w:szCs w:val="18"/>
              </w:rPr>
              <w:t>excel; code theoretical framing and analysi</w:t>
            </w:r>
            <w:r w:rsidR="00CA60BC" w:rsidRPr="00AE0018">
              <w:rPr>
                <w:rFonts w:ascii="Arial" w:hAnsi="Arial" w:cs="Arial"/>
                <w:sz w:val="18"/>
                <w:szCs w:val="18"/>
              </w:rPr>
              <w:t>s level</w:t>
            </w:r>
          </w:p>
        </w:tc>
      </w:tr>
      <w:tr w:rsidR="00B45453" w:rsidRPr="00AE0018" w14:paraId="70EBE4C7" w14:textId="77777777" w:rsidTr="00E6279F">
        <w:tc>
          <w:tcPr>
            <w:tcW w:w="1844" w:type="dxa"/>
          </w:tcPr>
          <w:p w14:paraId="6780B4F9" w14:textId="55824F13" w:rsidR="000406A8" w:rsidRPr="00AE0018" w:rsidRDefault="003A42D4" w:rsidP="00AE0018">
            <w:pPr>
              <w:spacing w:line="360" w:lineRule="auto"/>
              <w:jc w:val="center"/>
              <w:rPr>
                <w:rFonts w:ascii="Arial" w:hAnsi="Arial" w:cs="Arial"/>
                <w:sz w:val="18"/>
                <w:szCs w:val="18"/>
              </w:rPr>
            </w:pPr>
            <w:r w:rsidRPr="00AE0018">
              <w:rPr>
                <w:rFonts w:ascii="Arial" w:hAnsi="Arial" w:cs="Arial"/>
                <w:sz w:val="18"/>
                <w:szCs w:val="18"/>
              </w:rPr>
              <w:t>Quality appraisal</w:t>
            </w:r>
          </w:p>
        </w:tc>
        <w:tc>
          <w:tcPr>
            <w:tcW w:w="2409" w:type="dxa"/>
          </w:tcPr>
          <w:p w14:paraId="4FABA692" w14:textId="23293A2F" w:rsidR="000406A8" w:rsidRPr="00AE0018" w:rsidRDefault="00CA60BC" w:rsidP="00AE0018">
            <w:pPr>
              <w:spacing w:line="360" w:lineRule="auto"/>
              <w:jc w:val="center"/>
              <w:rPr>
                <w:rFonts w:ascii="Arial" w:hAnsi="Arial" w:cs="Arial"/>
                <w:sz w:val="18"/>
                <w:szCs w:val="18"/>
              </w:rPr>
            </w:pPr>
            <w:r w:rsidRPr="00AE0018">
              <w:rPr>
                <w:rFonts w:ascii="Arial" w:hAnsi="Arial" w:cs="Arial"/>
                <w:sz w:val="18"/>
                <w:szCs w:val="18"/>
              </w:rPr>
              <w:t>Design-appropriate tools with quality weighting</w:t>
            </w:r>
          </w:p>
        </w:tc>
        <w:tc>
          <w:tcPr>
            <w:tcW w:w="2552" w:type="dxa"/>
          </w:tcPr>
          <w:p w14:paraId="07222162" w14:textId="536329D5" w:rsidR="000406A8" w:rsidRPr="00AE0018" w:rsidRDefault="00281013" w:rsidP="00AE0018">
            <w:pPr>
              <w:spacing w:line="360" w:lineRule="auto"/>
              <w:jc w:val="center"/>
              <w:rPr>
                <w:rFonts w:ascii="Arial" w:hAnsi="Arial" w:cs="Arial"/>
                <w:sz w:val="18"/>
                <w:szCs w:val="18"/>
              </w:rPr>
            </w:pPr>
            <w:r w:rsidRPr="00AE0018">
              <w:rPr>
                <w:rFonts w:ascii="Arial" w:hAnsi="Arial" w:cs="Arial"/>
                <w:sz w:val="18"/>
                <w:szCs w:val="18"/>
              </w:rPr>
              <w:t xml:space="preserve">Assess risk </w:t>
            </w:r>
            <w:r w:rsidR="00694AEB" w:rsidRPr="00AE0018">
              <w:rPr>
                <w:rFonts w:ascii="Arial" w:hAnsi="Arial" w:cs="Arial"/>
                <w:sz w:val="18"/>
                <w:szCs w:val="18"/>
              </w:rPr>
              <w:t>of</w:t>
            </w:r>
            <w:r w:rsidRPr="00AE0018">
              <w:rPr>
                <w:rFonts w:ascii="Arial" w:hAnsi="Arial" w:cs="Arial"/>
                <w:sz w:val="18"/>
                <w:szCs w:val="18"/>
              </w:rPr>
              <w:t xml:space="preserve"> bias and weight evidence in synthesis</w:t>
            </w:r>
          </w:p>
        </w:tc>
        <w:tc>
          <w:tcPr>
            <w:tcW w:w="3663" w:type="dxa"/>
          </w:tcPr>
          <w:p w14:paraId="4367671F" w14:textId="605E5E1A" w:rsidR="000406A8" w:rsidRPr="00AE0018" w:rsidRDefault="00652CBC" w:rsidP="00AE0018">
            <w:pPr>
              <w:spacing w:line="360" w:lineRule="auto"/>
              <w:jc w:val="center"/>
              <w:rPr>
                <w:rFonts w:ascii="Arial" w:hAnsi="Arial" w:cs="Arial"/>
                <w:sz w:val="18"/>
                <w:szCs w:val="18"/>
              </w:rPr>
            </w:pPr>
            <w:r w:rsidRPr="00AE0018">
              <w:rPr>
                <w:rFonts w:ascii="Arial" w:hAnsi="Arial" w:cs="Arial"/>
                <w:sz w:val="18"/>
                <w:szCs w:val="18"/>
              </w:rPr>
              <w:t xml:space="preserve">ABS, </w:t>
            </w:r>
            <w:r w:rsidR="00D750E5" w:rsidRPr="00AE0018">
              <w:rPr>
                <w:rFonts w:ascii="Arial" w:hAnsi="Arial" w:cs="Arial"/>
                <w:sz w:val="18"/>
                <w:szCs w:val="18"/>
              </w:rPr>
              <w:t>ROB2/ROBNS-I</w:t>
            </w:r>
            <w:r w:rsidR="005A667B" w:rsidRPr="00AE0018">
              <w:rPr>
                <w:rFonts w:ascii="Arial" w:hAnsi="Arial" w:cs="Arial"/>
                <w:sz w:val="18"/>
                <w:szCs w:val="18"/>
              </w:rPr>
              <w:t xml:space="preserve"> </w:t>
            </w:r>
            <w:r w:rsidR="00D750E5" w:rsidRPr="00AE0018">
              <w:rPr>
                <w:rFonts w:ascii="Arial" w:hAnsi="Arial" w:cs="Arial"/>
                <w:sz w:val="18"/>
                <w:szCs w:val="18"/>
              </w:rPr>
              <w:t>(</w:t>
            </w:r>
            <w:r w:rsidR="005A667B" w:rsidRPr="00AE0018">
              <w:rPr>
                <w:rFonts w:ascii="Arial" w:hAnsi="Arial" w:cs="Arial"/>
                <w:sz w:val="18"/>
                <w:szCs w:val="18"/>
              </w:rPr>
              <w:t>qual), CASP</w:t>
            </w:r>
            <w:r w:rsidR="00694AEB" w:rsidRPr="00AE0018">
              <w:rPr>
                <w:rFonts w:ascii="Arial" w:hAnsi="Arial" w:cs="Arial"/>
                <w:sz w:val="18"/>
                <w:szCs w:val="18"/>
              </w:rPr>
              <w:t xml:space="preserve"> </w:t>
            </w:r>
            <w:r w:rsidR="005A667B" w:rsidRPr="00AE0018">
              <w:rPr>
                <w:rFonts w:ascii="Arial" w:hAnsi="Arial" w:cs="Arial"/>
                <w:sz w:val="18"/>
                <w:szCs w:val="18"/>
              </w:rPr>
              <w:t xml:space="preserve">(qual), </w:t>
            </w:r>
            <w:r w:rsidR="00694AEB" w:rsidRPr="00AE0018">
              <w:rPr>
                <w:rFonts w:ascii="Arial" w:hAnsi="Arial" w:cs="Arial"/>
                <w:sz w:val="18"/>
                <w:szCs w:val="18"/>
              </w:rPr>
              <w:t>MMAT (</w:t>
            </w:r>
            <w:r w:rsidR="005A667B" w:rsidRPr="00AE0018">
              <w:rPr>
                <w:rFonts w:ascii="Arial" w:hAnsi="Arial" w:cs="Arial"/>
                <w:sz w:val="18"/>
                <w:szCs w:val="18"/>
              </w:rPr>
              <w:t>mixed);</w:t>
            </w:r>
            <w:r w:rsidR="00694AEB" w:rsidRPr="00AE0018">
              <w:rPr>
                <w:rFonts w:ascii="Arial" w:hAnsi="Arial" w:cs="Arial"/>
                <w:sz w:val="18"/>
                <w:szCs w:val="18"/>
              </w:rPr>
              <w:t xml:space="preserve"> </w:t>
            </w:r>
            <w:r w:rsidR="005A667B" w:rsidRPr="00AE0018">
              <w:rPr>
                <w:rFonts w:ascii="Arial" w:hAnsi="Arial" w:cs="Arial"/>
                <w:sz w:val="18"/>
                <w:szCs w:val="18"/>
              </w:rPr>
              <w:t>record domain rating</w:t>
            </w:r>
          </w:p>
        </w:tc>
      </w:tr>
      <w:tr w:rsidR="00B45453" w:rsidRPr="00AE0018" w14:paraId="76060660" w14:textId="77777777" w:rsidTr="00E6279F">
        <w:tc>
          <w:tcPr>
            <w:tcW w:w="1844" w:type="dxa"/>
          </w:tcPr>
          <w:p w14:paraId="70EABD08" w14:textId="02C8AD5B" w:rsidR="000406A8" w:rsidRPr="00AE0018" w:rsidRDefault="00BC678B" w:rsidP="00AE0018">
            <w:pPr>
              <w:spacing w:line="360" w:lineRule="auto"/>
              <w:jc w:val="center"/>
              <w:rPr>
                <w:rFonts w:ascii="Arial" w:hAnsi="Arial" w:cs="Arial"/>
                <w:sz w:val="18"/>
                <w:szCs w:val="18"/>
              </w:rPr>
            </w:pPr>
            <w:r w:rsidRPr="00AE0018">
              <w:rPr>
                <w:rFonts w:ascii="Arial" w:hAnsi="Arial" w:cs="Arial"/>
                <w:sz w:val="18"/>
                <w:szCs w:val="18"/>
              </w:rPr>
              <w:t>Synthesis approach</w:t>
            </w:r>
          </w:p>
        </w:tc>
        <w:tc>
          <w:tcPr>
            <w:tcW w:w="2409" w:type="dxa"/>
          </w:tcPr>
          <w:p w14:paraId="7862BDE9" w14:textId="52FF916E" w:rsidR="000406A8" w:rsidRPr="00AE0018" w:rsidRDefault="007C415B" w:rsidP="00AE0018">
            <w:pPr>
              <w:spacing w:line="360" w:lineRule="auto"/>
              <w:jc w:val="center"/>
              <w:rPr>
                <w:rFonts w:ascii="Arial" w:hAnsi="Arial" w:cs="Arial"/>
                <w:sz w:val="18"/>
                <w:szCs w:val="18"/>
              </w:rPr>
            </w:pPr>
            <w:r w:rsidRPr="00AE0018">
              <w:rPr>
                <w:rFonts w:ascii="Arial" w:hAnsi="Arial" w:cs="Arial"/>
                <w:sz w:val="18"/>
                <w:szCs w:val="18"/>
              </w:rPr>
              <w:t xml:space="preserve">Narrative/thematic A </w:t>
            </w:r>
            <w:r w:rsidRPr="00AE0018">
              <w:rPr>
                <w:rFonts w:ascii="Arial" w:hAnsi="Arial" w:cs="Arial"/>
                <w:sz w:val="18"/>
                <w:szCs w:val="18"/>
              </w:rPr>
              <w:sym w:font="Wingdings" w:char="F0E0"/>
            </w:r>
            <w:r w:rsidRPr="00AE0018">
              <w:rPr>
                <w:rFonts w:ascii="Arial" w:hAnsi="Arial" w:cs="Arial"/>
                <w:sz w:val="18"/>
                <w:szCs w:val="18"/>
              </w:rPr>
              <w:t xml:space="preserve"> F sy</w:t>
            </w:r>
            <w:r w:rsidR="004644A9" w:rsidRPr="00AE0018">
              <w:rPr>
                <w:rFonts w:ascii="Arial" w:hAnsi="Arial" w:cs="Arial"/>
                <w:sz w:val="18"/>
                <w:szCs w:val="18"/>
              </w:rPr>
              <w:t>nthesis; mediation logic-mapping; selective meta-analysis</w:t>
            </w:r>
          </w:p>
        </w:tc>
        <w:tc>
          <w:tcPr>
            <w:tcW w:w="2552" w:type="dxa"/>
          </w:tcPr>
          <w:p w14:paraId="7F1C83F5" w14:textId="37C43429" w:rsidR="000406A8" w:rsidRPr="00AE0018" w:rsidRDefault="007B2EDB" w:rsidP="00AE0018">
            <w:pPr>
              <w:spacing w:line="360" w:lineRule="auto"/>
              <w:jc w:val="center"/>
              <w:rPr>
                <w:rFonts w:ascii="Arial" w:hAnsi="Arial" w:cs="Arial"/>
                <w:sz w:val="18"/>
                <w:szCs w:val="18"/>
              </w:rPr>
            </w:pPr>
            <w:r w:rsidRPr="00AE0018">
              <w:rPr>
                <w:rFonts w:ascii="Arial" w:hAnsi="Arial" w:cs="Arial"/>
                <w:sz w:val="18"/>
                <w:szCs w:val="18"/>
              </w:rPr>
              <w:t xml:space="preserve">Integrate diverse evidence, test </w:t>
            </w:r>
            <w:r w:rsidR="00694AEB" w:rsidRPr="00AE0018">
              <w:rPr>
                <w:rFonts w:ascii="Arial" w:hAnsi="Arial" w:cs="Arial"/>
                <w:sz w:val="18"/>
                <w:szCs w:val="18"/>
              </w:rPr>
              <w:t>mechanisms</w:t>
            </w:r>
            <w:r w:rsidR="00EB79FB" w:rsidRPr="00AE0018">
              <w:rPr>
                <w:rFonts w:ascii="Arial" w:hAnsi="Arial" w:cs="Arial"/>
                <w:sz w:val="18"/>
                <w:szCs w:val="18"/>
              </w:rPr>
              <w:t xml:space="preserve">, </w:t>
            </w:r>
            <w:r w:rsidR="00694AEB" w:rsidRPr="00AE0018">
              <w:rPr>
                <w:rFonts w:ascii="Arial" w:hAnsi="Arial" w:cs="Arial"/>
                <w:sz w:val="18"/>
                <w:szCs w:val="18"/>
              </w:rPr>
              <w:t xml:space="preserve">and </w:t>
            </w:r>
            <w:r w:rsidR="00EB79FB" w:rsidRPr="00AE0018">
              <w:rPr>
                <w:rFonts w:ascii="Arial" w:hAnsi="Arial" w:cs="Arial"/>
                <w:sz w:val="18"/>
                <w:szCs w:val="18"/>
              </w:rPr>
              <w:t>quantify where appropriate</w:t>
            </w:r>
          </w:p>
        </w:tc>
        <w:tc>
          <w:tcPr>
            <w:tcW w:w="3663" w:type="dxa"/>
          </w:tcPr>
          <w:p w14:paraId="03FF5900" w14:textId="27F50068" w:rsidR="000406A8" w:rsidRPr="00AE0018" w:rsidRDefault="00694AEB" w:rsidP="00AE0018">
            <w:pPr>
              <w:spacing w:line="360" w:lineRule="auto"/>
              <w:jc w:val="center"/>
              <w:rPr>
                <w:rFonts w:ascii="Arial" w:hAnsi="Arial" w:cs="Arial"/>
                <w:sz w:val="18"/>
                <w:szCs w:val="18"/>
              </w:rPr>
            </w:pPr>
            <w:r w:rsidRPr="00AE0018">
              <w:rPr>
                <w:rFonts w:ascii="Arial" w:hAnsi="Arial" w:cs="Arial"/>
                <w:sz w:val="18"/>
                <w:szCs w:val="18"/>
              </w:rPr>
              <w:t>Thematic</w:t>
            </w:r>
            <w:r w:rsidR="00EB79FB" w:rsidRPr="00AE0018">
              <w:rPr>
                <w:rFonts w:ascii="Arial" w:hAnsi="Arial" w:cs="Arial"/>
                <w:sz w:val="18"/>
                <w:szCs w:val="18"/>
              </w:rPr>
              <w:t xml:space="preserve"> analysis</w:t>
            </w:r>
            <w:r w:rsidRPr="00AE0018">
              <w:rPr>
                <w:rFonts w:ascii="Arial" w:hAnsi="Arial" w:cs="Arial"/>
                <w:sz w:val="18"/>
                <w:szCs w:val="18"/>
              </w:rPr>
              <w:t xml:space="preserve"> (Braun and Clark}; </w:t>
            </w:r>
            <w:r w:rsidR="008560CF" w:rsidRPr="00AE0018">
              <w:rPr>
                <w:rFonts w:ascii="Arial" w:hAnsi="Arial" w:cs="Arial"/>
                <w:sz w:val="18"/>
                <w:szCs w:val="18"/>
              </w:rPr>
              <w:t>process-tracing; meta-analytic methods (</w:t>
            </w:r>
            <w:r w:rsidR="000F021A" w:rsidRPr="00AE0018">
              <w:rPr>
                <w:rFonts w:ascii="Arial" w:hAnsi="Arial" w:cs="Arial"/>
                <w:sz w:val="18"/>
                <w:szCs w:val="18"/>
              </w:rPr>
              <w:t>Borenstein</w:t>
            </w:r>
            <w:r w:rsidR="008560CF" w:rsidRPr="00AE0018">
              <w:rPr>
                <w:rFonts w:ascii="Arial" w:hAnsi="Arial" w:cs="Arial"/>
                <w:sz w:val="18"/>
                <w:szCs w:val="18"/>
              </w:rPr>
              <w:t xml:space="preserve"> et al)</w:t>
            </w:r>
          </w:p>
        </w:tc>
      </w:tr>
      <w:tr w:rsidR="00B45453" w:rsidRPr="00AE0018" w14:paraId="6092FC48" w14:textId="77777777" w:rsidTr="00E6279F">
        <w:tc>
          <w:tcPr>
            <w:tcW w:w="1844" w:type="dxa"/>
          </w:tcPr>
          <w:p w14:paraId="2F9D7AA3" w14:textId="5AFA1265" w:rsidR="000406A8" w:rsidRPr="00AE0018" w:rsidRDefault="000F021A" w:rsidP="00AE0018">
            <w:pPr>
              <w:spacing w:line="360" w:lineRule="auto"/>
              <w:jc w:val="center"/>
              <w:rPr>
                <w:rFonts w:ascii="Arial" w:hAnsi="Arial" w:cs="Arial"/>
                <w:sz w:val="18"/>
                <w:szCs w:val="18"/>
              </w:rPr>
            </w:pPr>
            <w:r w:rsidRPr="00AE0018">
              <w:rPr>
                <w:rFonts w:ascii="Arial" w:hAnsi="Arial" w:cs="Arial"/>
                <w:sz w:val="18"/>
                <w:szCs w:val="18"/>
              </w:rPr>
              <w:t>Evidence prioritisation</w:t>
            </w:r>
          </w:p>
        </w:tc>
        <w:tc>
          <w:tcPr>
            <w:tcW w:w="2409" w:type="dxa"/>
          </w:tcPr>
          <w:p w14:paraId="47768E7D" w14:textId="4E011735" w:rsidR="000406A8" w:rsidRPr="00AE0018" w:rsidRDefault="00EA3827" w:rsidP="00AE0018">
            <w:pPr>
              <w:spacing w:line="360" w:lineRule="auto"/>
              <w:jc w:val="center"/>
              <w:rPr>
                <w:rFonts w:ascii="Arial" w:hAnsi="Arial" w:cs="Arial"/>
                <w:sz w:val="18"/>
                <w:szCs w:val="18"/>
              </w:rPr>
            </w:pPr>
            <w:r w:rsidRPr="00AE0018">
              <w:rPr>
                <w:rFonts w:ascii="Arial" w:hAnsi="Arial" w:cs="Arial"/>
                <w:sz w:val="18"/>
                <w:szCs w:val="18"/>
              </w:rPr>
              <w:t>Prioritise longitudinal, process-tracing, ri</w:t>
            </w:r>
            <w:r w:rsidR="00CE64D3" w:rsidRPr="00AE0018">
              <w:rPr>
                <w:rFonts w:ascii="Arial" w:hAnsi="Arial" w:cs="Arial"/>
                <w:sz w:val="18"/>
                <w:szCs w:val="18"/>
              </w:rPr>
              <w:t xml:space="preserve">gorous </w:t>
            </w:r>
            <w:r w:rsidR="00CE64D3" w:rsidRPr="00AE0018">
              <w:rPr>
                <w:rFonts w:ascii="Arial" w:hAnsi="Arial" w:cs="Arial"/>
                <w:sz w:val="18"/>
                <w:szCs w:val="18"/>
              </w:rPr>
              <w:lastRenderedPageBreak/>
              <w:t xml:space="preserve">evaluations; </w:t>
            </w:r>
            <w:r w:rsidR="007F2AA9" w:rsidRPr="00AE0018">
              <w:rPr>
                <w:rFonts w:ascii="Arial" w:hAnsi="Arial" w:cs="Arial"/>
                <w:sz w:val="18"/>
                <w:szCs w:val="18"/>
              </w:rPr>
              <w:t>cross-sectional = hypothesis-generating</w:t>
            </w:r>
          </w:p>
        </w:tc>
        <w:tc>
          <w:tcPr>
            <w:tcW w:w="2552" w:type="dxa"/>
          </w:tcPr>
          <w:p w14:paraId="2A4531FF" w14:textId="6DE76995" w:rsidR="000406A8" w:rsidRPr="00AE0018" w:rsidRDefault="007F2AA9" w:rsidP="00AE0018">
            <w:pPr>
              <w:spacing w:line="360" w:lineRule="auto"/>
              <w:jc w:val="center"/>
              <w:rPr>
                <w:rFonts w:ascii="Arial" w:hAnsi="Arial" w:cs="Arial"/>
                <w:sz w:val="18"/>
                <w:szCs w:val="18"/>
              </w:rPr>
            </w:pPr>
            <w:r w:rsidRPr="00AE0018">
              <w:rPr>
                <w:rFonts w:ascii="Arial" w:hAnsi="Arial" w:cs="Arial"/>
                <w:sz w:val="18"/>
                <w:szCs w:val="18"/>
              </w:rPr>
              <w:lastRenderedPageBreak/>
              <w:t xml:space="preserve">Strengthen </w:t>
            </w:r>
            <w:r w:rsidR="006778B7" w:rsidRPr="00AE0018">
              <w:rPr>
                <w:rFonts w:ascii="Arial" w:hAnsi="Arial" w:cs="Arial"/>
                <w:sz w:val="18"/>
                <w:szCs w:val="18"/>
              </w:rPr>
              <w:t>causal</w:t>
            </w:r>
            <w:r w:rsidRPr="00AE0018">
              <w:rPr>
                <w:rFonts w:ascii="Arial" w:hAnsi="Arial" w:cs="Arial"/>
                <w:sz w:val="18"/>
                <w:szCs w:val="18"/>
              </w:rPr>
              <w:t xml:space="preserve"> inference</w:t>
            </w:r>
          </w:p>
        </w:tc>
        <w:tc>
          <w:tcPr>
            <w:tcW w:w="3663" w:type="dxa"/>
          </w:tcPr>
          <w:p w14:paraId="3B9BBC48" w14:textId="09299117" w:rsidR="000406A8" w:rsidRPr="00AE0018" w:rsidRDefault="006778B7" w:rsidP="00AE0018">
            <w:pPr>
              <w:spacing w:line="360" w:lineRule="auto"/>
              <w:jc w:val="center"/>
              <w:rPr>
                <w:rFonts w:ascii="Arial" w:hAnsi="Arial" w:cs="Arial"/>
                <w:sz w:val="18"/>
                <w:szCs w:val="18"/>
              </w:rPr>
            </w:pPr>
            <w:r w:rsidRPr="00AE0018">
              <w:rPr>
                <w:rFonts w:ascii="Arial" w:hAnsi="Arial" w:cs="Arial"/>
                <w:sz w:val="18"/>
                <w:szCs w:val="18"/>
              </w:rPr>
              <w:t>Flag and weight study accordingly</w:t>
            </w:r>
          </w:p>
        </w:tc>
      </w:tr>
      <w:tr w:rsidR="00B45453" w:rsidRPr="00AE0018" w14:paraId="3B9082B0" w14:textId="77777777" w:rsidTr="00E6279F">
        <w:tc>
          <w:tcPr>
            <w:tcW w:w="1844" w:type="dxa"/>
          </w:tcPr>
          <w:p w14:paraId="394900B7" w14:textId="58669160" w:rsidR="000406A8" w:rsidRPr="00AE0018" w:rsidRDefault="00F37F12" w:rsidP="00AE0018">
            <w:pPr>
              <w:spacing w:line="360" w:lineRule="auto"/>
              <w:jc w:val="center"/>
              <w:rPr>
                <w:rFonts w:ascii="Arial" w:hAnsi="Arial" w:cs="Arial"/>
                <w:sz w:val="18"/>
                <w:szCs w:val="18"/>
              </w:rPr>
            </w:pPr>
            <w:r w:rsidRPr="00AE0018">
              <w:rPr>
                <w:rFonts w:ascii="Arial" w:hAnsi="Arial" w:cs="Arial"/>
                <w:sz w:val="18"/>
                <w:szCs w:val="18"/>
              </w:rPr>
              <w:t xml:space="preserve">Disaggregation and </w:t>
            </w:r>
            <w:r w:rsidR="009167C5" w:rsidRPr="00AE0018">
              <w:rPr>
                <w:rFonts w:ascii="Arial" w:hAnsi="Arial" w:cs="Arial"/>
                <w:sz w:val="18"/>
                <w:szCs w:val="18"/>
              </w:rPr>
              <w:t>intersectionality</w:t>
            </w:r>
          </w:p>
        </w:tc>
        <w:tc>
          <w:tcPr>
            <w:tcW w:w="2409" w:type="dxa"/>
          </w:tcPr>
          <w:p w14:paraId="40AD432C" w14:textId="4CD65EA3" w:rsidR="000406A8" w:rsidRPr="00AE0018" w:rsidRDefault="004046E8" w:rsidP="00AE0018">
            <w:pPr>
              <w:spacing w:line="360" w:lineRule="auto"/>
              <w:jc w:val="center"/>
              <w:rPr>
                <w:rFonts w:ascii="Arial" w:hAnsi="Arial" w:cs="Arial"/>
                <w:sz w:val="18"/>
                <w:szCs w:val="18"/>
              </w:rPr>
            </w:pPr>
            <w:r w:rsidRPr="00AE0018">
              <w:rPr>
                <w:rFonts w:ascii="Arial" w:hAnsi="Arial" w:cs="Arial"/>
                <w:sz w:val="18"/>
                <w:szCs w:val="18"/>
              </w:rPr>
              <w:t>Extract/analyse by ethnicity (Black</w:t>
            </w:r>
            <w:r w:rsidR="00F74DCE" w:rsidRPr="00AE0018">
              <w:rPr>
                <w:rFonts w:ascii="Arial" w:hAnsi="Arial" w:cs="Arial"/>
                <w:sz w:val="18"/>
                <w:szCs w:val="18"/>
              </w:rPr>
              <w:t xml:space="preserve"> African/Caribbean/mixed), generation, gender, SES, pla</w:t>
            </w:r>
            <w:r w:rsidR="00505B08" w:rsidRPr="00AE0018">
              <w:rPr>
                <w:rFonts w:ascii="Arial" w:hAnsi="Arial" w:cs="Arial"/>
                <w:sz w:val="18"/>
                <w:szCs w:val="18"/>
              </w:rPr>
              <w:t>ce</w:t>
            </w:r>
          </w:p>
        </w:tc>
        <w:tc>
          <w:tcPr>
            <w:tcW w:w="2552" w:type="dxa"/>
          </w:tcPr>
          <w:p w14:paraId="51F6CEE4" w14:textId="208B54A8" w:rsidR="000406A8" w:rsidRPr="00AE0018" w:rsidRDefault="00505B08" w:rsidP="00AE0018">
            <w:pPr>
              <w:spacing w:line="360" w:lineRule="auto"/>
              <w:jc w:val="center"/>
              <w:rPr>
                <w:rFonts w:ascii="Arial" w:hAnsi="Arial" w:cs="Arial"/>
                <w:sz w:val="18"/>
                <w:szCs w:val="18"/>
              </w:rPr>
            </w:pPr>
            <w:r w:rsidRPr="00AE0018">
              <w:rPr>
                <w:rFonts w:ascii="Arial" w:hAnsi="Arial" w:cs="Arial"/>
                <w:sz w:val="18"/>
                <w:szCs w:val="18"/>
              </w:rPr>
              <w:t>Reveal within-group hete</w:t>
            </w:r>
            <w:r w:rsidR="00B54B24" w:rsidRPr="00AE0018">
              <w:rPr>
                <w:rFonts w:ascii="Arial" w:hAnsi="Arial" w:cs="Arial"/>
                <w:sz w:val="18"/>
                <w:szCs w:val="18"/>
              </w:rPr>
              <w:t>rogeneity and conditional effects</w:t>
            </w:r>
          </w:p>
        </w:tc>
        <w:tc>
          <w:tcPr>
            <w:tcW w:w="3663" w:type="dxa"/>
          </w:tcPr>
          <w:p w14:paraId="046BEDDA" w14:textId="050D8AE1" w:rsidR="000406A8" w:rsidRPr="00AE0018" w:rsidRDefault="00B54B24" w:rsidP="00AE0018">
            <w:pPr>
              <w:spacing w:line="360" w:lineRule="auto"/>
              <w:jc w:val="center"/>
              <w:rPr>
                <w:rFonts w:ascii="Arial" w:hAnsi="Arial" w:cs="Arial"/>
                <w:sz w:val="18"/>
                <w:szCs w:val="18"/>
              </w:rPr>
            </w:pPr>
            <w:r w:rsidRPr="00AE0018">
              <w:rPr>
                <w:rFonts w:ascii="Arial" w:hAnsi="Arial" w:cs="Arial"/>
                <w:sz w:val="18"/>
                <w:szCs w:val="18"/>
              </w:rPr>
              <w:t>Require disaggregated</w:t>
            </w:r>
            <w:r w:rsidR="000F7B49" w:rsidRPr="00AE0018">
              <w:rPr>
                <w:rFonts w:ascii="Arial" w:hAnsi="Arial" w:cs="Arial"/>
                <w:sz w:val="18"/>
                <w:szCs w:val="18"/>
              </w:rPr>
              <w:t xml:space="preserve"> reporting where available</w:t>
            </w:r>
          </w:p>
        </w:tc>
      </w:tr>
      <w:tr w:rsidR="00B45453" w:rsidRPr="00AE0018" w14:paraId="6D9E3254" w14:textId="77777777" w:rsidTr="00E6279F">
        <w:tc>
          <w:tcPr>
            <w:tcW w:w="1844" w:type="dxa"/>
          </w:tcPr>
          <w:p w14:paraId="1FA80C65" w14:textId="4421F02B" w:rsidR="000406A8" w:rsidRPr="00AE0018" w:rsidRDefault="000F7B49" w:rsidP="00AE0018">
            <w:pPr>
              <w:spacing w:line="360" w:lineRule="auto"/>
              <w:jc w:val="center"/>
              <w:rPr>
                <w:rFonts w:ascii="Arial" w:hAnsi="Arial" w:cs="Arial"/>
                <w:sz w:val="18"/>
                <w:szCs w:val="18"/>
              </w:rPr>
            </w:pPr>
            <w:r w:rsidRPr="00AE0018">
              <w:rPr>
                <w:rFonts w:ascii="Arial" w:hAnsi="Arial" w:cs="Arial"/>
                <w:sz w:val="18"/>
                <w:szCs w:val="18"/>
              </w:rPr>
              <w:t xml:space="preserve">Stakeholder involvement and </w:t>
            </w:r>
            <w:r w:rsidR="003271AF" w:rsidRPr="00AE0018">
              <w:rPr>
                <w:rFonts w:ascii="Arial" w:hAnsi="Arial" w:cs="Arial"/>
                <w:sz w:val="18"/>
                <w:szCs w:val="18"/>
              </w:rPr>
              <w:t>reflexivity</w:t>
            </w:r>
          </w:p>
        </w:tc>
        <w:tc>
          <w:tcPr>
            <w:tcW w:w="2409" w:type="dxa"/>
          </w:tcPr>
          <w:p w14:paraId="0CF0511E" w14:textId="1DA9D66C" w:rsidR="000406A8" w:rsidRPr="00AE0018" w:rsidRDefault="003E7175" w:rsidP="00AE0018">
            <w:pPr>
              <w:spacing w:line="360" w:lineRule="auto"/>
              <w:jc w:val="center"/>
              <w:rPr>
                <w:rFonts w:ascii="Arial" w:hAnsi="Arial" w:cs="Arial"/>
                <w:sz w:val="18"/>
                <w:szCs w:val="18"/>
              </w:rPr>
            </w:pPr>
            <w:r w:rsidRPr="00AE0018">
              <w:rPr>
                <w:rFonts w:ascii="Arial" w:hAnsi="Arial" w:cs="Arial"/>
                <w:sz w:val="18"/>
                <w:szCs w:val="18"/>
              </w:rPr>
              <w:t xml:space="preserve">Stakeholder validation and reflexive </w:t>
            </w:r>
            <w:r w:rsidR="003271AF" w:rsidRPr="00AE0018">
              <w:rPr>
                <w:rFonts w:ascii="Arial" w:hAnsi="Arial" w:cs="Arial"/>
                <w:sz w:val="18"/>
                <w:szCs w:val="18"/>
              </w:rPr>
              <w:t>positionality</w:t>
            </w:r>
            <w:r w:rsidRPr="00AE0018">
              <w:rPr>
                <w:rFonts w:ascii="Arial" w:hAnsi="Arial" w:cs="Arial"/>
                <w:sz w:val="18"/>
                <w:szCs w:val="18"/>
              </w:rPr>
              <w:t xml:space="preserve"> statem</w:t>
            </w:r>
            <w:r w:rsidR="003271AF" w:rsidRPr="00AE0018">
              <w:rPr>
                <w:rFonts w:ascii="Arial" w:hAnsi="Arial" w:cs="Arial"/>
                <w:sz w:val="18"/>
                <w:szCs w:val="18"/>
              </w:rPr>
              <w:t>ents</w:t>
            </w:r>
          </w:p>
        </w:tc>
        <w:tc>
          <w:tcPr>
            <w:tcW w:w="2552" w:type="dxa"/>
          </w:tcPr>
          <w:p w14:paraId="7A6497E1" w14:textId="74DB7317" w:rsidR="000406A8" w:rsidRPr="00AE0018" w:rsidRDefault="000213F7" w:rsidP="00AE0018">
            <w:pPr>
              <w:spacing w:line="360" w:lineRule="auto"/>
              <w:jc w:val="center"/>
              <w:rPr>
                <w:rFonts w:ascii="Arial" w:hAnsi="Arial" w:cs="Arial"/>
                <w:sz w:val="18"/>
                <w:szCs w:val="18"/>
              </w:rPr>
            </w:pPr>
            <w:r w:rsidRPr="00AE0018">
              <w:rPr>
                <w:rFonts w:ascii="Arial" w:hAnsi="Arial" w:cs="Arial"/>
                <w:sz w:val="18"/>
                <w:szCs w:val="18"/>
              </w:rPr>
              <w:t>Contextualise</w:t>
            </w:r>
            <w:r w:rsidR="009861C2" w:rsidRPr="00AE0018">
              <w:rPr>
                <w:rFonts w:ascii="Arial" w:hAnsi="Arial" w:cs="Arial"/>
                <w:sz w:val="18"/>
                <w:szCs w:val="18"/>
              </w:rPr>
              <w:t xml:space="preserve"> findings, ensure cultural relevance, mitigate researcher b</w:t>
            </w:r>
            <w:r w:rsidRPr="00AE0018">
              <w:rPr>
                <w:rFonts w:ascii="Arial" w:hAnsi="Arial" w:cs="Arial"/>
                <w:sz w:val="18"/>
                <w:szCs w:val="18"/>
              </w:rPr>
              <w:t>ias</w:t>
            </w:r>
          </w:p>
        </w:tc>
        <w:tc>
          <w:tcPr>
            <w:tcW w:w="3663" w:type="dxa"/>
          </w:tcPr>
          <w:p w14:paraId="0023847C" w14:textId="411D5B99" w:rsidR="000406A8" w:rsidRPr="00AE0018" w:rsidRDefault="000213F7" w:rsidP="00AE0018">
            <w:pPr>
              <w:spacing w:line="360" w:lineRule="auto"/>
              <w:jc w:val="center"/>
              <w:rPr>
                <w:rFonts w:ascii="Arial" w:hAnsi="Arial" w:cs="Arial"/>
                <w:sz w:val="18"/>
                <w:szCs w:val="18"/>
              </w:rPr>
            </w:pPr>
            <w:r w:rsidRPr="00AE0018">
              <w:rPr>
                <w:rFonts w:ascii="Arial" w:hAnsi="Arial" w:cs="Arial"/>
                <w:sz w:val="18"/>
                <w:szCs w:val="18"/>
              </w:rPr>
              <w:t xml:space="preserve">Engage </w:t>
            </w:r>
            <w:r w:rsidR="00844F83" w:rsidRPr="00AE0018">
              <w:rPr>
                <w:rFonts w:ascii="Arial" w:hAnsi="Arial" w:cs="Arial"/>
                <w:sz w:val="18"/>
                <w:szCs w:val="18"/>
              </w:rPr>
              <w:t>Black</w:t>
            </w:r>
            <w:r w:rsidRPr="00AE0018">
              <w:rPr>
                <w:rFonts w:ascii="Arial" w:hAnsi="Arial" w:cs="Arial"/>
                <w:sz w:val="18"/>
                <w:szCs w:val="18"/>
              </w:rPr>
              <w:t xml:space="preserve"> male stakeholder</w:t>
            </w:r>
            <w:r w:rsidR="002D4734" w:rsidRPr="00AE0018">
              <w:rPr>
                <w:rFonts w:ascii="Arial" w:hAnsi="Arial" w:cs="Arial"/>
                <w:sz w:val="18"/>
                <w:szCs w:val="18"/>
              </w:rPr>
              <w:t>s, practitioners</w:t>
            </w:r>
            <w:r w:rsidR="00844F83" w:rsidRPr="00AE0018">
              <w:rPr>
                <w:rFonts w:ascii="Arial" w:hAnsi="Arial" w:cs="Arial"/>
                <w:sz w:val="18"/>
                <w:szCs w:val="18"/>
              </w:rPr>
              <w:t>, and</w:t>
            </w:r>
            <w:r w:rsidR="002D4734" w:rsidRPr="00AE0018">
              <w:rPr>
                <w:rFonts w:ascii="Arial" w:hAnsi="Arial" w:cs="Arial"/>
                <w:sz w:val="18"/>
                <w:szCs w:val="18"/>
              </w:rPr>
              <w:t xml:space="preserve"> policymakers</w:t>
            </w:r>
          </w:p>
        </w:tc>
      </w:tr>
      <w:tr w:rsidR="00B45453" w:rsidRPr="00AE0018" w14:paraId="7526A5AA" w14:textId="77777777" w:rsidTr="00E6279F">
        <w:tc>
          <w:tcPr>
            <w:tcW w:w="1844" w:type="dxa"/>
          </w:tcPr>
          <w:p w14:paraId="6FB1BE7D" w14:textId="30C524BD" w:rsidR="000406A8" w:rsidRPr="00AE0018" w:rsidRDefault="002D4734" w:rsidP="00AE0018">
            <w:pPr>
              <w:spacing w:line="360" w:lineRule="auto"/>
              <w:jc w:val="center"/>
              <w:rPr>
                <w:rFonts w:ascii="Arial" w:hAnsi="Arial" w:cs="Arial"/>
                <w:sz w:val="18"/>
                <w:szCs w:val="18"/>
              </w:rPr>
            </w:pPr>
            <w:r w:rsidRPr="00AE0018">
              <w:rPr>
                <w:rFonts w:ascii="Arial" w:hAnsi="Arial" w:cs="Arial"/>
                <w:sz w:val="18"/>
                <w:szCs w:val="18"/>
              </w:rPr>
              <w:t>Ethical considerations</w:t>
            </w:r>
          </w:p>
        </w:tc>
        <w:tc>
          <w:tcPr>
            <w:tcW w:w="2409" w:type="dxa"/>
          </w:tcPr>
          <w:p w14:paraId="10E5A418" w14:textId="5531CACF" w:rsidR="000406A8" w:rsidRPr="00AE0018" w:rsidRDefault="00844F83" w:rsidP="00AE0018">
            <w:pPr>
              <w:spacing w:line="360" w:lineRule="auto"/>
              <w:jc w:val="center"/>
              <w:rPr>
                <w:rFonts w:ascii="Arial" w:hAnsi="Arial" w:cs="Arial"/>
                <w:sz w:val="18"/>
                <w:szCs w:val="18"/>
              </w:rPr>
            </w:pPr>
            <w:r w:rsidRPr="00AE0018">
              <w:rPr>
                <w:rFonts w:ascii="Arial" w:hAnsi="Arial" w:cs="Arial"/>
                <w:sz w:val="18"/>
                <w:szCs w:val="18"/>
              </w:rPr>
              <w:t>Ethical reflection for sensitive/criminal</w:t>
            </w:r>
            <w:r w:rsidR="000E5090" w:rsidRPr="00AE0018">
              <w:rPr>
                <w:rFonts w:ascii="Arial" w:hAnsi="Arial" w:cs="Arial"/>
                <w:sz w:val="18"/>
                <w:szCs w:val="18"/>
              </w:rPr>
              <w:t>-justice evidence and vulnerable populations</w:t>
            </w:r>
          </w:p>
        </w:tc>
        <w:tc>
          <w:tcPr>
            <w:tcW w:w="2552" w:type="dxa"/>
          </w:tcPr>
          <w:p w14:paraId="54D4E8BC" w14:textId="135A88D5" w:rsidR="000406A8" w:rsidRPr="00AE0018" w:rsidRDefault="00080412" w:rsidP="00AE0018">
            <w:pPr>
              <w:spacing w:line="360" w:lineRule="auto"/>
              <w:jc w:val="center"/>
              <w:rPr>
                <w:rFonts w:ascii="Arial" w:hAnsi="Arial" w:cs="Arial"/>
                <w:sz w:val="18"/>
                <w:szCs w:val="18"/>
              </w:rPr>
            </w:pPr>
            <w:r w:rsidRPr="00AE0018">
              <w:rPr>
                <w:rFonts w:ascii="Arial" w:hAnsi="Arial" w:cs="Arial"/>
                <w:sz w:val="18"/>
                <w:szCs w:val="18"/>
              </w:rPr>
              <w:t>Protect subjects and responsibly interpret sensitive material</w:t>
            </w:r>
          </w:p>
        </w:tc>
        <w:tc>
          <w:tcPr>
            <w:tcW w:w="3663" w:type="dxa"/>
          </w:tcPr>
          <w:p w14:paraId="06F16119" w14:textId="5F4545E5" w:rsidR="000406A8" w:rsidRPr="00AE0018" w:rsidRDefault="00080412" w:rsidP="00AE0018">
            <w:pPr>
              <w:spacing w:line="360" w:lineRule="auto"/>
              <w:jc w:val="center"/>
              <w:rPr>
                <w:rFonts w:ascii="Arial" w:hAnsi="Arial" w:cs="Arial"/>
                <w:sz w:val="18"/>
                <w:szCs w:val="18"/>
              </w:rPr>
            </w:pPr>
            <w:r w:rsidRPr="00AE0018">
              <w:rPr>
                <w:rFonts w:ascii="Arial" w:hAnsi="Arial" w:cs="Arial"/>
                <w:sz w:val="18"/>
                <w:szCs w:val="18"/>
              </w:rPr>
              <w:t xml:space="preserve">Follow </w:t>
            </w:r>
            <w:r w:rsidR="007C11B2" w:rsidRPr="00AE0018">
              <w:rPr>
                <w:rFonts w:ascii="Arial" w:hAnsi="Arial" w:cs="Arial"/>
                <w:sz w:val="18"/>
                <w:szCs w:val="18"/>
              </w:rPr>
              <w:t>data protection and ethical guidelines</w:t>
            </w:r>
          </w:p>
        </w:tc>
      </w:tr>
      <w:tr w:rsidR="00B45453" w:rsidRPr="00AE0018" w14:paraId="0F29A126" w14:textId="77777777" w:rsidTr="00E6279F">
        <w:tc>
          <w:tcPr>
            <w:tcW w:w="1844" w:type="dxa"/>
          </w:tcPr>
          <w:p w14:paraId="66AE63B1" w14:textId="40F40053" w:rsidR="000406A8" w:rsidRPr="00AE0018" w:rsidRDefault="000759D0" w:rsidP="00AE0018">
            <w:pPr>
              <w:spacing w:line="360" w:lineRule="auto"/>
              <w:jc w:val="center"/>
              <w:rPr>
                <w:rFonts w:ascii="Arial" w:hAnsi="Arial" w:cs="Arial"/>
                <w:sz w:val="18"/>
                <w:szCs w:val="18"/>
              </w:rPr>
            </w:pPr>
            <w:r w:rsidRPr="00AE0018">
              <w:rPr>
                <w:rFonts w:ascii="Arial" w:hAnsi="Arial" w:cs="Arial"/>
                <w:sz w:val="18"/>
                <w:szCs w:val="18"/>
              </w:rPr>
              <w:t>Limitations and sensitivity analyses</w:t>
            </w:r>
          </w:p>
        </w:tc>
        <w:tc>
          <w:tcPr>
            <w:tcW w:w="2409" w:type="dxa"/>
          </w:tcPr>
          <w:p w14:paraId="4B335DBC" w14:textId="30A5FFED" w:rsidR="000406A8" w:rsidRPr="00AE0018" w:rsidRDefault="000759D0" w:rsidP="00AE0018">
            <w:pPr>
              <w:spacing w:line="360" w:lineRule="auto"/>
              <w:jc w:val="center"/>
              <w:rPr>
                <w:rFonts w:ascii="Arial" w:hAnsi="Arial" w:cs="Arial"/>
                <w:sz w:val="18"/>
                <w:szCs w:val="18"/>
              </w:rPr>
            </w:pPr>
            <w:r w:rsidRPr="00AE0018">
              <w:rPr>
                <w:rFonts w:ascii="Arial" w:hAnsi="Arial" w:cs="Arial"/>
                <w:sz w:val="18"/>
                <w:szCs w:val="18"/>
              </w:rPr>
              <w:t xml:space="preserve">Report </w:t>
            </w:r>
            <w:r w:rsidR="00606D5B" w:rsidRPr="00AE0018">
              <w:rPr>
                <w:rFonts w:ascii="Arial" w:hAnsi="Arial" w:cs="Arial"/>
                <w:sz w:val="18"/>
                <w:szCs w:val="18"/>
              </w:rPr>
              <w:t>BAME aggregation</w:t>
            </w:r>
            <w:r w:rsidRPr="00AE0018">
              <w:rPr>
                <w:rFonts w:ascii="Arial" w:hAnsi="Arial" w:cs="Arial"/>
                <w:sz w:val="18"/>
                <w:szCs w:val="18"/>
              </w:rPr>
              <w:t>, geographic bias, mea</w:t>
            </w:r>
            <w:r w:rsidR="00606D5B" w:rsidRPr="00AE0018">
              <w:rPr>
                <w:rFonts w:ascii="Arial" w:hAnsi="Arial" w:cs="Arial"/>
                <w:sz w:val="18"/>
                <w:szCs w:val="18"/>
              </w:rPr>
              <w:t xml:space="preserve">surement heterogeneity, </w:t>
            </w:r>
            <w:r w:rsidR="007F4D7F" w:rsidRPr="00AE0018">
              <w:rPr>
                <w:rFonts w:ascii="Arial" w:hAnsi="Arial" w:cs="Arial"/>
                <w:sz w:val="18"/>
                <w:szCs w:val="18"/>
              </w:rPr>
              <w:t xml:space="preserve">and </w:t>
            </w:r>
            <w:r w:rsidR="00606D5B" w:rsidRPr="00AE0018">
              <w:rPr>
                <w:rFonts w:ascii="Arial" w:hAnsi="Arial" w:cs="Arial"/>
                <w:sz w:val="18"/>
                <w:szCs w:val="18"/>
              </w:rPr>
              <w:t>run sensitivity analyses by quality/design</w:t>
            </w:r>
          </w:p>
        </w:tc>
        <w:tc>
          <w:tcPr>
            <w:tcW w:w="2552" w:type="dxa"/>
          </w:tcPr>
          <w:p w14:paraId="0C9FC65F" w14:textId="1BB2AD10" w:rsidR="000406A8" w:rsidRPr="00AE0018" w:rsidRDefault="007F4D7F" w:rsidP="00AE0018">
            <w:pPr>
              <w:spacing w:line="360" w:lineRule="auto"/>
              <w:jc w:val="center"/>
              <w:rPr>
                <w:rFonts w:ascii="Arial" w:hAnsi="Arial" w:cs="Arial"/>
                <w:sz w:val="18"/>
                <w:szCs w:val="18"/>
              </w:rPr>
            </w:pPr>
            <w:r w:rsidRPr="00AE0018">
              <w:rPr>
                <w:rFonts w:ascii="Arial" w:hAnsi="Arial" w:cs="Arial"/>
                <w:sz w:val="18"/>
                <w:szCs w:val="18"/>
              </w:rPr>
              <w:t>Transparently appraise evidence strength</w:t>
            </w:r>
          </w:p>
        </w:tc>
        <w:tc>
          <w:tcPr>
            <w:tcW w:w="3663" w:type="dxa"/>
          </w:tcPr>
          <w:p w14:paraId="6889F284" w14:textId="496B3260" w:rsidR="000406A8" w:rsidRPr="00AE0018" w:rsidRDefault="007F4D7F" w:rsidP="00AE0018">
            <w:pPr>
              <w:spacing w:line="360" w:lineRule="auto"/>
              <w:jc w:val="center"/>
              <w:rPr>
                <w:rFonts w:ascii="Arial" w:hAnsi="Arial" w:cs="Arial"/>
                <w:sz w:val="18"/>
                <w:szCs w:val="18"/>
              </w:rPr>
            </w:pPr>
            <w:r w:rsidRPr="00AE0018">
              <w:rPr>
                <w:rFonts w:ascii="Arial" w:hAnsi="Arial" w:cs="Arial"/>
                <w:sz w:val="18"/>
                <w:szCs w:val="18"/>
              </w:rPr>
              <w:t>Sensit</w:t>
            </w:r>
            <w:r w:rsidR="007E057B" w:rsidRPr="00AE0018">
              <w:rPr>
                <w:rFonts w:ascii="Arial" w:hAnsi="Arial" w:cs="Arial"/>
                <w:sz w:val="18"/>
                <w:szCs w:val="18"/>
              </w:rPr>
              <w:t>ivity analyses subgroup checks</w:t>
            </w:r>
          </w:p>
        </w:tc>
      </w:tr>
      <w:tr w:rsidR="00B45453" w:rsidRPr="00AE0018" w14:paraId="1250D039" w14:textId="77777777" w:rsidTr="00E6279F">
        <w:tc>
          <w:tcPr>
            <w:tcW w:w="1844" w:type="dxa"/>
          </w:tcPr>
          <w:p w14:paraId="4B17F78F" w14:textId="317B03DA" w:rsidR="000406A8" w:rsidRPr="00AE0018" w:rsidRDefault="007E057B" w:rsidP="00AE0018">
            <w:pPr>
              <w:spacing w:line="360" w:lineRule="auto"/>
              <w:jc w:val="center"/>
              <w:rPr>
                <w:rFonts w:ascii="Arial" w:hAnsi="Arial" w:cs="Arial"/>
                <w:sz w:val="18"/>
                <w:szCs w:val="18"/>
              </w:rPr>
            </w:pPr>
            <w:r w:rsidRPr="00AE0018">
              <w:rPr>
                <w:rFonts w:ascii="Arial" w:hAnsi="Arial" w:cs="Arial"/>
                <w:sz w:val="18"/>
                <w:szCs w:val="18"/>
              </w:rPr>
              <w:t>Outputs and dissemination</w:t>
            </w:r>
          </w:p>
        </w:tc>
        <w:tc>
          <w:tcPr>
            <w:tcW w:w="2409" w:type="dxa"/>
          </w:tcPr>
          <w:p w14:paraId="71811119" w14:textId="2F393653" w:rsidR="000406A8" w:rsidRPr="00AE0018" w:rsidRDefault="009F292F" w:rsidP="00AE0018">
            <w:pPr>
              <w:spacing w:line="360" w:lineRule="auto"/>
              <w:jc w:val="center"/>
              <w:rPr>
                <w:rFonts w:ascii="Arial" w:hAnsi="Arial" w:cs="Arial"/>
                <w:sz w:val="18"/>
                <w:szCs w:val="18"/>
              </w:rPr>
            </w:pPr>
            <w:r w:rsidRPr="00AE0018">
              <w:rPr>
                <w:rFonts w:ascii="Arial" w:hAnsi="Arial" w:cs="Arial"/>
                <w:sz w:val="18"/>
                <w:szCs w:val="18"/>
              </w:rPr>
              <w:t xml:space="preserve">PRISMA, Data extraction tables, A </w:t>
            </w:r>
            <w:r w:rsidRPr="00AE0018">
              <w:rPr>
                <w:rFonts w:ascii="Arial" w:hAnsi="Arial" w:cs="Arial"/>
                <w:sz w:val="18"/>
                <w:szCs w:val="18"/>
              </w:rPr>
              <w:t> F model policy recommendations</w:t>
            </w:r>
          </w:p>
        </w:tc>
        <w:tc>
          <w:tcPr>
            <w:tcW w:w="2552" w:type="dxa"/>
          </w:tcPr>
          <w:p w14:paraId="7F79D85A" w14:textId="5D35A4C2" w:rsidR="000406A8" w:rsidRPr="00AE0018" w:rsidRDefault="009F292F" w:rsidP="00AE0018">
            <w:pPr>
              <w:spacing w:line="360" w:lineRule="auto"/>
              <w:jc w:val="center"/>
              <w:rPr>
                <w:rFonts w:ascii="Arial" w:hAnsi="Arial" w:cs="Arial"/>
                <w:sz w:val="18"/>
                <w:szCs w:val="18"/>
              </w:rPr>
            </w:pPr>
            <w:r w:rsidRPr="00AE0018">
              <w:rPr>
                <w:rFonts w:ascii="Arial" w:hAnsi="Arial" w:cs="Arial"/>
                <w:sz w:val="18"/>
                <w:szCs w:val="18"/>
              </w:rPr>
              <w:t>Ensure reproducibility and policy impact</w:t>
            </w:r>
          </w:p>
        </w:tc>
        <w:tc>
          <w:tcPr>
            <w:tcW w:w="3663" w:type="dxa"/>
          </w:tcPr>
          <w:p w14:paraId="006DE0AC" w14:textId="0A437F7B" w:rsidR="000406A8" w:rsidRPr="00AE0018" w:rsidRDefault="009F292F" w:rsidP="00AE0018">
            <w:pPr>
              <w:spacing w:line="360" w:lineRule="auto"/>
              <w:jc w:val="center"/>
              <w:rPr>
                <w:rFonts w:ascii="Arial" w:hAnsi="Arial" w:cs="Arial"/>
                <w:sz w:val="18"/>
                <w:szCs w:val="18"/>
              </w:rPr>
            </w:pPr>
            <w:r w:rsidRPr="00AE0018">
              <w:rPr>
                <w:rFonts w:ascii="Arial" w:hAnsi="Arial" w:cs="Arial"/>
                <w:sz w:val="18"/>
                <w:szCs w:val="18"/>
              </w:rPr>
              <w:t>Publishable, repository deposit,</w:t>
            </w:r>
          </w:p>
        </w:tc>
      </w:tr>
    </w:tbl>
    <w:p w14:paraId="6C4432E8" w14:textId="77777777" w:rsidR="00B0181A" w:rsidRPr="00AE0018" w:rsidRDefault="00B0181A" w:rsidP="009E58ED">
      <w:pPr>
        <w:spacing w:line="360" w:lineRule="auto"/>
        <w:jc w:val="both"/>
        <w:rPr>
          <w:rFonts w:ascii="Arial" w:hAnsi="Arial" w:cs="Arial"/>
          <w:sz w:val="18"/>
          <w:szCs w:val="18"/>
        </w:rPr>
      </w:pPr>
    </w:p>
    <w:p w14:paraId="17C63ABE" w14:textId="77777777" w:rsidR="006F2EE9" w:rsidRPr="008D653C" w:rsidRDefault="006F2EE9" w:rsidP="006F2EE9">
      <w:pPr>
        <w:keepNext/>
        <w:keepLines/>
        <w:spacing w:before="80" w:after="40"/>
        <w:outlineLvl w:val="3"/>
        <w:rPr>
          <w:rFonts w:eastAsia="Times New Roman" w:cstheme="majorBidi"/>
          <w:i/>
          <w:iCs/>
          <w:color w:val="0F4761" w:themeColor="accent1" w:themeShade="BF"/>
          <w:lang w:eastAsia="en-GB"/>
        </w:rPr>
      </w:pPr>
      <w:r w:rsidRPr="008D653C">
        <w:rPr>
          <w:rFonts w:eastAsia="Times New Roman" w:cstheme="majorBidi"/>
          <w:i/>
          <w:iCs/>
          <w:color w:val="0F4761" w:themeColor="accent1" w:themeShade="BF"/>
          <w:lang w:eastAsia="en-GB"/>
        </w:rPr>
        <w:t xml:space="preserve">Figure </w:t>
      </w:r>
      <w:r>
        <w:rPr>
          <w:rFonts w:eastAsia="Times New Roman" w:cstheme="majorBidi"/>
          <w:i/>
          <w:iCs/>
          <w:color w:val="0F4761" w:themeColor="accent1" w:themeShade="BF"/>
          <w:lang w:eastAsia="en-GB"/>
        </w:rPr>
        <w:t>8: Methodological Choice</w:t>
      </w:r>
      <w:r w:rsidRPr="008D653C">
        <w:rPr>
          <w:rFonts w:eastAsia="Times New Roman" w:cstheme="majorBidi"/>
          <w:i/>
          <w:iCs/>
          <w:color w:val="0F4761" w:themeColor="accent1" w:themeShade="BF"/>
          <w:lang w:eastAsia="en-GB"/>
        </w:rPr>
        <w:t>: Source(s): Authors’ Work</w:t>
      </w:r>
    </w:p>
    <w:p w14:paraId="3DF8F517" w14:textId="2A81D9D7" w:rsidR="00183777" w:rsidRPr="00183777" w:rsidRDefault="00BA2A87" w:rsidP="00183777">
      <w:pPr>
        <w:keepNext/>
        <w:keepLines/>
        <w:spacing w:before="160" w:after="80"/>
        <w:jc w:val="both"/>
        <w:outlineLvl w:val="1"/>
        <w:rPr>
          <w:rFonts w:asciiTheme="majorHAnsi" w:eastAsiaTheme="majorEastAsia" w:hAnsiTheme="majorHAnsi" w:cstheme="majorBidi"/>
          <w:color w:val="0F4761" w:themeColor="accent1" w:themeShade="BF"/>
          <w:sz w:val="32"/>
          <w:szCs w:val="32"/>
        </w:rPr>
      </w:pPr>
      <w:bookmarkStart w:id="28" w:name="_Toc227936266"/>
      <w:r>
        <w:rPr>
          <w:rFonts w:asciiTheme="majorHAnsi" w:eastAsiaTheme="majorEastAsia" w:hAnsiTheme="majorHAnsi" w:cstheme="majorBidi"/>
          <w:color w:val="0F4761" w:themeColor="accent1" w:themeShade="BF"/>
          <w:sz w:val="32"/>
          <w:szCs w:val="32"/>
        </w:rPr>
        <w:t>6</w:t>
      </w:r>
      <w:r w:rsidR="00183777" w:rsidRPr="00183777">
        <w:rPr>
          <w:rFonts w:asciiTheme="majorHAnsi" w:eastAsiaTheme="majorEastAsia" w:hAnsiTheme="majorHAnsi" w:cstheme="majorBidi"/>
          <w:color w:val="0F4761" w:themeColor="accent1" w:themeShade="BF"/>
          <w:sz w:val="32"/>
          <w:szCs w:val="32"/>
        </w:rPr>
        <w:t xml:space="preserve"> Key Concepts and Theoretical Foundations</w:t>
      </w:r>
      <w:bookmarkEnd w:id="28"/>
    </w:p>
    <w:p w14:paraId="5AB6A76C" w14:textId="4A7EBA4A" w:rsidR="00296D26" w:rsidRPr="00296D26" w:rsidRDefault="00BA2A87" w:rsidP="00296D26">
      <w:pPr>
        <w:keepNext/>
        <w:keepLines/>
        <w:spacing w:before="160" w:after="80"/>
        <w:jc w:val="both"/>
        <w:outlineLvl w:val="2"/>
        <w:rPr>
          <w:rFonts w:eastAsiaTheme="majorEastAsia" w:cstheme="majorBidi"/>
          <w:color w:val="0F4761" w:themeColor="accent1" w:themeShade="BF"/>
          <w:sz w:val="28"/>
          <w:szCs w:val="28"/>
        </w:rPr>
      </w:pPr>
      <w:bookmarkStart w:id="29" w:name="_Toc227936267"/>
      <w:r>
        <w:rPr>
          <w:rFonts w:eastAsiaTheme="majorEastAsia" w:cstheme="majorBidi"/>
          <w:color w:val="0F4761" w:themeColor="accent1" w:themeShade="BF"/>
          <w:sz w:val="28"/>
          <w:szCs w:val="28"/>
        </w:rPr>
        <w:t>6</w:t>
      </w:r>
      <w:r w:rsidR="00296D26" w:rsidRPr="00296D26">
        <w:rPr>
          <w:rFonts w:eastAsiaTheme="majorEastAsia" w:cstheme="majorBidi"/>
          <w:color w:val="0F4761" w:themeColor="accent1" w:themeShade="BF"/>
          <w:sz w:val="28"/>
          <w:szCs w:val="28"/>
        </w:rPr>
        <w:t>.1 Educational (Under)Support</w:t>
      </w:r>
      <w:bookmarkEnd w:id="29"/>
    </w:p>
    <w:p w14:paraId="2C41C11D" w14:textId="77777777" w:rsidR="00296D26" w:rsidRPr="00296D26" w:rsidRDefault="00296D26" w:rsidP="00296D26">
      <w:pPr>
        <w:numPr>
          <w:ilvl w:val="1"/>
          <w:numId w:val="0"/>
        </w:numPr>
        <w:jc w:val="both"/>
        <w:rPr>
          <w:rFonts w:ascii="Arial" w:hAnsi="Arial" w:cs="Arial"/>
          <w:sz w:val="24"/>
          <w:szCs w:val="24"/>
        </w:rPr>
      </w:pPr>
    </w:p>
    <w:p w14:paraId="719A3812" w14:textId="77777777" w:rsidR="00296D26" w:rsidRPr="00296D26" w:rsidRDefault="00296D26" w:rsidP="00296D26">
      <w:pPr>
        <w:numPr>
          <w:ilvl w:val="1"/>
          <w:numId w:val="0"/>
        </w:numPr>
        <w:spacing w:line="360" w:lineRule="auto"/>
        <w:jc w:val="both"/>
        <w:rPr>
          <w:rFonts w:ascii="Arial" w:hAnsi="Arial" w:cs="Arial"/>
        </w:rPr>
      </w:pPr>
      <w:r w:rsidRPr="00296D26">
        <w:rPr>
          <w:rFonts w:ascii="Arial" w:hAnsi="Arial" w:cs="Arial"/>
          <w:sz w:val="24"/>
          <w:szCs w:val="24"/>
        </w:rPr>
        <w:t>Educational (under)support refers to the institutional, social, and material conditions that influence Black males’ educational experiences and post-school opportunities</w:t>
      </w:r>
      <w:r w:rsidRPr="00296D26">
        <w:rPr>
          <w:rFonts w:ascii="Arial" w:hAnsi="Arial" w:cs="Arial"/>
        </w:rPr>
        <w:t xml:space="preserve">. </w:t>
      </w:r>
    </w:p>
    <w:p w14:paraId="4465EFC4"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 xml:space="preserve">Underfunded Educational Institutions and Lower Teacher Expectations  </w:t>
      </w:r>
    </w:p>
    <w:p w14:paraId="15AC1B55" w14:textId="77777777" w:rsidR="00296D26" w:rsidRPr="00296D26" w:rsidRDefault="00296D26" w:rsidP="00296D26">
      <w:pPr>
        <w:numPr>
          <w:ilvl w:val="1"/>
          <w:numId w:val="0"/>
        </w:numPr>
        <w:spacing w:line="360" w:lineRule="auto"/>
        <w:jc w:val="both"/>
        <w:rPr>
          <w:rFonts w:ascii="Arial" w:hAnsi="Arial" w:cs="Arial"/>
          <w:sz w:val="24"/>
          <w:szCs w:val="24"/>
        </w:rPr>
      </w:pPr>
      <w:r w:rsidRPr="00296D26">
        <w:rPr>
          <w:rFonts w:ascii="Arial" w:hAnsi="Arial" w:cs="Arial"/>
          <w:sz w:val="24"/>
          <w:szCs w:val="24"/>
        </w:rPr>
        <w:t xml:space="preserve">Underfunded institutions, deficit-based narratives, and the absence of relational pedagogy undermine teacher–student relationships, which are essential to Black boys’ academic achievement (Nelson, 2016; SEU, 1998). Persistent underachievement </w:t>
      </w:r>
      <w:r w:rsidRPr="00296D26">
        <w:rPr>
          <w:rFonts w:ascii="Arial" w:hAnsi="Arial" w:cs="Arial"/>
          <w:sz w:val="24"/>
          <w:szCs w:val="24"/>
        </w:rPr>
        <w:lastRenderedPageBreak/>
        <w:t>among African-Caribbean pupils is associated with lower teacher expectations and institutional racism. Black Caribbean students are disproportionately assigned to lower sets and are restricted from accessing higher-tier examinations (Gillborn and Youdell, 2000; Demie and McLean, 2017; Strand, 2012). These processes have been characterised as a “silent catastrophe” in UK schools (Abbott cited in Nelson, 2016).</w:t>
      </w:r>
    </w:p>
    <w:p w14:paraId="06A1394A"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 xml:space="preserve">Biased Educational Monitoring </w:t>
      </w:r>
    </w:p>
    <w:p w14:paraId="721F8234" w14:textId="77777777" w:rsidR="00296D26" w:rsidRPr="00296D26" w:rsidRDefault="00296D26" w:rsidP="00296D26">
      <w:pPr>
        <w:numPr>
          <w:ilvl w:val="1"/>
          <w:numId w:val="0"/>
        </w:numPr>
        <w:spacing w:line="360" w:lineRule="auto"/>
        <w:jc w:val="both"/>
        <w:rPr>
          <w:rFonts w:ascii="Arial" w:hAnsi="Arial" w:cs="Arial"/>
          <w:sz w:val="24"/>
          <w:szCs w:val="24"/>
        </w:rPr>
      </w:pPr>
      <w:r w:rsidRPr="00296D26">
        <w:rPr>
          <w:rFonts w:ascii="Arial" w:hAnsi="Arial" w:cs="Arial"/>
          <w:sz w:val="24"/>
          <w:szCs w:val="24"/>
        </w:rPr>
        <w:t xml:space="preserve">Biased educational monitoring and unconscious bias are prevalent in both school and higher education settings, contributing to persistent attainment gaps (Devine et al., 2012; Blair, 2002; Mahmud and Gagnon, 2023; ONS, 2021). Psychological stereotype threat and subtle evaluative biases negatively influence the performance of underrepresented </w:t>
      </w:r>
      <w:proofErr w:type="gramStart"/>
      <w:r w:rsidRPr="00296D26">
        <w:rPr>
          <w:rFonts w:ascii="Arial" w:hAnsi="Arial" w:cs="Arial"/>
          <w:sz w:val="24"/>
          <w:szCs w:val="24"/>
        </w:rPr>
        <w:t>students</w:t>
      </w:r>
      <w:proofErr w:type="gramEnd"/>
      <w:r w:rsidRPr="00296D26">
        <w:rPr>
          <w:rFonts w:ascii="Arial" w:hAnsi="Arial" w:cs="Arial"/>
          <w:sz w:val="24"/>
          <w:szCs w:val="24"/>
        </w:rPr>
        <w:t xml:space="preserve"> and the assessments teachers make (Croizet and Claire, 1998; Schmader and Johns, 2003; Good et al., 2008).</w:t>
      </w:r>
    </w:p>
    <w:p w14:paraId="3DD2F92E"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 xml:space="preserve">Access to Advanced Academic Coursework Is Limited  </w:t>
      </w:r>
    </w:p>
    <w:p w14:paraId="61AE2FF4" w14:textId="77777777" w:rsidR="00296D26" w:rsidRPr="00296D26" w:rsidRDefault="00296D26" w:rsidP="00296D26">
      <w:pPr>
        <w:numPr>
          <w:ilvl w:val="1"/>
          <w:numId w:val="0"/>
        </w:numPr>
        <w:spacing w:line="360" w:lineRule="auto"/>
        <w:jc w:val="both"/>
        <w:rPr>
          <w:rFonts w:ascii="Arial" w:hAnsi="Arial" w:cs="Arial"/>
          <w:sz w:val="24"/>
          <w:szCs w:val="24"/>
        </w:rPr>
      </w:pPr>
      <w:r w:rsidRPr="00296D26">
        <w:rPr>
          <w:rFonts w:ascii="Arial" w:hAnsi="Arial" w:cs="Arial"/>
          <w:sz w:val="24"/>
          <w:szCs w:val="24"/>
        </w:rPr>
        <w:t>Access to advanced coursework remains limited, as many Black males encounter hostile secondary school environments. Subsequently, they often transition into further education (FE), where respectful pedagogical approaches and positive relationships with lecturers frequently facilitate above-average academic progress (Fyfe and Figueroa, 1993; Ofsted, 2005; Anderson and Peart, 2016; Sheine, 2018). The flexible and relational support provided in FE can reduce the stigma associated with one-to-one assistance in mainstream schools (Wright et al., 1998; Noguera, 2003; Sewell, 2004).</w:t>
      </w:r>
    </w:p>
    <w:p w14:paraId="72728019"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 xml:space="preserve">Inadequate or stereotypical career guidance  </w:t>
      </w:r>
    </w:p>
    <w:p w14:paraId="2DA944D5" w14:textId="77777777" w:rsidR="00296D26" w:rsidRPr="00296D26" w:rsidRDefault="00296D26" w:rsidP="00296D26">
      <w:pPr>
        <w:numPr>
          <w:ilvl w:val="1"/>
          <w:numId w:val="0"/>
        </w:numPr>
        <w:spacing w:line="360" w:lineRule="auto"/>
        <w:jc w:val="both"/>
        <w:rPr>
          <w:rFonts w:ascii="Arial" w:hAnsi="Arial" w:cs="Arial"/>
          <w:sz w:val="28"/>
          <w:szCs w:val="28"/>
        </w:rPr>
      </w:pPr>
      <w:r w:rsidRPr="00296D26">
        <w:rPr>
          <w:rFonts w:ascii="Arial" w:hAnsi="Arial" w:cs="Arial"/>
          <w:sz w:val="24"/>
          <w:szCs w:val="24"/>
        </w:rPr>
        <w:t>Career guidance and mentoring are frequently inadequate and often rely on stereotypes. The limited presence of senior Black and Minority Ethnic (BME) academics reduces the availability of role models and tailored mentoring, thereby constraining network development and labour-market signalling for Black students (Maylor, 2008; Tsui et al., 1992; Bhopal and Pitkin, 2020a). Although mentoring has been shown to support progression (Scandura, 1992; Eby et al., 2008), institutional barriers and unequal treatment continue to persist (Wanberg et al., 2003; Ogbonna, 2019).</w:t>
      </w:r>
    </w:p>
    <w:p w14:paraId="51C25BB2" w14:textId="06C7CD7E" w:rsidR="00296D26" w:rsidRPr="00296D26" w:rsidRDefault="00BA2A87" w:rsidP="00296D26">
      <w:pPr>
        <w:keepNext/>
        <w:keepLines/>
        <w:spacing w:before="160" w:after="80"/>
        <w:jc w:val="both"/>
        <w:outlineLvl w:val="2"/>
        <w:rPr>
          <w:rFonts w:eastAsiaTheme="majorEastAsia" w:cstheme="majorBidi"/>
          <w:color w:val="0F4761" w:themeColor="accent1" w:themeShade="BF"/>
          <w:sz w:val="32"/>
          <w:szCs w:val="32"/>
        </w:rPr>
      </w:pPr>
      <w:bookmarkStart w:id="30" w:name="_Toc227936268"/>
      <w:r>
        <w:rPr>
          <w:rFonts w:eastAsiaTheme="majorEastAsia" w:cstheme="majorBidi"/>
          <w:color w:val="0F4761" w:themeColor="accent1" w:themeShade="BF"/>
          <w:sz w:val="32"/>
          <w:szCs w:val="32"/>
        </w:rPr>
        <w:lastRenderedPageBreak/>
        <w:t>6</w:t>
      </w:r>
      <w:r w:rsidR="00296D26" w:rsidRPr="00296D26">
        <w:rPr>
          <w:rFonts w:eastAsiaTheme="majorEastAsia" w:cstheme="majorBidi"/>
          <w:color w:val="0F4761" w:themeColor="accent1" w:themeShade="BF"/>
          <w:sz w:val="32"/>
          <w:szCs w:val="32"/>
        </w:rPr>
        <w:t>.2 School</w:t>
      </w:r>
      <w:r w:rsidR="00296D26" w:rsidRPr="00296D26">
        <w:rPr>
          <w:rFonts w:ascii="Cambria Math" w:eastAsiaTheme="majorEastAsia" w:hAnsi="Cambria Math" w:cs="Cambria Math"/>
          <w:color w:val="0F4761" w:themeColor="accent1" w:themeShade="BF"/>
          <w:sz w:val="32"/>
          <w:szCs w:val="32"/>
        </w:rPr>
        <w:t>‑</w:t>
      </w:r>
      <w:r w:rsidR="00296D26" w:rsidRPr="00296D26">
        <w:rPr>
          <w:rFonts w:eastAsiaTheme="majorEastAsia" w:cstheme="majorBidi"/>
          <w:color w:val="0F4761" w:themeColor="accent1" w:themeShade="BF"/>
          <w:sz w:val="32"/>
          <w:szCs w:val="32"/>
        </w:rPr>
        <w:t>Level Practices</w:t>
      </w:r>
      <w:bookmarkEnd w:id="30"/>
    </w:p>
    <w:p w14:paraId="28449DF9"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Policies for Discipline</w:t>
      </w:r>
    </w:p>
    <w:p w14:paraId="6B6D18EB"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Disciplinary policies disproportionately exclude disadvantaged and Black and Minority Ethnic (BME) pupils (DfE, 2017; Joseph, 2020). Both permanent and fixed-term exclusions remain overrepresented among students eligible for Free School Meals (FSM), those with Special Educational Needs (SEN), Traveller communities, and Black Caribbean backgrounds, resulting in long-term harm and educational disruption (OCC, 2012; DfE, 2017; Demie, 2021). While evidence suggests that pastoral interventions can reduce exclusions, their capacity has diminished due to funding cuts and outsourcing (Ofsted, 2006; Thomson and Pennacchia, 2016; Jenkins, 2005; Gill et al., 2017). Neoliberal accountability measures and performance incentives further intensify selective exclusion practices and managerialism (Ball, 2003; Mahony et al., 2004; Gillborn, 2013).</w:t>
      </w:r>
    </w:p>
    <w:p w14:paraId="5361E9CE"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Monitoring and Policing</w:t>
      </w:r>
    </w:p>
    <w:p w14:paraId="6E53562E"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School-based policing and surveillance have become increasingly prominent in UK policy discussions (Youth Violence Commission, Home Affairs Committee, Office of the Children’s Commissioner; Joseph-Salisbury, 2021). Although UK empirical evidence remains limited and predominantly focused on London (Briers, 2003; Henshall, 2018), international studies, particularly from the United States, indicate minimal crime-prevention benefits and significant racialised harms (NAACP, 2005; ACLU, 2017). Critics contend that securitisation may reinforce a Pupil Referral Unit (PRU)-to-prison pipeline in the UK, particularly when moral panics regarding “knife crime” prompt punitive responses that obscure underlying structural causes (Fekete, 2020; Perera, 2020). Increases in serious youth violence statistics (ONS, 2020a) coincide with reductions in youth services and rising exclusion rates, thereby concentrating risk among excluded BME pupils (HM Chief Inspector of Prisons, 2018; Perera, 2020).</w:t>
      </w:r>
    </w:p>
    <w:p w14:paraId="0E1E1475"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Representation of the Curriculum</w:t>
      </w:r>
    </w:p>
    <w:p w14:paraId="330375CA"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 xml:space="preserve">Curricular whiteness and epistemic exclusion marginalise non-White forms of knowledge, thereby undermining belonging and engagement among Black, Asian </w:t>
      </w:r>
      <w:r w:rsidRPr="00296D26">
        <w:rPr>
          <w:rFonts w:ascii="Arial" w:hAnsi="Arial" w:cs="Arial"/>
          <w:sz w:val="24"/>
          <w:szCs w:val="24"/>
        </w:rPr>
        <w:lastRenderedPageBreak/>
        <w:t>and Minority Ethnic (BAME) students (Peters, 2015; Tate and Bagguley, 2017; Pilkington, 2013). Decolonising movements and critiques of White gatekeeping advocate for pedagogical transformation to address persistent structural inequities and to enhance student retention and progression (Leonardo, 2004; Heleta, 2016; Arday et al., 2021).</w:t>
      </w:r>
    </w:p>
    <w:p w14:paraId="26CAA372"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Career Mentoring and Guidance</w:t>
      </w:r>
    </w:p>
    <w:p w14:paraId="46ED16D1"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Culturally responsive mentoring, particularly when mentors share the ethnicity of mentees, has been shown to enhance belonging, confidence, and career readiness, while countering stereotype threat and network deficits (Byars-Winston and Butz, 2021; Lefebvre et al., 2020; Knox et al., 2024). However, generic mentoring models and limited institutional capacity restrict the reach and effectiveness of such interventions for Black students (Obara et al., 2021; Awolowo et al., 2025).</w:t>
      </w:r>
    </w:p>
    <w:p w14:paraId="109137EE"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Student</w:t>
      </w:r>
      <w:r w:rsidRPr="00296D26">
        <w:rPr>
          <w:rFonts w:ascii="Cambria Math" w:eastAsiaTheme="majorEastAsia" w:hAnsi="Cambria Math" w:cs="Cambria Math"/>
          <w:color w:val="0F4761" w:themeColor="accent1" w:themeShade="BF"/>
          <w:sz w:val="24"/>
          <w:szCs w:val="24"/>
        </w:rPr>
        <w:t>‑</w:t>
      </w:r>
      <w:r w:rsidRPr="00296D26">
        <w:rPr>
          <w:rFonts w:eastAsiaTheme="majorEastAsia" w:cstheme="majorBidi"/>
          <w:color w:val="0F4761" w:themeColor="accent1" w:themeShade="BF"/>
          <w:sz w:val="24"/>
          <w:szCs w:val="24"/>
        </w:rPr>
        <w:t>Teacher Relationships</w:t>
      </w:r>
    </w:p>
    <w:p w14:paraId="2E1B5D6F"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Student-teacher interactions and the broader institutional climate play a significant role in shaping students’ sense of belonging and academic attainment (Richardson, 2018; Strayhorn, 2019). Racial harassment and under-reporting are widespread in higher education (HE) (EHRC, 2019), while social isolation is associated with poorer adjustment and lower retention rates (Davies and Garrett, 2012; Pittman and Richmond, 2007). The marketisation of higher education further complicates the provision of support, as services are increasingly positioned within consumerist frameworks (Tait, 2004; Hallett, 2013).</w:t>
      </w:r>
    </w:p>
    <w:p w14:paraId="6ADC3919" w14:textId="705362FC" w:rsidR="00296D26" w:rsidRPr="00296D26" w:rsidRDefault="00BA2A87" w:rsidP="00296D26">
      <w:pPr>
        <w:keepNext/>
        <w:keepLines/>
        <w:spacing w:before="160" w:after="80"/>
        <w:outlineLvl w:val="2"/>
        <w:rPr>
          <w:rFonts w:eastAsiaTheme="majorEastAsia" w:cstheme="majorBidi"/>
          <w:color w:val="0F4761" w:themeColor="accent1" w:themeShade="BF"/>
          <w:sz w:val="32"/>
          <w:szCs w:val="32"/>
        </w:rPr>
      </w:pPr>
      <w:bookmarkStart w:id="31" w:name="_Toc227936269"/>
      <w:r>
        <w:rPr>
          <w:rFonts w:eastAsiaTheme="majorEastAsia" w:cstheme="majorBidi"/>
          <w:color w:val="0F4761" w:themeColor="accent1" w:themeShade="BF"/>
          <w:sz w:val="32"/>
          <w:szCs w:val="32"/>
        </w:rPr>
        <w:t>6</w:t>
      </w:r>
      <w:r w:rsidR="00296D26" w:rsidRPr="00296D26">
        <w:rPr>
          <w:rFonts w:eastAsiaTheme="majorEastAsia" w:cstheme="majorBidi"/>
          <w:color w:val="0F4761" w:themeColor="accent1" w:themeShade="BF"/>
          <w:sz w:val="32"/>
          <w:szCs w:val="32"/>
        </w:rPr>
        <w:t>.3 Socioeconomic Participation and Business Engagement</w:t>
      </w:r>
      <w:bookmarkEnd w:id="31"/>
    </w:p>
    <w:p w14:paraId="1D8762C1"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Employment</w:t>
      </w:r>
    </w:p>
    <w:p w14:paraId="6DE44487"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Black African and Black Caribbean individuals continue to experience persistent labour market disadvantages, including higher unemployment, lower wages, and concentration in semi-routine occupations, despite increasing educational qualifications (Li and Heath, 2020; Heath and Cheung, 2006; Kele et al., 2022). Ethnic penalties and structural barriers restrict the returns to education, while deprived neighbourhood contexts further intensify social and economic exclusion (Rafferty, 2012; Zuccotti and Platt, 2023; Jivraj and Alao, 2023).</w:t>
      </w:r>
    </w:p>
    <w:p w14:paraId="6925D4A5"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lastRenderedPageBreak/>
        <w:t>Apprenticeships</w:t>
      </w:r>
    </w:p>
    <w:p w14:paraId="6B5BA378"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Although apprenticeships have the potential to enhance social mobility, significant inequalities in access and progression remain (</w:t>
      </w:r>
      <w:proofErr w:type="spellStart"/>
      <w:r w:rsidRPr="00296D26">
        <w:rPr>
          <w:rFonts w:ascii="Arial" w:hAnsi="Arial" w:cs="Arial"/>
          <w:sz w:val="24"/>
          <w:szCs w:val="24"/>
        </w:rPr>
        <w:t>DfBIS</w:t>
      </w:r>
      <w:proofErr w:type="spellEnd"/>
      <w:r w:rsidRPr="00296D26">
        <w:rPr>
          <w:rFonts w:ascii="Arial" w:hAnsi="Arial" w:cs="Arial"/>
          <w:sz w:val="24"/>
          <w:szCs w:val="24"/>
        </w:rPr>
        <w:t>, 2015; Mutlib, 2020). Policy initiatives, such as those led by the BAME Apprenticeship Alliance, aim to broaden participation; however, the systemic reproduction of inequalities and unequal progression remain significant concerns (Fuller and Unwin, 2017; Sohdi, 2026).</w:t>
      </w:r>
    </w:p>
    <w:p w14:paraId="359B1127"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Entrepreneurship</w:t>
      </w:r>
    </w:p>
    <w:p w14:paraId="18EDE800"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Entrepreneurship can facilitate upward mobility; however, outcomes are shaped by mixed-embeddedness, including opportunity structures, market access, and group resources, which influence venture motives and survival rates (Kloosterman et al., 1999; Waldinger et al., 1990). Black African and Caribbean Diaspora (BACD) entrepreneurs often demonstrate high aspirations but encounter financial, network, and structural barriers, resulting in a prevalence of necessity entrepreneurship and elevated failure rates (Ojo et al., 2013; Fairlie and Robb, 2007; Brown, 2022). Treating BAME as a homogeneous category obscures important intra-group differences that are critical for effective policy and support design (Brown, 2022).</w:t>
      </w:r>
    </w:p>
    <w:p w14:paraId="79EA11E0"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Access to Financial Resources</w:t>
      </w:r>
    </w:p>
    <w:p w14:paraId="23BCC253"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Financial exclusion, characterised by limited access to credit, reliance on high-cost borrowing, and low levels of wealth, restricts daily financial management, investment opportunities, and firm capitalisation. These constraints disproportionately impact Bangladeshi, Black, and other minority groups (Adami, 2024; Khan, 2010a; ONS, 2020b). Financial precarity further increases vulnerability and diminishes the capacity for sustained entrepreneurial activity (</w:t>
      </w:r>
      <w:proofErr w:type="spellStart"/>
      <w:r w:rsidRPr="00296D26">
        <w:rPr>
          <w:rFonts w:ascii="Arial" w:hAnsi="Arial" w:cs="Arial"/>
          <w:sz w:val="24"/>
          <w:szCs w:val="24"/>
        </w:rPr>
        <w:t>Rowlingson</w:t>
      </w:r>
      <w:proofErr w:type="spellEnd"/>
      <w:r w:rsidRPr="00296D26">
        <w:rPr>
          <w:rFonts w:ascii="Arial" w:hAnsi="Arial" w:cs="Arial"/>
          <w:sz w:val="24"/>
          <w:szCs w:val="24"/>
        </w:rPr>
        <w:t xml:space="preserve"> and McKay, 2017).</w:t>
      </w:r>
    </w:p>
    <w:p w14:paraId="1B77BF0C"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Business Sustainability</w:t>
      </w:r>
    </w:p>
    <w:p w14:paraId="5BE9017B" w14:textId="77777777" w:rsidR="00296D26" w:rsidRPr="00296D26" w:rsidRDefault="00296D26" w:rsidP="00296D26">
      <w:pPr>
        <w:spacing w:line="360" w:lineRule="auto"/>
        <w:rPr>
          <w:rFonts w:ascii="Arial" w:hAnsi="Arial" w:cs="Arial"/>
          <w:sz w:val="24"/>
          <w:szCs w:val="24"/>
          <w:highlight w:val="yellow"/>
        </w:rPr>
      </w:pPr>
      <w:r w:rsidRPr="00296D26">
        <w:rPr>
          <w:rFonts w:ascii="Arial" w:hAnsi="Arial" w:cs="Arial"/>
          <w:sz w:val="24"/>
          <w:szCs w:val="24"/>
        </w:rPr>
        <w:t xml:space="preserve">Minority entrepreneurs experience lower business survival rates </w:t>
      </w:r>
      <w:proofErr w:type="gramStart"/>
      <w:r w:rsidRPr="00296D26">
        <w:rPr>
          <w:rFonts w:ascii="Arial" w:hAnsi="Arial" w:cs="Arial"/>
          <w:sz w:val="24"/>
          <w:szCs w:val="24"/>
        </w:rPr>
        <w:t>as a result of</w:t>
      </w:r>
      <w:proofErr w:type="gramEnd"/>
      <w:r w:rsidRPr="00296D26">
        <w:rPr>
          <w:rFonts w:ascii="Arial" w:hAnsi="Arial" w:cs="Arial"/>
          <w:sz w:val="24"/>
          <w:szCs w:val="24"/>
        </w:rPr>
        <w:t xml:space="preserve"> funding deficits, discrimination, and limited access to ethnic or class-based resources (</w:t>
      </w:r>
      <w:proofErr w:type="spellStart"/>
      <w:r w:rsidRPr="00296D26">
        <w:rPr>
          <w:rFonts w:ascii="Arial" w:hAnsi="Arial" w:cs="Arial"/>
          <w:sz w:val="24"/>
          <w:szCs w:val="24"/>
        </w:rPr>
        <w:t>Kautonen</w:t>
      </w:r>
      <w:proofErr w:type="spellEnd"/>
      <w:r w:rsidRPr="00296D26">
        <w:rPr>
          <w:rFonts w:ascii="Arial" w:hAnsi="Arial" w:cs="Arial"/>
          <w:sz w:val="24"/>
          <w:szCs w:val="24"/>
        </w:rPr>
        <w:t>, 2013; Basu, 1998; Fairlie and Robb, 2007). Although Black-owned firms make significant contributions to the UK economy, they remain under-represented and face high closure rates, which reflect persistent structural barriers to scalability and long-term sustainability (</w:t>
      </w:r>
      <w:proofErr w:type="spellStart"/>
      <w:r w:rsidRPr="00296D26">
        <w:rPr>
          <w:rFonts w:ascii="Arial" w:hAnsi="Arial" w:cs="Arial"/>
          <w:sz w:val="24"/>
          <w:szCs w:val="24"/>
        </w:rPr>
        <w:t>Osewa-Ediae</w:t>
      </w:r>
      <w:proofErr w:type="spellEnd"/>
      <w:r w:rsidRPr="00296D26">
        <w:rPr>
          <w:rFonts w:ascii="Arial" w:hAnsi="Arial" w:cs="Arial"/>
          <w:sz w:val="24"/>
          <w:szCs w:val="24"/>
        </w:rPr>
        <w:t xml:space="preserve">, 2011; </w:t>
      </w:r>
      <w:proofErr w:type="spellStart"/>
      <w:r w:rsidRPr="00296D26">
        <w:rPr>
          <w:rFonts w:ascii="Arial" w:hAnsi="Arial" w:cs="Arial"/>
          <w:sz w:val="24"/>
          <w:szCs w:val="24"/>
        </w:rPr>
        <w:t>Olutola</w:t>
      </w:r>
      <w:proofErr w:type="spellEnd"/>
      <w:r w:rsidRPr="00296D26">
        <w:rPr>
          <w:rFonts w:ascii="Arial" w:hAnsi="Arial" w:cs="Arial"/>
          <w:sz w:val="24"/>
          <w:szCs w:val="24"/>
        </w:rPr>
        <w:t>, 2019).</w:t>
      </w:r>
    </w:p>
    <w:p w14:paraId="14EAA886" w14:textId="0AE9FE1B" w:rsidR="00296D26" w:rsidRPr="00296D26" w:rsidRDefault="00E72C34" w:rsidP="00296D26">
      <w:pPr>
        <w:keepNext/>
        <w:keepLines/>
        <w:spacing w:before="160" w:after="80"/>
        <w:jc w:val="both"/>
        <w:outlineLvl w:val="2"/>
        <w:rPr>
          <w:rFonts w:eastAsiaTheme="majorEastAsia" w:cstheme="majorBidi"/>
          <w:color w:val="0F4761" w:themeColor="accent1" w:themeShade="BF"/>
          <w:sz w:val="32"/>
          <w:szCs w:val="32"/>
        </w:rPr>
      </w:pPr>
      <w:bookmarkStart w:id="32" w:name="_Toc227936270"/>
      <w:r>
        <w:rPr>
          <w:rFonts w:eastAsiaTheme="majorEastAsia" w:cstheme="majorBidi"/>
          <w:color w:val="0F4761" w:themeColor="accent1" w:themeShade="BF"/>
          <w:sz w:val="32"/>
          <w:szCs w:val="32"/>
        </w:rPr>
        <w:lastRenderedPageBreak/>
        <w:t>6</w:t>
      </w:r>
      <w:r w:rsidR="00296D26" w:rsidRPr="00296D26">
        <w:rPr>
          <w:rFonts w:eastAsiaTheme="majorEastAsia" w:cstheme="majorBidi"/>
          <w:color w:val="0F4761" w:themeColor="accent1" w:themeShade="BF"/>
          <w:sz w:val="32"/>
          <w:szCs w:val="32"/>
        </w:rPr>
        <w:t>.4 Risk and Criminal Exploitation</w:t>
      </w:r>
      <w:bookmarkEnd w:id="32"/>
    </w:p>
    <w:p w14:paraId="094FD22F"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Economic Vulnerability</w:t>
      </w:r>
    </w:p>
    <w:p w14:paraId="563EFCB6"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Black African and Caribbean populations experience disproportionately high rates of severe mental health diagnoses and lower levels of treatment engagement, primarily due to socioeconomic factors and persistent discrimination (Grey et al., 2013; Bignall et al., 2019; Hackett et al., 2020). Adverse mental health, unstable housing, and poverty further hinder labour market participation and recovery (Morgan et al., 2017; Lawrence et al., 2021).</w:t>
      </w:r>
    </w:p>
    <w:p w14:paraId="4971AF54"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Exposure to Criminal Networks</w:t>
      </w:r>
    </w:p>
    <w:p w14:paraId="296001DC"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 xml:space="preserve">County Lines operations and broader forms of criminal exploitation coerce vulnerable children and adults into illicit activities. Recruitment strategies leverage poverty, social isolation, debt, and institutional exclusion (Olver and </w:t>
      </w:r>
      <w:proofErr w:type="spellStart"/>
      <w:r w:rsidRPr="00296D26">
        <w:rPr>
          <w:rFonts w:ascii="Arial" w:hAnsi="Arial" w:cs="Arial"/>
          <w:sz w:val="24"/>
          <w:szCs w:val="24"/>
        </w:rPr>
        <w:t>Cockbain</w:t>
      </w:r>
      <w:proofErr w:type="spellEnd"/>
      <w:r w:rsidRPr="00296D26">
        <w:rPr>
          <w:rFonts w:ascii="Arial" w:hAnsi="Arial" w:cs="Arial"/>
          <w:sz w:val="24"/>
          <w:szCs w:val="24"/>
        </w:rPr>
        <w:t>, 2021; CSJ, 2024; HM Government, 2018). Higher education students are increasingly targeted as 'clean skins,' with financial insecurity, substance use, and social isolation increasing their vulnerability (Marsh, 2020; Meredith et al., 2025; O’Hagan and Edmundson, 2021). Research identifies progressive stages of delinquent involvement, ranging from peer group participation to organised crime, as well as adult recruitment tactics that promise financial gain (Ashton, 2024; Hesketh and Robinson, 2019).</w:t>
      </w:r>
    </w:p>
    <w:p w14:paraId="63340E51"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Criminalisation</w:t>
      </w:r>
    </w:p>
    <w:p w14:paraId="5F161882" w14:textId="77777777" w:rsidR="00296D26" w:rsidRPr="00296D26" w:rsidRDefault="00296D26" w:rsidP="00296D26">
      <w:pPr>
        <w:spacing w:line="360" w:lineRule="auto"/>
        <w:rPr>
          <w:rFonts w:ascii="Arial" w:hAnsi="Arial" w:cs="Arial"/>
          <w:sz w:val="24"/>
          <w:szCs w:val="24"/>
        </w:rPr>
      </w:pPr>
      <w:r w:rsidRPr="00296D26">
        <w:rPr>
          <w:rFonts w:ascii="Arial" w:hAnsi="Arial" w:cs="Arial"/>
          <w:sz w:val="24"/>
          <w:szCs w:val="24"/>
        </w:rPr>
        <w:t>Black and mixed-ethnicity boys are disproportionately represented within both youth and adult justice systems. Disparities in stop-and-search practices, sentencing severity, and custody rates indicate systemic bias (Shiner et al., 2018; Ministry of Justice, 2019; Bulman, 2018). The existence of criminal records further exacerbates labour-market exclusion and reinforces cumulative disadvantage (Robertson and Wainwright, 2020; Stacey, 2019).</w:t>
      </w:r>
    </w:p>
    <w:p w14:paraId="6DB72052" w14:textId="77777777" w:rsidR="00296D26" w:rsidRPr="00296D26" w:rsidRDefault="00296D26" w:rsidP="00296D26">
      <w:pPr>
        <w:keepNext/>
        <w:keepLines/>
        <w:spacing w:before="80" w:after="40"/>
        <w:outlineLvl w:val="4"/>
        <w:rPr>
          <w:rFonts w:eastAsiaTheme="majorEastAsia" w:cstheme="majorBidi"/>
          <w:color w:val="0F4761" w:themeColor="accent1" w:themeShade="BF"/>
          <w:sz w:val="24"/>
          <w:szCs w:val="24"/>
        </w:rPr>
      </w:pPr>
      <w:r w:rsidRPr="00296D26">
        <w:rPr>
          <w:rFonts w:eastAsiaTheme="majorEastAsia" w:cstheme="majorBidi"/>
          <w:color w:val="0F4761" w:themeColor="accent1" w:themeShade="BF"/>
          <w:sz w:val="24"/>
          <w:szCs w:val="24"/>
        </w:rPr>
        <w:t>Theoretical Integration</w:t>
      </w:r>
    </w:p>
    <w:p w14:paraId="255FD59D" w14:textId="15D30503" w:rsidR="00296D26" w:rsidRPr="005A304C" w:rsidRDefault="00296D26" w:rsidP="00296D26">
      <w:pPr>
        <w:spacing w:line="360" w:lineRule="auto"/>
        <w:rPr>
          <w:rFonts w:ascii="Arial" w:hAnsi="Arial" w:cs="Arial"/>
          <w:sz w:val="24"/>
          <w:szCs w:val="24"/>
        </w:rPr>
      </w:pPr>
      <w:r w:rsidRPr="00296D26">
        <w:rPr>
          <w:rFonts w:ascii="Arial" w:hAnsi="Arial" w:cs="Arial"/>
          <w:sz w:val="24"/>
          <w:szCs w:val="24"/>
        </w:rPr>
        <w:t xml:space="preserve">Critical Race Theory, the concept of cumulative disadvantage, Bourdieu’s theories of social and cultural capital, labelling theory, and mixed embeddedness collectively elucidate how structural racism, educational practices, financial exclusion, and </w:t>
      </w:r>
      <w:r w:rsidRPr="00296D26">
        <w:rPr>
          <w:rFonts w:ascii="Arial" w:hAnsi="Arial" w:cs="Arial"/>
          <w:sz w:val="24"/>
          <w:szCs w:val="24"/>
        </w:rPr>
        <w:lastRenderedPageBreak/>
        <w:t>network dynamics generate mediated pathways from education to precarious employment, necessity-driven entrepreneurship, and criminal exploitation. These processes are reinforced by feedback mechanisms operating throughout the life course.</w:t>
      </w:r>
      <w:r w:rsidR="00FA02B6" w:rsidRPr="005A304C">
        <w:rPr>
          <w:rFonts w:ascii="Arial" w:hAnsi="Arial" w:cs="Arial"/>
          <w:sz w:val="24"/>
          <w:szCs w:val="24"/>
        </w:rPr>
        <w:t xml:space="preserve"> </w:t>
      </w:r>
    </w:p>
    <w:p w14:paraId="68A532C0" w14:textId="415B0C77" w:rsidR="00B25A3E" w:rsidRPr="005A304C" w:rsidRDefault="00E72C34" w:rsidP="00FF554C">
      <w:pPr>
        <w:pStyle w:val="Heading3"/>
        <w:rPr>
          <w:sz w:val="32"/>
          <w:szCs w:val="32"/>
        </w:rPr>
      </w:pPr>
      <w:bookmarkStart w:id="33" w:name="_Toc227936271"/>
      <w:r>
        <w:rPr>
          <w:sz w:val="32"/>
          <w:szCs w:val="32"/>
        </w:rPr>
        <w:t xml:space="preserve">7 </w:t>
      </w:r>
      <w:r w:rsidR="00B25A3E" w:rsidRPr="005A304C">
        <w:rPr>
          <w:sz w:val="32"/>
          <w:szCs w:val="32"/>
        </w:rPr>
        <w:t>Thematic Analysis</w:t>
      </w:r>
      <w:bookmarkEnd w:id="33"/>
      <w:r w:rsidR="00B25A3E" w:rsidRPr="005A304C">
        <w:rPr>
          <w:sz w:val="32"/>
          <w:szCs w:val="32"/>
        </w:rPr>
        <w:t xml:space="preserve">   </w:t>
      </w:r>
    </w:p>
    <w:p w14:paraId="5DEEB646" w14:textId="22414955" w:rsidR="00FF554C" w:rsidRPr="005A304C" w:rsidRDefault="00FF554C" w:rsidP="00FD3639">
      <w:pPr>
        <w:pStyle w:val="Heading5"/>
        <w:rPr>
          <w:sz w:val="24"/>
          <w:szCs w:val="24"/>
        </w:rPr>
      </w:pPr>
      <w:r w:rsidRPr="005A304C">
        <w:rPr>
          <w:sz w:val="24"/>
          <w:szCs w:val="24"/>
        </w:rPr>
        <w:t>Theme 1</w:t>
      </w:r>
      <w:r w:rsidR="008D67BB" w:rsidRPr="005A304C">
        <w:rPr>
          <w:sz w:val="24"/>
          <w:szCs w:val="24"/>
        </w:rPr>
        <w:t>:</w:t>
      </w:r>
      <w:r w:rsidRPr="005A304C">
        <w:rPr>
          <w:sz w:val="24"/>
          <w:szCs w:val="24"/>
        </w:rPr>
        <w:t xml:space="preserve"> Structural drivers and macro context (CRT, Whiteness)</w:t>
      </w:r>
    </w:p>
    <w:p w14:paraId="774906F2" w14:textId="29D37665" w:rsidR="00FF554C" w:rsidRPr="005A304C" w:rsidRDefault="00FF554C" w:rsidP="00FF554C">
      <w:pPr>
        <w:spacing w:line="360" w:lineRule="auto"/>
        <w:rPr>
          <w:rFonts w:ascii="Arial" w:hAnsi="Arial" w:cs="Arial"/>
          <w:sz w:val="24"/>
          <w:szCs w:val="24"/>
        </w:rPr>
      </w:pPr>
      <w:r w:rsidRPr="005A304C">
        <w:rPr>
          <w:rStyle w:val="Heading5Char"/>
          <w:sz w:val="24"/>
          <w:szCs w:val="24"/>
        </w:rPr>
        <w:t>Description:</w:t>
      </w:r>
      <w:r w:rsidRPr="005A304C">
        <w:rPr>
          <w:rFonts w:ascii="Arial" w:hAnsi="Arial" w:cs="Arial"/>
          <w:sz w:val="24"/>
          <w:szCs w:val="24"/>
        </w:rPr>
        <w:t xml:space="preserve"> Historical and institutional racism, neoliberal policy, neighbourhood deprivation, labour</w:t>
      </w:r>
      <w:r w:rsidRPr="005A304C">
        <w:rPr>
          <w:rFonts w:ascii="Cambria Math" w:hAnsi="Cambria Math" w:cs="Cambria Math"/>
          <w:sz w:val="24"/>
          <w:szCs w:val="24"/>
        </w:rPr>
        <w:t>‑</w:t>
      </w:r>
      <w:r w:rsidRPr="005A304C">
        <w:rPr>
          <w:rFonts w:ascii="Arial" w:hAnsi="Arial" w:cs="Arial"/>
          <w:sz w:val="24"/>
          <w:szCs w:val="24"/>
        </w:rPr>
        <w:t>market segmentation and financial exclusion constitute the structural backdrop shaping educational institutions and opportunity structures (Bell, 1995; Crystal et al., 2016). These macro drivers produce resource differentials (per</w:t>
      </w:r>
      <w:r w:rsidRPr="005A304C">
        <w:rPr>
          <w:rFonts w:ascii="Cambria Math" w:hAnsi="Cambria Math" w:cs="Cambria Math"/>
          <w:sz w:val="24"/>
          <w:szCs w:val="24"/>
        </w:rPr>
        <w:t>‑</w:t>
      </w:r>
      <w:r w:rsidRPr="005A304C">
        <w:rPr>
          <w:rFonts w:ascii="Arial" w:hAnsi="Arial" w:cs="Arial"/>
          <w:sz w:val="24"/>
          <w:szCs w:val="24"/>
        </w:rPr>
        <w:t>pupil funding, local IMD), policy incentives for managerial exclusion, and cultural narratives of whiteness that normalise inequitable school and labour practices (Leonardo, 2004; Gillborn, 2013).</w:t>
      </w:r>
    </w:p>
    <w:p w14:paraId="2A1084AA" w14:textId="77777777" w:rsidR="00AD51E6" w:rsidRPr="005A304C" w:rsidRDefault="00AD51E6" w:rsidP="00AD51E6">
      <w:pPr>
        <w:pStyle w:val="Heading5"/>
        <w:rPr>
          <w:sz w:val="24"/>
          <w:szCs w:val="24"/>
        </w:rPr>
      </w:pPr>
      <w:r w:rsidRPr="005A304C">
        <w:rPr>
          <w:sz w:val="24"/>
          <w:szCs w:val="24"/>
        </w:rPr>
        <w:t>Theme 2: School and institutional practices as translating mechanisms (labelling, exclusions, curricular whiteness)</w:t>
      </w:r>
    </w:p>
    <w:p w14:paraId="2E5374E7" w14:textId="412AC60C" w:rsidR="00D77F27" w:rsidRPr="005A304C" w:rsidRDefault="00AD51E6" w:rsidP="00AD51E6">
      <w:pPr>
        <w:spacing w:line="360" w:lineRule="auto"/>
        <w:rPr>
          <w:rFonts w:ascii="Arial" w:hAnsi="Arial" w:cs="Arial"/>
          <w:sz w:val="24"/>
          <w:szCs w:val="24"/>
        </w:rPr>
      </w:pPr>
      <w:r w:rsidRPr="005A304C">
        <w:rPr>
          <w:rStyle w:val="Heading5Char"/>
          <w:sz w:val="24"/>
          <w:szCs w:val="24"/>
        </w:rPr>
        <w:t>Description:</w:t>
      </w:r>
      <w:r w:rsidRPr="005A304C">
        <w:rPr>
          <w:rFonts w:ascii="Arial" w:hAnsi="Arial" w:cs="Arial"/>
          <w:sz w:val="24"/>
          <w:szCs w:val="24"/>
        </w:rPr>
        <w:t xml:space="preserve"> School practices such as lowered teacher expectations, setting and tracking, biased monitoring, exclusionary discipline, surveillance and school policing, and curricular whiteness function as meso-level mechanisms that translate structural racism into educational disruption and the formation of stigmatising identities (Becker, 1963; Gillborn and Youdell, 2000; Demie and McLean, 2017; Henshall, 2018; Peters, 2015). These practices limit access to advanced coursework and legitimate signalling to employers (Strand, 2012; Ofsted, 2005).</w:t>
      </w:r>
    </w:p>
    <w:p w14:paraId="08BCDC9F" w14:textId="77777777" w:rsidR="008D645D" w:rsidRPr="005A304C" w:rsidRDefault="008D645D" w:rsidP="008D645D">
      <w:pPr>
        <w:pStyle w:val="Heading5"/>
        <w:rPr>
          <w:sz w:val="24"/>
          <w:szCs w:val="24"/>
        </w:rPr>
      </w:pPr>
      <w:r w:rsidRPr="005A304C">
        <w:rPr>
          <w:sz w:val="24"/>
          <w:szCs w:val="24"/>
        </w:rPr>
        <w:t>Theme 3: Mediating States—Capital, Psychosocial Harm, and Financial Precarity (Bourdieu; social network models)</w:t>
      </w:r>
    </w:p>
    <w:p w14:paraId="5C273215" w14:textId="469DAAF9" w:rsidR="005E7890" w:rsidRPr="005A304C" w:rsidRDefault="00A270A8" w:rsidP="005E7890">
      <w:pPr>
        <w:spacing w:line="360" w:lineRule="auto"/>
        <w:rPr>
          <w:rFonts w:ascii="Arial" w:hAnsi="Arial" w:cs="Arial"/>
          <w:sz w:val="24"/>
          <w:szCs w:val="24"/>
        </w:rPr>
      </w:pPr>
      <w:r w:rsidRPr="005A304C">
        <w:rPr>
          <w:rStyle w:val="Heading5Char"/>
          <w:sz w:val="24"/>
          <w:szCs w:val="24"/>
        </w:rPr>
        <w:t>Description:</w:t>
      </w:r>
      <w:r w:rsidRPr="005A304C">
        <w:rPr>
          <w:rFonts w:ascii="Arial" w:hAnsi="Arial" w:cs="Arial"/>
          <w:sz w:val="24"/>
          <w:szCs w:val="24"/>
        </w:rPr>
        <w:t xml:space="preserve"> </w:t>
      </w:r>
      <w:r w:rsidR="008D645D" w:rsidRPr="005A304C">
        <w:rPr>
          <w:rFonts w:ascii="Arial" w:hAnsi="Arial" w:cs="Arial"/>
          <w:sz w:val="24"/>
          <w:szCs w:val="24"/>
        </w:rPr>
        <w:t xml:space="preserve">School practices diminish social and cultural capital, weaken networks and mentoring relationships, erode belonging and mental health, and increase debt and financial exclusion. These micro-level mediators help explain why individuals with similar credentials experience unequal returns (Bourdieu et al., 2011; Berkman and Glass, 2000; Devine et al., 2012; Adami, 2024). Additionally, stereotype threat </w:t>
      </w:r>
      <w:r w:rsidR="008D645D" w:rsidRPr="005A304C">
        <w:rPr>
          <w:rFonts w:ascii="Arial" w:hAnsi="Arial" w:cs="Arial"/>
          <w:sz w:val="24"/>
          <w:szCs w:val="24"/>
        </w:rPr>
        <w:lastRenderedPageBreak/>
        <w:t>and evaluative bias undermine performance and self-efficacy (Schmader and Johns, 2003; Good et al., 2008).</w:t>
      </w:r>
    </w:p>
    <w:p w14:paraId="66B927D1" w14:textId="77777777" w:rsidR="005E7890" w:rsidRPr="005A304C" w:rsidRDefault="005E7890" w:rsidP="005E7890">
      <w:pPr>
        <w:pStyle w:val="Heading5"/>
        <w:rPr>
          <w:sz w:val="24"/>
          <w:szCs w:val="24"/>
        </w:rPr>
      </w:pPr>
      <w:r w:rsidRPr="005A304C">
        <w:rPr>
          <w:sz w:val="24"/>
          <w:szCs w:val="24"/>
        </w:rPr>
        <w:t>Theme 4: Socioeconomic Outcomes and Heterogeneous Entrepreneurship (Human Capital, Mixed Embeddedness)</w:t>
      </w:r>
    </w:p>
    <w:p w14:paraId="482F431F" w14:textId="1EEABD06" w:rsidR="00F8248E" w:rsidRPr="005A304C" w:rsidRDefault="005E7890" w:rsidP="005E7890">
      <w:pPr>
        <w:spacing w:line="360" w:lineRule="auto"/>
        <w:rPr>
          <w:rFonts w:ascii="Arial" w:hAnsi="Arial" w:cs="Arial"/>
          <w:sz w:val="24"/>
          <w:szCs w:val="24"/>
        </w:rPr>
      </w:pPr>
      <w:r w:rsidRPr="005A304C">
        <w:rPr>
          <w:rStyle w:val="Heading5Char"/>
          <w:sz w:val="24"/>
          <w:szCs w:val="24"/>
        </w:rPr>
        <w:t>Description:</w:t>
      </w:r>
      <w:r w:rsidRPr="005A304C">
        <w:rPr>
          <w:rFonts w:ascii="Arial" w:hAnsi="Arial" w:cs="Arial"/>
          <w:sz w:val="24"/>
          <w:szCs w:val="24"/>
        </w:rPr>
        <w:t xml:space="preserve"> </w:t>
      </w:r>
      <w:r w:rsidRPr="005A304C">
        <w:rPr>
          <w:rFonts w:ascii="Arial" w:hAnsi="Arial" w:cs="Arial"/>
          <w:sz w:val="24"/>
          <w:szCs w:val="24"/>
        </w:rPr>
        <w:t xml:space="preserve">Mediating states result in </w:t>
      </w:r>
      <w:r w:rsidRPr="005A304C">
        <w:rPr>
          <w:rFonts w:ascii="Arial" w:hAnsi="Arial" w:cs="Arial"/>
          <w:sz w:val="24"/>
          <w:szCs w:val="24"/>
        </w:rPr>
        <w:t>early adult</w:t>
      </w:r>
      <w:r w:rsidRPr="005A304C">
        <w:rPr>
          <w:rFonts w:ascii="Arial" w:hAnsi="Arial" w:cs="Arial"/>
          <w:sz w:val="24"/>
          <w:szCs w:val="24"/>
        </w:rPr>
        <w:t xml:space="preserve"> outcomes such as underemployment, precarious work, unequal access to apprenticeships, and divergent forms of entrepreneurship, including opportunity-driven and necessity-driven ventures. The concept of mixed embeddedness explains how market structures and institutional constraints influence entrepreneurial motives and business survival (Kloosterman et al., 1999; Fairlie and Robb, 2007; Li and Heath, 2020). Additionally, ethnic penalties and credential devaluation result in unequal labour-market returns for individuals with equivalent qualifications (Rafferty, 2012).</w:t>
      </w:r>
    </w:p>
    <w:p w14:paraId="38958A36" w14:textId="77777777" w:rsidR="00366490" w:rsidRPr="005A304C" w:rsidRDefault="00366490" w:rsidP="00366490">
      <w:pPr>
        <w:pStyle w:val="Heading5"/>
        <w:rPr>
          <w:sz w:val="24"/>
          <w:szCs w:val="24"/>
        </w:rPr>
      </w:pPr>
      <w:r w:rsidRPr="005A304C">
        <w:rPr>
          <w:sz w:val="24"/>
          <w:szCs w:val="24"/>
        </w:rPr>
        <w:t>Theme 5: Risk Pathways and Exploitation (Social Network and Risk Vulnerability)</w:t>
      </w:r>
    </w:p>
    <w:p w14:paraId="46C0F6FE" w14:textId="5BE4188D" w:rsidR="00E95EA7" w:rsidRPr="005A304C" w:rsidRDefault="00366490" w:rsidP="00366490">
      <w:pPr>
        <w:spacing w:line="360" w:lineRule="auto"/>
        <w:rPr>
          <w:rFonts w:ascii="Arial" w:hAnsi="Arial" w:cs="Arial"/>
          <w:sz w:val="24"/>
          <w:szCs w:val="24"/>
        </w:rPr>
      </w:pPr>
      <w:r w:rsidRPr="005A304C">
        <w:rPr>
          <w:rStyle w:val="Heading5Char"/>
          <w:sz w:val="24"/>
          <w:szCs w:val="24"/>
        </w:rPr>
        <w:t>Description:</w:t>
      </w:r>
      <w:r w:rsidRPr="005A304C">
        <w:rPr>
          <w:rFonts w:ascii="Arial" w:hAnsi="Arial" w:cs="Arial"/>
          <w:sz w:val="24"/>
          <w:szCs w:val="24"/>
        </w:rPr>
        <w:t xml:space="preserve"> Economic precarity, debt, social isolation, and prior exclusions increase vulnerability to grooming and recruitment by County Lines and organised criminal groups (OCGs). Higher education students are specifically targeted as “clean skins” due to financial stress (Olver and </w:t>
      </w:r>
      <w:proofErr w:type="spellStart"/>
      <w:r w:rsidRPr="005A304C">
        <w:rPr>
          <w:rFonts w:ascii="Arial" w:hAnsi="Arial" w:cs="Arial"/>
          <w:sz w:val="24"/>
          <w:szCs w:val="24"/>
        </w:rPr>
        <w:t>Cockbain</w:t>
      </w:r>
      <w:proofErr w:type="spellEnd"/>
      <w:r w:rsidRPr="005A304C">
        <w:rPr>
          <w:rFonts w:ascii="Arial" w:hAnsi="Arial" w:cs="Arial"/>
          <w:sz w:val="24"/>
          <w:szCs w:val="24"/>
        </w:rPr>
        <w:t>, 2021; Marsh, 2020; Meredith et al., 2025). Network dynamics account for the progression from peer group involvement to participation in organised crime (Ashton, 2024; Hesketh and Robinson, 2019).</w:t>
      </w:r>
    </w:p>
    <w:p w14:paraId="7435C866" w14:textId="77777777" w:rsidR="00D16A62" w:rsidRPr="005A304C" w:rsidRDefault="00D16A62" w:rsidP="00D16A62">
      <w:pPr>
        <w:pStyle w:val="Heading5"/>
        <w:rPr>
          <w:sz w:val="24"/>
          <w:szCs w:val="24"/>
        </w:rPr>
      </w:pPr>
      <w:r w:rsidRPr="005A304C">
        <w:rPr>
          <w:sz w:val="24"/>
          <w:szCs w:val="24"/>
        </w:rPr>
        <w:t>Theme 6: Feedback Loops and Cumulative Disadvantage (Life-Course/Cumulative Disadvantage)</w:t>
      </w:r>
    </w:p>
    <w:p w14:paraId="4D74E22D" w14:textId="4E55F54D" w:rsidR="00366490" w:rsidRPr="005A304C" w:rsidRDefault="00D16A62" w:rsidP="00D16A62">
      <w:pPr>
        <w:spacing w:line="360" w:lineRule="auto"/>
        <w:rPr>
          <w:rFonts w:ascii="Arial" w:hAnsi="Arial" w:cs="Arial"/>
          <w:sz w:val="24"/>
          <w:szCs w:val="24"/>
        </w:rPr>
      </w:pPr>
      <w:r w:rsidRPr="005A304C">
        <w:rPr>
          <w:rStyle w:val="Heading5Char"/>
          <w:sz w:val="24"/>
          <w:szCs w:val="24"/>
        </w:rPr>
        <w:t>Description:</w:t>
      </w:r>
      <w:r w:rsidRPr="005A304C">
        <w:rPr>
          <w:rFonts w:ascii="Arial" w:hAnsi="Arial" w:cs="Arial"/>
          <w:sz w:val="24"/>
          <w:szCs w:val="24"/>
        </w:rPr>
        <w:t xml:space="preserve"> Criminalisation, business failure, limited access to finance, and community mistrust reinforce structural drivers and institutional responses, resulting in a cyclical and intergenerational accumulation of disadvantage (Crystal et al., 2016; Shiner et al., 2018). The presence of criminal records further constrains access to legitimate opportunities (Robertson and Wainwright, 2020).</w:t>
      </w:r>
    </w:p>
    <w:p w14:paraId="6A356478" w14:textId="77777777" w:rsidR="00811E69" w:rsidRPr="005A304C" w:rsidRDefault="00811E69" w:rsidP="008D67BB">
      <w:pPr>
        <w:pStyle w:val="Heading5"/>
        <w:rPr>
          <w:sz w:val="24"/>
          <w:szCs w:val="24"/>
        </w:rPr>
      </w:pPr>
      <w:r w:rsidRPr="005A304C">
        <w:rPr>
          <w:sz w:val="24"/>
          <w:szCs w:val="24"/>
        </w:rPr>
        <w:t>Implications for Interventions and Measurement</w:t>
      </w:r>
    </w:p>
    <w:p w14:paraId="78A7BFB4" w14:textId="77777777" w:rsidR="00811E69" w:rsidRPr="005A304C" w:rsidRDefault="00811E69" w:rsidP="00811E69">
      <w:pPr>
        <w:spacing w:line="360" w:lineRule="auto"/>
        <w:rPr>
          <w:rFonts w:ascii="Arial" w:hAnsi="Arial" w:cs="Arial"/>
          <w:sz w:val="24"/>
          <w:szCs w:val="24"/>
        </w:rPr>
      </w:pPr>
      <w:r w:rsidRPr="005A304C">
        <w:rPr>
          <w:rFonts w:ascii="Arial" w:hAnsi="Arial" w:cs="Arial"/>
          <w:sz w:val="24"/>
          <w:szCs w:val="24"/>
        </w:rPr>
        <w:t xml:space="preserve">Key leverage points include reforming disciplinary practices and school policing (B), decolonising the curriculum and diversifying faculty (B), scaling culturally responsive </w:t>
      </w:r>
      <w:r w:rsidRPr="005A304C">
        <w:rPr>
          <w:rFonts w:ascii="Arial" w:hAnsi="Arial" w:cs="Arial"/>
          <w:sz w:val="24"/>
          <w:szCs w:val="24"/>
        </w:rPr>
        <w:lastRenderedPageBreak/>
        <w:t>mentoring and mental health supports (C), and expanding apprenticeship opportunities and financial access (D).</w:t>
      </w:r>
    </w:p>
    <w:p w14:paraId="56724597" w14:textId="77777777" w:rsidR="00811E69" w:rsidRPr="005A304C" w:rsidRDefault="00811E69" w:rsidP="00811E69">
      <w:pPr>
        <w:spacing w:line="360" w:lineRule="auto"/>
        <w:rPr>
          <w:rFonts w:ascii="Arial" w:hAnsi="Arial" w:cs="Arial"/>
          <w:sz w:val="24"/>
          <w:szCs w:val="24"/>
        </w:rPr>
      </w:pPr>
      <w:r w:rsidRPr="005A304C">
        <w:rPr>
          <w:rFonts w:ascii="Arial" w:hAnsi="Arial" w:cs="Arial"/>
          <w:sz w:val="24"/>
          <w:szCs w:val="24"/>
        </w:rPr>
        <w:t>Operational measures include per-pupil funding, exclusion rates, curriculum diversity indices, access to mentoring, network quality scales, mental health assessment instruments, debt metrics, employment and earnings data, apprenticeship initiation rates, firm survival rates, and County Lines referral counts.</w:t>
      </w:r>
    </w:p>
    <w:p w14:paraId="716969FF" w14:textId="313C8CAB" w:rsidR="00D16A62" w:rsidRPr="005A304C" w:rsidRDefault="00811E69" w:rsidP="00811E69">
      <w:pPr>
        <w:spacing w:line="360" w:lineRule="auto"/>
        <w:rPr>
          <w:rFonts w:ascii="Arial" w:hAnsi="Arial" w:cs="Arial"/>
          <w:sz w:val="24"/>
          <w:szCs w:val="24"/>
        </w:rPr>
      </w:pPr>
      <w:r w:rsidRPr="005A304C">
        <w:rPr>
          <w:rFonts w:ascii="Arial" w:hAnsi="Arial" w:cs="Arial"/>
          <w:sz w:val="24"/>
          <w:szCs w:val="24"/>
        </w:rPr>
        <w:t>Research priorities include conducting disaggregated, longitudinal, mixed-methods, and process-tracing studies to test input–mechanism–outcome (I</w:t>
      </w:r>
      <w:r w:rsidR="00762148" w:rsidRPr="005A304C">
        <w:rPr>
          <w:rFonts w:ascii="Arial" w:hAnsi="Arial" w:cs="Arial"/>
          <w:sz w:val="24"/>
          <w:szCs w:val="24"/>
        </w:rPr>
        <w:t xml:space="preserve"> </w:t>
      </w:r>
      <w:r w:rsidR="00762148" w:rsidRPr="005A304C">
        <w:rPr>
          <w:rFonts w:ascii="Arial" w:hAnsi="Arial" w:cs="Arial"/>
          <w:sz w:val="24"/>
          <w:szCs w:val="24"/>
        </w:rPr>
        <w:sym w:font="Wingdings" w:char="F0E0"/>
      </w:r>
      <w:r w:rsidR="00762148" w:rsidRPr="005A304C">
        <w:rPr>
          <w:rFonts w:ascii="Arial" w:hAnsi="Arial" w:cs="Arial"/>
          <w:sz w:val="24"/>
          <w:szCs w:val="24"/>
        </w:rPr>
        <w:t xml:space="preserve"> </w:t>
      </w:r>
      <w:r w:rsidRPr="005A304C">
        <w:rPr>
          <w:rFonts w:ascii="Arial" w:hAnsi="Arial" w:cs="Arial"/>
          <w:sz w:val="24"/>
          <w:szCs w:val="24"/>
        </w:rPr>
        <w:t>M</w:t>
      </w:r>
      <w:r w:rsidR="00762148" w:rsidRPr="005A304C">
        <w:rPr>
          <w:rFonts w:ascii="Arial" w:hAnsi="Arial" w:cs="Arial"/>
          <w:sz w:val="24"/>
          <w:szCs w:val="24"/>
        </w:rPr>
        <w:t xml:space="preserve"> </w:t>
      </w:r>
      <w:r w:rsidR="00762148" w:rsidRPr="005A304C">
        <w:rPr>
          <w:rFonts w:ascii="Arial" w:hAnsi="Arial" w:cs="Arial"/>
          <w:sz w:val="24"/>
          <w:szCs w:val="24"/>
        </w:rPr>
        <w:sym w:font="Wingdings" w:char="F0E0"/>
      </w:r>
      <w:r w:rsidR="00762148" w:rsidRPr="005A304C">
        <w:rPr>
          <w:rFonts w:ascii="Arial" w:hAnsi="Arial" w:cs="Arial"/>
          <w:sz w:val="24"/>
          <w:szCs w:val="24"/>
        </w:rPr>
        <w:t xml:space="preserve"> </w:t>
      </w:r>
      <w:r w:rsidRPr="005A304C">
        <w:rPr>
          <w:rFonts w:ascii="Arial" w:hAnsi="Arial" w:cs="Arial"/>
          <w:sz w:val="24"/>
          <w:szCs w:val="24"/>
        </w:rPr>
        <w:t>O) chains and moderating effects, with particular attention to intersectionality across race, class, gender, generation, and place.</w:t>
      </w:r>
    </w:p>
    <w:p w14:paraId="7C2D6017" w14:textId="77777777" w:rsidR="008D67BB" w:rsidRPr="005A304C" w:rsidRDefault="008D67BB" w:rsidP="008D67BB">
      <w:pPr>
        <w:pStyle w:val="Heading5"/>
        <w:rPr>
          <w:sz w:val="24"/>
          <w:szCs w:val="24"/>
        </w:rPr>
      </w:pPr>
      <w:r w:rsidRPr="005A304C">
        <w:rPr>
          <w:sz w:val="24"/>
          <w:szCs w:val="24"/>
        </w:rPr>
        <w:t>Synthesis of Findings</w:t>
      </w:r>
    </w:p>
    <w:p w14:paraId="697F737B" w14:textId="73CC5C72" w:rsidR="00FD3639" w:rsidRPr="005A304C" w:rsidRDefault="008D67BB" w:rsidP="008D67BB">
      <w:pPr>
        <w:spacing w:line="360" w:lineRule="auto"/>
        <w:rPr>
          <w:rFonts w:ascii="Arial" w:hAnsi="Arial" w:cs="Arial"/>
          <w:sz w:val="24"/>
          <w:szCs w:val="24"/>
        </w:rPr>
      </w:pPr>
      <w:r w:rsidRPr="005A304C">
        <w:rPr>
          <w:rFonts w:ascii="Arial" w:hAnsi="Arial" w:cs="Arial"/>
          <w:sz w:val="24"/>
          <w:szCs w:val="24"/>
        </w:rPr>
        <w:t>Evidence grounded in Critical Race Theory and multiple theoretical frameworks identifies mechanisms that connect structural racism and school practices to mediated socioeconomic harms and increased exploitation risk. Key empirical gaps include the need for longitudinal causal analyses, research focused on higher education-related exploitation, comprehensive finance-ecosystem metrics, disaggregated data analyses, and robust intervention evaluations. Addressing these gaps is essential to validate proposed pathways and guide effective policy development.</w:t>
      </w:r>
    </w:p>
    <w:p w14:paraId="26D918F8" w14:textId="01D7A893" w:rsidR="008E7C07" w:rsidRDefault="00E72C34" w:rsidP="008E7C07">
      <w:pPr>
        <w:pStyle w:val="Heading2"/>
        <w:jc w:val="both"/>
        <w:rPr>
          <w:rFonts w:ascii="Arial" w:hAnsi="Arial" w:cs="Arial"/>
          <w:sz w:val="24"/>
          <w:szCs w:val="24"/>
        </w:rPr>
      </w:pPr>
      <w:bookmarkStart w:id="34" w:name="_Toc227936272"/>
      <w:r>
        <w:t xml:space="preserve">8 </w:t>
      </w:r>
      <w:r w:rsidR="008E7C07" w:rsidRPr="00376060">
        <w:t>Review of Major Studies</w:t>
      </w:r>
      <w:bookmarkEnd w:id="34"/>
      <w:r w:rsidR="008E7C07">
        <w:t xml:space="preserve"> </w:t>
      </w:r>
    </w:p>
    <w:p w14:paraId="719FAD18" w14:textId="77777777" w:rsidR="008E7C07" w:rsidRDefault="008E7C07" w:rsidP="008E7C07">
      <w:pPr>
        <w:spacing w:line="360" w:lineRule="auto"/>
        <w:jc w:val="both"/>
        <w:rPr>
          <w:rFonts w:ascii="Arial" w:hAnsi="Arial" w:cs="Arial"/>
          <w:sz w:val="24"/>
          <w:szCs w:val="24"/>
        </w:rPr>
      </w:pPr>
      <w:r>
        <w:rPr>
          <w:rFonts w:ascii="Arial" w:hAnsi="Arial" w:cs="Arial"/>
          <w:sz w:val="24"/>
          <w:szCs w:val="24"/>
        </w:rPr>
        <w:t xml:space="preserve">The literature addresses systemic issues such as structural racism, resource inequality, and neoliberal policies in relation to educational and labour market disparities. Research indicates that lowered expectations, biased monitoring, and a lack of curriculum diversity led to student disengagement, while exclusionary practices persist despite some benefits from remedial education. Labour market studies show ethnic penalties and credential devaluation, casting doubt on equal opportunity claims. Entrepreneurship research reveals that limited access to finance and networks, along with discrimination, impacts Black business sustainability. Furthermore, the school-to-prison pipeline connects to policing and stigma, aligning with labelling theory. Overall, </w:t>
      </w:r>
      <w:r>
        <w:rPr>
          <w:rFonts w:ascii="Arial" w:hAnsi="Arial" w:cs="Arial"/>
          <w:sz w:val="24"/>
          <w:szCs w:val="24"/>
        </w:rPr>
        <w:lastRenderedPageBreak/>
        <w:t>the focus is on cumulative disadvantage, social and cultural capital, and the debate between prioritising individual support and advocating structural changes such as funding and anti-racist policies.</w:t>
      </w:r>
    </w:p>
    <w:p w14:paraId="54C7BD9E" w14:textId="1EF40CBA" w:rsidR="00FF554C" w:rsidRPr="005A304C" w:rsidRDefault="00E72C34" w:rsidP="007D13C0">
      <w:pPr>
        <w:pStyle w:val="Heading3"/>
        <w:rPr>
          <w:sz w:val="32"/>
          <w:szCs w:val="32"/>
        </w:rPr>
      </w:pPr>
      <w:bookmarkStart w:id="35" w:name="_Toc227936273"/>
      <w:r>
        <w:rPr>
          <w:sz w:val="32"/>
          <w:szCs w:val="32"/>
        </w:rPr>
        <w:t xml:space="preserve">9 </w:t>
      </w:r>
      <w:r w:rsidR="00685A8D" w:rsidRPr="005A304C">
        <w:rPr>
          <w:sz w:val="32"/>
          <w:szCs w:val="32"/>
        </w:rPr>
        <w:t>Discussion</w:t>
      </w:r>
      <w:bookmarkEnd w:id="35"/>
      <w:r w:rsidR="00685A8D" w:rsidRPr="005A304C">
        <w:rPr>
          <w:sz w:val="32"/>
          <w:szCs w:val="32"/>
        </w:rPr>
        <w:t xml:space="preserve"> </w:t>
      </w:r>
    </w:p>
    <w:p w14:paraId="2D36C567" w14:textId="00810C05" w:rsidR="00296D26" w:rsidRPr="005A304C" w:rsidRDefault="007D13C0" w:rsidP="008E7C07">
      <w:pPr>
        <w:spacing w:line="360" w:lineRule="auto"/>
        <w:rPr>
          <w:rFonts w:ascii="Arial" w:hAnsi="Arial" w:cs="Arial"/>
          <w:color w:val="EE0000"/>
          <w:sz w:val="28"/>
          <w:szCs w:val="28"/>
        </w:rPr>
      </w:pPr>
      <w:r w:rsidRPr="005A304C">
        <w:rPr>
          <w:rFonts w:ascii="Arial" w:hAnsi="Arial" w:cs="Arial"/>
          <w:sz w:val="24"/>
          <w:szCs w:val="24"/>
        </w:rPr>
        <w:t>The review demonstrates strong consensus that structural racism, manifested through school-level practices such as lowered expectations, biased monitoring, exclusions, curricular whiteness, and policing, mediates reductions in social and cultural capital as well as financial exclusion. These processes contribute to ethnic penalties in employment, necessity-driven entrepreneurship, and increased risk of exploitation. The ongoing debate concerns the relative explanatory power of critical race theory and structural accounts compared to individual human-capital explanations, and whether remedial supports, such as further education and mentoring, can effectively substitute for systemic reform. Significant evidence gaps, including the lack of UK longitudinal causal studies, disaggregated analyses of Black groups, higher education-specific research on County Lines, and rigorous evaluations of culturally responsive interventions, constrain causal inference and policy confidence. Research priorities include disaggregated longitudinal, mixed-methods, and evaluation studies focused on key intervention points such as discipline, curriculum, mentoring, apprenticeships, and finance to disrupt cumulative disadvantage.</w:t>
      </w:r>
    </w:p>
    <w:p w14:paraId="751A18DF" w14:textId="4ABA5941" w:rsidR="006A4836" w:rsidRPr="005A304C" w:rsidRDefault="00E72C34" w:rsidP="0083479B">
      <w:pPr>
        <w:pStyle w:val="Heading3"/>
        <w:rPr>
          <w:sz w:val="32"/>
          <w:szCs w:val="32"/>
        </w:rPr>
      </w:pPr>
      <w:bookmarkStart w:id="36" w:name="_Toc227936274"/>
      <w:r>
        <w:rPr>
          <w:sz w:val="32"/>
          <w:szCs w:val="32"/>
        </w:rPr>
        <w:t xml:space="preserve">10 </w:t>
      </w:r>
      <w:r w:rsidR="006A4836" w:rsidRPr="005A304C">
        <w:rPr>
          <w:sz w:val="32"/>
          <w:szCs w:val="32"/>
        </w:rPr>
        <w:t xml:space="preserve">Expected Contributions and </w:t>
      </w:r>
      <w:r w:rsidR="000462B8" w:rsidRPr="005A304C">
        <w:rPr>
          <w:sz w:val="32"/>
          <w:szCs w:val="32"/>
        </w:rPr>
        <w:t>Policy Development</w:t>
      </w:r>
      <w:bookmarkEnd w:id="36"/>
    </w:p>
    <w:p w14:paraId="1DD11A03" w14:textId="079F8051" w:rsidR="00C0436E" w:rsidRPr="005A304C" w:rsidRDefault="00E72C34" w:rsidP="009E58ED">
      <w:pPr>
        <w:spacing w:line="360" w:lineRule="auto"/>
        <w:jc w:val="both"/>
        <w:rPr>
          <w:rFonts w:ascii="Arial" w:hAnsi="Arial" w:cs="Arial"/>
          <w:sz w:val="28"/>
          <w:szCs w:val="28"/>
        </w:rPr>
      </w:pPr>
      <w:bookmarkStart w:id="37" w:name="_Toc227936275"/>
      <w:r>
        <w:rPr>
          <w:rStyle w:val="Heading3Char"/>
          <w:sz w:val="32"/>
          <w:szCs w:val="32"/>
        </w:rPr>
        <w:t xml:space="preserve">10.1 </w:t>
      </w:r>
      <w:r w:rsidR="007208BB" w:rsidRPr="005A304C">
        <w:rPr>
          <w:rStyle w:val="Heading3Char"/>
          <w:sz w:val="32"/>
          <w:szCs w:val="32"/>
        </w:rPr>
        <w:t>Academic Contribution</w:t>
      </w:r>
      <w:bookmarkEnd w:id="37"/>
    </w:p>
    <w:p w14:paraId="35BDE5C1" w14:textId="1A669E19" w:rsidR="0083479B" w:rsidRPr="0083479B" w:rsidRDefault="0083479B" w:rsidP="009E58ED">
      <w:pPr>
        <w:spacing w:line="360" w:lineRule="auto"/>
        <w:jc w:val="both"/>
        <w:rPr>
          <w:rFonts w:ascii="Arial" w:hAnsi="Arial" w:cs="Arial"/>
          <w:sz w:val="24"/>
          <w:szCs w:val="24"/>
        </w:rPr>
      </w:pPr>
      <w:r w:rsidRPr="0083479B">
        <w:rPr>
          <w:rFonts w:ascii="Arial" w:hAnsi="Arial" w:cs="Arial"/>
          <w:sz w:val="24"/>
          <w:szCs w:val="24"/>
        </w:rPr>
        <w:t xml:space="preserve">This review offers several academic contributions. It integrates Critical Race Theory and Whiteness studies with cumulative disadvantage, </w:t>
      </w:r>
      <w:proofErr w:type="spellStart"/>
      <w:r w:rsidRPr="0083479B">
        <w:rPr>
          <w:rFonts w:ascii="Arial" w:hAnsi="Arial" w:cs="Arial"/>
          <w:sz w:val="24"/>
          <w:szCs w:val="24"/>
        </w:rPr>
        <w:t>Bourdieuian</w:t>
      </w:r>
      <w:proofErr w:type="spellEnd"/>
      <w:r w:rsidRPr="0083479B">
        <w:rPr>
          <w:rFonts w:ascii="Arial" w:hAnsi="Arial" w:cs="Arial"/>
          <w:sz w:val="24"/>
          <w:szCs w:val="24"/>
        </w:rPr>
        <w:t xml:space="preserve"> social and cultural capital, labelling and school-to-prison pipeline, mixed embeddedness, and social network theories to map multilevel mechanisms linking structural racism, school practices, mediators, socioeconomic outcomes, and exploitation risk for Black males. The review operationalises measurable indicators for each node, including funding, exclusions, mentoring, debt, employment, and County Lines referrals. It synthesises </w:t>
      </w:r>
      <w:r w:rsidRPr="0083479B">
        <w:rPr>
          <w:rFonts w:ascii="Arial" w:hAnsi="Arial" w:cs="Arial"/>
          <w:sz w:val="24"/>
          <w:szCs w:val="24"/>
        </w:rPr>
        <w:lastRenderedPageBreak/>
        <w:t>UK and comparative evidence while identifying key gaps, such as the need for longitudinal UK studies, disaggregated Black-group analyses, higher education-specific exploitation research, finance-ecosystem metrics, and rigorous intervention evaluations. Additionally, the review provides methodological guidance, recommending disaggregated longitudinal, mixed-methods, process-tracing, mediation, and evaluation designs, and identifies policy-relevant leverage points, including discipline and policing reform, curriculum decolonisation, culturally responsive mentoring, apprenticeship and finance access, and diversionary programmes.</w:t>
      </w:r>
    </w:p>
    <w:p w14:paraId="5941259A" w14:textId="5194388B" w:rsidR="007208BB" w:rsidRDefault="007208BB" w:rsidP="00F965CE">
      <w:pPr>
        <w:pStyle w:val="Heading3"/>
      </w:pPr>
      <w:bookmarkStart w:id="38" w:name="_Toc227936276"/>
      <w:r w:rsidRPr="00F965CE">
        <w:t>Policy Development</w:t>
      </w:r>
      <w:bookmarkEnd w:id="38"/>
    </w:p>
    <w:p w14:paraId="75623239" w14:textId="1DCA765F" w:rsidR="00F965CE" w:rsidRPr="008E7C07" w:rsidRDefault="00F965CE" w:rsidP="009E58ED">
      <w:pPr>
        <w:spacing w:line="360" w:lineRule="auto"/>
        <w:jc w:val="both"/>
        <w:rPr>
          <w:rFonts w:ascii="Arial" w:hAnsi="Arial" w:cs="Arial"/>
          <w:sz w:val="24"/>
          <w:szCs w:val="24"/>
        </w:rPr>
      </w:pPr>
      <w:r w:rsidRPr="00F965CE">
        <w:rPr>
          <w:rFonts w:ascii="Arial" w:hAnsi="Arial" w:cs="Arial"/>
          <w:sz w:val="24"/>
          <w:szCs w:val="24"/>
        </w:rPr>
        <w:t>Policy development should prioritise reforms that interrupt school</w:t>
      </w:r>
      <w:r w:rsidRPr="00F965CE">
        <w:rPr>
          <w:rFonts w:ascii="Cambria Math" w:hAnsi="Cambria Math" w:cs="Cambria Math"/>
          <w:sz w:val="24"/>
          <w:szCs w:val="24"/>
        </w:rPr>
        <w:t>‑</w:t>
      </w:r>
      <w:r w:rsidRPr="00F965CE">
        <w:rPr>
          <w:rFonts w:ascii="Arial" w:hAnsi="Arial" w:cs="Arial"/>
          <w:sz w:val="24"/>
          <w:szCs w:val="24"/>
        </w:rPr>
        <w:t>to</w:t>
      </w:r>
      <w:r w:rsidRPr="00F965CE">
        <w:rPr>
          <w:rFonts w:ascii="Cambria Math" w:hAnsi="Cambria Math" w:cs="Cambria Math"/>
          <w:sz w:val="24"/>
          <w:szCs w:val="24"/>
        </w:rPr>
        <w:t>‑</w:t>
      </w:r>
      <w:r w:rsidRPr="00F965CE">
        <w:rPr>
          <w:rFonts w:ascii="Arial" w:hAnsi="Arial" w:cs="Arial"/>
          <w:sz w:val="24"/>
          <w:szCs w:val="24"/>
        </w:rPr>
        <w:t>disadvantage pathways: replace routine school policing with funded pastoral teams and mandate ethnicity</w:t>
      </w:r>
      <w:r w:rsidRPr="00F965CE">
        <w:rPr>
          <w:rFonts w:ascii="Cambria Math" w:hAnsi="Cambria Math" w:cs="Cambria Math"/>
          <w:sz w:val="24"/>
          <w:szCs w:val="24"/>
        </w:rPr>
        <w:t>‑</w:t>
      </w:r>
      <w:r w:rsidRPr="00F965CE">
        <w:rPr>
          <w:rFonts w:ascii="Arial" w:hAnsi="Arial" w:cs="Arial"/>
          <w:sz w:val="24"/>
          <w:szCs w:val="24"/>
        </w:rPr>
        <w:t>disaggregated transparency on exclusion; implement sustained anti</w:t>
      </w:r>
      <w:r w:rsidRPr="00F965CE">
        <w:rPr>
          <w:rFonts w:ascii="Cambria Math" w:hAnsi="Cambria Math" w:cs="Cambria Math"/>
          <w:sz w:val="24"/>
          <w:szCs w:val="24"/>
        </w:rPr>
        <w:t>‑</w:t>
      </w:r>
      <w:r w:rsidRPr="00F965CE">
        <w:rPr>
          <w:rFonts w:ascii="Arial" w:hAnsi="Arial" w:cs="Arial"/>
          <w:sz w:val="24"/>
          <w:szCs w:val="24"/>
        </w:rPr>
        <w:t>bias CPD and relational pedagogy alongside curriculum decolonisation and the targeted recruitment/promotion of Black staff. Scale culturally responsive mentoring linked to career pipelines and ring</w:t>
      </w:r>
      <w:r w:rsidRPr="00F965CE">
        <w:rPr>
          <w:rFonts w:ascii="Cambria Math" w:hAnsi="Cambria Math" w:cs="Cambria Math"/>
          <w:sz w:val="24"/>
          <w:szCs w:val="24"/>
        </w:rPr>
        <w:t>‑</w:t>
      </w:r>
      <w:r w:rsidRPr="00F965CE">
        <w:rPr>
          <w:rFonts w:ascii="Arial" w:hAnsi="Arial" w:cs="Arial"/>
          <w:sz w:val="24"/>
          <w:szCs w:val="24"/>
        </w:rPr>
        <w:t>fence apprenticeship places with employer accountability and ethnicity reporting. Expand financial</w:t>
      </w:r>
      <w:r w:rsidRPr="00F965CE">
        <w:rPr>
          <w:rFonts w:ascii="Cambria Math" w:hAnsi="Cambria Math" w:cs="Cambria Math"/>
          <w:sz w:val="24"/>
          <w:szCs w:val="24"/>
        </w:rPr>
        <w:t>‑</w:t>
      </w:r>
      <w:r w:rsidRPr="00F965CE">
        <w:rPr>
          <w:rFonts w:ascii="Arial" w:hAnsi="Arial" w:cs="Arial"/>
          <w:sz w:val="24"/>
          <w:szCs w:val="24"/>
        </w:rPr>
        <w:t>inclusion measures and start</w:t>
      </w:r>
      <w:r w:rsidRPr="00F965CE">
        <w:rPr>
          <w:rFonts w:ascii="Cambria Math" w:hAnsi="Cambria Math" w:cs="Cambria Math"/>
          <w:sz w:val="24"/>
          <w:szCs w:val="24"/>
        </w:rPr>
        <w:t>‑</w:t>
      </w:r>
      <w:r w:rsidRPr="00F965CE">
        <w:rPr>
          <w:rFonts w:ascii="Arial" w:hAnsi="Arial" w:cs="Arial"/>
          <w:sz w:val="24"/>
          <w:szCs w:val="24"/>
        </w:rPr>
        <w:t>up support for Black entrepreneurs; strengthen student hardship funds; safeguard against County Lines; and invest in culturally adapted mental</w:t>
      </w:r>
      <w:r w:rsidRPr="00F965CE">
        <w:rPr>
          <w:rFonts w:ascii="Cambria Math" w:hAnsi="Cambria Math" w:cs="Cambria Math"/>
          <w:sz w:val="24"/>
          <w:szCs w:val="24"/>
        </w:rPr>
        <w:t>‑</w:t>
      </w:r>
      <w:r w:rsidRPr="00F965CE">
        <w:rPr>
          <w:rFonts w:ascii="Arial" w:hAnsi="Arial" w:cs="Arial"/>
          <w:sz w:val="24"/>
          <w:szCs w:val="24"/>
        </w:rPr>
        <w:t>health and trauma</w:t>
      </w:r>
      <w:r w:rsidRPr="00F965CE">
        <w:rPr>
          <w:rFonts w:ascii="Cambria Math" w:hAnsi="Cambria Math" w:cs="Cambria Math"/>
          <w:sz w:val="24"/>
          <w:szCs w:val="24"/>
        </w:rPr>
        <w:t>‑</w:t>
      </w:r>
      <w:r w:rsidRPr="00F965CE">
        <w:rPr>
          <w:rFonts w:ascii="Arial" w:hAnsi="Arial" w:cs="Arial"/>
          <w:sz w:val="24"/>
          <w:szCs w:val="24"/>
        </w:rPr>
        <w:t>informed services. Introduce diversionary and re</w:t>
      </w:r>
      <w:r w:rsidRPr="00F965CE">
        <w:rPr>
          <w:rFonts w:ascii="Cambria Math" w:hAnsi="Cambria Math" w:cs="Cambria Math"/>
          <w:sz w:val="24"/>
          <w:szCs w:val="24"/>
        </w:rPr>
        <w:t>‑</w:t>
      </w:r>
      <w:r w:rsidRPr="00F965CE">
        <w:rPr>
          <w:rFonts w:ascii="Arial" w:hAnsi="Arial" w:cs="Arial"/>
          <w:sz w:val="24"/>
          <w:szCs w:val="24"/>
        </w:rPr>
        <w:t>entry programmes with employer incentives and expungement pathways for those with records. Underpin all actions with mandated, privacy</w:t>
      </w:r>
      <w:r w:rsidRPr="00F965CE">
        <w:rPr>
          <w:rFonts w:ascii="Cambria Math" w:hAnsi="Cambria Math" w:cs="Cambria Math"/>
          <w:sz w:val="24"/>
          <w:szCs w:val="24"/>
        </w:rPr>
        <w:t>‑</w:t>
      </w:r>
      <w:r w:rsidRPr="00F965CE">
        <w:rPr>
          <w:rFonts w:ascii="Arial" w:hAnsi="Arial" w:cs="Arial"/>
          <w:sz w:val="24"/>
          <w:szCs w:val="24"/>
        </w:rPr>
        <w:t>safe longitudinal data linkage, rigorous RCT/quasi</w:t>
      </w:r>
      <w:r w:rsidRPr="00F965CE">
        <w:rPr>
          <w:rFonts w:ascii="Cambria Math" w:hAnsi="Cambria Math" w:cs="Cambria Math"/>
          <w:sz w:val="24"/>
          <w:szCs w:val="24"/>
        </w:rPr>
        <w:t>‑</w:t>
      </w:r>
      <w:r w:rsidRPr="00F965CE">
        <w:rPr>
          <w:rFonts w:ascii="Arial" w:hAnsi="Arial" w:cs="Arial"/>
          <w:sz w:val="24"/>
          <w:szCs w:val="24"/>
        </w:rPr>
        <w:t>experimental evaluations, and co</w:t>
      </w:r>
      <w:r w:rsidRPr="00F965CE">
        <w:rPr>
          <w:rFonts w:ascii="Cambria Math" w:hAnsi="Cambria Math" w:cs="Cambria Math"/>
          <w:sz w:val="24"/>
          <w:szCs w:val="24"/>
        </w:rPr>
        <w:t>‑</w:t>
      </w:r>
      <w:r w:rsidRPr="00F965CE">
        <w:rPr>
          <w:rFonts w:ascii="Arial" w:hAnsi="Arial" w:cs="Arial"/>
          <w:sz w:val="24"/>
          <w:szCs w:val="24"/>
        </w:rPr>
        <w:t>design with Black communities to ensure accountability, scalability and evidence</w:t>
      </w:r>
      <w:r w:rsidRPr="00F965CE">
        <w:rPr>
          <w:rFonts w:ascii="Cambria Math" w:hAnsi="Cambria Math" w:cs="Cambria Math"/>
          <w:sz w:val="24"/>
          <w:szCs w:val="24"/>
        </w:rPr>
        <w:t>‑</w:t>
      </w:r>
      <w:r w:rsidRPr="00F965CE">
        <w:rPr>
          <w:rFonts w:ascii="Arial" w:hAnsi="Arial" w:cs="Arial"/>
          <w:sz w:val="24"/>
          <w:szCs w:val="24"/>
        </w:rPr>
        <w:t>based iteration.</w:t>
      </w:r>
    </w:p>
    <w:p w14:paraId="4DE4D3C0" w14:textId="69FE0341" w:rsidR="0079544C" w:rsidRDefault="00C0436E" w:rsidP="008E7C07">
      <w:pPr>
        <w:pStyle w:val="Heading3"/>
      </w:pPr>
      <w:bookmarkStart w:id="39" w:name="_Toc227936277"/>
      <w:r w:rsidRPr="008E7C07">
        <w:t>Future research gap</w:t>
      </w:r>
      <w:bookmarkEnd w:id="39"/>
    </w:p>
    <w:p w14:paraId="3B59804E" w14:textId="7B8D66ED" w:rsidR="008E7C07" w:rsidRPr="008E7C07" w:rsidRDefault="008E7C07" w:rsidP="009E58ED">
      <w:pPr>
        <w:spacing w:line="360" w:lineRule="auto"/>
        <w:jc w:val="both"/>
        <w:rPr>
          <w:rFonts w:ascii="Arial" w:hAnsi="Arial" w:cs="Arial"/>
          <w:sz w:val="24"/>
          <w:szCs w:val="24"/>
        </w:rPr>
      </w:pPr>
      <w:r w:rsidRPr="008E7C07">
        <w:rPr>
          <w:rFonts w:ascii="Arial" w:hAnsi="Arial" w:cs="Arial"/>
          <w:sz w:val="24"/>
          <w:szCs w:val="24"/>
        </w:rPr>
        <w:t xml:space="preserve">Future research should prioritise UK-based longitudinal and causal studies that trace further education and higher education pathways into employment, entrepreneurship, and criminal exploitation. Analyses should disaggregate Black African, Black Caribbean, and mixed-heritage groups, examining variation by generation, class, and gender. Vulnerabilities specific to higher education in relation to County Lines and </w:t>
      </w:r>
      <w:r w:rsidRPr="008E7C07">
        <w:rPr>
          <w:rFonts w:ascii="Arial" w:hAnsi="Arial" w:cs="Arial"/>
          <w:sz w:val="24"/>
          <w:szCs w:val="24"/>
        </w:rPr>
        <w:lastRenderedPageBreak/>
        <w:t>organised crime group recruitment warrant investigation. Mechanism-focused mediation and process-tracing studies are needed to test B→C→D pathways. Robust measurement of financial ecosystem factors such as credit, procurement, and investor networks is necessary to explain firm survival. Rigorous evaluations, including randomised controlled trials and quasi-experiments, should assess the effectiveness of mentoring, decolonised curricula, apprenticeship outreach, anti-bias training, and diversionary programmes. Intersectional, place-based research that integrates neighbourhood deprivation, labour markets, and the presence of criminal networks is essential, as are studies of mental health mediation and post-justice reintegration. The use of standardised measures and linked administrative datasets is critical for comparability and stronger causal inference.</w:t>
      </w:r>
    </w:p>
    <w:p w14:paraId="14132CC7" w14:textId="753E49FC" w:rsidR="00376060" w:rsidRPr="00376060" w:rsidRDefault="00E72C34" w:rsidP="009E58ED">
      <w:pPr>
        <w:pStyle w:val="Heading2"/>
        <w:jc w:val="both"/>
      </w:pPr>
      <w:bookmarkStart w:id="40" w:name="_Toc227936278"/>
      <w:r>
        <w:t>11</w:t>
      </w:r>
      <w:r w:rsidR="00376060" w:rsidRPr="009E58ED">
        <w:t>. Gaps in the Literature</w:t>
      </w:r>
      <w:bookmarkEnd w:id="40"/>
    </w:p>
    <w:p w14:paraId="0ACFD1AA" w14:textId="00A48165" w:rsidR="00F03E6B" w:rsidRPr="00AE398B" w:rsidRDefault="00E72C34" w:rsidP="00A446AA">
      <w:pPr>
        <w:pStyle w:val="Heading3"/>
      </w:pPr>
      <w:bookmarkStart w:id="41" w:name="_Toc227936279"/>
      <w:r>
        <w:t xml:space="preserve">11.1 </w:t>
      </w:r>
      <w:r w:rsidR="00F03E6B" w:rsidRPr="00AE398B">
        <w:t>Key Gaps in the Literature</w:t>
      </w:r>
      <w:bookmarkEnd w:id="41"/>
    </w:p>
    <w:p w14:paraId="19D29C80" w14:textId="55E1F7DF" w:rsidR="00F03E6B" w:rsidRPr="00633323" w:rsidRDefault="009E7682" w:rsidP="00F92D58">
      <w:pPr>
        <w:spacing w:line="360" w:lineRule="auto"/>
        <w:jc w:val="both"/>
        <w:rPr>
          <w:rFonts w:ascii="Arial" w:hAnsi="Arial" w:cs="Arial"/>
          <w:sz w:val="24"/>
          <w:szCs w:val="24"/>
        </w:rPr>
      </w:pPr>
      <w:r w:rsidRPr="009E7682">
        <w:rPr>
          <w:rFonts w:ascii="Arial" w:hAnsi="Arial" w:cs="Arial"/>
          <w:sz w:val="24"/>
          <w:szCs w:val="24"/>
        </w:rPr>
        <w:t>Current literature reveals significant gaps in understanding the educational-to-socioeconomic trajectories of Black males. There is a lack of longitudinal evidence tracing the development of education, employment, entrepreneurship, and exploitation pathways over time. Additionally, analyses comparing Black African, Black Caribbean, and mixed-heritage groups, as well as intersecting factors such as class, gender, migration status, disability, religion, and displacement, remain limited. Existing research seldom identifies the causal mechanisms that connect school practices and place-based conditions to labour-market outcomes, business participation, or vulnerability to criminal exploitation. Evidence regarding the influence of financial ecosystems, business environments, and mental health on the sustainability of Black-owned enterprises and transitions into work or entrepreneurship is also limited. Furthermore, few studies rigorously assess culturally responsive interventions, including mentoring, decolonised curricula, apprenticeships, anti-bias training, or protection-integrated programmes, resulting in limited knowledge about their effectiveness, scalability, and cost-efficiency.</w:t>
      </w:r>
    </w:p>
    <w:p w14:paraId="43CD60ED" w14:textId="58C45B53" w:rsidR="00376060" w:rsidRPr="00376060" w:rsidRDefault="00E72C34" w:rsidP="009E58ED">
      <w:pPr>
        <w:pStyle w:val="Heading2"/>
        <w:jc w:val="both"/>
      </w:pPr>
      <w:bookmarkStart w:id="42" w:name="_Toc227936280"/>
      <w:r>
        <w:lastRenderedPageBreak/>
        <w:t xml:space="preserve">12 </w:t>
      </w:r>
      <w:r w:rsidR="00376060" w:rsidRPr="00376060">
        <w:t>Future Research Questions</w:t>
      </w:r>
      <w:bookmarkEnd w:id="42"/>
    </w:p>
    <w:p w14:paraId="5D37D130" w14:textId="77777777" w:rsidR="00E23686" w:rsidRPr="00E23686" w:rsidRDefault="00E23686" w:rsidP="00E23686">
      <w:pPr>
        <w:spacing w:line="360" w:lineRule="auto"/>
        <w:jc w:val="both"/>
        <w:rPr>
          <w:rFonts w:ascii="Arial" w:hAnsi="Arial" w:cs="Arial"/>
          <w:sz w:val="24"/>
          <w:szCs w:val="24"/>
        </w:rPr>
      </w:pPr>
      <w:r w:rsidRPr="00E23686">
        <w:rPr>
          <w:rFonts w:ascii="Arial" w:hAnsi="Arial" w:cs="Arial"/>
          <w:sz w:val="24"/>
          <w:szCs w:val="24"/>
        </w:rPr>
        <w:t>1. In what ways do school practices, including exclusions, policing, tracking, and curriculum, alongside spatial factors such as neighbourhood deprivation, labour demand, and criminal networks, influence the long-term transitions of Black males into employment, entrepreneurship, or criminal exploitation?</w:t>
      </w:r>
    </w:p>
    <w:p w14:paraId="41610ADC" w14:textId="77777777" w:rsidR="00E23686" w:rsidRPr="00E23686" w:rsidRDefault="00E23686" w:rsidP="00E23686">
      <w:pPr>
        <w:spacing w:line="360" w:lineRule="auto"/>
        <w:jc w:val="both"/>
        <w:rPr>
          <w:rFonts w:ascii="Arial" w:hAnsi="Arial" w:cs="Arial"/>
          <w:sz w:val="24"/>
          <w:szCs w:val="24"/>
        </w:rPr>
      </w:pPr>
      <w:r w:rsidRPr="00E23686">
        <w:rPr>
          <w:rFonts w:ascii="Arial" w:hAnsi="Arial" w:cs="Arial"/>
          <w:sz w:val="24"/>
          <w:szCs w:val="24"/>
        </w:rPr>
        <w:t>2. How do outcomes vary among Black African, Black Caribbean, and mixed-heritage males, and in what ways do intersectional factors such as class, gender, migration generation, disability, and mental health shape educational, labour-market, and exploitation risks?</w:t>
      </w:r>
    </w:p>
    <w:p w14:paraId="42EA6D64" w14:textId="77777777" w:rsidR="00E23686" w:rsidRPr="00E23686" w:rsidRDefault="00E23686" w:rsidP="00E23686">
      <w:pPr>
        <w:spacing w:line="360" w:lineRule="auto"/>
        <w:jc w:val="both"/>
        <w:rPr>
          <w:rFonts w:ascii="Arial" w:hAnsi="Arial" w:cs="Arial"/>
          <w:sz w:val="24"/>
          <w:szCs w:val="24"/>
        </w:rPr>
      </w:pPr>
      <w:r w:rsidRPr="00E23686">
        <w:rPr>
          <w:rFonts w:ascii="Arial" w:hAnsi="Arial" w:cs="Arial"/>
          <w:sz w:val="24"/>
          <w:szCs w:val="24"/>
        </w:rPr>
        <w:t>3. What are the causal mechanisms, including discrimination, network access, credential devaluation, mental health, debt, stigma, and social media influences, that connect further or higher education experiences to labour-market returns, entrepreneurship pathways, and vulnerability to organised crime, including County Lines?</w:t>
      </w:r>
    </w:p>
    <w:p w14:paraId="36737C81" w14:textId="77777777" w:rsidR="00E23686" w:rsidRPr="00E23686" w:rsidRDefault="00E23686" w:rsidP="00E23686">
      <w:pPr>
        <w:spacing w:line="360" w:lineRule="auto"/>
        <w:jc w:val="both"/>
        <w:rPr>
          <w:rFonts w:ascii="Arial" w:hAnsi="Arial" w:cs="Arial"/>
          <w:sz w:val="24"/>
          <w:szCs w:val="24"/>
        </w:rPr>
      </w:pPr>
      <w:r w:rsidRPr="00E23686">
        <w:rPr>
          <w:rFonts w:ascii="Arial" w:hAnsi="Arial" w:cs="Arial"/>
          <w:sz w:val="24"/>
          <w:szCs w:val="24"/>
        </w:rPr>
        <w:t>4. How do financial exclusion, recruitment gatekeeping, workplace cultures, and criminal records impact Black males’ employment and business participation, and which reforms or supports, such as credit access, employer incentives, expungement, and business assistance, are effective in improving outcomes?</w:t>
      </w:r>
    </w:p>
    <w:p w14:paraId="4F3D2A1F" w14:textId="0B2B3C5F" w:rsidR="00252CC1" w:rsidRDefault="00E23686" w:rsidP="009E58ED">
      <w:pPr>
        <w:spacing w:line="360" w:lineRule="auto"/>
        <w:jc w:val="both"/>
        <w:rPr>
          <w:rFonts w:ascii="Arial" w:hAnsi="Arial" w:cs="Arial"/>
          <w:sz w:val="24"/>
          <w:szCs w:val="24"/>
        </w:rPr>
      </w:pPr>
      <w:r w:rsidRPr="00E23686">
        <w:rPr>
          <w:rFonts w:ascii="Arial" w:hAnsi="Arial" w:cs="Arial"/>
          <w:sz w:val="24"/>
          <w:szCs w:val="24"/>
        </w:rPr>
        <w:t>5. Which culturally responsive interventions, including mentoring, decolonised curricula, apprenticeships, anti-bias training, pastoral programmes, and diversion schemes, are effective and cost-effective in improving educational and labour-market outcomes and preventing exploitation, as demonstrated by rigorous longitudinal, experimental, or linked-data research?</w:t>
      </w:r>
    </w:p>
    <w:p w14:paraId="1CADA63F" w14:textId="6B53BB2F" w:rsidR="00320399" w:rsidRDefault="00E72C34" w:rsidP="00320399">
      <w:pPr>
        <w:pStyle w:val="Heading2"/>
        <w:rPr>
          <w:rFonts w:ascii="Arial" w:hAnsi="Arial" w:cs="Arial"/>
          <w:sz w:val="24"/>
          <w:szCs w:val="24"/>
        </w:rPr>
      </w:pPr>
      <w:bookmarkStart w:id="43" w:name="_Toc227936281"/>
      <w:r>
        <w:t xml:space="preserve">13 </w:t>
      </w:r>
      <w:r w:rsidR="00F51F34">
        <w:t>Limitation of the study</w:t>
      </w:r>
      <w:bookmarkEnd w:id="43"/>
    </w:p>
    <w:p w14:paraId="413FE567" w14:textId="71607677" w:rsidR="007D4315" w:rsidRDefault="00363019" w:rsidP="009E58ED">
      <w:pPr>
        <w:spacing w:line="360" w:lineRule="auto"/>
        <w:jc w:val="both"/>
        <w:rPr>
          <w:rFonts w:ascii="Arial" w:hAnsi="Arial" w:cs="Arial"/>
          <w:sz w:val="24"/>
          <w:szCs w:val="24"/>
        </w:rPr>
      </w:pPr>
      <w:r w:rsidRPr="00363019">
        <w:rPr>
          <w:rFonts w:ascii="Arial" w:hAnsi="Arial" w:cs="Arial"/>
          <w:sz w:val="24"/>
          <w:szCs w:val="24"/>
        </w:rPr>
        <w:t xml:space="preserve">The evidence base for this review is predominantly composed of cross-sectional and descriptive studies, inconsistent measurement approaches, and heterogeneous study quality, including grey literature, which collectively constrain causal inference. The use of aggregated BAME/BME categories obscures distinctions among Black African, </w:t>
      </w:r>
      <w:r w:rsidRPr="00363019">
        <w:rPr>
          <w:rFonts w:ascii="Arial" w:hAnsi="Arial" w:cs="Arial"/>
          <w:sz w:val="24"/>
          <w:szCs w:val="24"/>
        </w:rPr>
        <w:lastRenderedPageBreak/>
        <w:t xml:space="preserve">Black Caribbean, and generational groups. Additionally, the limited number of UK longitudinal cohorts and a research focus on London and other urban areas reduce the generalisability of </w:t>
      </w:r>
      <w:proofErr w:type="spellStart"/>
      <w:r w:rsidRPr="00363019">
        <w:rPr>
          <w:rFonts w:ascii="Arial" w:hAnsi="Arial" w:cs="Arial"/>
          <w:sz w:val="24"/>
          <w:szCs w:val="24"/>
        </w:rPr>
        <w:t>fidings</w:t>
      </w:r>
      <w:proofErr w:type="spellEnd"/>
      <w:r w:rsidRPr="00363019">
        <w:rPr>
          <w:rFonts w:ascii="Arial" w:hAnsi="Arial" w:cs="Arial"/>
          <w:sz w:val="24"/>
          <w:szCs w:val="24"/>
        </w:rPr>
        <w:t xml:space="preserve"> at the national level. Publication and reporting biases, together with a lack of rigorous intervention evaluations, further restrict the development of policy guidance. While the CRT-centred framing deepens racial analysis, it may underemphasise alternative causal factors. Furthermore, temporal policy changes such as austerity, the COVID-19 pandemic, and policing reforms limit the relevance of older findings.</w:t>
      </w:r>
    </w:p>
    <w:p w14:paraId="021F7593" w14:textId="07B7E235" w:rsidR="00F51F34" w:rsidRDefault="00E72C34" w:rsidP="007D4315">
      <w:pPr>
        <w:pStyle w:val="Heading2"/>
      </w:pPr>
      <w:bookmarkStart w:id="44" w:name="_Toc227936282"/>
      <w:r>
        <w:t xml:space="preserve">14 </w:t>
      </w:r>
      <w:r w:rsidR="00F51F34">
        <w:t>Conclusion</w:t>
      </w:r>
      <w:bookmarkEnd w:id="44"/>
    </w:p>
    <w:p w14:paraId="66FF6F66" w14:textId="1FAD8565" w:rsidR="00363019" w:rsidRDefault="00D65F57" w:rsidP="009E58ED">
      <w:pPr>
        <w:spacing w:line="360" w:lineRule="auto"/>
        <w:jc w:val="both"/>
        <w:rPr>
          <w:rFonts w:ascii="Arial" w:hAnsi="Arial" w:cs="Arial"/>
          <w:sz w:val="24"/>
          <w:szCs w:val="24"/>
        </w:rPr>
      </w:pPr>
      <w:r w:rsidRPr="00D65F57">
        <w:rPr>
          <w:rFonts w:ascii="Arial" w:hAnsi="Arial" w:cs="Arial"/>
          <w:sz w:val="24"/>
          <w:szCs w:val="24"/>
        </w:rPr>
        <w:t>This review identifies consistent evidence that structural racism, as reflected in unequal school resources, biased practices, curricular whiteness, policing, and financial exclusion, directs many Black males into disadvantaged labour market positions, precarious forms of entrepreneurship, or increased vulnerability to criminal exploitation through cumulative feedback mechanisms. However, gaps in longitudinal, disaggregated, causal, and intervention research constrain definitive causal inferences. Policy should prioritise disaggregated longitudinal studies, rigorous evaluations of culturally responsive mentoring, expanded apprenticeship opportunities, decolonised curricula, and anti-bias reforms to disrupt cumulative disadvantage and promote equitable socioeconomic participation.</w:t>
      </w:r>
    </w:p>
    <w:p w14:paraId="697E1B20" w14:textId="77777777" w:rsidR="00363019" w:rsidRDefault="00363019" w:rsidP="009E58ED">
      <w:pPr>
        <w:spacing w:line="360" w:lineRule="auto"/>
        <w:jc w:val="both"/>
        <w:rPr>
          <w:rFonts w:ascii="Arial" w:hAnsi="Arial" w:cs="Arial"/>
          <w:sz w:val="24"/>
          <w:szCs w:val="24"/>
        </w:rPr>
      </w:pPr>
    </w:p>
    <w:p w14:paraId="514BCEEF" w14:textId="77777777" w:rsidR="00DE6BAD" w:rsidRDefault="00DE6BAD" w:rsidP="009E58ED">
      <w:pPr>
        <w:spacing w:line="360" w:lineRule="auto"/>
        <w:jc w:val="both"/>
        <w:rPr>
          <w:rFonts w:ascii="Arial" w:hAnsi="Arial" w:cs="Arial"/>
          <w:sz w:val="24"/>
          <w:szCs w:val="24"/>
        </w:rPr>
      </w:pPr>
    </w:p>
    <w:p w14:paraId="32856D1D" w14:textId="77777777" w:rsidR="00DE6BAD" w:rsidRDefault="00DE6BAD" w:rsidP="009E58ED">
      <w:pPr>
        <w:spacing w:line="360" w:lineRule="auto"/>
        <w:jc w:val="both"/>
        <w:rPr>
          <w:rFonts w:ascii="Arial" w:hAnsi="Arial" w:cs="Arial"/>
          <w:sz w:val="24"/>
          <w:szCs w:val="24"/>
        </w:rPr>
      </w:pPr>
    </w:p>
    <w:p w14:paraId="79787C48" w14:textId="77777777" w:rsidR="00DE6BAD" w:rsidRDefault="00DE6BAD" w:rsidP="009E58ED">
      <w:pPr>
        <w:spacing w:line="360" w:lineRule="auto"/>
        <w:jc w:val="both"/>
        <w:rPr>
          <w:rFonts w:ascii="Arial" w:hAnsi="Arial" w:cs="Arial"/>
          <w:sz w:val="24"/>
          <w:szCs w:val="24"/>
        </w:rPr>
      </w:pPr>
    </w:p>
    <w:p w14:paraId="50E084C1" w14:textId="77777777" w:rsidR="00DE6BAD" w:rsidRDefault="00DE6BAD" w:rsidP="009E58ED">
      <w:pPr>
        <w:spacing w:line="360" w:lineRule="auto"/>
        <w:jc w:val="both"/>
        <w:rPr>
          <w:rFonts w:ascii="Arial" w:hAnsi="Arial" w:cs="Arial"/>
          <w:sz w:val="24"/>
          <w:szCs w:val="24"/>
        </w:rPr>
      </w:pPr>
    </w:p>
    <w:p w14:paraId="69D63D21" w14:textId="77777777" w:rsidR="00DE6BAD" w:rsidRDefault="00DE6BAD" w:rsidP="009E58ED">
      <w:pPr>
        <w:spacing w:line="360" w:lineRule="auto"/>
        <w:jc w:val="both"/>
        <w:rPr>
          <w:rFonts w:ascii="Arial" w:hAnsi="Arial" w:cs="Arial"/>
          <w:sz w:val="24"/>
          <w:szCs w:val="24"/>
        </w:rPr>
      </w:pPr>
    </w:p>
    <w:p w14:paraId="4FD0242B" w14:textId="77777777" w:rsidR="00363019" w:rsidRDefault="00363019" w:rsidP="009E58ED">
      <w:pPr>
        <w:spacing w:line="360" w:lineRule="auto"/>
        <w:jc w:val="both"/>
        <w:rPr>
          <w:rFonts w:ascii="Arial" w:hAnsi="Arial" w:cs="Arial"/>
          <w:sz w:val="24"/>
          <w:szCs w:val="24"/>
        </w:rPr>
      </w:pPr>
    </w:p>
    <w:p w14:paraId="77247475" w14:textId="47DE79AE" w:rsidR="00B7349A" w:rsidRDefault="00B7349A" w:rsidP="009E58ED">
      <w:pPr>
        <w:pStyle w:val="Heading2"/>
        <w:jc w:val="both"/>
      </w:pPr>
      <w:bookmarkStart w:id="45" w:name="_Toc227936283"/>
      <w:r w:rsidRPr="00B7349A">
        <w:lastRenderedPageBreak/>
        <w:t>Reference</w:t>
      </w:r>
      <w:bookmarkEnd w:id="45"/>
    </w:p>
    <w:p w14:paraId="43BA06D0" w14:textId="48180223" w:rsidR="00CA10DB" w:rsidRDefault="00CA10DB" w:rsidP="009E58ED">
      <w:pPr>
        <w:spacing w:line="360" w:lineRule="auto"/>
        <w:jc w:val="both"/>
        <w:rPr>
          <w:rFonts w:ascii="Arial" w:hAnsi="Arial" w:cs="Arial"/>
          <w:sz w:val="24"/>
          <w:szCs w:val="24"/>
        </w:rPr>
      </w:pPr>
      <w:r w:rsidRPr="00CA10DB">
        <w:rPr>
          <w:rFonts w:ascii="Arial" w:hAnsi="Arial" w:cs="Arial"/>
          <w:sz w:val="24"/>
          <w:szCs w:val="24"/>
        </w:rPr>
        <w:t>Abbott, D. (2002)</w:t>
      </w:r>
      <w:r w:rsidR="007507A7">
        <w:rPr>
          <w:rFonts w:ascii="Arial" w:hAnsi="Arial" w:cs="Arial"/>
          <w:sz w:val="24"/>
          <w:szCs w:val="24"/>
        </w:rPr>
        <w:t>.</w:t>
      </w:r>
      <w:r w:rsidRPr="00CA10DB">
        <w:rPr>
          <w:rFonts w:ascii="Arial" w:hAnsi="Arial" w:cs="Arial"/>
          <w:sz w:val="24"/>
          <w:szCs w:val="24"/>
        </w:rPr>
        <w:t xml:space="preserve"> 'Teachers are failing black boys'. The Guardian, 6 January, Politics. Available at: </w:t>
      </w:r>
      <w:hyperlink r:id="rId18" w:history="1">
        <w:r w:rsidRPr="003C58D1">
          <w:rPr>
            <w:rStyle w:val="Hyperlink"/>
            <w:rFonts w:ascii="Arial" w:hAnsi="Arial" w:cs="Arial"/>
            <w:sz w:val="24"/>
            <w:szCs w:val="24"/>
          </w:rPr>
          <w:t>https://www.theguardian.com/politics/2002/jan/06/publicservices.race</w:t>
        </w:r>
      </w:hyperlink>
      <w:r>
        <w:rPr>
          <w:rFonts w:ascii="Arial" w:hAnsi="Arial" w:cs="Arial"/>
          <w:sz w:val="24"/>
          <w:szCs w:val="24"/>
        </w:rPr>
        <w:t xml:space="preserve"> </w:t>
      </w:r>
      <w:r w:rsidRPr="00CA10DB">
        <w:rPr>
          <w:rFonts w:ascii="Arial" w:hAnsi="Arial" w:cs="Arial"/>
          <w:sz w:val="24"/>
          <w:szCs w:val="24"/>
        </w:rPr>
        <w:t>(Accessed: 18 March 2026).</w:t>
      </w:r>
    </w:p>
    <w:p w14:paraId="1A8D112A" w14:textId="2F2DCA79" w:rsidR="00B81012" w:rsidRDefault="00B81012" w:rsidP="009E58ED">
      <w:pPr>
        <w:spacing w:line="360" w:lineRule="auto"/>
        <w:jc w:val="both"/>
        <w:rPr>
          <w:rFonts w:ascii="Arial" w:hAnsi="Arial" w:cs="Arial"/>
          <w:sz w:val="24"/>
          <w:szCs w:val="24"/>
        </w:rPr>
      </w:pPr>
      <w:r w:rsidRPr="00B81012">
        <w:rPr>
          <w:rFonts w:ascii="Arial" w:hAnsi="Arial" w:cs="Arial"/>
          <w:sz w:val="24"/>
          <w:szCs w:val="24"/>
        </w:rPr>
        <w:t xml:space="preserve">Adams, A., Realpe, A., Vail, L., Buckingham, C., </w:t>
      </w:r>
      <w:proofErr w:type="spellStart"/>
      <w:proofErr w:type="gramStart"/>
      <w:r w:rsidRPr="00B81012">
        <w:rPr>
          <w:rFonts w:ascii="Arial" w:hAnsi="Arial" w:cs="Arial"/>
          <w:sz w:val="24"/>
          <w:szCs w:val="24"/>
        </w:rPr>
        <w:t>Erby,L</w:t>
      </w:r>
      <w:proofErr w:type="spellEnd"/>
      <w:r w:rsidRPr="00B81012">
        <w:rPr>
          <w:rFonts w:ascii="Arial" w:hAnsi="Arial" w:cs="Arial"/>
          <w:sz w:val="24"/>
          <w:szCs w:val="24"/>
        </w:rPr>
        <w:t>.</w:t>
      </w:r>
      <w:proofErr w:type="gramEnd"/>
      <w:r w:rsidRPr="00B81012">
        <w:rPr>
          <w:rFonts w:ascii="Arial" w:hAnsi="Arial" w:cs="Arial"/>
          <w:sz w:val="24"/>
          <w:szCs w:val="24"/>
        </w:rPr>
        <w:t>, and Roter, D. (2015)</w:t>
      </w:r>
      <w:r w:rsidR="009442B9">
        <w:rPr>
          <w:rFonts w:ascii="Arial" w:hAnsi="Arial" w:cs="Arial"/>
          <w:sz w:val="24"/>
          <w:szCs w:val="24"/>
        </w:rPr>
        <w:t>.</w:t>
      </w:r>
      <w:r w:rsidRPr="00B81012">
        <w:rPr>
          <w:rFonts w:ascii="Arial" w:hAnsi="Arial" w:cs="Arial"/>
          <w:sz w:val="24"/>
          <w:szCs w:val="24"/>
        </w:rPr>
        <w:t xml:space="preserve"> 'How doctors’ communication style and race concordance influence African–Caribbean patients when disclosing depression', Patient Education and </w:t>
      </w:r>
      <w:proofErr w:type="spellStart"/>
      <w:r w:rsidRPr="00B81012">
        <w:rPr>
          <w:rFonts w:ascii="Arial" w:hAnsi="Arial" w:cs="Arial"/>
          <w:sz w:val="24"/>
          <w:szCs w:val="24"/>
        </w:rPr>
        <w:t>Counseling</w:t>
      </w:r>
      <w:proofErr w:type="spellEnd"/>
      <w:r w:rsidRPr="00B81012">
        <w:rPr>
          <w:rFonts w:ascii="Arial" w:hAnsi="Arial" w:cs="Arial"/>
          <w:sz w:val="24"/>
          <w:szCs w:val="24"/>
        </w:rPr>
        <w:t>, 98(10), pp. 1266</w:t>
      </w:r>
      <w:r w:rsidR="009442B9">
        <w:rPr>
          <w:rFonts w:ascii="Arial" w:hAnsi="Arial" w:cs="Arial"/>
          <w:sz w:val="24"/>
          <w:szCs w:val="24"/>
        </w:rPr>
        <w:t>–</w:t>
      </w:r>
      <w:r w:rsidRPr="00B81012">
        <w:rPr>
          <w:rFonts w:ascii="Arial" w:hAnsi="Arial" w:cs="Arial"/>
          <w:sz w:val="24"/>
          <w:szCs w:val="24"/>
        </w:rPr>
        <w:t xml:space="preserve">1273. Available at: </w:t>
      </w:r>
      <w:hyperlink r:id="rId19" w:history="1">
        <w:r w:rsidRPr="007D0B0F">
          <w:rPr>
            <w:rStyle w:val="Hyperlink"/>
            <w:rFonts w:ascii="Arial" w:hAnsi="Arial" w:cs="Arial"/>
            <w:sz w:val="24"/>
            <w:szCs w:val="24"/>
          </w:rPr>
          <w:t>https://www.sciencedirect.com/science/article/pii/S0738399115300562</w:t>
        </w:r>
      </w:hyperlink>
      <w:r>
        <w:rPr>
          <w:rFonts w:ascii="Arial" w:hAnsi="Arial" w:cs="Arial"/>
          <w:sz w:val="24"/>
          <w:szCs w:val="24"/>
        </w:rPr>
        <w:t xml:space="preserve"> </w:t>
      </w:r>
      <w:r w:rsidRPr="00B81012">
        <w:rPr>
          <w:rFonts w:ascii="Arial" w:hAnsi="Arial" w:cs="Arial"/>
          <w:sz w:val="24"/>
          <w:szCs w:val="24"/>
        </w:rPr>
        <w:t>(Accessed: 30 March 2026).</w:t>
      </w:r>
    </w:p>
    <w:p w14:paraId="4B58A54D" w14:textId="2F07DAD9" w:rsidR="00F21A85" w:rsidRDefault="00E83E22" w:rsidP="009E58ED">
      <w:pPr>
        <w:spacing w:line="360" w:lineRule="auto"/>
        <w:jc w:val="both"/>
        <w:rPr>
          <w:rFonts w:ascii="Arial" w:hAnsi="Arial" w:cs="Arial"/>
          <w:sz w:val="24"/>
          <w:szCs w:val="24"/>
        </w:rPr>
      </w:pPr>
      <w:r w:rsidRPr="00E83E22">
        <w:rPr>
          <w:rFonts w:ascii="Arial" w:hAnsi="Arial" w:cs="Arial"/>
          <w:sz w:val="24"/>
          <w:szCs w:val="24"/>
        </w:rPr>
        <w:t>Adami, R. (2024)</w:t>
      </w:r>
      <w:r>
        <w:rPr>
          <w:rFonts w:ascii="Arial" w:hAnsi="Arial" w:cs="Arial"/>
          <w:sz w:val="24"/>
          <w:szCs w:val="24"/>
        </w:rPr>
        <w:t>.</w:t>
      </w:r>
      <w:r w:rsidRPr="00E83E22">
        <w:rPr>
          <w:rFonts w:ascii="Arial" w:hAnsi="Arial" w:cs="Arial"/>
          <w:sz w:val="24"/>
          <w:szCs w:val="24"/>
        </w:rPr>
        <w:t xml:space="preserve"> 'Financial Exclusion in the UK: Evidence on Ethnicity', Social Policy and Society, 23(3), pp. 529</w:t>
      </w:r>
      <w:r>
        <w:rPr>
          <w:rFonts w:ascii="Arial" w:hAnsi="Arial" w:cs="Arial"/>
          <w:sz w:val="24"/>
          <w:szCs w:val="24"/>
        </w:rPr>
        <w:t>–</w:t>
      </w:r>
      <w:r w:rsidRPr="00E83E22">
        <w:rPr>
          <w:rFonts w:ascii="Arial" w:hAnsi="Arial" w:cs="Arial"/>
          <w:sz w:val="24"/>
          <w:szCs w:val="24"/>
        </w:rPr>
        <w:t xml:space="preserve">547. Available at: </w:t>
      </w:r>
      <w:hyperlink r:id="rId20" w:history="1">
        <w:r w:rsidRPr="007D0B0F">
          <w:rPr>
            <w:rStyle w:val="Hyperlink"/>
            <w:rFonts w:ascii="Arial" w:hAnsi="Arial" w:cs="Arial"/>
            <w:sz w:val="24"/>
            <w:szCs w:val="24"/>
          </w:rPr>
          <w:t>https://www.proquest.com/docview/3147270343?accountid=130472&amp;parentSessionId=I5v9068LUgq3d3l%2BDaKrTdwBCsMiyd7jxo92VTHw4sg%3D&amp;pq-origsite=primo&amp;sourcetype=Scholarly%20Journals</w:t>
        </w:r>
      </w:hyperlink>
      <w:r>
        <w:rPr>
          <w:rFonts w:ascii="Arial" w:hAnsi="Arial" w:cs="Arial"/>
          <w:sz w:val="24"/>
          <w:szCs w:val="24"/>
        </w:rPr>
        <w:t xml:space="preserve"> </w:t>
      </w:r>
      <w:r w:rsidRPr="00E83E22">
        <w:rPr>
          <w:rFonts w:ascii="Arial" w:hAnsi="Arial" w:cs="Arial"/>
          <w:sz w:val="24"/>
          <w:szCs w:val="24"/>
        </w:rPr>
        <w:t>(Accessed: date).</w:t>
      </w:r>
    </w:p>
    <w:p w14:paraId="040ACF76" w14:textId="415F4CC7" w:rsidR="007507A7" w:rsidRDefault="007507A7" w:rsidP="009E58ED">
      <w:pPr>
        <w:spacing w:line="360" w:lineRule="auto"/>
        <w:jc w:val="both"/>
        <w:rPr>
          <w:rFonts w:ascii="Arial" w:hAnsi="Arial" w:cs="Arial"/>
          <w:sz w:val="24"/>
          <w:szCs w:val="24"/>
        </w:rPr>
      </w:pPr>
      <w:r w:rsidRPr="007507A7">
        <w:rPr>
          <w:rFonts w:ascii="Arial" w:hAnsi="Arial" w:cs="Arial"/>
          <w:sz w:val="24"/>
          <w:szCs w:val="24"/>
        </w:rPr>
        <w:t>Adebo, M. (2022)</w:t>
      </w:r>
      <w:r>
        <w:rPr>
          <w:rFonts w:ascii="Arial" w:hAnsi="Arial" w:cs="Arial"/>
          <w:sz w:val="24"/>
          <w:szCs w:val="24"/>
        </w:rPr>
        <w:t>.</w:t>
      </w:r>
      <w:r w:rsidRPr="007507A7">
        <w:rPr>
          <w:rFonts w:ascii="Arial" w:hAnsi="Arial" w:cs="Arial"/>
          <w:sz w:val="24"/>
          <w:szCs w:val="24"/>
        </w:rPr>
        <w:t xml:space="preserve"> “Keep It 100”: A Handbook Promoting Equitable Outcomes for Black University Students Through Mentorship. Master of Education. Faculty of Education, Brock University, Saint Catharines, Ontario. Available at: </w:t>
      </w:r>
      <w:hyperlink r:id="rId21" w:history="1">
        <w:r w:rsidRPr="007D0B0F">
          <w:rPr>
            <w:rStyle w:val="Hyperlink"/>
            <w:rFonts w:ascii="Arial" w:hAnsi="Arial" w:cs="Arial"/>
            <w:sz w:val="24"/>
            <w:szCs w:val="24"/>
          </w:rPr>
          <w:t>https://brocku.scholaris.ca/server/api/core/bitstreams/ac71cef5-372b-4540-b007-d51d35d2ca15/content</w:t>
        </w:r>
      </w:hyperlink>
      <w:r>
        <w:rPr>
          <w:rFonts w:ascii="Arial" w:hAnsi="Arial" w:cs="Arial"/>
          <w:sz w:val="24"/>
          <w:szCs w:val="24"/>
        </w:rPr>
        <w:t xml:space="preserve"> </w:t>
      </w:r>
      <w:r w:rsidRPr="007507A7">
        <w:rPr>
          <w:rFonts w:ascii="Arial" w:hAnsi="Arial" w:cs="Arial"/>
          <w:sz w:val="24"/>
          <w:szCs w:val="24"/>
        </w:rPr>
        <w:t>(Accessed: 23 March 2026).</w:t>
      </w:r>
    </w:p>
    <w:p w14:paraId="1C7FE448" w14:textId="42F7D806" w:rsidR="00A870F5" w:rsidRDefault="00A870F5" w:rsidP="009E58ED">
      <w:pPr>
        <w:spacing w:line="360" w:lineRule="auto"/>
        <w:jc w:val="both"/>
        <w:rPr>
          <w:rFonts w:ascii="Arial" w:hAnsi="Arial" w:cs="Arial"/>
          <w:sz w:val="24"/>
          <w:szCs w:val="24"/>
        </w:rPr>
      </w:pPr>
      <w:r w:rsidRPr="00A870F5">
        <w:rPr>
          <w:rFonts w:ascii="Arial" w:hAnsi="Arial" w:cs="Arial"/>
          <w:sz w:val="24"/>
          <w:szCs w:val="24"/>
        </w:rPr>
        <w:t>Ahmed, S. (2012)</w:t>
      </w:r>
      <w:r w:rsidR="007507A7">
        <w:rPr>
          <w:rFonts w:ascii="Arial" w:hAnsi="Arial" w:cs="Arial"/>
          <w:sz w:val="24"/>
          <w:szCs w:val="24"/>
        </w:rPr>
        <w:t>.</w:t>
      </w:r>
      <w:r w:rsidRPr="00A870F5">
        <w:rPr>
          <w:rFonts w:ascii="Arial" w:hAnsi="Arial" w:cs="Arial"/>
          <w:sz w:val="24"/>
          <w:szCs w:val="24"/>
        </w:rPr>
        <w:t> </w:t>
      </w:r>
      <w:r w:rsidRPr="00A870F5">
        <w:rPr>
          <w:rFonts w:ascii="Arial" w:hAnsi="Arial" w:cs="Arial"/>
          <w:i/>
          <w:iCs/>
          <w:sz w:val="24"/>
          <w:szCs w:val="24"/>
        </w:rPr>
        <w:t>On Being Included: Racism and Diversity in Institutional Life.</w:t>
      </w:r>
      <w:r w:rsidRPr="00A870F5">
        <w:rPr>
          <w:rFonts w:ascii="Arial" w:hAnsi="Arial" w:cs="Arial"/>
          <w:sz w:val="24"/>
          <w:szCs w:val="24"/>
        </w:rPr>
        <w:t xml:space="preserve"> Duke University Press. Available at: </w:t>
      </w:r>
      <w:hyperlink r:id="rId22" w:history="1">
        <w:r w:rsidRPr="007D0B0F">
          <w:rPr>
            <w:rStyle w:val="Hyperlink"/>
            <w:rFonts w:ascii="Arial" w:hAnsi="Arial" w:cs="Arial"/>
            <w:sz w:val="24"/>
            <w:szCs w:val="24"/>
          </w:rPr>
          <w:t>https://scispace.com/pdf/on-being-included-racism-and-diversity-in-institutional-life-10pznpx6d1.pdf</w:t>
        </w:r>
      </w:hyperlink>
      <w:r>
        <w:rPr>
          <w:rFonts w:ascii="Arial" w:hAnsi="Arial" w:cs="Arial"/>
          <w:sz w:val="24"/>
          <w:szCs w:val="24"/>
        </w:rPr>
        <w:t xml:space="preserve"> </w:t>
      </w:r>
      <w:r w:rsidRPr="00A870F5">
        <w:rPr>
          <w:rFonts w:ascii="Arial" w:hAnsi="Arial" w:cs="Arial"/>
          <w:sz w:val="24"/>
          <w:szCs w:val="24"/>
        </w:rPr>
        <w:t>(Accessed: 23 March 2026).</w:t>
      </w:r>
    </w:p>
    <w:p w14:paraId="0BE556DE" w14:textId="7BE914C3" w:rsidR="0028571C" w:rsidRDefault="0028571C" w:rsidP="009E58ED">
      <w:pPr>
        <w:spacing w:line="360" w:lineRule="auto"/>
        <w:jc w:val="both"/>
        <w:rPr>
          <w:rFonts w:ascii="Arial" w:hAnsi="Arial" w:cs="Arial"/>
          <w:sz w:val="24"/>
          <w:szCs w:val="24"/>
        </w:rPr>
      </w:pPr>
      <w:r w:rsidRPr="0028571C">
        <w:rPr>
          <w:rFonts w:ascii="Arial" w:hAnsi="Arial" w:cs="Arial"/>
          <w:sz w:val="24"/>
          <w:szCs w:val="24"/>
        </w:rPr>
        <w:t>Ahmet, A. (2021)</w:t>
      </w:r>
      <w:r w:rsidR="007507A7">
        <w:rPr>
          <w:rFonts w:ascii="Arial" w:hAnsi="Arial" w:cs="Arial"/>
          <w:sz w:val="24"/>
          <w:szCs w:val="24"/>
        </w:rPr>
        <w:t>.</w:t>
      </w:r>
      <w:r w:rsidRPr="0028571C">
        <w:rPr>
          <w:rFonts w:ascii="Arial" w:hAnsi="Arial" w:cs="Arial"/>
          <w:sz w:val="24"/>
          <w:szCs w:val="24"/>
        </w:rPr>
        <w:t xml:space="preserve"> 'Stop the pain: Black and minority ethnic scholars on diversity policy obfuscation in universities', </w:t>
      </w:r>
      <w:r w:rsidRPr="0028571C">
        <w:rPr>
          <w:rFonts w:ascii="Arial" w:hAnsi="Arial" w:cs="Arial"/>
          <w:i/>
          <w:iCs/>
          <w:sz w:val="24"/>
          <w:szCs w:val="24"/>
        </w:rPr>
        <w:t>Equality, Diversity and Inclusion: An International Journal</w:t>
      </w:r>
      <w:r w:rsidRPr="0028571C">
        <w:rPr>
          <w:rFonts w:ascii="Arial" w:hAnsi="Arial" w:cs="Arial"/>
          <w:sz w:val="24"/>
          <w:szCs w:val="24"/>
        </w:rPr>
        <w:t>, 40(2), pp. 152</w:t>
      </w:r>
      <w:r w:rsidR="007507A7">
        <w:rPr>
          <w:rFonts w:ascii="Arial" w:hAnsi="Arial" w:cs="Arial"/>
          <w:sz w:val="24"/>
          <w:szCs w:val="24"/>
        </w:rPr>
        <w:t>–</w:t>
      </w:r>
      <w:r w:rsidRPr="0028571C">
        <w:rPr>
          <w:rFonts w:ascii="Arial" w:hAnsi="Arial" w:cs="Arial"/>
          <w:sz w:val="24"/>
          <w:szCs w:val="24"/>
        </w:rPr>
        <w:t xml:space="preserve">164. Available at: </w:t>
      </w:r>
      <w:hyperlink r:id="rId23" w:history="1">
        <w:r w:rsidRPr="00FB3832">
          <w:rPr>
            <w:rStyle w:val="Hyperlink"/>
            <w:rFonts w:ascii="Arial" w:hAnsi="Arial" w:cs="Arial"/>
            <w:sz w:val="24"/>
            <w:szCs w:val="24"/>
          </w:rPr>
          <w:t>https://www.proquest.com/docview/2534472112?accountid=130472&amp;parentSessionId=eI8uNhPl5zwnO7ij%2BUglAZl%2BS%2BF9QY5raVvv%2BUfMSls%3D&amp;pq-origsite=primo&amp;sourcetype=Scholarly%20Journals#</w:t>
        </w:r>
      </w:hyperlink>
      <w:r>
        <w:rPr>
          <w:rFonts w:ascii="Arial" w:hAnsi="Arial" w:cs="Arial"/>
          <w:sz w:val="24"/>
          <w:szCs w:val="24"/>
        </w:rPr>
        <w:t xml:space="preserve"> </w:t>
      </w:r>
      <w:r w:rsidRPr="0028571C">
        <w:rPr>
          <w:rFonts w:ascii="Arial" w:hAnsi="Arial" w:cs="Arial"/>
          <w:sz w:val="24"/>
          <w:szCs w:val="24"/>
        </w:rPr>
        <w:t>(Accessed: 21 March 2026).</w:t>
      </w:r>
    </w:p>
    <w:p w14:paraId="069E4AD3" w14:textId="537EA1CA" w:rsidR="00244F5E" w:rsidRDefault="00244F5E" w:rsidP="009E58ED">
      <w:pPr>
        <w:spacing w:line="360" w:lineRule="auto"/>
        <w:jc w:val="both"/>
        <w:rPr>
          <w:rFonts w:ascii="Arial" w:hAnsi="Arial" w:cs="Arial"/>
          <w:sz w:val="24"/>
          <w:szCs w:val="24"/>
        </w:rPr>
      </w:pPr>
      <w:r w:rsidRPr="00244F5E">
        <w:rPr>
          <w:rFonts w:ascii="Arial" w:hAnsi="Arial" w:cs="Arial"/>
          <w:sz w:val="24"/>
          <w:szCs w:val="24"/>
        </w:rPr>
        <w:lastRenderedPageBreak/>
        <w:t>Alexander, C., and Arday, J. (2015). </w:t>
      </w:r>
      <w:r w:rsidRPr="00244F5E">
        <w:rPr>
          <w:rFonts w:ascii="Arial" w:hAnsi="Arial" w:cs="Arial"/>
          <w:i/>
          <w:iCs/>
          <w:sz w:val="24"/>
          <w:szCs w:val="24"/>
        </w:rPr>
        <w:t>Aiming Higher: Race, Inequality and Diversity</w:t>
      </w:r>
      <w:r w:rsidR="005E3F7A">
        <w:rPr>
          <w:rFonts w:ascii="Arial" w:hAnsi="Arial" w:cs="Arial"/>
          <w:i/>
          <w:iCs/>
          <w:sz w:val="24"/>
          <w:szCs w:val="24"/>
        </w:rPr>
        <w:t xml:space="preserve"> </w:t>
      </w:r>
      <w:r w:rsidRPr="00244F5E">
        <w:rPr>
          <w:rFonts w:ascii="Arial" w:hAnsi="Arial" w:cs="Arial"/>
          <w:i/>
          <w:iCs/>
          <w:sz w:val="24"/>
          <w:szCs w:val="24"/>
        </w:rPr>
        <w:t>in the Academy</w:t>
      </w:r>
      <w:r w:rsidRPr="00244F5E">
        <w:rPr>
          <w:rFonts w:ascii="Arial" w:hAnsi="Arial" w:cs="Arial"/>
          <w:sz w:val="24"/>
          <w:szCs w:val="24"/>
        </w:rPr>
        <w:t xml:space="preserve">. ISBN: 978-1-909546-05-9. Runnymede. Available at: </w:t>
      </w:r>
      <w:hyperlink r:id="rId24" w:history="1">
        <w:r w:rsidRPr="007D0B0F">
          <w:rPr>
            <w:rStyle w:val="Hyperlink"/>
            <w:rFonts w:ascii="Arial" w:hAnsi="Arial" w:cs="Arial"/>
            <w:sz w:val="24"/>
            <w:szCs w:val="24"/>
          </w:rPr>
          <w:t>https://assets-global.website-files.com/61488f992b58e687f1108c7c/617bcf1cd124685da56a014c_Aiming%20Higher.pdf</w:t>
        </w:r>
      </w:hyperlink>
      <w:r>
        <w:rPr>
          <w:rFonts w:ascii="Arial" w:hAnsi="Arial" w:cs="Arial"/>
          <w:sz w:val="24"/>
          <w:szCs w:val="24"/>
        </w:rPr>
        <w:t xml:space="preserve"> </w:t>
      </w:r>
      <w:r w:rsidRPr="00244F5E">
        <w:rPr>
          <w:rFonts w:ascii="Arial" w:hAnsi="Arial" w:cs="Arial"/>
          <w:sz w:val="24"/>
          <w:szCs w:val="24"/>
        </w:rPr>
        <w:t>(Accessed: 2</w:t>
      </w:r>
      <w:r w:rsidR="00AA55D2">
        <w:rPr>
          <w:rFonts w:ascii="Arial" w:hAnsi="Arial" w:cs="Arial"/>
          <w:sz w:val="24"/>
          <w:szCs w:val="24"/>
        </w:rPr>
        <w:t>0</w:t>
      </w:r>
      <w:r w:rsidRPr="00244F5E">
        <w:rPr>
          <w:rFonts w:ascii="Arial" w:hAnsi="Arial" w:cs="Arial"/>
          <w:sz w:val="24"/>
          <w:szCs w:val="24"/>
        </w:rPr>
        <w:t xml:space="preserve"> March 2026).</w:t>
      </w:r>
    </w:p>
    <w:p w14:paraId="2668F5F7" w14:textId="7D699431" w:rsidR="00AA55D2" w:rsidRDefault="00AA55D2" w:rsidP="009E58ED">
      <w:pPr>
        <w:spacing w:line="360" w:lineRule="auto"/>
        <w:jc w:val="both"/>
        <w:rPr>
          <w:rFonts w:ascii="Arial" w:hAnsi="Arial" w:cs="Arial"/>
          <w:sz w:val="24"/>
          <w:szCs w:val="24"/>
        </w:rPr>
      </w:pPr>
      <w:r w:rsidRPr="00AA55D2">
        <w:rPr>
          <w:rFonts w:ascii="Arial" w:hAnsi="Arial" w:cs="Arial"/>
          <w:sz w:val="24"/>
          <w:szCs w:val="24"/>
        </w:rPr>
        <w:t xml:space="preserve">Alexander, S., and </w:t>
      </w:r>
      <w:proofErr w:type="spellStart"/>
      <w:r w:rsidRPr="00AA55D2">
        <w:rPr>
          <w:rFonts w:ascii="Arial" w:hAnsi="Arial" w:cs="Arial"/>
          <w:sz w:val="24"/>
          <w:szCs w:val="24"/>
        </w:rPr>
        <w:t>Bannova</w:t>
      </w:r>
      <w:proofErr w:type="spellEnd"/>
      <w:r w:rsidRPr="00AA55D2">
        <w:rPr>
          <w:rFonts w:ascii="Arial" w:hAnsi="Arial" w:cs="Arial"/>
          <w:sz w:val="24"/>
          <w:szCs w:val="24"/>
        </w:rPr>
        <w:t>, O. (2021)</w:t>
      </w:r>
      <w:r w:rsidR="0054517A">
        <w:rPr>
          <w:rFonts w:ascii="Arial" w:hAnsi="Arial" w:cs="Arial"/>
          <w:sz w:val="24"/>
          <w:szCs w:val="24"/>
        </w:rPr>
        <w:t>.</w:t>
      </w:r>
      <w:r w:rsidRPr="00AA55D2">
        <w:rPr>
          <w:rFonts w:ascii="Arial" w:hAnsi="Arial" w:cs="Arial"/>
          <w:sz w:val="24"/>
          <w:szCs w:val="24"/>
        </w:rPr>
        <w:t xml:space="preserve"> 'University-based interdisciplinary space lab: Designing for astronaut health and wellbeing', Acta </w:t>
      </w:r>
      <w:proofErr w:type="spellStart"/>
      <w:r w:rsidRPr="00AA55D2">
        <w:rPr>
          <w:rFonts w:ascii="Arial" w:hAnsi="Arial" w:cs="Arial"/>
          <w:sz w:val="24"/>
          <w:szCs w:val="24"/>
        </w:rPr>
        <w:t>Astronautica</w:t>
      </w:r>
      <w:proofErr w:type="spellEnd"/>
      <w:r w:rsidRPr="00AA55D2">
        <w:rPr>
          <w:rFonts w:ascii="Arial" w:hAnsi="Arial" w:cs="Arial"/>
          <w:sz w:val="24"/>
          <w:szCs w:val="24"/>
        </w:rPr>
        <w:t>, 186, pp. 382</w:t>
      </w:r>
      <w:r w:rsidR="0054517A">
        <w:rPr>
          <w:rFonts w:ascii="Arial" w:hAnsi="Arial" w:cs="Arial"/>
          <w:sz w:val="24"/>
          <w:szCs w:val="24"/>
        </w:rPr>
        <w:t>–</w:t>
      </w:r>
      <w:r w:rsidRPr="00AA55D2">
        <w:rPr>
          <w:rFonts w:ascii="Arial" w:hAnsi="Arial" w:cs="Arial"/>
          <w:sz w:val="24"/>
          <w:szCs w:val="24"/>
        </w:rPr>
        <w:t xml:space="preserve">395. Available at: </w:t>
      </w:r>
      <w:hyperlink r:id="rId25" w:history="1">
        <w:r w:rsidR="0054517A" w:rsidRPr="007D0B0F">
          <w:rPr>
            <w:rStyle w:val="Hyperlink"/>
            <w:rFonts w:ascii="Arial" w:hAnsi="Arial" w:cs="Arial"/>
            <w:sz w:val="24"/>
            <w:szCs w:val="24"/>
          </w:rPr>
          <w:t>https://www.sciencedirect.com/science/article/pii/S0094576521002800</w:t>
        </w:r>
      </w:hyperlink>
      <w:r w:rsidR="0054517A">
        <w:rPr>
          <w:rFonts w:ascii="Arial" w:hAnsi="Arial" w:cs="Arial"/>
          <w:sz w:val="24"/>
          <w:szCs w:val="24"/>
        </w:rPr>
        <w:t xml:space="preserve">   </w:t>
      </w:r>
      <w:r w:rsidRPr="00AA55D2">
        <w:rPr>
          <w:rFonts w:ascii="Arial" w:hAnsi="Arial" w:cs="Arial"/>
          <w:sz w:val="24"/>
          <w:szCs w:val="24"/>
        </w:rPr>
        <w:t>(Accessed: 24 March 2026).</w:t>
      </w:r>
    </w:p>
    <w:p w14:paraId="3873DCB2" w14:textId="3C812FDC" w:rsidR="0013403E" w:rsidRDefault="0013403E" w:rsidP="009E58ED">
      <w:pPr>
        <w:spacing w:line="360" w:lineRule="auto"/>
        <w:jc w:val="both"/>
        <w:rPr>
          <w:rFonts w:ascii="Arial" w:hAnsi="Arial" w:cs="Arial"/>
          <w:sz w:val="24"/>
          <w:szCs w:val="24"/>
        </w:rPr>
      </w:pPr>
      <w:r w:rsidRPr="0013403E">
        <w:rPr>
          <w:rFonts w:ascii="Arial" w:hAnsi="Arial" w:cs="Arial"/>
          <w:sz w:val="24"/>
          <w:szCs w:val="24"/>
        </w:rPr>
        <w:t>Alvord, S., Brown, L., Letts, C. (2004)</w:t>
      </w:r>
      <w:r>
        <w:rPr>
          <w:rFonts w:ascii="Arial" w:hAnsi="Arial" w:cs="Arial"/>
          <w:sz w:val="24"/>
          <w:szCs w:val="24"/>
        </w:rPr>
        <w:t>.</w:t>
      </w:r>
      <w:r w:rsidRPr="0013403E">
        <w:rPr>
          <w:rFonts w:ascii="Arial" w:hAnsi="Arial" w:cs="Arial"/>
          <w:sz w:val="24"/>
          <w:szCs w:val="24"/>
        </w:rPr>
        <w:t xml:space="preserve"> 'Social Entrepreneurship and Societal Transformation: An Exploratory Study', The Journal of Applied </w:t>
      </w:r>
      <w:proofErr w:type="spellStart"/>
      <w:r w:rsidRPr="0013403E">
        <w:rPr>
          <w:rFonts w:ascii="Arial" w:hAnsi="Arial" w:cs="Arial"/>
          <w:sz w:val="24"/>
          <w:szCs w:val="24"/>
        </w:rPr>
        <w:t>Behavioral</w:t>
      </w:r>
      <w:proofErr w:type="spellEnd"/>
      <w:r w:rsidRPr="0013403E">
        <w:rPr>
          <w:rFonts w:ascii="Arial" w:hAnsi="Arial" w:cs="Arial"/>
          <w:sz w:val="24"/>
          <w:szCs w:val="24"/>
        </w:rPr>
        <w:t xml:space="preserve"> Science, 40(3), pp. 135</w:t>
      </w:r>
      <w:r>
        <w:rPr>
          <w:rFonts w:ascii="Arial" w:hAnsi="Arial" w:cs="Arial"/>
          <w:sz w:val="24"/>
          <w:szCs w:val="24"/>
        </w:rPr>
        <w:t>–</w:t>
      </w:r>
      <w:r w:rsidRPr="0013403E">
        <w:rPr>
          <w:rFonts w:ascii="Arial" w:hAnsi="Arial" w:cs="Arial"/>
          <w:sz w:val="24"/>
          <w:szCs w:val="24"/>
        </w:rPr>
        <w:t xml:space="preserve">159. Available at: </w:t>
      </w:r>
      <w:hyperlink r:id="rId26" w:history="1">
        <w:r w:rsidRPr="007D0B0F">
          <w:rPr>
            <w:rStyle w:val="Hyperlink"/>
            <w:rFonts w:ascii="Arial" w:hAnsi="Arial" w:cs="Arial"/>
            <w:sz w:val="24"/>
            <w:szCs w:val="24"/>
          </w:rPr>
          <w:t>https://www.researchgate.net/profile/L-Brown-6/publication/44209514_Social_Entrepreneurship_Leadership_that_Facilitates_Societal_Transformation-An_Exploratory_Study/links/590f9fed4585159781875697/Social-Entrepreneurship-Leadership-that-Facilitates-Societal-Transformation-An-Exploratory-Study.pdf</w:t>
        </w:r>
      </w:hyperlink>
      <w:r>
        <w:rPr>
          <w:rFonts w:ascii="Arial" w:hAnsi="Arial" w:cs="Arial"/>
          <w:sz w:val="24"/>
          <w:szCs w:val="24"/>
        </w:rPr>
        <w:t xml:space="preserve"> </w:t>
      </w:r>
      <w:r w:rsidRPr="0013403E">
        <w:rPr>
          <w:rFonts w:ascii="Arial" w:hAnsi="Arial" w:cs="Arial"/>
          <w:sz w:val="24"/>
          <w:szCs w:val="24"/>
        </w:rPr>
        <w:t xml:space="preserve"> (Accessed: 28 March 2026).</w:t>
      </w:r>
    </w:p>
    <w:p w14:paraId="2FC9E3A0" w14:textId="1FAD9D87" w:rsidR="00282028" w:rsidRDefault="00282028" w:rsidP="009E58ED">
      <w:pPr>
        <w:spacing w:line="360" w:lineRule="auto"/>
        <w:jc w:val="both"/>
        <w:rPr>
          <w:rFonts w:ascii="Arial" w:hAnsi="Arial" w:cs="Arial"/>
          <w:sz w:val="24"/>
          <w:szCs w:val="24"/>
        </w:rPr>
      </w:pPr>
      <w:r w:rsidRPr="00282028">
        <w:rPr>
          <w:rFonts w:ascii="Arial" w:hAnsi="Arial" w:cs="Arial"/>
          <w:sz w:val="24"/>
          <w:szCs w:val="24"/>
        </w:rPr>
        <w:t>American Civil Liberties Union (ACLU) (2017)</w:t>
      </w:r>
      <w:r>
        <w:rPr>
          <w:rFonts w:ascii="Arial" w:hAnsi="Arial" w:cs="Arial"/>
          <w:sz w:val="24"/>
          <w:szCs w:val="24"/>
        </w:rPr>
        <w:t>.</w:t>
      </w:r>
      <w:r w:rsidRPr="00282028">
        <w:rPr>
          <w:rFonts w:ascii="Arial" w:hAnsi="Arial" w:cs="Arial"/>
          <w:sz w:val="24"/>
          <w:szCs w:val="24"/>
        </w:rPr>
        <w:t xml:space="preserve"> B</w:t>
      </w:r>
      <w:r w:rsidRPr="00282028">
        <w:rPr>
          <w:rFonts w:ascii="Arial" w:hAnsi="Arial" w:cs="Arial"/>
          <w:i/>
          <w:iCs/>
          <w:sz w:val="24"/>
          <w:szCs w:val="24"/>
        </w:rPr>
        <w:t xml:space="preserve">ullies in Blue: The Origins and Consequences </w:t>
      </w:r>
      <w:proofErr w:type="gramStart"/>
      <w:r w:rsidRPr="00282028">
        <w:rPr>
          <w:rFonts w:ascii="Arial" w:hAnsi="Arial" w:cs="Arial"/>
          <w:i/>
          <w:iCs/>
          <w:sz w:val="24"/>
          <w:szCs w:val="24"/>
        </w:rPr>
        <w:t>Of</w:t>
      </w:r>
      <w:proofErr w:type="gramEnd"/>
      <w:r w:rsidRPr="00282028">
        <w:rPr>
          <w:rFonts w:ascii="Arial" w:hAnsi="Arial" w:cs="Arial"/>
          <w:i/>
          <w:iCs/>
          <w:sz w:val="24"/>
          <w:szCs w:val="24"/>
        </w:rPr>
        <w:t xml:space="preserve"> School Policing</w:t>
      </w:r>
      <w:r w:rsidRPr="00282028">
        <w:rPr>
          <w:rFonts w:ascii="Arial" w:hAnsi="Arial" w:cs="Arial"/>
          <w:sz w:val="24"/>
          <w:szCs w:val="24"/>
        </w:rPr>
        <w:t xml:space="preserve">. Available at: </w:t>
      </w:r>
      <w:hyperlink r:id="rId27" w:history="1">
        <w:r w:rsidR="00167D4C" w:rsidRPr="007D0B0F">
          <w:rPr>
            <w:rStyle w:val="Hyperlink"/>
            <w:rFonts w:ascii="Arial" w:hAnsi="Arial" w:cs="Arial"/>
            <w:sz w:val="24"/>
            <w:szCs w:val="24"/>
          </w:rPr>
          <w:t>https://www.aclu.org/wp-content/uploads/publications/aclu_bullies_in_blue_4_11_17_final.pdf</w:t>
        </w:r>
      </w:hyperlink>
      <w:r w:rsidR="00167D4C">
        <w:rPr>
          <w:rFonts w:ascii="Arial" w:hAnsi="Arial" w:cs="Arial"/>
          <w:sz w:val="24"/>
          <w:szCs w:val="24"/>
        </w:rPr>
        <w:t xml:space="preserve"> </w:t>
      </w:r>
      <w:r w:rsidRPr="00282028">
        <w:rPr>
          <w:rFonts w:ascii="Arial" w:hAnsi="Arial" w:cs="Arial"/>
          <w:sz w:val="24"/>
          <w:szCs w:val="24"/>
        </w:rPr>
        <w:t>(Accessed: 22 March 2026).</w:t>
      </w:r>
    </w:p>
    <w:p w14:paraId="44B6F48D" w14:textId="3592E442" w:rsidR="006B59A7" w:rsidRDefault="006B59A7" w:rsidP="009E58ED">
      <w:pPr>
        <w:spacing w:line="360" w:lineRule="auto"/>
        <w:jc w:val="both"/>
        <w:rPr>
          <w:rFonts w:ascii="Arial" w:hAnsi="Arial" w:cs="Arial"/>
          <w:sz w:val="24"/>
          <w:szCs w:val="24"/>
        </w:rPr>
      </w:pPr>
      <w:r w:rsidRPr="006B59A7">
        <w:rPr>
          <w:rFonts w:ascii="Arial" w:hAnsi="Arial" w:cs="Arial"/>
          <w:sz w:val="24"/>
          <w:szCs w:val="24"/>
        </w:rPr>
        <w:t>Anderson, N., and Peart, S. (2015)</w:t>
      </w:r>
      <w:r w:rsidR="007507A7">
        <w:rPr>
          <w:rFonts w:ascii="Arial" w:hAnsi="Arial" w:cs="Arial"/>
          <w:sz w:val="24"/>
          <w:szCs w:val="24"/>
        </w:rPr>
        <w:t>.</w:t>
      </w:r>
      <w:r w:rsidRPr="006B59A7">
        <w:rPr>
          <w:rFonts w:ascii="Arial" w:hAnsi="Arial" w:cs="Arial"/>
          <w:sz w:val="24"/>
          <w:szCs w:val="24"/>
        </w:rPr>
        <w:t xml:space="preserve"> 'Back on track: exploring how a further education college re-motivates learners to re-sit previously failed qualifications at GCSE', </w:t>
      </w:r>
      <w:r w:rsidRPr="006B59A7">
        <w:rPr>
          <w:rFonts w:ascii="Arial" w:hAnsi="Arial" w:cs="Arial"/>
          <w:i/>
          <w:iCs/>
          <w:sz w:val="24"/>
          <w:szCs w:val="24"/>
        </w:rPr>
        <w:t>Research in Post-Compulsory Education</w:t>
      </w:r>
      <w:r w:rsidRPr="006B59A7">
        <w:rPr>
          <w:rFonts w:ascii="Arial" w:hAnsi="Arial" w:cs="Arial"/>
          <w:sz w:val="24"/>
          <w:szCs w:val="24"/>
        </w:rPr>
        <w:t xml:space="preserve">, 21(3), pp. 196-213. Available at: </w:t>
      </w:r>
      <w:hyperlink r:id="rId28" w:history="1">
        <w:r w:rsidRPr="00FB3832">
          <w:rPr>
            <w:rStyle w:val="Hyperlink"/>
            <w:rFonts w:ascii="Arial" w:hAnsi="Arial" w:cs="Arial"/>
            <w:sz w:val="24"/>
            <w:szCs w:val="24"/>
          </w:rPr>
          <w:t>https://www.tandfonline.com/doi/abs/10.1080/13596748.2016.1196978</w:t>
        </w:r>
      </w:hyperlink>
      <w:r>
        <w:rPr>
          <w:rFonts w:ascii="Arial" w:hAnsi="Arial" w:cs="Arial"/>
          <w:sz w:val="24"/>
          <w:szCs w:val="24"/>
        </w:rPr>
        <w:t xml:space="preserve"> </w:t>
      </w:r>
      <w:r w:rsidRPr="006B59A7">
        <w:rPr>
          <w:rFonts w:ascii="Arial" w:hAnsi="Arial" w:cs="Arial"/>
          <w:sz w:val="24"/>
          <w:szCs w:val="24"/>
        </w:rPr>
        <w:t>(Accessed: date).</w:t>
      </w:r>
    </w:p>
    <w:p w14:paraId="0F47CECE" w14:textId="5641383C" w:rsidR="00A0503C" w:rsidRDefault="00A0503C" w:rsidP="009E58ED">
      <w:pPr>
        <w:spacing w:line="360" w:lineRule="auto"/>
        <w:jc w:val="both"/>
        <w:rPr>
          <w:rFonts w:ascii="Arial" w:hAnsi="Arial" w:cs="Arial"/>
          <w:sz w:val="24"/>
          <w:szCs w:val="24"/>
        </w:rPr>
      </w:pPr>
      <w:r w:rsidRPr="00A0503C">
        <w:rPr>
          <w:rFonts w:ascii="Arial" w:hAnsi="Arial" w:cs="Arial"/>
          <w:sz w:val="24"/>
          <w:szCs w:val="24"/>
        </w:rPr>
        <w:t>Andrews, K. (2020)</w:t>
      </w:r>
      <w:r w:rsidR="00542C48">
        <w:rPr>
          <w:rFonts w:ascii="Arial" w:hAnsi="Arial" w:cs="Arial"/>
          <w:sz w:val="24"/>
          <w:szCs w:val="24"/>
        </w:rPr>
        <w:t>.</w:t>
      </w:r>
      <w:r w:rsidRPr="00A0503C">
        <w:rPr>
          <w:rFonts w:ascii="Arial" w:hAnsi="Arial" w:cs="Arial"/>
          <w:sz w:val="24"/>
          <w:szCs w:val="24"/>
        </w:rPr>
        <w:t xml:space="preserve"> 'Blackness, Empire and Migration: How Black Studies Transforms the Curriculum', </w:t>
      </w:r>
      <w:r w:rsidRPr="00A0503C">
        <w:rPr>
          <w:rFonts w:ascii="Arial" w:hAnsi="Arial" w:cs="Arial"/>
          <w:i/>
          <w:iCs/>
          <w:sz w:val="24"/>
          <w:szCs w:val="24"/>
        </w:rPr>
        <w:t>Anti-Racist Learning and Teaching in British Geography</w:t>
      </w:r>
      <w:r w:rsidRPr="00A0503C">
        <w:rPr>
          <w:rFonts w:ascii="Arial" w:hAnsi="Arial" w:cs="Arial"/>
          <w:sz w:val="24"/>
          <w:szCs w:val="24"/>
        </w:rPr>
        <w:t>, 52(4), pp. 665</w:t>
      </w:r>
      <w:r w:rsidR="00542C48">
        <w:rPr>
          <w:rFonts w:ascii="Arial" w:hAnsi="Arial" w:cs="Arial"/>
          <w:sz w:val="24"/>
          <w:szCs w:val="24"/>
        </w:rPr>
        <w:t>–</w:t>
      </w:r>
      <w:r w:rsidRPr="00A0503C">
        <w:rPr>
          <w:rFonts w:ascii="Arial" w:hAnsi="Arial" w:cs="Arial"/>
          <w:sz w:val="24"/>
          <w:szCs w:val="24"/>
        </w:rPr>
        <w:t xml:space="preserve">824. Available at: </w:t>
      </w:r>
      <w:hyperlink r:id="rId29" w:history="1">
        <w:r w:rsidRPr="007D0B0F">
          <w:rPr>
            <w:rStyle w:val="Hyperlink"/>
            <w:rFonts w:ascii="Arial" w:hAnsi="Arial" w:cs="Arial"/>
            <w:sz w:val="24"/>
            <w:szCs w:val="24"/>
          </w:rPr>
          <w:t>https://rgs-</w:t>
        </w:r>
        <w:r w:rsidRPr="007D0B0F">
          <w:rPr>
            <w:rStyle w:val="Hyperlink"/>
            <w:rFonts w:ascii="Arial" w:hAnsi="Arial" w:cs="Arial"/>
            <w:sz w:val="24"/>
            <w:szCs w:val="24"/>
          </w:rPr>
          <w:lastRenderedPageBreak/>
          <w:t>ibg.onlinelibrary.wiley.com/doi/epdf/10.1111/area.12528?saml_referrer</w:t>
        </w:r>
      </w:hyperlink>
      <w:r>
        <w:rPr>
          <w:rFonts w:ascii="Arial" w:hAnsi="Arial" w:cs="Arial"/>
          <w:sz w:val="24"/>
          <w:szCs w:val="24"/>
        </w:rPr>
        <w:t xml:space="preserve"> </w:t>
      </w:r>
      <w:r w:rsidRPr="00A0503C">
        <w:rPr>
          <w:rFonts w:ascii="Arial" w:hAnsi="Arial" w:cs="Arial"/>
          <w:sz w:val="24"/>
          <w:szCs w:val="24"/>
        </w:rPr>
        <w:t>(Accessed: 23 March 2026).</w:t>
      </w:r>
    </w:p>
    <w:p w14:paraId="740FA65C" w14:textId="6E3B204E" w:rsidR="00D075CC" w:rsidRDefault="00D075CC" w:rsidP="009E58ED">
      <w:pPr>
        <w:spacing w:line="360" w:lineRule="auto"/>
        <w:jc w:val="both"/>
        <w:rPr>
          <w:rFonts w:ascii="Arial" w:hAnsi="Arial" w:cs="Arial"/>
          <w:sz w:val="24"/>
          <w:szCs w:val="24"/>
        </w:rPr>
      </w:pPr>
      <w:r w:rsidRPr="00D075CC">
        <w:rPr>
          <w:rFonts w:ascii="Arial" w:hAnsi="Arial" w:cs="Arial"/>
          <w:sz w:val="24"/>
          <w:szCs w:val="24"/>
        </w:rPr>
        <w:t>Apple, M. (2015)</w:t>
      </w:r>
      <w:r w:rsidR="00542C48">
        <w:rPr>
          <w:rFonts w:ascii="Arial" w:hAnsi="Arial" w:cs="Arial"/>
          <w:sz w:val="24"/>
          <w:szCs w:val="24"/>
        </w:rPr>
        <w:t>.</w:t>
      </w:r>
      <w:r w:rsidRPr="00D075CC">
        <w:rPr>
          <w:rFonts w:ascii="Arial" w:hAnsi="Arial" w:cs="Arial"/>
          <w:sz w:val="24"/>
          <w:szCs w:val="24"/>
        </w:rPr>
        <w:t xml:space="preserve"> 'Understanding and interrupting hegemonic projects in education: learning from Stuart Hall', </w:t>
      </w:r>
      <w:r w:rsidRPr="00D075CC">
        <w:rPr>
          <w:rFonts w:ascii="Arial" w:hAnsi="Arial" w:cs="Arial"/>
          <w:i/>
          <w:iCs/>
          <w:sz w:val="24"/>
          <w:szCs w:val="24"/>
        </w:rPr>
        <w:t>Discourse: Studies in the Cultural Politics of Education,</w:t>
      </w:r>
      <w:r w:rsidRPr="00D075CC">
        <w:rPr>
          <w:rFonts w:ascii="Arial" w:hAnsi="Arial" w:cs="Arial"/>
          <w:sz w:val="24"/>
          <w:szCs w:val="24"/>
        </w:rPr>
        <w:t> 36(2), pp. 171</w:t>
      </w:r>
      <w:r w:rsidR="00542C48">
        <w:rPr>
          <w:rFonts w:ascii="Arial" w:hAnsi="Arial" w:cs="Arial"/>
          <w:sz w:val="24"/>
          <w:szCs w:val="24"/>
        </w:rPr>
        <w:t>–</w:t>
      </w:r>
      <w:r w:rsidRPr="00D075CC">
        <w:rPr>
          <w:rFonts w:ascii="Arial" w:hAnsi="Arial" w:cs="Arial"/>
          <w:sz w:val="24"/>
          <w:szCs w:val="24"/>
        </w:rPr>
        <w:t xml:space="preserve">184. Available at: </w:t>
      </w:r>
      <w:hyperlink r:id="rId30" w:anchor="d1e140" w:history="1">
        <w:r w:rsidR="005C10F2" w:rsidRPr="00FB3832">
          <w:rPr>
            <w:rStyle w:val="Hyperlink"/>
            <w:rFonts w:ascii="Arial" w:hAnsi="Arial" w:cs="Arial"/>
            <w:sz w:val="24"/>
            <w:szCs w:val="24"/>
          </w:rPr>
          <w:t>https://www.tandfonline.com/doi/full/10.1080/01596306.2015.1013245?scroll=top&amp;needAccess=true#d1e140</w:t>
        </w:r>
      </w:hyperlink>
      <w:r w:rsidR="005C10F2">
        <w:rPr>
          <w:rFonts w:ascii="Arial" w:hAnsi="Arial" w:cs="Arial"/>
          <w:sz w:val="24"/>
          <w:szCs w:val="24"/>
        </w:rPr>
        <w:t xml:space="preserve"> </w:t>
      </w:r>
      <w:r w:rsidRPr="00D075CC">
        <w:rPr>
          <w:rFonts w:ascii="Arial" w:hAnsi="Arial" w:cs="Arial"/>
          <w:sz w:val="24"/>
          <w:szCs w:val="24"/>
        </w:rPr>
        <w:t>(Accessed: 19 March 2026).</w:t>
      </w:r>
    </w:p>
    <w:p w14:paraId="3FE8230F" w14:textId="6A2B324B" w:rsidR="001B6B24" w:rsidRDefault="001B6B24" w:rsidP="009E58ED">
      <w:pPr>
        <w:spacing w:line="360" w:lineRule="auto"/>
        <w:jc w:val="both"/>
        <w:rPr>
          <w:rFonts w:ascii="Arial" w:hAnsi="Arial" w:cs="Arial"/>
          <w:sz w:val="24"/>
          <w:szCs w:val="24"/>
        </w:rPr>
      </w:pPr>
      <w:r w:rsidRPr="001B6B24">
        <w:rPr>
          <w:rFonts w:ascii="Arial" w:hAnsi="Arial" w:cs="Arial"/>
          <w:sz w:val="24"/>
          <w:szCs w:val="24"/>
        </w:rPr>
        <w:t xml:space="preserve">Arday, J., </w:t>
      </w:r>
      <w:proofErr w:type="spellStart"/>
      <w:r w:rsidRPr="001B6B24">
        <w:rPr>
          <w:rFonts w:ascii="Arial" w:hAnsi="Arial" w:cs="Arial"/>
          <w:sz w:val="24"/>
          <w:szCs w:val="24"/>
        </w:rPr>
        <w:t>Belluigi</w:t>
      </w:r>
      <w:proofErr w:type="spellEnd"/>
      <w:r w:rsidRPr="001B6B24">
        <w:rPr>
          <w:rFonts w:ascii="Arial" w:hAnsi="Arial" w:cs="Arial"/>
          <w:sz w:val="24"/>
          <w:szCs w:val="24"/>
        </w:rPr>
        <w:t>, Z., and Thomas, D. (2021)</w:t>
      </w:r>
      <w:r w:rsidR="00542C48">
        <w:rPr>
          <w:rFonts w:ascii="Arial" w:hAnsi="Arial" w:cs="Arial"/>
          <w:sz w:val="24"/>
          <w:szCs w:val="24"/>
        </w:rPr>
        <w:t>.</w:t>
      </w:r>
      <w:r w:rsidRPr="001B6B24">
        <w:rPr>
          <w:rFonts w:ascii="Arial" w:hAnsi="Arial" w:cs="Arial"/>
          <w:sz w:val="24"/>
          <w:szCs w:val="24"/>
        </w:rPr>
        <w:t xml:space="preserve"> 'Attempting to break the chain: reimaging inclusive pedagogy and decolonising the curriculum within the academy', </w:t>
      </w:r>
      <w:r w:rsidRPr="001B6B24">
        <w:rPr>
          <w:rFonts w:ascii="Arial" w:hAnsi="Arial" w:cs="Arial"/>
          <w:i/>
          <w:iCs/>
          <w:sz w:val="24"/>
          <w:szCs w:val="24"/>
        </w:rPr>
        <w:t>Educational Philosophy and Theory,</w:t>
      </w:r>
      <w:r w:rsidRPr="001B6B24">
        <w:rPr>
          <w:rFonts w:ascii="Arial" w:hAnsi="Arial" w:cs="Arial"/>
          <w:sz w:val="24"/>
          <w:szCs w:val="24"/>
        </w:rPr>
        <w:t> 52(3), pp. 298</w:t>
      </w:r>
      <w:r w:rsidR="00B44E41">
        <w:rPr>
          <w:rFonts w:ascii="Arial" w:hAnsi="Arial" w:cs="Arial"/>
          <w:sz w:val="24"/>
          <w:szCs w:val="24"/>
        </w:rPr>
        <w:t>–</w:t>
      </w:r>
      <w:r w:rsidRPr="001B6B24">
        <w:rPr>
          <w:rFonts w:ascii="Arial" w:hAnsi="Arial" w:cs="Arial"/>
          <w:sz w:val="24"/>
          <w:szCs w:val="24"/>
        </w:rPr>
        <w:t xml:space="preserve">313. Available at: </w:t>
      </w:r>
      <w:hyperlink r:id="rId31" w:history="1">
        <w:r w:rsidRPr="007D0B0F">
          <w:rPr>
            <w:rStyle w:val="Hyperlink"/>
            <w:rFonts w:ascii="Arial" w:hAnsi="Arial" w:cs="Arial"/>
            <w:sz w:val="24"/>
            <w:szCs w:val="24"/>
          </w:rPr>
          <w:t>https://www.tandfonline.com/doi/epdf/10.1080/00131857.2020.1773257?needAccess=true</w:t>
        </w:r>
      </w:hyperlink>
      <w:r>
        <w:rPr>
          <w:rFonts w:ascii="Arial" w:hAnsi="Arial" w:cs="Arial"/>
          <w:sz w:val="24"/>
          <w:szCs w:val="24"/>
        </w:rPr>
        <w:t xml:space="preserve"> </w:t>
      </w:r>
      <w:r w:rsidRPr="001B6B24">
        <w:rPr>
          <w:rFonts w:ascii="Arial" w:hAnsi="Arial" w:cs="Arial"/>
          <w:sz w:val="24"/>
          <w:szCs w:val="24"/>
        </w:rPr>
        <w:t>(Accessed: 23 March 2026).</w:t>
      </w:r>
    </w:p>
    <w:p w14:paraId="65C7DDD8" w14:textId="3AB2CA78" w:rsidR="00B3132A" w:rsidRDefault="00B3132A" w:rsidP="009E58ED">
      <w:pPr>
        <w:spacing w:line="360" w:lineRule="auto"/>
        <w:jc w:val="both"/>
        <w:rPr>
          <w:rFonts w:ascii="Arial" w:hAnsi="Arial" w:cs="Arial"/>
          <w:sz w:val="24"/>
          <w:szCs w:val="24"/>
        </w:rPr>
      </w:pPr>
      <w:r w:rsidRPr="00B3132A">
        <w:rPr>
          <w:rFonts w:ascii="Arial" w:hAnsi="Arial" w:cs="Arial"/>
          <w:sz w:val="24"/>
          <w:szCs w:val="24"/>
        </w:rPr>
        <w:t>Arday, J. (2021</w:t>
      </w:r>
      <w:r>
        <w:rPr>
          <w:rFonts w:ascii="Arial" w:hAnsi="Arial" w:cs="Arial"/>
          <w:sz w:val="24"/>
          <w:szCs w:val="24"/>
        </w:rPr>
        <w:t>b</w:t>
      </w:r>
      <w:r w:rsidRPr="00B3132A">
        <w:rPr>
          <w:rFonts w:ascii="Arial" w:hAnsi="Arial" w:cs="Arial"/>
          <w:sz w:val="24"/>
          <w:szCs w:val="24"/>
        </w:rPr>
        <w:t>) 'No one can see me cry: understanding mental health issues for Black and minority ethnic staff in higher education', Higher Education, 83, pp. 79-102. Available at: https://link.springer.com/article/10.1007/s10734-020-00636-w#citeas (Accessed: 26 March 2026).</w:t>
      </w:r>
    </w:p>
    <w:p w14:paraId="6496B361" w14:textId="780E41EB" w:rsidR="00A941E9" w:rsidRDefault="00A941E9" w:rsidP="009E58ED">
      <w:pPr>
        <w:spacing w:line="360" w:lineRule="auto"/>
        <w:jc w:val="both"/>
        <w:rPr>
          <w:rFonts w:ascii="Arial" w:hAnsi="Arial" w:cs="Arial"/>
          <w:sz w:val="24"/>
          <w:szCs w:val="24"/>
        </w:rPr>
      </w:pPr>
      <w:r w:rsidRPr="00E24546">
        <w:rPr>
          <w:rFonts w:ascii="Arial" w:hAnsi="Arial" w:cs="Arial"/>
          <w:sz w:val="24"/>
          <w:szCs w:val="24"/>
        </w:rPr>
        <w:t>Arday, J. (2021</w:t>
      </w:r>
      <w:r w:rsidR="00B3132A" w:rsidRPr="00E24546">
        <w:rPr>
          <w:rFonts w:ascii="Arial" w:hAnsi="Arial" w:cs="Arial"/>
          <w:sz w:val="24"/>
          <w:szCs w:val="24"/>
        </w:rPr>
        <w:t>a</w:t>
      </w:r>
      <w:r w:rsidRPr="00E24546">
        <w:rPr>
          <w:rFonts w:ascii="Arial" w:hAnsi="Arial" w:cs="Arial"/>
          <w:sz w:val="24"/>
          <w:szCs w:val="24"/>
        </w:rPr>
        <w:t xml:space="preserve">). The Black Curriculum: Black British History in the National Curriculum Report 2021. The Black Curriculum. Available at: </w:t>
      </w:r>
      <w:hyperlink r:id="rId32" w:history="1">
        <w:r w:rsidR="00542C48" w:rsidRPr="00E24546">
          <w:rPr>
            <w:rStyle w:val="Hyperlink"/>
            <w:rFonts w:ascii="Arial" w:hAnsi="Arial" w:cs="Arial"/>
            <w:sz w:val="24"/>
            <w:szCs w:val="24"/>
          </w:rPr>
          <w:t>https://niromp.org/wp-content/uploads/2020/11/19588-tbc2021report.pdf</w:t>
        </w:r>
      </w:hyperlink>
      <w:r w:rsidR="00542C48" w:rsidRPr="00E24546">
        <w:rPr>
          <w:rFonts w:ascii="Arial" w:hAnsi="Arial" w:cs="Arial"/>
          <w:sz w:val="24"/>
          <w:szCs w:val="24"/>
        </w:rPr>
        <w:t xml:space="preserve"> </w:t>
      </w:r>
      <w:r w:rsidRPr="00E24546">
        <w:rPr>
          <w:rFonts w:ascii="Arial" w:hAnsi="Arial" w:cs="Arial"/>
          <w:sz w:val="24"/>
          <w:szCs w:val="24"/>
        </w:rPr>
        <w:t>(Accessed: 23 March 2026).</w:t>
      </w:r>
    </w:p>
    <w:p w14:paraId="048D348B" w14:textId="2664098E" w:rsidR="009360D3" w:rsidRDefault="00F7515E" w:rsidP="009E58ED">
      <w:pPr>
        <w:spacing w:line="360" w:lineRule="auto"/>
        <w:jc w:val="both"/>
        <w:rPr>
          <w:rFonts w:ascii="Arial" w:hAnsi="Arial" w:cs="Arial"/>
          <w:sz w:val="24"/>
          <w:szCs w:val="24"/>
        </w:rPr>
      </w:pPr>
      <w:r w:rsidRPr="00F7515E">
        <w:rPr>
          <w:rFonts w:ascii="Arial" w:hAnsi="Arial" w:cs="Arial"/>
          <w:sz w:val="24"/>
          <w:szCs w:val="24"/>
        </w:rPr>
        <w:t xml:space="preserve">Arday, J., </w:t>
      </w:r>
      <w:proofErr w:type="spellStart"/>
      <w:r w:rsidRPr="00F7515E">
        <w:rPr>
          <w:rFonts w:ascii="Arial" w:hAnsi="Arial" w:cs="Arial"/>
          <w:sz w:val="24"/>
          <w:szCs w:val="24"/>
        </w:rPr>
        <w:t>Branchu</w:t>
      </w:r>
      <w:proofErr w:type="spellEnd"/>
      <w:r w:rsidRPr="00F7515E">
        <w:rPr>
          <w:rFonts w:ascii="Arial" w:hAnsi="Arial" w:cs="Arial"/>
          <w:sz w:val="24"/>
          <w:szCs w:val="24"/>
        </w:rPr>
        <w:t>, C., and Boliver, V. (2022). 'What Do We Know About Black and Minority Ethnic (BAME) Participation in UK Higher Education?', Social Policy and Society, 21(1), pp. 1</w:t>
      </w:r>
      <w:r>
        <w:rPr>
          <w:rFonts w:ascii="Arial" w:hAnsi="Arial" w:cs="Arial"/>
          <w:sz w:val="24"/>
          <w:szCs w:val="24"/>
        </w:rPr>
        <w:t>–</w:t>
      </w:r>
      <w:r w:rsidRPr="00F7515E">
        <w:rPr>
          <w:rFonts w:ascii="Arial" w:hAnsi="Arial" w:cs="Arial"/>
          <w:sz w:val="24"/>
          <w:szCs w:val="24"/>
        </w:rPr>
        <w:t xml:space="preserve">14. Available at: </w:t>
      </w:r>
      <w:hyperlink r:id="rId33" w:history="1">
        <w:r w:rsidRPr="007D0B0F">
          <w:rPr>
            <w:rStyle w:val="Hyperlink"/>
            <w:rFonts w:ascii="Arial" w:hAnsi="Arial" w:cs="Arial"/>
            <w:sz w:val="24"/>
            <w:szCs w:val="24"/>
          </w:rPr>
          <w:t>https://www.cambridge.org/core/journals/social-policy-and-society/article/what-do-we-know-about-black-and-minority-ethnic-bame-participation-in-uk-higher-education/D603F9ECA65148D8C583653E40DC02EE</w:t>
        </w:r>
      </w:hyperlink>
      <w:r>
        <w:rPr>
          <w:rFonts w:ascii="Arial" w:hAnsi="Arial" w:cs="Arial"/>
          <w:sz w:val="24"/>
          <w:szCs w:val="24"/>
        </w:rPr>
        <w:t xml:space="preserve"> </w:t>
      </w:r>
      <w:r w:rsidRPr="00F7515E">
        <w:rPr>
          <w:rFonts w:ascii="Arial" w:hAnsi="Arial" w:cs="Arial"/>
          <w:sz w:val="24"/>
          <w:szCs w:val="24"/>
        </w:rPr>
        <w:t>(Accessed: 24 March 2026).</w:t>
      </w:r>
    </w:p>
    <w:p w14:paraId="0B06038D" w14:textId="3EFCAE85" w:rsidR="00D4504C" w:rsidRDefault="00D4504C" w:rsidP="009E58ED">
      <w:pPr>
        <w:spacing w:line="360" w:lineRule="auto"/>
        <w:jc w:val="both"/>
        <w:rPr>
          <w:rFonts w:ascii="Arial" w:hAnsi="Arial" w:cs="Arial"/>
          <w:sz w:val="24"/>
          <w:szCs w:val="24"/>
        </w:rPr>
      </w:pPr>
      <w:proofErr w:type="spellStart"/>
      <w:r w:rsidRPr="00D4504C">
        <w:rPr>
          <w:rFonts w:ascii="Arial" w:hAnsi="Arial" w:cs="Arial"/>
          <w:sz w:val="24"/>
          <w:szCs w:val="24"/>
        </w:rPr>
        <w:t>Arnull</w:t>
      </w:r>
      <w:proofErr w:type="spellEnd"/>
      <w:r w:rsidRPr="00D4504C">
        <w:rPr>
          <w:rFonts w:ascii="Arial" w:hAnsi="Arial" w:cs="Arial"/>
          <w:sz w:val="24"/>
          <w:szCs w:val="24"/>
        </w:rPr>
        <w:t>, E., Goss, M., and Heimer, K. (2025)</w:t>
      </w:r>
      <w:r>
        <w:rPr>
          <w:rFonts w:ascii="Arial" w:hAnsi="Arial" w:cs="Arial"/>
          <w:sz w:val="24"/>
          <w:szCs w:val="24"/>
        </w:rPr>
        <w:t>.</w:t>
      </w:r>
      <w:r w:rsidRPr="00D4504C">
        <w:rPr>
          <w:rFonts w:ascii="Arial" w:hAnsi="Arial" w:cs="Arial"/>
          <w:sz w:val="24"/>
          <w:szCs w:val="24"/>
        </w:rPr>
        <w:t xml:space="preserve"> 'Assisting Economically Marginalized and Vulnerable Youth and Minimizing Opportunities for Exploitation by Adult Criminal Groups', Criminal Justice and </w:t>
      </w:r>
      <w:proofErr w:type="spellStart"/>
      <w:r w:rsidRPr="00D4504C">
        <w:rPr>
          <w:rFonts w:ascii="Arial" w:hAnsi="Arial" w:cs="Arial"/>
          <w:sz w:val="24"/>
          <w:szCs w:val="24"/>
        </w:rPr>
        <w:t>Behavior</w:t>
      </w:r>
      <w:proofErr w:type="spellEnd"/>
      <w:r w:rsidRPr="00D4504C">
        <w:rPr>
          <w:rFonts w:ascii="Arial" w:hAnsi="Arial" w:cs="Arial"/>
          <w:sz w:val="24"/>
          <w:szCs w:val="24"/>
        </w:rPr>
        <w:t>, 52(3), pp.349</w:t>
      </w:r>
      <w:r>
        <w:rPr>
          <w:rFonts w:ascii="Arial" w:hAnsi="Arial" w:cs="Arial"/>
          <w:sz w:val="24"/>
          <w:szCs w:val="24"/>
        </w:rPr>
        <w:t>–</w:t>
      </w:r>
      <w:r w:rsidRPr="00D4504C">
        <w:rPr>
          <w:rFonts w:ascii="Arial" w:hAnsi="Arial" w:cs="Arial"/>
          <w:sz w:val="24"/>
          <w:szCs w:val="24"/>
        </w:rPr>
        <w:t xml:space="preserve">363. Available at: </w:t>
      </w:r>
      <w:hyperlink r:id="rId34" w:history="1">
        <w:r w:rsidRPr="007D0B0F">
          <w:rPr>
            <w:rStyle w:val="Hyperlink"/>
            <w:rFonts w:ascii="Arial" w:hAnsi="Arial" w:cs="Arial"/>
            <w:sz w:val="24"/>
            <w:szCs w:val="24"/>
          </w:rPr>
          <w:t>https://journals-sagepub-com.uwtsd.idm.oclc.org/doi/full/10.1177/00938548241310436</w:t>
        </w:r>
      </w:hyperlink>
      <w:r>
        <w:rPr>
          <w:rFonts w:ascii="Arial" w:hAnsi="Arial" w:cs="Arial"/>
          <w:sz w:val="24"/>
          <w:szCs w:val="24"/>
        </w:rPr>
        <w:t xml:space="preserve"> </w:t>
      </w:r>
      <w:r w:rsidRPr="00D4504C">
        <w:rPr>
          <w:rFonts w:ascii="Arial" w:hAnsi="Arial" w:cs="Arial"/>
          <w:sz w:val="24"/>
          <w:szCs w:val="24"/>
        </w:rPr>
        <w:t>Accessed: 30 March 2026).</w:t>
      </w:r>
    </w:p>
    <w:p w14:paraId="38D92574" w14:textId="39795F91" w:rsidR="00990D4E" w:rsidRDefault="00990D4E" w:rsidP="009E58ED">
      <w:pPr>
        <w:spacing w:line="360" w:lineRule="auto"/>
        <w:jc w:val="both"/>
        <w:rPr>
          <w:rFonts w:ascii="Arial" w:hAnsi="Arial" w:cs="Arial"/>
          <w:sz w:val="24"/>
          <w:szCs w:val="24"/>
        </w:rPr>
      </w:pPr>
      <w:r w:rsidRPr="00990D4E">
        <w:rPr>
          <w:rFonts w:ascii="Arial" w:hAnsi="Arial" w:cs="Arial"/>
          <w:sz w:val="24"/>
          <w:szCs w:val="24"/>
        </w:rPr>
        <w:t xml:space="preserve">Ashton, S. (2024). 'A geography of early vulnerabilities and exploitation in the narratives of adolescent males in England', Journal of Criminal Psychology, 15(1), pp. 55-71. Available at: </w:t>
      </w:r>
      <w:hyperlink r:id="rId35" w:history="1">
        <w:r w:rsidRPr="007D0B0F">
          <w:rPr>
            <w:rStyle w:val="Hyperlink"/>
            <w:rFonts w:ascii="Arial" w:hAnsi="Arial" w:cs="Arial"/>
            <w:sz w:val="24"/>
            <w:szCs w:val="24"/>
          </w:rPr>
          <w:t>https://www.proquest.com/docview/3150563008?accountid=130472&amp;parentSessionId=ehK2n5HV7VKwoNFFvYN5nnJWKOxF%2FQh3rY6VKIN%2B6Hs%3D&amp;pq-origsite=primo&amp;sourcetype=Scholarly%20Journals</w:t>
        </w:r>
      </w:hyperlink>
      <w:r>
        <w:rPr>
          <w:rFonts w:ascii="Arial" w:hAnsi="Arial" w:cs="Arial"/>
          <w:sz w:val="24"/>
          <w:szCs w:val="24"/>
        </w:rPr>
        <w:t xml:space="preserve"> </w:t>
      </w:r>
      <w:r w:rsidRPr="00990D4E">
        <w:rPr>
          <w:rFonts w:ascii="Arial" w:hAnsi="Arial" w:cs="Arial"/>
          <w:sz w:val="24"/>
          <w:szCs w:val="24"/>
        </w:rPr>
        <w:t>(Accessed: 2 April 2026).</w:t>
      </w:r>
    </w:p>
    <w:p w14:paraId="1D95592A" w14:textId="0EB652FE" w:rsidR="006D663C" w:rsidRDefault="006D663C" w:rsidP="009E58ED">
      <w:pPr>
        <w:spacing w:line="360" w:lineRule="auto"/>
        <w:jc w:val="both"/>
        <w:rPr>
          <w:rFonts w:ascii="Arial" w:hAnsi="Arial" w:cs="Arial"/>
          <w:sz w:val="24"/>
          <w:szCs w:val="24"/>
        </w:rPr>
      </w:pPr>
      <w:r w:rsidRPr="006D663C">
        <w:rPr>
          <w:rFonts w:ascii="Arial" w:hAnsi="Arial" w:cs="Arial"/>
          <w:sz w:val="24"/>
          <w:szCs w:val="24"/>
        </w:rPr>
        <w:t xml:space="preserve">Ashton, S., </w:t>
      </w:r>
      <w:proofErr w:type="spellStart"/>
      <w:r w:rsidRPr="006D663C">
        <w:rPr>
          <w:rFonts w:ascii="Arial" w:hAnsi="Arial" w:cs="Arial"/>
          <w:sz w:val="24"/>
          <w:szCs w:val="24"/>
        </w:rPr>
        <w:t>Bussu</w:t>
      </w:r>
      <w:proofErr w:type="spellEnd"/>
      <w:r w:rsidRPr="006D663C">
        <w:rPr>
          <w:rFonts w:ascii="Arial" w:hAnsi="Arial" w:cs="Arial"/>
          <w:sz w:val="24"/>
          <w:szCs w:val="24"/>
        </w:rPr>
        <w:t>, Al. (2020) 'Peer groups, street gangs and organised crime in the narratives</w:t>
      </w:r>
      <w:r>
        <w:rPr>
          <w:rFonts w:ascii="Arial" w:hAnsi="Arial" w:cs="Arial"/>
          <w:sz w:val="24"/>
          <w:szCs w:val="24"/>
        </w:rPr>
        <w:t xml:space="preserve"> </w:t>
      </w:r>
      <w:r w:rsidRPr="006D663C">
        <w:rPr>
          <w:rFonts w:ascii="Arial" w:hAnsi="Arial" w:cs="Arial"/>
          <w:sz w:val="24"/>
          <w:szCs w:val="24"/>
        </w:rPr>
        <w:t xml:space="preserve">of adolescent male offenders', Journal of Criminal Psychology, 10(4), pp. 277-292. Available at: </w:t>
      </w:r>
      <w:hyperlink r:id="rId36" w:history="1">
        <w:r w:rsidRPr="007D0B0F">
          <w:rPr>
            <w:rStyle w:val="Hyperlink"/>
            <w:rFonts w:ascii="Arial" w:hAnsi="Arial" w:cs="Arial"/>
            <w:sz w:val="24"/>
            <w:szCs w:val="24"/>
          </w:rPr>
          <w:t>https://pdfs.semanticscholar.org/ae3a/22004817a34175297d23996ae6d7b427cfd2.pdf</w:t>
        </w:r>
      </w:hyperlink>
      <w:r>
        <w:rPr>
          <w:rFonts w:ascii="Arial" w:hAnsi="Arial" w:cs="Arial"/>
          <w:sz w:val="24"/>
          <w:szCs w:val="24"/>
        </w:rPr>
        <w:t xml:space="preserve"> </w:t>
      </w:r>
      <w:r w:rsidRPr="006D663C">
        <w:rPr>
          <w:rFonts w:ascii="Arial" w:hAnsi="Arial" w:cs="Arial"/>
          <w:sz w:val="24"/>
          <w:szCs w:val="24"/>
        </w:rPr>
        <w:t>(Accessed: 2 April 2026).</w:t>
      </w:r>
    </w:p>
    <w:p w14:paraId="09AF8DE4" w14:textId="6C7A97AA" w:rsidR="005C1478" w:rsidRDefault="005C1478" w:rsidP="009E58ED">
      <w:pPr>
        <w:spacing w:line="360" w:lineRule="auto"/>
        <w:jc w:val="both"/>
        <w:rPr>
          <w:rFonts w:ascii="Arial" w:hAnsi="Arial" w:cs="Arial"/>
          <w:sz w:val="24"/>
          <w:szCs w:val="24"/>
        </w:rPr>
      </w:pPr>
      <w:r w:rsidRPr="005C1478">
        <w:rPr>
          <w:rFonts w:ascii="Arial" w:hAnsi="Arial" w:cs="Arial"/>
          <w:sz w:val="24"/>
          <w:szCs w:val="24"/>
        </w:rPr>
        <w:t xml:space="preserve">Ashton, S., Valentine, M., and Chan, B. (2021) 'Differentiating Categories of Violent Adolescent Offending and the Associated Risks in Police and Youth Offending Service Records', International Journal of Offender Therapy and Comparative Criminology, 68(10-11), pp.1035-1051. Available at: </w:t>
      </w:r>
      <w:hyperlink r:id="rId37" w:history="1">
        <w:r w:rsidRPr="007D0B0F">
          <w:rPr>
            <w:rStyle w:val="Hyperlink"/>
            <w:rFonts w:ascii="Arial" w:hAnsi="Arial" w:cs="Arial"/>
            <w:sz w:val="24"/>
            <w:szCs w:val="24"/>
          </w:rPr>
          <w:t>https://journals.sagepub.com/doi/full/10.1177/0306624X211058960</w:t>
        </w:r>
      </w:hyperlink>
      <w:r>
        <w:rPr>
          <w:rFonts w:ascii="Arial" w:hAnsi="Arial" w:cs="Arial"/>
          <w:sz w:val="24"/>
          <w:szCs w:val="24"/>
        </w:rPr>
        <w:t xml:space="preserve"> </w:t>
      </w:r>
      <w:r w:rsidRPr="005C1478">
        <w:rPr>
          <w:rFonts w:ascii="Arial" w:hAnsi="Arial" w:cs="Arial"/>
          <w:sz w:val="24"/>
          <w:szCs w:val="24"/>
        </w:rPr>
        <w:t>(Accessed: 2 April 2026).</w:t>
      </w:r>
    </w:p>
    <w:p w14:paraId="4926D277" w14:textId="7544A329" w:rsidR="006C29B4" w:rsidRDefault="006C29B4" w:rsidP="009E58ED">
      <w:pPr>
        <w:spacing w:line="360" w:lineRule="auto"/>
        <w:jc w:val="both"/>
        <w:rPr>
          <w:rFonts w:ascii="Arial" w:hAnsi="Arial" w:cs="Arial"/>
          <w:sz w:val="24"/>
          <w:szCs w:val="24"/>
        </w:rPr>
      </w:pPr>
      <w:r w:rsidRPr="006C29B4">
        <w:rPr>
          <w:rFonts w:ascii="Arial" w:hAnsi="Arial" w:cs="Arial"/>
          <w:sz w:val="24"/>
          <w:szCs w:val="24"/>
        </w:rPr>
        <w:t xml:space="preserve">Ashton, Sally-Ashton. (2023) Pathways to Adolescent Male Violent Offending. Routledge. Available at: </w:t>
      </w:r>
      <w:hyperlink r:id="rId38" w:history="1">
        <w:r w:rsidRPr="007D0B0F">
          <w:rPr>
            <w:rStyle w:val="Hyperlink"/>
            <w:rFonts w:ascii="Arial" w:hAnsi="Arial" w:cs="Arial"/>
            <w:sz w:val="24"/>
            <w:szCs w:val="24"/>
          </w:rPr>
          <w:t>https://www.taylorfrancis.com/books/mono/10.4324/9781003255697/pathways-adolescent-male-violent-offending-sally-ann-ashton</w:t>
        </w:r>
      </w:hyperlink>
      <w:r>
        <w:rPr>
          <w:rFonts w:ascii="Arial" w:hAnsi="Arial" w:cs="Arial"/>
          <w:sz w:val="24"/>
          <w:szCs w:val="24"/>
        </w:rPr>
        <w:t xml:space="preserve"> </w:t>
      </w:r>
      <w:r w:rsidRPr="006C29B4">
        <w:rPr>
          <w:rFonts w:ascii="Arial" w:hAnsi="Arial" w:cs="Arial"/>
          <w:sz w:val="24"/>
          <w:szCs w:val="24"/>
        </w:rPr>
        <w:t>(Accessed: 2 April 2026).</w:t>
      </w:r>
    </w:p>
    <w:p w14:paraId="58BBF794" w14:textId="2FD1B43E" w:rsidR="00BB483F" w:rsidRDefault="00BB483F" w:rsidP="009E58ED">
      <w:pPr>
        <w:spacing w:line="360" w:lineRule="auto"/>
        <w:jc w:val="both"/>
        <w:rPr>
          <w:rFonts w:ascii="Arial" w:hAnsi="Arial" w:cs="Arial"/>
          <w:sz w:val="24"/>
          <w:szCs w:val="24"/>
        </w:rPr>
      </w:pPr>
      <w:r w:rsidRPr="00BB483F">
        <w:rPr>
          <w:rFonts w:ascii="Arial" w:hAnsi="Arial" w:cs="Arial"/>
          <w:sz w:val="24"/>
          <w:szCs w:val="24"/>
          <w:lang w:val="pt-BR"/>
        </w:rPr>
        <w:t xml:space="preserve">Atenas, J., Nerantzi, C., Bussu, A. (2023). </w:t>
      </w:r>
      <w:r w:rsidRPr="00BB483F">
        <w:rPr>
          <w:rFonts w:ascii="Arial" w:hAnsi="Arial" w:cs="Arial"/>
          <w:sz w:val="24"/>
          <w:szCs w:val="24"/>
        </w:rPr>
        <w:t>'A Conceptual Approach to Transform and Enhance Academic Mentorship: Through Open Educational Practices', Open Praxis, 15(4), pp. 271</w:t>
      </w:r>
      <w:r w:rsidR="00542C48">
        <w:rPr>
          <w:rFonts w:ascii="Arial" w:hAnsi="Arial" w:cs="Arial"/>
          <w:sz w:val="24"/>
          <w:szCs w:val="24"/>
        </w:rPr>
        <w:t>–</w:t>
      </w:r>
      <w:r w:rsidRPr="00BB483F">
        <w:rPr>
          <w:rFonts w:ascii="Arial" w:hAnsi="Arial" w:cs="Arial"/>
          <w:sz w:val="24"/>
          <w:szCs w:val="24"/>
        </w:rPr>
        <w:t xml:space="preserve">287. Available at: </w:t>
      </w:r>
      <w:hyperlink r:id="rId39" w:history="1">
        <w:r w:rsidRPr="007D0B0F">
          <w:rPr>
            <w:rStyle w:val="Hyperlink"/>
            <w:rFonts w:ascii="Arial" w:hAnsi="Arial" w:cs="Arial"/>
            <w:sz w:val="24"/>
            <w:szCs w:val="24"/>
          </w:rPr>
          <w:t>https://www.researchgate.net/publication/375801115_A_Conceptual_Approach_to_T</w:t>
        </w:r>
        <w:r w:rsidRPr="007D0B0F">
          <w:rPr>
            <w:rStyle w:val="Hyperlink"/>
            <w:rFonts w:ascii="Arial" w:hAnsi="Arial" w:cs="Arial"/>
            <w:sz w:val="24"/>
            <w:szCs w:val="24"/>
          </w:rPr>
          <w:lastRenderedPageBreak/>
          <w:t>ransform_and_Enhance_Academic_Mentorship_Through_Open_Educational_Practices</w:t>
        </w:r>
      </w:hyperlink>
      <w:r>
        <w:rPr>
          <w:rFonts w:ascii="Arial" w:hAnsi="Arial" w:cs="Arial"/>
          <w:sz w:val="24"/>
          <w:szCs w:val="24"/>
        </w:rPr>
        <w:t xml:space="preserve"> </w:t>
      </w:r>
      <w:r w:rsidRPr="00BB483F">
        <w:rPr>
          <w:rFonts w:ascii="Arial" w:hAnsi="Arial" w:cs="Arial"/>
          <w:sz w:val="24"/>
          <w:szCs w:val="24"/>
        </w:rPr>
        <w:t>(Accessed: 24 March 2026).</w:t>
      </w:r>
    </w:p>
    <w:p w14:paraId="02F84528" w14:textId="6CB884D0" w:rsidR="00A457DB" w:rsidRDefault="00A457DB" w:rsidP="009E58ED">
      <w:pPr>
        <w:spacing w:line="360" w:lineRule="auto"/>
        <w:jc w:val="both"/>
        <w:rPr>
          <w:rFonts w:ascii="Arial" w:hAnsi="Arial" w:cs="Arial"/>
          <w:sz w:val="24"/>
          <w:szCs w:val="24"/>
        </w:rPr>
      </w:pPr>
      <w:r w:rsidRPr="00A457DB">
        <w:rPr>
          <w:rFonts w:ascii="Arial" w:hAnsi="Arial" w:cs="Arial"/>
          <w:sz w:val="24"/>
          <w:szCs w:val="24"/>
        </w:rPr>
        <w:t>Austin, A. (2016)</w:t>
      </w:r>
      <w:r>
        <w:rPr>
          <w:rFonts w:ascii="Arial" w:hAnsi="Arial" w:cs="Arial"/>
          <w:sz w:val="24"/>
          <w:szCs w:val="24"/>
        </w:rPr>
        <w:t>.</w:t>
      </w:r>
      <w:r w:rsidRPr="00A457DB">
        <w:rPr>
          <w:rFonts w:ascii="Arial" w:hAnsi="Arial" w:cs="Arial"/>
          <w:sz w:val="24"/>
          <w:szCs w:val="24"/>
        </w:rPr>
        <w:t xml:space="preserve"> 'On Well-Being and Public Policy: Are We Capable of Questioning the Hegemony of Happiness?', Social Indicators Research, 127, pp. 123</w:t>
      </w:r>
      <w:r>
        <w:rPr>
          <w:rFonts w:ascii="Arial" w:hAnsi="Arial" w:cs="Arial"/>
          <w:sz w:val="24"/>
          <w:szCs w:val="24"/>
        </w:rPr>
        <w:t>–</w:t>
      </w:r>
      <w:r w:rsidRPr="00A457DB">
        <w:rPr>
          <w:rFonts w:ascii="Arial" w:hAnsi="Arial" w:cs="Arial"/>
          <w:sz w:val="24"/>
          <w:szCs w:val="24"/>
        </w:rPr>
        <w:t xml:space="preserve">138. Available at: </w:t>
      </w:r>
      <w:hyperlink r:id="rId40" w:anchor="citeas" w:history="1">
        <w:r w:rsidRPr="007D0B0F">
          <w:rPr>
            <w:rStyle w:val="Hyperlink"/>
            <w:rFonts w:ascii="Arial" w:hAnsi="Arial" w:cs="Arial"/>
            <w:sz w:val="24"/>
            <w:szCs w:val="24"/>
          </w:rPr>
          <w:t>https://link-springer-com.uwtsd.idm.oclc.org/article/10.1007/s11205-015-0955-0#citeas</w:t>
        </w:r>
      </w:hyperlink>
      <w:r>
        <w:rPr>
          <w:rFonts w:ascii="Arial" w:hAnsi="Arial" w:cs="Arial"/>
          <w:sz w:val="24"/>
          <w:szCs w:val="24"/>
        </w:rPr>
        <w:t xml:space="preserve"> </w:t>
      </w:r>
      <w:r w:rsidRPr="00A457DB">
        <w:rPr>
          <w:rFonts w:ascii="Arial" w:hAnsi="Arial" w:cs="Arial"/>
          <w:sz w:val="24"/>
          <w:szCs w:val="24"/>
        </w:rPr>
        <w:t>(Accessed: 25 March 2026).</w:t>
      </w:r>
    </w:p>
    <w:p w14:paraId="53292781" w14:textId="6602D1EE" w:rsidR="00A3679B" w:rsidRDefault="00A3679B" w:rsidP="009E58ED">
      <w:pPr>
        <w:spacing w:line="360" w:lineRule="auto"/>
        <w:jc w:val="both"/>
        <w:rPr>
          <w:rFonts w:ascii="Arial" w:hAnsi="Arial" w:cs="Arial"/>
          <w:sz w:val="24"/>
          <w:szCs w:val="24"/>
        </w:rPr>
      </w:pPr>
      <w:r w:rsidRPr="00A3679B">
        <w:rPr>
          <w:rFonts w:ascii="Arial" w:hAnsi="Arial" w:cs="Arial"/>
          <w:sz w:val="24"/>
          <w:szCs w:val="24"/>
        </w:rPr>
        <w:t>Avery, D., McKay, P., and Wilson, D. (2008)</w:t>
      </w:r>
      <w:r>
        <w:rPr>
          <w:rFonts w:ascii="Arial" w:hAnsi="Arial" w:cs="Arial"/>
          <w:sz w:val="24"/>
          <w:szCs w:val="24"/>
        </w:rPr>
        <w:t>.</w:t>
      </w:r>
      <w:r w:rsidRPr="00A3679B">
        <w:rPr>
          <w:rFonts w:ascii="Arial" w:hAnsi="Arial" w:cs="Arial"/>
          <w:sz w:val="24"/>
          <w:szCs w:val="24"/>
        </w:rPr>
        <w:t xml:space="preserve"> 'What Are the Odds? How Demographic Similarity Affects the Prevalence of Perceived Employment Discrimination', </w:t>
      </w:r>
      <w:r w:rsidRPr="00A3679B">
        <w:rPr>
          <w:rFonts w:ascii="Arial" w:hAnsi="Arial" w:cs="Arial"/>
          <w:i/>
          <w:iCs/>
          <w:sz w:val="24"/>
          <w:szCs w:val="24"/>
        </w:rPr>
        <w:t>Journal of Applied Psychology</w:t>
      </w:r>
      <w:r w:rsidRPr="00A3679B">
        <w:rPr>
          <w:rFonts w:ascii="Arial" w:hAnsi="Arial" w:cs="Arial"/>
          <w:sz w:val="24"/>
          <w:szCs w:val="24"/>
        </w:rPr>
        <w:t>, 93(2), pp. 235</w:t>
      </w:r>
      <w:r w:rsidR="007507A7">
        <w:rPr>
          <w:rFonts w:ascii="Arial" w:hAnsi="Arial" w:cs="Arial"/>
          <w:sz w:val="24"/>
          <w:szCs w:val="24"/>
        </w:rPr>
        <w:t>–</w:t>
      </w:r>
      <w:r w:rsidRPr="00A3679B">
        <w:rPr>
          <w:rFonts w:ascii="Arial" w:hAnsi="Arial" w:cs="Arial"/>
          <w:sz w:val="24"/>
          <w:szCs w:val="24"/>
        </w:rPr>
        <w:t xml:space="preserve">249. Available at: </w:t>
      </w:r>
      <w:hyperlink r:id="rId41" w:history="1">
        <w:r w:rsidRPr="00FB3832">
          <w:rPr>
            <w:rStyle w:val="Hyperlink"/>
            <w:rFonts w:ascii="Arial" w:hAnsi="Arial" w:cs="Arial"/>
            <w:sz w:val="24"/>
            <w:szCs w:val="24"/>
          </w:rPr>
          <w:t>https://www.researchgate.net/publication/5490018_What_Are_the_Odds_How_Demographic_Similarity_Affects_the_Prevalence_of_Perceived_Employment_Discrimination</w:t>
        </w:r>
      </w:hyperlink>
      <w:r>
        <w:rPr>
          <w:rFonts w:ascii="Arial" w:hAnsi="Arial" w:cs="Arial"/>
          <w:sz w:val="24"/>
          <w:szCs w:val="24"/>
        </w:rPr>
        <w:t xml:space="preserve"> </w:t>
      </w:r>
      <w:r w:rsidRPr="00A3679B">
        <w:rPr>
          <w:rFonts w:ascii="Arial" w:hAnsi="Arial" w:cs="Arial"/>
          <w:sz w:val="24"/>
          <w:szCs w:val="24"/>
        </w:rPr>
        <w:t>(Accessed: 21 March 2026).</w:t>
      </w:r>
    </w:p>
    <w:p w14:paraId="0B2973C3" w14:textId="0E2EF8E6" w:rsidR="008B306B" w:rsidRDefault="008B306B" w:rsidP="009E58ED">
      <w:pPr>
        <w:spacing w:line="360" w:lineRule="auto"/>
        <w:jc w:val="both"/>
        <w:rPr>
          <w:rFonts w:ascii="Arial" w:hAnsi="Arial" w:cs="Arial"/>
          <w:sz w:val="24"/>
          <w:szCs w:val="24"/>
        </w:rPr>
      </w:pPr>
      <w:r w:rsidRPr="008B306B">
        <w:rPr>
          <w:rFonts w:ascii="Arial" w:hAnsi="Arial" w:cs="Arial"/>
          <w:sz w:val="24"/>
          <w:szCs w:val="24"/>
        </w:rPr>
        <w:t xml:space="preserve">Awolowo, I., </w:t>
      </w:r>
      <w:proofErr w:type="spellStart"/>
      <w:r w:rsidRPr="008B306B">
        <w:rPr>
          <w:rFonts w:ascii="Arial" w:hAnsi="Arial" w:cs="Arial"/>
          <w:sz w:val="24"/>
          <w:szCs w:val="24"/>
        </w:rPr>
        <w:t>Dosumu</w:t>
      </w:r>
      <w:proofErr w:type="spellEnd"/>
      <w:r w:rsidRPr="008B306B">
        <w:rPr>
          <w:rFonts w:ascii="Arial" w:hAnsi="Arial" w:cs="Arial"/>
          <w:sz w:val="24"/>
          <w:szCs w:val="24"/>
        </w:rPr>
        <w:t>, O., Olawoyin, F., Abidoye, A., and Ajao, O. (2025)</w:t>
      </w:r>
      <w:r w:rsidR="00542C48">
        <w:rPr>
          <w:rFonts w:ascii="Arial" w:hAnsi="Arial" w:cs="Arial"/>
          <w:sz w:val="24"/>
          <w:szCs w:val="24"/>
        </w:rPr>
        <w:t>.</w:t>
      </w:r>
      <w:r w:rsidRPr="008B306B">
        <w:rPr>
          <w:rFonts w:ascii="Arial" w:hAnsi="Arial" w:cs="Arial"/>
          <w:sz w:val="24"/>
          <w:szCs w:val="24"/>
        </w:rPr>
        <w:t xml:space="preserve"> 'The impact of personalised mentorship on the academic, personal, and professional development of black students in UK higher education', Studies in Higher Education Ahead of Print, pp. 1</w:t>
      </w:r>
      <w:r w:rsidR="007507A7">
        <w:rPr>
          <w:rFonts w:ascii="Arial" w:hAnsi="Arial" w:cs="Arial"/>
          <w:sz w:val="24"/>
          <w:szCs w:val="24"/>
        </w:rPr>
        <w:t>–</w:t>
      </w:r>
      <w:r w:rsidRPr="008B306B">
        <w:rPr>
          <w:rFonts w:ascii="Arial" w:hAnsi="Arial" w:cs="Arial"/>
          <w:sz w:val="24"/>
          <w:szCs w:val="24"/>
        </w:rPr>
        <w:t xml:space="preserve">18. Available at: </w:t>
      </w:r>
      <w:hyperlink r:id="rId42" w:history="1">
        <w:r w:rsidRPr="007D0B0F">
          <w:rPr>
            <w:rStyle w:val="Hyperlink"/>
            <w:rFonts w:ascii="Arial" w:hAnsi="Arial" w:cs="Arial"/>
            <w:sz w:val="24"/>
            <w:szCs w:val="24"/>
          </w:rPr>
          <w:t>https://www.tandfonline.com/doi/epdf/10.1080/03075079.2025.2591802?needAccess=true</w:t>
        </w:r>
      </w:hyperlink>
      <w:r>
        <w:rPr>
          <w:rFonts w:ascii="Arial" w:hAnsi="Arial" w:cs="Arial"/>
          <w:sz w:val="24"/>
          <w:szCs w:val="24"/>
        </w:rPr>
        <w:t xml:space="preserve"> </w:t>
      </w:r>
      <w:r w:rsidRPr="008B306B">
        <w:rPr>
          <w:rFonts w:ascii="Arial" w:hAnsi="Arial" w:cs="Arial"/>
          <w:sz w:val="24"/>
          <w:szCs w:val="24"/>
        </w:rPr>
        <w:t>(Accessed: 24 March 2026).</w:t>
      </w:r>
    </w:p>
    <w:p w14:paraId="41FD257F" w14:textId="107BAA98" w:rsidR="008117EC" w:rsidRDefault="008117EC" w:rsidP="009E58ED">
      <w:pPr>
        <w:spacing w:line="360" w:lineRule="auto"/>
        <w:jc w:val="both"/>
        <w:rPr>
          <w:rFonts w:ascii="Arial" w:hAnsi="Arial" w:cs="Arial"/>
          <w:sz w:val="24"/>
          <w:szCs w:val="24"/>
        </w:rPr>
      </w:pPr>
      <w:r w:rsidRPr="008117EC">
        <w:rPr>
          <w:rFonts w:ascii="Arial" w:hAnsi="Arial" w:cs="Arial"/>
          <w:sz w:val="24"/>
          <w:szCs w:val="24"/>
        </w:rPr>
        <w:t>Azzolini, D., Schnell, P. (2024)</w:t>
      </w:r>
      <w:r>
        <w:rPr>
          <w:rFonts w:ascii="Arial" w:hAnsi="Arial" w:cs="Arial"/>
          <w:sz w:val="24"/>
          <w:szCs w:val="24"/>
        </w:rPr>
        <w:t>.</w:t>
      </w:r>
      <w:r w:rsidRPr="008117EC">
        <w:rPr>
          <w:rFonts w:ascii="Arial" w:hAnsi="Arial" w:cs="Arial"/>
          <w:sz w:val="24"/>
          <w:szCs w:val="24"/>
        </w:rPr>
        <w:t xml:space="preserve"> 'Children of immigrants and the second generation', in G. Sciortino, M. </w:t>
      </w:r>
      <w:proofErr w:type="spellStart"/>
      <w:r w:rsidRPr="008117EC">
        <w:rPr>
          <w:rFonts w:ascii="Arial" w:hAnsi="Arial" w:cs="Arial"/>
          <w:sz w:val="24"/>
          <w:szCs w:val="24"/>
        </w:rPr>
        <w:t>Cvajner</w:t>
      </w:r>
      <w:proofErr w:type="spellEnd"/>
      <w:r w:rsidRPr="008117EC">
        <w:rPr>
          <w:rFonts w:ascii="Arial" w:hAnsi="Arial" w:cs="Arial"/>
          <w:sz w:val="24"/>
          <w:szCs w:val="24"/>
        </w:rPr>
        <w:t xml:space="preserve">, P. Kivisto (eds.), Research Handbook </w:t>
      </w:r>
      <w:r w:rsidR="005408F6">
        <w:rPr>
          <w:rFonts w:ascii="Arial" w:hAnsi="Arial" w:cs="Arial"/>
          <w:sz w:val="24"/>
          <w:szCs w:val="24"/>
        </w:rPr>
        <w:t>o</w:t>
      </w:r>
      <w:r w:rsidRPr="008117EC">
        <w:rPr>
          <w:rFonts w:ascii="Arial" w:hAnsi="Arial" w:cs="Arial"/>
          <w:sz w:val="24"/>
          <w:szCs w:val="24"/>
        </w:rPr>
        <w:t xml:space="preserve">n </w:t>
      </w:r>
      <w:r w:rsidR="005408F6">
        <w:rPr>
          <w:rFonts w:ascii="Arial" w:hAnsi="Arial" w:cs="Arial"/>
          <w:sz w:val="24"/>
          <w:szCs w:val="24"/>
        </w:rPr>
        <w:t>t</w:t>
      </w:r>
      <w:r w:rsidRPr="008117EC">
        <w:rPr>
          <w:rFonts w:ascii="Arial" w:hAnsi="Arial" w:cs="Arial"/>
          <w:sz w:val="24"/>
          <w:szCs w:val="24"/>
        </w:rPr>
        <w:t>he Sociology of Migration. Publisher, pp. 192</w:t>
      </w:r>
      <w:r>
        <w:rPr>
          <w:rFonts w:ascii="Arial" w:hAnsi="Arial" w:cs="Arial"/>
          <w:sz w:val="24"/>
          <w:szCs w:val="24"/>
        </w:rPr>
        <w:t>–</w:t>
      </w:r>
      <w:r w:rsidRPr="008117EC">
        <w:rPr>
          <w:rFonts w:ascii="Arial" w:hAnsi="Arial" w:cs="Arial"/>
          <w:sz w:val="24"/>
          <w:szCs w:val="24"/>
        </w:rPr>
        <w:t xml:space="preserve">204. Available at: </w:t>
      </w:r>
      <w:hyperlink r:id="rId43" w:history="1">
        <w:r w:rsidRPr="007D0B0F">
          <w:rPr>
            <w:rStyle w:val="Hyperlink"/>
            <w:rFonts w:ascii="Arial" w:hAnsi="Arial" w:cs="Arial"/>
            <w:sz w:val="24"/>
            <w:szCs w:val="24"/>
          </w:rPr>
          <w:t>https://www.google.co.uk/books/edition/Research_Handbook_on_the_Sociology_of_Mi/hw3wEAAAQBAJ?hl=en&amp;gbpv=1&amp;pg=PA192&amp;printsec=frontcover</w:t>
        </w:r>
      </w:hyperlink>
      <w:r>
        <w:rPr>
          <w:rFonts w:ascii="Arial" w:hAnsi="Arial" w:cs="Arial"/>
          <w:sz w:val="24"/>
          <w:szCs w:val="24"/>
        </w:rPr>
        <w:t xml:space="preserve"> </w:t>
      </w:r>
      <w:r w:rsidRPr="008117EC">
        <w:rPr>
          <w:rFonts w:ascii="Arial" w:hAnsi="Arial" w:cs="Arial"/>
          <w:sz w:val="24"/>
          <w:szCs w:val="24"/>
        </w:rPr>
        <w:t>(Accessed: 25 March 2026).</w:t>
      </w:r>
    </w:p>
    <w:p w14:paraId="45781B54" w14:textId="03187A1C" w:rsidR="00200485" w:rsidRDefault="00200485" w:rsidP="009E58ED">
      <w:pPr>
        <w:spacing w:line="360" w:lineRule="auto"/>
        <w:jc w:val="both"/>
        <w:rPr>
          <w:rFonts w:ascii="Arial" w:hAnsi="Arial" w:cs="Arial"/>
          <w:sz w:val="24"/>
          <w:szCs w:val="24"/>
        </w:rPr>
      </w:pPr>
      <w:proofErr w:type="spellStart"/>
      <w:r w:rsidRPr="00200485">
        <w:rPr>
          <w:rFonts w:ascii="Arial" w:hAnsi="Arial" w:cs="Arial"/>
          <w:sz w:val="24"/>
          <w:szCs w:val="24"/>
        </w:rPr>
        <w:t>Baidawi</w:t>
      </w:r>
      <w:proofErr w:type="spellEnd"/>
      <w:r w:rsidRPr="00200485">
        <w:rPr>
          <w:rFonts w:ascii="Arial" w:hAnsi="Arial" w:cs="Arial"/>
          <w:sz w:val="24"/>
          <w:szCs w:val="24"/>
        </w:rPr>
        <w:t xml:space="preserve">, S., Sheehan, R., and Flynn, C. (2020) 'Criminal exploitation of child protection-involved youth', Children and Youth Services Review, 118, pp. 1-31. Available at: </w:t>
      </w:r>
      <w:hyperlink r:id="rId44" w:history="1">
        <w:r w:rsidR="00AF39C9" w:rsidRPr="007D0B0F">
          <w:rPr>
            <w:rStyle w:val="Hyperlink"/>
            <w:rFonts w:ascii="Arial" w:hAnsi="Arial" w:cs="Arial"/>
            <w:sz w:val="24"/>
            <w:szCs w:val="24"/>
          </w:rPr>
          <w:t>https://www.sciencedirect.com/science/article/pii/S0190740920310148</w:t>
        </w:r>
      </w:hyperlink>
      <w:r w:rsidR="00AF39C9">
        <w:rPr>
          <w:rFonts w:ascii="Arial" w:hAnsi="Arial" w:cs="Arial"/>
          <w:sz w:val="24"/>
          <w:szCs w:val="24"/>
        </w:rPr>
        <w:t xml:space="preserve"> </w:t>
      </w:r>
      <w:r w:rsidRPr="00200485">
        <w:rPr>
          <w:rFonts w:ascii="Arial" w:hAnsi="Arial" w:cs="Arial"/>
          <w:sz w:val="24"/>
          <w:szCs w:val="24"/>
        </w:rPr>
        <w:t>(Accessed: 2 April 2026).</w:t>
      </w:r>
    </w:p>
    <w:p w14:paraId="76C750E8" w14:textId="3ABA5588" w:rsidR="00D40953" w:rsidRDefault="00D40953" w:rsidP="009E58ED">
      <w:pPr>
        <w:spacing w:line="360" w:lineRule="auto"/>
        <w:jc w:val="both"/>
        <w:rPr>
          <w:rFonts w:ascii="Arial" w:hAnsi="Arial" w:cs="Arial"/>
          <w:sz w:val="24"/>
          <w:szCs w:val="24"/>
        </w:rPr>
      </w:pPr>
      <w:r w:rsidRPr="00D40953">
        <w:rPr>
          <w:rFonts w:ascii="Arial" w:hAnsi="Arial" w:cs="Arial"/>
          <w:sz w:val="24"/>
          <w:szCs w:val="24"/>
        </w:rPr>
        <w:lastRenderedPageBreak/>
        <w:t>Baran, M., and Zarzycki, R. (2021)</w:t>
      </w:r>
      <w:r>
        <w:rPr>
          <w:rFonts w:ascii="Arial" w:hAnsi="Arial" w:cs="Arial"/>
          <w:sz w:val="24"/>
          <w:szCs w:val="24"/>
        </w:rPr>
        <w:t>.</w:t>
      </w:r>
      <w:r w:rsidRPr="00D40953">
        <w:rPr>
          <w:rFonts w:ascii="Arial" w:hAnsi="Arial" w:cs="Arial"/>
          <w:sz w:val="24"/>
          <w:szCs w:val="24"/>
        </w:rPr>
        <w:t xml:space="preserve"> 'Key effects of mentoring processes — multi-tool comparative analysis of the career paths of mentored employees with non-mentored employees', Journal of Business Research, 124, pp. 1</w:t>
      </w:r>
      <w:r>
        <w:rPr>
          <w:rFonts w:ascii="Arial" w:hAnsi="Arial" w:cs="Arial"/>
          <w:sz w:val="24"/>
          <w:szCs w:val="24"/>
        </w:rPr>
        <w:t>–</w:t>
      </w:r>
      <w:r w:rsidRPr="00D40953">
        <w:rPr>
          <w:rFonts w:ascii="Arial" w:hAnsi="Arial" w:cs="Arial"/>
          <w:sz w:val="24"/>
          <w:szCs w:val="24"/>
        </w:rPr>
        <w:t xml:space="preserve">11. Available at: </w:t>
      </w:r>
      <w:hyperlink r:id="rId45" w:history="1">
        <w:r w:rsidRPr="007D0B0F">
          <w:rPr>
            <w:rStyle w:val="Hyperlink"/>
            <w:rFonts w:ascii="Arial" w:hAnsi="Arial" w:cs="Arial"/>
            <w:sz w:val="24"/>
            <w:szCs w:val="24"/>
          </w:rPr>
          <w:t>https://www.sciencedirect.com/science/article/pii/S0148296320307906</w:t>
        </w:r>
      </w:hyperlink>
      <w:r>
        <w:rPr>
          <w:rFonts w:ascii="Arial" w:hAnsi="Arial" w:cs="Arial"/>
          <w:sz w:val="24"/>
          <w:szCs w:val="24"/>
        </w:rPr>
        <w:t xml:space="preserve"> </w:t>
      </w:r>
      <w:r w:rsidRPr="00D40953">
        <w:rPr>
          <w:rFonts w:ascii="Arial" w:hAnsi="Arial" w:cs="Arial"/>
          <w:sz w:val="24"/>
          <w:szCs w:val="24"/>
        </w:rPr>
        <w:t>(Accessed: 24 March 2026).</w:t>
      </w:r>
    </w:p>
    <w:p w14:paraId="154327E3" w14:textId="20DA5199" w:rsidR="007E39C9" w:rsidRDefault="007E39C9" w:rsidP="009E58ED">
      <w:pPr>
        <w:spacing w:line="360" w:lineRule="auto"/>
        <w:jc w:val="both"/>
        <w:rPr>
          <w:rFonts w:ascii="Arial" w:hAnsi="Arial" w:cs="Arial"/>
          <w:sz w:val="24"/>
          <w:szCs w:val="24"/>
        </w:rPr>
      </w:pPr>
      <w:r w:rsidRPr="007E39C9">
        <w:rPr>
          <w:rFonts w:ascii="Arial" w:hAnsi="Arial" w:cs="Arial"/>
          <w:sz w:val="24"/>
          <w:szCs w:val="24"/>
        </w:rPr>
        <w:t>Barlow, C., Kidd, A., Green, S., and Darby, B. (2021)</w:t>
      </w:r>
      <w:r>
        <w:rPr>
          <w:rFonts w:ascii="Arial" w:hAnsi="Arial" w:cs="Arial"/>
          <w:sz w:val="24"/>
          <w:szCs w:val="24"/>
        </w:rPr>
        <w:t>.</w:t>
      </w:r>
      <w:r w:rsidRPr="007E39C9">
        <w:rPr>
          <w:rFonts w:ascii="Arial" w:hAnsi="Arial" w:cs="Arial"/>
          <w:sz w:val="24"/>
          <w:szCs w:val="24"/>
        </w:rPr>
        <w:t xml:space="preserve"> 'Circles of analysis: a systemic model of</w:t>
      </w:r>
      <w:r>
        <w:rPr>
          <w:rFonts w:ascii="Arial" w:hAnsi="Arial" w:cs="Arial"/>
          <w:sz w:val="24"/>
          <w:szCs w:val="24"/>
        </w:rPr>
        <w:t xml:space="preserve"> </w:t>
      </w:r>
      <w:r w:rsidRPr="007E39C9">
        <w:rPr>
          <w:rFonts w:ascii="Arial" w:hAnsi="Arial" w:cs="Arial"/>
          <w:sz w:val="24"/>
          <w:szCs w:val="24"/>
        </w:rPr>
        <w:t xml:space="preserve">child criminal exploitation', Journal of Children's Services, 17(3), pp. 158-174. Available at: </w:t>
      </w:r>
      <w:hyperlink r:id="rId46" w:history="1">
        <w:r w:rsidRPr="007D0B0F">
          <w:rPr>
            <w:rStyle w:val="Hyperlink"/>
            <w:rFonts w:ascii="Arial" w:hAnsi="Arial" w:cs="Arial"/>
            <w:sz w:val="24"/>
            <w:szCs w:val="24"/>
          </w:rPr>
          <w:t>https://www.craigbarlow.co.uk/_webedit/uploaded-files/All%20Files/Shanna's%20Folder/Barlow%20et%20al%20Circles%20of%20Analysis%202021.pdf</w:t>
        </w:r>
      </w:hyperlink>
      <w:r>
        <w:rPr>
          <w:rFonts w:ascii="Arial" w:hAnsi="Arial" w:cs="Arial"/>
          <w:sz w:val="24"/>
          <w:szCs w:val="24"/>
        </w:rPr>
        <w:t xml:space="preserve"> </w:t>
      </w:r>
      <w:r w:rsidRPr="007E39C9">
        <w:rPr>
          <w:rFonts w:ascii="Arial" w:hAnsi="Arial" w:cs="Arial"/>
          <w:sz w:val="24"/>
          <w:szCs w:val="24"/>
        </w:rPr>
        <w:t>(Accessed: 1 April 2026).</w:t>
      </w:r>
    </w:p>
    <w:p w14:paraId="122A17C7" w14:textId="0E2AD234" w:rsidR="00072E72" w:rsidRDefault="00072E72" w:rsidP="009E58ED">
      <w:pPr>
        <w:spacing w:line="360" w:lineRule="auto"/>
        <w:jc w:val="both"/>
        <w:rPr>
          <w:rFonts w:ascii="Arial" w:hAnsi="Arial" w:cs="Arial"/>
          <w:sz w:val="24"/>
          <w:szCs w:val="24"/>
        </w:rPr>
      </w:pPr>
      <w:r w:rsidRPr="00072E72">
        <w:rPr>
          <w:rFonts w:ascii="Arial" w:hAnsi="Arial" w:cs="Arial"/>
          <w:sz w:val="24"/>
          <w:szCs w:val="24"/>
        </w:rPr>
        <w:t>Barnes, H., and Taylor, R. (2006)</w:t>
      </w:r>
      <w:r>
        <w:rPr>
          <w:rFonts w:ascii="Arial" w:hAnsi="Arial" w:cs="Arial"/>
          <w:sz w:val="24"/>
          <w:szCs w:val="24"/>
        </w:rPr>
        <w:t>.</w:t>
      </w:r>
      <w:r w:rsidRPr="00072E72">
        <w:rPr>
          <w:rFonts w:ascii="Arial" w:hAnsi="Arial" w:cs="Arial"/>
          <w:sz w:val="24"/>
          <w:szCs w:val="24"/>
        </w:rPr>
        <w:t xml:space="preserve"> Work, saving and retirement among ethnic minorities:</w:t>
      </w:r>
      <w:r>
        <w:rPr>
          <w:rFonts w:ascii="Arial" w:hAnsi="Arial" w:cs="Arial"/>
          <w:sz w:val="24"/>
          <w:szCs w:val="24"/>
        </w:rPr>
        <w:t xml:space="preserve"> </w:t>
      </w:r>
      <w:r w:rsidRPr="00072E72">
        <w:rPr>
          <w:rFonts w:ascii="Arial" w:hAnsi="Arial" w:cs="Arial"/>
          <w:sz w:val="24"/>
          <w:szCs w:val="24"/>
        </w:rPr>
        <w:t>A qualitative study. No 396. Her Majesty’s Stationery Office by Corporate Document Services</w:t>
      </w:r>
      <w:r>
        <w:rPr>
          <w:rFonts w:ascii="Arial" w:hAnsi="Arial" w:cs="Arial"/>
          <w:sz w:val="24"/>
          <w:szCs w:val="24"/>
        </w:rPr>
        <w:t>.</w:t>
      </w:r>
      <w:r w:rsidRPr="00072E72">
        <w:rPr>
          <w:rFonts w:ascii="Arial" w:hAnsi="Arial" w:cs="Arial"/>
          <w:sz w:val="24"/>
          <w:szCs w:val="24"/>
        </w:rPr>
        <w:t xml:space="preserve"> Available at: </w:t>
      </w:r>
      <w:hyperlink r:id="rId47" w:history="1">
        <w:r w:rsidRPr="007D0B0F">
          <w:rPr>
            <w:rStyle w:val="Hyperlink"/>
            <w:rFonts w:ascii="Arial" w:hAnsi="Arial" w:cs="Arial"/>
            <w:sz w:val="24"/>
            <w:szCs w:val="24"/>
          </w:rPr>
          <w:t>https://www.researchgate.net/profile/Helen-Barnes-2/publication/265310241_Work_Saving_and_Retirement_Among_Ethnic_Minorities_A_Qualitative_Study/links/54e327320cf2d618e195ed86/Work-Saving-and-Retirement-Among-Ethnic-Minorities-A-Qualitative-Study.pdf</w:t>
        </w:r>
      </w:hyperlink>
      <w:r>
        <w:rPr>
          <w:rFonts w:ascii="Arial" w:hAnsi="Arial" w:cs="Arial"/>
          <w:sz w:val="24"/>
          <w:szCs w:val="24"/>
        </w:rPr>
        <w:t xml:space="preserve"> </w:t>
      </w:r>
      <w:r w:rsidRPr="00072E72">
        <w:rPr>
          <w:rFonts w:ascii="Arial" w:hAnsi="Arial" w:cs="Arial"/>
          <w:sz w:val="24"/>
          <w:szCs w:val="24"/>
        </w:rPr>
        <w:t>(Accessed: 27 March 2026).</w:t>
      </w:r>
    </w:p>
    <w:p w14:paraId="77C1019D" w14:textId="1180CF4F" w:rsidR="00271283" w:rsidRDefault="00271283" w:rsidP="009E58ED">
      <w:pPr>
        <w:spacing w:line="360" w:lineRule="auto"/>
        <w:jc w:val="both"/>
        <w:rPr>
          <w:rFonts w:ascii="Arial" w:hAnsi="Arial" w:cs="Arial"/>
          <w:sz w:val="24"/>
          <w:szCs w:val="24"/>
        </w:rPr>
      </w:pPr>
      <w:r w:rsidRPr="00271283">
        <w:rPr>
          <w:rFonts w:ascii="Arial" w:hAnsi="Arial" w:cs="Arial"/>
          <w:sz w:val="24"/>
          <w:szCs w:val="24"/>
        </w:rPr>
        <w:t>Baroness Serota. (1998)</w:t>
      </w:r>
      <w:r w:rsidR="007507A7">
        <w:rPr>
          <w:rFonts w:ascii="Arial" w:hAnsi="Arial" w:cs="Arial"/>
          <w:sz w:val="24"/>
          <w:szCs w:val="24"/>
        </w:rPr>
        <w:t>.</w:t>
      </w:r>
      <w:r w:rsidRPr="00271283">
        <w:rPr>
          <w:rFonts w:ascii="Arial" w:hAnsi="Arial" w:cs="Arial"/>
          <w:sz w:val="24"/>
          <w:szCs w:val="24"/>
        </w:rPr>
        <w:t xml:space="preserve"> 'What work the Social Exclusion Unit will undertake on school exclusions and truancy', Hansard: Social Exclusion Unit, 11 May</w:t>
      </w:r>
      <w:r w:rsidR="002125A0">
        <w:rPr>
          <w:rFonts w:ascii="Arial" w:hAnsi="Arial" w:cs="Arial"/>
          <w:sz w:val="24"/>
          <w:szCs w:val="24"/>
        </w:rPr>
        <w:t>.</w:t>
      </w:r>
      <w:r w:rsidRPr="00271283">
        <w:rPr>
          <w:rFonts w:ascii="Arial" w:hAnsi="Arial" w:cs="Arial"/>
          <w:sz w:val="24"/>
          <w:szCs w:val="24"/>
        </w:rPr>
        <w:t xml:space="preserve"> 589, HL1842. Available at: </w:t>
      </w:r>
      <w:hyperlink r:id="rId48" w:history="1">
        <w:r w:rsidR="007536B5" w:rsidRPr="003C58D1">
          <w:rPr>
            <w:rStyle w:val="Hyperlink"/>
            <w:rFonts w:ascii="Arial" w:hAnsi="Arial" w:cs="Arial"/>
            <w:sz w:val="24"/>
            <w:szCs w:val="24"/>
          </w:rPr>
          <w:t>https://hansard.parliament.uk/lords/1998-05-11/debates/1e326b1c-8df8-491c-a86d-12c20d775bc8/SocialExclusionUnit</w:t>
        </w:r>
      </w:hyperlink>
      <w:r w:rsidR="007536B5">
        <w:rPr>
          <w:rFonts w:ascii="Arial" w:hAnsi="Arial" w:cs="Arial"/>
          <w:sz w:val="24"/>
          <w:szCs w:val="24"/>
        </w:rPr>
        <w:t xml:space="preserve"> </w:t>
      </w:r>
      <w:r w:rsidRPr="00271283">
        <w:rPr>
          <w:rFonts w:ascii="Arial" w:hAnsi="Arial" w:cs="Arial"/>
          <w:sz w:val="24"/>
          <w:szCs w:val="24"/>
        </w:rPr>
        <w:t>(Accessed: 18 March 2026).</w:t>
      </w:r>
    </w:p>
    <w:p w14:paraId="6B2615A9" w14:textId="0EE684D0" w:rsidR="00027D98" w:rsidRDefault="00027D98" w:rsidP="009E58ED">
      <w:pPr>
        <w:spacing w:line="360" w:lineRule="auto"/>
        <w:jc w:val="both"/>
        <w:rPr>
          <w:rFonts w:ascii="Arial" w:hAnsi="Arial" w:cs="Arial"/>
          <w:sz w:val="24"/>
          <w:szCs w:val="24"/>
        </w:rPr>
      </w:pPr>
      <w:r w:rsidRPr="00027D98">
        <w:rPr>
          <w:rFonts w:ascii="Arial" w:hAnsi="Arial" w:cs="Arial"/>
          <w:sz w:val="24"/>
          <w:szCs w:val="24"/>
        </w:rPr>
        <w:t>Basu, A. (1998)</w:t>
      </w:r>
      <w:r>
        <w:rPr>
          <w:rFonts w:ascii="Arial" w:hAnsi="Arial" w:cs="Arial"/>
          <w:sz w:val="24"/>
          <w:szCs w:val="24"/>
        </w:rPr>
        <w:t>.</w:t>
      </w:r>
      <w:r w:rsidRPr="00027D98">
        <w:rPr>
          <w:rFonts w:ascii="Arial" w:hAnsi="Arial" w:cs="Arial"/>
          <w:sz w:val="24"/>
          <w:szCs w:val="24"/>
        </w:rPr>
        <w:t xml:space="preserve"> 'The Role of Institutional Support in Asian Entrepreneurial Expansion in Britain', Journal of Small Business and Enterprise Development, 5(4), pp. 317</w:t>
      </w:r>
      <w:r>
        <w:rPr>
          <w:rFonts w:ascii="Arial" w:hAnsi="Arial" w:cs="Arial"/>
          <w:sz w:val="24"/>
          <w:szCs w:val="24"/>
        </w:rPr>
        <w:t>–</w:t>
      </w:r>
      <w:r w:rsidRPr="00027D98">
        <w:rPr>
          <w:rFonts w:ascii="Arial" w:hAnsi="Arial" w:cs="Arial"/>
          <w:sz w:val="24"/>
          <w:szCs w:val="24"/>
        </w:rPr>
        <w:t xml:space="preserve">326. Available at: </w:t>
      </w:r>
      <w:hyperlink r:id="rId49" w:history="1">
        <w:r w:rsidRPr="007D0B0F">
          <w:rPr>
            <w:rStyle w:val="Hyperlink"/>
            <w:rFonts w:ascii="Arial" w:hAnsi="Arial" w:cs="Arial"/>
            <w:sz w:val="24"/>
            <w:szCs w:val="24"/>
          </w:rPr>
          <w:t>https://d1wqtxts1xzle7.cloudfront.net/114289275/eum000000000679620240508-1-intdky-libre.pdf?1715146854=&amp;response-content-disposition=inline%3B+filename%3DRole_of_Institutional_Support_in_Asian_e.pdf&amp;Expires=1775760668&amp;Signature=RkaRvgcKGOlquKl8aXADA~mspWEcDw5RjhSSB4hV1ysySs2KQ1~IomU78d~YgOLYAyOAhMl-l6o-ccybw-ZIH2LA-</w:t>
        </w:r>
        <w:r w:rsidRPr="007D0B0F">
          <w:rPr>
            <w:rStyle w:val="Hyperlink"/>
            <w:rFonts w:ascii="Arial" w:hAnsi="Arial" w:cs="Arial"/>
            <w:sz w:val="24"/>
            <w:szCs w:val="24"/>
          </w:rPr>
          <w:lastRenderedPageBreak/>
          <w:t>jugLovOQt09yxOu0Wu8yYIruQAbVVw8DxPrMnsXGFP~rbGDw~oQ81RfmWBOYJVhdhtolzX43zBVZLrOo5p7u7qcQj8SsOXuOm8fqWVwUTuuLmzHGWA1bMKEe21g340RTG8RW2fUcGOTgz~SZC6SMuwUDP7mI-h0pb6YOMLsyApc5cxynJaetVLXpnBXCrXEO-ln51AIfsL~uHqq9BJ7o7BSq0ttkGASsP0284LaAMR1BAW8KZ7JF860WhHffA__&amp;Key-Pair-Id=APKAJLOHF5GGSLRBV4ZA</w:t>
        </w:r>
      </w:hyperlink>
      <w:r>
        <w:rPr>
          <w:rFonts w:ascii="Arial" w:hAnsi="Arial" w:cs="Arial"/>
          <w:sz w:val="24"/>
          <w:szCs w:val="24"/>
        </w:rPr>
        <w:t xml:space="preserve"> </w:t>
      </w:r>
      <w:r w:rsidRPr="00027D98">
        <w:rPr>
          <w:rFonts w:ascii="Arial" w:hAnsi="Arial" w:cs="Arial"/>
          <w:sz w:val="24"/>
          <w:szCs w:val="24"/>
        </w:rPr>
        <w:t>(Accessed: 28 March 2026).</w:t>
      </w:r>
    </w:p>
    <w:p w14:paraId="07BF9714" w14:textId="1C989F7A" w:rsidR="00E04969" w:rsidRDefault="00E04969" w:rsidP="009E58ED">
      <w:pPr>
        <w:spacing w:line="360" w:lineRule="auto"/>
        <w:jc w:val="both"/>
        <w:rPr>
          <w:rFonts w:ascii="Arial" w:hAnsi="Arial" w:cs="Arial"/>
          <w:sz w:val="24"/>
          <w:szCs w:val="24"/>
        </w:rPr>
      </w:pPr>
      <w:r w:rsidRPr="00E04969">
        <w:rPr>
          <w:rFonts w:ascii="Arial" w:hAnsi="Arial" w:cs="Arial"/>
          <w:sz w:val="24"/>
          <w:szCs w:val="24"/>
        </w:rPr>
        <w:t>Beattie, G., and Johnson, P. (2011)</w:t>
      </w:r>
      <w:r w:rsidR="007507A7">
        <w:rPr>
          <w:rFonts w:ascii="Arial" w:hAnsi="Arial" w:cs="Arial"/>
          <w:sz w:val="24"/>
          <w:szCs w:val="24"/>
        </w:rPr>
        <w:t>.</w:t>
      </w:r>
      <w:r w:rsidRPr="00E04969">
        <w:rPr>
          <w:rFonts w:ascii="Arial" w:hAnsi="Arial" w:cs="Arial"/>
          <w:sz w:val="24"/>
          <w:szCs w:val="24"/>
        </w:rPr>
        <w:t xml:space="preserve"> 'Possible unconscious bias in recruitment and promotion and the need to promote equality', Perspectives: Policy and Practice in Higher Education, 16(1), pp. 7</w:t>
      </w:r>
      <w:r w:rsidR="00B07AAC">
        <w:rPr>
          <w:rFonts w:ascii="Arial" w:hAnsi="Arial" w:cs="Arial"/>
          <w:sz w:val="24"/>
          <w:szCs w:val="24"/>
        </w:rPr>
        <w:t>–</w:t>
      </w:r>
      <w:r w:rsidRPr="00E04969">
        <w:rPr>
          <w:rFonts w:ascii="Arial" w:hAnsi="Arial" w:cs="Arial"/>
          <w:sz w:val="24"/>
          <w:szCs w:val="24"/>
        </w:rPr>
        <w:t xml:space="preserve">13. Available at: </w:t>
      </w:r>
      <w:hyperlink r:id="rId50" w:history="1">
        <w:r w:rsidRPr="00FB3832">
          <w:rPr>
            <w:rStyle w:val="Hyperlink"/>
            <w:rFonts w:ascii="Arial" w:hAnsi="Arial" w:cs="Arial"/>
            <w:sz w:val="24"/>
            <w:szCs w:val="24"/>
          </w:rPr>
          <w:t>https://www.tandfonline.com/doi/full/10.1080/13603108.2011.611833</w:t>
        </w:r>
      </w:hyperlink>
      <w:r>
        <w:rPr>
          <w:rFonts w:ascii="Arial" w:hAnsi="Arial" w:cs="Arial"/>
          <w:sz w:val="24"/>
          <w:szCs w:val="24"/>
        </w:rPr>
        <w:t xml:space="preserve"> </w:t>
      </w:r>
      <w:r w:rsidRPr="00E04969">
        <w:rPr>
          <w:rFonts w:ascii="Arial" w:hAnsi="Arial" w:cs="Arial"/>
          <w:sz w:val="24"/>
          <w:szCs w:val="24"/>
        </w:rPr>
        <w:t xml:space="preserve"> (Accessed: 19 March 2026.</w:t>
      </w:r>
    </w:p>
    <w:p w14:paraId="5C4AD7D1" w14:textId="2FDFF57B" w:rsidR="00B07AAC" w:rsidRDefault="00B07AAC" w:rsidP="009E58ED">
      <w:pPr>
        <w:spacing w:line="360" w:lineRule="auto"/>
        <w:jc w:val="both"/>
        <w:rPr>
          <w:rFonts w:ascii="Arial" w:hAnsi="Arial" w:cs="Arial"/>
          <w:sz w:val="24"/>
          <w:szCs w:val="24"/>
        </w:rPr>
      </w:pPr>
      <w:r w:rsidRPr="00B07AAC">
        <w:rPr>
          <w:rFonts w:ascii="Arial" w:hAnsi="Arial" w:cs="Arial"/>
          <w:sz w:val="24"/>
          <w:szCs w:val="24"/>
        </w:rPr>
        <w:t xml:space="preserve">Beck, V., Warren, T., and </w:t>
      </w:r>
      <w:proofErr w:type="spellStart"/>
      <w:r w:rsidRPr="00B07AAC">
        <w:rPr>
          <w:rFonts w:ascii="Arial" w:hAnsi="Arial" w:cs="Arial"/>
          <w:sz w:val="24"/>
          <w:szCs w:val="24"/>
        </w:rPr>
        <w:t>Lyonette</w:t>
      </w:r>
      <w:proofErr w:type="spellEnd"/>
      <w:r w:rsidRPr="00B07AAC">
        <w:rPr>
          <w:rFonts w:ascii="Arial" w:hAnsi="Arial" w:cs="Arial"/>
          <w:sz w:val="24"/>
          <w:szCs w:val="24"/>
        </w:rPr>
        <w:t>, C. (2024)</w:t>
      </w:r>
      <w:r>
        <w:rPr>
          <w:rFonts w:ascii="Arial" w:hAnsi="Arial" w:cs="Arial"/>
          <w:sz w:val="24"/>
          <w:szCs w:val="24"/>
        </w:rPr>
        <w:t>.</w:t>
      </w:r>
      <w:r w:rsidRPr="00B07AAC">
        <w:rPr>
          <w:rFonts w:ascii="Arial" w:hAnsi="Arial" w:cs="Arial"/>
          <w:sz w:val="24"/>
          <w:szCs w:val="24"/>
        </w:rPr>
        <w:t xml:space="preserve"> 'Is Any Job Better Than No Job? Utilising Jahoda’s Latent Deprivation Theory to Reconceptualise Underemployment', Work, Employment and Society, 39(2), pp. 404</w:t>
      </w:r>
      <w:r>
        <w:rPr>
          <w:rFonts w:ascii="Arial" w:hAnsi="Arial" w:cs="Arial"/>
          <w:sz w:val="24"/>
          <w:szCs w:val="24"/>
        </w:rPr>
        <w:t>–</w:t>
      </w:r>
      <w:r w:rsidRPr="00B07AAC">
        <w:rPr>
          <w:rFonts w:ascii="Arial" w:hAnsi="Arial" w:cs="Arial"/>
          <w:sz w:val="24"/>
          <w:szCs w:val="24"/>
        </w:rPr>
        <w:t xml:space="preserve">425. Available at: </w:t>
      </w:r>
      <w:hyperlink r:id="rId51" w:history="1">
        <w:r w:rsidRPr="007D0B0F">
          <w:rPr>
            <w:rStyle w:val="Hyperlink"/>
            <w:rFonts w:ascii="Arial" w:hAnsi="Arial" w:cs="Arial"/>
            <w:sz w:val="24"/>
            <w:szCs w:val="24"/>
          </w:rPr>
          <w:t>https://journals.sagepub.com/doi/full/10.1177/09500170241254794</w:t>
        </w:r>
      </w:hyperlink>
      <w:r>
        <w:rPr>
          <w:rFonts w:ascii="Arial" w:hAnsi="Arial" w:cs="Arial"/>
          <w:sz w:val="24"/>
          <w:szCs w:val="24"/>
        </w:rPr>
        <w:t xml:space="preserve"> </w:t>
      </w:r>
      <w:r w:rsidRPr="00B07AAC">
        <w:rPr>
          <w:rFonts w:ascii="Arial" w:hAnsi="Arial" w:cs="Arial"/>
          <w:sz w:val="24"/>
          <w:szCs w:val="24"/>
        </w:rPr>
        <w:t>(Accessed: 25 March 2026).</w:t>
      </w:r>
    </w:p>
    <w:p w14:paraId="402BECF1" w14:textId="1327C91D" w:rsidR="005A0B32" w:rsidRDefault="005A0B32" w:rsidP="009E58ED">
      <w:pPr>
        <w:spacing w:line="360" w:lineRule="auto"/>
        <w:jc w:val="both"/>
        <w:rPr>
          <w:rFonts w:ascii="Arial" w:hAnsi="Arial" w:cs="Arial"/>
          <w:sz w:val="24"/>
          <w:szCs w:val="24"/>
        </w:rPr>
      </w:pPr>
      <w:r w:rsidRPr="005A0B32">
        <w:rPr>
          <w:rFonts w:ascii="Arial" w:hAnsi="Arial" w:cs="Arial"/>
          <w:sz w:val="24"/>
          <w:szCs w:val="24"/>
        </w:rPr>
        <w:t>Becker, H. (1963)</w:t>
      </w:r>
      <w:r>
        <w:rPr>
          <w:rFonts w:ascii="Arial" w:hAnsi="Arial" w:cs="Arial"/>
          <w:sz w:val="24"/>
          <w:szCs w:val="24"/>
        </w:rPr>
        <w:t>.</w:t>
      </w:r>
      <w:r w:rsidRPr="005A0B32">
        <w:rPr>
          <w:rFonts w:ascii="Arial" w:hAnsi="Arial" w:cs="Arial"/>
          <w:sz w:val="24"/>
          <w:szCs w:val="24"/>
        </w:rPr>
        <w:t xml:space="preserve"> Outsiders: Studies in the Sociology of Deviance. Free Press. Available at: </w:t>
      </w:r>
      <w:hyperlink r:id="rId52" w:history="1">
        <w:r w:rsidRPr="005C7CBD">
          <w:rPr>
            <w:rStyle w:val="Hyperlink"/>
            <w:rFonts w:ascii="Arial" w:hAnsi="Arial" w:cs="Arial"/>
            <w:sz w:val="24"/>
            <w:szCs w:val="24"/>
          </w:rPr>
          <w:t>https://monoskop.org/images/2/2b/Becker_Howard_Outsiders_Studies_In_The_Sociogy_Of_Deviance_1963.pdf</w:t>
        </w:r>
      </w:hyperlink>
      <w:r>
        <w:rPr>
          <w:rFonts w:ascii="Arial" w:hAnsi="Arial" w:cs="Arial"/>
          <w:sz w:val="24"/>
          <w:szCs w:val="24"/>
        </w:rPr>
        <w:t xml:space="preserve"> </w:t>
      </w:r>
      <w:r w:rsidRPr="005A0B32">
        <w:rPr>
          <w:rFonts w:ascii="Arial" w:hAnsi="Arial" w:cs="Arial"/>
          <w:sz w:val="24"/>
          <w:szCs w:val="24"/>
        </w:rPr>
        <w:t>(Accessed: 23 March 2026).</w:t>
      </w:r>
    </w:p>
    <w:p w14:paraId="7ECF71CE" w14:textId="30AEB569" w:rsidR="0016502F" w:rsidRDefault="0016502F" w:rsidP="009E58ED">
      <w:pPr>
        <w:spacing w:line="360" w:lineRule="auto"/>
        <w:jc w:val="both"/>
        <w:rPr>
          <w:rFonts w:ascii="Arial" w:hAnsi="Arial" w:cs="Arial"/>
          <w:sz w:val="24"/>
          <w:szCs w:val="24"/>
        </w:rPr>
      </w:pPr>
      <w:r w:rsidRPr="0016502F">
        <w:rPr>
          <w:rFonts w:ascii="Arial" w:hAnsi="Arial" w:cs="Arial"/>
          <w:sz w:val="24"/>
          <w:szCs w:val="24"/>
        </w:rPr>
        <w:t>Bell, D. (1995)</w:t>
      </w:r>
      <w:r w:rsidR="003D14F1">
        <w:rPr>
          <w:rFonts w:ascii="Arial" w:hAnsi="Arial" w:cs="Arial"/>
          <w:sz w:val="24"/>
          <w:szCs w:val="24"/>
        </w:rPr>
        <w:t>.</w:t>
      </w:r>
      <w:r w:rsidRPr="0016502F">
        <w:rPr>
          <w:rFonts w:ascii="Arial" w:hAnsi="Arial" w:cs="Arial"/>
          <w:sz w:val="24"/>
          <w:szCs w:val="24"/>
        </w:rPr>
        <w:t xml:space="preserve"> 'Thank you, Doctor Murray and </w:t>
      </w:r>
      <w:proofErr w:type="spellStart"/>
      <w:r w:rsidRPr="0016502F">
        <w:rPr>
          <w:rFonts w:ascii="Arial" w:hAnsi="Arial" w:cs="Arial"/>
          <w:sz w:val="24"/>
          <w:szCs w:val="24"/>
        </w:rPr>
        <w:t>Herrnstien</w:t>
      </w:r>
      <w:proofErr w:type="spellEnd"/>
      <w:r w:rsidRPr="0016502F">
        <w:rPr>
          <w:rFonts w:ascii="Arial" w:hAnsi="Arial" w:cs="Arial"/>
          <w:sz w:val="24"/>
          <w:szCs w:val="24"/>
        </w:rPr>
        <w:t xml:space="preserve"> (Or, Who's Afraid of Critical Race Theory?', in R. Delgado and J. Stefancic (ed.), Looking Behind the Mirror. Temple University Press, Philadelphia, pp. 534</w:t>
      </w:r>
      <w:r w:rsidR="003D14F1">
        <w:rPr>
          <w:rFonts w:ascii="Arial" w:hAnsi="Arial" w:cs="Arial"/>
          <w:sz w:val="24"/>
          <w:szCs w:val="24"/>
        </w:rPr>
        <w:t>–</w:t>
      </w:r>
      <w:r w:rsidRPr="0016502F">
        <w:rPr>
          <w:rFonts w:ascii="Arial" w:hAnsi="Arial" w:cs="Arial"/>
          <w:sz w:val="24"/>
          <w:szCs w:val="24"/>
        </w:rPr>
        <w:t xml:space="preserve">537. Available at: https://www-fulcrum-org.uwtsd.idm.oclc.org/epubs/pk02cd03b?locale=en#page=556 (Accessed: </w:t>
      </w:r>
      <w:r>
        <w:rPr>
          <w:rFonts w:ascii="Arial" w:hAnsi="Arial" w:cs="Arial"/>
          <w:sz w:val="24"/>
          <w:szCs w:val="24"/>
        </w:rPr>
        <w:t>23</w:t>
      </w:r>
      <w:r w:rsidRPr="0016502F">
        <w:rPr>
          <w:rFonts w:ascii="Arial" w:hAnsi="Arial" w:cs="Arial"/>
          <w:sz w:val="24"/>
          <w:szCs w:val="24"/>
        </w:rPr>
        <w:t xml:space="preserve"> March 2026).</w:t>
      </w:r>
    </w:p>
    <w:p w14:paraId="091C4E11" w14:textId="761F5075" w:rsidR="002902FE" w:rsidRDefault="002902FE" w:rsidP="009E58ED">
      <w:pPr>
        <w:spacing w:line="360" w:lineRule="auto"/>
        <w:jc w:val="both"/>
        <w:rPr>
          <w:rFonts w:ascii="Arial" w:hAnsi="Arial" w:cs="Arial"/>
          <w:sz w:val="24"/>
          <w:szCs w:val="24"/>
        </w:rPr>
      </w:pPr>
      <w:r w:rsidRPr="002902FE">
        <w:rPr>
          <w:rFonts w:ascii="Arial" w:hAnsi="Arial" w:cs="Arial"/>
          <w:sz w:val="24"/>
          <w:szCs w:val="24"/>
        </w:rPr>
        <w:t>Bennett, J., Heron, J., Kidger, J., and Linton, M. (2023)</w:t>
      </w:r>
      <w:r>
        <w:rPr>
          <w:rFonts w:ascii="Arial" w:hAnsi="Arial" w:cs="Arial"/>
          <w:sz w:val="24"/>
          <w:szCs w:val="24"/>
        </w:rPr>
        <w:t>.</w:t>
      </w:r>
      <w:r w:rsidRPr="002902FE">
        <w:rPr>
          <w:rFonts w:ascii="Arial" w:hAnsi="Arial" w:cs="Arial"/>
          <w:sz w:val="24"/>
          <w:szCs w:val="24"/>
        </w:rPr>
        <w:t xml:space="preserve"> 'Investigating Change in Student Financial Stress at a UK University: Multi-Year Survey Analysis across a Global Pandemic and Recession', Education Sciences, 13(1175), pp. 1-13. Available at: </w:t>
      </w:r>
      <w:hyperlink r:id="rId53" w:history="1">
        <w:r w:rsidRPr="007D0B0F">
          <w:rPr>
            <w:rStyle w:val="Hyperlink"/>
            <w:rFonts w:ascii="Arial" w:hAnsi="Arial" w:cs="Arial"/>
            <w:sz w:val="24"/>
            <w:szCs w:val="24"/>
          </w:rPr>
          <w:t>https://d1wqtxts1xzle7.cloudfront.net/117410645/pdf-</w:t>
        </w:r>
        <w:r w:rsidRPr="007D0B0F">
          <w:rPr>
            <w:rStyle w:val="Hyperlink"/>
            <w:rFonts w:ascii="Arial" w:hAnsi="Arial" w:cs="Arial"/>
            <w:sz w:val="24"/>
            <w:szCs w:val="24"/>
          </w:rPr>
          <w:lastRenderedPageBreak/>
          <w:t>libre.pdf?1723540668=&amp;response-content-disposition=inline%3B+filename%3DInvestigating_Change_in_Student_Financia.pdf&amp;Expires=1776081235&amp;Signature=faWc27nveTrRGKkeyr5nqC9sT2hS0Nf1ECfG8ZIOOVWKv1AUtl2nyexw6Bb26JREW115iEv1qJCBx48LVxZZjrYpfa9fht2zIk9EuS7iObN5eDFHkkVyivq4yHzGgAU2lljMH-F0eEELjz~eyZYLNyKOBAL8E24syfq8q0xFN95Iq55bsAdL60BryklZMF7mrM3qEbluKXslSVJ01maPUMxc1Gha0DHJ8qHZGZLsIpfyNZKu2wqYfgE5shVl0SXHMxoQBYyfefsYFlVJPIU3Z70VHsOVcx~YyCrGQlL-xR7Xh3eRJBI~RN8BTXJCbPSjlfW-vgadoxWo~cgi6eUONA__&amp;Key-Pair-Id=APKAJLOHF5GGSLRBV4ZA</w:t>
        </w:r>
      </w:hyperlink>
      <w:r>
        <w:rPr>
          <w:rFonts w:ascii="Arial" w:hAnsi="Arial" w:cs="Arial"/>
          <w:sz w:val="24"/>
          <w:szCs w:val="24"/>
        </w:rPr>
        <w:t xml:space="preserve"> </w:t>
      </w:r>
      <w:r w:rsidRPr="002902FE">
        <w:rPr>
          <w:rFonts w:ascii="Arial" w:hAnsi="Arial" w:cs="Arial"/>
          <w:sz w:val="24"/>
          <w:szCs w:val="24"/>
        </w:rPr>
        <w:t>(Accessed: 2 April 2026).</w:t>
      </w:r>
    </w:p>
    <w:p w14:paraId="2E345FD4" w14:textId="3BEFA45C" w:rsidR="00230AA1" w:rsidRDefault="00230AA1" w:rsidP="009E58ED">
      <w:pPr>
        <w:spacing w:line="360" w:lineRule="auto"/>
        <w:jc w:val="both"/>
        <w:rPr>
          <w:rFonts w:ascii="Arial" w:hAnsi="Arial" w:cs="Arial"/>
          <w:sz w:val="24"/>
          <w:szCs w:val="24"/>
        </w:rPr>
      </w:pPr>
      <w:r w:rsidRPr="00230AA1">
        <w:rPr>
          <w:rFonts w:ascii="Arial" w:hAnsi="Arial" w:cs="Arial"/>
          <w:sz w:val="24"/>
          <w:szCs w:val="24"/>
        </w:rPr>
        <w:t>Berdanier, C., Lenart, J. (2020)</w:t>
      </w:r>
      <w:r w:rsidR="002125A0">
        <w:rPr>
          <w:rFonts w:ascii="Arial" w:hAnsi="Arial" w:cs="Arial"/>
          <w:sz w:val="24"/>
          <w:szCs w:val="24"/>
        </w:rPr>
        <w:t>.</w:t>
      </w:r>
      <w:r w:rsidRPr="00230AA1">
        <w:rPr>
          <w:rFonts w:ascii="Arial" w:hAnsi="Arial" w:cs="Arial"/>
          <w:sz w:val="24"/>
          <w:szCs w:val="24"/>
        </w:rPr>
        <w:t xml:space="preserve"> "O</w:t>
      </w:r>
      <w:r w:rsidRPr="00230AA1">
        <w:rPr>
          <w:rFonts w:ascii="Arial" w:hAnsi="Arial" w:cs="Arial"/>
          <w:i/>
          <w:iCs/>
          <w:sz w:val="24"/>
          <w:szCs w:val="24"/>
        </w:rPr>
        <w:t>rganizing Your Literature Review,” in So, You Have to Write a Literature Review.</w:t>
      </w:r>
      <w:r w:rsidRPr="00230AA1">
        <w:rPr>
          <w:rFonts w:ascii="Arial" w:hAnsi="Arial" w:cs="Arial"/>
          <w:sz w:val="24"/>
          <w:szCs w:val="24"/>
        </w:rPr>
        <w:t> 1st ed. United States: Wiley, pp. 53</w:t>
      </w:r>
      <w:r w:rsidR="002125A0">
        <w:rPr>
          <w:rFonts w:ascii="Arial" w:hAnsi="Arial" w:cs="Arial"/>
          <w:sz w:val="24"/>
          <w:szCs w:val="24"/>
        </w:rPr>
        <w:t>–</w:t>
      </w:r>
      <w:r w:rsidRPr="00230AA1">
        <w:rPr>
          <w:rFonts w:ascii="Arial" w:hAnsi="Arial" w:cs="Arial"/>
          <w:sz w:val="24"/>
          <w:szCs w:val="24"/>
        </w:rPr>
        <w:t xml:space="preserve">63. Available at: </w:t>
      </w:r>
      <w:hyperlink r:id="rId54" w:history="1">
        <w:r w:rsidR="0008587E" w:rsidRPr="001228C1">
          <w:rPr>
            <w:rStyle w:val="Hyperlink"/>
            <w:rFonts w:ascii="Arial" w:hAnsi="Arial" w:cs="Arial"/>
            <w:sz w:val="24"/>
            <w:szCs w:val="24"/>
          </w:rPr>
          <w:t>file:///C:/Users/Student/AppData/Local/Temp/2600bca5-c6ef-4212-853f-6ab20f707e52_bulk-download.zip.bulk-download.zip/Organizing%20Your%20Literature%20Review.pdf</w:t>
        </w:r>
      </w:hyperlink>
      <w:r w:rsidR="0008587E">
        <w:rPr>
          <w:rFonts w:ascii="Arial" w:hAnsi="Arial" w:cs="Arial"/>
          <w:sz w:val="24"/>
          <w:szCs w:val="24"/>
        </w:rPr>
        <w:t xml:space="preserve"> </w:t>
      </w:r>
      <w:r w:rsidRPr="00230AA1">
        <w:rPr>
          <w:rFonts w:ascii="Arial" w:hAnsi="Arial" w:cs="Arial"/>
          <w:sz w:val="24"/>
          <w:szCs w:val="24"/>
        </w:rPr>
        <w:t>(Accessed: 5 March 2026).</w:t>
      </w:r>
    </w:p>
    <w:p w14:paraId="266A8352" w14:textId="273DCFC4" w:rsidR="00F914E8" w:rsidRDefault="00F914E8" w:rsidP="009E58ED">
      <w:pPr>
        <w:spacing w:line="360" w:lineRule="auto"/>
        <w:jc w:val="both"/>
        <w:rPr>
          <w:rFonts w:ascii="Arial" w:hAnsi="Arial" w:cs="Arial"/>
          <w:sz w:val="24"/>
          <w:szCs w:val="24"/>
        </w:rPr>
      </w:pPr>
      <w:r w:rsidRPr="00F914E8">
        <w:rPr>
          <w:rFonts w:ascii="Arial" w:hAnsi="Arial" w:cs="Arial"/>
          <w:sz w:val="24"/>
          <w:szCs w:val="24"/>
        </w:rPr>
        <w:t>Berkman, L., and Glass, T. (2000)</w:t>
      </w:r>
      <w:r>
        <w:rPr>
          <w:rFonts w:ascii="Arial" w:hAnsi="Arial" w:cs="Arial"/>
          <w:sz w:val="24"/>
          <w:szCs w:val="24"/>
        </w:rPr>
        <w:t>.</w:t>
      </w:r>
      <w:r w:rsidRPr="00F914E8">
        <w:rPr>
          <w:rFonts w:ascii="Arial" w:hAnsi="Arial" w:cs="Arial"/>
          <w:sz w:val="24"/>
          <w:szCs w:val="24"/>
        </w:rPr>
        <w:t xml:space="preserve"> 'Social Integration, Social Networks, Social Support, and Health', in L. Berkman and I. Kawachi (ed.) Social Epidemiology. Oxford University Press, pp. 137</w:t>
      </w:r>
      <w:r>
        <w:rPr>
          <w:rFonts w:ascii="Arial" w:hAnsi="Arial" w:cs="Arial"/>
          <w:sz w:val="24"/>
          <w:szCs w:val="24"/>
        </w:rPr>
        <w:t>–</w:t>
      </w:r>
      <w:r w:rsidRPr="00F914E8">
        <w:rPr>
          <w:rFonts w:ascii="Arial" w:hAnsi="Arial" w:cs="Arial"/>
          <w:sz w:val="24"/>
          <w:szCs w:val="24"/>
        </w:rPr>
        <w:t>139.</w:t>
      </w:r>
    </w:p>
    <w:p w14:paraId="55342F03" w14:textId="06CD1767" w:rsidR="008D2447" w:rsidRDefault="008D2447" w:rsidP="009E58ED">
      <w:pPr>
        <w:spacing w:line="360" w:lineRule="auto"/>
        <w:jc w:val="both"/>
        <w:rPr>
          <w:rFonts w:ascii="Arial" w:hAnsi="Arial" w:cs="Arial"/>
          <w:sz w:val="24"/>
          <w:szCs w:val="24"/>
        </w:rPr>
      </w:pPr>
      <w:r w:rsidRPr="008D2447">
        <w:rPr>
          <w:rFonts w:ascii="Arial" w:hAnsi="Arial" w:cs="Arial"/>
          <w:sz w:val="24"/>
          <w:szCs w:val="24"/>
        </w:rPr>
        <w:t>Berman, J. (2013)</w:t>
      </w:r>
      <w:r w:rsidR="002125A0">
        <w:rPr>
          <w:rFonts w:ascii="Arial" w:hAnsi="Arial" w:cs="Arial"/>
          <w:sz w:val="24"/>
          <w:szCs w:val="24"/>
        </w:rPr>
        <w:t>.</w:t>
      </w:r>
      <w:r w:rsidRPr="008D2447">
        <w:rPr>
          <w:rFonts w:ascii="Arial" w:hAnsi="Arial" w:cs="Arial"/>
          <w:sz w:val="24"/>
          <w:szCs w:val="24"/>
        </w:rPr>
        <w:t xml:space="preserve"> 'Utility of a conceptual framework within doctoral study: a researcher’s reflections', </w:t>
      </w:r>
      <w:r w:rsidRPr="008D2447">
        <w:rPr>
          <w:rFonts w:ascii="Arial" w:hAnsi="Arial" w:cs="Arial"/>
          <w:i/>
          <w:iCs/>
          <w:sz w:val="24"/>
          <w:szCs w:val="24"/>
        </w:rPr>
        <w:t>Issues in Educational Research,</w:t>
      </w:r>
      <w:r w:rsidRPr="008D2447">
        <w:rPr>
          <w:rFonts w:ascii="Arial" w:hAnsi="Arial" w:cs="Arial"/>
          <w:sz w:val="24"/>
          <w:szCs w:val="24"/>
        </w:rPr>
        <w:t xml:space="preserve"> 23(1), pp. 1–18. Available at: </w:t>
      </w:r>
      <w:hyperlink r:id="rId55" w:history="1">
        <w:r w:rsidRPr="001228C1">
          <w:rPr>
            <w:rStyle w:val="Hyperlink"/>
            <w:rFonts w:ascii="Arial" w:hAnsi="Arial" w:cs="Arial"/>
            <w:sz w:val="24"/>
            <w:szCs w:val="24"/>
          </w:rPr>
          <w:t>https://research-ebsco-com.uwtsd.idm.oclc.org/c/onvpsy/viewer/pdf/4kcxiegdqn?route=details</w:t>
        </w:r>
      </w:hyperlink>
      <w:r>
        <w:rPr>
          <w:rFonts w:ascii="Arial" w:hAnsi="Arial" w:cs="Arial"/>
          <w:sz w:val="24"/>
          <w:szCs w:val="24"/>
        </w:rPr>
        <w:t xml:space="preserve"> </w:t>
      </w:r>
      <w:r w:rsidRPr="008D2447">
        <w:rPr>
          <w:rFonts w:ascii="Arial" w:hAnsi="Arial" w:cs="Arial"/>
          <w:sz w:val="24"/>
          <w:szCs w:val="24"/>
        </w:rPr>
        <w:t>(Accessed: 11 March 2026).</w:t>
      </w:r>
    </w:p>
    <w:p w14:paraId="23935268" w14:textId="4BE4F8D1" w:rsidR="000B71DA" w:rsidRDefault="000B71DA" w:rsidP="009E58ED">
      <w:pPr>
        <w:spacing w:line="360" w:lineRule="auto"/>
        <w:jc w:val="both"/>
        <w:rPr>
          <w:rFonts w:ascii="Arial" w:hAnsi="Arial" w:cs="Arial"/>
          <w:sz w:val="24"/>
          <w:szCs w:val="24"/>
        </w:rPr>
      </w:pPr>
      <w:r w:rsidRPr="000B71DA">
        <w:rPr>
          <w:rFonts w:ascii="Arial" w:hAnsi="Arial" w:cs="Arial"/>
          <w:sz w:val="24"/>
          <w:szCs w:val="24"/>
        </w:rPr>
        <w:t>Bernal, D., and Villalpando, O. (2002)</w:t>
      </w:r>
      <w:r w:rsidR="002125A0">
        <w:rPr>
          <w:rFonts w:ascii="Arial" w:hAnsi="Arial" w:cs="Arial"/>
          <w:sz w:val="24"/>
          <w:szCs w:val="24"/>
        </w:rPr>
        <w:t>.</w:t>
      </w:r>
      <w:r w:rsidRPr="000B71DA">
        <w:rPr>
          <w:rFonts w:ascii="Arial" w:hAnsi="Arial" w:cs="Arial"/>
          <w:sz w:val="24"/>
          <w:szCs w:val="24"/>
        </w:rPr>
        <w:t xml:space="preserve"> 'An Apartheid of Knowledge in Academia: The</w:t>
      </w:r>
      <w:r>
        <w:rPr>
          <w:rFonts w:ascii="Arial" w:hAnsi="Arial" w:cs="Arial"/>
          <w:sz w:val="24"/>
          <w:szCs w:val="24"/>
        </w:rPr>
        <w:t xml:space="preserve"> </w:t>
      </w:r>
      <w:r w:rsidRPr="000B71DA">
        <w:rPr>
          <w:rFonts w:ascii="Arial" w:hAnsi="Arial" w:cs="Arial"/>
          <w:sz w:val="24"/>
          <w:szCs w:val="24"/>
        </w:rPr>
        <w:t>Struggle Over the "Legitimate" Knowledge of Faculty of Colour', </w:t>
      </w:r>
      <w:r w:rsidRPr="000B71DA">
        <w:rPr>
          <w:rFonts w:ascii="Arial" w:hAnsi="Arial" w:cs="Arial"/>
          <w:i/>
          <w:iCs/>
          <w:sz w:val="24"/>
          <w:szCs w:val="24"/>
        </w:rPr>
        <w:t>Equity and Excellence in Education</w:t>
      </w:r>
      <w:r w:rsidRPr="000B71DA">
        <w:rPr>
          <w:rFonts w:ascii="Arial" w:hAnsi="Arial" w:cs="Arial"/>
          <w:sz w:val="24"/>
          <w:szCs w:val="24"/>
        </w:rPr>
        <w:t>, 35(2), pp. 169</w:t>
      </w:r>
      <w:r w:rsidR="00A72D3B">
        <w:rPr>
          <w:rFonts w:ascii="Arial" w:hAnsi="Arial" w:cs="Arial"/>
          <w:sz w:val="24"/>
          <w:szCs w:val="24"/>
        </w:rPr>
        <w:t>–</w:t>
      </w:r>
      <w:r w:rsidRPr="000B71DA">
        <w:rPr>
          <w:rFonts w:ascii="Arial" w:hAnsi="Arial" w:cs="Arial"/>
          <w:sz w:val="24"/>
          <w:szCs w:val="24"/>
        </w:rPr>
        <w:t>180. Available at:  </w:t>
      </w:r>
      <w:hyperlink r:id="rId56" w:history="1">
        <w:r w:rsidRPr="000B71DA">
          <w:rPr>
            <w:rStyle w:val="Hyperlink"/>
            <w:rFonts w:ascii="Arial" w:hAnsi="Arial" w:cs="Arial"/>
            <w:sz w:val="24"/>
            <w:szCs w:val="24"/>
          </w:rPr>
          <w:t>https://www.academia.edu/16786755/An_Apartheid_of_Knowledge_in_Academi</w:t>
        </w:r>
        <w:r w:rsidRPr="000B71DA">
          <w:rPr>
            <w:rStyle w:val="Hyperlink"/>
            <w:rFonts w:ascii="Arial" w:hAnsi="Arial" w:cs="Arial"/>
            <w:sz w:val="24"/>
            <w:szCs w:val="24"/>
          </w:rPr>
          <w:lastRenderedPageBreak/>
          <w:t>a_The_Struggle_Over_the_Legitimate_Knowledge_of_Faculty_of_Color</w:t>
        </w:r>
      </w:hyperlink>
      <w:r>
        <w:rPr>
          <w:rFonts w:ascii="Arial" w:hAnsi="Arial" w:cs="Arial"/>
          <w:sz w:val="24"/>
          <w:szCs w:val="24"/>
        </w:rPr>
        <w:t xml:space="preserve"> </w:t>
      </w:r>
      <w:r w:rsidRPr="000B71DA">
        <w:rPr>
          <w:rFonts w:ascii="Arial" w:hAnsi="Arial" w:cs="Arial"/>
          <w:sz w:val="24"/>
          <w:szCs w:val="24"/>
        </w:rPr>
        <w:t>(Accessed: 23 March 2026).</w:t>
      </w:r>
    </w:p>
    <w:p w14:paraId="78B6E4D4" w14:textId="509E4602" w:rsidR="005A7596" w:rsidRDefault="005A7596" w:rsidP="009E58ED">
      <w:pPr>
        <w:spacing w:line="360" w:lineRule="auto"/>
        <w:jc w:val="both"/>
        <w:rPr>
          <w:rFonts w:ascii="Arial" w:hAnsi="Arial" w:cs="Arial"/>
          <w:sz w:val="24"/>
          <w:szCs w:val="24"/>
        </w:rPr>
      </w:pPr>
      <w:r w:rsidRPr="005A7596">
        <w:rPr>
          <w:rFonts w:ascii="Arial" w:hAnsi="Arial" w:cs="Arial"/>
          <w:sz w:val="24"/>
          <w:szCs w:val="24"/>
        </w:rPr>
        <w:t xml:space="preserve">Bernburg, J. (2009). </w:t>
      </w:r>
      <w:proofErr w:type="spellStart"/>
      <w:r w:rsidRPr="005A7596">
        <w:rPr>
          <w:rFonts w:ascii="Arial" w:hAnsi="Arial" w:cs="Arial"/>
          <w:sz w:val="24"/>
          <w:szCs w:val="24"/>
        </w:rPr>
        <w:t>La</w:t>
      </w:r>
      <w:r w:rsidR="00A03906">
        <w:rPr>
          <w:rFonts w:ascii="Arial" w:hAnsi="Arial" w:cs="Arial"/>
          <w:sz w:val="24"/>
          <w:szCs w:val="24"/>
        </w:rPr>
        <w:t>b</w:t>
      </w:r>
      <w:r w:rsidRPr="005A7596">
        <w:rPr>
          <w:rFonts w:ascii="Arial" w:hAnsi="Arial" w:cs="Arial"/>
          <w:sz w:val="24"/>
          <w:szCs w:val="24"/>
        </w:rPr>
        <w:t>eling</w:t>
      </w:r>
      <w:proofErr w:type="spellEnd"/>
      <w:r w:rsidRPr="005A7596">
        <w:rPr>
          <w:rFonts w:ascii="Arial" w:hAnsi="Arial" w:cs="Arial"/>
          <w:sz w:val="24"/>
          <w:szCs w:val="24"/>
        </w:rPr>
        <w:t xml:space="preserve"> Theory. In: Marvin D. Krohn, Alan Lizotte and Gina </w:t>
      </w:r>
      <w:proofErr w:type="spellStart"/>
      <w:r w:rsidRPr="005A7596">
        <w:rPr>
          <w:rFonts w:ascii="Arial" w:hAnsi="Arial" w:cs="Arial"/>
          <w:sz w:val="24"/>
          <w:szCs w:val="24"/>
        </w:rPr>
        <w:t>Penly</w:t>
      </w:r>
      <w:proofErr w:type="spellEnd"/>
      <w:r w:rsidRPr="005A7596">
        <w:rPr>
          <w:rFonts w:ascii="Arial" w:hAnsi="Arial" w:cs="Arial"/>
          <w:sz w:val="24"/>
          <w:szCs w:val="24"/>
        </w:rPr>
        <w:t xml:space="preserve"> Hall (eds), Handbook on Crime and Deviance. pp. 1887-207. Springer Science + Business Media. Available at: </w:t>
      </w:r>
      <w:hyperlink r:id="rId57" w:history="1">
        <w:r w:rsidRPr="005C7CBD">
          <w:rPr>
            <w:rStyle w:val="Hyperlink"/>
            <w:rFonts w:ascii="Arial" w:hAnsi="Arial" w:cs="Arial"/>
            <w:sz w:val="24"/>
            <w:szCs w:val="24"/>
          </w:rPr>
          <w:t>https://www.researchgate.net/publication/226795096_Labeling_Theory</w:t>
        </w:r>
      </w:hyperlink>
      <w:r>
        <w:rPr>
          <w:rFonts w:ascii="Arial" w:hAnsi="Arial" w:cs="Arial"/>
          <w:sz w:val="24"/>
          <w:szCs w:val="24"/>
        </w:rPr>
        <w:t xml:space="preserve"> </w:t>
      </w:r>
      <w:r w:rsidRPr="005A7596">
        <w:rPr>
          <w:rFonts w:ascii="Arial" w:hAnsi="Arial" w:cs="Arial"/>
          <w:sz w:val="24"/>
          <w:szCs w:val="24"/>
        </w:rPr>
        <w:t>(Accessed: 23 March 2026).</w:t>
      </w:r>
    </w:p>
    <w:p w14:paraId="5EFB9FB8" w14:textId="31F52DB2" w:rsidR="0043119C" w:rsidRDefault="00DF50E8" w:rsidP="009E58ED">
      <w:pPr>
        <w:spacing w:line="360" w:lineRule="auto"/>
        <w:jc w:val="both"/>
        <w:rPr>
          <w:rFonts w:ascii="Arial" w:hAnsi="Arial" w:cs="Arial"/>
          <w:sz w:val="24"/>
          <w:szCs w:val="24"/>
        </w:rPr>
      </w:pPr>
      <w:r w:rsidRPr="00DF50E8">
        <w:rPr>
          <w:rFonts w:ascii="Arial" w:hAnsi="Arial" w:cs="Arial"/>
          <w:sz w:val="24"/>
          <w:szCs w:val="24"/>
        </w:rPr>
        <w:t>Bhabra, S., Hill,</w:t>
      </w:r>
      <w:r w:rsidR="007C2E98">
        <w:rPr>
          <w:rFonts w:ascii="Arial" w:hAnsi="Arial" w:cs="Arial"/>
          <w:sz w:val="24"/>
          <w:szCs w:val="24"/>
        </w:rPr>
        <w:t xml:space="preserve"> E</w:t>
      </w:r>
      <w:r w:rsidR="0043119C">
        <w:rPr>
          <w:rFonts w:ascii="Arial" w:hAnsi="Arial" w:cs="Arial"/>
          <w:sz w:val="24"/>
          <w:szCs w:val="24"/>
        </w:rPr>
        <w:t>.</w:t>
      </w:r>
      <w:r w:rsidR="007C2E98">
        <w:rPr>
          <w:rFonts w:ascii="Arial" w:hAnsi="Arial" w:cs="Arial"/>
          <w:sz w:val="24"/>
          <w:szCs w:val="24"/>
        </w:rPr>
        <w:t>,</w:t>
      </w:r>
      <w:r w:rsidRPr="00DF50E8">
        <w:rPr>
          <w:rFonts w:ascii="Arial" w:hAnsi="Arial" w:cs="Arial"/>
          <w:sz w:val="24"/>
          <w:szCs w:val="24"/>
        </w:rPr>
        <w:t xml:space="preserve"> and Ghate</w:t>
      </w:r>
      <w:r w:rsidR="007C2E98">
        <w:rPr>
          <w:rFonts w:ascii="Arial" w:hAnsi="Arial" w:cs="Arial"/>
          <w:sz w:val="24"/>
          <w:szCs w:val="24"/>
        </w:rPr>
        <w:t>, D.</w:t>
      </w:r>
      <w:r w:rsidRPr="00DF50E8">
        <w:rPr>
          <w:rFonts w:ascii="Arial" w:hAnsi="Arial" w:cs="Arial"/>
          <w:sz w:val="24"/>
          <w:szCs w:val="24"/>
        </w:rPr>
        <w:t xml:space="preserve"> </w:t>
      </w:r>
      <w:r w:rsidR="00A72D3B">
        <w:rPr>
          <w:rFonts w:ascii="Arial" w:hAnsi="Arial" w:cs="Arial"/>
          <w:sz w:val="24"/>
          <w:szCs w:val="24"/>
        </w:rPr>
        <w:t>(2004)</w:t>
      </w:r>
      <w:r w:rsidRPr="00DF50E8">
        <w:rPr>
          <w:rFonts w:ascii="Arial" w:hAnsi="Arial" w:cs="Arial"/>
          <w:sz w:val="24"/>
          <w:szCs w:val="24"/>
        </w:rPr>
        <w:t xml:space="preserve">. Safer Schools Partnerships: National Evaluation of the Safer School Partnerships Programme. London: Youth Justice Board for England and Wales. Available from: </w:t>
      </w:r>
      <w:hyperlink r:id="rId58" w:history="1">
        <w:r w:rsidR="0043119C" w:rsidRPr="007D0B0F">
          <w:rPr>
            <w:rStyle w:val="Hyperlink"/>
            <w:rFonts w:ascii="Arial" w:hAnsi="Arial" w:cs="Arial"/>
            <w:sz w:val="24"/>
            <w:szCs w:val="24"/>
          </w:rPr>
          <w:t>http://www.yjb.gov.uk/Publications/Scripts/prodView.asp?idProduct=200&amp;eP</w:t>
        </w:r>
      </w:hyperlink>
      <w:r w:rsidR="0043119C">
        <w:rPr>
          <w:rFonts w:ascii="Arial" w:hAnsi="Arial" w:cs="Arial"/>
          <w:sz w:val="24"/>
          <w:szCs w:val="24"/>
        </w:rPr>
        <w:t xml:space="preserve"> </w:t>
      </w:r>
      <w:r w:rsidR="0043119C" w:rsidRPr="008D2447">
        <w:rPr>
          <w:rFonts w:ascii="Arial" w:hAnsi="Arial" w:cs="Arial"/>
          <w:sz w:val="24"/>
          <w:szCs w:val="24"/>
        </w:rPr>
        <w:t xml:space="preserve">(Accessed: </w:t>
      </w:r>
      <w:r w:rsidR="00632970">
        <w:rPr>
          <w:rFonts w:ascii="Arial" w:hAnsi="Arial" w:cs="Arial"/>
          <w:sz w:val="24"/>
          <w:szCs w:val="24"/>
        </w:rPr>
        <w:t>22</w:t>
      </w:r>
      <w:r w:rsidR="0043119C" w:rsidRPr="008D2447">
        <w:rPr>
          <w:rFonts w:ascii="Arial" w:hAnsi="Arial" w:cs="Arial"/>
          <w:sz w:val="24"/>
          <w:szCs w:val="24"/>
        </w:rPr>
        <w:t xml:space="preserve"> March 2026).</w:t>
      </w:r>
    </w:p>
    <w:p w14:paraId="24AA579C" w14:textId="174E0A81" w:rsidR="007B0EFB" w:rsidRDefault="007B0EFB" w:rsidP="009E58ED">
      <w:pPr>
        <w:spacing w:line="360" w:lineRule="auto"/>
        <w:jc w:val="both"/>
        <w:rPr>
          <w:rFonts w:ascii="Arial" w:hAnsi="Arial" w:cs="Arial"/>
          <w:sz w:val="24"/>
          <w:szCs w:val="24"/>
        </w:rPr>
      </w:pPr>
      <w:r w:rsidRPr="007B0EFB">
        <w:rPr>
          <w:rFonts w:ascii="Arial" w:hAnsi="Arial" w:cs="Arial"/>
          <w:sz w:val="24"/>
          <w:szCs w:val="24"/>
        </w:rPr>
        <w:t xml:space="preserve">Bhavsar, V., Jannesari, S., McGuire, P., MacCabe, H., Das-Munshi, J., Bhugra, D., Dorrington, S., Brown, J., </w:t>
      </w:r>
      <w:proofErr w:type="spellStart"/>
      <w:r w:rsidRPr="007B0EFB">
        <w:rPr>
          <w:rFonts w:ascii="Arial" w:hAnsi="Arial" w:cs="Arial"/>
          <w:sz w:val="24"/>
          <w:szCs w:val="24"/>
        </w:rPr>
        <w:t>Hotopf</w:t>
      </w:r>
      <w:proofErr w:type="spellEnd"/>
      <w:r w:rsidRPr="007B0EFB">
        <w:rPr>
          <w:rFonts w:ascii="Arial" w:hAnsi="Arial" w:cs="Arial"/>
          <w:sz w:val="24"/>
          <w:szCs w:val="24"/>
        </w:rPr>
        <w:t>, M., and Hatch, S. (2021)</w:t>
      </w:r>
      <w:r>
        <w:rPr>
          <w:rFonts w:ascii="Arial" w:hAnsi="Arial" w:cs="Arial"/>
          <w:sz w:val="24"/>
          <w:szCs w:val="24"/>
        </w:rPr>
        <w:t>.</w:t>
      </w:r>
      <w:r w:rsidRPr="007B0EFB">
        <w:rPr>
          <w:rFonts w:ascii="Arial" w:hAnsi="Arial" w:cs="Arial"/>
          <w:sz w:val="24"/>
          <w:szCs w:val="24"/>
        </w:rPr>
        <w:t xml:space="preserve"> 'The association of migration and ethnicity with use of the Improving Access to Psychological Treatment (IAPT) programme: a general population cohort study', Social Psychiatry and Psychiatric Epidemiology, 56, pp. 1943-1956. Available at: </w:t>
      </w:r>
      <w:hyperlink r:id="rId59" w:history="1">
        <w:r w:rsidRPr="007D0B0F">
          <w:rPr>
            <w:rStyle w:val="Hyperlink"/>
            <w:rFonts w:ascii="Arial" w:hAnsi="Arial" w:cs="Arial"/>
            <w:sz w:val="24"/>
            <w:szCs w:val="24"/>
          </w:rPr>
          <w:t>https://link.springer.com/article/10.1007/s00127-021-02035-7</w:t>
        </w:r>
      </w:hyperlink>
      <w:r>
        <w:rPr>
          <w:rFonts w:ascii="Arial" w:hAnsi="Arial" w:cs="Arial"/>
          <w:sz w:val="24"/>
          <w:szCs w:val="24"/>
        </w:rPr>
        <w:t xml:space="preserve"> </w:t>
      </w:r>
      <w:r w:rsidRPr="007B0EFB">
        <w:rPr>
          <w:rFonts w:ascii="Arial" w:hAnsi="Arial" w:cs="Arial"/>
          <w:sz w:val="24"/>
          <w:szCs w:val="24"/>
        </w:rPr>
        <w:t>(Accessed: 30 March 2026).</w:t>
      </w:r>
    </w:p>
    <w:p w14:paraId="5CD37364" w14:textId="4F335728" w:rsidR="00EA60FE" w:rsidRDefault="00EA60FE" w:rsidP="009E58ED">
      <w:pPr>
        <w:spacing w:line="360" w:lineRule="auto"/>
        <w:jc w:val="both"/>
        <w:rPr>
          <w:rFonts w:ascii="Arial" w:hAnsi="Arial" w:cs="Arial"/>
          <w:sz w:val="24"/>
          <w:szCs w:val="24"/>
        </w:rPr>
      </w:pPr>
      <w:r w:rsidRPr="00EC3928">
        <w:rPr>
          <w:rFonts w:ascii="Arial" w:hAnsi="Arial" w:cs="Arial"/>
          <w:sz w:val="24"/>
          <w:szCs w:val="24"/>
        </w:rPr>
        <w:t>Bhopal, K. (2019)</w:t>
      </w:r>
      <w:r w:rsidR="006A48EF" w:rsidRPr="00EC3928">
        <w:rPr>
          <w:rFonts w:ascii="Arial" w:hAnsi="Arial" w:cs="Arial"/>
          <w:sz w:val="24"/>
          <w:szCs w:val="24"/>
        </w:rPr>
        <w:t>.</w:t>
      </w:r>
      <w:r w:rsidRPr="00EC3928">
        <w:rPr>
          <w:rFonts w:ascii="Arial" w:hAnsi="Arial" w:cs="Arial"/>
          <w:sz w:val="24"/>
          <w:szCs w:val="24"/>
        </w:rPr>
        <w:t xml:space="preserve"> 'Gender, ethnicity and career progression in UK higher education: a case study analysis', Research Papers in Education, 35(6), pp. 706</w:t>
      </w:r>
      <w:r w:rsidR="00A72D3B" w:rsidRPr="00EC3928">
        <w:rPr>
          <w:rFonts w:ascii="Arial" w:hAnsi="Arial" w:cs="Arial"/>
          <w:sz w:val="24"/>
          <w:szCs w:val="24"/>
        </w:rPr>
        <w:t>–</w:t>
      </w:r>
      <w:r w:rsidRPr="00EC3928">
        <w:rPr>
          <w:rFonts w:ascii="Arial" w:hAnsi="Arial" w:cs="Arial"/>
          <w:sz w:val="24"/>
          <w:szCs w:val="24"/>
        </w:rPr>
        <w:t xml:space="preserve">721. Available at: </w:t>
      </w:r>
      <w:hyperlink r:id="rId60" w:history="1">
        <w:r w:rsidR="00331561" w:rsidRPr="00EC3928">
          <w:rPr>
            <w:rStyle w:val="Hyperlink"/>
            <w:rFonts w:ascii="Arial" w:hAnsi="Arial" w:cs="Arial"/>
            <w:sz w:val="24"/>
            <w:szCs w:val="24"/>
          </w:rPr>
          <w:t>https://www.tandfonline.com/doi/epdf/10.1080/02671522.2019.1615118?needAccess=true</w:t>
        </w:r>
      </w:hyperlink>
      <w:r w:rsidR="00331561" w:rsidRPr="00EC3928">
        <w:rPr>
          <w:rFonts w:ascii="Arial" w:hAnsi="Arial" w:cs="Arial"/>
          <w:sz w:val="24"/>
          <w:szCs w:val="24"/>
        </w:rPr>
        <w:t xml:space="preserve"> </w:t>
      </w:r>
      <w:r w:rsidRPr="00EC3928">
        <w:rPr>
          <w:rFonts w:ascii="Arial" w:hAnsi="Arial" w:cs="Arial"/>
          <w:sz w:val="24"/>
          <w:szCs w:val="24"/>
        </w:rPr>
        <w:t xml:space="preserve">(Accessed: </w:t>
      </w:r>
      <w:r w:rsidR="00455085" w:rsidRPr="00EC3928">
        <w:rPr>
          <w:rFonts w:ascii="Arial" w:hAnsi="Arial" w:cs="Arial"/>
          <w:sz w:val="24"/>
          <w:szCs w:val="24"/>
        </w:rPr>
        <w:t xml:space="preserve">21 March </w:t>
      </w:r>
      <w:r w:rsidRPr="00EC3928">
        <w:rPr>
          <w:rFonts w:ascii="Arial" w:hAnsi="Arial" w:cs="Arial"/>
          <w:sz w:val="24"/>
          <w:szCs w:val="24"/>
        </w:rPr>
        <w:t>2026).</w:t>
      </w:r>
    </w:p>
    <w:p w14:paraId="450146AA" w14:textId="3F5AF4EB" w:rsidR="00D32908" w:rsidRDefault="00D32908" w:rsidP="009E58ED">
      <w:pPr>
        <w:spacing w:line="360" w:lineRule="auto"/>
        <w:jc w:val="both"/>
        <w:rPr>
          <w:rFonts w:ascii="Arial" w:hAnsi="Arial" w:cs="Arial"/>
          <w:sz w:val="24"/>
          <w:szCs w:val="24"/>
        </w:rPr>
      </w:pPr>
      <w:r w:rsidRPr="00D32908">
        <w:rPr>
          <w:rFonts w:ascii="Arial" w:hAnsi="Arial" w:cs="Arial"/>
          <w:sz w:val="24"/>
          <w:szCs w:val="24"/>
        </w:rPr>
        <w:t>Bhopal, K., and Henderson, H. (2019)</w:t>
      </w:r>
      <w:r>
        <w:rPr>
          <w:rFonts w:ascii="Arial" w:hAnsi="Arial" w:cs="Arial"/>
          <w:sz w:val="24"/>
          <w:szCs w:val="24"/>
        </w:rPr>
        <w:t xml:space="preserve">. </w:t>
      </w:r>
      <w:r w:rsidRPr="00D32908">
        <w:rPr>
          <w:rFonts w:ascii="Arial" w:hAnsi="Arial" w:cs="Arial"/>
          <w:i/>
          <w:iCs/>
          <w:sz w:val="24"/>
          <w:szCs w:val="24"/>
        </w:rPr>
        <w:t>Advancing Equality in Higher Education: An Exploratory Study of the Athena SWAN and Race Equality Charters</w:t>
      </w:r>
      <w:r w:rsidRPr="00D32908">
        <w:rPr>
          <w:rFonts w:ascii="Arial" w:hAnsi="Arial" w:cs="Arial"/>
          <w:sz w:val="24"/>
          <w:szCs w:val="24"/>
        </w:rPr>
        <w:t xml:space="preserve">. British Academy. Available at: </w:t>
      </w:r>
      <w:hyperlink r:id="rId61" w:history="1">
        <w:r w:rsidRPr="00FB3832">
          <w:rPr>
            <w:rStyle w:val="Hyperlink"/>
            <w:rFonts w:ascii="Arial" w:hAnsi="Arial" w:cs="Arial"/>
            <w:sz w:val="24"/>
            <w:szCs w:val="24"/>
          </w:rPr>
          <w:t>https://www.birmingham.ac.uk/documents/college-social-sciences/education/reports/advancing-equality-and-higher-education.pdf</w:t>
        </w:r>
      </w:hyperlink>
      <w:r>
        <w:rPr>
          <w:rFonts w:ascii="Arial" w:hAnsi="Arial" w:cs="Arial"/>
          <w:sz w:val="24"/>
          <w:szCs w:val="24"/>
        </w:rPr>
        <w:t xml:space="preserve"> </w:t>
      </w:r>
      <w:r w:rsidRPr="00D32908">
        <w:rPr>
          <w:rFonts w:ascii="Arial" w:hAnsi="Arial" w:cs="Arial"/>
          <w:sz w:val="24"/>
          <w:szCs w:val="24"/>
        </w:rPr>
        <w:t>(Accessed: 20 March 2026).</w:t>
      </w:r>
    </w:p>
    <w:p w14:paraId="3D89F44C" w14:textId="5063D2E9" w:rsidR="00721642" w:rsidRDefault="00721642" w:rsidP="009E58ED">
      <w:pPr>
        <w:spacing w:line="360" w:lineRule="auto"/>
        <w:jc w:val="both"/>
        <w:rPr>
          <w:rFonts w:ascii="Arial" w:hAnsi="Arial" w:cs="Arial"/>
          <w:sz w:val="24"/>
          <w:szCs w:val="24"/>
        </w:rPr>
      </w:pPr>
      <w:r w:rsidRPr="00721642">
        <w:rPr>
          <w:rFonts w:ascii="Arial" w:hAnsi="Arial" w:cs="Arial"/>
          <w:sz w:val="24"/>
          <w:szCs w:val="24"/>
        </w:rPr>
        <w:lastRenderedPageBreak/>
        <w:t xml:space="preserve">Bhopal, K., Myers, M., Pitkin, C. (2020b). 'Routes through higher education: BME students and the development of a ‘specialisation of consciousness’', British Educational Research Journal, 46(6), pp. 1321–1337. Available at: </w:t>
      </w:r>
      <w:hyperlink r:id="rId62" w:history="1">
        <w:r w:rsidRPr="007D0B0F">
          <w:rPr>
            <w:rStyle w:val="Hyperlink"/>
            <w:rFonts w:ascii="Arial" w:hAnsi="Arial" w:cs="Arial"/>
            <w:sz w:val="24"/>
            <w:szCs w:val="24"/>
          </w:rPr>
          <w:t>https://pure-oai.bham.ac.uk/ws/files/94867657/Accepted_version_Bhopal_et_al_BERJ.pdf</w:t>
        </w:r>
      </w:hyperlink>
      <w:r>
        <w:rPr>
          <w:rFonts w:ascii="Arial" w:hAnsi="Arial" w:cs="Arial"/>
          <w:sz w:val="24"/>
          <w:szCs w:val="24"/>
        </w:rPr>
        <w:t xml:space="preserve"> </w:t>
      </w:r>
      <w:r w:rsidRPr="00721642">
        <w:rPr>
          <w:rFonts w:ascii="Arial" w:hAnsi="Arial" w:cs="Arial"/>
          <w:sz w:val="24"/>
          <w:szCs w:val="24"/>
        </w:rPr>
        <w:t>(Accessed: 24 March 2026).</w:t>
      </w:r>
    </w:p>
    <w:p w14:paraId="35729BEA" w14:textId="0334C3CA" w:rsidR="00A679DC" w:rsidRDefault="00A679DC" w:rsidP="009E58ED">
      <w:pPr>
        <w:spacing w:line="360" w:lineRule="auto"/>
        <w:jc w:val="both"/>
        <w:rPr>
          <w:rFonts w:ascii="Arial" w:hAnsi="Arial" w:cs="Arial"/>
          <w:sz w:val="24"/>
          <w:szCs w:val="24"/>
        </w:rPr>
      </w:pPr>
      <w:r w:rsidRPr="00A679DC">
        <w:rPr>
          <w:rFonts w:ascii="Arial" w:hAnsi="Arial" w:cs="Arial"/>
          <w:sz w:val="24"/>
          <w:szCs w:val="24"/>
        </w:rPr>
        <w:t>Bhopal, K., and Pitkin, C. (2018)</w:t>
      </w:r>
      <w:r w:rsidR="00DB5751">
        <w:rPr>
          <w:rFonts w:ascii="Arial" w:hAnsi="Arial" w:cs="Arial"/>
          <w:sz w:val="24"/>
          <w:szCs w:val="24"/>
        </w:rPr>
        <w:t xml:space="preserve">. </w:t>
      </w:r>
      <w:r w:rsidRPr="00A679DC">
        <w:rPr>
          <w:rFonts w:ascii="Arial" w:hAnsi="Arial" w:cs="Arial"/>
          <w:i/>
          <w:iCs/>
          <w:sz w:val="24"/>
          <w:szCs w:val="24"/>
        </w:rPr>
        <w:t>Investigating higher education institutions and their views</w:t>
      </w:r>
      <w:r>
        <w:rPr>
          <w:rFonts w:ascii="Arial" w:hAnsi="Arial" w:cs="Arial"/>
          <w:i/>
          <w:iCs/>
          <w:sz w:val="24"/>
          <w:szCs w:val="24"/>
        </w:rPr>
        <w:t xml:space="preserve"> </w:t>
      </w:r>
      <w:r w:rsidRPr="00A679DC">
        <w:rPr>
          <w:rFonts w:ascii="Arial" w:hAnsi="Arial" w:cs="Arial"/>
          <w:i/>
          <w:iCs/>
          <w:sz w:val="24"/>
          <w:szCs w:val="24"/>
        </w:rPr>
        <w:t>on the Race Equality Charter</w:t>
      </w:r>
      <w:r w:rsidRPr="00A679DC">
        <w:rPr>
          <w:rFonts w:ascii="Arial" w:hAnsi="Arial" w:cs="Arial"/>
          <w:sz w:val="24"/>
          <w:szCs w:val="24"/>
        </w:rPr>
        <w:t xml:space="preserve">. University and College Union Available at: </w:t>
      </w:r>
      <w:hyperlink r:id="rId63" w:history="1">
        <w:r w:rsidR="00DB5751" w:rsidRPr="00FB3832">
          <w:rPr>
            <w:rStyle w:val="Hyperlink"/>
            <w:rFonts w:ascii="Arial" w:hAnsi="Arial" w:cs="Arial"/>
            <w:sz w:val="24"/>
            <w:szCs w:val="24"/>
          </w:rPr>
          <w:t>https://www.ucu.org.uk/media/9535/Investigating-higher-education-institutions-and-their-views-on-the-Race-Equality-Charter-Sept-18/pdf/REC_report_Sep18_fp.pdf</w:t>
        </w:r>
      </w:hyperlink>
      <w:r w:rsidR="00DB5751">
        <w:rPr>
          <w:rFonts w:ascii="Arial" w:hAnsi="Arial" w:cs="Arial"/>
          <w:sz w:val="24"/>
          <w:szCs w:val="24"/>
        </w:rPr>
        <w:t xml:space="preserve"> </w:t>
      </w:r>
      <w:r w:rsidRPr="00A679DC">
        <w:rPr>
          <w:rFonts w:ascii="Arial" w:hAnsi="Arial" w:cs="Arial"/>
          <w:sz w:val="24"/>
          <w:szCs w:val="24"/>
        </w:rPr>
        <w:t>(Accessed: 20 March 2026).</w:t>
      </w:r>
    </w:p>
    <w:p w14:paraId="476F1B1B" w14:textId="7791DBEA" w:rsidR="00211AC5" w:rsidRDefault="00211AC5" w:rsidP="009E58ED">
      <w:pPr>
        <w:spacing w:line="360" w:lineRule="auto"/>
        <w:jc w:val="both"/>
        <w:rPr>
          <w:rFonts w:ascii="Arial" w:hAnsi="Arial" w:cs="Arial"/>
          <w:sz w:val="24"/>
          <w:szCs w:val="24"/>
        </w:rPr>
      </w:pPr>
      <w:r w:rsidRPr="00211AC5">
        <w:rPr>
          <w:rFonts w:ascii="Arial" w:hAnsi="Arial" w:cs="Arial"/>
          <w:sz w:val="24"/>
          <w:szCs w:val="24"/>
        </w:rPr>
        <w:t xml:space="preserve">Bhopal, K., </w:t>
      </w:r>
      <w:r w:rsidR="009144FC">
        <w:rPr>
          <w:rFonts w:ascii="Arial" w:hAnsi="Arial" w:cs="Arial"/>
          <w:sz w:val="24"/>
          <w:szCs w:val="24"/>
        </w:rPr>
        <w:t xml:space="preserve">and </w:t>
      </w:r>
      <w:r w:rsidRPr="00211AC5">
        <w:rPr>
          <w:rFonts w:ascii="Arial" w:hAnsi="Arial" w:cs="Arial"/>
          <w:sz w:val="24"/>
          <w:szCs w:val="24"/>
        </w:rPr>
        <w:t>Pitkin, C. (2020)</w:t>
      </w:r>
      <w:r w:rsidR="00845B09">
        <w:rPr>
          <w:rFonts w:ascii="Arial" w:hAnsi="Arial" w:cs="Arial"/>
          <w:sz w:val="24"/>
          <w:szCs w:val="24"/>
        </w:rPr>
        <w:t>.</w:t>
      </w:r>
      <w:r w:rsidRPr="00211AC5">
        <w:rPr>
          <w:rFonts w:ascii="Arial" w:hAnsi="Arial" w:cs="Arial"/>
          <w:sz w:val="24"/>
          <w:szCs w:val="24"/>
        </w:rPr>
        <w:t>'</w:t>
      </w:r>
      <w:r>
        <w:rPr>
          <w:rFonts w:ascii="Arial" w:hAnsi="Arial" w:cs="Arial"/>
          <w:sz w:val="24"/>
          <w:szCs w:val="24"/>
        </w:rPr>
        <w:t xml:space="preserve"> </w:t>
      </w:r>
      <w:r w:rsidRPr="00211AC5">
        <w:rPr>
          <w:rFonts w:ascii="Arial" w:hAnsi="Arial" w:cs="Arial"/>
          <w:sz w:val="24"/>
          <w:szCs w:val="24"/>
        </w:rPr>
        <w:t>"Same old story, just a different policy</w:t>
      </w:r>
      <w:r w:rsidR="00FD3B10">
        <w:rPr>
          <w:rFonts w:ascii="Arial" w:hAnsi="Arial" w:cs="Arial"/>
          <w:sz w:val="24"/>
          <w:szCs w:val="24"/>
        </w:rPr>
        <w:t>”</w:t>
      </w:r>
      <w:r w:rsidRPr="00211AC5">
        <w:rPr>
          <w:rFonts w:ascii="Arial" w:hAnsi="Arial" w:cs="Arial"/>
          <w:sz w:val="24"/>
          <w:szCs w:val="24"/>
        </w:rPr>
        <w:t>: race and policy making in higher education in the UK', </w:t>
      </w:r>
      <w:r w:rsidRPr="00211AC5">
        <w:rPr>
          <w:rFonts w:ascii="Arial" w:hAnsi="Arial" w:cs="Arial"/>
          <w:i/>
          <w:iCs/>
          <w:sz w:val="24"/>
          <w:szCs w:val="24"/>
        </w:rPr>
        <w:t>Race Ethnicity and Education</w:t>
      </w:r>
      <w:r w:rsidRPr="00211AC5">
        <w:rPr>
          <w:rFonts w:ascii="Arial" w:hAnsi="Arial" w:cs="Arial"/>
          <w:sz w:val="24"/>
          <w:szCs w:val="24"/>
        </w:rPr>
        <w:t>, 23(4), pp. 530</w:t>
      </w:r>
      <w:r w:rsidR="00845B09">
        <w:rPr>
          <w:rFonts w:ascii="Arial" w:hAnsi="Arial" w:cs="Arial"/>
          <w:sz w:val="24"/>
          <w:szCs w:val="24"/>
        </w:rPr>
        <w:t>–</w:t>
      </w:r>
      <w:r w:rsidRPr="00211AC5">
        <w:rPr>
          <w:rFonts w:ascii="Arial" w:hAnsi="Arial" w:cs="Arial"/>
          <w:sz w:val="24"/>
          <w:szCs w:val="24"/>
        </w:rPr>
        <w:t xml:space="preserve">547. Available at: </w:t>
      </w:r>
      <w:hyperlink r:id="rId64" w:anchor="abstract" w:history="1">
        <w:r w:rsidR="00FD3B10" w:rsidRPr="00FB3832">
          <w:rPr>
            <w:rStyle w:val="Hyperlink"/>
            <w:rFonts w:ascii="Arial" w:hAnsi="Arial" w:cs="Arial"/>
            <w:sz w:val="24"/>
            <w:szCs w:val="24"/>
          </w:rPr>
          <w:t>https://www.tandfonline.com/doi/full/10.1080/13613324.2020.1718082?scroll=top&amp;needAccess=true#abstract</w:t>
        </w:r>
      </w:hyperlink>
      <w:r w:rsidR="00FD3B10">
        <w:rPr>
          <w:rFonts w:ascii="Arial" w:hAnsi="Arial" w:cs="Arial"/>
          <w:sz w:val="24"/>
          <w:szCs w:val="24"/>
        </w:rPr>
        <w:t xml:space="preserve"> </w:t>
      </w:r>
      <w:r w:rsidRPr="00211AC5">
        <w:rPr>
          <w:rFonts w:ascii="Arial" w:hAnsi="Arial" w:cs="Arial"/>
          <w:sz w:val="24"/>
          <w:szCs w:val="24"/>
        </w:rPr>
        <w:t>(Accessed: 20 March 2026).</w:t>
      </w:r>
    </w:p>
    <w:p w14:paraId="086FEAC2" w14:textId="12932093" w:rsidR="00D658C5" w:rsidRDefault="00D658C5" w:rsidP="009E58ED">
      <w:pPr>
        <w:spacing w:line="360" w:lineRule="auto"/>
        <w:jc w:val="both"/>
        <w:rPr>
          <w:rFonts w:ascii="Arial" w:hAnsi="Arial" w:cs="Arial"/>
          <w:sz w:val="24"/>
          <w:szCs w:val="24"/>
        </w:rPr>
      </w:pPr>
      <w:r w:rsidRPr="00D658C5">
        <w:rPr>
          <w:rFonts w:ascii="Arial" w:hAnsi="Arial" w:cs="Arial"/>
          <w:sz w:val="24"/>
          <w:szCs w:val="24"/>
        </w:rPr>
        <w:t>Bhopal, K., and Preston, J. (2012)</w:t>
      </w:r>
      <w:r w:rsidR="0029587E">
        <w:rPr>
          <w:rFonts w:ascii="Arial" w:hAnsi="Arial" w:cs="Arial"/>
          <w:sz w:val="24"/>
          <w:szCs w:val="24"/>
        </w:rPr>
        <w:t xml:space="preserve">. </w:t>
      </w:r>
      <w:r w:rsidRPr="00D658C5">
        <w:rPr>
          <w:rFonts w:ascii="Arial" w:hAnsi="Arial" w:cs="Arial"/>
          <w:i/>
          <w:iCs/>
          <w:sz w:val="24"/>
          <w:szCs w:val="24"/>
        </w:rPr>
        <w:t>Intersectionality and Race in</w:t>
      </w:r>
      <w:r w:rsidR="0029587E">
        <w:rPr>
          <w:rFonts w:ascii="Arial" w:hAnsi="Arial" w:cs="Arial"/>
          <w:i/>
          <w:iCs/>
          <w:sz w:val="24"/>
          <w:szCs w:val="24"/>
        </w:rPr>
        <w:t xml:space="preserve"> </w:t>
      </w:r>
      <w:r w:rsidRPr="00D658C5">
        <w:rPr>
          <w:rFonts w:ascii="Arial" w:hAnsi="Arial" w:cs="Arial"/>
          <w:i/>
          <w:iCs/>
          <w:sz w:val="24"/>
          <w:szCs w:val="24"/>
        </w:rPr>
        <w:t>Education.</w:t>
      </w:r>
      <w:r w:rsidRPr="00D658C5">
        <w:rPr>
          <w:rFonts w:ascii="Arial" w:hAnsi="Arial" w:cs="Arial"/>
          <w:sz w:val="24"/>
          <w:szCs w:val="24"/>
        </w:rPr>
        <w:t xml:space="preserve"> Routledge New York. Available at: </w:t>
      </w:r>
      <w:hyperlink r:id="rId65" w:history="1">
        <w:r w:rsidR="0029587E" w:rsidRPr="00FB3832">
          <w:rPr>
            <w:rStyle w:val="Hyperlink"/>
            <w:rFonts w:ascii="Arial" w:hAnsi="Arial" w:cs="Arial"/>
            <w:sz w:val="24"/>
            <w:szCs w:val="24"/>
          </w:rPr>
          <w:t>file:///C:/Users/Student/Downloads/9780203802755_previewpdf.pdf</w:t>
        </w:r>
      </w:hyperlink>
      <w:r w:rsidR="0029587E">
        <w:rPr>
          <w:rFonts w:ascii="Arial" w:hAnsi="Arial" w:cs="Arial"/>
          <w:sz w:val="24"/>
          <w:szCs w:val="24"/>
        </w:rPr>
        <w:t xml:space="preserve"> </w:t>
      </w:r>
      <w:r w:rsidRPr="00D658C5">
        <w:rPr>
          <w:rFonts w:ascii="Arial" w:hAnsi="Arial" w:cs="Arial"/>
          <w:sz w:val="24"/>
          <w:szCs w:val="24"/>
        </w:rPr>
        <w:t>(Accessed: 19 March 2026).</w:t>
      </w:r>
    </w:p>
    <w:p w14:paraId="3A929B1F" w14:textId="0CFD1BDE" w:rsidR="00AE014E" w:rsidRDefault="00AE014E" w:rsidP="009E58ED">
      <w:pPr>
        <w:spacing w:line="360" w:lineRule="auto"/>
        <w:jc w:val="both"/>
        <w:rPr>
          <w:rFonts w:ascii="Arial" w:hAnsi="Arial" w:cs="Arial"/>
          <w:sz w:val="24"/>
          <w:szCs w:val="24"/>
        </w:rPr>
      </w:pPr>
      <w:r w:rsidRPr="00AE014E">
        <w:rPr>
          <w:rFonts w:ascii="Arial" w:hAnsi="Arial" w:cs="Arial"/>
          <w:sz w:val="24"/>
          <w:szCs w:val="24"/>
        </w:rPr>
        <w:t>Bhopal, K. (2015). 'Race, identity and support in initial teacher training', British Journal of Educational Studies, 63(2), pp. 197</w:t>
      </w:r>
      <w:r>
        <w:rPr>
          <w:rFonts w:ascii="Arial" w:hAnsi="Arial" w:cs="Arial"/>
          <w:sz w:val="24"/>
          <w:szCs w:val="24"/>
        </w:rPr>
        <w:t>–</w:t>
      </w:r>
      <w:r w:rsidRPr="00AE014E">
        <w:rPr>
          <w:rFonts w:ascii="Arial" w:hAnsi="Arial" w:cs="Arial"/>
          <w:sz w:val="24"/>
          <w:szCs w:val="24"/>
        </w:rPr>
        <w:t xml:space="preserve">211. Available at: </w:t>
      </w:r>
      <w:hyperlink r:id="rId66" w:history="1">
        <w:r w:rsidRPr="007D0B0F">
          <w:rPr>
            <w:rStyle w:val="Hyperlink"/>
            <w:rFonts w:ascii="Arial" w:hAnsi="Arial" w:cs="Arial"/>
            <w:sz w:val="24"/>
            <w:szCs w:val="24"/>
          </w:rPr>
          <w:t>https://pure-oai.bham.ac.uk/ws/files/39291838/_soton.ac.uk_ude_personalfiles_users_kb4_mydocuments_publications_Teacher_training_article_Sept2014_BJES_sept2014_final_version_3_Jan2015_Race_identity_and_support_in_intital_teach_training_final.pdf</w:t>
        </w:r>
      </w:hyperlink>
      <w:r>
        <w:rPr>
          <w:rFonts w:ascii="Arial" w:hAnsi="Arial" w:cs="Arial"/>
          <w:sz w:val="24"/>
          <w:szCs w:val="24"/>
        </w:rPr>
        <w:t xml:space="preserve">  (</w:t>
      </w:r>
      <w:r w:rsidRPr="00AE014E">
        <w:rPr>
          <w:rFonts w:ascii="Arial" w:hAnsi="Arial" w:cs="Arial"/>
          <w:sz w:val="24"/>
          <w:szCs w:val="24"/>
        </w:rPr>
        <w:t>Accessed: 24 March 2026).</w:t>
      </w:r>
    </w:p>
    <w:p w14:paraId="1D79E95D" w14:textId="3189A464" w:rsidR="00533DD7" w:rsidRDefault="00533DD7" w:rsidP="009E58ED">
      <w:pPr>
        <w:spacing w:line="360" w:lineRule="auto"/>
        <w:jc w:val="both"/>
        <w:rPr>
          <w:rFonts w:ascii="Arial" w:hAnsi="Arial" w:cs="Arial"/>
          <w:sz w:val="24"/>
          <w:szCs w:val="24"/>
        </w:rPr>
      </w:pPr>
      <w:r w:rsidRPr="00EC3928">
        <w:rPr>
          <w:rFonts w:ascii="Arial" w:hAnsi="Arial" w:cs="Arial"/>
          <w:sz w:val="24"/>
          <w:szCs w:val="24"/>
        </w:rPr>
        <w:t>Bhopal, K. (2019)</w:t>
      </w:r>
      <w:r w:rsidR="00845B09" w:rsidRPr="00EC3928">
        <w:rPr>
          <w:rFonts w:ascii="Arial" w:hAnsi="Arial" w:cs="Arial"/>
          <w:sz w:val="24"/>
          <w:szCs w:val="24"/>
        </w:rPr>
        <w:t>.</w:t>
      </w:r>
      <w:r w:rsidRPr="00EC3928">
        <w:rPr>
          <w:rFonts w:ascii="Arial" w:hAnsi="Arial" w:cs="Arial"/>
          <w:sz w:val="24"/>
          <w:szCs w:val="24"/>
        </w:rPr>
        <w:t xml:space="preserve"> 'Success Against the Odds: The Effect of Mentoring on the Careers of Senior Black and Minority Ethnic Academics </w:t>
      </w:r>
      <w:r w:rsidR="002303D7" w:rsidRPr="00EC3928">
        <w:rPr>
          <w:rFonts w:ascii="Arial" w:hAnsi="Arial" w:cs="Arial"/>
          <w:sz w:val="24"/>
          <w:szCs w:val="24"/>
        </w:rPr>
        <w:t>i</w:t>
      </w:r>
      <w:r w:rsidRPr="00EC3928">
        <w:rPr>
          <w:rFonts w:ascii="Arial" w:hAnsi="Arial" w:cs="Arial"/>
          <w:sz w:val="24"/>
          <w:szCs w:val="24"/>
        </w:rPr>
        <w:t xml:space="preserve">n </w:t>
      </w:r>
      <w:r w:rsidR="002303D7" w:rsidRPr="00EC3928">
        <w:rPr>
          <w:rFonts w:ascii="Arial" w:hAnsi="Arial" w:cs="Arial"/>
          <w:sz w:val="24"/>
          <w:szCs w:val="24"/>
        </w:rPr>
        <w:t>t</w:t>
      </w:r>
      <w:r w:rsidRPr="00EC3928">
        <w:rPr>
          <w:rFonts w:ascii="Arial" w:hAnsi="Arial" w:cs="Arial"/>
          <w:sz w:val="24"/>
          <w:szCs w:val="24"/>
        </w:rPr>
        <w:t>he UK', </w:t>
      </w:r>
      <w:r w:rsidRPr="00EC3928">
        <w:rPr>
          <w:rFonts w:ascii="Arial" w:hAnsi="Arial" w:cs="Arial"/>
          <w:i/>
          <w:iCs/>
          <w:sz w:val="24"/>
          <w:szCs w:val="24"/>
        </w:rPr>
        <w:t>British Journal of Educational Studies</w:t>
      </w:r>
      <w:r w:rsidRPr="00EC3928">
        <w:rPr>
          <w:rFonts w:ascii="Arial" w:hAnsi="Arial" w:cs="Arial"/>
          <w:sz w:val="24"/>
          <w:szCs w:val="24"/>
        </w:rPr>
        <w:t>, 68(1), pp. 79</w:t>
      </w:r>
      <w:r w:rsidR="00845B09" w:rsidRPr="00EC3928">
        <w:rPr>
          <w:rFonts w:ascii="Arial" w:hAnsi="Arial" w:cs="Arial"/>
          <w:sz w:val="24"/>
          <w:szCs w:val="24"/>
        </w:rPr>
        <w:t>–</w:t>
      </w:r>
      <w:r w:rsidRPr="00EC3928">
        <w:rPr>
          <w:rFonts w:ascii="Arial" w:hAnsi="Arial" w:cs="Arial"/>
          <w:sz w:val="24"/>
          <w:szCs w:val="24"/>
        </w:rPr>
        <w:t xml:space="preserve">95. Available at: </w:t>
      </w:r>
      <w:hyperlink r:id="rId67" w:history="1">
        <w:r w:rsidR="002303D7" w:rsidRPr="00EC3928">
          <w:rPr>
            <w:rStyle w:val="Hyperlink"/>
            <w:rFonts w:ascii="Arial" w:hAnsi="Arial" w:cs="Arial"/>
            <w:sz w:val="24"/>
            <w:szCs w:val="24"/>
          </w:rPr>
          <w:t>https://www.tandfonline.com/doi/abs/10.1080/00071005.2019.1581127</w:t>
        </w:r>
      </w:hyperlink>
      <w:r w:rsidR="002303D7" w:rsidRPr="00EC3928">
        <w:rPr>
          <w:rFonts w:ascii="Arial" w:hAnsi="Arial" w:cs="Arial"/>
          <w:sz w:val="24"/>
          <w:szCs w:val="24"/>
        </w:rPr>
        <w:t xml:space="preserve"> </w:t>
      </w:r>
      <w:r w:rsidRPr="00EC3928">
        <w:rPr>
          <w:rFonts w:ascii="Arial" w:hAnsi="Arial" w:cs="Arial"/>
          <w:sz w:val="24"/>
          <w:szCs w:val="24"/>
        </w:rPr>
        <w:t>(Accessed: 21 March 2026).</w:t>
      </w:r>
    </w:p>
    <w:p w14:paraId="59C5AD2F" w14:textId="7C3DDBE4" w:rsidR="001504FE" w:rsidRDefault="001504FE" w:rsidP="009E58ED">
      <w:pPr>
        <w:spacing w:line="360" w:lineRule="auto"/>
        <w:jc w:val="both"/>
        <w:rPr>
          <w:rFonts w:ascii="Arial" w:hAnsi="Arial" w:cs="Arial"/>
          <w:sz w:val="24"/>
          <w:szCs w:val="24"/>
        </w:rPr>
      </w:pPr>
      <w:r w:rsidRPr="001504FE">
        <w:rPr>
          <w:rFonts w:ascii="Arial" w:hAnsi="Arial" w:cs="Arial"/>
          <w:sz w:val="24"/>
          <w:szCs w:val="24"/>
        </w:rPr>
        <w:t>Bignall, T., Jeraj, S., Helsby, E., and Butt, J. (2019)</w:t>
      </w:r>
      <w:r>
        <w:rPr>
          <w:rFonts w:ascii="Arial" w:hAnsi="Arial" w:cs="Arial"/>
          <w:sz w:val="24"/>
          <w:szCs w:val="24"/>
        </w:rPr>
        <w:t>.</w:t>
      </w:r>
      <w:r w:rsidRPr="001504FE">
        <w:rPr>
          <w:rFonts w:ascii="Arial" w:hAnsi="Arial" w:cs="Arial"/>
          <w:sz w:val="24"/>
          <w:szCs w:val="24"/>
        </w:rPr>
        <w:t xml:space="preserve"> Racial disparities in mental health:</w:t>
      </w:r>
      <w:r>
        <w:rPr>
          <w:rFonts w:ascii="Arial" w:hAnsi="Arial" w:cs="Arial"/>
          <w:sz w:val="24"/>
          <w:szCs w:val="24"/>
        </w:rPr>
        <w:t xml:space="preserve"> </w:t>
      </w:r>
      <w:r w:rsidRPr="001504FE">
        <w:rPr>
          <w:rFonts w:ascii="Arial" w:hAnsi="Arial" w:cs="Arial"/>
          <w:sz w:val="24"/>
          <w:szCs w:val="24"/>
        </w:rPr>
        <w:t xml:space="preserve">Literature and evidence review. Race Equality Foundation Available at:  </w:t>
      </w:r>
      <w:hyperlink r:id="rId68" w:history="1">
        <w:r w:rsidRPr="007D0B0F">
          <w:rPr>
            <w:rStyle w:val="Hyperlink"/>
            <w:rFonts w:ascii="Arial" w:hAnsi="Arial" w:cs="Arial"/>
            <w:sz w:val="24"/>
            <w:szCs w:val="24"/>
          </w:rPr>
          <w:t>https://raceequalityfoundation.org.uk/wp-content/uploads/2022/10/mental-health-report-v5-2-2.pdf</w:t>
        </w:r>
      </w:hyperlink>
      <w:r>
        <w:rPr>
          <w:rFonts w:ascii="Arial" w:hAnsi="Arial" w:cs="Arial"/>
          <w:sz w:val="24"/>
          <w:szCs w:val="24"/>
        </w:rPr>
        <w:t xml:space="preserve">  </w:t>
      </w:r>
      <w:r w:rsidRPr="001504FE">
        <w:rPr>
          <w:rFonts w:ascii="Arial" w:hAnsi="Arial" w:cs="Arial"/>
          <w:sz w:val="24"/>
          <w:szCs w:val="24"/>
        </w:rPr>
        <w:t>Accessed: 29 March 2026).</w:t>
      </w:r>
    </w:p>
    <w:p w14:paraId="3D5C4868" w14:textId="32C37521" w:rsidR="003B749E" w:rsidRDefault="003B749E" w:rsidP="009E58ED">
      <w:pPr>
        <w:spacing w:line="360" w:lineRule="auto"/>
        <w:jc w:val="both"/>
        <w:rPr>
          <w:rFonts w:ascii="Arial" w:hAnsi="Arial" w:cs="Arial"/>
          <w:sz w:val="24"/>
          <w:szCs w:val="24"/>
        </w:rPr>
      </w:pPr>
      <w:r w:rsidRPr="003B749E">
        <w:rPr>
          <w:rFonts w:ascii="Arial" w:hAnsi="Arial" w:cs="Arial"/>
          <w:sz w:val="24"/>
          <w:szCs w:val="24"/>
        </w:rPr>
        <w:t>Blair, I. (2002)</w:t>
      </w:r>
      <w:r w:rsidR="00845B09">
        <w:rPr>
          <w:rFonts w:ascii="Arial" w:hAnsi="Arial" w:cs="Arial"/>
          <w:sz w:val="24"/>
          <w:szCs w:val="24"/>
        </w:rPr>
        <w:t>.</w:t>
      </w:r>
      <w:r w:rsidRPr="003B749E">
        <w:rPr>
          <w:rFonts w:ascii="Arial" w:hAnsi="Arial" w:cs="Arial"/>
          <w:sz w:val="24"/>
          <w:szCs w:val="24"/>
        </w:rPr>
        <w:t xml:space="preserve"> 'The Malleability of Automatic Stereotypes and Prejudice', </w:t>
      </w:r>
      <w:r w:rsidRPr="003B749E">
        <w:rPr>
          <w:rFonts w:ascii="Arial" w:hAnsi="Arial" w:cs="Arial"/>
          <w:i/>
          <w:iCs/>
          <w:sz w:val="24"/>
          <w:szCs w:val="24"/>
        </w:rPr>
        <w:t>Personality and Social Psychology Review</w:t>
      </w:r>
      <w:r w:rsidRPr="003B749E">
        <w:rPr>
          <w:rFonts w:ascii="Arial" w:hAnsi="Arial" w:cs="Arial"/>
          <w:sz w:val="24"/>
          <w:szCs w:val="24"/>
        </w:rPr>
        <w:t>, 6(3), pp. 242</w:t>
      </w:r>
      <w:r w:rsidR="00845B09">
        <w:rPr>
          <w:rFonts w:ascii="Arial" w:hAnsi="Arial" w:cs="Arial"/>
          <w:sz w:val="24"/>
          <w:szCs w:val="24"/>
        </w:rPr>
        <w:t>–</w:t>
      </w:r>
      <w:r w:rsidRPr="003B749E">
        <w:rPr>
          <w:rFonts w:ascii="Arial" w:hAnsi="Arial" w:cs="Arial"/>
          <w:sz w:val="24"/>
          <w:szCs w:val="24"/>
        </w:rPr>
        <w:t xml:space="preserve">261. Available at: </w:t>
      </w:r>
      <w:hyperlink r:id="rId69" w:history="1">
        <w:r w:rsidRPr="00FB3832">
          <w:rPr>
            <w:rStyle w:val="Hyperlink"/>
            <w:rFonts w:ascii="Arial" w:hAnsi="Arial" w:cs="Arial"/>
            <w:sz w:val="24"/>
            <w:szCs w:val="24"/>
          </w:rPr>
          <w:t>https://journals.sagepub.com/doi/epdf/10.1207/S15327957PSPR0603_8</w:t>
        </w:r>
      </w:hyperlink>
      <w:r>
        <w:rPr>
          <w:rFonts w:ascii="Arial" w:hAnsi="Arial" w:cs="Arial"/>
          <w:sz w:val="24"/>
          <w:szCs w:val="24"/>
        </w:rPr>
        <w:t xml:space="preserve"> </w:t>
      </w:r>
      <w:r w:rsidRPr="003B749E">
        <w:rPr>
          <w:rFonts w:ascii="Arial" w:hAnsi="Arial" w:cs="Arial"/>
          <w:sz w:val="24"/>
          <w:szCs w:val="24"/>
        </w:rPr>
        <w:t>(Accessed: 19 March 2026).</w:t>
      </w:r>
    </w:p>
    <w:p w14:paraId="6370248B" w14:textId="10F96EDC" w:rsidR="00A309AB" w:rsidRDefault="00A309AB" w:rsidP="009E58ED">
      <w:pPr>
        <w:spacing w:line="360" w:lineRule="auto"/>
        <w:jc w:val="both"/>
        <w:rPr>
          <w:rFonts w:ascii="Arial" w:hAnsi="Arial" w:cs="Arial"/>
          <w:sz w:val="24"/>
          <w:szCs w:val="24"/>
        </w:rPr>
      </w:pPr>
      <w:r w:rsidRPr="00A309AB">
        <w:rPr>
          <w:rFonts w:ascii="Arial" w:hAnsi="Arial" w:cs="Arial"/>
          <w:sz w:val="24"/>
          <w:szCs w:val="24"/>
        </w:rPr>
        <w:t>Blair, M. (2001)</w:t>
      </w:r>
      <w:r w:rsidR="006A48EF">
        <w:rPr>
          <w:rFonts w:ascii="Arial" w:hAnsi="Arial" w:cs="Arial"/>
          <w:sz w:val="24"/>
          <w:szCs w:val="24"/>
        </w:rPr>
        <w:t>.</w:t>
      </w:r>
      <w:r w:rsidRPr="00A309AB">
        <w:rPr>
          <w:rFonts w:ascii="Arial" w:hAnsi="Arial" w:cs="Arial"/>
          <w:sz w:val="24"/>
          <w:szCs w:val="24"/>
        </w:rPr>
        <w:t xml:space="preserve"> Why Pick on Me</w:t>
      </w:r>
      <w:r>
        <w:rPr>
          <w:rFonts w:ascii="Arial" w:hAnsi="Arial" w:cs="Arial"/>
          <w:sz w:val="24"/>
          <w:szCs w:val="24"/>
        </w:rPr>
        <w:t>:</w:t>
      </w:r>
      <w:r w:rsidRPr="00A309AB">
        <w:rPr>
          <w:rFonts w:ascii="Arial" w:hAnsi="Arial" w:cs="Arial"/>
          <w:sz w:val="24"/>
          <w:szCs w:val="24"/>
        </w:rPr>
        <w:t xml:space="preserve"> Exclusion and Black Youth, Trentham Books, Stoke on Trent.</w:t>
      </w:r>
    </w:p>
    <w:p w14:paraId="0E47E236" w14:textId="46C27E74" w:rsidR="00585707" w:rsidRDefault="00585707" w:rsidP="009E58ED">
      <w:pPr>
        <w:spacing w:line="360" w:lineRule="auto"/>
        <w:jc w:val="both"/>
        <w:rPr>
          <w:rFonts w:ascii="Arial" w:hAnsi="Arial" w:cs="Arial"/>
          <w:sz w:val="24"/>
          <w:szCs w:val="24"/>
        </w:rPr>
      </w:pPr>
      <w:r w:rsidRPr="00E3633F">
        <w:rPr>
          <w:rFonts w:ascii="Arial" w:hAnsi="Arial" w:cs="Arial"/>
          <w:sz w:val="24"/>
          <w:szCs w:val="24"/>
          <w:lang w:val="pt-BR"/>
        </w:rPr>
        <w:t>Blake Esther de Jong, S. (2008)</w:t>
      </w:r>
      <w:r w:rsidR="00E3633F" w:rsidRPr="00E3633F">
        <w:rPr>
          <w:rFonts w:ascii="Arial" w:hAnsi="Arial" w:cs="Arial"/>
          <w:sz w:val="24"/>
          <w:szCs w:val="24"/>
          <w:lang w:val="pt-BR"/>
        </w:rPr>
        <w:t>.</w:t>
      </w:r>
      <w:r w:rsidRPr="00E3633F">
        <w:rPr>
          <w:rFonts w:ascii="Arial" w:hAnsi="Arial" w:cs="Arial"/>
          <w:sz w:val="24"/>
          <w:szCs w:val="24"/>
          <w:lang w:val="pt-BR"/>
        </w:rPr>
        <w:t xml:space="preserve"> </w:t>
      </w:r>
      <w:r w:rsidRPr="00585707">
        <w:rPr>
          <w:rFonts w:ascii="Arial" w:hAnsi="Arial" w:cs="Arial"/>
          <w:sz w:val="24"/>
          <w:szCs w:val="24"/>
        </w:rPr>
        <w:t xml:space="preserve">Short changed: Financial exclusion: A guide for donors and funders. New Philanthropy Capital Available at: </w:t>
      </w:r>
      <w:hyperlink r:id="rId70" w:history="1">
        <w:r w:rsidRPr="007D0B0F">
          <w:rPr>
            <w:rStyle w:val="Hyperlink"/>
            <w:rFonts w:ascii="Arial" w:hAnsi="Arial" w:cs="Arial"/>
            <w:sz w:val="24"/>
            <w:szCs w:val="24"/>
          </w:rPr>
          <w:t>https://www.thinknpc.org/wp-content/uploads/2018/07/Short-changed.pdf</w:t>
        </w:r>
      </w:hyperlink>
      <w:r>
        <w:rPr>
          <w:rFonts w:ascii="Arial" w:hAnsi="Arial" w:cs="Arial"/>
          <w:sz w:val="24"/>
          <w:szCs w:val="24"/>
        </w:rPr>
        <w:t xml:space="preserve"> </w:t>
      </w:r>
      <w:r w:rsidRPr="00585707">
        <w:rPr>
          <w:rFonts w:ascii="Arial" w:hAnsi="Arial" w:cs="Arial"/>
          <w:sz w:val="24"/>
          <w:szCs w:val="24"/>
        </w:rPr>
        <w:t>(Accessed: 27 March 2026).</w:t>
      </w:r>
    </w:p>
    <w:p w14:paraId="49C77AEB" w14:textId="50A00B2E" w:rsidR="003047B6" w:rsidRDefault="003047B6" w:rsidP="009E58ED">
      <w:pPr>
        <w:spacing w:line="360" w:lineRule="auto"/>
        <w:jc w:val="both"/>
        <w:rPr>
          <w:rFonts w:ascii="Arial" w:hAnsi="Arial" w:cs="Arial"/>
          <w:sz w:val="24"/>
          <w:szCs w:val="24"/>
        </w:rPr>
      </w:pPr>
      <w:r w:rsidRPr="003047B6">
        <w:rPr>
          <w:rFonts w:ascii="Arial" w:hAnsi="Arial" w:cs="Arial"/>
          <w:sz w:val="24"/>
          <w:szCs w:val="24"/>
        </w:rPr>
        <w:t>Blau, F., and Kahn, L. (2007)</w:t>
      </w:r>
      <w:r w:rsidR="00845B09">
        <w:rPr>
          <w:rFonts w:ascii="Arial" w:hAnsi="Arial" w:cs="Arial"/>
          <w:sz w:val="24"/>
          <w:szCs w:val="24"/>
        </w:rPr>
        <w:t>.</w:t>
      </w:r>
      <w:r w:rsidRPr="003047B6">
        <w:rPr>
          <w:rFonts w:ascii="Arial" w:hAnsi="Arial" w:cs="Arial"/>
          <w:sz w:val="24"/>
          <w:szCs w:val="24"/>
        </w:rPr>
        <w:t xml:space="preserve"> 'The Gender Pay Gap: Have Women Gone as Far as They Can?', </w:t>
      </w:r>
      <w:r w:rsidRPr="003047B6">
        <w:rPr>
          <w:rFonts w:ascii="Arial" w:hAnsi="Arial" w:cs="Arial"/>
          <w:i/>
          <w:iCs/>
          <w:sz w:val="24"/>
          <w:szCs w:val="24"/>
        </w:rPr>
        <w:t>Academy of Management Perspectives</w:t>
      </w:r>
      <w:r w:rsidRPr="003047B6">
        <w:rPr>
          <w:rFonts w:ascii="Arial" w:hAnsi="Arial" w:cs="Arial"/>
          <w:sz w:val="24"/>
          <w:szCs w:val="24"/>
        </w:rPr>
        <w:t>, 21(1), pp. 7</w:t>
      </w:r>
      <w:r w:rsidR="00845B09">
        <w:rPr>
          <w:rFonts w:ascii="Arial" w:hAnsi="Arial" w:cs="Arial"/>
          <w:sz w:val="24"/>
          <w:szCs w:val="24"/>
        </w:rPr>
        <w:t>–</w:t>
      </w:r>
      <w:r w:rsidRPr="003047B6">
        <w:rPr>
          <w:rFonts w:ascii="Arial" w:hAnsi="Arial" w:cs="Arial"/>
          <w:sz w:val="24"/>
          <w:szCs w:val="24"/>
        </w:rPr>
        <w:t xml:space="preserve">23. Available at: </w:t>
      </w:r>
      <w:hyperlink r:id="rId71" w:history="1">
        <w:r w:rsidR="004B3D66" w:rsidRPr="00FB3832">
          <w:rPr>
            <w:rStyle w:val="Hyperlink"/>
            <w:rFonts w:ascii="Arial" w:hAnsi="Arial" w:cs="Arial"/>
            <w:sz w:val="24"/>
            <w:szCs w:val="24"/>
          </w:rPr>
          <w:t>https://inequality.stanford.edu/sites/default/files/media/_media/pdf/key_issues/gender_research.pdf</w:t>
        </w:r>
      </w:hyperlink>
      <w:r w:rsidR="004B3D66">
        <w:rPr>
          <w:rFonts w:ascii="Arial" w:hAnsi="Arial" w:cs="Arial"/>
          <w:sz w:val="24"/>
          <w:szCs w:val="24"/>
        </w:rPr>
        <w:t xml:space="preserve"> </w:t>
      </w:r>
      <w:r w:rsidRPr="003047B6">
        <w:rPr>
          <w:rFonts w:ascii="Arial" w:hAnsi="Arial" w:cs="Arial"/>
          <w:sz w:val="24"/>
          <w:szCs w:val="24"/>
        </w:rPr>
        <w:t>(Accessed: 20 March 2026).</w:t>
      </w:r>
    </w:p>
    <w:p w14:paraId="71F10D0D" w14:textId="29ABBCAD" w:rsidR="00080A8A" w:rsidRDefault="00080A8A" w:rsidP="009E58ED">
      <w:pPr>
        <w:spacing w:line="360" w:lineRule="auto"/>
        <w:jc w:val="both"/>
        <w:rPr>
          <w:rFonts w:ascii="Arial" w:hAnsi="Arial" w:cs="Arial"/>
          <w:sz w:val="24"/>
          <w:szCs w:val="24"/>
        </w:rPr>
      </w:pPr>
      <w:r w:rsidRPr="00080A8A">
        <w:rPr>
          <w:rFonts w:ascii="Arial" w:hAnsi="Arial" w:cs="Arial"/>
          <w:sz w:val="24"/>
          <w:szCs w:val="24"/>
        </w:rPr>
        <w:t>Bolderston, A. (2008)</w:t>
      </w:r>
      <w:r w:rsidR="00845B09">
        <w:rPr>
          <w:rFonts w:ascii="Arial" w:hAnsi="Arial" w:cs="Arial"/>
          <w:sz w:val="24"/>
          <w:szCs w:val="24"/>
        </w:rPr>
        <w:t>.</w:t>
      </w:r>
      <w:r w:rsidRPr="00080A8A">
        <w:rPr>
          <w:rFonts w:ascii="Arial" w:hAnsi="Arial" w:cs="Arial"/>
          <w:sz w:val="24"/>
          <w:szCs w:val="24"/>
        </w:rPr>
        <w:t xml:space="preserve"> 'Writing an Effective Literature Review', J Med Imaging </w:t>
      </w:r>
      <w:proofErr w:type="spellStart"/>
      <w:r w:rsidRPr="00080A8A">
        <w:rPr>
          <w:rFonts w:ascii="Arial" w:hAnsi="Arial" w:cs="Arial"/>
          <w:sz w:val="24"/>
          <w:szCs w:val="24"/>
        </w:rPr>
        <w:t>Radiat</w:t>
      </w:r>
      <w:proofErr w:type="spellEnd"/>
      <w:r w:rsidRPr="00080A8A">
        <w:rPr>
          <w:rFonts w:ascii="Arial" w:hAnsi="Arial" w:cs="Arial"/>
          <w:sz w:val="24"/>
          <w:szCs w:val="24"/>
        </w:rPr>
        <w:t xml:space="preserve"> Sci, 39(2), pp. 86</w:t>
      </w:r>
      <w:r w:rsidR="006A48EF">
        <w:rPr>
          <w:rFonts w:ascii="Arial" w:hAnsi="Arial" w:cs="Arial"/>
          <w:sz w:val="24"/>
          <w:szCs w:val="24"/>
        </w:rPr>
        <w:t>–</w:t>
      </w:r>
      <w:r w:rsidRPr="00080A8A">
        <w:rPr>
          <w:rFonts w:ascii="Arial" w:hAnsi="Arial" w:cs="Arial"/>
          <w:sz w:val="24"/>
          <w:szCs w:val="24"/>
        </w:rPr>
        <w:t xml:space="preserve">92. Available at: </w:t>
      </w:r>
      <w:hyperlink r:id="rId72" w:history="1">
        <w:r w:rsidRPr="00960FF4">
          <w:rPr>
            <w:rStyle w:val="Hyperlink"/>
            <w:rFonts w:ascii="Arial" w:hAnsi="Arial" w:cs="Arial"/>
            <w:sz w:val="24"/>
            <w:szCs w:val="24"/>
          </w:rPr>
          <w:t>https://pubmed.ncbi.nlm.nih.gov/31051808/</w:t>
        </w:r>
      </w:hyperlink>
      <w:r>
        <w:rPr>
          <w:rFonts w:ascii="Arial" w:hAnsi="Arial" w:cs="Arial"/>
          <w:sz w:val="24"/>
          <w:szCs w:val="24"/>
        </w:rPr>
        <w:t xml:space="preserve"> </w:t>
      </w:r>
      <w:r w:rsidRPr="00080A8A">
        <w:rPr>
          <w:rFonts w:ascii="Arial" w:hAnsi="Arial" w:cs="Arial"/>
          <w:sz w:val="24"/>
          <w:szCs w:val="24"/>
        </w:rPr>
        <w:t>(Accessed: 23 February 2026).</w:t>
      </w:r>
    </w:p>
    <w:p w14:paraId="11ED7B5A" w14:textId="11AD7BA3" w:rsidR="00061505" w:rsidRDefault="00061505" w:rsidP="009E58ED">
      <w:pPr>
        <w:spacing w:line="360" w:lineRule="auto"/>
        <w:jc w:val="both"/>
        <w:rPr>
          <w:rFonts w:ascii="Arial" w:hAnsi="Arial" w:cs="Arial"/>
          <w:sz w:val="24"/>
          <w:szCs w:val="24"/>
        </w:rPr>
      </w:pPr>
      <w:r w:rsidRPr="00061505">
        <w:rPr>
          <w:rFonts w:ascii="Arial" w:hAnsi="Arial" w:cs="Arial"/>
          <w:sz w:val="24"/>
          <w:szCs w:val="24"/>
        </w:rPr>
        <w:t>Borenstein, M., Hedges, L., Higgins, J., and Rothstein, H. (2021). </w:t>
      </w:r>
      <w:r w:rsidRPr="00061505">
        <w:rPr>
          <w:rFonts w:ascii="Arial" w:hAnsi="Arial" w:cs="Arial"/>
          <w:i/>
          <w:iCs/>
          <w:sz w:val="24"/>
          <w:szCs w:val="24"/>
        </w:rPr>
        <w:t>Introduction to Meta-Analysis</w:t>
      </w:r>
      <w:r w:rsidRPr="00061505">
        <w:rPr>
          <w:rFonts w:ascii="Arial" w:hAnsi="Arial" w:cs="Arial"/>
          <w:sz w:val="24"/>
          <w:szCs w:val="24"/>
        </w:rPr>
        <w:t>. John Wiley and Sons Ltd.</w:t>
      </w:r>
    </w:p>
    <w:p w14:paraId="68DCB710" w14:textId="64F14300" w:rsidR="00865873" w:rsidRDefault="00865873" w:rsidP="009E58ED">
      <w:pPr>
        <w:spacing w:line="360" w:lineRule="auto"/>
        <w:jc w:val="both"/>
        <w:rPr>
          <w:rFonts w:ascii="Arial" w:hAnsi="Arial" w:cs="Arial"/>
          <w:sz w:val="24"/>
          <w:szCs w:val="24"/>
        </w:rPr>
      </w:pPr>
      <w:proofErr w:type="spellStart"/>
      <w:r w:rsidRPr="00865873">
        <w:rPr>
          <w:rFonts w:ascii="Arial" w:hAnsi="Arial" w:cs="Arial"/>
          <w:sz w:val="24"/>
          <w:szCs w:val="24"/>
        </w:rPr>
        <w:t>Bornschlegl</w:t>
      </w:r>
      <w:proofErr w:type="spellEnd"/>
      <w:r w:rsidRPr="00865873">
        <w:rPr>
          <w:rFonts w:ascii="Arial" w:hAnsi="Arial" w:cs="Arial"/>
          <w:sz w:val="24"/>
          <w:szCs w:val="24"/>
        </w:rPr>
        <w:t>, M., Meldrum, K., and Caltabiano, N. (2020)</w:t>
      </w:r>
      <w:r>
        <w:rPr>
          <w:rFonts w:ascii="Arial" w:hAnsi="Arial" w:cs="Arial"/>
          <w:sz w:val="24"/>
          <w:szCs w:val="24"/>
        </w:rPr>
        <w:t>.</w:t>
      </w:r>
      <w:r w:rsidRPr="00865873">
        <w:rPr>
          <w:rFonts w:ascii="Arial" w:hAnsi="Arial" w:cs="Arial"/>
          <w:sz w:val="24"/>
          <w:szCs w:val="24"/>
        </w:rPr>
        <w:t xml:space="preserve"> 'Variables Related to </w:t>
      </w:r>
      <w:proofErr w:type="spellStart"/>
      <w:r w:rsidRPr="00865873">
        <w:rPr>
          <w:rFonts w:ascii="Arial" w:hAnsi="Arial" w:cs="Arial"/>
          <w:sz w:val="24"/>
          <w:szCs w:val="24"/>
        </w:rPr>
        <w:t>AcademicHelp</w:t>
      </w:r>
      <w:proofErr w:type="spellEnd"/>
      <w:r w:rsidRPr="00865873">
        <w:rPr>
          <w:rFonts w:ascii="Arial" w:hAnsi="Arial" w:cs="Arial"/>
          <w:sz w:val="24"/>
          <w:szCs w:val="24"/>
        </w:rPr>
        <w:t>-Seeking Behaviour in Higher Education – Findings from a Multidisciplinary Perspective', Review of Education, 8(2), pp. 486</w:t>
      </w:r>
      <w:r>
        <w:rPr>
          <w:rFonts w:ascii="Arial" w:hAnsi="Arial" w:cs="Arial"/>
          <w:sz w:val="24"/>
          <w:szCs w:val="24"/>
        </w:rPr>
        <w:t>–</w:t>
      </w:r>
      <w:r w:rsidRPr="00865873">
        <w:rPr>
          <w:rFonts w:ascii="Arial" w:hAnsi="Arial" w:cs="Arial"/>
          <w:sz w:val="24"/>
          <w:szCs w:val="24"/>
        </w:rPr>
        <w:t xml:space="preserve">522. Available at: </w:t>
      </w:r>
      <w:hyperlink r:id="rId73" w:history="1">
        <w:r w:rsidR="00682158" w:rsidRPr="007136D9">
          <w:rPr>
            <w:rStyle w:val="Hyperlink"/>
            <w:rFonts w:ascii="Arial" w:hAnsi="Arial" w:cs="Arial"/>
            <w:sz w:val="24"/>
            <w:szCs w:val="24"/>
          </w:rPr>
          <w:t>https://bera-journals.onlinelibrary.wiley.com/doi/epdf/10.1002/rev3.3196?saml_referrer</w:t>
        </w:r>
      </w:hyperlink>
      <w:r w:rsidR="00682158">
        <w:rPr>
          <w:rFonts w:ascii="Arial" w:hAnsi="Arial" w:cs="Arial"/>
          <w:sz w:val="24"/>
          <w:szCs w:val="24"/>
        </w:rPr>
        <w:t xml:space="preserve"> </w:t>
      </w:r>
      <w:r w:rsidRPr="00865873">
        <w:rPr>
          <w:rFonts w:ascii="Arial" w:hAnsi="Arial" w:cs="Arial"/>
          <w:sz w:val="24"/>
          <w:szCs w:val="24"/>
        </w:rPr>
        <w:t>(Accessed: 24 March 2026).</w:t>
      </w:r>
    </w:p>
    <w:p w14:paraId="344F7B91" w14:textId="691FB5FF" w:rsidR="00682158" w:rsidRDefault="00682158" w:rsidP="009E58ED">
      <w:pPr>
        <w:spacing w:line="360" w:lineRule="auto"/>
        <w:jc w:val="both"/>
        <w:rPr>
          <w:rFonts w:ascii="Arial" w:hAnsi="Arial" w:cs="Arial"/>
          <w:sz w:val="24"/>
          <w:szCs w:val="24"/>
        </w:rPr>
      </w:pPr>
      <w:r w:rsidRPr="00682158">
        <w:rPr>
          <w:rFonts w:ascii="Arial" w:hAnsi="Arial" w:cs="Arial"/>
          <w:sz w:val="24"/>
          <w:szCs w:val="24"/>
        </w:rPr>
        <w:t>Bourdieu, P. (2003)</w:t>
      </w:r>
      <w:r>
        <w:rPr>
          <w:rFonts w:ascii="Arial" w:hAnsi="Arial" w:cs="Arial"/>
          <w:sz w:val="24"/>
          <w:szCs w:val="24"/>
        </w:rPr>
        <w:t>.</w:t>
      </w:r>
      <w:r w:rsidRPr="00682158">
        <w:rPr>
          <w:rFonts w:ascii="Arial" w:hAnsi="Arial" w:cs="Arial"/>
          <w:sz w:val="24"/>
          <w:szCs w:val="24"/>
        </w:rPr>
        <w:t xml:space="preserve"> 'Cultural Reproduction and Social Reproduction', in P. Jarvis and C. Griffin (ed.), Adult and Continuing Education: Major Themes in Education. Routledge, pp. 173</w:t>
      </w:r>
      <w:r>
        <w:rPr>
          <w:rFonts w:ascii="Arial" w:hAnsi="Arial" w:cs="Arial"/>
          <w:sz w:val="24"/>
          <w:szCs w:val="24"/>
        </w:rPr>
        <w:t>–</w:t>
      </w:r>
      <w:r w:rsidRPr="00682158">
        <w:rPr>
          <w:rFonts w:ascii="Arial" w:hAnsi="Arial" w:cs="Arial"/>
          <w:sz w:val="24"/>
          <w:szCs w:val="24"/>
        </w:rPr>
        <w:t xml:space="preserve">184. Available at: </w:t>
      </w:r>
      <w:hyperlink r:id="rId74" w:history="1">
        <w:r w:rsidRPr="007136D9">
          <w:rPr>
            <w:rStyle w:val="Hyperlink"/>
            <w:rFonts w:ascii="Arial" w:hAnsi="Arial" w:cs="Arial"/>
            <w:sz w:val="24"/>
            <w:szCs w:val="24"/>
          </w:rPr>
          <w:t>https://www.google.co.uk/books/edition/Adult_and_Continuing_Education_Adult_edu/79DGnwT_vfUC?hl=en&amp;gbpv=1&amp;pg=PA173&amp;printsec=frontcover</w:t>
        </w:r>
      </w:hyperlink>
      <w:r>
        <w:rPr>
          <w:rFonts w:ascii="Arial" w:hAnsi="Arial" w:cs="Arial"/>
          <w:sz w:val="24"/>
          <w:szCs w:val="24"/>
        </w:rPr>
        <w:t xml:space="preserve"> </w:t>
      </w:r>
      <w:r w:rsidRPr="00682158">
        <w:rPr>
          <w:rFonts w:ascii="Arial" w:hAnsi="Arial" w:cs="Arial"/>
          <w:sz w:val="24"/>
          <w:szCs w:val="24"/>
        </w:rPr>
        <w:t>(Accessed: 8 April 2026).</w:t>
      </w:r>
    </w:p>
    <w:p w14:paraId="68D4E5AE" w14:textId="17AFB0A1" w:rsidR="00225F8E" w:rsidRDefault="00225F8E" w:rsidP="009E58ED">
      <w:pPr>
        <w:spacing w:line="360" w:lineRule="auto"/>
        <w:jc w:val="both"/>
        <w:rPr>
          <w:rFonts w:ascii="Arial" w:hAnsi="Arial" w:cs="Arial"/>
          <w:sz w:val="24"/>
          <w:szCs w:val="24"/>
        </w:rPr>
      </w:pPr>
      <w:r w:rsidRPr="00225F8E">
        <w:rPr>
          <w:rFonts w:ascii="Arial" w:hAnsi="Arial" w:cs="Arial"/>
          <w:sz w:val="24"/>
          <w:szCs w:val="24"/>
        </w:rPr>
        <w:t>Bourdieu, P., Coleman, J., and Putman, R. (2011)</w:t>
      </w:r>
      <w:r>
        <w:rPr>
          <w:rFonts w:ascii="Arial" w:hAnsi="Arial" w:cs="Arial"/>
          <w:sz w:val="24"/>
          <w:szCs w:val="24"/>
        </w:rPr>
        <w:t>.</w:t>
      </w:r>
      <w:r w:rsidRPr="00225F8E">
        <w:rPr>
          <w:rFonts w:ascii="Arial" w:hAnsi="Arial" w:cs="Arial"/>
          <w:sz w:val="24"/>
          <w:szCs w:val="24"/>
        </w:rPr>
        <w:t xml:space="preserve"> 'Three approaches to social capital', in D. Gauntlett (ed.), Making is Connecting. Polity Press, pp. 131</w:t>
      </w:r>
      <w:r>
        <w:rPr>
          <w:rFonts w:ascii="Arial" w:hAnsi="Arial" w:cs="Arial"/>
          <w:sz w:val="24"/>
          <w:szCs w:val="24"/>
        </w:rPr>
        <w:t>–</w:t>
      </w:r>
      <w:r w:rsidRPr="00225F8E">
        <w:rPr>
          <w:rFonts w:ascii="Arial" w:hAnsi="Arial" w:cs="Arial"/>
          <w:sz w:val="24"/>
          <w:szCs w:val="24"/>
        </w:rPr>
        <w:t xml:space="preserve">137. Available at: </w:t>
      </w:r>
      <w:hyperlink r:id="rId75" w:history="1">
        <w:r w:rsidRPr="005C7CBD">
          <w:rPr>
            <w:rStyle w:val="Hyperlink"/>
            <w:rFonts w:ascii="Arial" w:hAnsi="Arial" w:cs="Arial"/>
            <w:sz w:val="24"/>
            <w:szCs w:val="24"/>
          </w:rPr>
          <w:t>https://davidgauntlett.com/wp-content/uploads/2018/04/gauntlett2011-extract-sc.pdf</w:t>
        </w:r>
      </w:hyperlink>
      <w:r>
        <w:rPr>
          <w:rFonts w:ascii="Arial" w:hAnsi="Arial" w:cs="Arial"/>
          <w:sz w:val="24"/>
          <w:szCs w:val="24"/>
        </w:rPr>
        <w:t xml:space="preserve"> </w:t>
      </w:r>
      <w:r w:rsidRPr="00225F8E">
        <w:rPr>
          <w:rFonts w:ascii="Arial" w:hAnsi="Arial" w:cs="Arial"/>
          <w:sz w:val="24"/>
          <w:szCs w:val="24"/>
        </w:rPr>
        <w:t>(Accessed: 23 March 2026).</w:t>
      </w:r>
    </w:p>
    <w:p w14:paraId="415EB72E" w14:textId="2044438E" w:rsidR="00B17E90" w:rsidRDefault="00B17E90" w:rsidP="009E58ED">
      <w:pPr>
        <w:spacing w:line="360" w:lineRule="auto"/>
        <w:jc w:val="both"/>
        <w:rPr>
          <w:rFonts w:ascii="Arial" w:hAnsi="Arial" w:cs="Arial"/>
          <w:sz w:val="24"/>
          <w:szCs w:val="24"/>
        </w:rPr>
      </w:pPr>
      <w:r w:rsidRPr="00B17E90">
        <w:rPr>
          <w:rFonts w:ascii="Arial" w:hAnsi="Arial" w:cs="Arial"/>
          <w:sz w:val="24"/>
          <w:szCs w:val="24"/>
        </w:rPr>
        <w:t>Briers, A. (2003)</w:t>
      </w:r>
      <w:r w:rsidR="00542C48">
        <w:rPr>
          <w:rFonts w:ascii="Arial" w:hAnsi="Arial" w:cs="Arial"/>
          <w:sz w:val="24"/>
          <w:szCs w:val="24"/>
        </w:rPr>
        <w:t>.</w:t>
      </w:r>
      <w:r w:rsidRPr="00B17E90">
        <w:rPr>
          <w:rFonts w:ascii="Arial" w:hAnsi="Arial" w:cs="Arial"/>
          <w:sz w:val="24"/>
          <w:szCs w:val="24"/>
        </w:rPr>
        <w:t xml:space="preserve"> 'School-based police ofﬁcers: What can the UK learn from the USA?', </w:t>
      </w:r>
      <w:r w:rsidRPr="00B17E90">
        <w:rPr>
          <w:rFonts w:ascii="Arial" w:hAnsi="Arial" w:cs="Arial"/>
          <w:i/>
          <w:iCs/>
          <w:sz w:val="24"/>
          <w:szCs w:val="24"/>
        </w:rPr>
        <w:t>International Journal of Police Science and Management</w:t>
      </w:r>
      <w:r w:rsidRPr="00B17E90">
        <w:rPr>
          <w:rFonts w:ascii="Arial" w:hAnsi="Arial" w:cs="Arial"/>
          <w:sz w:val="24"/>
          <w:szCs w:val="24"/>
        </w:rPr>
        <w:t>, 5(2), pp. 129</w:t>
      </w:r>
      <w:r w:rsidR="006A48EF">
        <w:rPr>
          <w:rFonts w:ascii="Arial" w:hAnsi="Arial" w:cs="Arial"/>
          <w:sz w:val="24"/>
          <w:szCs w:val="24"/>
        </w:rPr>
        <w:t>–</w:t>
      </w:r>
      <w:r w:rsidRPr="00B17E90">
        <w:rPr>
          <w:rFonts w:ascii="Arial" w:hAnsi="Arial" w:cs="Arial"/>
          <w:sz w:val="24"/>
          <w:szCs w:val="24"/>
        </w:rPr>
        <w:t xml:space="preserve">142. Available at: </w:t>
      </w:r>
      <w:hyperlink r:id="rId76" w:history="1">
        <w:r w:rsidRPr="007D0B0F">
          <w:rPr>
            <w:rStyle w:val="Hyperlink"/>
            <w:rFonts w:ascii="Arial" w:hAnsi="Arial" w:cs="Arial"/>
            <w:sz w:val="24"/>
            <w:szCs w:val="24"/>
          </w:rPr>
          <w:t>https://journals.sagepub.com/doi/epdf/10.1350/ijps.5.2.129.14325</w:t>
        </w:r>
      </w:hyperlink>
      <w:r>
        <w:rPr>
          <w:rFonts w:ascii="Arial" w:hAnsi="Arial" w:cs="Arial"/>
          <w:sz w:val="24"/>
          <w:szCs w:val="24"/>
        </w:rPr>
        <w:t xml:space="preserve"> </w:t>
      </w:r>
      <w:r w:rsidRPr="00B17E90">
        <w:rPr>
          <w:rFonts w:ascii="Arial" w:hAnsi="Arial" w:cs="Arial"/>
          <w:sz w:val="24"/>
          <w:szCs w:val="24"/>
        </w:rPr>
        <w:t>(Accessed: 22 March 2026).</w:t>
      </w:r>
    </w:p>
    <w:p w14:paraId="17464E9A" w14:textId="0E2EAAC0" w:rsidR="00AD1AB2" w:rsidRDefault="00AD1AB2" w:rsidP="009E58ED">
      <w:pPr>
        <w:spacing w:line="360" w:lineRule="auto"/>
        <w:jc w:val="both"/>
        <w:rPr>
          <w:rFonts w:ascii="Arial" w:hAnsi="Arial" w:cs="Arial"/>
          <w:sz w:val="24"/>
          <w:szCs w:val="24"/>
        </w:rPr>
      </w:pPr>
      <w:r w:rsidRPr="00AD1AB2">
        <w:rPr>
          <w:rFonts w:ascii="Arial" w:hAnsi="Arial" w:cs="Arial"/>
          <w:sz w:val="24"/>
          <w:szCs w:val="24"/>
        </w:rPr>
        <w:t>Brindley, J. (2004)</w:t>
      </w:r>
      <w:r w:rsidR="00865873">
        <w:rPr>
          <w:rFonts w:ascii="Arial" w:hAnsi="Arial" w:cs="Arial"/>
          <w:sz w:val="24"/>
          <w:szCs w:val="24"/>
        </w:rPr>
        <w:t>.</w:t>
      </w:r>
      <w:r w:rsidRPr="00AD1AB2">
        <w:rPr>
          <w:rFonts w:ascii="Arial" w:hAnsi="Arial" w:cs="Arial"/>
          <w:sz w:val="24"/>
          <w:szCs w:val="24"/>
        </w:rPr>
        <w:t xml:space="preserve"> 'The Current Context of Learner Support in Open, Distance and Online Learning: An Introduction', in J. Brindley, C. Walti and O. Zawacki-Richter (Eds.), </w:t>
      </w:r>
      <w:r w:rsidRPr="00AD1AB2">
        <w:rPr>
          <w:rFonts w:ascii="Arial" w:hAnsi="Arial" w:cs="Arial"/>
          <w:i/>
          <w:iCs/>
          <w:sz w:val="24"/>
          <w:szCs w:val="24"/>
        </w:rPr>
        <w:t>Learner Support in Open, Distance and Online Learning Environments.</w:t>
      </w:r>
      <w:r w:rsidRPr="00AD1AB2">
        <w:rPr>
          <w:rFonts w:ascii="Arial" w:hAnsi="Arial" w:cs="Arial"/>
          <w:sz w:val="24"/>
          <w:szCs w:val="24"/>
        </w:rPr>
        <w:t> BIS-Verlag der Carl von Ossietzky Universität Oldenburg, pp. 9</w:t>
      </w:r>
      <w:r w:rsidR="00865873">
        <w:rPr>
          <w:rFonts w:ascii="Arial" w:hAnsi="Arial" w:cs="Arial"/>
          <w:sz w:val="24"/>
          <w:szCs w:val="24"/>
        </w:rPr>
        <w:t>–</w:t>
      </w:r>
      <w:r w:rsidRPr="00AD1AB2">
        <w:rPr>
          <w:rFonts w:ascii="Arial" w:hAnsi="Arial" w:cs="Arial"/>
          <w:sz w:val="24"/>
          <w:szCs w:val="24"/>
        </w:rPr>
        <w:t>27.</w:t>
      </w:r>
      <w:r w:rsidRPr="00AD1AB2">
        <w:rPr>
          <w:rFonts w:ascii="Arial" w:hAnsi="Arial" w:cs="Arial"/>
          <w:i/>
          <w:iCs/>
          <w:sz w:val="24"/>
          <w:szCs w:val="24"/>
        </w:rPr>
        <w:t> </w:t>
      </w:r>
      <w:r w:rsidRPr="00AD1AB2">
        <w:rPr>
          <w:rFonts w:ascii="Arial" w:hAnsi="Arial" w:cs="Arial"/>
          <w:sz w:val="24"/>
          <w:szCs w:val="24"/>
        </w:rPr>
        <w:t xml:space="preserve">Available at: </w:t>
      </w:r>
      <w:hyperlink r:id="rId77" w:anchor="page=10" w:history="1">
        <w:r w:rsidRPr="007D0B0F">
          <w:rPr>
            <w:rStyle w:val="Hyperlink"/>
            <w:rFonts w:ascii="Arial" w:hAnsi="Arial" w:cs="Arial"/>
            <w:sz w:val="24"/>
            <w:szCs w:val="24"/>
          </w:rPr>
          <w:t>https://www.researchgate.net/profile/Alan-Tait-3/publication/237705066_On_Institutional_Models_and_Concepts_of_Student_Support_Services_The_Case_of_the_Open_University_UK/links/545001680cf24e8f7374ad42/On-Institutional-Models-and-Concepts-of-Student-Support-Services-The-Case-of-the-Open-University-UK.pdf#page=10</w:t>
        </w:r>
      </w:hyperlink>
      <w:r>
        <w:rPr>
          <w:rFonts w:ascii="Arial" w:hAnsi="Arial" w:cs="Arial"/>
          <w:sz w:val="24"/>
          <w:szCs w:val="24"/>
        </w:rPr>
        <w:t xml:space="preserve"> </w:t>
      </w:r>
      <w:r w:rsidRPr="00AD1AB2">
        <w:rPr>
          <w:rFonts w:ascii="Arial" w:hAnsi="Arial" w:cs="Arial"/>
          <w:sz w:val="24"/>
          <w:szCs w:val="24"/>
        </w:rPr>
        <w:t>(Accessed: 24 March 2026).</w:t>
      </w:r>
    </w:p>
    <w:p w14:paraId="2D3E8EDE" w14:textId="6214873D" w:rsidR="0005254A" w:rsidRDefault="0005254A" w:rsidP="009E58ED">
      <w:pPr>
        <w:spacing w:line="360" w:lineRule="auto"/>
        <w:jc w:val="both"/>
        <w:rPr>
          <w:rFonts w:ascii="Arial" w:hAnsi="Arial" w:cs="Arial"/>
          <w:sz w:val="24"/>
          <w:szCs w:val="24"/>
        </w:rPr>
      </w:pPr>
      <w:r w:rsidRPr="0005254A">
        <w:rPr>
          <w:rFonts w:ascii="Arial" w:hAnsi="Arial" w:cs="Arial"/>
          <w:sz w:val="24"/>
          <w:szCs w:val="24"/>
        </w:rPr>
        <w:t>Brown, C. (2022)</w:t>
      </w:r>
      <w:r w:rsidR="00EE39E6">
        <w:rPr>
          <w:rFonts w:ascii="Arial" w:hAnsi="Arial" w:cs="Arial"/>
          <w:sz w:val="24"/>
          <w:szCs w:val="24"/>
        </w:rPr>
        <w:t>.</w:t>
      </w:r>
      <w:r w:rsidRPr="0005254A">
        <w:rPr>
          <w:rFonts w:ascii="Arial" w:hAnsi="Arial" w:cs="Arial"/>
          <w:sz w:val="24"/>
          <w:szCs w:val="24"/>
        </w:rPr>
        <w:t xml:space="preserve"> 'Entrepreneurship Challenges of Black African Caribbean Diaspora (BACD) in the United Kingdom: A Critical Race Theory Approach', Economic Insights - Trends and Challenges, 4, pp. 1</w:t>
      </w:r>
      <w:r w:rsidR="00EE39E6">
        <w:rPr>
          <w:rFonts w:ascii="Arial" w:hAnsi="Arial" w:cs="Arial"/>
          <w:sz w:val="24"/>
          <w:szCs w:val="24"/>
        </w:rPr>
        <w:t>–</w:t>
      </w:r>
      <w:r w:rsidRPr="0005254A">
        <w:rPr>
          <w:rFonts w:ascii="Arial" w:hAnsi="Arial" w:cs="Arial"/>
          <w:sz w:val="24"/>
          <w:szCs w:val="24"/>
        </w:rPr>
        <w:t xml:space="preserve">19. Available at: </w:t>
      </w:r>
      <w:hyperlink r:id="rId78" w:history="1">
        <w:r w:rsidR="00EE39E6" w:rsidRPr="007D0B0F">
          <w:rPr>
            <w:rStyle w:val="Hyperlink"/>
            <w:rFonts w:ascii="Arial" w:hAnsi="Arial" w:cs="Arial"/>
            <w:sz w:val="24"/>
            <w:szCs w:val="24"/>
          </w:rPr>
          <w:t>https://www.proquest.com/docview/3065617243?pq-origsite=gscholar&amp;fromopenview=true&amp;sourcetype=Scholarly%20Journals#</w:t>
        </w:r>
      </w:hyperlink>
      <w:r w:rsidR="00EE39E6">
        <w:rPr>
          <w:rFonts w:ascii="Arial" w:hAnsi="Arial" w:cs="Arial"/>
          <w:sz w:val="24"/>
          <w:szCs w:val="24"/>
        </w:rPr>
        <w:t xml:space="preserve"> </w:t>
      </w:r>
      <w:r w:rsidRPr="0005254A">
        <w:rPr>
          <w:rFonts w:ascii="Arial" w:hAnsi="Arial" w:cs="Arial"/>
          <w:sz w:val="24"/>
          <w:szCs w:val="24"/>
        </w:rPr>
        <w:t>(Accessed: 26 March 2026).</w:t>
      </w:r>
    </w:p>
    <w:p w14:paraId="131FD3B5" w14:textId="65CF4501" w:rsidR="00403467" w:rsidRDefault="00403467" w:rsidP="009E58ED">
      <w:pPr>
        <w:spacing w:line="360" w:lineRule="auto"/>
        <w:jc w:val="both"/>
        <w:rPr>
          <w:rFonts w:ascii="Arial" w:hAnsi="Arial" w:cs="Arial"/>
          <w:sz w:val="24"/>
          <w:szCs w:val="24"/>
        </w:rPr>
      </w:pPr>
      <w:r w:rsidRPr="00403467">
        <w:rPr>
          <w:rFonts w:ascii="Arial" w:hAnsi="Arial" w:cs="Arial"/>
          <w:sz w:val="24"/>
          <w:szCs w:val="24"/>
        </w:rPr>
        <w:t xml:space="preserve">Brown, J., Ferner, H., Wingrove, J., Aschan, L., Hatch, and </w:t>
      </w:r>
      <w:proofErr w:type="spellStart"/>
      <w:r w:rsidRPr="00403467">
        <w:rPr>
          <w:rFonts w:ascii="Arial" w:hAnsi="Arial" w:cs="Arial"/>
          <w:sz w:val="24"/>
          <w:szCs w:val="24"/>
        </w:rPr>
        <w:t>Hotopf</w:t>
      </w:r>
      <w:proofErr w:type="spellEnd"/>
      <w:r w:rsidRPr="00403467">
        <w:rPr>
          <w:rFonts w:ascii="Arial" w:hAnsi="Arial" w:cs="Arial"/>
          <w:sz w:val="24"/>
          <w:szCs w:val="24"/>
        </w:rPr>
        <w:t xml:space="preserve">, M. (2014). 'How equitable are psychological therapy services in </w:t>
      </w:r>
      <w:proofErr w:type="gramStart"/>
      <w:r w:rsidRPr="00403467">
        <w:rPr>
          <w:rFonts w:ascii="Arial" w:hAnsi="Arial" w:cs="Arial"/>
          <w:sz w:val="24"/>
          <w:szCs w:val="24"/>
        </w:rPr>
        <w:t>South East</w:t>
      </w:r>
      <w:proofErr w:type="gramEnd"/>
      <w:r w:rsidRPr="00403467">
        <w:rPr>
          <w:rFonts w:ascii="Arial" w:hAnsi="Arial" w:cs="Arial"/>
          <w:sz w:val="24"/>
          <w:szCs w:val="24"/>
        </w:rPr>
        <w:t xml:space="preserve"> London now?' A comparison of referrals to a new psychological therapy service with participants in a psychiatric morbidity survey in the same London borough', Social Psychiatry and Psychiatric Epidemiology, 49, pp.</w:t>
      </w:r>
      <w:r>
        <w:rPr>
          <w:rFonts w:ascii="Arial" w:hAnsi="Arial" w:cs="Arial"/>
          <w:sz w:val="24"/>
          <w:szCs w:val="24"/>
        </w:rPr>
        <w:t xml:space="preserve"> </w:t>
      </w:r>
      <w:r w:rsidRPr="00403467">
        <w:rPr>
          <w:rFonts w:ascii="Arial" w:hAnsi="Arial" w:cs="Arial"/>
          <w:sz w:val="24"/>
          <w:szCs w:val="24"/>
        </w:rPr>
        <w:t xml:space="preserve">1893-1902. Available at: </w:t>
      </w:r>
      <w:hyperlink r:id="rId79" w:history="1">
        <w:r w:rsidRPr="007D0B0F">
          <w:rPr>
            <w:rStyle w:val="Hyperlink"/>
            <w:rFonts w:ascii="Arial" w:hAnsi="Arial" w:cs="Arial"/>
            <w:sz w:val="24"/>
            <w:szCs w:val="24"/>
          </w:rPr>
          <w:t>https://link.springer.com/article/10.1007/s00127-014-0900-6</w:t>
        </w:r>
      </w:hyperlink>
      <w:r>
        <w:rPr>
          <w:rFonts w:ascii="Arial" w:hAnsi="Arial" w:cs="Arial"/>
          <w:sz w:val="24"/>
          <w:szCs w:val="24"/>
        </w:rPr>
        <w:t xml:space="preserve"> </w:t>
      </w:r>
      <w:r w:rsidRPr="00403467">
        <w:rPr>
          <w:rFonts w:ascii="Arial" w:hAnsi="Arial" w:cs="Arial"/>
          <w:sz w:val="24"/>
          <w:szCs w:val="24"/>
        </w:rPr>
        <w:t>(Accessed: 30 March 2026).</w:t>
      </w:r>
    </w:p>
    <w:p w14:paraId="5435CA03" w14:textId="61ED4087" w:rsidR="001D33FB" w:rsidRDefault="001D33FB" w:rsidP="009E58ED">
      <w:pPr>
        <w:spacing w:line="360" w:lineRule="auto"/>
        <w:jc w:val="both"/>
        <w:rPr>
          <w:rFonts w:ascii="Arial" w:hAnsi="Arial" w:cs="Arial"/>
          <w:sz w:val="24"/>
          <w:szCs w:val="24"/>
        </w:rPr>
      </w:pPr>
      <w:r w:rsidRPr="001D33FB">
        <w:rPr>
          <w:rFonts w:ascii="Arial" w:hAnsi="Arial" w:cs="Arial"/>
          <w:sz w:val="24"/>
          <w:szCs w:val="24"/>
        </w:rPr>
        <w:t xml:space="preserve">Bulman, M. (2018) 'Black teenage boys more likely to get maximum jail terms than white children', Independent (Edition), 3 October, Social Affairs Correspondent. Available at: </w:t>
      </w:r>
      <w:hyperlink r:id="rId80" w:history="1">
        <w:r w:rsidRPr="00172D15">
          <w:rPr>
            <w:rStyle w:val="Hyperlink"/>
            <w:rFonts w:ascii="Arial" w:hAnsi="Arial" w:cs="Arial"/>
            <w:sz w:val="24"/>
            <w:szCs w:val="24"/>
          </w:rPr>
          <w:t>https://www.independent.co.uk/news/uk/home-news/black-boys-discrimination-teenagers-children-white-racial-bias-prison-a8466606.html</w:t>
        </w:r>
      </w:hyperlink>
      <w:r>
        <w:rPr>
          <w:rFonts w:ascii="Arial" w:hAnsi="Arial" w:cs="Arial"/>
          <w:sz w:val="24"/>
          <w:szCs w:val="24"/>
        </w:rPr>
        <w:t xml:space="preserve"> </w:t>
      </w:r>
      <w:r w:rsidRPr="001D33FB">
        <w:rPr>
          <w:rFonts w:ascii="Arial" w:hAnsi="Arial" w:cs="Arial"/>
          <w:sz w:val="24"/>
          <w:szCs w:val="24"/>
        </w:rPr>
        <w:t>(Accessed: 5 April 2026).</w:t>
      </w:r>
    </w:p>
    <w:p w14:paraId="1B7F8953" w14:textId="5E6FB3BB" w:rsidR="00542C48" w:rsidRDefault="00542C48" w:rsidP="009E58ED">
      <w:pPr>
        <w:spacing w:line="360" w:lineRule="auto"/>
        <w:jc w:val="both"/>
        <w:rPr>
          <w:rFonts w:ascii="Arial" w:hAnsi="Arial" w:cs="Arial"/>
          <w:sz w:val="24"/>
          <w:szCs w:val="24"/>
        </w:rPr>
      </w:pPr>
      <w:r w:rsidRPr="00542C48">
        <w:rPr>
          <w:rFonts w:ascii="Arial" w:hAnsi="Arial" w:cs="Arial"/>
          <w:sz w:val="24"/>
          <w:szCs w:val="24"/>
        </w:rPr>
        <w:t>Byars, A., and Butz, A. (2021)</w:t>
      </w:r>
      <w:r>
        <w:rPr>
          <w:rFonts w:ascii="Arial" w:hAnsi="Arial" w:cs="Arial"/>
          <w:sz w:val="24"/>
          <w:szCs w:val="24"/>
        </w:rPr>
        <w:t>.</w:t>
      </w:r>
      <w:r w:rsidRPr="00542C48">
        <w:rPr>
          <w:rFonts w:ascii="Arial" w:hAnsi="Arial" w:cs="Arial"/>
          <w:sz w:val="24"/>
          <w:szCs w:val="24"/>
        </w:rPr>
        <w:t xml:space="preserve"> 'Measuring Research Mentors' Cultural Diversity Awareness for Race/Ethnicity in STEM: Validity Evidence for a New Scale', Life Sciences Education, 20(15), pp. 1</w:t>
      </w:r>
      <w:r>
        <w:rPr>
          <w:rFonts w:ascii="Arial" w:hAnsi="Arial" w:cs="Arial"/>
          <w:sz w:val="24"/>
          <w:szCs w:val="24"/>
        </w:rPr>
        <w:t>–</w:t>
      </w:r>
      <w:r w:rsidRPr="00542C48">
        <w:rPr>
          <w:rFonts w:ascii="Arial" w:hAnsi="Arial" w:cs="Arial"/>
          <w:sz w:val="24"/>
          <w:szCs w:val="24"/>
        </w:rPr>
        <w:t xml:space="preserve">11. Available at: </w:t>
      </w:r>
      <w:hyperlink r:id="rId81" w:history="1">
        <w:r w:rsidRPr="007D0B0F">
          <w:rPr>
            <w:rStyle w:val="Hyperlink"/>
            <w:rFonts w:ascii="Arial" w:hAnsi="Arial" w:cs="Arial"/>
            <w:sz w:val="24"/>
            <w:szCs w:val="24"/>
          </w:rPr>
          <w:t>https://www.researchgate.net/publication/352030905_Measuring_Research_Mentors'_Cultural_Diversity_Awareness_for_RaceEthnicity_in_STEM_Validity_Evidence_for_a_New_Scale</w:t>
        </w:r>
      </w:hyperlink>
      <w:r>
        <w:rPr>
          <w:rFonts w:ascii="Arial" w:hAnsi="Arial" w:cs="Arial"/>
          <w:sz w:val="24"/>
          <w:szCs w:val="24"/>
        </w:rPr>
        <w:t xml:space="preserve"> </w:t>
      </w:r>
      <w:r w:rsidRPr="00542C48">
        <w:rPr>
          <w:rFonts w:ascii="Arial" w:hAnsi="Arial" w:cs="Arial"/>
          <w:sz w:val="24"/>
          <w:szCs w:val="24"/>
        </w:rPr>
        <w:t>(Accessed: 24 March 2026).</w:t>
      </w:r>
    </w:p>
    <w:p w14:paraId="3F470F93" w14:textId="68F8DE19" w:rsidR="002C6FAE" w:rsidRDefault="002C6FAE" w:rsidP="009E58ED">
      <w:pPr>
        <w:spacing w:line="360" w:lineRule="auto"/>
        <w:jc w:val="both"/>
        <w:rPr>
          <w:rFonts w:ascii="Arial" w:hAnsi="Arial" w:cs="Arial"/>
          <w:sz w:val="24"/>
          <w:szCs w:val="24"/>
        </w:rPr>
      </w:pPr>
      <w:r w:rsidRPr="002C6FAE">
        <w:rPr>
          <w:rFonts w:ascii="Arial" w:hAnsi="Arial" w:cs="Arial"/>
          <w:sz w:val="24"/>
          <w:szCs w:val="24"/>
        </w:rPr>
        <w:t>Cabinet Office (2017) Race Disparity Audit Summary Findings from the Ethnicity Facts and</w:t>
      </w:r>
      <w:r>
        <w:rPr>
          <w:rFonts w:ascii="Arial" w:hAnsi="Arial" w:cs="Arial"/>
          <w:sz w:val="24"/>
          <w:szCs w:val="24"/>
        </w:rPr>
        <w:t xml:space="preserve"> </w:t>
      </w:r>
      <w:r w:rsidRPr="002C6FAE">
        <w:rPr>
          <w:rFonts w:ascii="Arial" w:hAnsi="Arial" w:cs="Arial"/>
          <w:sz w:val="24"/>
          <w:szCs w:val="24"/>
        </w:rPr>
        <w:t xml:space="preserve">Figures website. Cabinet Office Available at: </w:t>
      </w:r>
      <w:hyperlink r:id="rId82" w:history="1">
        <w:r w:rsidRPr="007D0B0F">
          <w:rPr>
            <w:rStyle w:val="Hyperlink"/>
            <w:rFonts w:ascii="Arial" w:hAnsi="Arial" w:cs="Arial"/>
            <w:sz w:val="24"/>
            <w:szCs w:val="24"/>
          </w:rPr>
          <w:t>https://www.ethnicity-facts-figures.service.gov.uk/static/race-disparity-audit-summary-findings.pdf</w:t>
        </w:r>
      </w:hyperlink>
      <w:r>
        <w:rPr>
          <w:rFonts w:ascii="Arial" w:hAnsi="Arial" w:cs="Arial"/>
          <w:sz w:val="24"/>
          <w:szCs w:val="24"/>
        </w:rPr>
        <w:t xml:space="preserve"> </w:t>
      </w:r>
      <w:r w:rsidRPr="002C6FAE">
        <w:rPr>
          <w:rFonts w:ascii="Arial" w:hAnsi="Arial" w:cs="Arial"/>
          <w:sz w:val="24"/>
          <w:szCs w:val="24"/>
        </w:rPr>
        <w:t>(Accessed: 25 March 2026).</w:t>
      </w:r>
    </w:p>
    <w:p w14:paraId="40D67039" w14:textId="33E12C68" w:rsidR="00DC71BA" w:rsidRDefault="00DC71BA" w:rsidP="009E58ED">
      <w:pPr>
        <w:spacing w:line="360" w:lineRule="auto"/>
        <w:jc w:val="both"/>
        <w:rPr>
          <w:rFonts w:ascii="Arial" w:hAnsi="Arial" w:cs="Arial"/>
          <w:sz w:val="24"/>
          <w:szCs w:val="24"/>
        </w:rPr>
      </w:pPr>
      <w:r w:rsidRPr="00DC71BA">
        <w:rPr>
          <w:rFonts w:ascii="Arial" w:hAnsi="Arial" w:cs="Arial"/>
          <w:sz w:val="24"/>
          <w:szCs w:val="24"/>
        </w:rPr>
        <w:t>Cable, Dr, and Smith, J. (2000)</w:t>
      </w:r>
      <w:r w:rsidR="00845B09">
        <w:rPr>
          <w:rFonts w:ascii="Arial" w:hAnsi="Arial" w:cs="Arial"/>
          <w:sz w:val="24"/>
          <w:szCs w:val="24"/>
        </w:rPr>
        <w:t>.</w:t>
      </w:r>
      <w:r w:rsidRPr="00DC71BA">
        <w:rPr>
          <w:rFonts w:ascii="Arial" w:hAnsi="Arial" w:cs="Arial"/>
          <w:sz w:val="24"/>
          <w:szCs w:val="24"/>
        </w:rPr>
        <w:t xml:space="preserve"> 'School Exclusions', </w:t>
      </w:r>
      <w:r w:rsidRPr="00DC71BA">
        <w:rPr>
          <w:rFonts w:ascii="Arial" w:hAnsi="Arial" w:cs="Arial"/>
          <w:i/>
          <w:iCs/>
          <w:sz w:val="24"/>
          <w:szCs w:val="24"/>
        </w:rPr>
        <w:t xml:space="preserve">Hansard: Written Answers Education </w:t>
      </w:r>
      <w:r>
        <w:rPr>
          <w:rFonts w:ascii="Arial" w:hAnsi="Arial" w:cs="Arial"/>
          <w:i/>
          <w:iCs/>
          <w:sz w:val="24"/>
          <w:szCs w:val="24"/>
        </w:rPr>
        <w:t>a</w:t>
      </w:r>
      <w:r w:rsidRPr="00DC71BA">
        <w:rPr>
          <w:rFonts w:ascii="Arial" w:hAnsi="Arial" w:cs="Arial"/>
          <w:i/>
          <w:iCs/>
          <w:sz w:val="24"/>
          <w:szCs w:val="24"/>
        </w:rPr>
        <w:t>nd Employment</w:t>
      </w:r>
      <w:r w:rsidRPr="00DC71BA">
        <w:rPr>
          <w:rFonts w:ascii="Arial" w:hAnsi="Arial" w:cs="Arial"/>
          <w:sz w:val="24"/>
          <w:szCs w:val="24"/>
        </w:rPr>
        <w:t xml:space="preserve">, 31 January, 343, 106758. Available at: </w:t>
      </w:r>
      <w:hyperlink r:id="rId83" w:history="1">
        <w:r w:rsidRPr="00F821EF">
          <w:rPr>
            <w:rStyle w:val="Hyperlink"/>
            <w:rFonts w:ascii="Arial" w:hAnsi="Arial" w:cs="Arial"/>
            <w:sz w:val="24"/>
            <w:szCs w:val="24"/>
          </w:rPr>
          <w:t>https://hansard.parliament.uk/%E2%80%8CCommons/2000-01-</w:t>
        </w:r>
        <w:r w:rsidRPr="00F821EF">
          <w:rPr>
            <w:rStyle w:val="Hyperlink"/>
            <w:rFonts w:ascii="Arial" w:hAnsi="Arial" w:cs="Arial"/>
            <w:sz w:val="24"/>
            <w:szCs w:val="24"/>
          </w:rPr>
          <w:lastRenderedPageBreak/>
          <w:t>31/debates/0716cebe-5528-42e6-894d-18e715305f63/SchoolExclusions</w:t>
        </w:r>
      </w:hyperlink>
      <w:r>
        <w:rPr>
          <w:rFonts w:ascii="Arial" w:hAnsi="Arial" w:cs="Arial"/>
          <w:sz w:val="24"/>
          <w:szCs w:val="24"/>
        </w:rPr>
        <w:t xml:space="preserve"> </w:t>
      </w:r>
      <w:r w:rsidRPr="00DC71BA">
        <w:rPr>
          <w:rFonts w:ascii="Arial" w:hAnsi="Arial" w:cs="Arial"/>
          <w:sz w:val="24"/>
          <w:szCs w:val="24"/>
        </w:rPr>
        <w:t xml:space="preserve"> </w:t>
      </w:r>
      <w:r w:rsidRPr="00C6484A">
        <w:rPr>
          <w:rFonts w:ascii="Arial" w:hAnsi="Arial" w:cs="Arial"/>
          <w:sz w:val="24"/>
          <w:szCs w:val="24"/>
        </w:rPr>
        <w:t>(Accessed: 18 March 2026).</w:t>
      </w:r>
    </w:p>
    <w:p w14:paraId="5840DDEE" w14:textId="6CCA3735" w:rsidR="0013712A" w:rsidRPr="00C6484A" w:rsidRDefault="0013712A" w:rsidP="009E58ED">
      <w:pPr>
        <w:spacing w:line="360" w:lineRule="auto"/>
        <w:jc w:val="both"/>
        <w:rPr>
          <w:rFonts w:ascii="Arial" w:hAnsi="Arial" w:cs="Arial"/>
          <w:sz w:val="24"/>
          <w:szCs w:val="24"/>
        </w:rPr>
      </w:pPr>
      <w:r w:rsidRPr="0013712A">
        <w:rPr>
          <w:rFonts w:ascii="Arial" w:hAnsi="Arial" w:cs="Arial"/>
          <w:sz w:val="24"/>
          <w:szCs w:val="24"/>
        </w:rPr>
        <w:t>Campbell, I. (2017)</w:t>
      </w:r>
      <w:r w:rsidR="00444565">
        <w:rPr>
          <w:rFonts w:ascii="Arial" w:hAnsi="Arial" w:cs="Arial"/>
          <w:sz w:val="24"/>
          <w:szCs w:val="24"/>
        </w:rPr>
        <w:t>.</w:t>
      </w:r>
      <w:r w:rsidRPr="0013712A">
        <w:rPr>
          <w:rFonts w:ascii="Arial" w:hAnsi="Arial" w:cs="Arial"/>
          <w:sz w:val="24"/>
          <w:szCs w:val="24"/>
        </w:rPr>
        <w:t xml:space="preserve"> Serious organised crime in Scotland: The role of communications in reducing demand, victimisation and fear; An evidence review and toolkit for communicators. Reference number (if available). Publisher or Available at: </w:t>
      </w:r>
      <w:hyperlink r:id="rId84" w:history="1">
        <w:r w:rsidRPr="007D0B0F">
          <w:rPr>
            <w:rStyle w:val="Hyperlink"/>
            <w:rFonts w:ascii="Arial" w:hAnsi="Arial" w:cs="Arial"/>
            <w:sz w:val="24"/>
            <w:szCs w:val="24"/>
          </w:rPr>
          <w:t>https://www.gov.scot/binaries/content/documents/govscot/publications/factsheet/2017/09/serious-organised-crime-role-communications-reducing-demand-victimisation-fear/documents/00525233-pdf/00525233-pdf/govscot%3Adocument/00525233.pdf</w:t>
        </w:r>
      </w:hyperlink>
      <w:r>
        <w:rPr>
          <w:rFonts w:ascii="Arial" w:hAnsi="Arial" w:cs="Arial"/>
          <w:sz w:val="24"/>
          <w:szCs w:val="24"/>
        </w:rPr>
        <w:t xml:space="preserve"> </w:t>
      </w:r>
      <w:r w:rsidRPr="0013712A">
        <w:rPr>
          <w:rFonts w:ascii="Arial" w:hAnsi="Arial" w:cs="Arial"/>
          <w:sz w:val="24"/>
          <w:szCs w:val="24"/>
        </w:rPr>
        <w:t>(Accessed: 2 April 2026).</w:t>
      </w:r>
    </w:p>
    <w:p w14:paraId="5CA3E802" w14:textId="58D0E3FA" w:rsidR="00292B57" w:rsidRPr="00C6484A" w:rsidRDefault="00292B57" w:rsidP="009E58ED">
      <w:pPr>
        <w:spacing w:line="360" w:lineRule="auto"/>
        <w:jc w:val="both"/>
        <w:rPr>
          <w:rFonts w:ascii="Arial" w:hAnsi="Arial" w:cs="Arial"/>
          <w:sz w:val="24"/>
          <w:szCs w:val="24"/>
        </w:rPr>
      </w:pPr>
      <w:r w:rsidRPr="00C6484A">
        <w:rPr>
          <w:rFonts w:ascii="Arial" w:hAnsi="Arial" w:cs="Arial"/>
          <w:sz w:val="24"/>
          <w:szCs w:val="24"/>
        </w:rPr>
        <w:t>Campbell, P. (2021)</w:t>
      </w:r>
      <w:r w:rsidR="00C6484A">
        <w:rPr>
          <w:rFonts w:ascii="Arial" w:hAnsi="Arial" w:cs="Arial"/>
          <w:sz w:val="24"/>
          <w:szCs w:val="24"/>
        </w:rPr>
        <w:t>.</w:t>
      </w:r>
      <w:r w:rsidRPr="00C6484A">
        <w:rPr>
          <w:rFonts w:ascii="Arial" w:hAnsi="Arial" w:cs="Arial"/>
          <w:sz w:val="24"/>
          <w:szCs w:val="24"/>
        </w:rPr>
        <w:t xml:space="preserve"> '‘Pray(</w:t>
      </w:r>
      <w:proofErr w:type="spellStart"/>
      <w:r w:rsidRPr="00C6484A">
        <w:rPr>
          <w:rFonts w:ascii="Arial" w:hAnsi="Arial" w:cs="Arial"/>
          <w:sz w:val="24"/>
          <w:szCs w:val="24"/>
        </w:rPr>
        <w:t>ing</w:t>
      </w:r>
      <w:proofErr w:type="spellEnd"/>
      <w:r w:rsidRPr="00C6484A">
        <w:rPr>
          <w:rFonts w:ascii="Arial" w:hAnsi="Arial" w:cs="Arial"/>
          <w:sz w:val="24"/>
          <w:szCs w:val="24"/>
        </w:rPr>
        <w:t xml:space="preserve">) the person marking your work isn't racist’: racialised inequities in HE assessment practice', </w:t>
      </w:r>
      <w:r w:rsidRPr="00C6484A">
        <w:rPr>
          <w:rFonts w:ascii="Arial" w:hAnsi="Arial" w:cs="Arial"/>
          <w:i/>
          <w:iCs/>
          <w:sz w:val="24"/>
          <w:szCs w:val="24"/>
        </w:rPr>
        <w:t>Teaching in Higher Education</w:t>
      </w:r>
      <w:r w:rsidRPr="00C6484A">
        <w:rPr>
          <w:rFonts w:ascii="Arial" w:hAnsi="Arial" w:cs="Arial"/>
          <w:sz w:val="24"/>
          <w:szCs w:val="24"/>
        </w:rPr>
        <w:t>, 29(5), pp. 1166</w:t>
      </w:r>
      <w:r w:rsidR="00C6484A">
        <w:rPr>
          <w:rFonts w:ascii="Arial" w:hAnsi="Arial" w:cs="Arial"/>
          <w:sz w:val="24"/>
          <w:szCs w:val="24"/>
        </w:rPr>
        <w:t>–</w:t>
      </w:r>
      <w:r w:rsidRPr="00C6484A">
        <w:rPr>
          <w:rFonts w:ascii="Arial" w:hAnsi="Arial" w:cs="Arial"/>
          <w:sz w:val="24"/>
          <w:szCs w:val="24"/>
        </w:rPr>
        <w:t xml:space="preserve">1180. Available at: </w:t>
      </w:r>
      <w:hyperlink r:id="rId85" w:anchor="abstract" w:history="1">
        <w:r w:rsidR="00C6484A" w:rsidRPr="007D0B0F">
          <w:rPr>
            <w:rStyle w:val="Hyperlink"/>
            <w:rFonts w:ascii="Arial" w:hAnsi="Arial" w:cs="Arial"/>
            <w:sz w:val="24"/>
            <w:szCs w:val="24"/>
          </w:rPr>
          <w:t>https://www.tandfonline.com/doi/full/10.1080/13562517.2022.2119075#abstract</w:t>
        </w:r>
      </w:hyperlink>
      <w:r w:rsidR="00C6484A">
        <w:rPr>
          <w:rFonts w:ascii="Arial" w:hAnsi="Arial" w:cs="Arial"/>
          <w:sz w:val="24"/>
          <w:szCs w:val="24"/>
        </w:rPr>
        <w:t xml:space="preserve"> </w:t>
      </w:r>
      <w:r w:rsidRPr="00C6484A">
        <w:rPr>
          <w:rFonts w:ascii="Arial" w:hAnsi="Arial" w:cs="Arial"/>
          <w:sz w:val="24"/>
          <w:szCs w:val="24"/>
        </w:rPr>
        <w:t>(Accessed: 24 March 2026).</w:t>
      </w:r>
    </w:p>
    <w:p w14:paraId="418BD888" w14:textId="02B566A1" w:rsidR="0084629B" w:rsidRDefault="0084629B" w:rsidP="009E58ED">
      <w:pPr>
        <w:spacing w:line="360" w:lineRule="auto"/>
        <w:jc w:val="both"/>
        <w:rPr>
          <w:rFonts w:ascii="Arial" w:hAnsi="Arial" w:cs="Arial"/>
          <w:sz w:val="24"/>
          <w:szCs w:val="24"/>
        </w:rPr>
      </w:pPr>
      <w:r w:rsidRPr="0084629B">
        <w:rPr>
          <w:rFonts w:ascii="Arial" w:hAnsi="Arial" w:cs="Arial"/>
          <w:sz w:val="24"/>
          <w:szCs w:val="24"/>
        </w:rPr>
        <w:t>Carnwell, R., and Daly, W. (2001)</w:t>
      </w:r>
      <w:r w:rsidR="00845B09">
        <w:rPr>
          <w:rFonts w:ascii="Arial" w:hAnsi="Arial" w:cs="Arial"/>
          <w:sz w:val="24"/>
          <w:szCs w:val="24"/>
        </w:rPr>
        <w:t>.</w:t>
      </w:r>
      <w:r w:rsidRPr="0084629B">
        <w:rPr>
          <w:rFonts w:ascii="Arial" w:hAnsi="Arial" w:cs="Arial"/>
          <w:sz w:val="24"/>
          <w:szCs w:val="24"/>
        </w:rPr>
        <w:t xml:space="preserve"> 'Strategies for the construction of a critical review of the literature', </w:t>
      </w:r>
      <w:r w:rsidRPr="0084629B">
        <w:rPr>
          <w:rFonts w:ascii="Arial" w:hAnsi="Arial" w:cs="Arial"/>
          <w:i/>
          <w:iCs/>
          <w:sz w:val="24"/>
          <w:szCs w:val="24"/>
        </w:rPr>
        <w:t>Nurse Education in Practice</w:t>
      </w:r>
      <w:r w:rsidRPr="0084629B">
        <w:rPr>
          <w:rFonts w:ascii="Arial" w:hAnsi="Arial" w:cs="Arial"/>
          <w:sz w:val="24"/>
          <w:szCs w:val="24"/>
        </w:rPr>
        <w:t>,1 (2), pp. 57</w:t>
      </w:r>
      <w:r w:rsidR="00845B09">
        <w:rPr>
          <w:rFonts w:ascii="Arial" w:hAnsi="Arial" w:cs="Arial"/>
          <w:sz w:val="24"/>
          <w:szCs w:val="24"/>
        </w:rPr>
        <w:t>–</w:t>
      </w:r>
      <w:r w:rsidRPr="0084629B">
        <w:rPr>
          <w:rFonts w:ascii="Arial" w:hAnsi="Arial" w:cs="Arial"/>
          <w:sz w:val="24"/>
          <w:szCs w:val="24"/>
        </w:rPr>
        <w:t xml:space="preserve">63. Available at: </w:t>
      </w:r>
      <w:hyperlink r:id="rId86" w:history="1">
        <w:r w:rsidRPr="001228C1">
          <w:rPr>
            <w:rStyle w:val="Hyperlink"/>
            <w:rFonts w:ascii="Arial" w:hAnsi="Arial" w:cs="Arial"/>
            <w:sz w:val="24"/>
            <w:szCs w:val="24"/>
          </w:rPr>
          <w:t>https://www.sciencedirect.com/science/article/pii/S1471595301900083</w:t>
        </w:r>
      </w:hyperlink>
      <w:r>
        <w:rPr>
          <w:rFonts w:ascii="Arial" w:hAnsi="Arial" w:cs="Arial"/>
          <w:sz w:val="24"/>
          <w:szCs w:val="24"/>
        </w:rPr>
        <w:t xml:space="preserve"> </w:t>
      </w:r>
      <w:r w:rsidRPr="0084629B">
        <w:rPr>
          <w:rFonts w:ascii="Arial" w:hAnsi="Arial" w:cs="Arial"/>
          <w:sz w:val="24"/>
          <w:szCs w:val="24"/>
        </w:rPr>
        <w:t>(Accessed: 12 March 2026).</w:t>
      </w:r>
    </w:p>
    <w:p w14:paraId="4ADCD8DB" w14:textId="770A2929" w:rsidR="0050104B" w:rsidRDefault="0050104B" w:rsidP="009E58ED">
      <w:pPr>
        <w:spacing w:line="360" w:lineRule="auto"/>
        <w:jc w:val="both"/>
        <w:rPr>
          <w:rFonts w:ascii="Arial" w:hAnsi="Arial" w:cs="Arial"/>
          <w:sz w:val="24"/>
          <w:szCs w:val="24"/>
        </w:rPr>
      </w:pPr>
      <w:r w:rsidRPr="0050104B">
        <w:rPr>
          <w:rFonts w:ascii="Arial" w:hAnsi="Arial" w:cs="Arial"/>
          <w:sz w:val="24"/>
          <w:szCs w:val="24"/>
        </w:rPr>
        <w:t>Carrington, B., Bonnett, A., Demaine, J., Hall, I., Nayak, A., Short, G., Skelton, C., Smith, F., and Tomlin, R. (2001)</w:t>
      </w:r>
      <w:r w:rsidR="00845B09">
        <w:rPr>
          <w:rFonts w:ascii="Arial" w:hAnsi="Arial" w:cs="Arial"/>
          <w:sz w:val="24"/>
          <w:szCs w:val="24"/>
        </w:rPr>
        <w:t>.</w:t>
      </w:r>
      <w:r w:rsidRPr="0050104B">
        <w:rPr>
          <w:rFonts w:ascii="Arial" w:hAnsi="Arial" w:cs="Arial"/>
          <w:sz w:val="24"/>
          <w:szCs w:val="24"/>
        </w:rPr>
        <w:t> </w:t>
      </w:r>
      <w:r w:rsidRPr="0050104B">
        <w:rPr>
          <w:rFonts w:ascii="Arial" w:hAnsi="Arial" w:cs="Arial"/>
          <w:i/>
          <w:iCs/>
          <w:sz w:val="24"/>
          <w:szCs w:val="24"/>
        </w:rPr>
        <w:t>Ethnicity and the Professional Socialisation of Teachers: Final Report to the Teacher Training Agency.</w:t>
      </w:r>
      <w:r w:rsidRPr="0050104B">
        <w:rPr>
          <w:rFonts w:ascii="Arial" w:hAnsi="Arial" w:cs="Arial"/>
          <w:sz w:val="24"/>
          <w:szCs w:val="24"/>
        </w:rPr>
        <w:t xml:space="preserve"> 0701701145 (ISBN). Loughborough’s Institutional Repository Available at: </w:t>
      </w:r>
      <w:hyperlink r:id="rId87" w:history="1">
        <w:r w:rsidRPr="00FB3832">
          <w:rPr>
            <w:rStyle w:val="Hyperlink"/>
            <w:rFonts w:ascii="Arial" w:hAnsi="Arial" w:cs="Arial"/>
            <w:sz w:val="24"/>
            <w:szCs w:val="24"/>
          </w:rPr>
          <w:t>file:///C:/Users/Student/Downloads/ethnicity-and-the-professional-socialisation-of-teachers-exe.pdf</w:t>
        </w:r>
      </w:hyperlink>
      <w:r>
        <w:rPr>
          <w:rFonts w:ascii="Arial" w:hAnsi="Arial" w:cs="Arial"/>
          <w:sz w:val="24"/>
          <w:szCs w:val="24"/>
        </w:rPr>
        <w:t xml:space="preserve"> </w:t>
      </w:r>
      <w:r w:rsidRPr="0050104B">
        <w:rPr>
          <w:rFonts w:ascii="Arial" w:hAnsi="Arial" w:cs="Arial"/>
          <w:sz w:val="24"/>
          <w:szCs w:val="24"/>
        </w:rPr>
        <w:t>(Accessed: 20 March 2026).</w:t>
      </w:r>
    </w:p>
    <w:p w14:paraId="194035E4" w14:textId="07AE0D09" w:rsidR="006639E1" w:rsidRDefault="006639E1" w:rsidP="009E58ED">
      <w:pPr>
        <w:spacing w:line="360" w:lineRule="auto"/>
        <w:jc w:val="both"/>
        <w:rPr>
          <w:rFonts w:ascii="Arial" w:hAnsi="Arial" w:cs="Arial"/>
          <w:sz w:val="24"/>
          <w:szCs w:val="24"/>
        </w:rPr>
      </w:pPr>
      <w:r w:rsidRPr="006639E1">
        <w:rPr>
          <w:rFonts w:ascii="Arial" w:hAnsi="Arial" w:cs="Arial"/>
          <w:sz w:val="24"/>
          <w:szCs w:val="24"/>
        </w:rPr>
        <w:t>Carrol, S. (2017)</w:t>
      </w:r>
      <w:r w:rsidR="00845B09">
        <w:rPr>
          <w:rFonts w:ascii="Arial" w:hAnsi="Arial" w:cs="Arial"/>
          <w:sz w:val="24"/>
          <w:szCs w:val="24"/>
        </w:rPr>
        <w:t>.</w:t>
      </w:r>
      <w:r w:rsidRPr="006639E1">
        <w:rPr>
          <w:rFonts w:ascii="Arial" w:hAnsi="Arial" w:cs="Arial"/>
          <w:sz w:val="24"/>
          <w:szCs w:val="24"/>
        </w:rPr>
        <w:t xml:space="preserve"> 'Perspectives of 21st Century Black Women English Teachers on Impacting Black Student Achievement', The Journal of Negro Education, 86(2), pp. 115</w:t>
      </w:r>
      <w:r w:rsidR="00804F05">
        <w:rPr>
          <w:rFonts w:ascii="Arial" w:hAnsi="Arial" w:cs="Arial"/>
          <w:sz w:val="24"/>
          <w:szCs w:val="24"/>
        </w:rPr>
        <w:t>–</w:t>
      </w:r>
      <w:r w:rsidRPr="006639E1">
        <w:rPr>
          <w:rFonts w:ascii="Arial" w:hAnsi="Arial" w:cs="Arial"/>
          <w:sz w:val="24"/>
          <w:szCs w:val="24"/>
        </w:rPr>
        <w:t xml:space="preserve">137. Available at: </w:t>
      </w:r>
      <w:hyperlink r:id="rId88" w:history="1">
        <w:r w:rsidRPr="00FB3832">
          <w:rPr>
            <w:rStyle w:val="Hyperlink"/>
            <w:rFonts w:ascii="Arial" w:hAnsi="Arial" w:cs="Arial"/>
            <w:sz w:val="24"/>
            <w:szCs w:val="24"/>
          </w:rPr>
          <w:t>https://www.proquest.com/docview/1979951403?accountid=130472&amp;parentSessionI</w:t>
        </w:r>
        <w:r w:rsidRPr="00FB3832">
          <w:rPr>
            <w:rStyle w:val="Hyperlink"/>
            <w:rFonts w:ascii="Arial" w:hAnsi="Arial" w:cs="Arial"/>
            <w:sz w:val="24"/>
            <w:szCs w:val="24"/>
          </w:rPr>
          <w:lastRenderedPageBreak/>
          <w:t>d=f6cKqzqBHyk%2FLvNnXWVhNyws3Ygug9z%2FoL3VgUClEbA%3D&amp;pq-origsite=primo&amp;sourcetype=Scholarly%20Journals</w:t>
        </w:r>
      </w:hyperlink>
      <w:r>
        <w:rPr>
          <w:rFonts w:ascii="Arial" w:hAnsi="Arial" w:cs="Arial"/>
          <w:sz w:val="24"/>
          <w:szCs w:val="24"/>
        </w:rPr>
        <w:t xml:space="preserve"> </w:t>
      </w:r>
      <w:r w:rsidRPr="006639E1">
        <w:rPr>
          <w:rFonts w:ascii="Arial" w:hAnsi="Arial" w:cs="Arial"/>
          <w:sz w:val="24"/>
          <w:szCs w:val="24"/>
        </w:rPr>
        <w:t>(Accessed: 20 March 2026).</w:t>
      </w:r>
    </w:p>
    <w:p w14:paraId="672A3804" w14:textId="48E510DA" w:rsidR="00804F05" w:rsidRDefault="00804F05" w:rsidP="009E58ED">
      <w:pPr>
        <w:spacing w:line="360" w:lineRule="auto"/>
        <w:jc w:val="both"/>
        <w:rPr>
          <w:rFonts w:ascii="Arial" w:hAnsi="Arial" w:cs="Arial"/>
          <w:sz w:val="24"/>
          <w:szCs w:val="24"/>
        </w:rPr>
      </w:pPr>
      <w:r w:rsidRPr="00804F05">
        <w:rPr>
          <w:rFonts w:ascii="Arial" w:hAnsi="Arial" w:cs="Arial"/>
          <w:sz w:val="24"/>
          <w:szCs w:val="24"/>
        </w:rPr>
        <w:t>Cassar, G. (2006)</w:t>
      </w:r>
      <w:r>
        <w:rPr>
          <w:rFonts w:ascii="Arial" w:hAnsi="Arial" w:cs="Arial"/>
          <w:sz w:val="24"/>
          <w:szCs w:val="24"/>
        </w:rPr>
        <w:t>.</w:t>
      </w:r>
      <w:r w:rsidRPr="00804F05">
        <w:rPr>
          <w:rFonts w:ascii="Arial" w:hAnsi="Arial" w:cs="Arial"/>
          <w:sz w:val="24"/>
          <w:szCs w:val="24"/>
        </w:rPr>
        <w:t xml:space="preserve"> 'Entrepreneur opportunity costs and intended venture growth', Journal of Business Venturing, 21(5), pp. 610</w:t>
      </w:r>
      <w:r>
        <w:rPr>
          <w:rFonts w:ascii="Arial" w:hAnsi="Arial" w:cs="Arial"/>
          <w:sz w:val="24"/>
          <w:szCs w:val="24"/>
        </w:rPr>
        <w:t>–</w:t>
      </w:r>
      <w:r w:rsidRPr="00804F05">
        <w:rPr>
          <w:rFonts w:ascii="Arial" w:hAnsi="Arial" w:cs="Arial"/>
          <w:sz w:val="24"/>
          <w:szCs w:val="24"/>
        </w:rPr>
        <w:t xml:space="preserve">632. Available at: </w:t>
      </w:r>
      <w:hyperlink r:id="rId89" w:history="1">
        <w:r w:rsidRPr="007D0B0F">
          <w:rPr>
            <w:rStyle w:val="Hyperlink"/>
            <w:rFonts w:ascii="Arial" w:hAnsi="Arial" w:cs="Arial"/>
            <w:sz w:val="24"/>
            <w:szCs w:val="24"/>
          </w:rPr>
          <w:t>https://www.sciencedirect.com/science/article/pii/S0883902605000510</w:t>
        </w:r>
      </w:hyperlink>
      <w:r>
        <w:rPr>
          <w:rFonts w:ascii="Arial" w:hAnsi="Arial" w:cs="Arial"/>
          <w:sz w:val="24"/>
          <w:szCs w:val="24"/>
        </w:rPr>
        <w:t xml:space="preserve"> </w:t>
      </w:r>
      <w:r w:rsidRPr="00804F05">
        <w:rPr>
          <w:rFonts w:ascii="Arial" w:hAnsi="Arial" w:cs="Arial"/>
          <w:sz w:val="24"/>
          <w:szCs w:val="24"/>
        </w:rPr>
        <w:t>(Accessed: 28 March 2026).</w:t>
      </w:r>
    </w:p>
    <w:p w14:paraId="69385045" w14:textId="29E34DF1" w:rsidR="008F4FC1" w:rsidRDefault="008F4FC1" w:rsidP="009E58ED">
      <w:pPr>
        <w:spacing w:line="360" w:lineRule="auto"/>
        <w:jc w:val="both"/>
        <w:rPr>
          <w:rFonts w:ascii="Arial" w:hAnsi="Arial" w:cs="Arial"/>
          <w:sz w:val="24"/>
          <w:szCs w:val="24"/>
        </w:rPr>
      </w:pPr>
      <w:r w:rsidRPr="008F4FC1">
        <w:rPr>
          <w:rFonts w:ascii="Arial" w:hAnsi="Arial" w:cs="Arial"/>
          <w:sz w:val="24"/>
          <w:szCs w:val="24"/>
        </w:rPr>
        <w:t>Castilla, E. (2008)</w:t>
      </w:r>
      <w:r w:rsidR="0086354D">
        <w:rPr>
          <w:rFonts w:ascii="Arial" w:hAnsi="Arial" w:cs="Arial"/>
          <w:sz w:val="24"/>
          <w:szCs w:val="24"/>
        </w:rPr>
        <w:t>.</w:t>
      </w:r>
      <w:r w:rsidRPr="008F4FC1">
        <w:rPr>
          <w:rFonts w:ascii="Arial" w:hAnsi="Arial" w:cs="Arial"/>
          <w:sz w:val="24"/>
          <w:szCs w:val="24"/>
        </w:rPr>
        <w:t xml:space="preserve"> 'Gender, Race, and Meritocracy in Organizational Careers', </w:t>
      </w:r>
      <w:r w:rsidRPr="008F4FC1">
        <w:rPr>
          <w:rFonts w:ascii="Arial" w:hAnsi="Arial" w:cs="Arial"/>
          <w:i/>
          <w:iCs/>
          <w:sz w:val="24"/>
          <w:szCs w:val="24"/>
        </w:rPr>
        <w:t>American Journal of Sociology</w:t>
      </w:r>
      <w:r w:rsidRPr="008F4FC1">
        <w:rPr>
          <w:rFonts w:ascii="Arial" w:hAnsi="Arial" w:cs="Arial"/>
          <w:sz w:val="24"/>
          <w:szCs w:val="24"/>
        </w:rPr>
        <w:t>, 113(6), pp. 1479</w:t>
      </w:r>
      <w:r w:rsidR="0086354D">
        <w:rPr>
          <w:rFonts w:ascii="Arial" w:hAnsi="Arial" w:cs="Arial"/>
          <w:sz w:val="24"/>
          <w:szCs w:val="24"/>
        </w:rPr>
        <w:t>–</w:t>
      </w:r>
      <w:r w:rsidRPr="008F4FC1">
        <w:rPr>
          <w:rFonts w:ascii="Arial" w:hAnsi="Arial" w:cs="Arial"/>
          <w:sz w:val="24"/>
          <w:szCs w:val="24"/>
        </w:rPr>
        <w:t xml:space="preserve">1526. Available at: </w:t>
      </w:r>
      <w:hyperlink r:id="rId90" w:history="1">
        <w:r w:rsidRPr="00FB3832">
          <w:rPr>
            <w:rStyle w:val="Hyperlink"/>
            <w:rFonts w:ascii="Arial" w:hAnsi="Arial" w:cs="Arial"/>
            <w:sz w:val="24"/>
            <w:szCs w:val="24"/>
          </w:rPr>
          <w:t>https://www-jstor-org.uwtsd.idm.oclc.org/stable/10.1086/588738?seq=1</w:t>
        </w:r>
      </w:hyperlink>
      <w:r>
        <w:rPr>
          <w:rFonts w:ascii="Arial" w:hAnsi="Arial" w:cs="Arial"/>
          <w:sz w:val="24"/>
          <w:szCs w:val="24"/>
        </w:rPr>
        <w:t xml:space="preserve"> </w:t>
      </w:r>
      <w:r w:rsidRPr="008F4FC1">
        <w:rPr>
          <w:rFonts w:ascii="Arial" w:hAnsi="Arial" w:cs="Arial"/>
          <w:sz w:val="24"/>
          <w:szCs w:val="24"/>
        </w:rPr>
        <w:t>(Accessed: 20 March 2026).</w:t>
      </w:r>
    </w:p>
    <w:p w14:paraId="391BA507" w14:textId="509085E4" w:rsidR="00F019E7" w:rsidRDefault="00F019E7" w:rsidP="009E58ED">
      <w:pPr>
        <w:spacing w:line="360" w:lineRule="auto"/>
        <w:jc w:val="both"/>
        <w:rPr>
          <w:rFonts w:ascii="Arial" w:hAnsi="Arial" w:cs="Arial"/>
          <w:sz w:val="24"/>
          <w:szCs w:val="24"/>
        </w:rPr>
      </w:pPr>
      <w:r w:rsidRPr="00F019E7">
        <w:rPr>
          <w:rFonts w:ascii="Arial" w:hAnsi="Arial" w:cs="Arial"/>
          <w:sz w:val="24"/>
          <w:szCs w:val="24"/>
        </w:rPr>
        <w:t>Castillo-Martínez, I., and Ramirez-Montoya, M. (2021)</w:t>
      </w:r>
      <w:r w:rsidR="0086354D">
        <w:rPr>
          <w:rFonts w:ascii="Arial" w:hAnsi="Arial" w:cs="Arial"/>
          <w:sz w:val="24"/>
          <w:szCs w:val="24"/>
        </w:rPr>
        <w:t>.</w:t>
      </w:r>
      <w:r w:rsidRPr="00F019E7">
        <w:rPr>
          <w:rFonts w:ascii="Arial" w:hAnsi="Arial" w:cs="Arial"/>
          <w:sz w:val="24"/>
          <w:szCs w:val="24"/>
        </w:rPr>
        <w:t xml:space="preserve"> 'Research Competencies to Develop Academic Reading and Writing: A Systematic Literature Review', Educational Psychology, 5. Available at: </w:t>
      </w:r>
      <w:hyperlink r:id="rId91" w:history="1">
        <w:r w:rsidR="008B1DE8" w:rsidRPr="00D94FAA">
          <w:rPr>
            <w:rStyle w:val="Hyperlink"/>
            <w:rFonts w:ascii="Arial" w:hAnsi="Arial" w:cs="Arial"/>
            <w:sz w:val="24"/>
            <w:szCs w:val="24"/>
          </w:rPr>
          <w:t>https://www.frontiersin.org/journals/education/articles/10.3389/feduc.2020.576961/full</w:t>
        </w:r>
      </w:hyperlink>
      <w:r w:rsidR="008B1DE8">
        <w:rPr>
          <w:rFonts w:ascii="Arial" w:hAnsi="Arial" w:cs="Arial"/>
          <w:sz w:val="24"/>
          <w:szCs w:val="24"/>
        </w:rPr>
        <w:t xml:space="preserve"> </w:t>
      </w:r>
      <w:r w:rsidRPr="00F019E7">
        <w:rPr>
          <w:rFonts w:ascii="Arial" w:hAnsi="Arial" w:cs="Arial"/>
          <w:sz w:val="24"/>
          <w:szCs w:val="24"/>
        </w:rPr>
        <w:t>(Accessed: 23 February 2026).</w:t>
      </w:r>
    </w:p>
    <w:p w14:paraId="54FB3390" w14:textId="09FEE02A" w:rsidR="00B80C23" w:rsidRDefault="00B80C23" w:rsidP="009E58ED">
      <w:pPr>
        <w:spacing w:line="360" w:lineRule="auto"/>
        <w:jc w:val="both"/>
        <w:rPr>
          <w:rFonts w:ascii="Arial" w:hAnsi="Arial" w:cs="Arial"/>
          <w:sz w:val="24"/>
          <w:szCs w:val="24"/>
        </w:rPr>
      </w:pPr>
      <w:r w:rsidRPr="00B80C23">
        <w:rPr>
          <w:rFonts w:ascii="Arial" w:hAnsi="Arial" w:cs="Arial"/>
          <w:sz w:val="24"/>
          <w:szCs w:val="24"/>
        </w:rPr>
        <w:t xml:space="preserve">Catney, G., and Sabater, A. (2015). Ethnic Minority Disadvantage in the Labour Market: Participation, Skills and Geographical Inequalities. ISBN: 978 1 90958 664 2. Joseph Rowntree Foundation. Available at: </w:t>
      </w:r>
      <w:hyperlink r:id="rId92" w:history="1">
        <w:r w:rsidRPr="007D0B0F">
          <w:rPr>
            <w:rStyle w:val="Hyperlink"/>
            <w:rFonts w:ascii="Arial" w:hAnsi="Arial" w:cs="Arial"/>
            <w:sz w:val="24"/>
            <w:szCs w:val="24"/>
          </w:rPr>
          <w:t>file:///C:/Users/Student/Downloads/ethnic-minority-disadvantage-full.pdf</w:t>
        </w:r>
      </w:hyperlink>
      <w:r>
        <w:rPr>
          <w:rFonts w:ascii="Arial" w:hAnsi="Arial" w:cs="Arial"/>
          <w:sz w:val="24"/>
          <w:szCs w:val="24"/>
        </w:rPr>
        <w:t xml:space="preserve"> </w:t>
      </w:r>
      <w:r w:rsidRPr="00B80C23">
        <w:rPr>
          <w:rFonts w:ascii="Arial" w:hAnsi="Arial" w:cs="Arial"/>
          <w:sz w:val="24"/>
          <w:szCs w:val="24"/>
        </w:rPr>
        <w:t>(Accessed: 25 March 2026).</w:t>
      </w:r>
    </w:p>
    <w:p w14:paraId="2A4C7E25" w14:textId="5BF7FACE" w:rsidR="004E2105" w:rsidRDefault="004E2105" w:rsidP="009E58ED">
      <w:pPr>
        <w:spacing w:line="360" w:lineRule="auto"/>
        <w:jc w:val="both"/>
        <w:rPr>
          <w:rFonts w:ascii="Arial" w:hAnsi="Arial" w:cs="Arial"/>
          <w:sz w:val="24"/>
          <w:szCs w:val="24"/>
        </w:rPr>
      </w:pPr>
      <w:proofErr w:type="spellStart"/>
      <w:r w:rsidRPr="004E2105">
        <w:rPr>
          <w:rFonts w:ascii="Arial" w:hAnsi="Arial" w:cs="Arial"/>
          <w:sz w:val="24"/>
          <w:szCs w:val="24"/>
        </w:rPr>
        <w:t>Cavaglia</w:t>
      </w:r>
      <w:proofErr w:type="spellEnd"/>
      <w:r w:rsidRPr="004E2105">
        <w:rPr>
          <w:rFonts w:ascii="Arial" w:hAnsi="Arial" w:cs="Arial"/>
          <w:sz w:val="24"/>
          <w:szCs w:val="24"/>
        </w:rPr>
        <w:t xml:space="preserve">, C., McNally, S., and Ventura, G. (2018). Do Apprenticeships Pay? Evidence for England. Research Discussion Paper 015. Centre for Vocational Educational Research Available at: </w:t>
      </w:r>
      <w:hyperlink r:id="rId93" w:history="1">
        <w:r w:rsidRPr="007D0B0F">
          <w:rPr>
            <w:rStyle w:val="Hyperlink"/>
            <w:rFonts w:ascii="Arial" w:hAnsi="Arial" w:cs="Arial"/>
            <w:sz w:val="24"/>
            <w:szCs w:val="24"/>
          </w:rPr>
          <w:t>https://cver.lse.ac.uk/textonly/cver/pubs/cverdp015.pdf</w:t>
        </w:r>
      </w:hyperlink>
      <w:r>
        <w:rPr>
          <w:rFonts w:ascii="Arial" w:hAnsi="Arial" w:cs="Arial"/>
          <w:sz w:val="24"/>
          <w:szCs w:val="24"/>
        </w:rPr>
        <w:t xml:space="preserve"> </w:t>
      </w:r>
      <w:r w:rsidRPr="004E2105">
        <w:rPr>
          <w:rFonts w:ascii="Arial" w:hAnsi="Arial" w:cs="Arial"/>
          <w:sz w:val="24"/>
          <w:szCs w:val="24"/>
        </w:rPr>
        <w:t>(Accessed: 26 March 2026).</w:t>
      </w:r>
    </w:p>
    <w:p w14:paraId="25C1FFF0" w14:textId="196A2FD3" w:rsidR="00982060" w:rsidRDefault="00982060" w:rsidP="009E58ED">
      <w:pPr>
        <w:spacing w:line="360" w:lineRule="auto"/>
        <w:jc w:val="both"/>
        <w:rPr>
          <w:rFonts w:ascii="Arial" w:hAnsi="Arial" w:cs="Arial"/>
          <w:sz w:val="24"/>
          <w:szCs w:val="24"/>
        </w:rPr>
      </w:pPr>
      <w:r w:rsidRPr="00982060">
        <w:rPr>
          <w:rFonts w:ascii="Arial" w:hAnsi="Arial" w:cs="Arial"/>
          <w:sz w:val="24"/>
          <w:szCs w:val="24"/>
        </w:rPr>
        <w:t>Centra, J., and Gaubatz, N. (2000)</w:t>
      </w:r>
      <w:r w:rsidR="00D47030">
        <w:rPr>
          <w:rFonts w:ascii="Arial" w:hAnsi="Arial" w:cs="Arial"/>
          <w:sz w:val="24"/>
          <w:szCs w:val="24"/>
        </w:rPr>
        <w:t>.</w:t>
      </w:r>
      <w:r w:rsidRPr="00982060">
        <w:rPr>
          <w:rFonts w:ascii="Arial" w:hAnsi="Arial" w:cs="Arial"/>
          <w:sz w:val="24"/>
          <w:szCs w:val="24"/>
        </w:rPr>
        <w:t xml:space="preserve"> 'Is There Gender Bias in Student Evaluations of</w:t>
      </w:r>
      <w:r>
        <w:rPr>
          <w:rFonts w:ascii="Arial" w:hAnsi="Arial" w:cs="Arial"/>
          <w:sz w:val="24"/>
          <w:szCs w:val="24"/>
        </w:rPr>
        <w:t xml:space="preserve"> </w:t>
      </w:r>
      <w:r w:rsidRPr="00982060">
        <w:rPr>
          <w:rFonts w:ascii="Arial" w:hAnsi="Arial" w:cs="Arial"/>
          <w:sz w:val="24"/>
          <w:szCs w:val="24"/>
        </w:rPr>
        <w:t>Teaching?', The Journal of Higher Education, 71(1), pp. 17</w:t>
      </w:r>
      <w:r w:rsidR="00112DCD">
        <w:rPr>
          <w:rFonts w:ascii="Arial" w:hAnsi="Arial" w:cs="Arial"/>
          <w:sz w:val="24"/>
          <w:szCs w:val="24"/>
        </w:rPr>
        <w:t>–</w:t>
      </w:r>
      <w:r w:rsidRPr="00982060">
        <w:rPr>
          <w:rFonts w:ascii="Arial" w:hAnsi="Arial" w:cs="Arial"/>
          <w:sz w:val="24"/>
          <w:szCs w:val="24"/>
        </w:rPr>
        <w:t xml:space="preserve">33. Available at: </w:t>
      </w:r>
      <w:hyperlink r:id="rId94" w:history="1">
        <w:r w:rsidRPr="00FB3832">
          <w:rPr>
            <w:rStyle w:val="Hyperlink"/>
            <w:rFonts w:ascii="Arial" w:hAnsi="Arial" w:cs="Arial"/>
            <w:sz w:val="24"/>
            <w:szCs w:val="24"/>
          </w:rPr>
          <w:t>https://www.tandfonline.com/doi/pdf/10.1080/00221546.2000.11780814</w:t>
        </w:r>
      </w:hyperlink>
      <w:r>
        <w:rPr>
          <w:rFonts w:ascii="Arial" w:hAnsi="Arial" w:cs="Arial"/>
          <w:sz w:val="24"/>
          <w:szCs w:val="24"/>
        </w:rPr>
        <w:t xml:space="preserve"> </w:t>
      </w:r>
      <w:r w:rsidRPr="00982060">
        <w:rPr>
          <w:rFonts w:ascii="Arial" w:hAnsi="Arial" w:cs="Arial"/>
          <w:sz w:val="24"/>
          <w:szCs w:val="24"/>
        </w:rPr>
        <w:t>(Accessed: 19 March 2026).</w:t>
      </w:r>
    </w:p>
    <w:p w14:paraId="56D6BA70" w14:textId="0A9A3BB0" w:rsidR="00DE09EE" w:rsidRDefault="00DE09EE" w:rsidP="009E58ED">
      <w:pPr>
        <w:spacing w:line="360" w:lineRule="auto"/>
        <w:jc w:val="both"/>
        <w:rPr>
          <w:rFonts w:ascii="Arial" w:hAnsi="Arial" w:cs="Arial"/>
          <w:sz w:val="24"/>
          <w:szCs w:val="24"/>
        </w:rPr>
      </w:pPr>
      <w:r w:rsidRPr="00DE09EE">
        <w:rPr>
          <w:rFonts w:ascii="Arial" w:hAnsi="Arial" w:cs="Arial"/>
          <w:sz w:val="24"/>
          <w:szCs w:val="24"/>
        </w:rPr>
        <w:lastRenderedPageBreak/>
        <w:t xml:space="preserve">Centre for Social Justice and Justice and Care (2024) Criminal exploitation: Modern slavery by another name. Centre for Social Justice and Justice and Care Available at:  </w:t>
      </w:r>
      <w:hyperlink r:id="rId95" w:history="1">
        <w:r w:rsidRPr="007D0B0F">
          <w:rPr>
            <w:rStyle w:val="Hyperlink"/>
            <w:rFonts w:ascii="Arial" w:hAnsi="Arial" w:cs="Arial"/>
            <w:sz w:val="24"/>
            <w:szCs w:val="24"/>
          </w:rPr>
          <w:t>https://www.antislaverycommissioner.co.uk/media/2bhhuyiu/csj-jc_criminal_exploitation.pdf</w:t>
        </w:r>
      </w:hyperlink>
      <w:r>
        <w:rPr>
          <w:rFonts w:ascii="Arial" w:hAnsi="Arial" w:cs="Arial"/>
          <w:sz w:val="24"/>
          <w:szCs w:val="24"/>
        </w:rPr>
        <w:t xml:space="preserve"> </w:t>
      </w:r>
      <w:r w:rsidRPr="00DE09EE">
        <w:rPr>
          <w:rFonts w:ascii="Arial" w:hAnsi="Arial" w:cs="Arial"/>
          <w:sz w:val="24"/>
          <w:szCs w:val="24"/>
        </w:rPr>
        <w:t>(Accessed: 1 April 2026).</w:t>
      </w:r>
    </w:p>
    <w:p w14:paraId="37B7854A" w14:textId="7FF62DFC" w:rsidR="00DA66FD" w:rsidRDefault="00DA66FD" w:rsidP="009E58ED">
      <w:pPr>
        <w:spacing w:line="360" w:lineRule="auto"/>
        <w:jc w:val="both"/>
        <w:rPr>
          <w:rFonts w:ascii="Arial" w:hAnsi="Arial" w:cs="Arial"/>
          <w:sz w:val="24"/>
          <w:szCs w:val="24"/>
        </w:rPr>
      </w:pPr>
      <w:r w:rsidRPr="00DA66FD">
        <w:rPr>
          <w:rFonts w:ascii="Arial" w:hAnsi="Arial" w:cs="Arial"/>
          <w:sz w:val="24"/>
          <w:szCs w:val="24"/>
        </w:rPr>
        <w:t>Chambliss, D., and Takacs, C. (2014). </w:t>
      </w:r>
      <w:r w:rsidRPr="00DA66FD">
        <w:rPr>
          <w:rFonts w:ascii="Arial" w:hAnsi="Arial" w:cs="Arial"/>
          <w:i/>
          <w:iCs/>
          <w:sz w:val="24"/>
          <w:szCs w:val="24"/>
        </w:rPr>
        <w:t>How College Works.</w:t>
      </w:r>
      <w:r w:rsidRPr="00DA66FD">
        <w:rPr>
          <w:rFonts w:ascii="Arial" w:hAnsi="Arial" w:cs="Arial"/>
          <w:sz w:val="24"/>
          <w:szCs w:val="24"/>
        </w:rPr>
        <w:t xml:space="preserve"> Harvard University Press, Cambridge, MA. Available at: </w:t>
      </w:r>
      <w:hyperlink r:id="rId96" w:history="1">
        <w:r w:rsidRPr="002F0426">
          <w:rPr>
            <w:rStyle w:val="Hyperlink"/>
            <w:rFonts w:ascii="Arial" w:hAnsi="Arial" w:cs="Arial"/>
            <w:sz w:val="24"/>
            <w:szCs w:val="24"/>
          </w:rPr>
          <w:t>https://www.academia.edu/92871576/How_College_Works</w:t>
        </w:r>
      </w:hyperlink>
      <w:r>
        <w:rPr>
          <w:rFonts w:ascii="Arial" w:hAnsi="Arial" w:cs="Arial"/>
          <w:sz w:val="24"/>
          <w:szCs w:val="24"/>
        </w:rPr>
        <w:t xml:space="preserve"> </w:t>
      </w:r>
      <w:r w:rsidRPr="00DA66FD">
        <w:rPr>
          <w:rFonts w:ascii="Arial" w:hAnsi="Arial" w:cs="Arial"/>
          <w:sz w:val="24"/>
          <w:szCs w:val="24"/>
        </w:rPr>
        <w:t>(Accessed: 16 March 2026).</w:t>
      </w:r>
    </w:p>
    <w:p w14:paraId="0D68E502" w14:textId="47253914" w:rsidR="000F0927" w:rsidRDefault="000F0927" w:rsidP="009E58ED">
      <w:pPr>
        <w:spacing w:line="360" w:lineRule="auto"/>
        <w:jc w:val="both"/>
        <w:rPr>
          <w:rFonts w:ascii="Arial" w:hAnsi="Arial" w:cs="Arial"/>
          <w:sz w:val="24"/>
          <w:szCs w:val="24"/>
        </w:rPr>
      </w:pPr>
      <w:r w:rsidRPr="000F0927">
        <w:rPr>
          <w:rFonts w:ascii="Arial" w:hAnsi="Arial" w:cs="Arial"/>
          <w:sz w:val="24"/>
          <w:szCs w:val="24"/>
        </w:rPr>
        <w:t>Chatterjee, P., Rose, R., and Sinha, J. (2013)</w:t>
      </w:r>
      <w:r>
        <w:rPr>
          <w:rFonts w:ascii="Arial" w:hAnsi="Arial" w:cs="Arial"/>
          <w:sz w:val="24"/>
          <w:szCs w:val="24"/>
        </w:rPr>
        <w:t>.</w:t>
      </w:r>
      <w:r w:rsidRPr="000F0927">
        <w:rPr>
          <w:rFonts w:ascii="Arial" w:hAnsi="Arial" w:cs="Arial"/>
          <w:sz w:val="24"/>
          <w:szCs w:val="24"/>
        </w:rPr>
        <w:t xml:space="preserve"> 'Why money meanings matter in decisions to donate time and money', </w:t>
      </w:r>
      <w:proofErr w:type="spellStart"/>
      <w:r w:rsidRPr="000F0927">
        <w:rPr>
          <w:rFonts w:ascii="Arial" w:hAnsi="Arial" w:cs="Arial"/>
          <w:sz w:val="24"/>
          <w:szCs w:val="24"/>
        </w:rPr>
        <w:t>Science+Business</w:t>
      </w:r>
      <w:proofErr w:type="spellEnd"/>
      <w:r w:rsidRPr="000F0927">
        <w:rPr>
          <w:rFonts w:ascii="Arial" w:hAnsi="Arial" w:cs="Arial"/>
          <w:sz w:val="24"/>
          <w:szCs w:val="24"/>
        </w:rPr>
        <w:t>, 24, pp. 109</w:t>
      </w:r>
      <w:r>
        <w:rPr>
          <w:rFonts w:ascii="Arial" w:hAnsi="Arial" w:cs="Arial"/>
          <w:sz w:val="24"/>
          <w:szCs w:val="24"/>
        </w:rPr>
        <w:t>–</w:t>
      </w:r>
      <w:r w:rsidRPr="000F0927">
        <w:rPr>
          <w:rFonts w:ascii="Arial" w:hAnsi="Arial" w:cs="Arial"/>
          <w:sz w:val="24"/>
          <w:szCs w:val="24"/>
        </w:rPr>
        <w:t xml:space="preserve">118. Available at: </w:t>
      </w:r>
      <w:hyperlink r:id="rId97" w:history="1">
        <w:r w:rsidRPr="007D0B0F">
          <w:rPr>
            <w:rStyle w:val="Hyperlink"/>
            <w:rFonts w:ascii="Arial" w:hAnsi="Arial" w:cs="Arial"/>
            <w:sz w:val="24"/>
            <w:szCs w:val="24"/>
          </w:rPr>
          <w:t>https://statmodeling.stat.columbia.edu/wp-content/uploads/2016/02/chaterjee.pdf</w:t>
        </w:r>
      </w:hyperlink>
      <w:r>
        <w:rPr>
          <w:rFonts w:ascii="Arial" w:hAnsi="Arial" w:cs="Arial"/>
          <w:sz w:val="24"/>
          <w:szCs w:val="24"/>
        </w:rPr>
        <w:t xml:space="preserve"> </w:t>
      </w:r>
      <w:r w:rsidRPr="000F0927">
        <w:rPr>
          <w:rFonts w:ascii="Arial" w:hAnsi="Arial" w:cs="Arial"/>
          <w:sz w:val="24"/>
          <w:szCs w:val="24"/>
        </w:rPr>
        <w:t xml:space="preserve"> (Accessed: 28 March 2026).</w:t>
      </w:r>
    </w:p>
    <w:p w14:paraId="198B739A" w14:textId="59B6F889" w:rsidR="001E78CE" w:rsidRDefault="001E78CE" w:rsidP="009E58ED">
      <w:pPr>
        <w:spacing w:line="360" w:lineRule="auto"/>
        <w:jc w:val="both"/>
        <w:rPr>
          <w:rFonts w:ascii="Arial" w:hAnsi="Arial" w:cs="Arial"/>
          <w:sz w:val="24"/>
          <w:szCs w:val="24"/>
        </w:rPr>
      </w:pPr>
      <w:r w:rsidRPr="001E78CE">
        <w:rPr>
          <w:rFonts w:ascii="Arial" w:hAnsi="Arial" w:cs="Arial"/>
          <w:sz w:val="24"/>
          <w:szCs w:val="24"/>
        </w:rPr>
        <w:t>Chigbu, U., Atiku, S., and Plessis, C. (2023)</w:t>
      </w:r>
      <w:r w:rsidR="00D47030">
        <w:rPr>
          <w:rFonts w:ascii="Arial" w:hAnsi="Arial" w:cs="Arial"/>
          <w:sz w:val="24"/>
          <w:szCs w:val="24"/>
        </w:rPr>
        <w:t>.</w:t>
      </w:r>
      <w:r w:rsidRPr="001E78CE">
        <w:rPr>
          <w:rFonts w:ascii="Arial" w:hAnsi="Arial" w:cs="Arial"/>
          <w:sz w:val="24"/>
          <w:szCs w:val="24"/>
        </w:rPr>
        <w:t xml:space="preserve"> 'The Science of Literature Reviews: Searching, Identifying, Selecting, and Synthesising', Publications, 11(2), pp. 1</w:t>
      </w:r>
      <w:r w:rsidR="00112DCD">
        <w:rPr>
          <w:rFonts w:ascii="Arial" w:hAnsi="Arial" w:cs="Arial"/>
          <w:sz w:val="24"/>
          <w:szCs w:val="24"/>
        </w:rPr>
        <w:t>–</w:t>
      </w:r>
      <w:r w:rsidRPr="001E78CE">
        <w:rPr>
          <w:rFonts w:ascii="Arial" w:hAnsi="Arial" w:cs="Arial"/>
          <w:sz w:val="24"/>
          <w:szCs w:val="24"/>
        </w:rPr>
        <w:t xml:space="preserve">16. Available at: </w:t>
      </w:r>
      <w:hyperlink r:id="rId98" w:history="1">
        <w:r w:rsidRPr="00D94FAA">
          <w:rPr>
            <w:rStyle w:val="Hyperlink"/>
            <w:rFonts w:ascii="Arial" w:hAnsi="Arial" w:cs="Arial"/>
            <w:sz w:val="24"/>
            <w:szCs w:val="24"/>
          </w:rPr>
          <w:t>https://www.researchgate.net/publication/366917532_The_Science_of_Literature_Reviews_Searching_Identifying_Selecting_and_Synthesising</w:t>
        </w:r>
      </w:hyperlink>
      <w:r>
        <w:rPr>
          <w:rFonts w:ascii="Arial" w:hAnsi="Arial" w:cs="Arial"/>
          <w:sz w:val="24"/>
          <w:szCs w:val="24"/>
        </w:rPr>
        <w:t xml:space="preserve"> </w:t>
      </w:r>
      <w:r w:rsidRPr="001E78CE">
        <w:rPr>
          <w:rFonts w:ascii="Arial" w:hAnsi="Arial" w:cs="Arial"/>
          <w:sz w:val="24"/>
          <w:szCs w:val="24"/>
        </w:rPr>
        <w:t>(Accessed: 28 February 2026).</w:t>
      </w:r>
    </w:p>
    <w:p w14:paraId="4EB84ED9" w14:textId="411BA397" w:rsidR="00E01BE9" w:rsidRDefault="00E01BE9" w:rsidP="009E58ED">
      <w:pPr>
        <w:spacing w:line="360" w:lineRule="auto"/>
        <w:jc w:val="both"/>
        <w:rPr>
          <w:rFonts w:ascii="Arial" w:hAnsi="Arial" w:cs="Arial"/>
          <w:sz w:val="24"/>
          <w:szCs w:val="24"/>
        </w:rPr>
      </w:pPr>
      <w:r w:rsidRPr="00E01BE9">
        <w:rPr>
          <w:rFonts w:ascii="Arial" w:hAnsi="Arial" w:cs="Arial"/>
          <w:sz w:val="24"/>
          <w:szCs w:val="24"/>
        </w:rPr>
        <w:t>Chiswick, B. (1991)</w:t>
      </w:r>
      <w:r w:rsidR="00B21C17">
        <w:rPr>
          <w:rFonts w:ascii="Arial" w:hAnsi="Arial" w:cs="Arial"/>
          <w:sz w:val="24"/>
          <w:szCs w:val="24"/>
        </w:rPr>
        <w:t>.</w:t>
      </w:r>
      <w:r w:rsidRPr="00E01BE9">
        <w:rPr>
          <w:rFonts w:ascii="Arial" w:hAnsi="Arial" w:cs="Arial"/>
          <w:sz w:val="24"/>
          <w:szCs w:val="24"/>
        </w:rPr>
        <w:t xml:space="preserve"> 'Speaking, Reading, and Earnings among Low-Skilled Immigrants', Journal of Labor Economics, 9(2), pp. 149</w:t>
      </w:r>
      <w:r w:rsidR="00B21C17">
        <w:rPr>
          <w:rFonts w:ascii="Arial" w:hAnsi="Arial" w:cs="Arial"/>
          <w:sz w:val="24"/>
          <w:szCs w:val="24"/>
        </w:rPr>
        <w:t>–</w:t>
      </w:r>
      <w:r w:rsidRPr="00E01BE9">
        <w:rPr>
          <w:rFonts w:ascii="Arial" w:hAnsi="Arial" w:cs="Arial"/>
          <w:sz w:val="24"/>
          <w:szCs w:val="24"/>
        </w:rPr>
        <w:t xml:space="preserve">170. Available at: </w:t>
      </w:r>
      <w:hyperlink r:id="rId99" w:history="1">
        <w:r w:rsidRPr="007D0B0F">
          <w:rPr>
            <w:rStyle w:val="Hyperlink"/>
            <w:rFonts w:ascii="Arial" w:hAnsi="Arial" w:cs="Arial"/>
            <w:sz w:val="24"/>
            <w:szCs w:val="24"/>
          </w:rPr>
          <w:t>https://www-jstor-org.uwtsd.idm.oclc.org/stable/2535238?sid=primo&amp;seq=</w:t>
        </w:r>
      </w:hyperlink>
      <w:r>
        <w:rPr>
          <w:rFonts w:ascii="Arial" w:hAnsi="Arial" w:cs="Arial"/>
          <w:sz w:val="24"/>
          <w:szCs w:val="24"/>
        </w:rPr>
        <w:t xml:space="preserve"> </w:t>
      </w:r>
      <w:r w:rsidRPr="00E01BE9">
        <w:rPr>
          <w:rFonts w:ascii="Arial" w:hAnsi="Arial" w:cs="Arial"/>
          <w:sz w:val="24"/>
          <w:szCs w:val="24"/>
        </w:rPr>
        <w:t xml:space="preserve"> (Accessed: 25 March 2026).</w:t>
      </w:r>
    </w:p>
    <w:p w14:paraId="0DB77C87" w14:textId="78D1A7C7" w:rsidR="005E4BE0" w:rsidRDefault="007A55F7" w:rsidP="009E58ED">
      <w:pPr>
        <w:spacing w:line="360" w:lineRule="auto"/>
        <w:jc w:val="both"/>
        <w:rPr>
          <w:rFonts w:ascii="Arial" w:hAnsi="Arial" w:cs="Arial"/>
          <w:sz w:val="24"/>
          <w:szCs w:val="24"/>
        </w:rPr>
      </w:pPr>
      <w:r w:rsidRPr="007A55F7">
        <w:rPr>
          <w:rFonts w:ascii="Arial" w:hAnsi="Arial" w:cs="Arial"/>
          <w:sz w:val="24"/>
          <w:szCs w:val="24"/>
        </w:rPr>
        <w:t>Clarke, V. and Braun, V. (2017)</w:t>
      </w:r>
      <w:r w:rsidR="00D47030">
        <w:rPr>
          <w:rFonts w:ascii="Arial" w:hAnsi="Arial" w:cs="Arial"/>
          <w:sz w:val="24"/>
          <w:szCs w:val="24"/>
        </w:rPr>
        <w:t>.</w:t>
      </w:r>
      <w:r w:rsidRPr="007A55F7">
        <w:rPr>
          <w:rFonts w:ascii="Arial" w:hAnsi="Arial" w:cs="Arial"/>
          <w:sz w:val="24"/>
          <w:szCs w:val="24"/>
        </w:rPr>
        <w:t xml:space="preserve"> 'Thematic analysis', </w:t>
      </w:r>
      <w:r w:rsidRPr="007A55F7">
        <w:rPr>
          <w:rFonts w:ascii="Arial" w:hAnsi="Arial" w:cs="Arial"/>
          <w:i/>
          <w:iCs/>
          <w:sz w:val="24"/>
          <w:szCs w:val="24"/>
        </w:rPr>
        <w:t>The Journal of Positive Psychology</w:t>
      </w:r>
      <w:r w:rsidRPr="007A55F7">
        <w:rPr>
          <w:rFonts w:ascii="Arial" w:hAnsi="Arial" w:cs="Arial"/>
          <w:sz w:val="24"/>
          <w:szCs w:val="24"/>
        </w:rPr>
        <w:t>, 12 (3), pp. 297</w:t>
      </w:r>
      <w:r w:rsidR="00112DCD">
        <w:rPr>
          <w:rFonts w:ascii="Arial" w:hAnsi="Arial" w:cs="Arial"/>
          <w:sz w:val="24"/>
          <w:szCs w:val="24"/>
        </w:rPr>
        <w:t>–</w:t>
      </w:r>
      <w:r w:rsidRPr="007A55F7">
        <w:rPr>
          <w:rFonts w:ascii="Arial" w:hAnsi="Arial" w:cs="Arial"/>
          <w:sz w:val="24"/>
          <w:szCs w:val="24"/>
        </w:rPr>
        <w:t xml:space="preserve">298. Available at: </w:t>
      </w:r>
      <w:hyperlink r:id="rId100" w:anchor="d1e121" w:history="1">
        <w:r w:rsidRPr="001228C1">
          <w:rPr>
            <w:rStyle w:val="Hyperlink"/>
            <w:rFonts w:ascii="Arial" w:hAnsi="Arial" w:cs="Arial"/>
            <w:sz w:val="24"/>
            <w:szCs w:val="24"/>
          </w:rPr>
          <w:t>https://www.tandfonline.com/doi/full/10.1080/17439760.2016.1262613#d1e121</w:t>
        </w:r>
      </w:hyperlink>
      <w:r>
        <w:rPr>
          <w:rFonts w:ascii="Arial" w:hAnsi="Arial" w:cs="Arial"/>
          <w:sz w:val="24"/>
          <w:szCs w:val="24"/>
        </w:rPr>
        <w:t xml:space="preserve"> </w:t>
      </w:r>
      <w:r w:rsidRPr="007A55F7">
        <w:rPr>
          <w:rFonts w:ascii="Arial" w:hAnsi="Arial" w:cs="Arial"/>
          <w:sz w:val="24"/>
          <w:szCs w:val="24"/>
        </w:rPr>
        <w:t>(Accessed: 10 March 2026).</w:t>
      </w:r>
    </w:p>
    <w:p w14:paraId="6C814490" w14:textId="4C590A29" w:rsidR="00766E80" w:rsidRDefault="00766E80" w:rsidP="009E58ED">
      <w:pPr>
        <w:spacing w:line="360" w:lineRule="auto"/>
        <w:jc w:val="both"/>
        <w:rPr>
          <w:rFonts w:ascii="Arial" w:hAnsi="Arial" w:cs="Arial"/>
          <w:sz w:val="24"/>
          <w:szCs w:val="24"/>
        </w:rPr>
      </w:pPr>
      <w:r w:rsidRPr="00766E80">
        <w:rPr>
          <w:rFonts w:ascii="Arial" w:hAnsi="Arial" w:cs="Arial"/>
          <w:sz w:val="24"/>
          <w:szCs w:val="24"/>
        </w:rPr>
        <w:t>Clark, K., and Shankley, W. (2020)</w:t>
      </w:r>
      <w:r w:rsidR="00023135">
        <w:rPr>
          <w:rFonts w:ascii="Arial" w:hAnsi="Arial" w:cs="Arial"/>
          <w:sz w:val="24"/>
          <w:szCs w:val="24"/>
        </w:rPr>
        <w:t>.</w:t>
      </w:r>
      <w:r w:rsidRPr="00766E80">
        <w:rPr>
          <w:rFonts w:ascii="Arial" w:hAnsi="Arial" w:cs="Arial"/>
          <w:sz w:val="24"/>
          <w:szCs w:val="24"/>
        </w:rPr>
        <w:t xml:space="preserve"> 'Ethnic minorities in the labour market in Britain', in B. Byrne, C. Alexander, O. Khan, J. </w:t>
      </w:r>
      <w:proofErr w:type="spellStart"/>
      <w:r w:rsidRPr="00766E80">
        <w:rPr>
          <w:rFonts w:ascii="Arial" w:hAnsi="Arial" w:cs="Arial"/>
          <w:sz w:val="24"/>
          <w:szCs w:val="24"/>
        </w:rPr>
        <w:t>Nazroo</w:t>
      </w:r>
      <w:proofErr w:type="spellEnd"/>
      <w:r w:rsidRPr="00766E80">
        <w:rPr>
          <w:rFonts w:ascii="Arial" w:hAnsi="Arial" w:cs="Arial"/>
          <w:sz w:val="24"/>
          <w:szCs w:val="24"/>
        </w:rPr>
        <w:t xml:space="preserve">, W. </w:t>
      </w:r>
      <w:proofErr w:type="spellStart"/>
      <w:r w:rsidRPr="00766E80">
        <w:rPr>
          <w:rFonts w:ascii="Arial" w:hAnsi="Arial" w:cs="Arial"/>
          <w:sz w:val="24"/>
          <w:szCs w:val="24"/>
        </w:rPr>
        <w:t>Shankley</w:t>
      </w:r>
      <w:proofErr w:type="spellEnd"/>
      <w:r w:rsidRPr="00766E80">
        <w:rPr>
          <w:rFonts w:ascii="Arial" w:hAnsi="Arial" w:cs="Arial"/>
          <w:sz w:val="24"/>
          <w:szCs w:val="24"/>
        </w:rPr>
        <w:t xml:space="preserve"> (ed.), </w:t>
      </w:r>
      <w:r w:rsidR="00023135" w:rsidRPr="00766E80">
        <w:rPr>
          <w:rFonts w:ascii="Arial" w:hAnsi="Arial" w:cs="Arial"/>
          <w:sz w:val="24"/>
          <w:szCs w:val="24"/>
        </w:rPr>
        <w:t xml:space="preserve">Ethnicity, Race </w:t>
      </w:r>
      <w:r w:rsidR="00023135">
        <w:rPr>
          <w:rFonts w:ascii="Arial" w:hAnsi="Arial" w:cs="Arial"/>
          <w:sz w:val="24"/>
          <w:szCs w:val="24"/>
        </w:rPr>
        <w:t>a</w:t>
      </w:r>
      <w:r w:rsidR="00023135" w:rsidRPr="00766E80">
        <w:rPr>
          <w:rFonts w:ascii="Arial" w:hAnsi="Arial" w:cs="Arial"/>
          <w:sz w:val="24"/>
          <w:szCs w:val="24"/>
        </w:rPr>
        <w:t xml:space="preserve">nd </w:t>
      </w:r>
      <w:r w:rsidR="00023135" w:rsidRPr="00766E80">
        <w:rPr>
          <w:rFonts w:ascii="Arial" w:hAnsi="Arial" w:cs="Arial"/>
          <w:sz w:val="24"/>
          <w:szCs w:val="24"/>
        </w:rPr>
        <w:lastRenderedPageBreak/>
        <w:t xml:space="preserve">Inequality </w:t>
      </w:r>
      <w:r w:rsidR="00023135">
        <w:rPr>
          <w:rFonts w:ascii="Arial" w:hAnsi="Arial" w:cs="Arial"/>
          <w:sz w:val="24"/>
          <w:szCs w:val="24"/>
        </w:rPr>
        <w:t>i</w:t>
      </w:r>
      <w:r w:rsidR="00023135" w:rsidRPr="00766E80">
        <w:rPr>
          <w:rFonts w:ascii="Arial" w:hAnsi="Arial" w:cs="Arial"/>
          <w:sz w:val="24"/>
          <w:szCs w:val="24"/>
        </w:rPr>
        <w:t xml:space="preserve">n </w:t>
      </w:r>
      <w:r w:rsidR="00023135">
        <w:rPr>
          <w:rFonts w:ascii="Arial" w:hAnsi="Arial" w:cs="Arial"/>
          <w:sz w:val="24"/>
          <w:szCs w:val="24"/>
        </w:rPr>
        <w:t>t</w:t>
      </w:r>
      <w:r w:rsidR="00023135" w:rsidRPr="00766E80">
        <w:rPr>
          <w:rFonts w:ascii="Arial" w:hAnsi="Arial" w:cs="Arial"/>
          <w:sz w:val="24"/>
          <w:szCs w:val="24"/>
        </w:rPr>
        <w:t>he Uk</w:t>
      </w:r>
      <w:r w:rsidRPr="00766E80">
        <w:rPr>
          <w:rFonts w:ascii="Arial" w:hAnsi="Arial" w:cs="Arial"/>
          <w:sz w:val="24"/>
          <w:szCs w:val="24"/>
        </w:rPr>
        <w:t>: State of the Nation. Publisher, pp. 127</w:t>
      </w:r>
      <w:r w:rsidR="00023135">
        <w:rPr>
          <w:rFonts w:ascii="Arial" w:hAnsi="Arial" w:cs="Arial"/>
          <w:sz w:val="24"/>
          <w:szCs w:val="24"/>
        </w:rPr>
        <w:t>–</w:t>
      </w:r>
      <w:r w:rsidRPr="00766E80">
        <w:rPr>
          <w:rFonts w:ascii="Arial" w:hAnsi="Arial" w:cs="Arial"/>
          <w:sz w:val="24"/>
          <w:szCs w:val="24"/>
        </w:rPr>
        <w:t xml:space="preserve">147. Available at: </w:t>
      </w:r>
      <w:hyperlink r:id="rId101" w:anchor="page=144" w:history="1">
        <w:r w:rsidRPr="007D0B0F">
          <w:rPr>
            <w:rStyle w:val="Hyperlink"/>
            <w:rFonts w:ascii="Arial" w:hAnsi="Arial" w:cs="Arial"/>
            <w:sz w:val="24"/>
            <w:szCs w:val="24"/>
          </w:rPr>
          <w:t>https://d1wqtxts1xzle7.cloudfront.net/107806953/9781447351269-libre.pdf?1700916223=&amp;response-content-disposition=inline%3B+filename%3DEthnicity_Race_and_Inequality_in_the_UK.pdf&amp;Expires=1775511308&amp;Signature=JfMu5CeBCrrbAyb4CsgrqHqUYjWd9JOQySttOt~Bi4Qs65j40i1pEUryHvmnDgnhkCzvUTRCaJ1n3h444QfxlnI~KR2qm16chfaNzTN4u3jc0wN1e1Xo8b2m7gTx9tE1rNjhP6~RyDHBKV0xJO4hpdxGSFh74ADDFQzE9kARoCV0Ag3-rNZFBAj-R2DA0cAUPzfbCMM3mcfWVgix9SmzcGrp5j6FDQbYwdtrZovR5K69YfvcbFI7JCxTSNmaDSf5BjaUO5OS5CfY2CWgtqB67vN9SbhtuT9RZMp0UoCSbYLCx4THItV4GBnHLi82B3yKkiX31AiWdBSKcWHWNcy5fA__&amp;Key-Pair-Id=APKAJLOHF5GGSLRBV4ZA#page=144</w:t>
        </w:r>
      </w:hyperlink>
      <w:r>
        <w:rPr>
          <w:rFonts w:ascii="Arial" w:hAnsi="Arial" w:cs="Arial"/>
          <w:sz w:val="24"/>
          <w:szCs w:val="24"/>
        </w:rPr>
        <w:t xml:space="preserve"> </w:t>
      </w:r>
      <w:r w:rsidRPr="00766E80">
        <w:rPr>
          <w:rFonts w:ascii="Arial" w:hAnsi="Arial" w:cs="Arial"/>
          <w:sz w:val="24"/>
          <w:szCs w:val="24"/>
        </w:rPr>
        <w:t>(Accessed: 25 March 2026).</w:t>
      </w:r>
    </w:p>
    <w:p w14:paraId="44918A56" w14:textId="29CB76D8" w:rsidR="0013654C" w:rsidRDefault="0013654C" w:rsidP="009E58ED">
      <w:pPr>
        <w:spacing w:line="360" w:lineRule="auto"/>
        <w:jc w:val="both"/>
        <w:rPr>
          <w:rFonts w:ascii="Arial" w:hAnsi="Arial" w:cs="Arial"/>
          <w:sz w:val="24"/>
          <w:szCs w:val="24"/>
        </w:rPr>
      </w:pPr>
      <w:r w:rsidRPr="0013654C">
        <w:rPr>
          <w:rFonts w:ascii="Arial" w:hAnsi="Arial" w:cs="Arial"/>
          <w:sz w:val="24"/>
          <w:szCs w:val="24"/>
        </w:rPr>
        <w:t>Commission on Race and Ethnic Disparities</w:t>
      </w:r>
      <w:r>
        <w:rPr>
          <w:rFonts w:ascii="Arial" w:hAnsi="Arial" w:cs="Arial"/>
          <w:sz w:val="24"/>
          <w:szCs w:val="24"/>
        </w:rPr>
        <w:t xml:space="preserve"> (CRE</w:t>
      </w:r>
      <w:r w:rsidR="002C4DB2">
        <w:rPr>
          <w:rFonts w:ascii="Arial" w:hAnsi="Arial" w:cs="Arial"/>
          <w:sz w:val="24"/>
          <w:szCs w:val="24"/>
        </w:rPr>
        <w:t>D)</w:t>
      </w:r>
      <w:r w:rsidRPr="0013654C">
        <w:rPr>
          <w:rFonts w:ascii="Arial" w:hAnsi="Arial" w:cs="Arial"/>
          <w:sz w:val="24"/>
          <w:szCs w:val="24"/>
        </w:rPr>
        <w:t xml:space="preserve"> (2021) Commission on Race and Ethnic Disparities:</w:t>
      </w:r>
      <w:r>
        <w:rPr>
          <w:rFonts w:ascii="Arial" w:hAnsi="Arial" w:cs="Arial"/>
          <w:sz w:val="24"/>
          <w:szCs w:val="24"/>
        </w:rPr>
        <w:t xml:space="preserve"> </w:t>
      </w:r>
      <w:r w:rsidRPr="0013654C">
        <w:rPr>
          <w:rFonts w:ascii="Arial" w:hAnsi="Arial" w:cs="Arial"/>
          <w:sz w:val="24"/>
          <w:szCs w:val="24"/>
        </w:rPr>
        <w:t xml:space="preserve">The Report. Available at: </w:t>
      </w:r>
      <w:hyperlink r:id="rId102" w:history="1">
        <w:r w:rsidRPr="007D0B0F">
          <w:rPr>
            <w:rStyle w:val="Hyperlink"/>
            <w:rFonts w:ascii="Arial" w:hAnsi="Arial" w:cs="Arial"/>
            <w:sz w:val="24"/>
            <w:szCs w:val="24"/>
          </w:rPr>
          <w:t>https://assets.publishing.service.gov.uk/media/6062ddb1d3bf7f5ce1060aa4/20210331_-_CRED_Report_-_FINAL_-_Web_Accessible.pdf</w:t>
        </w:r>
      </w:hyperlink>
      <w:r>
        <w:rPr>
          <w:rFonts w:ascii="Arial" w:hAnsi="Arial" w:cs="Arial"/>
          <w:sz w:val="24"/>
          <w:szCs w:val="24"/>
        </w:rPr>
        <w:t xml:space="preserve"> </w:t>
      </w:r>
      <w:r w:rsidRPr="0013654C">
        <w:rPr>
          <w:rFonts w:ascii="Arial" w:hAnsi="Arial" w:cs="Arial"/>
          <w:sz w:val="24"/>
          <w:szCs w:val="24"/>
        </w:rPr>
        <w:t>(Accessed: 30 March 2026).</w:t>
      </w:r>
    </w:p>
    <w:p w14:paraId="31FD76B0" w14:textId="77262596" w:rsidR="0078402C" w:rsidRDefault="0078402C" w:rsidP="009E58ED">
      <w:pPr>
        <w:spacing w:line="360" w:lineRule="auto"/>
        <w:jc w:val="both"/>
        <w:rPr>
          <w:rFonts w:ascii="Arial" w:hAnsi="Arial" w:cs="Arial"/>
          <w:sz w:val="24"/>
          <w:szCs w:val="24"/>
        </w:rPr>
      </w:pPr>
      <w:r w:rsidRPr="0078402C">
        <w:rPr>
          <w:rFonts w:ascii="Arial" w:hAnsi="Arial" w:cs="Arial"/>
          <w:sz w:val="24"/>
          <w:szCs w:val="24"/>
        </w:rPr>
        <w:t xml:space="preserve">Connolly, L., </w:t>
      </w:r>
      <w:proofErr w:type="spellStart"/>
      <w:r w:rsidRPr="0078402C">
        <w:rPr>
          <w:rFonts w:ascii="Arial" w:hAnsi="Arial" w:cs="Arial"/>
          <w:sz w:val="24"/>
          <w:szCs w:val="24"/>
        </w:rPr>
        <w:t>Legane</w:t>
      </w:r>
      <w:proofErr w:type="spellEnd"/>
      <w:r w:rsidRPr="0078402C">
        <w:rPr>
          <w:rFonts w:ascii="Arial" w:hAnsi="Arial" w:cs="Arial"/>
          <w:sz w:val="24"/>
          <w:szCs w:val="24"/>
        </w:rPr>
        <w:t>, R., and Joseph-Salisbury (2020)</w:t>
      </w:r>
      <w:r w:rsidR="00112DCD">
        <w:rPr>
          <w:rFonts w:ascii="Arial" w:hAnsi="Arial" w:cs="Arial"/>
          <w:sz w:val="24"/>
          <w:szCs w:val="24"/>
        </w:rPr>
        <w:t>.</w:t>
      </w:r>
      <w:r w:rsidRPr="0078402C">
        <w:rPr>
          <w:rFonts w:ascii="Arial" w:hAnsi="Arial" w:cs="Arial"/>
          <w:sz w:val="24"/>
          <w:szCs w:val="24"/>
        </w:rPr>
        <w:t> </w:t>
      </w:r>
      <w:r w:rsidRPr="0078402C">
        <w:rPr>
          <w:rFonts w:ascii="Arial" w:hAnsi="Arial" w:cs="Arial"/>
          <w:i/>
          <w:iCs/>
          <w:sz w:val="24"/>
          <w:szCs w:val="24"/>
        </w:rPr>
        <w:t>Decriminalise the Classroom</w:t>
      </w:r>
      <w:r w:rsidR="00127D90">
        <w:rPr>
          <w:rFonts w:ascii="Arial" w:hAnsi="Arial" w:cs="Arial"/>
          <w:i/>
          <w:iCs/>
          <w:sz w:val="24"/>
          <w:szCs w:val="24"/>
        </w:rPr>
        <w:t>:</w:t>
      </w:r>
      <w:r>
        <w:rPr>
          <w:rFonts w:ascii="Arial" w:hAnsi="Arial" w:cs="Arial"/>
          <w:i/>
          <w:iCs/>
          <w:sz w:val="24"/>
          <w:szCs w:val="24"/>
        </w:rPr>
        <w:t xml:space="preserve"> </w:t>
      </w:r>
      <w:r w:rsidRPr="0078402C">
        <w:rPr>
          <w:rFonts w:ascii="Arial" w:hAnsi="Arial" w:cs="Arial"/>
          <w:i/>
          <w:iCs/>
          <w:sz w:val="24"/>
          <w:szCs w:val="24"/>
        </w:rPr>
        <w:t>A Community Response to Police in Greater Manchester's Schools</w:t>
      </w:r>
      <w:r w:rsidRPr="0078402C">
        <w:rPr>
          <w:rFonts w:ascii="Arial" w:hAnsi="Arial" w:cs="Arial"/>
          <w:sz w:val="24"/>
          <w:szCs w:val="24"/>
        </w:rPr>
        <w:t xml:space="preserve">. Available at: </w:t>
      </w:r>
      <w:hyperlink r:id="rId103" w:history="1">
        <w:r w:rsidRPr="0078402C">
          <w:rPr>
            <w:rStyle w:val="Hyperlink"/>
            <w:rFonts w:ascii="Arial" w:hAnsi="Arial" w:cs="Arial"/>
            <w:sz w:val="24"/>
            <w:szCs w:val="24"/>
          </w:rPr>
          <w:t>https://nopoliceinschools.co.uk/resources/Decriminalise%20the%20Classroom%20-%20A%20Community%20Response%20to%20Police%20in%20Greater%20Manchester%27s%20Schools.pdf</w:t>
        </w:r>
      </w:hyperlink>
      <w:r>
        <w:rPr>
          <w:rFonts w:ascii="Arial" w:hAnsi="Arial" w:cs="Arial"/>
          <w:sz w:val="24"/>
          <w:szCs w:val="24"/>
        </w:rPr>
        <w:t xml:space="preserve"> </w:t>
      </w:r>
      <w:r w:rsidRPr="0078402C">
        <w:rPr>
          <w:rFonts w:ascii="Arial" w:hAnsi="Arial" w:cs="Arial"/>
          <w:sz w:val="24"/>
          <w:szCs w:val="24"/>
        </w:rPr>
        <w:t>(Accessed: 22 March 2026).</w:t>
      </w:r>
    </w:p>
    <w:p w14:paraId="4060C91B" w14:textId="0E87CA83" w:rsidR="002C45A0" w:rsidRDefault="002C45A0" w:rsidP="009E58ED">
      <w:pPr>
        <w:spacing w:line="360" w:lineRule="auto"/>
        <w:jc w:val="both"/>
        <w:rPr>
          <w:rFonts w:ascii="Arial" w:hAnsi="Arial" w:cs="Arial"/>
          <w:sz w:val="24"/>
          <w:szCs w:val="24"/>
        </w:rPr>
      </w:pPr>
      <w:r w:rsidRPr="002C45A0">
        <w:rPr>
          <w:rFonts w:ascii="Arial" w:hAnsi="Arial" w:cs="Arial"/>
          <w:sz w:val="24"/>
          <w:szCs w:val="24"/>
        </w:rPr>
        <w:t>Corlett, S. and Mavin, S. (2018)</w:t>
      </w:r>
      <w:r>
        <w:rPr>
          <w:rFonts w:ascii="Arial" w:hAnsi="Arial" w:cs="Arial"/>
          <w:sz w:val="24"/>
          <w:szCs w:val="24"/>
        </w:rPr>
        <w:t>.</w:t>
      </w:r>
      <w:r w:rsidRPr="002C45A0">
        <w:rPr>
          <w:rFonts w:ascii="Arial" w:hAnsi="Arial" w:cs="Arial"/>
          <w:sz w:val="24"/>
          <w:szCs w:val="24"/>
        </w:rPr>
        <w:t xml:space="preserve"> 'Chapter 23: Reflexivity and Researcher Positionality', in C. Cassell, A. Cunliffe, and G. Grandy (1st ed.), The SAGE Handbook of Qualitative Business and Management Research Methods. Sage, pp. 377</w:t>
      </w:r>
      <w:r>
        <w:rPr>
          <w:rFonts w:ascii="Arial" w:hAnsi="Arial" w:cs="Arial"/>
          <w:sz w:val="24"/>
          <w:szCs w:val="24"/>
        </w:rPr>
        <w:t>–</w:t>
      </w:r>
      <w:r w:rsidRPr="002C45A0">
        <w:rPr>
          <w:rFonts w:ascii="Arial" w:hAnsi="Arial" w:cs="Arial"/>
          <w:sz w:val="24"/>
          <w:szCs w:val="24"/>
        </w:rPr>
        <w:t xml:space="preserve">389. Available at: </w:t>
      </w:r>
      <w:hyperlink r:id="rId104" w:history="1">
        <w:r w:rsidRPr="005C7CBD">
          <w:rPr>
            <w:rStyle w:val="Hyperlink"/>
            <w:rFonts w:ascii="Arial" w:hAnsi="Arial" w:cs="Arial"/>
            <w:sz w:val="24"/>
            <w:szCs w:val="24"/>
          </w:rPr>
          <w:t>https://www.researchgate.net/profile/Sharon-Mavin-2/publication/344457585_Sandra_Corlett_and_Sharon_Mavin_Chapter_23_in_the_Handbook_of_Qualitative_Research_in_Business_and_Management_Sage_2017_Reflexivity_and_Researcher_Positionality/links/5f781f8592851c14bca9eb43/Sandra-Corlett-and-Sharon-Mavin-Chapter-23-in-the-Handbook-of-Qualitative-Research-in-</w:t>
        </w:r>
        <w:r w:rsidRPr="005C7CBD">
          <w:rPr>
            <w:rStyle w:val="Hyperlink"/>
            <w:rFonts w:ascii="Arial" w:hAnsi="Arial" w:cs="Arial"/>
            <w:sz w:val="24"/>
            <w:szCs w:val="24"/>
          </w:rPr>
          <w:lastRenderedPageBreak/>
          <w:t>Business-and-Management-Sage-2017-Reflexivity-and-Researcher-Positionality.pdf</w:t>
        </w:r>
      </w:hyperlink>
      <w:r>
        <w:rPr>
          <w:rFonts w:ascii="Arial" w:hAnsi="Arial" w:cs="Arial"/>
          <w:sz w:val="24"/>
          <w:szCs w:val="24"/>
        </w:rPr>
        <w:t xml:space="preserve"> </w:t>
      </w:r>
      <w:r w:rsidRPr="002C45A0">
        <w:rPr>
          <w:rFonts w:ascii="Arial" w:hAnsi="Arial" w:cs="Arial"/>
          <w:sz w:val="24"/>
          <w:szCs w:val="24"/>
        </w:rPr>
        <w:t>(Accessed: 8 April 2026).</w:t>
      </w:r>
    </w:p>
    <w:p w14:paraId="69F995EA" w14:textId="5090301D" w:rsidR="00685DD8" w:rsidRDefault="00685DD8" w:rsidP="009E58ED">
      <w:pPr>
        <w:spacing w:line="360" w:lineRule="auto"/>
        <w:jc w:val="both"/>
        <w:rPr>
          <w:rFonts w:ascii="Arial" w:hAnsi="Arial" w:cs="Arial"/>
          <w:sz w:val="24"/>
          <w:szCs w:val="24"/>
        </w:rPr>
      </w:pPr>
      <w:r w:rsidRPr="00685DD8">
        <w:rPr>
          <w:rFonts w:ascii="Arial" w:hAnsi="Arial" w:cs="Arial"/>
          <w:sz w:val="24"/>
          <w:szCs w:val="24"/>
        </w:rPr>
        <w:t xml:space="preserve">Cooper, C., Spiers, N., Livingston, G., Jenkins, R., Meltzer, H., </w:t>
      </w:r>
      <w:proofErr w:type="spellStart"/>
      <w:r w:rsidRPr="00685DD8">
        <w:rPr>
          <w:rFonts w:ascii="Arial" w:hAnsi="Arial" w:cs="Arial"/>
          <w:sz w:val="24"/>
          <w:szCs w:val="24"/>
        </w:rPr>
        <w:t>Brugha</w:t>
      </w:r>
      <w:proofErr w:type="spellEnd"/>
      <w:r w:rsidRPr="00685DD8">
        <w:rPr>
          <w:rFonts w:ascii="Arial" w:hAnsi="Arial" w:cs="Arial"/>
          <w:sz w:val="24"/>
          <w:szCs w:val="24"/>
        </w:rPr>
        <w:t>, T., McManus, S., Weich, S., and Bebbington, P. (2012)</w:t>
      </w:r>
      <w:r w:rsidR="003A4935">
        <w:rPr>
          <w:rFonts w:ascii="Arial" w:hAnsi="Arial" w:cs="Arial"/>
          <w:sz w:val="24"/>
          <w:szCs w:val="24"/>
        </w:rPr>
        <w:t>.</w:t>
      </w:r>
      <w:r w:rsidRPr="00685DD8">
        <w:rPr>
          <w:rFonts w:ascii="Arial" w:hAnsi="Arial" w:cs="Arial"/>
          <w:sz w:val="24"/>
          <w:szCs w:val="24"/>
        </w:rPr>
        <w:t xml:space="preserve"> 'Ethnic inequalities in the use of health services for common mental disorders in England</w:t>
      </w:r>
      <w:r w:rsidR="003A4935">
        <w:rPr>
          <w:rFonts w:ascii="Arial" w:hAnsi="Arial" w:cs="Arial"/>
          <w:sz w:val="24"/>
          <w:szCs w:val="24"/>
        </w:rPr>
        <w:t>.</w:t>
      </w:r>
      <w:r w:rsidR="003A4935" w:rsidRPr="00685DD8">
        <w:rPr>
          <w:rFonts w:ascii="Arial" w:hAnsi="Arial" w:cs="Arial"/>
          <w:sz w:val="24"/>
          <w:szCs w:val="24"/>
        </w:rPr>
        <w:t>’, Social</w:t>
      </w:r>
      <w:r w:rsidRPr="00685DD8">
        <w:rPr>
          <w:rFonts w:ascii="Arial" w:hAnsi="Arial" w:cs="Arial"/>
          <w:sz w:val="24"/>
          <w:szCs w:val="24"/>
        </w:rPr>
        <w:t xml:space="preserve"> Psychiatry and Psychiatric Epidemiology, 48, pp. 685</w:t>
      </w:r>
      <w:r w:rsidR="003A4935">
        <w:rPr>
          <w:rFonts w:ascii="Arial" w:hAnsi="Arial" w:cs="Arial"/>
          <w:sz w:val="24"/>
          <w:szCs w:val="24"/>
        </w:rPr>
        <w:t>–</w:t>
      </w:r>
      <w:r w:rsidRPr="00685DD8">
        <w:rPr>
          <w:rFonts w:ascii="Arial" w:hAnsi="Arial" w:cs="Arial"/>
          <w:sz w:val="24"/>
          <w:szCs w:val="24"/>
        </w:rPr>
        <w:t xml:space="preserve">692. Available at: </w:t>
      </w:r>
      <w:hyperlink r:id="rId105" w:history="1">
        <w:r w:rsidRPr="007D0B0F">
          <w:rPr>
            <w:rStyle w:val="Hyperlink"/>
            <w:rFonts w:ascii="Arial" w:hAnsi="Arial" w:cs="Arial"/>
            <w:sz w:val="24"/>
            <w:szCs w:val="24"/>
          </w:rPr>
          <w:t>https://link.springer.com/article/10.1007/s00127-012-0565-y</w:t>
        </w:r>
      </w:hyperlink>
      <w:r>
        <w:rPr>
          <w:rFonts w:ascii="Arial" w:hAnsi="Arial" w:cs="Arial"/>
          <w:sz w:val="24"/>
          <w:szCs w:val="24"/>
        </w:rPr>
        <w:t xml:space="preserve"> </w:t>
      </w:r>
      <w:r w:rsidRPr="00685DD8">
        <w:rPr>
          <w:rFonts w:ascii="Arial" w:hAnsi="Arial" w:cs="Arial"/>
          <w:sz w:val="24"/>
          <w:szCs w:val="24"/>
        </w:rPr>
        <w:t>(Accessed: 30 March 2026).</w:t>
      </w:r>
    </w:p>
    <w:p w14:paraId="51610D7E" w14:textId="3569E99E" w:rsidR="00352577" w:rsidRDefault="00352577" w:rsidP="009E58ED">
      <w:pPr>
        <w:spacing w:line="360" w:lineRule="auto"/>
        <w:jc w:val="both"/>
        <w:rPr>
          <w:rFonts w:ascii="Arial" w:hAnsi="Arial" w:cs="Arial"/>
          <w:sz w:val="24"/>
          <w:szCs w:val="24"/>
        </w:rPr>
      </w:pPr>
      <w:r w:rsidRPr="00352577">
        <w:rPr>
          <w:rFonts w:ascii="Arial" w:hAnsi="Arial" w:cs="Arial"/>
          <w:sz w:val="24"/>
          <w:szCs w:val="24"/>
        </w:rPr>
        <w:t>Cranwell, R., Daly, W. (2001)</w:t>
      </w:r>
      <w:r w:rsidR="00D47030">
        <w:rPr>
          <w:rFonts w:ascii="Arial" w:hAnsi="Arial" w:cs="Arial"/>
          <w:sz w:val="24"/>
          <w:szCs w:val="24"/>
        </w:rPr>
        <w:t>.</w:t>
      </w:r>
      <w:r w:rsidRPr="00352577">
        <w:rPr>
          <w:rFonts w:ascii="Arial" w:hAnsi="Arial" w:cs="Arial"/>
          <w:sz w:val="24"/>
          <w:szCs w:val="24"/>
        </w:rPr>
        <w:t xml:space="preserve"> 'Strategies for the Construction of a Critical Review of the Literature', </w:t>
      </w:r>
      <w:r w:rsidRPr="00352577">
        <w:rPr>
          <w:rFonts w:ascii="Arial" w:hAnsi="Arial" w:cs="Arial"/>
          <w:i/>
          <w:iCs/>
          <w:sz w:val="24"/>
          <w:szCs w:val="24"/>
        </w:rPr>
        <w:t>Nurse Education in Practice</w:t>
      </w:r>
      <w:r w:rsidRPr="00352577">
        <w:rPr>
          <w:rFonts w:ascii="Arial" w:hAnsi="Arial" w:cs="Arial"/>
          <w:sz w:val="24"/>
          <w:szCs w:val="24"/>
        </w:rPr>
        <w:t>, 1(2), pp. 57</w:t>
      </w:r>
      <w:r w:rsidR="00112DCD">
        <w:rPr>
          <w:rFonts w:ascii="Arial" w:hAnsi="Arial" w:cs="Arial"/>
          <w:sz w:val="24"/>
          <w:szCs w:val="24"/>
        </w:rPr>
        <w:t>–</w:t>
      </w:r>
      <w:r w:rsidRPr="00352577">
        <w:rPr>
          <w:rFonts w:ascii="Arial" w:hAnsi="Arial" w:cs="Arial"/>
          <w:sz w:val="24"/>
          <w:szCs w:val="24"/>
        </w:rPr>
        <w:t xml:space="preserve">63. Available at: </w:t>
      </w:r>
      <w:hyperlink r:id="rId106" w:history="1">
        <w:r w:rsidRPr="00D94FAA">
          <w:rPr>
            <w:rStyle w:val="Hyperlink"/>
            <w:rFonts w:ascii="Arial" w:hAnsi="Arial" w:cs="Arial"/>
            <w:sz w:val="24"/>
            <w:szCs w:val="24"/>
          </w:rPr>
          <w:t>https://www.sciencedirect.com/science/article/pii/S1471595301900083</w:t>
        </w:r>
      </w:hyperlink>
      <w:r>
        <w:rPr>
          <w:rFonts w:ascii="Arial" w:hAnsi="Arial" w:cs="Arial"/>
          <w:sz w:val="24"/>
          <w:szCs w:val="24"/>
        </w:rPr>
        <w:t xml:space="preserve"> </w:t>
      </w:r>
      <w:r w:rsidRPr="00352577">
        <w:rPr>
          <w:rFonts w:ascii="Arial" w:hAnsi="Arial" w:cs="Arial"/>
          <w:sz w:val="24"/>
          <w:szCs w:val="24"/>
        </w:rPr>
        <w:t>(Accessed: 28 February 2026).</w:t>
      </w:r>
    </w:p>
    <w:p w14:paraId="634C882B" w14:textId="6CD16D07" w:rsidR="002055B3" w:rsidRDefault="002055B3" w:rsidP="009E58ED">
      <w:pPr>
        <w:spacing w:line="360" w:lineRule="auto"/>
        <w:jc w:val="both"/>
        <w:rPr>
          <w:rFonts w:ascii="Arial" w:hAnsi="Arial" w:cs="Arial"/>
          <w:sz w:val="24"/>
          <w:szCs w:val="24"/>
        </w:rPr>
      </w:pPr>
      <w:r w:rsidRPr="002055B3">
        <w:rPr>
          <w:rFonts w:ascii="Arial" w:hAnsi="Arial" w:cs="Arial"/>
          <w:sz w:val="24"/>
          <w:szCs w:val="24"/>
        </w:rPr>
        <w:t>Cronin, C. (2011)</w:t>
      </w:r>
      <w:r w:rsidR="00D47030">
        <w:rPr>
          <w:rFonts w:ascii="Arial" w:hAnsi="Arial" w:cs="Arial"/>
          <w:sz w:val="24"/>
          <w:szCs w:val="24"/>
        </w:rPr>
        <w:t>.</w:t>
      </w:r>
      <w:r w:rsidRPr="002055B3">
        <w:rPr>
          <w:rFonts w:ascii="Arial" w:hAnsi="Arial" w:cs="Arial"/>
          <w:sz w:val="24"/>
          <w:szCs w:val="24"/>
        </w:rPr>
        <w:t xml:space="preserve"> 'Doing your literature review: traditional and systematic techniques', Evaluation</w:t>
      </w:r>
      <w:r w:rsidRPr="002055B3">
        <w:rPr>
          <w:rFonts w:ascii="Arial" w:hAnsi="Arial" w:cs="Arial"/>
          <w:i/>
          <w:iCs/>
          <w:sz w:val="24"/>
          <w:szCs w:val="24"/>
        </w:rPr>
        <w:t> and Research in Education,</w:t>
      </w:r>
      <w:r w:rsidRPr="002055B3">
        <w:rPr>
          <w:rFonts w:ascii="Arial" w:hAnsi="Arial" w:cs="Arial"/>
          <w:sz w:val="24"/>
          <w:szCs w:val="24"/>
        </w:rPr>
        <w:t> 24 (3), pp. 219</w:t>
      </w:r>
      <w:r w:rsidR="00112DCD">
        <w:rPr>
          <w:rFonts w:ascii="Arial" w:hAnsi="Arial" w:cs="Arial"/>
          <w:sz w:val="24"/>
          <w:szCs w:val="24"/>
        </w:rPr>
        <w:t>–</w:t>
      </w:r>
      <w:r w:rsidRPr="002055B3">
        <w:rPr>
          <w:rFonts w:ascii="Arial" w:hAnsi="Arial" w:cs="Arial"/>
          <w:sz w:val="24"/>
          <w:szCs w:val="24"/>
        </w:rPr>
        <w:t xml:space="preserve">221. Available at: </w:t>
      </w:r>
      <w:hyperlink r:id="rId107" w:history="1">
        <w:r w:rsidRPr="001228C1">
          <w:rPr>
            <w:rStyle w:val="Hyperlink"/>
            <w:rFonts w:ascii="Arial" w:hAnsi="Arial" w:cs="Arial"/>
            <w:sz w:val="24"/>
            <w:szCs w:val="24"/>
          </w:rPr>
          <w:t>https://www-tandfonline-com.uwtsd.idm.oclc.org/doi/full/10.1080/09500790.2011.581509</w:t>
        </w:r>
      </w:hyperlink>
      <w:r>
        <w:rPr>
          <w:rFonts w:ascii="Arial" w:hAnsi="Arial" w:cs="Arial"/>
          <w:sz w:val="24"/>
          <w:szCs w:val="24"/>
        </w:rPr>
        <w:t xml:space="preserve"> </w:t>
      </w:r>
      <w:r w:rsidRPr="002055B3">
        <w:rPr>
          <w:rFonts w:ascii="Arial" w:hAnsi="Arial" w:cs="Arial"/>
          <w:sz w:val="24"/>
          <w:szCs w:val="24"/>
        </w:rPr>
        <w:t>(Accessed: 11 March 2026).</w:t>
      </w:r>
    </w:p>
    <w:p w14:paraId="0D8E749D" w14:textId="5D8A509B" w:rsidR="008049F9" w:rsidRDefault="008049F9" w:rsidP="009E58ED">
      <w:pPr>
        <w:spacing w:line="360" w:lineRule="auto"/>
        <w:jc w:val="both"/>
        <w:rPr>
          <w:rFonts w:ascii="Arial" w:hAnsi="Arial" w:cs="Arial"/>
          <w:sz w:val="24"/>
          <w:szCs w:val="24"/>
        </w:rPr>
      </w:pPr>
      <w:r w:rsidRPr="008049F9">
        <w:rPr>
          <w:rFonts w:ascii="Arial" w:hAnsi="Arial" w:cs="Arial"/>
          <w:sz w:val="24"/>
          <w:szCs w:val="24"/>
        </w:rPr>
        <w:t>Croizet, J., Claire, T. (1998)</w:t>
      </w:r>
      <w:r w:rsidR="00D47030">
        <w:rPr>
          <w:rFonts w:ascii="Arial" w:hAnsi="Arial" w:cs="Arial"/>
          <w:sz w:val="24"/>
          <w:szCs w:val="24"/>
        </w:rPr>
        <w:t>.</w:t>
      </w:r>
      <w:r w:rsidRPr="008049F9">
        <w:rPr>
          <w:rFonts w:ascii="Arial" w:hAnsi="Arial" w:cs="Arial"/>
          <w:sz w:val="24"/>
          <w:szCs w:val="24"/>
        </w:rPr>
        <w:t xml:space="preserve"> 'Extending the concept of stereotype threat to social class: the intellectual underperformance of students from low socioeconomic backgrounds', Personality</w:t>
      </w:r>
      <w:r w:rsidRPr="008049F9">
        <w:rPr>
          <w:rFonts w:ascii="Arial" w:hAnsi="Arial" w:cs="Arial"/>
          <w:i/>
          <w:iCs/>
          <w:sz w:val="24"/>
          <w:szCs w:val="24"/>
        </w:rPr>
        <w:t> and Social Psychology Bulletin</w:t>
      </w:r>
      <w:r w:rsidRPr="008049F9">
        <w:rPr>
          <w:rFonts w:ascii="Arial" w:hAnsi="Arial" w:cs="Arial"/>
          <w:sz w:val="24"/>
          <w:szCs w:val="24"/>
        </w:rPr>
        <w:t>, 24(6), pp. 588</w:t>
      </w:r>
      <w:r w:rsidR="00112DCD">
        <w:rPr>
          <w:rFonts w:ascii="Arial" w:hAnsi="Arial" w:cs="Arial"/>
          <w:sz w:val="24"/>
          <w:szCs w:val="24"/>
        </w:rPr>
        <w:t>–</w:t>
      </w:r>
      <w:r w:rsidRPr="008049F9">
        <w:rPr>
          <w:rFonts w:ascii="Arial" w:hAnsi="Arial" w:cs="Arial"/>
          <w:sz w:val="24"/>
          <w:szCs w:val="24"/>
        </w:rPr>
        <w:t xml:space="preserve">595. Available at: </w:t>
      </w:r>
      <w:hyperlink r:id="rId108" w:history="1">
        <w:r w:rsidRPr="00FB3832">
          <w:rPr>
            <w:rStyle w:val="Hyperlink"/>
            <w:rFonts w:ascii="Arial" w:hAnsi="Arial" w:cs="Arial"/>
            <w:sz w:val="24"/>
            <w:szCs w:val="24"/>
          </w:rPr>
          <w:t>https://go.gale.com/ps/i.do?id=GALE%7CA20760053&amp;v=2.1&amp;it=r&amp;u=walamp&amp;p=AONE&amp;aty=shibboleth</w:t>
        </w:r>
      </w:hyperlink>
      <w:r>
        <w:rPr>
          <w:rFonts w:ascii="Arial" w:hAnsi="Arial" w:cs="Arial"/>
          <w:sz w:val="24"/>
          <w:szCs w:val="24"/>
        </w:rPr>
        <w:t xml:space="preserve"> </w:t>
      </w:r>
      <w:r w:rsidRPr="008049F9">
        <w:rPr>
          <w:rFonts w:ascii="Arial" w:hAnsi="Arial" w:cs="Arial"/>
          <w:sz w:val="24"/>
          <w:szCs w:val="24"/>
        </w:rPr>
        <w:t>(Accessed: 19 March 2026).</w:t>
      </w:r>
    </w:p>
    <w:p w14:paraId="3E36EEDF" w14:textId="21087970" w:rsidR="00B800A4" w:rsidRDefault="00B800A4" w:rsidP="009E58ED">
      <w:pPr>
        <w:spacing w:line="360" w:lineRule="auto"/>
        <w:jc w:val="both"/>
        <w:rPr>
          <w:rFonts w:ascii="Arial" w:hAnsi="Arial" w:cs="Arial"/>
          <w:sz w:val="24"/>
          <w:szCs w:val="24"/>
        </w:rPr>
      </w:pPr>
      <w:r w:rsidRPr="00B800A4">
        <w:rPr>
          <w:rFonts w:ascii="Arial" w:hAnsi="Arial" w:cs="Arial"/>
          <w:sz w:val="24"/>
          <w:szCs w:val="24"/>
        </w:rPr>
        <w:t>Crozier, G. (2006)</w:t>
      </w:r>
      <w:r w:rsidR="00D47030">
        <w:rPr>
          <w:rFonts w:ascii="Arial" w:hAnsi="Arial" w:cs="Arial"/>
          <w:sz w:val="24"/>
          <w:szCs w:val="24"/>
        </w:rPr>
        <w:t>.</w:t>
      </w:r>
      <w:r w:rsidRPr="00B800A4">
        <w:rPr>
          <w:rFonts w:ascii="Arial" w:hAnsi="Arial" w:cs="Arial"/>
          <w:sz w:val="24"/>
          <w:szCs w:val="24"/>
        </w:rPr>
        <w:t xml:space="preserve"> 'There's a war against our children': black educational underachievement revisited', British Journal of Sociology of Education, 26(5), pp. 585-598. Available at: </w:t>
      </w:r>
      <w:hyperlink r:id="rId109" w:anchor="d1e217" w:history="1">
        <w:r w:rsidRPr="00F821EF">
          <w:rPr>
            <w:rStyle w:val="Hyperlink"/>
            <w:rFonts w:ascii="Arial" w:hAnsi="Arial" w:cs="Arial"/>
            <w:sz w:val="24"/>
            <w:szCs w:val="24"/>
          </w:rPr>
          <w:t>https://www-tandfonline-com.uwtsd.idm.oclc.org/doi/full/10.1080/01425690500293520#d1e217</w:t>
        </w:r>
      </w:hyperlink>
      <w:r>
        <w:rPr>
          <w:rFonts w:ascii="Arial" w:hAnsi="Arial" w:cs="Arial"/>
          <w:sz w:val="24"/>
          <w:szCs w:val="24"/>
        </w:rPr>
        <w:t xml:space="preserve"> </w:t>
      </w:r>
      <w:r w:rsidRPr="00B800A4">
        <w:rPr>
          <w:rFonts w:ascii="Arial" w:hAnsi="Arial" w:cs="Arial"/>
          <w:sz w:val="24"/>
          <w:szCs w:val="24"/>
        </w:rPr>
        <w:t>(Accessed: 19 March 2026).</w:t>
      </w:r>
    </w:p>
    <w:p w14:paraId="29DB3D21" w14:textId="3072417C" w:rsidR="008D1E22" w:rsidRDefault="008D1E22" w:rsidP="009E58ED">
      <w:pPr>
        <w:spacing w:line="360" w:lineRule="auto"/>
        <w:jc w:val="both"/>
        <w:rPr>
          <w:rFonts w:ascii="Arial" w:hAnsi="Arial" w:cs="Arial"/>
          <w:sz w:val="24"/>
          <w:szCs w:val="24"/>
        </w:rPr>
      </w:pPr>
      <w:r w:rsidRPr="008D1E22">
        <w:rPr>
          <w:rFonts w:ascii="Arial" w:hAnsi="Arial" w:cs="Arial"/>
          <w:sz w:val="24"/>
          <w:szCs w:val="24"/>
        </w:rPr>
        <w:t xml:space="preserve">Crystal, S., Shea, D., and Reyes, A. (2016) 'Cumulative Advantage, Cumulative Disadvantage, and Evolving Patterns of Late-Life Inequality', Oxford Journals </w:t>
      </w:r>
      <w:proofErr w:type="gramStart"/>
      <w:r w:rsidRPr="008D1E22">
        <w:rPr>
          <w:rFonts w:ascii="Arial" w:hAnsi="Arial" w:cs="Arial"/>
          <w:sz w:val="24"/>
          <w:szCs w:val="24"/>
        </w:rPr>
        <w:t>The</w:t>
      </w:r>
      <w:proofErr w:type="gramEnd"/>
      <w:r w:rsidRPr="008D1E22">
        <w:rPr>
          <w:rFonts w:ascii="Arial" w:hAnsi="Arial" w:cs="Arial"/>
          <w:sz w:val="24"/>
          <w:szCs w:val="24"/>
        </w:rPr>
        <w:t xml:space="preserve"> </w:t>
      </w:r>
      <w:r w:rsidRPr="008D1E22">
        <w:rPr>
          <w:rFonts w:ascii="Arial" w:hAnsi="Arial" w:cs="Arial"/>
          <w:sz w:val="24"/>
          <w:szCs w:val="24"/>
        </w:rPr>
        <w:lastRenderedPageBreak/>
        <w:t xml:space="preserve">Gerontologist, 57(5), pp. 910-920. Available at: Crystal, S., Shea, D., and Reyes, A. (2016) 'Cumulative Advantage, Cumulative Disadvantage, and Evolving Patterns of Late-Life Inequality', Oxford Journals </w:t>
      </w:r>
      <w:proofErr w:type="gramStart"/>
      <w:r w:rsidRPr="008D1E22">
        <w:rPr>
          <w:rFonts w:ascii="Arial" w:hAnsi="Arial" w:cs="Arial"/>
          <w:sz w:val="24"/>
          <w:szCs w:val="24"/>
        </w:rPr>
        <w:t>The</w:t>
      </w:r>
      <w:proofErr w:type="gramEnd"/>
      <w:r w:rsidRPr="008D1E22">
        <w:rPr>
          <w:rFonts w:ascii="Arial" w:hAnsi="Arial" w:cs="Arial"/>
          <w:sz w:val="24"/>
          <w:szCs w:val="24"/>
        </w:rPr>
        <w:t xml:space="preserve"> Gerontologist, 57(5), pp. 910-920. Available at: </w:t>
      </w:r>
      <w:hyperlink r:id="rId110" w:history="1">
        <w:r w:rsidRPr="005C7CBD">
          <w:rPr>
            <w:rStyle w:val="Hyperlink"/>
            <w:rFonts w:ascii="Arial" w:hAnsi="Arial" w:cs="Arial"/>
            <w:sz w:val="24"/>
            <w:szCs w:val="24"/>
          </w:rPr>
          <w:t>https://pmc.ncbi.nlm.nih.gov/articles/PMC5881660/#:~:text=In%20a%20line%20of%20work,Bennett%20&amp;%20Mohring%2C%202015</w:t>
        </w:r>
      </w:hyperlink>
      <w:r w:rsidRPr="008D1E22">
        <w:rPr>
          <w:rFonts w:ascii="Arial" w:hAnsi="Arial" w:cs="Arial"/>
          <w:sz w:val="24"/>
          <w:szCs w:val="24"/>
        </w:rPr>
        <w:t>).</w:t>
      </w:r>
      <w:r>
        <w:rPr>
          <w:rFonts w:ascii="Arial" w:hAnsi="Arial" w:cs="Arial"/>
          <w:sz w:val="24"/>
          <w:szCs w:val="24"/>
        </w:rPr>
        <w:t xml:space="preserve"> </w:t>
      </w:r>
      <w:r w:rsidRPr="008D1E22">
        <w:rPr>
          <w:rFonts w:ascii="Arial" w:hAnsi="Arial" w:cs="Arial"/>
          <w:sz w:val="24"/>
          <w:szCs w:val="24"/>
        </w:rPr>
        <w:t>(Accessed: 23 March 2026).</w:t>
      </w:r>
    </w:p>
    <w:p w14:paraId="2F59DB9B" w14:textId="300D934E" w:rsidR="0025343F" w:rsidRDefault="00D47030" w:rsidP="009E58ED">
      <w:pPr>
        <w:spacing w:line="360" w:lineRule="auto"/>
        <w:jc w:val="both"/>
        <w:rPr>
          <w:rFonts w:ascii="Arial" w:hAnsi="Arial" w:cs="Arial"/>
          <w:sz w:val="24"/>
          <w:szCs w:val="24"/>
        </w:rPr>
      </w:pPr>
      <w:proofErr w:type="spellStart"/>
      <w:r w:rsidRPr="00D47030">
        <w:rPr>
          <w:rFonts w:ascii="Arial" w:hAnsi="Arial" w:cs="Arial"/>
          <w:sz w:val="24"/>
          <w:szCs w:val="24"/>
        </w:rPr>
        <w:t>Cutillas</w:t>
      </w:r>
      <w:proofErr w:type="spellEnd"/>
      <w:r w:rsidRPr="00D47030">
        <w:rPr>
          <w:rFonts w:ascii="Arial" w:hAnsi="Arial" w:cs="Arial"/>
          <w:sz w:val="24"/>
          <w:szCs w:val="24"/>
        </w:rPr>
        <w:t xml:space="preserve">, A., </w:t>
      </w:r>
      <w:proofErr w:type="spellStart"/>
      <w:r w:rsidRPr="00D47030">
        <w:rPr>
          <w:rFonts w:ascii="Arial" w:hAnsi="Arial" w:cs="Arial"/>
          <w:sz w:val="24"/>
          <w:szCs w:val="24"/>
        </w:rPr>
        <w:t>Benolirao</w:t>
      </w:r>
      <w:proofErr w:type="spellEnd"/>
      <w:r w:rsidRPr="00D47030">
        <w:rPr>
          <w:rFonts w:ascii="Arial" w:hAnsi="Arial" w:cs="Arial"/>
          <w:sz w:val="24"/>
          <w:szCs w:val="24"/>
        </w:rPr>
        <w:t xml:space="preserve">, E., </w:t>
      </w:r>
      <w:proofErr w:type="spellStart"/>
      <w:r w:rsidRPr="00D47030">
        <w:rPr>
          <w:rFonts w:ascii="Arial" w:hAnsi="Arial" w:cs="Arial"/>
          <w:sz w:val="24"/>
          <w:szCs w:val="24"/>
        </w:rPr>
        <w:t>Camasura</w:t>
      </w:r>
      <w:proofErr w:type="spellEnd"/>
      <w:r w:rsidRPr="00D47030">
        <w:rPr>
          <w:rFonts w:ascii="Arial" w:hAnsi="Arial" w:cs="Arial"/>
          <w:sz w:val="24"/>
          <w:szCs w:val="24"/>
        </w:rPr>
        <w:t>, J., and Golbin, R. (2023)</w:t>
      </w:r>
      <w:r>
        <w:rPr>
          <w:rFonts w:ascii="Arial" w:hAnsi="Arial" w:cs="Arial"/>
          <w:sz w:val="24"/>
          <w:szCs w:val="24"/>
        </w:rPr>
        <w:t>.</w:t>
      </w:r>
      <w:r w:rsidRPr="00D47030">
        <w:rPr>
          <w:rFonts w:ascii="Arial" w:hAnsi="Arial" w:cs="Arial"/>
          <w:sz w:val="24"/>
          <w:szCs w:val="24"/>
        </w:rPr>
        <w:t xml:space="preserve"> 'Does Mentoring Directly Improve Students’ Research Skills? Examining the Role of Information Literacy and Competency Development', Education Sciences, 13(7), pp. 1</w:t>
      </w:r>
      <w:r>
        <w:rPr>
          <w:rFonts w:ascii="Arial" w:hAnsi="Arial" w:cs="Arial"/>
          <w:sz w:val="24"/>
          <w:szCs w:val="24"/>
        </w:rPr>
        <w:t>–</w:t>
      </w:r>
      <w:r w:rsidRPr="00D47030">
        <w:rPr>
          <w:rFonts w:ascii="Arial" w:hAnsi="Arial" w:cs="Arial"/>
          <w:sz w:val="24"/>
          <w:szCs w:val="24"/>
        </w:rPr>
        <w:t xml:space="preserve">21. Available at: </w:t>
      </w:r>
      <w:hyperlink r:id="rId111" w:history="1">
        <w:r w:rsidRPr="007D0B0F">
          <w:rPr>
            <w:rStyle w:val="Hyperlink"/>
            <w:rFonts w:ascii="Arial" w:hAnsi="Arial" w:cs="Arial"/>
            <w:sz w:val="24"/>
            <w:szCs w:val="24"/>
          </w:rPr>
          <w:t>https://www.researchgate.net/publication/372265412_Does_Mentoring_Directly_Improve_Students'_Research_Skills_Examining_the_Role_of_Information_Literacy_and_Competency_Development</w:t>
        </w:r>
      </w:hyperlink>
      <w:r>
        <w:rPr>
          <w:rFonts w:ascii="Arial" w:hAnsi="Arial" w:cs="Arial"/>
          <w:sz w:val="24"/>
          <w:szCs w:val="24"/>
        </w:rPr>
        <w:t xml:space="preserve"> </w:t>
      </w:r>
      <w:r w:rsidRPr="00D47030">
        <w:rPr>
          <w:rFonts w:ascii="Arial" w:hAnsi="Arial" w:cs="Arial"/>
          <w:sz w:val="24"/>
          <w:szCs w:val="24"/>
        </w:rPr>
        <w:t>(Accessed: 24 March 2026).</w:t>
      </w:r>
    </w:p>
    <w:p w14:paraId="397604B7" w14:textId="2AC95F13" w:rsidR="00C01612" w:rsidRDefault="00C01612" w:rsidP="009E58ED">
      <w:pPr>
        <w:spacing w:line="360" w:lineRule="auto"/>
        <w:jc w:val="both"/>
        <w:rPr>
          <w:rFonts w:ascii="Arial" w:hAnsi="Arial" w:cs="Arial"/>
          <w:sz w:val="24"/>
          <w:szCs w:val="24"/>
        </w:rPr>
      </w:pPr>
      <w:r w:rsidRPr="00C01612">
        <w:rPr>
          <w:rFonts w:ascii="Arial" w:hAnsi="Arial" w:cs="Arial"/>
          <w:sz w:val="24"/>
          <w:szCs w:val="24"/>
        </w:rPr>
        <w:t>Dandridge, N. (2010)</w:t>
      </w:r>
      <w:r>
        <w:rPr>
          <w:rFonts w:ascii="Arial" w:hAnsi="Arial" w:cs="Arial"/>
          <w:sz w:val="24"/>
          <w:szCs w:val="24"/>
        </w:rPr>
        <w:t>.</w:t>
      </w:r>
      <w:r w:rsidRPr="00C01612">
        <w:rPr>
          <w:rFonts w:ascii="Arial" w:hAnsi="Arial" w:cs="Arial"/>
          <w:sz w:val="24"/>
          <w:szCs w:val="24"/>
        </w:rPr>
        <w:t xml:space="preserve"> 'Racial Etiquette and Social Capital: Challenges Facing Black Entrepreneurs', Western New England Law Review, 32(32), pp. 471</w:t>
      </w:r>
      <w:r>
        <w:rPr>
          <w:rFonts w:ascii="Arial" w:hAnsi="Arial" w:cs="Arial"/>
          <w:sz w:val="24"/>
          <w:szCs w:val="24"/>
        </w:rPr>
        <w:t>–</w:t>
      </w:r>
      <w:r w:rsidRPr="00C01612">
        <w:rPr>
          <w:rFonts w:ascii="Arial" w:hAnsi="Arial" w:cs="Arial"/>
          <w:sz w:val="24"/>
          <w:szCs w:val="24"/>
        </w:rPr>
        <w:t xml:space="preserve">481. Available at: </w:t>
      </w:r>
      <w:hyperlink r:id="rId112" w:history="1">
        <w:r w:rsidRPr="007D0B0F">
          <w:rPr>
            <w:rStyle w:val="Hyperlink"/>
            <w:rFonts w:ascii="Arial" w:hAnsi="Arial" w:cs="Arial"/>
            <w:sz w:val="24"/>
            <w:szCs w:val="24"/>
          </w:rPr>
          <w:t>https://digitalcommons.law.wne.edu/cgi/viewcontent.cgi?article=1644&amp;context=lawreview</w:t>
        </w:r>
      </w:hyperlink>
      <w:r>
        <w:rPr>
          <w:rFonts w:ascii="Arial" w:hAnsi="Arial" w:cs="Arial"/>
          <w:sz w:val="24"/>
          <w:szCs w:val="24"/>
        </w:rPr>
        <w:t xml:space="preserve"> </w:t>
      </w:r>
      <w:r w:rsidRPr="00C01612">
        <w:rPr>
          <w:rFonts w:ascii="Arial" w:hAnsi="Arial" w:cs="Arial"/>
          <w:sz w:val="24"/>
          <w:szCs w:val="24"/>
        </w:rPr>
        <w:t>(Accessed: 26 March 2026).</w:t>
      </w:r>
    </w:p>
    <w:p w14:paraId="0B30E67D" w14:textId="459962B5" w:rsidR="0054330B" w:rsidRDefault="0054330B" w:rsidP="009E58ED">
      <w:pPr>
        <w:spacing w:line="360" w:lineRule="auto"/>
        <w:jc w:val="both"/>
        <w:rPr>
          <w:rFonts w:ascii="Arial" w:hAnsi="Arial" w:cs="Arial"/>
          <w:sz w:val="24"/>
          <w:szCs w:val="24"/>
        </w:rPr>
      </w:pPr>
      <w:r w:rsidRPr="0054330B">
        <w:rPr>
          <w:rFonts w:ascii="Arial" w:hAnsi="Arial" w:cs="Arial"/>
          <w:sz w:val="24"/>
          <w:szCs w:val="24"/>
        </w:rPr>
        <w:t>Das-Munshi, J., Bhugra, D., and Crawford, M. (2018)</w:t>
      </w:r>
      <w:r>
        <w:rPr>
          <w:rFonts w:ascii="Arial" w:hAnsi="Arial" w:cs="Arial"/>
          <w:sz w:val="24"/>
          <w:szCs w:val="24"/>
        </w:rPr>
        <w:t>.</w:t>
      </w:r>
      <w:r w:rsidRPr="0054330B">
        <w:rPr>
          <w:rFonts w:ascii="Arial" w:hAnsi="Arial" w:cs="Arial"/>
          <w:sz w:val="24"/>
          <w:szCs w:val="24"/>
        </w:rPr>
        <w:t xml:space="preserve"> 'Ethnic minority inequalities in access to treatments for schizophrenia and schizoaffective disorders: findings from a nationally representative cross-sectional study', BMC Medicine,16(55). Available at: </w:t>
      </w:r>
      <w:hyperlink r:id="rId113" w:anchor="citeas" w:history="1">
        <w:r w:rsidRPr="007D0B0F">
          <w:rPr>
            <w:rStyle w:val="Hyperlink"/>
            <w:rFonts w:ascii="Arial" w:hAnsi="Arial" w:cs="Arial"/>
            <w:sz w:val="24"/>
            <w:szCs w:val="24"/>
          </w:rPr>
          <w:t>https://link.springer.com/article/10.1186/s12916-018-1035-5#citeas</w:t>
        </w:r>
      </w:hyperlink>
      <w:r>
        <w:rPr>
          <w:rFonts w:ascii="Arial" w:hAnsi="Arial" w:cs="Arial"/>
          <w:sz w:val="24"/>
          <w:szCs w:val="24"/>
        </w:rPr>
        <w:t xml:space="preserve"> </w:t>
      </w:r>
      <w:r w:rsidRPr="0054330B">
        <w:rPr>
          <w:rFonts w:ascii="Arial" w:hAnsi="Arial" w:cs="Arial"/>
          <w:sz w:val="24"/>
          <w:szCs w:val="24"/>
        </w:rPr>
        <w:t>(Accessed: 30 March 2026).</w:t>
      </w:r>
    </w:p>
    <w:p w14:paraId="540298F6" w14:textId="47F0A2C1" w:rsidR="005D6DA3" w:rsidRDefault="005D6DA3" w:rsidP="009E58ED">
      <w:pPr>
        <w:spacing w:line="360" w:lineRule="auto"/>
        <w:jc w:val="both"/>
        <w:rPr>
          <w:rFonts w:ascii="Arial" w:hAnsi="Arial" w:cs="Arial"/>
          <w:sz w:val="24"/>
          <w:szCs w:val="24"/>
        </w:rPr>
      </w:pPr>
      <w:r w:rsidRPr="005D6DA3">
        <w:rPr>
          <w:rFonts w:ascii="Arial" w:hAnsi="Arial" w:cs="Arial"/>
          <w:sz w:val="24"/>
          <w:szCs w:val="24"/>
        </w:rPr>
        <w:t>Davidsson, P. (2015)</w:t>
      </w:r>
      <w:r>
        <w:rPr>
          <w:rFonts w:ascii="Arial" w:hAnsi="Arial" w:cs="Arial"/>
          <w:sz w:val="24"/>
          <w:szCs w:val="24"/>
        </w:rPr>
        <w:t>.</w:t>
      </w:r>
      <w:r w:rsidRPr="005D6DA3">
        <w:rPr>
          <w:rFonts w:ascii="Arial" w:hAnsi="Arial" w:cs="Arial"/>
          <w:sz w:val="24"/>
          <w:szCs w:val="24"/>
        </w:rPr>
        <w:t xml:space="preserve"> 'Entrepreneurial opportunities and the entrepreneurship nexus: A re-conceptualization', Journal of Business Venturing, 30(5), pp. 674</w:t>
      </w:r>
      <w:r>
        <w:rPr>
          <w:rFonts w:ascii="Arial" w:hAnsi="Arial" w:cs="Arial"/>
          <w:sz w:val="24"/>
          <w:szCs w:val="24"/>
        </w:rPr>
        <w:t>–</w:t>
      </w:r>
      <w:r w:rsidRPr="005D6DA3">
        <w:rPr>
          <w:rFonts w:ascii="Arial" w:hAnsi="Arial" w:cs="Arial"/>
          <w:sz w:val="24"/>
          <w:szCs w:val="24"/>
        </w:rPr>
        <w:t xml:space="preserve">695. Available at: </w:t>
      </w:r>
      <w:hyperlink r:id="rId114" w:history="1">
        <w:r w:rsidRPr="007D0B0F">
          <w:rPr>
            <w:rStyle w:val="Hyperlink"/>
            <w:rFonts w:ascii="Arial" w:hAnsi="Arial" w:cs="Arial"/>
            <w:sz w:val="24"/>
            <w:szCs w:val="24"/>
          </w:rPr>
          <w:t>https://www.sciencedirect.com/science/article/pii/S0883902615000130</w:t>
        </w:r>
      </w:hyperlink>
      <w:r>
        <w:rPr>
          <w:rFonts w:ascii="Arial" w:hAnsi="Arial" w:cs="Arial"/>
          <w:sz w:val="24"/>
          <w:szCs w:val="24"/>
        </w:rPr>
        <w:t xml:space="preserve"> </w:t>
      </w:r>
      <w:r w:rsidRPr="005D6DA3">
        <w:rPr>
          <w:rFonts w:ascii="Arial" w:hAnsi="Arial" w:cs="Arial"/>
          <w:sz w:val="24"/>
          <w:szCs w:val="24"/>
        </w:rPr>
        <w:t>(Accessed: 27 March 2026).</w:t>
      </w:r>
    </w:p>
    <w:p w14:paraId="2002BF4E" w14:textId="0A051F06" w:rsidR="003F572A" w:rsidRDefault="003F572A" w:rsidP="009E58ED">
      <w:pPr>
        <w:spacing w:line="360" w:lineRule="auto"/>
        <w:jc w:val="both"/>
        <w:rPr>
          <w:rFonts w:ascii="Arial" w:hAnsi="Arial" w:cs="Arial"/>
          <w:sz w:val="24"/>
          <w:szCs w:val="24"/>
        </w:rPr>
      </w:pPr>
      <w:r w:rsidRPr="003F572A">
        <w:rPr>
          <w:rFonts w:ascii="Arial" w:hAnsi="Arial" w:cs="Arial"/>
          <w:sz w:val="24"/>
          <w:szCs w:val="24"/>
        </w:rPr>
        <w:t>Davies, C., and Garrett, M. (2012)</w:t>
      </w:r>
      <w:r>
        <w:rPr>
          <w:rFonts w:ascii="Arial" w:hAnsi="Arial" w:cs="Arial"/>
          <w:sz w:val="24"/>
          <w:szCs w:val="24"/>
        </w:rPr>
        <w:t>.</w:t>
      </w:r>
      <w:r w:rsidRPr="003F572A">
        <w:rPr>
          <w:rFonts w:ascii="Arial" w:hAnsi="Arial" w:cs="Arial"/>
          <w:sz w:val="24"/>
          <w:szCs w:val="24"/>
        </w:rPr>
        <w:t xml:space="preserve"> 'The BME Student Experience At A Small Northern University: An Examination Of The Experiences Of Minority Ethnic Students </w:t>
      </w:r>
      <w:r w:rsidRPr="003F572A">
        <w:rPr>
          <w:rFonts w:ascii="Arial" w:hAnsi="Arial" w:cs="Arial"/>
          <w:sz w:val="24"/>
          <w:szCs w:val="24"/>
        </w:rPr>
        <w:lastRenderedPageBreak/>
        <w:t xml:space="preserve">Undertaking Undergraduate Study Within A Small Northern University', Compass: The Journal of Learning and Teaching at the University of Greenwich, 5, pp. 1 - 10  Available at: </w:t>
      </w:r>
      <w:hyperlink r:id="rId115" w:history="1">
        <w:r w:rsidRPr="007D0B0F">
          <w:rPr>
            <w:rStyle w:val="Hyperlink"/>
            <w:rFonts w:ascii="Arial" w:hAnsi="Arial" w:cs="Arial"/>
            <w:sz w:val="24"/>
            <w:szCs w:val="24"/>
          </w:rPr>
          <w:t>https://www.researchgate.net/profile/Chantal-Davies/publication/305187028_The_BME_Student_Experience_At_A_Small_Northern_University_An_Examination_Of_The_Experiences_Of_Minority_Ethnic_Students_Undertaking_Undergraduate_Study_Within_A_Small_Northern_University/links/58d146fe92851ce355c02565/The-BME-Student-Experience-At-A-Small-Northern-University-An-Examination-Of-The-Experiences-Of-Minority-Ethnic-Students-Undertaking-Undergraduate-Study-Within-A-Small-Northern-University.pdf?_sg%5B0%5D=started_experiment_milestone&amp;origin=journalDetail</w:t>
        </w:r>
      </w:hyperlink>
      <w:r>
        <w:rPr>
          <w:rFonts w:ascii="Arial" w:hAnsi="Arial" w:cs="Arial"/>
          <w:sz w:val="24"/>
          <w:szCs w:val="24"/>
        </w:rPr>
        <w:t xml:space="preserve"> </w:t>
      </w:r>
      <w:r w:rsidRPr="003F572A">
        <w:rPr>
          <w:rFonts w:ascii="Arial" w:hAnsi="Arial" w:cs="Arial"/>
          <w:sz w:val="24"/>
          <w:szCs w:val="24"/>
        </w:rPr>
        <w:t>(Accessed: 24 March 2026).</w:t>
      </w:r>
    </w:p>
    <w:p w14:paraId="4D0B1BB6" w14:textId="3B077F14" w:rsidR="003200DD" w:rsidRDefault="003200DD" w:rsidP="009E58ED">
      <w:pPr>
        <w:spacing w:line="360" w:lineRule="auto"/>
        <w:jc w:val="both"/>
        <w:rPr>
          <w:rFonts w:ascii="Arial" w:hAnsi="Arial" w:cs="Arial"/>
          <w:sz w:val="24"/>
          <w:szCs w:val="24"/>
        </w:rPr>
      </w:pPr>
      <w:r w:rsidRPr="003200DD">
        <w:rPr>
          <w:rFonts w:ascii="Arial" w:hAnsi="Arial" w:cs="Arial"/>
          <w:sz w:val="24"/>
          <w:szCs w:val="24"/>
        </w:rPr>
        <w:t>DeForge, R., Colquhoun, H., Richmond, S., Emberly, D., and Newman, K. (2019)</w:t>
      </w:r>
      <w:r>
        <w:rPr>
          <w:rFonts w:ascii="Arial" w:hAnsi="Arial" w:cs="Arial"/>
          <w:sz w:val="24"/>
          <w:szCs w:val="24"/>
        </w:rPr>
        <w:t>.</w:t>
      </w:r>
      <w:r w:rsidRPr="003200DD">
        <w:rPr>
          <w:rFonts w:ascii="Arial" w:hAnsi="Arial" w:cs="Arial"/>
          <w:sz w:val="24"/>
          <w:szCs w:val="24"/>
        </w:rPr>
        <w:t xml:space="preserve"> 'Developing a theory of peer mentorship in a knowledge translation trainee context', Studies in Higher Education, 44(12), pp. 2385</w:t>
      </w:r>
      <w:r>
        <w:rPr>
          <w:rFonts w:ascii="Arial" w:hAnsi="Arial" w:cs="Arial"/>
          <w:sz w:val="24"/>
          <w:szCs w:val="24"/>
        </w:rPr>
        <w:t>–</w:t>
      </w:r>
      <w:r w:rsidRPr="003200DD">
        <w:rPr>
          <w:rFonts w:ascii="Arial" w:hAnsi="Arial" w:cs="Arial"/>
          <w:sz w:val="24"/>
          <w:szCs w:val="24"/>
        </w:rPr>
        <w:t xml:space="preserve">2401. Available at: </w:t>
      </w:r>
      <w:hyperlink r:id="rId116" w:anchor="abstract" w:history="1">
        <w:r w:rsidRPr="007D0B0F">
          <w:rPr>
            <w:rStyle w:val="Hyperlink"/>
            <w:rFonts w:ascii="Arial" w:hAnsi="Arial" w:cs="Arial"/>
            <w:sz w:val="24"/>
            <w:szCs w:val="24"/>
          </w:rPr>
          <w:t>https://www.tandfonline.com/doi/full/10.1080/03075079.2018.1504909?scroll=top&amp;needAccess=true#abstract</w:t>
        </w:r>
      </w:hyperlink>
      <w:r>
        <w:rPr>
          <w:rFonts w:ascii="Arial" w:hAnsi="Arial" w:cs="Arial"/>
          <w:sz w:val="24"/>
          <w:szCs w:val="24"/>
        </w:rPr>
        <w:t xml:space="preserve"> </w:t>
      </w:r>
      <w:r w:rsidRPr="003200DD">
        <w:rPr>
          <w:rFonts w:ascii="Arial" w:hAnsi="Arial" w:cs="Arial"/>
          <w:sz w:val="24"/>
          <w:szCs w:val="24"/>
        </w:rPr>
        <w:t>(Accessed: 24 March 2026).</w:t>
      </w:r>
    </w:p>
    <w:p w14:paraId="1A4DE13C" w14:textId="026C5489" w:rsidR="003D3112" w:rsidRDefault="003D3112" w:rsidP="009E58ED">
      <w:pPr>
        <w:spacing w:line="360" w:lineRule="auto"/>
        <w:jc w:val="both"/>
        <w:rPr>
          <w:rFonts w:ascii="Arial" w:hAnsi="Arial" w:cs="Arial"/>
          <w:sz w:val="24"/>
          <w:szCs w:val="24"/>
        </w:rPr>
      </w:pPr>
      <w:r w:rsidRPr="003D3112">
        <w:rPr>
          <w:rFonts w:ascii="Arial" w:hAnsi="Arial" w:cs="Arial"/>
          <w:sz w:val="24"/>
          <w:szCs w:val="24"/>
        </w:rPr>
        <w:t>Demie, F. (2019)</w:t>
      </w:r>
      <w:r w:rsidR="00112DCD">
        <w:rPr>
          <w:rFonts w:ascii="Arial" w:hAnsi="Arial" w:cs="Arial"/>
          <w:sz w:val="24"/>
          <w:szCs w:val="24"/>
        </w:rPr>
        <w:t>.</w:t>
      </w:r>
      <w:r w:rsidRPr="003D3112">
        <w:rPr>
          <w:rFonts w:ascii="Arial" w:hAnsi="Arial" w:cs="Arial"/>
          <w:sz w:val="24"/>
          <w:szCs w:val="24"/>
        </w:rPr>
        <w:t xml:space="preserve"> 'Raising Achievement of Black Caribbean Pupils: Good Practice for Developing Leadership Capacity and Workforce Diversity in Schools', School Leadership and Management, 39(1), pp. 5</w:t>
      </w:r>
      <w:r w:rsidR="00112DCD">
        <w:rPr>
          <w:rFonts w:ascii="Arial" w:hAnsi="Arial" w:cs="Arial"/>
          <w:sz w:val="24"/>
          <w:szCs w:val="24"/>
        </w:rPr>
        <w:t>–</w:t>
      </w:r>
      <w:r w:rsidRPr="003D3112">
        <w:rPr>
          <w:rFonts w:ascii="Arial" w:hAnsi="Arial" w:cs="Arial"/>
          <w:sz w:val="24"/>
          <w:szCs w:val="24"/>
        </w:rPr>
        <w:t xml:space="preserve">25. Available at: </w:t>
      </w:r>
      <w:hyperlink r:id="rId117" w:anchor="abstract" w:history="1">
        <w:r w:rsidRPr="00F821EF">
          <w:rPr>
            <w:rStyle w:val="Hyperlink"/>
            <w:rFonts w:ascii="Arial" w:hAnsi="Arial" w:cs="Arial"/>
            <w:sz w:val="24"/>
            <w:szCs w:val="24"/>
          </w:rPr>
          <w:t>https://www-tandfonline-com.uwtsd.idm.oclc.org/doi/full/10.1080/13632434.2018.1442324#abstract</w:t>
        </w:r>
      </w:hyperlink>
      <w:r>
        <w:rPr>
          <w:rFonts w:ascii="Arial" w:hAnsi="Arial" w:cs="Arial"/>
          <w:sz w:val="24"/>
          <w:szCs w:val="24"/>
        </w:rPr>
        <w:t xml:space="preserve"> </w:t>
      </w:r>
      <w:r w:rsidRPr="003D3112">
        <w:rPr>
          <w:rFonts w:ascii="Arial" w:hAnsi="Arial" w:cs="Arial"/>
          <w:sz w:val="24"/>
          <w:szCs w:val="24"/>
        </w:rPr>
        <w:t>(Accessed: 19 March 2026).</w:t>
      </w:r>
    </w:p>
    <w:p w14:paraId="23AF5B9B" w14:textId="56D12DA5" w:rsidR="008025FE" w:rsidRDefault="008025FE" w:rsidP="009E58ED">
      <w:pPr>
        <w:spacing w:line="360" w:lineRule="auto"/>
        <w:jc w:val="both"/>
        <w:rPr>
          <w:rFonts w:ascii="Arial" w:hAnsi="Arial" w:cs="Arial"/>
          <w:sz w:val="24"/>
          <w:szCs w:val="24"/>
        </w:rPr>
      </w:pPr>
      <w:r w:rsidRPr="008025FE">
        <w:rPr>
          <w:rFonts w:ascii="Arial" w:hAnsi="Arial" w:cs="Arial"/>
          <w:sz w:val="24"/>
          <w:szCs w:val="24"/>
        </w:rPr>
        <w:t>Demie, F. (2021)</w:t>
      </w:r>
      <w:r w:rsidR="00112DCD">
        <w:rPr>
          <w:rFonts w:ascii="Arial" w:hAnsi="Arial" w:cs="Arial"/>
          <w:sz w:val="24"/>
          <w:szCs w:val="24"/>
        </w:rPr>
        <w:t>.</w:t>
      </w:r>
      <w:r w:rsidRPr="008025FE">
        <w:rPr>
          <w:rFonts w:ascii="Arial" w:hAnsi="Arial" w:cs="Arial"/>
          <w:sz w:val="24"/>
          <w:szCs w:val="24"/>
        </w:rPr>
        <w:t xml:space="preserve"> 'The experience of Black Caribbean pupils in school exclusion in England', </w:t>
      </w:r>
      <w:r w:rsidRPr="008025FE">
        <w:rPr>
          <w:rFonts w:ascii="Arial" w:hAnsi="Arial" w:cs="Arial"/>
          <w:i/>
          <w:iCs/>
          <w:sz w:val="24"/>
          <w:szCs w:val="24"/>
        </w:rPr>
        <w:t>Educational Review</w:t>
      </w:r>
      <w:r w:rsidRPr="008025FE">
        <w:rPr>
          <w:rFonts w:ascii="Arial" w:hAnsi="Arial" w:cs="Arial"/>
          <w:sz w:val="24"/>
          <w:szCs w:val="24"/>
        </w:rPr>
        <w:t>, 73 (1), pp. 55</w:t>
      </w:r>
      <w:r w:rsidR="00112DCD">
        <w:rPr>
          <w:rFonts w:ascii="Arial" w:hAnsi="Arial" w:cs="Arial"/>
          <w:sz w:val="24"/>
          <w:szCs w:val="24"/>
        </w:rPr>
        <w:t>–</w:t>
      </w:r>
      <w:r w:rsidRPr="008025FE">
        <w:rPr>
          <w:rFonts w:ascii="Arial" w:hAnsi="Arial" w:cs="Arial"/>
          <w:sz w:val="24"/>
          <w:szCs w:val="24"/>
        </w:rPr>
        <w:t>70. Available at: https://www.tandfonline.com/doi/full/10.1080/00131911.2019.1590316?scroll=top&amp;needAccess=true#abstract (Accessed: 22 March 2026).</w:t>
      </w:r>
    </w:p>
    <w:p w14:paraId="30258C18" w14:textId="1A35D8C2" w:rsidR="00F51CCE" w:rsidRDefault="00F51CCE" w:rsidP="009E58ED">
      <w:pPr>
        <w:spacing w:line="360" w:lineRule="auto"/>
        <w:jc w:val="both"/>
        <w:rPr>
          <w:rFonts w:ascii="Arial" w:hAnsi="Arial" w:cs="Arial"/>
          <w:sz w:val="24"/>
          <w:szCs w:val="24"/>
        </w:rPr>
      </w:pPr>
      <w:r w:rsidRPr="00F51CCE">
        <w:rPr>
          <w:rFonts w:ascii="Arial" w:hAnsi="Arial" w:cs="Arial"/>
          <w:sz w:val="24"/>
          <w:szCs w:val="24"/>
        </w:rPr>
        <w:t>Demie, F. (2022)</w:t>
      </w:r>
      <w:r w:rsidR="00112DCD">
        <w:rPr>
          <w:rFonts w:ascii="Arial" w:hAnsi="Arial" w:cs="Arial"/>
          <w:sz w:val="24"/>
          <w:szCs w:val="24"/>
        </w:rPr>
        <w:t>.</w:t>
      </w:r>
      <w:r w:rsidRPr="00F51CCE">
        <w:rPr>
          <w:rFonts w:ascii="Arial" w:hAnsi="Arial" w:cs="Arial"/>
          <w:sz w:val="24"/>
          <w:szCs w:val="24"/>
        </w:rPr>
        <w:t xml:space="preserve"> 'Tackling teachers’ low expectations of Black Caribbean students in English schools', Equity in Education and Society, 1(1), pp. 32</w:t>
      </w:r>
      <w:r w:rsidR="00112DCD">
        <w:rPr>
          <w:rFonts w:ascii="Arial" w:hAnsi="Arial" w:cs="Arial"/>
          <w:sz w:val="24"/>
          <w:szCs w:val="24"/>
        </w:rPr>
        <w:t>–</w:t>
      </w:r>
      <w:r w:rsidRPr="00F51CCE">
        <w:rPr>
          <w:rFonts w:ascii="Arial" w:hAnsi="Arial" w:cs="Arial"/>
          <w:sz w:val="24"/>
          <w:szCs w:val="24"/>
        </w:rPr>
        <w:t xml:space="preserve">49. Available at: </w:t>
      </w:r>
      <w:hyperlink r:id="rId118" w:history="1">
        <w:r w:rsidR="00B2166F" w:rsidRPr="00F821EF">
          <w:rPr>
            <w:rStyle w:val="Hyperlink"/>
            <w:rFonts w:ascii="Arial" w:hAnsi="Arial" w:cs="Arial"/>
            <w:sz w:val="24"/>
            <w:szCs w:val="24"/>
          </w:rPr>
          <w:t>https://journals.sagepub.com/doi/epub/10.1177/27526461211068511</w:t>
        </w:r>
      </w:hyperlink>
      <w:r w:rsidR="00B2166F">
        <w:rPr>
          <w:rFonts w:ascii="Arial" w:hAnsi="Arial" w:cs="Arial"/>
          <w:sz w:val="24"/>
          <w:szCs w:val="24"/>
        </w:rPr>
        <w:t xml:space="preserve"> </w:t>
      </w:r>
      <w:r w:rsidRPr="00F51CCE">
        <w:rPr>
          <w:rFonts w:ascii="Arial" w:hAnsi="Arial" w:cs="Arial"/>
          <w:sz w:val="24"/>
          <w:szCs w:val="24"/>
        </w:rPr>
        <w:t>(Accessed: 18 March 2026).</w:t>
      </w:r>
    </w:p>
    <w:p w14:paraId="011186DD" w14:textId="2090E60C" w:rsidR="006869A4" w:rsidRDefault="006869A4" w:rsidP="009E58ED">
      <w:pPr>
        <w:spacing w:line="360" w:lineRule="auto"/>
        <w:jc w:val="both"/>
        <w:rPr>
          <w:rFonts w:ascii="Arial" w:hAnsi="Arial" w:cs="Arial"/>
          <w:sz w:val="24"/>
          <w:szCs w:val="24"/>
        </w:rPr>
      </w:pPr>
      <w:r w:rsidRPr="006869A4">
        <w:rPr>
          <w:rFonts w:ascii="Arial" w:hAnsi="Arial" w:cs="Arial"/>
          <w:sz w:val="24"/>
          <w:szCs w:val="24"/>
        </w:rPr>
        <w:lastRenderedPageBreak/>
        <w:t>Demie, F., and Mclean, C. (2017)</w:t>
      </w:r>
      <w:r>
        <w:rPr>
          <w:rFonts w:ascii="Arial" w:hAnsi="Arial" w:cs="Arial"/>
          <w:sz w:val="24"/>
          <w:szCs w:val="24"/>
        </w:rPr>
        <w:t>.</w:t>
      </w:r>
      <w:r w:rsidRPr="006869A4">
        <w:rPr>
          <w:rFonts w:ascii="Arial" w:hAnsi="Arial" w:cs="Arial"/>
          <w:sz w:val="24"/>
          <w:szCs w:val="24"/>
        </w:rPr>
        <w:t xml:space="preserve"> Black Caribbean Underachievement in Schools in England. Research and Statistics Unit, Lambeth Education and Learning. Available at: </w:t>
      </w:r>
      <w:hyperlink r:id="rId119" w:history="1">
        <w:r w:rsidRPr="00F821EF">
          <w:rPr>
            <w:rStyle w:val="Hyperlink"/>
            <w:rFonts w:ascii="Arial" w:hAnsi="Arial" w:cs="Arial"/>
            <w:sz w:val="24"/>
            <w:szCs w:val="24"/>
          </w:rPr>
          <w:t>https://pih.org.uk/wp-content/uploads/2021/05/black_caribbean_underachievement_in_schools_in_england_2017-1.pdf</w:t>
        </w:r>
      </w:hyperlink>
      <w:r>
        <w:rPr>
          <w:rFonts w:ascii="Arial" w:hAnsi="Arial" w:cs="Arial"/>
          <w:sz w:val="24"/>
          <w:szCs w:val="24"/>
        </w:rPr>
        <w:t xml:space="preserve"> </w:t>
      </w:r>
      <w:r w:rsidRPr="006869A4">
        <w:rPr>
          <w:rFonts w:ascii="Arial" w:hAnsi="Arial" w:cs="Arial"/>
          <w:sz w:val="24"/>
          <w:szCs w:val="24"/>
        </w:rPr>
        <w:t>(Accessed: 18 March 2026).</w:t>
      </w:r>
    </w:p>
    <w:p w14:paraId="6C5F94E7" w14:textId="237AECC5" w:rsidR="000044B4" w:rsidRDefault="000044B4" w:rsidP="009E58ED">
      <w:pPr>
        <w:spacing w:line="360" w:lineRule="auto"/>
        <w:jc w:val="both"/>
        <w:rPr>
          <w:rFonts w:ascii="Arial" w:hAnsi="Arial" w:cs="Arial"/>
          <w:sz w:val="24"/>
          <w:szCs w:val="24"/>
        </w:rPr>
      </w:pPr>
      <w:r w:rsidRPr="000044B4">
        <w:rPr>
          <w:rFonts w:ascii="Arial" w:hAnsi="Arial" w:cs="Arial"/>
          <w:sz w:val="24"/>
          <w:szCs w:val="24"/>
        </w:rPr>
        <w:t>Demie, F., and Mclean, C. (2015)</w:t>
      </w:r>
      <w:r w:rsidR="005E1204">
        <w:rPr>
          <w:rFonts w:ascii="Arial" w:hAnsi="Arial" w:cs="Arial"/>
          <w:sz w:val="24"/>
          <w:szCs w:val="24"/>
        </w:rPr>
        <w:t>.</w:t>
      </w:r>
      <w:r w:rsidRPr="000044B4">
        <w:rPr>
          <w:rFonts w:ascii="Arial" w:hAnsi="Arial" w:cs="Arial"/>
          <w:sz w:val="24"/>
          <w:szCs w:val="24"/>
        </w:rPr>
        <w:t xml:space="preserve"> The Underachievement of Black Caribbean Heritage Pupils in School. Lambeth. Available at: </w:t>
      </w:r>
      <w:hyperlink r:id="rId120" w:history="1">
        <w:r w:rsidRPr="00F821EF">
          <w:rPr>
            <w:rStyle w:val="Hyperlink"/>
            <w:rFonts w:ascii="Arial" w:hAnsi="Arial" w:cs="Arial"/>
            <w:sz w:val="24"/>
            <w:szCs w:val="24"/>
          </w:rPr>
          <w:t>https://www.lambeth.gov.uk/sites/default/files/2021-06/The_Underachievement_of_Black_Caribbean_Heritage_Pupils_in_Schools-_Research_Brief.pdf</w:t>
        </w:r>
      </w:hyperlink>
      <w:r>
        <w:rPr>
          <w:rFonts w:ascii="Arial" w:hAnsi="Arial" w:cs="Arial"/>
          <w:sz w:val="24"/>
          <w:szCs w:val="24"/>
        </w:rPr>
        <w:t xml:space="preserve"> </w:t>
      </w:r>
      <w:r w:rsidRPr="000044B4">
        <w:rPr>
          <w:rFonts w:ascii="Arial" w:hAnsi="Arial" w:cs="Arial"/>
          <w:sz w:val="24"/>
          <w:szCs w:val="24"/>
        </w:rPr>
        <w:t>(Accessed: 18 March 2026).</w:t>
      </w:r>
    </w:p>
    <w:p w14:paraId="600C7D27" w14:textId="0CDDCA78" w:rsidR="005F267B" w:rsidRDefault="005F267B" w:rsidP="009E58ED">
      <w:pPr>
        <w:spacing w:line="360" w:lineRule="auto"/>
        <w:jc w:val="both"/>
        <w:rPr>
          <w:rFonts w:ascii="Arial" w:hAnsi="Arial" w:cs="Arial"/>
          <w:sz w:val="24"/>
          <w:szCs w:val="24"/>
        </w:rPr>
      </w:pPr>
      <w:r w:rsidRPr="005F267B">
        <w:rPr>
          <w:rFonts w:ascii="Arial" w:hAnsi="Arial" w:cs="Arial"/>
          <w:sz w:val="24"/>
          <w:szCs w:val="24"/>
        </w:rPr>
        <w:t>Department for Business, Energy and Industrial Strategy (</w:t>
      </w:r>
      <w:proofErr w:type="spellStart"/>
      <w:r w:rsidRPr="005F267B">
        <w:rPr>
          <w:rFonts w:ascii="Arial" w:hAnsi="Arial" w:cs="Arial"/>
          <w:sz w:val="24"/>
          <w:szCs w:val="24"/>
        </w:rPr>
        <w:t>DfBEIS</w:t>
      </w:r>
      <w:proofErr w:type="spellEnd"/>
      <w:r w:rsidRPr="005F267B">
        <w:rPr>
          <w:rFonts w:ascii="Arial" w:hAnsi="Arial" w:cs="Arial"/>
          <w:sz w:val="24"/>
          <w:szCs w:val="24"/>
        </w:rPr>
        <w:t xml:space="preserve">) (2018). Support for ethnic minority entrepreneurs helps 11,000 businesses get off the ground. Available at: </w:t>
      </w:r>
      <w:hyperlink r:id="rId121" w:history="1">
        <w:r w:rsidR="00D20F53" w:rsidRPr="007D0B0F">
          <w:rPr>
            <w:rStyle w:val="Hyperlink"/>
            <w:rFonts w:ascii="Arial" w:hAnsi="Arial" w:cs="Arial"/>
            <w:sz w:val="24"/>
            <w:szCs w:val="24"/>
          </w:rPr>
          <w:t>https://www.gov.uk/government/news/support-for-ethnic-minority-entrepreneurs-helps-11000-businesses-get-off-the-ground</w:t>
        </w:r>
      </w:hyperlink>
      <w:r w:rsidR="00D20F53">
        <w:rPr>
          <w:rFonts w:ascii="Arial" w:hAnsi="Arial" w:cs="Arial"/>
          <w:sz w:val="24"/>
          <w:szCs w:val="24"/>
        </w:rPr>
        <w:t xml:space="preserve"> </w:t>
      </w:r>
      <w:r w:rsidRPr="005F267B">
        <w:rPr>
          <w:rFonts w:ascii="Arial" w:hAnsi="Arial" w:cs="Arial"/>
          <w:sz w:val="24"/>
          <w:szCs w:val="24"/>
        </w:rPr>
        <w:t>(Accessed: 26 March 2026).</w:t>
      </w:r>
    </w:p>
    <w:p w14:paraId="5B54AFA1" w14:textId="78EF9463" w:rsidR="00AC7034" w:rsidRDefault="00AC7034" w:rsidP="009E58ED">
      <w:pPr>
        <w:spacing w:line="360" w:lineRule="auto"/>
        <w:jc w:val="both"/>
        <w:rPr>
          <w:rFonts w:ascii="Arial" w:hAnsi="Arial" w:cs="Arial"/>
          <w:sz w:val="24"/>
          <w:szCs w:val="24"/>
        </w:rPr>
      </w:pPr>
      <w:r w:rsidRPr="00AC7034">
        <w:rPr>
          <w:rFonts w:ascii="Arial" w:hAnsi="Arial" w:cs="Arial"/>
          <w:sz w:val="24"/>
          <w:szCs w:val="24"/>
        </w:rPr>
        <w:t>Department for Business, Innovation and Skills (</w:t>
      </w:r>
      <w:proofErr w:type="spellStart"/>
      <w:r w:rsidRPr="00AC7034">
        <w:rPr>
          <w:rFonts w:ascii="Arial" w:hAnsi="Arial" w:cs="Arial"/>
          <w:sz w:val="24"/>
          <w:szCs w:val="24"/>
        </w:rPr>
        <w:t>DfBIS</w:t>
      </w:r>
      <w:proofErr w:type="spellEnd"/>
      <w:r w:rsidRPr="00AC7034">
        <w:rPr>
          <w:rFonts w:ascii="Arial" w:hAnsi="Arial" w:cs="Arial"/>
          <w:sz w:val="24"/>
          <w:szCs w:val="24"/>
        </w:rPr>
        <w:t>) (2015) English Apprenticeships: Our</w:t>
      </w:r>
      <w:r>
        <w:rPr>
          <w:rFonts w:ascii="Arial" w:hAnsi="Arial" w:cs="Arial"/>
          <w:sz w:val="24"/>
          <w:szCs w:val="24"/>
        </w:rPr>
        <w:t xml:space="preserve"> </w:t>
      </w:r>
      <w:r w:rsidRPr="00AC7034">
        <w:rPr>
          <w:rFonts w:ascii="Arial" w:hAnsi="Arial" w:cs="Arial"/>
          <w:sz w:val="24"/>
          <w:szCs w:val="24"/>
        </w:rPr>
        <w:t>2020 Vision. BIS/15/604. Department for Business, Innovation and Skills</w:t>
      </w:r>
      <w:r>
        <w:rPr>
          <w:rFonts w:ascii="Arial" w:hAnsi="Arial" w:cs="Arial"/>
          <w:sz w:val="24"/>
          <w:szCs w:val="24"/>
        </w:rPr>
        <w:t>.</w:t>
      </w:r>
      <w:r w:rsidRPr="00AC7034">
        <w:rPr>
          <w:rFonts w:ascii="Arial" w:hAnsi="Arial" w:cs="Arial"/>
          <w:sz w:val="24"/>
          <w:szCs w:val="24"/>
        </w:rPr>
        <w:t xml:space="preserve"> Available at: </w:t>
      </w:r>
      <w:hyperlink r:id="rId122" w:history="1">
        <w:r w:rsidRPr="007D0B0F">
          <w:rPr>
            <w:rStyle w:val="Hyperlink"/>
            <w:rFonts w:ascii="Arial" w:hAnsi="Arial" w:cs="Arial"/>
            <w:sz w:val="24"/>
            <w:szCs w:val="24"/>
          </w:rPr>
          <w:t>https://assets.publishing.service.gov.uk/media/5a74eacde5274a59fa715f9d/BIS-15-604-english-apprenticeships-our-2020-vision.pdf</w:t>
        </w:r>
      </w:hyperlink>
      <w:r>
        <w:rPr>
          <w:rFonts w:ascii="Arial" w:hAnsi="Arial" w:cs="Arial"/>
          <w:sz w:val="24"/>
          <w:szCs w:val="24"/>
        </w:rPr>
        <w:t xml:space="preserve"> </w:t>
      </w:r>
      <w:r w:rsidRPr="00AC7034">
        <w:rPr>
          <w:rFonts w:ascii="Arial" w:hAnsi="Arial" w:cs="Arial"/>
          <w:sz w:val="24"/>
          <w:szCs w:val="24"/>
        </w:rPr>
        <w:t>(Accessed: 26 March 2026).</w:t>
      </w:r>
    </w:p>
    <w:p w14:paraId="7F118BDC" w14:textId="77777777" w:rsidR="003C233F" w:rsidRPr="003C233F" w:rsidRDefault="003C233F" w:rsidP="009E58ED">
      <w:pPr>
        <w:spacing w:line="360" w:lineRule="auto"/>
        <w:jc w:val="both"/>
        <w:rPr>
          <w:rFonts w:ascii="Arial" w:hAnsi="Arial" w:cs="Arial"/>
          <w:sz w:val="24"/>
          <w:szCs w:val="24"/>
        </w:rPr>
      </w:pPr>
      <w:r w:rsidRPr="003C233F">
        <w:rPr>
          <w:rFonts w:ascii="Arial" w:hAnsi="Arial" w:cs="Arial"/>
          <w:sz w:val="24"/>
          <w:szCs w:val="24"/>
        </w:rPr>
        <w:t>Department for Communities and Local Government (2013) Public Sector Equality Duty</w:t>
      </w:r>
    </w:p>
    <w:p w14:paraId="08994AD9" w14:textId="31D37686" w:rsidR="003C233F" w:rsidRDefault="003C233F" w:rsidP="009E58ED">
      <w:pPr>
        <w:spacing w:line="360" w:lineRule="auto"/>
        <w:jc w:val="both"/>
        <w:rPr>
          <w:rFonts w:ascii="Arial" w:hAnsi="Arial" w:cs="Arial"/>
          <w:sz w:val="24"/>
          <w:szCs w:val="24"/>
        </w:rPr>
      </w:pPr>
      <w:r w:rsidRPr="003C233F">
        <w:rPr>
          <w:rFonts w:ascii="Arial" w:hAnsi="Arial" w:cs="Arial"/>
          <w:sz w:val="24"/>
          <w:szCs w:val="24"/>
        </w:rPr>
        <w:t xml:space="preserve">DCLG report 2012 to 2013. Department for Communities and Local Government. Available at: </w:t>
      </w:r>
      <w:hyperlink r:id="rId123" w:history="1">
        <w:r w:rsidRPr="007D0B0F">
          <w:rPr>
            <w:rStyle w:val="Hyperlink"/>
            <w:rFonts w:ascii="Arial" w:hAnsi="Arial" w:cs="Arial"/>
            <w:sz w:val="24"/>
            <w:szCs w:val="24"/>
          </w:rPr>
          <w:t>https://assets.publishing.service.gov.uk/media/5a7579cee5274a1622e2216b/Public_Sector_Equality_Duty.pdf</w:t>
        </w:r>
      </w:hyperlink>
      <w:r>
        <w:rPr>
          <w:rFonts w:ascii="Arial" w:hAnsi="Arial" w:cs="Arial"/>
          <w:sz w:val="24"/>
          <w:szCs w:val="24"/>
        </w:rPr>
        <w:t xml:space="preserve"> </w:t>
      </w:r>
      <w:r w:rsidRPr="003C233F">
        <w:rPr>
          <w:rFonts w:ascii="Arial" w:hAnsi="Arial" w:cs="Arial"/>
          <w:sz w:val="24"/>
          <w:szCs w:val="24"/>
        </w:rPr>
        <w:t>(Accessed: 26 March 2026).</w:t>
      </w:r>
    </w:p>
    <w:p w14:paraId="1FF61C9B" w14:textId="6034C6F3" w:rsidR="00A950C6" w:rsidRDefault="00A950C6" w:rsidP="009E58ED">
      <w:pPr>
        <w:spacing w:line="360" w:lineRule="auto"/>
        <w:jc w:val="both"/>
        <w:rPr>
          <w:rFonts w:ascii="Arial" w:hAnsi="Arial" w:cs="Arial"/>
          <w:sz w:val="24"/>
          <w:szCs w:val="24"/>
        </w:rPr>
      </w:pPr>
      <w:r w:rsidRPr="00A950C6">
        <w:rPr>
          <w:rFonts w:ascii="Arial" w:hAnsi="Arial" w:cs="Arial"/>
          <w:sz w:val="24"/>
          <w:szCs w:val="24"/>
        </w:rPr>
        <w:t>Department for Education (2017) </w:t>
      </w:r>
      <w:r w:rsidRPr="00A950C6">
        <w:rPr>
          <w:rFonts w:ascii="Arial" w:hAnsi="Arial" w:cs="Arial"/>
          <w:i/>
          <w:iCs/>
          <w:sz w:val="24"/>
          <w:szCs w:val="24"/>
        </w:rPr>
        <w:t>Permanent and Fixed Period Exclusions in England: 2015 to 2016</w:t>
      </w:r>
      <w:r w:rsidRPr="00A950C6">
        <w:rPr>
          <w:rFonts w:ascii="Arial" w:hAnsi="Arial" w:cs="Arial"/>
          <w:sz w:val="24"/>
          <w:szCs w:val="24"/>
        </w:rPr>
        <w:t xml:space="preserve">. Education Standards Evidence and Dissemination Division Available at: </w:t>
      </w:r>
      <w:hyperlink r:id="rId124" w:history="1">
        <w:r w:rsidRPr="007D0B0F">
          <w:rPr>
            <w:rStyle w:val="Hyperlink"/>
            <w:rFonts w:ascii="Arial" w:hAnsi="Arial" w:cs="Arial"/>
            <w:sz w:val="24"/>
            <w:szCs w:val="24"/>
          </w:rPr>
          <w:t>https://assets.publishing.service.gov.uk/media/5a81f13840f0b62302699feb/SFR35_2017_text.pdf</w:t>
        </w:r>
      </w:hyperlink>
      <w:r>
        <w:rPr>
          <w:rFonts w:ascii="Arial" w:hAnsi="Arial" w:cs="Arial"/>
          <w:sz w:val="24"/>
          <w:szCs w:val="24"/>
        </w:rPr>
        <w:t xml:space="preserve"> </w:t>
      </w:r>
      <w:r w:rsidRPr="00A950C6">
        <w:rPr>
          <w:rFonts w:ascii="Arial" w:hAnsi="Arial" w:cs="Arial"/>
          <w:sz w:val="24"/>
          <w:szCs w:val="24"/>
        </w:rPr>
        <w:t>(Accessed: 21 March 2026).</w:t>
      </w:r>
    </w:p>
    <w:p w14:paraId="7C6A6309" w14:textId="2D22A71B" w:rsidR="00F4557F" w:rsidRDefault="00921902" w:rsidP="009E58ED">
      <w:pPr>
        <w:spacing w:line="360" w:lineRule="auto"/>
        <w:jc w:val="both"/>
        <w:rPr>
          <w:rFonts w:ascii="Arial" w:hAnsi="Arial" w:cs="Arial"/>
          <w:sz w:val="24"/>
          <w:szCs w:val="24"/>
        </w:rPr>
      </w:pPr>
      <w:r w:rsidRPr="00921902">
        <w:rPr>
          <w:rFonts w:ascii="Arial" w:hAnsi="Arial" w:cs="Arial"/>
          <w:sz w:val="24"/>
          <w:szCs w:val="24"/>
        </w:rPr>
        <w:t>Department for Education</w:t>
      </w:r>
      <w:r w:rsidR="00EA2B23">
        <w:rPr>
          <w:rFonts w:ascii="Arial" w:hAnsi="Arial" w:cs="Arial"/>
          <w:sz w:val="24"/>
          <w:szCs w:val="24"/>
        </w:rPr>
        <w:t xml:space="preserve"> (DfE</w:t>
      </w:r>
      <w:r w:rsidRPr="00921902">
        <w:rPr>
          <w:rFonts w:ascii="Arial" w:hAnsi="Arial" w:cs="Arial"/>
          <w:sz w:val="24"/>
          <w:szCs w:val="24"/>
        </w:rPr>
        <w:t>) (2013) </w:t>
      </w:r>
      <w:r w:rsidRPr="00921902">
        <w:rPr>
          <w:rFonts w:ascii="Arial" w:hAnsi="Arial" w:cs="Arial"/>
          <w:i/>
          <w:iCs/>
          <w:sz w:val="24"/>
          <w:szCs w:val="24"/>
        </w:rPr>
        <w:t>Statistical First Release SFR 40/2013</w:t>
      </w:r>
      <w:r w:rsidRPr="00921902">
        <w:rPr>
          <w:rFonts w:ascii="Arial" w:hAnsi="Arial" w:cs="Arial"/>
          <w:sz w:val="24"/>
          <w:szCs w:val="24"/>
        </w:rPr>
        <w:t>. Department for Education</w:t>
      </w:r>
      <w:r w:rsidR="0037437B">
        <w:rPr>
          <w:rFonts w:ascii="Arial" w:hAnsi="Arial" w:cs="Arial"/>
          <w:sz w:val="24"/>
          <w:szCs w:val="24"/>
        </w:rPr>
        <w:t xml:space="preserve">. </w:t>
      </w:r>
      <w:r w:rsidRPr="00921902">
        <w:rPr>
          <w:rFonts w:ascii="Arial" w:hAnsi="Arial" w:cs="Arial"/>
          <w:sz w:val="24"/>
          <w:szCs w:val="24"/>
        </w:rPr>
        <w:t xml:space="preserve">Available at: </w:t>
      </w:r>
      <w:hyperlink r:id="rId125" w:history="1">
        <w:r w:rsidRPr="002F0426">
          <w:rPr>
            <w:rStyle w:val="Hyperlink"/>
            <w:rFonts w:ascii="Arial" w:hAnsi="Arial" w:cs="Arial"/>
            <w:sz w:val="24"/>
            <w:szCs w:val="24"/>
          </w:rPr>
          <w:t>https://assets.publishing.service.gov.uk/media/5a7ce351e5274a724f0be1ff/SFR40_2013_FINALv2.pdf</w:t>
        </w:r>
      </w:hyperlink>
      <w:r>
        <w:rPr>
          <w:rFonts w:ascii="Arial" w:hAnsi="Arial" w:cs="Arial"/>
          <w:sz w:val="24"/>
          <w:szCs w:val="24"/>
        </w:rPr>
        <w:t xml:space="preserve"> </w:t>
      </w:r>
      <w:r w:rsidRPr="00921902">
        <w:rPr>
          <w:rFonts w:ascii="Arial" w:hAnsi="Arial" w:cs="Arial"/>
          <w:sz w:val="24"/>
          <w:szCs w:val="24"/>
        </w:rPr>
        <w:t>(Accessed: 17 March 2026).</w:t>
      </w:r>
      <w:r w:rsidR="00F4557F" w:rsidRPr="00F4557F">
        <w:rPr>
          <w:rFonts w:ascii="Arial" w:hAnsi="Arial" w:cs="Arial"/>
          <w:sz w:val="24"/>
          <w:szCs w:val="24"/>
        </w:rPr>
        <w:br/>
        <w:t>Department for Education and Skills (DfES) (2003) </w:t>
      </w:r>
      <w:r w:rsidR="00F4557F" w:rsidRPr="00F4557F">
        <w:rPr>
          <w:rFonts w:ascii="Arial" w:hAnsi="Arial" w:cs="Arial"/>
          <w:i/>
          <w:iCs/>
          <w:sz w:val="24"/>
          <w:szCs w:val="24"/>
        </w:rPr>
        <w:t>Minority Ethnic Attainment and Participation in Education and Training: The Evidence</w:t>
      </w:r>
      <w:r w:rsidR="00F4557F" w:rsidRPr="00F4557F">
        <w:rPr>
          <w:rFonts w:ascii="Arial" w:hAnsi="Arial" w:cs="Arial"/>
          <w:sz w:val="24"/>
          <w:szCs w:val="24"/>
        </w:rPr>
        <w:t xml:space="preserve">. DfES Publications Available at: </w:t>
      </w:r>
      <w:hyperlink r:id="rId126" w:history="1">
        <w:r w:rsidR="00F4557F" w:rsidRPr="00FB3832">
          <w:rPr>
            <w:rStyle w:val="Hyperlink"/>
            <w:rFonts w:ascii="Arial" w:hAnsi="Arial" w:cs="Arial"/>
            <w:sz w:val="24"/>
            <w:szCs w:val="24"/>
          </w:rPr>
          <w:t>https://www.pacma.org.uk/ligali/pdf/minority_ethnic_attainment.pdf</w:t>
        </w:r>
      </w:hyperlink>
      <w:r w:rsidR="00F4557F">
        <w:rPr>
          <w:rFonts w:ascii="Arial" w:hAnsi="Arial" w:cs="Arial"/>
          <w:sz w:val="24"/>
          <w:szCs w:val="24"/>
        </w:rPr>
        <w:t xml:space="preserve"> </w:t>
      </w:r>
      <w:r w:rsidR="00F4557F" w:rsidRPr="00F4557F">
        <w:rPr>
          <w:rFonts w:ascii="Arial" w:hAnsi="Arial" w:cs="Arial"/>
          <w:sz w:val="24"/>
          <w:szCs w:val="24"/>
        </w:rPr>
        <w:t>(Accessed: 20 March 2026).</w:t>
      </w:r>
    </w:p>
    <w:p w14:paraId="696666E4" w14:textId="3E1E1799" w:rsidR="0037437B" w:rsidRDefault="0037437B" w:rsidP="009E58ED">
      <w:pPr>
        <w:spacing w:line="360" w:lineRule="auto"/>
        <w:jc w:val="both"/>
        <w:rPr>
          <w:rFonts w:ascii="Arial" w:hAnsi="Arial" w:cs="Arial"/>
          <w:sz w:val="24"/>
          <w:szCs w:val="24"/>
        </w:rPr>
      </w:pPr>
      <w:r w:rsidRPr="0037437B">
        <w:rPr>
          <w:rFonts w:ascii="Arial" w:hAnsi="Arial" w:cs="Arial"/>
          <w:sz w:val="24"/>
          <w:szCs w:val="24"/>
        </w:rPr>
        <w:t xml:space="preserve">Department for Education and Skills (DfES) (2003) Widening participation in higher education. Department for Education and Skills. Available at: </w:t>
      </w:r>
      <w:hyperlink r:id="rId127" w:history="1">
        <w:r w:rsidRPr="007D0B0F">
          <w:rPr>
            <w:rStyle w:val="Hyperlink"/>
            <w:rFonts w:ascii="Arial" w:hAnsi="Arial" w:cs="Arial"/>
            <w:sz w:val="24"/>
            <w:szCs w:val="24"/>
          </w:rPr>
          <w:t>https://education-uk.org/documents/pdfs/2003-widening-participation-he.pdf</w:t>
        </w:r>
      </w:hyperlink>
      <w:r>
        <w:rPr>
          <w:rFonts w:ascii="Arial" w:hAnsi="Arial" w:cs="Arial"/>
          <w:sz w:val="24"/>
          <w:szCs w:val="24"/>
        </w:rPr>
        <w:t xml:space="preserve"> </w:t>
      </w:r>
      <w:r w:rsidRPr="0037437B">
        <w:rPr>
          <w:rFonts w:ascii="Arial" w:hAnsi="Arial" w:cs="Arial"/>
          <w:sz w:val="24"/>
          <w:szCs w:val="24"/>
        </w:rPr>
        <w:t>(Accessed: 24 March 2026).</w:t>
      </w:r>
    </w:p>
    <w:p w14:paraId="5C9539A7" w14:textId="0AA76D42" w:rsidR="00F51CCE" w:rsidRDefault="00F51CCE" w:rsidP="009E58ED">
      <w:pPr>
        <w:spacing w:line="360" w:lineRule="auto"/>
        <w:jc w:val="both"/>
        <w:rPr>
          <w:rFonts w:ascii="Arial" w:hAnsi="Arial" w:cs="Arial"/>
          <w:sz w:val="24"/>
          <w:szCs w:val="24"/>
        </w:rPr>
      </w:pPr>
      <w:r w:rsidRPr="00F51CCE">
        <w:rPr>
          <w:rFonts w:ascii="Arial" w:hAnsi="Arial" w:cs="Arial"/>
          <w:sz w:val="24"/>
          <w:szCs w:val="24"/>
        </w:rPr>
        <w:t>De Schepper, A., Clycq, N., and Kyndt, E. (2022)</w:t>
      </w:r>
      <w:r w:rsidR="004736F2">
        <w:rPr>
          <w:rFonts w:ascii="Arial" w:hAnsi="Arial" w:cs="Arial"/>
          <w:sz w:val="24"/>
          <w:szCs w:val="24"/>
        </w:rPr>
        <w:t>.</w:t>
      </w:r>
      <w:r w:rsidRPr="00F51CCE">
        <w:rPr>
          <w:rFonts w:ascii="Arial" w:hAnsi="Arial" w:cs="Arial"/>
          <w:sz w:val="24"/>
          <w:szCs w:val="24"/>
        </w:rPr>
        <w:t xml:space="preserve"> 'Socioeconomic Differences in the Transition from Higher Education to the Labour Market: A Systematic Review', Journal of Career Development, 50 (1), pp. 234</w:t>
      </w:r>
      <w:r w:rsidR="004736F2">
        <w:rPr>
          <w:rFonts w:ascii="Arial" w:hAnsi="Arial" w:cs="Arial"/>
          <w:sz w:val="24"/>
          <w:szCs w:val="24"/>
        </w:rPr>
        <w:t>–</w:t>
      </w:r>
      <w:r w:rsidRPr="00F51CCE">
        <w:rPr>
          <w:rFonts w:ascii="Arial" w:hAnsi="Arial" w:cs="Arial"/>
          <w:sz w:val="24"/>
          <w:szCs w:val="24"/>
        </w:rPr>
        <w:t xml:space="preserve">250. Available at: </w:t>
      </w:r>
      <w:hyperlink r:id="rId128" w:history="1">
        <w:r w:rsidRPr="00F821EF">
          <w:rPr>
            <w:rStyle w:val="Hyperlink"/>
            <w:rFonts w:ascii="Arial" w:hAnsi="Arial" w:cs="Arial"/>
            <w:sz w:val="24"/>
            <w:szCs w:val="24"/>
          </w:rPr>
          <w:t>https://journals.sagepub.com/doi/full/10.1177/08948453221077674</w:t>
        </w:r>
      </w:hyperlink>
      <w:r>
        <w:rPr>
          <w:rFonts w:ascii="Arial" w:hAnsi="Arial" w:cs="Arial"/>
          <w:sz w:val="24"/>
          <w:szCs w:val="24"/>
        </w:rPr>
        <w:t xml:space="preserve"> </w:t>
      </w:r>
      <w:r w:rsidRPr="00F51CCE">
        <w:rPr>
          <w:rFonts w:ascii="Arial" w:hAnsi="Arial" w:cs="Arial"/>
          <w:sz w:val="24"/>
          <w:szCs w:val="24"/>
        </w:rPr>
        <w:t>(Accessed: 15 March 2026).</w:t>
      </w:r>
    </w:p>
    <w:p w14:paraId="330F9139" w14:textId="4870E502" w:rsidR="009845F4" w:rsidRDefault="009845F4" w:rsidP="009E58ED">
      <w:pPr>
        <w:spacing w:line="360" w:lineRule="auto"/>
        <w:jc w:val="both"/>
        <w:rPr>
          <w:rFonts w:ascii="Arial" w:hAnsi="Arial" w:cs="Arial"/>
          <w:sz w:val="24"/>
          <w:szCs w:val="24"/>
        </w:rPr>
      </w:pPr>
      <w:r w:rsidRPr="009845F4">
        <w:rPr>
          <w:rFonts w:ascii="Arial" w:hAnsi="Arial" w:cs="Arial"/>
          <w:sz w:val="24"/>
          <w:szCs w:val="24"/>
        </w:rPr>
        <w:t xml:space="preserve">Deuchar, R., Miller, J., and Barrow, M. (2014). 'Breaking Down Barriers with the Usual Suspects: Findings from a Research-informed Intervention with Police, Young People and Residents in the West of Scotland', Youth Justice, 15(1), pp. 57-75. Available at: </w:t>
      </w:r>
      <w:hyperlink r:id="rId129" w:history="1">
        <w:r w:rsidR="00901AB8" w:rsidRPr="007D0B0F">
          <w:rPr>
            <w:rStyle w:val="Hyperlink"/>
            <w:rFonts w:ascii="Arial" w:hAnsi="Arial" w:cs="Arial"/>
            <w:sz w:val="24"/>
            <w:szCs w:val="24"/>
          </w:rPr>
          <w:t>https://journals.sagepub.com/doi/full/10.1177/1473225414530538</w:t>
        </w:r>
      </w:hyperlink>
      <w:r w:rsidR="00901AB8">
        <w:rPr>
          <w:rFonts w:ascii="Arial" w:hAnsi="Arial" w:cs="Arial"/>
          <w:sz w:val="24"/>
          <w:szCs w:val="24"/>
        </w:rPr>
        <w:t xml:space="preserve"> </w:t>
      </w:r>
      <w:r w:rsidRPr="009845F4">
        <w:rPr>
          <w:rFonts w:ascii="Arial" w:hAnsi="Arial" w:cs="Arial"/>
          <w:sz w:val="24"/>
          <w:szCs w:val="24"/>
        </w:rPr>
        <w:t xml:space="preserve"> (Accessed: 2 April 2026).</w:t>
      </w:r>
    </w:p>
    <w:p w14:paraId="651A3921" w14:textId="6A6806DC" w:rsidR="00E14BE0" w:rsidRDefault="00E14BE0" w:rsidP="009E58ED">
      <w:pPr>
        <w:spacing w:line="360" w:lineRule="auto"/>
        <w:jc w:val="both"/>
        <w:rPr>
          <w:rFonts w:ascii="Arial" w:hAnsi="Arial" w:cs="Arial"/>
          <w:sz w:val="24"/>
          <w:szCs w:val="24"/>
        </w:rPr>
      </w:pPr>
      <w:r w:rsidRPr="00E14BE0">
        <w:rPr>
          <w:rFonts w:ascii="Arial" w:hAnsi="Arial" w:cs="Arial"/>
          <w:sz w:val="24"/>
          <w:szCs w:val="24"/>
        </w:rPr>
        <w:t>Devine, P., Forscher, P., Austin, A., and Cox, W. (2012)</w:t>
      </w:r>
      <w:r w:rsidR="004736F2">
        <w:rPr>
          <w:rFonts w:ascii="Arial" w:hAnsi="Arial" w:cs="Arial"/>
          <w:sz w:val="24"/>
          <w:szCs w:val="24"/>
        </w:rPr>
        <w:t>.</w:t>
      </w:r>
      <w:r w:rsidRPr="00E14BE0">
        <w:rPr>
          <w:rFonts w:ascii="Arial" w:hAnsi="Arial" w:cs="Arial"/>
          <w:sz w:val="24"/>
          <w:szCs w:val="24"/>
        </w:rPr>
        <w:t xml:space="preserve"> 'Long-term reduction in implicit race bias: A prejudice habit-breaking intervention', National Library of Medicine: National </w:t>
      </w:r>
      <w:proofErr w:type="spellStart"/>
      <w:r w:rsidRPr="00E14BE0">
        <w:rPr>
          <w:rFonts w:ascii="Arial" w:hAnsi="Arial" w:cs="Arial"/>
          <w:sz w:val="24"/>
          <w:szCs w:val="24"/>
        </w:rPr>
        <w:t>Center</w:t>
      </w:r>
      <w:proofErr w:type="spellEnd"/>
      <w:r w:rsidRPr="00E14BE0">
        <w:rPr>
          <w:rFonts w:ascii="Arial" w:hAnsi="Arial" w:cs="Arial"/>
          <w:sz w:val="24"/>
          <w:szCs w:val="24"/>
        </w:rPr>
        <w:t xml:space="preserve"> for Biotechnology Information, 48(6), pp. 1267</w:t>
      </w:r>
      <w:r w:rsidR="004736F2">
        <w:rPr>
          <w:rFonts w:ascii="Arial" w:hAnsi="Arial" w:cs="Arial"/>
          <w:sz w:val="24"/>
          <w:szCs w:val="24"/>
        </w:rPr>
        <w:t>–</w:t>
      </w:r>
      <w:r w:rsidRPr="00E14BE0">
        <w:rPr>
          <w:rFonts w:ascii="Arial" w:hAnsi="Arial" w:cs="Arial"/>
          <w:sz w:val="24"/>
          <w:szCs w:val="24"/>
        </w:rPr>
        <w:t xml:space="preserve">1278. Available at: </w:t>
      </w:r>
      <w:hyperlink r:id="rId130" w:history="1">
        <w:r w:rsidR="002066C2" w:rsidRPr="001C55C5">
          <w:rPr>
            <w:rStyle w:val="Hyperlink"/>
            <w:rFonts w:ascii="Arial" w:hAnsi="Arial" w:cs="Arial"/>
            <w:sz w:val="24"/>
            <w:szCs w:val="24"/>
          </w:rPr>
          <w:t>https://www-sciencedirect-</w:t>
        </w:r>
        <w:r w:rsidR="002066C2" w:rsidRPr="001C55C5">
          <w:rPr>
            <w:rStyle w:val="Hyperlink"/>
            <w:rFonts w:ascii="Arial" w:hAnsi="Arial" w:cs="Arial"/>
            <w:sz w:val="24"/>
            <w:szCs w:val="24"/>
          </w:rPr>
          <w:lastRenderedPageBreak/>
          <w:t>com.uwtsd.idm.oclc.org/science/article/pii/S0022103112001369</w:t>
        </w:r>
      </w:hyperlink>
      <w:r w:rsidR="002066C2">
        <w:rPr>
          <w:rFonts w:ascii="Arial" w:hAnsi="Arial" w:cs="Arial"/>
          <w:sz w:val="24"/>
          <w:szCs w:val="24"/>
        </w:rPr>
        <w:t xml:space="preserve"> </w:t>
      </w:r>
      <w:r w:rsidRPr="00E14BE0">
        <w:rPr>
          <w:rFonts w:ascii="Arial" w:hAnsi="Arial" w:cs="Arial"/>
          <w:sz w:val="24"/>
          <w:szCs w:val="24"/>
        </w:rPr>
        <w:t>(Accessed: 19 March 2026).</w:t>
      </w:r>
    </w:p>
    <w:p w14:paraId="72143CC7" w14:textId="7CA427A7" w:rsidR="007C34FD" w:rsidRDefault="007C34FD" w:rsidP="009E58ED">
      <w:pPr>
        <w:spacing w:line="360" w:lineRule="auto"/>
        <w:jc w:val="both"/>
        <w:rPr>
          <w:rFonts w:ascii="Arial" w:hAnsi="Arial" w:cs="Arial"/>
          <w:sz w:val="24"/>
          <w:szCs w:val="24"/>
        </w:rPr>
      </w:pPr>
      <w:r w:rsidRPr="007C34FD">
        <w:rPr>
          <w:rFonts w:ascii="Arial" w:hAnsi="Arial" w:cs="Arial"/>
          <w:sz w:val="24"/>
          <w:szCs w:val="24"/>
        </w:rPr>
        <w:t xml:space="preserve">Devira, M., and Westin, E. (2021) 'A Genre and Appraisal Analysis of Critical Review Texts in Academic Writing </w:t>
      </w:r>
      <w:r w:rsidRPr="007C34FD">
        <w:rPr>
          <w:rFonts w:ascii="Arial" w:hAnsi="Arial" w:cs="Arial"/>
          <w:sz w:val="24"/>
          <w:szCs w:val="24"/>
        </w:rPr>
        <w:t>from</w:t>
      </w:r>
      <w:r w:rsidRPr="007C34FD">
        <w:rPr>
          <w:rFonts w:ascii="Arial" w:hAnsi="Arial" w:cs="Arial"/>
          <w:sz w:val="24"/>
          <w:szCs w:val="24"/>
        </w:rPr>
        <w:t xml:space="preserve"> a Systemic Functional Linguistic Perspective', Journal of Research in Applied Linguistics, 12(2), pp. 22-36. Available at: </w:t>
      </w:r>
      <w:hyperlink r:id="rId131" w:history="1">
        <w:r w:rsidRPr="005C7CBD">
          <w:rPr>
            <w:rStyle w:val="Hyperlink"/>
            <w:rFonts w:ascii="Arial" w:hAnsi="Arial" w:cs="Arial"/>
            <w:sz w:val="24"/>
            <w:szCs w:val="24"/>
          </w:rPr>
          <w:t>https://journals.scu.ac.ir/article_17007_b39b8e45eb0a208a18438adc209c3902.pdf</w:t>
        </w:r>
      </w:hyperlink>
      <w:r>
        <w:rPr>
          <w:rFonts w:ascii="Arial" w:hAnsi="Arial" w:cs="Arial"/>
          <w:sz w:val="24"/>
          <w:szCs w:val="24"/>
        </w:rPr>
        <w:t xml:space="preserve"> </w:t>
      </w:r>
      <w:r w:rsidRPr="007C34FD">
        <w:rPr>
          <w:rFonts w:ascii="Arial" w:hAnsi="Arial" w:cs="Arial"/>
          <w:sz w:val="24"/>
          <w:szCs w:val="24"/>
        </w:rPr>
        <w:t>(Accessed: 8 March 2026).</w:t>
      </w:r>
    </w:p>
    <w:p w14:paraId="076F29CD" w14:textId="24673201" w:rsidR="00F647FB" w:rsidRDefault="00F647FB" w:rsidP="009E58ED">
      <w:pPr>
        <w:spacing w:line="360" w:lineRule="auto"/>
        <w:jc w:val="both"/>
        <w:rPr>
          <w:rFonts w:ascii="Arial" w:hAnsi="Arial" w:cs="Arial"/>
          <w:sz w:val="24"/>
          <w:szCs w:val="24"/>
        </w:rPr>
      </w:pPr>
      <w:r w:rsidRPr="00F647FB">
        <w:rPr>
          <w:rFonts w:ascii="Arial" w:hAnsi="Arial" w:cs="Arial"/>
          <w:sz w:val="24"/>
          <w:szCs w:val="24"/>
        </w:rPr>
        <w:t>Devonport, T., Ward, G., Morrissey, H., Burt, C., Harris, J., Burt, S., Patel, R., Manning, R., Paredes, R., and Nicholls, W. (2022)</w:t>
      </w:r>
      <w:r w:rsidR="00EC4380">
        <w:rPr>
          <w:rFonts w:ascii="Arial" w:hAnsi="Arial" w:cs="Arial"/>
          <w:sz w:val="24"/>
          <w:szCs w:val="24"/>
        </w:rPr>
        <w:t>.</w:t>
      </w:r>
      <w:r w:rsidRPr="00F647FB">
        <w:rPr>
          <w:rFonts w:ascii="Arial" w:hAnsi="Arial" w:cs="Arial"/>
          <w:sz w:val="24"/>
          <w:szCs w:val="24"/>
        </w:rPr>
        <w:t xml:space="preserve"> 'A Systematic Review of Inequalities in the Mental Health Experiences of Black African, Black Caribbean and Black-mixed UK Populations: Implications for Action', Journal of Racial and Ethnic Health Disparities, 10, pp. 1669</w:t>
      </w:r>
      <w:r w:rsidR="00EC4380">
        <w:rPr>
          <w:rFonts w:ascii="Arial" w:hAnsi="Arial" w:cs="Arial"/>
          <w:sz w:val="24"/>
          <w:szCs w:val="24"/>
        </w:rPr>
        <w:t>–</w:t>
      </w:r>
      <w:r w:rsidRPr="00F647FB">
        <w:rPr>
          <w:rFonts w:ascii="Arial" w:hAnsi="Arial" w:cs="Arial"/>
          <w:sz w:val="24"/>
          <w:szCs w:val="24"/>
        </w:rPr>
        <w:t xml:space="preserve">1681. Available at: </w:t>
      </w:r>
      <w:hyperlink r:id="rId132" w:history="1">
        <w:r w:rsidR="00EC4380" w:rsidRPr="007D0B0F">
          <w:rPr>
            <w:rStyle w:val="Hyperlink"/>
            <w:rFonts w:ascii="Arial" w:hAnsi="Arial" w:cs="Arial"/>
            <w:sz w:val="24"/>
            <w:szCs w:val="24"/>
          </w:rPr>
          <w:t>https://link.springer.com/article/10.1007/s40615-022-01352-0</w:t>
        </w:r>
      </w:hyperlink>
      <w:r w:rsidR="00EC4380">
        <w:rPr>
          <w:rFonts w:ascii="Arial" w:hAnsi="Arial" w:cs="Arial"/>
          <w:sz w:val="24"/>
          <w:szCs w:val="24"/>
        </w:rPr>
        <w:t xml:space="preserve"> </w:t>
      </w:r>
      <w:r w:rsidRPr="00F647FB">
        <w:rPr>
          <w:rFonts w:ascii="Arial" w:hAnsi="Arial" w:cs="Arial"/>
          <w:sz w:val="24"/>
          <w:szCs w:val="24"/>
        </w:rPr>
        <w:t>(Accessed: 29 March 2026).</w:t>
      </w:r>
    </w:p>
    <w:p w14:paraId="27F0A26E" w14:textId="006D2B50" w:rsidR="00BF2599" w:rsidRDefault="00BF2599" w:rsidP="009E58ED">
      <w:pPr>
        <w:spacing w:line="360" w:lineRule="auto"/>
        <w:jc w:val="both"/>
        <w:rPr>
          <w:rFonts w:ascii="Arial" w:hAnsi="Arial" w:cs="Arial"/>
          <w:sz w:val="24"/>
          <w:szCs w:val="24"/>
        </w:rPr>
      </w:pPr>
      <w:r w:rsidRPr="00BF2599">
        <w:rPr>
          <w:rFonts w:ascii="Arial" w:hAnsi="Arial" w:cs="Arial"/>
          <w:sz w:val="24"/>
          <w:szCs w:val="24"/>
        </w:rPr>
        <w:t>DiAngelo, R. (2011)</w:t>
      </w:r>
      <w:r>
        <w:rPr>
          <w:rFonts w:ascii="Arial" w:hAnsi="Arial" w:cs="Arial"/>
          <w:sz w:val="24"/>
          <w:szCs w:val="24"/>
        </w:rPr>
        <w:t>.</w:t>
      </w:r>
      <w:r w:rsidRPr="00BF2599">
        <w:rPr>
          <w:rFonts w:ascii="Arial" w:hAnsi="Arial" w:cs="Arial"/>
          <w:sz w:val="24"/>
          <w:szCs w:val="24"/>
        </w:rPr>
        <w:t xml:space="preserve"> 'White Fragility', International Journal of Critical Pedagogy, 3(3), pp. 54</w:t>
      </w:r>
      <w:r>
        <w:rPr>
          <w:rFonts w:ascii="Arial" w:hAnsi="Arial" w:cs="Arial"/>
          <w:sz w:val="24"/>
          <w:szCs w:val="24"/>
        </w:rPr>
        <w:t>–</w:t>
      </w:r>
      <w:r w:rsidRPr="00BF2599">
        <w:rPr>
          <w:rFonts w:ascii="Arial" w:hAnsi="Arial" w:cs="Arial"/>
          <w:sz w:val="24"/>
          <w:szCs w:val="24"/>
        </w:rPr>
        <w:t xml:space="preserve">70. Available at: </w:t>
      </w:r>
      <w:hyperlink r:id="rId133" w:history="1">
        <w:r w:rsidRPr="007D0B0F">
          <w:rPr>
            <w:rStyle w:val="Hyperlink"/>
            <w:rFonts w:ascii="Arial" w:hAnsi="Arial" w:cs="Arial"/>
            <w:sz w:val="24"/>
            <w:szCs w:val="24"/>
          </w:rPr>
          <w:t>https://waynenorthey.com/wp-content/uploads/2017/11/WhiteFragilityDiAngelo-2011.pdf</w:t>
        </w:r>
      </w:hyperlink>
      <w:r>
        <w:rPr>
          <w:rFonts w:ascii="Arial" w:hAnsi="Arial" w:cs="Arial"/>
          <w:sz w:val="24"/>
          <w:szCs w:val="24"/>
        </w:rPr>
        <w:t xml:space="preserve"> </w:t>
      </w:r>
      <w:r w:rsidRPr="00BF2599">
        <w:rPr>
          <w:rFonts w:ascii="Arial" w:hAnsi="Arial" w:cs="Arial"/>
          <w:sz w:val="24"/>
          <w:szCs w:val="24"/>
        </w:rPr>
        <w:t>(Accessed: 26 March 2026).</w:t>
      </w:r>
    </w:p>
    <w:p w14:paraId="47E93C4F" w14:textId="106511B3" w:rsidR="00752CE6" w:rsidRDefault="00752CE6" w:rsidP="009E58ED">
      <w:pPr>
        <w:spacing w:line="360" w:lineRule="auto"/>
        <w:jc w:val="both"/>
        <w:rPr>
          <w:rFonts w:ascii="Arial" w:hAnsi="Arial" w:cs="Arial"/>
          <w:sz w:val="24"/>
          <w:szCs w:val="24"/>
        </w:rPr>
      </w:pPr>
      <w:r w:rsidRPr="00752CE6">
        <w:rPr>
          <w:rFonts w:ascii="Arial" w:hAnsi="Arial" w:cs="Arial"/>
          <w:sz w:val="24"/>
          <w:szCs w:val="24"/>
        </w:rPr>
        <w:t>Dick, C. (2020)</w:t>
      </w:r>
      <w:r w:rsidR="004736F2">
        <w:rPr>
          <w:rFonts w:ascii="Arial" w:hAnsi="Arial" w:cs="Arial"/>
          <w:sz w:val="24"/>
          <w:szCs w:val="24"/>
        </w:rPr>
        <w:t>.</w:t>
      </w:r>
      <w:r w:rsidRPr="00752CE6">
        <w:rPr>
          <w:rFonts w:ascii="Arial" w:hAnsi="Arial" w:cs="Arial"/>
          <w:sz w:val="24"/>
          <w:szCs w:val="24"/>
        </w:rPr>
        <w:t xml:space="preserve"> 'Cressida Dick: We owe it to grieving mothers to end the scourge of violent crime', </w:t>
      </w:r>
      <w:r w:rsidRPr="00752CE6">
        <w:rPr>
          <w:rFonts w:ascii="Arial" w:hAnsi="Arial" w:cs="Arial"/>
          <w:i/>
          <w:iCs/>
          <w:sz w:val="24"/>
          <w:szCs w:val="24"/>
        </w:rPr>
        <w:t>The Standard,</w:t>
      </w:r>
      <w:r w:rsidRPr="00752CE6">
        <w:rPr>
          <w:rFonts w:ascii="Arial" w:hAnsi="Arial" w:cs="Arial"/>
          <w:sz w:val="24"/>
          <w:szCs w:val="24"/>
        </w:rPr>
        <w:t xml:space="preserve"> 3 January. Available at: </w:t>
      </w:r>
      <w:hyperlink r:id="rId134" w:history="1">
        <w:r w:rsidRPr="007D0B0F">
          <w:rPr>
            <w:rStyle w:val="Hyperlink"/>
            <w:rFonts w:ascii="Arial" w:hAnsi="Arial" w:cs="Arial"/>
            <w:sz w:val="24"/>
            <w:szCs w:val="24"/>
          </w:rPr>
          <w:t>https://www.standard.co.uk/comment/comment/cressida-dick-violent-crime-a4325816.html</w:t>
        </w:r>
      </w:hyperlink>
      <w:r>
        <w:rPr>
          <w:rFonts w:ascii="Arial" w:hAnsi="Arial" w:cs="Arial"/>
          <w:sz w:val="24"/>
          <w:szCs w:val="24"/>
        </w:rPr>
        <w:t xml:space="preserve"> </w:t>
      </w:r>
      <w:r w:rsidRPr="00752CE6">
        <w:rPr>
          <w:rFonts w:ascii="Arial" w:hAnsi="Arial" w:cs="Arial"/>
          <w:sz w:val="24"/>
          <w:szCs w:val="24"/>
        </w:rPr>
        <w:t>(Accessed: 22 March 2026).</w:t>
      </w:r>
    </w:p>
    <w:p w14:paraId="4907D808" w14:textId="22025927" w:rsidR="000721A5" w:rsidRDefault="000721A5" w:rsidP="009E58ED">
      <w:pPr>
        <w:spacing w:line="360" w:lineRule="auto"/>
        <w:jc w:val="both"/>
        <w:rPr>
          <w:rFonts w:ascii="Arial" w:hAnsi="Arial" w:cs="Arial"/>
          <w:sz w:val="24"/>
          <w:szCs w:val="24"/>
        </w:rPr>
      </w:pPr>
      <w:r w:rsidRPr="000721A5">
        <w:rPr>
          <w:rFonts w:ascii="Arial" w:hAnsi="Arial" w:cs="Arial"/>
          <w:sz w:val="24"/>
          <w:szCs w:val="24"/>
        </w:rPr>
        <w:t>Dodd, V. (2019)</w:t>
      </w:r>
      <w:r w:rsidR="004736F2">
        <w:rPr>
          <w:rFonts w:ascii="Arial" w:hAnsi="Arial" w:cs="Arial"/>
          <w:sz w:val="24"/>
          <w:szCs w:val="24"/>
        </w:rPr>
        <w:t>.</w:t>
      </w:r>
      <w:r w:rsidRPr="000721A5">
        <w:rPr>
          <w:rFonts w:ascii="Arial" w:hAnsi="Arial" w:cs="Arial"/>
          <w:sz w:val="24"/>
          <w:szCs w:val="24"/>
        </w:rPr>
        <w:t xml:space="preserve"> 'Number of homicides in London climbs to 10-year high', </w:t>
      </w:r>
      <w:r w:rsidRPr="000721A5">
        <w:rPr>
          <w:rFonts w:ascii="Arial" w:hAnsi="Arial" w:cs="Arial"/>
          <w:i/>
          <w:iCs/>
          <w:sz w:val="24"/>
          <w:szCs w:val="24"/>
        </w:rPr>
        <w:t>The Guardian</w:t>
      </w:r>
      <w:r w:rsidRPr="000721A5">
        <w:rPr>
          <w:rFonts w:ascii="Arial" w:hAnsi="Arial" w:cs="Arial"/>
          <w:sz w:val="24"/>
          <w:szCs w:val="24"/>
        </w:rPr>
        <w:t xml:space="preserve">, 31 December. Available at: </w:t>
      </w:r>
      <w:hyperlink r:id="rId135" w:history="1">
        <w:r w:rsidR="00F92E7C" w:rsidRPr="007D0B0F">
          <w:rPr>
            <w:rStyle w:val="Hyperlink"/>
            <w:rFonts w:ascii="Arial" w:hAnsi="Arial" w:cs="Arial"/>
            <w:sz w:val="24"/>
            <w:szCs w:val="24"/>
          </w:rPr>
          <w:t>https://www.theguardian.com/uk-news/2019/dec/31/number-of-homicides-in-london-climbs-to-10-year-high</w:t>
        </w:r>
      </w:hyperlink>
      <w:r w:rsidR="00F92E7C">
        <w:rPr>
          <w:rFonts w:ascii="Arial" w:hAnsi="Arial" w:cs="Arial"/>
          <w:sz w:val="24"/>
          <w:szCs w:val="24"/>
        </w:rPr>
        <w:t xml:space="preserve"> </w:t>
      </w:r>
      <w:r w:rsidRPr="000721A5">
        <w:rPr>
          <w:rFonts w:ascii="Arial" w:hAnsi="Arial" w:cs="Arial"/>
          <w:sz w:val="24"/>
          <w:szCs w:val="24"/>
        </w:rPr>
        <w:t>(Accessed: 22 March 2026).</w:t>
      </w:r>
    </w:p>
    <w:p w14:paraId="69E3F918" w14:textId="6C9F006F" w:rsidR="00991C75" w:rsidRDefault="00991C75" w:rsidP="009E58ED">
      <w:pPr>
        <w:spacing w:line="360" w:lineRule="auto"/>
        <w:jc w:val="both"/>
        <w:rPr>
          <w:rFonts w:ascii="Arial" w:hAnsi="Arial" w:cs="Arial"/>
          <w:sz w:val="24"/>
          <w:szCs w:val="24"/>
        </w:rPr>
      </w:pPr>
      <w:proofErr w:type="spellStart"/>
      <w:r w:rsidRPr="00991C75">
        <w:rPr>
          <w:rFonts w:ascii="Arial" w:hAnsi="Arial" w:cs="Arial"/>
          <w:sz w:val="24"/>
          <w:szCs w:val="24"/>
        </w:rPr>
        <w:t>Domboka</w:t>
      </w:r>
      <w:proofErr w:type="spellEnd"/>
      <w:r w:rsidRPr="00991C75">
        <w:rPr>
          <w:rFonts w:ascii="Arial" w:hAnsi="Arial" w:cs="Arial"/>
          <w:sz w:val="24"/>
          <w:szCs w:val="24"/>
        </w:rPr>
        <w:t>, T. (2013)</w:t>
      </w:r>
      <w:r>
        <w:rPr>
          <w:rFonts w:ascii="Arial" w:hAnsi="Arial" w:cs="Arial"/>
          <w:sz w:val="24"/>
          <w:szCs w:val="24"/>
        </w:rPr>
        <w:t>.</w:t>
      </w:r>
      <w:r w:rsidRPr="00991C75">
        <w:rPr>
          <w:rFonts w:ascii="Arial" w:hAnsi="Arial" w:cs="Arial"/>
          <w:sz w:val="24"/>
          <w:szCs w:val="24"/>
        </w:rPr>
        <w:t xml:space="preserve"> 'The Entrepreneurial Experiences of 1st Generation Migrant Black African</w:t>
      </w:r>
      <w:r>
        <w:rPr>
          <w:rFonts w:ascii="Arial" w:hAnsi="Arial" w:cs="Arial"/>
          <w:sz w:val="24"/>
          <w:szCs w:val="24"/>
        </w:rPr>
        <w:t xml:space="preserve"> </w:t>
      </w:r>
      <w:r w:rsidRPr="00991C75">
        <w:rPr>
          <w:rFonts w:ascii="Arial" w:hAnsi="Arial" w:cs="Arial"/>
          <w:sz w:val="24"/>
          <w:szCs w:val="24"/>
        </w:rPr>
        <w:t>Female Entrepreneurs in Britain', Journal of Business Diversity, 13(1/2), pp. 40</w:t>
      </w:r>
      <w:r>
        <w:rPr>
          <w:rFonts w:ascii="Arial" w:hAnsi="Arial" w:cs="Arial"/>
          <w:sz w:val="24"/>
          <w:szCs w:val="24"/>
        </w:rPr>
        <w:t>–</w:t>
      </w:r>
      <w:r w:rsidRPr="00991C75">
        <w:rPr>
          <w:rFonts w:ascii="Arial" w:hAnsi="Arial" w:cs="Arial"/>
          <w:sz w:val="24"/>
          <w:szCs w:val="24"/>
        </w:rPr>
        <w:t xml:space="preserve">51. Available at:  </w:t>
      </w:r>
      <w:hyperlink r:id="rId136" w:history="1">
        <w:r w:rsidRPr="007D0B0F">
          <w:rPr>
            <w:rStyle w:val="Hyperlink"/>
            <w:rFonts w:ascii="Arial" w:hAnsi="Arial" w:cs="Arial"/>
            <w:sz w:val="24"/>
            <w:szCs w:val="24"/>
          </w:rPr>
          <w:t>https://d1wqtxts1xzle7.cloudfront.net/73264817/DombokaTT_Web13_1__2_-libre.pdf?1634802667=&amp;response-content-disposition=inline%3B+filename%3DThe_Entrepreneurial_Experiences_of_1st_G.pdf&amp;Expires=1775769678&amp;Signature=UFrp8k35FMs2mSucJk-mhxTx42AxKvzF6yN2Xyzaw6edoVg-VnUulebqgn8cHbvHfwq~9saRJde48~NldOYl1jULOxrJG83gX1tUVi5Fo3h~~f~4oxqkuC3ccMsENQ9hYcSdrnHRkFs4IMCx5~xhBtQ0PyG5FpAZhxfxZmeWNazCsNdMDAHpyB-LRiZuMyyt8Nmu32n4pvXWccdWrzxSPpKuU7GZbRsTw2Q~PDzlV2A6NbLOGQEwahEJpCcQGcyDkfEgos2JqRcOkGf~DBSV8Cqjrc3zk7XK4verVr~ZtZ4uBr4P9fW6I~11xWfoQIpM7or~846ze1ri6NVXZUg9LA__&amp;Key-Pair-Id=APKAJLOHF5GGSLRBV4ZA</w:t>
        </w:r>
      </w:hyperlink>
      <w:r>
        <w:rPr>
          <w:rFonts w:ascii="Arial" w:hAnsi="Arial" w:cs="Arial"/>
          <w:sz w:val="24"/>
          <w:szCs w:val="24"/>
        </w:rPr>
        <w:t xml:space="preserve"> </w:t>
      </w:r>
      <w:r w:rsidRPr="00991C75">
        <w:rPr>
          <w:rFonts w:ascii="Arial" w:hAnsi="Arial" w:cs="Arial"/>
          <w:sz w:val="24"/>
          <w:szCs w:val="24"/>
        </w:rPr>
        <w:t xml:space="preserve"> (Accessed: 28 March 2026).</w:t>
      </w:r>
    </w:p>
    <w:p w14:paraId="1A31739A" w14:textId="4F35ABF3" w:rsidR="00365F9C" w:rsidRDefault="00365F9C" w:rsidP="009E58ED">
      <w:pPr>
        <w:spacing w:line="360" w:lineRule="auto"/>
        <w:jc w:val="both"/>
        <w:rPr>
          <w:rFonts w:ascii="Arial" w:hAnsi="Arial" w:cs="Arial"/>
          <w:sz w:val="24"/>
          <w:szCs w:val="24"/>
        </w:rPr>
      </w:pPr>
      <w:r w:rsidRPr="00365F9C">
        <w:rPr>
          <w:rFonts w:ascii="Arial" w:hAnsi="Arial" w:cs="Arial"/>
          <w:sz w:val="24"/>
          <w:szCs w:val="24"/>
        </w:rPr>
        <w:t>Drydakis, N. (2018)</w:t>
      </w:r>
      <w:r>
        <w:rPr>
          <w:rFonts w:ascii="Arial" w:hAnsi="Arial" w:cs="Arial"/>
          <w:sz w:val="24"/>
          <w:szCs w:val="24"/>
        </w:rPr>
        <w:t>.</w:t>
      </w:r>
      <w:r w:rsidRPr="00365F9C">
        <w:rPr>
          <w:rFonts w:ascii="Arial" w:hAnsi="Arial" w:cs="Arial"/>
          <w:sz w:val="24"/>
          <w:szCs w:val="24"/>
        </w:rPr>
        <w:t xml:space="preserve"> Economic Pluralism in the Study of Wage Discrimination: A Note. IZA DP No. 11293. IZA – Institute of Labor Economics Available at:</w:t>
      </w:r>
      <w:r>
        <w:rPr>
          <w:rFonts w:ascii="Arial" w:hAnsi="Arial" w:cs="Arial"/>
          <w:sz w:val="24"/>
          <w:szCs w:val="24"/>
        </w:rPr>
        <w:t xml:space="preserve"> </w:t>
      </w:r>
      <w:r w:rsidRPr="00365F9C">
        <w:rPr>
          <w:rFonts w:ascii="Arial" w:hAnsi="Arial" w:cs="Arial"/>
          <w:sz w:val="24"/>
          <w:szCs w:val="24"/>
        </w:rPr>
        <w:t xml:space="preserve"> </w:t>
      </w:r>
      <w:r w:rsidR="00574F90" w:rsidRPr="00574F90">
        <w:rPr>
          <w:rFonts w:ascii="Arial" w:hAnsi="Arial" w:cs="Arial"/>
          <w:sz w:val="24"/>
          <w:szCs w:val="24"/>
        </w:rPr>
        <w:t>https://download.ssrn.com/iza/dp11293.pdf?response-content-disposition=inline&amp;X-Amz-Security-Token=IQoJb3JpZ2luX2VjEA8aCXVzLWVhc3QtMSJGMEQCIEjqaSLn3laGuYwG7R4YTb4K0P0XdSCduEFE3i%2Bb8XCFAiAHdRMHwWFDLGwAIE2vJEmkJFC1dxyRi2bHCvDhVpAYWSrGBQjY%2F%2F%2F%2F%2F%2F%2F%2F%2F%2F8BEAQaDDMwODQ3NTMwMTI1NyIMumwMwZLUf%2By1kCclKpoFvtevqfuNtSMkFrzL8v4zFJf%2FiA3%2FLdrr1uQM6NSjCNLXjb1ZUKF1AohmJ5e5GT6ZHlieTyuXdV5st9qy7U24y0kspBvHez8JVoTrZ4JvT7uWbS%2BL2nSpbTmU3kRVwHUTsmjm7vpx0d9zJEysYoJYUJV63v4kChVsCpWQlYscw8ar7iBy8NC3KYehClYIbOg6xD1TneADJPlfPg3iwM0si%2Fv5II8c91aRq6ntidjedXhoMPUUVswNL505svCxuvumTHZx4nCNFnvl2hrNCEpQSmzKr0akUDgcaqaveyRULtnxnwzvxwSh68pEt3M8QzcbCMZ3f1HV%2FmizBjXcdPcXBzmOPy3MFg8ZeakXXTQ1HFurcekkyE9MHF1m1jq2Wo37rcVtmz6gIWKM7JNksIX%2FvpK8UEJTgdUCkMVssem8MeITGcY89MEm2iGX2wI%2FEw8Xfq2l%2BYaTC9BYFHP0FplFmZWKv1BPlc7rLwOZQFMGSpZYNgAnsVKX6LYDiXqC8D%2FZiKRyhkmoP%2BZePq0hz2HRsquoRWeTtvoPOf68AR9phMEDc8rmkSey8UsHPeVq5Yeh8inVqonp35Fcsrr49eGrzW%2BBalSoi4chPow5tCOXvQO9S1L5eOqYXdJYEoZ%2F</w:t>
      </w:r>
      <w:r w:rsidR="00574F90" w:rsidRPr="00574F90">
        <w:rPr>
          <w:rFonts w:ascii="Arial" w:hAnsi="Arial" w:cs="Arial"/>
          <w:sz w:val="24"/>
          <w:szCs w:val="24"/>
        </w:rPr>
        <w:lastRenderedPageBreak/>
        <w:t>ORNPGl%2BGb2uhulkKvoO7df3E6w0d6c3UTCt5dlRRYA4vF5LbtoDaK26mOl5SGQ6csU%2B4WQFTrcF7PfBv5agxlhnuhO5I1%2BLtBGyB8nlFPPPigc8gU1hhcGiZOfpmukEMzneo6ius%2B76S4ByrwQKM6EC5fDW3QQ%2FR5Zt2pFPAetY4oCvgK1Xz5Hv3zHdsZDcLosYWYY0XFjkHRNEpV2vQxInDhr4U6igf2%2BzDCONTdlM1Y%2FZ270hiA2CAObaGMOL00M4GOrIBAoJwl0NmBAA0L2IkgJZ%2B4Gz8KUeJa7%2BM65zLW35ory0k%2FKVprtjApLMTslbJHEeGxUyDsebCrWYMF7i6oTkQTh%2Firiz6M2P0lW5S0YWK6YPnUgxYPF6rUY4%2FUaYMX2j3gzyH%2FcamPUUVgmkntyemBbo2h2%2BwddZc0SgnwF6%2Fw0Su7A5WpUpNeTuFQFP3ePo0uxAm5x6X4uzNRevlQV%2BK5Uj3Usi5JNNe%2BQpn%2BlSjBftSPg%3D%3D&amp;X-Amz-Algorithm=AWS4-HMAC-SHA256&amp;X-Amz-Date=20260407T000649Z&amp;X-Amz-SignedHeaders=host&amp;X-Amz-Expires=300&amp;X-Amz-Credential=ASIAUPUUPRWEWSDXABIN%2F20260407%2Fus-east-1%2Fs3%2Faws4_request&amp;X-Amz-Signature=779faa647430201379263e33b8beb7636992dbab933dce8fdf256fc02daea26a&amp;abstractId=3117297</w:t>
      </w:r>
      <w:r w:rsidR="00991C75">
        <w:rPr>
          <w:rFonts w:ascii="Arial" w:hAnsi="Arial" w:cs="Arial"/>
          <w:sz w:val="24"/>
          <w:szCs w:val="24"/>
        </w:rPr>
        <w:t xml:space="preserve"> </w:t>
      </w:r>
      <w:r w:rsidRPr="00365F9C">
        <w:rPr>
          <w:rFonts w:ascii="Arial" w:hAnsi="Arial" w:cs="Arial"/>
          <w:sz w:val="24"/>
          <w:szCs w:val="24"/>
        </w:rPr>
        <w:t>Accessed: 25 March 2026).</w:t>
      </w:r>
    </w:p>
    <w:p w14:paraId="40B53F39" w14:textId="38C29478" w:rsidR="00545127" w:rsidRDefault="00545127" w:rsidP="009E58ED">
      <w:pPr>
        <w:spacing w:line="360" w:lineRule="auto"/>
        <w:jc w:val="both"/>
        <w:rPr>
          <w:rFonts w:ascii="Arial" w:hAnsi="Arial" w:cs="Arial"/>
          <w:sz w:val="24"/>
          <w:szCs w:val="24"/>
        </w:rPr>
      </w:pPr>
      <w:r w:rsidRPr="00545127">
        <w:rPr>
          <w:rFonts w:ascii="Arial" w:hAnsi="Arial" w:cs="Arial"/>
          <w:sz w:val="24"/>
          <w:szCs w:val="24"/>
        </w:rPr>
        <w:t>Dustmann, C., Frattini, T., Theodoropoulos, N. (2011)</w:t>
      </w:r>
      <w:r>
        <w:rPr>
          <w:rFonts w:ascii="Arial" w:hAnsi="Arial" w:cs="Arial"/>
          <w:sz w:val="24"/>
          <w:szCs w:val="24"/>
        </w:rPr>
        <w:t>.</w:t>
      </w:r>
      <w:r w:rsidRPr="00545127">
        <w:rPr>
          <w:rFonts w:ascii="Arial" w:hAnsi="Arial" w:cs="Arial"/>
          <w:sz w:val="24"/>
          <w:szCs w:val="24"/>
        </w:rPr>
        <w:t xml:space="preserve"> 'Ethnicity and Second-Generation Immigrants', in P. Gregg, J. Wadsworth Surname (eds.), The Labour Market in Winter: The State of Working Britain. Oxford, pp. 1</w:t>
      </w:r>
      <w:r>
        <w:rPr>
          <w:rFonts w:ascii="Arial" w:hAnsi="Arial" w:cs="Arial"/>
          <w:sz w:val="24"/>
          <w:szCs w:val="24"/>
        </w:rPr>
        <w:t>–</w:t>
      </w:r>
      <w:r w:rsidRPr="00545127">
        <w:rPr>
          <w:rFonts w:ascii="Arial" w:hAnsi="Arial" w:cs="Arial"/>
          <w:sz w:val="24"/>
          <w:szCs w:val="24"/>
        </w:rPr>
        <w:t xml:space="preserve">20. Available at: </w:t>
      </w:r>
      <w:hyperlink r:id="rId137" w:history="1">
        <w:r w:rsidRPr="007D0B0F">
          <w:rPr>
            <w:rStyle w:val="Hyperlink"/>
            <w:rFonts w:ascii="Arial" w:hAnsi="Arial" w:cs="Arial"/>
            <w:sz w:val="24"/>
            <w:szCs w:val="24"/>
          </w:rPr>
          <w:t>https://www.homepages.ucl.ac.uk/~uctpb21/Cpapers/Ethn_2gen_revision_C1.pdf</w:t>
        </w:r>
      </w:hyperlink>
      <w:r>
        <w:rPr>
          <w:rFonts w:ascii="Arial" w:hAnsi="Arial" w:cs="Arial"/>
          <w:sz w:val="24"/>
          <w:szCs w:val="24"/>
        </w:rPr>
        <w:t xml:space="preserve"> </w:t>
      </w:r>
      <w:r w:rsidRPr="00545127">
        <w:rPr>
          <w:rFonts w:ascii="Arial" w:hAnsi="Arial" w:cs="Arial"/>
          <w:sz w:val="24"/>
          <w:szCs w:val="24"/>
        </w:rPr>
        <w:t>(Accessed: 25 March 2026).</w:t>
      </w:r>
    </w:p>
    <w:p w14:paraId="318F29F5" w14:textId="5B511703" w:rsidR="006342B3" w:rsidRDefault="006342B3" w:rsidP="009E58ED">
      <w:pPr>
        <w:spacing w:line="360" w:lineRule="auto"/>
        <w:jc w:val="both"/>
        <w:rPr>
          <w:rFonts w:ascii="Arial" w:hAnsi="Arial" w:cs="Arial"/>
          <w:sz w:val="24"/>
          <w:szCs w:val="24"/>
        </w:rPr>
      </w:pPr>
      <w:r w:rsidRPr="006342B3">
        <w:rPr>
          <w:rFonts w:ascii="Arial" w:hAnsi="Arial" w:cs="Arial"/>
          <w:sz w:val="24"/>
          <w:szCs w:val="24"/>
        </w:rPr>
        <w:t>Dustmann, C., and Theodoropoulos, N. (2010)</w:t>
      </w:r>
      <w:r>
        <w:rPr>
          <w:rFonts w:ascii="Arial" w:hAnsi="Arial" w:cs="Arial"/>
          <w:sz w:val="24"/>
          <w:szCs w:val="24"/>
        </w:rPr>
        <w:t>.</w:t>
      </w:r>
      <w:r w:rsidRPr="006342B3">
        <w:rPr>
          <w:rFonts w:ascii="Arial" w:hAnsi="Arial" w:cs="Arial"/>
          <w:sz w:val="24"/>
          <w:szCs w:val="24"/>
        </w:rPr>
        <w:t xml:space="preserve"> 'Ethnic minority immigrants and their children in Britain', Oxford Economic Papers, 62(2), pp. 209-233. Available at: </w:t>
      </w:r>
      <w:hyperlink r:id="rId138" w:history="1">
        <w:r w:rsidRPr="007D0B0F">
          <w:rPr>
            <w:rStyle w:val="Hyperlink"/>
            <w:rFonts w:ascii="Arial" w:hAnsi="Arial" w:cs="Arial"/>
            <w:sz w:val="24"/>
            <w:szCs w:val="24"/>
          </w:rPr>
          <w:t>https://academic-oup-com.uwtsd.idm.oclc.org/oep/article/62/2/209/2362144?login=true&amp;token=eyJhbGciOiJub25lIn0.eyJleHAiOjE3NzgxMDY3NzMsImp0aSI6ImUzMDA3NWQwLTg5MGQtNGZiNi1iZGVmLTIxMmQzYzM2MDQ4ZiJ9</w:t>
        </w:r>
      </w:hyperlink>
      <w:r w:rsidRPr="006342B3">
        <w:rPr>
          <w:rFonts w:ascii="Arial" w:hAnsi="Arial" w:cs="Arial"/>
          <w:sz w:val="24"/>
          <w:szCs w:val="24"/>
        </w:rPr>
        <w:t>.</w:t>
      </w:r>
      <w:r>
        <w:rPr>
          <w:rFonts w:ascii="Arial" w:hAnsi="Arial" w:cs="Arial"/>
          <w:sz w:val="24"/>
          <w:szCs w:val="24"/>
        </w:rPr>
        <w:t xml:space="preserve"> </w:t>
      </w:r>
      <w:r w:rsidRPr="006342B3">
        <w:rPr>
          <w:rFonts w:ascii="Arial" w:hAnsi="Arial" w:cs="Arial"/>
          <w:sz w:val="24"/>
          <w:szCs w:val="24"/>
        </w:rPr>
        <w:t>(Accessed: 25 March 2026).</w:t>
      </w:r>
    </w:p>
    <w:p w14:paraId="0C6E5F4A" w14:textId="667AC6F8" w:rsidR="00063973" w:rsidRDefault="00063973" w:rsidP="009E58ED">
      <w:pPr>
        <w:spacing w:line="360" w:lineRule="auto"/>
        <w:jc w:val="both"/>
        <w:rPr>
          <w:rFonts w:ascii="Arial" w:hAnsi="Arial" w:cs="Arial"/>
          <w:sz w:val="24"/>
          <w:szCs w:val="24"/>
        </w:rPr>
      </w:pPr>
      <w:r w:rsidRPr="00063973">
        <w:rPr>
          <w:rFonts w:ascii="Arial" w:hAnsi="Arial" w:cs="Arial"/>
          <w:sz w:val="24"/>
          <w:szCs w:val="24"/>
        </w:rPr>
        <w:t xml:space="preserve">Dweck, C. (2008). Transforming Students’ Motivation to Learn. Available at: </w:t>
      </w:r>
      <w:hyperlink r:id="rId139" w:history="1">
        <w:r w:rsidRPr="001C55C5">
          <w:rPr>
            <w:rStyle w:val="Hyperlink"/>
            <w:rFonts w:ascii="Arial" w:hAnsi="Arial" w:cs="Arial"/>
            <w:sz w:val="24"/>
            <w:szCs w:val="24"/>
          </w:rPr>
          <w:t>https://www.studeersnel.nl/nl/document/wageningen-university-research/get-a-grip-on-your-studies/mindset-carol-dweck-article-2008-transforming-students-motivation-to-learn/6637074L</w:t>
        </w:r>
      </w:hyperlink>
      <w:r>
        <w:rPr>
          <w:rFonts w:ascii="Arial" w:hAnsi="Arial" w:cs="Arial"/>
          <w:sz w:val="24"/>
          <w:szCs w:val="24"/>
        </w:rPr>
        <w:t xml:space="preserve"> </w:t>
      </w:r>
      <w:r w:rsidRPr="00063973">
        <w:rPr>
          <w:rFonts w:ascii="Arial" w:hAnsi="Arial" w:cs="Arial"/>
          <w:sz w:val="24"/>
          <w:szCs w:val="24"/>
        </w:rPr>
        <w:t>(Accessed: 19 March 2026).</w:t>
      </w:r>
    </w:p>
    <w:p w14:paraId="14C74A70" w14:textId="29C8336C" w:rsidR="001C7457" w:rsidRDefault="001C7457" w:rsidP="009E58ED">
      <w:pPr>
        <w:spacing w:line="360" w:lineRule="auto"/>
        <w:jc w:val="both"/>
        <w:rPr>
          <w:rFonts w:ascii="Arial" w:hAnsi="Arial" w:cs="Arial"/>
          <w:sz w:val="24"/>
          <w:szCs w:val="24"/>
        </w:rPr>
      </w:pPr>
      <w:r w:rsidRPr="001C7457">
        <w:rPr>
          <w:rFonts w:ascii="Arial" w:hAnsi="Arial" w:cs="Arial"/>
          <w:sz w:val="24"/>
          <w:szCs w:val="24"/>
        </w:rPr>
        <w:lastRenderedPageBreak/>
        <w:t>Dyer, J., and Gilbert, S. (2019)</w:t>
      </w:r>
      <w:r w:rsidR="00C8260E">
        <w:rPr>
          <w:rFonts w:ascii="Arial" w:hAnsi="Arial" w:cs="Arial"/>
          <w:sz w:val="24"/>
          <w:szCs w:val="24"/>
        </w:rPr>
        <w:t>.</w:t>
      </w:r>
      <w:r w:rsidRPr="001C7457">
        <w:rPr>
          <w:rFonts w:ascii="Arial" w:hAnsi="Arial" w:cs="Arial"/>
          <w:sz w:val="24"/>
          <w:szCs w:val="24"/>
        </w:rPr>
        <w:t xml:space="preserve"> Independent Review of the Mental Health Act 1983: supporting</w:t>
      </w:r>
      <w:r>
        <w:rPr>
          <w:rFonts w:ascii="Arial" w:hAnsi="Arial" w:cs="Arial"/>
          <w:sz w:val="24"/>
          <w:szCs w:val="24"/>
        </w:rPr>
        <w:t xml:space="preserve"> </w:t>
      </w:r>
      <w:r w:rsidRPr="001C7457">
        <w:rPr>
          <w:rFonts w:ascii="Arial" w:hAnsi="Arial" w:cs="Arial"/>
          <w:sz w:val="24"/>
          <w:szCs w:val="24"/>
        </w:rPr>
        <w:t>documents: Mental Health Act Review African and Caribbean Group - final report to the</w:t>
      </w:r>
      <w:r w:rsidR="00C8260E">
        <w:rPr>
          <w:rFonts w:ascii="Arial" w:hAnsi="Arial" w:cs="Arial"/>
          <w:sz w:val="24"/>
          <w:szCs w:val="24"/>
        </w:rPr>
        <w:t xml:space="preserve"> </w:t>
      </w:r>
      <w:r w:rsidRPr="001C7457">
        <w:rPr>
          <w:rFonts w:ascii="Arial" w:hAnsi="Arial" w:cs="Arial"/>
          <w:sz w:val="24"/>
          <w:szCs w:val="24"/>
        </w:rPr>
        <w:t xml:space="preserve">review chair. Available at: </w:t>
      </w:r>
      <w:hyperlink r:id="rId140" w:history="1">
        <w:r w:rsidR="00C8260E" w:rsidRPr="007D0B0F">
          <w:rPr>
            <w:rStyle w:val="Hyperlink"/>
            <w:rFonts w:ascii="Arial" w:hAnsi="Arial" w:cs="Arial"/>
            <w:sz w:val="24"/>
            <w:szCs w:val="24"/>
          </w:rPr>
          <w:t>https://assets.publishing.service.gov.uk/media/5c6596e140f0b676df6e4746/Independent_Review_of_the_Mental_Health_Act_1983_-_supporting_documents.pdf</w:t>
        </w:r>
      </w:hyperlink>
      <w:r w:rsidR="00C8260E">
        <w:rPr>
          <w:rFonts w:ascii="Arial" w:hAnsi="Arial" w:cs="Arial"/>
          <w:sz w:val="24"/>
          <w:szCs w:val="24"/>
        </w:rPr>
        <w:t xml:space="preserve"> </w:t>
      </w:r>
      <w:r w:rsidRPr="001C7457">
        <w:rPr>
          <w:rFonts w:ascii="Arial" w:hAnsi="Arial" w:cs="Arial"/>
          <w:sz w:val="24"/>
          <w:szCs w:val="24"/>
        </w:rPr>
        <w:t>(Accessed: 29 March 2026).</w:t>
      </w:r>
    </w:p>
    <w:p w14:paraId="7E9EA9F6" w14:textId="1640F515" w:rsidR="0066464A" w:rsidRDefault="0066464A" w:rsidP="009E58ED">
      <w:pPr>
        <w:spacing w:line="360" w:lineRule="auto"/>
        <w:jc w:val="both"/>
        <w:rPr>
          <w:rFonts w:ascii="Arial" w:hAnsi="Arial" w:cs="Arial"/>
          <w:sz w:val="24"/>
          <w:szCs w:val="24"/>
        </w:rPr>
      </w:pPr>
      <w:r w:rsidRPr="0066464A">
        <w:rPr>
          <w:rFonts w:ascii="Arial" w:hAnsi="Arial" w:cs="Arial"/>
          <w:sz w:val="24"/>
          <w:szCs w:val="24"/>
        </w:rPr>
        <w:t>Eby, L., Allen, T., Evans, S., Ng, T., and DuBois, D. (2008)</w:t>
      </w:r>
      <w:r w:rsidR="004736F2">
        <w:rPr>
          <w:rFonts w:ascii="Arial" w:hAnsi="Arial" w:cs="Arial"/>
          <w:sz w:val="24"/>
          <w:szCs w:val="24"/>
        </w:rPr>
        <w:t>.</w:t>
      </w:r>
      <w:r w:rsidRPr="0066464A">
        <w:rPr>
          <w:rFonts w:ascii="Arial" w:hAnsi="Arial" w:cs="Arial"/>
          <w:sz w:val="24"/>
          <w:szCs w:val="24"/>
        </w:rPr>
        <w:t xml:space="preserve"> 'Does Mentoring Matter? A Multidisciplinary Meta-Analysis Comparing Mentored and Non-Mentored Individuals', </w:t>
      </w:r>
      <w:r w:rsidRPr="0066464A">
        <w:rPr>
          <w:rFonts w:ascii="Arial" w:hAnsi="Arial" w:cs="Arial"/>
          <w:i/>
          <w:iCs/>
          <w:sz w:val="24"/>
          <w:szCs w:val="24"/>
        </w:rPr>
        <w:t xml:space="preserve">Journal of Vocational </w:t>
      </w:r>
      <w:proofErr w:type="spellStart"/>
      <w:r w:rsidRPr="0066464A">
        <w:rPr>
          <w:rFonts w:ascii="Arial" w:hAnsi="Arial" w:cs="Arial"/>
          <w:i/>
          <w:iCs/>
          <w:sz w:val="24"/>
          <w:szCs w:val="24"/>
        </w:rPr>
        <w:t>Behavior</w:t>
      </w:r>
      <w:proofErr w:type="spellEnd"/>
      <w:r w:rsidRPr="0066464A">
        <w:rPr>
          <w:rFonts w:ascii="Arial" w:hAnsi="Arial" w:cs="Arial"/>
          <w:sz w:val="24"/>
          <w:szCs w:val="24"/>
        </w:rPr>
        <w:t>, 72(2), pp. 254</w:t>
      </w:r>
      <w:r w:rsidR="004736F2">
        <w:rPr>
          <w:rFonts w:ascii="Arial" w:hAnsi="Arial" w:cs="Arial"/>
          <w:sz w:val="24"/>
          <w:szCs w:val="24"/>
        </w:rPr>
        <w:t>–</w:t>
      </w:r>
      <w:r w:rsidRPr="0066464A">
        <w:rPr>
          <w:rFonts w:ascii="Arial" w:hAnsi="Arial" w:cs="Arial"/>
          <w:sz w:val="24"/>
          <w:szCs w:val="24"/>
        </w:rPr>
        <w:t xml:space="preserve">267. Available at: </w:t>
      </w:r>
      <w:hyperlink r:id="rId141" w:history="1">
        <w:r w:rsidRPr="00FB3832">
          <w:rPr>
            <w:rStyle w:val="Hyperlink"/>
            <w:rFonts w:ascii="Arial" w:hAnsi="Arial" w:cs="Arial"/>
            <w:sz w:val="24"/>
            <w:szCs w:val="24"/>
          </w:rPr>
          <w:t>https://www-sciencedirect-com.uwtsd.idm.oclc.org/science/article/pii/S0001879107000401</w:t>
        </w:r>
      </w:hyperlink>
      <w:r>
        <w:rPr>
          <w:rFonts w:ascii="Arial" w:hAnsi="Arial" w:cs="Arial"/>
          <w:sz w:val="24"/>
          <w:szCs w:val="24"/>
        </w:rPr>
        <w:t xml:space="preserve"> </w:t>
      </w:r>
      <w:r w:rsidRPr="0066464A">
        <w:rPr>
          <w:rFonts w:ascii="Arial" w:hAnsi="Arial" w:cs="Arial"/>
          <w:sz w:val="24"/>
          <w:szCs w:val="24"/>
        </w:rPr>
        <w:t>(Accessed: 21 March 2026).</w:t>
      </w:r>
    </w:p>
    <w:p w14:paraId="7D9E104A" w14:textId="502096FA" w:rsidR="00C95223" w:rsidRDefault="00C95223" w:rsidP="009E58ED">
      <w:pPr>
        <w:spacing w:line="360" w:lineRule="auto"/>
        <w:jc w:val="both"/>
        <w:rPr>
          <w:rFonts w:ascii="Arial" w:hAnsi="Arial" w:cs="Arial"/>
          <w:sz w:val="24"/>
          <w:szCs w:val="24"/>
        </w:rPr>
      </w:pPr>
      <w:r w:rsidRPr="00C95223">
        <w:rPr>
          <w:rFonts w:ascii="Arial" w:hAnsi="Arial" w:cs="Arial"/>
          <w:sz w:val="24"/>
          <w:szCs w:val="24"/>
        </w:rPr>
        <w:t>Edge, D., and Grey, P. (2018)</w:t>
      </w:r>
      <w:r>
        <w:rPr>
          <w:rFonts w:ascii="Arial" w:hAnsi="Arial" w:cs="Arial"/>
          <w:sz w:val="24"/>
          <w:szCs w:val="24"/>
        </w:rPr>
        <w:t>.</w:t>
      </w:r>
      <w:r w:rsidRPr="00C95223">
        <w:rPr>
          <w:rFonts w:ascii="Arial" w:hAnsi="Arial" w:cs="Arial"/>
          <w:sz w:val="24"/>
          <w:szCs w:val="24"/>
        </w:rPr>
        <w:t xml:space="preserve"> 'An Assets-Based Approach to Co-Producing a Culturally Adapted Family Intervention (</w:t>
      </w:r>
      <w:proofErr w:type="spellStart"/>
      <w:r w:rsidRPr="00C95223">
        <w:rPr>
          <w:rFonts w:ascii="Arial" w:hAnsi="Arial" w:cs="Arial"/>
          <w:sz w:val="24"/>
          <w:szCs w:val="24"/>
        </w:rPr>
        <w:t>CaFI</w:t>
      </w:r>
      <w:proofErr w:type="spellEnd"/>
      <w:r w:rsidRPr="00C95223">
        <w:rPr>
          <w:rFonts w:ascii="Arial" w:hAnsi="Arial" w:cs="Arial"/>
          <w:sz w:val="24"/>
          <w:szCs w:val="24"/>
        </w:rPr>
        <w:t>) with African Caribbeans Diagnosed with Schizophrenia and Their Families', Ethnicity and Disease, 28(2), pp. 485</w:t>
      </w:r>
      <w:r>
        <w:rPr>
          <w:rFonts w:ascii="Arial" w:hAnsi="Arial" w:cs="Arial"/>
          <w:sz w:val="24"/>
          <w:szCs w:val="24"/>
        </w:rPr>
        <w:t>–</w:t>
      </w:r>
      <w:r w:rsidRPr="00C95223">
        <w:rPr>
          <w:rFonts w:ascii="Arial" w:hAnsi="Arial" w:cs="Arial"/>
          <w:sz w:val="24"/>
          <w:szCs w:val="24"/>
        </w:rPr>
        <w:t xml:space="preserve">492. Available at: </w:t>
      </w:r>
      <w:hyperlink r:id="rId142" w:history="1">
        <w:r w:rsidRPr="007D0B0F">
          <w:rPr>
            <w:rStyle w:val="Hyperlink"/>
            <w:rFonts w:ascii="Arial" w:hAnsi="Arial" w:cs="Arial"/>
            <w:sz w:val="24"/>
            <w:szCs w:val="24"/>
          </w:rPr>
          <w:t>https://www.ethndis.org/supplementarchive/files/ethndis-28-485.pdf</w:t>
        </w:r>
      </w:hyperlink>
      <w:r>
        <w:rPr>
          <w:rFonts w:ascii="Arial" w:hAnsi="Arial" w:cs="Arial"/>
          <w:sz w:val="24"/>
          <w:szCs w:val="24"/>
        </w:rPr>
        <w:t xml:space="preserve"> </w:t>
      </w:r>
      <w:r w:rsidRPr="00C95223">
        <w:rPr>
          <w:rFonts w:ascii="Arial" w:hAnsi="Arial" w:cs="Arial"/>
          <w:sz w:val="24"/>
          <w:szCs w:val="24"/>
        </w:rPr>
        <w:t>(Accessed: 30 March 2026).</w:t>
      </w:r>
    </w:p>
    <w:p w14:paraId="0FA979EF" w14:textId="43D14E55" w:rsidR="00D44EA0" w:rsidRDefault="00D44EA0" w:rsidP="009E58ED">
      <w:pPr>
        <w:spacing w:line="360" w:lineRule="auto"/>
        <w:jc w:val="both"/>
        <w:rPr>
          <w:rFonts w:ascii="Arial" w:hAnsi="Arial" w:cs="Arial"/>
          <w:sz w:val="24"/>
          <w:szCs w:val="24"/>
        </w:rPr>
      </w:pPr>
      <w:proofErr w:type="spellStart"/>
      <w:r w:rsidRPr="00D44EA0">
        <w:rPr>
          <w:rFonts w:ascii="Arial" w:hAnsi="Arial" w:cs="Arial"/>
          <w:sz w:val="24"/>
          <w:szCs w:val="24"/>
        </w:rPr>
        <w:t>Ekwulugo</w:t>
      </w:r>
      <w:proofErr w:type="spellEnd"/>
      <w:r w:rsidRPr="00D44EA0">
        <w:rPr>
          <w:rFonts w:ascii="Arial" w:hAnsi="Arial" w:cs="Arial"/>
          <w:sz w:val="24"/>
          <w:szCs w:val="24"/>
        </w:rPr>
        <w:t>, F. (2006)</w:t>
      </w:r>
      <w:r>
        <w:rPr>
          <w:rFonts w:ascii="Arial" w:hAnsi="Arial" w:cs="Arial"/>
          <w:sz w:val="24"/>
          <w:szCs w:val="24"/>
        </w:rPr>
        <w:t>.</w:t>
      </w:r>
      <w:r w:rsidRPr="00D44EA0">
        <w:rPr>
          <w:rFonts w:ascii="Arial" w:hAnsi="Arial" w:cs="Arial"/>
          <w:sz w:val="24"/>
          <w:szCs w:val="24"/>
        </w:rPr>
        <w:t xml:space="preserve"> 'Entrepreneurship and SMEs in London (UK): Evaluating the role of black Africans in this emergent sector', The Journal of Management Development, 25(1), pp. 65</w:t>
      </w:r>
      <w:r>
        <w:rPr>
          <w:rFonts w:ascii="Arial" w:hAnsi="Arial" w:cs="Arial"/>
          <w:sz w:val="24"/>
          <w:szCs w:val="24"/>
        </w:rPr>
        <w:t>–</w:t>
      </w:r>
      <w:r w:rsidRPr="00D44EA0">
        <w:rPr>
          <w:rFonts w:ascii="Arial" w:hAnsi="Arial" w:cs="Arial"/>
          <w:sz w:val="24"/>
          <w:szCs w:val="24"/>
        </w:rPr>
        <w:t xml:space="preserve">79. Available at: </w:t>
      </w:r>
      <w:hyperlink r:id="rId143" w:history="1">
        <w:r w:rsidRPr="007D0B0F">
          <w:rPr>
            <w:rStyle w:val="Hyperlink"/>
            <w:rFonts w:ascii="Arial" w:hAnsi="Arial" w:cs="Arial"/>
            <w:sz w:val="24"/>
            <w:szCs w:val="24"/>
          </w:rPr>
          <w:t>https://www.proquest.com/docview/216356912?accountid=130472&amp;parentSessionId=JZRJ%2BbdzzWw4aneG7A66SQIuIMWGdw57Vs%2B7%2BkzHGYo%3D&amp;pq-origsite=primo&amp;sourcetype=Scholarly%20Journals</w:t>
        </w:r>
      </w:hyperlink>
      <w:r>
        <w:rPr>
          <w:rFonts w:ascii="Arial" w:hAnsi="Arial" w:cs="Arial"/>
          <w:sz w:val="24"/>
          <w:szCs w:val="24"/>
        </w:rPr>
        <w:t xml:space="preserve"> </w:t>
      </w:r>
      <w:r w:rsidRPr="00D44EA0">
        <w:rPr>
          <w:rFonts w:ascii="Arial" w:hAnsi="Arial" w:cs="Arial"/>
          <w:sz w:val="24"/>
          <w:szCs w:val="24"/>
        </w:rPr>
        <w:t>(Accessed: 26 March 2026).</w:t>
      </w:r>
    </w:p>
    <w:p w14:paraId="54439CA9" w14:textId="7ADF9DDE" w:rsidR="00B8443B" w:rsidRDefault="00B8443B" w:rsidP="009E58ED">
      <w:pPr>
        <w:spacing w:line="360" w:lineRule="auto"/>
        <w:jc w:val="both"/>
        <w:rPr>
          <w:rFonts w:ascii="Arial" w:hAnsi="Arial" w:cs="Arial"/>
          <w:sz w:val="24"/>
          <w:szCs w:val="24"/>
        </w:rPr>
      </w:pPr>
      <w:r w:rsidRPr="00B8443B">
        <w:rPr>
          <w:rFonts w:ascii="Arial" w:hAnsi="Arial" w:cs="Arial"/>
          <w:sz w:val="24"/>
          <w:szCs w:val="24"/>
        </w:rPr>
        <w:t>Eliacin, J. (2013). 'Social Capital, Narratives of Fragmentation, and Schizophrenia: An Ethnographic Exploration of Factors Shaping African-Caribbeans’ Social Capital and Mental Health in a North London Community', Culture, Medicine, and Psychiatry, 37, pp. 465</w:t>
      </w:r>
      <w:r>
        <w:rPr>
          <w:rFonts w:ascii="Arial" w:hAnsi="Arial" w:cs="Arial"/>
          <w:sz w:val="24"/>
          <w:szCs w:val="24"/>
        </w:rPr>
        <w:t>–</w:t>
      </w:r>
      <w:r w:rsidRPr="00B8443B">
        <w:rPr>
          <w:rFonts w:ascii="Arial" w:hAnsi="Arial" w:cs="Arial"/>
          <w:sz w:val="24"/>
          <w:szCs w:val="24"/>
        </w:rPr>
        <w:t xml:space="preserve">487. Available at: </w:t>
      </w:r>
      <w:hyperlink r:id="rId144" w:history="1">
        <w:r w:rsidRPr="007D0B0F">
          <w:rPr>
            <w:rStyle w:val="Hyperlink"/>
            <w:rFonts w:ascii="Arial" w:hAnsi="Arial" w:cs="Arial"/>
            <w:sz w:val="24"/>
            <w:szCs w:val="24"/>
          </w:rPr>
          <w:t>https://link.springer.com/article/10.1007/s11013-013-9322-2</w:t>
        </w:r>
      </w:hyperlink>
      <w:r>
        <w:rPr>
          <w:rFonts w:ascii="Arial" w:hAnsi="Arial" w:cs="Arial"/>
          <w:sz w:val="24"/>
          <w:szCs w:val="24"/>
        </w:rPr>
        <w:t xml:space="preserve"> </w:t>
      </w:r>
      <w:r w:rsidRPr="00B8443B">
        <w:rPr>
          <w:rFonts w:ascii="Arial" w:hAnsi="Arial" w:cs="Arial"/>
          <w:sz w:val="24"/>
          <w:szCs w:val="24"/>
        </w:rPr>
        <w:t>(Accessed: 30 March 2026).</w:t>
      </w:r>
    </w:p>
    <w:p w14:paraId="30142BE0" w14:textId="58A64B49" w:rsidR="00157CB3" w:rsidRDefault="00157CB3" w:rsidP="009E58ED">
      <w:pPr>
        <w:spacing w:line="360" w:lineRule="auto"/>
        <w:jc w:val="both"/>
        <w:rPr>
          <w:rFonts w:ascii="Arial" w:hAnsi="Arial" w:cs="Arial"/>
          <w:sz w:val="24"/>
          <w:szCs w:val="24"/>
        </w:rPr>
      </w:pPr>
      <w:r w:rsidRPr="00157CB3">
        <w:rPr>
          <w:rFonts w:ascii="Arial" w:hAnsi="Arial" w:cs="Arial"/>
          <w:sz w:val="24"/>
          <w:szCs w:val="24"/>
        </w:rPr>
        <w:lastRenderedPageBreak/>
        <w:t>Equality Challenge Unit (ECU) (2017) </w:t>
      </w:r>
      <w:r w:rsidRPr="00157CB3">
        <w:rPr>
          <w:rFonts w:ascii="Arial" w:hAnsi="Arial" w:cs="Arial"/>
          <w:i/>
          <w:iCs/>
          <w:sz w:val="24"/>
          <w:szCs w:val="24"/>
        </w:rPr>
        <w:t>Equality in higher education: students' statistical report 2017</w:t>
      </w:r>
      <w:r w:rsidRPr="00157CB3">
        <w:rPr>
          <w:rFonts w:ascii="Arial" w:hAnsi="Arial" w:cs="Arial"/>
          <w:sz w:val="24"/>
          <w:szCs w:val="24"/>
        </w:rPr>
        <w:t xml:space="preserve">. Equality Challenge Unit Available at: </w:t>
      </w:r>
      <w:hyperlink r:id="rId145" w:history="1">
        <w:r w:rsidRPr="00FB3832">
          <w:rPr>
            <w:rStyle w:val="Hyperlink"/>
            <w:rFonts w:ascii="Arial" w:hAnsi="Arial" w:cs="Arial"/>
            <w:sz w:val="24"/>
            <w:szCs w:val="24"/>
          </w:rPr>
          <w:t>https://s3.eu-west-2.amazonaws.com/assets.creode.advancehe-document-manager/documents/ecu/Pages%201-30%20Students_report_2017_November2017_1582302426.pdf</w:t>
        </w:r>
      </w:hyperlink>
      <w:r>
        <w:rPr>
          <w:rFonts w:ascii="Arial" w:hAnsi="Arial" w:cs="Arial"/>
          <w:sz w:val="24"/>
          <w:szCs w:val="24"/>
        </w:rPr>
        <w:t xml:space="preserve"> </w:t>
      </w:r>
      <w:r w:rsidRPr="00157CB3">
        <w:rPr>
          <w:rFonts w:ascii="Arial" w:hAnsi="Arial" w:cs="Arial"/>
          <w:sz w:val="24"/>
          <w:szCs w:val="24"/>
        </w:rPr>
        <w:t>(Accessed: 20 March 2026).</w:t>
      </w:r>
    </w:p>
    <w:p w14:paraId="20BFF09F" w14:textId="35BAAF09" w:rsidR="000B0800" w:rsidRDefault="000B0800" w:rsidP="009E58ED">
      <w:pPr>
        <w:spacing w:line="360" w:lineRule="auto"/>
        <w:jc w:val="both"/>
        <w:rPr>
          <w:rFonts w:ascii="Arial" w:hAnsi="Arial" w:cs="Arial"/>
          <w:sz w:val="24"/>
          <w:szCs w:val="24"/>
        </w:rPr>
      </w:pPr>
      <w:r w:rsidRPr="000B0800">
        <w:rPr>
          <w:rFonts w:ascii="Arial" w:hAnsi="Arial" w:cs="Arial"/>
          <w:sz w:val="24"/>
          <w:szCs w:val="24"/>
        </w:rPr>
        <w:t>Equality and Human Rights Commission (2016) Healing a divided Britain: the need for a</w:t>
      </w:r>
      <w:r>
        <w:rPr>
          <w:rFonts w:ascii="Arial" w:hAnsi="Arial" w:cs="Arial"/>
          <w:sz w:val="24"/>
          <w:szCs w:val="24"/>
        </w:rPr>
        <w:t xml:space="preserve"> </w:t>
      </w:r>
      <w:r w:rsidRPr="000B0800">
        <w:rPr>
          <w:rFonts w:ascii="Arial" w:hAnsi="Arial" w:cs="Arial"/>
          <w:sz w:val="24"/>
          <w:szCs w:val="24"/>
        </w:rPr>
        <w:t xml:space="preserve">comprehensive race equality strategy. Equality and Human Rights Commission. Available at: </w:t>
      </w:r>
      <w:hyperlink r:id="rId146" w:history="1">
        <w:r w:rsidRPr="00172D15">
          <w:rPr>
            <w:rStyle w:val="Hyperlink"/>
            <w:rFonts w:ascii="Arial" w:hAnsi="Arial" w:cs="Arial"/>
            <w:sz w:val="24"/>
            <w:szCs w:val="24"/>
          </w:rPr>
          <w:t>https://www.equalityhumanrights.com/sites/default/files/healing_a_divided_britain_-_the_need_for_a_comprehensive_race_equality_strategy_final.pdf</w:t>
        </w:r>
      </w:hyperlink>
      <w:r>
        <w:rPr>
          <w:rFonts w:ascii="Arial" w:hAnsi="Arial" w:cs="Arial"/>
          <w:sz w:val="24"/>
          <w:szCs w:val="24"/>
        </w:rPr>
        <w:t xml:space="preserve"> </w:t>
      </w:r>
      <w:r w:rsidRPr="000B0800">
        <w:rPr>
          <w:rFonts w:ascii="Arial" w:hAnsi="Arial" w:cs="Arial"/>
          <w:sz w:val="24"/>
          <w:szCs w:val="24"/>
        </w:rPr>
        <w:t>(Accessed: 5 April 2026).</w:t>
      </w:r>
    </w:p>
    <w:p w14:paraId="26A784CE" w14:textId="517238F0" w:rsidR="0071302A" w:rsidRDefault="0071302A" w:rsidP="009E58ED">
      <w:pPr>
        <w:spacing w:line="360" w:lineRule="auto"/>
        <w:jc w:val="both"/>
        <w:rPr>
          <w:rFonts w:ascii="Arial" w:hAnsi="Arial" w:cs="Arial"/>
          <w:sz w:val="24"/>
          <w:szCs w:val="24"/>
        </w:rPr>
      </w:pPr>
      <w:r w:rsidRPr="0071302A">
        <w:rPr>
          <w:rFonts w:ascii="Arial" w:hAnsi="Arial" w:cs="Arial"/>
          <w:sz w:val="24"/>
          <w:szCs w:val="24"/>
        </w:rPr>
        <w:t xml:space="preserve">Equality and Human Rights Commission (EHRC) (2019) Racial harassment inquiry: survey of university students. No. 129. Equality and Human Rights Commission. Available at: </w:t>
      </w:r>
      <w:hyperlink r:id="rId147" w:history="1">
        <w:r w:rsidRPr="007D0B0F">
          <w:rPr>
            <w:rStyle w:val="Hyperlink"/>
            <w:rFonts w:ascii="Arial" w:hAnsi="Arial" w:cs="Arial"/>
            <w:sz w:val="24"/>
            <w:szCs w:val="24"/>
          </w:rPr>
          <w:t>https://www.equalityhumanrights.com/sites/default/files/racial-harassment-inquiry-survey-of-university-students.pdf</w:t>
        </w:r>
      </w:hyperlink>
      <w:r>
        <w:rPr>
          <w:rFonts w:ascii="Arial" w:hAnsi="Arial" w:cs="Arial"/>
          <w:sz w:val="24"/>
          <w:szCs w:val="24"/>
        </w:rPr>
        <w:t xml:space="preserve"> </w:t>
      </w:r>
      <w:r w:rsidRPr="0071302A">
        <w:rPr>
          <w:rFonts w:ascii="Arial" w:hAnsi="Arial" w:cs="Arial"/>
          <w:sz w:val="24"/>
          <w:szCs w:val="24"/>
        </w:rPr>
        <w:t>(Accessed: 24 March 2026).</w:t>
      </w:r>
    </w:p>
    <w:p w14:paraId="42A56BCC" w14:textId="633813B4" w:rsidR="006574DD" w:rsidRDefault="006574DD" w:rsidP="009E58ED">
      <w:pPr>
        <w:spacing w:line="360" w:lineRule="auto"/>
        <w:jc w:val="both"/>
        <w:rPr>
          <w:rFonts w:ascii="Arial" w:hAnsi="Arial" w:cs="Arial"/>
          <w:sz w:val="24"/>
          <w:szCs w:val="24"/>
        </w:rPr>
      </w:pPr>
      <w:r w:rsidRPr="006574DD">
        <w:rPr>
          <w:rFonts w:ascii="Arial" w:hAnsi="Arial" w:cs="Arial"/>
          <w:sz w:val="24"/>
          <w:szCs w:val="24"/>
        </w:rPr>
        <w:t>Equality and Human Rights Commission (EHRC) (2019) </w:t>
      </w:r>
      <w:r w:rsidRPr="006574DD">
        <w:rPr>
          <w:rFonts w:ascii="Arial" w:hAnsi="Arial" w:cs="Arial"/>
          <w:i/>
          <w:iCs/>
          <w:sz w:val="24"/>
          <w:szCs w:val="24"/>
        </w:rPr>
        <w:t>Tackling Racial Harassment: Universities challenged</w:t>
      </w:r>
      <w:r w:rsidRPr="006574DD">
        <w:rPr>
          <w:rFonts w:ascii="Arial" w:hAnsi="Arial" w:cs="Arial"/>
          <w:sz w:val="24"/>
          <w:szCs w:val="24"/>
        </w:rPr>
        <w:t>. ISBN 978-1-84206-807-6.  Equality and Human Rights Commission</w:t>
      </w:r>
      <w:r w:rsidR="004736F2">
        <w:rPr>
          <w:rFonts w:ascii="Arial" w:hAnsi="Arial" w:cs="Arial"/>
          <w:sz w:val="24"/>
          <w:szCs w:val="24"/>
        </w:rPr>
        <w:t xml:space="preserve">. </w:t>
      </w:r>
      <w:r w:rsidRPr="006574DD">
        <w:rPr>
          <w:rFonts w:ascii="Arial" w:hAnsi="Arial" w:cs="Arial"/>
          <w:sz w:val="24"/>
          <w:szCs w:val="24"/>
        </w:rPr>
        <w:t xml:space="preserve">Available at: </w:t>
      </w:r>
      <w:hyperlink r:id="rId148" w:history="1">
        <w:r w:rsidR="005A7224" w:rsidRPr="00FB3832">
          <w:rPr>
            <w:rStyle w:val="Hyperlink"/>
            <w:rFonts w:ascii="Arial" w:hAnsi="Arial" w:cs="Arial"/>
            <w:sz w:val="24"/>
            <w:szCs w:val="24"/>
          </w:rPr>
          <w:t>https://www.equalityhumanrights.com/sites/default/files/tackling-racial-harassment-universities-challenged.pdf</w:t>
        </w:r>
      </w:hyperlink>
      <w:r w:rsidR="005A7224">
        <w:rPr>
          <w:rFonts w:ascii="Arial" w:hAnsi="Arial" w:cs="Arial"/>
          <w:sz w:val="24"/>
          <w:szCs w:val="24"/>
        </w:rPr>
        <w:t xml:space="preserve"> </w:t>
      </w:r>
      <w:r w:rsidRPr="006574DD">
        <w:rPr>
          <w:rFonts w:ascii="Arial" w:hAnsi="Arial" w:cs="Arial"/>
          <w:sz w:val="24"/>
          <w:szCs w:val="24"/>
        </w:rPr>
        <w:t>(Accessed: 21 March 2026).</w:t>
      </w:r>
    </w:p>
    <w:p w14:paraId="6115ECEC" w14:textId="4E26516F" w:rsidR="005E18BD" w:rsidRDefault="005E18BD" w:rsidP="009E58ED">
      <w:pPr>
        <w:spacing w:line="360" w:lineRule="auto"/>
        <w:jc w:val="both"/>
        <w:rPr>
          <w:rFonts w:ascii="Arial" w:hAnsi="Arial" w:cs="Arial"/>
          <w:sz w:val="24"/>
          <w:szCs w:val="24"/>
        </w:rPr>
      </w:pPr>
      <w:proofErr w:type="spellStart"/>
      <w:r w:rsidRPr="005E18BD">
        <w:rPr>
          <w:rFonts w:ascii="Arial" w:hAnsi="Arial" w:cs="Arial"/>
          <w:sz w:val="24"/>
          <w:szCs w:val="24"/>
        </w:rPr>
        <w:t>Fairle</w:t>
      </w:r>
      <w:proofErr w:type="spellEnd"/>
      <w:r w:rsidRPr="005E18BD">
        <w:rPr>
          <w:rFonts w:ascii="Arial" w:hAnsi="Arial" w:cs="Arial"/>
          <w:sz w:val="24"/>
          <w:szCs w:val="24"/>
        </w:rPr>
        <w:t xml:space="preserve">, R., and Robb, A. (2008). Race and Entrepreneurial Success: Black, Asian, and White Owned Businesses in the United States. Available at: </w:t>
      </w:r>
      <w:hyperlink r:id="rId149" w:history="1">
        <w:r w:rsidRPr="007D0B0F">
          <w:rPr>
            <w:rStyle w:val="Hyperlink"/>
            <w:rFonts w:ascii="Arial" w:hAnsi="Arial" w:cs="Arial"/>
            <w:sz w:val="24"/>
            <w:szCs w:val="24"/>
          </w:rPr>
          <w:t>https://www.researchgate.net/profile/Alicia-Robb-2/publication/227458439_Race_and_Entrepreneurial_Success_Black-_Asian-_and_White-Owned_Businesses_in_the_United_States/links/00463527833ccc0038000000/Race-and-Entrepreneurial-Success-Black-Asian-and-White-Owned-Businesses-in-the-United-States.pdf</w:t>
        </w:r>
      </w:hyperlink>
      <w:r>
        <w:rPr>
          <w:rFonts w:ascii="Arial" w:hAnsi="Arial" w:cs="Arial"/>
          <w:sz w:val="24"/>
          <w:szCs w:val="24"/>
        </w:rPr>
        <w:t xml:space="preserve"> </w:t>
      </w:r>
      <w:r w:rsidRPr="005E18BD">
        <w:rPr>
          <w:rFonts w:ascii="Arial" w:hAnsi="Arial" w:cs="Arial"/>
          <w:sz w:val="24"/>
          <w:szCs w:val="24"/>
        </w:rPr>
        <w:t>(Accessed: 28 March 2026).</w:t>
      </w:r>
    </w:p>
    <w:p w14:paraId="0B83BE1C" w14:textId="62DE92D2" w:rsidR="00167FBC" w:rsidRDefault="00167FBC" w:rsidP="009E58ED">
      <w:pPr>
        <w:spacing w:line="360" w:lineRule="auto"/>
        <w:jc w:val="both"/>
        <w:rPr>
          <w:rFonts w:ascii="Arial" w:hAnsi="Arial" w:cs="Arial"/>
          <w:sz w:val="24"/>
          <w:szCs w:val="24"/>
        </w:rPr>
      </w:pPr>
      <w:r w:rsidRPr="00167FBC">
        <w:rPr>
          <w:rFonts w:ascii="Arial" w:hAnsi="Arial" w:cs="Arial"/>
          <w:sz w:val="24"/>
          <w:szCs w:val="24"/>
        </w:rPr>
        <w:lastRenderedPageBreak/>
        <w:t>Fairlie, R., Robb, A. (2007). 'Why Are Black-Owned Businesses Less Successful than White-Owned Businesses? The Role of Families, Inheritances, and Business Human Capital', Journal of Labor Economics, 25(2), pp.289</w:t>
      </w:r>
      <w:r>
        <w:rPr>
          <w:rFonts w:ascii="Arial" w:hAnsi="Arial" w:cs="Arial"/>
          <w:sz w:val="24"/>
          <w:szCs w:val="24"/>
        </w:rPr>
        <w:t>–</w:t>
      </w:r>
      <w:r w:rsidRPr="00167FBC">
        <w:rPr>
          <w:rFonts w:ascii="Arial" w:hAnsi="Arial" w:cs="Arial"/>
          <w:sz w:val="24"/>
          <w:szCs w:val="24"/>
        </w:rPr>
        <w:t xml:space="preserve">323. Available at: </w:t>
      </w:r>
      <w:hyperlink r:id="rId150" w:history="1">
        <w:r w:rsidRPr="007D0B0F">
          <w:rPr>
            <w:rStyle w:val="Hyperlink"/>
            <w:rFonts w:ascii="Arial" w:hAnsi="Arial" w:cs="Arial"/>
            <w:sz w:val="24"/>
            <w:szCs w:val="24"/>
          </w:rPr>
          <w:t>https://rfairlie.sites.luskin.ucla.edu/wp-content/uploads/sites/32/2022/08/jole-2007-blackbusiness-1.pdf</w:t>
        </w:r>
      </w:hyperlink>
      <w:r>
        <w:rPr>
          <w:rFonts w:ascii="Arial" w:hAnsi="Arial" w:cs="Arial"/>
          <w:sz w:val="24"/>
          <w:szCs w:val="24"/>
        </w:rPr>
        <w:t xml:space="preserve"> </w:t>
      </w:r>
      <w:r w:rsidRPr="00167FBC">
        <w:rPr>
          <w:rFonts w:ascii="Arial" w:hAnsi="Arial" w:cs="Arial"/>
          <w:sz w:val="24"/>
          <w:szCs w:val="24"/>
        </w:rPr>
        <w:t>(Accessed: 28 March 2026).</w:t>
      </w:r>
    </w:p>
    <w:p w14:paraId="395C02F7" w14:textId="7629C06D" w:rsidR="00AD270E" w:rsidRDefault="00AD270E" w:rsidP="009E58ED">
      <w:pPr>
        <w:spacing w:line="360" w:lineRule="auto"/>
        <w:jc w:val="both"/>
        <w:rPr>
          <w:rFonts w:ascii="Arial" w:hAnsi="Arial" w:cs="Arial"/>
          <w:sz w:val="24"/>
          <w:szCs w:val="24"/>
        </w:rPr>
      </w:pPr>
      <w:r w:rsidRPr="00AD270E">
        <w:rPr>
          <w:rFonts w:ascii="Arial" w:hAnsi="Arial" w:cs="Arial"/>
          <w:sz w:val="24"/>
          <w:szCs w:val="24"/>
        </w:rPr>
        <w:t>Farkas, G. (2003)</w:t>
      </w:r>
      <w:r w:rsidR="004736F2">
        <w:rPr>
          <w:rFonts w:ascii="Arial" w:hAnsi="Arial" w:cs="Arial"/>
          <w:sz w:val="24"/>
          <w:szCs w:val="24"/>
        </w:rPr>
        <w:t>.</w:t>
      </w:r>
      <w:r w:rsidRPr="00AD270E">
        <w:rPr>
          <w:rFonts w:ascii="Arial" w:hAnsi="Arial" w:cs="Arial"/>
          <w:sz w:val="24"/>
          <w:szCs w:val="24"/>
        </w:rPr>
        <w:t xml:space="preserve"> 'Racial Disparities and Discrimination in Education: What Do We Know, How Do We Know It, and What Do We Need to Know?', Teachers College Record: The Voice of Scholarship in Education, 105(6), pp. 1119</w:t>
      </w:r>
      <w:r w:rsidR="004736F2">
        <w:rPr>
          <w:rFonts w:ascii="Arial" w:hAnsi="Arial" w:cs="Arial"/>
          <w:sz w:val="24"/>
          <w:szCs w:val="24"/>
        </w:rPr>
        <w:t>–</w:t>
      </w:r>
      <w:r w:rsidRPr="00AD270E">
        <w:rPr>
          <w:rFonts w:ascii="Arial" w:hAnsi="Arial" w:cs="Arial"/>
          <w:sz w:val="24"/>
          <w:szCs w:val="24"/>
        </w:rPr>
        <w:t xml:space="preserve">1146. Available at: </w:t>
      </w:r>
      <w:hyperlink r:id="rId151" w:history="1">
        <w:r w:rsidRPr="002F0426">
          <w:rPr>
            <w:rStyle w:val="Hyperlink"/>
            <w:rFonts w:ascii="Arial" w:hAnsi="Arial" w:cs="Arial"/>
            <w:sz w:val="24"/>
            <w:szCs w:val="24"/>
          </w:rPr>
          <w:t>https://journals.sagepub.com/doi/epdf/10.1177/016146810310500606</w:t>
        </w:r>
      </w:hyperlink>
      <w:r>
        <w:rPr>
          <w:rFonts w:ascii="Arial" w:hAnsi="Arial" w:cs="Arial"/>
          <w:sz w:val="24"/>
          <w:szCs w:val="24"/>
        </w:rPr>
        <w:t xml:space="preserve"> </w:t>
      </w:r>
      <w:r w:rsidRPr="00AD270E">
        <w:rPr>
          <w:rFonts w:ascii="Arial" w:hAnsi="Arial" w:cs="Arial"/>
          <w:sz w:val="24"/>
          <w:szCs w:val="24"/>
        </w:rPr>
        <w:t>(Accessed: 17 March 2026).</w:t>
      </w:r>
    </w:p>
    <w:p w14:paraId="7AF13318" w14:textId="5B28E0D0" w:rsidR="00781E58" w:rsidRDefault="00781E58" w:rsidP="009E58ED">
      <w:pPr>
        <w:spacing w:line="360" w:lineRule="auto"/>
        <w:jc w:val="both"/>
        <w:rPr>
          <w:rFonts w:ascii="Arial" w:hAnsi="Arial" w:cs="Arial"/>
          <w:sz w:val="24"/>
          <w:szCs w:val="24"/>
        </w:rPr>
      </w:pPr>
      <w:r w:rsidRPr="00781E58">
        <w:rPr>
          <w:rFonts w:ascii="Arial" w:hAnsi="Arial" w:cs="Arial"/>
          <w:sz w:val="24"/>
          <w:szCs w:val="24"/>
        </w:rPr>
        <w:t xml:space="preserve">Federation of Small Businesses (FSB) (2020). Unlocking Opportunity: The Value of Ethnic Minority Firms to UK Economic Activity and Enterprise. FSB Available at: </w:t>
      </w:r>
      <w:hyperlink r:id="rId152" w:history="1">
        <w:r w:rsidRPr="007D0B0F">
          <w:rPr>
            <w:rStyle w:val="Hyperlink"/>
            <w:rFonts w:ascii="Arial" w:hAnsi="Arial" w:cs="Arial"/>
            <w:sz w:val="24"/>
            <w:szCs w:val="24"/>
          </w:rPr>
          <w:t>https://www.enterpriseresearch.ac.uk/wp-content/uploads/2020/07/Unlocking-Opportunity_FSB-Report-.2020.pdf</w:t>
        </w:r>
      </w:hyperlink>
      <w:r>
        <w:rPr>
          <w:rFonts w:ascii="Arial" w:hAnsi="Arial" w:cs="Arial"/>
          <w:sz w:val="24"/>
          <w:szCs w:val="24"/>
        </w:rPr>
        <w:t xml:space="preserve"> </w:t>
      </w:r>
      <w:r w:rsidRPr="00781E58">
        <w:rPr>
          <w:rFonts w:ascii="Arial" w:hAnsi="Arial" w:cs="Arial"/>
          <w:sz w:val="24"/>
          <w:szCs w:val="24"/>
        </w:rPr>
        <w:t>(Accessed: 26 March 2026).</w:t>
      </w:r>
    </w:p>
    <w:p w14:paraId="04759B06" w14:textId="46E89551" w:rsidR="00C13C24" w:rsidRDefault="00C13C24" w:rsidP="009E58ED">
      <w:pPr>
        <w:spacing w:line="360" w:lineRule="auto"/>
        <w:jc w:val="both"/>
        <w:rPr>
          <w:rFonts w:ascii="Arial" w:hAnsi="Arial" w:cs="Arial"/>
          <w:sz w:val="24"/>
          <w:szCs w:val="24"/>
        </w:rPr>
      </w:pPr>
      <w:r w:rsidRPr="00C13C24">
        <w:rPr>
          <w:rFonts w:ascii="Arial" w:hAnsi="Arial" w:cs="Arial"/>
          <w:sz w:val="24"/>
          <w:szCs w:val="24"/>
        </w:rPr>
        <w:t>Fekete, L. (2020). </w:t>
      </w:r>
      <w:r w:rsidRPr="00C13C24">
        <w:rPr>
          <w:rFonts w:ascii="Arial" w:hAnsi="Arial" w:cs="Arial"/>
          <w:i/>
          <w:iCs/>
          <w:sz w:val="24"/>
          <w:szCs w:val="24"/>
        </w:rPr>
        <w:t>How Black Working-Class Youth Are Criminalised and Excluded in the English School System: A London Case Study</w:t>
      </w:r>
      <w:r w:rsidRPr="00C13C24">
        <w:rPr>
          <w:rFonts w:ascii="Arial" w:hAnsi="Arial" w:cs="Arial"/>
          <w:sz w:val="24"/>
          <w:szCs w:val="24"/>
        </w:rPr>
        <w:t xml:space="preserve">. The Institute of Race Relations. Available at: </w:t>
      </w:r>
      <w:hyperlink r:id="rId153" w:history="1">
        <w:r w:rsidRPr="007D0B0F">
          <w:rPr>
            <w:rStyle w:val="Hyperlink"/>
            <w:rFonts w:ascii="Arial" w:hAnsi="Arial" w:cs="Arial"/>
            <w:sz w:val="24"/>
            <w:szCs w:val="24"/>
          </w:rPr>
          <w:t>https://irr.org.uk/wp-content/uploads/2020/09/How-Black-Working-Class-Youth-are-Criminalised-and-Excluded-in-the-English-School-System.pdf</w:t>
        </w:r>
      </w:hyperlink>
      <w:r>
        <w:rPr>
          <w:rFonts w:ascii="Arial" w:hAnsi="Arial" w:cs="Arial"/>
          <w:sz w:val="24"/>
          <w:szCs w:val="24"/>
        </w:rPr>
        <w:t xml:space="preserve"> </w:t>
      </w:r>
      <w:r w:rsidRPr="00C13C24">
        <w:rPr>
          <w:rFonts w:ascii="Arial" w:hAnsi="Arial" w:cs="Arial"/>
          <w:sz w:val="24"/>
          <w:szCs w:val="24"/>
        </w:rPr>
        <w:t>(Accessed: 23 March 2026).</w:t>
      </w:r>
    </w:p>
    <w:p w14:paraId="30E7AC96" w14:textId="3B0A7FD3" w:rsidR="00D853F0" w:rsidRDefault="00D853F0" w:rsidP="009E58ED">
      <w:pPr>
        <w:spacing w:line="360" w:lineRule="auto"/>
        <w:jc w:val="both"/>
        <w:rPr>
          <w:rFonts w:ascii="Arial" w:hAnsi="Arial" w:cs="Arial"/>
          <w:sz w:val="24"/>
          <w:szCs w:val="24"/>
        </w:rPr>
      </w:pPr>
      <w:r w:rsidRPr="00D853F0">
        <w:rPr>
          <w:rFonts w:ascii="Arial" w:hAnsi="Arial" w:cs="Arial"/>
          <w:sz w:val="24"/>
          <w:szCs w:val="24"/>
        </w:rPr>
        <w:t>Fendt, J. (2025)</w:t>
      </w:r>
      <w:r w:rsidR="004736F2">
        <w:rPr>
          <w:rFonts w:ascii="Arial" w:hAnsi="Arial" w:cs="Arial"/>
          <w:sz w:val="24"/>
          <w:szCs w:val="24"/>
        </w:rPr>
        <w:t>.</w:t>
      </w:r>
      <w:r w:rsidRPr="00D853F0">
        <w:rPr>
          <w:rFonts w:ascii="Arial" w:hAnsi="Arial" w:cs="Arial"/>
          <w:sz w:val="24"/>
          <w:szCs w:val="24"/>
        </w:rPr>
        <w:t xml:space="preserve"> 'Embracing emergence in qualitative meta-analysis: A guide to higher-order synthesis', </w:t>
      </w:r>
      <w:r w:rsidRPr="00D853F0">
        <w:rPr>
          <w:rFonts w:ascii="Arial" w:hAnsi="Arial" w:cs="Arial"/>
          <w:i/>
          <w:iCs/>
          <w:sz w:val="24"/>
          <w:szCs w:val="24"/>
        </w:rPr>
        <w:t>Journal Indexing and Metrics,</w:t>
      </w:r>
      <w:r w:rsidRPr="00D853F0">
        <w:rPr>
          <w:rFonts w:ascii="Arial" w:hAnsi="Arial" w:cs="Arial"/>
          <w:sz w:val="24"/>
          <w:szCs w:val="24"/>
        </w:rPr>
        <w:t> 18(3), pp. 143</w:t>
      </w:r>
      <w:r w:rsidR="004736F2">
        <w:rPr>
          <w:rFonts w:ascii="Arial" w:hAnsi="Arial" w:cs="Arial"/>
          <w:sz w:val="24"/>
          <w:szCs w:val="24"/>
        </w:rPr>
        <w:t>–</w:t>
      </w:r>
      <w:r w:rsidRPr="00D853F0">
        <w:rPr>
          <w:rFonts w:ascii="Arial" w:hAnsi="Arial" w:cs="Arial"/>
          <w:sz w:val="24"/>
          <w:szCs w:val="24"/>
        </w:rPr>
        <w:t xml:space="preserve">167. Available at: </w:t>
      </w:r>
      <w:hyperlink r:id="rId154" w:history="1">
        <w:r w:rsidRPr="00D94FAA">
          <w:rPr>
            <w:rStyle w:val="Hyperlink"/>
            <w:rFonts w:ascii="Arial" w:hAnsi="Arial" w:cs="Arial"/>
            <w:sz w:val="24"/>
            <w:szCs w:val="24"/>
          </w:rPr>
          <w:t>https://journals.sagepub.com/doi/10.1177/20597991251352414</w:t>
        </w:r>
      </w:hyperlink>
      <w:r>
        <w:rPr>
          <w:rFonts w:ascii="Arial" w:hAnsi="Arial" w:cs="Arial"/>
          <w:sz w:val="24"/>
          <w:szCs w:val="24"/>
        </w:rPr>
        <w:t xml:space="preserve"> </w:t>
      </w:r>
      <w:r w:rsidRPr="00D853F0">
        <w:rPr>
          <w:rFonts w:ascii="Arial" w:hAnsi="Arial" w:cs="Arial"/>
          <w:sz w:val="24"/>
          <w:szCs w:val="24"/>
        </w:rPr>
        <w:t>(Accessed: 24 February 2026).</w:t>
      </w:r>
    </w:p>
    <w:p w14:paraId="3C8A8762" w14:textId="5C413C45" w:rsidR="00B61198" w:rsidRDefault="00B61198" w:rsidP="009E58ED">
      <w:pPr>
        <w:spacing w:line="360" w:lineRule="auto"/>
        <w:jc w:val="both"/>
        <w:rPr>
          <w:rFonts w:ascii="Arial" w:hAnsi="Arial" w:cs="Arial"/>
          <w:sz w:val="24"/>
          <w:szCs w:val="24"/>
        </w:rPr>
      </w:pPr>
      <w:r w:rsidRPr="00B61198">
        <w:rPr>
          <w:rFonts w:ascii="Arial" w:hAnsi="Arial" w:cs="Arial"/>
          <w:sz w:val="24"/>
          <w:szCs w:val="24"/>
        </w:rPr>
        <w:t>Ferguson, B., and Scruton, J. (2015)</w:t>
      </w:r>
      <w:r>
        <w:rPr>
          <w:rFonts w:ascii="Arial" w:hAnsi="Arial" w:cs="Arial"/>
          <w:sz w:val="24"/>
          <w:szCs w:val="24"/>
        </w:rPr>
        <w:t>.</w:t>
      </w:r>
      <w:r w:rsidRPr="00B61198">
        <w:rPr>
          <w:rFonts w:ascii="Arial" w:hAnsi="Arial" w:cs="Arial"/>
          <w:sz w:val="24"/>
          <w:szCs w:val="24"/>
        </w:rPr>
        <w:t xml:space="preserve"> 'How do support mechanisms for adult Black and minority ethnic students affect retention, progression and attainment?', Race Equality Teaching, 33(2), pp. 43</w:t>
      </w:r>
      <w:r>
        <w:rPr>
          <w:rFonts w:ascii="Arial" w:hAnsi="Arial" w:cs="Arial"/>
          <w:sz w:val="24"/>
          <w:szCs w:val="24"/>
        </w:rPr>
        <w:t>–</w:t>
      </w:r>
      <w:r w:rsidRPr="00B61198">
        <w:rPr>
          <w:rFonts w:ascii="Arial" w:hAnsi="Arial" w:cs="Arial"/>
          <w:sz w:val="24"/>
          <w:szCs w:val="24"/>
        </w:rPr>
        <w:t xml:space="preserve">46. Available at: </w:t>
      </w:r>
      <w:hyperlink r:id="rId155" w:history="1">
        <w:r w:rsidRPr="007D0B0F">
          <w:rPr>
            <w:rStyle w:val="Hyperlink"/>
            <w:rFonts w:ascii="Arial" w:hAnsi="Arial" w:cs="Arial"/>
            <w:sz w:val="24"/>
            <w:szCs w:val="24"/>
          </w:rPr>
          <w:t>https://research.ebsco.com/c/onvpsy/search/details/nqsf3nt66n?db=eue</w:t>
        </w:r>
      </w:hyperlink>
      <w:r>
        <w:rPr>
          <w:rFonts w:ascii="Arial" w:hAnsi="Arial" w:cs="Arial"/>
          <w:sz w:val="24"/>
          <w:szCs w:val="24"/>
        </w:rPr>
        <w:t xml:space="preserve"> </w:t>
      </w:r>
      <w:r w:rsidRPr="00B61198">
        <w:rPr>
          <w:rFonts w:ascii="Arial" w:hAnsi="Arial" w:cs="Arial"/>
          <w:sz w:val="24"/>
          <w:szCs w:val="24"/>
        </w:rPr>
        <w:t>(Accessed: 24 March 2026).</w:t>
      </w:r>
    </w:p>
    <w:p w14:paraId="5C6277E0" w14:textId="436F9F91" w:rsidR="004840C5" w:rsidRDefault="00080DC8" w:rsidP="009E58ED">
      <w:pPr>
        <w:spacing w:line="360" w:lineRule="auto"/>
        <w:jc w:val="both"/>
        <w:rPr>
          <w:rFonts w:ascii="Arial" w:hAnsi="Arial" w:cs="Arial"/>
          <w:sz w:val="24"/>
          <w:szCs w:val="24"/>
        </w:rPr>
      </w:pPr>
      <w:r w:rsidRPr="00080DC8">
        <w:rPr>
          <w:rFonts w:ascii="Arial" w:hAnsi="Arial" w:cs="Arial"/>
          <w:sz w:val="24"/>
          <w:szCs w:val="24"/>
        </w:rPr>
        <w:lastRenderedPageBreak/>
        <w:t>Fernandez, K. (2019)</w:t>
      </w:r>
      <w:r w:rsidR="004736F2">
        <w:rPr>
          <w:rFonts w:ascii="Arial" w:hAnsi="Arial" w:cs="Arial"/>
          <w:sz w:val="24"/>
          <w:szCs w:val="24"/>
        </w:rPr>
        <w:t>.</w:t>
      </w:r>
      <w:r w:rsidRPr="00080DC8">
        <w:rPr>
          <w:rFonts w:ascii="Arial" w:hAnsi="Arial" w:cs="Arial"/>
          <w:sz w:val="24"/>
          <w:szCs w:val="24"/>
        </w:rPr>
        <w:t xml:space="preserve"> 'Critically Reviewing Literature: A Tutorial for New Researchers', Australasian Marketing Journal, 27(3), pp. 187</w:t>
      </w:r>
      <w:r w:rsidR="004736F2">
        <w:rPr>
          <w:rFonts w:ascii="Arial" w:hAnsi="Arial" w:cs="Arial"/>
          <w:sz w:val="24"/>
          <w:szCs w:val="24"/>
        </w:rPr>
        <w:t>–</w:t>
      </w:r>
      <w:r w:rsidRPr="00080DC8">
        <w:rPr>
          <w:rFonts w:ascii="Arial" w:hAnsi="Arial" w:cs="Arial"/>
          <w:sz w:val="24"/>
          <w:szCs w:val="24"/>
        </w:rPr>
        <w:t xml:space="preserve">196. Available at: </w:t>
      </w:r>
      <w:hyperlink r:id="rId156" w:history="1">
        <w:r w:rsidRPr="00960FF4">
          <w:rPr>
            <w:rStyle w:val="Hyperlink"/>
            <w:rFonts w:ascii="Arial" w:hAnsi="Arial" w:cs="Arial"/>
            <w:sz w:val="24"/>
            <w:szCs w:val="24"/>
          </w:rPr>
          <w:t>https://journals-sagepub-com.uwtsd.idm.oclc.org/doi/full/10.1016/j.ausmj.2019.05.001</w:t>
        </w:r>
      </w:hyperlink>
      <w:r>
        <w:rPr>
          <w:rFonts w:ascii="Arial" w:hAnsi="Arial" w:cs="Arial"/>
          <w:sz w:val="24"/>
          <w:szCs w:val="24"/>
        </w:rPr>
        <w:t xml:space="preserve"> </w:t>
      </w:r>
      <w:r w:rsidRPr="00080DC8">
        <w:rPr>
          <w:rFonts w:ascii="Arial" w:hAnsi="Arial" w:cs="Arial"/>
          <w:sz w:val="24"/>
          <w:szCs w:val="24"/>
        </w:rPr>
        <w:t>(Accessed: 23 February 2026).</w:t>
      </w:r>
      <w:r w:rsidR="008C35A5">
        <w:rPr>
          <w:rFonts w:ascii="Arial" w:hAnsi="Arial" w:cs="Arial"/>
          <w:sz w:val="24"/>
          <w:szCs w:val="24"/>
        </w:rPr>
        <w:t xml:space="preserve"> </w:t>
      </w:r>
    </w:p>
    <w:p w14:paraId="7902CD61" w14:textId="70F30E60" w:rsidR="008C35A5" w:rsidRDefault="008C35A5" w:rsidP="009E58ED">
      <w:pPr>
        <w:spacing w:line="360" w:lineRule="auto"/>
        <w:jc w:val="both"/>
        <w:rPr>
          <w:rFonts w:ascii="Arial" w:hAnsi="Arial" w:cs="Arial"/>
          <w:sz w:val="24"/>
          <w:szCs w:val="24"/>
        </w:rPr>
      </w:pPr>
      <w:r w:rsidRPr="008C35A5">
        <w:rPr>
          <w:rFonts w:ascii="Arial" w:hAnsi="Arial" w:cs="Arial"/>
          <w:sz w:val="24"/>
          <w:szCs w:val="24"/>
        </w:rPr>
        <w:t>Ferrari, R. (2015)</w:t>
      </w:r>
      <w:r w:rsidR="004736F2">
        <w:rPr>
          <w:rFonts w:ascii="Arial" w:hAnsi="Arial" w:cs="Arial"/>
          <w:sz w:val="24"/>
          <w:szCs w:val="24"/>
        </w:rPr>
        <w:t>.</w:t>
      </w:r>
      <w:r w:rsidRPr="008C35A5">
        <w:rPr>
          <w:rFonts w:ascii="Arial" w:hAnsi="Arial" w:cs="Arial"/>
          <w:sz w:val="24"/>
          <w:szCs w:val="24"/>
        </w:rPr>
        <w:t xml:space="preserve"> 'Writing narrative style literature reviews', Medical Writing, 24 (4), pp. 230</w:t>
      </w:r>
      <w:r w:rsidR="004736F2">
        <w:rPr>
          <w:rFonts w:ascii="Arial" w:hAnsi="Arial" w:cs="Arial"/>
          <w:sz w:val="24"/>
          <w:szCs w:val="24"/>
        </w:rPr>
        <w:t>–</w:t>
      </w:r>
      <w:r w:rsidRPr="008C35A5">
        <w:rPr>
          <w:rFonts w:ascii="Arial" w:hAnsi="Arial" w:cs="Arial"/>
          <w:sz w:val="24"/>
          <w:szCs w:val="24"/>
        </w:rPr>
        <w:t>235</w:t>
      </w:r>
      <w:r w:rsidR="008742D8">
        <w:rPr>
          <w:rFonts w:ascii="Arial" w:hAnsi="Arial" w:cs="Arial"/>
          <w:sz w:val="24"/>
          <w:szCs w:val="24"/>
        </w:rPr>
        <w:t>.</w:t>
      </w:r>
      <w:r w:rsidRPr="008C35A5">
        <w:rPr>
          <w:rFonts w:ascii="Arial" w:hAnsi="Arial" w:cs="Arial"/>
          <w:sz w:val="24"/>
          <w:szCs w:val="24"/>
        </w:rPr>
        <w:t xml:space="preserve"> Available at: </w:t>
      </w:r>
      <w:hyperlink r:id="rId157" w:history="1">
        <w:r w:rsidRPr="001228C1">
          <w:rPr>
            <w:rStyle w:val="Hyperlink"/>
            <w:rFonts w:ascii="Arial" w:hAnsi="Arial" w:cs="Arial"/>
            <w:sz w:val="24"/>
            <w:szCs w:val="24"/>
          </w:rPr>
          <w:t>https://research-ebsco-com.uwtsd.idm.oclc.org/c/onvpsy/viewer/pdf/aoxbv3hj3f?route=details</w:t>
        </w:r>
      </w:hyperlink>
      <w:r>
        <w:rPr>
          <w:rFonts w:ascii="Arial" w:hAnsi="Arial" w:cs="Arial"/>
          <w:sz w:val="24"/>
          <w:szCs w:val="24"/>
        </w:rPr>
        <w:t xml:space="preserve"> </w:t>
      </w:r>
      <w:r w:rsidRPr="008C35A5">
        <w:rPr>
          <w:rFonts w:ascii="Arial" w:hAnsi="Arial" w:cs="Arial"/>
          <w:sz w:val="24"/>
          <w:szCs w:val="24"/>
        </w:rPr>
        <w:t>(Accessed: 7 March 2026).</w:t>
      </w:r>
    </w:p>
    <w:p w14:paraId="15AB1A59" w14:textId="2262F513" w:rsidR="002C1166" w:rsidRDefault="002C1166" w:rsidP="009E58ED">
      <w:pPr>
        <w:spacing w:line="360" w:lineRule="auto"/>
        <w:jc w:val="both"/>
        <w:rPr>
          <w:rFonts w:ascii="Arial" w:hAnsi="Arial" w:cs="Arial"/>
          <w:sz w:val="24"/>
          <w:szCs w:val="24"/>
        </w:rPr>
      </w:pPr>
      <w:r w:rsidRPr="002C1166">
        <w:rPr>
          <w:rFonts w:ascii="Arial" w:hAnsi="Arial" w:cs="Arial"/>
          <w:sz w:val="24"/>
          <w:szCs w:val="24"/>
        </w:rPr>
        <w:t>Foster, A. (2005)</w:t>
      </w:r>
      <w:r>
        <w:rPr>
          <w:rFonts w:ascii="Arial" w:hAnsi="Arial" w:cs="Arial"/>
          <w:sz w:val="24"/>
          <w:szCs w:val="24"/>
        </w:rPr>
        <w:t xml:space="preserve">. </w:t>
      </w:r>
      <w:r w:rsidRPr="002C1166">
        <w:rPr>
          <w:rFonts w:ascii="Arial" w:hAnsi="Arial" w:cs="Arial"/>
          <w:i/>
          <w:iCs/>
          <w:sz w:val="24"/>
          <w:szCs w:val="24"/>
        </w:rPr>
        <w:t>Realising the Potential: A review of the future role of further education colleges</w:t>
      </w:r>
      <w:r w:rsidRPr="002C1166">
        <w:rPr>
          <w:rFonts w:ascii="Arial" w:hAnsi="Arial" w:cs="Arial"/>
          <w:sz w:val="24"/>
          <w:szCs w:val="24"/>
        </w:rPr>
        <w:t xml:space="preserve">. Department for Education and Science (DfES). Available at: </w:t>
      </w:r>
      <w:hyperlink r:id="rId158" w:history="1">
        <w:r w:rsidRPr="00FB3832">
          <w:rPr>
            <w:rStyle w:val="Hyperlink"/>
            <w:rFonts w:ascii="Arial" w:hAnsi="Arial" w:cs="Arial"/>
            <w:sz w:val="24"/>
            <w:szCs w:val="24"/>
          </w:rPr>
          <w:t>https://image.guardian.co.uk/sys-files/Education/documents/2005/11/15/fosterreport.pdf</w:t>
        </w:r>
      </w:hyperlink>
      <w:r>
        <w:rPr>
          <w:rFonts w:ascii="Arial" w:hAnsi="Arial" w:cs="Arial"/>
          <w:sz w:val="24"/>
          <w:szCs w:val="24"/>
        </w:rPr>
        <w:t xml:space="preserve"> </w:t>
      </w:r>
      <w:r w:rsidRPr="002C1166">
        <w:rPr>
          <w:rFonts w:ascii="Arial" w:hAnsi="Arial" w:cs="Arial"/>
          <w:sz w:val="24"/>
          <w:szCs w:val="24"/>
        </w:rPr>
        <w:t>(Accessed: 20 March 2026).</w:t>
      </w:r>
    </w:p>
    <w:p w14:paraId="59CC4298" w14:textId="68B02A10" w:rsidR="00FE2DAD" w:rsidRDefault="00FE2DAD" w:rsidP="009E58ED">
      <w:pPr>
        <w:spacing w:line="360" w:lineRule="auto"/>
        <w:jc w:val="both"/>
        <w:rPr>
          <w:rFonts w:ascii="Arial" w:hAnsi="Arial" w:cs="Arial"/>
          <w:sz w:val="24"/>
          <w:szCs w:val="24"/>
        </w:rPr>
      </w:pPr>
      <w:r w:rsidRPr="00FE2DAD">
        <w:rPr>
          <w:rFonts w:ascii="Arial" w:hAnsi="Arial" w:cs="Arial"/>
          <w:sz w:val="24"/>
          <w:szCs w:val="24"/>
        </w:rPr>
        <w:t>Foster, S., and George, B. (2025)</w:t>
      </w:r>
      <w:r w:rsidR="00924A18">
        <w:rPr>
          <w:rFonts w:ascii="Arial" w:hAnsi="Arial" w:cs="Arial"/>
          <w:sz w:val="24"/>
          <w:szCs w:val="24"/>
        </w:rPr>
        <w:t>.</w:t>
      </w:r>
      <w:r w:rsidRPr="00FE2DAD">
        <w:rPr>
          <w:rFonts w:ascii="Arial" w:hAnsi="Arial" w:cs="Arial"/>
          <w:sz w:val="24"/>
          <w:szCs w:val="24"/>
        </w:rPr>
        <w:t xml:space="preserve"> 'Ethnic minority immigrants and their British descendants in the UK labour market: an investigation of Black African and Black Caribbean current employment status in the UK', Cogent Business and Management, 12(1), pp. 1</w:t>
      </w:r>
      <w:r w:rsidR="00924A18">
        <w:rPr>
          <w:rFonts w:ascii="Arial" w:hAnsi="Arial" w:cs="Arial"/>
          <w:sz w:val="24"/>
          <w:szCs w:val="24"/>
        </w:rPr>
        <w:t>–</w:t>
      </w:r>
      <w:r w:rsidRPr="00FE2DAD">
        <w:rPr>
          <w:rFonts w:ascii="Arial" w:hAnsi="Arial" w:cs="Arial"/>
          <w:sz w:val="24"/>
          <w:szCs w:val="24"/>
        </w:rPr>
        <w:t xml:space="preserve">19. Available at: </w:t>
      </w:r>
      <w:hyperlink r:id="rId159" w:history="1">
        <w:r w:rsidR="00924A18" w:rsidRPr="007D0B0F">
          <w:rPr>
            <w:rStyle w:val="Hyperlink"/>
            <w:rFonts w:ascii="Arial" w:hAnsi="Arial" w:cs="Arial"/>
            <w:sz w:val="24"/>
            <w:szCs w:val="24"/>
          </w:rPr>
          <w:t>https://www.tandfonline.com/doi/epdf/10.1080/23311975.2025.2458743?needAccess=true</w:t>
        </w:r>
      </w:hyperlink>
      <w:r w:rsidR="00924A18">
        <w:rPr>
          <w:rFonts w:ascii="Arial" w:hAnsi="Arial" w:cs="Arial"/>
          <w:sz w:val="24"/>
          <w:szCs w:val="24"/>
        </w:rPr>
        <w:t xml:space="preserve"> </w:t>
      </w:r>
      <w:r w:rsidRPr="00FE2DAD">
        <w:rPr>
          <w:rFonts w:ascii="Arial" w:hAnsi="Arial" w:cs="Arial"/>
          <w:sz w:val="24"/>
          <w:szCs w:val="24"/>
        </w:rPr>
        <w:t>(Accessed: 25 March 2026).</w:t>
      </w:r>
    </w:p>
    <w:p w14:paraId="556BEE21" w14:textId="49A363B6" w:rsidR="002F4EBA" w:rsidRDefault="002F4EBA" w:rsidP="009E58ED">
      <w:pPr>
        <w:spacing w:line="360" w:lineRule="auto"/>
        <w:jc w:val="both"/>
        <w:rPr>
          <w:rFonts w:ascii="Arial" w:hAnsi="Arial" w:cs="Arial"/>
          <w:sz w:val="24"/>
          <w:szCs w:val="24"/>
        </w:rPr>
      </w:pPr>
      <w:r w:rsidRPr="002F4EBA">
        <w:rPr>
          <w:rFonts w:ascii="Arial" w:hAnsi="Arial" w:cs="Arial"/>
          <w:sz w:val="24"/>
          <w:szCs w:val="24"/>
        </w:rPr>
        <w:t xml:space="preserve">Fox, S., Wake, H., and </w:t>
      </w:r>
      <w:proofErr w:type="spellStart"/>
      <w:r w:rsidRPr="002F4EBA">
        <w:rPr>
          <w:rFonts w:ascii="Arial" w:hAnsi="Arial" w:cs="Arial"/>
          <w:sz w:val="24"/>
          <w:szCs w:val="24"/>
        </w:rPr>
        <w:t>Glorney</w:t>
      </w:r>
      <w:proofErr w:type="spellEnd"/>
      <w:r w:rsidRPr="002F4EBA">
        <w:rPr>
          <w:rFonts w:ascii="Arial" w:hAnsi="Arial" w:cs="Arial"/>
          <w:sz w:val="24"/>
          <w:szCs w:val="24"/>
        </w:rPr>
        <w:t>, E. (2024)</w:t>
      </w:r>
      <w:r>
        <w:rPr>
          <w:rFonts w:ascii="Arial" w:hAnsi="Arial" w:cs="Arial"/>
          <w:sz w:val="24"/>
          <w:szCs w:val="24"/>
        </w:rPr>
        <w:t>.</w:t>
      </w:r>
      <w:r w:rsidRPr="002F4EBA">
        <w:rPr>
          <w:rFonts w:ascii="Arial" w:hAnsi="Arial" w:cs="Arial"/>
          <w:sz w:val="24"/>
          <w:szCs w:val="24"/>
        </w:rPr>
        <w:t xml:space="preserve"> 'Multisystemic therapy for young people involved in or at risk of child criminal exploitation: Young people's and caregivers' perspectives', Journal of Family Therapy, 46(4), pp. 339-441. Available at: </w:t>
      </w:r>
      <w:hyperlink r:id="rId160" w:history="1">
        <w:r w:rsidRPr="007D0B0F">
          <w:rPr>
            <w:rStyle w:val="Hyperlink"/>
            <w:rFonts w:ascii="Arial" w:hAnsi="Arial" w:cs="Arial"/>
            <w:sz w:val="24"/>
            <w:szCs w:val="24"/>
          </w:rPr>
          <w:t>https://onlinelibrary-wiley-com.uwtsd.idm.oclc.org/doi/epdf/10.1111/1467-6427.12471</w:t>
        </w:r>
      </w:hyperlink>
      <w:r>
        <w:rPr>
          <w:rFonts w:ascii="Arial" w:hAnsi="Arial" w:cs="Arial"/>
          <w:sz w:val="24"/>
          <w:szCs w:val="24"/>
        </w:rPr>
        <w:t xml:space="preserve"> </w:t>
      </w:r>
      <w:r w:rsidRPr="002F4EBA">
        <w:rPr>
          <w:rFonts w:ascii="Arial" w:hAnsi="Arial" w:cs="Arial"/>
          <w:sz w:val="24"/>
          <w:szCs w:val="24"/>
        </w:rPr>
        <w:t>(Accessed: 2 April 2026).</w:t>
      </w:r>
    </w:p>
    <w:p w14:paraId="65B445A6" w14:textId="6727C2CF" w:rsidR="00D677E8" w:rsidRDefault="00D677E8" w:rsidP="009E58ED">
      <w:pPr>
        <w:spacing w:line="360" w:lineRule="auto"/>
        <w:jc w:val="both"/>
        <w:rPr>
          <w:rFonts w:ascii="Arial" w:hAnsi="Arial" w:cs="Arial"/>
          <w:sz w:val="24"/>
          <w:szCs w:val="24"/>
        </w:rPr>
      </w:pPr>
      <w:r w:rsidRPr="00D677E8">
        <w:rPr>
          <w:rFonts w:ascii="Arial" w:hAnsi="Arial" w:cs="Arial"/>
          <w:sz w:val="24"/>
          <w:szCs w:val="24"/>
        </w:rPr>
        <w:t xml:space="preserve">Fraser, A., Hamilton-Smith, N., Clark, A., Atkinson, C., Graham, W., </w:t>
      </w:r>
      <w:proofErr w:type="spellStart"/>
      <w:r w:rsidRPr="00D677E8">
        <w:rPr>
          <w:rFonts w:ascii="Arial" w:hAnsi="Arial" w:cs="Arial"/>
          <w:sz w:val="24"/>
          <w:szCs w:val="24"/>
        </w:rPr>
        <w:t>McBirde</w:t>
      </w:r>
      <w:proofErr w:type="spellEnd"/>
      <w:r w:rsidRPr="00D677E8">
        <w:rPr>
          <w:rFonts w:ascii="Arial" w:hAnsi="Arial" w:cs="Arial"/>
          <w:sz w:val="24"/>
          <w:szCs w:val="24"/>
        </w:rPr>
        <w:t xml:space="preserve">, M., Doyle, M., and Hobbs, D. (2018) Community Experiences of Serious Organised Crime in Scotland. Social Research Series. Available at: </w:t>
      </w:r>
      <w:hyperlink r:id="rId161" w:history="1">
        <w:r w:rsidRPr="007D0B0F">
          <w:rPr>
            <w:rStyle w:val="Hyperlink"/>
            <w:rFonts w:ascii="Arial" w:hAnsi="Arial" w:cs="Arial"/>
            <w:sz w:val="24"/>
            <w:szCs w:val="24"/>
          </w:rPr>
          <w:t>https://www.gov.scot/binaries/content/documents/govscot/publications/research-and-analysis/2018/06/community-experiences-serious-organised-crime-</w:t>
        </w:r>
        <w:r w:rsidRPr="007D0B0F">
          <w:rPr>
            <w:rStyle w:val="Hyperlink"/>
            <w:rFonts w:ascii="Arial" w:hAnsi="Arial" w:cs="Arial"/>
            <w:sz w:val="24"/>
            <w:szCs w:val="24"/>
          </w:rPr>
          <w:lastRenderedPageBreak/>
          <w:t>scotland/documents/00536071-pdf/00536071-pdf/govscot%3Adocument/00536071.pdf</w:t>
        </w:r>
      </w:hyperlink>
      <w:r>
        <w:rPr>
          <w:rFonts w:ascii="Arial" w:hAnsi="Arial" w:cs="Arial"/>
          <w:sz w:val="24"/>
          <w:szCs w:val="24"/>
        </w:rPr>
        <w:t xml:space="preserve"> </w:t>
      </w:r>
      <w:r w:rsidRPr="00D677E8">
        <w:rPr>
          <w:rFonts w:ascii="Arial" w:hAnsi="Arial" w:cs="Arial"/>
          <w:sz w:val="24"/>
          <w:szCs w:val="24"/>
        </w:rPr>
        <w:t>(Accessed: 2 April 2026).</w:t>
      </w:r>
    </w:p>
    <w:p w14:paraId="1FA12409" w14:textId="6DCF7156" w:rsidR="00F66DB7" w:rsidRDefault="00F66DB7" w:rsidP="009E58ED">
      <w:pPr>
        <w:spacing w:line="360" w:lineRule="auto"/>
        <w:jc w:val="both"/>
        <w:rPr>
          <w:rFonts w:ascii="Arial" w:hAnsi="Arial" w:cs="Arial"/>
          <w:sz w:val="24"/>
          <w:szCs w:val="24"/>
        </w:rPr>
      </w:pPr>
      <w:r w:rsidRPr="00F66DB7">
        <w:rPr>
          <w:rFonts w:ascii="Arial" w:hAnsi="Arial" w:cs="Arial"/>
          <w:sz w:val="24"/>
          <w:szCs w:val="24"/>
        </w:rPr>
        <w:t>Freeland, R., and Keister, L. (2016)</w:t>
      </w:r>
      <w:r>
        <w:rPr>
          <w:rFonts w:ascii="Arial" w:hAnsi="Arial" w:cs="Arial"/>
          <w:sz w:val="24"/>
          <w:szCs w:val="24"/>
        </w:rPr>
        <w:t>.</w:t>
      </w:r>
      <w:r w:rsidRPr="00F66DB7">
        <w:rPr>
          <w:rFonts w:ascii="Arial" w:hAnsi="Arial" w:cs="Arial"/>
          <w:sz w:val="24"/>
          <w:szCs w:val="24"/>
        </w:rPr>
        <w:t xml:space="preserve"> 'How Does Race and Ethnicity Affect Persistence </w:t>
      </w:r>
      <w:r>
        <w:rPr>
          <w:rFonts w:ascii="Arial" w:hAnsi="Arial" w:cs="Arial"/>
          <w:sz w:val="24"/>
          <w:szCs w:val="24"/>
        </w:rPr>
        <w:t>in Immature</w:t>
      </w:r>
      <w:r w:rsidRPr="00F66DB7">
        <w:rPr>
          <w:rFonts w:ascii="Arial" w:hAnsi="Arial" w:cs="Arial"/>
          <w:sz w:val="24"/>
          <w:szCs w:val="24"/>
        </w:rPr>
        <w:t xml:space="preserve"> Ventures?', Journal of Small Business Management, 54(1), pp. 210</w:t>
      </w:r>
      <w:r>
        <w:rPr>
          <w:rFonts w:ascii="Arial" w:hAnsi="Arial" w:cs="Arial"/>
          <w:sz w:val="24"/>
          <w:szCs w:val="24"/>
        </w:rPr>
        <w:t>–</w:t>
      </w:r>
      <w:r w:rsidRPr="00F66DB7">
        <w:rPr>
          <w:rFonts w:ascii="Arial" w:hAnsi="Arial" w:cs="Arial"/>
          <w:sz w:val="24"/>
          <w:szCs w:val="24"/>
        </w:rPr>
        <w:t xml:space="preserve">228. Available at: </w:t>
      </w:r>
      <w:hyperlink r:id="rId162" w:history="1">
        <w:r w:rsidRPr="007D0B0F">
          <w:rPr>
            <w:rStyle w:val="Hyperlink"/>
            <w:rFonts w:ascii="Arial" w:hAnsi="Arial" w:cs="Arial"/>
            <w:sz w:val="24"/>
            <w:szCs w:val="24"/>
          </w:rPr>
          <w:t>https://dukespace.lib.duke.edu/server/api/core/bitstreams/851bc185-5de1-4d80-89b0-4880f643a7b4/content</w:t>
        </w:r>
      </w:hyperlink>
      <w:r>
        <w:rPr>
          <w:rFonts w:ascii="Arial" w:hAnsi="Arial" w:cs="Arial"/>
          <w:sz w:val="24"/>
          <w:szCs w:val="24"/>
        </w:rPr>
        <w:t xml:space="preserve"> </w:t>
      </w:r>
      <w:r w:rsidRPr="00F66DB7">
        <w:rPr>
          <w:rFonts w:ascii="Arial" w:hAnsi="Arial" w:cs="Arial"/>
          <w:sz w:val="24"/>
          <w:szCs w:val="24"/>
        </w:rPr>
        <w:t>(Accessed: 27 March 2026).</w:t>
      </w:r>
    </w:p>
    <w:p w14:paraId="10CD426E" w14:textId="59CFE1A3" w:rsidR="00266E92" w:rsidRDefault="004D685C" w:rsidP="009E58ED">
      <w:pPr>
        <w:spacing w:line="360" w:lineRule="auto"/>
        <w:jc w:val="both"/>
        <w:rPr>
          <w:rFonts w:ascii="Arial" w:hAnsi="Arial" w:cs="Arial"/>
          <w:sz w:val="24"/>
          <w:szCs w:val="24"/>
        </w:rPr>
      </w:pPr>
      <w:r w:rsidRPr="004D685C">
        <w:rPr>
          <w:rFonts w:ascii="Arial" w:hAnsi="Arial" w:cs="Arial"/>
          <w:sz w:val="24"/>
          <w:szCs w:val="24"/>
        </w:rPr>
        <w:t>Freire, P. (1993)</w:t>
      </w:r>
      <w:r>
        <w:rPr>
          <w:rFonts w:ascii="Arial" w:hAnsi="Arial" w:cs="Arial"/>
          <w:sz w:val="24"/>
          <w:szCs w:val="24"/>
        </w:rPr>
        <w:t xml:space="preserve">. </w:t>
      </w:r>
      <w:r w:rsidRPr="004D685C">
        <w:rPr>
          <w:rFonts w:ascii="Arial" w:hAnsi="Arial" w:cs="Arial"/>
          <w:i/>
          <w:iCs/>
          <w:sz w:val="24"/>
          <w:szCs w:val="24"/>
        </w:rPr>
        <w:t>Pedagogy of the Oppressed.</w:t>
      </w:r>
      <w:r w:rsidRPr="004D685C">
        <w:rPr>
          <w:rFonts w:ascii="Arial" w:hAnsi="Arial" w:cs="Arial"/>
          <w:sz w:val="24"/>
          <w:szCs w:val="24"/>
        </w:rPr>
        <w:t xml:space="preserve"> The Continuum International Publishing Group Inc. Available at: </w:t>
      </w:r>
      <w:hyperlink r:id="rId163" w:history="1">
        <w:r w:rsidRPr="007D0B0F">
          <w:rPr>
            <w:rStyle w:val="Hyperlink"/>
            <w:rFonts w:ascii="Arial" w:hAnsi="Arial" w:cs="Arial"/>
            <w:sz w:val="24"/>
            <w:szCs w:val="24"/>
          </w:rPr>
          <w:t>https://files.libcom.org/files/Paulo%20Freire,%20Myra%20Bergman%20Ramos,%20Donaldo%20Macedo%20-%20Pedagogy%20of%20the%20Oppressed,%2030th%20Anniversary%20Edition%20(2000,%20Bloomsbury%20Academic).pdf</w:t>
        </w:r>
      </w:hyperlink>
      <w:r>
        <w:rPr>
          <w:rFonts w:ascii="Arial" w:hAnsi="Arial" w:cs="Arial"/>
          <w:sz w:val="24"/>
          <w:szCs w:val="24"/>
        </w:rPr>
        <w:t xml:space="preserve"> </w:t>
      </w:r>
      <w:r w:rsidRPr="004D685C">
        <w:rPr>
          <w:rFonts w:ascii="Arial" w:hAnsi="Arial" w:cs="Arial"/>
          <w:sz w:val="24"/>
          <w:szCs w:val="24"/>
        </w:rPr>
        <w:t>(Accessed: 23 March 2026).</w:t>
      </w:r>
    </w:p>
    <w:p w14:paraId="11BE9F28" w14:textId="06CE2243" w:rsidR="00EA1CE9" w:rsidRDefault="00EA1CE9" w:rsidP="009E58ED">
      <w:pPr>
        <w:spacing w:line="360" w:lineRule="auto"/>
        <w:jc w:val="both"/>
        <w:rPr>
          <w:rFonts w:ascii="Arial" w:hAnsi="Arial" w:cs="Arial"/>
          <w:sz w:val="24"/>
          <w:szCs w:val="24"/>
        </w:rPr>
      </w:pPr>
      <w:r w:rsidRPr="00EA1CE9">
        <w:rPr>
          <w:rFonts w:ascii="Arial" w:hAnsi="Arial" w:cs="Arial"/>
          <w:sz w:val="24"/>
          <w:szCs w:val="24"/>
          <w:lang w:val="pt-BR"/>
        </w:rPr>
        <w:t xml:space="preserve">Fuentelsaz, L., González, C., Maicas, J. (2020). </w:t>
      </w:r>
      <w:r w:rsidRPr="00EA1CE9">
        <w:rPr>
          <w:rFonts w:ascii="Arial" w:hAnsi="Arial" w:cs="Arial"/>
          <w:sz w:val="24"/>
          <w:szCs w:val="24"/>
        </w:rPr>
        <w:t>'Formal Institutions and Opportunity Entrepreneurship: The Contingent Role of Informal Institutions', BRQ Business Research Quarterly, 22(1), pp. 5</w:t>
      </w:r>
      <w:r>
        <w:rPr>
          <w:rFonts w:ascii="Arial" w:hAnsi="Arial" w:cs="Arial"/>
          <w:sz w:val="24"/>
          <w:szCs w:val="24"/>
        </w:rPr>
        <w:t>–</w:t>
      </w:r>
      <w:r w:rsidRPr="00EA1CE9">
        <w:rPr>
          <w:rFonts w:ascii="Arial" w:hAnsi="Arial" w:cs="Arial"/>
          <w:sz w:val="24"/>
          <w:szCs w:val="24"/>
        </w:rPr>
        <w:t xml:space="preserve">24. Available at: </w:t>
      </w:r>
      <w:hyperlink r:id="rId164" w:history="1">
        <w:r w:rsidRPr="007D0B0F">
          <w:rPr>
            <w:rStyle w:val="Hyperlink"/>
            <w:rFonts w:ascii="Arial" w:hAnsi="Arial" w:cs="Arial"/>
            <w:sz w:val="24"/>
            <w:szCs w:val="24"/>
          </w:rPr>
          <w:t>https://journals.sagepub.com/doi/full/10.1016/j.brq.2018.06.002</w:t>
        </w:r>
      </w:hyperlink>
      <w:r>
        <w:rPr>
          <w:rFonts w:ascii="Arial" w:hAnsi="Arial" w:cs="Arial"/>
          <w:sz w:val="24"/>
          <w:szCs w:val="24"/>
        </w:rPr>
        <w:t xml:space="preserve"> </w:t>
      </w:r>
      <w:r w:rsidRPr="00EA1CE9">
        <w:rPr>
          <w:rFonts w:ascii="Arial" w:hAnsi="Arial" w:cs="Arial"/>
          <w:sz w:val="24"/>
          <w:szCs w:val="24"/>
        </w:rPr>
        <w:t>(Accessed: 27 March 2026).</w:t>
      </w:r>
    </w:p>
    <w:p w14:paraId="31156304" w14:textId="69FE90DB" w:rsidR="008F57E1" w:rsidRDefault="008F57E1" w:rsidP="009E58ED">
      <w:pPr>
        <w:spacing w:line="360" w:lineRule="auto"/>
        <w:jc w:val="both"/>
        <w:rPr>
          <w:rFonts w:ascii="Arial" w:hAnsi="Arial" w:cs="Arial"/>
          <w:sz w:val="24"/>
          <w:szCs w:val="24"/>
        </w:rPr>
      </w:pPr>
      <w:r w:rsidRPr="008F57E1">
        <w:rPr>
          <w:rFonts w:ascii="Arial" w:hAnsi="Arial" w:cs="Arial"/>
          <w:sz w:val="24"/>
          <w:szCs w:val="24"/>
        </w:rPr>
        <w:t xml:space="preserve">Fuller, A., Unwin, L., </w:t>
      </w:r>
      <w:proofErr w:type="spellStart"/>
      <w:r w:rsidRPr="008F57E1">
        <w:rPr>
          <w:rFonts w:ascii="Arial" w:hAnsi="Arial" w:cs="Arial"/>
          <w:sz w:val="24"/>
          <w:szCs w:val="24"/>
        </w:rPr>
        <w:t>Cavaglia</w:t>
      </w:r>
      <w:proofErr w:type="spellEnd"/>
      <w:r w:rsidRPr="008F57E1">
        <w:rPr>
          <w:rFonts w:ascii="Arial" w:hAnsi="Arial" w:cs="Arial"/>
          <w:sz w:val="24"/>
          <w:szCs w:val="24"/>
        </w:rPr>
        <w:t>, C., McNally, S., and Ventura, G. (2017)</w:t>
      </w:r>
      <w:r>
        <w:rPr>
          <w:rFonts w:ascii="Arial" w:hAnsi="Arial" w:cs="Arial"/>
          <w:sz w:val="24"/>
          <w:szCs w:val="24"/>
        </w:rPr>
        <w:t>.</w:t>
      </w:r>
      <w:r w:rsidRPr="008F57E1">
        <w:rPr>
          <w:rFonts w:ascii="Arial" w:hAnsi="Arial" w:cs="Arial"/>
          <w:sz w:val="24"/>
          <w:szCs w:val="24"/>
        </w:rPr>
        <w:t xml:space="preserve"> Better Apprenticeships: Access, quality and labour market outcomes in the English apprenticeship system. The Sutton Trust. Available at: </w:t>
      </w:r>
      <w:hyperlink r:id="rId165" w:history="1">
        <w:r w:rsidRPr="007D0B0F">
          <w:rPr>
            <w:rStyle w:val="Hyperlink"/>
            <w:rFonts w:ascii="Arial" w:hAnsi="Arial" w:cs="Arial"/>
            <w:sz w:val="24"/>
            <w:szCs w:val="24"/>
          </w:rPr>
          <w:t>https://dera.ioe.ac.uk/id/eprint/30618/1/Better-Apprenticeships-1-1.pdf</w:t>
        </w:r>
      </w:hyperlink>
      <w:r>
        <w:rPr>
          <w:rFonts w:ascii="Arial" w:hAnsi="Arial" w:cs="Arial"/>
          <w:sz w:val="24"/>
          <w:szCs w:val="24"/>
        </w:rPr>
        <w:t xml:space="preserve"> </w:t>
      </w:r>
      <w:r w:rsidRPr="008F57E1">
        <w:rPr>
          <w:rFonts w:ascii="Arial" w:hAnsi="Arial" w:cs="Arial"/>
          <w:sz w:val="24"/>
          <w:szCs w:val="24"/>
        </w:rPr>
        <w:t>(Accessed: 26 March 2026).</w:t>
      </w:r>
    </w:p>
    <w:p w14:paraId="2DC2C22B" w14:textId="77777777" w:rsidR="0078402C" w:rsidRDefault="0078402C" w:rsidP="009E58ED">
      <w:pPr>
        <w:spacing w:line="360" w:lineRule="auto"/>
        <w:jc w:val="both"/>
        <w:rPr>
          <w:rFonts w:ascii="Arial" w:hAnsi="Arial" w:cs="Arial"/>
          <w:sz w:val="24"/>
          <w:szCs w:val="24"/>
        </w:rPr>
      </w:pPr>
      <w:r w:rsidRPr="007F5FDC">
        <w:rPr>
          <w:rFonts w:ascii="Arial" w:hAnsi="Arial" w:cs="Arial"/>
          <w:sz w:val="24"/>
          <w:szCs w:val="24"/>
        </w:rPr>
        <w:t>Fyfe, A., and Figueroa, P. (1993)</w:t>
      </w:r>
      <w:r>
        <w:rPr>
          <w:rFonts w:ascii="Arial" w:hAnsi="Arial" w:cs="Arial"/>
          <w:sz w:val="24"/>
          <w:szCs w:val="24"/>
        </w:rPr>
        <w:t xml:space="preserve">. </w:t>
      </w:r>
      <w:r w:rsidRPr="007F5FDC">
        <w:rPr>
          <w:rFonts w:ascii="Arial" w:hAnsi="Arial" w:cs="Arial"/>
          <w:i/>
          <w:iCs/>
          <w:sz w:val="24"/>
          <w:szCs w:val="24"/>
        </w:rPr>
        <w:t>Education for cultural diversity: the challenge for a new era. </w:t>
      </w:r>
      <w:r w:rsidRPr="007F5FDC">
        <w:rPr>
          <w:rFonts w:ascii="Arial" w:hAnsi="Arial" w:cs="Arial"/>
          <w:sz w:val="24"/>
          <w:szCs w:val="24"/>
        </w:rPr>
        <w:t>Routledge, London.</w:t>
      </w:r>
    </w:p>
    <w:p w14:paraId="7C8AA8F2" w14:textId="283839B6" w:rsidR="00CC28E2" w:rsidRDefault="00032338" w:rsidP="009E58ED">
      <w:pPr>
        <w:spacing w:line="360" w:lineRule="auto"/>
        <w:jc w:val="both"/>
        <w:rPr>
          <w:rFonts w:ascii="Arial" w:hAnsi="Arial" w:cs="Arial"/>
          <w:sz w:val="24"/>
          <w:szCs w:val="24"/>
        </w:rPr>
      </w:pPr>
      <w:r w:rsidRPr="00032338">
        <w:rPr>
          <w:rFonts w:ascii="Arial" w:hAnsi="Arial" w:cs="Arial"/>
          <w:sz w:val="24"/>
          <w:szCs w:val="24"/>
        </w:rPr>
        <w:t>Gayle, D. (2019)</w:t>
      </w:r>
      <w:r w:rsidR="004736F2">
        <w:rPr>
          <w:rFonts w:ascii="Arial" w:hAnsi="Arial" w:cs="Arial"/>
          <w:sz w:val="24"/>
          <w:szCs w:val="24"/>
        </w:rPr>
        <w:t>.</w:t>
      </w:r>
      <w:r w:rsidRPr="00032338">
        <w:rPr>
          <w:rFonts w:ascii="Arial" w:hAnsi="Arial" w:cs="Arial"/>
          <w:sz w:val="24"/>
          <w:szCs w:val="24"/>
        </w:rPr>
        <w:t xml:space="preserve"> 'Home secretary Priti Patel criticised over wish for criminals</w:t>
      </w:r>
      <w:r w:rsidR="004736F2">
        <w:rPr>
          <w:rFonts w:ascii="Arial" w:hAnsi="Arial" w:cs="Arial"/>
          <w:sz w:val="24"/>
          <w:szCs w:val="24"/>
        </w:rPr>
        <w:t xml:space="preserve"> </w:t>
      </w:r>
      <w:r w:rsidR="00D13A83">
        <w:rPr>
          <w:rFonts w:ascii="Arial" w:hAnsi="Arial" w:cs="Arial"/>
          <w:sz w:val="24"/>
          <w:szCs w:val="24"/>
        </w:rPr>
        <w:t>to feel terror’</w:t>
      </w:r>
      <w:r w:rsidRPr="00032338">
        <w:rPr>
          <w:rFonts w:ascii="Arial" w:hAnsi="Arial" w:cs="Arial"/>
          <w:sz w:val="24"/>
          <w:szCs w:val="24"/>
        </w:rPr>
        <w:t>, </w:t>
      </w:r>
      <w:r w:rsidRPr="00032338">
        <w:rPr>
          <w:rFonts w:ascii="Arial" w:hAnsi="Arial" w:cs="Arial"/>
          <w:i/>
          <w:iCs/>
          <w:sz w:val="24"/>
          <w:szCs w:val="24"/>
        </w:rPr>
        <w:t>The Guardian</w:t>
      </w:r>
      <w:r w:rsidRPr="00032338">
        <w:rPr>
          <w:rFonts w:ascii="Arial" w:hAnsi="Arial" w:cs="Arial"/>
          <w:sz w:val="24"/>
          <w:szCs w:val="24"/>
        </w:rPr>
        <w:t xml:space="preserve">, 3 August. Available at: </w:t>
      </w:r>
      <w:hyperlink r:id="rId166" w:history="1">
        <w:r w:rsidRPr="007D0B0F">
          <w:rPr>
            <w:rStyle w:val="Hyperlink"/>
            <w:rFonts w:ascii="Arial" w:hAnsi="Arial" w:cs="Arial"/>
            <w:sz w:val="24"/>
            <w:szCs w:val="24"/>
          </w:rPr>
          <w:t>https://www.theguardian.com/politics/2019/aug/03/priti-patel-home-secretary-wants-criminals-to-literally-feel-terror</w:t>
        </w:r>
      </w:hyperlink>
      <w:r>
        <w:rPr>
          <w:rFonts w:ascii="Arial" w:hAnsi="Arial" w:cs="Arial"/>
          <w:sz w:val="24"/>
          <w:szCs w:val="24"/>
        </w:rPr>
        <w:t xml:space="preserve"> </w:t>
      </w:r>
      <w:r w:rsidRPr="00032338">
        <w:rPr>
          <w:rFonts w:ascii="Arial" w:hAnsi="Arial" w:cs="Arial"/>
          <w:sz w:val="24"/>
          <w:szCs w:val="24"/>
        </w:rPr>
        <w:t>(Accessed: 22 March 2026).</w:t>
      </w:r>
    </w:p>
    <w:p w14:paraId="6273ABA3" w14:textId="3FCE6E9B" w:rsidR="000D3CAE" w:rsidRDefault="000D3CAE" w:rsidP="009E58ED">
      <w:pPr>
        <w:spacing w:line="360" w:lineRule="auto"/>
        <w:jc w:val="both"/>
        <w:rPr>
          <w:rFonts w:ascii="Arial" w:hAnsi="Arial" w:cs="Arial"/>
          <w:sz w:val="24"/>
          <w:szCs w:val="24"/>
        </w:rPr>
      </w:pPr>
      <w:proofErr w:type="spellStart"/>
      <w:r w:rsidRPr="000D3CAE">
        <w:rPr>
          <w:rFonts w:ascii="Arial" w:hAnsi="Arial" w:cs="Arial"/>
          <w:sz w:val="24"/>
          <w:szCs w:val="24"/>
        </w:rPr>
        <w:lastRenderedPageBreak/>
        <w:t>Gazard</w:t>
      </w:r>
      <w:proofErr w:type="spellEnd"/>
      <w:r w:rsidRPr="000D3CAE">
        <w:rPr>
          <w:rFonts w:ascii="Arial" w:hAnsi="Arial" w:cs="Arial"/>
          <w:sz w:val="24"/>
          <w:szCs w:val="24"/>
        </w:rPr>
        <w:t xml:space="preserve">, B., Chui, Z., Harber-Aschan, L., MacCrimmon, S., </w:t>
      </w:r>
      <w:proofErr w:type="spellStart"/>
      <w:r w:rsidRPr="000D3CAE">
        <w:rPr>
          <w:rFonts w:ascii="Arial" w:hAnsi="Arial" w:cs="Arial"/>
          <w:sz w:val="24"/>
          <w:szCs w:val="24"/>
        </w:rPr>
        <w:t>Bakolis</w:t>
      </w:r>
      <w:proofErr w:type="spellEnd"/>
      <w:r w:rsidRPr="000D3CAE">
        <w:rPr>
          <w:rFonts w:ascii="Arial" w:hAnsi="Arial" w:cs="Arial"/>
          <w:sz w:val="24"/>
          <w:szCs w:val="24"/>
        </w:rPr>
        <w:t xml:space="preserve">, I., Rimes, K., </w:t>
      </w:r>
      <w:proofErr w:type="spellStart"/>
      <w:r w:rsidRPr="000D3CAE">
        <w:rPr>
          <w:rFonts w:ascii="Arial" w:hAnsi="Arial" w:cs="Arial"/>
          <w:sz w:val="24"/>
          <w:szCs w:val="24"/>
        </w:rPr>
        <w:t>Hotopf</w:t>
      </w:r>
      <w:proofErr w:type="spellEnd"/>
      <w:r w:rsidRPr="000D3CAE">
        <w:rPr>
          <w:rFonts w:ascii="Arial" w:hAnsi="Arial" w:cs="Arial"/>
          <w:sz w:val="24"/>
          <w:szCs w:val="24"/>
        </w:rPr>
        <w:t xml:space="preserve">, M., and Hatch, S. (2018). 'Barrier or stressor? The role of discrimination experiences in health service use', BMC Public Health, 18(1354). Available at: </w:t>
      </w:r>
      <w:hyperlink r:id="rId167" w:anchor="citeas" w:history="1">
        <w:r w:rsidR="009515EC" w:rsidRPr="007D0B0F">
          <w:rPr>
            <w:rStyle w:val="Hyperlink"/>
            <w:rFonts w:ascii="Arial" w:hAnsi="Arial" w:cs="Arial"/>
            <w:sz w:val="24"/>
            <w:szCs w:val="24"/>
          </w:rPr>
          <w:t>https://link.springer.com/article/10.1186/s12889-018-6267-y#citeas</w:t>
        </w:r>
      </w:hyperlink>
      <w:r w:rsidR="009515EC">
        <w:rPr>
          <w:rFonts w:ascii="Arial" w:hAnsi="Arial" w:cs="Arial"/>
          <w:sz w:val="24"/>
          <w:szCs w:val="24"/>
        </w:rPr>
        <w:t xml:space="preserve"> </w:t>
      </w:r>
      <w:r w:rsidRPr="000D3CAE">
        <w:rPr>
          <w:rFonts w:ascii="Arial" w:hAnsi="Arial" w:cs="Arial"/>
          <w:sz w:val="24"/>
          <w:szCs w:val="24"/>
        </w:rPr>
        <w:t>(Accessed: 30 March 2026).</w:t>
      </w:r>
    </w:p>
    <w:p w14:paraId="7D3DF3B3" w14:textId="405D34CE" w:rsidR="009D0FBB" w:rsidRDefault="009D0FBB" w:rsidP="009E58ED">
      <w:pPr>
        <w:spacing w:line="360" w:lineRule="auto"/>
        <w:jc w:val="both"/>
        <w:rPr>
          <w:rFonts w:ascii="Arial" w:hAnsi="Arial" w:cs="Arial"/>
          <w:sz w:val="24"/>
          <w:szCs w:val="24"/>
        </w:rPr>
      </w:pPr>
      <w:proofErr w:type="spellStart"/>
      <w:r w:rsidRPr="009D0FBB">
        <w:rPr>
          <w:rFonts w:ascii="Arial" w:hAnsi="Arial" w:cs="Arial"/>
          <w:sz w:val="24"/>
          <w:szCs w:val="24"/>
        </w:rPr>
        <w:t>Gazard</w:t>
      </w:r>
      <w:proofErr w:type="spellEnd"/>
      <w:r w:rsidRPr="009D0FBB">
        <w:rPr>
          <w:rFonts w:ascii="Arial" w:hAnsi="Arial" w:cs="Arial"/>
          <w:sz w:val="24"/>
          <w:szCs w:val="24"/>
        </w:rPr>
        <w:t xml:space="preserve">, B., Frisia, S., Nellums, L., </w:t>
      </w:r>
      <w:proofErr w:type="spellStart"/>
      <w:r w:rsidRPr="009D0FBB">
        <w:rPr>
          <w:rFonts w:ascii="Arial" w:hAnsi="Arial" w:cs="Arial"/>
          <w:sz w:val="24"/>
          <w:szCs w:val="24"/>
        </w:rPr>
        <w:t>Hotopf</w:t>
      </w:r>
      <w:proofErr w:type="spellEnd"/>
      <w:r w:rsidRPr="009D0FBB">
        <w:rPr>
          <w:rFonts w:ascii="Arial" w:hAnsi="Arial" w:cs="Arial"/>
          <w:sz w:val="24"/>
          <w:szCs w:val="24"/>
        </w:rPr>
        <w:t>, M., and Hatch, S. (2015)</w:t>
      </w:r>
      <w:r>
        <w:rPr>
          <w:rFonts w:ascii="Arial" w:hAnsi="Arial" w:cs="Arial"/>
          <w:sz w:val="24"/>
          <w:szCs w:val="24"/>
        </w:rPr>
        <w:t>.</w:t>
      </w:r>
      <w:r w:rsidRPr="009D0FBB">
        <w:rPr>
          <w:rFonts w:ascii="Arial" w:hAnsi="Arial" w:cs="Arial"/>
          <w:sz w:val="24"/>
          <w:szCs w:val="24"/>
        </w:rPr>
        <w:t xml:space="preserve"> 'Challenges in researching migration status, health and health service use: an intersectional analysis of a South London community', Ethnicity and Health, 20(6), pp. 564-593. Available at: </w:t>
      </w:r>
      <w:hyperlink r:id="rId168" w:anchor="d1e239" w:history="1">
        <w:r w:rsidRPr="007D0B0F">
          <w:rPr>
            <w:rStyle w:val="Hyperlink"/>
            <w:rFonts w:ascii="Arial" w:hAnsi="Arial" w:cs="Arial"/>
            <w:sz w:val="24"/>
            <w:szCs w:val="24"/>
          </w:rPr>
          <w:t>https://www.tandfonline.com/doi/full/10.1080/13557858.2014.961410#d1e239</w:t>
        </w:r>
      </w:hyperlink>
      <w:r>
        <w:rPr>
          <w:rFonts w:ascii="Arial" w:hAnsi="Arial" w:cs="Arial"/>
          <w:sz w:val="24"/>
          <w:szCs w:val="24"/>
        </w:rPr>
        <w:t xml:space="preserve"> </w:t>
      </w:r>
      <w:r w:rsidRPr="009D0FBB">
        <w:rPr>
          <w:rFonts w:ascii="Arial" w:hAnsi="Arial" w:cs="Arial"/>
          <w:sz w:val="24"/>
          <w:szCs w:val="24"/>
        </w:rPr>
        <w:t>(Accessed: 30 March 2026).</w:t>
      </w:r>
    </w:p>
    <w:p w14:paraId="15D47ABB" w14:textId="28DA8EC4" w:rsidR="00725A51" w:rsidRDefault="00725A51" w:rsidP="009E58ED">
      <w:pPr>
        <w:spacing w:line="360" w:lineRule="auto"/>
        <w:jc w:val="both"/>
        <w:rPr>
          <w:rFonts w:ascii="Arial" w:hAnsi="Arial" w:cs="Arial"/>
          <w:sz w:val="24"/>
          <w:szCs w:val="24"/>
        </w:rPr>
      </w:pPr>
      <w:r w:rsidRPr="00725A51">
        <w:rPr>
          <w:rFonts w:ascii="Arial" w:hAnsi="Arial" w:cs="Arial"/>
          <w:sz w:val="24"/>
          <w:szCs w:val="24"/>
        </w:rPr>
        <w:t>Gereffi, G., Lee, J. (2012)</w:t>
      </w:r>
      <w:r>
        <w:rPr>
          <w:rFonts w:ascii="Arial" w:hAnsi="Arial" w:cs="Arial"/>
          <w:sz w:val="24"/>
          <w:szCs w:val="24"/>
        </w:rPr>
        <w:t>.</w:t>
      </w:r>
      <w:r w:rsidRPr="00725A51">
        <w:rPr>
          <w:rFonts w:ascii="Arial" w:hAnsi="Arial" w:cs="Arial"/>
          <w:sz w:val="24"/>
          <w:szCs w:val="24"/>
        </w:rPr>
        <w:t xml:space="preserve"> 'Why the World Suddenly Cares About Global Supply Chains', Journal of Supply Chain Management, 48(3), pp. 24</w:t>
      </w:r>
      <w:r>
        <w:rPr>
          <w:rFonts w:ascii="Arial" w:hAnsi="Arial" w:cs="Arial"/>
          <w:sz w:val="24"/>
          <w:szCs w:val="24"/>
        </w:rPr>
        <w:t>–</w:t>
      </w:r>
      <w:r w:rsidRPr="00725A51">
        <w:rPr>
          <w:rFonts w:ascii="Arial" w:hAnsi="Arial" w:cs="Arial"/>
          <w:sz w:val="24"/>
          <w:szCs w:val="24"/>
        </w:rPr>
        <w:t xml:space="preserve">32. Available at: </w:t>
      </w:r>
      <w:hyperlink r:id="rId169" w:history="1">
        <w:r w:rsidRPr="007D0B0F">
          <w:rPr>
            <w:rStyle w:val="Hyperlink"/>
            <w:rFonts w:ascii="Arial" w:hAnsi="Arial" w:cs="Arial"/>
            <w:sz w:val="24"/>
            <w:szCs w:val="24"/>
          </w:rPr>
          <w:t>https://dukespace.lib.duke.edu/server/api/core/bitstreams/03e2e477-78d2-4652-b01a-551cd8f3a9ea/content</w:t>
        </w:r>
      </w:hyperlink>
      <w:r>
        <w:rPr>
          <w:rFonts w:ascii="Arial" w:hAnsi="Arial" w:cs="Arial"/>
          <w:sz w:val="24"/>
          <w:szCs w:val="24"/>
        </w:rPr>
        <w:t xml:space="preserve"> </w:t>
      </w:r>
      <w:r w:rsidRPr="00725A51">
        <w:rPr>
          <w:rFonts w:ascii="Arial" w:hAnsi="Arial" w:cs="Arial"/>
          <w:sz w:val="24"/>
          <w:szCs w:val="24"/>
        </w:rPr>
        <w:t>(Accessed: 26 March 2026).</w:t>
      </w:r>
    </w:p>
    <w:p w14:paraId="5F2834DB" w14:textId="7263EDFC" w:rsidR="00F83421" w:rsidRDefault="00F83421" w:rsidP="009E58ED">
      <w:pPr>
        <w:spacing w:line="360" w:lineRule="auto"/>
        <w:jc w:val="both"/>
        <w:rPr>
          <w:rFonts w:ascii="Arial" w:hAnsi="Arial" w:cs="Arial"/>
          <w:sz w:val="24"/>
          <w:szCs w:val="24"/>
        </w:rPr>
      </w:pPr>
      <w:r w:rsidRPr="00F83421">
        <w:rPr>
          <w:rFonts w:ascii="Arial" w:hAnsi="Arial" w:cs="Arial"/>
          <w:sz w:val="24"/>
          <w:szCs w:val="24"/>
        </w:rPr>
        <w:t>Gershenson (2017)</w:t>
      </w:r>
      <w:r>
        <w:rPr>
          <w:rFonts w:ascii="Arial" w:hAnsi="Arial" w:cs="Arial"/>
          <w:sz w:val="24"/>
          <w:szCs w:val="24"/>
        </w:rPr>
        <w:t>.</w:t>
      </w:r>
      <w:r w:rsidRPr="00F83421">
        <w:rPr>
          <w:rFonts w:ascii="Arial" w:hAnsi="Arial" w:cs="Arial"/>
          <w:sz w:val="24"/>
          <w:szCs w:val="24"/>
        </w:rPr>
        <w:t xml:space="preserve"> The Long-Run Impacts of Same-Race Teachers. 10630. American University</w:t>
      </w:r>
      <w:r w:rsidR="007B2A4A">
        <w:rPr>
          <w:rFonts w:ascii="Arial" w:hAnsi="Arial" w:cs="Arial"/>
          <w:sz w:val="24"/>
          <w:szCs w:val="24"/>
        </w:rPr>
        <w:t xml:space="preserve"> </w:t>
      </w:r>
      <w:r w:rsidRPr="00F83421">
        <w:rPr>
          <w:rFonts w:ascii="Arial" w:hAnsi="Arial" w:cs="Arial"/>
          <w:sz w:val="24"/>
          <w:szCs w:val="24"/>
        </w:rPr>
        <w:t>School of Public Affairs Available at: https://download.ssrn.com/iza/dp10630.pdf?response-content-disposition=inline&amp;X-Amz-Security-Token=IQoJb3JpZ2luX2VjEAAaCXVzLWVhc3QtMSJHMEUCICNsAWCzLVz6dXzuHaw3eyB0NaXHFTAKXG5CkR4fqyStAiEA8DuhpckH6fLS52KQw8F5DJJmDxcUbQRasSQkt6IjGn4qxgUIyf%2F%2F%2F%2F%2F%2F%2F%2F%2F%2FARAEGgwzMDg0NzUzMDEyNTciDLCRP%2FLbgMWRztQv0yqaBfoNBjWtj%2FAfBjtkykNXDd5Xxz41xPGRGsigYz%2BlNAgro8e93qTJ2uSQYEM5L7eWT9mA2IaRFUFNNHuMedkJTXyn%2FRL0mHfqB2aB%2BFkdRBXK80x4rsCuVC2EFIfT8THE0M22jETSMzDH7XfXGgDR48sdQwWzxT3mnFWzDVBR7ypDUwoadcRo1HUdGZbVh6IOu4C8rJrSpbztrHx5ktzERG9DZ5DC9ey2YJ2XFeIkKFTuDhRwDXooqePLSD16i3MbvYuDaWiaXtMPCj8FjBF0MEo2E4Fe1%2FnVH4J%2BCjO%2BNefDLKlyAxu6Kyd0YDckmZexNMDHhBzr7pI2proLZydWyo%2BOWkwhX9Ssz8wi3FErzXnGGssHIvOyK%2Bw77aSHNBkkGEsTsiCFy9Tjfp1NvDl0Q1dzNiu5j%2F3GaShGiUp7SsQ1IWfjPgDbXKSEZkvd03LBMi9ZDMVK0hcq%2Fk3bzqHLF1sPwArKTIn%2FXjdVEejtgjdoIapCijC6p3IB%2BpyOkp</w:t>
      </w:r>
      <w:r w:rsidRPr="00F83421">
        <w:rPr>
          <w:rFonts w:ascii="Arial" w:hAnsi="Arial" w:cs="Arial"/>
          <w:sz w:val="24"/>
          <w:szCs w:val="24"/>
        </w:rPr>
        <w:lastRenderedPageBreak/>
        <w:t>97XSyksSkavV933zTy015Z%2F1xtt8wI%2BoheGvcd4rKop1lHlBh7ITtEDai%2FmGamiCfq5AfRHwRT0u912NRjbFA575osNlAFg6lqXLes0WDbQ9U7YWRpCDXQSCoJb0Pkj65S%2FjFkEbqlZJIIJFjVAt7A4tu7Z6MBGDSmQR01zFbJSmz%2Bmm2S7n%2Fp47q6Lmvyxy%2BLW1ZKoFK%2F0CHuQfwKVifGsyf%2F4mC5qEw8vTASIndYJzTZrJMyvJ08bPL8AiLiA0k5huNUJhaa3yF%2BCx8YReRiK6RI73n00ScNwR%2BTZWPSSpQtqj%2BcIZkN0vH8GqJTS6MAzGrVT%2FEJEtw%2BVR1UDh5BrS6F4MNZfjVmngm1yt68pnXxDiWToOBZLyjULzCsnpXOBjqxAY5x9Phe8DoNtSNl1a4lgghyNxvO67vMxkyFLPdSPSzCsQjr7OsWLGBN8gTkvbmCFiqmPccqInq2y0ZbSI7qTmdAq%2FJH5IYRInzRWHhe2aW%2FQlBJQF9gzlb8D72UulhDqMNvmEhOsXRTzxK8bMzgf9riwEeE%2BM4WtdyXAK8vlgdhoHC2C3Vq7tu2hf8KSiMuRFzNQSogf4WRkmbwYu8DX1lZRf%2FR%2BySsjEPeozlVj3p5Ew%3D%3D&amp;X-Amz-Algorithm=AWS4-HMAC-SHA256&amp;X-Amz-Date=20260326T153847Z&amp;X-Amz-SignedHeaders=host&amp;X-Amz-Expires=300&amp;X-Amz-Credential=ASIAUPUUPRWEW56R2OGR%2F20260326%2Fus-east-1%2Fs3%2Faws4_request&amp;X-Amz-Signature=0568eec5dfc63ccfc286c3712c9566bc3cbf21045852035e45fe07497842494e&amp;abstractId=2940620</w:t>
      </w:r>
      <w:r>
        <w:rPr>
          <w:rFonts w:ascii="Arial" w:hAnsi="Arial" w:cs="Arial"/>
          <w:sz w:val="24"/>
          <w:szCs w:val="24"/>
        </w:rPr>
        <w:t xml:space="preserve"> </w:t>
      </w:r>
      <w:r w:rsidRPr="00F83421">
        <w:rPr>
          <w:rFonts w:ascii="Arial" w:hAnsi="Arial" w:cs="Arial"/>
          <w:sz w:val="24"/>
          <w:szCs w:val="24"/>
        </w:rPr>
        <w:t>(Accessed: 19 March 2026).</w:t>
      </w:r>
    </w:p>
    <w:p w14:paraId="4534AD60" w14:textId="5C6A4F10" w:rsidR="00F27B4D" w:rsidRDefault="00F27B4D" w:rsidP="009E58ED">
      <w:pPr>
        <w:spacing w:line="360" w:lineRule="auto"/>
        <w:jc w:val="both"/>
        <w:rPr>
          <w:rFonts w:ascii="Arial" w:hAnsi="Arial" w:cs="Arial"/>
          <w:sz w:val="24"/>
          <w:szCs w:val="24"/>
        </w:rPr>
      </w:pPr>
      <w:r w:rsidRPr="00F27B4D">
        <w:rPr>
          <w:rFonts w:ascii="Arial" w:hAnsi="Arial" w:cs="Arial"/>
          <w:sz w:val="24"/>
          <w:szCs w:val="24"/>
        </w:rPr>
        <w:t>Ghosh, R., Hutchins, H., and Rose, K. (2020)</w:t>
      </w:r>
      <w:r>
        <w:rPr>
          <w:rFonts w:ascii="Arial" w:hAnsi="Arial" w:cs="Arial"/>
          <w:sz w:val="24"/>
          <w:szCs w:val="24"/>
        </w:rPr>
        <w:t>.</w:t>
      </w:r>
      <w:r w:rsidRPr="00F27B4D">
        <w:rPr>
          <w:rFonts w:ascii="Arial" w:hAnsi="Arial" w:cs="Arial"/>
          <w:sz w:val="24"/>
          <w:szCs w:val="24"/>
        </w:rPr>
        <w:t xml:space="preserve"> 'Exploring the lived experiences of mutuality in diverse formal faculty mentoring partnerships through the lens of mentoring schemas', Human Resource Development Quarterly, 31(3), pp. 319</w:t>
      </w:r>
      <w:r>
        <w:rPr>
          <w:rFonts w:ascii="Arial" w:hAnsi="Arial" w:cs="Arial"/>
          <w:sz w:val="24"/>
          <w:szCs w:val="24"/>
        </w:rPr>
        <w:t>–</w:t>
      </w:r>
      <w:r w:rsidRPr="00F27B4D">
        <w:rPr>
          <w:rFonts w:ascii="Arial" w:hAnsi="Arial" w:cs="Arial"/>
          <w:sz w:val="24"/>
          <w:szCs w:val="24"/>
        </w:rPr>
        <w:t xml:space="preserve">340. Available at: </w:t>
      </w:r>
      <w:hyperlink r:id="rId170" w:history="1">
        <w:r w:rsidRPr="007D0B0F">
          <w:rPr>
            <w:rStyle w:val="Hyperlink"/>
            <w:rFonts w:ascii="Arial" w:hAnsi="Arial" w:cs="Arial"/>
            <w:sz w:val="24"/>
            <w:szCs w:val="24"/>
          </w:rPr>
          <w:t>https://d1wqtxts1xzle7.cloudfront.net/123424095/hrdq.2138620250623-1-a89qx-libre.pdf?1750701902=&amp;response-content-disposition=inline%3B+filename%3DExploring_the_lived_experiences_of_mutua.pdf&amp;Expires=1775414343&amp;Signature=IBUIkcGKRr9iR0FdecOdyL5m5N5YI63CARWgX4MWp8ALFEASACQUxE~x18vxUqlCOvwQ8K4Q4nWziefxpBfJMWahjTNg4jH317ffKBflZ4FVE2MN3GAe1mw~53zNd5LoMhuMdph76GWhdjXtagdRqxbqNvyV6fRtAuFQUk4t68PpI1QdjnAx-qpJC5awCSOBBjjZqqab-Yc71pjL8itLxhP~5OZfMxdreLCa7jYpQGRY-fGTh932lQm1nT2M8zIcRsiRznWw4AcX-kmthoWmxXIYIWXX26vshjBU51abvqpNGJM70q9iLlHAgDgG8FjMlMeKsne99YLQM</w:t>
        </w:r>
        <w:r w:rsidRPr="007D0B0F">
          <w:rPr>
            <w:rStyle w:val="Hyperlink"/>
            <w:rFonts w:ascii="Arial" w:hAnsi="Arial" w:cs="Arial"/>
            <w:sz w:val="24"/>
            <w:szCs w:val="24"/>
          </w:rPr>
          <w:lastRenderedPageBreak/>
          <w:t>SbIWx3jvQ__&amp;Key-Pair-Id=APKAJLOHF5GGSLRBV4ZA</w:t>
        </w:r>
      </w:hyperlink>
      <w:r>
        <w:rPr>
          <w:rFonts w:ascii="Arial" w:hAnsi="Arial" w:cs="Arial"/>
          <w:sz w:val="24"/>
          <w:szCs w:val="24"/>
        </w:rPr>
        <w:t xml:space="preserve"> </w:t>
      </w:r>
      <w:r w:rsidRPr="00F27B4D">
        <w:rPr>
          <w:rFonts w:ascii="Arial" w:hAnsi="Arial" w:cs="Arial"/>
          <w:sz w:val="24"/>
          <w:szCs w:val="24"/>
        </w:rPr>
        <w:t>(Accessed: 24 March 2026).</w:t>
      </w:r>
    </w:p>
    <w:p w14:paraId="11148429" w14:textId="13C505C2" w:rsidR="00495348" w:rsidRDefault="00495348" w:rsidP="009E58ED">
      <w:pPr>
        <w:spacing w:line="360" w:lineRule="auto"/>
        <w:jc w:val="both"/>
        <w:rPr>
          <w:rFonts w:ascii="Arial" w:hAnsi="Arial" w:cs="Arial"/>
          <w:sz w:val="24"/>
          <w:szCs w:val="24"/>
        </w:rPr>
      </w:pPr>
      <w:r w:rsidRPr="00495348">
        <w:rPr>
          <w:rFonts w:ascii="Arial" w:hAnsi="Arial" w:cs="Arial"/>
          <w:sz w:val="24"/>
          <w:szCs w:val="24"/>
        </w:rPr>
        <w:t>Gill, K., Quilter-Pinner, H., and Swift, D. (2017). </w:t>
      </w:r>
      <w:r w:rsidRPr="00495348">
        <w:rPr>
          <w:rFonts w:ascii="Arial" w:hAnsi="Arial" w:cs="Arial"/>
          <w:i/>
          <w:iCs/>
          <w:sz w:val="24"/>
          <w:szCs w:val="24"/>
        </w:rPr>
        <w:t>Making The Difference: Breaking The Link Between School Exclusion and Social Exclusion</w:t>
      </w:r>
      <w:r w:rsidRPr="00495348">
        <w:rPr>
          <w:rFonts w:ascii="Arial" w:hAnsi="Arial" w:cs="Arial"/>
          <w:sz w:val="24"/>
          <w:szCs w:val="24"/>
        </w:rPr>
        <w:t>. Institute for Public Policy Research (IPPR)</w:t>
      </w:r>
      <w:r>
        <w:rPr>
          <w:rFonts w:ascii="Arial" w:hAnsi="Arial" w:cs="Arial"/>
          <w:sz w:val="24"/>
          <w:szCs w:val="24"/>
        </w:rPr>
        <w:t xml:space="preserve">. </w:t>
      </w:r>
      <w:r w:rsidRPr="00495348">
        <w:rPr>
          <w:rFonts w:ascii="Arial" w:hAnsi="Arial" w:cs="Arial"/>
          <w:sz w:val="24"/>
          <w:szCs w:val="24"/>
        </w:rPr>
        <w:t xml:space="preserve">Available at: </w:t>
      </w:r>
      <w:hyperlink r:id="rId171" w:history="1">
        <w:r w:rsidRPr="007D0B0F">
          <w:rPr>
            <w:rStyle w:val="Hyperlink"/>
            <w:rFonts w:ascii="Arial" w:hAnsi="Arial" w:cs="Arial"/>
            <w:sz w:val="24"/>
            <w:szCs w:val="24"/>
          </w:rPr>
          <w:t>https://ippr-org.files.svdcdn.com/production/Downloads/making-the-difference-summary-october-2017.pdf</w:t>
        </w:r>
      </w:hyperlink>
      <w:r>
        <w:rPr>
          <w:rFonts w:ascii="Arial" w:hAnsi="Arial" w:cs="Arial"/>
          <w:sz w:val="24"/>
          <w:szCs w:val="24"/>
        </w:rPr>
        <w:t xml:space="preserve"> </w:t>
      </w:r>
      <w:r w:rsidRPr="00495348">
        <w:rPr>
          <w:rFonts w:ascii="Arial" w:hAnsi="Arial" w:cs="Arial"/>
          <w:sz w:val="24"/>
          <w:szCs w:val="24"/>
        </w:rPr>
        <w:t>(Accessed: 21 March 2026).</w:t>
      </w:r>
    </w:p>
    <w:p w14:paraId="5EDAA41D" w14:textId="11720786" w:rsidR="00BA49EF" w:rsidRDefault="00BA49EF" w:rsidP="009E58ED">
      <w:pPr>
        <w:spacing w:line="360" w:lineRule="auto"/>
        <w:jc w:val="both"/>
        <w:rPr>
          <w:rFonts w:ascii="Arial" w:hAnsi="Arial" w:cs="Arial"/>
          <w:sz w:val="24"/>
          <w:szCs w:val="24"/>
        </w:rPr>
      </w:pPr>
      <w:r w:rsidRPr="00BA49EF">
        <w:rPr>
          <w:rFonts w:ascii="Arial" w:hAnsi="Arial" w:cs="Arial"/>
          <w:sz w:val="24"/>
          <w:szCs w:val="24"/>
        </w:rPr>
        <w:t>Gil</w:t>
      </w:r>
      <w:r w:rsidR="00FC049B">
        <w:rPr>
          <w:rFonts w:ascii="Arial" w:hAnsi="Arial" w:cs="Arial"/>
          <w:sz w:val="24"/>
          <w:szCs w:val="24"/>
        </w:rPr>
        <w:t>l</w:t>
      </w:r>
      <w:r w:rsidRPr="00BA49EF">
        <w:rPr>
          <w:rFonts w:ascii="Arial" w:hAnsi="Arial" w:cs="Arial"/>
          <w:sz w:val="24"/>
          <w:szCs w:val="24"/>
        </w:rPr>
        <w:t>born, D. (2008)</w:t>
      </w:r>
      <w:r w:rsidR="00F27B4D">
        <w:rPr>
          <w:rFonts w:ascii="Arial" w:hAnsi="Arial" w:cs="Arial"/>
          <w:sz w:val="24"/>
          <w:szCs w:val="24"/>
        </w:rPr>
        <w:t>.</w:t>
      </w:r>
      <w:r w:rsidRPr="00BA49EF">
        <w:rPr>
          <w:rFonts w:ascii="Arial" w:hAnsi="Arial" w:cs="Arial"/>
          <w:sz w:val="24"/>
          <w:szCs w:val="24"/>
        </w:rPr>
        <w:t> </w:t>
      </w:r>
      <w:r w:rsidRPr="00BA49EF">
        <w:rPr>
          <w:rFonts w:ascii="Arial" w:hAnsi="Arial" w:cs="Arial"/>
          <w:i/>
          <w:iCs/>
          <w:sz w:val="24"/>
          <w:szCs w:val="24"/>
        </w:rPr>
        <w:t>Racism and Education: Coincidence or Conspiracy?</w:t>
      </w:r>
      <w:r w:rsidRPr="00BA49EF">
        <w:rPr>
          <w:rFonts w:ascii="Arial" w:hAnsi="Arial" w:cs="Arial"/>
          <w:sz w:val="24"/>
          <w:szCs w:val="24"/>
        </w:rPr>
        <w:t xml:space="preserve"> Routledge. Available at: </w:t>
      </w:r>
      <w:hyperlink r:id="rId172" w:history="1">
        <w:r w:rsidRPr="002F0426">
          <w:rPr>
            <w:rStyle w:val="Hyperlink"/>
            <w:rFonts w:ascii="Arial" w:hAnsi="Arial" w:cs="Arial"/>
            <w:sz w:val="24"/>
            <w:szCs w:val="24"/>
          </w:rPr>
          <w:t>file:///C:/Users/Student/Downloads/9780203928424_previewpdf.pdf</w:t>
        </w:r>
      </w:hyperlink>
      <w:r>
        <w:rPr>
          <w:rFonts w:ascii="Arial" w:hAnsi="Arial" w:cs="Arial"/>
          <w:sz w:val="24"/>
          <w:szCs w:val="24"/>
        </w:rPr>
        <w:t xml:space="preserve"> </w:t>
      </w:r>
      <w:r w:rsidRPr="00BA49EF">
        <w:rPr>
          <w:rFonts w:ascii="Arial" w:hAnsi="Arial" w:cs="Arial"/>
          <w:sz w:val="24"/>
          <w:szCs w:val="24"/>
        </w:rPr>
        <w:t>(Accessed: 18 March 2026).</w:t>
      </w:r>
    </w:p>
    <w:p w14:paraId="725A8ED8" w14:textId="1ADB0FD9" w:rsidR="005B090F" w:rsidRDefault="005B090F" w:rsidP="009E58ED">
      <w:pPr>
        <w:spacing w:line="360" w:lineRule="auto"/>
        <w:jc w:val="both"/>
        <w:rPr>
          <w:rFonts w:ascii="Arial" w:hAnsi="Arial" w:cs="Arial"/>
          <w:sz w:val="24"/>
          <w:szCs w:val="24"/>
        </w:rPr>
      </w:pPr>
      <w:r w:rsidRPr="005B090F">
        <w:rPr>
          <w:rFonts w:ascii="Arial" w:hAnsi="Arial" w:cs="Arial"/>
          <w:sz w:val="24"/>
          <w:szCs w:val="24"/>
        </w:rPr>
        <w:t>Gillborn, D. (2013)</w:t>
      </w:r>
      <w:r w:rsidR="00F27B4D">
        <w:rPr>
          <w:rFonts w:ascii="Arial" w:hAnsi="Arial" w:cs="Arial"/>
          <w:sz w:val="24"/>
          <w:szCs w:val="24"/>
        </w:rPr>
        <w:t>.</w:t>
      </w:r>
      <w:r w:rsidRPr="005B090F">
        <w:rPr>
          <w:rFonts w:ascii="Arial" w:hAnsi="Arial" w:cs="Arial"/>
          <w:sz w:val="24"/>
          <w:szCs w:val="24"/>
        </w:rPr>
        <w:t xml:space="preserve"> 'The Policy of Inequity Using CRT to Unmask Supremacy in Education Policy', in Marvin Lynn and Adrienne Dixson (</w:t>
      </w:r>
      <w:r w:rsidR="00F27B4D">
        <w:rPr>
          <w:rFonts w:ascii="Arial" w:hAnsi="Arial" w:cs="Arial"/>
          <w:sz w:val="24"/>
          <w:szCs w:val="24"/>
        </w:rPr>
        <w:t>eds.</w:t>
      </w:r>
      <w:r w:rsidRPr="005B090F">
        <w:rPr>
          <w:rFonts w:ascii="Arial" w:hAnsi="Arial" w:cs="Arial"/>
          <w:sz w:val="24"/>
          <w:szCs w:val="24"/>
        </w:rPr>
        <w:t>), </w:t>
      </w:r>
      <w:r w:rsidRPr="005B090F">
        <w:rPr>
          <w:rFonts w:ascii="Arial" w:hAnsi="Arial" w:cs="Arial"/>
          <w:i/>
          <w:iCs/>
          <w:sz w:val="24"/>
          <w:szCs w:val="24"/>
        </w:rPr>
        <w:t>Handbook of Critical Race Theory in Education</w:t>
      </w:r>
      <w:r w:rsidRPr="005B090F">
        <w:rPr>
          <w:rFonts w:ascii="Arial" w:hAnsi="Arial" w:cs="Arial"/>
          <w:sz w:val="24"/>
          <w:szCs w:val="24"/>
        </w:rPr>
        <w:t>. Routledge, pp. 149</w:t>
      </w:r>
      <w:r w:rsidR="00F27B4D">
        <w:rPr>
          <w:rFonts w:ascii="Arial" w:hAnsi="Arial" w:cs="Arial"/>
          <w:sz w:val="24"/>
          <w:szCs w:val="24"/>
        </w:rPr>
        <w:t>–</w:t>
      </w:r>
      <w:r w:rsidRPr="005B090F">
        <w:rPr>
          <w:rFonts w:ascii="Arial" w:hAnsi="Arial" w:cs="Arial"/>
          <w:sz w:val="24"/>
          <w:szCs w:val="24"/>
        </w:rPr>
        <w:t>160.</w:t>
      </w:r>
    </w:p>
    <w:p w14:paraId="79CC3050" w14:textId="6D2429CE" w:rsidR="00E10A16" w:rsidRDefault="00E10A16" w:rsidP="009E58ED">
      <w:pPr>
        <w:spacing w:line="360" w:lineRule="auto"/>
        <w:jc w:val="both"/>
        <w:rPr>
          <w:rFonts w:ascii="Arial" w:hAnsi="Arial" w:cs="Arial"/>
          <w:sz w:val="24"/>
          <w:szCs w:val="24"/>
        </w:rPr>
      </w:pPr>
      <w:r w:rsidRPr="00E10A16">
        <w:rPr>
          <w:rFonts w:ascii="Arial" w:hAnsi="Arial" w:cs="Arial"/>
          <w:sz w:val="24"/>
          <w:szCs w:val="24"/>
        </w:rPr>
        <w:t>Gillborn, D. and Youdell, D. (2000)</w:t>
      </w:r>
      <w:r w:rsidR="00F27B4D">
        <w:rPr>
          <w:rFonts w:ascii="Arial" w:hAnsi="Arial" w:cs="Arial"/>
          <w:sz w:val="24"/>
          <w:szCs w:val="24"/>
        </w:rPr>
        <w:t>.</w:t>
      </w:r>
      <w:r w:rsidRPr="00E10A16">
        <w:rPr>
          <w:rFonts w:ascii="Arial" w:hAnsi="Arial" w:cs="Arial"/>
          <w:sz w:val="24"/>
          <w:szCs w:val="24"/>
        </w:rPr>
        <w:t xml:space="preserve"> Rationing education: policy, practice, reform and equity. Buckingham: Open University Press.</w:t>
      </w:r>
    </w:p>
    <w:p w14:paraId="38B4E714" w14:textId="680EDED9" w:rsidR="00A02FC1" w:rsidRDefault="00A02FC1" w:rsidP="009E58ED">
      <w:pPr>
        <w:spacing w:line="360" w:lineRule="auto"/>
        <w:jc w:val="both"/>
        <w:rPr>
          <w:rFonts w:ascii="Arial" w:hAnsi="Arial" w:cs="Arial"/>
          <w:sz w:val="24"/>
          <w:szCs w:val="24"/>
        </w:rPr>
      </w:pPr>
      <w:r w:rsidRPr="00A02FC1">
        <w:rPr>
          <w:rFonts w:ascii="Arial" w:hAnsi="Arial" w:cs="Arial"/>
          <w:sz w:val="24"/>
          <w:szCs w:val="24"/>
        </w:rPr>
        <w:t>Gillen-O’Neel, C. (2021)</w:t>
      </w:r>
      <w:r>
        <w:rPr>
          <w:rFonts w:ascii="Arial" w:hAnsi="Arial" w:cs="Arial"/>
          <w:sz w:val="24"/>
          <w:szCs w:val="24"/>
        </w:rPr>
        <w:t>.</w:t>
      </w:r>
      <w:r w:rsidRPr="00A02FC1">
        <w:rPr>
          <w:rFonts w:ascii="Arial" w:hAnsi="Arial" w:cs="Arial"/>
          <w:sz w:val="24"/>
          <w:szCs w:val="24"/>
        </w:rPr>
        <w:t xml:space="preserve"> 'Sense of Belonging and Student Engagement: A Daily Study of First- and Continuing-Generation College Students', Research in Higher Education, 62, pp. 45</w:t>
      </w:r>
      <w:r>
        <w:rPr>
          <w:rFonts w:ascii="Arial" w:hAnsi="Arial" w:cs="Arial"/>
          <w:sz w:val="24"/>
          <w:szCs w:val="24"/>
        </w:rPr>
        <w:t>–</w:t>
      </w:r>
      <w:r w:rsidRPr="00A02FC1">
        <w:rPr>
          <w:rFonts w:ascii="Arial" w:hAnsi="Arial" w:cs="Arial"/>
          <w:sz w:val="24"/>
          <w:szCs w:val="24"/>
        </w:rPr>
        <w:t xml:space="preserve">71. Available at: </w:t>
      </w:r>
      <w:hyperlink r:id="rId173" w:history="1">
        <w:r w:rsidRPr="007D0B0F">
          <w:rPr>
            <w:rStyle w:val="Hyperlink"/>
            <w:rFonts w:ascii="Arial" w:hAnsi="Arial" w:cs="Arial"/>
            <w:sz w:val="24"/>
            <w:szCs w:val="24"/>
          </w:rPr>
          <w:t>https://link.springer.com/article/10.1007/s11162-019-09570-y</w:t>
        </w:r>
      </w:hyperlink>
      <w:r>
        <w:rPr>
          <w:rFonts w:ascii="Arial" w:hAnsi="Arial" w:cs="Arial"/>
          <w:sz w:val="24"/>
          <w:szCs w:val="24"/>
        </w:rPr>
        <w:t xml:space="preserve"> </w:t>
      </w:r>
      <w:r w:rsidRPr="00A02FC1">
        <w:rPr>
          <w:rFonts w:ascii="Arial" w:hAnsi="Arial" w:cs="Arial"/>
          <w:sz w:val="24"/>
          <w:szCs w:val="24"/>
        </w:rPr>
        <w:t>(Accessed: 24 March 2026).</w:t>
      </w:r>
    </w:p>
    <w:p w14:paraId="586FE58C" w14:textId="2F2D1E2A" w:rsidR="00874813" w:rsidRDefault="00874813" w:rsidP="009E58ED">
      <w:pPr>
        <w:spacing w:line="360" w:lineRule="auto"/>
        <w:jc w:val="both"/>
        <w:rPr>
          <w:rFonts w:ascii="Arial" w:hAnsi="Arial" w:cs="Arial"/>
          <w:sz w:val="24"/>
          <w:szCs w:val="24"/>
        </w:rPr>
      </w:pPr>
      <w:r w:rsidRPr="00874813">
        <w:rPr>
          <w:rFonts w:ascii="Arial" w:hAnsi="Arial" w:cs="Arial"/>
          <w:sz w:val="24"/>
          <w:szCs w:val="24"/>
        </w:rPr>
        <w:t>Gillies, V., and Robinson, Y. (2012)</w:t>
      </w:r>
      <w:r w:rsidR="002A5661">
        <w:rPr>
          <w:rFonts w:ascii="Arial" w:hAnsi="Arial" w:cs="Arial"/>
          <w:sz w:val="24"/>
          <w:szCs w:val="24"/>
        </w:rPr>
        <w:t>.</w:t>
      </w:r>
      <w:r w:rsidRPr="00874813">
        <w:rPr>
          <w:rFonts w:ascii="Arial" w:hAnsi="Arial" w:cs="Arial"/>
          <w:sz w:val="24"/>
          <w:szCs w:val="24"/>
        </w:rPr>
        <w:t xml:space="preserve"> '‘Including’ while </w:t>
      </w:r>
      <w:r w:rsidR="00472242" w:rsidRPr="00874813">
        <w:rPr>
          <w:rFonts w:ascii="Arial" w:hAnsi="Arial" w:cs="Arial"/>
          <w:sz w:val="24"/>
          <w:szCs w:val="24"/>
        </w:rPr>
        <w:t>excluding</w:t>
      </w:r>
      <w:r w:rsidRPr="00874813">
        <w:rPr>
          <w:rFonts w:ascii="Arial" w:hAnsi="Arial" w:cs="Arial"/>
          <w:sz w:val="24"/>
          <w:szCs w:val="24"/>
        </w:rPr>
        <w:t xml:space="preserve"> race, class and behaviour support units', </w:t>
      </w:r>
      <w:r w:rsidRPr="00874813">
        <w:rPr>
          <w:rFonts w:ascii="Arial" w:hAnsi="Arial" w:cs="Arial"/>
          <w:i/>
          <w:iCs/>
          <w:sz w:val="24"/>
          <w:szCs w:val="24"/>
        </w:rPr>
        <w:t>Race Ethnicity and Education</w:t>
      </w:r>
      <w:r w:rsidRPr="00874813">
        <w:rPr>
          <w:rFonts w:ascii="Arial" w:hAnsi="Arial" w:cs="Arial"/>
          <w:sz w:val="24"/>
          <w:szCs w:val="24"/>
        </w:rPr>
        <w:t>, 15(2), pp. 157</w:t>
      </w:r>
      <w:r w:rsidR="002A5661">
        <w:rPr>
          <w:rFonts w:ascii="Arial" w:hAnsi="Arial" w:cs="Arial"/>
          <w:sz w:val="24"/>
          <w:szCs w:val="24"/>
        </w:rPr>
        <w:t>–</w:t>
      </w:r>
      <w:r w:rsidRPr="00874813">
        <w:rPr>
          <w:rFonts w:ascii="Arial" w:hAnsi="Arial" w:cs="Arial"/>
          <w:sz w:val="24"/>
          <w:szCs w:val="24"/>
        </w:rPr>
        <w:t xml:space="preserve">174. Available at: </w:t>
      </w:r>
      <w:hyperlink r:id="rId174" w:history="1">
        <w:r w:rsidR="00B06496" w:rsidRPr="007D0B0F">
          <w:rPr>
            <w:rStyle w:val="Hyperlink"/>
            <w:rFonts w:ascii="Arial" w:hAnsi="Arial" w:cs="Arial"/>
            <w:sz w:val="24"/>
            <w:szCs w:val="24"/>
          </w:rPr>
          <w:t>https://www.tandfonline.com/doi/full/10.1080/13613324.2011.578126</w:t>
        </w:r>
      </w:hyperlink>
      <w:r w:rsidR="00B06496">
        <w:rPr>
          <w:rFonts w:ascii="Arial" w:hAnsi="Arial" w:cs="Arial"/>
          <w:sz w:val="24"/>
          <w:szCs w:val="24"/>
        </w:rPr>
        <w:t xml:space="preserve"> </w:t>
      </w:r>
      <w:r w:rsidRPr="00874813">
        <w:rPr>
          <w:rFonts w:ascii="Arial" w:hAnsi="Arial" w:cs="Arial"/>
          <w:sz w:val="24"/>
          <w:szCs w:val="24"/>
        </w:rPr>
        <w:t>(Accessed: 21 March 2026).</w:t>
      </w:r>
    </w:p>
    <w:p w14:paraId="7F1DA6E6" w14:textId="7654130D" w:rsidR="00422600" w:rsidRDefault="00422600" w:rsidP="009E58ED">
      <w:pPr>
        <w:spacing w:line="360" w:lineRule="auto"/>
        <w:jc w:val="both"/>
        <w:rPr>
          <w:rFonts w:ascii="Arial" w:hAnsi="Arial" w:cs="Arial"/>
          <w:sz w:val="24"/>
          <w:szCs w:val="24"/>
        </w:rPr>
      </w:pPr>
      <w:r w:rsidRPr="00422600">
        <w:rPr>
          <w:rFonts w:ascii="Arial" w:hAnsi="Arial" w:cs="Arial"/>
          <w:sz w:val="24"/>
          <w:szCs w:val="24"/>
        </w:rPr>
        <w:t>Ginn, J., and Arber, S. (2003)</w:t>
      </w:r>
      <w:r>
        <w:rPr>
          <w:rFonts w:ascii="Arial" w:hAnsi="Arial" w:cs="Arial"/>
          <w:sz w:val="24"/>
          <w:szCs w:val="24"/>
        </w:rPr>
        <w:t>.</w:t>
      </w:r>
      <w:r w:rsidRPr="00422600">
        <w:rPr>
          <w:rFonts w:ascii="Arial" w:hAnsi="Arial" w:cs="Arial"/>
          <w:sz w:val="24"/>
          <w:szCs w:val="24"/>
        </w:rPr>
        <w:t xml:space="preserve"> 'Pension prospects of minority ethnic groups: inequalities by gender and ethnicity', The British Journal of Sociology, 52(3), pp. 519</w:t>
      </w:r>
      <w:r>
        <w:rPr>
          <w:rFonts w:ascii="Arial" w:hAnsi="Arial" w:cs="Arial"/>
          <w:sz w:val="24"/>
          <w:szCs w:val="24"/>
        </w:rPr>
        <w:t>–</w:t>
      </w:r>
      <w:r w:rsidRPr="00422600">
        <w:rPr>
          <w:rFonts w:ascii="Arial" w:hAnsi="Arial" w:cs="Arial"/>
          <w:sz w:val="24"/>
          <w:szCs w:val="24"/>
        </w:rPr>
        <w:t xml:space="preserve">539. Available at: </w:t>
      </w:r>
      <w:hyperlink r:id="rId175" w:history="1">
        <w:r w:rsidRPr="007D0B0F">
          <w:rPr>
            <w:rStyle w:val="Hyperlink"/>
            <w:rFonts w:ascii="Arial" w:hAnsi="Arial" w:cs="Arial"/>
            <w:sz w:val="24"/>
            <w:szCs w:val="24"/>
          </w:rPr>
          <w:t>https://d1wqtxts1xzle7.cloudfront.net/46940250/0007131012007116020160701-1486-1mqqhli-libre.pdf?1467412166=&amp;response-content-</w:t>
        </w:r>
        <w:r w:rsidRPr="007D0B0F">
          <w:rPr>
            <w:rStyle w:val="Hyperlink"/>
            <w:rFonts w:ascii="Arial" w:hAnsi="Arial" w:cs="Arial"/>
            <w:sz w:val="24"/>
            <w:szCs w:val="24"/>
          </w:rPr>
          <w:lastRenderedPageBreak/>
          <w:t>disposition=inline%3B+filename%3DPension_prospects_of_minority_ethnic_gro.pdf&amp;Expires=1775683959&amp;Signature=ELDFyrmfesLGPeMo0Im0ECcBkFhY4x~mZnKnhXE9cjapnKzMSYVdUFOFWBs8KxJGbsjSVM1E2uloL~IJVF14w25rF040cqaFsV-dcYR7D-25RtqNuWLrYP5IGhbHLvQxOIzRV6QuDpXAkMIpagznfJZL3xgihHTIzuuFstvvkaHRpEqLfrGIrIA6JZvV-AUNNJVUNEepHdhRY8vGE2ioD9QGnDoDigyl-0hRkUQMLi8y5p63N7DPY1xWmu6jCGI0kP9aB~0B1bCBCw4F7CDQM3gLMK3gQpauhvvnUUz1FBfSHB8ZmFH6eq~pAUsHbFxgw0zlmBmLXPlPHEMq9kikMg__&amp;Key-Pair-Id=APKAJLOHF5GGSLRBV4ZA</w:t>
        </w:r>
      </w:hyperlink>
      <w:r>
        <w:rPr>
          <w:rFonts w:ascii="Arial" w:hAnsi="Arial" w:cs="Arial"/>
          <w:sz w:val="24"/>
          <w:szCs w:val="24"/>
        </w:rPr>
        <w:t xml:space="preserve"> </w:t>
      </w:r>
      <w:r w:rsidRPr="00422600">
        <w:rPr>
          <w:rFonts w:ascii="Arial" w:hAnsi="Arial" w:cs="Arial"/>
          <w:sz w:val="24"/>
          <w:szCs w:val="24"/>
        </w:rPr>
        <w:t>(Accessed: 27 March 2026).</w:t>
      </w:r>
    </w:p>
    <w:p w14:paraId="7A90CE02" w14:textId="41371BD4" w:rsidR="00B035D5" w:rsidRDefault="00B035D5" w:rsidP="009E58ED">
      <w:pPr>
        <w:spacing w:line="360" w:lineRule="auto"/>
        <w:jc w:val="both"/>
        <w:rPr>
          <w:rFonts w:ascii="Arial" w:hAnsi="Arial" w:cs="Arial"/>
          <w:sz w:val="24"/>
          <w:szCs w:val="24"/>
        </w:rPr>
      </w:pPr>
      <w:r w:rsidRPr="00B035D5">
        <w:rPr>
          <w:rFonts w:ascii="Arial" w:hAnsi="Arial" w:cs="Arial"/>
          <w:sz w:val="24"/>
          <w:szCs w:val="24"/>
        </w:rPr>
        <w:t>Gold, S. (2016)</w:t>
      </w:r>
      <w:r>
        <w:rPr>
          <w:rFonts w:ascii="Arial" w:hAnsi="Arial" w:cs="Arial"/>
          <w:sz w:val="24"/>
          <w:szCs w:val="24"/>
        </w:rPr>
        <w:t>.</w:t>
      </w:r>
      <w:r w:rsidRPr="00B035D5">
        <w:rPr>
          <w:rFonts w:ascii="Arial" w:hAnsi="Arial" w:cs="Arial"/>
          <w:sz w:val="24"/>
          <w:szCs w:val="24"/>
        </w:rPr>
        <w:t xml:space="preserve"> 'A critical race theory approach to black American entrepreneurship', Ethnic and Racial Studies, 39(9), pp. 169-1718. Available at: </w:t>
      </w:r>
      <w:hyperlink r:id="rId176" w:anchor="abstract" w:history="1">
        <w:r w:rsidRPr="007D0B0F">
          <w:rPr>
            <w:rStyle w:val="Hyperlink"/>
            <w:rFonts w:ascii="Arial" w:hAnsi="Arial" w:cs="Arial"/>
            <w:sz w:val="24"/>
            <w:szCs w:val="24"/>
          </w:rPr>
          <w:t>https://www.tandfonline.com/doi/full/10.1080/01419870.2016.1159708?scroll=top&amp;needAccess=true#abstract</w:t>
        </w:r>
      </w:hyperlink>
      <w:r>
        <w:rPr>
          <w:rFonts w:ascii="Arial" w:hAnsi="Arial" w:cs="Arial"/>
          <w:sz w:val="24"/>
          <w:szCs w:val="24"/>
        </w:rPr>
        <w:t xml:space="preserve"> </w:t>
      </w:r>
      <w:r w:rsidRPr="00B035D5">
        <w:rPr>
          <w:rFonts w:ascii="Arial" w:hAnsi="Arial" w:cs="Arial"/>
          <w:sz w:val="24"/>
          <w:szCs w:val="24"/>
        </w:rPr>
        <w:t xml:space="preserve">(Accessed: </w:t>
      </w:r>
      <w:r>
        <w:rPr>
          <w:rFonts w:ascii="Arial" w:hAnsi="Arial" w:cs="Arial"/>
          <w:sz w:val="24"/>
          <w:szCs w:val="24"/>
        </w:rPr>
        <w:t>27 March</w:t>
      </w:r>
      <w:r w:rsidRPr="00B035D5">
        <w:rPr>
          <w:rFonts w:ascii="Arial" w:hAnsi="Arial" w:cs="Arial"/>
          <w:sz w:val="24"/>
          <w:szCs w:val="24"/>
        </w:rPr>
        <w:t xml:space="preserve"> 2026).</w:t>
      </w:r>
    </w:p>
    <w:p w14:paraId="2CE5180B" w14:textId="5A5269CB" w:rsidR="007F067C" w:rsidRDefault="007F067C" w:rsidP="009E58ED">
      <w:pPr>
        <w:spacing w:line="360" w:lineRule="auto"/>
        <w:jc w:val="both"/>
        <w:rPr>
          <w:rFonts w:ascii="Arial" w:hAnsi="Arial" w:cs="Arial"/>
          <w:sz w:val="24"/>
          <w:szCs w:val="24"/>
        </w:rPr>
      </w:pPr>
      <w:r w:rsidRPr="007F067C">
        <w:rPr>
          <w:rFonts w:ascii="Arial" w:hAnsi="Arial" w:cs="Arial"/>
          <w:sz w:val="24"/>
          <w:szCs w:val="24"/>
        </w:rPr>
        <w:t>Good, C., Aronson, J., Harder, J. (2008) 'Problems in the pipeline: Stereotype threat and women's achievement in high-level math courses', </w:t>
      </w:r>
      <w:r w:rsidRPr="007F067C">
        <w:rPr>
          <w:rFonts w:ascii="Arial" w:hAnsi="Arial" w:cs="Arial"/>
          <w:i/>
          <w:iCs/>
          <w:sz w:val="24"/>
          <w:szCs w:val="24"/>
        </w:rPr>
        <w:t>Journal of Applied Developmental Psychology</w:t>
      </w:r>
      <w:r w:rsidRPr="007F067C">
        <w:rPr>
          <w:rFonts w:ascii="Arial" w:hAnsi="Arial" w:cs="Arial"/>
          <w:sz w:val="24"/>
          <w:szCs w:val="24"/>
        </w:rPr>
        <w:t xml:space="preserve">, 29(1), pp. 17-28. Available at: </w:t>
      </w:r>
      <w:hyperlink r:id="rId177" w:history="1">
        <w:r w:rsidR="005B37BA" w:rsidRPr="00FB3832">
          <w:rPr>
            <w:rStyle w:val="Hyperlink"/>
            <w:rFonts w:ascii="Arial" w:hAnsi="Arial" w:cs="Arial"/>
            <w:sz w:val="24"/>
            <w:szCs w:val="24"/>
          </w:rPr>
          <w:t>https://www.sciencedirect.com/science/article/abs/pii/S0193397307001244</w:t>
        </w:r>
      </w:hyperlink>
      <w:r w:rsidR="005B37BA">
        <w:rPr>
          <w:rFonts w:ascii="Arial" w:hAnsi="Arial" w:cs="Arial"/>
          <w:sz w:val="24"/>
          <w:szCs w:val="24"/>
        </w:rPr>
        <w:t xml:space="preserve"> </w:t>
      </w:r>
      <w:r w:rsidRPr="007F067C">
        <w:rPr>
          <w:rFonts w:ascii="Arial" w:hAnsi="Arial" w:cs="Arial"/>
          <w:sz w:val="24"/>
          <w:szCs w:val="24"/>
        </w:rPr>
        <w:t>(Accessed: 19 March 2026).</w:t>
      </w:r>
    </w:p>
    <w:p w14:paraId="64FD573D" w14:textId="10D980FD" w:rsidR="00EA4B53" w:rsidRDefault="00EA4B53" w:rsidP="009E58ED">
      <w:pPr>
        <w:spacing w:line="360" w:lineRule="auto"/>
        <w:jc w:val="both"/>
        <w:rPr>
          <w:rFonts w:ascii="Arial" w:hAnsi="Arial" w:cs="Arial"/>
          <w:sz w:val="24"/>
          <w:szCs w:val="24"/>
        </w:rPr>
      </w:pPr>
      <w:r w:rsidRPr="00EA4B53">
        <w:rPr>
          <w:rFonts w:ascii="Arial" w:hAnsi="Arial" w:cs="Arial"/>
          <w:sz w:val="24"/>
          <w:szCs w:val="24"/>
        </w:rPr>
        <w:t>Gough, O., and Adami, R. (2013)</w:t>
      </w:r>
      <w:r>
        <w:rPr>
          <w:rFonts w:ascii="Arial" w:hAnsi="Arial" w:cs="Arial"/>
          <w:sz w:val="24"/>
          <w:szCs w:val="24"/>
        </w:rPr>
        <w:t>.</w:t>
      </w:r>
      <w:r w:rsidRPr="00EA4B53">
        <w:rPr>
          <w:rFonts w:ascii="Arial" w:hAnsi="Arial" w:cs="Arial"/>
          <w:sz w:val="24"/>
          <w:szCs w:val="24"/>
        </w:rPr>
        <w:t xml:space="preserve"> 'Saving for Retirement: A Review of Ethnic Minorities in the UK', </w:t>
      </w:r>
      <w:r w:rsidRPr="00EA4B53">
        <w:rPr>
          <w:rFonts w:ascii="Arial" w:hAnsi="Arial" w:cs="Arial"/>
          <w:i/>
          <w:iCs/>
          <w:sz w:val="24"/>
          <w:szCs w:val="24"/>
        </w:rPr>
        <w:t>Social Policy and Society</w:t>
      </w:r>
      <w:r w:rsidRPr="00EA4B53">
        <w:rPr>
          <w:rFonts w:ascii="Arial" w:hAnsi="Arial" w:cs="Arial"/>
          <w:sz w:val="24"/>
          <w:szCs w:val="24"/>
        </w:rPr>
        <w:t>, 12(1), pp. 147</w:t>
      </w:r>
      <w:r>
        <w:rPr>
          <w:rFonts w:ascii="Arial" w:hAnsi="Arial" w:cs="Arial"/>
          <w:sz w:val="24"/>
          <w:szCs w:val="24"/>
        </w:rPr>
        <w:t>–</w:t>
      </w:r>
      <w:r w:rsidRPr="00EA4B53">
        <w:rPr>
          <w:rFonts w:ascii="Arial" w:hAnsi="Arial" w:cs="Arial"/>
          <w:sz w:val="24"/>
          <w:szCs w:val="24"/>
        </w:rPr>
        <w:t xml:space="preserve">161. Available at: </w:t>
      </w:r>
      <w:hyperlink r:id="rId178" w:history="1">
        <w:r w:rsidRPr="007D0B0F">
          <w:rPr>
            <w:rStyle w:val="Hyperlink"/>
            <w:rFonts w:ascii="Arial" w:hAnsi="Arial" w:cs="Arial"/>
            <w:sz w:val="24"/>
            <w:szCs w:val="24"/>
          </w:rPr>
          <w:t>https://www.proquest.com/docview/1222007012?pq-origsite=gscholar&amp;fromopenview=true&amp;sourcetype=Scholarly%20Journals</w:t>
        </w:r>
      </w:hyperlink>
      <w:r>
        <w:rPr>
          <w:rFonts w:ascii="Arial" w:hAnsi="Arial" w:cs="Arial"/>
          <w:sz w:val="24"/>
          <w:szCs w:val="24"/>
        </w:rPr>
        <w:t xml:space="preserve"> </w:t>
      </w:r>
      <w:r w:rsidRPr="00EA4B53">
        <w:rPr>
          <w:rFonts w:ascii="Arial" w:hAnsi="Arial" w:cs="Arial"/>
          <w:sz w:val="24"/>
          <w:szCs w:val="24"/>
        </w:rPr>
        <w:t>(Accessed: 26 March 2026).</w:t>
      </w:r>
    </w:p>
    <w:p w14:paraId="09496466" w14:textId="27503B31" w:rsidR="005C385B" w:rsidRDefault="005C385B" w:rsidP="009E58ED">
      <w:pPr>
        <w:spacing w:line="360" w:lineRule="auto"/>
        <w:jc w:val="both"/>
        <w:rPr>
          <w:rFonts w:ascii="Arial" w:hAnsi="Arial" w:cs="Arial"/>
          <w:sz w:val="24"/>
          <w:szCs w:val="24"/>
        </w:rPr>
      </w:pPr>
      <w:r w:rsidRPr="005C385B">
        <w:rPr>
          <w:rFonts w:ascii="Arial" w:hAnsi="Arial" w:cs="Arial"/>
          <w:sz w:val="24"/>
          <w:szCs w:val="24"/>
        </w:rPr>
        <w:t>Gough, O., and Hick, R. (2006)</w:t>
      </w:r>
      <w:r>
        <w:rPr>
          <w:rFonts w:ascii="Arial" w:hAnsi="Arial" w:cs="Arial"/>
          <w:sz w:val="24"/>
          <w:szCs w:val="24"/>
        </w:rPr>
        <w:t>.</w:t>
      </w:r>
      <w:r w:rsidRPr="005C385B">
        <w:rPr>
          <w:rFonts w:ascii="Arial" w:hAnsi="Arial" w:cs="Arial"/>
          <w:sz w:val="24"/>
          <w:szCs w:val="24"/>
        </w:rPr>
        <w:t xml:space="preserve"> 'Ethnic Minorities, Retirement Planning and Personal Accounts', The International Journal of Sociology and Social Policy, 23(9/10), pp. 488</w:t>
      </w:r>
      <w:r>
        <w:rPr>
          <w:rFonts w:ascii="Arial" w:hAnsi="Arial" w:cs="Arial"/>
          <w:sz w:val="24"/>
          <w:szCs w:val="24"/>
        </w:rPr>
        <w:t>–</w:t>
      </w:r>
      <w:r w:rsidRPr="005C385B">
        <w:rPr>
          <w:rFonts w:ascii="Arial" w:hAnsi="Arial" w:cs="Arial"/>
          <w:sz w:val="24"/>
          <w:szCs w:val="24"/>
        </w:rPr>
        <w:t xml:space="preserve">497. Available at: </w:t>
      </w:r>
      <w:hyperlink r:id="rId179" w:history="1">
        <w:r w:rsidRPr="007D0B0F">
          <w:rPr>
            <w:rStyle w:val="Hyperlink"/>
            <w:rFonts w:ascii="Arial" w:hAnsi="Arial" w:cs="Arial"/>
            <w:sz w:val="24"/>
            <w:szCs w:val="24"/>
          </w:rPr>
          <w:t>https://www.proquest.com/docview/203787580?accountid=130472&amp;parentSessionId=vv%2BXBZK7W11e2sscpNqQ6JmXho7fV8JF3Px56k28iy4%3D&amp;pq-origsite=primo&amp;sourcetype=Scholarly%20Journals</w:t>
        </w:r>
      </w:hyperlink>
      <w:r>
        <w:rPr>
          <w:rFonts w:ascii="Arial" w:hAnsi="Arial" w:cs="Arial"/>
          <w:sz w:val="24"/>
          <w:szCs w:val="24"/>
        </w:rPr>
        <w:t xml:space="preserve"> </w:t>
      </w:r>
      <w:r w:rsidRPr="005C385B">
        <w:rPr>
          <w:rFonts w:ascii="Arial" w:hAnsi="Arial" w:cs="Arial"/>
          <w:sz w:val="24"/>
          <w:szCs w:val="24"/>
        </w:rPr>
        <w:t>(Accessed: 27 March 2026).</w:t>
      </w:r>
    </w:p>
    <w:p w14:paraId="61C7A3C5" w14:textId="4E8E96AD" w:rsidR="00B73C96" w:rsidRDefault="00B73C96" w:rsidP="009E58ED">
      <w:pPr>
        <w:spacing w:line="360" w:lineRule="auto"/>
        <w:jc w:val="both"/>
        <w:rPr>
          <w:rFonts w:ascii="Arial" w:hAnsi="Arial" w:cs="Arial"/>
          <w:sz w:val="24"/>
          <w:szCs w:val="24"/>
        </w:rPr>
      </w:pPr>
      <w:r w:rsidRPr="00B73C96">
        <w:rPr>
          <w:rFonts w:ascii="Arial" w:hAnsi="Arial" w:cs="Arial"/>
          <w:sz w:val="24"/>
          <w:szCs w:val="24"/>
        </w:rPr>
        <w:lastRenderedPageBreak/>
        <w:t>Graham, M. (2007)</w:t>
      </w:r>
      <w:r>
        <w:rPr>
          <w:rFonts w:ascii="Arial" w:hAnsi="Arial" w:cs="Arial"/>
          <w:sz w:val="24"/>
          <w:szCs w:val="24"/>
        </w:rPr>
        <w:t xml:space="preserve">. </w:t>
      </w:r>
      <w:r w:rsidRPr="00B73C96">
        <w:rPr>
          <w:rFonts w:ascii="Arial" w:hAnsi="Arial" w:cs="Arial"/>
          <w:i/>
          <w:iCs/>
          <w:sz w:val="24"/>
          <w:szCs w:val="24"/>
        </w:rPr>
        <w:t>Black issues in social work and social care.</w:t>
      </w:r>
      <w:r w:rsidRPr="00B73C96">
        <w:rPr>
          <w:rFonts w:ascii="Arial" w:hAnsi="Arial" w:cs="Arial"/>
          <w:sz w:val="24"/>
          <w:szCs w:val="24"/>
        </w:rPr>
        <w:t xml:space="preserve"> Policy Press. Available at: </w:t>
      </w:r>
      <w:hyperlink r:id="rId180" w:history="1">
        <w:r w:rsidRPr="007D0B0F">
          <w:rPr>
            <w:rStyle w:val="Hyperlink"/>
            <w:rFonts w:ascii="Arial" w:hAnsi="Arial" w:cs="Arial"/>
            <w:sz w:val="24"/>
            <w:szCs w:val="24"/>
          </w:rPr>
          <w:t>https://doi.org/10.51952/9781447342533</w:t>
        </w:r>
      </w:hyperlink>
      <w:r>
        <w:rPr>
          <w:rFonts w:ascii="Arial" w:hAnsi="Arial" w:cs="Arial"/>
          <w:sz w:val="24"/>
          <w:szCs w:val="24"/>
        </w:rPr>
        <w:t xml:space="preserve"> </w:t>
      </w:r>
      <w:r w:rsidRPr="00B73C96">
        <w:rPr>
          <w:rFonts w:ascii="Arial" w:hAnsi="Arial" w:cs="Arial"/>
          <w:sz w:val="24"/>
          <w:szCs w:val="24"/>
        </w:rPr>
        <w:t>(Accessed: 21 March 2026).</w:t>
      </w:r>
    </w:p>
    <w:p w14:paraId="657870F9" w14:textId="196E56DF" w:rsidR="00092BC5" w:rsidRDefault="00092BC5" w:rsidP="009E58ED">
      <w:pPr>
        <w:spacing w:line="360" w:lineRule="auto"/>
        <w:jc w:val="both"/>
        <w:rPr>
          <w:rFonts w:ascii="Arial" w:hAnsi="Arial" w:cs="Arial"/>
          <w:sz w:val="24"/>
          <w:szCs w:val="24"/>
        </w:rPr>
      </w:pPr>
      <w:r w:rsidRPr="00092BC5">
        <w:rPr>
          <w:rFonts w:ascii="Arial" w:hAnsi="Arial" w:cs="Arial"/>
          <w:sz w:val="24"/>
          <w:szCs w:val="24"/>
        </w:rPr>
        <w:t>Green, R. (2009)</w:t>
      </w:r>
      <w:r w:rsidR="00776EDA">
        <w:rPr>
          <w:rFonts w:ascii="Arial" w:hAnsi="Arial" w:cs="Arial"/>
          <w:sz w:val="24"/>
          <w:szCs w:val="24"/>
        </w:rPr>
        <w:t>.</w:t>
      </w:r>
      <w:r w:rsidRPr="00092BC5">
        <w:rPr>
          <w:rFonts w:ascii="Arial" w:hAnsi="Arial" w:cs="Arial"/>
          <w:sz w:val="24"/>
          <w:szCs w:val="24"/>
        </w:rPr>
        <w:t xml:space="preserve"> American and Australian Doctoral Literature Reviewing Practices and Pedagogies. Doctor of Philosophy. Deakin University</w:t>
      </w:r>
      <w:r w:rsidR="008742D8">
        <w:rPr>
          <w:rFonts w:ascii="Arial" w:hAnsi="Arial" w:cs="Arial"/>
          <w:sz w:val="24"/>
          <w:szCs w:val="24"/>
        </w:rPr>
        <w:t>,</w:t>
      </w:r>
      <w:r w:rsidRPr="00092BC5">
        <w:rPr>
          <w:rFonts w:ascii="Arial" w:hAnsi="Arial" w:cs="Arial"/>
          <w:sz w:val="24"/>
          <w:szCs w:val="24"/>
        </w:rPr>
        <w:t xml:space="preserve"> Australia. Available at: </w:t>
      </w:r>
      <w:hyperlink r:id="rId181" w:history="1">
        <w:r w:rsidR="00776EDA" w:rsidRPr="001228C1">
          <w:rPr>
            <w:rStyle w:val="Hyperlink"/>
            <w:rFonts w:ascii="Arial" w:hAnsi="Arial" w:cs="Arial"/>
            <w:sz w:val="24"/>
            <w:szCs w:val="24"/>
          </w:rPr>
          <w:t>https://www.proquest.com/docview/884630411?%20Theses&amp;fromopenview=true&amp;pq-origsite=gscholar&amp;sourcetype=Dissertations%20#</w:t>
        </w:r>
      </w:hyperlink>
      <w:r w:rsidR="00776EDA">
        <w:rPr>
          <w:rFonts w:ascii="Arial" w:hAnsi="Arial" w:cs="Arial"/>
          <w:sz w:val="24"/>
          <w:szCs w:val="24"/>
        </w:rPr>
        <w:t xml:space="preserve"> </w:t>
      </w:r>
      <w:r w:rsidRPr="00092BC5">
        <w:rPr>
          <w:rFonts w:ascii="Arial" w:hAnsi="Arial" w:cs="Arial"/>
          <w:sz w:val="24"/>
          <w:szCs w:val="24"/>
        </w:rPr>
        <w:t>(Accessed: 11 March 2026).</w:t>
      </w:r>
    </w:p>
    <w:p w14:paraId="1ACD634B" w14:textId="2145C76E" w:rsidR="00D0106D" w:rsidRDefault="00D0106D" w:rsidP="009E58ED">
      <w:pPr>
        <w:spacing w:line="360" w:lineRule="auto"/>
        <w:jc w:val="both"/>
        <w:rPr>
          <w:rFonts w:ascii="Arial" w:hAnsi="Arial" w:cs="Arial"/>
          <w:sz w:val="24"/>
          <w:szCs w:val="24"/>
        </w:rPr>
      </w:pPr>
      <w:r w:rsidRPr="00D0106D">
        <w:rPr>
          <w:rFonts w:ascii="Arial" w:hAnsi="Arial" w:cs="Arial"/>
          <w:sz w:val="24"/>
          <w:szCs w:val="24"/>
        </w:rPr>
        <w:t>Grey, T., Sewell, H., Shapiro, G., and Ashraf, F. (2013)</w:t>
      </w:r>
      <w:r>
        <w:rPr>
          <w:rFonts w:ascii="Arial" w:hAnsi="Arial" w:cs="Arial"/>
          <w:sz w:val="24"/>
          <w:szCs w:val="24"/>
        </w:rPr>
        <w:t>.</w:t>
      </w:r>
      <w:r w:rsidRPr="00D0106D">
        <w:rPr>
          <w:rFonts w:ascii="Arial" w:hAnsi="Arial" w:cs="Arial"/>
          <w:sz w:val="24"/>
          <w:szCs w:val="24"/>
        </w:rPr>
        <w:t xml:space="preserve"> 'Mental Health Inequalities Facing U.K. Minority Ethnic Populations Causal Factors and Solutions', Journal of Psychological Issues in Organizational Culture, 3(1), pp. 146</w:t>
      </w:r>
      <w:r>
        <w:rPr>
          <w:rFonts w:ascii="Arial" w:hAnsi="Arial" w:cs="Arial"/>
          <w:sz w:val="24"/>
          <w:szCs w:val="24"/>
        </w:rPr>
        <w:t>–</w:t>
      </w:r>
      <w:r w:rsidRPr="00D0106D">
        <w:rPr>
          <w:rFonts w:ascii="Arial" w:hAnsi="Arial" w:cs="Arial"/>
          <w:sz w:val="24"/>
          <w:szCs w:val="24"/>
        </w:rPr>
        <w:t xml:space="preserve">157. Available at: </w:t>
      </w:r>
      <w:hyperlink r:id="rId182" w:history="1">
        <w:r w:rsidRPr="007D0B0F">
          <w:rPr>
            <w:rStyle w:val="Hyperlink"/>
            <w:rFonts w:ascii="Arial" w:hAnsi="Arial" w:cs="Arial"/>
            <w:sz w:val="24"/>
            <w:szCs w:val="24"/>
          </w:rPr>
          <w:t>https://d1wqtxts1xzle7.cloudfront.net/91292606/jpoc.2108020220920-1-vmgjri-libre.pdf?1663663809=&amp;response-content-disposition=inline%3B+filename%3DMental_Health_Inequalities_Facing_U_K_Mi.pdf&amp;Expires=1775781614&amp;Signature=dRSAi5HYNuQHupk-V10pSshOTLbSDlheXYvYoiHVE-ohINWHW4R6dr2AaDlVOlbyRxZfpbS8BgtOSE3IlE02xKBaeR1Oe0eMjvp-ky2UXWSaF2KYySAao9~7iBy~uuHdj~Z~c8diBKtJCKXdq3cZuo3NpzivUIB4PQyTk7Z1QvhMBiVKnf55zdC573exB1CD6LC5WLUuB1nDO8HGQO-Z3L4s1iMcFLXK1I6ktz6RRQFDEPMZm0hCLhwI0kwm0D~6cnV9t1zyaQtDjNfpW8Dx~KfdJiFJUhgCE5uq0lsdCh-AJKRPeKxem5eQy1Xj1xYRvKngDNLtmEQty25cHm6rhw__&amp;Key-Pair-Id=APKAJLOHF5GGSLRBV4ZA</w:t>
        </w:r>
      </w:hyperlink>
      <w:r>
        <w:rPr>
          <w:rFonts w:ascii="Arial" w:hAnsi="Arial" w:cs="Arial"/>
          <w:sz w:val="24"/>
          <w:szCs w:val="24"/>
        </w:rPr>
        <w:t xml:space="preserve"> </w:t>
      </w:r>
      <w:r w:rsidRPr="00D0106D">
        <w:rPr>
          <w:rFonts w:ascii="Arial" w:hAnsi="Arial" w:cs="Arial"/>
          <w:sz w:val="24"/>
          <w:szCs w:val="24"/>
        </w:rPr>
        <w:t>(Accessed: 29 March 2026).</w:t>
      </w:r>
    </w:p>
    <w:p w14:paraId="2CC1683D" w14:textId="789684E8" w:rsidR="00017EE5" w:rsidRDefault="00017EE5" w:rsidP="009E58ED">
      <w:pPr>
        <w:spacing w:line="360" w:lineRule="auto"/>
        <w:jc w:val="both"/>
        <w:rPr>
          <w:rFonts w:ascii="Arial" w:hAnsi="Arial" w:cs="Arial"/>
          <w:sz w:val="24"/>
          <w:szCs w:val="24"/>
        </w:rPr>
      </w:pPr>
      <w:r w:rsidRPr="00017EE5">
        <w:rPr>
          <w:rFonts w:ascii="Arial" w:hAnsi="Arial" w:cs="Arial"/>
          <w:sz w:val="24"/>
          <w:szCs w:val="24"/>
        </w:rPr>
        <w:t>Grillo, M., Leist, C. (2013)</w:t>
      </w:r>
      <w:r w:rsidR="006155AF">
        <w:rPr>
          <w:rFonts w:ascii="Arial" w:hAnsi="Arial" w:cs="Arial"/>
          <w:sz w:val="24"/>
          <w:szCs w:val="24"/>
        </w:rPr>
        <w:t>.</w:t>
      </w:r>
      <w:r w:rsidRPr="00017EE5">
        <w:rPr>
          <w:rFonts w:ascii="Arial" w:hAnsi="Arial" w:cs="Arial"/>
          <w:sz w:val="24"/>
          <w:szCs w:val="24"/>
        </w:rPr>
        <w:t xml:space="preserve"> 'Academic Support as a Predictor of Retention to Graduation: New Insights on the Role of Tutoring, Learning Assistance, and Supplemental Instruction', </w:t>
      </w:r>
      <w:r w:rsidRPr="00017EE5">
        <w:rPr>
          <w:rFonts w:ascii="Arial" w:hAnsi="Arial" w:cs="Arial"/>
          <w:i/>
          <w:iCs/>
          <w:sz w:val="24"/>
          <w:szCs w:val="24"/>
        </w:rPr>
        <w:t>Journal of College Student Retention: Research, Theory and Practice</w:t>
      </w:r>
      <w:r w:rsidRPr="00017EE5">
        <w:rPr>
          <w:rFonts w:ascii="Arial" w:hAnsi="Arial" w:cs="Arial"/>
          <w:sz w:val="24"/>
          <w:szCs w:val="24"/>
        </w:rPr>
        <w:t>, 15(3), pp. 387</w:t>
      </w:r>
      <w:r w:rsidR="006155AF">
        <w:rPr>
          <w:rFonts w:ascii="Arial" w:hAnsi="Arial" w:cs="Arial"/>
          <w:sz w:val="24"/>
          <w:szCs w:val="24"/>
        </w:rPr>
        <w:t>–</w:t>
      </w:r>
      <w:r w:rsidRPr="00017EE5">
        <w:rPr>
          <w:rFonts w:ascii="Arial" w:hAnsi="Arial" w:cs="Arial"/>
          <w:sz w:val="24"/>
          <w:szCs w:val="24"/>
        </w:rPr>
        <w:t xml:space="preserve">408. Available at: </w:t>
      </w:r>
      <w:hyperlink r:id="rId183" w:history="1">
        <w:r w:rsidRPr="007D0B0F">
          <w:rPr>
            <w:rStyle w:val="Hyperlink"/>
            <w:rFonts w:ascii="Arial" w:hAnsi="Arial" w:cs="Arial"/>
            <w:sz w:val="24"/>
            <w:szCs w:val="24"/>
          </w:rPr>
          <w:t>https://journals.sagepub.com/doi/epdf/10.2190/CS.15.3.e</w:t>
        </w:r>
      </w:hyperlink>
      <w:r>
        <w:rPr>
          <w:rFonts w:ascii="Arial" w:hAnsi="Arial" w:cs="Arial"/>
          <w:sz w:val="24"/>
          <w:szCs w:val="24"/>
        </w:rPr>
        <w:t xml:space="preserve"> </w:t>
      </w:r>
      <w:r w:rsidRPr="00017EE5">
        <w:rPr>
          <w:rFonts w:ascii="Arial" w:hAnsi="Arial" w:cs="Arial"/>
          <w:sz w:val="24"/>
          <w:szCs w:val="24"/>
        </w:rPr>
        <w:t>(Accessed: 24 March 2026).</w:t>
      </w:r>
    </w:p>
    <w:p w14:paraId="33C126FC" w14:textId="1F676DDB" w:rsidR="006155AF" w:rsidRDefault="006155AF" w:rsidP="009E58ED">
      <w:pPr>
        <w:spacing w:line="360" w:lineRule="auto"/>
        <w:jc w:val="both"/>
        <w:rPr>
          <w:rFonts w:ascii="Arial" w:hAnsi="Arial" w:cs="Arial"/>
          <w:sz w:val="24"/>
          <w:szCs w:val="24"/>
        </w:rPr>
      </w:pPr>
      <w:r w:rsidRPr="006155AF">
        <w:rPr>
          <w:rFonts w:ascii="Arial" w:hAnsi="Arial" w:cs="Arial"/>
          <w:sz w:val="24"/>
          <w:szCs w:val="24"/>
        </w:rPr>
        <w:t xml:space="preserve">Hackett, R., Ronaldson, A., </w:t>
      </w:r>
      <w:proofErr w:type="spellStart"/>
      <w:r w:rsidRPr="006155AF">
        <w:rPr>
          <w:rFonts w:ascii="Arial" w:hAnsi="Arial" w:cs="Arial"/>
          <w:sz w:val="24"/>
          <w:szCs w:val="24"/>
        </w:rPr>
        <w:t>Bhui</w:t>
      </w:r>
      <w:proofErr w:type="spellEnd"/>
      <w:r w:rsidRPr="006155AF">
        <w:rPr>
          <w:rFonts w:ascii="Arial" w:hAnsi="Arial" w:cs="Arial"/>
          <w:sz w:val="24"/>
          <w:szCs w:val="24"/>
        </w:rPr>
        <w:t>, K., Steptoe, A., and Jackson, S. (2020)</w:t>
      </w:r>
      <w:r>
        <w:rPr>
          <w:rFonts w:ascii="Arial" w:hAnsi="Arial" w:cs="Arial"/>
          <w:sz w:val="24"/>
          <w:szCs w:val="24"/>
        </w:rPr>
        <w:t>.</w:t>
      </w:r>
      <w:r w:rsidRPr="006155AF">
        <w:rPr>
          <w:rFonts w:ascii="Arial" w:hAnsi="Arial" w:cs="Arial"/>
          <w:sz w:val="24"/>
          <w:szCs w:val="24"/>
        </w:rPr>
        <w:t xml:space="preserve"> 'Racial discrimination and health: a prospective study of ethnic minorities in the United </w:t>
      </w:r>
      <w:r w:rsidRPr="006155AF">
        <w:rPr>
          <w:rFonts w:ascii="Arial" w:hAnsi="Arial" w:cs="Arial"/>
          <w:sz w:val="24"/>
          <w:szCs w:val="24"/>
        </w:rPr>
        <w:lastRenderedPageBreak/>
        <w:t>Kingdom', BMC Public Health, 20, (1652) pp.1</w:t>
      </w:r>
      <w:r>
        <w:rPr>
          <w:rFonts w:ascii="Arial" w:hAnsi="Arial" w:cs="Arial"/>
          <w:sz w:val="24"/>
          <w:szCs w:val="24"/>
        </w:rPr>
        <w:t>–</w:t>
      </w:r>
      <w:r w:rsidRPr="006155AF">
        <w:rPr>
          <w:rFonts w:ascii="Arial" w:hAnsi="Arial" w:cs="Arial"/>
          <w:sz w:val="24"/>
          <w:szCs w:val="24"/>
        </w:rPr>
        <w:t xml:space="preserve">13. Available at: </w:t>
      </w:r>
      <w:hyperlink r:id="rId184" w:history="1">
        <w:r w:rsidRPr="007D0B0F">
          <w:rPr>
            <w:rStyle w:val="Hyperlink"/>
            <w:rFonts w:ascii="Arial" w:hAnsi="Arial" w:cs="Arial"/>
            <w:sz w:val="24"/>
            <w:szCs w:val="24"/>
          </w:rPr>
          <w:t>https://www.scienceopen.com/document_file/3c93c772-01f0-4a81-a069-cb06feb2bc49/PubMedCentral/3c93c772-01f0-4a81-a069-cb06feb2bc49.pdf</w:t>
        </w:r>
      </w:hyperlink>
      <w:r>
        <w:rPr>
          <w:rFonts w:ascii="Arial" w:hAnsi="Arial" w:cs="Arial"/>
          <w:sz w:val="24"/>
          <w:szCs w:val="24"/>
        </w:rPr>
        <w:t xml:space="preserve"> </w:t>
      </w:r>
      <w:r w:rsidRPr="006155AF">
        <w:rPr>
          <w:rFonts w:ascii="Arial" w:hAnsi="Arial" w:cs="Arial"/>
          <w:sz w:val="24"/>
          <w:szCs w:val="24"/>
        </w:rPr>
        <w:t xml:space="preserve"> (Accessed: 30 March 2026).</w:t>
      </w:r>
    </w:p>
    <w:p w14:paraId="042D4792" w14:textId="42C7B340" w:rsidR="00993CA0" w:rsidRDefault="00993CA0" w:rsidP="009E58ED">
      <w:pPr>
        <w:spacing w:line="360" w:lineRule="auto"/>
        <w:jc w:val="both"/>
        <w:rPr>
          <w:rFonts w:ascii="Arial" w:hAnsi="Arial" w:cs="Arial"/>
          <w:sz w:val="24"/>
          <w:szCs w:val="24"/>
        </w:rPr>
      </w:pPr>
      <w:r w:rsidRPr="00993CA0">
        <w:rPr>
          <w:rFonts w:ascii="Arial" w:hAnsi="Arial" w:cs="Arial"/>
          <w:sz w:val="24"/>
          <w:szCs w:val="24"/>
        </w:rPr>
        <w:t xml:space="preserve">Hall, B., and Khan, R. (2022) University students are hidden targets of county lines drug dealing – new report. Available at: </w:t>
      </w:r>
      <w:hyperlink r:id="rId185" w:history="1">
        <w:r w:rsidRPr="007D0B0F">
          <w:rPr>
            <w:rStyle w:val="Hyperlink"/>
            <w:rFonts w:ascii="Arial" w:hAnsi="Arial" w:cs="Arial"/>
            <w:sz w:val="24"/>
            <w:szCs w:val="24"/>
          </w:rPr>
          <w:t>https://theconversation.com/university-students-are-hidden-targets-of-county-lines-drug-dealing-new-report-187320</w:t>
        </w:r>
      </w:hyperlink>
      <w:r>
        <w:rPr>
          <w:rFonts w:ascii="Arial" w:hAnsi="Arial" w:cs="Arial"/>
          <w:sz w:val="24"/>
          <w:szCs w:val="24"/>
        </w:rPr>
        <w:t xml:space="preserve"> </w:t>
      </w:r>
      <w:r w:rsidRPr="00993CA0">
        <w:rPr>
          <w:rFonts w:ascii="Arial" w:hAnsi="Arial" w:cs="Arial"/>
          <w:sz w:val="24"/>
          <w:szCs w:val="24"/>
        </w:rPr>
        <w:t>(Accessed: 1 April 2026).</w:t>
      </w:r>
    </w:p>
    <w:p w14:paraId="27204AB4" w14:textId="0861F973" w:rsidR="00687BFE" w:rsidRDefault="00986A3A" w:rsidP="009E58ED">
      <w:pPr>
        <w:spacing w:line="360" w:lineRule="auto"/>
        <w:jc w:val="both"/>
        <w:rPr>
          <w:rFonts w:ascii="Arial" w:hAnsi="Arial" w:cs="Arial"/>
          <w:sz w:val="24"/>
          <w:szCs w:val="24"/>
        </w:rPr>
      </w:pPr>
      <w:r w:rsidRPr="00986A3A">
        <w:rPr>
          <w:rFonts w:ascii="Arial" w:hAnsi="Arial" w:cs="Arial"/>
          <w:sz w:val="24"/>
          <w:szCs w:val="24"/>
        </w:rPr>
        <w:t>Hallett, F. (2018)</w:t>
      </w:r>
      <w:r>
        <w:rPr>
          <w:rFonts w:ascii="Arial" w:hAnsi="Arial" w:cs="Arial"/>
          <w:sz w:val="24"/>
          <w:szCs w:val="24"/>
        </w:rPr>
        <w:t>.</w:t>
      </w:r>
      <w:r w:rsidRPr="00986A3A">
        <w:rPr>
          <w:rFonts w:ascii="Arial" w:hAnsi="Arial" w:cs="Arial"/>
          <w:sz w:val="24"/>
          <w:szCs w:val="24"/>
        </w:rPr>
        <w:t xml:space="preserve"> 'Study support and the development of academic literacy in higher education: a </w:t>
      </w:r>
      <w:proofErr w:type="spellStart"/>
      <w:r w:rsidRPr="00986A3A">
        <w:rPr>
          <w:rFonts w:ascii="Arial" w:hAnsi="Arial" w:cs="Arial"/>
          <w:sz w:val="24"/>
          <w:szCs w:val="24"/>
        </w:rPr>
        <w:t>phenomenographic</w:t>
      </w:r>
      <w:proofErr w:type="spellEnd"/>
      <w:r w:rsidRPr="00986A3A">
        <w:rPr>
          <w:rFonts w:ascii="Arial" w:hAnsi="Arial" w:cs="Arial"/>
          <w:sz w:val="24"/>
          <w:szCs w:val="24"/>
        </w:rPr>
        <w:t xml:space="preserve"> analysis', Teaching in Higher Education, 18(5), pp. 518</w:t>
      </w:r>
      <w:r>
        <w:rPr>
          <w:rFonts w:ascii="Arial" w:hAnsi="Arial" w:cs="Arial"/>
          <w:sz w:val="24"/>
          <w:szCs w:val="24"/>
        </w:rPr>
        <w:t>–</w:t>
      </w:r>
      <w:r w:rsidRPr="00986A3A">
        <w:rPr>
          <w:rFonts w:ascii="Arial" w:hAnsi="Arial" w:cs="Arial"/>
          <w:sz w:val="24"/>
          <w:szCs w:val="24"/>
        </w:rPr>
        <w:t xml:space="preserve">530. Available at: </w:t>
      </w:r>
      <w:hyperlink r:id="rId186" w:history="1">
        <w:r w:rsidRPr="007D0B0F">
          <w:rPr>
            <w:rStyle w:val="Hyperlink"/>
            <w:rFonts w:ascii="Arial" w:hAnsi="Arial" w:cs="Arial"/>
            <w:sz w:val="24"/>
            <w:szCs w:val="24"/>
          </w:rPr>
          <w:t>https://www.tandfonline.com/doi/full/10.1080/13562517.2012.752725?scroll=top&amp;needAccess=true</w:t>
        </w:r>
      </w:hyperlink>
      <w:r>
        <w:rPr>
          <w:rFonts w:ascii="Arial" w:hAnsi="Arial" w:cs="Arial"/>
          <w:sz w:val="24"/>
          <w:szCs w:val="24"/>
        </w:rPr>
        <w:t xml:space="preserve"> </w:t>
      </w:r>
      <w:r w:rsidRPr="00986A3A">
        <w:rPr>
          <w:rFonts w:ascii="Arial" w:hAnsi="Arial" w:cs="Arial"/>
          <w:sz w:val="24"/>
          <w:szCs w:val="24"/>
        </w:rPr>
        <w:t>(Accessed: 24 March 2026).</w:t>
      </w:r>
    </w:p>
    <w:p w14:paraId="22FD512D" w14:textId="71ECA7E2" w:rsidR="00DC6F72" w:rsidRDefault="00DC6F72" w:rsidP="009E58ED">
      <w:pPr>
        <w:spacing w:line="360" w:lineRule="auto"/>
        <w:jc w:val="both"/>
        <w:rPr>
          <w:rFonts w:ascii="Arial" w:hAnsi="Arial" w:cs="Arial"/>
          <w:sz w:val="24"/>
          <w:szCs w:val="24"/>
        </w:rPr>
      </w:pPr>
      <w:r w:rsidRPr="00DC6F72">
        <w:rPr>
          <w:rFonts w:ascii="Arial" w:hAnsi="Arial" w:cs="Arial"/>
          <w:sz w:val="24"/>
          <w:szCs w:val="24"/>
        </w:rPr>
        <w:t>Harris, R., and Clarke, G. (2011)</w:t>
      </w:r>
      <w:r w:rsidR="00F16B61">
        <w:rPr>
          <w:rFonts w:ascii="Arial" w:hAnsi="Arial" w:cs="Arial"/>
          <w:sz w:val="24"/>
          <w:szCs w:val="24"/>
        </w:rPr>
        <w:t>.</w:t>
      </w:r>
      <w:r w:rsidRPr="00DC6F72">
        <w:rPr>
          <w:rFonts w:ascii="Arial" w:hAnsi="Arial" w:cs="Arial"/>
          <w:sz w:val="24"/>
          <w:szCs w:val="24"/>
        </w:rPr>
        <w:t xml:space="preserve"> 'Embracing diversity in the history curriculum: a study of the challenges facing trainee teachers', </w:t>
      </w:r>
      <w:r w:rsidRPr="00DC6F72">
        <w:rPr>
          <w:rFonts w:ascii="Arial" w:hAnsi="Arial" w:cs="Arial"/>
          <w:i/>
          <w:iCs/>
          <w:sz w:val="24"/>
          <w:szCs w:val="24"/>
        </w:rPr>
        <w:t>Cambridge Journal of Education</w:t>
      </w:r>
      <w:r w:rsidRPr="00DC6F72">
        <w:rPr>
          <w:rFonts w:ascii="Arial" w:hAnsi="Arial" w:cs="Arial"/>
          <w:sz w:val="24"/>
          <w:szCs w:val="24"/>
        </w:rPr>
        <w:t>, 41(2), pp. 159</w:t>
      </w:r>
      <w:r w:rsidR="00F16B61">
        <w:rPr>
          <w:rFonts w:ascii="Arial" w:hAnsi="Arial" w:cs="Arial"/>
          <w:sz w:val="24"/>
          <w:szCs w:val="24"/>
        </w:rPr>
        <w:t>–</w:t>
      </w:r>
      <w:r w:rsidRPr="00DC6F72">
        <w:rPr>
          <w:rFonts w:ascii="Arial" w:hAnsi="Arial" w:cs="Arial"/>
          <w:sz w:val="24"/>
          <w:szCs w:val="24"/>
        </w:rPr>
        <w:t xml:space="preserve">175. Available at: </w:t>
      </w:r>
      <w:hyperlink r:id="rId187" w:anchor="d1e230" w:history="1">
        <w:r w:rsidRPr="007D0B0F">
          <w:rPr>
            <w:rStyle w:val="Hyperlink"/>
            <w:rFonts w:ascii="Arial" w:hAnsi="Arial" w:cs="Arial"/>
            <w:sz w:val="24"/>
            <w:szCs w:val="24"/>
          </w:rPr>
          <w:t>https://www.tandfonline.com/doi/full/10.1080/0305764X.2011.572863#d1e230</w:t>
        </w:r>
      </w:hyperlink>
      <w:r>
        <w:rPr>
          <w:rFonts w:ascii="Arial" w:hAnsi="Arial" w:cs="Arial"/>
          <w:sz w:val="24"/>
          <w:szCs w:val="24"/>
        </w:rPr>
        <w:t xml:space="preserve"> </w:t>
      </w:r>
      <w:r w:rsidRPr="00DC6F72">
        <w:rPr>
          <w:rFonts w:ascii="Arial" w:hAnsi="Arial" w:cs="Arial"/>
          <w:sz w:val="24"/>
          <w:szCs w:val="24"/>
        </w:rPr>
        <w:t xml:space="preserve"> (Accessed: 23 March 2026).</w:t>
      </w:r>
    </w:p>
    <w:p w14:paraId="6AB0CA19" w14:textId="3BBEDF9D" w:rsidR="00557B44" w:rsidRDefault="00557B44" w:rsidP="009E58ED">
      <w:pPr>
        <w:spacing w:line="360" w:lineRule="auto"/>
        <w:jc w:val="both"/>
        <w:rPr>
          <w:rFonts w:ascii="Arial" w:hAnsi="Arial" w:cs="Arial"/>
          <w:sz w:val="24"/>
          <w:szCs w:val="24"/>
        </w:rPr>
      </w:pPr>
      <w:r w:rsidRPr="00557B44">
        <w:rPr>
          <w:rFonts w:ascii="Arial" w:hAnsi="Arial" w:cs="Arial"/>
          <w:sz w:val="24"/>
          <w:szCs w:val="24"/>
        </w:rPr>
        <w:t>Harris, L., and Ogbonna, E. (2021)</w:t>
      </w:r>
      <w:r w:rsidR="00F16B61">
        <w:rPr>
          <w:rFonts w:ascii="Arial" w:hAnsi="Arial" w:cs="Arial"/>
          <w:sz w:val="24"/>
          <w:szCs w:val="24"/>
        </w:rPr>
        <w:t>.</w:t>
      </w:r>
      <w:r w:rsidRPr="00557B44">
        <w:rPr>
          <w:rFonts w:ascii="Arial" w:hAnsi="Arial" w:cs="Arial"/>
          <w:sz w:val="24"/>
          <w:szCs w:val="24"/>
        </w:rPr>
        <w:t xml:space="preserve"> 'Equal opportunities but unequal mentoring? ' The perceptions of mentoring by Black and minority ethnic academics in the UK university sector', Human Resource Management Journal, 33(4), pp. 1</w:t>
      </w:r>
      <w:r w:rsidR="00F16B61">
        <w:rPr>
          <w:rFonts w:ascii="Arial" w:hAnsi="Arial" w:cs="Arial"/>
          <w:sz w:val="24"/>
          <w:szCs w:val="24"/>
        </w:rPr>
        <w:t>–</w:t>
      </w:r>
      <w:r w:rsidRPr="00557B44">
        <w:rPr>
          <w:rFonts w:ascii="Arial" w:hAnsi="Arial" w:cs="Arial"/>
          <w:sz w:val="24"/>
          <w:szCs w:val="24"/>
        </w:rPr>
        <w:t xml:space="preserve">1097. Available at: </w:t>
      </w:r>
      <w:hyperlink r:id="rId188" w:history="1">
        <w:r w:rsidRPr="00FB3832">
          <w:rPr>
            <w:rStyle w:val="Hyperlink"/>
            <w:rFonts w:ascii="Arial" w:hAnsi="Arial" w:cs="Arial"/>
            <w:sz w:val="24"/>
            <w:szCs w:val="24"/>
          </w:rPr>
          <w:t>https://onlinelibrary.wiley.com/doi/epdf/10.1111/1748-8583.12492</w:t>
        </w:r>
      </w:hyperlink>
      <w:r>
        <w:rPr>
          <w:rFonts w:ascii="Arial" w:hAnsi="Arial" w:cs="Arial"/>
          <w:sz w:val="24"/>
          <w:szCs w:val="24"/>
        </w:rPr>
        <w:t xml:space="preserve"> </w:t>
      </w:r>
      <w:r w:rsidRPr="00557B44">
        <w:rPr>
          <w:rFonts w:ascii="Arial" w:hAnsi="Arial" w:cs="Arial"/>
          <w:sz w:val="24"/>
          <w:szCs w:val="24"/>
        </w:rPr>
        <w:t>(Accessed: 20 March 2026).</w:t>
      </w:r>
    </w:p>
    <w:p w14:paraId="37B81E89" w14:textId="3F8DE299" w:rsidR="00A77081" w:rsidRDefault="00A77081" w:rsidP="009E58ED">
      <w:pPr>
        <w:spacing w:line="360" w:lineRule="auto"/>
        <w:jc w:val="both"/>
        <w:rPr>
          <w:rFonts w:ascii="Arial" w:hAnsi="Arial" w:cs="Arial"/>
          <w:sz w:val="24"/>
          <w:szCs w:val="24"/>
        </w:rPr>
      </w:pPr>
      <w:r w:rsidRPr="00A77081">
        <w:rPr>
          <w:rFonts w:ascii="Arial" w:hAnsi="Arial" w:cs="Arial"/>
          <w:sz w:val="24"/>
          <w:szCs w:val="24"/>
        </w:rPr>
        <w:t xml:space="preserve">Hesketh, R., and Robinson, G. (2019) 'Grafting: “the </w:t>
      </w:r>
      <w:proofErr w:type="spellStart"/>
      <w:r w:rsidRPr="00A77081">
        <w:rPr>
          <w:rFonts w:ascii="Arial" w:hAnsi="Arial" w:cs="Arial"/>
          <w:sz w:val="24"/>
          <w:szCs w:val="24"/>
        </w:rPr>
        <w:t>boyz</w:t>
      </w:r>
      <w:proofErr w:type="spellEnd"/>
      <w:r w:rsidRPr="00A77081">
        <w:rPr>
          <w:rFonts w:ascii="Arial" w:hAnsi="Arial" w:cs="Arial"/>
          <w:sz w:val="24"/>
          <w:szCs w:val="24"/>
        </w:rPr>
        <w:t>” just doing business?</w:t>
      </w:r>
      <w:r>
        <w:rPr>
          <w:rFonts w:ascii="Arial" w:hAnsi="Arial" w:cs="Arial"/>
          <w:sz w:val="24"/>
          <w:szCs w:val="24"/>
        </w:rPr>
        <w:t xml:space="preserve"> </w:t>
      </w:r>
      <w:r w:rsidRPr="00A77081">
        <w:rPr>
          <w:rFonts w:ascii="Arial" w:hAnsi="Arial" w:cs="Arial"/>
          <w:sz w:val="24"/>
          <w:szCs w:val="24"/>
        </w:rPr>
        <w:t xml:space="preserve">Deviant entrepreneurship in street gangs', Safer Communities, 18 (2), pp. 54-63. Available at: </w:t>
      </w:r>
      <w:hyperlink r:id="rId189" w:history="1">
        <w:r w:rsidRPr="007D0B0F">
          <w:rPr>
            <w:rStyle w:val="Hyperlink"/>
            <w:rFonts w:ascii="Arial" w:hAnsi="Arial" w:cs="Arial"/>
            <w:sz w:val="24"/>
            <w:szCs w:val="24"/>
          </w:rPr>
          <w:t>https://www.researchgate.net/profile/Grace-Robinson-8/publication/334633203_Grafting_the_boyz_just_doing_business_Deviant_entrepreneurship_in_street_gangs/links/5d440fb84585153e59355987/Grafting-the-boyz-just-</w:t>
        </w:r>
        <w:r w:rsidRPr="007D0B0F">
          <w:rPr>
            <w:rStyle w:val="Hyperlink"/>
            <w:rFonts w:ascii="Arial" w:hAnsi="Arial" w:cs="Arial"/>
            <w:sz w:val="24"/>
            <w:szCs w:val="24"/>
          </w:rPr>
          <w:lastRenderedPageBreak/>
          <w:t>doing-business-Deviant-entrepreneurship-in-street-gangs.pdf</w:t>
        </w:r>
      </w:hyperlink>
      <w:r>
        <w:rPr>
          <w:rFonts w:ascii="Arial" w:hAnsi="Arial" w:cs="Arial"/>
          <w:sz w:val="24"/>
          <w:szCs w:val="24"/>
        </w:rPr>
        <w:t xml:space="preserve"> </w:t>
      </w:r>
      <w:r w:rsidRPr="00A77081">
        <w:rPr>
          <w:rFonts w:ascii="Arial" w:hAnsi="Arial" w:cs="Arial"/>
          <w:sz w:val="24"/>
          <w:szCs w:val="24"/>
        </w:rPr>
        <w:t>(Accessed: 2 April 2026).</w:t>
      </w:r>
    </w:p>
    <w:p w14:paraId="5D102D98" w14:textId="7C0BAB91" w:rsidR="001E394E" w:rsidRDefault="001E394E" w:rsidP="009E58ED">
      <w:pPr>
        <w:spacing w:line="360" w:lineRule="auto"/>
        <w:jc w:val="both"/>
        <w:rPr>
          <w:rFonts w:ascii="Arial" w:hAnsi="Arial" w:cs="Arial"/>
          <w:sz w:val="24"/>
          <w:szCs w:val="24"/>
        </w:rPr>
      </w:pPr>
      <w:r w:rsidRPr="001E394E">
        <w:rPr>
          <w:rFonts w:ascii="Arial" w:hAnsi="Arial" w:cs="Arial"/>
          <w:sz w:val="24"/>
          <w:szCs w:val="24"/>
        </w:rPr>
        <w:t>Hassan, S., Elias, S., and Mehrdad, J. (2017)</w:t>
      </w:r>
      <w:r w:rsidR="00F16B61">
        <w:rPr>
          <w:rFonts w:ascii="Arial" w:hAnsi="Arial" w:cs="Arial"/>
          <w:sz w:val="24"/>
          <w:szCs w:val="24"/>
        </w:rPr>
        <w:t>.</w:t>
      </w:r>
      <w:r w:rsidRPr="001E394E">
        <w:rPr>
          <w:rFonts w:ascii="Arial" w:hAnsi="Arial" w:cs="Arial"/>
          <w:sz w:val="24"/>
          <w:szCs w:val="24"/>
        </w:rPr>
        <w:t xml:space="preserve"> 'Critical Literature Review: Preparation Strategies', Title of Journal, Medical Technologies Journal, pp. 47</w:t>
      </w:r>
      <w:r w:rsidR="00F16B61">
        <w:rPr>
          <w:rFonts w:ascii="Arial" w:hAnsi="Arial" w:cs="Arial"/>
          <w:sz w:val="24"/>
          <w:szCs w:val="24"/>
        </w:rPr>
        <w:t>–</w:t>
      </w:r>
      <w:r w:rsidRPr="001E394E">
        <w:rPr>
          <w:rFonts w:ascii="Arial" w:hAnsi="Arial" w:cs="Arial"/>
          <w:sz w:val="24"/>
          <w:szCs w:val="24"/>
        </w:rPr>
        <w:t xml:space="preserve">47. Available at: </w:t>
      </w:r>
      <w:hyperlink r:id="rId190" w:history="1">
        <w:r w:rsidRPr="00960FF4">
          <w:rPr>
            <w:rStyle w:val="Hyperlink"/>
            <w:rFonts w:ascii="Arial" w:hAnsi="Arial" w:cs="Arial"/>
            <w:sz w:val="24"/>
            <w:szCs w:val="24"/>
          </w:rPr>
          <w:t>https://www.researchgate.net/publication/320095448_Critical_Literature_Review_Preparation_Strategies</w:t>
        </w:r>
      </w:hyperlink>
      <w:r>
        <w:rPr>
          <w:rFonts w:ascii="Arial" w:hAnsi="Arial" w:cs="Arial"/>
          <w:sz w:val="24"/>
          <w:szCs w:val="24"/>
        </w:rPr>
        <w:t xml:space="preserve"> </w:t>
      </w:r>
      <w:r w:rsidRPr="001E394E">
        <w:rPr>
          <w:rFonts w:ascii="Arial" w:hAnsi="Arial" w:cs="Arial"/>
          <w:sz w:val="24"/>
          <w:szCs w:val="24"/>
        </w:rPr>
        <w:t>(Accessed: 24 February 2026).</w:t>
      </w:r>
    </w:p>
    <w:p w14:paraId="6088EF12" w14:textId="1C8D9907" w:rsidR="00FF47AF" w:rsidRDefault="00FF47AF" w:rsidP="009E58ED">
      <w:pPr>
        <w:spacing w:line="360" w:lineRule="auto"/>
        <w:jc w:val="both"/>
        <w:rPr>
          <w:rFonts w:ascii="Arial" w:hAnsi="Arial" w:cs="Arial"/>
          <w:sz w:val="24"/>
          <w:szCs w:val="24"/>
        </w:rPr>
      </w:pPr>
      <w:r w:rsidRPr="00FF47AF">
        <w:rPr>
          <w:rFonts w:ascii="Arial" w:hAnsi="Arial" w:cs="Arial"/>
          <w:sz w:val="24"/>
          <w:szCs w:val="24"/>
        </w:rPr>
        <w:t>Hassan, A., Pandya, S., and Varma, U. (2022)</w:t>
      </w:r>
      <w:r w:rsidR="00F16B61">
        <w:rPr>
          <w:rFonts w:ascii="Arial" w:hAnsi="Arial" w:cs="Arial"/>
          <w:sz w:val="24"/>
          <w:szCs w:val="24"/>
        </w:rPr>
        <w:t>.</w:t>
      </w:r>
      <w:r w:rsidRPr="00FF47AF">
        <w:rPr>
          <w:rFonts w:ascii="Arial" w:hAnsi="Arial" w:cs="Arial"/>
          <w:sz w:val="24"/>
          <w:szCs w:val="24"/>
        </w:rPr>
        <w:t xml:space="preserve"> 'Writing Doctoral Dissertation Literature Review: Identifying the Prerequisites, Corequisites, and the Iterative Process for Writing the Literature', Title of Journal, 17, pp. 433</w:t>
      </w:r>
      <w:r w:rsidR="00F16B61">
        <w:rPr>
          <w:rFonts w:ascii="Arial" w:hAnsi="Arial" w:cs="Arial"/>
          <w:sz w:val="24"/>
          <w:szCs w:val="24"/>
        </w:rPr>
        <w:t>–</w:t>
      </w:r>
      <w:r w:rsidRPr="00FF47AF">
        <w:rPr>
          <w:rFonts w:ascii="Arial" w:hAnsi="Arial" w:cs="Arial"/>
          <w:sz w:val="24"/>
          <w:szCs w:val="24"/>
        </w:rPr>
        <w:t xml:space="preserve">458. Available at: </w:t>
      </w:r>
      <w:hyperlink r:id="rId191" w:history="1">
        <w:r w:rsidRPr="001228C1">
          <w:rPr>
            <w:rStyle w:val="Hyperlink"/>
            <w:rFonts w:ascii="Arial" w:hAnsi="Arial" w:cs="Arial"/>
            <w:sz w:val="24"/>
            <w:szCs w:val="24"/>
          </w:rPr>
          <w:t>https://www.researchgate.net/publication/363938409_Writing_Doctoral_Dissertation_Literature_Review_Identifying_the_Prerequisites_Corequisites_and_the_Iterative_Process_for_Writing_the_Literature</w:t>
        </w:r>
      </w:hyperlink>
      <w:r>
        <w:rPr>
          <w:rFonts w:ascii="Arial" w:hAnsi="Arial" w:cs="Arial"/>
          <w:sz w:val="24"/>
          <w:szCs w:val="24"/>
        </w:rPr>
        <w:t xml:space="preserve"> </w:t>
      </w:r>
      <w:r w:rsidRPr="00FF47AF">
        <w:rPr>
          <w:rFonts w:ascii="Arial" w:hAnsi="Arial" w:cs="Arial"/>
          <w:sz w:val="24"/>
          <w:szCs w:val="24"/>
        </w:rPr>
        <w:t>(Accessed: 6 March 2026).</w:t>
      </w:r>
    </w:p>
    <w:p w14:paraId="7BA0280B" w14:textId="7B032572" w:rsidR="0016506A" w:rsidRDefault="0016506A" w:rsidP="009E58ED">
      <w:pPr>
        <w:spacing w:line="360" w:lineRule="auto"/>
        <w:jc w:val="both"/>
        <w:rPr>
          <w:rFonts w:ascii="Arial" w:hAnsi="Arial" w:cs="Arial"/>
          <w:sz w:val="24"/>
          <w:szCs w:val="24"/>
        </w:rPr>
      </w:pPr>
      <w:r w:rsidRPr="0016506A">
        <w:rPr>
          <w:rFonts w:ascii="Arial" w:hAnsi="Arial" w:cs="Arial"/>
          <w:sz w:val="24"/>
          <w:szCs w:val="24"/>
        </w:rPr>
        <w:t xml:space="preserve">Hatch, S., Frisia, S., Verdicchio, M., Stewart, R., Fear, N., Reichenberg, A., Morgan, C., </w:t>
      </w:r>
      <w:proofErr w:type="spellStart"/>
      <w:r w:rsidRPr="0016506A">
        <w:rPr>
          <w:rFonts w:ascii="Arial" w:hAnsi="Arial" w:cs="Arial"/>
          <w:sz w:val="24"/>
          <w:szCs w:val="24"/>
        </w:rPr>
        <w:t>Kankulu</w:t>
      </w:r>
      <w:proofErr w:type="spellEnd"/>
      <w:r w:rsidRPr="0016506A">
        <w:rPr>
          <w:rFonts w:ascii="Arial" w:hAnsi="Arial" w:cs="Arial"/>
          <w:sz w:val="24"/>
          <w:szCs w:val="24"/>
        </w:rPr>
        <w:t xml:space="preserve">, B., Clark, J., Hazard, B., Medcalf, R., the SELCoH study team, and </w:t>
      </w:r>
      <w:proofErr w:type="spellStart"/>
      <w:r w:rsidRPr="0016506A">
        <w:rPr>
          <w:rFonts w:ascii="Arial" w:hAnsi="Arial" w:cs="Arial"/>
          <w:sz w:val="24"/>
          <w:szCs w:val="24"/>
        </w:rPr>
        <w:t>Hotopf</w:t>
      </w:r>
      <w:proofErr w:type="spellEnd"/>
      <w:r w:rsidRPr="0016506A">
        <w:rPr>
          <w:rFonts w:ascii="Arial" w:hAnsi="Arial" w:cs="Arial"/>
          <w:sz w:val="24"/>
          <w:szCs w:val="24"/>
        </w:rPr>
        <w:t xml:space="preserve">, M. (2011). 'Identifying socio-demographic and socioeconomic determinants of health inequalities in a diverse London community: the </w:t>
      </w:r>
      <w:proofErr w:type="gramStart"/>
      <w:r w:rsidRPr="0016506A">
        <w:rPr>
          <w:rFonts w:ascii="Arial" w:hAnsi="Arial" w:cs="Arial"/>
          <w:sz w:val="24"/>
          <w:szCs w:val="24"/>
        </w:rPr>
        <w:t>South East</w:t>
      </w:r>
      <w:proofErr w:type="gramEnd"/>
      <w:r w:rsidRPr="0016506A">
        <w:rPr>
          <w:rFonts w:ascii="Arial" w:hAnsi="Arial" w:cs="Arial"/>
          <w:sz w:val="24"/>
          <w:szCs w:val="24"/>
        </w:rPr>
        <w:t xml:space="preserve"> London Community Health (SELCoH) study', BMC Public Health, 11(861). Available at: </w:t>
      </w:r>
      <w:hyperlink r:id="rId192" w:anchor="citeas" w:history="1">
        <w:r w:rsidRPr="007D0B0F">
          <w:rPr>
            <w:rStyle w:val="Hyperlink"/>
            <w:rFonts w:ascii="Arial" w:hAnsi="Arial" w:cs="Arial"/>
            <w:sz w:val="24"/>
            <w:szCs w:val="24"/>
          </w:rPr>
          <w:t>https://link.springer.com/article/10.1186/1471-2458-11-861#citeas</w:t>
        </w:r>
      </w:hyperlink>
      <w:r>
        <w:rPr>
          <w:rFonts w:ascii="Arial" w:hAnsi="Arial" w:cs="Arial"/>
          <w:sz w:val="24"/>
          <w:szCs w:val="24"/>
        </w:rPr>
        <w:t xml:space="preserve"> </w:t>
      </w:r>
      <w:r w:rsidRPr="0016506A">
        <w:rPr>
          <w:rFonts w:ascii="Arial" w:hAnsi="Arial" w:cs="Arial"/>
          <w:sz w:val="24"/>
          <w:szCs w:val="24"/>
        </w:rPr>
        <w:t>(Accessed: 29 March 2026).</w:t>
      </w:r>
    </w:p>
    <w:p w14:paraId="39339E10" w14:textId="633D26D0" w:rsidR="00320B1C" w:rsidRDefault="00320B1C" w:rsidP="009E58ED">
      <w:pPr>
        <w:spacing w:line="360" w:lineRule="auto"/>
        <w:jc w:val="both"/>
        <w:rPr>
          <w:rFonts w:ascii="Arial" w:hAnsi="Arial" w:cs="Arial"/>
          <w:sz w:val="24"/>
          <w:szCs w:val="24"/>
        </w:rPr>
      </w:pPr>
      <w:r w:rsidRPr="00320B1C">
        <w:rPr>
          <w:rFonts w:ascii="Arial" w:hAnsi="Arial" w:cs="Arial"/>
          <w:sz w:val="24"/>
          <w:szCs w:val="24"/>
        </w:rPr>
        <w:t>Hawi, N., and Samaha, M. (2016)</w:t>
      </w:r>
      <w:r>
        <w:rPr>
          <w:rFonts w:ascii="Arial" w:hAnsi="Arial" w:cs="Arial"/>
          <w:sz w:val="24"/>
          <w:szCs w:val="24"/>
        </w:rPr>
        <w:t>.</w:t>
      </w:r>
      <w:r w:rsidRPr="00320B1C">
        <w:rPr>
          <w:rFonts w:ascii="Arial" w:hAnsi="Arial" w:cs="Arial"/>
          <w:sz w:val="24"/>
          <w:szCs w:val="24"/>
        </w:rPr>
        <w:t xml:space="preserve"> 'The Relations Among Social Media Addiction, Self-Esteem,</w:t>
      </w:r>
      <w:r>
        <w:rPr>
          <w:rFonts w:ascii="Arial" w:hAnsi="Arial" w:cs="Arial"/>
          <w:sz w:val="24"/>
          <w:szCs w:val="24"/>
        </w:rPr>
        <w:t xml:space="preserve"> </w:t>
      </w:r>
      <w:r w:rsidRPr="00320B1C">
        <w:rPr>
          <w:rFonts w:ascii="Arial" w:hAnsi="Arial" w:cs="Arial"/>
          <w:sz w:val="24"/>
          <w:szCs w:val="24"/>
        </w:rPr>
        <w:t xml:space="preserve">and Life Satisfaction in University Students', Social Science Computer Review, 35(5), pp. 1-11. Available at: </w:t>
      </w:r>
      <w:hyperlink r:id="rId193" w:history="1">
        <w:r w:rsidRPr="007D0B0F">
          <w:rPr>
            <w:rStyle w:val="Hyperlink"/>
            <w:rFonts w:ascii="Arial" w:hAnsi="Arial" w:cs="Arial"/>
            <w:sz w:val="24"/>
            <w:szCs w:val="24"/>
          </w:rPr>
          <w:t>https://www.researchgate.net/profile/Nazir-Hawi/publication/306048463_The_Relations_Among_Social_Media_Addiction_Self-Esteem_and_Life_Satisfaction_in_University_Students/links/59efa4b6a6fdcce2096dc335/The-Relations-Among-Social-Media-Addiction-Self-Esteem-and-Life-Satisfaction-in-University-Students.pdf</w:t>
        </w:r>
      </w:hyperlink>
      <w:r>
        <w:rPr>
          <w:rFonts w:ascii="Arial" w:hAnsi="Arial" w:cs="Arial"/>
          <w:sz w:val="24"/>
          <w:szCs w:val="24"/>
        </w:rPr>
        <w:t xml:space="preserve"> </w:t>
      </w:r>
      <w:r w:rsidRPr="00320B1C">
        <w:rPr>
          <w:rFonts w:ascii="Arial" w:hAnsi="Arial" w:cs="Arial"/>
          <w:sz w:val="24"/>
          <w:szCs w:val="24"/>
        </w:rPr>
        <w:t>(Accessed: 2 April 2026).</w:t>
      </w:r>
    </w:p>
    <w:p w14:paraId="610EC968" w14:textId="36A15755" w:rsidR="008C333F" w:rsidRDefault="008C333F" w:rsidP="009E58ED">
      <w:pPr>
        <w:spacing w:line="360" w:lineRule="auto"/>
        <w:jc w:val="both"/>
        <w:rPr>
          <w:rFonts w:ascii="Arial" w:hAnsi="Arial" w:cs="Arial"/>
          <w:sz w:val="24"/>
          <w:szCs w:val="24"/>
        </w:rPr>
      </w:pPr>
      <w:r w:rsidRPr="008C333F">
        <w:rPr>
          <w:rFonts w:ascii="Arial" w:hAnsi="Arial" w:cs="Arial"/>
          <w:sz w:val="24"/>
          <w:szCs w:val="24"/>
        </w:rPr>
        <w:t xml:space="preserve">Marie Hayman, C., Stubbings, D., Davies, J., and Payne, L. (2024) 'Can education influence the public’s vulnerability to county lines?', Crime Prevention and Community </w:t>
      </w:r>
      <w:r w:rsidRPr="008C333F">
        <w:rPr>
          <w:rFonts w:ascii="Arial" w:hAnsi="Arial" w:cs="Arial"/>
          <w:sz w:val="24"/>
          <w:szCs w:val="24"/>
        </w:rPr>
        <w:lastRenderedPageBreak/>
        <w:t xml:space="preserve">Safety, 26, pp. 28-46. Available at: </w:t>
      </w:r>
      <w:hyperlink r:id="rId194" w:history="1">
        <w:r w:rsidRPr="007D0B0F">
          <w:rPr>
            <w:rStyle w:val="Hyperlink"/>
            <w:rFonts w:ascii="Arial" w:hAnsi="Arial" w:cs="Arial"/>
            <w:sz w:val="24"/>
            <w:szCs w:val="24"/>
          </w:rPr>
          <w:t>https://link.springer.com/article/10.1057/s41300-023-00195-z</w:t>
        </w:r>
      </w:hyperlink>
      <w:r>
        <w:rPr>
          <w:rFonts w:ascii="Arial" w:hAnsi="Arial" w:cs="Arial"/>
          <w:sz w:val="24"/>
          <w:szCs w:val="24"/>
        </w:rPr>
        <w:t xml:space="preserve"> </w:t>
      </w:r>
      <w:r w:rsidRPr="008C333F">
        <w:rPr>
          <w:rFonts w:ascii="Arial" w:hAnsi="Arial" w:cs="Arial"/>
          <w:sz w:val="24"/>
          <w:szCs w:val="24"/>
        </w:rPr>
        <w:t>(Accessed: 2 April 2026).</w:t>
      </w:r>
    </w:p>
    <w:p w14:paraId="0C2EBEE2" w14:textId="7D80389D" w:rsidR="0010786F" w:rsidRDefault="0010786F" w:rsidP="009E58ED">
      <w:pPr>
        <w:spacing w:line="360" w:lineRule="auto"/>
        <w:jc w:val="both"/>
        <w:rPr>
          <w:rFonts w:ascii="Arial" w:hAnsi="Arial" w:cs="Arial"/>
          <w:sz w:val="24"/>
          <w:szCs w:val="24"/>
        </w:rPr>
      </w:pPr>
      <w:r w:rsidRPr="0010786F">
        <w:rPr>
          <w:rFonts w:ascii="Arial" w:hAnsi="Arial" w:cs="Arial"/>
          <w:sz w:val="24"/>
          <w:szCs w:val="24"/>
        </w:rPr>
        <w:t>Heath, A., and Cheung, S. (2006)</w:t>
      </w:r>
      <w:r w:rsidR="003443F0">
        <w:rPr>
          <w:rFonts w:ascii="Arial" w:hAnsi="Arial" w:cs="Arial"/>
          <w:sz w:val="24"/>
          <w:szCs w:val="24"/>
        </w:rPr>
        <w:t>.</w:t>
      </w:r>
      <w:r w:rsidRPr="0010786F">
        <w:rPr>
          <w:rFonts w:ascii="Arial" w:hAnsi="Arial" w:cs="Arial"/>
          <w:sz w:val="24"/>
          <w:szCs w:val="24"/>
        </w:rPr>
        <w:t xml:space="preserve"> Ethnic penalties in the labour market: Employers and discrimination. No 341. Department for Work and Pensions Available at: </w:t>
      </w:r>
      <w:hyperlink r:id="rId195" w:history="1">
        <w:r w:rsidRPr="007D0B0F">
          <w:rPr>
            <w:rStyle w:val="Hyperlink"/>
            <w:rFonts w:ascii="Arial" w:hAnsi="Arial" w:cs="Arial"/>
            <w:sz w:val="24"/>
            <w:szCs w:val="24"/>
          </w:rPr>
          <w:t>https://www.researchgate.net/profile/Sin-Yi-Cheung/publication/265248323_Ethnic_Penalties_in_the_Labour_Market_Employers_and_Discrimination/links/5dc15e494585151435e9a056/Ethnic-Penalties-in-the-Labour-Market-Employers-and-Discrimination.pdf</w:t>
        </w:r>
      </w:hyperlink>
      <w:r>
        <w:rPr>
          <w:rFonts w:ascii="Arial" w:hAnsi="Arial" w:cs="Arial"/>
          <w:sz w:val="24"/>
          <w:szCs w:val="24"/>
        </w:rPr>
        <w:t xml:space="preserve"> </w:t>
      </w:r>
      <w:r w:rsidRPr="0010786F">
        <w:rPr>
          <w:rFonts w:ascii="Arial" w:hAnsi="Arial" w:cs="Arial"/>
          <w:sz w:val="24"/>
          <w:szCs w:val="24"/>
        </w:rPr>
        <w:t>(Accessed: 25 March 2026).</w:t>
      </w:r>
    </w:p>
    <w:p w14:paraId="43C1834F" w14:textId="73751E39" w:rsidR="00786401" w:rsidRDefault="003443F0" w:rsidP="009E58ED">
      <w:pPr>
        <w:spacing w:line="360" w:lineRule="auto"/>
        <w:jc w:val="both"/>
        <w:rPr>
          <w:rFonts w:ascii="Arial" w:hAnsi="Arial" w:cs="Arial"/>
          <w:sz w:val="24"/>
          <w:szCs w:val="24"/>
        </w:rPr>
      </w:pPr>
      <w:r w:rsidRPr="003443F0">
        <w:rPr>
          <w:rFonts w:ascii="Arial" w:hAnsi="Arial" w:cs="Arial"/>
          <w:sz w:val="24"/>
          <w:szCs w:val="24"/>
        </w:rPr>
        <w:t>Heath, A., and Cheung, S. (2007)</w:t>
      </w:r>
      <w:r>
        <w:rPr>
          <w:rFonts w:ascii="Arial" w:hAnsi="Arial" w:cs="Arial"/>
          <w:sz w:val="24"/>
          <w:szCs w:val="24"/>
        </w:rPr>
        <w:t>.</w:t>
      </w:r>
      <w:r w:rsidRPr="003443F0">
        <w:rPr>
          <w:rFonts w:ascii="Arial" w:hAnsi="Arial" w:cs="Arial"/>
          <w:sz w:val="24"/>
          <w:szCs w:val="24"/>
        </w:rPr>
        <w:t xml:space="preserve"> Unequal Chances: Ethnic Minorities in Western Labour Markets. Oxford University Press. Available at: </w:t>
      </w:r>
      <w:hyperlink r:id="rId196" w:history="1">
        <w:r w:rsidRPr="007D0B0F">
          <w:rPr>
            <w:rStyle w:val="Hyperlink"/>
            <w:rFonts w:ascii="Arial" w:hAnsi="Arial" w:cs="Arial"/>
            <w:sz w:val="24"/>
            <w:szCs w:val="24"/>
          </w:rPr>
          <w:t>https://www.google.co.uk/books/edition/Unequal_Chances/In2MEQAAQBAJ?hl=en&amp;gbpv=1&amp;pg=PT6&amp;printsec=frontcover</w:t>
        </w:r>
      </w:hyperlink>
      <w:r>
        <w:rPr>
          <w:rFonts w:ascii="Arial" w:hAnsi="Arial" w:cs="Arial"/>
          <w:sz w:val="24"/>
          <w:szCs w:val="24"/>
        </w:rPr>
        <w:t xml:space="preserve"> </w:t>
      </w:r>
      <w:r w:rsidRPr="003443F0">
        <w:rPr>
          <w:rFonts w:ascii="Arial" w:hAnsi="Arial" w:cs="Arial"/>
          <w:sz w:val="24"/>
          <w:szCs w:val="24"/>
        </w:rPr>
        <w:t>(Accessed: 25 March 2026).</w:t>
      </w:r>
    </w:p>
    <w:p w14:paraId="511F4205" w14:textId="6E1AD68C" w:rsidR="004F14FF" w:rsidRDefault="004F14FF" w:rsidP="009E58ED">
      <w:pPr>
        <w:spacing w:line="360" w:lineRule="auto"/>
        <w:jc w:val="both"/>
        <w:rPr>
          <w:rFonts w:ascii="Arial" w:hAnsi="Arial" w:cs="Arial"/>
          <w:sz w:val="24"/>
          <w:szCs w:val="24"/>
        </w:rPr>
      </w:pPr>
      <w:r w:rsidRPr="004F14FF">
        <w:rPr>
          <w:rFonts w:ascii="Arial" w:hAnsi="Arial" w:cs="Arial"/>
          <w:sz w:val="24"/>
          <w:szCs w:val="24"/>
        </w:rPr>
        <w:t>Heleta, S. (2016)</w:t>
      </w:r>
      <w:r w:rsidR="00F16B61">
        <w:rPr>
          <w:rFonts w:ascii="Arial" w:hAnsi="Arial" w:cs="Arial"/>
          <w:sz w:val="24"/>
          <w:szCs w:val="24"/>
        </w:rPr>
        <w:t>.</w:t>
      </w:r>
      <w:r w:rsidRPr="004F14FF">
        <w:rPr>
          <w:rFonts w:ascii="Arial" w:hAnsi="Arial" w:cs="Arial"/>
          <w:sz w:val="24"/>
          <w:szCs w:val="24"/>
        </w:rPr>
        <w:t xml:space="preserve"> 'Decolonisation of higher education: Dismantling epistemic violence and Eurocentrism in South Africa', </w:t>
      </w:r>
      <w:r w:rsidRPr="004F14FF">
        <w:rPr>
          <w:rFonts w:ascii="Arial" w:hAnsi="Arial" w:cs="Arial"/>
          <w:i/>
          <w:iCs/>
          <w:sz w:val="24"/>
          <w:szCs w:val="24"/>
        </w:rPr>
        <w:t>Transformation in Higher Education</w:t>
      </w:r>
      <w:r w:rsidRPr="004F14FF">
        <w:rPr>
          <w:rFonts w:ascii="Arial" w:hAnsi="Arial" w:cs="Arial"/>
          <w:sz w:val="24"/>
          <w:szCs w:val="24"/>
        </w:rPr>
        <w:t>, 1(1), pp. 1</w:t>
      </w:r>
      <w:r w:rsidR="00F16B61">
        <w:rPr>
          <w:rFonts w:ascii="Arial" w:hAnsi="Arial" w:cs="Arial"/>
          <w:sz w:val="24"/>
          <w:szCs w:val="24"/>
        </w:rPr>
        <w:t>–</w:t>
      </w:r>
      <w:r w:rsidRPr="004F14FF">
        <w:rPr>
          <w:rFonts w:ascii="Arial" w:hAnsi="Arial" w:cs="Arial"/>
          <w:sz w:val="24"/>
          <w:szCs w:val="24"/>
        </w:rPr>
        <w:t xml:space="preserve">8. Available at: </w:t>
      </w:r>
      <w:hyperlink r:id="rId197" w:history="1">
        <w:r w:rsidRPr="007D0B0F">
          <w:rPr>
            <w:rStyle w:val="Hyperlink"/>
            <w:rFonts w:ascii="Arial" w:hAnsi="Arial" w:cs="Arial"/>
            <w:sz w:val="24"/>
            <w:szCs w:val="24"/>
          </w:rPr>
          <w:t>https://files.eric.ed.gov/fulltext/EJ1187109.pdf</w:t>
        </w:r>
      </w:hyperlink>
      <w:r>
        <w:rPr>
          <w:rFonts w:ascii="Arial" w:hAnsi="Arial" w:cs="Arial"/>
          <w:sz w:val="24"/>
          <w:szCs w:val="24"/>
        </w:rPr>
        <w:t xml:space="preserve"> </w:t>
      </w:r>
      <w:r w:rsidRPr="004F14FF">
        <w:rPr>
          <w:rFonts w:ascii="Arial" w:hAnsi="Arial" w:cs="Arial"/>
          <w:sz w:val="24"/>
          <w:szCs w:val="24"/>
        </w:rPr>
        <w:t>(Accessed: 23 March 2026).</w:t>
      </w:r>
    </w:p>
    <w:p w14:paraId="45D79B72" w14:textId="17C388AB" w:rsidR="008934FB" w:rsidRDefault="008934FB" w:rsidP="009E58ED">
      <w:pPr>
        <w:spacing w:line="360" w:lineRule="auto"/>
        <w:jc w:val="both"/>
        <w:rPr>
          <w:rFonts w:ascii="Arial" w:hAnsi="Arial" w:cs="Arial"/>
          <w:sz w:val="24"/>
          <w:szCs w:val="24"/>
        </w:rPr>
      </w:pPr>
      <w:r w:rsidRPr="008934FB">
        <w:rPr>
          <w:rFonts w:ascii="Arial" w:hAnsi="Arial" w:cs="Arial"/>
          <w:sz w:val="24"/>
          <w:szCs w:val="24"/>
        </w:rPr>
        <w:t>Henshall, A. (201</w:t>
      </w:r>
      <w:r w:rsidR="005617FA">
        <w:rPr>
          <w:rFonts w:ascii="Arial" w:hAnsi="Arial" w:cs="Arial"/>
          <w:sz w:val="24"/>
          <w:szCs w:val="24"/>
        </w:rPr>
        <w:t>8</w:t>
      </w:r>
      <w:r w:rsidRPr="008934FB">
        <w:rPr>
          <w:rFonts w:ascii="Arial" w:hAnsi="Arial" w:cs="Arial"/>
          <w:sz w:val="24"/>
          <w:szCs w:val="24"/>
        </w:rPr>
        <w:t>)</w:t>
      </w:r>
      <w:r w:rsidR="00F16B61">
        <w:rPr>
          <w:rFonts w:ascii="Arial" w:hAnsi="Arial" w:cs="Arial"/>
          <w:sz w:val="24"/>
          <w:szCs w:val="24"/>
        </w:rPr>
        <w:t>.</w:t>
      </w:r>
      <w:r w:rsidRPr="008934FB">
        <w:rPr>
          <w:rFonts w:ascii="Arial" w:hAnsi="Arial" w:cs="Arial"/>
          <w:sz w:val="24"/>
          <w:szCs w:val="24"/>
        </w:rPr>
        <w:t xml:space="preserve"> 'On the school beat: police officers based in English schools', </w:t>
      </w:r>
      <w:r w:rsidRPr="008934FB">
        <w:rPr>
          <w:rFonts w:ascii="Arial" w:hAnsi="Arial" w:cs="Arial"/>
          <w:i/>
          <w:iCs/>
          <w:sz w:val="24"/>
          <w:szCs w:val="24"/>
        </w:rPr>
        <w:t>British Journal of Sociology of Education</w:t>
      </w:r>
      <w:r w:rsidRPr="008934FB">
        <w:rPr>
          <w:rFonts w:ascii="Arial" w:hAnsi="Arial" w:cs="Arial"/>
          <w:sz w:val="24"/>
          <w:szCs w:val="24"/>
        </w:rPr>
        <w:t>, 39(5), pp. 593</w:t>
      </w:r>
      <w:r w:rsidR="00F16B61">
        <w:rPr>
          <w:rFonts w:ascii="Arial" w:hAnsi="Arial" w:cs="Arial"/>
          <w:sz w:val="24"/>
          <w:szCs w:val="24"/>
        </w:rPr>
        <w:t>–</w:t>
      </w:r>
      <w:r w:rsidRPr="008934FB">
        <w:rPr>
          <w:rFonts w:ascii="Arial" w:hAnsi="Arial" w:cs="Arial"/>
          <w:sz w:val="24"/>
          <w:szCs w:val="24"/>
        </w:rPr>
        <w:t xml:space="preserve">606. Available at: </w:t>
      </w:r>
      <w:hyperlink r:id="rId198" w:anchor="abstract" w:history="1">
        <w:r w:rsidRPr="007D0B0F">
          <w:rPr>
            <w:rStyle w:val="Hyperlink"/>
            <w:rFonts w:ascii="Arial" w:hAnsi="Arial" w:cs="Arial"/>
            <w:sz w:val="24"/>
            <w:szCs w:val="24"/>
          </w:rPr>
          <w:t>https://www.tandfonline.com/doi/full/10.1080/01425692.2017.1375401?scroll=top&amp;needAccess=true#abstract</w:t>
        </w:r>
      </w:hyperlink>
      <w:r>
        <w:rPr>
          <w:rFonts w:ascii="Arial" w:hAnsi="Arial" w:cs="Arial"/>
          <w:sz w:val="24"/>
          <w:szCs w:val="24"/>
        </w:rPr>
        <w:t xml:space="preserve"> </w:t>
      </w:r>
      <w:r w:rsidRPr="008934FB">
        <w:rPr>
          <w:rFonts w:ascii="Arial" w:hAnsi="Arial" w:cs="Arial"/>
          <w:sz w:val="24"/>
          <w:szCs w:val="24"/>
        </w:rPr>
        <w:t>(Accessed: 22 March 2026).</w:t>
      </w:r>
    </w:p>
    <w:p w14:paraId="73A49984" w14:textId="4CE7E905" w:rsidR="00717623" w:rsidRDefault="00717623" w:rsidP="009E58ED">
      <w:pPr>
        <w:spacing w:line="360" w:lineRule="auto"/>
        <w:jc w:val="both"/>
        <w:rPr>
          <w:rFonts w:ascii="Arial" w:hAnsi="Arial" w:cs="Arial"/>
          <w:sz w:val="24"/>
          <w:szCs w:val="24"/>
        </w:rPr>
      </w:pPr>
      <w:r w:rsidRPr="00717623">
        <w:rPr>
          <w:rFonts w:ascii="Arial" w:hAnsi="Arial" w:cs="Arial"/>
          <w:sz w:val="24"/>
          <w:szCs w:val="24"/>
        </w:rPr>
        <w:t>Higher Education Student Statistics (HESA) (2020) </w:t>
      </w:r>
      <w:r w:rsidRPr="00717623">
        <w:rPr>
          <w:rFonts w:ascii="Arial" w:hAnsi="Arial" w:cs="Arial"/>
          <w:i/>
          <w:iCs/>
          <w:sz w:val="24"/>
          <w:szCs w:val="24"/>
        </w:rPr>
        <w:t>Higher Education Student Statistics: UK, 2020/21</w:t>
      </w:r>
      <w:r w:rsidRPr="00717623">
        <w:rPr>
          <w:rFonts w:ascii="Arial" w:hAnsi="Arial" w:cs="Arial"/>
          <w:sz w:val="24"/>
          <w:szCs w:val="24"/>
        </w:rPr>
        <w:t xml:space="preserve">. National Statistics. Available at: </w:t>
      </w:r>
      <w:hyperlink r:id="rId199" w:history="1">
        <w:r w:rsidRPr="00FB3832">
          <w:rPr>
            <w:rStyle w:val="Hyperlink"/>
            <w:rFonts w:ascii="Arial" w:hAnsi="Arial" w:cs="Arial"/>
            <w:sz w:val="24"/>
            <w:szCs w:val="24"/>
          </w:rPr>
          <w:t>https://www.hesa.ac.uk/news/25-01-2022/sb262-higher-education-student-statistics</w:t>
        </w:r>
      </w:hyperlink>
      <w:r>
        <w:rPr>
          <w:rFonts w:ascii="Arial" w:hAnsi="Arial" w:cs="Arial"/>
          <w:sz w:val="24"/>
          <w:szCs w:val="24"/>
        </w:rPr>
        <w:t xml:space="preserve"> </w:t>
      </w:r>
      <w:r w:rsidRPr="00717623">
        <w:rPr>
          <w:rFonts w:ascii="Arial" w:hAnsi="Arial" w:cs="Arial"/>
          <w:sz w:val="24"/>
          <w:szCs w:val="24"/>
        </w:rPr>
        <w:t>(Accessed: 21 March 2026).</w:t>
      </w:r>
    </w:p>
    <w:p w14:paraId="519C7E95" w14:textId="660325D0" w:rsidR="00EB4A48" w:rsidRDefault="00EB4A48" w:rsidP="009E58ED">
      <w:pPr>
        <w:spacing w:line="360" w:lineRule="auto"/>
        <w:jc w:val="both"/>
        <w:rPr>
          <w:rFonts w:ascii="Arial" w:hAnsi="Arial" w:cs="Arial"/>
          <w:sz w:val="24"/>
          <w:szCs w:val="24"/>
        </w:rPr>
      </w:pPr>
      <w:r w:rsidRPr="00EB4A48">
        <w:rPr>
          <w:rFonts w:ascii="Arial" w:hAnsi="Arial" w:cs="Arial"/>
          <w:sz w:val="24"/>
          <w:szCs w:val="24"/>
        </w:rPr>
        <w:t>Hillen, P., and Levy, S. (2015)</w:t>
      </w:r>
      <w:r>
        <w:rPr>
          <w:rFonts w:ascii="Arial" w:hAnsi="Arial" w:cs="Arial"/>
          <w:sz w:val="24"/>
          <w:szCs w:val="24"/>
        </w:rPr>
        <w:t>.</w:t>
      </w:r>
      <w:r w:rsidRPr="00EB4A48">
        <w:rPr>
          <w:rFonts w:ascii="Arial" w:hAnsi="Arial" w:cs="Arial"/>
          <w:sz w:val="24"/>
          <w:szCs w:val="24"/>
        </w:rPr>
        <w:t xml:space="preserve"> 'Framing the experiences of BME social work students within a narrative of Educating for a Culturally Diverse Workforce', Social Work Education, 34(7), pp. 785</w:t>
      </w:r>
      <w:r>
        <w:rPr>
          <w:rFonts w:ascii="Arial" w:hAnsi="Arial" w:cs="Arial"/>
          <w:sz w:val="24"/>
          <w:szCs w:val="24"/>
        </w:rPr>
        <w:t>–</w:t>
      </w:r>
      <w:r w:rsidRPr="00EB4A48">
        <w:rPr>
          <w:rFonts w:ascii="Arial" w:hAnsi="Arial" w:cs="Arial"/>
          <w:sz w:val="24"/>
          <w:szCs w:val="24"/>
        </w:rPr>
        <w:t xml:space="preserve">798. Available at: </w:t>
      </w:r>
      <w:hyperlink r:id="rId200" w:history="1">
        <w:r w:rsidRPr="007D0B0F">
          <w:rPr>
            <w:rStyle w:val="Hyperlink"/>
            <w:rFonts w:ascii="Arial" w:hAnsi="Arial" w:cs="Arial"/>
            <w:sz w:val="24"/>
            <w:szCs w:val="24"/>
          </w:rPr>
          <w:t>https://research.ebsco.com/c/onvpsy/search/details/tyulp2fasf?db=aph</w:t>
        </w:r>
      </w:hyperlink>
      <w:r>
        <w:rPr>
          <w:rFonts w:ascii="Arial" w:hAnsi="Arial" w:cs="Arial"/>
          <w:sz w:val="24"/>
          <w:szCs w:val="24"/>
        </w:rPr>
        <w:t xml:space="preserve"> </w:t>
      </w:r>
      <w:r w:rsidRPr="00EB4A48">
        <w:rPr>
          <w:rFonts w:ascii="Arial" w:hAnsi="Arial" w:cs="Arial"/>
          <w:sz w:val="24"/>
          <w:szCs w:val="24"/>
        </w:rPr>
        <w:t>(Accessed: 24 March 2026).</w:t>
      </w:r>
    </w:p>
    <w:p w14:paraId="3D415A0D" w14:textId="431F7104" w:rsidR="00B56BB7" w:rsidRDefault="00A04E10" w:rsidP="009E58ED">
      <w:pPr>
        <w:spacing w:line="360" w:lineRule="auto"/>
        <w:jc w:val="both"/>
        <w:rPr>
          <w:rFonts w:ascii="Arial" w:hAnsi="Arial" w:cs="Arial"/>
          <w:sz w:val="24"/>
          <w:szCs w:val="24"/>
        </w:rPr>
      </w:pPr>
      <w:r w:rsidRPr="00A04E10">
        <w:rPr>
          <w:rFonts w:ascii="Arial" w:hAnsi="Arial" w:cs="Arial"/>
          <w:sz w:val="24"/>
          <w:szCs w:val="24"/>
        </w:rPr>
        <w:t>HM Chief Inspector of Prisons for England and Wales (2018)</w:t>
      </w:r>
      <w:r w:rsidR="00F16B61">
        <w:rPr>
          <w:rFonts w:ascii="Arial" w:hAnsi="Arial" w:cs="Arial"/>
          <w:sz w:val="24"/>
          <w:szCs w:val="24"/>
        </w:rPr>
        <w:t>.</w:t>
      </w:r>
      <w:r w:rsidRPr="00A04E10">
        <w:rPr>
          <w:rFonts w:ascii="Arial" w:hAnsi="Arial" w:cs="Arial"/>
          <w:sz w:val="24"/>
          <w:szCs w:val="24"/>
        </w:rPr>
        <w:t xml:space="preserve"> HM Chief Inspector of Prisons for England and Wales Annual Report 2017–18. ISBN: 978-1-5286-0611-0. Open Government Licence. Available at: </w:t>
      </w:r>
      <w:hyperlink r:id="rId201" w:history="1">
        <w:r w:rsidRPr="007D0B0F">
          <w:rPr>
            <w:rStyle w:val="Hyperlink"/>
            <w:rFonts w:ascii="Arial" w:hAnsi="Arial" w:cs="Arial"/>
            <w:sz w:val="24"/>
            <w:szCs w:val="24"/>
          </w:rPr>
          <w:t>https://assets.publishing.service.gov.uk/media/5c06893bed915d7463b34dbe/hmi-prisons-annual-report-2017-18-revised-web.pdf</w:t>
        </w:r>
      </w:hyperlink>
      <w:r>
        <w:rPr>
          <w:rFonts w:ascii="Arial" w:hAnsi="Arial" w:cs="Arial"/>
          <w:sz w:val="24"/>
          <w:szCs w:val="24"/>
        </w:rPr>
        <w:t xml:space="preserve"> </w:t>
      </w:r>
      <w:r w:rsidRPr="00A04E10">
        <w:rPr>
          <w:rFonts w:ascii="Arial" w:hAnsi="Arial" w:cs="Arial"/>
          <w:sz w:val="24"/>
          <w:szCs w:val="24"/>
        </w:rPr>
        <w:t>(Accessed: 22 March 2026).</w:t>
      </w:r>
    </w:p>
    <w:p w14:paraId="7E67521B" w14:textId="7FCA366A" w:rsidR="00B70B82" w:rsidRDefault="00B70B82" w:rsidP="009E58ED">
      <w:pPr>
        <w:spacing w:line="360" w:lineRule="auto"/>
        <w:jc w:val="both"/>
        <w:rPr>
          <w:rFonts w:ascii="Arial" w:hAnsi="Arial" w:cs="Arial"/>
          <w:sz w:val="24"/>
          <w:szCs w:val="24"/>
        </w:rPr>
      </w:pPr>
      <w:r w:rsidRPr="00B70B82">
        <w:rPr>
          <w:rFonts w:ascii="Arial" w:hAnsi="Arial" w:cs="Arial"/>
          <w:sz w:val="24"/>
          <w:szCs w:val="24"/>
        </w:rPr>
        <w:t xml:space="preserve">HM Government (2018) Serious Violence Strategy. HM Government. Available at: </w:t>
      </w:r>
      <w:hyperlink r:id="rId202" w:history="1">
        <w:r w:rsidRPr="007D0B0F">
          <w:rPr>
            <w:rStyle w:val="Hyperlink"/>
            <w:rFonts w:ascii="Arial" w:hAnsi="Arial" w:cs="Arial"/>
            <w:sz w:val="24"/>
            <w:szCs w:val="24"/>
          </w:rPr>
          <w:t>https://assets.publishing.service.gov.uk/media/5acb21d140f0b64fed0afd55/serious-violence-strategy.pdf</w:t>
        </w:r>
      </w:hyperlink>
      <w:r>
        <w:rPr>
          <w:rFonts w:ascii="Arial" w:hAnsi="Arial" w:cs="Arial"/>
          <w:sz w:val="24"/>
          <w:szCs w:val="24"/>
        </w:rPr>
        <w:t xml:space="preserve"> </w:t>
      </w:r>
      <w:r w:rsidRPr="00B70B82">
        <w:rPr>
          <w:rFonts w:ascii="Arial" w:hAnsi="Arial" w:cs="Arial"/>
          <w:sz w:val="24"/>
          <w:szCs w:val="24"/>
        </w:rPr>
        <w:t>(Accessed: 1 April 2026).</w:t>
      </w:r>
    </w:p>
    <w:p w14:paraId="123E1BAF" w14:textId="659C957B" w:rsidR="00AA3A4A" w:rsidRDefault="00AA3A4A" w:rsidP="009E58ED">
      <w:pPr>
        <w:spacing w:line="360" w:lineRule="auto"/>
        <w:jc w:val="both"/>
        <w:rPr>
          <w:rFonts w:ascii="Arial" w:hAnsi="Arial" w:cs="Arial"/>
          <w:sz w:val="24"/>
          <w:szCs w:val="24"/>
        </w:rPr>
      </w:pPr>
      <w:r w:rsidRPr="00AA3A4A">
        <w:rPr>
          <w:rFonts w:ascii="Arial" w:hAnsi="Arial" w:cs="Arial"/>
          <w:sz w:val="24"/>
          <w:szCs w:val="24"/>
        </w:rPr>
        <w:t>HM Inspectorate of Prisons (2019)</w:t>
      </w:r>
      <w:r w:rsidR="00F16B61">
        <w:rPr>
          <w:rFonts w:ascii="Arial" w:hAnsi="Arial" w:cs="Arial"/>
          <w:sz w:val="24"/>
          <w:szCs w:val="24"/>
        </w:rPr>
        <w:t>.</w:t>
      </w:r>
      <w:r w:rsidRPr="00AA3A4A">
        <w:rPr>
          <w:rFonts w:ascii="Arial" w:hAnsi="Arial" w:cs="Arial"/>
          <w:sz w:val="24"/>
          <w:szCs w:val="24"/>
        </w:rPr>
        <w:t> </w:t>
      </w:r>
      <w:r w:rsidRPr="00AA3A4A">
        <w:rPr>
          <w:rFonts w:ascii="Arial" w:hAnsi="Arial" w:cs="Arial"/>
          <w:i/>
          <w:iCs/>
          <w:sz w:val="24"/>
          <w:szCs w:val="24"/>
        </w:rPr>
        <w:t>Children in Custody 2018-2019: An analysis of 12-18-year-olds' perceptions of their experiences in secure training centres and young offender institutions.</w:t>
      </w:r>
      <w:r w:rsidRPr="00AA3A4A">
        <w:rPr>
          <w:rFonts w:ascii="Arial" w:hAnsi="Arial" w:cs="Arial"/>
          <w:sz w:val="24"/>
          <w:szCs w:val="24"/>
        </w:rPr>
        <w:t xml:space="preserve"> Her Majesty’s Inspectorate of Prisons. Available at: </w:t>
      </w:r>
      <w:hyperlink r:id="rId203" w:history="1">
        <w:r w:rsidR="00AB2C4D" w:rsidRPr="007D0B0F">
          <w:rPr>
            <w:rStyle w:val="Hyperlink"/>
            <w:rFonts w:ascii="Arial" w:hAnsi="Arial" w:cs="Arial"/>
            <w:sz w:val="24"/>
            <w:szCs w:val="24"/>
          </w:rPr>
          <w:t>https://dera.ioe.ac.uk/id/eprint/35006/1/Children-in-Custody-2018-19-Web-1.pdf</w:t>
        </w:r>
      </w:hyperlink>
      <w:r w:rsidR="00AB2C4D">
        <w:rPr>
          <w:rFonts w:ascii="Arial" w:hAnsi="Arial" w:cs="Arial"/>
          <w:sz w:val="24"/>
          <w:szCs w:val="24"/>
        </w:rPr>
        <w:t xml:space="preserve"> </w:t>
      </w:r>
      <w:r w:rsidRPr="00AA3A4A">
        <w:rPr>
          <w:rFonts w:ascii="Arial" w:hAnsi="Arial" w:cs="Arial"/>
          <w:sz w:val="24"/>
          <w:szCs w:val="24"/>
        </w:rPr>
        <w:t>(Accessed: 22 March 2026).</w:t>
      </w:r>
    </w:p>
    <w:p w14:paraId="756B46BF" w14:textId="59BB4ADE" w:rsidR="00543D58" w:rsidRDefault="00543D58" w:rsidP="009E58ED">
      <w:pPr>
        <w:spacing w:line="360" w:lineRule="auto"/>
        <w:jc w:val="both"/>
        <w:rPr>
          <w:rFonts w:ascii="Arial" w:hAnsi="Arial" w:cs="Arial"/>
          <w:sz w:val="24"/>
          <w:szCs w:val="24"/>
        </w:rPr>
      </w:pPr>
      <w:r w:rsidRPr="00543D58">
        <w:rPr>
          <w:rFonts w:ascii="Arial" w:hAnsi="Arial" w:cs="Arial"/>
          <w:sz w:val="24"/>
          <w:szCs w:val="24"/>
        </w:rPr>
        <w:t xml:space="preserve">Holligan, C., McLean, R., and McHugh, R. (2020). 'Exploring County Lines: Criminal Drug Distribution Practices in Scotland', Youth Justice, 20(1-2), pp. 1-17. Available at: </w:t>
      </w:r>
      <w:hyperlink r:id="rId204" w:history="1">
        <w:r w:rsidR="002E727B" w:rsidRPr="007D0B0F">
          <w:rPr>
            <w:rStyle w:val="Hyperlink"/>
            <w:rFonts w:ascii="Arial" w:hAnsi="Arial" w:cs="Arial"/>
            <w:sz w:val="24"/>
            <w:szCs w:val="24"/>
          </w:rPr>
          <w:t>https://journals.sagepub.com/doi/abs/10.1177/1473225420902850</w:t>
        </w:r>
      </w:hyperlink>
      <w:r w:rsidR="002E727B">
        <w:rPr>
          <w:rFonts w:ascii="Arial" w:hAnsi="Arial" w:cs="Arial"/>
          <w:sz w:val="24"/>
          <w:szCs w:val="24"/>
        </w:rPr>
        <w:t xml:space="preserve"> </w:t>
      </w:r>
      <w:r w:rsidRPr="00543D58">
        <w:rPr>
          <w:rFonts w:ascii="Arial" w:hAnsi="Arial" w:cs="Arial"/>
          <w:sz w:val="24"/>
          <w:szCs w:val="24"/>
        </w:rPr>
        <w:t>(Accessed: 2 April 2026).</w:t>
      </w:r>
    </w:p>
    <w:p w14:paraId="60023F60" w14:textId="0B991DED" w:rsidR="002E2465" w:rsidRDefault="002E2465" w:rsidP="009E58ED">
      <w:pPr>
        <w:spacing w:line="360" w:lineRule="auto"/>
        <w:jc w:val="both"/>
        <w:rPr>
          <w:rFonts w:ascii="Arial" w:hAnsi="Arial" w:cs="Arial"/>
          <w:sz w:val="24"/>
          <w:szCs w:val="24"/>
        </w:rPr>
      </w:pPr>
      <w:r w:rsidRPr="002E2465">
        <w:rPr>
          <w:rFonts w:ascii="Arial" w:hAnsi="Arial" w:cs="Arial"/>
          <w:sz w:val="24"/>
          <w:szCs w:val="24"/>
        </w:rPr>
        <w:t>Home Office (2019</w:t>
      </w:r>
      <w:r w:rsidR="00006132">
        <w:rPr>
          <w:rFonts w:ascii="Arial" w:hAnsi="Arial" w:cs="Arial"/>
          <w:sz w:val="24"/>
          <w:szCs w:val="24"/>
        </w:rPr>
        <w:t>a</w:t>
      </w:r>
      <w:r w:rsidRPr="002E2465">
        <w:rPr>
          <w:rFonts w:ascii="Arial" w:hAnsi="Arial" w:cs="Arial"/>
          <w:sz w:val="24"/>
          <w:szCs w:val="24"/>
        </w:rPr>
        <w:t xml:space="preserve">) Police powers and procedures, England and Wales, year ending 31 March 2019. Open Government Licence Available at: </w:t>
      </w:r>
      <w:hyperlink r:id="rId205" w:history="1">
        <w:r w:rsidRPr="00172D15">
          <w:rPr>
            <w:rStyle w:val="Hyperlink"/>
            <w:rFonts w:ascii="Arial" w:hAnsi="Arial" w:cs="Arial"/>
            <w:sz w:val="24"/>
            <w:szCs w:val="24"/>
          </w:rPr>
          <w:t>https://assets.publishing.service.gov.uk/media/5db04463ed915d095f05b66c/police-powers-procedures-mar19-hosb2519.pdf</w:t>
        </w:r>
      </w:hyperlink>
      <w:r>
        <w:rPr>
          <w:rFonts w:ascii="Arial" w:hAnsi="Arial" w:cs="Arial"/>
          <w:sz w:val="24"/>
          <w:szCs w:val="24"/>
        </w:rPr>
        <w:t xml:space="preserve"> </w:t>
      </w:r>
      <w:r w:rsidRPr="002E2465">
        <w:rPr>
          <w:rFonts w:ascii="Arial" w:hAnsi="Arial" w:cs="Arial"/>
          <w:sz w:val="24"/>
          <w:szCs w:val="24"/>
        </w:rPr>
        <w:t>(Accessed: 5 April 2026).</w:t>
      </w:r>
    </w:p>
    <w:p w14:paraId="6F9674DC" w14:textId="5F40B48C" w:rsidR="00006132" w:rsidRDefault="00006132" w:rsidP="009E58ED">
      <w:pPr>
        <w:spacing w:line="360" w:lineRule="auto"/>
        <w:jc w:val="both"/>
        <w:rPr>
          <w:rFonts w:ascii="Arial" w:hAnsi="Arial" w:cs="Arial"/>
          <w:sz w:val="24"/>
          <w:szCs w:val="24"/>
        </w:rPr>
      </w:pPr>
      <w:r w:rsidRPr="00006132">
        <w:rPr>
          <w:rFonts w:ascii="Arial" w:hAnsi="Arial" w:cs="Arial"/>
          <w:sz w:val="24"/>
          <w:szCs w:val="24"/>
        </w:rPr>
        <w:t xml:space="preserve">Home Office (2019b) Hate Crime, England and Wales, 2018/19. Open Government Licence Available at:  </w:t>
      </w:r>
      <w:hyperlink r:id="rId206" w:history="1">
        <w:r w:rsidRPr="00172D15">
          <w:rPr>
            <w:rStyle w:val="Hyperlink"/>
            <w:rFonts w:ascii="Arial" w:hAnsi="Arial" w:cs="Arial"/>
            <w:sz w:val="24"/>
            <w:szCs w:val="24"/>
          </w:rPr>
          <w:t>https://assets.publishing.service.gov.uk/media/5da47329ed915d17b9646841/hate-crime-1819-hosb2419.pdf</w:t>
        </w:r>
      </w:hyperlink>
      <w:r>
        <w:rPr>
          <w:rFonts w:ascii="Arial" w:hAnsi="Arial" w:cs="Arial"/>
          <w:sz w:val="24"/>
          <w:szCs w:val="24"/>
        </w:rPr>
        <w:t xml:space="preserve"> </w:t>
      </w:r>
      <w:r w:rsidRPr="00006132">
        <w:rPr>
          <w:rFonts w:ascii="Arial" w:hAnsi="Arial" w:cs="Arial"/>
          <w:sz w:val="24"/>
          <w:szCs w:val="24"/>
        </w:rPr>
        <w:t>(Accessed: 5 April 2026).</w:t>
      </w:r>
    </w:p>
    <w:p w14:paraId="6586370E" w14:textId="7698F930" w:rsidR="005E74CD" w:rsidRDefault="005E74CD" w:rsidP="009E58ED">
      <w:pPr>
        <w:spacing w:line="360" w:lineRule="auto"/>
        <w:jc w:val="both"/>
        <w:rPr>
          <w:rFonts w:ascii="Arial" w:hAnsi="Arial" w:cs="Arial"/>
          <w:sz w:val="24"/>
          <w:szCs w:val="24"/>
        </w:rPr>
      </w:pPr>
      <w:r w:rsidRPr="005E74CD">
        <w:rPr>
          <w:rFonts w:ascii="Arial" w:hAnsi="Arial" w:cs="Arial"/>
          <w:sz w:val="24"/>
          <w:szCs w:val="24"/>
        </w:rPr>
        <w:lastRenderedPageBreak/>
        <w:t>Home Affairs Committee (2019)</w:t>
      </w:r>
      <w:r w:rsidR="00F16B61">
        <w:rPr>
          <w:rFonts w:ascii="Arial" w:hAnsi="Arial" w:cs="Arial"/>
          <w:sz w:val="24"/>
          <w:szCs w:val="24"/>
        </w:rPr>
        <w:t>.</w:t>
      </w:r>
      <w:r w:rsidRPr="005E74CD">
        <w:rPr>
          <w:rFonts w:ascii="Arial" w:hAnsi="Arial" w:cs="Arial"/>
          <w:sz w:val="24"/>
          <w:szCs w:val="24"/>
        </w:rPr>
        <w:t> </w:t>
      </w:r>
      <w:r w:rsidRPr="005E74CD">
        <w:rPr>
          <w:rFonts w:ascii="Arial" w:hAnsi="Arial" w:cs="Arial"/>
          <w:i/>
          <w:iCs/>
          <w:sz w:val="24"/>
          <w:szCs w:val="24"/>
        </w:rPr>
        <w:t>Government Response House of Commons Home Affairs Committee: Serious Youth Violence – Sixteenth Report of Session 2017-2019</w:t>
      </w:r>
      <w:r w:rsidRPr="005E74CD">
        <w:rPr>
          <w:rFonts w:ascii="Arial" w:hAnsi="Arial" w:cs="Arial"/>
          <w:sz w:val="24"/>
          <w:szCs w:val="24"/>
        </w:rPr>
        <w:t xml:space="preserve">. Available at: </w:t>
      </w:r>
      <w:hyperlink r:id="rId207" w:history="1">
        <w:r w:rsidRPr="007D0B0F">
          <w:rPr>
            <w:rStyle w:val="Hyperlink"/>
            <w:rFonts w:ascii="Arial" w:hAnsi="Arial" w:cs="Arial"/>
            <w:sz w:val="24"/>
            <w:szCs w:val="24"/>
          </w:rPr>
          <w:t>https://www.parliament.uk/globalassets/documents/commons-committees/home-affairs/Correspondence-19-20/Government-Response-to-the-Committees-Report-on-Serious-Youth-Violence.pdf</w:t>
        </w:r>
      </w:hyperlink>
      <w:r>
        <w:rPr>
          <w:rFonts w:ascii="Arial" w:hAnsi="Arial" w:cs="Arial"/>
          <w:sz w:val="24"/>
          <w:szCs w:val="24"/>
        </w:rPr>
        <w:t xml:space="preserve"> </w:t>
      </w:r>
      <w:r w:rsidRPr="005E74CD">
        <w:rPr>
          <w:rFonts w:ascii="Arial" w:hAnsi="Arial" w:cs="Arial"/>
          <w:sz w:val="24"/>
          <w:szCs w:val="24"/>
        </w:rPr>
        <w:t>(Accessed: 22 March 2026).</w:t>
      </w:r>
    </w:p>
    <w:p w14:paraId="5425DFA2" w14:textId="1F693BDA" w:rsidR="00006132" w:rsidRDefault="00006132" w:rsidP="009E58ED">
      <w:pPr>
        <w:spacing w:line="360" w:lineRule="auto"/>
        <w:jc w:val="both"/>
        <w:rPr>
          <w:rFonts w:ascii="Arial" w:hAnsi="Arial" w:cs="Arial"/>
          <w:sz w:val="24"/>
          <w:szCs w:val="24"/>
        </w:rPr>
      </w:pPr>
      <w:r w:rsidRPr="00006132">
        <w:rPr>
          <w:rFonts w:ascii="Arial" w:hAnsi="Arial" w:cs="Arial"/>
          <w:sz w:val="24"/>
          <w:szCs w:val="24"/>
        </w:rPr>
        <w:t xml:space="preserve">Hooks, B. (1992). Black Looks: Race and Representation Bell Hooks. Open Hand Publishing Inc. Available at: </w:t>
      </w:r>
      <w:hyperlink r:id="rId208" w:history="1">
        <w:r w:rsidRPr="00172D15">
          <w:rPr>
            <w:rStyle w:val="Hyperlink"/>
            <w:rFonts w:ascii="Arial" w:hAnsi="Arial" w:cs="Arial"/>
            <w:sz w:val="24"/>
            <w:szCs w:val="24"/>
          </w:rPr>
          <w:t>https://www.slideshare.net/slideshow/bell-hooks-black-looks_-race-and-representation-south-end-press-1999-pdf/282583086</w:t>
        </w:r>
      </w:hyperlink>
      <w:r>
        <w:rPr>
          <w:rFonts w:ascii="Arial" w:hAnsi="Arial" w:cs="Arial"/>
          <w:sz w:val="24"/>
          <w:szCs w:val="24"/>
        </w:rPr>
        <w:t xml:space="preserve"> </w:t>
      </w:r>
      <w:r w:rsidRPr="00006132">
        <w:rPr>
          <w:rFonts w:ascii="Arial" w:hAnsi="Arial" w:cs="Arial"/>
          <w:sz w:val="24"/>
          <w:szCs w:val="24"/>
        </w:rPr>
        <w:t>(Accessed: 17 March 2026).</w:t>
      </w:r>
    </w:p>
    <w:p w14:paraId="3F623F4E" w14:textId="7E256E41" w:rsidR="00A34424" w:rsidRDefault="00A34424" w:rsidP="009E58ED">
      <w:pPr>
        <w:spacing w:line="360" w:lineRule="auto"/>
        <w:jc w:val="both"/>
        <w:rPr>
          <w:rFonts w:ascii="Arial" w:hAnsi="Arial" w:cs="Arial"/>
          <w:sz w:val="24"/>
          <w:szCs w:val="24"/>
        </w:rPr>
      </w:pPr>
      <w:r w:rsidRPr="00A34424">
        <w:rPr>
          <w:rFonts w:ascii="Arial" w:hAnsi="Arial" w:cs="Arial"/>
          <w:sz w:val="24"/>
          <w:szCs w:val="24"/>
        </w:rPr>
        <w:t xml:space="preserve">House of Commons Home Affairs Committee (2007). Young Black People and the Criminal Justice System. The Stationery Office Limited. Available at: </w:t>
      </w:r>
      <w:hyperlink r:id="rId209" w:history="1">
        <w:r w:rsidRPr="002F0426">
          <w:rPr>
            <w:rStyle w:val="Hyperlink"/>
            <w:rFonts w:ascii="Arial" w:hAnsi="Arial" w:cs="Arial"/>
            <w:sz w:val="24"/>
            <w:szCs w:val="24"/>
          </w:rPr>
          <w:t>https://publications.parliament.uk/pa/cm200607/cmselect/cmhaff/181/181ii.pdf</w:t>
        </w:r>
      </w:hyperlink>
      <w:r>
        <w:rPr>
          <w:rFonts w:ascii="Arial" w:hAnsi="Arial" w:cs="Arial"/>
          <w:sz w:val="24"/>
          <w:szCs w:val="24"/>
        </w:rPr>
        <w:t xml:space="preserve"> </w:t>
      </w:r>
      <w:r w:rsidRPr="00A34424">
        <w:rPr>
          <w:rFonts w:ascii="Arial" w:hAnsi="Arial" w:cs="Arial"/>
          <w:sz w:val="24"/>
          <w:szCs w:val="24"/>
        </w:rPr>
        <w:t>(Accessed: 18 March 2026).</w:t>
      </w:r>
    </w:p>
    <w:p w14:paraId="5D64F439" w14:textId="0C4FC471" w:rsidR="00723D10" w:rsidRDefault="00723D10" w:rsidP="009E58ED">
      <w:pPr>
        <w:spacing w:line="360" w:lineRule="auto"/>
        <w:jc w:val="both"/>
        <w:rPr>
          <w:rFonts w:ascii="Arial" w:hAnsi="Arial" w:cs="Arial"/>
          <w:sz w:val="24"/>
          <w:szCs w:val="24"/>
        </w:rPr>
      </w:pPr>
      <w:r w:rsidRPr="00723D10">
        <w:rPr>
          <w:rFonts w:ascii="Arial" w:hAnsi="Arial" w:cs="Arial"/>
          <w:sz w:val="24"/>
          <w:szCs w:val="24"/>
        </w:rPr>
        <w:t>Howcroft, D., and Rubery, J. (2019) '‘Bias in, Bias out’: gender equality and the future of work debate', Labour and Industry, 29(2), pp. 213</w:t>
      </w:r>
      <w:r w:rsidR="000E0E41">
        <w:rPr>
          <w:rFonts w:ascii="Arial" w:hAnsi="Arial" w:cs="Arial"/>
          <w:sz w:val="24"/>
          <w:szCs w:val="24"/>
        </w:rPr>
        <w:t>–</w:t>
      </w:r>
      <w:r w:rsidRPr="00723D10">
        <w:rPr>
          <w:rFonts w:ascii="Arial" w:hAnsi="Arial" w:cs="Arial"/>
          <w:sz w:val="24"/>
          <w:szCs w:val="24"/>
        </w:rPr>
        <w:t xml:space="preserve">227. Available at: </w:t>
      </w:r>
      <w:hyperlink r:id="rId210" w:anchor="abstract" w:history="1">
        <w:r w:rsidR="000E0E41" w:rsidRPr="007D0B0F">
          <w:rPr>
            <w:rStyle w:val="Hyperlink"/>
            <w:rFonts w:ascii="Arial" w:hAnsi="Arial" w:cs="Arial"/>
            <w:sz w:val="24"/>
            <w:szCs w:val="24"/>
          </w:rPr>
          <w:t>https://www.tandfonline.com/doi/full/10.1080/10301763.2019.1619986?scroll=top&amp;needAccess=true#abstract</w:t>
        </w:r>
      </w:hyperlink>
      <w:r w:rsidR="000E0E41">
        <w:rPr>
          <w:rFonts w:ascii="Arial" w:hAnsi="Arial" w:cs="Arial"/>
          <w:sz w:val="24"/>
          <w:szCs w:val="24"/>
        </w:rPr>
        <w:t xml:space="preserve"> </w:t>
      </w:r>
      <w:r w:rsidRPr="00723D10">
        <w:rPr>
          <w:rFonts w:ascii="Arial" w:hAnsi="Arial" w:cs="Arial"/>
          <w:sz w:val="24"/>
          <w:szCs w:val="24"/>
        </w:rPr>
        <w:t>(Accessed: 25 March 2026).</w:t>
      </w:r>
    </w:p>
    <w:p w14:paraId="7DD1A89D" w14:textId="04390333" w:rsidR="00A36E64" w:rsidRDefault="00A36E64" w:rsidP="009E58ED">
      <w:pPr>
        <w:spacing w:line="360" w:lineRule="auto"/>
        <w:jc w:val="both"/>
        <w:rPr>
          <w:rFonts w:ascii="Arial" w:hAnsi="Arial" w:cs="Arial"/>
          <w:sz w:val="24"/>
          <w:szCs w:val="24"/>
        </w:rPr>
      </w:pPr>
      <w:r w:rsidRPr="00A36E64">
        <w:rPr>
          <w:rFonts w:ascii="Arial" w:hAnsi="Arial" w:cs="Arial"/>
          <w:sz w:val="24"/>
          <w:szCs w:val="24"/>
        </w:rPr>
        <w:t>Hoyt, J. (2023)</w:t>
      </w:r>
      <w:r>
        <w:rPr>
          <w:rFonts w:ascii="Arial" w:hAnsi="Arial" w:cs="Arial"/>
          <w:sz w:val="24"/>
          <w:szCs w:val="24"/>
        </w:rPr>
        <w:t>.</w:t>
      </w:r>
      <w:r w:rsidRPr="00A36E64">
        <w:rPr>
          <w:rFonts w:ascii="Arial" w:hAnsi="Arial" w:cs="Arial"/>
          <w:sz w:val="24"/>
          <w:szCs w:val="24"/>
        </w:rPr>
        <w:t xml:space="preserve"> 'Student Connections: The Critical Role of Student Affairs and Academic Support Services in Retention Efforts', Journal of College Student Retention: Research, Theory and Practice, 25(3), pp. 480</w:t>
      </w:r>
      <w:r>
        <w:rPr>
          <w:rFonts w:ascii="Arial" w:hAnsi="Arial" w:cs="Arial"/>
          <w:sz w:val="24"/>
          <w:szCs w:val="24"/>
        </w:rPr>
        <w:t>–</w:t>
      </w:r>
      <w:r w:rsidRPr="00A36E64">
        <w:rPr>
          <w:rFonts w:ascii="Arial" w:hAnsi="Arial" w:cs="Arial"/>
          <w:sz w:val="24"/>
          <w:szCs w:val="24"/>
        </w:rPr>
        <w:t xml:space="preserve">491. Available at: </w:t>
      </w:r>
      <w:hyperlink r:id="rId211" w:history="1">
        <w:r w:rsidRPr="007D0B0F">
          <w:rPr>
            <w:rStyle w:val="Hyperlink"/>
            <w:rFonts w:ascii="Arial" w:hAnsi="Arial" w:cs="Arial"/>
            <w:sz w:val="24"/>
            <w:szCs w:val="24"/>
          </w:rPr>
          <w:t>https://journals.sagepub.com/doi/full/10.1177/1521025121991502</w:t>
        </w:r>
      </w:hyperlink>
      <w:r>
        <w:rPr>
          <w:rFonts w:ascii="Arial" w:hAnsi="Arial" w:cs="Arial"/>
          <w:sz w:val="24"/>
          <w:szCs w:val="24"/>
        </w:rPr>
        <w:t xml:space="preserve"> </w:t>
      </w:r>
      <w:r w:rsidRPr="00A36E64">
        <w:rPr>
          <w:rFonts w:ascii="Arial" w:hAnsi="Arial" w:cs="Arial"/>
          <w:sz w:val="24"/>
          <w:szCs w:val="24"/>
        </w:rPr>
        <w:t>(Accessed: 24 March 2026).</w:t>
      </w:r>
    </w:p>
    <w:p w14:paraId="6ECEFD9C" w14:textId="4596D4C5" w:rsidR="00A85753" w:rsidRDefault="00A85753" w:rsidP="009E58ED">
      <w:pPr>
        <w:spacing w:line="360" w:lineRule="auto"/>
        <w:jc w:val="both"/>
        <w:rPr>
          <w:rFonts w:ascii="Arial" w:hAnsi="Arial" w:cs="Arial"/>
          <w:sz w:val="24"/>
          <w:szCs w:val="24"/>
        </w:rPr>
      </w:pPr>
      <w:proofErr w:type="spellStart"/>
      <w:r w:rsidRPr="00A85753">
        <w:rPr>
          <w:rFonts w:ascii="Arial" w:hAnsi="Arial" w:cs="Arial"/>
          <w:sz w:val="24"/>
          <w:szCs w:val="24"/>
        </w:rPr>
        <w:t>Hupkau</w:t>
      </w:r>
      <w:proofErr w:type="spellEnd"/>
      <w:r w:rsidRPr="00A85753">
        <w:rPr>
          <w:rFonts w:ascii="Arial" w:hAnsi="Arial" w:cs="Arial"/>
          <w:sz w:val="24"/>
          <w:szCs w:val="24"/>
        </w:rPr>
        <w:t>, C., McNally, S., Ruiz-Valenzuela, J., and Ventura, G. (2017)</w:t>
      </w:r>
      <w:r>
        <w:rPr>
          <w:rFonts w:ascii="Arial" w:hAnsi="Arial" w:cs="Arial"/>
          <w:sz w:val="24"/>
          <w:szCs w:val="24"/>
        </w:rPr>
        <w:t>.</w:t>
      </w:r>
      <w:r w:rsidRPr="00A85753">
        <w:rPr>
          <w:rFonts w:ascii="Arial" w:hAnsi="Arial" w:cs="Arial"/>
          <w:sz w:val="24"/>
          <w:szCs w:val="24"/>
        </w:rPr>
        <w:t xml:space="preserve"> 'Post-Compulsory Education in England: Choices and Implications', National Institute Economic Review, 240, pp. 42</w:t>
      </w:r>
      <w:r>
        <w:rPr>
          <w:rFonts w:ascii="Arial" w:hAnsi="Arial" w:cs="Arial"/>
          <w:sz w:val="24"/>
          <w:szCs w:val="24"/>
        </w:rPr>
        <w:t>–</w:t>
      </w:r>
      <w:r w:rsidRPr="00A85753">
        <w:rPr>
          <w:rFonts w:ascii="Arial" w:hAnsi="Arial" w:cs="Arial"/>
          <w:sz w:val="24"/>
          <w:szCs w:val="24"/>
        </w:rPr>
        <w:t xml:space="preserve">57. Available at: </w:t>
      </w:r>
      <w:hyperlink r:id="rId212" w:history="1">
        <w:r w:rsidRPr="007D0B0F">
          <w:rPr>
            <w:rStyle w:val="Hyperlink"/>
            <w:rFonts w:ascii="Arial" w:hAnsi="Arial" w:cs="Arial"/>
            <w:sz w:val="24"/>
            <w:szCs w:val="24"/>
          </w:rPr>
          <w:t>https://www-cambridge-org.uwtsd.idm.oclc.org/core/journals/national-institute-economic-review/article/postcompulsory-education-in-england-choices-and-implications/777B44382D89EF34D602B53A1CA3AB8E</w:t>
        </w:r>
      </w:hyperlink>
      <w:r>
        <w:rPr>
          <w:rFonts w:ascii="Arial" w:hAnsi="Arial" w:cs="Arial"/>
          <w:sz w:val="24"/>
          <w:szCs w:val="24"/>
        </w:rPr>
        <w:t xml:space="preserve"> </w:t>
      </w:r>
      <w:r w:rsidRPr="00A85753">
        <w:rPr>
          <w:rFonts w:ascii="Arial" w:hAnsi="Arial" w:cs="Arial"/>
          <w:sz w:val="24"/>
          <w:szCs w:val="24"/>
        </w:rPr>
        <w:t>(Accessed: 26 March 2026).</w:t>
      </w:r>
    </w:p>
    <w:p w14:paraId="14509699" w14:textId="6D1BD93E" w:rsidR="00065A37" w:rsidRDefault="00065A37" w:rsidP="009E58ED">
      <w:pPr>
        <w:spacing w:line="360" w:lineRule="auto"/>
        <w:jc w:val="both"/>
        <w:rPr>
          <w:rFonts w:ascii="Arial" w:hAnsi="Arial" w:cs="Arial"/>
          <w:sz w:val="24"/>
          <w:szCs w:val="24"/>
        </w:rPr>
      </w:pPr>
      <w:r w:rsidRPr="00065A37">
        <w:rPr>
          <w:rFonts w:ascii="Arial" w:hAnsi="Arial" w:cs="Arial"/>
          <w:sz w:val="24"/>
          <w:szCs w:val="24"/>
        </w:rPr>
        <w:lastRenderedPageBreak/>
        <w:t>Hunter, K. (2019)</w:t>
      </w:r>
      <w:r>
        <w:rPr>
          <w:rFonts w:ascii="Arial" w:hAnsi="Arial" w:cs="Arial"/>
          <w:sz w:val="24"/>
          <w:szCs w:val="24"/>
        </w:rPr>
        <w:t>.</w:t>
      </w:r>
      <w:r w:rsidRPr="00065A37">
        <w:rPr>
          <w:rFonts w:ascii="Arial" w:hAnsi="Arial" w:cs="Arial"/>
          <w:sz w:val="24"/>
          <w:szCs w:val="24"/>
        </w:rPr>
        <w:t xml:space="preserve"> Institutionalised Criminalisation: Black and Minority Ethnic Children and Looked After Children in the Youth Justice System in England and Wales. Doctor of Philosophy. Degree awarding body. Available at: </w:t>
      </w:r>
      <w:hyperlink r:id="rId213" w:history="1">
        <w:r w:rsidRPr="00172D15">
          <w:rPr>
            <w:rStyle w:val="Hyperlink"/>
            <w:rFonts w:ascii="Arial" w:hAnsi="Arial" w:cs="Arial"/>
            <w:sz w:val="24"/>
            <w:szCs w:val="24"/>
          </w:rPr>
          <w:t>https://www.proquest.com/docview/2447835853?pq-origsite=gscholar&amp;fromopenview=true&amp;sourcetype=Dissertations%20&amp;%20Theses</w:t>
        </w:r>
      </w:hyperlink>
      <w:r>
        <w:rPr>
          <w:rFonts w:ascii="Arial" w:hAnsi="Arial" w:cs="Arial"/>
          <w:sz w:val="24"/>
          <w:szCs w:val="24"/>
        </w:rPr>
        <w:t xml:space="preserve"> </w:t>
      </w:r>
      <w:r w:rsidRPr="00065A37">
        <w:rPr>
          <w:rFonts w:ascii="Arial" w:hAnsi="Arial" w:cs="Arial"/>
          <w:sz w:val="24"/>
          <w:szCs w:val="24"/>
        </w:rPr>
        <w:t>(Accessed: 5 April 2026).</w:t>
      </w:r>
    </w:p>
    <w:p w14:paraId="4EC86412" w14:textId="60AF18B0" w:rsidR="001B5A6E" w:rsidRDefault="008B12B3" w:rsidP="009E58ED">
      <w:pPr>
        <w:spacing w:line="360" w:lineRule="auto"/>
        <w:jc w:val="both"/>
        <w:rPr>
          <w:rFonts w:ascii="Arial" w:hAnsi="Arial" w:cs="Arial"/>
          <w:sz w:val="24"/>
          <w:szCs w:val="24"/>
        </w:rPr>
      </w:pPr>
      <w:r w:rsidRPr="008B12B3">
        <w:rPr>
          <w:rFonts w:ascii="Arial" w:hAnsi="Arial" w:cs="Arial"/>
          <w:sz w:val="24"/>
          <w:szCs w:val="24"/>
        </w:rPr>
        <w:t>Inzlicht, M., and Ben-Zeev (2000)</w:t>
      </w:r>
      <w:r w:rsidR="00F16B61">
        <w:rPr>
          <w:rFonts w:ascii="Arial" w:hAnsi="Arial" w:cs="Arial"/>
          <w:sz w:val="24"/>
          <w:szCs w:val="24"/>
        </w:rPr>
        <w:t>.</w:t>
      </w:r>
      <w:r w:rsidRPr="008B12B3">
        <w:rPr>
          <w:rFonts w:ascii="Arial" w:hAnsi="Arial" w:cs="Arial"/>
          <w:sz w:val="24"/>
          <w:szCs w:val="24"/>
        </w:rPr>
        <w:t xml:space="preserve"> 'A Threatening Intellectual Environment: Why Females Are Susceptible to Experiencing Problem-Solving Deficits in the Presence of Males', Psychological Science, 11(5), pp. 365</w:t>
      </w:r>
      <w:r w:rsidR="00F16B61">
        <w:rPr>
          <w:rFonts w:ascii="Arial" w:hAnsi="Arial" w:cs="Arial"/>
          <w:sz w:val="24"/>
          <w:szCs w:val="24"/>
        </w:rPr>
        <w:t>–</w:t>
      </w:r>
      <w:r w:rsidRPr="008B12B3">
        <w:rPr>
          <w:rFonts w:ascii="Arial" w:hAnsi="Arial" w:cs="Arial"/>
          <w:sz w:val="24"/>
          <w:szCs w:val="24"/>
        </w:rPr>
        <w:t xml:space="preserve">371. Available at: </w:t>
      </w:r>
      <w:hyperlink r:id="rId214" w:history="1">
        <w:r w:rsidRPr="00FB3832">
          <w:rPr>
            <w:rStyle w:val="Hyperlink"/>
            <w:rFonts w:ascii="Arial" w:hAnsi="Arial" w:cs="Arial"/>
            <w:sz w:val="24"/>
            <w:szCs w:val="24"/>
          </w:rPr>
          <w:t>https://journals-sagepub-com.uwtsd.idm.oclc.org/doi/epdf/10.1111/1467-9280.00272</w:t>
        </w:r>
      </w:hyperlink>
      <w:r>
        <w:rPr>
          <w:rFonts w:ascii="Arial" w:hAnsi="Arial" w:cs="Arial"/>
          <w:sz w:val="24"/>
          <w:szCs w:val="24"/>
        </w:rPr>
        <w:t xml:space="preserve"> </w:t>
      </w:r>
      <w:r w:rsidRPr="008B12B3">
        <w:rPr>
          <w:rFonts w:ascii="Arial" w:hAnsi="Arial" w:cs="Arial"/>
          <w:sz w:val="24"/>
          <w:szCs w:val="24"/>
        </w:rPr>
        <w:t>(Accessed: 19 March 2026).</w:t>
      </w:r>
    </w:p>
    <w:p w14:paraId="5DACE4F1" w14:textId="16F71D8F" w:rsidR="0031337A" w:rsidRDefault="0031337A" w:rsidP="009E58ED">
      <w:pPr>
        <w:spacing w:line="360" w:lineRule="auto"/>
        <w:jc w:val="both"/>
        <w:rPr>
          <w:rFonts w:ascii="Arial" w:hAnsi="Arial" w:cs="Arial"/>
          <w:sz w:val="24"/>
          <w:szCs w:val="24"/>
        </w:rPr>
      </w:pPr>
      <w:r w:rsidRPr="0031337A">
        <w:rPr>
          <w:rFonts w:ascii="Arial" w:hAnsi="Arial" w:cs="Arial"/>
          <w:sz w:val="24"/>
          <w:szCs w:val="24"/>
        </w:rPr>
        <w:t xml:space="preserve">IPA (2012). 2012 Multicultural Britain. IPA Available at: </w:t>
      </w:r>
      <w:hyperlink r:id="rId215" w:history="1">
        <w:r w:rsidRPr="007D0B0F">
          <w:rPr>
            <w:rStyle w:val="Hyperlink"/>
            <w:rFonts w:ascii="Arial" w:hAnsi="Arial" w:cs="Arial"/>
            <w:sz w:val="24"/>
            <w:szCs w:val="24"/>
          </w:rPr>
          <w:t>https://www.slideshare.net/slideshow/multicultural-britain-2012-28376057/28376057</w:t>
        </w:r>
      </w:hyperlink>
      <w:r>
        <w:rPr>
          <w:rFonts w:ascii="Arial" w:hAnsi="Arial" w:cs="Arial"/>
          <w:sz w:val="24"/>
          <w:szCs w:val="24"/>
        </w:rPr>
        <w:t xml:space="preserve"> (</w:t>
      </w:r>
      <w:r w:rsidRPr="0031337A">
        <w:rPr>
          <w:rFonts w:ascii="Arial" w:hAnsi="Arial" w:cs="Arial"/>
          <w:sz w:val="24"/>
          <w:szCs w:val="24"/>
        </w:rPr>
        <w:t>Accessed: 26 March 2026).</w:t>
      </w:r>
    </w:p>
    <w:p w14:paraId="1BE1B9BF" w14:textId="519205D9" w:rsidR="00E70FDA" w:rsidRDefault="00E70FDA" w:rsidP="009E58ED">
      <w:pPr>
        <w:spacing w:line="360" w:lineRule="auto"/>
        <w:jc w:val="both"/>
        <w:rPr>
          <w:rFonts w:ascii="Arial" w:hAnsi="Arial" w:cs="Arial"/>
          <w:sz w:val="24"/>
          <w:szCs w:val="24"/>
        </w:rPr>
      </w:pPr>
      <w:r w:rsidRPr="00E70FDA">
        <w:rPr>
          <w:rFonts w:ascii="Arial" w:hAnsi="Arial" w:cs="Arial"/>
          <w:sz w:val="24"/>
          <w:szCs w:val="24"/>
        </w:rPr>
        <w:t>Israel, S., Yareth, E., and Noé, A. (2025)</w:t>
      </w:r>
      <w:r w:rsidR="00F16B61">
        <w:rPr>
          <w:rFonts w:ascii="Arial" w:hAnsi="Arial" w:cs="Arial"/>
          <w:sz w:val="24"/>
          <w:szCs w:val="24"/>
        </w:rPr>
        <w:t>.</w:t>
      </w:r>
      <w:r w:rsidRPr="00E70FDA">
        <w:rPr>
          <w:rFonts w:ascii="Arial" w:hAnsi="Arial" w:cs="Arial"/>
          <w:sz w:val="24"/>
          <w:szCs w:val="24"/>
        </w:rPr>
        <w:t xml:space="preserve"> 'Strategic Management as an Essential Part of Business Development and Growth', </w:t>
      </w:r>
      <w:r w:rsidRPr="00E70FDA">
        <w:rPr>
          <w:rFonts w:ascii="Arial" w:hAnsi="Arial" w:cs="Arial"/>
          <w:i/>
          <w:iCs/>
          <w:sz w:val="24"/>
          <w:szCs w:val="24"/>
        </w:rPr>
        <w:t>Business Management</w:t>
      </w:r>
      <w:r w:rsidRPr="00E70FDA">
        <w:rPr>
          <w:rFonts w:ascii="Arial" w:hAnsi="Arial" w:cs="Arial"/>
          <w:sz w:val="24"/>
          <w:szCs w:val="24"/>
        </w:rPr>
        <w:t xml:space="preserve">. Available at: </w:t>
      </w:r>
      <w:hyperlink r:id="rId216" w:history="1">
        <w:r w:rsidRPr="00D94FAA">
          <w:rPr>
            <w:rStyle w:val="Hyperlink"/>
            <w:rFonts w:ascii="Arial" w:hAnsi="Arial" w:cs="Arial"/>
            <w:sz w:val="24"/>
            <w:szCs w:val="24"/>
          </w:rPr>
          <w:t>https://rsisinternational.org/journals/ijriss/articles/strategic-management-as-an-essential-part-of-business-development-and-growth/</w:t>
        </w:r>
      </w:hyperlink>
      <w:r>
        <w:rPr>
          <w:rFonts w:ascii="Arial" w:hAnsi="Arial" w:cs="Arial"/>
          <w:sz w:val="24"/>
          <w:szCs w:val="24"/>
        </w:rPr>
        <w:t xml:space="preserve"> </w:t>
      </w:r>
      <w:r w:rsidRPr="00E70FDA">
        <w:rPr>
          <w:rFonts w:ascii="Arial" w:hAnsi="Arial" w:cs="Arial"/>
          <w:sz w:val="24"/>
          <w:szCs w:val="24"/>
        </w:rPr>
        <w:t>(Accessed: 4 March 2026).</w:t>
      </w:r>
    </w:p>
    <w:p w14:paraId="32BFDFF0" w14:textId="5C8DE743" w:rsidR="008F0218" w:rsidRDefault="008F0218" w:rsidP="009E58ED">
      <w:pPr>
        <w:spacing w:line="360" w:lineRule="auto"/>
        <w:jc w:val="both"/>
        <w:rPr>
          <w:rFonts w:ascii="Arial" w:hAnsi="Arial" w:cs="Arial"/>
          <w:sz w:val="24"/>
          <w:szCs w:val="24"/>
        </w:rPr>
      </w:pPr>
      <w:r w:rsidRPr="008F0218">
        <w:rPr>
          <w:rFonts w:ascii="Arial" w:hAnsi="Arial" w:cs="Arial"/>
          <w:sz w:val="24"/>
          <w:szCs w:val="24"/>
        </w:rPr>
        <w:t>Jacklin, A., and Le Riche, P. (2009)</w:t>
      </w:r>
      <w:r>
        <w:rPr>
          <w:rFonts w:ascii="Arial" w:hAnsi="Arial" w:cs="Arial"/>
          <w:sz w:val="24"/>
          <w:szCs w:val="24"/>
        </w:rPr>
        <w:t>.</w:t>
      </w:r>
      <w:r w:rsidRPr="008F0218">
        <w:rPr>
          <w:rFonts w:ascii="Arial" w:hAnsi="Arial" w:cs="Arial"/>
          <w:sz w:val="24"/>
          <w:szCs w:val="24"/>
        </w:rPr>
        <w:t xml:space="preserve"> 'Reconceptualising student support: from ‘support’ to ‘supportive’', Studies in Higher Education, 34(7), pp. 735</w:t>
      </w:r>
      <w:r>
        <w:rPr>
          <w:rFonts w:ascii="Arial" w:hAnsi="Arial" w:cs="Arial"/>
          <w:sz w:val="24"/>
          <w:szCs w:val="24"/>
        </w:rPr>
        <w:t>–</w:t>
      </w:r>
      <w:r w:rsidRPr="008F0218">
        <w:rPr>
          <w:rFonts w:ascii="Arial" w:hAnsi="Arial" w:cs="Arial"/>
          <w:sz w:val="24"/>
          <w:szCs w:val="24"/>
        </w:rPr>
        <w:t xml:space="preserve">749. Available at: </w:t>
      </w:r>
      <w:hyperlink r:id="rId217" w:anchor="d1e213" w:history="1">
        <w:r w:rsidRPr="007D0B0F">
          <w:rPr>
            <w:rStyle w:val="Hyperlink"/>
            <w:rFonts w:ascii="Arial" w:hAnsi="Arial" w:cs="Arial"/>
            <w:sz w:val="24"/>
            <w:szCs w:val="24"/>
          </w:rPr>
          <w:t>https://www.tandfonline.com/doi/full/10.1080/03075070802666807?scroll=top&amp;needAccess=true#d1e213</w:t>
        </w:r>
      </w:hyperlink>
      <w:r>
        <w:rPr>
          <w:rFonts w:ascii="Arial" w:hAnsi="Arial" w:cs="Arial"/>
          <w:sz w:val="24"/>
          <w:szCs w:val="24"/>
        </w:rPr>
        <w:t xml:space="preserve"> </w:t>
      </w:r>
      <w:r w:rsidRPr="008F0218">
        <w:rPr>
          <w:rFonts w:ascii="Arial" w:hAnsi="Arial" w:cs="Arial"/>
          <w:sz w:val="24"/>
          <w:szCs w:val="24"/>
        </w:rPr>
        <w:t>(Accessed: 24 March 2026).</w:t>
      </w:r>
    </w:p>
    <w:p w14:paraId="23B03CE3" w14:textId="280F7A92" w:rsidR="009B0F1F" w:rsidRDefault="009B0F1F" w:rsidP="009E58ED">
      <w:pPr>
        <w:spacing w:line="360" w:lineRule="auto"/>
        <w:jc w:val="both"/>
        <w:rPr>
          <w:rFonts w:ascii="Arial" w:hAnsi="Arial" w:cs="Arial"/>
          <w:sz w:val="24"/>
          <w:szCs w:val="24"/>
        </w:rPr>
      </w:pPr>
      <w:r w:rsidRPr="009B0F1F">
        <w:rPr>
          <w:rFonts w:ascii="Arial" w:hAnsi="Arial" w:cs="Arial"/>
          <w:sz w:val="24"/>
          <w:szCs w:val="24"/>
        </w:rPr>
        <w:t>Jacklin, A., and Robinson, C. (2007). 'What is meant by ‘support’ in higher education? Towards a model of academic and welfare support', Journal of Research in Special Educational Needs, 7(2), pp. 114</w:t>
      </w:r>
      <w:r>
        <w:rPr>
          <w:rFonts w:ascii="Arial" w:hAnsi="Arial" w:cs="Arial"/>
          <w:sz w:val="24"/>
          <w:szCs w:val="24"/>
        </w:rPr>
        <w:t>–</w:t>
      </w:r>
      <w:r w:rsidRPr="009B0F1F">
        <w:rPr>
          <w:rFonts w:ascii="Arial" w:hAnsi="Arial" w:cs="Arial"/>
          <w:sz w:val="24"/>
          <w:szCs w:val="24"/>
        </w:rPr>
        <w:t xml:space="preserve">123. Available at: </w:t>
      </w:r>
      <w:hyperlink r:id="rId218" w:history="1">
        <w:r w:rsidRPr="007D0B0F">
          <w:rPr>
            <w:rStyle w:val="Hyperlink"/>
            <w:rFonts w:ascii="Arial" w:hAnsi="Arial" w:cs="Arial"/>
            <w:sz w:val="24"/>
            <w:szCs w:val="24"/>
          </w:rPr>
          <w:t>https://www.researchgate.net/profile/Carol-Robinson-3/publication/230076115_What_is_meant_by_'support'_in_higher_education_Towards_a_model_of_academic_and_welfare_support/links/5a3a2e2da6fdcc34776b39fc/What-is-meant-by-support-in-higher-education-Towards-a-model-of-academic-and-</w:t>
        </w:r>
        <w:r w:rsidRPr="007D0B0F">
          <w:rPr>
            <w:rStyle w:val="Hyperlink"/>
            <w:rFonts w:ascii="Arial" w:hAnsi="Arial" w:cs="Arial"/>
            <w:sz w:val="24"/>
            <w:szCs w:val="24"/>
          </w:rPr>
          <w:lastRenderedPageBreak/>
          <w:t>welfare-support.pdf?_sg%5B0%5D=started_experiment_milestone&amp;origin=journalDetail&amp;_rtd=e30%3D</w:t>
        </w:r>
      </w:hyperlink>
      <w:r>
        <w:rPr>
          <w:rFonts w:ascii="Arial" w:hAnsi="Arial" w:cs="Arial"/>
          <w:sz w:val="24"/>
          <w:szCs w:val="24"/>
        </w:rPr>
        <w:t xml:space="preserve"> </w:t>
      </w:r>
      <w:r w:rsidRPr="009B0F1F">
        <w:rPr>
          <w:rFonts w:ascii="Arial" w:hAnsi="Arial" w:cs="Arial"/>
          <w:sz w:val="24"/>
          <w:szCs w:val="24"/>
        </w:rPr>
        <w:t>(Accessed: 24 March 2026).</w:t>
      </w:r>
    </w:p>
    <w:p w14:paraId="530D99F0" w14:textId="7F370B77" w:rsidR="00A25B2F" w:rsidRDefault="00A25B2F" w:rsidP="009E58ED">
      <w:pPr>
        <w:spacing w:line="360" w:lineRule="auto"/>
        <w:jc w:val="both"/>
        <w:rPr>
          <w:rFonts w:ascii="Arial" w:hAnsi="Arial" w:cs="Arial"/>
          <w:sz w:val="24"/>
          <w:szCs w:val="24"/>
        </w:rPr>
      </w:pPr>
      <w:r w:rsidRPr="00A25B2F">
        <w:rPr>
          <w:rFonts w:ascii="Arial" w:hAnsi="Arial" w:cs="Arial"/>
          <w:sz w:val="24"/>
          <w:szCs w:val="24"/>
        </w:rPr>
        <w:t>Jacobson, D., and Mustafa, N. (2019)</w:t>
      </w:r>
      <w:r>
        <w:rPr>
          <w:rFonts w:ascii="Arial" w:hAnsi="Arial" w:cs="Arial"/>
          <w:sz w:val="24"/>
          <w:szCs w:val="24"/>
        </w:rPr>
        <w:t>.</w:t>
      </w:r>
      <w:r w:rsidRPr="00A25B2F">
        <w:rPr>
          <w:rFonts w:ascii="Arial" w:hAnsi="Arial" w:cs="Arial"/>
          <w:sz w:val="24"/>
          <w:szCs w:val="24"/>
        </w:rPr>
        <w:t xml:space="preserve"> 'Social Identity Map: A Reflexivity Tool for Practicing Explicit Positionality in Critical Qualitative Research', International Journal of Qualitative Methods, 18. Available at: </w:t>
      </w:r>
      <w:hyperlink r:id="rId219" w:history="1">
        <w:r w:rsidRPr="005C7CBD">
          <w:rPr>
            <w:rStyle w:val="Hyperlink"/>
            <w:rFonts w:ascii="Arial" w:hAnsi="Arial" w:cs="Arial"/>
            <w:sz w:val="24"/>
            <w:szCs w:val="24"/>
          </w:rPr>
          <w:t>https://journals.sagepub.com/doi/epub/10.1177/1609406919870075</w:t>
        </w:r>
      </w:hyperlink>
      <w:r>
        <w:rPr>
          <w:rFonts w:ascii="Arial" w:hAnsi="Arial" w:cs="Arial"/>
          <w:sz w:val="24"/>
          <w:szCs w:val="24"/>
        </w:rPr>
        <w:t xml:space="preserve"> </w:t>
      </w:r>
      <w:r w:rsidRPr="00A25B2F">
        <w:rPr>
          <w:rFonts w:ascii="Arial" w:hAnsi="Arial" w:cs="Arial"/>
          <w:sz w:val="24"/>
          <w:szCs w:val="24"/>
        </w:rPr>
        <w:t>(Accessed: 8 April 2026).</w:t>
      </w:r>
    </w:p>
    <w:p w14:paraId="24A74F19" w14:textId="4696019F" w:rsidR="004E693B" w:rsidRDefault="004E693B" w:rsidP="009E58ED">
      <w:pPr>
        <w:spacing w:line="360" w:lineRule="auto"/>
        <w:jc w:val="both"/>
        <w:rPr>
          <w:rFonts w:ascii="Arial" w:hAnsi="Arial" w:cs="Arial"/>
          <w:sz w:val="24"/>
          <w:szCs w:val="24"/>
        </w:rPr>
      </w:pPr>
      <w:r w:rsidRPr="004E693B">
        <w:rPr>
          <w:rFonts w:ascii="Arial" w:hAnsi="Arial" w:cs="Arial"/>
          <w:sz w:val="24"/>
          <w:szCs w:val="24"/>
        </w:rPr>
        <w:t>Johnson, M., Fuchs, J., Sterling, L., Sauceda, J., Saag, M., Fernandez, A., Evans, C., and Gandhi, M. (2021)</w:t>
      </w:r>
      <w:r w:rsidR="00F16B61">
        <w:rPr>
          <w:rFonts w:ascii="Arial" w:hAnsi="Arial" w:cs="Arial"/>
          <w:sz w:val="24"/>
          <w:szCs w:val="24"/>
        </w:rPr>
        <w:t>.</w:t>
      </w:r>
      <w:r w:rsidRPr="004E693B">
        <w:rPr>
          <w:rFonts w:ascii="Arial" w:hAnsi="Arial" w:cs="Arial"/>
          <w:sz w:val="24"/>
          <w:szCs w:val="24"/>
        </w:rPr>
        <w:t xml:space="preserve"> 'A mentor training workshop focused on fostering diversity engenders lasting impact on mentoring techniques: Results of a long-term evaluation', </w:t>
      </w:r>
      <w:r w:rsidRPr="004E693B">
        <w:rPr>
          <w:rFonts w:ascii="Arial" w:hAnsi="Arial" w:cs="Arial"/>
          <w:i/>
          <w:iCs/>
          <w:sz w:val="24"/>
          <w:szCs w:val="24"/>
        </w:rPr>
        <w:t>Journal of Clinical and Translational Science</w:t>
      </w:r>
      <w:r w:rsidRPr="004E693B">
        <w:rPr>
          <w:rFonts w:ascii="Arial" w:hAnsi="Arial" w:cs="Arial"/>
          <w:sz w:val="24"/>
          <w:szCs w:val="24"/>
        </w:rPr>
        <w:t xml:space="preserve">, 5(1), pp. 1-9. Available at: </w:t>
      </w:r>
      <w:hyperlink r:id="rId220" w:history="1">
        <w:r w:rsidRPr="007D0B0F">
          <w:rPr>
            <w:rStyle w:val="Hyperlink"/>
            <w:rFonts w:ascii="Arial" w:hAnsi="Arial" w:cs="Arial"/>
            <w:sz w:val="24"/>
            <w:szCs w:val="24"/>
          </w:rPr>
          <w:t>https://pmc.ncbi.nlm.nih.gov/articles/PMC8223175/pdf/S2059866121000248a.pdf</w:t>
        </w:r>
      </w:hyperlink>
      <w:r>
        <w:rPr>
          <w:rFonts w:ascii="Arial" w:hAnsi="Arial" w:cs="Arial"/>
          <w:sz w:val="24"/>
          <w:szCs w:val="24"/>
        </w:rPr>
        <w:t xml:space="preserve"> </w:t>
      </w:r>
      <w:r w:rsidRPr="004E693B">
        <w:rPr>
          <w:rFonts w:ascii="Arial" w:hAnsi="Arial" w:cs="Arial"/>
          <w:sz w:val="24"/>
          <w:szCs w:val="24"/>
        </w:rPr>
        <w:t xml:space="preserve"> (Accessed: 24 March 2026).</w:t>
      </w:r>
    </w:p>
    <w:p w14:paraId="15363577" w14:textId="51C8F319" w:rsidR="004F3723" w:rsidRDefault="004F3723" w:rsidP="009E58ED">
      <w:pPr>
        <w:spacing w:line="360" w:lineRule="auto"/>
        <w:jc w:val="both"/>
        <w:rPr>
          <w:rFonts w:ascii="Arial" w:hAnsi="Arial" w:cs="Arial"/>
          <w:sz w:val="24"/>
          <w:szCs w:val="24"/>
        </w:rPr>
      </w:pPr>
      <w:r w:rsidRPr="004F3723">
        <w:rPr>
          <w:rFonts w:ascii="Arial" w:hAnsi="Arial" w:cs="Arial"/>
          <w:sz w:val="24"/>
          <w:szCs w:val="24"/>
        </w:rPr>
        <w:t>Jones, T., Barrett, G., McEvoy, D. (2000)</w:t>
      </w:r>
      <w:r>
        <w:rPr>
          <w:rFonts w:ascii="Arial" w:hAnsi="Arial" w:cs="Arial"/>
          <w:sz w:val="24"/>
          <w:szCs w:val="24"/>
        </w:rPr>
        <w:t>.</w:t>
      </w:r>
      <w:r w:rsidRPr="004F3723">
        <w:rPr>
          <w:rFonts w:ascii="Arial" w:hAnsi="Arial" w:cs="Arial"/>
          <w:sz w:val="24"/>
          <w:szCs w:val="24"/>
        </w:rPr>
        <w:t xml:space="preserve"> 'Market Potential as a Decisive Influence on the Performance of Ethnic Minority Business', in J. Rath (ed.), Immigrant Businesses: The Economic, Political and Social Environment. Macmillan Press LTD, pp. 37</w:t>
      </w:r>
      <w:r>
        <w:rPr>
          <w:rFonts w:ascii="Arial" w:hAnsi="Arial" w:cs="Arial"/>
          <w:sz w:val="24"/>
          <w:szCs w:val="24"/>
        </w:rPr>
        <w:t>–</w:t>
      </w:r>
      <w:r w:rsidRPr="004F3723">
        <w:rPr>
          <w:rFonts w:ascii="Arial" w:hAnsi="Arial" w:cs="Arial"/>
          <w:sz w:val="24"/>
          <w:szCs w:val="24"/>
        </w:rPr>
        <w:t xml:space="preserve">53. Available at: </w:t>
      </w:r>
      <w:hyperlink r:id="rId221" w:anchor="page=54" w:history="1">
        <w:r w:rsidRPr="007D0B0F">
          <w:rPr>
            <w:rStyle w:val="Hyperlink"/>
            <w:rFonts w:ascii="Arial" w:hAnsi="Arial" w:cs="Arial"/>
            <w:sz w:val="24"/>
            <w:szCs w:val="24"/>
          </w:rPr>
          <w:t>https://www.researchgate.net/profile/Jan-Rath/publication/259345625_Immigrant_businesses_The_economic_political_and_social_environment/links/5ca35cf3a6fdcc12ee8c630c/Immigrant-businesses-The-economic-political-and-social-environment.pdf#page=54</w:t>
        </w:r>
      </w:hyperlink>
      <w:r>
        <w:rPr>
          <w:rFonts w:ascii="Arial" w:hAnsi="Arial" w:cs="Arial"/>
          <w:sz w:val="24"/>
          <w:szCs w:val="24"/>
        </w:rPr>
        <w:t xml:space="preserve"> </w:t>
      </w:r>
      <w:r w:rsidRPr="004F3723">
        <w:rPr>
          <w:rFonts w:ascii="Arial" w:hAnsi="Arial" w:cs="Arial"/>
          <w:sz w:val="24"/>
          <w:szCs w:val="24"/>
        </w:rPr>
        <w:t>(Accessed: 28 March 2026).</w:t>
      </w:r>
    </w:p>
    <w:p w14:paraId="7F0B3654" w14:textId="653A0674" w:rsidR="00646AFE" w:rsidRDefault="00646AFE" w:rsidP="009E58ED">
      <w:pPr>
        <w:spacing w:line="360" w:lineRule="auto"/>
        <w:jc w:val="both"/>
        <w:rPr>
          <w:rFonts w:ascii="Arial" w:hAnsi="Arial" w:cs="Arial"/>
          <w:sz w:val="24"/>
          <w:szCs w:val="24"/>
        </w:rPr>
      </w:pPr>
      <w:r w:rsidRPr="00646AFE">
        <w:rPr>
          <w:rFonts w:ascii="Arial" w:hAnsi="Arial" w:cs="Arial"/>
          <w:sz w:val="24"/>
          <w:szCs w:val="24"/>
        </w:rPr>
        <w:t xml:space="preserve">Jones, T., McEvoy, D. and Barratt, G. </w:t>
      </w:r>
      <w:r>
        <w:rPr>
          <w:rFonts w:ascii="Arial" w:hAnsi="Arial" w:cs="Arial"/>
          <w:sz w:val="24"/>
          <w:szCs w:val="24"/>
        </w:rPr>
        <w:t>(1992)</w:t>
      </w:r>
      <w:r w:rsidRPr="00646AFE">
        <w:rPr>
          <w:rFonts w:ascii="Arial" w:hAnsi="Arial" w:cs="Arial"/>
          <w:sz w:val="24"/>
          <w:szCs w:val="24"/>
        </w:rPr>
        <w:t>. Ethnic identity and entrepreneurial predisposition: business entry motives of Asians, Afro-Caribbeans and Whites. URSC Small Business Initiative, University of Warwick, Warwick, UK.</w:t>
      </w:r>
    </w:p>
    <w:p w14:paraId="34AA1A32" w14:textId="4A080327" w:rsidR="00B71A98" w:rsidRDefault="00B71A98" w:rsidP="009E58ED">
      <w:pPr>
        <w:spacing w:line="360" w:lineRule="auto"/>
        <w:jc w:val="both"/>
        <w:rPr>
          <w:rFonts w:ascii="Arial" w:hAnsi="Arial" w:cs="Arial"/>
          <w:sz w:val="24"/>
          <w:szCs w:val="24"/>
        </w:rPr>
      </w:pPr>
      <w:r w:rsidRPr="00B71A98">
        <w:rPr>
          <w:rFonts w:ascii="Arial" w:hAnsi="Arial" w:cs="Arial"/>
          <w:sz w:val="24"/>
          <w:szCs w:val="24"/>
        </w:rPr>
        <w:t>Joseph, A. (2020)</w:t>
      </w:r>
      <w:r w:rsidR="00F16B61">
        <w:rPr>
          <w:rFonts w:ascii="Arial" w:hAnsi="Arial" w:cs="Arial"/>
          <w:sz w:val="24"/>
          <w:szCs w:val="24"/>
        </w:rPr>
        <w:t>.</w:t>
      </w:r>
      <w:r w:rsidRPr="00B71A98">
        <w:rPr>
          <w:rFonts w:ascii="Arial" w:hAnsi="Arial" w:cs="Arial"/>
          <w:sz w:val="24"/>
          <w:szCs w:val="24"/>
        </w:rPr>
        <w:t xml:space="preserve"> 'Navigating neoliberal school spaces: Parent and school staff perspectives on racially disproportional school exclusions in England', </w:t>
      </w:r>
      <w:r w:rsidRPr="00B71A98">
        <w:rPr>
          <w:rFonts w:ascii="Arial" w:hAnsi="Arial" w:cs="Arial"/>
          <w:i/>
          <w:iCs/>
          <w:sz w:val="24"/>
          <w:szCs w:val="24"/>
        </w:rPr>
        <w:t>International Social Work</w:t>
      </w:r>
      <w:r w:rsidRPr="00B71A98">
        <w:rPr>
          <w:rFonts w:ascii="Arial" w:hAnsi="Arial" w:cs="Arial"/>
          <w:sz w:val="24"/>
          <w:szCs w:val="24"/>
        </w:rPr>
        <w:t>, 63(4), pp. 445</w:t>
      </w:r>
      <w:r w:rsidR="00F16B61">
        <w:rPr>
          <w:rFonts w:ascii="Arial" w:hAnsi="Arial" w:cs="Arial"/>
          <w:sz w:val="24"/>
          <w:szCs w:val="24"/>
        </w:rPr>
        <w:t>–</w:t>
      </w:r>
      <w:r w:rsidRPr="00B71A98">
        <w:rPr>
          <w:rFonts w:ascii="Arial" w:hAnsi="Arial" w:cs="Arial"/>
          <w:sz w:val="24"/>
          <w:szCs w:val="24"/>
        </w:rPr>
        <w:t xml:space="preserve">458. Available at: </w:t>
      </w:r>
      <w:hyperlink r:id="rId222" w:history="1">
        <w:r w:rsidRPr="00FB3832">
          <w:rPr>
            <w:rStyle w:val="Hyperlink"/>
            <w:rFonts w:ascii="Arial" w:hAnsi="Arial" w:cs="Arial"/>
            <w:sz w:val="24"/>
            <w:szCs w:val="24"/>
          </w:rPr>
          <w:t>https://journals.sagepub.com/doi/epub/10.1177/0020872818808557</w:t>
        </w:r>
      </w:hyperlink>
      <w:r>
        <w:rPr>
          <w:rFonts w:ascii="Arial" w:hAnsi="Arial" w:cs="Arial"/>
          <w:sz w:val="24"/>
          <w:szCs w:val="24"/>
        </w:rPr>
        <w:t xml:space="preserve"> </w:t>
      </w:r>
      <w:r w:rsidRPr="00B71A98">
        <w:rPr>
          <w:rFonts w:ascii="Arial" w:hAnsi="Arial" w:cs="Arial"/>
          <w:sz w:val="24"/>
          <w:szCs w:val="24"/>
        </w:rPr>
        <w:t>(Accessed: 22 March 2026).</w:t>
      </w:r>
    </w:p>
    <w:p w14:paraId="4A6AE904" w14:textId="08B65C48" w:rsidR="00E51922" w:rsidRDefault="007F2A8B" w:rsidP="009E58ED">
      <w:pPr>
        <w:spacing w:line="360" w:lineRule="auto"/>
        <w:jc w:val="both"/>
        <w:rPr>
          <w:rFonts w:ascii="Arial" w:hAnsi="Arial" w:cs="Arial"/>
          <w:sz w:val="24"/>
          <w:szCs w:val="24"/>
        </w:rPr>
      </w:pPr>
      <w:r w:rsidRPr="007F2A8B">
        <w:rPr>
          <w:rFonts w:ascii="Arial" w:hAnsi="Arial" w:cs="Arial"/>
          <w:sz w:val="24"/>
          <w:szCs w:val="24"/>
        </w:rPr>
        <w:lastRenderedPageBreak/>
        <w:t xml:space="preserve">Jacobs, J. </w:t>
      </w:r>
      <w:r w:rsidR="00F16B61">
        <w:rPr>
          <w:rFonts w:ascii="Arial" w:hAnsi="Arial" w:cs="Arial"/>
          <w:sz w:val="24"/>
          <w:szCs w:val="24"/>
        </w:rPr>
        <w:t>(2019)</w:t>
      </w:r>
      <w:r w:rsidRPr="007F2A8B">
        <w:rPr>
          <w:rFonts w:ascii="Arial" w:hAnsi="Arial" w:cs="Arial"/>
          <w:sz w:val="24"/>
          <w:szCs w:val="24"/>
        </w:rPr>
        <w:t xml:space="preserve">. U.K. Private Prisons Are One Industry Not Worried About Brexit, Bloomberg Businessweek, March 20, </w:t>
      </w:r>
      <w:r w:rsidR="007504B0" w:rsidRPr="00AF5791">
        <w:rPr>
          <w:rFonts w:ascii="Arial" w:hAnsi="Arial" w:cs="Arial"/>
          <w:sz w:val="24"/>
          <w:szCs w:val="24"/>
        </w:rPr>
        <w:t xml:space="preserve">Available at: </w:t>
      </w:r>
      <w:hyperlink r:id="rId223" w:history="1">
        <w:r w:rsidR="00E51922" w:rsidRPr="007D0B0F">
          <w:rPr>
            <w:rStyle w:val="Hyperlink"/>
            <w:rFonts w:ascii="Arial" w:hAnsi="Arial" w:cs="Arial"/>
            <w:sz w:val="24"/>
            <w:szCs w:val="24"/>
          </w:rPr>
          <w:t>https://www.bloomberg.com/news/articles/2019-03-20/u-k-private-prisons-are-one-industry-not-worried-about-brexit?embedded-checkout=true</w:t>
        </w:r>
      </w:hyperlink>
      <w:r w:rsidR="00E51922">
        <w:rPr>
          <w:rFonts w:ascii="Arial" w:hAnsi="Arial" w:cs="Arial"/>
          <w:sz w:val="24"/>
          <w:szCs w:val="24"/>
        </w:rPr>
        <w:t xml:space="preserve"> </w:t>
      </w:r>
      <w:r w:rsidR="00E51922" w:rsidRPr="00AF5791">
        <w:rPr>
          <w:rFonts w:ascii="Arial" w:hAnsi="Arial" w:cs="Arial"/>
          <w:sz w:val="24"/>
          <w:szCs w:val="24"/>
        </w:rPr>
        <w:t>(Accessed: 22 March 2026).</w:t>
      </w:r>
    </w:p>
    <w:p w14:paraId="388AC112" w14:textId="3762FB0A" w:rsidR="003D2D8F" w:rsidRDefault="003D2D8F" w:rsidP="009E58ED">
      <w:pPr>
        <w:spacing w:line="360" w:lineRule="auto"/>
        <w:jc w:val="both"/>
        <w:rPr>
          <w:rFonts w:ascii="Arial" w:hAnsi="Arial" w:cs="Arial"/>
          <w:sz w:val="24"/>
          <w:szCs w:val="24"/>
        </w:rPr>
      </w:pPr>
      <w:r w:rsidRPr="003D2D8F">
        <w:rPr>
          <w:rFonts w:ascii="Arial" w:hAnsi="Arial" w:cs="Arial"/>
          <w:sz w:val="24"/>
          <w:szCs w:val="24"/>
        </w:rPr>
        <w:t>Jivraj, S., and</w:t>
      </w:r>
      <w:r>
        <w:rPr>
          <w:rFonts w:ascii="Arial" w:hAnsi="Arial" w:cs="Arial"/>
          <w:sz w:val="24"/>
          <w:szCs w:val="24"/>
        </w:rPr>
        <w:t xml:space="preserve"> </w:t>
      </w:r>
      <w:r w:rsidRPr="003D2D8F">
        <w:rPr>
          <w:rFonts w:ascii="Arial" w:hAnsi="Arial" w:cs="Arial"/>
          <w:sz w:val="24"/>
          <w:szCs w:val="24"/>
        </w:rPr>
        <w:t>Alao, C. (2023). 'Are ethnic employment penalties mitigated in deprived neighbourhoods and in ethnically dense neighbourhoods?', Population, Space and Place, 29(3), pp. 1</w:t>
      </w:r>
      <w:r>
        <w:rPr>
          <w:rFonts w:ascii="Arial" w:hAnsi="Arial" w:cs="Arial"/>
          <w:sz w:val="24"/>
          <w:szCs w:val="24"/>
        </w:rPr>
        <w:t>–</w:t>
      </w:r>
      <w:r w:rsidRPr="003D2D8F">
        <w:rPr>
          <w:rFonts w:ascii="Arial" w:hAnsi="Arial" w:cs="Arial"/>
          <w:sz w:val="24"/>
          <w:szCs w:val="24"/>
        </w:rPr>
        <w:t xml:space="preserve">15. Available at: </w:t>
      </w:r>
      <w:hyperlink r:id="rId224" w:history="1">
        <w:r w:rsidRPr="007D0B0F">
          <w:rPr>
            <w:rStyle w:val="Hyperlink"/>
            <w:rFonts w:ascii="Arial" w:hAnsi="Arial" w:cs="Arial"/>
            <w:sz w:val="24"/>
            <w:szCs w:val="24"/>
          </w:rPr>
          <w:t>https://onlinelibrary.wiley.com/doi/epdf/10.1002/psp.2646</w:t>
        </w:r>
      </w:hyperlink>
      <w:r>
        <w:rPr>
          <w:rFonts w:ascii="Arial" w:hAnsi="Arial" w:cs="Arial"/>
          <w:sz w:val="24"/>
          <w:szCs w:val="24"/>
        </w:rPr>
        <w:t xml:space="preserve"> </w:t>
      </w:r>
      <w:r w:rsidRPr="003D2D8F">
        <w:rPr>
          <w:rFonts w:ascii="Arial" w:hAnsi="Arial" w:cs="Arial"/>
          <w:sz w:val="24"/>
          <w:szCs w:val="24"/>
        </w:rPr>
        <w:t>(Accessed: 25 March 2026).</w:t>
      </w:r>
    </w:p>
    <w:p w14:paraId="00211531" w14:textId="59A42CAE" w:rsidR="00AF5791" w:rsidRDefault="00AF5791" w:rsidP="009E58ED">
      <w:pPr>
        <w:spacing w:line="360" w:lineRule="auto"/>
        <w:jc w:val="both"/>
        <w:rPr>
          <w:rFonts w:ascii="Arial" w:hAnsi="Arial" w:cs="Arial"/>
          <w:sz w:val="24"/>
          <w:szCs w:val="24"/>
        </w:rPr>
      </w:pPr>
      <w:r w:rsidRPr="00AF5791">
        <w:rPr>
          <w:rFonts w:ascii="Arial" w:hAnsi="Arial" w:cs="Arial"/>
          <w:sz w:val="24"/>
          <w:szCs w:val="24"/>
        </w:rPr>
        <w:t>Joseph-Sa</w:t>
      </w:r>
      <w:r w:rsidR="0078402C">
        <w:rPr>
          <w:rFonts w:ascii="Arial" w:hAnsi="Arial" w:cs="Arial"/>
          <w:sz w:val="24"/>
          <w:szCs w:val="24"/>
        </w:rPr>
        <w:t>l</w:t>
      </w:r>
      <w:r w:rsidRPr="00AF5791">
        <w:rPr>
          <w:rFonts w:ascii="Arial" w:hAnsi="Arial" w:cs="Arial"/>
          <w:sz w:val="24"/>
          <w:szCs w:val="24"/>
        </w:rPr>
        <w:t>isbury, R. (2021)</w:t>
      </w:r>
      <w:r w:rsidR="00F16B61">
        <w:rPr>
          <w:rFonts w:ascii="Arial" w:hAnsi="Arial" w:cs="Arial"/>
          <w:sz w:val="24"/>
          <w:szCs w:val="24"/>
        </w:rPr>
        <w:t>.</w:t>
      </w:r>
      <w:r w:rsidRPr="00AF5791">
        <w:rPr>
          <w:rFonts w:ascii="Arial" w:hAnsi="Arial" w:cs="Arial"/>
          <w:sz w:val="24"/>
          <w:szCs w:val="24"/>
        </w:rPr>
        <w:t xml:space="preserve"> 'Teacher perspectives on the presence of police officers in English secondary schools: A Critical Race Theory analysis', </w:t>
      </w:r>
      <w:r w:rsidRPr="00AF5791">
        <w:rPr>
          <w:rFonts w:ascii="Arial" w:hAnsi="Arial" w:cs="Arial"/>
          <w:i/>
          <w:iCs/>
          <w:sz w:val="24"/>
          <w:szCs w:val="24"/>
        </w:rPr>
        <w:t>Race, Ethnicity and Education</w:t>
      </w:r>
      <w:r w:rsidRPr="00AF5791">
        <w:rPr>
          <w:rFonts w:ascii="Arial" w:hAnsi="Arial" w:cs="Arial"/>
          <w:sz w:val="24"/>
          <w:szCs w:val="24"/>
        </w:rPr>
        <w:t>, 24(4), pp. 578</w:t>
      </w:r>
      <w:r w:rsidR="00F16B61">
        <w:rPr>
          <w:rFonts w:ascii="Arial" w:hAnsi="Arial" w:cs="Arial"/>
          <w:sz w:val="24"/>
          <w:szCs w:val="24"/>
        </w:rPr>
        <w:t>–</w:t>
      </w:r>
      <w:r w:rsidRPr="00AF5791">
        <w:rPr>
          <w:rFonts w:ascii="Arial" w:hAnsi="Arial" w:cs="Arial"/>
          <w:sz w:val="24"/>
          <w:szCs w:val="24"/>
        </w:rPr>
        <w:t xml:space="preserve">595. Available at: </w:t>
      </w:r>
      <w:hyperlink r:id="rId225" w:history="1">
        <w:r w:rsidRPr="007D0B0F">
          <w:rPr>
            <w:rStyle w:val="Hyperlink"/>
            <w:rFonts w:ascii="Arial" w:hAnsi="Arial" w:cs="Arial"/>
            <w:sz w:val="24"/>
            <w:szCs w:val="24"/>
          </w:rPr>
          <w:t>https://www.tandfonline.com/doi/epdf/10.1080/13613324.2021.1890563?needAccess=true</w:t>
        </w:r>
      </w:hyperlink>
      <w:r>
        <w:rPr>
          <w:rFonts w:ascii="Arial" w:hAnsi="Arial" w:cs="Arial"/>
          <w:sz w:val="24"/>
          <w:szCs w:val="24"/>
        </w:rPr>
        <w:t xml:space="preserve"> </w:t>
      </w:r>
      <w:r w:rsidRPr="00AF5791">
        <w:rPr>
          <w:rFonts w:ascii="Arial" w:hAnsi="Arial" w:cs="Arial"/>
          <w:sz w:val="24"/>
          <w:szCs w:val="24"/>
        </w:rPr>
        <w:t>(Accessed: 22 March 2026).</w:t>
      </w:r>
    </w:p>
    <w:p w14:paraId="20384C17" w14:textId="5BDE726F" w:rsidR="00ED35AD" w:rsidRDefault="00ED35AD" w:rsidP="009E58ED">
      <w:pPr>
        <w:spacing w:line="360" w:lineRule="auto"/>
        <w:jc w:val="both"/>
        <w:rPr>
          <w:rFonts w:ascii="Arial" w:hAnsi="Arial" w:cs="Arial"/>
          <w:sz w:val="24"/>
          <w:szCs w:val="24"/>
        </w:rPr>
      </w:pPr>
      <w:r w:rsidRPr="00ED35AD">
        <w:rPr>
          <w:rFonts w:ascii="Arial" w:hAnsi="Arial" w:cs="Arial"/>
          <w:sz w:val="24"/>
          <w:szCs w:val="24"/>
        </w:rPr>
        <w:t>Kahlke, R., Lee, M., and Eva, K. (2023)</w:t>
      </w:r>
      <w:r w:rsidR="00F16B61">
        <w:rPr>
          <w:rFonts w:ascii="Arial" w:hAnsi="Arial" w:cs="Arial"/>
          <w:sz w:val="24"/>
          <w:szCs w:val="24"/>
        </w:rPr>
        <w:t>.</w:t>
      </w:r>
      <w:r w:rsidRPr="00ED35AD">
        <w:rPr>
          <w:rFonts w:ascii="Arial" w:hAnsi="Arial" w:cs="Arial"/>
          <w:sz w:val="24"/>
          <w:szCs w:val="24"/>
        </w:rPr>
        <w:t xml:space="preserve"> 'Critical Reviews in Health Professions Education Research', </w:t>
      </w:r>
      <w:r w:rsidRPr="00ED35AD">
        <w:rPr>
          <w:rFonts w:ascii="Arial" w:hAnsi="Arial" w:cs="Arial"/>
          <w:i/>
          <w:iCs/>
          <w:sz w:val="24"/>
          <w:szCs w:val="24"/>
        </w:rPr>
        <w:t>Journal of Graduate Medical Education</w:t>
      </w:r>
      <w:r w:rsidRPr="00ED35AD">
        <w:rPr>
          <w:rFonts w:ascii="Arial" w:hAnsi="Arial" w:cs="Arial"/>
          <w:sz w:val="24"/>
          <w:szCs w:val="24"/>
        </w:rPr>
        <w:t>, 15(2), pp. 180</w:t>
      </w:r>
      <w:r w:rsidR="00F16B61">
        <w:rPr>
          <w:rFonts w:ascii="Arial" w:hAnsi="Arial" w:cs="Arial"/>
          <w:sz w:val="24"/>
          <w:szCs w:val="24"/>
        </w:rPr>
        <w:t>–</w:t>
      </w:r>
      <w:r w:rsidRPr="00ED35AD">
        <w:rPr>
          <w:rFonts w:ascii="Arial" w:hAnsi="Arial" w:cs="Arial"/>
          <w:sz w:val="24"/>
          <w:szCs w:val="24"/>
        </w:rPr>
        <w:t xml:space="preserve">185. Available at: </w:t>
      </w:r>
      <w:hyperlink r:id="rId226" w:history="1">
        <w:r w:rsidRPr="00D94FAA">
          <w:rPr>
            <w:rStyle w:val="Hyperlink"/>
            <w:rFonts w:ascii="Arial" w:hAnsi="Arial" w:cs="Arial"/>
            <w:sz w:val="24"/>
            <w:szCs w:val="24"/>
          </w:rPr>
          <w:t>https://jgme.kglmeridian.com/view/journals/jgme/15/2/article-p180.xml</w:t>
        </w:r>
      </w:hyperlink>
      <w:r>
        <w:rPr>
          <w:rFonts w:ascii="Arial" w:hAnsi="Arial" w:cs="Arial"/>
          <w:sz w:val="24"/>
          <w:szCs w:val="24"/>
        </w:rPr>
        <w:t xml:space="preserve"> </w:t>
      </w:r>
      <w:r w:rsidRPr="00ED35AD">
        <w:rPr>
          <w:rFonts w:ascii="Arial" w:hAnsi="Arial" w:cs="Arial"/>
          <w:sz w:val="24"/>
          <w:szCs w:val="24"/>
        </w:rPr>
        <w:t>(Accessed: 24 February 2026).</w:t>
      </w:r>
    </w:p>
    <w:p w14:paraId="2EFD6240" w14:textId="6CCEABD8" w:rsidR="00B27F07" w:rsidRDefault="00B27F07" w:rsidP="009E58ED">
      <w:pPr>
        <w:spacing w:line="360" w:lineRule="auto"/>
        <w:jc w:val="both"/>
        <w:rPr>
          <w:rFonts w:ascii="Arial" w:hAnsi="Arial" w:cs="Arial"/>
          <w:sz w:val="24"/>
          <w:szCs w:val="24"/>
        </w:rPr>
      </w:pPr>
      <w:r w:rsidRPr="00B27F07">
        <w:rPr>
          <w:rFonts w:ascii="Arial" w:hAnsi="Arial" w:cs="Arial"/>
          <w:sz w:val="24"/>
          <w:szCs w:val="24"/>
        </w:rPr>
        <w:t xml:space="preserve">Kapadia, D., </w:t>
      </w:r>
      <w:proofErr w:type="spellStart"/>
      <w:r w:rsidRPr="00B27F07">
        <w:rPr>
          <w:rFonts w:ascii="Arial" w:hAnsi="Arial" w:cs="Arial"/>
          <w:sz w:val="24"/>
          <w:szCs w:val="24"/>
        </w:rPr>
        <w:t>Nazroo</w:t>
      </w:r>
      <w:proofErr w:type="spellEnd"/>
      <w:r w:rsidRPr="00B27F07">
        <w:rPr>
          <w:rFonts w:ascii="Arial" w:hAnsi="Arial" w:cs="Arial"/>
          <w:sz w:val="24"/>
          <w:szCs w:val="24"/>
        </w:rPr>
        <w:t>, J., and Tranmer, M. (2018)</w:t>
      </w:r>
      <w:r>
        <w:rPr>
          <w:rFonts w:ascii="Arial" w:hAnsi="Arial" w:cs="Arial"/>
          <w:sz w:val="24"/>
          <w:szCs w:val="24"/>
        </w:rPr>
        <w:t>.</w:t>
      </w:r>
      <w:r w:rsidRPr="00B27F07">
        <w:rPr>
          <w:rFonts w:ascii="Arial" w:hAnsi="Arial" w:cs="Arial"/>
          <w:sz w:val="24"/>
          <w:szCs w:val="24"/>
        </w:rPr>
        <w:t xml:space="preserve"> 'Ethnic differences in women’s use of mental health services: do social networks play a role? Findings from a national survey.', Ethnicity and Health, 23(3), pp. 293</w:t>
      </w:r>
      <w:r>
        <w:rPr>
          <w:rFonts w:ascii="Arial" w:hAnsi="Arial" w:cs="Arial"/>
          <w:sz w:val="24"/>
          <w:szCs w:val="24"/>
        </w:rPr>
        <w:t>–</w:t>
      </w:r>
      <w:r w:rsidRPr="00B27F07">
        <w:rPr>
          <w:rFonts w:ascii="Arial" w:hAnsi="Arial" w:cs="Arial"/>
          <w:sz w:val="24"/>
          <w:szCs w:val="24"/>
        </w:rPr>
        <w:t>306. Available at: https://www.tandfonline.com/doi/full/10.1080/13557858.2016.1263283#abstract (Accessed: 30 March 2026).</w:t>
      </w:r>
    </w:p>
    <w:p w14:paraId="5C8C36C2" w14:textId="5491179C" w:rsidR="00A3713A" w:rsidRDefault="00A3713A" w:rsidP="009E58ED">
      <w:pPr>
        <w:spacing w:line="360" w:lineRule="auto"/>
        <w:jc w:val="both"/>
        <w:rPr>
          <w:rFonts w:ascii="Arial" w:hAnsi="Arial" w:cs="Arial"/>
          <w:sz w:val="24"/>
          <w:szCs w:val="24"/>
        </w:rPr>
      </w:pPr>
      <w:proofErr w:type="spellStart"/>
      <w:r w:rsidRPr="00A3713A">
        <w:rPr>
          <w:rFonts w:ascii="Arial" w:hAnsi="Arial" w:cs="Arial"/>
          <w:sz w:val="24"/>
          <w:szCs w:val="24"/>
        </w:rPr>
        <w:t>Kautonen</w:t>
      </w:r>
      <w:proofErr w:type="spellEnd"/>
      <w:r w:rsidRPr="00A3713A">
        <w:rPr>
          <w:rFonts w:ascii="Arial" w:hAnsi="Arial" w:cs="Arial"/>
          <w:sz w:val="24"/>
          <w:szCs w:val="24"/>
        </w:rPr>
        <w:t xml:space="preserve">, T., </w:t>
      </w:r>
      <w:proofErr w:type="spellStart"/>
      <w:r w:rsidRPr="00A3713A">
        <w:rPr>
          <w:rFonts w:ascii="Arial" w:hAnsi="Arial" w:cs="Arial"/>
          <w:sz w:val="24"/>
          <w:szCs w:val="24"/>
        </w:rPr>
        <w:t>Gelderen</w:t>
      </w:r>
      <w:proofErr w:type="spellEnd"/>
      <w:r w:rsidRPr="00A3713A">
        <w:rPr>
          <w:rFonts w:ascii="Arial" w:hAnsi="Arial" w:cs="Arial"/>
          <w:sz w:val="24"/>
          <w:szCs w:val="24"/>
        </w:rPr>
        <w:t>, M., and Tornikoski, E. (2013). 'Predicting entrepreneurial behaviour: a test of the theory of planned behaviour', Applied Economics, 45(6), pp. 697</w:t>
      </w:r>
      <w:r>
        <w:rPr>
          <w:rFonts w:ascii="Arial" w:hAnsi="Arial" w:cs="Arial"/>
          <w:sz w:val="24"/>
          <w:szCs w:val="24"/>
        </w:rPr>
        <w:t>–</w:t>
      </w:r>
      <w:r w:rsidRPr="00A3713A">
        <w:rPr>
          <w:rFonts w:ascii="Arial" w:hAnsi="Arial" w:cs="Arial"/>
          <w:sz w:val="24"/>
          <w:szCs w:val="24"/>
        </w:rPr>
        <w:t xml:space="preserve">707. Available at: </w:t>
      </w:r>
      <w:hyperlink r:id="rId227" w:history="1">
        <w:r w:rsidRPr="007D0B0F">
          <w:rPr>
            <w:rStyle w:val="Hyperlink"/>
            <w:rFonts w:ascii="Arial" w:hAnsi="Arial" w:cs="Arial"/>
            <w:sz w:val="24"/>
            <w:szCs w:val="24"/>
          </w:rPr>
          <w:t>https://www.researchgate.net/profile/Teemu-Kautonen/publication/228314695_Predicting_Entrepreneurial_Behaviour_A_Test_of_the_Theory_of_Planned_Behaviour/links/00b4951a319d94989c000000/Predicting-Entrepreneurial-Behaviour-A-Test-of-the-Theory-of-Planned-</w:t>
        </w:r>
        <w:r w:rsidRPr="007D0B0F">
          <w:rPr>
            <w:rStyle w:val="Hyperlink"/>
            <w:rFonts w:ascii="Arial" w:hAnsi="Arial" w:cs="Arial"/>
            <w:sz w:val="24"/>
            <w:szCs w:val="24"/>
          </w:rPr>
          <w:lastRenderedPageBreak/>
          <w:t>Behaviour.pdf?origin=journalDetail&amp;_tp=eyJwYWdlIjoiam91cm5hbERldGFpbCJ9</w:t>
        </w:r>
      </w:hyperlink>
      <w:r>
        <w:rPr>
          <w:rFonts w:ascii="Arial" w:hAnsi="Arial" w:cs="Arial"/>
          <w:sz w:val="24"/>
          <w:szCs w:val="24"/>
        </w:rPr>
        <w:t xml:space="preserve"> </w:t>
      </w:r>
      <w:r w:rsidRPr="00A3713A">
        <w:rPr>
          <w:rFonts w:ascii="Arial" w:hAnsi="Arial" w:cs="Arial"/>
          <w:sz w:val="24"/>
          <w:szCs w:val="24"/>
        </w:rPr>
        <w:t>(Accessed: 28 March 2026).</w:t>
      </w:r>
    </w:p>
    <w:p w14:paraId="248A117E" w14:textId="1B8C27E5" w:rsidR="0010656E" w:rsidRDefault="0010656E" w:rsidP="009E58ED">
      <w:pPr>
        <w:spacing w:line="360" w:lineRule="auto"/>
        <w:jc w:val="both"/>
        <w:rPr>
          <w:rFonts w:ascii="Arial" w:hAnsi="Arial" w:cs="Arial"/>
          <w:sz w:val="24"/>
          <w:szCs w:val="24"/>
        </w:rPr>
      </w:pPr>
      <w:r w:rsidRPr="0010656E">
        <w:rPr>
          <w:rFonts w:ascii="Arial" w:hAnsi="Arial" w:cs="Arial"/>
          <w:sz w:val="24"/>
          <w:szCs w:val="24"/>
        </w:rPr>
        <w:t>Kele, J., Cassell, C., Ford, J., and Watson, K. (2022)</w:t>
      </w:r>
      <w:r>
        <w:rPr>
          <w:rFonts w:ascii="Arial" w:hAnsi="Arial" w:cs="Arial"/>
          <w:sz w:val="24"/>
          <w:szCs w:val="24"/>
        </w:rPr>
        <w:t>.</w:t>
      </w:r>
      <w:r w:rsidRPr="0010656E">
        <w:rPr>
          <w:rFonts w:ascii="Arial" w:hAnsi="Arial" w:cs="Arial"/>
          <w:sz w:val="24"/>
          <w:szCs w:val="24"/>
        </w:rPr>
        <w:t xml:space="preserve"> 'Intersectional identities and career progression in retail: The experiences of minority-ethnic women', Gender, Work and Organization, 29(4), pp. 1178</w:t>
      </w:r>
      <w:r>
        <w:rPr>
          <w:rFonts w:ascii="Arial" w:hAnsi="Arial" w:cs="Arial"/>
          <w:sz w:val="24"/>
          <w:szCs w:val="24"/>
        </w:rPr>
        <w:t>–</w:t>
      </w:r>
      <w:r w:rsidRPr="0010656E">
        <w:rPr>
          <w:rFonts w:ascii="Arial" w:hAnsi="Arial" w:cs="Arial"/>
          <w:sz w:val="24"/>
          <w:szCs w:val="24"/>
        </w:rPr>
        <w:t xml:space="preserve">1198. Available at: </w:t>
      </w:r>
      <w:hyperlink r:id="rId228" w:history="1">
        <w:r w:rsidRPr="007D0B0F">
          <w:rPr>
            <w:rStyle w:val="Hyperlink"/>
            <w:rFonts w:ascii="Arial" w:hAnsi="Arial" w:cs="Arial"/>
            <w:sz w:val="24"/>
            <w:szCs w:val="24"/>
          </w:rPr>
          <w:t>https://onlinelibrary.wiley.com/doi/full/10.1111/gwao.12830</w:t>
        </w:r>
      </w:hyperlink>
      <w:r>
        <w:rPr>
          <w:rFonts w:ascii="Arial" w:hAnsi="Arial" w:cs="Arial"/>
          <w:sz w:val="24"/>
          <w:szCs w:val="24"/>
        </w:rPr>
        <w:t xml:space="preserve"> </w:t>
      </w:r>
      <w:r w:rsidRPr="0010656E">
        <w:rPr>
          <w:rFonts w:ascii="Arial" w:hAnsi="Arial" w:cs="Arial"/>
          <w:sz w:val="24"/>
          <w:szCs w:val="24"/>
        </w:rPr>
        <w:t>(Accessed: 25 March 2026).</w:t>
      </w:r>
    </w:p>
    <w:p w14:paraId="27ADA647" w14:textId="688D18FB" w:rsidR="005F5E02" w:rsidRDefault="005F5E02" w:rsidP="009E58ED">
      <w:pPr>
        <w:spacing w:line="360" w:lineRule="auto"/>
        <w:jc w:val="both"/>
        <w:rPr>
          <w:rFonts w:ascii="Arial" w:hAnsi="Arial" w:cs="Arial"/>
          <w:sz w:val="24"/>
          <w:szCs w:val="24"/>
        </w:rPr>
      </w:pPr>
      <w:proofErr w:type="spellStart"/>
      <w:r w:rsidRPr="005F5E02">
        <w:rPr>
          <w:rFonts w:ascii="Arial" w:hAnsi="Arial" w:cs="Arial"/>
          <w:sz w:val="24"/>
          <w:szCs w:val="24"/>
        </w:rPr>
        <w:t>Keming</w:t>
      </w:r>
      <w:proofErr w:type="spellEnd"/>
      <w:r w:rsidRPr="005F5E02">
        <w:rPr>
          <w:rFonts w:ascii="Arial" w:hAnsi="Arial" w:cs="Arial"/>
          <w:sz w:val="24"/>
          <w:szCs w:val="24"/>
        </w:rPr>
        <w:t xml:space="preserve">, L. (2006) 'Annotation as an Index to Critical Writing', Urban Education, 41(2), pp. 192-207. Available at: </w:t>
      </w:r>
      <w:hyperlink r:id="rId229" w:history="1">
        <w:r w:rsidRPr="007136D9">
          <w:rPr>
            <w:rStyle w:val="Hyperlink"/>
            <w:rFonts w:ascii="Arial" w:hAnsi="Arial" w:cs="Arial"/>
            <w:sz w:val="24"/>
            <w:szCs w:val="24"/>
          </w:rPr>
          <w:t>https://journals.sagepub.com/doi/epdf/10.1177/0042085905282261</w:t>
        </w:r>
      </w:hyperlink>
      <w:r>
        <w:rPr>
          <w:rFonts w:ascii="Arial" w:hAnsi="Arial" w:cs="Arial"/>
          <w:sz w:val="24"/>
          <w:szCs w:val="24"/>
        </w:rPr>
        <w:t xml:space="preserve"> </w:t>
      </w:r>
      <w:r w:rsidRPr="005F5E02">
        <w:rPr>
          <w:rFonts w:ascii="Arial" w:hAnsi="Arial" w:cs="Arial"/>
          <w:sz w:val="24"/>
          <w:szCs w:val="24"/>
        </w:rPr>
        <w:t>(Accessed: 9 March 2026).</w:t>
      </w:r>
    </w:p>
    <w:p w14:paraId="70D18E5A" w14:textId="638F82DD" w:rsidR="001B1C8D" w:rsidRDefault="001B1C8D" w:rsidP="009E58ED">
      <w:pPr>
        <w:spacing w:line="360" w:lineRule="auto"/>
        <w:jc w:val="both"/>
        <w:rPr>
          <w:rFonts w:ascii="Arial" w:hAnsi="Arial" w:cs="Arial"/>
          <w:sz w:val="24"/>
          <w:szCs w:val="24"/>
        </w:rPr>
      </w:pPr>
      <w:r w:rsidRPr="001B1C8D">
        <w:rPr>
          <w:rFonts w:ascii="Arial" w:hAnsi="Arial" w:cs="Arial"/>
          <w:sz w:val="24"/>
          <w:szCs w:val="24"/>
        </w:rPr>
        <w:t xml:space="preserve">Khan (2008) Financial Inclusion and Ethnicity: An Agenda for Research and Policy Action. Reference number (if available). Runnymede. Available at: </w:t>
      </w:r>
      <w:hyperlink r:id="rId230" w:history="1">
        <w:r w:rsidRPr="007D0B0F">
          <w:rPr>
            <w:rStyle w:val="Hyperlink"/>
            <w:rFonts w:ascii="Arial" w:hAnsi="Arial" w:cs="Arial"/>
            <w:sz w:val="24"/>
            <w:szCs w:val="24"/>
          </w:rPr>
          <w:t>https://cdn.prod.website-files.com/61488f992b58e687f1108c7c/617be008ff72b2243a23e88b_FinancialInclusion-2008.pdf</w:t>
        </w:r>
      </w:hyperlink>
      <w:r>
        <w:rPr>
          <w:rFonts w:ascii="Arial" w:hAnsi="Arial" w:cs="Arial"/>
          <w:sz w:val="24"/>
          <w:szCs w:val="24"/>
        </w:rPr>
        <w:t xml:space="preserve"> </w:t>
      </w:r>
      <w:r w:rsidRPr="001B1C8D">
        <w:rPr>
          <w:rFonts w:ascii="Arial" w:hAnsi="Arial" w:cs="Arial"/>
          <w:sz w:val="24"/>
          <w:szCs w:val="24"/>
        </w:rPr>
        <w:t>(Accessed: 27 March 2026).</w:t>
      </w:r>
    </w:p>
    <w:p w14:paraId="242B5AD6" w14:textId="7E6D0618" w:rsidR="004277A9" w:rsidRDefault="004277A9" w:rsidP="009E58ED">
      <w:pPr>
        <w:spacing w:line="360" w:lineRule="auto"/>
        <w:jc w:val="both"/>
        <w:rPr>
          <w:rFonts w:ascii="Arial" w:hAnsi="Arial" w:cs="Arial"/>
          <w:sz w:val="24"/>
          <w:szCs w:val="24"/>
        </w:rPr>
      </w:pPr>
      <w:r w:rsidRPr="004277A9">
        <w:rPr>
          <w:rFonts w:ascii="Arial" w:hAnsi="Arial" w:cs="Arial"/>
          <w:sz w:val="24"/>
          <w:szCs w:val="24"/>
        </w:rPr>
        <w:t>Khan, O. (2010a)</w:t>
      </w:r>
      <w:r>
        <w:rPr>
          <w:rFonts w:ascii="Arial" w:hAnsi="Arial" w:cs="Arial"/>
          <w:sz w:val="24"/>
          <w:szCs w:val="24"/>
        </w:rPr>
        <w:t>.</w:t>
      </w:r>
      <w:r w:rsidRPr="004277A9">
        <w:rPr>
          <w:rFonts w:ascii="Arial" w:hAnsi="Arial" w:cs="Arial"/>
          <w:sz w:val="24"/>
          <w:szCs w:val="24"/>
        </w:rPr>
        <w:t xml:space="preserve"> Why Do Assets Matter? Assets, Equality and Ethnicity- Building towards Financial Inclusion, Runnymede Trust. Available at: </w:t>
      </w:r>
      <w:hyperlink r:id="rId231" w:history="1">
        <w:r w:rsidRPr="007D0B0F">
          <w:rPr>
            <w:rStyle w:val="Hyperlink"/>
            <w:rFonts w:ascii="Arial" w:hAnsi="Arial" w:cs="Arial"/>
            <w:sz w:val="24"/>
            <w:szCs w:val="24"/>
          </w:rPr>
          <w:t>https://d1wqtxts1xzle7.cloudfront.net/31960835/whydoassetsmatter-libre.pdf?1392477046=&amp;response-content-disposition=inline%3B+filename%3DAssets_Equality_and_Ethnicity_Building_t.pdf&amp;Expires=1775689111&amp;Signature=IH2JeFRdMVlsBn0ycQglf4Nm6r5eh2R~cquiKr6ZJH8Xjz9b6gsYf4WPdk7ns38raUQlUHRcjxP7S0S~rQaUNjxuDM3lJaW1O5PEQRfb4Q0OwdK3eaaDu4BO8wMfZ5zcs8vjPfzV~dHmpZS-qBTDk6Vp6Y5VhTORfuI7YWMGrxUCXHcnEYlMx~wxz~eZbjewUuNQdTxRlmq1arp7R67-LraaLG6SWxAPHFtni77kBaRuVwAYj4SM~LYG7AXdqXQNSJEYX~jmXqxWhCJoshM-h809MS1zJD7UCdkfXFgYhceCl5sfHDZ7JYOFVkU~7I95klY3MEDeE7-</w:t>
        </w:r>
        <w:r w:rsidRPr="007D0B0F">
          <w:rPr>
            <w:rStyle w:val="Hyperlink"/>
            <w:rFonts w:ascii="Arial" w:hAnsi="Arial" w:cs="Arial"/>
            <w:sz w:val="24"/>
            <w:szCs w:val="24"/>
          </w:rPr>
          <w:lastRenderedPageBreak/>
          <w:t>TryXeZH5ILw__&amp;Key-Pair-Id=APKAJLOHF5GGSLRBV4ZA</w:t>
        </w:r>
      </w:hyperlink>
      <w:r>
        <w:rPr>
          <w:rFonts w:ascii="Arial" w:hAnsi="Arial" w:cs="Arial"/>
          <w:sz w:val="24"/>
          <w:szCs w:val="24"/>
        </w:rPr>
        <w:t xml:space="preserve"> </w:t>
      </w:r>
      <w:r w:rsidRPr="004277A9">
        <w:rPr>
          <w:rFonts w:ascii="Arial" w:hAnsi="Arial" w:cs="Arial"/>
          <w:sz w:val="24"/>
          <w:szCs w:val="24"/>
        </w:rPr>
        <w:t>(Accessed: 27 Maech 2026).</w:t>
      </w:r>
    </w:p>
    <w:p w14:paraId="07025C06" w14:textId="132D5881" w:rsidR="00F56215" w:rsidRDefault="00F56215" w:rsidP="009E58ED">
      <w:pPr>
        <w:spacing w:line="360" w:lineRule="auto"/>
        <w:jc w:val="both"/>
        <w:rPr>
          <w:rFonts w:ascii="Arial" w:hAnsi="Arial" w:cs="Arial"/>
          <w:sz w:val="24"/>
          <w:szCs w:val="24"/>
        </w:rPr>
      </w:pPr>
      <w:r w:rsidRPr="00F56215">
        <w:rPr>
          <w:rFonts w:ascii="Arial" w:hAnsi="Arial" w:cs="Arial"/>
          <w:sz w:val="24"/>
          <w:szCs w:val="24"/>
        </w:rPr>
        <w:t>Khan, O. (2010b)</w:t>
      </w:r>
      <w:r>
        <w:rPr>
          <w:rFonts w:ascii="Arial" w:hAnsi="Arial" w:cs="Arial"/>
          <w:sz w:val="24"/>
          <w:szCs w:val="24"/>
        </w:rPr>
        <w:t>.</w:t>
      </w:r>
      <w:r w:rsidRPr="00F56215">
        <w:rPr>
          <w:rFonts w:ascii="Arial" w:hAnsi="Arial" w:cs="Arial"/>
          <w:sz w:val="24"/>
          <w:szCs w:val="24"/>
        </w:rPr>
        <w:t xml:space="preserve"> Saving Beyond the High Street</w:t>
      </w:r>
      <w:r>
        <w:rPr>
          <w:rFonts w:ascii="Arial" w:hAnsi="Arial" w:cs="Arial"/>
          <w:sz w:val="24"/>
          <w:szCs w:val="24"/>
        </w:rPr>
        <w:t>:</w:t>
      </w:r>
      <w:r w:rsidRPr="00F56215">
        <w:rPr>
          <w:rFonts w:ascii="Arial" w:hAnsi="Arial" w:cs="Arial"/>
          <w:sz w:val="24"/>
          <w:szCs w:val="24"/>
        </w:rPr>
        <w:t xml:space="preserve"> A profile of saving patterns among Black and minority ethnic people. Runnymede. Available at: </w:t>
      </w:r>
      <w:hyperlink r:id="rId232" w:history="1">
        <w:r w:rsidRPr="007D0B0F">
          <w:rPr>
            <w:rStyle w:val="Hyperlink"/>
            <w:rFonts w:ascii="Arial" w:hAnsi="Arial" w:cs="Arial"/>
            <w:sz w:val="24"/>
            <w:szCs w:val="24"/>
          </w:rPr>
          <w:t>https://cdn.prod.website-files.com/61488f992b58e687f1108c7c/617bd8b229e58955d38890cd_SavingBeyondTheHighStreet-2010.pdf</w:t>
        </w:r>
      </w:hyperlink>
      <w:r>
        <w:rPr>
          <w:rFonts w:ascii="Arial" w:hAnsi="Arial" w:cs="Arial"/>
          <w:sz w:val="24"/>
          <w:szCs w:val="24"/>
        </w:rPr>
        <w:t xml:space="preserve"> </w:t>
      </w:r>
      <w:r w:rsidRPr="00F56215">
        <w:rPr>
          <w:rFonts w:ascii="Arial" w:hAnsi="Arial" w:cs="Arial"/>
          <w:sz w:val="24"/>
          <w:szCs w:val="24"/>
        </w:rPr>
        <w:t>(Accessed: 27 March 2026).</w:t>
      </w:r>
    </w:p>
    <w:p w14:paraId="4BB91907" w14:textId="691BB8EE" w:rsidR="00B756A4" w:rsidRDefault="00B756A4" w:rsidP="009E58ED">
      <w:pPr>
        <w:spacing w:line="360" w:lineRule="auto"/>
        <w:jc w:val="both"/>
        <w:rPr>
          <w:rFonts w:ascii="Arial" w:hAnsi="Arial" w:cs="Arial"/>
          <w:sz w:val="24"/>
          <w:szCs w:val="24"/>
        </w:rPr>
      </w:pPr>
      <w:r w:rsidRPr="00B756A4">
        <w:rPr>
          <w:rFonts w:ascii="Arial" w:hAnsi="Arial" w:cs="Arial"/>
          <w:sz w:val="24"/>
          <w:szCs w:val="24"/>
        </w:rPr>
        <w:t>Khraban, T. (2024)</w:t>
      </w:r>
      <w:r w:rsidR="00F16B61">
        <w:rPr>
          <w:rFonts w:ascii="Arial" w:hAnsi="Arial" w:cs="Arial"/>
          <w:sz w:val="24"/>
          <w:szCs w:val="24"/>
        </w:rPr>
        <w:t>.</w:t>
      </w:r>
      <w:r w:rsidRPr="00B756A4">
        <w:rPr>
          <w:rFonts w:ascii="Arial" w:hAnsi="Arial" w:cs="Arial"/>
          <w:sz w:val="24"/>
          <w:szCs w:val="24"/>
        </w:rPr>
        <w:t xml:space="preserve"> 'Guidelines for Quality Coverage of Continuing Education Issues', </w:t>
      </w:r>
      <w:r w:rsidRPr="00B756A4">
        <w:rPr>
          <w:rFonts w:ascii="Arial" w:hAnsi="Arial" w:cs="Arial"/>
          <w:i/>
          <w:iCs/>
          <w:sz w:val="24"/>
          <w:szCs w:val="24"/>
        </w:rPr>
        <w:t>Continuing Professional Education: Theory and Practice</w:t>
      </w:r>
      <w:r w:rsidRPr="00B756A4">
        <w:rPr>
          <w:rFonts w:ascii="Arial" w:hAnsi="Arial" w:cs="Arial"/>
          <w:sz w:val="24"/>
          <w:szCs w:val="24"/>
        </w:rPr>
        <w:t xml:space="preserve">, 80(3), pp. 57-66. Available at: </w:t>
      </w:r>
      <w:hyperlink r:id="rId233" w:history="1">
        <w:r w:rsidRPr="00960FF4">
          <w:rPr>
            <w:rStyle w:val="Hyperlink"/>
            <w:rFonts w:ascii="Arial" w:hAnsi="Arial" w:cs="Arial"/>
            <w:sz w:val="24"/>
            <w:szCs w:val="24"/>
          </w:rPr>
          <w:t>https://npo.kubg.edu.ua/article/view/309863</w:t>
        </w:r>
      </w:hyperlink>
      <w:r>
        <w:rPr>
          <w:rFonts w:ascii="Arial" w:hAnsi="Arial" w:cs="Arial"/>
          <w:sz w:val="24"/>
          <w:szCs w:val="24"/>
        </w:rPr>
        <w:t xml:space="preserve"> </w:t>
      </w:r>
      <w:r w:rsidRPr="00B756A4">
        <w:rPr>
          <w:rFonts w:ascii="Arial" w:hAnsi="Arial" w:cs="Arial"/>
          <w:sz w:val="24"/>
          <w:szCs w:val="24"/>
        </w:rPr>
        <w:t>(Accessed: 23 February 2026).</w:t>
      </w:r>
    </w:p>
    <w:p w14:paraId="76EC09D4" w14:textId="75310235" w:rsidR="00140E1F" w:rsidRDefault="00140E1F" w:rsidP="009E58ED">
      <w:pPr>
        <w:spacing w:line="360" w:lineRule="auto"/>
        <w:jc w:val="both"/>
        <w:rPr>
          <w:rFonts w:ascii="Arial" w:hAnsi="Arial" w:cs="Arial"/>
          <w:sz w:val="24"/>
          <w:szCs w:val="24"/>
        </w:rPr>
      </w:pPr>
      <w:r w:rsidRPr="00140E1F">
        <w:rPr>
          <w:rFonts w:ascii="Arial" w:hAnsi="Arial" w:cs="Arial"/>
          <w:sz w:val="24"/>
          <w:szCs w:val="24"/>
        </w:rPr>
        <w:t>Kloosterman, R., Van der Lieu, J., and Wrath, J. (1999)</w:t>
      </w:r>
      <w:r>
        <w:rPr>
          <w:rFonts w:ascii="Arial" w:hAnsi="Arial" w:cs="Arial"/>
          <w:sz w:val="24"/>
          <w:szCs w:val="24"/>
        </w:rPr>
        <w:t>.</w:t>
      </w:r>
      <w:r w:rsidRPr="00140E1F">
        <w:rPr>
          <w:rFonts w:ascii="Arial" w:hAnsi="Arial" w:cs="Arial"/>
          <w:sz w:val="24"/>
          <w:szCs w:val="24"/>
        </w:rPr>
        <w:t xml:space="preserve"> 'Mixed Embeddedness: (In)formal Economic Activities and Immigrant Businesses in the Netherlands', International Journal of Urban and Regional Research, 23(2), pp. 253</w:t>
      </w:r>
      <w:r>
        <w:rPr>
          <w:rFonts w:ascii="Arial" w:hAnsi="Arial" w:cs="Arial"/>
          <w:sz w:val="24"/>
          <w:szCs w:val="24"/>
        </w:rPr>
        <w:t>–</w:t>
      </w:r>
      <w:r w:rsidRPr="00140E1F">
        <w:rPr>
          <w:rFonts w:ascii="Arial" w:hAnsi="Arial" w:cs="Arial"/>
          <w:sz w:val="24"/>
          <w:szCs w:val="24"/>
        </w:rPr>
        <w:t xml:space="preserve">267. Available at:  </w:t>
      </w:r>
      <w:hyperlink r:id="rId234" w:history="1">
        <w:r w:rsidRPr="005C7CBD">
          <w:rPr>
            <w:rStyle w:val="Hyperlink"/>
            <w:rFonts w:ascii="Arial" w:hAnsi="Arial" w:cs="Arial"/>
            <w:sz w:val="24"/>
            <w:szCs w:val="24"/>
          </w:rPr>
          <w:t>https://janrath.com/downloads/@mixed%20embeddedness%20ijurr.pdf</w:t>
        </w:r>
      </w:hyperlink>
      <w:r>
        <w:rPr>
          <w:rFonts w:ascii="Arial" w:hAnsi="Arial" w:cs="Arial"/>
          <w:sz w:val="24"/>
          <w:szCs w:val="24"/>
        </w:rPr>
        <w:t xml:space="preserve"> </w:t>
      </w:r>
      <w:r w:rsidRPr="00140E1F">
        <w:rPr>
          <w:rFonts w:ascii="Arial" w:hAnsi="Arial" w:cs="Arial"/>
          <w:sz w:val="24"/>
          <w:szCs w:val="24"/>
        </w:rPr>
        <w:t>(Accessed: 23 March 2026).</w:t>
      </w:r>
    </w:p>
    <w:p w14:paraId="53771728" w14:textId="0650ECF4" w:rsidR="00C01339" w:rsidRDefault="00C01339" w:rsidP="009E58ED">
      <w:pPr>
        <w:spacing w:line="360" w:lineRule="auto"/>
        <w:jc w:val="both"/>
        <w:rPr>
          <w:rFonts w:ascii="Arial" w:hAnsi="Arial" w:cs="Arial"/>
          <w:sz w:val="24"/>
          <w:szCs w:val="24"/>
        </w:rPr>
      </w:pPr>
      <w:r w:rsidRPr="00C01339">
        <w:rPr>
          <w:rFonts w:ascii="Arial" w:hAnsi="Arial" w:cs="Arial"/>
          <w:sz w:val="24"/>
          <w:szCs w:val="24"/>
        </w:rPr>
        <w:t>Knox, C., Latif, F., Cornejo, N., and Johnson, M. (2023)</w:t>
      </w:r>
      <w:r w:rsidR="00F16B61">
        <w:rPr>
          <w:rFonts w:ascii="Arial" w:hAnsi="Arial" w:cs="Arial"/>
          <w:sz w:val="24"/>
          <w:szCs w:val="24"/>
        </w:rPr>
        <w:t>.</w:t>
      </w:r>
      <w:r w:rsidRPr="00C01339">
        <w:rPr>
          <w:rFonts w:ascii="Arial" w:hAnsi="Arial" w:cs="Arial"/>
          <w:sz w:val="24"/>
          <w:szCs w:val="24"/>
        </w:rPr>
        <w:t xml:space="preserve"> 'Mentoring across difference and distance: building effective virtual research opportunities for under-represented minority undergraduate students in biological sciences', </w:t>
      </w:r>
      <w:proofErr w:type="spellStart"/>
      <w:r w:rsidRPr="00C01339">
        <w:rPr>
          <w:rFonts w:ascii="Arial" w:hAnsi="Arial" w:cs="Arial"/>
          <w:sz w:val="24"/>
          <w:szCs w:val="24"/>
        </w:rPr>
        <w:t>Mbio</w:t>
      </w:r>
      <w:proofErr w:type="spellEnd"/>
      <w:r w:rsidRPr="00C01339">
        <w:rPr>
          <w:rFonts w:ascii="Arial" w:hAnsi="Arial" w:cs="Arial"/>
          <w:sz w:val="24"/>
          <w:szCs w:val="24"/>
        </w:rPr>
        <w:t>, 15(1), pp. 1</w:t>
      </w:r>
      <w:r w:rsidR="00F16B61">
        <w:rPr>
          <w:rFonts w:ascii="Arial" w:hAnsi="Arial" w:cs="Arial"/>
          <w:sz w:val="24"/>
          <w:szCs w:val="24"/>
        </w:rPr>
        <w:t>–</w:t>
      </w:r>
      <w:r w:rsidRPr="00C01339">
        <w:rPr>
          <w:rFonts w:ascii="Arial" w:hAnsi="Arial" w:cs="Arial"/>
          <w:sz w:val="24"/>
          <w:szCs w:val="24"/>
        </w:rPr>
        <w:t xml:space="preserve">15. Available at: </w:t>
      </w:r>
      <w:hyperlink r:id="rId235" w:history="1">
        <w:r w:rsidRPr="007D0B0F">
          <w:rPr>
            <w:rStyle w:val="Hyperlink"/>
            <w:rFonts w:ascii="Arial" w:hAnsi="Arial" w:cs="Arial"/>
            <w:sz w:val="24"/>
            <w:szCs w:val="24"/>
          </w:rPr>
          <w:t>https://www.researchgate.net/publication/376453976_Mentoring_across_difference_and_distance_building_effective_virtual_research_opportunities_for_underrepresented_minority_undergraduate_students_in_biological_sciences</w:t>
        </w:r>
      </w:hyperlink>
      <w:r>
        <w:rPr>
          <w:rFonts w:ascii="Arial" w:hAnsi="Arial" w:cs="Arial"/>
          <w:sz w:val="24"/>
          <w:szCs w:val="24"/>
        </w:rPr>
        <w:t xml:space="preserve"> </w:t>
      </w:r>
      <w:r w:rsidRPr="00C01339">
        <w:rPr>
          <w:rFonts w:ascii="Arial" w:hAnsi="Arial" w:cs="Arial"/>
          <w:sz w:val="24"/>
          <w:szCs w:val="24"/>
        </w:rPr>
        <w:t>(Accessed: 24 March 2026).</w:t>
      </w:r>
    </w:p>
    <w:p w14:paraId="6B79F224" w14:textId="43EF4FF4" w:rsidR="00072F33" w:rsidRDefault="00072F33" w:rsidP="009E58ED">
      <w:pPr>
        <w:spacing w:line="360" w:lineRule="auto"/>
        <w:jc w:val="both"/>
        <w:rPr>
          <w:rFonts w:ascii="Arial" w:hAnsi="Arial" w:cs="Arial"/>
          <w:sz w:val="24"/>
          <w:szCs w:val="24"/>
        </w:rPr>
      </w:pPr>
      <w:r w:rsidRPr="00072F33">
        <w:rPr>
          <w:rFonts w:ascii="Arial" w:hAnsi="Arial" w:cs="Arial"/>
          <w:sz w:val="24"/>
          <w:szCs w:val="24"/>
        </w:rPr>
        <w:t xml:space="preserve">Laman, G. (2014). Jamaican entrepreneurship: a review of the characteristics, traits and ideas underlying the success of some of the island's most accomplished </w:t>
      </w:r>
      <w:r w:rsidR="00FF26AE">
        <w:rPr>
          <w:rFonts w:ascii="Arial" w:hAnsi="Arial" w:cs="Arial"/>
          <w:sz w:val="24"/>
          <w:szCs w:val="24"/>
        </w:rPr>
        <w:t xml:space="preserve">entrepreneurs. </w:t>
      </w:r>
      <w:r w:rsidR="00E327E1" w:rsidRPr="00E327E1">
        <w:rPr>
          <w:rFonts w:ascii="Arial" w:hAnsi="Arial" w:cs="Arial"/>
          <w:sz w:val="24"/>
          <w:szCs w:val="24"/>
        </w:rPr>
        <w:t>1st ed. New York: Minipress</w:t>
      </w:r>
      <w:r w:rsidRPr="00072F33">
        <w:rPr>
          <w:rFonts w:ascii="Arial" w:hAnsi="Arial" w:cs="Arial"/>
          <w:sz w:val="24"/>
          <w:szCs w:val="24"/>
        </w:rPr>
        <w:t>.</w:t>
      </w:r>
    </w:p>
    <w:p w14:paraId="4F6E7E46" w14:textId="0CA7FE34" w:rsidR="000D2960" w:rsidRDefault="000D2960" w:rsidP="009E58ED">
      <w:pPr>
        <w:spacing w:line="360" w:lineRule="auto"/>
        <w:jc w:val="both"/>
        <w:rPr>
          <w:rFonts w:ascii="Arial" w:hAnsi="Arial" w:cs="Arial"/>
          <w:sz w:val="24"/>
          <w:szCs w:val="24"/>
        </w:rPr>
      </w:pPr>
      <w:r w:rsidRPr="000D2960">
        <w:rPr>
          <w:rFonts w:ascii="Arial" w:hAnsi="Arial" w:cs="Arial"/>
          <w:sz w:val="24"/>
          <w:szCs w:val="24"/>
        </w:rPr>
        <w:t xml:space="preserve">Langdon, P., Denne, L., Thompson, P., Hayden, N., Blumenfeld, F., Cullen, S., Flynn, S., Taylor, E., Williams, C., Grey, K., and Hastings, R. (2023) Reducing the Risk of </w:t>
      </w:r>
      <w:r w:rsidRPr="000D2960">
        <w:rPr>
          <w:rFonts w:ascii="Arial" w:hAnsi="Arial" w:cs="Arial"/>
          <w:sz w:val="24"/>
          <w:szCs w:val="24"/>
        </w:rPr>
        <w:lastRenderedPageBreak/>
        <w:t xml:space="preserve">Criminal Exploitation Using Multisystemic Therapy – the RESET Study. Youth Endowment Fund Available at: </w:t>
      </w:r>
      <w:hyperlink r:id="rId236" w:history="1">
        <w:r w:rsidRPr="007D0B0F">
          <w:rPr>
            <w:rStyle w:val="Hyperlink"/>
            <w:rFonts w:ascii="Arial" w:hAnsi="Arial" w:cs="Arial"/>
            <w:sz w:val="24"/>
            <w:szCs w:val="24"/>
          </w:rPr>
          <w:t>https://www.researchgate.net/profile/Nikita-Hayden/publication/380605644_Reducing_the_Risk_of_Criminal_Exploitation_Using_Multisystemic_Therapy_-the_RESET_Study_Feasibility_study_report_About_the_Youth_Endowment_Fund/links/6645e9e70b0d2845743715ea/Reducing-the-Risk-of-Criminal-Exploitation-Using-Multisystemic-Therapy-the-RESET-Study-Feasibility-study-report-About-the-Youth-Endowment-Fund.pdf</w:t>
        </w:r>
      </w:hyperlink>
      <w:r>
        <w:rPr>
          <w:rFonts w:ascii="Arial" w:hAnsi="Arial" w:cs="Arial"/>
          <w:sz w:val="24"/>
          <w:szCs w:val="24"/>
        </w:rPr>
        <w:t xml:space="preserve"> </w:t>
      </w:r>
      <w:r w:rsidRPr="000D2960">
        <w:rPr>
          <w:rFonts w:ascii="Arial" w:hAnsi="Arial" w:cs="Arial"/>
          <w:sz w:val="24"/>
          <w:szCs w:val="24"/>
        </w:rPr>
        <w:t>(Accessed: 2 April 2026).</w:t>
      </w:r>
    </w:p>
    <w:p w14:paraId="1F3F2879" w14:textId="474B49A6" w:rsidR="00CE7C7B" w:rsidRDefault="00C34EFF" w:rsidP="009E58ED">
      <w:pPr>
        <w:spacing w:line="360" w:lineRule="auto"/>
        <w:jc w:val="both"/>
        <w:rPr>
          <w:rFonts w:ascii="Arial" w:hAnsi="Arial" w:cs="Arial"/>
          <w:sz w:val="24"/>
          <w:szCs w:val="24"/>
        </w:rPr>
      </w:pPr>
      <w:r w:rsidRPr="00C34EFF">
        <w:rPr>
          <w:rFonts w:ascii="Arial" w:hAnsi="Arial" w:cs="Arial"/>
          <w:sz w:val="24"/>
          <w:szCs w:val="24"/>
        </w:rPr>
        <w:t>Lauder, H., Brown, P., Dillabough, J., and Halsey, A. (2006). </w:t>
      </w:r>
      <w:r w:rsidRPr="00C34EFF">
        <w:rPr>
          <w:rFonts w:ascii="Arial" w:hAnsi="Arial" w:cs="Arial"/>
          <w:i/>
          <w:iCs/>
          <w:sz w:val="24"/>
          <w:szCs w:val="24"/>
        </w:rPr>
        <w:t>Education, Globalization and Social Change.</w:t>
      </w:r>
      <w:r w:rsidRPr="00C34EFF">
        <w:rPr>
          <w:rFonts w:ascii="Arial" w:hAnsi="Arial" w:cs="Arial"/>
          <w:sz w:val="24"/>
          <w:szCs w:val="24"/>
        </w:rPr>
        <w:t xml:space="preserve"> Oxford University Press. Available at: </w:t>
      </w:r>
      <w:hyperlink r:id="rId237" w:history="1">
        <w:r w:rsidRPr="007D0B0F">
          <w:rPr>
            <w:rStyle w:val="Hyperlink"/>
            <w:rFonts w:ascii="Arial" w:hAnsi="Arial" w:cs="Arial"/>
            <w:sz w:val="24"/>
            <w:szCs w:val="24"/>
          </w:rPr>
          <w:t>https://www.scribd.com/document/705898184/Education-Globalization-and-Social-Change</w:t>
        </w:r>
      </w:hyperlink>
      <w:r>
        <w:rPr>
          <w:rFonts w:ascii="Arial" w:hAnsi="Arial" w:cs="Arial"/>
          <w:sz w:val="24"/>
          <w:szCs w:val="24"/>
        </w:rPr>
        <w:t xml:space="preserve"> </w:t>
      </w:r>
      <w:r w:rsidRPr="00C34EFF">
        <w:rPr>
          <w:rFonts w:ascii="Arial" w:hAnsi="Arial" w:cs="Arial"/>
          <w:sz w:val="24"/>
          <w:szCs w:val="24"/>
        </w:rPr>
        <w:t>(Accessed: 21 March 2026).</w:t>
      </w:r>
    </w:p>
    <w:p w14:paraId="43E455A2" w14:textId="345AF6AF" w:rsidR="0037764A" w:rsidRDefault="0037764A" w:rsidP="009E58ED">
      <w:pPr>
        <w:spacing w:line="360" w:lineRule="auto"/>
        <w:jc w:val="both"/>
        <w:rPr>
          <w:rFonts w:ascii="Arial" w:hAnsi="Arial" w:cs="Arial"/>
          <w:sz w:val="24"/>
          <w:szCs w:val="24"/>
        </w:rPr>
      </w:pPr>
      <w:r w:rsidRPr="0037764A">
        <w:rPr>
          <w:rFonts w:ascii="Arial" w:hAnsi="Arial" w:cs="Arial"/>
          <w:sz w:val="24"/>
          <w:szCs w:val="24"/>
        </w:rPr>
        <w:t>Lawrence, V., McCombie, C., Nikolakopoulos, G., and Morgan, C. (20</w:t>
      </w:r>
      <w:r w:rsidR="004B51D3">
        <w:rPr>
          <w:rFonts w:ascii="Arial" w:hAnsi="Arial" w:cs="Arial"/>
          <w:sz w:val="24"/>
          <w:szCs w:val="24"/>
        </w:rPr>
        <w:t>2</w:t>
      </w:r>
      <w:r w:rsidRPr="0037764A">
        <w:rPr>
          <w:rFonts w:ascii="Arial" w:hAnsi="Arial" w:cs="Arial"/>
          <w:sz w:val="24"/>
          <w:szCs w:val="24"/>
        </w:rPr>
        <w:t xml:space="preserve">1) 'Navigating the mental health system: Narratives of identity and recovery among people with psychosis across ethnic groups', Social Science and Medicine, 279, pp. 1-9. Available at: </w:t>
      </w:r>
      <w:hyperlink r:id="rId238" w:history="1">
        <w:r w:rsidRPr="007D0B0F">
          <w:rPr>
            <w:rStyle w:val="Hyperlink"/>
            <w:rFonts w:ascii="Arial" w:hAnsi="Arial" w:cs="Arial"/>
            <w:sz w:val="24"/>
            <w:szCs w:val="24"/>
          </w:rPr>
          <w:t>https://www.sciencedirect.com/science/article/pii/S0277953621003130</w:t>
        </w:r>
      </w:hyperlink>
      <w:r>
        <w:rPr>
          <w:rFonts w:ascii="Arial" w:hAnsi="Arial" w:cs="Arial"/>
          <w:sz w:val="24"/>
          <w:szCs w:val="24"/>
        </w:rPr>
        <w:t xml:space="preserve"> </w:t>
      </w:r>
      <w:r w:rsidRPr="0037764A">
        <w:rPr>
          <w:rFonts w:ascii="Arial" w:hAnsi="Arial" w:cs="Arial"/>
          <w:sz w:val="24"/>
          <w:szCs w:val="24"/>
        </w:rPr>
        <w:t>(Accessed: 30 March 2026).</w:t>
      </w:r>
    </w:p>
    <w:p w14:paraId="12AEA15B" w14:textId="15ADE92D" w:rsidR="00F22F8F" w:rsidRDefault="00F22F8F" w:rsidP="009E58ED">
      <w:pPr>
        <w:spacing w:line="360" w:lineRule="auto"/>
        <w:jc w:val="both"/>
        <w:rPr>
          <w:rFonts w:ascii="Arial" w:hAnsi="Arial" w:cs="Arial"/>
          <w:sz w:val="24"/>
          <w:szCs w:val="24"/>
        </w:rPr>
      </w:pPr>
      <w:r w:rsidRPr="00F22F8F">
        <w:rPr>
          <w:rFonts w:ascii="Arial" w:hAnsi="Arial" w:cs="Arial"/>
          <w:sz w:val="24"/>
          <w:szCs w:val="24"/>
        </w:rPr>
        <w:t>Lee, E., and Kramer, R. (2012)</w:t>
      </w:r>
      <w:r w:rsidR="00965CBD">
        <w:rPr>
          <w:rFonts w:ascii="Arial" w:hAnsi="Arial" w:cs="Arial"/>
          <w:sz w:val="24"/>
          <w:szCs w:val="24"/>
        </w:rPr>
        <w:t>.</w:t>
      </w:r>
      <w:r w:rsidRPr="00F22F8F">
        <w:rPr>
          <w:rFonts w:ascii="Arial" w:hAnsi="Arial" w:cs="Arial"/>
          <w:sz w:val="24"/>
          <w:szCs w:val="24"/>
        </w:rPr>
        <w:t xml:space="preserve"> 'Out with the Old, In with the New? Habitus and Social Mobility at Selective Colleges', Sociology of Education, 86(1), pp. 18</w:t>
      </w:r>
      <w:r w:rsidR="00F16B61">
        <w:rPr>
          <w:rFonts w:ascii="Arial" w:hAnsi="Arial" w:cs="Arial"/>
          <w:sz w:val="24"/>
          <w:szCs w:val="24"/>
        </w:rPr>
        <w:t>–</w:t>
      </w:r>
      <w:r w:rsidRPr="00F22F8F">
        <w:rPr>
          <w:rFonts w:ascii="Arial" w:hAnsi="Arial" w:cs="Arial"/>
          <w:sz w:val="24"/>
          <w:szCs w:val="24"/>
        </w:rPr>
        <w:t xml:space="preserve">25. Available at: </w:t>
      </w:r>
      <w:hyperlink r:id="rId239" w:history="1">
        <w:r w:rsidR="00581885" w:rsidRPr="002F0426">
          <w:rPr>
            <w:rStyle w:val="Hyperlink"/>
            <w:rFonts w:ascii="Arial" w:hAnsi="Arial" w:cs="Arial"/>
            <w:sz w:val="24"/>
            <w:szCs w:val="24"/>
          </w:rPr>
          <w:t>https://journals.sagepub.com/doi/10.1177/0038040712445519</w:t>
        </w:r>
      </w:hyperlink>
      <w:r w:rsidR="00581885">
        <w:rPr>
          <w:rFonts w:ascii="Arial" w:hAnsi="Arial" w:cs="Arial"/>
          <w:sz w:val="24"/>
          <w:szCs w:val="24"/>
        </w:rPr>
        <w:t xml:space="preserve"> </w:t>
      </w:r>
      <w:r w:rsidRPr="00F22F8F">
        <w:rPr>
          <w:rFonts w:ascii="Arial" w:hAnsi="Arial" w:cs="Arial"/>
          <w:sz w:val="24"/>
          <w:szCs w:val="24"/>
        </w:rPr>
        <w:t>(Accessed: 16 March 2026).</w:t>
      </w:r>
    </w:p>
    <w:p w14:paraId="2FBE1363" w14:textId="4AA375FB" w:rsidR="00965CBD" w:rsidRDefault="00965CBD" w:rsidP="009E58ED">
      <w:pPr>
        <w:spacing w:line="360" w:lineRule="auto"/>
        <w:jc w:val="both"/>
        <w:rPr>
          <w:rFonts w:ascii="Arial" w:hAnsi="Arial" w:cs="Arial"/>
          <w:sz w:val="24"/>
          <w:szCs w:val="24"/>
        </w:rPr>
      </w:pPr>
      <w:r w:rsidRPr="00965CBD">
        <w:rPr>
          <w:rFonts w:ascii="Arial" w:hAnsi="Arial" w:cs="Arial"/>
          <w:sz w:val="24"/>
          <w:szCs w:val="24"/>
        </w:rPr>
        <w:t>Lefebvre, J., Bloom, G., Loughead, T. (2020)</w:t>
      </w:r>
      <w:r>
        <w:rPr>
          <w:rFonts w:ascii="Arial" w:hAnsi="Arial" w:cs="Arial"/>
          <w:sz w:val="24"/>
          <w:szCs w:val="24"/>
        </w:rPr>
        <w:t>.</w:t>
      </w:r>
      <w:r w:rsidRPr="00965CBD">
        <w:rPr>
          <w:rFonts w:ascii="Arial" w:hAnsi="Arial" w:cs="Arial"/>
          <w:sz w:val="24"/>
          <w:szCs w:val="24"/>
        </w:rPr>
        <w:t xml:space="preserve"> 'A citation network analysis of career mentoring across disciplines: A roadmap for mentoring research in sport', Psychology of Sport and Exercise, 49, pp. 1</w:t>
      </w:r>
      <w:r w:rsidR="00F16B61">
        <w:rPr>
          <w:rFonts w:ascii="Arial" w:hAnsi="Arial" w:cs="Arial"/>
          <w:sz w:val="24"/>
          <w:szCs w:val="24"/>
        </w:rPr>
        <w:t>–</w:t>
      </w:r>
      <w:r w:rsidRPr="00965CBD">
        <w:rPr>
          <w:rFonts w:ascii="Arial" w:hAnsi="Arial" w:cs="Arial"/>
          <w:sz w:val="24"/>
          <w:szCs w:val="24"/>
        </w:rPr>
        <w:t xml:space="preserve">11. Available at: </w:t>
      </w:r>
      <w:hyperlink r:id="rId240" w:history="1">
        <w:r w:rsidRPr="007D0B0F">
          <w:rPr>
            <w:rStyle w:val="Hyperlink"/>
            <w:rFonts w:ascii="Arial" w:hAnsi="Arial" w:cs="Arial"/>
            <w:sz w:val="24"/>
            <w:szCs w:val="24"/>
          </w:rPr>
          <w:t>https://www.sciencedirect.com/science/article/pii/S1469029219302961</w:t>
        </w:r>
      </w:hyperlink>
      <w:r>
        <w:rPr>
          <w:rFonts w:ascii="Arial" w:hAnsi="Arial" w:cs="Arial"/>
          <w:sz w:val="24"/>
          <w:szCs w:val="24"/>
        </w:rPr>
        <w:t xml:space="preserve"> </w:t>
      </w:r>
      <w:r w:rsidRPr="00965CBD">
        <w:rPr>
          <w:rFonts w:ascii="Arial" w:hAnsi="Arial" w:cs="Arial"/>
          <w:sz w:val="24"/>
          <w:szCs w:val="24"/>
        </w:rPr>
        <w:t>(Accessed: 24 March 2026).</w:t>
      </w:r>
    </w:p>
    <w:p w14:paraId="60796A64" w14:textId="204F8F6B" w:rsidR="00F2184E" w:rsidRDefault="00E37804" w:rsidP="009E58ED">
      <w:pPr>
        <w:spacing w:line="360" w:lineRule="auto"/>
        <w:jc w:val="both"/>
        <w:rPr>
          <w:rFonts w:ascii="Arial" w:hAnsi="Arial" w:cs="Arial"/>
          <w:sz w:val="24"/>
          <w:szCs w:val="24"/>
        </w:rPr>
      </w:pPr>
      <w:r w:rsidRPr="00E37804">
        <w:rPr>
          <w:rFonts w:ascii="Arial" w:hAnsi="Arial" w:cs="Arial"/>
          <w:sz w:val="24"/>
          <w:szCs w:val="24"/>
        </w:rPr>
        <w:t>Leonardo, Z. (2004)</w:t>
      </w:r>
      <w:r w:rsidR="00965CBD">
        <w:rPr>
          <w:rFonts w:ascii="Arial" w:hAnsi="Arial" w:cs="Arial"/>
          <w:sz w:val="24"/>
          <w:szCs w:val="24"/>
        </w:rPr>
        <w:t>.</w:t>
      </w:r>
      <w:r w:rsidRPr="00E37804">
        <w:rPr>
          <w:rFonts w:ascii="Arial" w:hAnsi="Arial" w:cs="Arial"/>
          <w:sz w:val="24"/>
          <w:szCs w:val="24"/>
        </w:rPr>
        <w:t xml:space="preserve"> 'The </w:t>
      </w:r>
      <w:proofErr w:type="spellStart"/>
      <w:r w:rsidRPr="00E37804">
        <w:rPr>
          <w:rFonts w:ascii="Arial" w:hAnsi="Arial" w:cs="Arial"/>
          <w:sz w:val="24"/>
          <w:szCs w:val="24"/>
        </w:rPr>
        <w:t>Color</w:t>
      </w:r>
      <w:proofErr w:type="spellEnd"/>
      <w:r w:rsidRPr="00E37804">
        <w:rPr>
          <w:rFonts w:ascii="Arial" w:hAnsi="Arial" w:cs="Arial"/>
          <w:sz w:val="24"/>
          <w:szCs w:val="24"/>
        </w:rPr>
        <w:t xml:space="preserve"> of Supremacy: Beyond the discourse of "white privilege"', </w:t>
      </w:r>
      <w:r w:rsidRPr="00E37804">
        <w:rPr>
          <w:rFonts w:ascii="Arial" w:hAnsi="Arial" w:cs="Arial"/>
          <w:i/>
          <w:iCs/>
          <w:sz w:val="24"/>
          <w:szCs w:val="24"/>
        </w:rPr>
        <w:t>Educational Philosophy and Theory</w:t>
      </w:r>
      <w:r w:rsidRPr="00E37804">
        <w:rPr>
          <w:rFonts w:ascii="Arial" w:hAnsi="Arial" w:cs="Arial"/>
          <w:sz w:val="24"/>
          <w:szCs w:val="24"/>
        </w:rPr>
        <w:t>, 36(2), pp. 137</w:t>
      </w:r>
      <w:r w:rsidR="00F16B61">
        <w:rPr>
          <w:rFonts w:ascii="Arial" w:hAnsi="Arial" w:cs="Arial"/>
          <w:sz w:val="24"/>
          <w:szCs w:val="24"/>
        </w:rPr>
        <w:t>–</w:t>
      </w:r>
      <w:r w:rsidRPr="00E37804">
        <w:rPr>
          <w:rFonts w:ascii="Arial" w:hAnsi="Arial" w:cs="Arial"/>
          <w:sz w:val="24"/>
          <w:szCs w:val="24"/>
        </w:rPr>
        <w:t xml:space="preserve">153. Available at: </w:t>
      </w:r>
      <w:hyperlink r:id="rId241" w:history="1">
        <w:r w:rsidRPr="007D0B0F">
          <w:rPr>
            <w:rStyle w:val="Hyperlink"/>
            <w:rFonts w:ascii="Arial" w:hAnsi="Arial" w:cs="Arial"/>
            <w:sz w:val="24"/>
            <w:szCs w:val="24"/>
          </w:rPr>
          <w:t>https://web.engr.oregonstate.edu/~tadepall/dpd/The%20Color%20of%20Supremacy__xid-36354670_3.pdf</w:t>
        </w:r>
      </w:hyperlink>
      <w:r>
        <w:rPr>
          <w:rFonts w:ascii="Arial" w:hAnsi="Arial" w:cs="Arial"/>
          <w:sz w:val="24"/>
          <w:szCs w:val="24"/>
        </w:rPr>
        <w:t xml:space="preserve"> </w:t>
      </w:r>
      <w:r w:rsidRPr="00E37804">
        <w:rPr>
          <w:rFonts w:ascii="Arial" w:hAnsi="Arial" w:cs="Arial"/>
          <w:sz w:val="24"/>
          <w:szCs w:val="24"/>
        </w:rPr>
        <w:t>(Accessed: 23 March 2026).</w:t>
      </w:r>
    </w:p>
    <w:p w14:paraId="51CA42C1" w14:textId="0E3D45E6" w:rsidR="0045513C" w:rsidRDefault="00F2184E" w:rsidP="009E58ED">
      <w:pPr>
        <w:spacing w:line="360" w:lineRule="auto"/>
        <w:jc w:val="both"/>
        <w:rPr>
          <w:rFonts w:ascii="Arial" w:hAnsi="Arial" w:cs="Arial"/>
          <w:sz w:val="24"/>
          <w:szCs w:val="24"/>
        </w:rPr>
      </w:pPr>
      <w:r>
        <w:rPr>
          <w:rFonts w:ascii="Arial" w:hAnsi="Arial" w:cs="Arial"/>
          <w:sz w:val="24"/>
          <w:szCs w:val="24"/>
        </w:rPr>
        <w:t xml:space="preserve"> </w:t>
      </w:r>
      <w:r w:rsidRPr="00F2184E">
        <w:rPr>
          <w:rFonts w:ascii="Arial" w:hAnsi="Arial" w:cs="Arial"/>
          <w:sz w:val="24"/>
          <w:szCs w:val="24"/>
        </w:rPr>
        <w:t>Leonardo, Z. (2002)</w:t>
      </w:r>
      <w:r w:rsidR="00F16B61">
        <w:rPr>
          <w:rFonts w:ascii="Arial" w:hAnsi="Arial" w:cs="Arial"/>
          <w:sz w:val="24"/>
          <w:szCs w:val="24"/>
        </w:rPr>
        <w:t>.</w:t>
      </w:r>
      <w:r w:rsidRPr="00F2184E">
        <w:rPr>
          <w:rFonts w:ascii="Arial" w:hAnsi="Arial" w:cs="Arial"/>
          <w:sz w:val="24"/>
          <w:szCs w:val="24"/>
        </w:rPr>
        <w:t xml:space="preserve"> 'The Souls of White Folk: critical pedagogy, whiteness studies, and globalization discourse', </w:t>
      </w:r>
      <w:r w:rsidRPr="00F2184E">
        <w:rPr>
          <w:rFonts w:ascii="Arial" w:hAnsi="Arial" w:cs="Arial"/>
          <w:i/>
          <w:iCs/>
          <w:sz w:val="24"/>
          <w:szCs w:val="24"/>
        </w:rPr>
        <w:t>Race Ethnicity and Educatio</w:t>
      </w:r>
      <w:r w:rsidR="007F03B6">
        <w:rPr>
          <w:rFonts w:ascii="Arial" w:hAnsi="Arial" w:cs="Arial"/>
          <w:i/>
          <w:iCs/>
          <w:sz w:val="24"/>
          <w:szCs w:val="24"/>
        </w:rPr>
        <w:t>n</w:t>
      </w:r>
      <w:r w:rsidRPr="00F2184E">
        <w:rPr>
          <w:rFonts w:ascii="Arial" w:hAnsi="Arial" w:cs="Arial"/>
          <w:sz w:val="24"/>
          <w:szCs w:val="24"/>
        </w:rPr>
        <w:t>, 5(1), pp. 29</w:t>
      </w:r>
      <w:r w:rsidR="00F16B61">
        <w:rPr>
          <w:rFonts w:ascii="Arial" w:hAnsi="Arial" w:cs="Arial"/>
          <w:sz w:val="24"/>
          <w:szCs w:val="24"/>
        </w:rPr>
        <w:t>–</w:t>
      </w:r>
      <w:r w:rsidRPr="00F2184E">
        <w:rPr>
          <w:rFonts w:ascii="Arial" w:hAnsi="Arial" w:cs="Arial"/>
          <w:sz w:val="24"/>
          <w:szCs w:val="24"/>
        </w:rPr>
        <w:t>50. Available at:</w:t>
      </w:r>
      <w:r w:rsidR="007F03B6">
        <w:rPr>
          <w:rFonts w:ascii="Arial" w:hAnsi="Arial" w:cs="Arial"/>
          <w:sz w:val="24"/>
          <w:szCs w:val="24"/>
        </w:rPr>
        <w:t xml:space="preserve"> </w:t>
      </w:r>
      <w:hyperlink r:id="rId242" w:history="1">
        <w:r w:rsidR="007F03B6" w:rsidRPr="007D0B0F">
          <w:rPr>
            <w:rStyle w:val="Hyperlink"/>
            <w:rFonts w:ascii="Arial" w:hAnsi="Arial" w:cs="Arial"/>
            <w:sz w:val="24"/>
            <w:szCs w:val="24"/>
          </w:rPr>
          <w:t>https://www.tandfonline.com/doi/epdf/10.1080/13613320120117180?needAccess=true</w:t>
        </w:r>
      </w:hyperlink>
      <w:r w:rsidR="007F03B6">
        <w:rPr>
          <w:rFonts w:ascii="Arial" w:hAnsi="Arial" w:cs="Arial"/>
          <w:sz w:val="24"/>
          <w:szCs w:val="24"/>
        </w:rPr>
        <w:t xml:space="preserve"> </w:t>
      </w:r>
      <w:r w:rsidRPr="00F2184E">
        <w:rPr>
          <w:rFonts w:ascii="Arial" w:hAnsi="Arial" w:cs="Arial"/>
          <w:sz w:val="24"/>
          <w:szCs w:val="24"/>
        </w:rPr>
        <w:t>(Accessed: 23 March 2026).</w:t>
      </w:r>
    </w:p>
    <w:p w14:paraId="660F3F44" w14:textId="41A059BC" w:rsidR="007C2D3B" w:rsidRDefault="007C2D3B" w:rsidP="009E58ED">
      <w:pPr>
        <w:spacing w:line="360" w:lineRule="auto"/>
        <w:jc w:val="both"/>
        <w:rPr>
          <w:rFonts w:ascii="Arial" w:hAnsi="Arial" w:cs="Arial"/>
          <w:sz w:val="24"/>
          <w:szCs w:val="24"/>
        </w:rPr>
      </w:pPr>
      <w:r w:rsidRPr="007C2D3B">
        <w:rPr>
          <w:rFonts w:ascii="Arial" w:hAnsi="Arial" w:cs="Arial"/>
          <w:sz w:val="24"/>
          <w:szCs w:val="24"/>
        </w:rPr>
        <w:t>Li, Y., and Heath, A. (2016)</w:t>
      </w:r>
      <w:r>
        <w:rPr>
          <w:rFonts w:ascii="Arial" w:hAnsi="Arial" w:cs="Arial"/>
          <w:sz w:val="24"/>
          <w:szCs w:val="24"/>
        </w:rPr>
        <w:t>.</w:t>
      </w:r>
      <w:r w:rsidRPr="007C2D3B">
        <w:rPr>
          <w:rFonts w:ascii="Arial" w:hAnsi="Arial" w:cs="Arial"/>
          <w:sz w:val="24"/>
          <w:szCs w:val="24"/>
        </w:rPr>
        <w:t xml:space="preserve"> 'Class Matters: A Study of Minority and Majority Social Mobility in Britain, 1982-2011', American Journal of Sociology, 122(1), pp. 162</w:t>
      </w:r>
      <w:r>
        <w:rPr>
          <w:rFonts w:ascii="Arial" w:hAnsi="Arial" w:cs="Arial"/>
          <w:sz w:val="24"/>
          <w:szCs w:val="24"/>
        </w:rPr>
        <w:t>–</w:t>
      </w:r>
      <w:r w:rsidRPr="007C2D3B">
        <w:rPr>
          <w:rFonts w:ascii="Arial" w:hAnsi="Arial" w:cs="Arial"/>
          <w:sz w:val="24"/>
          <w:szCs w:val="24"/>
        </w:rPr>
        <w:t xml:space="preserve">200. Available at: </w:t>
      </w:r>
      <w:hyperlink r:id="rId243" w:history="1">
        <w:r w:rsidRPr="007D0B0F">
          <w:rPr>
            <w:rStyle w:val="Hyperlink"/>
            <w:rFonts w:ascii="Arial" w:hAnsi="Arial" w:cs="Arial"/>
            <w:sz w:val="24"/>
            <w:szCs w:val="24"/>
          </w:rPr>
          <w:t>https://www.researchgate.net/profile/Yaojun-Li-6/publication/305218206_Class_Matters_A_Study_of_Minority_and_Majority_Social_Mobility_in_Britain_1982-2011_1/links/57920d7208aed51475ac1c08/Class-Matters-A-Study-of-Minority-and-Majority-Social-Mobility-in-Britain-1982-2011-1.pdf</w:t>
        </w:r>
      </w:hyperlink>
      <w:r>
        <w:rPr>
          <w:rFonts w:ascii="Arial" w:hAnsi="Arial" w:cs="Arial"/>
          <w:sz w:val="24"/>
          <w:szCs w:val="24"/>
        </w:rPr>
        <w:t xml:space="preserve"> </w:t>
      </w:r>
      <w:r w:rsidRPr="007C2D3B">
        <w:rPr>
          <w:rFonts w:ascii="Arial" w:hAnsi="Arial" w:cs="Arial"/>
          <w:sz w:val="24"/>
          <w:szCs w:val="24"/>
        </w:rPr>
        <w:t>(Accessed: 25 March 2026).</w:t>
      </w:r>
    </w:p>
    <w:p w14:paraId="0500C0A5" w14:textId="441630E2" w:rsidR="00304876" w:rsidRDefault="00304876" w:rsidP="009E58ED">
      <w:pPr>
        <w:spacing w:line="360" w:lineRule="auto"/>
        <w:jc w:val="both"/>
        <w:rPr>
          <w:rFonts w:ascii="Arial" w:hAnsi="Arial" w:cs="Arial"/>
          <w:sz w:val="24"/>
          <w:szCs w:val="24"/>
        </w:rPr>
      </w:pPr>
      <w:r w:rsidRPr="00304876">
        <w:rPr>
          <w:rFonts w:ascii="Arial" w:hAnsi="Arial" w:cs="Arial"/>
          <w:sz w:val="24"/>
          <w:szCs w:val="24"/>
        </w:rPr>
        <w:t>Li, Y., and Heath, A. (2020)</w:t>
      </w:r>
      <w:r>
        <w:rPr>
          <w:rFonts w:ascii="Arial" w:hAnsi="Arial" w:cs="Arial"/>
          <w:sz w:val="24"/>
          <w:szCs w:val="24"/>
        </w:rPr>
        <w:t>.</w:t>
      </w:r>
      <w:r w:rsidRPr="00304876">
        <w:rPr>
          <w:rFonts w:ascii="Arial" w:hAnsi="Arial" w:cs="Arial"/>
          <w:sz w:val="24"/>
          <w:szCs w:val="24"/>
        </w:rPr>
        <w:t xml:space="preserve"> 'Persisting disadvantages: a study of labour market dynamics of ethnic unemployment and earnings in the UK (2009–2015)', Journal of Ethnic and Migration Studies, 46(5), pp. 857</w:t>
      </w:r>
      <w:r>
        <w:rPr>
          <w:rFonts w:ascii="Arial" w:hAnsi="Arial" w:cs="Arial"/>
          <w:sz w:val="24"/>
          <w:szCs w:val="24"/>
        </w:rPr>
        <w:t>–</w:t>
      </w:r>
      <w:r w:rsidRPr="00304876">
        <w:rPr>
          <w:rFonts w:ascii="Arial" w:hAnsi="Arial" w:cs="Arial"/>
          <w:sz w:val="24"/>
          <w:szCs w:val="24"/>
        </w:rPr>
        <w:t xml:space="preserve">878. Available at: </w:t>
      </w:r>
      <w:hyperlink r:id="rId244" w:anchor="abstract" w:history="1">
        <w:r w:rsidRPr="007D0B0F">
          <w:rPr>
            <w:rStyle w:val="Hyperlink"/>
            <w:rFonts w:ascii="Arial" w:hAnsi="Arial" w:cs="Arial"/>
            <w:sz w:val="24"/>
            <w:szCs w:val="24"/>
          </w:rPr>
          <w:t>https://www.tandfonline.com/doi/full/10.1080/1369183X.2018.1539241#abstract</w:t>
        </w:r>
      </w:hyperlink>
      <w:r>
        <w:rPr>
          <w:rFonts w:ascii="Arial" w:hAnsi="Arial" w:cs="Arial"/>
          <w:sz w:val="24"/>
          <w:szCs w:val="24"/>
        </w:rPr>
        <w:t xml:space="preserve"> </w:t>
      </w:r>
      <w:r w:rsidRPr="00304876">
        <w:rPr>
          <w:rFonts w:ascii="Arial" w:hAnsi="Arial" w:cs="Arial"/>
          <w:sz w:val="24"/>
          <w:szCs w:val="24"/>
        </w:rPr>
        <w:t>(Accessed: 25 March 2026).</w:t>
      </w:r>
    </w:p>
    <w:p w14:paraId="72C8FEC4" w14:textId="54E17AA0" w:rsidR="00130A4F" w:rsidRDefault="00130A4F" w:rsidP="009E58ED">
      <w:pPr>
        <w:spacing w:line="360" w:lineRule="auto"/>
        <w:jc w:val="both"/>
        <w:rPr>
          <w:rFonts w:ascii="Arial" w:hAnsi="Arial" w:cs="Arial"/>
          <w:sz w:val="24"/>
          <w:szCs w:val="24"/>
        </w:rPr>
      </w:pPr>
      <w:r w:rsidRPr="00130A4F">
        <w:rPr>
          <w:rFonts w:ascii="Arial" w:hAnsi="Arial" w:cs="Arial"/>
          <w:sz w:val="24"/>
          <w:szCs w:val="24"/>
        </w:rPr>
        <w:t>Lloyd, C., Catney, G., Wright, R., Ellis, M., Finney, N., Jivraj, S., Manley, D., and Wood, S. (2023)</w:t>
      </w:r>
      <w:r w:rsidR="00650D80">
        <w:rPr>
          <w:rFonts w:ascii="Arial" w:hAnsi="Arial" w:cs="Arial"/>
          <w:sz w:val="24"/>
          <w:szCs w:val="24"/>
        </w:rPr>
        <w:t>.</w:t>
      </w:r>
      <w:r w:rsidRPr="00130A4F">
        <w:rPr>
          <w:rFonts w:ascii="Arial" w:hAnsi="Arial" w:cs="Arial"/>
          <w:sz w:val="24"/>
          <w:szCs w:val="24"/>
        </w:rPr>
        <w:t xml:space="preserve"> 'An ethnic group specific deprivation index for measuring neighbourhood inequalities in England and Wales', The Geographical Journal, 190(3), pp. 1</w:t>
      </w:r>
      <w:r w:rsidR="00650D80">
        <w:rPr>
          <w:rFonts w:ascii="Arial" w:hAnsi="Arial" w:cs="Arial"/>
          <w:sz w:val="24"/>
          <w:szCs w:val="24"/>
        </w:rPr>
        <w:t>–</w:t>
      </w:r>
      <w:r w:rsidRPr="00130A4F">
        <w:rPr>
          <w:rFonts w:ascii="Arial" w:hAnsi="Arial" w:cs="Arial"/>
          <w:sz w:val="24"/>
          <w:szCs w:val="24"/>
        </w:rPr>
        <w:t xml:space="preserve">22. Available at: </w:t>
      </w:r>
      <w:hyperlink r:id="rId245" w:history="1">
        <w:r w:rsidRPr="007D0B0F">
          <w:rPr>
            <w:rStyle w:val="Hyperlink"/>
            <w:rFonts w:ascii="Arial" w:hAnsi="Arial" w:cs="Arial"/>
            <w:sz w:val="24"/>
            <w:szCs w:val="24"/>
          </w:rPr>
          <w:t>https://rgs-ibg.onlinelibrary.wiley.com/doi/epdf/10.1111/geoj.12563</w:t>
        </w:r>
      </w:hyperlink>
      <w:r>
        <w:rPr>
          <w:rFonts w:ascii="Arial" w:hAnsi="Arial" w:cs="Arial"/>
          <w:sz w:val="24"/>
          <w:szCs w:val="24"/>
        </w:rPr>
        <w:t xml:space="preserve"> </w:t>
      </w:r>
      <w:r w:rsidRPr="00130A4F">
        <w:rPr>
          <w:rFonts w:ascii="Arial" w:hAnsi="Arial" w:cs="Arial"/>
          <w:sz w:val="24"/>
          <w:szCs w:val="24"/>
        </w:rPr>
        <w:t>(Accessed: 25 March 2026).</w:t>
      </w:r>
    </w:p>
    <w:p w14:paraId="2A7BB1ED" w14:textId="2513FB0D" w:rsidR="00130A4F" w:rsidRDefault="009D20AA" w:rsidP="009E58ED">
      <w:pPr>
        <w:spacing w:line="360" w:lineRule="auto"/>
        <w:jc w:val="both"/>
        <w:rPr>
          <w:rFonts w:ascii="Arial" w:hAnsi="Arial" w:cs="Arial"/>
          <w:sz w:val="24"/>
          <w:szCs w:val="24"/>
        </w:rPr>
      </w:pPr>
      <w:r w:rsidRPr="009D20AA">
        <w:rPr>
          <w:rFonts w:ascii="Arial" w:hAnsi="Arial" w:cs="Arial"/>
          <w:sz w:val="24"/>
          <w:szCs w:val="24"/>
        </w:rPr>
        <w:t>Longhi, S., and Platt, L. (2008)</w:t>
      </w:r>
      <w:r w:rsidR="00F16B61">
        <w:rPr>
          <w:rFonts w:ascii="Arial" w:hAnsi="Arial" w:cs="Arial"/>
          <w:sz w:val="24"/>
          <w:szCs w:val="24"/>
        </w:rPr>
        <w:t>.</w:t>
      </w:r>
      <w:r w:rsidRPr="009D20AA">
        <w:rPr>
          <w:rFonts w:ascii="Arial" w:hAnsi="Arial" w:cs="Arial"/>
          <w:sz w:val="24"/>
          <w:szCs w:val="24"/>
        </w:rPr>
        <w:t> </w:t>
      </w:r>
      <w:r w:rsidRPr="009D20AA">
        <w:rPr>
          <w:rFonts w:ascii="Arial" w:hAnsi="Arial" w:cs="Arial"/>
          <w:i/>
          <w:iCs/>
          <w:sz w:val="24"/>
          <w:szCs w:val="24"/>
        </w:rPr>
        <w:t>Pay Gaps Across Equalities Areas</w:t>
      </w:r>
      <w:r w:rsidRPr="009D20AA">
        <w:rPr>
          <w:rFonts w:ascii="Arial" w:hAnsi="Arial" w:cs="Arial"/>
          <w:sz w:val="24"/>
          <w:szCs w:val="24"/>
        </w:rPr>
        <w:t xml:space="preserve">. ISBN 978 1 84206 078 0, Equality and Human Rights Commission. Available at: </w:t>
      </w:r>
      <w:hyperlink r:id="rId246" w:history="1">
        <w:r w:rsidRPr="00FB3832">
          <w:rPr>
            <w:rStyle w:val="Hyperlink"/>
            <w:rFonts w:ascii="Arial" w:hAnsi="Arial" w:cs="Arial"/>
            <w:sz w:val="24"/>
            <w:szCs w:val="24"/>
          </w:rPr>
          <w:t>https://www.equalityhumanrights.com/sites/default/files/pay_gaps_accross_equalities_areas.pdf</w:t>
        </w:r>
      </w:hyperlink>
      <w:r>
        <w:rPr>
          <w:rFonts w:ascii="Arial" w:hAnsi="Arial" w:cs="Arial"/>
          <w:sz w:val="24"/>
          <w:szCs w:val="24"/>
        </w:rPr>
        <w:t xml:space="preserve"> </w:t>
      </w:r>
      <w:r w:rsidRPr="009D20AA">
        <w:rPr>
          <w:rFonts w:ascii="Arial" w:hAnsi="Arial" w:cs="Arial"/>
          <w:sz w:val="24"/>
          <w:szCs w:val="24"/>
        </w:rPr>
        <w:t>(Accessed: 20 March 2026).</w:t>
      </w:r>
    </w:p>
    <w:p w14:paraId="1D85CF7D" w14:textId="6B4D65FE" w:rsidR="007D73DC" w:rsidRDefault="007D73DC" w:rsidP="009E58ED">
      <w:pPr>
        <w:spacing w:line="360" w:lineRule="auto"/>
        <w:jc w:val="both"/>
        <w:rPr>
          <w:rFonts w:ascii="Arial" w:hAnsi="Arial" w:cs="Arial"/>
          <w:sz w:val="24"/>
          <w:szCs w:val="24"/>
        </w:rPr>
      </w:pPr>
      <w:r w:rsidRPr="007D73DC">
        <w:rPr>
          <w:rFonts w:ascii="Arial" w:hAnsi="Arial" w:cs="Arial"/>
          <w:sz w:val="24"/>
          <w:szCs w:val="24"/>
        </w:rPr>
        <w:lastRenderedPageBreak/>
        <w:t>Low Pay Commission (2013) National Minimum Wage Low Pay Commission Report 2013 (Cm 8565). The Stationery Office Limited</w:t>
      </w:r>
      <w:r>
        <w:rPr>
          <w:rFonts w:ascii="Arial" w:hAnsi="Arial" w:cs="Arial"/>
          <w:sz w:val="24"/>
          <w:szCs w:val="24"/>
        </w:rPr>
        <w:t>.</w:t>
      </w:r>
      <w:r w:rsidRPr="007D73DC">
        <w:rPr>
          <w:rFonts w:ascii="Arial" w:hAnsi="Arial" w:cs="Arial"/>
          <w:sz w:val="24"/>
          <w:szCs w:val="24"/>
        </w:rPr>
        <w:t xml:space="preserve"> Available at: </w:t>
      </w:r>
      <w:hyperlink r:id="rId247" w:history="1">
        <w:r w:rsidR="009222A2" w:rsidRPr="007D0B0F">
          <w:rPr>
            <w:rStyle w:val="Hyperlink"/>
            <w:rFonts w:ascii="Arial" w:hAnsi="Arial" w:cs="Arial"/>
            <w:sz w:val="24"/>
            <w:szCs w:val="24"/>
          </w:rPr>
          <w:t>https://assets.publishing.service.gov.uk/media/5a75c362ed915d6faf2b57e6/National_minimum_wage_Low_Pay_Commission_report_2013.pdf</w:t>
        </w:r>
      </w:hyperlink>
      <w:r w:rsidR="009222A2">
        <w:rPr>
          <w:rFonts w:ascii="Arial" w:hAnsi="Arial" w:cs="Arial"/>
          <w:sz w:val="24"/>
          <w:szCs w:val="24"/>
        </w:rPr>
        <w:t xml:space="preserve"> </w:t>
      </w:r>
      <w:r w:rsidRPr="007D73DC">
        <w:rPr>
          <w:rFonts w:ascii="Arial" w:hAnsi="Arial" w:cs="Arial"/>
          <w:sz w:val="24"/>
          <w:szCs w:val="24"/>
        </w:rPr>
        <w:t>(Accessed: 25 March 2026).</w:t>
      </w:r>
    </w:p>
    <w:p w14:paraId="1883D986" w14:textId="3BE36BDC" w:rsidR="00FC0110" w:rsidRDefault="00FC0110" w:rsidP="009E58ED">
      <w:pPr>
        <w:spacing w:line="360" w:lineRule="auto"/>
        <w:jc w:val="both"/>
        <w:rPr>
          <w:rFonts w:ascii="Arial" w:hAnsi="Arial" w:cs="Arial"/>
          <w:sz w:val="24"/>
          <w:szCs w:val="24"/>
        </w:rPr>
      </w:pPr>
      <w:r w:rsidRPr="00FC0110">
        <w:rPr>
          <w:rFonts w:ascii="Arial" w:hAnsi="Arial" w:cs="Arial"/>
          <w:sz w:val="24"/>
          <w:szCs w:val="24"/>
        </w:rPr>
        <w:t>Lucas, P., Baird, J., Arai, L., Law, C., and Roberts, H. (2007)</w:t>
      </w:r>
      <w:r w:rsidR="00F16B61">
        <w:rPr>
          <w:rFonts w:ascii="Arial" w:hAnsi="Arial" w:cs="Arial"/>
          <w:sz w:val="24"/>
          <w:szCs w:val="24"/>
        </w:rPr>
        <w:t>.</w:t>
      </w:r>
      <w:r w:rsidRPr="00FC0110">
        <w:rPr>
          <w:rFonts w:ascii="Arial" w:hAnsi="Arial" w:cs="Arial"/>
          <w:sz w:val="24"/>
          <w:szCs w:val="24"/>
        </w:rPr>
        <w:t xml:space="preserve"> 'Worked examples of alternative methods for the synthesis of qualitative and quantitative research in systematic reviews', BMC Medical Research Methodology, 7(4). Available at: </w:t>
      </w:r>
      <w:hyperlink r:id="rId248" w:anchor="citeas" w:history="1">
        <w:r w:rsidRPr="00D94FAA">
          <w:rPr>
            <w:rStyle w:val="Hyperlink"/>
            <w:rFonts w:ascii="Arial" w:hAnsi="Arial" w:cs="Arial"/>
            <w:sz w:val="24"/>
            <w:szCs w:val="24"/>
          </w:rPr>
          <w:t>https://link.springer.com/article/10.1186/1471-2288-7-4#citeas</w:t>
        </w:r>
      </w:hyperlink>
      <w:r>
        <w:rPr>
          <w:rFonts w:ascii="Arial" w:hAnsi="Arial" w:cs="Arial"/>
          <w:sz w:val="24"/>
          <w:szCs w:val="24"/>
        </w:rPr>
        <w:t xml:space="preserve"> </w:t>
      </w:r>
      <w:r w:rsidRPr="00FC0110">
        <w:rPr>
          <w:rFonts w:ascii="Arial" w:hAnsi="Arial" w:cs="Arial"/>
          <w:sz w:val="24"/>
          <w:szCs w:val="24"/>
        </w:rPr>
        <w:t>(Accessed: 3 March 2026).</w:t>
      </w:r>
    </w:p>
    <w:p w14:paraId="2A400055" w14:textId="527205C1" w:rsidR="0052147F" w:rsidRDefault="0052147F" w:rsidP="009E58ED">
      <w:pPr>
        <w:spacing w:line="360" w:lineRule="auto"/>
        <w:jc w:val="both"/>
        <w:rPr>
          <w:rFonts w:ascii="Arial" w:hAnsi="Arial" w:cs="Arial"/>
          <w:sz w:val="24"/>
          <w:szCs w:val="24"/>
        </w:rPr>
      </w:pPr>
      <w:r w:rsidRPr="0052147F">
        <w:rPr>
          <w:rFonts w:ascii="Arial" w:hAnsi="Arial" w:cs="Arial"/>
          <w:sz w:val="24"/>
          <w:szCs w:val="24"/>
        </w:rPr>
        <w:t>Machimbidzofa, G. (2025)</w:t>
      </w:r>
      <w:r w:rsidR="00F16B61">
        <w:rPr>
          <w:rFonts w:ascii="Arial" w:hAnsi="Arial" w:cs="Arial"/>
          <w:sz w:val="24"/>
          <w:szCs w:val="24"/>
        </w:rPr>
        <w:t>.</w:t>
      </w:r>
      <w:r w:rsidRPr="0052147F">
        <w:rPr>
          <w:rFonts w:ascii="Arial" w:hAnsi="Arial" w:cs="Arial"/>
          <w:sz w:val="24"/>
          <w:szCs w:val="24"/>
        </w:rPr>
        <w:t xml:space="preserve"> 'Identifying Research Gaps and Formulating a Unique Contribution: A Foundational Approach to Scholarly Inquiry', International Journal </w:t>
      </w:r>
      <w:r>
        <w:rPr>
          <w:rFonts w:ascii="Arial" w:hAnsi="Arial" w:cs="Arial"/>
          <w:sz w:val="24"/>
          <w:szCs w:val="24"/>
        </w:rPr>
        <w:t>f</w:t>
      </w:r>
      <w:r w:rsidRPr="0052147F">
        <w:rPr>
          <w:rFonts w:ascii="Arial" w:hAnsi="Arial" w:cs="Arial"/>
          <w:sz w:val="24"/>
          <w:szCs w:val="24"/>
        </w:rPr>
        <w:t>or Multidisciplinary Research, 7(5), pp. 1</w:t>
      </w:r>
      <w:r w:rsidR="00F16B61">
        <w:rPr>
          <w:rFonts w:ascii="Arial" w:hAnsi="Arial" w:cs="Arial"/>
          <w:sz w:val="24"/>
          <w:szCs w:val="24"/>
        </w:rPr>
        <w:t>–</w:t>
      </w:r>
      <w:r w:rsidRPr="0052147F">
        <w:rPr>
          <w:rFonts w:ascii="Arial" w:hAnsi="Arial" w:cs="Arial"/>
          <w:sz w:val="24"/>
          <w:szCs w:val="24"/>
        </w:rPr>
        <w:t xml:space="preserve">8. Available at: </w:t>
      </w:r>
      <w:hyperlink r:id="rId249" w:history="1">
        <w:r w:rsidRPr="00D94FAA">
          <w:rPr>
            <w:rStyle w:val="Hyperlink"/>
            <w:rFonts w:ascii="Arial" w:hAnsi="Arial" w:cs="Arial"/>
            <w:sz w:val="24"/>
            <w:szCs w:val="24"/>
          </w:rPr>
          <w:t>https://www.ijfmr.com/research-paper.php?id=55575</w:t>
        </w:r>
      </w:hyperlink>
      <w:r>
        <w:rPr>
          <w:rFonts w:ascii="Arial" w:hAnsi="Arial" w:cs="Arial"/>
          <w:sz w:val="24"/>
          <w:szCs w:val="24"/>
        </w:rPr>
        <w:t xml:space="preserve"> </w:t>
      </w:r>
      <w:r w:rsidRPr="0052147F">
        <w:rPr>
          <w:rFonts w:ascii="Arial" w:hAnsi="Arial" w:cs="Arial"/>
          <w:sz w:val="24"/>
          <w:szCs w:val="24"/>
        </w:rPr>
        <w:t>(Accessed: 4 March 2026).</w:t>
      </w:r>
    </w:p>
    <w:p w14:paraId="37C37242" w14:textId="4198B118" w:rsidR="00BB5CA8" w:rsidRDefault="00BB5CA8" w:rsidP="009E58ED">
      <w:pPr>
        <w:spacing w:line="360" w:lineRule="auto"/>
        <w:jc w:val="both"/>
        <w:rPr>
          <w:rFonts w:ascii="Arial" w:hAnsi="Arial" w:cs="Arial"/>
          <w:sz w:val="24"/>
          <w:szCs w:val="24"/>
        </w:rPr>
      </w:pPr>
      <w:r w:rsidRPr="00BB5CA8">
        <w:rPr>
          <w:rFonts w:ascii="Arial" w:hAnsi="Arial" w:cs="Arial"/>
          <w:sz w:val="24"/>
          <w:szCs w:val="24"/>
        </w:rPr>
        <w:t>Macnell, L., Driscoll, A., and Hunt, A. (2014)</w:t>
      </w:r>
      <w:r>
        <w:rPr>
          <w:rFonts w:ascii="Arial" w:hAnsi="Arial" w:cs="Arial"/>
          <w:sz w:val="24"/>
          <w:szCs w:val="24"/>
        </w:rPr>
        <w:t>.</w:t>
      </w:r>
      <w:r w:rsidRPr="00BB5CA8">
        <w:rPr>
          <w:rFonts w:ascii="Arial" w:hAnsi="Arial" w:cs="Arial"/>
          <w:sz w:val="24"/>
          <w:szCs w:val="24"/>
        </w:rPr>
        <w:t xml:space="preserve"> What’s in a Name: Exposing Gender Bias in Student Ratings of Teaching. Springer Science</w:t>
      </w:r>
      <w:r>
        <w:rPr>
          <w:rFonts w:ascii="Arial" w:hAnsi="Arial" w:cs="Arial"/>
          <w:sz w:val="24"/>
          <w:szCs w:val="24"/>
        </w:rPr>
        <w:t xml:space="preserve"> </w:t>
      </w:r>
      <w:r w:rsidRPr="00BB5CA8">
        <w:rPr>
          <w:rFonts w:ascii="Arial" w:hAnsi="Arial" w:cs="Arial"/>
          <w:sz w:val="24"/>
          <w:szCs w:val="24"/>
        </w:rPr>
        <w:t>+</w:t>
      </w:r>
      <w:r>
        <w:rPr>
          <w:rFonts w:ascii="Arial" w:hAnsi="Arial" w:cs="Arial"/>
          <w:sz w:val="24"/>
          <w:szCs w:val="24"/>
        </w:rPr>
        <w:t xml:space="preserve"> </w:t>
      </w:r>
      <w:r w:rsidRPr="00BB5CA8">
        <w:rPr>
          <w:rFonts w:ascii="Arial" w:hAnsi="Arial" w:cs="Arial"/>
          <w:sz w:val="24"/>
          <w:szCs w:val="24"/>
        </w:rPr>
        <w:t xml:space="preserve">Business Media New York. Available at: </w:t>
      </w:r>
      <w:hyperlink r:id="rId250" w:history="1">
        <w:r w:rsidRPr="00FB3832">
          <w:rPr>
            <w:rStyle w:val="Hyperlink"/>
            <w:rFonts w:ascii="Arial" w:hAnsi="Arial" w:cs="Arial"/>
            <w:sz w:val="24"/>
            <w:szCs w:val="24"/>
          </w:rPr>
          <w:t>https://www.researchgate.net/publication/269288475_What's_in_a_Name_Exposing_Gender_Bias_in_Student_Ratings_of_Teaching</w:t>
        </w:r>
      </w:hyperlink>
      <w:r>
        <w:rPr>
          <w:rFonts w:ascii="Arial" w:hAnsi="Arial" w:cs="Arial"/>
          <w:sz w:val="24"/>
          <w:szCs w:val="24"/>
        </w:rPr>
        <w:t xml:space="preserve"> </w:t>
      </w:r>
      <w:r w:rsidRPr="00BB5CA8">
        <w:rPr>
          <w:rFonts w:ascii="Arial" w:hAnsi="Arial" w:cs="Arial"/>
          <w:sz w:val="24"/>
          <w:szCs w:val="24"/>
        </w:rPr>
        <w:t>(Accessed: 19 March 2026).</w:t>
      </w:r>
    </w:p>
    <w:p w14:paraId="177E54E3" w14:textId="4F12F30B" w:rsidR="00F86E3D" w:rsidRDefault="00F86E3D" w:rsidP="009E58ED">
      <w:pPr>
        <w:spacing w:line="360" w:lineRule="auto"/>
        <w:jc w:val="both"/>
        <w:rPr>
          <w:rFonts w:ascii="Arial" w:hAnsi="Arial" w:cs="Arial"/>
          <w:sz w:val="24"/>
          <w:szCs w:val="24"/>
        </w:rPr>
      </w:pPr>
      <w:r w:rsidRPr="00F86E3D">
        <w:rPr>
          <w:rFonts w:ascii="Arial" w:hAnsi="Arial" w:cs="Arial"/>
          <w:sz w:val="24"/>
          <w:szCs w:val="24"/>
        </w:rPr>
        <w:t xml:space="preserve">Macpherson, W. (1999). The Stephen Lawrence Inquiry. Cm 4262-1. Available at: </w:t>
      </w:r>
      <w:hyperlink r:id="rId251" w:history="1">
        <w:r w:rsidRPr="00F821EF">
          <w:rPr>
            <w:rStyle w:val="Hyperlink"/>
            <w:rFonts w:ascii="Arial" w:hAnsi="Arial" w:cs="Arial"/>
            <w:sz w:val="24"/>
            <w:szCs w:val="24"/>
          </w:rPr>
          <w:t>https://assets.publishing.service.gov.uk/media/5a7c2af540f0b645ba3c7202/4262.pdf</w:t>
        </w:r>
      </w:hyperlink>
      <w:r>
        <w:rPr>
          <w:rFonts w:ascii="Arial" w:hAnsi="Arial" w:cs="Arial"/>
          <w:sz w:val="24"/>
          <w:szCs w:val="24"/>
        </w:rPr>
        <w:t xml:space="preserve"> </w:t>
      </w:r>
      <w:r w:rsidRPr="00F86E3D">
        <w:rPr>
          <w:rFonts w:ascii="Arial" w:hAnsi="Arial" w:cs="Arial"/>
          <w:sz w:val="24"/>
          <w:szCs w:val="24"/>
        </w:rPr>
        <w:t>(Accessed: 19 March 2026).</w:t>
      </w:r>
    </w:p>
    <w:p w14:paraId="0821E8B8" w14:textId="3159FCC3" w:rsidR="004356E4" w:rsidRDefault="004356E4" w:rsidP="009E58ED">
      <w:pPr>
        <w:spacing w:line="360" w:lineRule="auto"/>
        <w:jc w:val="both"/>
        <w:rPr>
          <w:rFonts w:ascii="Arial" w:hAnsi="Arial" w:cs="Arial"/>
          <w:sz w:val="24"/>
          <w:szCs w:val="24"/>
        </w:rPr>
      </w:pPr>
      <w:r w:rsidRPr="004356E4">
        <w:rPr>
          <w:rFonts w:ascii="Arial" w:hAnsi="Arial" w:cs="Arial"/>
          <w:sz w:val="24"/>
          <w:szCs w:val="24"/>
        </w:rPr>
        <w:t>Mahmud, A., and Gagnon, J. (2023)</w:t>
      </w:r>
      <w:r w:rsidR="005278BD">
        <w:rPr>
          <w:rFonts w:ascii="Arial" w:hAnsi="Arial" w:cs="Arial"/>
          <w:sz w:val="24"/>
          <w:szCs w:val="24"/>
        </w:rPr>
        <w:t>.</w:t>
      </w:r>
      <w:r w:rsidRPr="004356E4">
        <w:rPr>
          <w:rFonts w:ascii="Arial" w:hAnsi="Arial" w:cs="Arial"/>
          <w:sz w:val="24"/>
          <w:szCs w:val="24"/>
        </w:rPr>
        <w:t xml:space="preserve"> 'Racial disparities in student outcomes in British higher education: examining mindsets and bias', Teaching in Higher Education, 28(2), pp. 254</w:t>
      </w:r>
      <w:r w:rsidR="005278BD">
        <w:rPr>
          <w:rFonts w:ascii="Arial" w:hAnsi="Arial" w:cs="Arial"/>
          <w:sz w:val="24"/>
          <w:szCs w:val="24"/>
        </w:rPr>
        <w:t>–</w:t>
      </w:r>
      <w:r w:rsidRPr="004356E4">
        <w:rPr>
          <w:rFonts w:ascii="Arial" w:hAnsi="Arial" w:cs="Arial"/>
          <w:sz w:val="24"/>
          <w:szCs w:val="24"/>
        </w:rPr>
        <w:t xml:space="preserve">269. Available at: </w:t>
      </w:r>
      <w:hyperlink r:id="rId252" w:anchor="abstract" w:history="1">
        <w:r w:rsidRPr="00F821EF">
          <w:rPr>
            <w:rStyle w:val="Hyperlink"/>
            <w:rFonts w:ascii="Arial" w:hAnsi="Arial" w:cs="Arial"/>
            <w:sz w:val="24"/>
            <w:szCs w:val="24"/>
          </w:rPr>
          <w:t>https://www.tandfonline.com/doi/full/10.1080/13562517.2020.1796619?scroll=top&amp;needAccess=true#abstract</w:t>
        </w:r>
      </w:hyperlink>
      <w:r>
        <w:rPr>
          <w:rFonts w:ascii="Arial" w:hAnsi="Arial" w:cs="Arial"/>
          <w:sz w:val="24"/>
          <w:szCs w:val="24"/>
        </w:rPr>
        <w:t xml:space="preserve"> </w:t>
      </w:r>
      <w:r w:rsidRPr="004356E4">
        <w:rPr>
          <w:rFonts w:ascii="Arial" w:hAnsi="Arial" w:cs="Arial"/>
          <w:sz w:val="24"/>
          <w:szCs w:val="24"/>
        </w:rPr>
        <w:t>(Accessed: 19 March 2026).</w:t>
      </w:r>
    </w:p>
    <w:p w14:paraId="36BF56BC" w14:textId="2988E072" w:rsidR="00414CF5" w:rsidRDefault="0054526D" w:rsidP="009E58ED">
      <w:pPr>
        <w:spacing w:line="360" w:lineRule="auto"/>
        <w:jc w:val="both"/>
        <w:rPr>
          <w:rFonts w:ascii="Arial" w:hAnsi="Arial" w:cs="Arial"/>
          <w:sz w:val="24"/>
          <w:szCs w:val="24"/>
        </w:rPr>
      </w:pPr>
      <w:r w:rsidRPr="0054526D">
        <w:rPr>
          <w:rFonts w:ascii="Arial" w:hAnsi="Arial" w:cs="Arial"/>
          <w:sz w:val="24"/>
          <w:szCs w:val="24"/>
        </w:rPr>
        <w:lastRenderedPageBreak/>
        <w:t>Mahony, P., Mentor, I., and Hextall, I. (2004)</w:t>
      </w:r>
      <w:r w:rsidR="005278BD">
        <w:rPr>
          <w:rFonts w:ascii="Arial" w:hAnsi="Arial" w:cs="Arial"/>
          <w:sz w:val="24"/>
          <w:szCs w:val="24"/>
        </w:rPr>
        <w:t>.</w:t>
      </w:r>
      <w:r w:rsidRPr="0054526D">
        <w:rPr>
          <w:rFonts w:ascii="Arial" w:hAnsi="Arial" w:cs="Arial"/>
          <w:sz w:val="24"/>
          <w:szCs w:val="24"/>
        </w:rPr>
        <w:t xml:space="preserve"> 'The emotional impact of performance-related pay on teachers in England', British Educational Research Journal, 30(3), pp. 443</w:t>
      </w:r>
      <w:r w:rsidR="005278BD">
        <w:rPr>
          <w:rFonts w:ascii="Arial" w:hAnsi="Arial" w:cs="Arial"/>
          <w:sz w:val="24"/>
          <w:szCs w:val="24"/>
        </w:rPr>
        <w:t>–</w:t>
      </w:r>
      <w:r w:rsidRPr="0054526D">
        <w:rPr>
          <w:rFonts w:ascii="Arial" w:hAnsi="Arial" w:cs="Arial"/>
          <w:sz w:val="24"/>
          <w:szCs w:val="24"/>
        </w:rPr>
        <w:t xml:space="preserve">465. Available at: </w:t>
      </w:r>
      <w:hyperlink r:id="rId253" w:history="1">
        <w:r w:rsidRPr="007D0B0F">
          <w:rPr>
            <w:rStyle w:val="Hyperlink"/>
            <w:rFonts w:ascii="Arial" w:hAnsi="Arial" w:cs="Arial"/>
            <w:sz w:val="24"/>
            <w:szCs w:val="24"/>
          </w:rPr>
          <w:t>https://d1wqtxts1xzle7.cloudfront.net/34201041/Mahony_emot-libre.pdf?1405381030=&amp;response-content-disposition=inline%3B+filename%3DThe_emotional_impact_of_performance_rela.pdf&amp;Expires=1775158651&amp;Signature=eBvQPGDO2Z4XvbKb0Sdv5u--CNkTe0ja1SDxW1lIzZ0keevCSZcsh0R4fDbj6abMxgF~PieAio2fWO09jjcaanCB6dQ0IuGeMH5z-E7gHyC2tiDvTxKOd2ciEAW6-XJwP6vSk-2N9YoTOFfXvjmnx1ioOvQC~hl6a1ELCZUe4nCmIo7EY3WHULVq0TKuA9s-pV-NnIWAiX4XpjATg5d9ZzcjrxZnz7fexWa9bag--HsAJyIau6URZWZG49IAMPCuyPM9yWCEbivGPaVtda1PnzdJR5FHz8zputwJMgW4DJhX5N48GOF0uARGPzUsR9dQTg-G1nYVLtfTecddS6LUaQ__&amp;Key-Pair-Id=APKAJLOHF5GGSLRBV4ZA</w:t>
        </w:r>
      </w:hyperlink>
      <w:r>
        <w:rPr>
          <w:rFonts w:ascii="Arial" w:hAnsi="Arial" w:cs="Arial"/>
          <w:sz w:val="24"/>
          <w:szCs w:val="24"/>
        </w:rPr>
        <w:t xml:space="preserve"> </w:t>
      </w:r>
      <w:r w:rsidRPr="0054526D">
        <w:rPr>
          <w:rFonts w:ascii="Arial" w:hAnsi="Arial" w:cs="Arial"/>
          <w:sz w:val="24"/>
          <w:szCs w:val="24"/>
        </w:rPr>
        <w:t>(Accessed: 21 March 2026).</w:t>
      </w:r>
      <w:r w:rsidR="0044377B">
        <w:rPr>
          <w:rFonts w:ascii="Arial" w:hAnsi="Arial" w:cs="Arial"/>
          <w:sz w:val="24"/>
          <w:szCs w:val="24"/>
        </w:rPr>
        <w:t xml:space="preserve"> </w:t>
      </w:r>
    </w:p>
    <w:p w14:paraId="2CFE082E" w14:textId="4FE3FAF0" w:rsidR="0044377B" w:rsidRDefault="0044377B" w:rsidP="009E58ED">
      <w:pPr>
        <w:spacing w:line="360" w:lineRule="auto"/>
        <w:jc w:val="both"/>
        <w:rPr>
          <w:rFonts w:ascii="Arial" w:hAnsi="Arial" w:cs="Arial"/>
          <w:sz w:val="24"/>
          <w:szCs w:val="24"/>
        </w:rPr>
      </w:pPr>
      <w:r w:rsidRPr="0044377B">
        <w:rPr>
          <w:rFonts w:ascii="Arial" w:hAnsi="Arial" w:cs="Arial"/>
          <w:sz w:val="24"/>
          <w:szCs w:val="24"/>
        </w:rPr>
        <w:t xml:space="preserve">Mansour, R., </w:t>
      </w:r>
      <w:proofErr w:type="spellStart"/>
      <w:r w:rsidRPr="0044377B">
        <w:rPr>
          <w:rFonts w:ascii="Arial" w:hAnsi="Arial" w:cs="Arial"/>
          <w:sz w:val="24"/>
          <w:szCs w:val="24"/>
        </w:rPr>
        <w:t>Tsamakis</w:t>
      </w:r>
      <w:proofErr w:type="spellEnd"/>
      <w:r w:rsidRPr="0044377B">
        <w:rPr>
          <w:rFonts w:ascii="Arial" w:hAnsi="Arial" w:cs="Arial"/>
          <w:sz w:val="24"/>
          <w:szCs w:val="24"/>
        </w:rPr>
        <w:t>, K., Rizos, E., Perea, G., Munshi, J., Stewart, R., and Mueller, C. (2020)</w:t>
      </w:r>
      <w:r w:rsidR="008A46C6">
        <w:rPr>
          <w:rFonts w:ascii="Arial" w:hAnsi="Arial" w:cs="Arial"/>
          <w:sz w:val="24"/>
          <w:szCs w:val="24"/>
        </w:rPr>
        <w:t>.</w:t>
      </w:r>
      <w:r w:rsidRPr="0044377B">
        <w:rPr>
          <w:rFonts w:ascii="Arial" w:hAnsi="Arial" w:cs="Arial"/>
          <w:sz w:val="24"/>
          <w:szCs w:val="24"/>
        </w:rPr>
        <w:t xml:space="preserve"> 'Late-life depression in people from ethnic minority backgrounds: Differences in presentation and management', Journal of Affective Disorders, 264(1), pp. 340</w:t>
      </w:r>
      <w:r w:rsidR="008A46C6">
        <w:rPr>
          <w:rFonts w:ascii="Arial" w:hAnsi="Arial" w:cs="Arial"/>
          <w:sz w:val="24"/>
          <w:szCs w:val="24"/>
        </w:rPr>
        <w:t>–</w:t>
      </w:r>
      <w:r w:rsidRPr="0044377B">
        <w:rPr>
          <w:rFonts w:ascii="Arial" w:hAnsi="Arial" w:cs="Arial"/>
          <w:sz w:val="24"/>
          <w:szCs w:val="24"/>
        </w:rPr>
        <w:t xml:space="preserve">347. Available at: </w:t>
      </w:r>
      <w:hyperlink r:id="rId254" w:history="1">
        <w:r w:rsidR="008A46C6" w:rsidRPr="007D0B0F">
          <w:rPr>
            <w:rStyle w:val="Hyperlink"/>
            <w:rFonts w:ascii="Arial" w:hAnsi="Arial" w:cs="Arial"/>
            <w:sz w:val="24"/>
            <w:szCs w:val="24"/>
          </w:rPr>
          <w:t>https://www.sciencedirect.com/science/article/pii/S0165032719329271</w:t>
        </w:r>
      </w:hyperlink>
      <w:r w:rsidR="008A46C6">
        <w:rPr>
          <w:rFonts w:ascii="Arial" w:hAnsi="Arial" w:cs="Arial"/>
          <w:sz w:val="24"/>
          <w:szCs w:val="24"/>
        </w:rPr>
        <w:t xml:space="preserve"> </w:t>
      </w:r>
      <w:r w:rsidRPr="0044377B">
        <w:rPr>
          <w:rFonts w:ascii="Arial" w:hAnsi="Arial" w:cs="Arial"/>
          <w:sz w:val="24"/>
          <w:szCs w:val="24"/>
        </w:rPr>
        <w:t>(Accessed: 30 March 2026).</w:t>
      </w:r>
    </w:p>
    <w:p w14:paraId="038D3FDB" w14:textId="497B577E" w:rsidR="001E5557" w:rsidRDefault="001E5557" w:rsidP="009E58ED">
      <w:pPr>
        <w:spacing w:line="360" w:lineRule="auto"/>
        <w:jc w:val="both"/>
        <w:rPr>
          <w:rFonts w:ascii="Arial" w:hAnsi="Arial" w:cs="Arial"/>
          <w:sz w:val="24"/>
          <w:szCs w:val="24"/>
        </w:rPr>
      </w:pPr>
      <w:r w:rsidRPr="001E5557">
        <w:rPr>
          <w:rFonts w:ascii="Arial" w:hAnsi="Arial" w:cs="Arial"/>
          <w:sz w:val="24"/>
          <w:szCs w:val="24"/>
        </w:rPr>
        <w:t>Marginson, S. (2016)</w:t>
      </w:r>
      <w:r w:rsidR="005278BD">
        <w:rPr>
          <w:rFonts w:ascii="Arial" w:hAnsi="Arial" w:cs="Arial"/>
          <w:sz w:val="24"/>
          <w:szCs w:val="24"/>
        </w:rPr>
        <w:t>.</w:t>
      </w:r>
      <w:r w:rsidRPr="001E5557">
        <w:rPr>
          <w:rFonts w:ascii="Arial" w:hAnsi="Arial" w:cs="Arial"/>
          <w:sz w:val="24"/>
          <w:szCs w:val="24"/>
        </w:rPr>
        <w:t xml:space="preserve"> 'The worldwide trend to high participation higher education: dynamics of social stratification in inclusive systems', </w:t>
      </w:r>
      <w:r w:rsidRPr="001E5557">
        <w:rPr>
          <w:rFonts w:ascii="Arial" w:hAnsi="Arial" w:cs="Arial"/>
          <w:i/>
          <w:iCs/>
          <w:sz w:val="24"/>
          <w:szCs w:val="24"/>
        </w:rPr>
        <w:t>Higher Education</w:t>
      </w:r>
      <w:r w:rsidRPr="001E5557">
        <w:rPr>
          <w:rFonts w:ascii="Arial" w:hAnsi="Arial" w:cs="Arial"/>
          <w:sz w:val="24"/>
          <w:szCs w:val="24"/>
        </w:rPr>
        <w:t>, 72, pp. 413</w:t>
      </w:r>
      <w:r w:rsidR="005278BD">
        <w:rPr>
          <w:rFonts w:ascii="Arial" w:hAnsi="Arial" w:cs="Arial"/>
          <w:sz w:val="24"/>
          <w:szCs w:val="24"/>
        </w:rPr>
        <w:t>–</w:t>
      </w:r>
      <w:r w:rsidRPr="001E5557">
        <w:rPr>
          <w:rFonts w:ascii="Arial" w:hAnsi="Arial" w:cs="Arial"/>
          <w:sz w:val="24"/>
          <w:szCs w:val="24"/>
        </w:rPr>
        <w:t xml:space="preserve">434. Available at: </w:t>
      </w:r>
      <w:hyperlink r:id="rId255" w:history="1">
        <w:r w:rsidRPr="002F0426">
          <w:rPr>
            <w:rStyle w:val="Hyperlink"/>
            <w:rFonts w:ascii="Arial" w:hAnsi="Arial" w:cs="Arial"/>
            <w:sz w:val="24"/>
            <w:szCs w:val="24"/>
          </w:rPr>
          <w:t>https://link.springer.com/article/10.1007/s10734-016-0016-x</w:t>
        </w:r>
      </w:hyperlink>
      <w:r>
        <w:rPr>
          <w:rFonts w:ascii="Arial" w:hAnsi="Arial" w:cs="Arial"/>
          <w:sz w:val="24"/>
          <w:szCs w:val="24"/>
        </w:rPr>
        <w:t xml:space="preserve"> </w:t>
      </w:r>
      <w:r w:rsidRPr="001E5557">
        <w:rPr>
          <w:rFonts w:ascii="Arial" w:hAnsi="Arial" w:cs="Arial"/>
          <w:sz w:val="24"/>
          <w:szCs w:val="24"/>
        </w:rPr>
        <w:t>(Accessed: 20 March 2016).</w:t>
      </w:r>
    </w:p>
    <w:p w14:paraId="015DC3B7" w14:textId="46BEF67D" w:rsidR="00514140" w:rsidRDefault="00514140" w:rsidP="009E58ED">
      <w:pPr>
        <w:spacing w:line="360" w:lineRule="auto"/>
        <w:jc w:val="both"/>
        <w:rPr>
          <w:rFonts w:ascii="Arial" w:hAnsi="Arial" w:cs="Arial"/>
          <w:sz w:val="24"/>
          <w:szCs w:val="24"/>
        </w:rPr>
      </w:pPr>
      <w:r w:rsidRPr="00514140">
        <w:rPr>
          <w:rFonts w:ascii="Arial" w:hAnsi="Arial" w:cs="Arial"/>
          <w:sz w:val="24"/>
          <w:szCs w:val="24"/>
        </w:rPr>
        <w:t xml:space="preserve">Marsh, S. (2020) 'County lines dealers 'posing as students to sell class A drugs'', The Guardian (Edition), 6 January, County lines. Available at: </w:t>
      </w:r>
      <w:hyperlink r:id="rId256" w:history="1">
        <w:r w:rsidR="004F19A2" w:rsidRPr="007D0B0F">
          <w:rPr>
            <w:rStyle w:val="Hyperlink"/>
            <w:rFonts w:ascii="Arial" w:hAnsi="Arial" w:cs="Arial"/>
            <w:sz w:val="24"/>
            <w:szCs w:val="24"/>
          </w:rPr>
          <w:t>https://www.theguardian.com/uk-news/2020/jan/06/county-lines-dealers-posing-as-students-to-sell-class-a-drugs-experts-warn</w:t>
        </w:r>
      </w:hyperlink>
      <w:r w:rsidR="004F19A2">
        <w:rPr>
          <w:rFonts w:ascii="Arial" w:hAnsi="Arial" w:cs="Arial"/>
          <w:sz w:val="24"/>
          <w:szCs w:val="24"/>
        </w:rPr>
        <w:t xml:space="preserve"> </w:t>
      </w:r>
      <w:r w:rsidRPr="00514140">
        <w:rPr>
          <w:rFonts w:ascii="Arial" w:hAnsi="Arial" w:cs="Arial"/>
          <w:sz w:val="24"/>
          <w:szCs w:val="24"/>
        </w:rPr>
        <w:t>(Accessed: 1 April 2026).</w:t>
      </w:r>
    </w:p>
    <w:p w14:paraId="76A9EA49" w14:textId="47EB6C44" w:rsidR="00673FB9" w:rsidRDefault="00673FB9" w:rsidP="009E58ED">
      <w:pPr>
        <w:spacing w:line="360" w:lineRule="auto"/>
        <w:jc w:val="both"/>
        <w:rPr>
          <w:rFonts w:ascii="Arial" w:hAnsi="Arial" w:cs="Arial"/>
          <w:sz w:val="24"/>
          <w:szCs w:val="24"/>
        </w:rPr>
      </w:pPr>
      <w:r w:rsidRPr="00673FB9">
        <w:rPr>
          <w:rFonts w:ascii="Arial" w:hAnsi="Arial" w:cs="Arial"/>
          <w:sz w:val="24"/>
          <w:szCs w:val="24"/>
        </w:rPr>
        <w:lastRenderedPageBreak/>
        <w:t xml:space="preserve">Marshall, H. (2023). 'Victims first? Examining the place of ‘child criminal exploitation’ within ‘child first’ youth justice.', Children and Society, 37(4), pp. 1156-1170. Available at: </w:t>
      </w:r>
      <w:hyperlink r:id="rId257" w:history="1">
        <w:r w:rsidRPr="007D0B0F">
          <w:rPr>
            <w:rStyle w:val="Hyperlink"/>
            <w:rFonts w:ascii="Arial" w:hAnsi="Arial" w:cs="Arial"/>
            <w:sz w:val="24"/>
            <w:szCs w:val="24"/>
          </w:rPr>
          <w:t>https://onlinelibrary.wiley.com/doi/full/10.1111/chso.12696</w:t>
        </w:r>
      </w:hyperlink>
      <w:r>
        <w:rPr>
          <w:rFonts w:ascii="Arial" w:hAnsi="Arial" w:cs="Arial"/>
          <w:sz w:val="24"/>
          <w:szCs w:val="24"/>
        </w:rPr>
        <w:t xml:space="preserve"> </w:t>
      </w:r>
      <w:r w:rsidRPr="00673FB9">
        <w:rPr>
          <w:rFonts w:ascii="Arial" w:hAnsi="Arial" w:cs="Arial"/>
          <w:sz w:val="24"/>
          <w:szCs w:val="24"/>
        </w:rPr>
        <w:t>(Accessed: 2 April 2026).</w:t>
      </w:r>
    </w:p>
    <w:p w14:paraId="37F05BB2" w14:textId="6B29F62F" w:rsidR="00AE28BE" w:rsidRDefault="00AE28BE" w:rsidP="009E58ED">
      <w:pPr>
        <w:spacing w:line="360" w:lineRule="auto"/>
        <w:jc w:val="both"/>
        <w:rPr>
          <w:rFonts w:ascii="Arial" w:hAnsi="Arial" w:cs="Arial"/>
          <w:sz w:val="24"/>
          <w:szCs w:val="24"/>
        </w:rPr>
      </w:pPr>
      <w:r w:rsidRPr="00AE28BE">
        <w:rPr>
          <w:rFonts w:ascii="Arial" w:hAnsi="Arial" w:cs="Arial"/>
          <w:sz w:val="24"/>
          <w:szCs w:val="24"/>
        </w:rPr>
        <w:t>Marshall, M., Dobbs-Oates, J., Kunberger, T., and Greene, J. (2021)</w:t>
      </w:r>
      <w:r w:rsidR="005278BD">
        <w:rPr>
          <w:rFonts w:ascii="Arial" w:hAnsi="Arial" w:cs="Arial"/>
          <w:sz w:val="24"/>
          <w:szCs w:val="24"/>
        </w:rPr>
        <w:t>.</w:t>
      </w:r>
      <w:r w:rsidRPr="00AE28BE">
        <w:rPr>
          <w:rFonts w:ascii="Arial" w:hAnsi="Arial" w:cs="Arial"/>
          <w:sz w:val="24"/>
          <w:szCs w:val="24"/>
        </w:rPr>
        <w:t xml:space="preserve"> 'The peer mentor experience: benefits and challenges in undergraduate programs', </w:t>
      </w:r>
      <w:r w:rsidRPr="00AE28BE">
        <w:rPr>
          <w:rFonts w:ascii="Arial" w:hAnsi="Arial" w:cs="Arial"/>
          <w:i/>
          <w:iCs/>
          <w:sz w:val="24"/>
          <w:szCs w:val="24"/>
        </w:rPr>
        <w:t>Mentoring and Tutoring: Partnership in Learning</w:t>
      </w:r>
      <w:r w:rsidRPr="00AE28BE">
        <w:rPr>
          <w:rFonts w:ascii="Arial" w:hAnsi="Arial" w:cs="Arial"/>
          <w:sz w:val="24"/>
          <w:szCs w:val="24"/>
        </w:rPr>
        <w:t xml:space="preserve">, 29(2), </w:t>
      </w:r>
      <w:r w:rsidR="003C7537">
        <w:rPr>
          <w:rFonts w:ascii="Arial" w:hAnsi="Arial" w:cs="Arial"/>
          <w:sz w:val="24"/>
          <w:szCs w:val="24"/>
        </w:rPr>
        <w:t>pp. 1</w:t>
      </w:r>
      <w:r w:rsidR="005278BD">
        <w:rPr>
          <w:rFonts w:ascii="Arial" w:hAnsi="Arial" w:cs="Arial"/>
          <w:sz w:val="24"/>
          <w:szCs w:val="24"/>
        </w:rPr>
        <w:t>–</w:t>
      </w:r>
      <w:r w:rsidR="003C7537">
        <w:rPr>
          <w:rFonts w:ascii="Arial" w:hAnsi="Arial" w:cs="Arial"/>
          <w:sz w:val="24"/>
          <w:szCs w:val="24"/>
        </w:rPr>
        <w:t>21</w:t>
      </w:r>
      <w:r w:rsidRPr="00AE28BE">
        <w:rPr>
          <w:rFonts w:ascii="Arial" w:hAnsi="Arial" w:cs="Arial"/>
          <w:sz w:val="24"/>
          <w:szCs w:val="24"/>
        </w:rPr>
        <w:t xml:space="preserve">. Available at: </w:t>
      </w:r>
      <w:hyperlink r:id="rId258" w:history="1">
        <w:r w:rsidRPr="007D0B0F">
          <w:rPr>
            <w:rStyle w:val="Hyperlink"/>
            <w:rFonts w:ascii="Arial" w:hAnsi="Arial" w:cs="Arial"/>
            <w:sz w:val="24"/>
            <w:szCs w:val="24"/>
          </w:rPr>
          <w:t>https://www.researchgate.net/publication/350163467_The_peer_mentor_experience_benefits_and_challenges_in_undergraduate_programs</w:t>
        </w:r>
      </w:hyperlink>
      <w:r>
        <w:rPr>
          <w:rFonts w:ascii="Arial" w:hAnsi="Arial" w:cs="Arial"/>
          <w:sz w:val="24"/>
          <w:szCs w:val="24"/>
        </w:rPr>
        <w:t xml:space="preserve"> </w:t>
      </w:r>
      <w:r w:rsidRPr="00AE28BE">
        <w:rPr>
          <w:rFonts w:ascii="Arial" w:hAnsi="Arial" w:cs="Arial"/>
          <w:sz w:val="24"/>
          <w:szCs w:val="24"/>
        </w:rPr>
        <w:t>(Accessed: 24 March 2026).</w:t>
      </w:r>
    </w:p>
    <w:p w14:paraId="2933C82D" w14:textId="59F31333" w:rsidR="003C7537" w:rsidRDefault="00F95B20" w:rsidP="009E58ED">
      <w:pPr>
        <w:spacing w:line="360" w:lineRule="auto"/>
        <w:jc w:val="both"/>
        <w:rPr>
          <w:rFonts w:ascii="Arial" w:hAnsi="Arial" w:cs="Arial"/>
          <w:sz w:val="24"/>
          <w:szCs w:val="24"/>
        </w:rPr>
      </w:pPr>
      <w:r w:rsidRPr="00F95B20">
        <w:rPr>
          <w:rFonts w:ascii="Arial" w:hAnsi="Arial" w:cs="Arial"/>
          <w:sz w:val="24"/>
          <w:szCs w:val="24"/>
        </w:rPr>
        <w:t xml:space="preserve">Maylor, </w:t>
      </w:r>
      <w:r w:rsidR="007B24AD">
        <w:rPr>
          <w:rFonts w:ascii="Arial" w:hAnsi="Arial" w:cs="Arial"/>
          <w:sz w:val="24"/>
          <w:szCs w:val="24"/>
        </w:rPr>
        <w:t>U</w:t>
      </w:r>
      <w:r w:rsidRPr="00F95B20">
        <w:rPr>
          <w:rFonts w:ascii="Arial" w:hAnsi="Arial" w:cs="Arial"/>
          <w:sz w:val="24"/>
          <w:szCs w:val="24"/>
        </w:rPr>
        <w:t>. (2008)</w:t>
      </w:r>
      <w:r w:rsidR="003C7537">
        <w:rPr>
          <w:rFonts w:ascii="Arial" w:hAnsi="Arial" w:cs="Arial"/>
          <w:sz w:val="24"/>
          <w:szCs w:val="24"/>
        </w:rPr>
        <w:t>.</w:t>
      </w:r>
      <w:r w:rsidRPr="00F95B20">
        <w:rPr>
          <w:rFonts w:ascii="Arial" w:hAnsi="Arial" w:cs="Arial"/>
          <w:sz w:val="24"/>
          <w:szCs w:val="24"/>
        </w:rPr>
        <w:t xml:space="preserve"> '"They do not relate to Black people like us": Black teachers as role models for Black pupils', Journal of Education Policy, 24(1), pp. 1</w:t>
      </w:r>
      <w:r w:rsidR="003C7537">
        <w:rPr>
          <w:rFonts w:ascii="Arial" w:hAnsi="Arial" w:cs="Arial"/>
          <w:sz w:val="24"/>
          <w:szCs w:val="24"/>
        </w:rPr>
        <w:t>–</w:t>
      </w:r>
      <w:r w:rsidRPr="00F95B20">
        <w:rPr>
          <w:rFonts w:ascii="Arial" w:hAnsi="Arial" w:cs="Arial"/>
          <w:sz w:val="24"/>
          <w:szCs w:val="24"/>
        </w:rPr>
        <w:t xml:space="preserve">21. Available at: </w:t>
      </w:r>
      <w:hyperlink r:id="rId259" w:anchor="d1e223" w:history="1">
        <w:r w:rsidR="000E50B3" w:rsidRPr="00FB3832">
          <w:rPr>
            <w:rStyle w:val="Hyperlink"/>
            <w:rFonts w:ascii="Arial" w:hAnsi="Arial" w:cs="Arial"/>
            <w:sz w:val="24"/>
            <w:szCs w:val="24"/>
          </w:rPr>
          <w:t>https://www.tandfonline.com/doi/full/10.1080/02680930802382946?scroll=top&amp;needAccess=true#d1e223</w:t>
        </w:r>
      </w:hyperlink>
      <w:r w:rsidR="000E50B3">
        <w:rPr>
          <w:rFonts w:ascii="Arial" w:hAnsi="Arial" w:cs="Arial"/>
          <w:sz w:val="24"/>
          <w:szCs w:val="24"/>
        </w:rPr>
        <w:t xml:space="preserve"> </w:t>
      </w:r>
      <w:r w:rsidRPr="00F95B20">
        <w:rPr>
          <w:rFonts w:ascii="Arial" w:hAnsi="Arial" w:cs="Arial"/>
          <w:sz w:val="24"/>
          <w:szCs w:val="24"/>
        </w:rPr>
        <w:t>(Accessed: 20 March 2026).</w:t>
      </w:r>
      <w:r w:rsidR="003C7537">
        <w:rPr>
          <w:rFonts w:ascii="Arial" w:hAnsi="Arial" w:cs="Arial"/>
          <w:sz w:val="24"/>
          <w:szCs w:val="24"/>
        </w:rPr>
        <w:t xml:space="preserve"> </w:t>
      </w:r>
    </w:p>
    <w:p w14:paraId="4CE29BCF" w14:textId="7CFDA1C4" w:rsidR="00E50B2E" w:rsidRDefault="00E50B2E" w:rsidP="009E58ED">
      <w:pPr>
        <w:spacing w:line="360" w:lineRule="auto"/>
        <w:jc w:val="both"/>
        <w:rPr>
          <w:rFonts w:ascii="Arial" w:hAnsi="Arial" w:cs="Arial"/>
          <w:sz w:val="24"/>
          <w:szCs w:val="24"/>
        </w:rPr>
      </w:pPr>
      <w:r w:rsidRPr="00E50B2E">
        <w:rPr>
          <w:rFonts w:ascii="Arial" w:hAnsi="Arial" w:cs="Arial"/>
          <w:sz w:val="24"/>
          <w:szCs w:val="24"/>
        </w:rPr>
        <w:t>Maylor, U., Smart, S., Kuyok, K., and Ross, A. (2009)</w:t>
      </w:r>
      <w:r>
        <w:rPr>
          <w:rFonts w:ascii="Arial" w:hAnsi="Arial" w:cs="Arial"/>
          <w:sz w:val="24"/>
          <w:szCs w:val="24"/>
        </w:rPr>
        <w:t>.</w:t>
      </w:r>
      <w:r w:rsidRPr="00E50B2E">
        <w:rPr>
          <w:rFonts w:ascii="Arial" w:hAnsi="Arial" w:cs="Arial"/>
          <w:sz w:val="24"/>
          <w:szCs w:val="24"/>
        </w:rPr>
        <w:t xml:space="preserve"> Black Children’s Achievement</w:t>
      </w:r>
      <w:r>
        <w:rPr>
          <w:rFonts w:ascii="Arial" w:hAnsi="Arial" w:cs="Arial"/>
          <w:sz w:val="24"/>
          <w:szCs w:val="24"/>
        </w:rPr>
        <w:t xml:space="preserve"> </w:t>
      </w:r>
      <w:r w:rsidRPr="00E50B2E">
        <w:rPr>
          <w:rFonts w:ascii="Arial" w:hAnsi="Arial" w:cs="Arial"/>
          <w:sz w:val="24"/>
          <w:szCs w:val="24"/>
        </w:rPr>
        <w:t xml:space="preserve">Programme Evaluation. DCSF-RR177. Department for Children, Schools and Families. Available at: </w:t>
      </w:r>
      <w:hyperlink r:id="rId260" w:history="1">
        <w:r w:rsidRPr="00F821EF">
          <w:rPr>
            <w:rStyle w:val="Hyperlink"/>
            <w:rFonts w:ascii="Arial" w:hAnsi="Arial" w:cs="Arial"/>
            <w:sz w:val="24"/>
            <w:szCs w:val="24"/>
          </w:rPr>
          <w:t>https://dera.ioe.ac.uk/id/eprint/11380/1/DCSF-RR177.pdf</w:t>
        </w:r>
      </w:hyperlink>
      <w:r>
        <w:rPr>
          <w:rFonts w:ascii="Arial" w:hAnsi="Arial" w:cs="Arial"/>
          <w:sz w:val="24"/>
          <w:szCs w:val="24"/>
        </w:rPr>
        <w:t xml:space="preserve"> </w:t>
      </w:r>
      <w:r w:rsidRPr="00E50B2E">
        <w:rPr>
          <w:rFonts w:ascii="Arial" w:hAnsi="Arial" w:cs="Arial"/>
          <w:sz w:val="24"/>
          <w:szCs w:val="24"/>
        </w:rPr>
        <w:t>(Accessed: 19 March 2026).</w:t>
      </w:r>
    </w:p>
    <w:p w14:paraId="5D32C742" w14:textId="789E3426" w:rsidR="00037296" w:rsidRDefault="00037296" w:rsidP="009E58ED">
      <w:pPr>
        <w:spacing w:line="360" w:lineRule="auto"/>
        <w:jc w:val="both"/>
        <w:rPr>
          <w:rFonts w:ascii="Arial" w:hAnsi="Arial" w:cs="Arial"/>
          <w:sz w:val="24"/>
          <w:szCs w:val="24"/>
        </w:rPr>
      </w:pPr>
      <w:r w:rsidRPr="00037296">
        <w:rPr>
          <w:rFonts w:ascii="Arial" w:hAnsi="Arial" w:cs="Arial"/>
          <w:sz w:val="24"/>
          <w:szCs w:val="24"/>
        </w:rPr>
        <w:t>Mayor of London (2021) </w:t>
      </w:r>
      <w:r w:rsidRPr="00037296">
        <w:rPr>
          <w:rFonts w:ascii="Arial" w:hAnsi="Arial" w:cs="Arial"/>
          <w:i/>
          <w:iCs/>
          <w:sz w:val="24"/>
          <w:szCs w:val="24"/>
        </w:rPr>
        <w:t>Understanding serious violence among young people</w:t>
      </w:r>
      <w:r w:rsidRPr="00037296">
        <w:rPr>
          <w:rFonts w:ascii="Arial" w:hAnsi="Arial" w:cs="Arial"/>
          <w:i/>
          <w:iCs/>
          <w:sz w:val="24"/>
          <w:szCs w:val="24"/>
        </w:rPr>
        <w:br/>
        <w:t>in London</w:t>
      </w:r>
      <w:r w:rsidRPr="00037296">
        <w:rPr>
          <w:rFonts w:ascii="Arial" w:hAnsi="Arial" w:cs="Arial"/>
          <w:sz w:val="24"/>
          <w:szCs w:val="24"/>
        </w:rPr>
        <w:t xml:space="preserve">. Greater London Authority. Available at: </w:t>
      </w:r>
      <w:hyperlink r:id="rId261" w:history="1">
        <w:r w:rsidRPr="007D0B0F">
          <w:rPr>
            <w:rStyle w:val="Hyperlink"/>
            <w:rFonts w:ascii="Arial" w:hAnsi="Arial" w:cs="Arial"/>
            <w:sz w:val="24"/>
            <w:szCs w:val="24"/>
          </w:rPr>
          <w:t>https://data.london.gov.uk/download/exyxr/b9b4258a-5d02-4677-9dd6-374f55fd167f/Crime%20speech%20report%20December%202021.pdf</w:t>
        </w:r>
      </w:hyperlink>
      <w:r>
        <w:rPr>
          <w:rFonts w:ascii="Arial" w:hAnsi="Arial" w:cs="Arial"/>
          <w:sz w:val="24"/>
          <w:szCs w:val="24"/>
        </w:rPr>
        <w:t xml:space="preserve"> </w:t>
      </w:r>
      <w:r w:rsidRPr="00037296">
        <w:rPr>
          <w:rFonts w:ascii="Arial" w:hAnsi="Arial" w:cs="Arial"/>
          <w:sz w:val="24"/>
          <w:szCs w:val="24"/>
        </w:rPr>
        <w:t>(Accessed: 22 March 2026).</w:t>
      </w:r>
    </w:p>
    <w:p w14:paraId="06D1EDA2" w14:textId="767A01A4" w:rsidR="00815CA9" w:rsidRDefault="00815CA9" w:rsidP="009E58ED">
      <w:pPr>
        <w:spacing w:line="360" w:lineRule="auto"/>
        <w:jc w:val="both"/>
        <w:rPr>
          <w:rFonts w:ascii="Arial" w:hAnsi="Arial" w:cs="Arial"/>
          <w:sz w:val="24"/>
          <w:szCs w:val="24"/>
        </w:rPr>
      </w:pPr>
      <w:r w:rsidRPr="00EE5962">
        <w:rPr>
          <w:rFonts w:ascii="Arial" w:hAnsi="Arial" w:cs="Arial"/>
          <w:sz w:val="24"/>
          <w:szCs w:val="24"/>
        </w:rPr>
        <w:t>Mbembe, A. (2016)</w:t>
      </w:r>
      <w:r w:rsidR="007649C0">
        <w:rPr>
          <w:rFonts w:ascii="Arial" w:hAnsi="Arial" w:cs="Arial"/>
          <w:sz w:val="24"/>
          <w:szCs w:val="24"/>
        </w:rPr>
        <w:t>.</w:t>
      </w:r>
      <w:r w:rsidRPr="00EE5962">
        <w:rPr>
          <w:rFonts w:ascii="Arial" w:hAnsi="Arial" w:cs="Arial"/>
          <w:sz w:val="24"/>
          <w:szCs w:val="24"/>
        </w:rPr>
        <w:t xml:space="preserve"> 'Decolonizing the university: New directions', </w:t>
      </w:r>
      <w:r w:rsidRPr="00EE5962">
        <w:rPr>
          <w:rFonts w:ascii="Arial" w:hAnsi="Arial" w:cs="Arial"/>
          <w:i/>
          <w:iCs/>
          <w:sz w:val="24"/>
          <w:szCs w:val="24"/>
        </w:rPr>
        <w:t>Arts and Humanities in Higher Education</w:t>
      </w:r>
      <w:r w:rsidRPr="00EE5962">
        <w:rPr>
          <w:rFonts w:ascii="Arial" w:hAnsi="Arial" w:cs="Arial"/>
          <w:sz w:val="24"/>
          <w:szCs w:val="24"/>
        </w:rPr>
        <w:t>, 15(1), pp. 29</w:t>
      </w:r>
      <w:r w:rsidR="007649C0">
        <w:rPr>
          <w:rFonts w:ascii="Arial" w:hAnsi="Arial" w:cs="Arial"/>
          <w:sz w:val="24"/>
          <w:szCs w:val="24"/>
        </w:rPr>
        <w:t>–</w:t>
      </w:r>
      <w:r w:rsidRPr="00EE5962">
        <w:rPr>
          <w:rFonts w:ascii="Arial" w:hAnsi="Arial" w:cs="Arial"/>
          <w:sz w:val="24"/>
          <w:szCs w:val="24"/>
        </w:rPr>
        <w:t xml:space="preserve">45. Available at: </w:t>
      </w:r>
      <w:hyperlink r:id="rId262" w:history="1">
        <w:r w:rsidR="00EE5962" w:rsidRPr="007D0B0F">
          <w:rPr>
            <w:rStyle w:val="Hyperlink"/>
            <w:rFonts w:ascii="Arial" w:hAnsi="Arial" w:cs="Arial"/>
            <w:sz w:val="24"/>
            <w:szCs w:val="24"/>
          </w:rPr>
          <w:t>https://journals.sagepub.com/doi/epub/10.1177/1474022215618513</w:t>
        </w:r>
      </w:hyperlink>
      <w:r w:rsidR="00EE5962">
        <w:rPr>
          <w:rFonts w:ascii="Arial" w:hAnsi="Arial" w:cs="Arial"/>
          <w:sz w:val="24"/>
          <w:szCs w:val="24"/>
        </w:rPr>
        <w:t xml:space="preserve"> </w:t>
      </w:r>
      <w:r w:rsidRPr="00EE5962">
        <w:rPr>
          <w:rFonts w:ascii="Arial" w:hAnsi="Arial" w:cs="Arial"/>
          <w:sz w:val="24"/>
          <w:szCs w:val="24"/>
        </w:rPr>
        <w:t>(Accessed: 23 March 2026).</w:t>
      </w:r>
    </w:p>
    <w:p w14:paraId="088A6EC9" w14:textId="63F2F947" w:rsidR="006E0881" w:rsidRPr="00EE5962" w:rsidRDefault="006E0881" w:rsidP="009E58ED">
      <w:pPr>
        <w:spacing w:line="360" w:lineRule="auto"/>
        <w:jc w:val="both"/>
        <w:rPr>
          <w:rFonts w:ascii="Arial" w:hAnsi="Arial" w:cs="Arial"/>
          <w:sz w:val="24"/>
          <w:szCs w:val="24"/>
        </w:rPr>
      </w:pPr>
      <w:r w:rsidRPr="006E0881">
        <w:rPr>
          <w:rFonts w:ascii="Arial" w:hAnsi="Arial" w:cs="Arial"/>
          <w:sz w:val="24"/>
          <w:szCs w:val="24"/>
        </w:rPr>
        <w:t>McEvoy, D., and Hafeez, K. (2009)</w:t>
      </w:r>
      <w:r>
        <w:rPr>
          <w:rFonts w:ascii="Arial" w:hAnsi="Arial" w:cs="Arial"/>
          <w:sz w:val="24"/>
          <w:szCs w:val="24"/>
        </w:rPr>
        <w:t>.</w:t>
      </w:r>
      <w:r w:rsidRPr="006E0881">
        <w:rPr>
          <w:rFonts w:ascii="Arial" w:hAnsi="Arial" w:cs="Arial"/>
          <w:sz w:val="24"/>
          <w:szCs w:val="24"/>
        </w:rPr>
        <w:t xml:space="preserve"> 'ETHNIC MINORITY ENTREPRENEURSHIP IN BRITAIN', Management and Marketing, 4(1), pp. 55</w:t>
      </w:r>
      <w:r>
        <w:rPr>
          <w:rFonts w:ascii="Arial" w:hAnsi="Arial" w:cs="Arial"/>
          <w:sz w:val="24"/>
          <w:szCs w:val="24"/>
        </w:rPr>
        <w:t>–</w:t>
      </w:r>
      <w:r w:rsidRPr="006E0881">
        <w:rPr>
          <w:rFonts w:ascii="Arial" w:hAnsi="Arial" w:cs="Arial"/>
          <w:sz w:val="24"/>
          <w:szCs w:val="24"/>
        </w:rPr>
        <w:t xml:space="preserve">64. Available at: </w:t>
      </w:r>
      <w:hyperlink r:id="rId263" w:history="1">
        <w:r w:rsidRPr="007D0B0F">
          <w:rPr>
            <w:rStyle w:val="Hyperlink"/>
            <w:rFonts w:ascii="Arial" w:hAnsi="Arial" w:cs="Arial"/>
            <w:sz w:val="24"/>
            <w:szCs w:val="24"/>
          </w:rPr>
          <w:t>https://www.researchgate.net/profile/David-Mcevoy-4/publication/46542782_Ethnic_minority_entrepreneurship_in_Britain/links/0deec5347edec83ed1000000/Ethnic-minority-entrepreneurship-in-Britain.pdf</w:t>
        </w:r>
      </w:hyperlink>
      <w:r>
        <w:rPr>
          <w:rFonts w:ascii="Arial" w:hAnsi="Arial" w:cs="Arial"/>
          <w:sz w:val="24"/>
          <w:szCs w:val="24"/>
        </w:rPr>
        <w:t xml:space="preserve"> </w:t>
      </w:r>
      <w:r w:rsidRPr="006E0881">
        <w:rPr>
          <w:rFonts w:ascii="Arial" w:hAnsi="Arial" w:cs="Arial"/>
          <w:sz w:val="24"/>
          <w:szCs w:val="24"/>
        </w:rPr>
        <w:t>(Accessed: 26 March 2026).</w:t>
      </w:r>
    </w:p>
    <w:p w14:paraId="32D855E8" w14:textId="62C527C0" w:rsidR="00E60DB0" w:rsidRDefault="00E60DB0" w:rsidP="009E58ED">
      <w:pPr>
        <w:spacing w:line="360" w:lineRule="auto"/>
        <w:jc w:val="both"/>
        <w:rPr>
          <w:rFonts w:ascii="Arial" w:hAnsi="Arial" w:cs="Arial"/>
          <w:sz w:val="24"/>
          <w:szCs w:val="24"/>
        </w:rPr>
      </w:pPr>
      <w:r w:rsidRPr="00E60DB0">
        <w:rPr>
          <w:rFonts w:ascii="Arial" w:hAnsi="Arial" w:cs="Arial"/>
          <w:sz w:val="24"/>
          <w:szCs w:val="24"/>
        </w:rPr>
        <w:t>McGregor-Smith, R. (2017). </w:t>
      </w:r>
      <w:r w:rsidRPr="00E60DB0">
        <w:rPr>
          <w:rFonts w:ascii="Arial" w:hAnsi="Arial" w:cs="Arial"/>
          <w:i/>
          <w:iCs/>
          <w:sz w:val="24"/>
          <w:szCs w:val="24"/>
        </w:rPr>
        <w:t xml:space="preserve">The Time for Tackling </w:t>
      </w:r>
      <w:r w:rsidR="006F6355">
        <w:rPr>
          <w:rFonts w:ascii="Arial" w:hAnsi="Arial" w:cs="Arial"/>
          <w:i/>
          <w:iCs/>
          <w:sz w:val="24"/>
          <w:szCs w:val="24"/>
        </w:rPr>
        <w:t>I</w:t>
      </w:r>
      <w:r w:rsidRPr="00E60DB0">
        <w:rPr>
          <w:rFonts w:ascii="Arial" w:hAnsi="Arial" w:cs="Arial"/>
          <w:i/>
          <w:iCs/>
          <w:sz w:val="24"/>
          <w:szCs w:val="24"/>
        </w:rPr>
        <w:t xml:space="preserve">s Over. Now Is </w:t>
      </w:r>
      <w:r w:rsidR="006F6355" w:rsidRPr="00E60DB0">
        <w:rPr>
          <w:rFonts w:ascii="Arial" w:hAnsi="Arial" w:cs="Arial"/>
          <w:i/>
          <w:iCs/>
          <w:sz w:val="24"/>
          <w:szCs w:val="24"/>
        </w:rPr>
        <w:t>the</w:t>
      </w:r>
      <w:r w:rsidRPr="00E60DB0">
        <w:rPr>
          <w:rFonts w:ascii="Arial" w:hAnsi="Arial" w:cs="Arial"/>
          <w:i/>
          <w:iCs/>
          <w:sz w:val="24"/>
          <w:szCs w:val="24"/>
        </w:rPr>
        <w:t xml:space="preserve"> Time </w:t>
      </w:r>
      <w:r w:rsidR="006F6355">
        <w:rPr>
          <w:rFonts w:ascii="Arial" w:hAnsi="Arial" w:cs="Arial"/>
          <w:i/>
          <w:iCs/>
          <w:sz w:val="24"/>
          <w:szCs w:val="24"/>
        </w:rPr>
        <w:t>t</w:t>
      </w:r>
      <w:r w:rsidRPr="00E60DB0">
        <w:rPr>
          <w:rFonts w:ascii="Arial" w:hAnsi="Arial" w:cs="Arial"/>
          <w:i/>
          <w:iCs/>
          <w:sz w:val="24"/>
          <w:szCs w:val="24"/>
        </w:rPr>
        <w:t xml:space="preserve">o Act: Race in the </w:t>
      </w:r>
      <w:r w:rsidR="00EE5962">
        <w:rPr>
          <w:rFonts w:ascii="Arial" w:hAnsi="Arial" w:cs="Arial"/>
          <w:i/>
          <w:iCs/>
          <w:sz w:val="24"/>
          <w:szCs w:val="24"/>
        </w:rPr>
        <w:t>Workplace</w:t>
      </w:r>
      <w:r w:rsidRPr="00E60DB0">
        <w:rPr>
          <w:rFonts w:ascii="Arial" w:hAnsi="Arial" w:cs="Arial"/>
          <w:sz w:val="24"/>
          <w:szCs w:val="24"/>
        </w:rPr>
        <w:t>. Luminous Available at:</w:t>
      </w:r>
      <w:r w:rsidR="006F6355">
        <w:rPr>
          <w:rFonts w:ascii="Arial" w:hAnsi="Arial" w:cs="Arial"/>
          <w:sz w:val="24"/>
          <w:szCs w:val="24"/>
        </w:rPr>
        <w:t xml:space="preserve"> </w:t>
      </w:r>
      <w:hyperlink r:id="rId264" w:history="1">
        <w:r w:rsidR="006F6355" w:rsidRPr="00FB3832">
          <w:rPr>
            <w:rStyle w:val="Hyperlink"/>
            <w:rFonts w:ascii="Arial" w:hAnsi="Arial" w:cs="Arial"/>
            <w:sz w:val="24"/>
            <w:szCs w:val="24"/>
          </w:rPr>
          <w:t>https://assets.publishing.service.gov.uk/media/5a7f81c6ed915d74e33f6dc4/race-in-workplace-mcgregor-smith-review.pdf</w:t>
        </w:r>
      </w:hyperlink>
      <w:r w:rsidR="006F6355">
        <w:rPr>
          <w:rFonts w:ascii="Arial" w:hAnsi="Arial" w:cs="Arial"/>
          <w:sz w:val="24"/>
          <w:szCs w:val="24"/>
        </w:rPr>
        <w:t xml:space="preserve"> </w:t>
      </w:r>
      <w:r w:rsidRPr="00E60DB0">
        <w:rPr>
          <w:rFonts w:ascii="Arial" w:hAnsi="Arial" w:cs="Arial"/>
          <w:sz w:val="24"/>
          <w:szCs w:val="24"/>
        </w:rPr>
        <w:t>(Accessed: 21 March 2026).</w:t>
      </w:r>
    </w:p>
    <w:p w14:paraId="39843FFF" w14:textId="0D4ED29C" w:rsidR="003D7553" w:rsidRDefault="003D7553" w:rsidP="009E58ED">
      <w:pPr>
        <w:spacing w:line="360" w:lineRule="auto"/>
        <w:jc w:val="both"/>
        <w:rPr>
          <w:rFonts w:ascii="Arial" w:hAnsi="Arial" w:cs="Arial"/>
          <w:sz w:val="24"/>
          <w:szCs w:val="24"/>
        </w:rPr>
      </w:pPr>
      <w:r w:rsidRPr="003D7553">
        <w:rPr>
          <w:rFonts w:ascii="Arial" w:hAnsi="Arial" w:cs="Arial"/>
          <w:sz w:val="24"/>
          <w:szCs w:val="24"/>
        </w:rPr>
        <w:t>McLean, R. (2018)</w:t>
      </w:r>
      <w:r>
        <w:rPr>
          <w:rFonts w:ascii="Arial" w:hAnsi="Arial" w:cs="Arial"/>
          <w:sz w:val="24"/>
          <w:szCs w:val="24"/>
        </w:rPr>
        <w:t>.</w:t>
      </w:r>
      <w:r w:rsidRPr="003D7553">
        <w:rPr>
          <w:rFonts w:ascii="Arial" w:hAnsi="Arial" w:cs="Arial"/>
          <w:sz w:val="24"/>
          <w:szCs w:val="24"/>
        </w:rPr>
        <w:t xml:space="preserve"> 'An Evolving Gang Model in Contemporary Scotland', Deviant </w:t>
      </w:r>
      <w:proofErr w:type="spellStart"/>
      <w:r w:rsidRPr="003D7553">
        <w:rPr>
          <w:rFonts w:ascii="Arial" w:hAnsi="Arial" w:cs="Arial"/>
          <w:sz w:val="24"/>
          <w:szCs w:val="24"/>
        </w:rPr>
        <w:t>Behavior</w:t>
      </w:r>
      <w:proofErr w:type="spellEnd"/>
      <w:r w:rsidRPr="003D7553">
        <w:rPr>
          <w:rFonts w:ascii="Arial" w:hAnsi="Arial" w:cs="Arial"/>
          <w:sz w:val="24"/>
          <w:szCs w:val="24"/>
        </w:rPr>
        <w:t xml:space="preserve">, 39(3), pp. 309-321. Available at: </w:t>
      </w:r>
      <w:hyperlink r:id="rId265" w:history="1">
        <w:r w:rsidRPr="007D0B0F">
          <w:rPr>
            <w:rStyle w:val="Hyperlink"/>
            <w:rFonts w:ascii="Arial" w:hAnsi="Arial" w:cs="Arial"/>
            <w:sz w:val="24"/>
            <w:szCs w:val="24"/>
          </w:rPr>
          <w:t>https://www-tandfonline-com.uwtsd.idm.oclc.org/doi/pdf/10.1080/01639625.2016.1272969?needAccess=true</w:t>
        </w:r>
      </w:hyperlink>
      <w:r>
        <w:rPr>
          <w:rFonts w:ascii="Arial" w:hAnsi="Arial" w:cs="Arial"/>
          <w:sz w:val="24"/>
          <w:szCs w:val="24"/>
        </w:rPr>
        <w:t xml:space="preserve"> </w:t>
      </w:r>
      <w:r w:rsidRPr="003D7553">
        <w:rPr>
          <w:rFonts w:ascii="Arial" w:hAnsi="Arial" w:cs="Arial"/>
          <w:sz w:val="24"/>
          <w:szCs w:val="24"/>
        </w:rPr>
        <w:t>(Accessed: 2 April 2026).</w:t>
      </w:r>
    </w:p>
    <w:p w14:paraId="07548600" w14:textId="4572E27E" w:rsidR="00E84874" w:rsidRDefault="00E84874" w:rsidP="009E58ED">
      <w:pPr>
        <w:spacing w:line="360" w:lineRule="auto"/>
        <w:jc w:val="both"/>
        <w:rPr>
          <w:rFonts w:ascii="Arial" w:hAnsi="Arial" w:cs="Arial"/>
          <w:sz w:val="24"/>
          <w:szCs w:val="24"/>
        </w:rPr>
      </w:pPr>
      <w:r w:rsidRPr="00E84874">
        <w:rPr>
          <w:rFonts w:ascii="Arial" w:hAnsi="Arial" w:cs="Arial"/>
          <w:sz w:val="24"/>
          <w:szCs w:val="24"/>
        </w:rPr>
        <w:t>Mengel, F., Sauermann, J., and Zölitz, U. (2018)</w:t>
      </w:r>
      <w:r w:rsidR="007649C0">
        <w:rPr>
          <w:rFonts w:ascii="Arial" w:hAnsi="Arial" w:cs="Arial"/>
          <w:sz w:val="24"/>
          <w:szCs w:val="24"/>
        </w:rPr>
        <w:t>.</w:t>
      </w:r>
      <w:r w:rsidRPr="00E84874">
        <w:rPr>
          <w:rFonts w:ascii="Arial" w:hAnsi="Arial" w:cs="Arial"/>
          <w:sz w:val="24"/>
          <w:szCs w:val="24"/>
        </w:rPr>
        <w:t xml:space="preserve"> 'Gender Bias in Teaching Evaluations', Journal</w:t>
      </w:r>
      <w:r w:rsidRPr="00E84874">
        <w:rPr>
          <w:rFonts w:ascii="Arial" w:hAnsi="Arial" w:cs="Arial"/>
          <w:i/>
          <w:iCs/>
          <w:sz w:val="24"/>
          <w:szCs w:val="24"/>
        </w:rPr>
        <w:t> of the European Economic Association</w:t>
      </w:r>
      <w:r w:rsidRPr="00E84874">
        <w:rPr>
          <w:rFonts w:ascii="Arial" w:hAnsi="Arial" w:cs="Arial"/>
          <w:sz w:val="24"/>
          <w:szCs w:val="24"/>
        </w:rPr>
        <w:t>, 17(2), pp. 535</w:t>
      </w:r>
      <w:r w:rsidR="007649C0">
        <w:rPr>
          <w:rFonts w:ascii="Arial" w:hAnsi="Arial" w:cs="Arial"/>
          <w:sz w:val="24"/>
          <w:szCs w:val="24"/>
        </w:rPr>
        <w:t>–</w:t>
      </w:r>
      <w:r w:rsidRPr="00E84874">
        <w:rPr>
          <w:rFonts w:ascii="Arial" w:hAnsi="Arial" w:cs="Arial"/>
          <w:sz w:val="24"/>
          <w:szCs w:val="24"/>
        </w:rPr>
        <w:t xml:space="preserve">566. Available at: </w:t>
      </w:r>
      <w:hyperlink r:id="rId266" w:history="1">
        <w:r w:rsidRPr="00FB3832">
          <w:rPr>
            <w:rStyle w:val="Hyperlink"/>
            <w:rFonts w:ascii="Arial" w:hAnsi="Arial" w:cs="Arial"/>
            <w:sz w:val="24"/>
            <w:szCs w:val="24"/>
          </w:rPr>
          <w:t>https://academic.oup.com/jeea/article/17/2/535/4850534?login=true&amp;guestAccessKey=</w:t>
        </w:r>
      </w:hyperlink>
      <w:r>
        <w:rPr>
          <w:rFonts w:ascii="Arial" w:hAnsi="Arial" w:cs="Arial"/>
          <w:sz w:val="24"/>
          <w:szCs w:val="24"/>
        </w:rPr>
        <w:t xml:space="preserve"> </w:t>
      </w:r>
      <w:r w:rsidRPr="00E84874">
        <w:rPr>
          <w:rFonts w:ascii="Arial" w:hAnsi="Arial" w:cs="Arial"/>
          <w:sz w:val="24"/>
          <w:szCs w:val="24"/>
        </w:rPr>
        <w:t>(Accessed: 19 March 2026).</w:t>
      </w:r>
    </w:p>
    <w:p w14:paraId="1EB7E1A5" w14:textId="44F5557F" w:rsidR="000A19BF" w:rsidRDefault="000A19BF" w:rsidP="009E58ED">
      <w:pPr>
        <w:spacing w:line="360" w:lineRule="auto"/>
        <w:jc w:val="both"/>
        <w:rPr>
          <w:rFonts w:ascii="Arial" w:hAnsi="Arial" w:cs="Arial"/>
          <w:sz w:val="24"/>
          <w:szCs w:val="24"/>
        </w:rPr>
      </w:pPr>
      <w:r w:rsidRPr="000A19BF">
        <w:rPr>
          <w:rFonts w:ascii="Arial" w:hAnsi="Arial" w:cs="Arial"/>
          <w:sz w:val="24"/>
          <w:szCs w:val="24"/>
        </w:rPr>
        <w:t xml:space="preserve">Mental Health Foundation (2024). Black, Asian and minority ethnic (BAME) communities. Available at: </w:t>
      </w:r>
      <w:hyperlink r:id="rId267" w:history="1">
        <w:r w:rsidR="002F2C7C" w:rsidRPr="007D0B0F">
          <w:rPr>
            <w:rStyle w:val="Hyperlink"/>
            <w:rFonts w:ascii="Arial" w:hAnsi="Arial" w:cs="Arial"/>
            <w:sz w:val="24"/>
            <w:szCs w:val="24"/>
          </w:rPr>
          <w:t>https://www.mentalhealth.org.uk/explore-mental-health/a-z-topics/black-asian-and-minority-ethnic-bame-communities</w:t>
        </w:r>
      </w:hyperlink>
      <w:r w:rsidR="002F2C7C">
        <w:rPr>
          <w:rFonts w:ascii="Arial" w:hAnsi="Arial" w:cs="Arial"/>
          <w:sz w:val="24"/>
          <w:szCs w:val="24"/>
        </w:rPr>
        <w:t xml:space="preserve"> </w:t>
      </w:r>
      <w:r w:rsidRPr="000A19BF">
        <w:rPr>
          <w:rFonts w:ascii="Arial" w:hAnsi="Arial" w:cs="Arial"/>
          <w:sz w:val="24"/>
          <w:szCs w:val="24"/>
        </w:rPr>
        <w:t>(Accessed: 30 March 2026).</w:t>
      </w:r>
    </w:p>
    <w:p w14:paraId="22F6FB4C" w14:textId="07A13776" w:rsidR="00E165E9" w:rsidRDefault="00E165E9" w:rsidP="009E58ED">
      <w:pPr>
        <w:spacing w:line="360" w:lineRule="auto"/>
        <w:jc w:val="both"/>
        <w:rPr>
          <w:rFonts w:ascii="Arial" w:hAnsi="Arial" w:cs="Arial"/>
          <w:sz w:val="24"/>
          <w:szCs w:val="24"/>
        </w:rPr>
      </w:pPr>
      <w:r w:rsidRPr="00E165E9">
        <w:rPr>
          <w:rFonts w:ascii="Arial" w:hAnsi="Arial" w:cs="Arial"/>
          <w:sz w:val="24"/>
          <w:szCs w:val="24"/>
        </w:rPr>
        <w:t xml:space="preserve">Mental Health Foundation (2026). Black, Asian and minority ethnic (BAME) communities. Available at: </w:t>
      </w:r>
      <w:hyperlink r:id="rId268" w:history="1">
        <w:r w:rsidRPr="007D0B0F">
          <w:rPr>
            <w:rStyle w:val="Hyperlink"/>
            <w:rFonts w:ascii="Arial" w:hAnsi="Arial" w:cs="Arial"/>
            <w:sz w:val="24"/>
            <w:szCs w:val="24"/>
          </w:rPr>
          <w:t>https://www.mentalhealth.org.uk/explore-mental-health/a-z-topics/black-asian-and-minority-ethnic-bame-communities</w:t>
        </w:r>
      </w:hyperlink>
      <w:r>
        <w:rPr>
          <w:rFonts w:ascii="Arial" w:hAnsi="Arial" w:cs="Arial"/>
          <w:sz w:val="24"/>
          <w:szCs w:val="24"/>
        </w:rPr>
        <w:t xml:space="preserve"> </w:t>
      </w:r>
      <w:r w:rsidRPr="00E165E9">
        <w:rPr>
          <w:rFonts w:ascii="Arial" w:hAnsi="Arial" w:cs="Arial"/>
          <w:sz w:val="24"/>
          <w:szCs w:val="24"/>
        </w:rPr>
        <w:t>(Accessed: 29 March 2026).</w:t>
      </w:r>
    </w:p>
    <w:p w14:paraId="3D53AC9D" w14:textId="530EF4D6" w:rsidR="00E122DC" w:rsidRDefault="00E122DC" w:rsidP="009E58ED">
      <w:pPr>
        <w:spacing w:line="360" w:lineRule="auto"/>
        <w:jc w:val="both"/>
        <w:rPr>
          <w:rFonts w:ascii="Arial" w:hAnsi="Arial" w:cs="Arial"/>
          <w:sz w:val="24"/>
          <w:szCs w:val="24"/>
        </w:rPr>
      </w:pPr>
      <w:r w:rsidRPr="00E122DC">
        <w:rPr>
          <w:rFonts w:ascii="Arial" w:hAnsi="Arial" w:cs="Arial"/>
          <w:sz w:val="24"/>
          <w:szCs w:val="24"/>
        </w:rPr>
        <w:t xml:space="preserve">Meredith, I., Davis, J., Stubbings, D., and Payne, L. (2025). 'Unsuspectingly Vulnerable: A rapid evidence assessment on the vulnerability of university students to criminal exploitation.', International Journal of Offender Therapy and Comparative </w:t>
      </w:r>
      <w:r w:rsidRPr="00E122DC">
        <w:rPr>
          <w:rFonts w:ascii="Arial" w:hAnsi="Arial" w:cs="Arial"/>
          <w:sz w:val="24"/>
          <w:szCs w:val="24"/>
        </w:rPr>
        <w:lastRenderedPageBreak/>
        <w:t xml:space="preserve">Criminology, 70(6-7), </w:t>
      </w:r>
      <w:r>
        <w:rPr>
          <w:rFonts w:ascii="Arial" w:hAnsi="Arial" w:cs="Arial"/>
          <w:sz w:val="24"/>
          <w:szCs w:val="24"/>
        </w:rPr>
        <w:t xml:space="preserve">pp. </w:t>
      </w:r>
      <w:r w:rsidRPr="00E122DC">
        <w:rPr>
          <w:rFonts w:ascii="Arial" w:hAnsi="Arial" w:cs="Arial"/>
          <w:sz w:val="24"/>
          <w:szCs w:val="24"/>
        </w:rPr>
        <w:t>722</w:t>
      </w:r>
      <w:r>
        <w:rPr>
          <w:rFonts w:ascii="Arial" w:hAnsi="Arial" w:cs="Arial"/>
          <w:sz w:val="24"/>
          <w:szCs w:val="24"/>
        </w:rPr>
        <w:t>–</w:t>
      </w:r>
      <w:r w:rsidRPr="00E122DC">
        <w:rPr>
          <w:rFonts w:ascii="Arial" w:hAnsi="Arial" w:cs="Arial"/>
          <w:sz w:val="24"/>
          <w:szCs w:val="24"/>
        </w:rPr>
        <w:t xml:space="preserve">741. Available at: </w:t>
      </w:r>
      <w:hyperlink r:id="rId269" w:history="1">
        <w:r w:rsidRPr="007D0B0F">
          <w:rPr>
            <w:rStyle w:val="Hyperlink"/>
            <w:rFonts w:ascii="Arial" w:hAnsi="Arial" w:cs="Arial"/>
            <w:sz w:val="24"/>
            <w:szCs w:val="24"/>
          </w:rPr>
          <w:t>https://journals.sagepub.com/doi/epdf/10.1177/0306624X251329944</w:t>
        </w:r>
      </w:hyperlink>
      <w:r>
        <w:rPr>
          <w:rFonts w:ascii="Arial" w:hAnsi="Arial" w:cs="Arial"/>
          <w:sz w:val="24"/>
          <w:szCs w:val="24"/>
        </w:rPr>
        <w:t xml:space="preserve"> </w:t>
      </w:r>
      <w:r w:rsidRPr="00E122DC">
        <w:rPr>
          <w:rFonts w:ascii="Arial" w:hAnsi="Arial" w:cs="Arial"/>
          <w:sz w:val="24"/>
          <w:szCs w:val="24"/>
        </w:rPr>
        <w:t>(Accessed: 1 April 2026).</w:t>
      </w:r>
    </w:p>
    <w:p w14:paraId="0EA7F630" w14:textId="1F5679E4" w:rsidR="0059324D" w:rsidRDefault="0059324D" w:rsidP="009E58ED">
      <w:pPr>
        <w:spacing w:line="360" w:lineRule="auto"/>
        <w:jc w:val="both"/>
        <w:rPr>
          <w:rFonts w:ascii="Arial" w:hAnsi="Arial" w:cs="Arial"/>
          <w:sz w:val="24"/>
          <w:szCs w:val="24"/>
        </w:rPr>
      </w:pPr>
      <w:r w:rsidRPr="0059324D">
        <w:rPr>
          <w:rFonts w:ascii="Arial" w:hAnsi="Arial" w:cs="Arial"/>
          <w:sz w:val="24"/>
          <w:szCs w:val="24"/>
        </w:rPr>
        <w:t>Merkle, B. (2021)</w:t>
      </w:r>
      <w:r>
        <w:rPr>
          <w:rFonts w:ascii="Arial" w:hAnsi="Arial" w:cs="Arial"/>
          <w:sz w:val="24"/>
          <w:szCs w:val="24"/>
        </w:rPr>
        <w:t>.</w:t>
      </w:r>
      <w:r w:rsidRPr="0059324D">
        <w:rPr>
          <w:rFonts w:ascii="Arial" w:hAnsi="Arial" w:cs="Arial"/>
          <w:sz w:val="24"/>
          <w:szCs w:val="24"/>
        </w:rPr>
        <w:t xml:space="preserve"> 'Writing Science: Leveraging the Annotated Bibliography as a Writing Tool', Communicating Science, 103(1), pp. 1</w:t>
      </w:r>
      <w:r>
        <w:rPr>
          <w:rFonts w:ascii="Arial" w:hAnsi="Arial" w:cs="Arial"/>
          <w:sz w:val="24"/>
          <w:szCs w:val="24"/>
        </w:rPr>
        <w:t>–</w:t>
      </w:r>
      <w:r w:rsidRPr="0059324D">
        <w:rPr>
          <w:rFonts w:ascii="Arial" w:hAnsi="Arial" w:cs="Arial"/>
          <w:sz w:val="24"/>
          <w:szCs w:val="24"/>
        </w:rPr>
        <w:t xml:space="preserve">5. Available at: </w:t>
      </w:r>
      <w:hyperlink r:id="rId270" w:history="1">
        <w:r w:rsidRPr="005C7CBD">
          <w:rPr>
            <w:rStyle w:val="Hyperlink"/>
            <w:rFonts w:ascii="Arial" w:hAnsi="Arial" w:cs="Arial"/>
            <w:sz w:val="24"/>
            <w:szCs w:val="24"/>
          </w:rPr>
          <w:t>https://esajournals.onlinelibrary.wiley.com/doi/pdf/10.1002/bes2.1936</w:t>
        </w:r>
      </w:hyperlink>
      <w:r>
        <w:rPr>
          <w:rFonts w:ascii="Arial" w:hAnsi="Arial" w:cs="Arial"/>
          <w:sz w:val="24"/>
          <w:szCs w:val="24"/>
        </w:rPr>
        <w:t xml:space="preserve"> </w:t>
      </w:r>
      <w:r w:rsidRPr="0059324D">
        <w:rPr>
          <w:rFonts w:ascii="Arial" w:hAnsi="Arial" w:cs="Arial"/>
          <w:sz w:val="24"/>
          <w:szCs w:val="24"/>
        </w:rPr>
        <w:t>(Accessed: 8 April 2026).</w:t>
      </w:r>
    </w:p>
    <w:p w14:paraId="3D35AF58" w14:textId="6794D22F" w:rsidR="00616DEE" w:rsidRDefault="00616DEE" w:rsidP="009E58ED">
      <w:pPr>
        <w:spacing w:line="360" w:lineRule="auto"/>
        <w:jc w:val="both"/>
        <w:rPr>
          <w:rFonts w:ascii="Arial" w:hAnsi="Arial" w:cs="Arial"/>
          <w:sz w:val="24"/>
          <w:szCs w:val="24"/>
        </w:rPr>
      </w:pPr>
      <w:r w:rsidRPr="00616DEE">
        <w:rPr>
          <w:rFonts w:ascii="Arial" w:hAnsi="Arial" w:cs="Arial"/>
          <w:sz w:val="24"/>
          <w:szCs w:val="24"/>
        </w:rPr>
        <w:t>Miller, J., and Chamberlin, M. (2000)</w:t>
      </w:r>
      <w:r w:rsidR="007649C0">
        <w:rPr>
          <w:rFonts w:ascii="Arial" w:hAnsi="Arial" w:cs="Arial"/>
          <w:sz w:val="24"/>
          <w:szCs w:val="24"/>
        </w:rPr>
        <w:t>.</w:t>
      </w:r>
      <w:r w:rsidRPr="00616DEE">
        <w:rPr>
          <w:rFonts w:ascii="Arial" w:hAnsi="Arial" w:cs="Arial"/>
          <w:sz w:val="24"/>
          <w:szCs w:val="24"/>
        </w:rPr>
        <w:t xml:space="preserve"> 'Women are teachers, men are professors: A study of student perceptions', Teaching Sociology, 28(4), 283. Available at: </w:t>
      </w:r>
      <w:hyperlink r:id="rId271" w:history="1">
        <w:r w:rsidR="008535D4" w:rsidRPr="00FB3832">
          <w:rPr>
            <w:rStyle w:val="Hyperlink"/>
            <w:rFonts w:ascii="Arial" w:hAnsi="Arial" w:cs="Arial"/>
            <w:sz w:val="24"/>
            <w:szCs w:val="24"/>
          </w:rPr>
          <w:t>https://www.proquest.com/docview/223521602?pq-origsite=gscholar&amp;fromopenview=true&amp;sourcetype=Scholarly%20Journals#</w:t>
        </w:r>
      </w:hyperlink>
      <w:r w:rsidR="008535D4">
        <w:rPr>
          <w:rFonts w:ascii="Arial" w:hAnsi="Arial" w:cs="Arial"/>
          <w:sz w:val="24"/>
          <w:szCs w:val="24"/>
        </w:rPr>
        <w:t xml:space="preserve"> </w:t>
      </w:r>
      <w:r w:rsidRPr="00616DEE">
        <w:rPr>
          <w:rFonts w:ascii="Arial" w:hAnsi="Arial" w:cs="Arial"/>
          <w:sz w:val="24"/>
          <w:szCs w:val="24"/>
        </w:rPr>
        <w:t xml:space="preserve"> (Accessed: 19 March 2026).</w:t>
      </w:r>
    </w:p>
    <w:p w14:paraId="4C81C25A" w14:textId="2217701B" w:rsidR="00A65C45" w:rsidRDefault="00A65C45" w:rsidP="009E58ED">
      <w:pPr>
        <w:spacing w:line="360" w:lineRule="auto"/>
        <w:jc w:val="both"/>
        <w:rPr>
          <w:rFonts w:ascii="Arial" w:hAnsi="Arial" w:cs="Arial"/>
          <w:sz w:val="24"/>
          <w:szCs w:val="24"/>
        </w:rPr>
      </w:pPr>
      <w:proofErr w:type="spellStart"/>
      <w:r w:rsidRPr="00A65C45">
        <w:rPr>
          <w:rFonts w:ascii="Arial" w:hAnsi="Arial" w:cs="Arial"/>
          <w:sz w:val="24"/>
          <w:szCs w:val="24"/>
        </w:rPr>
        <w:t>Mimirinis</w:t>
      </w:r>
      <w:proofErr w:type="spellEnd"/>
      <w:r w:rsidRPr="00A65C45">
        <w:rPr>
          <w:rFonts w:ascii="Arial" w:hAnsi="Arial" w:cs="Arial"/>
          <w:sz w:val="24"/>
          <w:szCs w:val="24"/>
        </w:rPr>
        <w:t xml:space="preserve">, M., </w:t>
      </w:r>
      <w:proofErr w:type="spellStart"/>
      <w:r w:rsidRPr="00A65C45">
        <w:rPr>
          <w:rFonts w:ascii="Arial" w:hAnsi="Arial" w:cs="Arial"/>
          <w:sz w:val="24"/>
          <w:szCs w:val="24"/>
        </w:rPr>
        <w:t>Ventouris</w:t>
      </w:r>
      <w:proofErr w:type="spellEnd"/>
      <w:r w:rsidRPr="00A65C45">
        <w:rPr>
          <w:rFonts w:ascii="Arial" w:hAnsi="Arial" w:cs="Arial"/>
          <w:sz w:val="24"/>
          <w:szCs w:val="24"/>
        </w:rPr>
        <w:t>, A., and Wright, E. (2023)</w:t>
      </w:r>
      <w:r w:rsidR="0075243F">
        <w:rPr>
          <w:rFonts w:ascii="Arial" w:hAnsi="Arial" w:cs="Arial"/>
          <w:sz w:val="24"/>
          <w:szCs w:val="24"/>
        </w:rPr>
        <w:t>.</w:t>
      </w:r>
      <w:r w:rsidRPr="00A65C45">
        <w:rPr>
          <w:rFonts w:ascii="Arial" w:hAnsi="Arial" w:cs="Arial"/>
          <w:sz w:val="24"/>
          <w:szCs w:val="24"/>
        </w:rPr>
        <w:t xml:space="preserve"> 'Variation in Black students’ conceptions of academic support', British Educational Research Journal, 50(1), pp. 1</w:t>
      </w:r>
      <w:r w:rsidR="0075243F">
        <w:rPr>
          <w:rFonts w:ascii="Arial" w:hAnsi="Arial" w:cs="Arial"/>
          <w:sz w:val="24"/>
          <w:szCs w:val="24"/>
        </w:rPr>
        <w:t>–</w:t>
      </w:r>
      <w:r w:rsidRPr="00A65C45">
        <w:rPr>
          <w:rFonts w:ascii="Arial" w:hAnsi="Arial" w:cs="Arial"/>
          <w:sz w:val="24"/>
          <w:szCs w:val="24"/>
        </w:rPr>
        <w:t xml:space="preserve">453. Available at: </w:t>
      </w:r>
      <w:hyperlink r:id="rId272" w:history="1">
        <w:r w:rsidR="0075243F" w:rsidRPr="007D0B0F">
          <w:rPr>
            <w:rStyle w:val="Hyperlink"/>
            <w:rFonts w:ascii="Arial" w:hAnsi="Arial" w:cs="Arial"/>
            <w:sz w:val="24"/>
            <w:szCs w:val="24"/>
          </w:rPr>
          <w:t>https://bera-journals.onlinelibrary.wiley.com/doi/epdf/10.1002/berj.3921</w:t>
        </w:r>
      </w:hyperlink>
      <w:r w:rsidR="0075243F">
        <w:rPr>
          <w:rFonts w:ascii="Arial" w:hAnsi="Arial" w:cs="Arial"/>
          <w:sz w:val="24"/>
          <w:szCs w:val="24"/>
        </w:rPr>
        <w:t xml:space="preserve"> </w:t>
      </w:r>
      <w:r w:rsidRPr="00A65C45">
        <w:rPr>
          <w:rFonts w:ascii="Arial" w:hAnsi="Arial" w:cs="Arial"/>
          <w:sz w:val="24"/>
          <w:szCs w:val="24"/>
        </w:rPr>
        <w:t>(Accessed: 24 March 2026).</w:t>
      </w:r>
    </w:p>
    <w:p w14:paraId="45B9184F" w14:textId="15D77ECD" w:rsidR="0073578D" w:rsidRDefault="0073578D" w:rsidP="009E58ED">
      <w:pPr>
        <w:spacing w:line="360" w:lineRule="auto"/>
        <w:jc w:val="both"/>
        <w:rPr>
          <w:rFonts w:ascii="Arial" w:hAnsi="Arial" w:cs="Arial"/>
          <w:sz w:val="24"/>
          <w:szCs w:val="24"/>
        </w:rPr>
      </w:pPr>
      <w:r w:rsidRPr="0073578D">
        <w:rPr>
          <w:rFonts w:ascii="Arial" w:hAnsi="Arial" w:cs="Arial"/>
          <w:sz w:val="24"/>
          <w:szCs w:val="24"/>
        </w:rPr>
        <w:t>Ministry of Justice</w:t>
      </w:r>
      <w:r>
        <w:rPr>
          <w:rFonts w:ascii="Arial" w:hAnsi="Arial" w:cs="Arial"/>
          <w:sz w:val="24"/>
          <w:szCs w:val="24"/>
        </w:rPr>
        <w:t xml:space="preserve"> (MOJ)</w:t>
      </w:r>
      <w:r w:rsidRPr="0073578D">
        <w:rPr>
          <w:rFonts w:ascii="Arial" w:hAnsi="Arial" w:cs="Arial"/>
          <w:sz w:val="24"/>
          <w:szCs w:val="24"/>
        </w:rPr>
        <w:t xml:space="preserve"> (2019) Statistics on Race and the Criminal Justice System 2018: A Ministry of Justice publication under Section 95 of the Criminal Justice Act 1991. Ministry of Justice</w:t>
      </w:r>
      <w:r>
        <w:rPr>
          <w:rFonts w:ascii="Arial" w:hAnsi="Arial" w:cs="Arial"/>
          <w:sz w:val="24"/>
          <w:szCs w:val="24"/>
        </w:rPr>
        <w:t>.</w:t>
      </w:r>
      <w:r w:rsidRPr="0073578D">
        <w:rPr>
          <w:rFonts w:ascii="Arial" w:hAnsi="Arial" w:cs="Arial"/>
          <w:sz w:val="24"/>
          <w:szCs w:val="24"/>
        </w:rPr>
        <w:t xml:space="preserve"> Available at: </w:t>
      </w:r>
      <w:hyperlink r:id="rId273" w:history="1">
        <w:r w:rsidRPr="00172D15">
          <w:rPr>
            <w:rStyle w:val="Hyperlink"/>
            <w:rFonts w:ascii="Arial" w:hAnsi="Arial" w:cs="Arial"/>
            <w:sz w:val="24"/>
            <w:szCs w:val="24"/>
          </w:rPr>
          <w:t>https://assets.publishing.service.gov.uk/government/uploads/system/uploads/attachment_data/file/849200/statistics-on-race-and-the-cjs-2018.pdf</w:t>
        </w:r>
      </w:hyperlink>
      <w:r>
        <w:rPr>
          <w:rFonts w:ascii="Arial" w:hAnsi="Arial" w:cs="Arial"/>
          <w:sz w:val="24"/>
          <w:szCs w:val="24"/>
        </w:rPr>
        <w:t xml:space="preserve"> </w:t>
      </w:r>
      <w:r w:rsidRPr="0073578D">
        <w:rPr>
          <w:rFonts w:ascii="Arial" w:hAnsi="Arial" w:cs="Arial"/>
          <w:sz w:val="24"/>
          <w:szCs w:val="24"/>
        </w:rPr>
        <w:t>(Accessed: 5 April 2026).</w:t>
      </w:r>
    </w:p>
    <w:p w14:paraId="22569143" w14:textId="5EC7B768" w:rsidR="00C46F38" w:rsidRDefault="00C46F38" w:rsidP="009E58ED">
      <w:pPr>
        <w:spacing w:line="360" w:lineRule="auto"/>
        <w:jc w:val="both"/>
        <w:rPr>
          <w:rFonts w:ascii="Arial" w:hAnsi="Arial" w:cs="Arial"/>
          <w:sz w:val="24"/>
          <w:szCs w:val="24"/>
        </w:rPr>
      </w:pPr>
      <w:r w:rsidRPr="00C46F38">
        <w:rPr>
          <w:rFonts w:ascii="Arial" w:hAnsi="Arial" w:cs="Arial"/>
          <w:sz w:val="24"/>
          <w:szCs w:val="24"/>
        </w:rPr>
        <w:t>Minority Supplier Development UK (MSDUK) (2020)</w:t>
      </w:r>
      <w:r>
        <w:rPr>
          <w:rFonts w:ascii="Arial" w:hAnsi="Arial" w:cs="Arial"/>
          <w:sz w:val="24"/>
          <w:szCs w:val="24"/>
        </w:rPr>
        <w:t>.</w:t>
      </w:r>
      <w:r w:rsidRPr="00C46F38">
        <w:rPr>
          <w:rFonts w:ascii="Arial" w:hAnsi="Arial" w:cs="Arial"/>
          <w:sz w:val="24"/>
          <w:szCs w:val="24"/>
        </w:rPr>
        <w:t xml:space="preserve"> Impact Report 3.0 2018-2020. MSDUK. Available at: </w:t>
      </w:r>
      <w:hyperlink r:id="rId274" w:history="1">
        <w:r w:rsidRPr="007D0B0F">
          <w:rPr>
            <w:rStyle w:val="Hyperlink"/>
            <w:rFonts w:ascii="Arial" w:hAnsi="Arial" w:cs="Arial"/>
            <w:sz w:val="24"/>
            <w:szCs w:val="24"/>
          </w:rPr>
          <w:t>https://resources.msduk.org.uk/hubfs/Externally%20Shared%20Files/Redirected%20Files%20from%20Touchpoint/Impact-Report_Final_compressed.pdf</w:t>
        </w:r>
      </w:hyperlink>
      <w:r>
        <w:rPr>
          <w:rFonts w:ascii="Arial" w:hAnsi="Arial" w:cs="Arial"/>
          <w:sz w:val="24"/>
          <w:szCs w:val="24"/>
        </w:rPr>
        <w:t xml:space="preserve"> </w:t>
      </w:r>
      <w:r w:rsidRPr="00C46F38">
        <w:rPr>
          <w:rFonts w:ascii="Arial" w:hAnsi="Arial" w:cs="Arial"/>
          <w:sz w:val="24"/>
          <w:szCs w:val="24"/>
        </w:rPr>
        <w:t>(Accessed: 26 March 2020).</w:t>
      </w:r>
    </w:p>
    <w:p w14:paraId="168753E2" w14:textId="3D95409A" w:rsidR="004349D5" w:rsidRDefault="004349D5" w:rsidP="009E58ED">
      <w:pPr>
        <w:spacing w:line="360" w:lineRule="auto"/>
        <w:jc w:val="both"/>
        <w:rPr>
          <w:rFonts w:ascii="Arial" w:hAnsi="Arial" w:cs="Arial"/>
          <w:sz w:val="24"/>
          <w:szCs w:val="24"/>
        </w:rPr>
      </w:pPr>
      <w:r w:rsidRPr="004349D5">
        <w:rPr>
          <w:rFonts w:ascii="Arial" w:hAnsi="Arial" w:cs="Arial"/>
          <w:sz w:val="24"/>
          <w:szCs w:val="24"/>
        </w:rPr>
        <w:lastRenderedPageBreak/>
        <w:t xml:space="preserve">Mirza, H. (2018). 'Black Bodies ‘Out of Place’ in Academic Spaces: Gender, Race, Faith and Culture in Post-Race Times', in J. Arday, H. Mirza (ed.), Dismantling Race in Higher Education: Racism, Whiteness and Decolonising the Academy. Springer International Publishing, pp. 175–193. Available at: </w:t>
      </w:r>
      <w:hyperlink r:id="rId275" w:anchor="page=196" w:history="1">
        <w:r w:rsidRPr="007D0B0F">
          <w:rPr>
            <w:rStyle w:val="Hyperlink"/>
            <w:rFonts w:ascii="Arial" w:hAnsi="Arial" w:cs="Arial"/>
            <w:sz w:val="24"/>
            <w:szCs w:val="24"/>
          </w:rPr>
          <w:t>https://www.researchgate.net/profile/Lisa-Galloway-2/publication/327356689_Access_and_Inclusion_for_Gypsy_and_Traveller_Students_in_Higher_Education_Racism_Whiteness_and_Decolonising_the_Academy/links/5f522caa92851c250b8f4555/Access-and-Inclusion-for-Gypsy-and-Traveller-Students-in-Higher-Education-Racism-Whiteness-and-Decolonising-the-Academy.pdf#page=196</w:t>
        </w:r>
      </w:hyperlink>
      <w:r>
        <w:rPr>
          <w:rFonts w:ascii="Arial" w:hAnsi="Arial" w:cs="Arial"/>
          <w:sz w:val="24"/>
          <w:szCs w:val="24"/>
        </w:rPr>
        <w:t xml:space="preserve"> </w:t>
      </w:r>
      <w:r w:rsidRPr="004349D5">
        <w:rPr>
          <w:rFonts w:ascii="Arial" w:hAnsi="Arial" w:cs="Arial"/>
          <w:sz w:val="24"/>
          <w:szCs w:val="24"/>
        </w:rPr>
        <w:t>(Accessed: 24 March 2026).</w:t>
      </w:r>
    </w:p>
    <w:p w14:paraId="106C669D" w14:textId="4B7948BD" w:rsidR="00FD6F5D" w:rsidRDefault="00FD6F5D" w:rsidP="009E58ED">
      <w:pPr>
        <w:spacing w:line="360" w:lineRule="auto"/>
        <w:jc w:val="both"/>
        <w:rPr>
          <w:rFonts w:ascii="Arial" w:hAnsi="Arial" w:cs="Arial"/>
          <w:sz w:val="24"/>
          <w:szCs w:val="24"/>
        </w:rPr>
      </w:pPr>
      <w:r w:rsidRPr="00FD6F5D">
        <w:rPr>
          <w:rFonts w:ascii="Arial" w:hAnsi="Arial" w:cs="Arial"/>
          <w:sz w:val="24"/>
          <w:szCs w:val="24"/>
        </w:rPr>
        <w:t>Mirza, H. (1992)</w:t>
      </w:r>
      <w:r>
        <w:rPr>
          <w:rFonts w:ascii="Arial" w:hAnsi="Arial" w:cs="Arial"/>
          <w:sz w:val="24"/>
          <w:szCs w:val="24"/>
        </w:rPr>
        <w:t>.</w:t>
      </w:r>
      <w:r w:rsidRPr="00FD6F5D">
        <w:rPr>
          <w:rFonts w:ascii="Arial" w:hAnsi="Arial" w:cs="Arial"/>
          <w:sz w:val="24"/>
          <w:szCs w:val="24"/>
        </w:rPr>
        <w:t> </w:t>
      </w:r>
      <w:r w:rsidRPr="00FD6F5D">
        <w:rPr>
          <w:rFonts w:ascii="Arial" w:hAnsi="Arial" w:cs="Arial"/>
          <w:i/>
          <w:iCs/>
          <w:sz w:val="24"/>
          <w:szCs w:val="24"/>
        </w:rPr>
        <w:t>Young, female and black.</w:t>
      </w:r>
      <w:r w:rsidRPr="00FD6F5D">
        <w:rPr>
          <w:rFonts w:ascii="Arial" w:hAnsi="Arial" w:cs="Arial"/>
          <w:sz w:val="24"/>
          <w:szCs w:val="24"/>
        </w:rPr>
        <w:t xml:space="preserve"> Routledge. Available at: </w:t>
      </w:r>
      <w:hyperlink r:id="rId276" w:history="1">
        <w:r w:rsidRPr="007D0B0F">
          <w:rPr>
            <w:rStyle w:val="Hyperlink"/>
            <w:rFonts w:ascii="Arial" w:hAnsi="Arial" w:cs="Arial"/>
            <w:sz w:val="24"/>
            <w:szCs w:val="24"/>
          </w:rPr>
          <w:t>https://www.taylorfrancis.com/reader/read-online/8746ef53-7055-40db-83f5-035181709d05/book/epub?context=ubx</w:t>
        </w:r>
      </w:hyperlink>
      <w:r>
        <w:rPr>
          <w:rFonts w:ascii="Arial" w:hAnsi="Arial" w:cs="Arial"/>
          <w:sz w:val="24"/>
          <w:szCs w:val="24"/>
        </w:rPr>
        <w:t xml:space="preserve"> </w:t>
      </w:r>
      <w:r w:rsidRPr="00FD6F5D">
        <w:rPr>
          <w:rFonts w:ascii="Arial" w:hAnsi="Arial" w:cs="Arial"/>
          <w:sz w:val="24"/>
          <w:szCs w:val="24"/>
        </w:rPr>
        <w:t>(Accessed: 24 March 2026).</w:t>
      </w:r>
    </w:p>
    <w:p w14:paraId="0DA96683" w14:textId="5CF71DEC" w:rsidR="003B2ABE" w:rsidRDefault="003B2ABE" w:rsidP="009E58ED">
      <w:pPr>
        <w:spacing w:line="360" w:lineRule="auto"/>
        <w:jc w:val="both"/>
        <w:rPr>
          <w:rFonts w:ascii="Arial" w:hAnsi="Arial" w:cs="Arial"/>
          <w:sz w:val="24"/>
          <w:szCs w:val="24"/>
        </w:rPr>
      </w:pPr>
      <w:r w:rsidRPr="003B2ABE">
        <w:rPr>
          <w:rFonts w:ascii="Arial" w:hAnsi="Arial" w:cs="Arial"/>
          <w:sz w:val="24"/>
          <w:szCs w:val="24"/>
        </w:rPr>
        <w:t>Mirza, H., and Warwick, R. (2024)</w:t>
      </w:r>
      <w:r>
        <w:rPr>
          <w:rFonts w:ascii="Arial" w:hAnsi="Arial" w:cs="Arial"/>
          <w:sz w:val="24"/>
          <w:szCs w:val="24"/>
        </w:rPr>
        <w:t>.</w:t>
      </w:r>
      <w:r w:rsidRPr="003B2ABE">
        <w:rPr>
          <w:rFonts w:ascii="Arial" w:hAnsi="Arial" w:cs="Arial"/>
          <w:sz w:val="24"/>
          <w:szCs w:val="24"/>
        </w:rPr>
        <w:t xml:space="preserve"> 'Race and ethnic inequalities', Oxford Open Economics, 1(3), pp. 356</w:t>
      </w:r>
      <w:r>
        <w:rPr>
          <w:rFonts w:ascii="Arial" w:hAnsi="Arial" w:cs="Arial"/>
          <w:sz w:val="24"/>
          <w:szCs w:val="24"/>
        </w:rPr>
        <w:t>–</w:t>
      </w:r>
      <w:r w:rsidRPr="003B2ABE">
        <w:rPr>
          <w:rFonts w:ascii="Arial" w:hAnsi="Arial" w:cs="Arial"/>
          <w:sz w:val="24"/>
          <w:szCs w:val="24"/>
        </w:rPr>
        <w:t xml:space="preserve">452. Available at: </w:t>
      </w:r>
      <w:hyperlink r:id="rId277" w:history="1">
        <w:r w:rsidRPr="007D0B0F">
          <w:rPr>
            <w:rStyle w:val="Hyperlink"/>
            <w:rFonts w:ascii="Arial" w:hAnsi="Arial" w:cs="Arial"/>
            <w:sz w:val="24"/>
            <w:szCs w:val="24"/>
          </w:rPr>
          <w:t>https://www.proquest.com/docview/3191371559?pq-origsite=gscholar&amp;fromopenview=true&amp;sourcetype=Scholarly%20Journals</w:t>
        </w:r>
      </w:hyperlink>
      <w:r>
        <w:rPr>
          <w:rFonts w:ascii="Arial" w:hAnsi="Arial" w:cs="Arial"/>
          <w:sz w:val="24"/>
          <w:szCs w:val="24"/>
        </w:rPr>
        <w:t xml:space="preserve"> </w:t>
      </w:r>
      <w:r w:rsidRPr="003B2ABE">
        <w:rPr>
          <w:rFonts w:ascii="Arial" w:hAnsi="Arial" w:cs="Arial"/>
          <w:sz w:val="24"/>
          <w:szCs w:val="24"/>
        </w:rPr>
        <w:t>(Accessed: 25 March 2026).</w:t>
      </w:r>
    </w:p>
    <w:p w14:paraId="3519BCB6" w14:textId="7EA23A5D" w:rsidR="00EB5EE1" w:rsidRDefault="00EB5EE1" w:rsidP="009E58ED">
      <w:pPr>
        <w:spacing w:line="360" w:lineRule="auto"/>
        <w:jc w:val="both"/>
        <w:rPr>
          <w:rFonts w:ascii="Arial" w:hAnsi="Arial" w:cs="Arial"/>
          <w:sz w:val="24"/>
          <w:szCs w:val="24"/>
        </w:rPr>
      </w:pPr>
      <w:r w:rsidRPr="0085399C">
        <w:rPr>
          <w:rFonts w:ascii="Arial" w:hAnsi="Arial" w:cs="Arial"/>
          <w:sz w:val="24"/>
          <w:szCs w:val="24"/>
        </w:rPr>
        <w:t>Mocombe, P., Tomlin, C., and Wright, C. (2014). 'Race and class distinctions within black communities in the United States and United Kingdom: a reading in phenomenological structuralism', African and Black Diaspora: An International Journal, 8(1), pp. 111</w:t>
      </w:r>
      <w:r w:rsidR="007649C0">
        <w:rPr>
          <w:rFonts w:ascii="Arial" w:hAnsi="Arial" w:cs="Arial"/>
          <w:sz w:val="24"/>
          <w:szCs w:val="24"/>
        </w:rPr>
        <w:t>–</w:t>
      </w:r>
      <w:r w:rsidRPr="0085399C">
        <w:rPr>
          <w:rFonts w:ascii="Arial" w:hAnsi="Arial" w:cs="Arial"/>
          <w:sz w:val="24"/>
          <w:szCs w:val="24"/>
        </w:rPr>
        <w:t xml:space="preserve">125. Available at: </w:t>
      </w:r>
      <w:hyperlink r:id="rId278" w:anchor="d1e154" w:history="1">
        <w:r w:rsidRPr="002F0426">
          <w:rPr>
            <w:rStyle w:val="Hyperlink"/>
            <w:rFonts w:ascii="Arial" w:hAnsi="Arial" w:cs="Arial"/>
            <w:sz w:val="24"/>
            <w:szCs w:val="24"/>
          </w:rPr>
          <w:t>https://www-tandfonline-com.uwtsd.idm.oclc.org/doi/full/10.1080/17528631.2014.972703#d1e154</w:t>
        </w:r>
      </w:hyperlink>
      <w:r>
        <w:rPr>
          <w:rFonts w:ascii="Arial" w:hAnsi="Arial" w:cs="Arial"/>
          <w:sz w:val="24"/>
          <w:szCs w:val="24"/>
        </w:rPr>
        <w:t xml:space="preserve"> </w:t>
      </w:r>
      <w:r w:rsidRPr="0085399C">
        <w:rPr>
          <w:rFonts w:ascii="Arial" w:hAnsi="Arial" w:cs="Arial"/>
          <w:sz w:val="24"/>
          <w:szCs w:val="24"/>
        </w:rPr>
        <w:t>(Accessed: 18 March 2026).</w:t>
      </w:r>
    </w:p>
    <w:p w14:paraId="236FC55D" w14:textId="4B371407" w:rsidR="00F217F4" w:rsidRDefault="00F217F4" w:rsidP="009E58ED">
      <w:pPr>
        <w:spacing w:line="360" w:lineRule="auto"/>
        <w:jc w:val="both"/>
        <w:rPr>
          <w:rFonts w:ascii="Arial" w:hAnsi="Arial" w:cs="Arial"/>
          <w:sz w:val="24"/>
          <w:szCs w:val="24"/>
        </w:rPr>
      </w:pPr>
      <w:r w:rsidRPr="005149D9">
        <w:rPr>
          <w:rFonts w:ascii="Arial" w:hAnsi="Arial" w:cs="Arial"/>
          <w:sz w:val="24"/>
          <w:szCs w:val="24"/>
        </w:rPr>
        <w:t>Mogonea, F.</w:t>
      </w:r>
      <w:r>
        <w:rPr>
          <w:rFonts w:ascii="Arial" w:hAnsi="Arial" w:cs="Arial"/>
          <w:sz w:val="24"/>
          <w:szCs w:val="24"/>
        </w:rPr>
        <w:t xml:space="preserve"> R.</w:t>
      </w:r>
      <w:r w:rsidRPr="005149D9">
        <w:rPr>
          <w:rFonts w:ascii="Arial" w:hAnsi="Arial" w:cs="Arial"/>
          <w:sz w:val="24"/>
          <w:szCs w:val="24"/>
        </w:rPr>
        <w:t xml:space="preserve"> and Mogonea, F. (2019)</w:t>
      </w:r>
      <w:r w:rsidR="007649C0">
        <w:rPr>
          <w:rFonts w:ascii="Arial" w:hAnsi="Arial" w:cs="Arial"/>
          <w:sz w:val="24"/>
          <w:szCs w:val="24"/>
        </w:rPr>
        <w:t>.</w:t>
      </w:r>
      <w:r w:rsidRPr="005149D9">
        <w:rPr>
          <w:rFonts w:ascii="Arial" w:hAnsi="Arial" w:cs="Arial"/>
          <w:sz w:val="24"/>
          <w:szCs w:val="24"/>
        </w:rPr>
        <w:t xml:space="preserve"> 'The pedagogical research project – an essential tool for the development of research competencies in the field of education', </w:t>
      </w:r>
      <w:r w:rsidRPr="005149D9">
        <w:rPr>
          <w:rFonts w:ascii="Arial" w:hAnsi="Arial" w:cs="Arial"/>
          <w:i/>
          <w:iCs/>
          <w:sz w:val="24"/>
          <w:szCs w:val="24"/>
        </w:rPr>
        <w:t>Educatia 21</w:t>
      </w:r>
      <w:r w:rsidRPr="005149D9">
        <w:rPr>
          <w:rFonts w:ascii="Arial" w:hAnsi="Arial" w:cs="Arial"/>
          <w:sz w:val="24"/>
          <w:szCs w:val="24"/>
        </w:rPr>
        <w:t>, 17, pp. 49</w:t>
      </w:r>
      <w:r w:rsidR="007649C0">
        <w:rPr>
          <w:rFonts w:ascii="Arial" w:hAnsi="Arial" w:cs="Arial"/>
          <w:sz w:val="24"/>
          <w:szCs w:val="24"/>
        </w:rPr>
        <w:t>–</w:t>
      </w:r>
      <w:r w:rsidRPr="005149D9">
        <w:rPr>
          <w:rFonts w:ascii="Arial" w:hAnsi="Arial" w:cs="Arial"/>
          <w:sz w:val="24"/>
          <w:szCs w:val="24"/>
        </w:rPr>
        <w:t xml:space="preserve">59. Available at: </w:t>
      </w:r>
      <w:hyperlink r:id="rId279" w:history="1">
        <w:r w:rsidRPr="00D94FAA">
          <w:rPr>
            <w:rStyle w:val="Hyperlink"/>
            <w:rFonts w:ascii="Arial" w:hAnsi="Arial" w:cs="Arial"/>
            <w:sz w:val="24"/>
            <w:szCs w:val="24"/>
          </w:rPr>
          <w:t>https://www.proquest.com/docview/2359957077?accountid=130472&amp;parentSessionI</w:t>
        </w:r>
        <w:r w:rsidRPr="00D94FAA">
          <w:rPr>
            <w:rStyle w:val="Hyperlink"/>
            <w:rFonts w:ascii="Arial" w:hAnsi="Arial" w:cs="Arial"/>
            <w:sz w:val="24"/>
            <w:szCs w:val="24"/>
          </w:rPr>
          <w:lastRenderedPageBreak/>
          <w:t>d=%2FougFViUf0ol5SR6A%2BNiOqDRHW3mvVak%2B2jM65rT7EM%3D&amp;pq-origsite=primo&amp;sourcetype=Scholarly%20Journals</w:t>
        </w:r>
      </w:hyperlink>
      <w:r>
        <w:rPr>
          <w:rFonts w:ascii="Arial" w:hAnsi="Arial" w:cs="Arial"/>
          <w:sz w:val="24"/>
          <w:szCs w:val="24"/>
        </w:rPr>
        <w:t xml:space="preserve"> </w:t>
      </w:r>
      <w:r w:rsidRPr="005149D9">
        <w:rPr>
          <w:rFonts w:ascii="Arial" w:hAnsi="Arial" w:cs="Arial"/>
          <w:sz w:val="24"/>
          <w:szCs w:val="24"/>
        </w:rPr>
        <w:t>(Accessed: 23 February 2026).</w:t>
      </w:r>
    </w:p>
    <w:p w14:paraId="46C28F49" w14:textId="2C9BE4F3" w:rsidR="00EB5EE1" w:rsidRDefault="00EB5EE1" w:rsidP="009E58ED">
      <w:pPr>
        <w:spacing w:line="360" w:lineRule="auto"/>
        <w:jc w:val="both"/>
        <w:rPr>
          <w:rFonts w:ascii="Arial" w:hAnsi="Arial" w:cs="Arial"/>
          <w:sz w:val="24"/>
          <w:szCs w:val="24"/>
        </w:rPr>
      </w:pPr>
      <w:r w:rsidRPr="00EB5EE1">
        <w:rPr>
          <w:rFonts w:ascii="Arial" w:hAnsi="Arial" w:cs="Arial"/>
          <w:sz w:val="24"/>
          <w:szCs w:val="24"/>
        </w:rPr>
        <w:t>Molefe, T. (2016)</w:t>
      </w:r>
      <w:r w:rsidR="007649C0">
        <w:rPr>
          <w:rFonts w:ascii="Arial" w:hAnsi="Arial" w:cs="Arial"/>
          <w:sz w:val="24"/>
          <w:szCs w:val="24"/>
        </w:rPr>
        <w:t>.</w:t>
      </w:r>
      <w:r w:rsidRPr="00EB5EE1">
        <w:rPr>
          <w:rFonts w:ascii="Arial" w:hAnsi="Arial" w:cs="Arial"/>
          <w:sz w:val="24"/>
          <w:szCs w:val="24"/>
        </w:rPr>
        <w:t xml:space="preserve"> 'Oppression Must Fall: South Africa’s Revolution in Theory', </w:t>
      </w:r>
      <w:r w:rsidRPr="00EB5EE1">
        <w:rPr>
          <w:rFonts w:ascii="Arial" w:hAnsi="Arial" w:cs="Arial"/>
          <w:i/>
          <w:iCs/>
          <w:sz w:val="24"/>
          <w:szCs w:val="24"/>
        </w:rPr>
        <w:t>World Policy Journal</w:t>
      </w:r>
      <w:r w:rsidRPr="00EB5EE1">
        <w:rPr>
          <w:rFonts w:ascii="Arial" w:hAnsi="Arial" w:cs="Arial"/>
          <w:sz w:val="24"/>
          <w:szCs w:val="24"/>
        </w:rPr>
        <w:t>, 33(1), pp. 30</w:t>
      </w:r>
      <w:r w:rsidR="007649C0">
        <w:rPr>
          <w:rFonts w:ascii="Arial" w:hAnsi="Arial" w:cs="Arial"/>
          <w:sz w:val="24"/>
          <w:szCs w:val="24"/>
        </w:rPr>
        <w:t>–</w:t>
      </w:r>
      <w:r w:rsidRPr="00EB5EE1">
        <w:rPr>
          <w:rFonts w:ascii="Arial" w:hAnsi="Arial" w:cs="Arial"/>
          <w:sz w:val="24"/>
          <w:szCs w:val="24"/>
        </w:rPr>
        <w:t xml:space="preserve">37. Available at: </w:t>
      </w:r>
      <w:hyperlink r:id="rId280" w:history="1">
        <w:r w:rsidRPr="007D0B0F">
          <w:rPr>
            <w:rStyle w:val="Hyperlink"/>
            <w:rFonts w:ascii="Arial" w:hAnsi="Arial" w:cs="Arial"/>
            <w:sz w:val="24"/>
            <w:szCs w:val="24"/>
          </w:rPr>
          <w:t>https://muse.jhu.edu/pub/4/article/613174/summary</w:t>
        </w:r>
      </w:hyperlink>
      <w:r>
        <w:rPr>
          <w:rFonts w:ascii="Arial" w:hAnsi="Arial" w:cs="Arial"/>
          <w:sz w:val="24"/>
          <w:szCs w:val="24"/>
        </w:rPr>
        <w:t xml:space="preserve"> </w:t>
      </w:r>
      <w:r w:rsidRPr="00EB5EE1">
        <w:rPr>
          <w:rFonts w:ascii="Arial" w:hAnsi="Arial" w:cs="Arial"/>
          <w:sz w:val="24"/>
          <w:szCs w:val="24"/>
        </w:rPr>
        <w:t xml:space="preserve"> (Accessed: 23 March 2026).</w:t>
      </w:r>
    </w:p>
    <w:p w14:paraId="46F0A2D6" w14:textId="23D08CB8" w:rsidR="0085399C" w:rsidRDefault="0085399C" w:rsidP="009E58ED">
      <w:pPr>
        <w:spacing w:line="360" w:lineRule="auto"/>
        <w:jc w:val="both"/>
        <w:rPr>
          <w:rFonts w:ascii="Arial" w:hAnsi="Arial" w:cs="Arial"/>
          <w:sz w:val="24"/>
          <w:szCs w:val="24"/>
        </w:rPr>
      </w:pPr>
      <w:r w:rsidRPr="0085399C">
        <w:rPr>
          <w:rFonts w:ascii="Arial" w:hAnsi="Arial" w:cs="Arial"/>
          <w:sz w:val="24"/>
          <w:szCs w:val="24"/>
        </w:rPr>
        <w:t>Mocombe, P., Tomlin, C., and Wright, C. (2014). 'Race and class distinctions within black communities in the United States and United Kingdom: a reading in phenomenological structuralism', African and Black Diaspora: An International Journal, 8(1), pp. 111</w:t>
      </w:r>
      <w:r w:rsidR="007649C0">
        <w:rPr>
          <w:rFonts w:ascii="Arial" w:hAnsi="Arial" w:cs="Arial"/>
          <w:sz w:val="24"/>
          <w:szCs w:val="24"/>
        </w:rPr>
        <w:t>–</w:t>
      </w:r>
      <w:r w:rsidRPr="0085399C">
        <w:rPr>
          <w:rFonts w:ascii="Arial" w:hAnsi="Arial" w:cs="Arial"/>
          <w:sz w:val="24"/>
          <w:szCs w:val="24"/>
        </w:rPr>
        <w:t xml:space="preserve">125. Available at: </w:t>
      </w:r>
      <w:hyperlink r:id="rId281" w:anchor="d1e154" w:history="1">
        <w:r w:rsidRPr="002F0426">
          <w:rPr>
            <w:rStyle w:val="Hyperlink"/>
            <w:rFonts w:ascii="Arial" w:hAnsi="Arial" w:cs="Arial"/>
            <w:sz w:val="24"/>
            <w:szCs w:val="24"/>
          </w:rPr>
          <w:t>https://www-tandfonline-com.uwtsd.idm.oclc.org/doi/full/10.1080/17528631.2014.972703#d1e154</w:t>
        </w:r>
      </w:hyperlink>
      <w:r>
        <w:rPr>
          <w:rFonts w:ascii="Arial" w:hAnsi="Arial" w:cs="Arial"/>
          <w:sz w:val="24"/>
          <w:szCs w:val="24"/>
        </w:rPr>
        <w:t xml:space="preserve"> </w:t>
      </w:r>
      <w:r w:rsidRPr="0085399C">
        <w:rPr>
          <w:rFonts w:ascii="Arial" w:hAnsi="Arial" w:cs="Arial"/>
          <w:sz w:val="24"/>
          <w:szCs w:val="24"/>
        </w:rPr>
        <w:t>(Accessed: 18 March 2026).</w:t>
      </w:r>
    </w:p>
    <w:p w14:paraId="1E67BD01" w14:textId="1861A35E" w:rsidR="00024A66" w:rsidRDefault="00024A66" w:rsidP="009E58ED">
      <w:pPr>
        <w:spacing w:line="360" w:lineRule="auto"/>
        <w:jc w:val="both"/>
        <w:rPr>
          <w:rFonts w:ascii="Arial" w:hAnsi="Arial" w:cs="Arial"/>
          <w:sz w:val="24"/>
          <w:szCs w:val="24"/>
        </w:rPr>
      </w:pPr>
      <w:r w:rsidRPr="00024A66">
        <w:rPr>
          <w:rFonts w:ascii="Arial" w:hAnsi="Arial" w:cs="Arial"/>
          <w:sz w:val="24"/>
          <w:szCs w:val="24"/>
        </w:rPr>
        <w:t>Moore, A., Nguyen, A., and Martinez, L. (2021)</w:t>
      </w:r>
      <w:r>
        <w:rPr>
          <w:rFonts w:ascii="Arial" w:hAnsi="Arial" w:cs="Arial"/>
          <w:sz w:val="24"/>
          <w:szCs w:val="24"/>
        </w:rPr>
        <w:t>.</w:t>
      </w:r>
      <w:r w:rsidRPr="00024A66">
        <w:rPr>
          <w:rFonts w:ascii="Arial" w:hAnsi="Arial" w:cs="Arial"/>
          <w:sz w:val="24"/>
          <w:szCs w:val="24"/>
        </w:rPr>
        <w:t xml:space="preserve"> 'A qualitative examination of the impacts of financial stress on college students’ well-being: Insights from a large, private institution', Sage Open Medicine, 9. Available at:  </w:t>
      </w:r>
      <w:hyperlink r:id="rId282" w:history="1">
        <w:r w:rsidRPr="007D0B0F">
          <w:rPr>
            <w:rStyle w:val="Hyperlink"/>
            <w:rFonts w:ascii="Arial" w:hAnsi="Arial" w:cs="Arial"/>
            <w:sz w:val="24"/>
            <w:szCs w:val="24"/>
          </w:rPr>
          <w:t>https://journals.sagepub.com/doi/full/10.1177/20503121211018122</w:t>
        </w:r>
      </w:hyperlink>
      <w:r>
        <w:rPr>
          <w:rFonts w:ascii="Arial" w:hAnsi="Arial" w:cs="Arial"/>
          <w:sz w:val="24"/>
          <w:szCs w:val="24"/>
        </w:rPr>
        <w:t xml:space="preserve"> </w:t>
      </w:r>
      <w:r w:rsidRPr="00024A66">
        <w:rPr>
          <w:rFonts w:ascii="Arial" w:hAnsi="Arial" w:cs="Arial"/>
          <w:sz w:val="24"/>
          <w:szCs w:val="24"/>
        </w:rPr>
        <w:t>(Accessed: 2 April 2026).</w:t>
      </w:r>
    </w:p>
    <w:p w14:paraId="159FD8D6" w14:textId="6BA83284" w:rsidR="00EC721A" w:rsidRDefault="00EC721A" w:rsidP="009E58ED">
      <w:pPr>
        <w:spacing w:line="360" w:lineRule="auto"/>
        <w:jc w:val="both"/>
        <w:rPr>
          <w:rFonts w:ascii="Arial" w:hAnsi="Arial" w:cs="Arial"/>
          <w:sz w:val="24"/>
          <w:szCs w:val="24"/>
        </w:rPr>
      </w:pPr>
      <w:r w:rsidRPr="00EC721A">
        <w:rPr>
          <w:rFonts w:ascii="Arial" w:hAnsi="Arial" w:cs="Arial"/>
          <w:sz w:val="24"/>
          <w:szCs w:val="24"/>
          <w:lang w:val="pt-BR"/>
        </w:rPr>
        <w:t xml:space="preserve">Mora, M., Dávila, and A. (2014). </w:t>
      </w:r>
      <w:r w:rsidRPr="00EC721A">
        <w:rPr>
          <w:rFonts w:ascii="Arial" w:hAnsi="Arial" w:cs="Arial"/>
          <w:sz w:val="24"/>
          <w:szCs w:val="24"/>
        </w:rPr>
        <w:t>'Gender and Business Outcomes of Black and Hispanic New Entrepreneurs in the United States', The American Economic Review, 104(5), pp. 245</w:t>
      </w:r>
      <w:r>
        <w:rPr>
          <w:rFonts w:ascii="Arial" w:hAnsi="Arial" w:cs="Arial"/>
          <w:sz w:val="24"/>
          <w:szCs w:val="24"/>
        </w:rPr>
        <w:t>–</w:t>
      </w:r>
      <w:r w:rsidRPr="00EC721A">
        <w:rPr>
          <w:rFonts w:ascii="Arial" w:hAnsi="Arial" w:cs="Arial"/>
          <w:sz w:val="24"/>
          <w:szCs w:val="24"/>
        </w:rPr>
        <w:t xml:space="preserve">249. Available at: </w:t>
      </w:r>
      <w:hyperlink r:id="rId283" w:history="1">
        <w:r w:rsidRPr="007D0B0F">
          <w:rPr>
            <w:rStyle w:val="Hyperlink"/>
            <w:rFonts w:ascii="Arial" w:hAnsi="Arial" w:cs="Arial"/>
            <w:sz w:val="24"/>
            <w:szCs w:val="24"/>
          </w:rPr>
          <w:t>https://www.proquest.com/docview/1524907597?pq-origsite=gscholar&amp;fromopenview=true&amp;sourcetype=Scholarly%20Journals</w:t>
        </w:r>
      </w:hyperlink>
      <w:r>
        <w:rPr>
          <w:rFonts w:ascii="Arial" w:hAnsi="Arial" w:cs="Arial"/>
          <w:sz w:val="24"/>
          <w:szCs w:val="24"/>
        </w:rPr>
        <w:t xml:space="preserve"> </w:t>
      </w:r>
      <w:r w:rsidRPr="00EC721A">
        <w:rPr>
          <w:rFonts w:ascii="Arial" w:hAnsi="Arial" w:cs="Arial"/>
          <w:sz w:val="24"/>
          <w:szCs w:val="24"/>
        </w:rPr>
        <w:t>(Accessed: 28 March 2026).</w:t>
      </w:r>
    </w:p>
    <w:p w14:paraId="15D79C5D" w14:textId="41FE913E" w:rsidR="00020CFA" w:rsidRDefault="00020CFA" w:rsidP="009E58ED">
      <w:pPr>
        <w:spacing w:line="360" w:lineRule="auto"/>
        <w:jc w:val="both"/>
        <w:rPr>
          <w:rFonts w:ascii="Arial" w:hAnsi="Arial" w:cs="Arial"/>
          <w:sz w:val="24"/>
          <w:szCs w:val="24"/>
        </w:rPr>
      </w:pPr>
      <w:r w:rsidRPr="00020CFA">
        <w:rPr>
          <w:rFonts w:ascii="Arial" w:hAnsi="Arial" w:cs="Arial"/>
          <w:sz w:val="24"/>
          <w:szCs w:val="24"/>
        </w:rPr>
        <w:t xml:space="preserve">Morgan, C., Fearon, P., Lappin, J., Heslin, M., Donoghue, K., Lomas, B., </w:t>
      </w:r>
      <w:proofErr w:type="spellStart"/>
      <w:r w:rsidRPr="00020CFA">
        <w:rPr>
          <w:rFonts w:ascii="Arial" w:hAnsi="Arial" w:cs="Arial"/>
          <w:sz w:val="24"/>
          <w:szCs w:val="24"/>
        </w:rPr>
        <w:t>Reininghaus</w:t>
      </w:r>
      <w:proofErr w:type="spellEnd"/>
      <w:r w:rsidRPr="00020CFA">
        <w:rPr>
          <w:rFonts w:ascii="Arial" w:hAnsi="Arial" w:cs="Arial"/>
          <w:sz w:val="24"/>
          <w:szCs w:val="24"/>
        </w:rPr>
        <w:t xml:space="preserve">, U., </w:t>
      </w:r>
      <w:proofErr w:type="spellStart"/>
      <w:r w:rsidRPr="00020CFA">
        <w:rPr>
          <w:rFonts w:ascii="Arial" w:hAnsi="Arial" w:cs="Arial"/>
          <w:sz w:val="24"/>
          <w:szCs w:val="24"/>
        </w:rPr>
        <w:t>Onyejiaka</w:t>
      </w:r>
      <w:proofErr w:type="spellEnd"/>
      <w:r w:rsidRPr="00020CFA">
        <w:rPr>
          <w:rFonts w:ascii="Arial" w:hAnsi="Arial" w:cs="Arial"/>
          <w:sz w:val="24"/>
          <w:szCs w:val="24"/>
        </w:rPr>
        <w:t xml:space="preserve">, A., </w:t>
      </w:r>
      <w:proofErr w:type="spellStart"/>
      <w:r w:rsidRPr="00020CFA">
        <w:rPr>
          <w:rFonts w:ascii="Arial" w:hAnsi="Arial" w:cs="Arial"/>
          <w:sz w:val="24"/>
          <w:szCs w:val="24"/>
        </w:rPr>
        <w:t>Croudance</w:t>
      </w:r>
      <w:proofErr w:type="spellEnd"/>
      <w:r w:rsidRPr="00020CFA">
        <w:rPr>
          <w:rFonts w:ascii="Arial" w:hAnsi="Arial" w:cs="Arial"/>
          <w:sz w:val="24"/>
          <w:szCs w:val="24"/>
        </w:rPr>
        <w:t xml:space="preserve">, T., Jones, P., Murray, R., Doody, G., and </w:t>
      </w:r>
      <w:proofErr w:type="spellStart"/>
      <w:r w:rsidRPr="00020CFA">
        <w:rPr>
          <w:rFonts w:ascii="Arial" w:hAnsi="Arial" w:cs="Arial"/>
          <w:sz w:val="24"/>
          <w:szCs w:val="24"/>
        </w:rPr>
        <w:t>Dazzan</w:t>
      </w:r>
      <w:proofErr w:type="spellEnd"/>
      <w:r w:rsidRPr="00020CFA">
        <w:rPr>
          <w:rFonts w:ascii="Arial" w:hAnsi="Arial" w:cs="Arial"/>
          <w:sz w:val="24"/>
          <w:szCs w:val="24"/>
        </w:rPr>
        <w:t xml:space="preserve">, P. (2017) 'Ethnicity and Long-term Course and Outcome of Psychotic Disorders in a UK Sample: the ÆSOP-10 study.', The British Journal of Psychiatry. pp. 1-24. Available at: </w:t>
      </w:r>
      <w:hyperlink r:id="rId284" w:history="1">
        <w:r w:rsidRPr="007D0B0F">
          <w:rPr>
            <w:rStyle w:val="Hyperlink"/>
            <w:rFonts w:ascii="Arial" w:hAnsi="Arial" w:cs="Arial"/>
            <w:sz w:val="24"/>
            <w:szCs w:val="24"/>
          </w:rPr>
          <w:t>https://www.researchgate.net/profile/Peter-Jones-65/publication/318527587_Ethnicity_and_long-term_course_and_outcome_of_psychotic_disorders_in_a_UK_sample_the_AESOP-</w:t>
        </w:r>
        <w:r w:rsidRPr="007D0B0F">
          <w:rPr>
            <w:rStyle w:val="Hyperlink"/>
            <w:rFonts w:ascii="Arial" w:hAnsi="Arial" w:cs="Arial"/>
            <w:sz w:val="24"/>
            <w:szCs w:val="24"/>
          </w:rPr>
          <w:lastRenderedPageBreak/>
          <w:t>10_study/links/598865a845851560584f49b9/Ethnicity-and-long-term-course-and-outcome-of-psychotic-disorders-in-a-UK-sample-the-AESOP-10-study.pdf</w:t>
        </w:r>
      </w:hyperlink>
      <w:r>
        <w:rPr>
          <w:rFonts w:ascii="Arial" w:hAnsi="Arial" w:cs="Arial"/>
          <w:sz w:val="24"/>
          <w:szCs w:val="24"/>
        </w:rPr>
        <w:t xml:space="preserve"> </w:t>
      </w:r>
      <w:r w:rsidRPr="00020CFA">
        <w:rPr>
          <w:rFonts w:ascii="Arial" w:hAnsi="Arial" w:cs="Arial"/>
          <w:sz w:val="24"/>
          <w:szCs w:val="24"/>
        </w:rPr>
        <w:t>(Accessed: 30 March 2026).</w:t>
      </w:r>
    </w:p>
    <w:p w14:paraId="4C47A398" w14:textId="009997F7" w:rsidR="00E02915" w:rsidRDefault="00E02915" w:rsidP="009E58ED">
      <w:pPr>
        <w:spacing w:line="360" w:lineRule="auto"/>
        <w:jc w:val="both"/>
        <w:rPr>
          <w:rFonts w:ascii="Arial" w:hAnsi="Arial" w:cs="Arial"/>
          <w:sz w:val="24"/>
          <w:szCs w:val="24"/>
        </w:rPr>
      </w:pPr>
      <w:r w:rsidRPr="00E02915">
        <w:rPr>
          <w:rFonts w:ascii="Arial" w:hAnsi="Arial" w:cs="Arial"/>
          <w:sz w:val="24"/>
          <w:szCs w:val="24"/>
        </w:rPr>
        <w:t xml:space="preserve">Mullen, J., Blake, M., Crook, J., and Martin, C. (2014). The Young Review: Improving outcomes for young black and/or Muslim men in the Criminal Justice System. The Young Review, Available at: </w:t>
      </w:r>
      <w:hyperlink r:id="rId285" w:history="1">
        <w:r w:rsidRPr="00172D15">
          <w:rPr>
            <w:rStyle w:val="Hyperlink"/>
            <w:rFonts w:ascii="Arial" w:hAnsi="Arial" w:cs="Arial"/>
            <w:sz w:val="24"/>
            <w:szCs w:val="24"/>
          </w:rPr>
          <w:t>https://t2a.org.uk/wp-content/uploads/2014/12/clinks_young-review_report_FINAL-WEB.pdf</w:t>
        </w:r>
      </w:hyperlink>
      <w:r>
        <w:rPr>
          <w:rFonts w:ascii="Arial" w:hAnsi="Arial" w:cs="Arial"/>
          <w:sz w:val="24"/>
          <w:szCs w:val="24"/>
        </w:rPr>
        <w:t xml:space="preserve"> </w:t>
      </w:r>
      <w:r w:rsidRPr="00E02915">
        <w:rPr>
          <w:rFonts w:ascii="Arial" w:hAnsi="Arial" w:cs="Arial"/>
          <w:sz w:val="24"/>
          <w:szCs w:val="24"/>
        </w:rPr>
        <w:t>(Accessed: 5 April 2026).</w:t>
      </w:r>
    </w:p>
    <w:p w14:paraId="746CA232" w14:textId="53CE9369" w:rsidR="00130FCD" w:rsidRDefault="00130FCD" w:rsidP="009E58ED">
      <w:pPr>
        <w:spacing w:line="360" w:lineRule="auto"/>
        <w:jc w:val="both"/>
        <w:rPr>
          <w:rFonts w:ascii="Arial" w:hAnsi="Arial" w:cs="Arial"/>
          <w:sz w:val="24"/>
          <w:szCs w:val="24"/>
        </w:rPr>
      </w:pPr>
      <w:r w:rsidRPr="00130FCD">
        <w:rPr>
          <w:rFonts w:ascii="Arial" w:hAnsi="Arial" w:cs="Arial"/>
          <w:sz w:val="24"/>
          <w:szCs w:val="24"/>
        </w:rPr>
        <w:t xml:space="preserve">Muller, C., Blake-Beard, S., </w:t>
      </w:r>
      <w:proofErr w:type="spellStart"/>
      <w:r w:rsidRPr="00130FCD">
        <w:rPr>
          <w:rFonts w:ascii="Arial" w:hAnsi="Arial" w:cs="Arial"/>
          <w:sz w:val="24"/>
          <w:szCs w:val="24"/>
        </w:rPr>
        <w:t>Barsion</w:t>
      </w:r>
      <w:proofErr w:type="spellEnd"/>
      <w:r w:rsidRPr="00130FCD">
        <w:rPr>
          <w:rFonts w:ascii="Arial" w:hAnsi="Arial" w:cs="Arial"/>
          <w:sz w:val="24"/>
          <w:szCs w:val="24"/>
        </w:rPr>
        <w:t>, S., and Wotipka, C. (2012)</w:t>
      </w:r>
      <w:r w:rsidR="007649C0">
        <w:rPr>
          <w:rFonts w:ascii="Arial" w:hAnsi="Arial" w:cs="Arial"/>
          <w:sz w:val="24"/>
          <w:szCs w:val="24"/>
        </w:rPr>
        <w:t>.</w:t>
      </w:r>
      <w:r w:rsidRPr="00130FCD">
        <w:rPr>
          <w:rFonts w:ascii="Arial" w:hAnsi="Arial" w:cs="Arial"/>
          <w:sz w:val="24"/>
          <w:szCs w:val="24"/>
        </w:rPr>
        <w:t xml:space="preserve"> 'Learning </w:t>
      </w:r>
      <w:r w:rsidR="005005F1" w:rsidRPr="00130FCD">
        <w:rPr>
          <w:rFonts w:ascii="Arial" w:hAnsi="Arial" w:cs="Arial"/>
          <w:sz w:val="24"/>
          <w:szCs w:val="24"/>
        </w:rPr>
        <w:t>from</w:t>
      </w:r>
      <w:r w:rsidRPr="00130FCD">
        <w:rPr>
          <w:rFonts w:ascii="Arial" w:hAnsi="Arial" w:cs="Arial"/>
          <w:sz w:val="24"/>
          <w:szCs w:val="24"/>
        </w:rPr>
        <w:t xml:space="preserve"> the Experiences of Women of </w:t>
      </w:r>
      <w:proofErr w:type="spellStart"/>
      <w:r w:rsidRPr="00130FCD">
        <w:rPr>
          <w:rFonts w:ascii="Arial" w:hAnsi="Arial" w:cs="Arial"/>
          <w:sz w:val="24"/>
          <w:szCs w:val="24"/>
        </w:rPr>
        <w:t>Color</w:t>
      </w:r>
      <w:proofErr w:type="spellEnd"/>
      <w:r w:rsidRPr="00130FCD">
        <w:rPr>
          <w:rFonts w:ascii="Arial" w:hAnsi="Arial" w:cs="Arial"/>
          <w:sz w:val="24"/>
          <w:szCs w:val="24"/>
        </w:rPr>
        <w:t xml:space="preserve"> in </w:t>
      </w:r>
      <w:proofErr w:type="spellStart"/>
      <w:r w:rsidRPr="00130FCD">
        <w:rPr>
          <w:rFonts w:ascii="Arial" w:hAnsi="Arial" w:cs="Arial"/>
          <w:sz w:val="24"/>
          <w:szCs w:val="24"/>
        </w:rPr>
        <w:t>Mentornet's</w:t>
      </w:r>
      <w:proofErr w:type="spellEnd"/>
      <w:r w:rsidRPr="00130FCD">
        <w:rPr>
          <w:rFonts w:ascii="Arial" w:hAnsi="Arial" w:cs="Arial"/>
          <w:sz w:val="24"/>
          <w:szCs w:val="24"/>
        </w:rPr>
        <w:t xml:space="preserve"> One-on-One Program', </w:t>
      </w:r>
      <w:r w:rsidRPr="00130FCD">
        <w:rPr>
          <w:rFonts w:ascii="Arial" w:hAnsi="Arial" w:cs="Arial"/>
          <w:i/>
          <w:iCs/>
          <w:sz w:val="24"/>
          <w:szCs w:val="24"/>
        </w:rPr>
        <w:t>Journal of Women and Minorities in Science and Engineering</w:t>
      </w:r>
      <w:r w:rsidRPr="00130FCD">
        <w:rPr>
          <w:rFonts w:ascii="Arial" w:hAnsi="Arial" w:cs="Arial"/>
          <w:sz w:val="24"/>
          <w:szCs w:val="24"/>
        </w:rPr>
        <w:t>, 18(4), pp. 315</w:t>
      </w:r>
      <w:r w:rsidR="007649C0">
        <w:rPr>
          <w:rFonts w:ascii="Arial" w:hAnsi="Arial" w:cs="Arial"/>
          <w:sz w:val="24"/>
          <w:szCs w:val="24"/>
        </w:rPr>
        <w:t>–</w:t>
      </w:r>
      <w:r w:rsidRPr="00130FCD">
        <w:rPr>
          <w:rFonts w:ascii="Arial" w:hAnsi="Arial" w:cs="Arial"/>
          <w:sz w:val="24"/>
          <w:szCs w:val="24"/>
        </w:rPr>
        <w:t xml:space="preserve">335. Available at: </w:t>
      </w:r>
      <w:hyperlink r:id="rId286" w:history="1">
        <w:r w:rsidR="005005F1" w:rsidRPr="00FB3832">
          <w:rPr>
            <w:rStyle w:val="Hyperlink"/>
            <w:rFonts w:ascii="Arial" w:hAnsi="Arial" w:cs="Arial"/>
            <w:sz w:val="24"/>
            <w:szCs w:val="24"/>
          </w:rPr>
          <w:t>https://searchworks.stanford.edu/view/ns646hk9492</w:t>
        </w:r>
      </w:hyperlink>
      <w:r w:rsidR="005005F1">
        <w:rPr>
          <w:rFonts w:ascii="Arial" w:hAnsi="Arial" w:cs="Arial"/>
          <w:sz w:val="24"/>
          <w:szCs w:val="24"/>
        </w:rPr>
        <w:t xml:space="preserve"> </w:t>
      </w:r>
      <w:r w:rsidRPr="00130FCD">
        <w:rPr>
          <w:rFonts w:ascii="Arial" w:hAnsi="Arial" w:cs="Arial"/>
          <w:sz w:val="24"/>
          <w:szCs w:val="24"/>
        </w:rPr>
        <w:t>(Accessed: 21 March 2026).</w:t>
      </w:r>
    </w:p>
    <w:p w14:paraId="4FBB5A30" w14:textId="1A281CBB" w:rsidR="00D8157B" w:rsidRDefault="00D8157B" w:rsidP="009E58ED">
      <w:pPr>
        <w:spacing w:line="360" w:lineRule="auto"/>
        <w:jc w:val="both"/>
        <w:rPr>
          <w:rFonts w:ascii="Arial" w:hAnsi="Arial" w:cs="Arial"/>
          <w:sz w:val="24"/>
          <w:szCs w:val="24"/>
        </w:rPr>
      </w:pPr>
      <w:r w:rsidRPr="00D8157B">
        <w:rPr>
          <w:rFonts w:ascii="Arial" w:hAnsi="Arial" w:cs="Arial"/>
          <w:sz w:val="24"/>
          <w:szCs w:val="24"/>
        </w:rPr>
        <w:t xml:space="preserve">Mullen, C., and </w:t>
      </w:r>
      <w:proofErr w:type="spellStart"/>
      <w:r w:rsidRPr="00D8157B">
        <w:rPr>
          <w:rFonts w:ascii="Arial" w:hAnsi="Arial" w:cs="Arial"/>
          <w:sz w:val="24"/>
          <w:szCs w:val="24"/>
        </w:rPr>
        <w:t>Klimaitis</w:t>
      </w:r>
      <w:proofErr w:type="spellEnd"/>
      <w:r w:rsidRPr="00D8157B">
        <w:rPr>
          <w:rFonts w:ascii="Arial" w:hAnsi="Arial" w:cs="Arial"/>
          <w:sz w:val="24"/>
          <w:szCs w:val="24"/>
        </w:rPr>
        <w:t>, C. (2021)</w:t>
      </w:r>
      <w:r w:rsidR="009D09C1">
        <w:rPr>
          <w:rFonts w:ascii="Arial" w:hAnsi="Arial" w:cs="Arial"/>
          <w:sz w:val="24"/>
          <w:szCs w:val="24"/>
        </w:rPr>
        <w:t>.</w:t>
      </w:r>
      <w:r w:rsidRPr="00D8157B">
        <w:rPr>
          <w:rFonts w:ascii="Arial" w:hAnsi="Arial" w:cs="Arial"/>
          <w:sz w:val="24"/>
          <w:szCs w:val="24"/>
        </w:rPr>
        <w:t xml:space="preserve"> 'Deﬁning mentoring: a literature review of issues, types, and applications', Annals of the New York Academy of Sciences, 1483(1), pp. 1-243. Available at: </w:t>
      </w:r>
      <w:hyperlink r:id="rId287" w:history="1">
        <w:r w:rsidRPr="007D0B0F">
          <w:rPr>
            <w:rStyle w:val="Hyperlink"/>
            <w:rFonts w:ascii="Arial" w:hAnsi="Arial" w:cs="Arial"/>
            <w:sz w:val="24"/>
            <w:szCs w:val="24"/>
          </w:rPr>
          <w:t>https://nyaspubs.onlinelibrary.wiley.com/doi/epdf/10.1111/nyas.14176?saml_referrer</w:t>
        </w:r>
      </w:hyperlink>
      <w:r>
        <w:rPr>
          <w:rFonts w:ascii="Arial" w:hAnsi="Arial" w:cs="Arial"/>
          <w:sz w:val="24"/>
          <w:szCs w:val="24"/>
        </w:rPr>
        <w:t xml:space="preserve"> </w:t>
      </w:r>
      <w:r w:rsidRPr="00D8157B">
        <w:rPr>
          <w:rFonts w:ascii="Arial" w:hAnsi="Arial" w:cs="Arial"/>
          <w:sz w:val="24"/>
          <w:szCs w:val="24"/>
        </w:rPr>
        <w:t>(Accessed: 24 March 2026).</w:t>
      </w:r>
    </w:p>
    <w:p w14:paraId="094DA50F" w14:textId="215EEFD2" w:rsidR="00934715" w:rsidRDefault="00934715" w:rsidP="009E58ED">
      <w:pPr>
        <w:spacing w:line="360" w:lineRule="auto"/>
        <w:jc w:val="both"/>
        <w:rPr>
          <w:rFonts w:ascii="Arial" w:hAnsi="Arial" w:cs="Arial"/>
          <w:sz w:val="24"/>
          <w:szCs w:val="24"/>
        </w:rPr>
      </w:pPr>
      <w:r w:rsidRPr="00934715">
        <w:rPr>
          <w:rFonts w:ascii="Arial" w:hAnsi="Arial" w:cs="Arial"/>
          <w:sz w:val="24"/>
          <w:szCs w:val="24"/>
        </w:rPr>
        <w:t>Mutlib, I. (2020)</w:t>
      </w:r>
      <w:r>
        <w:rPr>
          <w:rFonts w:ascii="Arial" w:hAnsi="Arial" w:cs="Arial"/>
          <w:sz w:val="24"/>
          <w:szCs w:val="24"/>
        </w:rPr>
        <w:t>.</w:t>
      </w:r>
      <w:r w:rsidRPr="00934715">
        <w:rPr>
          <w:rFonts w:ascii="Arial" w:hAnsi="Arial" w:cs="Arial"/>
          <w:sz w:val="24"/>
          <w:szCs w:val="24"/>
        </w:rPr>
        <w:t xml:space="preserve"> 'How employers are rising to the 20% challenge: increasing the uptake of degree apprentices from Black, Asian and Minority Ethnic backgrounds', Higher Education, Skills and Work-Based Learning, 10(4), pp. 643</w:t>
      </w:r>
      <w:r>
        <w:rPr>
          <w:rFonts w:ascii="Arial" w:hAnsi="Arial" w:cs="Arial"/>
          <w:sz w:val="24"/>
          <w:szCs w:val="24"/>
        </w:rPr>
        <w:t>–</w:t>
      </w:r>
      <w:r w:rsidRPr="00934715">
        <w:rPr>
          <w:rFonts w:ascii="Arial" w:hAnsi="Arial" w:cs="Arial"/>
          <w:sz w:val="24"/>
          <w:szCs w:val="24"/>
        </w:rPr>
        <w:t xml:space="preserve">649. Available at: </w:t>
      </w:r>
      <w:hyperlink r:id="rId288" w:history="1">
        <w:r w:rsidRPr="007D0B0F">
          <w:rPr>
            <w:rStyle w:val="Hyperlink"/>
            <w:rFonts w:ascii="Arial" w:hAnsi="Arial" w:cs="Arial"/>
            <w:sz w:val="24"/>
            <w:szCs w:val="24"/>
          </w:rPr>
          <w:t>https://www.proquest.com/docview/2498995020?accountid=130472&amp;parentSessionId=A7ZW0aoIAZntk2TuRm61ouRU6WRr9Qm1IHCD913gpx4%3D&amp;pq-origsite=primo&amp;sourcetype=Scholarly%20Journals#</w:t>
        </w:r>
      </w:hyperlink>
      <w:r>
        <w:rPr>
          <w:rFonts w:ascii="Arial" w:hAnsi="Arial" w:cs="Arial"/>
          <w:sz w:val="24"/>
          <w:szCs w:val="24"/>
        </w:rPr>
        <w:t xml:space="preserve"> </w:t>
      </w:r>
      <w:r w:rsidRPr="00934715">
        <w:rPr>
          <w:rFonts w:ascii="Arial" w:hAnsi="Arial" w:cs="Arial"/>
          <w:sz w:val="24"/>
          <w:szCs w:val="24"/>
        </w:rPr>
        <w:t>(Accessed: 26 March 2026).</w:t>
      </w:r>
    </w:p>
    <w:p w14:paraId="26801CBC" w14:textId="45AE54D9" w:rsidR="004F55E3" w:rsidRDefault="004F55E3" w:rsidP="009E58ED">
      <w:pPr>
        <w:spacing w:line="360" w:lineRule="auto"/>
        <w:jc w:val="both"/>
        <w:rPr>
          <w:rFonts w:ascii="Arial" w:hAnsi="Arial" w:cs="Arial"/>
          <w:sz w:val="24"/>
          <w:szCs w:val="24"/>
        </w:rPr>
      </w:pPr>
      <w:r w:rsidRPr="004F55E3">
        <w:rPr>
          <w:rFonts w:ascii="Arial" w:hAnsi="Arial" w:cs="Arial"/>
          <w:sz w:val="24"/>
          <w:szCs w:val="24"/>
        </w:rPr>
        <w:t>NAACP (2005). </w:t>
      </w:r>
      <w:r w:rsidRPr="004F55E3">
        <w:rPr>
          <w:rFonts w:ascii="Arial" w:hAnsi="Arial" w:cs="Arial"/>
          <w:i/>
          <w:iCs/>
          <w:sz w:val="24"/>
          <w:szCs w:val="24"/>
        </w:rPr>
        <w:t>Dismantling The School-to-Prison Pipeline.</w:t>
      </w:r>
      <w:r w:rsidRPr="004F55E3">
        <w:rPr>
          <w:rFonts w:ascii="Arial" w:hAnsi="Arial" w:cs="Arial"/>
          <w:sz w:val="24"/>
          <w:szCs w:val="24"/>
        </w:rPr>
        <w:t xml:space="preserve"> Available at: </w:t>
      </w:r>
      <w:hyperlink r:id="rId289" w:history="1">
        <w:r w:rsidRPr="007D0B0F">
          <w:rPr>
            <w:rStyle w:val="Hyperlink"/>
            <w:rFonts w:ascii="Arial" w:hAnsi="Arial" w:cs="Arial"/>
            <w:sz w:val="24"/>
            <w:szCs w:val="24"/>
          </w:rPr>
          <w:t>https://www.naacpldf.org/wp-content/uploads/Dismantling_the_School_to_Prison_Pipeline-1.pdf</w:t>
        </w:r>
      </w:hyperlink>
      <w:r>
        <w:rPr>
          <w:rFonts w:ascii="Arial" w:hAnsi="Arial" w:cs="Arial"/>
          <w:sz w:val="24"/>
          <w:szCs w:val="24"/>
        </w:rPr>
        <w:t xml:space="preserve"> </w:t>
      </w:r>
      <w:r w:rsidRPr="004F55E3">
        <w:rPr>
          <w:rFonts w:ascii="Arial" w:hAnsi="Arial" w:cs="Arial"/>
          <w:sz w:val="24"/>
          <w:szCs w:val="24"/>
        </w:rPr>
        <w:t>(Accessed: 22 March 2026).</w:t>
      </w:r>
    </w:p>
    <w:p w14:paraId="096E670F" w14:textId="6814D284" w:rsidR="00432BE8" w:rsidRDefault="00432BE8" w:rsidP="009E58ED">
      <w:pPr>
        <w:spacing w:line="360" w:lineRule="auto"/>
        <w:jc w:val="both"/>
        <w:rPr>
          <w:rFonts w:ascii="Arial" w:hAnsi="Arial" w:cs="Arial"/>
          <w:sz w:val="24"/>
          <w:szCs w:val="24"/>
        </w:rPr>
      </w:pPr>
      <w:r w:rsidRPr="00432BE8">
        <w:rPr>
          <w:rFonts w:ascii="Arial" w:hAnsi="Arial" w:cs="Arial"/>
          <w:sz w:val="24"/>
          <w:szCs w:val="24"/>
        </w:rPr>
        <w:lastRenderedPageBreak/>
        <w:t>Nathaniel, P. (2022)</w:t>
      </w:r>
      <w:r w:rsidR="009D09C1">
        <w:rPr>
          <w:rFonts w:ascii="Arial" w:hAnsi="Arial" w:cs="Arial"/>
          <w:sz w:val="24"/>
          <w:szCs w:val="24"/>
        </w:rPr>
        <w:t>.</w:t>
      </w:r>
      <w:r w:rsidRPr="00432BE8">
        <w:rPr>
          <w:rFonts w:ascii="Arial" w:hAnsi="Arial" w:cs="Arial"/>
          <w:sz w:val="24"/>
          <w:szCs w:val="24"/>
        </w:rPr>
        <w:t> </w:t>
      </w:r>
      <w:r w:rsidRPr="00432BE8">
        <w:rPr>
          <w:rFonts w:ascii="Arial" w:hAnsi="Arial" w:cs="Arial"/>
          <w:i/>
          <w:iCs/>
          <w:sz w:val="24"/>
          <w:szCs w:val="24"/>
        </w:rPr>
        <w:t xml:space="preserve">The Final Chapter of a </w:t>
      </w:r>
      <w:r w:rsidR="009D09C1">
        <w:rPr>
          <w:rFonts w:ascii="Arial" w:hAnsi="Arial" w:cs="Arial"/>
          <w:i/>
          <w:iCs/>
          <w:sz w:val="24"/>
          <w:szCs w:val="24"/>
        </w:rPr>
        <w:t>PhD</w:t>
      </w:r>
      <w:r w:rsidRPr="00432BE8">
        <w:rPr>
          <w:rFonts w:ascii="Arial" w:hAnsi="Arial" w:cs="Arial"/>
          <w:i/>
          <w:iCs/>
          <w:sz w:val="24"/>
          <w:szCs w:val="24"/>
        </w:rPr>
        <w:t>. Thesis</w:t>
      </w:r>
      <w:r w:rsidRPr="00432BE8">
        <w:rPr>
          <w:rFonts w:ascii="Arial" w:hAnsi="Arial" w:cs="Arial"/>
          <w:sz w:val="24"/>
          <w:szCs w:val="24"/>
        </w:rPr>
        <w:t>. P</w:t>
      </w:r>
      <w:r w:rsidR="00D4258C">
        <w:rPr>
          <w:rFonts w:ascii="Arial" w:hAnsi="Arial" w:cs="Arial"/>
          <w:sz w:val="24"/>
          <w:szCs w:val="24"/>
        </w:rPr>
        <w:t>h.</w:t>
      </w:r>
      <w:r w:rsidRPr="00432BE8">
        <w:rPr>
          <w:rFonts w:ascii="Arial" w:hAnsi="Arial" w:cs="Arial"/>
          <w:sz w:val="24"/>
          <w:szCs w:val="24"/>
        </w:rPr>
        <w:t xml:space="preserve">D. Afe Babalola University. Available at: </w:t>
      </w:r>
      <w:hyperlink r:id="rId290" w:history="1">
        <w:r w:rsidRPr="001228C1">
          <w:rPr>
            <w:rStyle w:val="Hyperlink"/>
            <w:rFonts w:ascii="Arial" w:hAnsi="Arial" w:cs="Arial"/>
            <w:sz w:val="24"/>
            <w:szCs w:val="24"/>
          </w:rPr>
          <w:t>https://papers.ssrn.com/sol3/papers.cfm?abstract_id=4150307</w:t>
        </w:r>
      </w:hyperlink>
      <w:r>
        <w:rPr>
          <w:rFonts w:ascii="Arial" w:hAnsi="Arial" w:cs="Arial"/>
          <w:sz w:val="24"/>
          <w:szCs w:val="24"/>
        </w:rPr>
        <w:t xml:space="preserve"> </w:t>
      </w:r>
      <w:r w:rsidRPr="00432BE8">
        <w:rPr>
          <w:rFonts w:ascii="Arial" w:hAnsi="Arial" w:cs="Arial"/>
          <w:sz w:val="24"/>
          <w:szCs w:val="24"/>
        </w:rPr>
        <w:t>(Accessed: 12 March 2026).</w:t>
      </w:r>
    </w:p>
    <w:p w14:paraId="25B4B9F5" w14:textId="25C4B455" w:rsidR="00C76AB3" w:rsidRDefault="00C76AB3" w:rsidP="009E58ED">
      <w:pPr>
        <w:spacing w:line="360" w:lineRule="auto"/>
        <w:jc w:val="both"/>
        <w:rPr>
          <w:rFonts w:ascii="Arial" w:hAnsi="Arial" w:cs="Arial"/>
          <w:sz w:val="24"/>
          <w:szCs w:val="24"/>
        </w:rPr>
      </w:pPr>
      <w:r w:rsidRPr="00C76AB3">
        <w:rPr>
          <w:rFonts w:ascii="Arial" w:hAnsi="Arial" w:cs="Arial"/>
          <w:sz w:val="24"/>
          <w:szCs w:val="24"/>
        </w:rPr>
        <w:t xml:space="preserve">National Union of Students (2022) Student Cost of Living Report. National Union of Students Available at: </w:t>
      </w:r>
      <w:hyperlink r:id="rId291" w:history="1">
        <w:r w:rsidRPr="007D0B0F">
          <w:rPr>
            <w:rStyle w:val="Hyperlink"/>
            <w:rFonts w:ascii="Arial" w:hAnsi="Arial" w:cs="Arial"/>
            <w:sz w:val="24"/>
            <w:szCs w:val="24"/>
          </w:rPr>
          <w:t>https://assets.nationbuilder.com/nus/pages/37/attachments/original/1666093713/Student_Cost_of_Living_-_NUS_report.pdf</w:t>
        </w:r>
      </w:hyperlink>
      <w:r>
        <w:rPr>
          <w:rFonts w:ascii="Arial" w:hAnsi="Arial" w:cs="Arial"/>
          <w:sz w:val="24"/>
          <w:szCs w:val="24"/>
        </w:rPr>
        <w:t xml:space="preserve"> </w:t>
      </w:r>
      <w:r w:rsidRPr="00C76AB3">
        <w:rPr>
          <w:rFonts w:ascii="Arial" w:hAnsi="Arial" w:cs="Arial"/>
          <w:sz w:val="24"/>
          <w:szCs w:val="24"/>
        </w:rPr>
        <w:t>(Accessed: 2 April 2026).</w:t>
      </w:r>
    </w:p>
    <w:p w14:paraId="7D6E8285" w14:textId="73D793EB" w:rsidR="00C015CF" w:rsidRDefault="00C015CF" w:rsidP="009E58ED">
      <w:pPr>
        <w:spacing w:line="360" w:lineRule="auto"/>
        <w:jc w:val="both"/>
        <w:rPr>
          <w:rFonts w:ascii="Arial" w:hAnsi="Arial" w:cs="Arial"/>
          <w:sz w:val="24"/>
          <w:szCs w:val="24"/>
        </w:rPr>
      </w:pPr>
      <w:r w:rsidRPr="00C015CF">
        <w:rPr>
          <w:rFonts w:ascii="Arial" w:hAnsi="Arial" w:cs="Arial"/>
          <w:sz w:val="24"/>
          <w:szCs w:val="24"/>
        </w:rPr>
        <w:t>Nelson, J. (2016)</w:t>
      </w:r>
      <w:r w:rsidR="009D09C1">
        <w:rPr>
          <w:rFonts w:ascii="Arial" w:hAnsi="Arial" w:cs="Arial"/>
          <w:sz w:val="24"/>
          <w:szCs w:val="24"/>
        </w:rPr>
        <w:t>.</w:t>
      </w:r>
      <w:r w:rsidRPr="00C015CF">
        <w:rPr>
          <w:rFonts w:ascii="Arial" w:hAnsi="Arial" w:cs="Arial"/>
          <w:sz w:val="24"/>
          <w:szCs w:val="24"/>
        </w:rPr>
        <w:t xml:space="preserve"> 'Relational Teaching with Black Boys: Strategies for Learning at a Single-Sex Middle School for Boys of </w:t>
      </w:r>
      <w:proofErr w:type="spellStart"/>
      <w:r w:rsidRPr="00C015CF">
        <w:rPr>
          <w:rFonts w:ascii="Arial" w:hAnsi="Arial" w:cs="Arial"/>
          <w:sz w:val="24"/>
          <w:szCs w:val="24"/>
        </w:rPr>
        <w:t>Color</w:t>
      </w:r>
      <w:proofErr w:type="spellEnd"/>
      <w:r w:rsidRPr="00C015CF">
        <w:rPr>
          <w:rFonts w:ascii="Arial" w:hAnsi="Arial" w:cs="Arial"/>
          <w:sz w:val="24"/>
          <w:szCs w:val="24"/>
        </w:rPr>
        <w:t>', Teachers College Record, 118(6), pp. 1</w:t>
      </w:r>
      <w:r w:rsidR="007649C0">
        <w:rPr>
          <w:rFonts w:ascii="Arial" w:hAnsi="Arial" w:cs="Arial"/>
          <w:sz w:val="24"/>
          <w:szCs w:val="24"/>
        </w:rPr>
        <w:t>–</w:t>
      </w:r>
      <w:r w:rsidRPr="00C015CF">
        <w:rPr>
          <w:rFonts w:ascii="Arial" w:hAnsi="Arial" w:cs="Arial"/>
          <w:sz w:val="24"/>
          <w:szCs w:val="24"/>
        </w:rPr>
        <w:t xml:space="preserve">30. Available at: </w:t>
      </w:r>
      <w:hyperlink r:id="rId292" w:history="1">
        <w:r w:rsidRPr="003C58D1">
          <w:rPr>
            <w:rStyle w:val="Hyperlink"/>
            <w:rFonts w:ascii="Arial" w:hAnsi="Arial" w:cs="Arial"/>
            <w:sz w:val="24"/>
            <w:szCs w:val="24"/>
          </w:rPr>
          <w:t>https://journals-sagepub-com.uwtsd.idm.oclc.org/doi/epdf/10.1177/016146811611800608</w:t>
        </w:r>
      </w:hyperlink>
      <w:r>
        <w:rPr>
          <w:rFonts w:ascii="Arial" w:hAnsi="Arial" w:cs="Arial"/>
          <w:sz w:val="24"/>
          <w:szCs w:val="24"/>
        </w:rPr>
        <w:t xml:space="preserve"> </w:t>
      </w:r>
      <w:r w:rsidRPr="00C015CF">
        <w:rPr>
          <w:rFonts w:ascii="Arial" w:hAnsi="Arial" w:cs="Arial"/>
          <w:sz w:val="24"/>
          <w:szCs w:val="24"/>
        </w:rPr>
        <w:t>(Accessed: 18 March 2026).</w:t>
      </w:r>
    </w:p>
    <w:p w14:paraId="0A9DF4F4" w14:textId="69977051" w:rsidR="009E2E3B" w:rsidRDefault="009E2E3B" w:rsidP="009E58ED">
      <w:pPr>
        <w:spacing w:line="360" w:lineRule="auto"/>
        <w:jc w:val="both"/>
        <w:rPr>
          <w:rFonts w:ascii="Arial" w:hAnsi="Arial" w:cs="Arial"/>
          <w:sz w:val="24"/>
          <w:szCs w:val="24"/>
        </w:rPr>
      </w:pPr>
      <w:r w:rsidRPr="009E2E3B">
        <w:rPr>
          <w:rFonts w:ascii="Arial" w:hAnsi="Arial" w:cs="Arial"/>
          <w:sz w:val="24"/>
          <w:szCs w:val="24"/>
        </w:rPr>
        <w:t>Nijjar, J. (2021)</w:t>
      </w:r>
      <w:r w:rsidR="009D09C1">
        <w:rPr>
          <w:rFonts w:ascii="Arial" w:hAnsi="Arial" w:cs="Arial"/>
          <w:sz w:val="24"/>
          <w:szCs w:val="24"/>
        </w:rPr>
        <w:t>.</w:t>
      </w:r>
      <w:r w:rsidRPr="009E2E3B">
        <w:rPr>
          <w:rFonts w:ascii="Arial" w:hAnsi="Arial" w:cs="Arial"/>
          <w:sz w:val="24"/>
          <w:szCs w:val="24"/>
        </w:rPr>
        <w:t xml:space="preserve"> 'Police–School Partnerships and the War on Black Youth', </w:t>
      </w:r>
      <w:r w:rsidRPr="009E2E3B">
        <w:rPr>
          <w:rFonts w:ascii="Arial" w:hAnsi="Arial" w:cs="Arial"/>
          <w:i/>
          <w:iCs/>
          <w:sz w:val="24"/>
          <w:szCs w:val="24"/>
        </w:rPr>
        <w:t>Critical Social Policy</w:t>
      </w:r>
      <w:r w:rsidRPr="009E2E3B">
        <w:rPr>
          <w:rFonts w:ascii="Arial" w:hAnsi="Arial" w:cs="Arial"/>
          <w:sz w:val="24"/>
          <w:szCs w:val="24"/>
        </w:rPr>
        <w:t>, 41(3), pp. 491</w:t>
      </w:r>
      <w:r w:rsidR="009D09C1">
        <w:rPr>
          <w:rFonts w:ascii="Arial" w:hAnsi="Arial" w:cs="Arial"/>
          <w:sz w:val="24"/>
          <w:szCs w:val="24"/>
        </w:rPr>
        <w:t>–</w:t>
      </w:r>
      <w:r w:rsidRPr="009E2E3B">
        <w:rPr>
          <w:rFonts w:ascii="Arial" w:hAnsi="Arial" w:cs="Arial"/>
          <w:sz w:val="24"/>
          <w:szCs w:val="24"/>
        </w:rPr>
        <w:t xml:space="preserve">501. Available at: </w:t>
      </w:r>
      <w:hyperlink r:id="rId293" w:history="1">
        <w:r w:rsidRPr="007D0B0F">
          <w:rPr>
            <w:rStyle w:val="Hyperlink"/>
            <w:rFonts w:ascii="Arial" w:hAnsi="Arial" w:cs="Arial"/>
            <w:sz w:val="24"/>
            <w:szCs w:val="24"/>
          </w:rPr>
          <w:t>https://bura.brunel.ac.uk/bitstream/2438/30026/1/FullText.pdf</w:t>
        </w:r>
      </w:hyperlink>
      <w:r>
        <w:rPr>
          <w:rFonts w:ascii="Arial" w:hAnsi="Arial" w:cs="Arial"/>
          <w:sz w:val="24"/>
          <w:szCs w:val="24"/>
        </w:rPr>
        <w:t xml:space="preserve"> </w:t>
      </w:r>
      <w:r w:rsidRPr="009E2E3B">
        <w:rPr>
          <w:rFonts w:ascii="Arial" w:hAnsi="Arial" w:cs="Arial"/>
          <w:sz w:val="24"/>
          <w:szCs w:val="24"/>
        </w:rPr>
        <w:t>(Accessed: 22 March 2026).</w:t>
      </w:r>
    </w:p>
    <w:p w14:paraId="24A1A4B9" w14:textId="77137CA2" w:rsidR="003F1684" w:rsidRDefault="003F1684" w:rsidP="009E58ED">
      <w:pPr>
        <w:spacing w:line="360" w:lineRule="auto"/>
        <w:jc w:val="both"/>
        <w:rPr>
          <w:rFonts w:ascii="Arial" w:hAnsi="Arial" w:cs="Arial"/>
          <w:sz w:val="24"/>
          <w:szCs w:val="24"/>
        </w:rPr>
      </w:pPr>
      <w:r w:rsidRPr="003F1684">
        <w:rPr>
          <w:rFonts w:ascii="Arial" w:hAnsi="Arial" w:cs="Arial"/>
          <w:sz w:val="24"/>
          <w:szCs w:val="24"/>
        </w:rPr>
        <w:t>Noguera, P. (2003)</w:t>
      </w:r>
      <w:r w:rsidR="009D09C1">
        <w:rPr>
          <w:rFonts w:ascii="Arial" w:hAnsi="Arial" w:cs="Arial"/>
          <w:sz w:val="24"/>
          <w:szCs w:val="24"/>
        </w:rPr>
        <w:t>.</w:t>
      </w:r>
      <w:r w:rsidRPr="003F1684">
        <w:rPr>
          <w:rFonts w:ascii="Arial" w:hAnsi="Arial" w:cs="Arial"/>
          <w:sz w:val="24"/>
          <w:szCs w:val="24"/>
        </w:rPr>
        <w:t xml:space="preserve"> 'The Trouble with Black Boys: The Role and Influence of Environmental and Cultural Factors on the Academic Performance of African American Males', Urban Education, 38(4), pp. 431</w:t>
      </w:r>
      <w:r w:rsidR="009D09C1">
        <w:rPr>
          <w:rFonts w:ascii="Arial" w:hAnsi="Arial" w:cs="Arial"/>
          <w:sz w:val="24"/>
          <w:szCs w:val="24"/>
        </w:rPr>
        <w:t>–</w:t>
      </w:r>
      <w:r w:rsidRPr="003F1684">
        <w:rPr>
          <w:rFonts w:ascii="Arial" w:hAnsi="Arial" w:cs="Arial"/>
          <w:sz w:val="24"/>
          <w:szCs w:val="24"/>
        </w:rPr>
        <w:t xml:space="preserve">459. Available at: </w:t>
      </w:r>
      <w:hyperlink r:id="rId294" w:history="1">
        <w:r w:rsidRPr="00FB3832">
          <w:rPr>
            <w:rStyle w:val="Hyperlink"/>
            <w:rFonts w:ascii="Arial" w:hAnsi="Arial" w:cs="Arial"/>
            <w:sz w:val="24"/>
            <w:szCs w:val="24"/>
          </w:rPr>
          <w:t>https://journals-sagepub-com.uwtsd.idm.oclc.org/doi/epdf/10.1177/0042085903038004005</w:t>
        </w:r>
      </w:hyperlink>
      <w:r>
        <w:rPr>
          <w:rFonts w:ascii="Arial" w:hAnsi="Arial" w:cs="Arial"/>
          <w:sz w:val="24"/>
          <w:szCs w:val="24"/>
        </w:rPr>
        <w:t xml:space="preserve"> </w:t>
      </w:r>
      <w:r w:rsidRPr="003F1684">
        <w:rPr>
          <w:rFonts w:ascii="Arial" w:hAnsi="Arial" w:cs="Arial"/>
          <w:sz w:val="24"/>
          <w:szCs w:val="24"/>
        </w:rPr>
        <w:t>(Accessed: 20 March 2026).</w:t>
      </w:r>
    </w:p>
    <w:p w14:paraId="2CE47400" w14:textId="74223FFE" w:rsidR="00B7349A" w:rsidRDefault="000D7BBB" w:rsidP="009E58ED">
      <w:pPr>
        <w:spacing w:line="360" w:lineRule="auto"/>
        <w:jc w:val="both"/>
        <w:rPr>
          <w:rFonts w:ascii="Arial" w:hAnsi="Arial" w:cs="Arial"/>
          <w:sz w:val="24"/>
          <w:szCs w:val="24"/>
        </w:rPr>
      </w:pPr>
      <w:r w:rsidRPr="000D7BBB">
        <w:rPr>
          <w:rFonts w:ascii="Arial" w:hAnsi="Arial" w:cs="Arial"/>
          <w:sz w:val="24"/>
          <w:szCs w:val="24"/>
        </w:rPr>
        <w:t>Nuruddeen, M. (2015)</w:t>
      </w:r>
      <w:r w:rsidR="001551DB">
        <w:rPr>
          <w:rFonts w:ascii="Arial" w:hAnsi="Arial" w:cs="Arial"/>
          <w:sz w:val="24"/>
          <w:szCs w:val="24"/>
        </w:rPr>
        <w:t>.</w:t>
      </w:r>
      <w:r w:rsidRPr="000D7BBB">
        <w:rPr>
          <w:rFonts w:ascii="Arial" w:hAnsi="Arial" w:cs="Arial"/>
          <w:sz w:val="24"/>
          <w:szCs w:val="24"/>
        </w:rPr>
        <w:t xml:space="preserve"> 'The Legal Critical Literature Review', UUM Journal of Legal Studies, 6, pp. 13</w:t>
      </w:r>
      <w:r w:rsidR="001551DB">
        <w:rPr>
          <w:rFonts w:ascii="Arial" w:hAnsi="Arial" w:cs="Arial"/>
          <w:sz w:val="24"/>
          <w:szCs w:val="24"/>
        </w:rPr>
        <w:t>–</w:t>
      </w:r>
      <w:r w:rsidRPr="000D7BBB">
        <w:rPr>
          <w:rFonts w:ascii="Arial" w:hAnsi="Arial" w:cs="Arial"/>
          <w:sz w:val="24"/>
          <w:szCs w:val="24"/>
        </w:rPr>
        <w:t xml:space="preserve">32. Available at: </w:t>
      </w:r>
      <w:hyperlink r:id="rId295" w:history="1">
        <w:r w:rsidRPr="00960FF4">
          <w:rPr>
            <w:rStyle w:val="Hyperlink"/>
            <w:rFonts w:ascii="Arial" w:hAnsi="Arial" w:cs="Arial"/>
            <w:sz w:val="24"/>
            <w:szCs w:val="24"/>
          </w:rPr>
          <w:t>https://e-journal.uum.edu.my/index.php/uumjls/en/article/view/uumjls.6.2015.4585/596</w:t>
        </w:r>
      </w:hyperlink>
      <w:r>
        <w:rPr>
          <w:rFonts w:ascii="Arial" w:hAnsi="Arial" w:cs="Arial"/>
          <w:sz w:val="24"/>
          <w:szCs w:val="24"/>
        </w:rPr>
        <w:t xml:space="preserve"> </w:t>
      </w:r>
      <w:r w:rsidRPr="000D7BBB">
        <w:rPr>
          <w:rFonts w:ascii="Arial" w:hAnsi="Arial" w:cs="Arial"/>
          <w:sz w:val="24"/>
          <w:szCs w:val="24"/>
        </w:rPr>
        <w:t xml:space="preserve">                        (Accessed: 23 February 2026).</w:t>
      </w:r>
    </w:p>
    <w:p w14:paraId="2965EFEC" w14:textId="703E2C1E" w:rsidR="002F6B95" w:rsidRDefault="002F6B95" w:rsidP="009E58ED">
      <w:pPr>
        <w:spacing w:line="360" w:lineRule="auto"/>
        <w:jc w:val="both"/>
        <w:rPr>
          <w:rFonts w:ascii="Arial" w:hAnsi="Arial" w:cs="Arial"/>
          <w:sz w:val="24"/>
          <w:szCs w:val="24"/>
        </w:rPr>
      </w:pPr>
      <w:r w:rsidRPr="002F6B95">
        <w:rPr>
          <w:rFonts w:ascii="Arial" w:hAnsi="Arial" w:cs="Arial"/>
          <w:sz w:val="24"/>
          <w:szCs w:val="24"/>
        </w:rPr>
        <w:t>Nwadeyi, L. (2016)</w:t>
      </w:r>
      <w:r w:rsidR="001551DB">
        <w:rPr>
          <w:rFonts w:ascii="Arial" w:hAnsi="Arial" w:cs="Arial"/>
          <w:sz w:val="24"/>
          <w:szCs w:val="24"/>
        </w:rPr>
        <w:t>.</w:t>
      </w:r>
      <w:r w:rsidRPr="002F6B95">
        <w:rPr>
          <w:rFonts w:ascii="Arial" w:hAnsi="Arial" w:cs="Arial"/>
          <w:sz w:val="24"/>
          <w:szCs w:val="24"/>
        </w:rPr>
        <w:t xml:space="preserve"> 'Lovelyn </w:t>
      </w:r>
      <w:proofErr w:type="spellStart"/>
      <w:r w:rsidRPr="002F6B95">
        <w:rPr>
          <w:rFonts w:ascii="Arial" w:hAnsi="Arial" w:cs="Arial"/>
          <w:sz w:val="24"/>
          <w:szCs w:val="24"/>
        </w:rPr>
        <w:t>Nwadeyi’s</w:t>
      </w:r>
      <w:proofErr w:type="spellEnd"/>
      <w:r w:rsidRPr="002F6B95">
        <w:rPr>
          <w:rFonts w:ascii="Arial" w:hAnsi="Arial" w:cs="Arial"/>
          <w:sz w:val="24"/>
          <w:szCs w:val="24"/>
        </w:rPr>
        <w:t xml:space="preserve"> empowering message: the onus is on us to disrupt the status quo', </w:t>
      </w:r>
      <w:r w:rsidRPr="002F6B95">
        <w:rPr>
          <w:rFonts w:ascii="Arial" w:hAnsi="Arial" w:cs="Arial"/>
          <w:i/>
          <w:iCs/>
          <w:sz w:val="24"/>
          <w:szCs w:val="24"/>
        </w:rPr>
        <w:t>Mail and Guardian</w:t>
      </w:r>
      <w:r w:rsidRPr="002F6B95">
        <w:rPr>
          <w:rFonts w:ascii="Arial" w:hAnsi="Arial" w:cs="Arial"/>
          <w:sz w:val="24"/>
          <w:szCs w:val="24"/>
        </w:rPr>
        <w:t xml:space="preserve">, 29 June. Available at: </w:t>
      </w:r>
      <w:hyperlink r:id="rId296" w:history="1">
        <w:r w:rsidRPr="007D0B0F">
          <w:rPr>
            <w:rStyle w:val="Hyperlink"/>
            <w:rFonts w:ascii="Arial" w:hAnsi="Arial" w:cs="Arial"/>
            <w:sz w:val="24"/>
            <w:szCs w:val="24"/>
          </w:rPr>
          <w:t>https://mg.co.za/article/2016-06-29-we-all-have-agency-and-we-must-use-it-to-disrupt-the-status-quo/</w:t>
        </w:r>
      </w:hyperlink>
      <w:r>
        <w:rPr>
          <w:rFonts w:ascii="Arial" w:hAnsi="Arial" w:cs="Arial"/>
          <w:sz w:val="24"/>
          <w:szCs w:val="24"/>
        </w:rPr>
        <w:t xml:space="preserve"> </w:t>
      </w:r>
      <w:r w:rsidRPr="002F6B95">
        <w:rPr>
          <w:rFonts w:ascii="Arial" w:hAnsi="Arial" w:cs="Arial"/>
          <w:sz w:val="24"/>
          <w:szCs w:val="24"/>
        </w:rPr>
        <w:t>(Accessed: 23 March 2026).</w:t>
      </w:r>
    </w:p>
    <w:p w14:paraId="53C8CAAA" w14:textId="0372823B" w:rsidR="00591FDB" w:rsidRDefault="00591FDB" w:rsidP="009E58ED">
      <w:pPr>
        <w:spacing w:line="360" w:lineRule="auto"/>
        <w:jc w:val="both"/>
        <w:rPr>
          <w:rFonts w:ascii="Arial" w:hAnsi="Arial" w:cs="Arial"/>
          <w:sz w:val="24"/>
          <w:szCs w:val="24"/>
        </w:rPr>
      </w:pPr>
      <w:r w:rsidRPr="00591FDB">
        <w:rPr>
          <w:rFonts w:ascii="Arial" w:hAnsi="Arial" w:cs="Arial"/>
          <w:sz w:val="24"/>
          <w:szCs w:val="24"/>
        </w:rPr>
        <w:t>Nwankwo, S. (2005)</w:t>
      </w:r>
      <w:r>
        <w:rPr>
          <w:rFonts w:ascii="Arial" w:hAnsi="Arial" w:cs="Arial"/>
          <w:sz w:val="24"/>
          <w:szCs w:val="24"/>
        </w:rPr>
        <w:t>.</w:t>
      </w:r>
      <w:r w:rsidRPr="00591FDB">
        <w:rPr>
          <w:rFonts w:ascii="Arial" w:hAnsi="Arial" w:cs="Arial"/>
          <w:sz w:val="24"/>
          <w:szCs w:val="24"/>
        </w:rPr>
        <w:t xml:space="preserve"> 'Characterisation of Black African entrepreneurship in the UK: a pilot study', Journal of Small Business and Enterprise Development, 12(1), pp. 120</w:t>
      </w:r>
      <w:r>
        <w:rPr>
          <w:rFonts w:ascii="Arial" w:hAnsi="Arial" w:cs="Arial"/>
          <w:sz w:val="24"/>
          <w:szCs w:val="24"/>
        </w:rPr>
        <w:t>–</w:t>
      </w:r>
      <w:r w:rsidRPr="00591FDB">
        <w:rPr>
          <w:rFonts w:ascii="Arial" w:hAnsi="Arial" w:cs="Arial"/>
          <w:sz w:val="24"/>
          <w:szCs w:val="24"/>
        </w:rPr>
        <w:t xml:space="preserve">136. Available at: </w:t>
      </w:r>
      <w:hyperlink r:id="rId297" w:history="1">
        <w:r w:rsidRPr="007D0B0F">
          <w:rPr>
            <w:rStyle w:val="Hyperlink"/>
            <w:rFonts w:ascii="Arial" w:hAnsi="Arial" w:cs="Arial"/>
            <w:sz w:val="24"/>
            <w:szCs w:val="24"/>
          </w:rPr>
          <w:t>https://www.proquest.com/docview/219239252?accountid=130472&amp;parentSessionId=JyBdns9wLCm5C7ZTgtJyDsZwgj55Z1IScOH%2FgKjQVqc%3D&amp;pq-origsite=primo&amp;sourcetype=Scholarly%20Journals</w:t>
        </w:r>
      </w:hyperlink>
      <w:r>
        <w:rPr>
          <w:rFonts w:ascii="Arial" w:hAnsi="Arial" w:cs="Arial"/>
          <w:sz w:val="24"/>
          <w:szCs w:val="24"/>
        </w:rPr>
        <w:t xml:space="preserve"> </w:t>
      </w:r>
      <w:r w:rsidRPr="00591FDB">
        <w:rPr>
          <w:rFonts w:ascii="Arial" w:hAnsi="Arial" w:cs="Arial"/>
          <w:sz w:val="24"/>
          <w:szCs w:val="24"/>
        </w:rPr>
        <w:t>(Accessed: 28 March 2026).</w:t>
      </w:r>
    </w:p>
    <w:p w14:paraId="5FDDC952" w14:textId="1054BB09" w:rsidR="00F34A45" w:rsidRDefault="00F34A45" w:rsidP="009E58ED">
      <w:pPr>
        <w:spacing w:line="360" w:lineRule="auto"/>
        <w:jc w:val="both"/>
        <w:rPr>
          <w:rFonts w:ascii="Arial" w:hAnsi="Arial" w:cs="Arial"/>
          <w:sz w:val="24"/>
          <w:szCs w:val="24"/>
        </w:rPr>
      </w:pPr>
      <w:r w:rsidRPr="00F34A45">
        <w:rPr>
          <w:rFonts w:ascii="Arial" w:hAnsi="Arial" w:cs="Arial"/>
          <w:sz w:val="24"/>
          <w:szCs w:val="24"/>
        </w:rPr>
        <w:t>Obagi, S., Shahabi, L. (2008)</w:t>
      </w:r>
      <w:r w:rsidR="001551DB">
        <w:rPr>
          <w:rFonts w:ascii="Arial" w:hAnsi="Arial" w:cs="Arial"/>
          <w:sz w:val="24"/>
          <w:szCs w:val="24"/>
        </w:rPr>
        <w:t>.</w:t>
      </w:r>
      <w:r w:rsidRPr="00F34A45">
        <w:rPr>
          <w:rFonts w:ascii="Arial" w:hAnsi="Arial" w:cs="Arial"/>
          <w:sz w:val="24"/>
          <w:szCs w:val="24"/>
        </w:rPr>
        <w:t xml:space="preserve"> 'Literature Reviews', </w:t>
      </w:r>
      <w:r w:rsidRPr="00F34A45">
        <w:rPr>
          <w:rFonts w:ascii="Arial" w:hAnsi="Arial" w:cs="Arial"/>
          <w:i/>
          <w:iCs/>
          <w:sz w:val="24"/>
          <w:szCs w:val="24"/>
        </w:rPr>
        <w:t>The American Journal of Cosmetic Surgery</w:t>
      </w:r>
      <w:r w:rsidRPr="00F34A45">
        <w:rPr>
          <w:rFonts w:ascii="Arial" w:hAnsi="Arial" w:cs="Arial"/>
          <w:sz w:val="24"/>
          <w:szCs w:val="24"/>
        </w:rPr>
        <w:t>, 25(3), pp. 163</w:t>
      </w:r>
      <w:r w:rsidR="001551DB">
        <w:rPr>
          <w:rFonts w:ascii="Arial" w:hAnsi="Arial" w:cs="Arial"/>
          <w:sz w:val="24"/>
          <w:szCs w:val="24"/>
        </w:rPr>
        <w:t>–</w:t>
      </w:r>
      <w:r w:rsidRPr="00F34A45">
        <w:rPr>
          <w:rFonts w:ascii="Arial" w:hAnsi="Arial" w:cs="Arial"/>
          <w:sz w:val="24"/>
          <w:szCs w:val="24"/>
        </w:rPr>
        <w:t xml:space="preserve">170. Available at: </w:t>
      </w:r>
      <w:hyperlink r:id="rId298" w:history="1">
        <w:r w:rsidRPr="00960FF4">
          <w:rPr>
            <w:rStyle w:val="Hyperlink"/>
            <w:rFonts w:ascii="Arial" w:hAnsi="Arial" w:cs="Arial"/>
            <w:sz w:val="24"/>
            <w:szCs w:val="24"/>
          </w:rPr>
          <w:t>https://journals-sagepub-com.uwtsd.idm.oclc.org/doi/abs/10.1177/074880680802500308</w:t>
        </w:r>
      </w:hyperlink>
      <w:r>
        <w:rPr>
          <w:rFonts w:ascii="Arial" w:hAnsi="Arial" w:cs="Arial"/>
          <w:sz w:val="24"/>
          <w:szCs w:val="24"/>
        </w:rPr>
        <w:t xml:space="preserve"> </w:t>
      </w:r>
      <w:r w:rsidRPr="00F34A45">
        <w:rPr>
          <w:rFonts w:ascii="Arial" w:hAnsi="Arial" w:cs="Arial"/>
          <w:sz w:val="24"/>
          <w:szCs w:val="24"/>
        </w:rPr>
        <w:t>(Accessed: 23 February 2026).</w:t>
      </w:r>
    </w:p>
    <w:p w14:paraId="6346CDEA" w14:textId="4E52CFC3" w:rsidR="001551DB" w:rsidRDefault="001551DB" w:rsidP="009E58ED">
      <w:pPr>
        <w:spacing w:line="360" w:lineRule="auto"/>
        <w:jc w:val="both"/>
        <w:rPr>
          <w:rFonts w:ascii="Arial" w:hAnsi="Arial" w:cs="Arial"/>
          <w:sz w:val="24"/>
          <w:szCs w:val="24"/>
        </w:rPr>
      </w:pPr>
      <w:r w:rsidRPr="001551DB">
        <w:rPr>
          <w:rFonts w:ascii="Arial" w:hAnsi="Arial" w:cs="Arial"/>
          <w:sz w:val="24"/>
          <w:szCs w:val="24"/>
        </w:rPr>
        <w:t xml:space="preserve">Obara, H., Saiki, T., </w:t>
      </w:r>
      <w:proofErr w:type="spellStart"/>
      <w:r w:rsidRPr="001551DB">
        <w:rPr>
          <w:rFonts w:ascii="Arial" w:hAnsi="Arial" w:cs="Arial"/>
          <w:sz w:val="24"/>
          <w:szCs w:val="24"/>
        </w:rPr>
        <w:t>Imafuku</w:t>
      </w:r>
      <w:proofErr w:type="spellEnd"/>
      <w:r w:rsidRPr="001551DB">
        <w:rPr>
          <w:rFonts w:ascii="Arial" w:hAnsi="Arial" w:cs="Arial"/>
          <w:sz w:val="24"/>
          <w:szCs w:val="24"/>
        </w:rPr>
        <w:t>, R., Fujisaki, K., and Suzuki, Y. (2021)</w:t>
      </w:r>
      <w:r>
        <w:rPr>
          <w:rFonts w:ascii="Arial" w:hAnsi="Arial" w:cs="Arial"/>
          <w:sz w:val="24"/>
          <w:szCs w:val="24"/>
        </w:rPr>
        <w:t>.</w:t>
      </w:r>
      <w:r w:rsidRPr="001551DB">
        <w:rPr>
          <w:rFonts w:ascii="Arial" w:hAnsi="Arial" w:cs="Arial"/>
          <w:sz w:val="24"/>
          <w:szCs w:val="24"/>
        </w:rPr>
        <w:t xml:space="preserve"> 'Influence of national culture on mentoring relationship: a qualitative study of Japanese physician-scientists', </w:t>
      </w:r>
      <w:r w:rsidRPr="001551DB">
        <w:rPr>
          <w:rFonts w:ascii="Arial" w:hAnsi="Arial" w:cs="Arial"/>
          <w:i/>
          <w:iCs/>
          <w:sz w:val="24"/>
          <w:szCs w:val="24"/>
        </w:rPr>
        <w:t>BMC Medical Education</w:t>
      </w:r>
      <w:r w:rsidRPr="001551DB">
        <w:rPr>
          <w:rFonts w:ascii="Arial" w:hAnsi="Arial" w:cs="Arial"/>
          <w:sz w:val="24"/>
          <w:szCs w:val="24"/>
        </w:rPr>
        <w:t>, 21, pp. 1</w:t>
      </w:r>
      <w:r>
        <w:rPr>
          <w:rFonts w:ascii="Arial" w:hAnsi="Arial" w:cs="Arial"/>
          <w:sz w:val="24"/>
          <w:szCs w:val="24"/>
        </w:rPr>
        <w:t>–</w:t>
      </w:r>
      <w:r w:rsidRPr="001551DB">
        <w:rPr>
          <w:rFonts w:ascii="Arial" w:hAnsi="Arial" w:cs="Arial"/>
          <w:sz w:val="24"/>
          <w:szCs w:val="24"/>
        </w:rPr>
        <w:t xml:space="preserve">11. Available at: </w:t>
      </w:r>
      <w:hyperlink r:id="rId299" w:history="1">
        <w:r w:rsidRPr="007D0B0F">
          <w:rPr>
            <w:rStyle w:val="Hyperlink"/>
            <w:rFonts w:ascii="Arial" w:hAnsi="Arial" w:cs="Arial"/>
            <w:sz w:val="24"/>
            <w:szCs w:val="24"/>
          </w:rPr>
          <w:t>https://link.springer.com/content/pdf/10.1186/s12909-021-02744-2.pdf</w:t>
        </w:r>
      </w:hyperlink>
      <w:r>
        <w:rPr>
          <w:rFonts w:ascii="Arial" w:hAnsi="Arial" w:cs="Arial"/>
          <w:sz w:val="24"/>
          <w:szCs w:val="24"/>
        </w:rPr>
        <w:t xml:space="preserve"> </w:t>
      </w:r>
      <w:r w:rsidRPr="001551DB">
        <w:rPr>
          <w:rFonts w:ascii="Arial" w:hAnsi="Arial" w:cs="Arial"/>
          <w:sz w:val="24"/>
          <w:szCs w:val="24"/>
        </w:rPr>
        <w:t>(Accessed:24 March 2026).</w:t>
      </w:r>
    </w:p>
    <w:p w14:paraId="646C25D1" w14:textId="4EA6CB76" w:rsidR="00EA2B23" w:rsidRDefault="00EA2B23" w:rsidP="009E58ED">
      <w:pPr>
        <w:spacing w:line="360" w:lineRule="auto"/>
        <w:jc w:val="both"/>
        <w:rPr>
          <w:rFonts w:ascii="Arial" w:hAnsi="Arial" w:cs="Arial"/>
          <w:sz w:val="24"/>
          <w:szCs w:val="24"/>
        </w:rPr>
      </w:pPr>
      <w:r w:rsidRPr="00EA2B23">
        <w:rPr>
          <w:rFonts w:ascii="Arial" w:hAnsi="Arial" w:cs="Arial"/>
          <w:sz w:val="24"/>
          <w:szCs w:val="24"/>
        </w:rPr>
        <w:t>Office for National Statistics (ONS) (2012) </w:t>
      </w:r>
      <w:r w:rsidR="00EB2C31" w:rsidRPr="00EB2C31">
        <w:rPr>
          <w:rFonts w:ascii="Arial" w:hAnsi="Arial" w:cs="Arial"/>
          <w:i/>
          <w:iCs/>
          <w:sz w:val="24"/>
          <w:szCs w:val="24"/>
        </w:rPr>
        <w:t>2011 Census and the Labour Force Survey</w:t>
      </w:r>
      <w:r w:rsidRPr="00EA2B23">
        <w:rPr>
          <w:rFonts w:ascii="Arial" w:hAnsi="Arial" w:cs="Arial"/>
          <w:sz w:val="24"/>
          <w:szCs w:val="24"/>
        </w:rPr>
        <w:t xml:space="preserve">. Office for National Statistics. Available at: </w:t>
      </w:r>
      <w:hyperlink r:id="rId300" w:history="1">
        <w:r w:rsidR="00DE4667" w:rsidRPr="002F0426">
          <w:rPr>
            <w:rStyle w:val="Hyperlink"/>
            <w:rFonts w:ascii="Arial" w:hAnsi="Arial" w:cs="Arial"/>
            <w:sz w:val="24"/>
            <w:szCs w:val="24"/>
          </w:rPr>
          <w:t>https://www.ons.gov.uk/peoplepopulationandcommunity/populationandmigration/populationestimates/articles/2011censusandthelabourforcesurvey/2012-12-11</w:t>
        </w:r>
      </w:hyperlink>
      <w:r w:rsidR="00DE4667">
        <w:rPr>
          <w:rFonts w:ascii="Arial" w:hAnsi="Arial" w:cs="Arial"/>
          <w:sz w:val="24"/>
          <w:szCs w:val="24"/>
        </w:rPr>
        <w:t xml:space="preserve"> </w:t>
      </w:r>
      <w:r w:rsidRPr="00EA2B23">
        <w:rPr>
          <w:rFonts w:ascii="Arial" w:hAnsi="Arial" w:cs="Arial"/>
          <w:sz w:val="24"/>
          <w:szCs w:val="24"/>
        </w:rPr>
        <w:t>(Accessed: 17 March 2026).</w:t>
      </w:r>
    </w:p>
    <w:p w14:paraId="673B6F47" w14:textId="6ADA0941" w:rsidR="00A441BE" w:rsidRDefault="00A441BE" w:rsidP="009E58ED">
      <w:pPr>
        <w:spacing w:line="360" w:lineRule="auto"/>
        <w:jc w:val="both"/>
        <w:rPr>
          <w:rFonts w:ascii="Arial" w:hAnsi="Arial" w:cs="Arial"/>
          <w:sz w:val="24"/>
          <w:szCs w:val="24"/>
        </w:rPr>
      </w:pPr>
      <w:r w:rsidRPr="00A441BE">
        <w:rPr>
          <w:rFonts w:ascii="Arial" w:hAnsi="Arial" w:cs="Arial"/>
          <w:sz w:val="24"/>
          <w:szCs w:val="24"/>
        </w:rPr>
        <w:t>Office of National Statistics (ONS) (2022) Cost of living and higher education students, England: 24 October to 7 November 2022. ONS Available at: https://www.ons.gov.uk/peoplepopulationandcommunity/educationandchildcare/bulletins/costoflivingandhighereducationstudentsengland/24octoberto7november2022 (Accessed: 2 April 2026).</w:t>
      </w:r>
    </w:p>
    <w:p w14:paraId="5DB201D1" w14:textId="776A928B" w:rsidR="00D119C8" w:rsidRDefault="00D119C8" w:rsidP="009E58ED">
      <w:pPr>
        <w:spacing w:line="360" w:lineRule="auto"/>
        <w:jc w:val="both"/>
        <w:rPr>
          <w:rFonts w:ascii="Arial" w:hAnsi="Arial" w:cs="Arial"/>
          <w:sz w:val="24"/>
          <w:szCs w:val="24"/>
        </w:rPr>
      </w:pPr>
      <w:r w:rsidRPr="00D119C8">
        <w:rPr>
          <w:rFonts w:ascii="Arial" w:hAnsi="Arial" w:cs="Arial"/>
          <w:sz w:val="24"/>
          <w:szCs w:val="24"/>
        </w:rPr>
        <w:lastRenderedPageBreak/>
        <w:t>Office for National Statistics (ONS). (2020</w:t>
      </w:r>
      <w:r w:rsidR="00C548ED">
        <w:rPr>
          <w:rFonts w:ascii="Arial" w:hAnsi="Arial" w:cs="Arial"/>
          <w:sz w:val="24"/>
          <w:szCs w:val="24"/>
        </w:rPr>
        <w:t>a</w:t>
      </w:r>
      <w:r w:rsidRPr="00D119C8">
        <w:rPr>
          <w:rFonts w:ascii="Arial" w:hAnsi="Arial" w:cs="Arial"/>
          <w:sz w:val="24"/>
          <w:szCs w:val="24"/>
        </w:rPr>
        <w:t>) </w:t>
      </w:r>
      <w:r w:rsidRPr="00D119C8">
        <w:rPr>
          <w:rFonts w:ascii="Arial" w:hAnsi="Arial" w:cs="Arial"/>
          <w:i/>
          <w:iCs/>
          <w:sz w:val="24"/>
          <w:szCs w:val="24"/>
        </w:rPr>
        <w:t>Crime in England and Wales: year ending March 2020</w:t>
      </w:r>
      <w:r w:rsidRPr="00D119C8">
        <w:rPr>
          <w:rFonts w:ascii="Arial" w:hAnsi="Arial" w:cs="Arial"/>
          <w:sz w:val="24"/>
          <w:szCs w:val="24"/>
        </w:rPr>
        <w:t>. Office for National Statistics</w:t>
      </w:r>
      <w:r w:rsidR="00AC3EB7">
        <w:rPr>
          <w:rFonts w:ascii="Arial" w:hAnsi="Arial" w:cs="Arial"/>
          <w:sz w:val="24"/>
          <w:szCs w:val="24"/>
        </w:rPr>
        <w:t xml:space="preserve">. </w:t>
      </w:r>
      <w:r w:rsidRPr="00D119C8">
        <w:rPr>
          <w:rFonts w:ascii="Arial" w:hAnsi="Arial" w:cs="Arial"/>
          <w:sz w:val="24"/>
          <w:szCs w:val="24"/>
        </w:rPr>
        <w:t xml:space="preserve">Available at: </w:t>
      </w:r>
      <w:hyperlink r:id="rId301" w:history="1">
        <w:r w:rsidRPr="007D0B0F">
          <w:rPr>
            <w:rStyle w:val="Hyperlink"/>
            <w:rFonts w:ascii="Arial" w:hAnsi="Arial" w:cs="Arial"/>
            <w:sz w:val="24"/>
            <w:szCs w:val="24"/>
          </w:rPr>
          <w:t>https://www.ons.gov.uk/peoplepopulationandcommunity/crimeandjustice/bulletins/crimeinenglandandwales/yearendingmarch2020</w:t>
        </w:r>
      </w:hyperlink>
      <w:r>
        <w:rPr>
          <w:rFonts w:ascii="Arial" w:hAnsi="Arial" w:cs="Arial"/>
          <w:sz w:val="24"/>
          <w:szCs w:val="24"/>
        </w:rPr>
        <w:t xml:space="preserve"> </w:t>
      </w:r>
      <w:r w:rsidRPr="00D119C8">
        <w:rPr>
          <w:rFonts w:ascii="Arial" w:hAnsi="Arial" w:cs="Arial"/>
          <w:sz w:val="24"/>
          <w:szCs w:val="24"/>
        </w:rPr>
        <w:t>(Accessed: 23 March 2026).</w:t>
      </w:r>
    </w:p>
    <w:p w14:paraId="3B83A694" w14:textId="2C453D58" w:rsidR="00307C83" w:rsidRDefault="00307C83" w:rsidP="009E58ED">
      <w:pPr>
        <w:spacing w:line="360" w:lineRule="auto"/>
        <w:jc w:val="both"/>
        <w:rPr>
          <w:rFonts w:ascii="Arial" w:hAnsi="Arial" w:cs="Arial"/>
          <w:sz w:val="24"/>
          <w:szCs w:val="24"/>
        </w:rPr>
      </w:pPr>
      <w:r w:rsidRPr="00307C83">
        <w:rPr>
          <w:rFonts w:ascii="Arial" w:hAnsi="Arial" w:cs="Arial"/>
          <w:sz w:val="24"/>
          <w:szCs w:val="24"/>
        </w:rPr>
        <w:t>Office for National Statistics (ONS) (2021) </w:t>
      </w:r>
      <w:r w:rsidRPr="00307C83">
        <w:rPr>
          <w:rFonts w:ascii="Arial" w:hAnsi="Arial" w:cs="Arial"/>
          <w:i/>
          <w:iCs/>
          <w:sz w:val="24"/>
          <w:szCs w:val="24"/>
        </w:rPr>
        <w:t>Ethnic group, national identity and religion</w:t>
      </w:r>
      <w:r w:rsidRPr="00307C83">
        <w:rPr>
          <w:rFonts w:ascii="Arial" w:hAnsi="Arial" w:cs="Arial"/>
          <w:sz w:val="24"/>
          <w:szCs w:val="24"/>
        </w:rPr>
        <w:t>.</w:t>
      </w:r>
      <w:r w:rsidR="00AC3EB7">
        <w:rPr>
          <w:rFonts w:ascii="Arial" w:hAnsi="Arial" w:cs="Arial"/>
          <w:sz w:val="24"/>
          <w:szCs w:val="24"/>
        </w:rPr>
        <w:t xml:space="preserve"> </w:t>
      </w:r>
      <w:r w:rsidRPr="00307C83">
        <w:rPr>
          <w:rFonts w:ascii="Arial" w:hAnsi="Arial" w:cs="Arial"/>
          <w:sz w:val="24"/>
          <w:szCs w:val="24"/>
        </w:rPr>
        <w:t xml:space="preserve">Available at: </w:t>
      </w:r>
      <w:hyperlink r:id="rId302" w:history="1">
        <w:r w:rsidRPr="00F821EF">
          <w:rPr>
            <w:rStyle w:val="Hyperlink"/>
            <w:rFonts w:ascii="Arial" w:hAnsi="Arial" w:cs="Arial"/>
            <w:sz w:val="24"/>
            <w:szCs w:val="24"/>
          </w:rPr>
          <w:t>https://www.ons.gov.uk/methodology/classificationsandstandards/measuringequality/ethnicgroupnationalidentityandreligion</w:t>
        </w:r>
      </w:hyperlink>
      <w:r>
        <w:rPr>
          <w:rFonts w:ascii="Arial" w:hAnsi="Arial" w:cs="Arial"/>
          <w:sz w:val="24"/>
          <w:szCs w:val="24"/>
        </w:rPr>
        <w:t xml:space="preserve"> </w:t>
      </w:r>
      <w:r w:rsidRPr="00307C83">
        <w:rPr>
          <w:rFonts w:ascii="Arial" w:hAnsi="Arial" w:cs="Arial"/>
          <w:sz w:val="24"/>
          <w:szCs w:val="24"/>
        </w:rPr>
        <w:t>(Accessed: 19 March 2026).</w:t>
      </w:r>
    </w:p>
    <w:p w14:paraId="67F628EC" w14:textId="6D3D22B3" w:rsidR="00B856AC" w:rsidRDefault="00B856AC" w:rsidP="009E58ED">
      <w:pPr>
        <w:spacing w:line="360" w:lineRule="auto"/>
        <w:jc w:val="both"/>
        <w:rPr>
          <w:rFonts w:ascii="Arial" w:hAnsi="Arial" w:cs="Arial"/>
          <w:sz w:val="24"/>
          <w:szCs w:val="24"/>
        </w:rPr>
      </w:pPr>
      <w:r w:rsidRPr="00B856AC">
        <w:rPr>
          <w:rFonts w:ascii="Arial" w:hAnsi="Arial" w:cs="Arial"/>
          <w:sz w:val="24"/>
          <w:szCs w:val="24"/>
        </w:rPr>
        <w:t xml:space="preserve">Office for National Statistics (ONS) (2018) Ethnicity pay gaps in Great Britain: 2018. Office for National Statistics (ONS). Available at: </w:t>
      </w:r>
      <w:hyperlink r:id="rId303" w:history="1">
        <w:r w:rsidRPr="007D0B0F">
          <w:rPr>
            <w:rStyle w:val="Hyperlink"/>
            <w:rFonts w:ascii="Arial" w:hAnsi="Arial" w:cs="Arial"/>
            <w:sz w:val="24"/>
            <w:szCs w:val="24"/>
          </w:rPr>
          <w:t>https://www.ons.gov.uk/employmentandlabourmarket/peopleinwork/earningsandworkinghours/articles/ethnicitypaygapsingreatbritain/2018</w:t>
        </w:r>
      </w:hyperlink>
      <w:r>
        <w:rPr>
          <w:rFonts w:ascii="Arial" w:hAnsi="Arial" w:cs="Arial"/>
          <w:sz w:val="24"/>
          <w:szCs w:val="24"/>
        </w:rPr>
        <w:t xml:space="preserve"> </w:t>
      </w:r>
      <w:r w:rsidRPr="00B856AC">
        <w:rPr>
          <w:rFonts w:ascii="Arial" w:hAnsi="Arial" w:cs="Arial"/>
          <w:sz w:val="24"/>
          <w:szCs w:val="24"/>
        </w:rPr>
        <w:t>(Accessed: 26 March 2026).</w:t>
      </w:r>
    </w:p>
    <w:p w14:paraId="704D990C" w14:textId="121A9C9B" w:rsidR="00A12DD7" w:rsidRDefault="00A12DD7" w:rsidP="009E58ED">
      <w:pPr>
        <w:spacing w:line="360" w:lineRule="auto"/>
        <w:jc w:val="both"/>
        <w:rPr>
          <w:rFonts w:ascii="Arial" w:hAnsi="Arial" w:cs="Arial"/>
          <w:sz w:val="24"/>
          <w:szCs w:val="24"/>
        </w:rPr>
      </w:pPr>
      <w:r w:rsidRPr="00A12DD7">
        <w:rPr>
          <w:rFonts w:ascii="Arial" w:hAnsi="Arial" w:cs="Arial"/>
          <w:sz w:val="24"/>
          <w:szCs w:val="24"/>
        </w:rPr>
        <w:t>Office for National Statistics (ONS) (2023) Ethnicity pay gaps, UK: 2012 to 2022.Office for National Statistics (ONS)</w:t>
      </w:r>
      <w:r>
        <w:rPr>
          <w:rFonts w:ascii="Arial" w:hAnsi="Arial" w:cs="Arial"/>
          <w:sz w:val="24"/>
          <w:szCs w:val="24"/>
        </w:rPr>
        <w:t>.</w:t>
      </w:r>
      <w:r w:rsidRPr="00A12DD7">
        <w:rPr>
          <w:rFonts w:ascii="Arial" w:hAnsi="Arial" w:cs="Arial"/>
          <w:sz w:val="24"/>
          <w:szCs w:val="24"/>
        </w:rPr>
        <w:t xml:space="preserve"> Available at: </w:t>
      </w:r>
      <w:hyperlink r:id="rId304" w:history="1">
        <w:r w:rsidRPr="007D0B0F">
          <w:rPr>
            <w:rStyle w:val="Hyperlink"/>
            <w:rFonts w:ascii="Arial" w:hAnsi="Arial" w:cs="Arial"/>
            <w:sz w:val="24"/>
            <w:szCs w:val="24"/>
          </w:rPr>
          <w:t>https://backup.ons.gov.uk/wp-content/uploads/sites/3/2023/11/Ethnicity-pay-gaps-UK-2012-to-2022.pdf</w:t>
        </w:r>
      </w:hyperlink>
      <w:r>
        <w:rPr>
          <w:rFonts w:ascii="Arial" w:hAnsi="Arial" w:cs="Arial"/>
          <w:sz w:val="24"/>
          <w:szCs w:val="24"/>
        </w:rPr>
        <w:t xml:space="preserve"> </w:t>
      </w:r>
      <w:r w:rsidRPr="00A12DD7">
        <w:rPr>
          <w:rFonts w:ascii="Arial" w:hAnsi="Arial" w:cs="Arial"/>
          <w:sz w:val="24"/>
          <w:szCs w:val="24"/>
        </w:rPr>
        <w:t>(Accessed: 25 March 2026).</w:t>
      </w:r>
    </w:p>
    <w:p w14:paraId="4D9EBE70" w14:textId="1E276824" w:rsidR="00543A9A" w:rsidRDefault="00543A9A" w:rsidP="009E58ED">
      <w:pPr>
        <w:spacing w:line="360" w:lineRule="auto"/>
        <w:jc w:val="both"/>
        <w:rPr>
          <w:rFonts w:ascii="Arial" w:hAnsi="Arial" w:cs="Arial"/>
          <w:sz w:val="24"/>
          <w:szCs w:val="24"/>
        </w:rPr>
      </w:pPr>
      <w:r w:rsidRPr="00543A9A">
        <w:rPr>
          <w:rFonts w:ascii="Arial" w:hAnsi="Arial" w:cs="Arial"/>
          <w:sz w:val="24"/>
          <w:szCs w:val="24"/>
        </w:rPr>
        <w:t>Office for National Statistics (ONS) (2020</w:t>
      </w:r>
      <w:r>
        <w:rPr>
          <w:rFonts w:ascii="Arial" w:hAnsi="Arial" w:cs="Arial"/>
          <w:sz w:val="24"/>
          <w:szCs w:val="24"/>
        </w:rPr>
        <w:t>b</w:t>
      </w:r>
      <w:r w:rsidRPr="00543A9A">
        <w:rPr>
          <w:rFonts w:ascii="Arial" w:hAnsi="Arial" w:cs="Arial"/>
          <w:sz w:val="24"/>
          <w:szCs w:val="24"/>
        </w:rPr>
        <w:t>) Household wealth by ethnicity, Great Britain: April 2016 to March 2018. Office for National Statistics (ONS)</w:t>
      </w:r>
      <w:r>
        <w:rPr>
          <w:rFonts w:ascii="Arial" w:hAnsi="Arial" w:cs="Arial"/>
          <w:sz w:val="24"/>
          <w:szCs w:val="24"/>
        </w:rPr>
        <w:t>.</w:t>
      </w:r>
      <w:r w:rsidRPr="00543A9A">
        <w:rPr>
          <w:rFonts w:ascii="Arial" w:hAnsi="Arial" w:cs="Arial"/>
          <w:sz w:val="24"/>
          <w:szCs w:val="24"/>
        </w:rPr>
        <w:t xml:space="preserve"> Available at: </w:t>
      </w:r>
      <w:hyperlink r:id="rId305" w:history="1">
        <w:r w:rsidRPr="007D0B0F">
          <w:rPr>
            <w:rStyle w:val="Hyperlink"/>
            <w:rFonts w:ascii="Arial" w:hAnsi="Arial" w:cs="Arial"/>
            <w:sz w:val="24"/>
            <w:szCs w:val="24"/>
          </w:rPr>
          <w:t>https://www.ons.gov.uk/peoplepopulationandcommunity/personalandhouseholdfinances/incomeandwealth/articles/householdwealthbyethnicitygreatbritain/april2016tomarch2018</w:t>
        </w:r>
      </w:hyperlink>
      <w:r>
        <w:rPr>
          <w:rFonts w:ascii="Arial" w:hAnsi="Arial" w:cs="Arial"/>
          <w:sz w:val="24"/>
          <w:szCs w:val="24"/>
        </w:rPr>
        <w:t xml:space="preserve"> </w:t>
      </w:r>
      <w:r w:rsidRPr="00543A9A">
        <w:rPr>
          <w:rFonts w:ascii="Arial" w:hAnsi="Arial" w:cs="Arial"/>
          <w:sz w:val="24"/>
          <w:szCs w:val="24"/>
        </w:rPr>
        <w:t>(Accessed: 27 March 2026).</w:t>
      </w:r>
    </w:p>
    <w:p w14:paraId="6B4006E8" w14:textId="7B293BEA" w:rsidR="00AB4244" w:rsidRDefault="00AB4244" w:rsidP="009E58ED">
      <w:pPr>
        <w:spacing w:line="360" w:lineRule="auto"/>
        <w:jc w:val="both"/>
        <w:rPr>
          <w:rFonts w:ascii="Arial" w:hAnsi="Arial" w:cs="Arial"/>
          <w:sz w:val="24"/>
          <w:szCs w:val="24"/>
        </w:rPr>
      </w:pPr>
      <w:r w:rsidRPr="00AB4244">
        <w:rPr>
          <w:rFonts w:ascii="Arial" w:hAnsi="Arial" w:cs="Arial"/>
          <w:sz w:val="24"/>
          <w:szCs w:val="24"/>
        </w:rPr>
        <w:t>Office of the Children’s Commissioner (2019) </w:t>
      </w:r>
      <w:r w:rsidRPr="00AB4244">
        <w:rPr>
          <w:rFonts w:ascii="Arial" w:hAnsi="Arial" w:cs="Arial"/>
          <w:i/>
          <w:iCs/>
          <w:sz w:val="24"/>
          <w:szCs w:val="24"/>
        </w:rPr>
        <w:t>A Manifesto for Children: Office of the Children’s Commissioner</w:t>
      </w:r>
      <w:r w:rsidRPr="00AB4244">
        <w:rPr>
          <w:rFonts w:ascii="Arial" w:hAnsi="Arial" w:cs="Arial"/>
          <w:sz w:val="24"/>
          <w:szCs w:val="24"/>
        </w:rPr>
        <w:t xml:space="preserve">. Available at: </w:t>
      </w:r>
      <w:hyperlink r:id="rId306" w:history="1">
        <w:r w:rsidRPr="007D0B0F">
          <w:rPr>
            <w:rStyle w:val="Hyperlink"/>
            <w:rFonts w:ascii="Arial" w:hAnsi="Arial" w:cs="Arial"/>
            <w:sz w:val="24"/>
            <w:szCs w:val="24"/>
          </w:rPr>
          <w:t>https://assets.childrenscommissioner.gov.uk/wpuploads/2019/09/cco-a-manifesto-for-children.pdf</w:t>
        </w:r>
      </w:hyperlink>
      <w:r>
        <w:rPr>
          <w:rFonts w:ascii="Arial" w:hAnsi="Arial" w:cs="Arial"/>
          <w:sz w:val="24"/>
          <w:szCs w:val="24"/>
        </w:rPr>
        <w:t xml:space="preserve"> </w:t>
      </w:r>
      <w:r w:rsidRPr="00AB4244">
        <w:rPr>
          <w:rFonts w:ascii="Arial" w:hAnsi="Arial" w:cs="Arial"/>
          <w:sz w:val="24"/>
          <w:szCs w:val="24"/>
        </w:rPr>
        <w:t>(Accessed: 22 March 2026).</w:t>
      </w:r>
    </w:p>
    <w:p w14:paraId="2684C277" w14:textId="0ACD827E" w:rsidR="0082595D" w:rsidRDefault="0082595D" w:rsidP="009E58ED">
      <w:pPr>
        <w:spacing w:line="360" w:lineRule="auto"/>
        <w:jc w:val="both"/>
        <w:rPr>
          <w:rFonts w:ascii="Arial" w:hAnsi="Arial" w:cs="Arial"/>
          <w:sz w:val="24"/>
          <w:szCs w:val="24"/>
        </w:rPr>
      </w:pPr>
      <w:r w:rsidRPr="0082595D">
        <w:rPr>
          <w:rFonts w:ascii="Arial" w:hAnsi="Arial" w:cs="Arial"/>
          <w:sz w:val="24"/>
          <w:szCs w:val="24"/>
        </w:rPr>
        <w:t>Office of the Children's Commissioner (2012) </w:t>
      </w:r>
      <w:r w:rsidRPr="0082595D">
        <w:rPr>
          <w:rFonts w:ascii="Arial" w:hAnsi="Arial" w:cs="Arial"/>
          <w:i/>
          <w:iCs/>
          <w:sz w:val="24"/>
          <w:szCs w:val="24"/>
        </w:rPr>
        <w:t>“They never give up on you."</w:t>
      </w:r>
      <w:r w:rsidRPr="0082595D">
        <w:rPr>
          <w:rFonts w:ascii="Arial" w:hAnsi="Arial" w:cs="Arial"/>
          <w:sz w:val="24"/>
          <w:szCs w:val="24"/>
        </w:rPr>
        <w:t xml:space="preserve"> Office of the Children's Commissioner. Available at: </w:t>
      </w:r>
      <w:hyperlink r:id="rId307" w:history="1">
        <w:r w:rsidRPr="007D0B0F">
          <w:rPr>
            <w:rStyle w:val="Hyperlink"/>
            <w:rFonts w:ascii="Arial" w:hAnsi="Arial" w:cs="Arial"/>
            <w:sz w:val="24"/>
            <w:szCs w:val="24"/>
          </w:rPr>
          <w:t>https://assets.childrenscommissioner.gov.uk/wpuploads/2017/07/They-never-give-up-on-you-final-report.pdf</w:t>
        </w:r>
      </w:hyperlink>
      <w:r>
        <w:rPr>
          <w:rFonts w:ascii="Arial" w:hAnsi="Arial" w:cs="Arial"/>
          <w:sz w:val="24"/>
          <w:szCs w:val="24"/>
        </w:rPr>
        <w:t xml:space="preserve"> </w:t>
      </w:r>
      <w:r w:rsidRPr="0082595D">
        <w:rPr>
          <w:rFonts w:ascii="Arial" w:hAnsi="Arial" w:cs="Arial"/>
          <w:sz w:val="24"/>
          <w:szCs w:val="24"/>
        </w:rPr>
        <w:t>(Accessed: 21 March 2026).</w:t>
      </w:r>
    </w:p>
    <w:p w14:paraId="44CF4543" w14:textId="4D8C109A" w:rsidR="007A2718" w:rsidRDefault="007A2718" w:rsidP="009E58ED">
      <w:pPr>
        <w:spacing w:line="360" w:lineRule="auto"/>
        <w:jc w:val="both"/>
        <w:rPr>
          <w:rFonts w:ascii="Arial" w:hAnsi="Arial" w:cs="Arial"/>
          <w:sz w:val="24"/>
          <w:szCs w:val="24"/>
        </w:rPr>
      </w:pPr>
      <w:r w:rsidRPr="007A2718">
        <w:rPr>
          <w:rFonts w:ascii="Arial" w:hAnsi="Arial" w:cs="Arial"/>
          <w:sz w:val="24"/>
          <w:szCs w:val="24"/>
        </w:rPr>
        <w:t>Ofsted (2006) </w:t>
      </w:r>
      <w:r w:rsidRPr="007A2718">
        <w:rPr>
          <w:rFonts w:ascii="Arial" w:hAnsi="Arial" w:cs="Arial"/>
          <w:i/>
          <w:iCs/>
          <w:sz w:val="24"/>
          <w:szCs w:val="24"/>
        </w:rPr>
        <w:t>Ofsted Departmental Report 2006-07</w:t>
      </w:r>
      <w:r w:rsidRPr="007A2718">
        <w:rPr>
          <w:rFonts w:ascii="Arial" w:hAnsi="Arial" w:cs="Arial"/>
          <w:sz w:val="24"/>
          <w:szCs w:val="24"/>
        </w:rPr>
        <w:t>. ID5572594 05/07. The Stationery Office Limited</w:t>
      </w:r>
      <w:r w:rsidR="008F4025">
        <w:rPr>
          <w:rFonts w:ascii="Arial" w:hAnsi="Arial" w:cs="Arial"/>
          <w:sz w:val="24"/>
          <w:szCs w:val="24"/>
        </w:rPr>
        <w:t xml:space="preserve">. </w:t>
      </w:r>
      <w:r w:rsidRPr="007A2718">
        <w:rPr>
          <w:rFonts w:ascii="Arial" w:hAnsi="Arial" w:cs="Arial"/>
          <w:sz w:val="24"/>
          <w:szCs w:val="24"/>
        </w:rPr>
        <w:t xml:space="preserve">Available at: </w:t>
      </w:r>
      <w:hyperlink r:id="rId308" w:history="1">
        <w:r w:rsidRPr="007D0B0F">
          <w:rPr>
            <w:rStyle w:val="Hyperlink"/>
            <w:rFonts w:ascii="Arial" w:hAnsi="Arial" w:cs="Arial"/>
            <w:sz w:val="24"/>
            <w:szCs w:val="24"/>
          </w:rPr>
          <w:t>https://assets.publishing.service.gov.uk/media/5a7ca25ee5274a2f304ef198/7117.pdf</w:t>
        </w:r>
      </w:hyperlink>
      <w:r>
        <w:rPr>
          <w:rFonts w:ascii="Arial" w:hAnsi="Arial" w:cs="Arial"/>
          <w:sz w:val="24"/>
          <w:szCs w:val="24"/>
        </w:rPr>
        <w:t xml:space="preserve"> </w:t>
      </w:r>
      <w:r w:rsidRPr="007A2718">
        <w:rPr>
          <w:rFonts w:ascii="Arial" w:hAnsi="Arial" w:cs="Arial"/>
          <w:sz w:val="24"/>
          <w:szCs w:val="24"/>
        </w:rPr>
        <w:t>(Accessed: 21 March 2026).</w:t>
      </w:r>
    </w:p>
    <w:p w14:paraId="43C45623" w14:textId="540546B9" w:rsidR="00450C02" w:rsidRDefault="00450C02" w:rsidP="009E58ED">
      <w:pPr>
        <w:spacing w:line="360" w:lineRule="auto"/>
        <w:jc w:val="both"/>
        <w:rPr>
          <w:rFonts w:ascii="Arial" w:hAnsi="Arial" w:cs="Arial"/>
          <w:sz w:val="24"/>
          <w:szCs w:val="24"/>
        </w:rPr>
      </w:pPr>
      <w:r w:rsidRPr="00450C02">
        <w:rPr>
          <w:rFonts w:ascii="Arial" w:hAnsi="Arial" w:cs="Arial"/>
          <w:sz w:val="24"/>
          <w:szCs w:val="24"/>
        </w:rPr>
        <w:t>Ofsted (2005)</w:t>
      </w:r>
      <w:r w:rsidR="008F4025">
        <w:rPr>
          <w:rFonts w:ascii="Arial" w:hAnsi="Arial" w:cs="Arial"/>
          <w:sz w:val="24"/>
          <w:szCs w:val="24"/>
        </w:rPr>
        <w:t>.</w:t>
      </w:r>
      <w:r w:rsidRPr="00450C02">
        <w:rPr>
          <w:rFonts w:ascii="Arial" w:hAnsi="Arial" w:cs="Arial"/>
          <w:sz w:val="24"/>
          <w:szCs w:val="24"/>
        </w:rPr>
        <w:t> </w:t>
      </w:r>
      <w:r w:rsidRPr="00450C02">
        <w:rPr>
          <w:rFonts w:ascii="Arial" w:hAnsi="Arial" w:cs="Arial"/>
          <w:i/>
          <w:iCs/>
          <w:sz w:val="24"/>
          <w:szCs w:val="24"/>
        </w:rPr>
        <w:t>Race equality in further education: a report by HMI</w:t>
      </w:r>
      <w:r w:rsidRPr="00450C02">
        <w:rPr>
          <w:rFonts w:ascii="Arial" w:hAnsi="Arial" w:cs="Arial"/>
          <w:sz w:val="24"/>
          <w:szCs w:val="24"/>
        </w:rPr>
        <w:t xml:space="preserve">. The Stationery Office Available at: </w:t>
      </w:r>
      <w:hyperlink r:id="rId309" w:history="1">
        <w:r w:rsidRPr="00FB3832">
          <w:rPr>
            <w:rStyle w:val="Hyperlink"/>
            <w:rFonts w:ascii="Arial" w:hAnsi="Arial" w:cs="Arial"/>
            <w:sz w:val="24"/>
            <w:szCs w:val="24"/>
          </w:rPr>
          <w:t>https://dera.ioe.ac.uk/id/eprint/5547/1/Race%20equality%20in%20further%20education%20a%20report%20by%20HMI%20progress%20and%20good%20practice%20in%20colleges%20in%20the%20further%20education%20sector%20in%20response%20to%20the%20Race%20Relations%20%28Amendment%29%20Act%202000%20%28PDF%20format.pdf</w:t>
        </w:r>
      </w:hyperlink>
      <w:r>
        <w:rPr>
          <w:rFonts w:ascii="Arial" w:hAnsi="Arial" w:cs="Arial"/>
          <w:sz w:val="24"/>
          <w:szCs w:val="24"/>
        </w:rPr>
        <w:t xml:space="preserve"> </w:t>
      </w:r>
      <w:r w:rsidRPr="00450C02">
        <w:rPr>
          <w:rFonts w:ascii="Arial" w:hAnsi="Arial" w:cs="Arial"/>
          <w:sz w:val="24"/>
          <w:szCs w:val="24"/>
        </w:rPr>
        <w:t>(Accessed: 20 March 2026).</w:t>
      </w:r>
    </w:p>
    <w:p w14:paraId="7AAE6767" w14:textId="0F014E8A" w:rsidR="00060AF6" w:rsidRDefault="00060AF6" w:rsidP="009E58ED">
      <w:pPr>
        <w:spacing w:line="360" w:lineRule="auto"/>
        <w:jc w:val="both"/>
        <w:rPr>
          <w:rFonts w:ascii="Arial" w:hAnsi="Arial" w:cs="Arial"/>
          <w:sz w:val="24"/>
          <w:szCs w:val="24"/>
        </w:rPr>
      </w:pPr>
      <w:r w:rsidRPr="00060AF6">
        <w:rPr>
          <w:rFonts w:ascii="Arial" w:hAnsi="Arial" w:cs="Arial"/>
          <w:sz w:val="24"/>
          <w:szCs w:val="24"/>
        </w:rPr>
        <w:t>Ogbonna, E. (2019)</w:t>
      </w:r>
      <w:r w:rsidR="008F4025">
        <w:rPr>
          <w:rFonts w:ascii="Arial" w:hAnsi="Arial" w:cs="Arial"/>
          <w:sz w:val="24"/>
          <w:szCs w:val="24"/>
        </w:rPr>
        <w:t>.</w:t>
      </w:r>
      <w:r w:rsidRPr="00060AF6">
        <w:rPr>
          <w:rFonts w:ascii="Arial" w:hAnsi="Arial" w:cs="Arial"/>
          <w:sz w:val="24"/>
          <w:szCs w:val="24"/>
        </w:rPr>
        <w:t xml:space="preserve"> 'The uneasy alliance of organisational culture and equal opportunities for ethnic minority groups: A British example', </w:t>
      </w:r>
      <w:r w:rsidRPr="00060AF6">
        <w:rPr>
          <w:rFonts w:ascii="Arial" w:hAnsi="Arial" w:cs="Arial"/>
          <w:i/>
          <w:iCs/>
          <w:sz w:val="24"/>
          <w:szCs w:val="24"/>
        </w:rPr>
        <w:t>Human Resource Management Journal</w:t>
      </w:r>
      <w:r w:rsidRPr="00060AF6">
        <w:rPr>
          <w:rFonts w:ascii="Arial" w:hAnsi="Arial" w:cs="Arial"/>
          <w:sz w:val="24"/>
          <w:szCs w:val="24"/>
        </w:rPr>
        <w:t>, 29(3), pp. 309</w:t>
      </w:r>
      <w:r w:rsidR="008F4025">
        <w:rPr>
          <w:rFonts w:ascii="Arial" w:hAnsi="Arial" w:cs="Arial"/>
          <w:sz w:val="24"/>
          <w:szCs w:val="24"/>
        </w:rPr>
        <w:t>–</w:t>
      </w:r>
      <w:r w:rsidRPr="00060AF6">
        <w:rPr>
          <w:rFonts w:ascii="Arial" w:hAnsi="Arial" w:cs="Arial"/>
          <w:sz w:val="24"/>
          <w:szCs w:val="24"/>
        </w:rPr>
        <w:t xml:space="preserve">327. Available at: </w:t>
      </w:r>
      <w:hyperlink r:id="rId310" w:history="1">
        <w:r w:rsidRPr="00FB3832">
          <w:rPr>
            <w:rStyle w:val="Hyperlink"/>
            <w:rFonts w:ascii="Arial" w:hAnsi="Arial" w:cs="Arial"/>
            <w:sz w:val="24"/>
            <w:szCs w:val="24"/>
          </w:rPr>
          <w:t>https://onlinelibrary.wiley.com/doi/epdf/10.1111/1748-8583.12227?saml_referrer</w:t>
        </w:r>
      </w:hyperlink>
      <w:r>
        <w:rPr>
          <w:rFonts w:ascii="Arial" w:hAnsi="Arial" w:cs="Arial"/>
          <w:sz w:val="24"/>
          <w:szCs w:val="24"/>
        </w:rPr>
        <w:t xml:space="preserve"> </w:t>
      </w:r>
      <w:r w:rsidRPr="00060AF6">
        <w:rPr>
          <w:rFonts w:ascii="Arial" w:hAnsi="Arial" w:cs="Arial"/>
          <w:sz w:val="24"/>
          <w:szCs w:val="24"/>
        </w:rPr>
        <w:t>(Accessed: 20 March 2026).</w:t>
      </w:r>
    </w:p>
    <w:p w14:paraId="1070F3DC" w14:textId="24EBD2CA" w:rsidR="0045044A" w:rsidRDefault="0045044A" w:rsidP="009E58ED">
      <w:pPr>
        <w:spacing w:line="360" w:lineRule="auto"/>
        <w:jc w:val="both"/>
        <w:rPr>
          <w:rFonts w:ascii="Arial" w:hAnsi="Arial" w:cs="Arial"/>
          <w:sz w:val="24"/>
          <w:szCs w:val="24"/>
        </w:rPr>
      </w:pPr>
      <w:r w:rsidRPr="0045044A">
        <w:rPr>
          <w:rFonts w:ascii="Arial" w:hAnsi="Arial" w:cs="Arial"/>
          <w:sz w:val="24"/>
          <w:szCs w:val="24"/>
        </w:rPr>
        <w:t>O’Hagan, A., and Edmundson, C. (2021)</w:t>
      </w:r>
      <w:r>
        <w:rPr>
          <w:rFonts w:ascii="Arial" w:hAnsi="Arial" w:cs="Arial"/>
          <w:sz w:val="24"/>
          <w:szCs w:val="24"/>
        </w:rPr>
        <w:t>.</w:t>
      </w:r>
      <w:r w:rsidRPr="0045044A">
        <w:rPr>
          <w:rFonts w:ascii="Arial" w:hAnsi="Arial" w:cs="Arial"/>
          <w:sz w:val="24"/>
          <w:szCs w:val="24"/>
        </w:rPr>
        <w:t xml:space="preserve"> 'County lines: The exploitation of vulnerable</w:t>
      </w:r>
      <w:r>
        <w:rPr>
          <w:rFonts w:ascii="Arial" w:hAnsi="Arial" w:cs="Arial"/>
          <w:sz w:val="24"/>
          <w:szCs w:val="24"/>
        </w:rPr>
        <w:t xml:space="preserve"> </w:t>
      </w:r>
      <w:r w:rsidRPr="0045044A">
        <w:rPr>
          <w:rFonts w:ascii="Arial" w:hAnsi="Arial" w:cs="Arial"/>
          <w:sz w:val="24"/>
          <w:szCs w:val="24"/>
        </w:rPr>
        <w:t xml:space="preserve">members of society', Forensic Research and Criminology International Journal, 9(2), pp. 47-57. Available at: </w:t>
      </w:r>
      <w:hyperlink r:id="rId311" w:history="1">
        <w:r w:rsidRPr="007D0B0F">
          <w:rPr>
            <w:rStyle w:val="Hyperlink"/>
            <w:rFonts w:ascii="Arial" w:hAnsi="Arial" w:cs="Arial"/>
            <w:sz w:val="24"/>
            <w:szCs w:val="24"/>
          </w:rPr>
          <w:t>https://irep.ntu.ac.uk/id/eprint/44335/1/1475824_O%27Hagan.pdf</w:t>
        </w:r>
      </w:hyperlink>
      <w:r>
        <w:rPr>
          <w:rFonts w:ascii="Arial" w:hAnsi="Arial" w:cs="Arial"/>
          <w:sz w:val="24"/>
          <w:szCs w:val="24"/>
        </w:rPr>
        <w:t xml:space="preserve"> </w:t>
      </w:r>
      <w:r w:rsidRPr="0045044A">
        <w:rPr>
          <w:rFonts w:ascii="Arial" w:hAnsi="Arial" w:cs="Arial"/>
          <w:sz w:val="24"/>
          <w:szCs w:val="24"/>
        </w:rPr>
        <w:t>(Accessed: 2 April 2026).</w:t>
      </w:r>
    </w:p>
    <w:p w14:paraId="003A738E" w14:textId="4EA4DA7B" w:rsidR="00AF1046" w:rsidRDefault="00AF1046" w:rsidP="009E58ED">
      <w:pPr>
        <w:spacing w:line="360" w:lineRule="auto"/>
        <w:jc w:val="both"/>
        <w:rPr>
          <w:rFonts w:ascii="Arial" w:hAnsi="Arial" w:cs="Arial"/>
          <w:sz w:val="24"/>
          <w:szCs w:val="24"/>
        </w:rPr>
      </w:pPr>
      <w:r w:rsidRPr="00AF1046">
        <w:rPr>
          <w:rFonts w:ascii="Arial" w:hAnsi="Arial" w:cs="Arial"/>
          <w:sz w:val="24"/>
          <w:szCs w:val="24"/>
        </w:rPr>
        <w:t>Ojo, S., Nwankwo, S., and Gbadamosi, A. (2013)</w:t>
      </w:r>
      <w:r>
        <w:rPr>
          <w:rFonts w:ascii="Arial" w:hAnsi="Arial" w:cs="Arial"/>
          <w:sz w:val="24"/>
          <w:szCs w:val="24"/>
        </w:rPr>
        <w:t>.</w:t>
      </w:r>
      <w:r w:rsidRPr="00AF1046">
        <w:rPr>
          <w:rFonts w:ascii="Arial" w:hAnsi="Arial" w:cs="Arial"/>
          <w:sz w:val="24"/>
          <w:szCs w:val="24"/>
        </w:rPr>
        <w:t xml:space="preserve"> 'Ethnic entrepreneurship: the myths of informal and illegal enterprises in the UK', Entrepreneurship and Regional Development, 25(7/8), pp. 587</w:t>
      </w:r>
      <w:r w:rsidR="00061F32">
        <w:rPr>
          <w:rFonts w:ascii="Arial" w:hAnsi="Arial" w:cs="Arial"/>
          <w:sz w:val="24"/>
          <w:szCs w:val="24"/>
        </w:rPr>
        <w:t>–</w:t>
      </w:r>
      <w:r w:rsidRPr="00AF1046">
        <w:rPr>
          <w:rFonts w:ascii="Arial" w:hAnsi="Arial" w:cs="Arial"/>
          <w:sz w:val="24"/>
          <w:szCs w:val="24"/>
        </w:rPr>
        <w:t xml:space="preserve">611. Available at: </w:t>
      </w:r>
      <w:hyperlink r:id="rId312" w:history="1">
        <w:r w:rsidRPr="007D0B0F">
          <w:rPr>
            <w:rStyle w:val="Hyperlink"/>
            <w:rFonts w:ascii="Arial" w:hAnsi="Arial" w:cs="Arial"/>
            <w:sz w:val="24"/>
            <w:szCs w:val="24"/>
          </w:rPr>
          <w:t>https://research.ebsco.com/c/onvpsy/search/details/svyup5bccb?db=bth</w:t>
        </w:r>
      </w:hyperlink>
      <w:r>
        <w:rPr>
          <w:rFonts w:ascii="Arial" w:hAnsi="Arial" w:cs="Arial"/>
          <w:sz w:val="24"/>
          <w:szCs w:val="24"/>
        </w:rPr>
        <w:t xml:space="preserve"> </w:t>
      </w:r>
      <w:r w:rsidRPr="00AF1046">
        <w:rPr>
          <w:rFonts w:ascii="Arial" w:hAnsi="Arial" w:cs="Arial"/>
          <w:sz w:val="24"/>
          <w:szCs w:val="24"/>
        </w:rPr>
        <w:t>(Accessed: 27 March 2026).</w:t>
      </w:r>
    </w:p>
    <w:p w14:paraId="7569C41D" w14:textId="352DF891" w:rsidR="00061F32" w:rsidRDefault="00061F32" w:rsidP="009E58ED">
      <w:pPr>
        <w:spacing w:line="360" w:lineRule="auto"/>
        <w:jc w:val="both"/>
        <w:rPr>
          <w:rFonts w:ascii="Arial" w:hAnsi="Arial" w:cs="Arial"/>
          <w:sz w:val="24"/>
          <w:szCs w:val="24"/>
        </w:rPr>
      </w:pPr>
      <w:r w:rsidRPr="00061F32">
        <w:rPr>
          <w:rFonts w:ascii="Arial" w:hAnsi="Arial" w:cs="Arial"/>
          <w:sz w:val="24"/>
          <w:szCs w:val="24"/>
        </w:rPr>
        <w:lastRenderedPageBreak/>
        <w:t xml:space="preserve">Olutola, I. (2019). An Interpretive Analysis of Long-Term Success of Black Businesses in Britain.  Doctor of Philosophy. University of East London. Available at: </w:t>
      </w:r>
      <w:hyperlink r:id="rId313" w:history="1">
        <w:r w:rsidRPr="007D0B0F">
          <w:rPr>
            <w:rStyle w:val="Hyperlink"/>
            <w:rFonts w:ascii="Arial" w:hAnsi="Arial" w:cs="Arial"/>
            <w:sz w:val="24"/>
            <w:szCs w:val="24"/>
          </w:rPr>
          <w:t>https://web.archive.org/web/20200217013122id_/https://repository.uel.ac.uk/download/ab4ce0e77fc4ea547a22b9fd9a32178c1fb4955b756d8a52c6d515de31c80543/1514295/2019_PhD_Olutola.pdf</w:t>
        </w:r>
      </w:hyperlink>
      <w:r>
        <w:rPr>
          <w:rFonts w:ascii="Arial" w:hAnsi="Arial" w:cs="Arial"/>
          <w:sz w:val="24"/>
          <w:szCs w:val="24"/>
        </w:rPr>
        <w:t xml:space="preserve"> </w:t>
      </w:r>
      <w:r w:rsidRPr="00061F32">
        <w:rPr>
          <w:rFonts w:ascii="Arial" w:hAnsi="Arial" w:cs="Arial"/>
          <w:sz w:val="24"/>
          <w:szCs w:val="24"/>
        </w:rPr>
        <w:t>(28 March 2026).</w:t>
      </w:r>
    </w:p>
    <w:p w14:paraId="16899057" w14:textId="592A2700" w:rsidR="00524248" w:rsidRDefault="00524248" w:rsidP="009E58ED">
      <w:pPr>
        <w:spacing w:line="360" w:lineRule="auto"/>
        <w:jc w:val="both"/>
        <w:rPr>
          <w:rFonts w:ascii="Arial" w:hAnsi="Arial" w:cs="Arial"/>
          <w:sz w:val="24"/>
          <w:szCs w:val="24"/>
        </w:rPr>
      </w:pPr>
      <w:r w:rsidRPr="00524248">
        <w:rPr>
          <w:rFonts w:ascii="Arial" w:hAnsi="Arial" w:cs="Arial"/>
          <w:sz w:val="24"/>
          <w:szCs w:val="24"/>
        </w:rPr>
        <w:t xml:space="preserve">Olver, K., </w:t>
      </w:r>
      <w:proofErr w:type="spellStart"/>
      <w:r w:rsidRPr="00524248">
        <w:rPr>
          <w:rFonts w:ascii="Arial" w:hAnsi="Arial" w:cs="Arial"/>
          <w:sz w:val="24"/>
          <w:szCs w:val="24"/>
        </w:rPr>
        <w:t>Cockbain</w:t>
      </w:r>
      <w:proofErr w:type="spellEnd"/>
      <w:r w:rsidRPr="00524248">
        <w:rPr>
          <w:rFonts w:ascii="Arial" w:hAnsi="Arial" w:cs="Arial"/>
          <w:sz w:val="24"/>
          <w:szCs w:val="24"/>
        </w:rPr>
        <w:t>, E. (2021)</w:t>
      </w:r>
      <w:r>
        <w:rPr>
          <w:rFonts w:ascii="Arial" w:hAnsi="Arial" w:cs="Arial"/>
          <w:sz w:val="24"/>
          <w:szCs w:val="24"/>
        </w:rPr>
        <w:t>.</w:t>
      </w:r>
      <w:r w:rsidRPr="00524248">
        <w:rPr>
          <w:rFonts w:ascii="Arial" w:hAnsi="Arial" w:cs="Arial"/>
          <w:sz w:val="24"/>
          <w:szCs w:val="24"/>
        </w:rPr>
        <w:t xml:space="preserve"> 'Professionals' Views on Responding to County Lines-Related Criminal Exploitation in the West Midlands, UK', Child Abuse Review, 30, pp. 347-362. Available at: </w:t>
      </w:r>
      <w:hyperlink r:id="rId314" w:history="1">
        <w:r w:rsidRPr="007D0B0F">
          <w:rPr>
            <w:rStyle w:val="Hyperlink"/>
            <w:rFonts w:ascii="Arial" w:hAnsi="Arial" w:cs="Arial"/>
            <w:sz w:val="24"/>
            <w:szCs w:val="24"/>
          </w:rPr>
          <w:t>https://onlinelibrary.wiley.com/doi/epdf/10.1002/car.2704</w:t>
        </w:r>
      </w:hyperlink>
      <w:r>
        <w:rPr>
          <w:rFonts w:ascii="Arial" w:hAnsi="Arial" w:cs="Arial"/>
          <w:sz w:val="24"/>
          <w:szCs w:val="24"/>
        </w:rPr>
        <w:t xml:space="preserve"> </w:t>
      </w:r>
      <w:r w:rsidRPr="00524248">
        <w:rPr>
          <w:rFonts w:ascii="Arial" w:hAnsi="Arial" w:cs="Arial"/>
          <w:sz w:val="24"/>
          <w:szCs w:val="24"/>
        </w:rPr>
        <w:t>(Accessed: 1 April 2026).</w:t>
      </w:r>
    </w:p>
    <w:p w14:paraId="57EA6B42" w14:textId="10281BD1" w:rsidR="00C82EE7" w:rsidRDefault="00C82EE7" w:rsidP="009E58ED">
      <w:pPr>
        <w:spacing w:line="360" w:lineRule="auto"/>
        <w:jc w:val="both"/>
        <w:rPr>
          <w:rFonts w:ascii="Arial" w:hAnsi="Arial" w:cs="Arial"/>
          <w:sz w:val="24"/>
          <w:szCs w:val="24"/>
        </w:rPr>
      </w:pPr>
      <w:r w:rsidRPr="00C82EE7">
        <w:rPr>
          <w:rFonts w:ascii="Arial" w:hAnsi="Arial" w:cs="Arial"/>
          <w:sz w:val="24"/>
          <w:szCs w:val="24"/>
        </w:rPr>
        <w:t>Osborne, M. (2003)</w:t>
      </w:r>
      <w:r w:rsidR="008F4025">
        <w:rPr>
          <w:rFonts w:ascii="Arial" w:hAnsi="Arial" w:cs="Arial"/>
          <w:sz w:val="24"/>
          <w:szCs w:val="24"/>
        </w:rPr>
        <w:t>.</w:t>
      </w:r>
      <w:r w:rsidRPr="00C82EE7">
        <w:rPr>
          <w:rFonts w:ascii="Arial" w:hAnsi="Arial" w:cs="Arial"/>
          <w:sz w:val="24"/>
          <w:szCs w:val="24"/>
        </w:rPr>
        <w:t xml:space="preserve"> 'Increasing or Widening Participation in Higher Education? 'A European Overview', </w:t>
      </w:r>
      <w:r w:rsidRPr="00C82EE7">
        <w:rPr>
          <w:rFonts w:ascii="Arial" w:hAnsi="Arial" w:cs="Arial"/>
          <w:i/>
          <w:iCs/>
          <w:sz w:val="24"/>
          <w:szCs w:val="24"/>
        </w:rPr>
        <w:t>European Journal of Education</w:t>
      </w:r>
      <w:r w:rsidRPr="00C82EE7">
        <w:rPr>
          <w:rFonts w:ascii="Arial" w:hAnsi="Arial" w:cs="Arial"/>
          <w:sz w:val="24"/>
          <w:szCs w:val="24"/>
        </w:rPr>
        <w:t>, 38(1), pp. 5</w:t>
      </w:r>
      <w:r w:rsidR="008F4025">
        <w:rPr>
          <w:rFonts w:ascii="Arial" w:hAnsi="Arial" w:cs="Arial"/>
          <w:sz w:val="24"/>
          <w:szCs w:val="24"/>
        </w:rPr>
        <w:t>–</w:t>
      </w:r>
      <w:r w:rsidRPr="00C82EE7">
        <w:rPr>
          <w:rFonts w:ascii="Arial" w:hAnsi="Arial" w:cs="Arial"/>
          <w:sz w:val="24"/>
          <w:szCs w:val="24"/>
        </w:rPr>
        <w:t xml:space="preserve">24. Available at: </w:t>
      </w:r>
      <w:hyperlink r:id="rId315" w:history="1">
        <w:r w:rsidRPr="002F0426">
          <w:rPr>
            <w:rStyle w:val="Hyperlink"/>
            <w:rFonts w:ascii="Arial" w:hAnsi="Arial" w:cs="Arial"/>
            <w:sz w:val="24"/>
            <w:szCs w:val="24"/>
          </w:rPr>
          <w:t>https://research-ebsco-com.uwtsd.idm.oclc.org/c/onvpsy/viewer/pdf/hsznrxmvjj?route=details</w:t>
        </w:r>
      </w:hyperlink>
      <w:r>
        <w:rPr>
          <w:rFonts w:ascii="Arial" w:hAnsi="Arial" w:cs="Arial"/>
          <w:sz w:val="24"/>
          <w:szCs w:val="24"/>
        </w:rPr>
        <w:t xml:space="preserve"> </w:t>
      </w:r>
      <w:r w:rsidRPr="00C82EE7">
        <w:rPr>
          <w:rFonts w:ascii="Arial" w:hAnsi="Arial" w:cs="Arial"/>
          <w:sz w:val="24"/>
          <w:szCs w:val="24"/>
        </w:rPr>
        <w:t>(Accessed: 20 March 2026).</w:t>
      </w:r>
    </w:p>
    <w:p w14:paraId="5FF9D9A7" w14:textId="089B13F6" w:rsidR="00C15172" w:rsidRDefault="00C15172" w:rsidP="009E58ED">
      <w:pPr>
        <w:spacing w:line="360" w:lineRule="auto"/>
        <w:jc w:val="both"/>
        <w:rPr>
          <w:rFonts w:ascii="Arial" w:hAnsi="Arial" w:cs="Arial"/>
          <w:sz w:val="24"/>
          <w:szCs w:val="24"/>
        </w:rPr>
      </w:pPr>
      <w:proofErr w:type="spellStart"/>
      <w:r w:rsidRPr="00C15172">
        <w:rPr>
          <w:rFonts w:ascii="Arial" w:hAnsi="Arial" w:cs="Arial"/>
          <w:sz w:val="24"/>
          <w:szCs w:val="24"/>
        </w:rPr>
        <w:t>Osewa-Ediae</w:t>
      </w:r>
      <w:proofErr w:type="spellEnd"/>
      <w:r w:rsidRPr="00C15172">
        <w:rPr>
          <w:rFonts w:ascii="Arial" w:hAnsi="Arial" w:cs="Arial"/>
          <w:sz w:val="24"/>
          <w:szCs w:val="24"/>
        </w:rPr>
        <w:t>, C. (2011)</w:t>
      </w:r>
      <w:r>
        <w:rPr>
          <w:rFonts w:ascii="Arial" w:hAnsi="Arial" w:cs="Arial"/>
          <w:sz w:val="24"/>
          <w:szCs w:val="24"/>
        </w:rPr>
        <w:t>.</w:t>
      </w:r>
      <w:r w:rsidRPr="00C15172">
        <w:rPr>
          <w:rFonts w:ascii="Arial" w:hAnsi="Arial" w:cs="Arial"/>
          <w:sz w:val="24"/>
          <w:szCs w:val="24"/>
        </w:rPr>
        <w:t xml:space="preserve"> 'Assessing the Sustainability of London-Based Black African SMEs', World Journal of </w:t>
      </w:r>
      <w:proofErr w:type="spellStart"/>
      <w:r w:rsidRPr="00C15172">
        <w:rPr>
          <w:rFonts w:ascii="Arial" w:hAnsi="Arial" w:cs="Arial"/>
          <w:sz w:val="24"/>
          <w:szCs w:val="24"/>
        </w:rPr>
        <w:t>Enterprenuership</w:t>
      </w:r>
      <w:proofErr w:type="spellEnd"/>
      <w:r w:rsidRPr="00C15172">
        <w:rPr>
          <w:rFonts w:ascii="Arial" w:hAnsi="Arial" w:cs="Arial"/>
          <w:sz w:val="24"/>
          <w:szCs w:val="24"/>
        </w:rPr>
        <w:t>, Management and Sustainable Developmen</w:t>
      </w:r>
      <w:r>
        <w:rPr>
          <w:rFonts w:ascii="Arial" w:hAnsi="Arial" w:cs="Arial"/>
          <w:sz w:val="24"/>
          <w:szCs w:val="24"/>
        </w:rPr>
        <w:t>t</w:t>
      </w:r>
      <w:r w:rsidRPr="00C15172">
        <w:rPr>
          <w:rFonts w:ascii="Arial" w:hAnsi="Arial" w:cs="Arial"/>
          <w:sz w:val="24"/>
          <w:szCs w:val="24"/>
        </w:rPr>
        <w:t xml:space="preserve">, 7(1), pp. 59-80 Available at: </w:t>
      </w:r>
      <w:hyperlink r:id="rId316" w:history="1">
        <w:r w:rsidRPr="007D0B0F">
          <w:rPr>
            <w:rStyle w:val="Hyperlink"/>
            <w:rFonts w:ascii="Arial" w:hAnsi="Arial" w:cs="Arial"/>
            <w:sz w:val="24"/>
            <w:szCs w:val="24"/>
          </w:rPr>
          <w:t>https://d1wqtxts1xzle7.cloudfront.net/5798856/WJEMSD_V7N1_2011_OSEWA-EDIAE__6_-libre.pdf?1390842968=&amp;response-content-disposition=inline%3B+filename%3DAssessing_the_Sustainability_of_London_B.pdf&amp;Expires=1775766678&amp;Signature=TJpLRqY4nprqzhKJ7RRBgaEZwy3lF0INPfWjXLbHdkw~IiksEBQumnxkxlJh7MHDH9h0NrNYADIIrQP~ZdX8~7Vq7OV8f7bMHTiPOINR2t~z3zYSYLIItPpzFO5L0HdNulhWeWXF5BuCzxXC7zq~mtl73FMrUDMukFnFQaE8i1szcQdERoSh36c2rUDM2D-JnVfRs0gCMG0Qlzz9EAtUYRExzhMpXiHRlc-z-iuyj0bln~T0V-uXbLlc2o14Rp2W6S5u1VNFoLWhJ3aYVInBFEPlqmeM3YzFI~3ps0j2QmtLNdOYYMQknnNLvSLTN3zub2G28FtzplXSqVzJLAZthw__&amp;Key-Pair-Id=APKAJLOHF5GGSLRBV4ZA</w:t>
        </w:r>
      </w:hyperlink>
      <w:r>
        <w:rPr>
          <w:rFonts w:ascii="Arial" w:hAnsi="Arial" w:cs="Arial"/>
          <w:sz w:val="24"/>
          <w:szCs w:val="24"/>
        </w:rPr>
        <w:t xml:space="preserve"> </w:t>
      </w:r>
      <w:r w:rsidRPr="00C15172">
        <w:rPr>
          <w:rFonts w:ascii="Arial" w:hAnsi="Arial" w:cs="Arial"/>
          <w:sz w:val="24"/>
          <w:szCs w:val="24"/>
        </w:rPr>
        <w:t xml:space="preserve"> (28 March 2026).</w:t>
      </w:r>
    </w:p>
    <w:p w14:paraId="47205BA7" w14:textId="74470B08" w:rsidR="005C7945" w:rsidRDefault="005C7945" w:rsidP="009E58ED">
      <w:pPr>
        <w:spacing w:line="360" w:lineRule="auto"/>
        <w:jc w:val="both"/>
        <w:rPr>
          <w:rFonts w:ascii="Arial" w:hAnsi="Arial" w:cs="Arial"/>
          <w:sz w:val="24"/>
          <w:szCs w:val="24"/>
        </w:rPr>
      </w:pPr>
      <w:r w:rsidRPr="005C7945">
        <w:rPr>
          <w:rFonts w:ascii="Arial" w:hAnsi="Arial" w:cs="Arial"/>
          <w:sz w:val="24"/>
          <w:szCs w:val="24"/>
        </w:rPr>
        <w:lastRenderedPageBreak/>
        <w:t>Parliamentary Business (2005)</w:t>
      </w:r>
      <w:r>
        <w:rPr>
          <w:rFonts w:ascii="Arial" w:hAnsi="Arial" w:cs="Arial"/>
          <w:sz w:val="24"/>
          <w:szCs w:val="24"/>
        </w:rPr>
        <w:t>.</w:t>
      </w:r>
      <w:r w:rsidRPr="005C7945">
        <w:rPr>
          <w:rFonts w:ascii="Arial" w:hAnsi="Arial" w:cs="Arial"/>
          <w:sz w:val="24"/>
          <w:szCs w:val="24"/>
        </w:rPr>
        <w:t xml:space="preserve"> Ethnic minority employment (Select Committee on Work and Pensions Fourth Report). Parliament UK. Available at: </w:t>
      </w:r>
      <w:hyperlink r:id="rId317" w:history="1">
        <w:r w:rsidRPr="007D0B0F">
          <w:rPr>
            <w:rStyle w:val="Hyperlink"/>
            <w:rFonts w:ascii="Arial" w:hAnsi="Arial" w:cs="Arial"/>
            <w:sz w:val="24"/>
            <w:szCs w:val="24"/>
          </w:rPr>
          <w:t>https://publications.parliament.uk/pa/cm200405/cmselect/cmworpen/268/26811.htm</w:t>
        </w:r>
      </w:hyperlink>
      <w:r>
        <w:rPr>
          <w:rFonts w:ascii="Arial" w:hAnsi="Arial" w:cs="Arial"/>
          <w:sz w:val="24"/>
          <w:szCs w:val="24"/>
        </w:rPr>
        <w:t xml:space="preserve"> </w:t>
      </w:r>
      <w:r w:rsidRPr="005C7945">
        <w:rPr>
          <w:rFonts w:ascii="Arial" w:hAnsi="Arial" w:cs="Arial"/>
          <w:sz w:val="24"/>
          <w:szCs w:val="24"/>
        </w:rPr>
        <w:t>(Accessed: 25 March 2026).</w:t>
      </w:r>
    </w:p>
    <w:p w14:paraId="3CDDCEBC" w14:textId="4AEED09A" w:rsidR="004D797C" w:rsidRDefault="004D797C" w:rsidP="009E58ED">
      <w:pPr>
        <w:spacing w:line="360" w:lineRule="auto"/>
        <w:jc w:val="both"/>
        <w:rPr>
          <w:rFonts w:ascii="Arial" w:hAnsi="Arial" w:cs="Arial"/>
          <w:sz w:val="24"/>
          <w:szCs w:val="24"/>
        </w:rPr>
      </w:pPr>
      <w:r w:rsidRPr="004D797C">
        <w:rPr>
          <w:rFonts w:ascii="Arial" w:hAnsi="Arial" w:cs="Arial"/>
          <w:sz w:val="24"/>
          <w:szCs w:val="24"/>
        </w:rPr>
        <w:t>Payne, J. (2001)</w:t>
      </w:r>
      <w:r w:rsidR="008F4025">
        <w:rPr>
          <w:rFonts w:ascii="Arial" w:hAnsi="Arial" w:cs="Arial"/>
          <w:sz w:val="24"/>
          <w:szCs w:val="24"/>
        </w:rPr>
        <w:t>.</w:t>
      </w:r>
      <w:r w:rsidRPr="004D797C">
        <w:rPr>
          <w:rFonts w:ascii="Arial" w:hAnsi="Arial" w:cs="Arial"/>
          <w:sz w:val="24"/>
          <w:szCs w:val="24"/>
        </w:rPr>
        <w:t xml:space="preserve"> Patterns of Participation in Full-Time Education after 16: An Analysis of the England and Wales Youth Cohort Study. RR307. Queen’s Printer. Available at: </w:t>
      </w:r>
      <w:hyperlink r:id="rId318" w:history="1">
        <w:r w:rsidRPr="00F821EF">
          <w:rPr>
            <w:rStyle w:val="Hyperlink"/>
            <w:rFonts w:ascii="Arial" w:hAnsi="Arial" w:cs="Arial"/>
            <w:sz w:val="24"/>
            <w:szCs w:val="24"/>
          </w:rPr>
          <w:t>https://dera.ioe.ac.uk/id/eprint/4577/1/RR307.pdf</w:t>
        </w:r>
      </w:hyperlink>
      <w:r>
        <w:rPr>
          <w:rFonts w:ascii="Arial" w:hAnsi="Arial" w:cs="Arial"/>
          <w:sz w:val="24"/>
          <w:szCs w:val="24"/>
        </w:rPr>
        <w:t xml:space="preserve"> </w:t>
      </w:r>
      <w:r w:rsidRPr="004D797C">
        <w:rPr>
          <w:rFonts w:ascii="Arial" w:hAnsi="Arial" w:cs="Arial"/>
          <w:sz w:val="24"/>
          <w:szCs w:val="24"/>
        </w:rPr>
        <w:t>(Accessed: 18 March 2026).</w:t>
      </w:r>
    </w:p>
    <w:p w14:paraId="0846D7C7" w14:textId="0409B713" w:rsidR="003C09EC" w:rsidRDefault="003D1159" w:rsidP="009E58ED">
      <w:pPr>
        <w:spacing w:line="360" w:lineRule="auto"/>
        <w:jc w:val="both"/>
        <w:rPr>
          <w:rFonts w:ascii="Arial" w:hAnsi="Arial" w:cs="Arial"/>
          <w:sz w:val="24"/>
          <w:szCs w:val="24"/>
        </w:rPr>
      </w:pPr>
      <w:r w:rsidRPr="003D1159">
        <w:rPr>
          <w:rFonts w:ascii="Arial" w:hAnsi="Arial" w:cs="Arial"/>
          <w:sz w:val="24"/>
          <w:szCs w:val="24"/>
        </w:rPr>
        <w:t>Peart, S. (2018)</w:t>
      </w:r>
      <w:r w:rsidR="008F4025">
        <w:rPr>
          <w:rFonts w:ascii="Arial" w:hAnsi="Arial" w:cs="Arial"/>
          <w:sz w:val="24"/>
          <w:szCs w:val="24"/>
        </w:rPr>
        <w:t>.</w:t>
      </w:r>
      <w:r w:rsidRPr="003D1159">
        <w:rPr>
          <w:rFonts w:ascii="Arial" w:hAnsi="Arial" w:cs="Arial"/>
          <w:sz w:val="24"/>
          <w:szCs w:val="24"/>
        </w:rPr>
        <w:t xml:space="preserve"> 'The significance of further education for black males', Education and Training, 60(6), pp. 544</w:t>
      </w:r>
      <w:r w:rsidR="008F4025">
        <w:rPr>
          <w:rFonts w:ascii="Arial" w:hAnsi="Arial" w:cs="Arial"/>
          <w:sz w:val="24"/>
          <w:szCs w:val="24"/>
        </w:rPr>
        <w:t>–</w:t>
      </w:r>
      <w:r w:rsidRPr="003D1159">
        <w:rPr>
          <w:rFonts w:ascii="Arial" w:hAnsi="Arial" w:cs="Arial"/>
          <w:sz w:val="24"/>
          <w:szCs w:val="24"/>
        </w:rPr>
        <w:t xml:space="preserve">555. Available at: </w:t>
      </w:r>
      <w:hyperlink r:id="rId319" w:history="1">
        <w:r w:rsidRPr="00FB3832">
          <w:rPr>
            <w:rStyle w:val="Hyperlink"/>
            <w:rFonts w:ascii="Arial" w:hAnsi="Arial" w:cs="Arial"/>
            <w:sz w:val="24"/>
            <w:szCs w:val="24"/>
          </w:rPr>
          <w:t>https://www.proquest.com/docview/2081540314?accountid=130472&amp;parentSessionId=IJVAMNVryhUq6J0%2Bt1hHdWGC7q1KPfheBJB4EV3kBVA%3D&amp;pq-origsite=primo&amp;sourcetype=Scholarly%20Journals#</w:t>
        </w:r>
      </w:hyperlink>
      <w:r>
        <w:rPr>
          <w:rFonts w:ascii="Arial" w:hAnsi="Arial" w:cs="Arial"/>
          <w:sz w:val="24"/>
          <w:szCs w:val="24"/>
        </w:rPr>
        <w:t xml:space="preserve"> </w:t>
      </w:r>
      <w:r w:rsidRPr="003D1159">
        <w:rPr>
          <w:rFonts w:ascii="Arial" w:hAnsi="Arial" w:cs="Arial"/>
          <w:sz w:val="24"/>
          <w:szCs w:val="24"/>
        </w:rPr>
        <w:t>(Accessed: 20 March 2026).</w:t>
      </w:r>
    </w:p>
    <w:p w14:paraId="18FC1F48" w14:textId="007DC8AA" w:rsidR="000F5503" w:rsidRDefault="000F5503" w:rsidP="009E58ED">
      <w:pPr>
        <w:spacing w:line="360" w:lineRule="auto"/>
        <w:jc w:val="both"/>
        <w:rPr>
          <w:rFonts w:ascii="Arial" w:hAnsi="Arial" w:cs="Arial"/>
          <w:sz w:val="24"/>
          <w:szCs w:val="24"/>
        </w:rPr>
      </w:pPr>
      <w:r w:rsidRPr="000F5503">
        <w:rPr>
          <w:rFonts w:ascii="Arial" w:hAnsi="Arial" w:cs="Arial"/>
          <w:sz w:val="24"/>
          <w:szCs w:val="24"/>
        </w:rPr>
        <w:t xml:space="preserve">Pension Policy Institute (PPI) (2025). A Guide to the UK Pension System. Pensions Policy Institute. Available at: </w:t>
      </w:r>
      <w:hyperlink r:id="rId320" w:history="1">
        <w:r w:rsidR="00881F2B" w:rsidRPr="007D0B0F">
          <w:rPr>
            <w:rStyle w:val="Hyperlink"/>
            <w:rFonts w:ascii="Arial" w:hAnsi="Arial" w:cs="Arial"/>
            <w:sz w:val="24"/>
            <w:szCs w:val="24"/>
          </w:rPr>
          <w:t>https://www.pensionspolicyinstitute.org.uk/media/bmekgzsr/20250627-ppi-uk-pensions-primer.pdf</w:t>
        </w:r>
      </w:hyperlink>
      <w:r w:rsidR="00881F2B">
        <w:rPr>
          <w:rFonts w:ascii="Arial" w:hAnsi="Arial" w:cs="Arial"/>
          <w:sz w:val="24"/>
          <w:szCs w:val="24"/>
        </w:rPr>
        <w:t xml:space="preserve"> </w:t>
      </w:r>
      <w:r w:rsidRPr="000F5503">
        <w:rPr>
          <w:rFonts w:ascii="Arial" w:hAnsi="Arial" w:cs="Arial"/>
          <w:sz w:val="24"/>
          <w:szCs w:val="24"/>
        </w:rPr>
        <w:t>(Accessed: 27 March 2026).</w:t>
      </w:r>
    </w:p>
    <w:p w14:paraId="61D59142" w14:textId="7FDFCBCC" w:rsidR="00CF2694" w:rsidRDefault="00CF2694" w:rsidP="009E58ED">
      <w:pPr>
        <w:spacing w:line="360" w:lineRule="auto"/>
        <w:jc w:val="both"/>
        <w:rPr>
          <w:rFonts w:ascii="Arial" w:hAnsi="Arial" w:cs="Arial"/>
          <w:sz w:val="24"/>
          <w:szCs w:val="24"/>
        </w:rPr>
      </w:pPr>
      <w:r w:rsidRPr="00CF2694">
        <w:rPr>
          <w:rFonts w:ascii="Arial" w:hAnsi="Arial" w:cs="Arial"/>
          <w:sz w:val="24"/>
          <w:szCs w:val="24"/>
        </w:rPr>
        <w:t>Peters, M. (2015)</w:t>
      </w:r>
      <w:r w:rsidR="008F4025">
        <w:rPr>
          <w:rFonts w:ascii="Arial" w:hAnsi="Arial" w:cs="Arial"/>
          <w:sz w:val="24"/>
          <w:szCs w:val="24"/>
        </w:rPr>
        <w:t>.</w:t>
      </w:r>
      <w:r w:rsidRPr="00CF2694">
        <w:rPr>
          <w:rFonts w:ascii="Arial" w:hAnsi="Arial" w:cs="Arial"/>
          <w:sz w:val="24"/>
          <w:szCs w:val="24"/>
        </w:rPr>
        <w:t xml:space="preserve"> 'Why is My Curriculum White?', </w:t>
      </w:r>
      <w:r w:rsidRPr="00CF2694">
        <w:rPr>
          <w:rFonts w:ascii="Arial" w:hAnsi="Arial" w:cs="Arial"/>
          <w:i/>
          <w:iCs/>
          <w:sz w:val="24"/>
          <w:szCs w:val="24"/>
        </w:rPr>
        <w:t>Educational Philosophy and Theory,</w:t>
      </w:r>
      <w:r w:rsidRPr="00CF2694">
        <w:rPr>
          <w:rFonts w:ascii="Arial" w:hAnsi="Arial" w:cs="Arial"/>
          <w:sz w:val="24"/>
          <w:szCs w:val="24"/>
        </w:rPr>
        <w:t> 47(7), pp. 641</w:t>
      </w:r>
      <w:r w:rsidR="008F4025">
        <w:rPr>
          <w:rFonts w:ascii="Arial" w:hAnsi="Arial" w:cs="Arial"/>
          <w:sz w:val="24"/>
          <w:szCs w:val="24"/>
        </w:rPr>
        <w:t>–</w:t>
      </w:r>
      <w:r w:rsidRPr="00CF2694">
        <w:rPr>
          <w:rFonts w:ascii="Arial" w:hAnsi="Arial" w:cs="Arial"/>
          <w:sz w:val="24"/>
          <w:szCs w:val="24"/>
        </w:rPr>
        <w:t xml:space="preserve">646. Available at: </w:t>
      </w:r>
      <w:hyperlink r:id="rId321" w:history="1">
        <w:r w:rsidRPr="007D0B0F">
          <w:rPr>
            <w:rStyle w:val="Hyperlink"/>
            <w:rFonts w:ascii="Arial" w:hAnsi="Arial" w:cs="Arial"/>
            <w:sz w:val="24"/>
            <w:szCs w:val="24"/>
          </w:rPr>
          <w:t>https://www.tandfonline.com/doi/epdf/10.1080/00131857.2015.1037227?needAccess=true</w:t>
        </w:r>
      </w:hyperlink>
      <w:r>
        <w:rPr>
          <w:rFonts w:ascii="Arial" w:hAnsi="Arial" w:cs="Arial"/>
          <w:sz w:val="24"/>
          <w:szCs w:val="24"/>
        </w:rPr>
        <w:t xml:space="preserve"> </w:t>
      </w:r>
      <w:r w:rsidRPr="00CF2694">
        <w:rPr>
          <w:rFonts w:ascii="Arial" w:hAnsi="Arial" w:cs="Arial"/>
          <w:sz w:val="24"/>
          <w:szCs w:val="24"/>
        </w:rPr>
        <w:t>(Accessed: 23 March 2026).</w:t>
      </w:r>
    </w:p>
    <w:p w14:paraId="6CC41306" w14:textId="6EC77C99" w:rsidR="002B66BB" w:rsidRDefault="002B66BB" w:rsidP="009E58ED">
      <w:pPr>
        <w:spacing w:line="360" w:lineRule="auto"/>
        <w:jc w:val="both"/>
        <w:rPr>
          <w:rFonts w:ascii="Arial" w:hAnsi="Arial" w:cs="Arial"/>
          <w:sz w:val="24"/>
          <w:szCs w:val="24"/>
        </w:rPr>
      </w:pPr>
      <w:r w:rsidRPr="002B66BB">
        <w:rPr>
          <w:rFonts w:ascii="Arial" w:hAnsi="Arial" w:cs="Arial"/>
          <w:sz w:val="24"/>
          <w:szCs w:val="24"/>
        </w:rPr>
        <w:t xml:space="preserve">Perceptions (2017) The We Tell You Study. 42nd Street Available at: </w:t>
      </w:r>
      <w:hyperlink r:id="rId322" w:history="1">
        <w:r w:rsidRPr="00172D15">
          <w:rPr>
            <w:rStyle w:val="Hyperlink"/>
            <w:rFonts w:ascii="Arial" w:hAnsi="Arial" w:cs="Arial"/>
            <w:sz w:val="24"/>
            <w:szCs w:val="24"/>
          </w:rPr>
          <w:t>https://www.42ndstreet.org.uk/media/uo3bstoo/we-tell-you-perceptions.pdf</w:t>
        </w:r>
      </w:hyperlink>
      <w:r>
        <w:rPr>
          <w:rFonts w:ascii="Arial" w:hAnsi="Arial" w:cs="Arial"/>
          <w:sz w:val="24"/>
          <w:szCs w:val="24"/>
        </w:rPr>
        <w:t xml:space="preserve"> </w:t>
      </w:r>
      <w:r w:rsidRPr="002B66BB">
        <w:rPr>
          <w:rFonts w:ascii="Arial" w:hAnsi="Arial" w:cs="Arial"/>
          <w:sz w:val="24"/>
          <w:szCs w:val="24"/>
        </w:rPr>
        <w:t>(Accessed: 5 April 2026).</w:t>
      </w:r>
    </w:p>
    <w:p w14:paraId="7E07CBE2" w14:textId="78EB0F7B" w:rsidR="00711101" w:rsidRDefault="00711101" w:rsidP="009E58ED">
      <w:pPr>
        <w:spacing w:line="360" w:lineRule="auto"/>
        <w:jc w:val="both"/>
        <w:rPr>
          <w:rFonts w:ascii="Arial" w:hAnsi="Arial" w:cs="Arial"/>
          <w:sz w:val="24"/>
          <w:szCs w:val="24"/>
        </w:rPr>
      </w:pPr>
      <w:r w:rsidRPr="00711101">
        <w:rPr>
          <w:rFonts w:ascii="Arial" w:hAnsi="Arial" w:cs="Arial"/>
          <w:sz w:val="24"/>
          <w:szCs w:val="24"/>
        </w:rPr>
        <w:t>Perera, J. (2020). </w:t>
      </w:r>
      <w:r w:rsidRPr="00711101">
        <w:rPr>
          <w:rFonts w:ascii="Arial" w:hAnsi="Arial" w:cs="Arial"/>
          <w:i/>
          <w:iCs/>
          <w:sz w:val="24"/>
          <w:szCs w:val="24"/>
        </w:rPr>
        <w:t>How Black Working-Class Youth Are Criminalised and Excluded in the English School System: A London Case Study</w:t>
      </w:r>
      <w:r w:rsidRPr="00711101">
        <w:rPr>
          <w:rFonts w:ascii="Arial" w:hAnsi="Arial" w:cs="Arial"/>
          <w:sz w:val="24"/>
          <w:szCs w:val="24"/>
        </w:rPr>
        <w:t>. The Institute of Race Relations</w:t>
      </w:r>
      <w:r>
        <w:rPr>
          <w:rFonts w:ascii="Arial" w:hAnsi="Arial" w:cs="Arial"/>
          <w:sz w:val="24"/>
          <w:szCs w:val="24"/>
        </w:rPr>
        <w:t xml:space="preserve">. </w:t>
      </w:r>
      <w:r w:rsidRPr="00711101">
        <w:rPr>
          <w:rFonts w:ascii="Arial" w:hAnsi="Arial" w:cs="Arial"/>
          <w:sz w:val="24"/>
          <w:szCs w:val="24"/>
        </w:rPr>
        <w:t xml:space="preserve">Available at: </w:t>
      </w:r>
      <w:hyperlink r:id="rId323" w:history="1">
        <w:r w:rsidRPr="007D0B0F">
          <w:rPr>
            <w:rStyle w:val="Hyperlink"/>
            <w:rFonts w:ascii="Arial" w:hAnsi="Arial" w:cs="Arial"/>
            <w:sz w:val="24"/>
            <w:szCs w:val="24"/>
          </w:rPr>
          <w:t>https://irr.org.uk/wp-content/uploads/2020/09/How-Black-Working-Class-Youth-are-Criminalised-and-Excluded-in-the-English-School-System.pdf</w:t>
        </w:r>
      </w:hyperlink>
      <w:r>
        <w:rPr>
          <w:rFonts w:ascii="Arial" w:hAnsi="Arial" w:cs="Arial"/>
          <w:sz w:val="24"/>
          <w:szCs w:val="24"/>
        </w:rPr>
        <w:t xml:space="preserve"> </w:t>
      </w:r>
      <w:r w:rsidRPr="00711101">
        <w:rPr>
          <w:rFonts w:ascii="Arial" w:hAnsi="Arial" w:cs="Arial"/>
          <w:sz w:val="24"/>
          <w:szCs w:val="24"/>
        </w:rPr>
        <w:t>(Accessed: 23 March 2026).</w:t>
      </w:r>
    </w:p>
    <w:p w14:paraId="2D3BA4EE" w14:textId="0645ED11" w:rsidR="00CD045D" w:rsidRDefault="00CD045D" w:rsidP="009E58ED">
      <w:pPr>
        <w:spacing w:line="360" w:lineRule="auto"/>
        <w:jc w:val="both"/>
        <w:rPr>
          <w:rFonts w:ascii="Arial" w:hAnsi="Arial" w:cs="Arial"/>
          <w:sz w:val="24"/>
          <w:szCs w:val="24"/>
        </w:rPr>
      </w:pPr>
      <w:r w:rsidRPr="00CD045D">
        <w:rPr>
          <w:rFonts w:ascii="Arial" w:hAnsi="Arial" w:cs="Arial"/>
          <w:sz w:val="24"/>
          <w:szCs w:val="24"/>
        </w:rPr>
        <w:lastRenderedPageBreak/>
        <w:t>Pilkington, A. (2013)</w:t>
      </w:r>
      <w:r w:rsidR="001B33FE">
        <w:rPr>
          <w:rFonts w:ascii="Arial" w:hAnsi="Arial" w:cs="Arial"/>
          <w:sz w:val="24"/>
          <w:szCs w:val="24"/>
        </w:rPr>
        <w:t>.</w:t>
      </w:r>
      <w:r w:rsidRPr="00CD045D">
        <w:rPr>
          <w:rFonts w:ascii="Arial" w:hAnsi="Arial" w:cs="Arial"/>
          <w:sz w:val="24"/>
          <w:szCs w:val="24"/>
        </w:rPr>
        <w:t xml:space="preserve"> 'The interacting dynamics of institutional racism in higher education', </w:t>
      </w:r>
      <w:r w:rsidRPr="00CD045D">
        <w:rPr>
          <w:rFonts w:ascii="Arial" w:hAnsi="Arial" w:cs="Arial"/>
          <w:i/>
          <w:iCs/>
          <w:sz w:val="24"/>
          <w:szCs w:val="24"/>
        </w:rPr>
        <w:t>Race Ethnicity and Education</w:t>
      </w:r>
      <w:r w:rsidRPr="00CD045D">
        <w:rPr>
          <w:rFonts w:ascii="Arial" w:hAnsi="Arial" w:cs="Arial"/>
          <w:sz w:val="24"/>
          <w:szCs w:val="24"/>
        </w:rPr>
        <w:t>, 16(2), pp. 225</w:t>
      </w:r>
      <w:r w:rsidR="001B33FE">
        <w:rPr>
          <w:rFonts w:ascii="Arial" w:hAnsi="Arial" w:cs="Arial"/>
          <w:sz w:val="24"/>
          <w:szCs w:val="24"/>
        </w:rPr>
        <w:t>–</w:t>
      </w:r>
      <w:r w:rsidRPr="00CD045D">
        <w:rPr>
          <w:rFonts w:ascii="Arial" w:hAnsi="Arial" w:cs="Arial"/>
          <w:sz w:val="24"/>
          <w:szCs w:val="24"/>
        </w:rPr>
        <w:t xml:space="preserve">245. Available at: </w:t>
      </w:r>
      <w:hyperlink r:id="rId324" w:anchor="d1e204" w:history="1">
        <w:r w:rsidRPr="007D0B0F">
          <w:rPr>
            <w:rStyle w:val="Hyperlink"/>
            <w:rFonts w:ascii="Arial" w:hAnsi="Arial" w:cs="Arial"/>
            <w:sz w:val="24"/>
            <w:szCs w:val="24"/>
          </w:rPr>
          <w:t>https://www.tandfonline.com/doi/full/10.1080/13613324.2011.646255#d1e204</w:t>
        </w:r>
      </w:hyperlink>
      <w:r>
        <w:rPr>
          <w:rFonts w:ascii="Arial" w:hAnsi="Arial" w:cs="Arial"/>
          <w:sz w:val="24"/>
          <w:szCs w:val="24"/>
        </w:rPr>
        <w:t xml:space="preserve"> </w:t>
      </w:r>
      <w:r w:rsidRPr="00CD045D">
        <w:rPr>
          <w:rFonts w:ascii="Arial" w:hAnsi="Arial" w:cs="Arial"/>
          <w:sz w:val="24"/>
          <w:szCs w:val="24"/>
        </w:rPr>
        <w:t>(Accessed: 23 March 2026).</w:t>
      </w:r>
    </w:p>
    <w:p w14:paraId="648771D5" w14:textId="6B21491F" w:rsidR="00EA7771" w:rsidRDefault="00EA7771" w:rsidP="009E58ED">
      <w:pPr>
        <w:spacing w:line="360" w:lineRule="auto"/>
        <w:jc w:val="both"/>
        <w:rPr>
          <w:rFonts w:ascii="Arial" w:hAnsi="Arial" w:cs="Arial"/>
          <w:sz w:val="24"/>
          <w:szCs w:val="24"/>
        </w:rPr>
      </w:pPr>
      <w:r w:rsidRPr="00EA7771">
        <w:rPr>
          <w:rFonts w:ascii="Arial" w:hAnsi="Arial" w:cs="Arial"/>
          <w:sz w:val="24"/>
          <w:szCs w:val="24"/>
        </w:rPr>
        <w:t>Pittman, L., and Richmond, A. (2007)</w:t>
      </w:r>
      <w:r>
        <w:rPr>
          <w:rFonts w:ascii="Arial" w:hAnsi="Arial" w:cs="Arial"/>
          <w:sz w:val="24"/>
          <w:szCs w:val="24"/>
        </w:rPr>
        <w:t>.</w:t>
      </w:r>
      <w:r w:rsidRPr="00EA7771">
        <w:rPr>
          <w:rFonts w:ascii="Arial" w:hAnsi="Arial" w:cs="Arial"/>
          <w:sz w:val="24"/>
          <w:szCs w:val="24"/>
        </w:rPr>
        <w:t xml:space="preserve"> 'Academic and Psychological Functioning in Late Adolescence: The Importance of School Belonging', The Journal of Experimental Education, 75(4), pp. 270</w:t>
      </w:r>
      <w:r>
        <w:rPr>
          <w:rFonts w:ascii="Arial" w:hAnsi="Arial" w:cs="Arial"/>
          <w:sz w:val="24"/>
          <w:szCs w:val="24"/>
        </w:rPr>
        <w:t>–</w:t>
      </w:r>
      <w:r w:rsidRPr="00EA7771">
        <w:rPr>
          <w:rFonts w:ascii="Arial" w:hAnsi="Arial" w:cs="Arial"/>
          <w:sz w:val="24"/>
          <w:szCs w:val="24"/>
        </w:rPr>
        <w:t>278, 280, 283</w:t>
      </w:r>
      <w:r>
        <w:rPr>
          <w:rFonts w:ascii="Arial" w:hAnsi="Arial" w:cs="Arial"/>
          <w:sz w:val="24"/>
          <w:szCs w:val="24"/>
        </w:rPr>
        <w:t>–</w:t>
      </w:r>
      <w:r w:rsidRPr="00EA7771">
        <w:rPr>
          <w:rFonts w:ascii="Arial" w:hAnsi="Arial" w:cs="Arial"/>
          <w:sz w:val="24"/>
          <w:szCs w:val="24"/>
        </w:rPr>
        <w:t xml:space="preserve">290. Available at: </w:t>
      </w:r>
      <w:hyperlink r:id="rId325" w:history="1">
        <w:r w:rsidRPr="007D0B0F">
          <w:rPr>
            <w:rStyle w:val="Hyperlink"/>
            <w:rFonts w:ascii="Arial" w:hAnsi="Arial" w:cs="Arial"/>
            <w:sz w:val="24"/>
            <w:szCs w:val="24"/>
          </w:rPr>
          <w:t>https://www.proquest.com/docview/217670496?pq-origsite=gscholar&amp;fromopenview=true&amp;sourcetype=Scholarly%20Journals</w:t>
        </w:r>
      </w:hyperlink>
      <w:r>
        <w:rPr>
          <w:rFonts w:ascii="Arial" w:hAnsi="Arial" w:cs="Arial"/>
          <w:sz w:val="24"/>
          <w:szCs w:val="24"/>
        </w:rPr>
        <w:t xml:space="preserve"> </w:t>
      </w:r>
      <w:r w:rsidRPr="00EA7771">
        <w:rPr>
          <w:rFonts w:ascii="Arial" w:hAnsi="Arial" w:cs="Arial"/>
          <w:sz w:val="24"/>
          <w:szCs w:val="24"/>
        </w:rPr>
        <w:t>(Accessed: 24 March 2026).</w:t>
      </w:r>
    </w:p>
    <w:p w14:paraId="6C769E94" w14:textId="34BBF40F" w:rsidR="00656279" w:rsidRDefault="00656279" w:rsidP="009E58ED">
      <w:pPr>
        <w:spacing w:line="360" w:lineRule="auto"/>
        <w:jc w:val="both"/>
        <w:rPr>
          <w:rFonts w:ascii="Arial" w:hAnsi="Arial" w:cs="Arial"/>
          <w:sz w:val="24"/>
          <w:szCs w:val="24"/>
        </w:rPr>
      </w:pPr>
      <w:r w:rsidRPr="00656279">
        <w:rPr>
          <w:rFonts w:ascii="Arial" w:hAnsi="Arial" w:cs="Arial"/>
          <w:sz w:val="24"/>
          <w:szCs w:val="24"/>
        </w:rPr>
        <w:t>Platt, L., and Nandi, A. (2020)</w:t>
      </w:r>
      <w:r>
        <w:rPr>
          <w:rFonts w:ascii="Arial" w:hAnsi="Arial" w:cs="Arial"/>
          <w:sz w:val="24"/>
          <w:szCs w:val="24"/>
        </w:rPr>
        <w:t>.</w:t>
      </w:r>
      <w:r w:rsidRPr="00656279">
        <w:rPr>
          <w:rFonts w:ascii="Arial" w:hAnsi="Arial" w:cs="Arial"/>
          <w:sz w:val="24"/>
          <w:szCs w:val="24"/>
        </w:rPr>
        <w:t xml:space="preserve"> 'Ethnic diversity in the UK: new opportunities and changing constraints.', Journal of Ethnic &amp; Migration Studies, 46(5), pp. 839</w:t>
      </w:r>
      <w:r>
        <w:rPr>
          <w:rFonts w:ascii="Arial" w:hAnsi="Arial" w:cs="Arial"/>
          <w:sz w:val="24"/>
          <w:szCs w:val="24"/>
        </w:rPr>
        <w:t>–</w:t>
      </w:r>
      <w:r w:rsidRPr="00656279">
        <w:rPr>
          <w:rFonts w:ascii="Arial" w:hAnsi="Arial" w:cs="Arial"/>
          <w:sz w:val="24"/>
          <w:szCs w:val="24"/>
        </w:rPr>
        <w:t xml:space="preserve">856. Available at: </w:t>
      </w:r>
      <w:hyperlink r:id="rId326" w:history="1">
        <w:r w:rsidRPr="007D0B0F">
          <w:rPr>
            <w:rStyle w:val="Hyperlink"/>
            <w:rFonts w:ascii="Arial" w:hAnsi="Arial" w:cs="Arial"/>
            <w:sz w:val="24"/>
            <w:szCs w:val="24"/>
          </w:rPr>
          <w:t>https://research.ebsco.com/c/onvpsy/search/details/gxq3ffaxnz?db=aph</w:t>
        </w:r>
      </w:hyperlink>
      <w:r>
        <w:rPr>
          <w:rFonts w:ascii="Arial" w:hAnsi="Arial" w:cs="Arial"/>
          <w:sz w:val="24"/>
          <w:szCs w:val="24"/>
        </w:rPr>
        <w:t xml:space="preserve"> </w:t>
      </w:r>
      <w:r w:rsidRPr="00656279">
        <w:rPr>
          <w:rFonts w:ascii="Arial" w:hAnsi="Arial" w:cs="Arial"/>
          <w:sz w:val="24"/>
          <w:szCs w:val="24"/>
        </w:rPr>
        <w:t>(Accessed: 25 March 2025).</w:t>
      </w:r>
    </w:p>
    <w:p w14:paraId="55150EC7" w14:textId="4A980071" w:rsidR="007316CB" w:rsidRDefault="00921C2D" w:rsidP="009E58ED">
      <w:pPr>
        <w:spacing w:line="360" w:lineRule="auto"/>
        <w:jc w:val="both"/>
        <w:rPr>
          <w:rFonts w:ascii="Arial" w:hAnsi="Arial" w:cs="Arial"/>
          <w:sz w:val="24"/>
          <w:szCs w:val="24"/>
        </w:rPr>
      </w:pPr>
      <w:r w:rsidRPr="00921C2D">
        <w:rPr>
          <w:rFonts w:ascii="Arial" w:hAnsi="Arial" w:cs="Arial"/>
          <w:sz w:val="24"/>
          <w:szCs w:val="24"/>
        </w:rPr>
        <w:t>Polat, F., and Jenkins, P. (2005)</w:t>
      </w:r>
      <w:r w:rsidR="001B33FE">
        <w:rPr>
          <w:rFonts w:ascii="Arial" w:hAnsi="Arial" w:cs="Arial"/>
          <w:sz w:val="24"/>
          <w:szCs w:val="24"/>
        </w:rPr>
        <w:t>.</w:t>
      </w:r>
      <w:r w:rsidRPr="00921C2D">
        <w:rPr>
          <w:rFonts w:ascii="Arial" w:hAnsi="Arial" w:cs="Arial"/>
          <w:sz w:val="24"/>
          <w:szCs w:val="24"/>
        </w:rPr>
        <w:t xml:space="preserve"> 'Provision of Counselling Services in Secondary Schools: A Survey of Local Education Authorities in England and Wales', </w:t>
      </w:r>
      <w:r w:rsidRPr="00921C2D">
        <w:rPr>
          <w:rFonts w:ascii="Arial" w:hAnsi="Arial" w:cs="Arial"/>
          <w:i/>
          <w:iCs/>
          <w:sz w:val="24"/>
          <w:szCs w:val="24"/>
        </w:rPr>
        <w:t>Pastoral Care in Education</w:t>
      </w:r>
      <w:r w:rsidRPr="00921C2D">
        <w:rPr>
          <w:rFonts w:ascii="Arial" w:hAnsi="Arial" w:cs="Arial"/>
          <w:sz w:val="24"/>
          <w:szCs w:val="24"/>
        </w:rPr>
        <w:t>, 23(4), pp. 17</w:t>
      </w:r>
      <w:r w:rsidR="001B33FE">
        <w:rPr>
          <w:rFonts w:ascii="Arial" w:hAnsi="Arial" w:cs="Arial"/>
          <w:sz w:val="24"/>
          <w:szCs w:val="24"/>
        </w:rPr>
        <w:t>–</w:t>
      </w:r>
      <w:r w:rsidRPr="00921C2D">
        <w:rPr>
          <w:rFonts w:ascii="Arial" w:hAnsi="Arial" w:cs="Arial"/>
          <w:sz w:val="24"/>
          <w:szCs w:val="24"/>
        </w:rPr>
        <w:t xml:space="preserve">24. Available at: </w:t>
      </w:r>
      <w:hyperlink r:id="rId327" w:history="1">
        <w:r w:rsidRPr="007D0B0F">
          <w:rPr>
            <w:rStyle w:val="Hyperlink"/>
            <w:rFonts w:ascii="Arial" w:hAnsi="Arial" w:cs="Arial"/>
            <w:sz w:val="24"/>
            <w:szCs w:val="24"/>
          </w:rPr>
          <w:t>https://www.tandfonline.com/doi/epdf/10.1111/j.1468-0122.2005.00347.x?needAccess=true</w:t>
        </w:r>
      </w:hyperlink>
      <w:r>
        <w:rPr>
          <w:rFonts w:ascii="Arial" w:hAnsi="Arial" w:cs="Arial"/>
          <w:sz w:val="24"/>
          <w:szCs w:val="24"/>
        </w:rPr>
        <w:t xml:space="preserve"> </w:t>
      </w:r>
      <w:r w:rsidRPr="00921C2D">
        <w:rPr>
          <w:rFonts w:ascii="Arial" w:hAnsi="Arial" w:cs="Arial"/>
          <w:sz w:val="24"/>
          <w:szCs w:val="24"/>
        </w:rPr>
        <w:t>(Accessed: 21 March 2026).</w:t>
      </w:r>
    </w:p>
    <w:p w14:paraId="24D72436" w14:textId="7B2E4489" w:rsidR="004E0A08" w:rsidRDefault="004E0A08" w:rsidP="009E58ED">
      <w:pPr>
        <w:spacing w:line="360" w:lineRule="auto"/>
        <w:jc w:val="both"/>
        <w:rPr>
          <w:rFonts w:ascii="Arial" w:hAnsi="Arial" w:cs="Arial"/>
          <w:sz w:val="24"/>
          <w:szCs w:val="24"/>
        </w:rPr>
      </w:pPr>
      <w:r w:rsidRPr="004E0A08">
        <w:rPr>
          <w:rFonts w:ascii="Arial" w:hAnsi="Arial" w:cs="Arial"/>
          <w:sz w:val="24"/>
          <w:szCs w:val="24"/>
        </w:rPr>
        <w:t xml:space="preserve">Policy Connect. (2017) Spotlight Project. Available at: </w:t>
      </w:r>
      <w:hyperlink r:id="rId328" w:history="1">
        <w:r w:rsidRPr="007D0B0F">
          <w:rPr>
            <w:rStyle w:val="Hyperlink"/>
            <w:rFonts w:ascii="Arial" w:hAnsi="Arial" w:cs="Arial"/>
            <w:sz w:val="24"/>
            <w:szCs w:val="24"/>
          </w:rPr>
          <w:t>https://feweek.co.uk/wp-content/uploads/2018/01/Skills-Commission-A-Spotlight-on-Apprenticeships-and-Social-Mobility.pdf</w:t>
        </w:r>
      </w:hyperlink>
      <w:r>
        <w:rPr>
          <w:rFonts w:ascii="Arial" w:hAnsi="Arial" w:cs="Arial"/>
          <w:sz w:val="24"/>
          <w:szCs w:val="24"/>
        </w:rPr>
        <w:t xml:space="preserve"> </w:t>
      </w:r>
      <w:r w:rsidRPr="004E0A08">
        <w:rPr>
          <w:rFonts w:ascii="Arial" w:hAnsi="Arial" w:cs="Arial"/>
          <w:sz w:val="24"/>
          <w:szCs w:val="24"/>
        </w:rPr>
        <w:t>(Accessed: 26 March 2026).</w:t>
      </w:r>
    </w:p>
    <w:p w14:paraId="072D51C4" w14:textId="373A4674" w:rsidR="000A4258" w:rsidRDefault="000A4258" w:rsidP="009E58ED">
      <w:pPr>
        <w:spacing w:line="360" w:lineRule="auto"/>
        <w:jc w:val="both"/>
        <w:rPr>
          <w:rFonts w:ascii="Arial" w:hAnsi="Arial" w:cs="Arial"/>
          <w:sz w:val="24"/>
          <w:szCs w:val="24"/>
        </w:rPr>
      </w:pPr>
      <w:r w:rsidRPr="000A4258">
        <w:rPr>
          <w:rFonts w:ascii="Arial" w:hAnsi="Arial" w:cs="Arial"/>
          <w:sz w:val="24"/>
          <w:szCs w:val="24"/>
        </w:rPr>
        <w:t>Powell, A. (2019)</w:t>
      </w:r>
      <w:r>
        <w:rPr>
          <w:rFonts w:ascii="Arial" w:hAnsi="Arial" w:cs="Arial"/>
          <w:sz w:val="24"/>
          <w:szCs w:val="24"/>
        </w:rPr>
        <w:t>.</w:t>
      </w:r>
      <w:r w:rsidRPr="000A4258">
        <w:rPr>
          <w:rFonts w:ascii="Arial" w:hAnsi="Arial" w:cs="Arial"/>
          <w:sz w:val="24"/>
          <w:szCs w:val="24"/>
        </w:rPr>
        <w:t xml:space="preserve"> Independent panel report to the Review of Post-18 Education and Funding. CP 117. Her Majesty’s Stationery Office</w:t>
      </w:r>
      <w:r>
        <w:rPr>
          <w:rFonts w:ascii="Arial" w:hAnsi="Arial" w:cs="Arial"/>
          <w:sz w:val="24"/>
          <w:szCs w:val="24"/>
        </w:rPr>
        <w:t>.</w:t>
      </w:r>
      <w:r w:rsidRPr="000A4258">
        <w:rPr>
          <w:rFonts w:ascii="Arial" w:hAnsi="Arial" w:cs="Arial"/>
          <w:sz w:val="24"/>
          <w:szCs w:val="24"/>
        </w:rPr>
        <w:t xml:space="preserve"> Available at: </w:t>
      </w:r>
      <w:hyperlink r:id="rId329" w:history="1">
        <w:r w:rsidRPr="007D0B0F">
          <w:rPr>
            <w:rStyle w:val="Hyperlink"/>
            <w:rFonts w:ascii="Arial" w:hAnsi="Arial" w:cs="Arial"/>
            <w:sz w:val="24"/>
            <w:szCs w:val="24"/>
          </w:rPr>
          <w:t>https://assets.publishing.service.gov.uk/media/5ceeb35740f0b62373577770/Review_of_post_18_education_and_funding.pdf</w:t>
        </w:r>
      </w:hyperlink>
      <w:r>
        <w:rPr>
          <w:rFonts w:ascii="Arial" w:hAnsi="Arial" w:cs="Arial"/>
          <w:sz w:val="24"/>
          <w:szCs w:val="24"/>
        </w:rPr>
        <w:t xml:space="preserve"> </w:t>
      </w:r>
      <w:r w:rsidRPr="000A4258">
        <w:rPr>
          <w:rFonts w:ascii="Arial" w:hAnsi="Arial" w:cs="Arial"/>
          <w:sz w:val="24"/>
          <w:szCs w:val="24"/>
        </w:rPr>
        <w:t>(Accessed: 26 March 2026).</w:t>
      </w:r>
    </w:p>
    <w:p w14:paraId="1488C4C2" w14:textId="51F77F81" w:rsidR="00A312C0" w:rsidRDefault="00A312C0" w:rsidP="009E58ED">
      <w:pPr>
        <w:spacing w:line="360" w:lineRule="auto"/>
        <w:jc w:val="both"/>
        <w:rPr>
          <w:rFonts w:ascii="Arial" w:hAnsi="Arial" w:cs="Arial"/>
          <w:sz w:val="24"/>
          <w:szCs w:val="24"/>
        </w:rPr>
      </w:pPr>
      <w:r w:rsidRPr="00A312C0">
        <w:rPr>
          <w:rFonts w:ascii="Arial" w:hAnsi="Arial" w:cs="Arial"/>
          <w:sz w:val="24"/>
          <w:szCs w:val="24"/>
        </w:rPr>
        <w:t>Rafferty, A. (2012)</w:t>
      </w:r>
      <w:r w:rsidR="001B33FE">
        <w:rPr>
          <w:rFonts w:ascii="Arial" w:hAnsi="Arial" w:cs="Arial"/>
          <w:sz w:val="24"/>
          <w:szCs w:val="24"/>
        </w:rPr>
        <w:t>.</w:t>
      </w:r>
      <w:r w:rsidRPr="00A312C0">
        <w:rPr>
          <w:rFonts w:ascii="Arial" w:hAnsi="Arial" w:cs="Arial"/>
          <w:sz w:val="24"/>
          <w:szCs w:val="24"/>
        </w:rPr>
        <w:t xml:space="preserve"> 'Ethnic penalties in graduate-level over-education, unemployment and wages: evidence from Britain', </w:t>
      </w:r>
      <w:r w:rsidRPr="00A312C0">
        <w:rPr>
          <w:rFonts w:ascii="Arial" w:hAnsi="Arial" w:cs="Arial"/>
          <w:i/>
          <w:iCs/>
          <w:sz w:val="24"/>
          <w:szCs w:val="24"/>
        </w:rPr>
        <w:t>Work, Employment and Society</w:t>
      </w:r>
      <w:r w:rsidRPr="00A312C0">
        <w:rPr>
          <w:rFonts w:ascii="Arial" w:hAnsi="Arial" w:cs="Arial"/>
          <w:sz w:val="24"/>
          <w:szCs w:val="24"/>
        </w:rPr>
        <w:t>, 26(6), pp. 987</w:t>
      </w:r>
      <w:r w:rsidR="001B33FE">
        <w:rPr>
          <w:rFonts w:ascii="Arial" w:hAnsi="Arial" w:cs="Arial"/>
          <w:sz w:val="24"/>
          <w:szCs w:val="24"/>
        </w:rPr>
        <w:t>–</w:t>
      </w:r>
      <w:r w:rsidRPr="00A312C0">
        <w:rPr>
          <w:rFonts w:ascii="Arial" w:hAnsi="Arial" w:cs="Arial"/>
          <w:sz w:val="24"/>
          <w:szCs w:val="24"/>
        </w:rPr>
        <w:lastRenderedPageBreak/>
        <w:t xml:space="preserve">1006. Available at: </w:t>
      </w:r>
      <w:hyperlink r:id="rId330" w:history="1">
        <w:r w:rsidRPr="00FB3832">
          <w:rPr>
            <w:rStyle w:val="Hyperlink"/>
            <w:rFonts w:ascii="Arial" w:hAnsi="Arial" w:cs="Arial"/>
            <w:sz w:val="24"/>
            <w:szCs w:val="24"/>
          </w:rPr>
          <w:t>https://journals.sagepub.com/doi/epub/10.1177/0950017012458021</w:t>
        </w:r>
      </w:hyperlink>
      <w:r>
        <w:rPr>
          <w:rFonts w:ascii="Arial" w:hAnsi="Arial" w:cs="Arial"/>
          <w:sz w:val="24"/>
          <w:szCs w:val="24"/>
        </w:rPr>
        <w:t xml:space="preserve"> </w:t>
      </w:r>
      <w:r w:rsidRPr="00A312C0">
        <w:rPr>
          <w:rFonts w:ascii="Arial" w:hAnsi="Arial" w:cs="Arial"/>
          <w:sz w:val="24"/>
          <w:szCs w:val="24"/>
        </w:rPr>
        <w:t xml:space="preserve">(Accessed: </w:t>
      </w:r>
      <w:r w:rsidR="001B33FE">
        <w:rPr>
          <w:rFonts w:ascii="Arial" w:hAnsi="Arial" w:cs="Arial"/>
          <w:sz w:val="24"/>
          <w:szCs w:val="24"/>
        </w:rPr>
        <w:t>20 March</w:t>
      </w:r>
      <w:r w:rsidRPr="00A312C0">
        <w:rPr>
          <w:rFonts w:ascii="Arial" w:hAnsi="Arial" w:cs="Arial"/>
          <w:sz w:val="24"/>
          <w:szCs w:val="24"/>
        </w:rPr>
        <w:t xml:space="preserve"> 2026).</w:t>
      </w:r>
    </w:p>
    <w:p w14:paraId="4AFC6B1D" w14:textId="74D3DAD9" w:rsidR="003E75DB" w:rsidRDefault="003E75DB" w:rsidP="009E58ED">
      <w:pPr>
        <w:spacing w:line="360" w:lineRule="auto"/>
        <w:jc w:val="both"/>
        <w:rPr>
          <w:rFonts w:ascii="Arial" w:hAnsi="Arial" w:cs="Arial"/>
          <w:sz w:val="24"/>
          <w:szCs w:val="24"/>
        </w:rPr>
      </w:pPr>
      <w:r w:rsidRPr="003E75DB">
        <w:rPr>
          <w:rFonts w:ascii="Arial" w:hAnsi="Arial" w:cs="Arial"/>
          <w:sz w:val="24"/>
          <w:szCs w:val="24"/>
        </w:rPr>
        <w:t>Rahman, Z., Ullah, F., and Thompson, P. (2018)</w:t>
      </w:r>
      <w:r>
        <w:rPr>
          <w:rFonts w:ascii="Arial" w:hAnsi="Arial" w:cs="Arial"/>
          <w:sz w:val="24"/>
          <w:szCs w:val="24"/>
        </w:rPr>
        <w:t>.</w:t>
      </w:r>
      <w:r w:rsidRPr="003E75DB">
        <w:rPr>
          <w:rFonts w:ascii="Arial" w:hAnsi="Arial" w:cs="Arial"/>
          <w:sz w:val="24"/>
          <w:szCs w:val="24"/>
        </w:rPr>
        <w:t xml:space="preserve"> 'Challenges and issues facing ethnic</w:t>
      </w:r>
      <w:r>
        <w:rPr>
          <w:rFonts w:ascii="Arial" w:hAnsi="Arial" w:cs="Arial"/>
          <w:sz w:val="24"/>
          <w:szCs w:val="24"/>
        </w:rPr>
        <w:t xml:space="preserve"> </w:t>
      </w:r>
      <w:r w:rsidRPr="003E75DB">
        <w:rPr>
          <w:rFonts w:ascii="Arial" w:hAnsi="Arial" w:cs="Arial"/>
          <w:sz w:val="24"/>
          <w:szCs w:val="24"/>
        </w:rPr>
        <w:t>minority small business owners: The Scottish experience', The International Journal of</w:t>
      </w:r>
      <w:r>
        <w:rPr>
          <w:rFonts w:ascii="Arial" w:hAnsi="Arial" w:cs="Arial"/>
          <w:sz w:val="24"/>
          <w:szCs w:val="24"/>
        </w:rPr>
        <w:t xml:space="preserve"> </w:t>
      </w:r>
      <w:r w:rsidRPr="003E75DB">
        <w:rPr>
          <w:rFonts w:ascii="Arial" w:hAnsi="Arial" w:cs="Arial"/>
          <w:sz w:val="24"/>
          <w:szCs w:val="24"/>
        </w:rPr>
        <w:t>Entrepreneurship and Innovation, 19(3), pp. 1</w:t>
      </w:r>
      <w:r>
        <w:rPr>
          <w:rFonts w:ascii="Arial" w:hAnsi="Arial" w:cs="Arial"/>
          <w:sz w:val="24"/>
          <w:szCs w:val="24"/>
        </w:rPr>
        <w:t>–</w:t>
      </w:r>
      <w:r w:rsidRPr="003E75DB">
        <w:rPr>
          <w:rFonts w:ascii="Arial" w:hAnsi="Arial" w:cs="Arial"/>
          <w:sz w:val="24"/>
          <w:szCs w:val="24"/>
        </w:rPr>
        <w:t xml:space="preserve">17. Available at:  </w:t>
      </w:r>
      <w:hyperlink r:id="rId331" w:history="1">
        <w:r w:rsidR="00F31ECE" w:rsidRPr="003E75DB">
          <w:rPr>
            <w:rStyle w:val="Hyperlink"/>
            <w:rFonts w:ascii="Arial" w:hAnsi="Arial" w:cs="Arial"/>
            <w:sz w:val="24"/>
            <w:szCs w:val="24"/>
          </w:rPr>
          <w:t>https://www.researchgate.net/profile/Robert-Smith-23/publication/310488545_What_influences_ethnic_entrepreneurs'_decision_to_start-up_Some_evidence_from_Aberdeen_Scotland/links/5c31eb45299bf12be3b24802/What-influences-ethnic-entrepreneurs-decision-to-start-up-Some-evidence-from-Aberdeen-Scotland.pdf</w:t>
        </w:r>
      </w:hyperlink>
      <w:r w:rsidR="00F31ECE">
        <w:rPr>
          <w:rFonts w:ascii="Arial" w:hAnsi="Arial" w:cs="Arial"/>
          <w:sz w:val="24"/>
          <w:szCs w:val="24"/>
        </w:rPr>
        <w:t xml:space="preserve"> </w:t>
      </w:r>
      <w:r w:rsidRPr="003E75DB">
        <w:rPr>
          <w:rFonts w:ascii="Arial" w:hAnsi="Arial" w:cs="Arial"/>
          <w:sz w:val="24"/>
          <w:szCs w:val="24"/>
        </w:rPr>
        <w:t>(Accessed: 27 March 2026).</w:t>
      </w:r>
    </w:p>
    <w:p w14:paraId="230004E8" w14:textId="23DA247C" w:rsidR="00375B4A" w:rsidRDefault="00375B4A" w:rsidP="009E58ED">
      <w:pPr>
        <w:spacing w:line="360" w:lineRule="auto"/>
        <w:jc w:val="both"/>
        <w:rPr>
          <w:rFonts w:ascii="Arial" w:hAnsi="Arial" w:cs="Arial"/>
          <w:sz w:val="24"/>
          <w:szCs w:val="24"/>
        </w:rPr>
      </w:pPr>
      <w:r w:rsidRPr="00375B4A">
        <w:rPr>
          <w:rFonts w:ascii="Arial" w:hAnsi="Arial" w:cs="Arial"/>
          <w:sz w:val="24"/>
          <w:szCs w:val="24"/>
        </w:rPr>
        <w:t>Ram, M., Sanghera, B., Abbas, T., Barlow, G., and Jones, T. (2000)</w:t>
      </w:r>
      <w:r>
        <w:rPr>
          <w:rFonts w:ascii="Arial" w:hAnsi="Arial" w:cs="Arial"/>
          <w:sz w:val="24"/>
          <w:szCs w:val="24"/>
        </w:rPr>
        <w:t>.</w:t>
      </w:r>
      <w:r w:rsidRPr="00375B4A">
        <w:rPr>
          <w:rFonts w:ascii="Arial" w:hAnsi="Arial" w:cs="Arial"/>
          <w:sz w:val="24"/>
          <w:szCs w:val="24"/>
        </w:rPr>
        <w:t xml:space="preserve"> 'Ethnic minority business in comparative perspective: The case of the independent restaurant sector', Journal of Ethnic and Migration Studies, 26(3), pp. 495</w:t>
      </w:r>
      <w:r>
        <w:rPr>
          <w:rFonts w:ascii="Arial" w:hAnsi="Arial" w:cs="Arial"/>
          <w:sz w:val="24"/>
          <w:szCs w:val="24"/>
        </w:rPr>
        <w:t>–</w:t>
      </w:r>
      <w:r w:rsidRPr="00375B4A">
        <w:rPr>
          <w:rFonts w:ascii="Arial" w:hAnsi="Arial" w:cs="Arial"/>
          <w:sz w:val="24"/>
          <w:szCs w:val="24"/>
        </w:rPr>
        <w:t xml:space="preserve">510. Available at: </w:t>
      </w:r>
      <w:hyperlink r:id="rId332" w:history="1">
        <w:r w:rsidRPr="007D0B0F">
          <w:rPr>
            <w:rStyle w:val="Hyperlink"/>
            <w:rFonts w:ascii="Arial" w:hAnsi="Arial" w:cs="Arial"/>
            <w:sz w:val="24"/>
            <w:szCs w:val="24"/>
          </w:rPr>
          <w:t>https://www.researchgate.net/profile/Tahir-Abbas-16/publication/248979129_Ethnic_minority_business_in_comparative_perspective_The_case_of_the_independent_restaurant_sector/links/560708f308aea25fce399852/Ethnic-minority-business-in-comparative-perspective-The-case-of-the-independent-restaurant-sector.pdf</w:t>
        </w:r>
      </w:hyperlink>
      <w:r>
        <w:rPr>
          <w:rFonts w:ascii="Arial" w:hAnsi="Arial" w:cs="Arial"/>
          <w:sz w:val="24"/>
          <w:szCs w:val="24"/>
        </w:rPr>
        <w:t xml:space="preserve"> </w:t>
      </w:r>
      <w:r w:rsidRPr="00375B4A">
        <w:rPr>
          <w:rFonts w:ascii="Arial" w:hAnsi="Arial" w:cs="Arial"/>
          <w:sz w:val="24"/>
          <w:szCs w:val="24"/>
        </w:rPr>
        <w:t>(Accessed: 28 March 2026).</w:t>
      </w:r>
    </w:p>
    <w:p w14:paraId="2A0F31B2" w14:textId="688AE35B" w:rsidR="00540A72" w:rsidRDefault="00540A72" w:rsidP="009E58ED">
      <w:pPr>
        <w:spacing w:line="360" w:lineRule="auto"/>
        <w:jc w:val="both"/>
        <w:rPr>
          <w:rFonts w:ascii="Arial" w:hAnsi="Arial" w:cs="Arial"/>
          <w:sz w:val="24"/>
          <w:szCs w:val="24"/>
        </w:rPr>
      </w:pPr>
      <w:r w:rsidRPr="00540A72">
        <w:rPr>
          <w:rFonts w:ascii="Arial" w:hAnsi="Arial" w:cs="Arial"/>
          <w:sz w:val="24"/>
          <w:szCs w:val="24"/>
        </w:rPr>
        <w:t>Rath, J. (2000)</w:t>
      </w:r>
      <w:r w:rsidR="009427C5">
        <w:rPr>
          <w:rFonts w:ascii="Arial" w:hAnsi="Arial" w:cs="Arial"/>
          <w:sz w:val="24"/>
          <w:szCs w:val="24"/>
        </w:rPr>
        <w:t>. Immigrant Businesses:</w:t>
      </w:r>
      <w:r w:rsidRPr="00540A72">
        <w:rPr>
          <w:rFonts w:ascii="Arial" w:hAnsi="Arial" w:cs="Arial"/>
          <w:sz w:val="24"/>
          <w:szCs w:val="24"/>
        </w:rPr>
        <w:t xml:space="preserve"> The Economic, Political and Social Environment. Macmillan Press LTD. Available at: </w:t>
      </w:r>
      <w:hyperlink r:id="rId333" w:anchor="page=54" w:history="1">
        <w:r w:rsidR="009427C5" w:rsidRPr="007D0B0F">
          <w:rPr>
            <w:rStyle w:val="Hyperlink"/>
            <w:rFonts w:ascii="Arial" w:hAnsi="Arial" w:cs="Arial"/>
            <w:sz w:val="24"/>
            <w:szCs w:val="24"/>
          </w:rPr>
          <w:t>https://www.researchgate.net/profile/Jan-Rath/publication/259345625_Immigrant_businesses_The_economic_political_and_social_environment/links/5ca35cf3a6fdcc12ee8c630c/Immigrant-businesses-The-economic-political-and-social-environment.pdf#page=54</w:t>
        </w:r>
      </w:hyperlink>
      <w:r w:rsidR="009427C5">
        <w:rPr>
          <w:rFonts w:ascii="Arial" w:hAnsi="Arial" w:cs="Arial"/>
          <w:sz w:val="24"/>
          <w:szCs w:val="24"/>
        </w:rPr>
        <w:t xml:space="preserve"> </w:t>
      </w:r>
      <w:r w:rsidRPr="00540A72">
        <w:rPr>
          <w:rFonts w:ascii="Arial" w:hAnsi="Arial" w:cs="Arial"/>
          <w:sz w:val="24"/>
          <w:szCs w:val="24"/>
        </w:rPr>
        <w:t xml:space="preserve"> (Accessed: 28 March 2026).</w:t>
      </w:r>
    </w:p>
    <w:p w14:paraId="1627B910" w14:textId="356B49BC" w:rsidR="006843BE" w:rsidRDefault="006843BE" w:rsidP="009E58ED">
      <w:pPr>
        <w:spacing w:line="360" w:lineRule="auto"/>
        <w:jc w:val="both"/>
        <w:rPr>
          <w:rFonts w:ascii="Arial" w:hAnsi="Arial" w:cs="Arial"/>
          <w:sz w:val="24"/>
          <w:szCs w:val="24"/>
        </w:rPr>
      </w:pPr>
      <w:r w:rsidRPr="006843BE">
        <w:rPr>
          <w:rFonts w:ascii="Arial" w:hAnsi="Arial" w:cs="Arial"/>
          <w:sz w:val="24"/>
          <w:szCs w:val="24"/>
        </w:rPr>
        <w:t>REACH (2007): </w:t>
      </w:r>
      <w:r w:rsidRPr="006843BE">
        <w:rPr>
          <w:rFonts w:ascii="Arial" w:hAnsi="Arial" w:cs="Arial"/>
          <w:i/>
          <w:iCs/>
          <w:sz w:val="24"/>
          <w:szCs w:val="24"/>
        </w:rPr>
        <w:t>An independent report to government on raising the aspirations and attainment of Black boys and young Black men</w:t>
      </w:r>
      <w:r w:rsidRPr="006843BE">
        <w:rPr>
          <w:rFonts w:ascii="Arial" w:hAnsi="Arial" w:cs="Arial"/>
          <w:sz w:val="24"/>
          <w:szCs w:val="24"/>
        </w:rPr>
        <w:t xml:space="preserve">. Product Code: 07 REU 04778. </w:t>
      </w:r>
      <w:r w:rsidRPr="006843BE">
        <w:rPr>
          <w:rFonts w:ascii="Arial" w:hAnsi="Arial" w:cs="Arial"/>
          <w:sz w:val="24"/>
          <w:szCs w:val="24"/>
        </w:rPr>
        <w:lastRenderedPageBreak/>
        <w:t xml:space="preserve">Communities and Local Government Publications Available at: </w:t>
      </w:r>
      <w:hyperlink r:id="rId334" w:history="1">
        <w:r w:rsidRPr="002F0426">
          <w:rPr>
            <w:rStyle w:val="Hyperlink"/>
            <w:rFonts w:ascii="Arial" w:hAnsi="Arial" w:cs="Arial"/>
            <w:sz w:val="24"/>
            <w:szCs w:val="24"/>
          </w:rPr>
          <w:t>https://dera.ioe.ac.uk/id/eprint/6778/1/reach-report.pdf</w:t>
        </w:r>
      </w:hyperlink>
      <w:r>
        <w:rPr>
          <w:rFonts w:ascii="Arial" w:hAnsi="Arial" w:cs="Arial"/>
          <w:sz w:val="24"/>
          <w:szCs w:val="24"/>
        </w:rPr>
        <w:t xml:space="preserve"> </w:t>
      </w:r>
      <w:r w:rsidRPr="006843BE">
        <w:rPr>
          <w:rFonts w:ascii="Arial" w:hAnsi="Arial" w:cs="Arial"/>
          <w:sz w:val="24"/>
          <w:szCs w:val="24"/>
        </w:rPr>
        <w:t>(Accessed: 18 March 2026).</w:t>
      </w:r>
    </w:p>
    <w:p w14:paraId="7090E869" w14:textId="2D8DA980" w:rsidR="006C2298" w:rsidRDefault="006C2298" w:rsidP="009E58ED">
      <w:pPr>
        <w:spacing w:line="360" w:lineRule="auto"/>
        <w:jc w:val="both"/>
        <w:rPr>
          <w:rFonts w:ascii="Arial" w:hAnsi="Arial" w:cs="Arial"/>
          <w:sz w:val="24"/>
          <w:szCs w:val="24"/>
        </w:rPr>
      </w:pPr>
      <w:r w:rsidRPr="006C2298">
        <w:rPr>
          <w:rFonts w:ascii="Arial" w:hAnsi="Arial" w:cs="Arial"/>
          <w:sz w:val="24"/>
          <w:szCs w:val="24"/>
        </w:rPr>
        <w:t>Reay, D., Davies, J., David, M., and Ball, S. (2001)</w:t>
      </w:r>
      <w:r>
        <w:rPr>
          <w:rFonts w:ascii="Arial" w:hAnsi="Arial" w:cs="Arial"/>
          <w:sz w:val="24"/>
          <w:szCs w:val="24"/>
        </w:rPr>
        <w:t>.</w:t>
      </w:r>
      <w:r w:rsidRPr="006C2298">
        <w:rPr>
          <w:rFonts w:ascii="Arial" w:hAnsi="Arial" w:cs="Arial"/>
          <w:sz w:val="24"/>
          <w:szCs w:val="24"/>
        </w:rPr>
        <w:t xml:space="preserve"> 'Choices of Degree or Degrees of Choice? Class, ‘Race’ and the Higher Education Choice Process', Sociology, 35(4), pp. 855</w:t>
      </w:r>
      <w:r>
        <w:rPr>
          <w:rFonts w:ascii="Arial" w:hAnsi="Arial" w:cs="Arial"/>
          <w:sz w:val="24"/>
          <w:szCs w:val="24"/>
        </w:rPr>
        <w:t>–</w:t>
      </w:r>
      <w:r w:rsidRPr="006C2298">
        <w:rPr>
          <w:rFonts w:ascii="Arial" w:hAnsi="Arial" w:cs="Arial"/>
          <w:sz w:val="24"/>
          <w:szCs w:val="24"/>
        </w:rPr>
        <w:t xml:space="preserve">874. Available at: </w:t>
      </w:r>
      <w:hyperlink r:id="rId335" w:history="1">
        <w:r w:rsidRPr="007D0B0F">
          <w:rPr>
            <w:rStyle w:val="Hyperlink"/>
            <w:rFonts w:ascii="Arial" w:hAnsi="Arial" w:cs="Arial"/>
            <w:sz w:val="24"/>
            <w:szCs w:val="24"/>
          </w:rPr>
          <w:t>https://www.researchgate.net/publication/231867814_Choices_of_Degree_or_Degrees_of_Choice_Class_'Race'_and_the_Higher_Education_Choice_Process</w:t>
        </w:r>
      </w:hyperlink>
      <w:r>
        <w:rPr>
          <w:rFonts w:ascii="Arial" w:hAnsi="Arial" w:cs="Arial"/>
          <w:sz w:val="24"/>
          <w:szCs w:val="24"/>
        </w:rPr>
        <w:t xml:space="preserve"> </w:t>
      </w:r>
      <w:r w:rsidRPr="006C2298">
        <w:rPr>
          <w:rFonts w:ascii="Arial" w:hAnsi="Arial" w:cs="Arial"/>
          <w:sz w:val="24"/>
          <w:szCs w:val="24"/>
        </w:rPr>
        <w:t>(Accessed: 24 March 2026).</w:t>
      </w:r>
    </w:p>
    <w:p w14:paraId="72A4FB27" w14:textId="4A2FA1A0" w:rsidR="0051595B" w:rsidRDefault="0051595B" w:rsidP="009E58ED">
      <w:pPr>
        <w:spacing w:line="360" w:lineRule="auto"/>
        <w:jc w:val="both"/>
        <w:rPr>
          <w:rFonts w:ascii="Arial" w:hAnsi="Arial" w:cs="Arial"/>
          <w:sz w:val="24"/>
          <w:szCs w:val="24"/>
        </w:rPr>
      </w:pPr>
      <w:r w:rsidRPr="0051595B">
        <w:rPr>
          <w:rFonts w:ascii="Arial" w:hAnsi="Arial" w:cs="Arial"/>
          <w:sz w:val="24"/>
          <w:szCs w:val="24"/>
        </w:rPr>
        <w:t>Reynolds, T. (2006)</w:t>
      </w:r>
      <w:r w:rsidR="001B33FE">
        <w:rPr>
          <w:rFonts w:ascii="Arial" w:hAnsi="Arial" w:cs="Arial"/>
          <w:sz w:val="24"/>
          <w:szCs w:val="24"/>
        </w:rPr>
        <w:t>.</w:t>
      </w:r>
      <w:r w:rsidRPr="0051595B">
        <w:rPr>
          <w:rFonts w:ascii="Arial" w:hAnsi="Arial" w:cs="Arial"/>
          <w:sz w:val="24"/>
          <w:szCs w:val="24"/>
        </w:rPr>
        <w:t xml:space="preserve"> 'Caribbean families, social capital and young people's diasporic identities', </w:t>
      </w:r>
      <w:r w:rsidRPr="0051595B">
        <w:rPr>
          <w:rFonts w:ascii="Arial" w:hAnsi="Arial" w:cs="Arial"/>
          <w:i/>
          <w:iCs/>
          <w:sz w:val="24"/>
          <w:szCs w:val="24"/>
        </w:rPr>
        <w:t>Ethnic and Racial Studies</w:t>
      </w:r>
      <w:r w:rsidRPr="0051595B">
        <w:rPr>
          <w:rFonts w:ascii="Arial" w:hAnsi="Arial" w:cs="Arial"/>
          <w:sz w:val="24"/>
          <w:szCs w:val="24"/>
        </w:rPr>
        <w:t>, 29(6), pp. 1087</w:t>
      </w:r>
      <w:r w:rsidR="001B33FE">
        <w:rPr>
          <w:rFonts w:ascii="Arial" w:hAnsi="Arial" w:cs="Arial"/>
          <w:sz w:val="24"/>
          <w:szCs w:val="24"/>
        </w:rPr>
        <w:t>–</w:t>
      </w:r>
      <w:r w:rsidRPr="0051595B">
        <w:rPr>
          <w:rFonts w:ascii="Arial" w:hAnsi="Arial" w:cs="Arial"/>
          <w:sz w:val="24"/>
          <w:szCs w:val="24"/>
        </w:rPr>
        <w:t xml:space="preserve">1103. Available at: </w:t>
      </w:r>
      <w:hyperlink r:id="rId336" w:anchor="d1e494" w:history="1">
        <w:r w:rsidRPr="002F0426">
          <w:rPr>
            <w:rStyle w:val="Hyperlink"/>
            <w:rFonts w:ascii="Arial" w:hAnsi="Arial" w:cs="Arial"/>
            <w:sz w:val="24"/>
            <w:szCs w:val="24"/>
          </w:rPr>
          <w:t>https://www.tandfonline.com/doi/full/10.1080/01419870600960362?scroll=top&amp;needAccess=true#d1e494</w:t>
        </w:r>
      </w:hyperlink>
      <w:r>
        <w:rPr>
          <w:rFonts w:ascii="Arial" w:hAnsi="Arial" w:cs="Arial"/>
          <w:sz w:val="24"/>
          <w:szCs w:val="24"/>
        </w:rPr>
        <w:t xml:space="preserve"> </w:t>
      </w:r>
      <w:r w:rsidRPr="0051595B">
        <w:rPr>
          <w:rFonts w:ascii="Arial" w:hAnsi="Arial" w:cs="Arial"/>
          <w:sz w:val="24"/>
          <w:szCs w:val="24"/>
        </w:rPr>
        <w:t>(Accessed: 17 March 2026).</w:t>
      </w:r>
    </w:p>
    <w:p w14:paraId="42869D2D" w14:textId="5B28969B" w:rsidR="00193CF3" w:rsidRDefault="00193CF3" w:rsidP="009E58ED">
      <w:pPr>
        <w:spacing w:line="360" w:lineRule="auto"/>
        <w:jc w:val="both"/>
        <w:rPr>
          <w:rFonts w:ascii="Arial" w:hAnsi="Arial" w:cs="Arial"/>
          <w:sz w:val="24"/>
          <w:szCs w:val="24"/>
        </w:rPr>
      </w:pPr>
      <w:r w:rsidRPr="00193CF3">
        <w:rPr>
          <w:rFonts w:ascii="Arial" w:hAnsi="Arial" w:cs="Arial"/>
          <w:sz w:val="24"/>
          <w:szCs w:val="24"/>
        </w:rPr>
        <w:t>Reynolds, P., Bygrave, W., Autio, E., Cox, L., and Hay, M. (2002)</w:t>
      </w:r>
      <w:r>
        <w:rPr>
          <w:rFonts w:ascii="Arial" w:hAnsi="Arial" w:cs="Arial"/>
          <w:sz w:val="24"/>
          <w:szCs w:val="24"/>
        </w:rPr>
        <w:t>.</w:t>
      </w:r>
      <w:r w:rsidRPr="00193CF3">
        <w:rPr>
          <w:rFonts w:ascii="Arial" w:hAnsi="Arial" w:cs="Arial"/>
          <w:sz w:val="24"/>
          <w:szCs w:val="24"/>
        </w:rPr>
        <w:t xml:space="preserve"> Global Entrepreneurship Monitor. Ewing Marion Kauffman Foundation. Available at: https://download.ssrn.com/11/07/07/ssrn_id1509260_code170891.pdf?response-content-disposition=inline&amp;X-Amz-Security-Token=IQoJb3JpZ2luX2VjEDIaCXVzLWVhc3QtMSJGMEQCIFkvmzlV4IzUQTBJTFxJQvHf1E1XkPwuf697zb2PTc5hAiBAfTc%2FD9LXb16pue%2BvpTDBBsl5LTLaHKc02%2BnRMohM%2FCrGBQj7%2F%2F%2F%2F%2F%2F%2F%2F%2F%2F8BEAQaDDMwODQ3NTMwMTI1NyIMvv7J0zTowECplFfXKpoFSjMrOlqUUctRBInV8K1jgcBeO23kAx38WApZ4qjV5tBXluOrNAJbaStax9R6WScGsaQBsKjQdZPgyn5VXKYYrU743kwwKhwUt%2Fe5bMKk6lak5cUTTvRDeKwJy0Ay7kZL3mLduvwvpVZAukBLETEfNMoo%2BIhJh2f4J0cruoyxPcIua0Fs75hoxtc%2B8nz8RXCRCDtPMfGx0TpZ7Fmp0JLj%2BFK3FtRxjidY8WlYFCd%2BW7Nt1PYD8QemZQbxL2d4EXDZzayoOvjNBvVOHXalxXb%2FOnjtUsONWwCttfjh98%2BQy%2BlHQLvBShcMBQS7O%2Br8%2FaOrj2BPQt98dDTrttWlTsRff2zfn1yjnTxaQra9XeHQ%2F5kWvhamt%2FTgpfHQi7sKMKOdqlcJL2O%2BPXm0J7DAA0y1jXsTXgGd15rzKp%2FdqTOdPYmueAm89lq%2FztYRist2em%2FA3%2FoA%2BiQGO3%2FVEGJFiw6XRKINr%2B8z9FosIUN7EZNagHVMfniaVTjPuvxwQ85ghTjOINj86%2F3PQ3Mi3ry2T6TC6ieWlair9jkIUQcrZoFXM2aMxwt0cmnh4cw%2FOfNndBJQWfuPeIs0iIJabrX4wYFvizTjjkBMPQFBcUHQr0By4Ww6</w:t>
      </w:r>
      <w:r w:rsidRPr="00193CF3">
        <w:rPr>
          <w:rFonts w:ascii="Arial" w:hAnsi="Arial" w:cs="Arial"/>
          <w:sz w:val="24"/>
          <w:szCs w:val="24"/>
        </w:rPr>
        <w:lastRenderedPageBreak/>
        <w:t>1y3EntwLGT0KRp4MsW1dbSB%2BFV6YKXoqJc%2FRdS7HoCxITP7y3rLGlBw6Q%2BEqPmKAii13BiETovi5%2BYDso1247%2BJjLz8AUrvS3ZH%2B6u8vNF8dDS0WcZSDJ%2FWRWfx1GF%2FGSbcZtSHE2yv1pUtSDgZhFjmz2i1lZKZcMrj%2BzvKsS0ueC4SsxIeDrlStsQGARrIc0hSlavHYYW5bughlwUqTGko1kRy32tXICiA%2FFOBwGh03Ev5iDutjWQ%2BYcYPhemCbvisgCeHxsnBAMLu82M4GOrIBufXt01hF0YOFrxJA7yUhTtjermvON8a%2FlADj%2FSbCVY5T9nqfBfK37cm9zlMAYf0Mf4Cq1QqFtYXzyOOH6p5f7CjZ4YypCnIrej3RR9yQzzlRq3K9PoSV%2BukwGXLqyxMXFwVyji3Kjc90Kzizfcm3wrTcerIR4F7cG4WMOpgk%2Bjz2i%2BCTxZ6CjcAKPNbABEcpCWJOAV75Au3oypg5YDqYQnMJuAq2xHoX4pvw%2FxAj1vruFw%3D%3D&amp;X-Amz-Algorithm=AWS4-HMAC-SHA256&amp;X-Amz-Date=20260408T104831Z&amp;X-Amz-SignedHeaders=host&amp;X-Amz-Expires=300&amp;X-Amz-Credential=ASIAUPUUPRWEU7WIAI3O%2F20260408%2Fus-east-1%2Fs3%2Faws4_request&amp;X-Amz-Signature=651bcc7339e3eecf765a4e4fb519a41bdfb229489181b6c8e2d0c390ee16a960&amp;abstractId=1509260</w:t>
      </w:r>
      <w:r>
        <w:rPr>
          <w:rFonts w:ascii="Arial" w:hAnsi="Arial" w:cs="Arial"/>
          <w:sz w:val="24"/>
          <w:szCs w:val="24"/>
        </w:rPr>
        <w:t xml:space="preserve"> </w:t>
      </w:r>
      <w:r w:rsidRPr="00193CF3">
        <w:rPr>
          <w:rFonts w:ascii="Arial" w:hAnsi="Arial" w:cs="Arial"/>
          <w:sz w:val="24"/>
          <w:szCs w:val="24"/>
        </w:rPr>
        <w:t>(Accessed: 27 March 2026).</w:t>
      </w:r>
    </w:p>
    <w:p w14:paraId="3A459D1D" w14:textId="28BBE63D" w:rsidR="00CF6C1A" w:rsidRDefault="00CF6C1A" w:rsidP="009E58ED">
      <w:pPr>
        <w:spacing w:line="360" w:lineRule="auto"/>
        <w:jc w:val="both"/>
        <w:rPr>
          <w:rFonts w:ascii="Arial" w:hAnsi="Arial" w:cs="Arial"/>
          <w:sz w:val="24"/>
          <w:szCs w:val="24"/>
        </w:rPr>
      </w:pPr>
      <w:r w:rsidRPr="00CF6C1A">
        <w:rPr>
          <w:rFonts w:ascii="Arial" w:hAnsi="Arial" w:cs="Arial"/>
          <w:sz w:val="24"/>
          <w:szCs w:val="24"/>
        </w:rPr>
        <w:t>Riach, P., and Rich, J. (2002)</w:t>
      </w:r>
      <w:r w:rsidR="001B33FE">
        <w:rPr>
          <w:rFonts w:ascii="Arial" w:hAnsi="Arial" w:cs="Arial"/>
          <w:sz w:val="24"/>
          <w:szCs w:val="24"/>
        </w:rPr>
        <w:t>.</w:t>
      </w:r>
      <w:r w:rsidRPr="00CF6C1A">
        <w:rPr>
          <w:rFonts w:ascii="Arial" w:hAnsi="Arial" w:cs="Arial"/>
          <w:sz w:val="24"/>
          <w:szCs w:val="24"/>
        </w:rPr>
        <w:t xml:space="preserve"> 'Field Experiments of Discrimination in the Market Place', Field Experiments of Discrimination in the Market Place, 122, pp. 480</w:t>
      </w:r>
      <w:r w:rsidR="001B33FE">
        <w:rPr>
          <w:rFonts w:ascii="Arial" w:hAnsi="Arial" w:cs="Arial"/>
          <w:sz w:val="24"/>
          <w:szCs w:val="24"/>
        </w:rPr>
        <w:t>–</w:t>
      </w:r>
      <w:r w:rsidRPr="00CF6C1A">
        <w:rPr>
          <w:rFonts w:ascii="Arial" w:hAnsi="Arial" w:cs="Arial"/>
          <w:sz w:val="24"/>
          <w:szCs w:val="24"/>
        </w:rPr>
        <w:t xml:space="preserve">516. Available at: </w:t>
      </w:r>
      <w:hyperlink r:id="rId337" w:history="1">
        <w:r w:rsidRPr="00FB3832">
          <w:rPr>
            <w:rStyle w:val="Hyperlink"/>
            <w:rFonts w:ascii="Arial" w:hAnsi="Arial" w:cs="Arial"/>
            <w:sz w:val="24"/>
            <w:szCs w:val="24"/>
          </w:rPr>
          <w:t>https://research-ebsco-com.uwtsd.idm.oclc.org/c/onvpsy/viewer/pdf/ktzxo62ygn?route=details</w:t>
        </w:r>
      </w:hyperlink>
      <w:r>
        <w:rPr>
          <w:rFonts w:ascii="Arial" w:hAnsi="Arial" w:cs="Arial"/>
          <w:sz w:val="24"/>
          <w:szCs w:val="24"/>
        </w:rPr>
        <w:t xml:space="preserve"> </w:t>
      </w:r>
      <w:r w:rsidRPr="00CF6C1A">
        <w:rPr>
          <w:rFonts w:ascii="Arial" w:hAnsi="Arial" w:cs="Arial"/>
          <w:sz w:val="24"/>
          <w:szCs w:val="24"/>
        </w:rPr>
        <w:t>(Accessed: 20 March 2026).</w:t>
      </w:r>
    </w:p>
    <w:p w14:paraId="22E76F04" w14:textId="1CD1D05F" w:rsidR="00E040F8" w:rsidRDefault="00E040F8" w:rsidP="009E58ED">
      <w:pPr>
        <w:spacing w:line="360" w:lineRule="auto"/>
        <w:jc w:val="both"/>
        <w:rPr>
          <w:rFonts w:ascii="Arial" w:hAnsi="Arial" w:cs="Arial"/>
          <w:sz w:val="24"/>
          <w:szCs w:val="24"/>
        </w:rPr>
      </w:pPr>
      <w:r w:rsidRPr="00E040F8">
        <w:rPr>
          <w:rFonts w:ascii="Arial" w:hAnsi="Arial" w:cs="Arial"/>
          <w:sz w:val="24"/>
          <w:szCs w:val="24"/>
        </w:rPr>
        <w:t>Richardson, J. (2018)</w:t>
      </w:r>
      <w:r>
        <w:rPr>
          <w:rFonts w:ascii="Arial" w:hAnsi="Arial" w:cs="Arial"/>
          <w:sz w:val="24"/>
          <w:szCs w:val="24"/>
        </w:rPr>
        <w:t>.</w:t>
      </w:r>
      <w:r w:rsidRPr="00E040F8">
        <w:rPr>
          <w:rFonts w:ascii="Arial" w:hAnsi="Arial" w:cs="Arial"/>
          <w:sz w:val="24"/>
          <w:szCs w:val="24"/>
        </w:rPr>
        <w:t xml:space="preserve"> 'Understanding the Under-Attainment of Ethnic Minority Students in UK Higher Education: The Known Knowns and the Known Unknowns', in J. Arday, and H. Mirza (ed.), </w:t>
      </w:r>
      <w:r w:rsidRPr="00E040F8">
        <w:rPr>
          <w:rFonts w:ascii="Arial" w:hAnsi="Arial" w:cs="Arial"/>
          <w:i/>
          <w:iCs/>
          <w:sz w:val="24"/>
          <w:szCs w:val="24"/>
        </w:rPr>
        <w:t>Dismantling Race in Higher Education: Racism, Whiteness and Decolonising the Academy.</w:t>
      </w:r>
      <w:r w:rsidRPr="00E040F8">
        <w:rPr>
          <w:rFonts w:ascii="Arial" w:hAnsi="Arial" w:cs="Arial"/>
          <w:sz w:val="24"/>
          <w:szCs w:val="24"/>
        </w:rPr>
        <w:t>  Springer International Publishing, pp. 87</w:t>
      </w:r>
      <w:r>
        <w:rPr>
          <w:rFonts w:ascii="Arial" w:hAnsi="Arial" w:cs="Arial"/>
          <w:sz w:val="24"/>
          <w:szCs w:val="24"/>
        </w:rPr>
        <w:t>–</w:t>
      </w:r>
      <w:r w:rsidRPr="00E040F8">
        <w:rPr>
          <w:rFonts w:ascii="Arial" w:hAnsi="Arial" w:cs="Arial"/>
          <w:sz w:val="24"/>
          <w:szCs w:val="24"/>
        </w:rPr>
        <w:t>102.</w:t>
      </w:r>
      <w:r w:rsidRPr="00E040F8">
        <w:rPr>
          <w:rFonts w:ascii="Arial" w:hAnsi="Arial" w:cs="Arial"/>
          <w:i/>
          <w:iCs/>
          <w:sz w:val="24"/>
          <w:szCs w:val="24"/>
        </w:rPr>
        <w:t> </w:t>
      </w:r>
      <w:r w:rsidRPr="00E040F8">
        <w:rPr>
          <w:rFonts w:ascii="Arial" w:hAnsi="Arial" w:cs="Arial"/>
          <w:sz w:val="24"/>
          <w:szCs w:val="24"/>
        </w:rPr>
        <w:t xml:space="preserve">Available at: </w:t>
      </w:r>
      <w:hyperlink r:id="rId338" w:anchor="page=110" w:history="1">
        <w:r w:rsidRPr="007D0B0F">
          <w:rPr>
            <w:rStyle w:val="Hyperlink"/>
            <w:rFonts w:ascii="Arial" w:hAnsi="Arial" w:cs="Arial"/>
            <w:sz w:val="24"/>
            <w:szCs w:val="24"/>
          </w:rPr>
          <w:t>https://www.researchgate.net/profile/Andrew-Pilkington/publication/327352755_The_Rise_and_Fall_in_the_Salience_of_Race_Equality_in_Higher_Education_Racism_Whiteness_and_Decolonising_the_Academy/links/641b181692cfd54f842051f3/The-Rise-and-Fall-in-the-Salience-of-Race-Equality-in-Higher-Education-Racism-Whiteness-and-Decolonising-the-Academy.pdf#page=110</w:t>
        </w:r>
      </w:hyperlink>
      <w:r>
        <w:rPr>
          <w:rFonts w:ascii="Arial" w:hAnsi="Arial" w:cs="Arial"/>
          <w:sz w:val="24"/>
          <w:szCs w:val="24"/>
        </w:rPr>
        <w:t xml:space="preserve"> </w:t>
      </w:r>
      <w:r w:rsidRPr="00E040F8">
        <w:rPr>
          <w:rFonts w:ascii="Arial" w:hAnsi="Arial" w:cs="Arial"/>
          <w:sz w:val="24"/>
          <w:szCs w:val="24"/>
        </w:rPr>
        <w:t>(Accessed: 24 March 2026).</w:t>
      </w:r>
    </w:p>
    <w:p w14:paraId="3C8AB6B0" w14:textId="38DEAF8B" w:rsidR="00E24730" w:rsidRDefault="00E24730" w:rsidP="009E58ED">
      <w:pPr>
        <w:spacing w:line="360" w:lineRule="auto"/>
        <w:jc w:val="both"/>
        <w:rPr>
          <w:rFonts w:ascii="Arial" w:hAnsi="Arial" w:cs="Arial"/>
          <w:sz w:val="24"/>
          <w:szCs w:val="24"/>
        </w:rPr>
      </w:pPr>
      <w:r w:rsidRPr="00E24730">
        <w:rPr>
          <w:rFonts w:ascii="Arial" w:hAnsi="Arial" w:cs="Arial"/>
          <w:sz w:val="24"/>
          <w:szCs w:val="24"/>
        </w:rPr>
        <w:lastRenderedPageBreak/>
        <w:t>Rivard, S. (2024)</w:t>
      </w:r>
      <w:r w:rsidR="001B33FE">
        <w:rPr>
          <w:rFonts w:ascii="Arial" w:hAnsi="Arial" w:cs="Arial"/>
          <w:sz w:val="24"/>
          <w:szCs w:val="24"/>
        </w:rPr>
        <w:t>.</w:t>
      </w:r>
      <w:r w:rsidRPr="00E24730">
        <w:rPr>
          <w:rFonts w:ascii="Arial" w:hAnsi="Arial" w:cs="Arial"/>
          <w:sz w:val="24"/>
          <w:szCs w:val="24"/>
        </w:rPr>
        <w:t xml:space="preserve"> 'Unpacking the process of conceptual leaping in the conduct of literature reviews', </w:t>
      </w:r>
      <w:r w:rsidRPr="00E24730">
        <w:rPr>
          <w:rFonts w:ascii="Arial" w:hAnsi="Arial" w:cs="Arial"/>
          <w:i/>
          <w:iCs/>
          <w:sz w:val="24"/>
          <w:szCs w:val="24"/>
        </w:rPr>
        <w:t>The Journal of Strategic Information Systems</w:t>
      </w:r>
      <w:r w:rsidRPr="00E24730">
        <w:rPr>
          <w:rFonts w:ascii="Arial" w:hAnsi="Arial" w:cs="Arial"/>
          <w:sz w:val="24"/>
          <w:szCs w:val="24"/>
        </w:rPr>
        <w:t>, 33 (1), pp. 1</w:t>
      </w:r>
      <w:r w:rsidR="001B33FE">
        <w:rPr>
          <w:rFonts w:ascii="Arial" w:hAnsi="Arial" w:cs="Arial"/>
          <w:sz w:val="24"/>
          <w:szCs w:val="24"/>
        </w:rPr>
        <w:t>–</w:t>
      </w:r>
      <w:r w:rsidRPr="00E24730">
        <w:rPr>
          <w:rFonts w:ascii="Arial" w:hAnsi="Arial" w:cs="Arial"/>
          <w:sz w:val="24"/>
          <w:szCs w:val="24"/>
        </w:rPr>
        <w:t xml:space="preserve">8. Available at: </w:t>
      </w:r>
      <w:hyperlink r:id="rId339" w:history="1">
        <w:r w:rsidRPr="00D94FAA">
          <w:rPr>
            <w:rStyle w:val="Hyperlink"/>
            <w:rFonts w:ascii="Arial" w:hAnsi="Arial" w:cs="Arial"/>
            <w:sz w:val="24"/>
            <w:szCs w:val="24"/>
          </w:rPr>
          <w:t>https://www.sciencedirect.com/science/article/pii/S0963868724000040?via%3Dihub</w:t>
        </w:r>
      </w:hyperlink>
      <w:r>
        <w:rPr>
          <w:rFonts w:ascii="Arial" w:hAnsi="Arial" w:cs="Arial"/>
          <w:sz w:val="24"/>
          <w:szCs w:val="24"/>
        </w:rPr>
        <w:t xml:space="preserve"> </w:t>
      </w:r>
      <w:r w:rsidRPr="00E24730">
        <w:rPr>
          <w:rFonts w:ascii="Arial" w:hAnsi="Arial" w:cs="Arial"/>
          <w:sz w:val="24"/>
          <w:szCs w:val="24"/>
        </w:rPr>
        <w:t>(Accessed: 4 March 2026).</w:t>
      </w:r>
    </w:p>
    <w:p w14:paraId="075F86A2" w14:textId="2620CEBC" w:rsidR="00F84B06" w:rsidRDefault="00F84B06" w:rsidP="009E58ED">
      <w:pPr>
        <w:spacing w:line="360" w:lineRule="auto"/>
        <w:jc w:val="both"/>
        <w:rPr>
          <w:rFonts w:ascii="Arial" w:hAnsi="Arial" w:cs="Arial"/>
          <w:sz w:val="24"/>
          <w:szCs w:val="24"/>
        </w:rPr>
      </w:pPr>
      <w:r w:rsidRPr="00F84B06">
        <w:rPr>
          <w:rFonts w:ascii="Arial" w:hAnsi="Arial" w:cs="Arial"/>
          <w:sz w:val="24"/>
          <w:szCs w:val="24"/>
        </w:rPr>
        <w:t>Robinson, G., McLean, R., Densley, J. (2018)</w:t>
      </w:r>
      <w:r>
        <w:rPr>
          <w:rFonts w:ascii="Arial" w:hAnsi="Arial" w:cs="Arial"/>
          <w:sz w:val="24"/>
          <w:szCs w:val="24"/>
        </w:rPr>
        <w:t>.</w:t>
      </w:r>
      <w:r w:rsidRPr="00F84B06">
        <w:rPr>
          <w:rFonts w:ascii="Arial" w:hAnsi="Arial" w:cs="Arial"/>
          <w:sz w:val="24"/>
          <w:szCs w:val="24"/>
        </w:rPr>
        <w:t xml:space="preserve"> 'Working County Lines: Child Criminal Exploitation and Illicit Drug Dealing in Glasgow and Merseyside', International Journal of Offender Therapy and Comparative Criminology, 63(5), pp. 694-711. Available at: </w:t>
      </w:r>
      <w:hyperlink r:id="rId340" w:history="1">
        <w:r w:rsidRPr="007D0B0F">
          <w:rPr>
            <w:rStyle w:val="Hyperlink"/>
            <w:rFonts w:ascii="Arial" w:hAnsi="Arial" w:cs="Arial"/>
            <w:sz w:val="24"/>
            <w:szCs w:val="24"/>
          </w:rPr>
          <w:t>https://d1wqtxts1xzle7.cloudfront.net/61838731/Working_County_Lines20200120-19345-1hslymw-libre.pdf?1579536193=&amp;response-content-disposition=inline%3B+filename%3DWorking_County_Lines_Child_Criminal_Expl.pdf&amp;Expires=1776092936&amp;Signature=V~bYRwqGR-RkDmPZQLYAfU7nVTUQxhaBEiw0~1lumkFtZVYAORq3B-EmrkaKRz9xnpiQJqHztayjGE-YHmEdfDyv8FOlRsaCaCTa5UtoZoF19cImWcZnhF0ZN4WpHwain-DcDl1YfV74O~4yBae73VhsilxFgUXygUffR3DA2zX3CySDJJyj66n3hJGa9Zd3NR428SHMQGXOaxEIrrE26yJ67MBl2gJAfVAGhrvjl5YVO8EZ3tv4XHcVLFhgz8N0F8SFIG2CpHdqmYWPmbpYDFQgMFAEWZaFpupdxu20SaHaKCxYiAVQ0aTo09M0buscOlPW1~N8F3Ew3C7ct5iFEA__&amp;Key-Pair-Id=APKAJLOHF5GGSLRBV4ZA</w:t>
        </w:r>
      </w:hyperlink>
      <w:r>
        <w:rPr>
          <w:rFonts w:ascii="Arial" w:hAnsi="Arial" w:cs="Arial"/>
          <w:sz w:val="24"/>
          <w:szCs w:val="24"/>
        </w:rPr>
        <w:t xml:space="preserve"> </w:t>
      </w:r>
      <w:r w:rsidRPr="00F84B06">
        <w:rPr>
          <w:rFonts w:ascii="Arial" w:hAnsi="Arial" w:cs="Arial"/>
          <w:sz w:val="24"/>
          <w:szCs w:val="24"/>
        </w:rPr>
        <w:t>(Accessed: 2 April 2026).</w:t>
      </w:r>
    </w:p>
    <w:p w14:paraId="14A43394" w14:textId="7BB87E88" w:rsidR="00660AC7" w:rsidRDefault="00660AC7" w:rsidP="009E58ED">
      <w:pPr>
        <w:spacing w:line="360" w:lineRule="auto"/>
        <w:jc w:val="both"/>
        <w:rPr>
          <w:rFonts w:ascii="Arial" w:hAnsi="Arial" w:cs="Arial"/>
          <w:sz w:val="24"/>
          <w:szCs w:val="24"/>
        </w:rPr>
      </w:pPr>
      <w:r w:rsidRPr="00660AC7">
        <w:rPr>
          <w:rFonts w:ascii="Arial" w:hAnsi="Arial" w:cs="Arial"/>
          <w:sz w:val="24"/>
          <w:szCs w:val="24"/>
        </w:rPr>
        <w:t>Roche, B. (2003)</w:t>
      </w:r>
      <w:r w:rsidR="0055048E">
        <w:rPr>
          <w:rFonts w:ascii="Arial" w:hAnsi="Arial" w:cs="Arial"/>
          <w:sz w:val="24"/>
          <w:szCs w:val="24"/>
        </w:rPr>
        <w:t>.</w:t>
      </w:r>
      <w:r w:rsidRPr="00660AC7">
        <w:rPr>
          <w:rFonts w:ascii="Arial" w:hAnsi="Arial" w:cs="Arial"/>
          <w:sz w:val="24"/>
          <w:szCs w:val="24"/>
        </w:rPr>
        <w:t xml:space="preserve"> 'Labour Market (Ethnic Minorities)', Hansard: House of Commons debate, 21 March 401. Available at: </w:t>
      </w:r>
      <w:hyperlink r:id="rId341" w:history="1">
        <w:r w:rsidR="0055048E" w:rsidRPr="007D0B0F">
          <w:rPr>
            <w:rStyle w:val="Hyperlink"/>
            <w:rFonts w:ascii="Arial" w:hAnsi="Arial" w:cs="Arial"/>
            <w:sz w:val="24"/>
            <w:szCs w:val="24"/>
          </w:rPr>
          <w:t>https://hansard.parliament.uk/Commons/2003-03-21/debates/31a28bc2-748e-46c5-95b9-e08bd94cf0e6/LabourMarket(EthnicMinorities)</w:t>
        </w:r>
      </w:hyperlink>
      <w:r w:rsidR="0055048E">
        <w:rPr>
          <w:rFonts w:ascii="Arial" w:hAnsi="Arial" w:cs="Arial"/>
          <w:sz w:val="24"/>
          <w:szCs w:val="24"/>
        </w:rPr>
        <w:t xml:space="preserve"> </w:t>
      </w:r>
      <w:r w:rsidRPr="00660AC7">
        <w:rPr>
          <w:rFonts w:ascii="Arial" w:hAnsi="Arial" w:cs="Arial"/>
          <w:sz w:val="24"/>
          <w:szCs w:val="24"/>
        </w:rPr>
        <w:t>(Accessed: 26 March 2026).</w:t>
      </w:r>
    </w:p>
    <w:p w14:paraId="745C96DF" w14:textId="10B8FDC6" w:rsidR="009E48D9" w:rsidRDefault="009E48D9" w:rsidP="009E58ED">
      <w:pPr>
        <w:spacing w:line="360" w:lineRule="auto"/>
        <w:jc w:val="both"/>
        <w:rPr>
          <w:rFonts w:ascii="Arial" w:hAnsi="Arial" w:cs="Arial"/>
          <w:sz w:val="24"/>
          <w:szCs w:val="24"/>
        </w:rPr>
      </w:pPr>
      <w:r w:rsidRPr="009E48D9">
        <w:rPr>
          <w:rFonts w:ascii="Arial" w:hAnsi="Arial" w:cs="Arial"/>
          <w:sz w:val="24"/>
          <w:szCs w:val="24"/>
        </w:rPr>
        <w:t>Robertson, L., and Wainwright, P. (2020) 'Black Boys’ and Young Men’s Experiences with</w:t>
      </w:r>
      <w:r>
        <w:rPr>
          <w:rFonts w:ascii="Arial" w:hAnsi="Arial" w:cs="Arial"/>
          <w:sz w:val="24"/>
          <w:szCs w:val="24"/>
        </w:rPr>
        <w:t xml:space="preserve"> </w:t>
      </w:r>
      <w:r w:rsidRPr="009E48D9">
        <w:rPr>
          <w:rFonts w:ascii="Arial" w:hAnsi="Arial" w:cs="Arial"/>
          <w:sz w:val="24"/>
          <w:szCs w:val="24"/>
        </w:rPr>
        <w:t xml:space="preserve">Criminal Justice and Desistance in England and Wales: A Literature Review', Genealogy, 4(2.50) pp. 1-15. Available at: </w:t>
      </w:r>
      <w:hyperlink r:id="rId342" w:history="1">
        <w:r w:rsidR="004B7B24" w:rsidRPr="007D0B0F">
          <w:rPr>
            <w:rStyle w:val="Hyperlink"/>
            <w:rFonts w:ascii="Arial" w:hAnsi="Arial" w:cs="Arial"/>
            <w:sz w:val="24"/>
            <w:szCs w:val="24"/>
          </w:rPr>
          <w:t>https://www.pure.ed.ac.uk/ws/portalfiles/portal/212590218/RobertsonLWainwrightJ2020GBlackBoysAndYoungMensExperiences.pdf</w:t>
        </w:r>
      </w:hyperlink>
      <w:r w:rsidR="004B7B24">
        <w:rPr>
          <w:rFonts w:ascii="Arial" w:hAnsi="Arial" w:cs="Arial"/>
          <w:sz w:val="24"/>
          <w:szCs w:val="24"/>
        </w:rPr>
        <w:t xml:space="preserve"> </w:t>
      </w:r>
      <w:r w:rsidRPr="009E48D9">
        <w:rPr>
          <w:rFonts w:ascii="Arial" w:hAnsi="Arial" w:cs="Arial"/>
          <w:sz w:val="24"/>
          <w:szCs w:val="24"/>
        </w:rPr>
        <w:t>(Accessed: 5 April 2026).</w:t>
      </w:r>
    </w:p>
    <w:p w14:paraId="6F13645D" w14:textId="228F826E" w:rsidR="00F67B13" w:rsidRDefault="00F67B13" w:rsidP="009E58ED">
      <w:pPr>
        <w:spacing w:line="360" w:lineRule="auto"/>
        <w:jc w:val="both"/>
        <w:rPr>
          <w:rFonts w:ascii="Arial" w:hAnsi="Arial" w:cs="Arial"/>
          <w:sz w:val="24"/>
          <w:szCs w:val="24"/>
        </w:rPr>
      </w:pPr>
      <w:r w:rsidRPr="00F67B13">
        <w:rPr>
          <w:rFonts w:ascii="Arial" w:hAnsi="Arial" w:cs="Arial"/>
          <w:sz w:val="24"/>
          <w:szCs w:val="24"/>
        </w:rPr>
        <w:lastRenderedPageBreak/>
        <w:t>Rogers, R. (2016)</w:t>
      </w:r>
      <w:r w:rsidR="001B33FE">
        <w:rPr>
          <w:rFonts w:ascii="Arial" w:hAnsi="Arial" w:cs="Arial"/>
          <w:sz w:val="24"/>
          <w:szCs w:val="24"/>
        </w:rPr>
        <w:t>.</w:t>
      </w:r>
      <w:r w:rsidRPr="00F67B13">
        <w:rPr>
          <w:rFonts w:ascii="Arial" w:hAnsi="Arial" w:cs="Arial"/>
          <w:sz w:val="24"/>
          <w:szCs w:val="24"/>
        </w:rPr>
        <w:t xml:space="preserve"> 'Using Lenses to Make Sense of Research: A Review of Sharon M. Ravitch and Matthew Riggan’s Reason </w:t>
      </w:r>
      <w:r w:rsidR="001B33FE">
        <w:rPr>
          <w:rFonts w:ascii="Arial" w:hAnsi="Arial" w:cs="Arial"/>
          <w:sz w:val="24"/>
          <w:szCs w:val="24"/>
        </w:rPr>
        <w:t>and</w:t>
      </w:r>
      <w:r w:rsidRPr="00F67B13">
        <w:rPr>
          <w:rFonts w:ascii="Arial" w:hAnsi="Arial" w:cs="Arial"/>
          <w:sz w:val="24"/>
          <w:szCs w:val="24"/>
        </w:rPr>
        <w:t xml:space="preserve"> Rigor: How Conceptual Frameworks Guide Research', </w:t>
      </w:r>
      <w:r w:rsidRPr="00F67B13">
        <w:rPr>
          <w:rFonts w:ascii="Arial" w:hAnsi="Arial" w:cs="Arial"/>
          <w:i/>
          <w:iCs/>
          <w:sz w:val="24"/>
          <w:szCs w:val="24"/>
        </w:rPr>
        <w:t>The Qualitative Report</w:t>
      </w:r>
      <w:r w:rsidRPr="00F67B13">
        <w:rPr>
          <w:rFonts w:ascii="Arial" w:hAnsi="Arial" w:cs="Arial"/>
          <w:sz w:val="24"/>
          <w:szCs w:val="24"/>
        </w:rPr>
        <w:t xml:space="preserve">, 21 (9), pp. 1708-1712. Available at: </w:t>
      </w:r>
      <w:hyperlink r:id="rId343" w:history="1">
        <w:r w:rsidRPr="001228C1">
          <w:rPr>
            <w:rStyle w:val="Hyperlink"/>
            <w:rFonts w:ascii="Arial" w:hAnsi="Arial" w:cs="Arial"/>
            <w:sz w:val="24"/>
            <w:szCs w:val="24"/>
          </w:rPr>
          <w:t>https://www.researchgate.net/publication/350422267_Using_Lenses_to_Make_Sense_of_Research_A_Review_of_Sharon_M_Ravitch_and_Matthew_Riggan's_Reason_Rigor_How_Conceptual_Frameworks_Guide_Research</w:t>
        </w:r>
      </w:hyperlink>
      <w:r>
        <w:rPr>
          <w:rFonts w:ascii="Arial" w:hAnsi="Arial" w:cs="Arial"/>
          <w:sz w:val="24"/>
          <w:szCs w:val="24"/>
        </w:rPr>
        <w:t xml:space="preserve"> </w:t>
      </w:r>
      <w:r w:rsidRPr="00F67B13">
        <w:rPr>
          <w:rFonts w:ascii="Arial" w:hAnsi="Arial" w:cs="Arial"/>
          <w:sz w:val="24"/>
          <w:szCs w:val="24"/>
        </w:rPr>
        <w:t>(Accessed: 11 March 2026).</w:t>
      </w:r>
    </w:p>
    <w:p w14:paraId="7FA7982F" w14:textId="1E3882E2" w:rsidR="00D66E94" w:rsidRDefault="00D66E94" w:rsidP="009E58ED">
      <w:pPr>
        <w:spacing w:line="360" w:lineRule="auto"/>
        <w:jc w:val="both"/>
        <w:rPr>
          <w:rFonts w:ascii="Arial" w:hAnsi="Arial" w:cs="Arial"/>
          <w:sz w:val="24"/>
          <w:szCs w:val="24"/>
        </w:rPr>
      </w:pPr>
      <w:r w:rsidRPr="00D66E94">
        <w:rPr>
          <w:rFonts w:ascii="Arial" w:hAnsi="Arial" w:cs="Arial"/>
          <w:sz w:val="24"/>
          <w:szCs w:val="24"/>
        </w:rPr>
        <w:t>Rollock, N. (2016)</w:t>
      </w:r>
      <w:r w:rsidR="001B33FE">
        <w:rPr>
          <w:rFonts w:ascii="Arial" w:hAnsi="Arial" w:cs="Arial"/>
          <w:sz w:val="24"/>
          <w:szCs w:val="24"/>
        </w:rPr>
        <w:t>.</w:t>
      </w:r>
      <w:r w:rsidRPr="00D66E94">
        <w:rPr>
          <w:rFonts w:ascii="Arial" w:hAnsi="Arial" w:cs="Arial"/>
          <w:sz w:val="24"/>
          <w:szCs w:val="24"/>
        </w:rPr>
        <w:t xml:space="preserve"> 'How much does your university do for racial equality?', </w:t>
      </w:r>
      <w:r w:rsidRPr="00D66E94">
        <w:rPr>
          <w:rFonts w:ascii="Arial" w:hAnsi="Arial" w:cs="Arial"/>
          <w:i/>
          <w:iCs/>
          <w:sz w:val="24"/>
          <w:szCs w:val="24"/>
        </w:rPr>
        <w:t>The Guardian</w:t>
      </w:r>
      <w:r w:rsidR="00406641">
        <w:rPr>
          <w:rFonts w:ascii="Arial" w:hAnsi="Arial" w:cs="Arial"/>
          <w:i/>
          <w:iCs/>
          <w:sz w:val="24"/>
          <w:szCs w:val="24"/>
        </w:rPr>
        <w:t>,</w:t>
      </w:r>
      <w:r w:rsidRPr="00D66E94">
        <w:rPr>
          <w:rFonts w:ascii="Arial" w:hAnsi="Arial" w:cs="Arial"/>
          <w:sz w:val="24"/>
          <w:szCs w:val="24"/>
        </w:rPr>
        <w:t xml:space="preserve"> 19 January. Available at: </w:t>
      </w:r>
      <w:hyperlink r:id="rId344" w:history="1">
        <w:r w:rsidRPr="007D0B0F">
          <w:rPr>
            <w:rStyle w:val="Hyperlink"/>
            <w:rFonts w:ascii="Arial" w:hAnsi="Arial" w:cs="Arial"/>
            <w:sz w:val="24"/>
            <w:szCs w:val="24"/>
          </w:rPr>
          <w:t>https://www.theguardian.com/higher-education-network/2016/jan/19/how-much-does-your-university-do-for-racial-equality</w:t>
        </w:r>
      </w:hyperlink>
      <w:r>
        <w:rPr>
          <w:rFonts w:ascii="Arial" w:hAnsi="Arial" w:cs="Arial"/>
          <w:sz w:val="24"/>
          <w:szCs w:val="24"/>
        </w:rPr>
        <w:t xml:space="preserve"> </w:t>
      </w:r>
      <w:r w:rsidRPr="00D66E94">
        <w:rPr>
          <w:rFonts w:ascii="Arial" w:hAnsi="Arial" w:cs="Arial"/>
          <w:sz w:val="24"/>
          <w:szCs w:val="24"/>
        </w:rPr>
        <w:t> (Accessed: 23 March 2026).</w:t>
      </w:r>
    </w:p>
    <w:p w14:paraId="1C7F8ED3" w14:textId="10E63332" w:rsidR="00EB02DD" w:rsidRDefault="00EB02DD" w:rsidP="009E58ED">
      <w:pPr>
        <w:spacing w:line="360" w:lineRule="auto"/>
        <w:jc w:val="both"/>
        <w:rPr>
          <w:rFonts w:ascii="Arial" w:hAnsi="Arial" w:cs="Arial"/>
          <w:sz w:val="24"/>
          <w:szCs w:val="24"/>
        </w:rPr>
      </w:pPr>
      <w:r w:rsidRPr="00EB02DD">
        <w:rPr>
          <w:rFonts w:ascii="Arial" w:hAnsi="Arial" w:cs="Arial"/>
          <w:sz w:val="24"/>
          <w:szCs w:val="24"/>
        </w:rPr>
        <w:t>Rowlingson, K., and McKay, S. (2017)</w:t>
      </w:r>
      <w:r>
        <w:rPr>
          <w:rFonts w:ascii="Arial" w:hAnsi="Arial" w:cs="Arial"/>
          <w:sz w:val="24"/>
          <w:szCs w:val="24"/>
        </w:rPr>
        <w:t>.</w:t>
      </w:r>
      <w:r w:rsidRPr="00EB02DD">
        <w:rPr>
          <w:rFonts w:ascii="Arial" w:hAnsi="Arial" w:cs="Arial"/>
          <w:sz w:val="24"/>
          <w:szCs w:val="24"/>
        </w:rPr>
        <w:t xml:space="preserve"> Financial Inclusion Annual Monitoring Report 2017. Friends Provident Foundation. Available at: </w:t>
      </w:r>
      <w:hyperlink r:id="rId345" w:history="1">
        <w:r w:rsidR="002336D6" w:rsidRPr="007D0B0F">
          <w:rPr>
            <w:rStyle w:val="Hyperlink"/>
            <w:rFonts w:ascii="Arial" w:hAnsi="Arial" w:cs="Arial"/>
            <w:sz w:val="24"/>
            <w:szCs w:val="24"/>
          </w:rPr>
          <w:t>https://friendsprovidentfoundation.org/wp-content/uploads/2024/01/Financial-Inclusion-Report-2017.pdf</w:t>
        </w:r>
      </w:hyperlink>
      <w:r w:rsidR="002336D6">
        <w:rPr>
          <w:rFonts w:ascii="Arial" w:hAnsi="Arial" w:cs="Arial"/>
          <w:sz w:val="24"/>
          <w:szCs w:val="24"/>
        </w:rPr>
        <w:t xml:space="preserve"> </w:t>
      </w:r>
      <w:r w:rsidRPr="00EB02DD">
        <w:rPr>
          <w:rFonts w:ascii="Arial" w:hAnsi="Arial" w:cs="Arial"/>
          <w:sz w:val="24"/>
          <w:szCs w:val="24"/>
        </w:rPr>
        <w:t>(Accessed: 27 March 2026).</w:t>
      </w:r>
    </w:p>
    <w:p w14:paraId="6F77B2BF" w14:textId="13A2F97E" w:rsidR="00D81071" w:rsidRDefault="00D81071" w:rsidP="009E58ED">
      <w:pPr>
        <w:spacing w:line="360" w:lineRule="auto"/>
        <w:jc w:val="both"/>
        <w:rPr>
          <w:rFonts w:ascii="Arial" w:hAnsi="Arial" w:cs="Arial"/>
          <w:sz w:val="24"/>
          <w:szCs w:val="24"/>
        </w:rPr>
      </w:pPr>
      <w:proofErr w:type="spellStart"/>
      <w:r w:rsidRPr="00D81071">
        <w:rPr>
          <w:rFonts w:ascii="Arial" w:hAnsi="Arial" w:cs="Arial"/>
          <w:sz w:val="24"/>
          <w:szCs w:val="24"/>
        </w:rPr>
        <w:t>Rozkwitalska</w:t>
      </w:r>
      <w:proofErr w:type="spellEnd"/>
      <w:r w:rsidRPr="00D81071">
        <w:rPr>
          <w:rFonts w:ascii="Arial" w:hAnsi="Arial" w:cs="Arial"/>
          <w:sz w:val="24"/>
          <w:szCs w:val="24"/>
        </w:rPr>
        <w:t xml:space="preserve">-Welenc, M., </w:t>
      </w:r>
      <w:proofErr w:type="spellStart"/>
      <w:r w:rsidRPr="00D81071">
        <w:rPr>
          <w:rFonts w:ascii="Arial" w:hAnsi="Arial" w:cs="Arial"/>
          <w:sz w:val="24"/>
          <w:szCs w:val="24"/>
        </w:rPr>
        <w:t>Basinska</w:t>
      </w:r>
      <w:proofErr w:type="spellEnd"/>
      <w:r w:rsidRPr="00D81071">
        <w:rPr>
          <w:rFonts w:ascii="Arial" w:hAnsi="Arial" w:cs="Arial"/>
          <w:sz w:val="24"/>
          <w:szCs w:val="24"/>
        </w:rPr>
        <w:t>, B., and Dettlaff, A. (2024). </w:t>
      </w:r>
      <w:r w:rsidRPr="00D81071">
        <w:rPr>
          <w:rFonts w:ascii="Arial" w:hAnsi="Arial" w:cs="Arial"/>
          <w:i/>
          <w:iCs/>
          <w:sz w:val="24"/>
          <w:szCs w:val="24"/>
        </w:rPr>
        <w:t>Informal Workplace Learning and Employee Development: Growing in the organizational new normal.</w:t>
      </w:r>
      <w:r w:rsidRPr="00D81071">
        <w:rPr>
          <w:rFonts w:ascii="Arial" w:hAnsi="Arial" w:cs="Arial"/>
          <w:sz w:val="24"/>
          <w:szCs w:val="24"/>
        </w:rPr>
        <w:t xml:space="preserve"> Routledge. Available at: </w:t>
      </w:r>
      <w:hyperlink r:id="rId346" w:history="1">
        <w:r w:rsidRPr="007D0B0F">
          <w:rPr>
            <w:rStyle w:val="Hyperlink"/>
            <w:rFonts w:ascii="Arial" w:hAnsi="Arial" w:cs="Arial"/>
            <w:sz w:val="24"/>
            <w:szCs w:val="24"/>
          </w:rPr>
          <w:t>https://www.google.co.uk/books/edition/Informal_Workplace_Learning_and_Employee/mJX7EAAAQBAJ?hl=en&amp;gbpv=1&amp;pg=PA1999&amp;printsec=frontcover</w:t>
        </w:r>
      </w:hyperlink>
      <w:r>
        <w:rPr>
          <w:rFonts w:ascii="Arial" w:hAnsi="Arial" w:cs="Arial"/>
          <w:sz w:val="24"/>
          <w:szCs w:val="24"/>
        </w:rPr>
        <w:t xml:space="preserve"> </w:t>
      </w:r>
      <w:r w:rsidRPr="00D81071">
        <w:rPr>
          <w:rFonts w:ascii="Arial" w:hAnsi="Arial" w:cs="Arial"/>
          <w:sz w:val="24"/>
          <w:szCs w:val="24"/>
        </w:rPr>
        <w:t>(Accessed: 24 March 2026).</w:t>
      </w:r>
    </w:p>
    <w:p w14:paraId="53E1902F" w14:textId="08D49FBD" w:rsidR="00D352E3" w:rsidRDefault="00D352E3" w:rsidP="009E58ED">
      <w:pPr>
        <w:spacing w:line="360" w:lineRule="auto"/>
        <w:jc w:val="both"/>
        <w:rPr>
          <w:rFonts w:ascii="Arial" w:hAnsi="Arial" w:cs="Arial"/>
          <w:sz w:val="24"/>
          <w:szCs w:val="24"/>
        </w:rPr>
      </w:pPr>
      <w:proofErr w:type="spellStart"/>
      <w:r w:rsidRPr="00D352E3">
        <w:rPr>
          <w:rFonts w:ascii="Arial" w:hAnsi="Arial" w:cs="Arial"/>
          <w:sz w:val="24"/>
          <w:szCs w:val="24"/>
        </w:rPr>
        <w:t>Salignac</w:t>
      </w:r>
      <w:proofErr w:type="spellEnd"/>
      <w:r w:rsidRPr="00D352E3">
        <w:rPr>
          <w:rFonts w:ascii="Arial" w:hAnsi="Arial" w:cs="Arial"/>
          <w:sz w:val="24"/>
          <w:szCs w:val="24"/>
        </w:rPr>
        <w:t>, F., Muir, K., and Wong, J. (2016)</w:t>
      </w:r>
      <w:r>
        <w:rPr>
          <w:rFonts w:ascii="Arial" w:hAnsi="Arial" w:cs="Arial"/>
          <w:sz w:val="24"/>
          <w:szCs w:val="24"/>
        </w:rPr>
        <w:t>.</w:t>
      </w:r>
      <w:r w:rsidRPr="00D352E3">
        <w:rPr>
          <w:rFonts w:ascii="Arial" w:hAnsi="Arial" w:cs="Arial"/>
          <w:sz w:val="24"/>
          <w:szCs w:val="24"/>
        </w:rPr>
        <w:t xml:space="preserve"> 'Are you </w:t>
      </w:r>
      <w:proofErr w:type="gramStart"/>
      <w:r w:rsidRPr="00D352E3">
        <w:rPr>
          <w:rFonts w:ascii="Arial" w:hAnsi="Arial" w:cs="Arial"/>
          <w:sz w:val="24"/>
          <w:szCs w:val="24"/>
        </w:rPr>
        <w:t>really Financially</w:t>
      </w:r>
      <w:proofErr w:type="gramEnd"/>
      <w:r w:rsidRPr="00D352E3">
        <w:rPr>
          <w:rFonts w:ascii="Arial" w:hAnsi="Arial" w:cs="Arial"/>
          <w:sz w:val="24"/>
          <w:szCs w:val="24"/>
        </w:rPr>
        <w:t xml:space="preserve"> Excluded if you Choose not to be Included? Insights from Social Exclusion, Resilience and Ecological Systems', Journal of Social Policy, 45(2), pp. 269</w:t>
      </w:r>
      <w:r>
        <w:rPr>
          <w:rFonts w:ascii="Arial" w:hAnsi="Arial" w:cs="Arial"/>
          <w:sz w:val="24"/>
          <w:szCs w:val="24"/>
        </w:rPr>
        <w:t>–</w:t>
      </w:r>
      <w:r w:rsidRPr="00D352E3">
        <w:rPr>
          <w:rFonts w:ascii="Arial" w:hAnsi="Arial" w:cs="Arial"/>
          <w:sz w:val="24"/>
          <w:szCs w:val="24"/>
        </w:rPr>
        <w:t xml:space="preserve">286. Available at: </w:t>
      </w:r>
      <w:hyperlink r:id="rId347" w:history="1">
        <w:r w:rsidRPr="007D0B0F">
          <w:rPr>
            <w:rStyle w:val="Hyperlink"/>
            <w:rFonts w:ascii="Arial" w:hAnsi="Arial" w:cs="Arial"/>
            <w:sz w:val="24"/>
            <w:szCs w:val="24"/>
          </w:rPr>
          <w:t>https://www.proquest.com/docview/1938516395?accountid=130472&amp;parentSessionId=x8Hg8E08b%2B%2F2IGXomfxBsOJ0CRyNStKhh2TcNLgEuBs%3D&amp;pq-origsite=primo&amp;sourcetype=Scholarly%20Journals</w:t>
        </w:r>
      </w:hyperlink>
      <w:r>
        <w:rPr>
          <w:rFonts w:ascii="Arial" w:hAnsi="Arial" w:cs="Arial"/>
          <w:sz w:val="24"/>
          <w:szCs w:val="24"/>
        </w:rPr>
        <w:t xml:space="preserve"> </w:t>
      </w:r>
      <w:r w:rsidRPr="00D352E3">
        <w:rPr>
          <w:rFonts w:ascii="Arial" w:hAnsi="Arial" w:cs="Arial"/>
          <w:sz w:val="24"/>
          <w:szCs w:val="24"/>
        </w:rPr>
        <w:t>(Accessed: 27 March 2026).</w:t>
      </w:r>
    </w:p>
    <w:p w14:paraId="769E451E" w14:textId="489C28D5" w:rsidR="0096454C" w:rsidRDefault="0096454C" w:rsidP="009E58ED">
      <w:pPr>
        <w:spacing w:line="360" w:lineRule="auto"/>
        <w:jc w:val="both"/>
        <w:rPr>
          <w:rFonts w:ascii="Arial" w:hAnsi="Arial" w:cs="Arial"/>
          <w:sz w:val="24"/>
          <w:szCs w:val="24"/>
        </w:rPr>
      </w:pPr>
      <w:r w:rsidRPr="0096454C">
        <w:rPr>
          <w:rFonts w:ascii="Arial" w:hAnsi="Arial" w:cs="Arial"/>
          <w:sz w:val="24"/>
          <w:szCs w:val="24"/>
        </w:rPr>
        <w:t>Samuels, P. (2016)</w:t>
      </w:r>
      <w:r w:rsidR="001B33FE">
        <w:rPr>
          <w:rFonts w:ascii="Arial" w:hAnsi="Arial" w:cs="Arial"/>
          <w:sz w:val="24"/>
          <w:szCs w:val="24"/>
        </w:rPr>
        <w:t>.</w:t>
      </w:r>
      <w:r w:rsidRPr="0096454C">
        <w:rPr>
          <w:rFonts w:ascii="Arial" w:hAnsi="Arial" w:cs="Arial"/>
          <w:sz w:val="24"/>
          <w:szCs w:val="24"/>
        </w:rPr>
        <w:t xml:space="preserve"> 'How to Write a Literature Review', </w:t>
      </w:r>
      <w:r w:rsidRPr="0096454C">
        <w:rPr>
          <w:rFonts w:ascii="Arial" w:hAnsi="Arial" w:cs="Arial"/>
          <w:i/>
          <w:iCs/>
          <w:sz w:val="24"/>
          <w:szCs w:val="24"/>
        </w:rPr>
        <w:t>Education</w:t>
      </w:r>
      <w:r w:rsidRPr="0096454C">
        <w:rPr>
          <w:rFonts w:ascii="Arial" w:hAnsi="Arial" w:cs="Arial"/>
          <w:sz w:val="24"/>
          <w:szCs w:val="24"/>
        </w:rPr>
        <w:t xml:space="preserve">, Available at: </w:t>
      </w:r>
      <w:hyperlink r:id="rId348" w:anchor="citing-papers" w:history="1">
        <w:r w:rsidRPr="00D94FAA">
          <w:rPr>
            <w:rStyle w:val="Hyperlink"/>
            <w:rFonts w:ascii="Arial" w:hAnsi="Arial" w:cs="Arial"/>
            <w:sz w:val="24"/>
            <w:szCs w:val="24"/>
          </w:rPr>
          <w:t>https://www.semanticscholar.org/paper/How-to-Write-a-Literature-Review-</w:t>
        </w:r>
        <w:r w:rsidRPr="00D94FAA">
          <w:rPr>
            <w:rStyle w:val="Hyperlink"/>
            <w:rFonts w:ascii="Arial" w:hAnsi="Arial" w:cs="Arial"/>
            <w:sz w:val="24"/>
            <w:szCs w:val="24"/>
          </w:rPr>
          <w:lastRenderedPageBreak/>
          <w:t>Samuels/ec689edae8bd38a6fe50404492ce8ed0adc8fa73#citing-papers</w:t>
        </w:r>
      </w:hyperlink>
      <w:r>
        <w:rPr>
          <w:rFonts w:ascii="Arial" w:hAnsi="Arial" w:cs="Arial"/>
          <w:sz w:val="24"/>
          <w:szCs w:val="24"/>
        </w:rPr>
        <w:t xml:space="preserve"> </w:t>
      </w:r>
      <w:r w:rsidRPr="0096454C">
        <w:rPr>
          <w:rFonts w:ascii="Arial" w:hAnsi="Arial" w:cs="Arial"/>
          <w:sz w:val="24"/>
          <w:szCs w:val="24"/>
        </w:rPr>
        <w:t>(Accessed: 24 February 2026).</w:t>
      </w:r>
    </w:p>
    <w:p w14:paraId="105EBD19" w14:textId="6BABE762" w:rsidR="00975C9C" w:rsidRDefault="00975C9C" w:rsidP="009E58ED">
      <w:pPr>
        <w:spacing w:line="360" w:lineRule="auto"/>
        <w:jc w:val="both"/>
        <w:rPr>
          <w:rFonts w:ascii="Arial" w:hAnsi="Arial" w:cs="Arial"/>
          <w:sz w:val="24"/>
          <w:szCs w:val="24"/>
        </w:rPr>
      </w:pPr>
      <w:r w:rsidRPr="00975C9C">
        <w:rPr>
          <w:rFonts w:ascii="Arial" w:hAnsi="Arial" w:cs="Arial"/>
          <w:sz w:val="24"/>
          <w:szCs w:val="24"/>
        </w:rPr>
        <w:t>Sardar, Z. (2008)</w:t>
      </w:r>
      <w:r w:rsidR="001B33FE">
        <w:rPr>
          <w:rFonts w:ascii="Arial" w:hAnsi="Arial" w:cs="Arial"/>
          <w:sz w:val="24"/>
          <w:szCs w:val="24"/>
        </w:rPr>
        <w:t>.</w:t>
      </w:r>
      <w:r w:rsidRPr="00975C9C">
        <w:rPr>
          <w:rFonts w:ascii="Arial" w:hAnsi="Arial" w:cs="Arial"/>
          <w:sz w:val="24"/>
          <w:szCs w:val="24"/>
        </w:rPr>
        <w:t xml:space="preserve"> 'I think it would be good if certain things were said: Fanon and the epidemiology of oppression', in F. Fanon (Online ed.), </w:t>
      </w:r>
      <w:r w:rsidRPr="00975C9C">
        <w:rPr>
          <w:rFonts w:ascii="Arial" w:hAnsi="Arial" w:cs="Arial"/>
          <w:i/>
          <w:iCs/>
          <w:sz w:val="24"/>
          <w:szCs w:val="24"/>
        </w:rPr>
        <w:t>Black Skin White Mask.</w:t>
      </w:r>
      <w:r w:rsidRPr="00975C9C">
        <w:rPr>
          <w:rFonts w:ascii="Arial" w:hAnsi="Arial" w:cs="Arial"/>
          <w:sz w:val="24"/>
          <w:szCs w:val="24"/>
        </w:rPr>
        <w:t> Pluto Press, pp. 1</w:t>
      </w:r>
      <w:r w:rsidR="001B33FE">
        <w:rPr>
          <w:rFonts w:ascii="Arial" w:hAnsi="Arial" w:cs="Arial"/>
          <w:sz w:val="24"/>
          <w:szCs w:val="24"/>
        </w:rPr>
        <w:t>–</w:t>
      </w:r>
      <w:r w:rsidRPr="00975C9C">
        <w:rPr>
          <w:rFonts w:ascii="Arial" w:hAnsi="Arial" w:cs="Arial"/>
          <w:sz w:val="24"/>
          <w:szCs w:val="24"/>
        </w:rPr>
        <w:t>225.</w:t>
      </w:r>
      <w:r w:rsidRPr="00975C9C">
        <w:rPr>
          <w:rFonts w:ascii="Arial" w:hAnsi="Arial" w:cs="Arial"/>
          <w:i/>
          <w:iCs/>
          <w:sz w:val="24"/>
          <w:szCs w:val="24"/>
        </w:rPr>
        <w:t> </w:t>
      </w:r>
      <w:r w:rsidRPr="00975C9C">
        <w:rPr>
          <w:rFonts w:ascii="Arial" w:hAnsi="Arial" w:cs="Arial"/>
          <w:sz w:val="24"/>
          <w:szCs w:val="24"/>
        </w:rPr>
        <w:t xml:space="preserve">Available at: </w:t>
      </w:r>
      <w:hyperlink r:id="rId349" w:history="1">
        <w:r w:rsidRPr="007D0B0F">
          <w:rPr>
            <w:rStyle w:val="Hyperlink"/>
            <w:rFonts w:ascii="Arial" w:hAnsi="Arial" w:cs="Arial"/>
            <w:sz w:val="24"/>
            <w:szCs w:val="24"/>
          </w:rPr>
          <w:t>https://files.libcom.org/files/%5BFrantz_Fanon%5D_Black_Skin,_White_Masks_(Pluto_Clas(BookZZ.org).pdf</w:t>
        </w:r>
      </w:hyperlink>
      <w:r>
        <w:rPr>
          <w:rFonts w:ascii="Arial" w:hAnsi="Arial" w:cs="Arial"/>
          <w:sz w:val="24"/>
          <w:szCs w:val="24"/>
        </w:rPr>
        <w:t xml:space="preserve"> </w:t>
      </w:r>
      <w:r w:rsidRPr="00975C9C">
        <w:rPr>
          <w:rFonts w:ascii="Arial" w:hAnsi="Arial" w:cs="Arial"/>
          <w:sz w:val="24"/>
          <w:szCs w:val="24"/>
        </w:rPr>
        <w:t>(Accessed: 23 March 2026).</w:t>
      </w:r>
    </w:p>
    <w:p w14:paraId="6F5FC088" w14:textId="760CADE2" w:rsidR="00DD4CC0" w:rsidRPr="00DD4CC0" w:rsidRDefault="00DD4CC0" w:rsidP="00DD4CC0">
      <w:pPr>
        <w:spacing w:line="360" w:lineRule="auto"/>
        <w:jc w:val="both"/>
        <w:rPr>
          <w:rFonts w:ascii="Arial" w:hAnsi="Arial" w:cs="Arial"/>
          <w:sz w:val="24"/>
          <w:szCs w:val="24"/>
        </w:rPr>
      </w:pPr>
      <w:r w:rsidRPr="00DD4CC0">
        <w:rPr>
          <w:rFonts w:ascii="Arial" w:hAnsi="Arial" w:cs="Arial"/>
          <w:sz w:val="24"/>
          <w:szCs w:val="24"/>
        </w:rPr>
        <w:t>Saunders, M. (2022). Research Methods for Business Students</w:t>
      </w:r>
      <w:r>
        <w:rPr>
          <w:rFonts w:ascii="Arial" w:hAnsi="Arial" w:cs="Arial"/>
          <w:sz w:val="24"/>
          <w:szCs w:val="24"/>
        </w:rPr>
        <w:t>,</w:t>
      </w:r>
      <w:r w:rsidRPr="00DD4CC0">
        <w:rPr>
          <w:rFonts w:ascii="Arial" w:hAnsi="Arial" w:cs="Arial"/>
          <w:sz w:val="24"/>
          <w:szCs w:val="24"/>
        </w:rPr>
        <w:t xml:space="preserve"> Ninth Edition</w:t>
      </w:r>
      <w:r>
        <w:rPr>
          <w:rFonts w:ascii="Arial" w:hAnsi="Arial" w:cs="Arial"/>
          <w:sz w:val="24"/>
          <w:szCs w:val="24"/>
        </w:rPr>
        <w:t>,</w:t>
      </w:r>
      <w:r w:rsidRPr="00DD4CC0">
        <w:rPr>
          <w:rFonts w:ascii="Arial" w:hAnsi="Arial" w:cs="Arial"/>
          <w:sz w:val="24"/>
          <w:szCs w:val="24"/>
        </w:rPr>
        <w:t xml:space="preserve"> 2023.</w:t>
      </w:r>
    </w:p>
    <w:p w14:paraId="6F32C0E9" w14:textId="5F77A77E" w:rsidR="00DD4CC0" w:rsidRDefault="00DD4CC0" w:rsidP="00DD4CC0">
      <w:pPr>
        <w:spacing w:line="360" w:lineRule="auto"/>
        <w:jc w:val="both"/>
        <w:rPr>
          <w:rFonts w:ascii="Arial" w:hAnsi="Arial" w:cs="Arial"/>
          <w:sz w:val="24"/>
          <w:szCs w:val="24"/>
        </w:rPr>
      </w:pPr>
      <w:r w:rsidRPr="00DD4CC0">
        <w:rPr>
          <w:rFonts w:ascii="Arial" w:hAnsi="Arial" w:cs="Arial"/>
          <w:sz w:val="24"/>
          <w:szCs w:val="24"/>
        </w:rPr>
        <w:t>Saunders, M., Lewis, P., Thornhill, A. (2023)</w:t>
      </w:r>
      <w:r>
        <w:rPr>
          <w:rFonts w:ascii="Arial" w:hAnsi="Arial" w:cs="Arial"/>
          <w:sz w:val="24"/>
          <w:szCs w:val="24"/>
        </w:rPr>
        <w:t>.</w:t>
      </w:r>
      <w:r w:rsidRPr="00DD4CC0">
        <w:rPr>
          <w:rFonts w:ascii="Arial" w:hAnsi="Arial" w:cs="Arial"/>
          <w:sz w:val="24"/>
          <w:szCs w:val="24"/>
        </w:rPr>
        <w:t xml:space="preserve"> Research Methods for Business Students</w:t>
      </w:r>
      <w:r>
        <w:rPr>
          <w:rFonts w:ascii="Arial" w:hAnsi="Arial" w:cs="Arial"/>
          <w:sz w:val="24"/>
          <w:szCs w:val="24"/>
        </w:rPr>
        <w:t>,</w:t>
      </w:r>
      <w:r w:rsidRPr="00DD4CC0">
        <w:rPr>
          <w:rFonts w:ascii="Arial" w:hAnsi="Arial" w:cs="Arial"/>
          <w:sz w:val="24"/>
          <w:szCs w:val="24"/>
        </w:rPr>
        <w:t xml:space="preserve"> Ninth Edition. Pearson. Available at: </w:t>
      </w:r>
      <w:hyperlink r:id="rId350" w:history="1">
        <w:r w:rsidRPr="005C7CBD">
          <w:rPr>
            <w:rStyle w:val="Hyperlink"/>
            <w:rFonts w:ascii="Arial" w:hAnsi="Arial" w:cs="Arial"/>
            <w:sz w:val="24"/>
            <w:szCs w:val="24"/>
          </w:rPr>
          <w:t>https://moodle.uwtsd.ac.uk/pluginfile.php/1157902/mod_resource/content/1/2023RMBChapter4andPreface.pdf</w:t>
        </w:r>
      </w:hyperlink>
      <w:r>
        <w:rPr>
          <w:rFonts w:ascii="Arial" w:hAnsi="Arial" w:cs="Arial"/>
          <w:sz w:val="24"/>
          <w:szCs w:val="24"/>
        </w:rPr>
        <w:t xml:space="preserve"> </w:t>
      </w:r>
      <w:r w:rsidRPr="00DD4CC0">
        <w:rPr>
          <w:rFonts w:ascii="Arial" w:hAnsi="Arial" w:cs="Arial"/>
          <w:sz w:val="24"/>
          <w:szCs w:val="24"/>
        </w:rPr>
        <w:t>(Accessed: 19 February 2026).</w:t>
      </w:r>
    </w:p>
    <w:p w14:paraId="299B123C" w14:textId="7B1FFF88" w:rsidR="000D7BBB" w:rsidRDefault="0050263F" w:rsidP="009E58ED">
      <w:pPr>
        <w:spacing w:line="360" w:lineRule="auto"/>
        <w:jc w:val="both"/>
        <w:rPr>
          <w:rFonts w:ascii="Arial" w:hAnsi="Arial" w:cs="Arial"/>
          <w:sz w:val="24"/>
          <w:szCs w:val="24"/>
        </w:rPr>
      </w:pPr>
      <w:r w:rsidRPr="0050263F">
        <w:rPr>
          <w:rFonts w:ascii="Arial" w:hAnsi="Arial" w:cs="Arial"/>
          <w:sz w:val="24"/>
          <w:szCs w:val="24"/>
        </w:rPr>
        <w:t>Saunders, M., Rojon, C. (2011)</w:t>
      </w:r>
      <w:r w:rsidR="001B33FE">
        <w:rPr>
          <w:rFonts w:ascii="Arial" w:hAnsi="Arial" w:cs="Arial"/>
          <w:sz w:val="24"/>
          <w:szCs w:val="24"/>
        </w:rPr>
        <w:t>.</w:t>
      </w:r>
      <w:r w:rsidRPr="0050263F">
        <w:rPr>
          <w:rFonts w:ascii="Arial" w:hAnsi="Arial" w:cs="Arial"/>
          <w:sz w:val="24"/>
          <w:szCs w:val="24"/>
        </w:rPr>
        <w:t xml:space="preserve"> 'On the attributes of a critical literature review', Coaching: An International Journal of Theory, Research and Practice, 2, pp.156</w:t>
      </w:r>
      <w:r w:rsidR="001B33FE">
        <w:rPr>
          <w:rFonts w:ascii="Arial" w:hAnsi="Arial" w:cs="Arial"/>
          <w:sz w:val="24"/>
          <w:szCs w:val="24"/>
        </w:rPr>
        <w:t>–</w:t>
      </w:r>
      <w:r w:rsidRPr="0050263F">
        <w:rPr>
          <w:rFonts w:ascii="Arial" w:hAnsi="Arial" w:cs="Arial"/>
          <w:sz w:val="24"/>
          <w:szCs w:val="24"/>
        </w:rPr>
        <w:t xml:space="preserve">162. Available at: </w:t>
      </w:r>
      <w:hyperlink r:id="rId351" w:anchor="d1e298" w:history="1">
        <w:r w:rsidRPr="00960FF4">
          <w:rPr>
            <w:rStyle w:val="Hyperlink"/>
            <w:rFonts w:ascii="Arial" w:hAnsi="Arial" w:cs="Arial"/>
            <w:sz w:val="24"/>
            <w:szCs w:val="24"/>
          </w:rPr>
          <w:t>https://www.tandfonline.com/doi/full/10.1080/17521882.2011.596485?scroll=top&amp;needAccess=true#d1e298</w:t>
        </w:r>
      </w:hyperlink>
      <w:r>
        <w:rPr>
          <w:rFonts w:ascii="Arial" w:hAnsi="Arial" w:cs="Arial"/>
          <w:sz w:val="24"/>
          <w:szCs w:val="24"/>
        </w:rPr>
        <w:t xml:space="preserve"> </w:t>
      </w:r>
      <w:r w:rsidRPr="0050263F">
        <w:rPr>
          <w:rFonts w:ascii="Arial" w:hAnsi="Arial" w:cs="Arial"/>
          <w:sz w:val="24"/>
          <w:szCs w:val="24"/>
        </w:rPr>
        <w:t>(Accessed: 23 February 2026).</w:t>
      </w:r>
    </w:p>
    <w:p w14:paraId="5ECEB3D2" w14:textId="2202EC9E" w:rsidR="009A092C" w:rsidRDefault="009A092C" w:rsidP="009E58ED">
      <w:pPr>
        <w:spacing w:line="360" w:lineRule="auto"/>
        <w:jc w:val="both"/>
        <w:rPr>
          <w:rFonts w:ascii="Arial" w:hAnsi="Arial" w:cs="Arial"/>
          <w:sz w:val="24"/>
          <w:szCs w:val="24"/>
        </w:rPr>
      </w:pPr>
      <w:r w:rsidRPr="009A092C">
        <w:rPr>
          <w:rFonts w:ascii="Arial" w:hAnsi="Arial" w:cs="Arial"/>
          <w:sz w:val="24"/>
          <w:szCs w:val="24"/>
        </w:rPr>
        <w:t>Scandura, T. (1992)</w:t>
      </w:r>
      <w:r w:rsidR="001B33FE">
        <w:rPr>
          <w:rFonts w:ascii="Arial" w:hAnsi="Arial" w:cs="Arial"/>
          <w:sz w:val="24"/>
          <w:szCs w:val="24"/>
        </w:rPr>
        <w:t>.</w:t>
      </w:r>
      <w:r w:rsidRPr="009A092C">
        <w:rPr>
          <w:rFonts w:ascii="Arial" w:hAnsi="Arial" w:cs="Arial"/>
          <w:sz w:val="24"/>
          <w:szCs w:val="24"/>
        </w:rPr>
        <w:t xml:space="preserve"> 'Mentorship and Career Mobility: An Empirical Investigation', </w:t>
      </w:r>
      <w:r w:rsidRPr="009A092C">
        <w:rPr>
          <w:rFonts w:ascii="Arial" w:hAnsi="Arial" w:cs="Arial"/>
          <w:i/>
          <w:iCs/>
          <w:sz w:val="24"/>
          <w:szCs w:val="24"/>
        </w:rPr>
        <w:t xml:space="preserve">Journal of Organizational </w:t>
      </w:r>
      <w:proofErr w:type="spellStart"/>
      <w:r w:rsidRPr="009A092C">
        <w:rPr>
          <w:rFonts w:ascii="Arial" w:hAnsi="Arial" w:cs="Arial"/>
          <w:i/>
          <w:iCs/>
          <w:sz w:val="24"/>
          <w:szCs w:val="24"/>
        </w:rPr>
        <w:t>Behavior</w:t>
      </w:r>
      <w:proofErr w:type="spellEnd"/>
      <w:r w:rsidRPr="009A092C">
        <w:rPr>
          <w:rFonts w:ascii="Arial" w:hAnsi="Arial" w:cs="Arial"/>
          <w:sz w:val="24"/>
          <w:szCs w:val="24"/>
        </w:rPr>
        <w:t>, 13(2), pp. 169</w:t>
      </w:r>
      <w:r w:rsidR="001B33FE">
        <w:rPr>
          <w:rFonts w:ascii="Arial" w:hAnsi="Arial" w:cs="Arial"/>
          <w:sz w:val="24"/>
          <w:szCs w:val="24"/>
        </w:rPr>
        <w:t>–</w:t>
      </w:r>
      <w:r w:rsidRPr="009A092C">
        <w:rPr>
          <w:rFonts w:ascii="Arial" w:hAnsi="Arial" w:cs="Arial"/>
          <w:sz w:val="24"/>
          <w:szCs w:val="24"/>
        </w:rPr>
        <w:t xml:space="preserve">174. Available at: </w:t>
      </w:r>
      <w:hyperlink r:id="rId352" w:history="1">
        <w:r w:rsidRPr="00FB3832">
          <w:rPr>
            <w:rStyle w:val="Hyperlink"/>
            <w:rFonts w:ascii="Arial" w:hAnsi="Arial" w:cs="Arial"/>
            <w:sz w:val="24"/>
            <w:szCs w:val="24"/>
          </w:rPr>
          <w:t>https://www-jstor-org.uwtsd.idm.oclc.org/stable/2488180?sid=primo&amp;seq=1</w:t>
        </w:r>
      </w:hyperlink>
      <w:r>
        <w:rPr>
          <w:rFonts w:ascii="Arial" w:hAnsi="Arial" w:cs="Arial"/>
          <w:sz w:val="24"/>
          <w:szCs w:val="24"/>
        </w:rPr>
        <w:t xml:space="preserve"> </w:t>
      </w:r>
      <w:r w:rsidRPr="009A092C">
        <w:rPr>
          <w:rFonts w:ascii="Arial" w:hAnsi="Arial" w:cs="Arial"/>
          <w:sz w:val="24"/>
          <w:szCs w:val="24"/>
        </w:rPr>
        <w:t>(Accessed: 21 March 2026).</w:t>
      </w:r>
    </w:p>
    <w:p w14:paraId="3E080EE0" w14:textId="777B4636" w:rsidR="009B1076" w:rsidRDefault="009B1076" w:rsidP="009E58ED">
      <w:pPr>
        <w:spacing w:line="360" w:lineRule="auto"/>
        <w:jc w:val="both"/>
        <w:rPr>
          <w:rFonts w:ascii="Arial" w:hAnsi="Arial" w:cs="Arial"/>
          <w:sz w:val="24"/>
          <w:szCs w:val="24"/>
        </w:rPr>
      </w:pPr>
      <w:r w:rsidRPr="009B1076">
        <w:rPr>
          <w:rFonts w:ascii="Arial" w:hAnsi="Arial" w:cs="Arial"/>
          <w:sz w:val="24"/>
          <w:szCs w:val="24"/>
        </w:rPr>
        <w:t>Scerri, M., Presbury, R., and Goh, E. (2020)</w:t>
      </w:r>
      <w:r>
        <w:rPr>
          <w:rFonts w:ascii="Arial" w:hAnsi="Arial" w:cs="Arial"/>
          <w:sz w:val="24"/>
          <w:szCs w:val="24"/>
        </w:rPr>
        <w:t>.</w:t>
      </w:r>
      <w:r w:rsidRPr="009B1076">
        <w:rPr>
          <w:rFonts w:ascii="Arial" w:hAnsi="Arial" w:cs="Arial"/>
          <w:sz w:val="24"/>
          <w:szCs w:val="24"/>
        </w:rPr>
        <w:t xml:space="preserve"> 'An application of the mentoring framework to investigate the effectiveness of mentoring programs between industry mentors and student mentees in hospitality', Journal of Hospitality and Tourism Management, 45, pp. 143</w:t>
      </w:r>
      <w:r w:rsidR="001B33FE">
        <w:rPr>
          <w:rFonts w:ascii="Arial" w:hAnsi="Arial" w:cs="Arial"/>
          <w:sz w:val="24"/>
          <w:szCs w:val="24"/>
        </w:rPr>
        <w:t>–</w:t>
      </w:r>
      <w:r w:rsidRPr="009B1076">
        <w:rPr>
          <w:rFonts w:ascii="Arial" w:hAnsi="Arial" w:cs="Arial"/>
          <w:sz w:val="24"/>
          <w:szCs w:val="24"/>
        </w:rPr>
        <w:t xml:space="preserve">151. Available at: </w:t>
      </w:r>
      <w:hyperlink r:id="rId353" w:history="1">
        <w:r w:rsidRPr="007D0B0F">
          <w:rPr>
            <w:rStyle w:val="Hyperlink"/>
            <w:rFonts w:ascii="Arial" w:hAnsi="Arial" w:cs="Arial"/>
            <w:sz w:val="24"/>
            <w:szCs w:val="24"/>
          </w:rPr>
          <w:t>https://www.sciencedirect.com/science/article/pii/S1447677020301972</w:t>
        </w:r>
      </w:hyperlink>
      <w:r>
        <w:rPr>
          <w:rFonts w:ascii="Arial" w:hAnsi="Arial" w:cs="Arial"/>
          <w:sz w:val="24"/>
          <w:szCs w:val="24"/>
        </w:rPr>
        <w:t xml:space="preserve"> </w:t>
      </w:r>
      <w:r w:rsidRPr="009B1076">
        <w:rPr>
          <w:rFonts w:ascii="Arial" w:hAnsi="Arial" w:cs="Arial"/>
          <w:sz w:val="24"/>
          <w:szCs w:val="24"/>
        </w:rPr>
        <w:t>(Accessed: 24 March 2026).</w:t>
      </w:r>
    </w:p>
    <w:p w14:paraId="3161641F" w14:textId="49175283" w:rsidR="00D854C8" w:rsidRDefault="00D854C8" w:rsidP="009E58ED">
      <w:pPr>
        <w:spacing w:line="360" w:lineRule="auto"/>
        <w:jc w:val="both"/>
        <w:rPr>
          <w:rFonts w:ascii="Arial" w:hAnsi="Arial" w:cs="Arial"/>
          <w:sz w:val="24"/>
          <w:szCs w:val="24"/>
        </w:rPr>
      </w:pPr>
      <w:r w:rsidRPr="00D854C8">
        <w:rPr>
          <w:rFonts w:ascii="Arial" w:hAnsi="Arial" w:cs="Arial"/>
          <w:sz w:val="24"/>
          <w:szCs w:val="24"/>
        </w:rPr>
        <w:lastRenderedPageBreak/>
        <w:t>Schirmer, B. (2018)</w:t>
      </w:r>
      <w:r w:rsidR="001B33FE">
        <w:rPr>
          <w:rFonts w:ascii="Arial" w:hAnsi="Arial" w:cs="Arial"/>
          <w:sz w:val="24"/>
          <w:szCs w:val="24"/>
        </w:rPr>
        <w:t>.</w:t>
      </w:r>
      <w:r w:rsidRPr="00D854C8">
        <w:rPr>
          <w:rFonts w:ascii="Arial" w:hAnsi="Arial" w:cs="Arial"/>
          <w:sz w:val="24"/>
          <w:szCs w:val="24"/>
        </w:rPr>
        <w:t xml:space="preserve"> 'Framework for Conducting and Writing a Synthetic Literature Review', </w:t>
      </w:r>
      <w:r w:rsidRPr="00D854C8">
        <w:rPr>
          <w:rFonts w:ascii="Arial" w:hAnsi="Arial" w:cs="Arial"/>
          <w:i/>
          <w:iCs/>
          <w:sz w:val="24"/>
          <w:szCs w:val="24"/>
        </w:rPr>
        <w:t>International Journal of Education</w:t>
      </w:r>
      <w:r w:rsidRPr="00D854C8">
        <w:rPr>
          <w:rFonts w:ascii="Arial" w:hAnsi="Arial" w:cs="Arial"/>
          <w:sz w:val="24"/>
          <w:szCs w:val="24"/>
        </w:rPr>
        <w:t>, 10 (1), pp. 94</w:t>
      </w:r>
      <w:r w:rsidR="001B33FE">
        <w:rPr>
          <w:rFonts w:ascii="Arial" w:hAnsi="Arial" w:cs="Arial"/>
          <w:sz w:val="24"/>
          <w:szCs w:val="24"/>
        </w:rPr>
        <w:t>–</w:t>
      </w:r>
      <w:r w:rsidRPr="00D854C8">
        <w:rPr>
          <w:rFonts w:ascii="Arial" w:hAnsi="Arial" w:cs="Arial"/>
          <w:sz w:val="24"/>
          <w:szCs w:val="24"/>
        </w:rPr>
        <w:t xml:space="preserve">105. Available at: </w:t>
      </w:r>
      <w:hyperlink r:id="rId354" w:history="1">
        <w:r w:rsidR="00245C1E" w:rsidRPr="001228C1">
          <w:rPr>
            <w:rStyle w:val="Hyperlink"/>
            <w:rFonts w:ascii="Arial" w:hAnsi="Arial" w:cs="Arial"/>
            <w:sz w:val="24"/>
            <w:szCs w:val="24"/>
          </w:rPr>
          <w:t>https://www.macrothink.org/journal/index.php/ije/article/view/12799/10231</w:t>
        </w:r>
      </w:hyperlink>
      <w:r w:rsidR="00245C1E">
        <w:rPr>
          <w:rFonts w:ascii="Arial" w:hAnsi="Arial" w:cs="Arial"/>
          <w:sz w:val="24"/>
          <w:szCs w:val="24"/>
        </w:rPr>
        <w:t xml:space="preserve"> </w:t>
      </w:r>
      <w:r w:rsidRPr="00D854C8">
        <w:rPr>
          <w:rFonts w:ascii="Arial" w:hAnsi="Arial" w:cs="Arial"/>
          <w:sz w:val="24"/>
          <w:szCs w:val="24"/>
        </w:rPr>
        <w:t>(Accessed: 10 March 2026).</w:t>
      </w:r>
    </w:p>
    <w:p w14:paraId="1FA07C99" w14:textId="39E31E86" w:rsidR="00245082" w:rsidRDefault="00245082" w:rsidP="009E58ED">
      <w:pPr>
        <w:spacing w:line="360" w:lineRule="auto"/>
        <w:jc w:val="both"/>
        <w:rPr>
          <w:rFonts w:ascii="Arial" w:hAnsi="Arial" w:cs="Arial"/>
          <w:sz w:val="24"/>
          <w:szCs w:val="24"/>
        </w:rPr>
      </w:pPr>
      <w:r w:rsidRPr="00245082">
        <w:rPr>
          <w:rFonts w:ascii="Arial" w:hAnsi="Arial" w:cs="Arial"/>
          <w:sz w:val="24"/>
          <w:szCs w:val="24"/>
        </w:rPr>
        <w:t>Schmader, T., Johns, M. (2003). 'Converging Evidence That Stereotype Threat Reduces</w:t>
      </w:r>
      <w:r w:rsidRPr="00245082">
        <w:rPr>
          <w:rFonts w:ascii="Arial" w:hAnsi="Arial" w:cs="Arial"/>
          <w:sz w:val="24"/>
          <w:szCs w:val="24"/>
        </w:rPr>
        <w:br/>
        <w:t>Working Memory Capacity</w:t>
      </w:r>
      <w:r w:rsidR="00A7173A">
        <w:rPr>
          <w:rFonts w:ascii="Arial" w:hAnsi="Arial" w:cs="Arial"/>
          <w:sz w:val="24"/>
          <w:szCs w:val="24"/>
        </w:rPr>
        <w:t>’</w:t>
      </w:r>
      <w:r w:rsidRPr="00245082">
        <w:rPr>
          <w:rFonts w:ascii="Arial" w:hAnsi="Arial" w:cs="Arial"/>
          <w:sz w:val="24"/>
          <w:szCs w:val="24"/>
        </w:rPr>
        <w:t>, </w:t>
      </w:r>
      <w:r w:rsidRPr="00245082">
        <w:rPr>
          <w:rFonts w:ascii="Arial" w:hAnsi="Arial" w:cs="Arial"/>
          <w:i/>
          <w:iCs/>
          <w:sz w:val="24"/>
          <w:szCs w:val="24"/>
        </w:rPr>
        <w:t>Journal of Personality and Social Psychology</w:t>
      </w:r>
      <w:r w:rsidRPr="00245082">
        <w:rPr>
          <w:rFonts w:ascii="Arial" w:hAnsi="Arial" w:cs="Arial"/>
          <w:sz w:val="24"/>
          <w:szCs w:val="24"/>
        </w:rPr>
        <w:t xml:space="preserve">, 85(3), pp. 440-452. Available at: </w:t>
      </w:r>
      <w:hyperlink r:id="rId355" w:history="1">
        <w:r w:rsidRPr="00FB3832">
          <w:rPr>
            <w:rStyle w:val="Hyperlink"/>
            <w:rFonts w:ascii="Arial" w:hAnsi="Arial" w:cs="Arial"/>
            <w:sz w:val="24"/>
            <w:szCs w:val="24"/>
          </w:rPr>
          <w:t>https://www.researchgate.net/profile/Toni-Schmader/publication/9089312_Converging_Evidence_That_Stereotype_Threat_Reduces_Working_Memory_Capacity/links/09e41509bc6460a987000000/Converging-Evidence-That-Stereotype-Threat-Reduces-Working-Memory-Capacity.pdf</w:t>
        </w:r>
      </w:hyperlink>
      <w:r>
        <w:rPr>
          <w:rFonts w:ascii="Arial" w:hAnsi="Arial" w:cs="Arial"/>
          <w:sz w:val="24"/>
          <w:szCs w:val="24"/>
        </w:rPr>
        <w:t xml:space="preserve"> </w:t>
      </w:r>
      <w:r w:rsidRPr="00245082">
        <w:rPr>
          <w:rFonts w:ascii="Arial" w:hAnsi="Arial" w:cs="Arial"/>
          <w:sz w:val="24"/>
          <w:szCs w:val="24"/>
        </w:rPr>
        <w:t>(Accessed: 19 March 2026).</w:t>
      </w:r>
    </w:p>
    <w:p w14:paraId="180913E3" w14:textId="1EB66946" w:rsidR="00F9040A" w:rsidRDefault="00F9040A" w:rsidP="009E58ED">
      <w:pPr>
        <w:spacing w:line="360" w:lineRule="auto"/>
        <w:jc w:val="both"/>
        <w:rPr>
          <w:rFonts w:ascii="Arial" w:hAnsi="Arial" w:cs="Arial"/>
          <w:sz w:val="24"/>
          <w:szCs w:val="24"/>
        </w:rPr>
      </w:pPr>
      <w:r w:rsidRPr="00F9040A">
        <w:rPr>
          <w:rFonts w:ascii="Arial" w:hAnsi="Arial" w:cs="Arial"/>
          <w:sz w:val="24"/>
          <w:szCs w:val="24"/>
        </w:rPr>
        <w:t>Schofield, P., Kordowicz, M., Pennycooke, E., and Armstrong, D. (2019)</w:t>
      </w:r>
      <w:r>
        <w:rPr>
          <w:rFonts w:ascii="Arial" w:hAnsi="Arial" w:cs="Arial"/>
          <w:sz w:val="24"/>
          <w:szCs w:val="24"/>
        </w:rPr>
        <w:t>.</w:t>
      </w:r>
      <w:r w:rsidRPr="00F9040A">
        <w:rPr>
          <w:rFonts w:ascii="Arial" w:hAnsi="Arial" w:cs="Arial"/>
          <w:sz w:val="24"/>
          <w:szCs w:val="24"/>
        </w:rPr>
        <w:t xml:space="preserve"> 'Ethnic differences in psychosis—Lay epidemiology explanations', Health Expectations, 22(5), pp. 965</w:t>
      </w:r>
      <w:r>
        <w:rPr>
          <w:rFonts w:ascii="Arial" w:hAnsi="Arial" w:cs="Arial"/>
          <w:sz w:val="24"/>
          <w:szCs w:val="24"/>
        </w:rPr>
        <w:t>–</w:t>
      </w:r>
      <w:r w:rsidRPr="00F9040A">
        <w:rPr>
          <w:rFonts w:ascii="Arial" w:hAnsi="Arial" w:cs="Arial"/>
          <w:sz w:val="24"/>
          <w:szCs w:val="24"/>
        </w:rPr>
        <w:t xml:space="preserve">973. Available at: </w:t>
      </w:r>
      <w:hyperlink r:id="rId356" w:history="1">
        <w:r w:rsidRPr="007D0B0F">
          <w:rPr>
            <w:rStyle w:val="Hyperlink"/>
            <w:rFonts w:ascii="Arial" w:hAnsi="Arial" w:cs="Arial"/>
            <w:sz w:val="24"/>
            <w:szCs w:val="24"/>
          </w:rPr>
          <w:t>https://www.proquest.com/docview/2307245076?pq-origsite=gscholar&amp;fromopenview=true</w:t>
        </w:r>
      </w:hyperlink>
      <w:r>
        <w:rPr>
          <w:rFonts w:ascii="Arial" w:hAnsi="Arial" w:cs="Arial"/>
          <w:sz w:val="24"/>
          <w:szCs w:val="24"/>
        </w:rPr>
        <w:t xml:space="preserve"> </w:t>
      </w:r>
      <w:r w:rsidRPr="00F9040A">
        <w:rPr>
          <w:rFonts w:ascii="Arial" w:hAnsi="Arial" w:cs="Arial"/>
          <w:sz w:val="24"/>
          <w:szCs w:val="24"/>
        </w:rPr>
        <w:t>(Accessed: 26 March 2026).</w:t>
      </w:r>
    </w:p>
    <w:p w14:paraId="3ED47D77" w14:textId="022E7CB1" w:rsidR="00841A99" w:rsidRDefault="00841A99" w:rsidP="009E58ED">
      <w:pPr>
        <w:spacing w:line="360" w:lineRule="auto"/>
        <w:jc w:val="both"/>
        <w:rPr>
          <w:rFonts w:ascii="Arial" w:hAnsi="Arial" w:cs="Arial"/>
          <w:sz w:val="24"/>
          <w:szCs w:val="24"/>
        </w:rPr>
      </w:pPr>
      <w:r w:rsidRPr="00841A99">
        <w:rPr>
          <w:rFonts w:ascii="Arial" w:hAnsi="Arial" w:cs="Arial"/>
          <w:sz w:val="24"/>
          <w:szCs w:val="24"/>
        </w:rPr>
        <w:t xml:space="preserve">Sefton, T., </w:t>
      </w:r>
      <w:proofErr w:type="spellStart"/>
      <w:r w:rsidRPr="00841A99">
        <w:rPr>
          <w:rFonts w:ascii="Arial" w:hAnsi="Arial" w:cs="Arial"/>
          <w:sz w:val="24"/>
          <w:szCs w:val="24"/>
        </w:rPr>
        <w:t>Evandrou</w:t>
      </w:r>
      <w:proofErr w:type="spellEnd"/>
      <w:r w:rsidRPr="00841A99">
        <w:rPr>
          <w:rFonts w:ascii="Arial" w:hAnsi="Arial" w:cs="Arial"/>
          <w:sz w:val="24"/>
          <w:szCs w:val="24"/>
        </w:rPr>
        <w:t xml:space="preserve">, M., and </w:t>
      </w:r>
      <w:proofErr w:type="spellStart"/>
      <w:r w:rsidRPr="00841A99">
        <w:rPr>
          <w:rFonts w:ascii="Arial" w:hAnsi="Arial" w:cs="Arial"/>
          <w:sz w:val="24"/>
          <w:szCs w:val="24"/>
        </w:rPr>
        <w:t>Vlachantoni</w:t>
      </w:r>
      <w:proofErr w:type="spellEnd"/>
      <w:r w:rsidRPr="00841A99">
        <w:rPr>
          <w:rFonts w:ascii="Arial" w:hAnsi="Arial" w:cs="Arial"/>
          <w:sz w:val="24"/>
          <w:szCs w:val="24"/>
        </w:rPr>
        <w:t>, A. (2011)</w:t>
      </w:r>
      <w:r>
        <w:rPr>
          <w:rFonts w:ascii="Arial" w:hAnsi="Arial" w:cs="Arial"/>
          <w:sz w:val="24"/>
          <w:szCs w:val="24"/>
        </w:rPr>
        <w:t>.</w:t>
      </w:r>
      <w:r w:rsidRPr="00841A99">
        <w:rPr>
          <w:rFonts w:ascii="Arial" w:hAnsi="Arial" w:cs="Arial"/>
          <w:sz w:val="24"/>
          <w:szCs w:val="24"/>
        </w:rPr>
        <w:t xml:space="preserve"> 'The relationship between women’s work histories and incomes in later life in the UK, US and West Germany', Journal of European Social Policy, 21(1), pp. 1</w:t>
      </w:r>
      <w:r>
        <w:rPr>
          <w:rFonts w:ascii="Arial" w:hAnsi="Arial" w:cs="Arial"/>
          <w:sz w:val="24"/>
          <w:szCs w:val="24"/>
        </w:rPr>
        <w:t>–</w:t>
      </w:r>
      <w:r w:rsidRPr="00841A99">
        <w:rPr>
          <w:rFonts w:ascii="Arial" w:hAnsi="Arial" w:cs="Arial"/>
          <w:sz w:val="24"/>
          <w:szCs w:val="24"/>
        </w:rPr>
        <w:t xml:space="preserve">27. Available at: </w:t>
      </w:r>
      <w:hyperlink r:id="rId357" w:history="1">
        <w:r w:rsidRPr="007D0B0F">
          <w:rPr>
            <w:rStyle w:val="Hyperlink"/>
            <w:rFonts w:ascii="Arial" w:hAnsi="Arial" w:cs="Arial"/>
            <w:sz w:val="24"/>
            <w:szCs w:val="24"/>
          </w:rPr>
          <w:t>https://www.researchgate.net/profile/Maria-Evandrou/publication/46431397_The_Relationship_Between_Women's_Work_Histories_and_Incomes_in_Later_Life_in_the_UK_US_and_West_Germany/links/0912f50cc6c7237f19000000/The-Relationship-Between-Womens-Work-Histories-and-Incomes-in-Later-Life-in-the-UK-US-and-West-Germany.pdf?_sg%5B0%5D=started_experiment_milestone&amp;origin=journalDetail</w:t>
        </w:r>
      </w:hyperlink>
      <w:r>
        <w:rPr>
          <w:rFonts w:ascii="Arial" w:hAnsi="Arial" w:cs="Arial"/>
          <w:sz w:val="24"/>
          <w:szCs w:val="24"/>
        </w:rPr>
        <w:t xml:space="preserve"> </w:t>
      </w:r>
      <w:r w:rsidRPr="00841A99">
        <w:rPr>
          <w:rFonts w:ascii="Arial" w:hAnsi="Arial" w:cs="Arial"/>
          <w:sz w:val="24"/>
          <w:szCs w:val="24"/>
        </w:rPr>
        <w:t xml:space="preserve"> (Accessed: 26 March 2026).</w:t>
      </w:r>
    </w:p>
    <w:p w14:paraId="20F5CEF4" w14:textId="37ECE7C7" w:rsidR="00BB290E" w:rsidRDefault="00BB290E" w:rsidP="009E58ED">
      <w:pPr>
        <w:spacing w:line="360" w:lineRule="auto"/>
        <w:jc w:val="both"/>
        <w:rPr>
          <w:rFonts w:ascii="Arial" w:hAnsi="Arial" w:cs="Arial"/>
          <w:sz w:val="24"/>
          <w:szCs w:val="24"/>
        </w:rPr>
      </w:pPr>
      <w:r w:rsidRPr="00BB290E">
        <w:rPr>
          <w:rFonts w:ascii="Arial" w:hAnsi="Arial" w:cs="Arial"/>
          <w:sz w:val="24"/>
          <w:szCs w:val="24"/>
        </w:rPr>
        <w:t>Sewell, T. (1997)</w:t>
      </w:r>
      <w:r w:rsidR="00C50961">
        <w:rPr>
          <w:rFonts w:ascii="Arial" w:hAnsi="Arial" w:cs="Arial"/>
          <w:sz w:val="24"/>
          <w:szCs w:val="24"/>
        </w:rPr>
        <w:t>.</w:t>
      </w:r>
      <w:r w:rsidRPr="00BB290E">
        <w:rPr>
          <w:rFonts w:ascii="Arial" w:hAnsi="Arial" w:cs="Arial"/>
          <w:sz w:val="24"/>
          <w:szCs w:val="24"/>
        </w:rPr>
        <w:t> </w:t>
      </w:r>
      <w:r w:rsidRPr="00BB290E">
        <w:rPr>
          <w:rFonts w:ascii="Arial" w:hAnsi="Arial" w:cs="Arial"/>
          <w:i/>
          <w:iCs/>
          <w:sz w:val="24"/>
          <w:szCs w:val="24"/>
        </w:rPr>
        <w:t>Black Masculinities and Schooling How Black Boys Survive Modern Schooling.</w:t>
      </w:r>
      <w:r w:rsidRPr="00BB290E">
        <w:rPr>
          <w:rFonts w:ascii="Arial" w:hAnsi="Arial" w:cs="Arial"/>
          <w:sz w:val="24"/>
          <w:szCs w:val="24"/>
        </w:rPr>
        <w:t xml:space="preserve"> Trentham Books Limited. Available at: </w:t>
      </w:r>
      <w:hyperlink r:id="rId358" w:history="1">
        <w:r w:rsidRPr="002F0426">
          <w:rPr>
            <w:rStyle w:val="Hyperlink"/>
            <w:rFonts w:ascii="Arial" w:hAnsi="Arial" w:cs="Arial"/>
            <w:sz w:val="24"/>
            <w:szCs w:val="24"/>
          </w:rPr>
          <w:t>https://www.scribd.com/document/186524710/Black-Masculinities-and-Schooling-</w:t>
        </w:r>
        <w:r w:rsidRPr="002F0426">
          <w:rPr>
            <w:rStyle w:val="Hyperlink"/>
            <w:rFonts w:ascii="Arial" w:hAnsi="Arial" w:cs="Arial"/>
            <w:sz w:val="24"/>
            <w:szCs w:val="24"/>
          </w:rPr>
          <w:lastRenderedPageBreak/>
          <w:t>How-Black-Boys-Survive-Modern-Schooling-1997-Blackatk</w:t>
        </w:r>
      </w:hyperlink>
      <w:r>
        <w:rPr>
          <w:rFonts w:ascii="Arial" w:hAnsi="Arial" w:cs="Arial"/>
          <w:sz w:val="24"/>
          <w:szCs w:val="24"/>
        </w:rPr>
        <w:t xml:space="preserve"> </w:t>
      </w:r>
      <w:r w:rsidRPr="00BB290E">
        <w:rPr>
          <w:rFonts w:ascii="Arial" w:hAnsi="Arial" w:cs="Arial"/>
          <w:sz w:val="24"/>
          <w:szCs w:val="24"/>
        </w:rPr>
        <w:t>(Accessed: 17 March 2026).</w:t>
      </w:r>
    </w:p>
    <w:p w14:paraId="4DB4233D" w14:textId="774C7D80" w:rsidR="00131092" w:rsidRDefault="00131092" w:rsidP="009E58ED">
      <w:pPr>
        <w:spacing w:line="360" w:lineRule="auto"/>
        <w:jc w:val="both"/>
        <w:rPr>
          <w:rFonts w:ascii="Arial" w:hAnsi="Arial" w:cs="Arial"/>
          <w:sz w:val="24"/>
          <w:szCs w:val="24"/>
        </w:rPr>
      </w:pPr>
      <w:r w:rsidRPr="00131092">
        <w:rPr>
          <w:rFonts w:ascii="Arial" w:hAnsi="Arial" w:cs="Arial"/>
          <w:sz w:val="24"/>
          <w:szCs w:val="24"/>
        </w:rPr>
        <w:t>Sewell, H. (2012)</w:t>
      </w:r>
      <w:r>
        <w:rPr>
          <w:rFonts w:ascii="Arial" w:hAnsi="Arial" w:cs="Arial"/>
          <w:sz w:val="24"/>
          <w:szCs w:val="24"/>
        </w:rPr>
        <w:t>.</w:t>
      </w:r>
      <w:r w:rsidRPr="00131092">
        <w:rPr>
          <w:rFonts w:ascii="Arial" w:hAnsi="Arial" w:cs="Arial"/>
          <w:sz w:val="24"/>
          <w:szCs w:val="24"/>
        </w:rPr>
        <w:t xml:space="preserve"> 'Toxic interaction theory: one reason why African Caribbean people are over-represented in psychiatric services and potential solutions', </w:t>
      </w:r>
      <w:r w:rsidRPr="00131092">
        <w:rPr>
          <w:rFonts w:ascii="Arial" w:hAnsi="Arial" w:cs="Arial"/>
          <w:i/>
          <w:iCs/>
          <w:sz w:val="24"/>
          <w:szCs w:val="24"/>
        </w:rPr>
        <w:t>Ethnicity and Inequalities in Health and Social Care</w:t>
      </w:r>
      <w:r w:rsidRPr="00131092">
        <w:rPr>
          <w:rFonts w:ascii="Arial" w:hAnsi="Arial" w:cs="Arial"/>
          <w:sz w:val="24"/>
          <w:szCs w:val="24"/>
        </w:rPr>
        <w:t>, 5(1), pp. 12</w:t>
      </w:r>
      <w:r>
        <w:rPr>
          <w:rFonts w:ascii="Arial" w:hAnsi="Arial" w:cs="Arial"/>
          <w:sz w:val="24"/>
          <w:szCs w:val="24"/>
        </w:rPr>
        <w:t>–</w:t>
      </w:r>
      <w:r w:rsidRPr="00131092">
        <w:rPr>
          <w:rFonts w:ascii="Arial" w:hAnsi="Arial" w:cs="Arial"/>
          <w:sz w:val="24"/>
          <w:szCs w:val="24"/>
        </w:rPr>
        <w:t xml:space="preserve">17. Available at: </w:t>
      </w:r>
      <w:hyperlink r:id="rId359" w:history="1">
        <w:r w:rsidRPr="007D0B0F">
          <w:rPr>
            <w:rStyle w:val="Hyperlink"/>
            <w:rFonts w:ascii="Arial" w:hAnsi="Arial" w:cs="Arial"/>
            <w:sz w:val="24"/>
            <w:szCs w:val="24"/>
          </w:rPr>
          <w:t>https://www.proquest.com/docview/1156207179?pq-origsite=gscholar&amp;fromopenview=true&amp;sourcetype=Scholarly%20Journals</w:t>
        </w:r>
      </w:hyperlink>
      <w:r>
        <w:rPr>
          <w:rFonts w:ascii="Arial" w:hAnsi="Arial" w:cs="Arial"/>
          <w:sz w:val="24"/>
          <w:szCs w:val="24"/>
        </w:rPr>
        <w:t xml:space="preserve"> </w:t>
      </w:r>
      <w:r w:rsidRPr="00131092">
        <w:rPr>
          <w:rFonts w:ascii="Arial" w:hAnsi="Arial" w:cs="Arial"/>
          <w:sz w:val="24"/>
          <w:szCs w:val="24"/>
        </w:rPr>
        <w:t>(Accessed: 30 March 2026).</w:t>
      </w:r>
    </w:p>
    <w:p w14:paraId="52870F2E" w14:textId="61853539" w:rsidR="00935522" w:rsidRDefault="00935522" w:rsidP="009E58ED">
      <w:pPr>
        <w:spacing w:line="360" w:lineRule="auto"/>
        <w:jc w:val="both"/>
        <w:rPr>
          <w:rFonts w:ascii="Arial" w:hAnsi="Arial" w:cs="Arial"/>
          <w:sz w:val="24"/>
          <w:szCs w:val="24"/>
        </w:rPr>
      </w:pPr>
      <w:r w:rsidRPr="00935522">
        <w:rPr>
          <w:rFonts w:ascii="Arial" w:hAnsi="Arial" w:cs="Arial"/>
          <w:sz w:val="24"/>
          <w:szCs w:val="24"/>
        </w:rPr>
        <w:t>Sewell, T. (1998)</w:t>
      </w:r>
      <w:r w:rsidR="00C50961">
        <w:rPr>
          <w:rFonts w:ascii="Arial" w:hAnsi="Arial" w:cs="Arial"/>
          <w:sz w:val="24"/>
          <w:szCs w:val="24"/>
        </w:rPr>
        <w:t>.</w:t>
      </w:r>
      <w:r w:rsidRPr="00935522">
        <w:rPr>
          <w:rFonts w:ascii="Arial" w:hAnsi="Arial" w:cs="Arial"/>
          <w:sz w:val="24"/>
          <w:szCs w:val="24"/>
        </w:rPr>
        <w:t xml:space="preserve"> 'Loose Cannons: Exploding the myth of the "black macho" lad', in G. Ladson-Billings and D. Gillborn (ed.), </w:t>
      </w:r>
      <w:r w:rsidRPr="00935522">
        <w:rPr>
          <w:rFonts w:ascii="Arial" w:hAnsi="Arial" w:cs="Arial"/>
          <w:i/>
          <w:iCs/>
          <w:sz w:val="24"/>
          <w:szCs w:val="24"/>
        </w:rPr>
        <w:t>The Routledge</w:t>
      </w:r>
      <w:r w:rsidR="002341CE">
        <w:rPr>
          <w:rFonts w:ascii="Arial" w:hAnsi="Arial" w:cs="Arial"/>
          <w:i/>
          <w:iCs/>
          <w:sz w:val="24"/>
          <w:szCs w:val="24"/>
        </w:rPr>
        <w:t xml:space="preserve"> </w:t>
      </w:r>
      <w:r w:rsidRPr="00935522">
        <w:rPr>
          <w:rFonts w:ascii="Arial" w:hAnsi="Arial" w:cs="Arial"/>
          <w:i/>
          <w:iCs/>
          <w:sz w:val="24"/>
          <w:szCs w:val="24"/>
        </w:rPr>
        <w:t>Falmer Reader in Multicultural Education.</w:t>
      </w:r>
      <w:r w:rsidRPr="00935522">
        <w:rPr>
          <w:rFonts w:ascii="Arial" w:hAnsi="Arial" w:cs="Arial"/>
          <w:sz w:val="24"/>
          <w:szCs w:val="24"/>
        </w:rPr>
        <w:t> Routledge</w:t>
      </w:r>
      <w:r w:rsidR="002341CE">
        <w:rPr>
          <w:rFonts w:ascii="Arial" w:hAnsi="Arial" w:cs="Arial"/>
          <w:sz w:val="24"/>
          <w:szCs w:val="24"/>
        </w:rPr>
        <w:t xml:space="preserve"> </w:t>
      </w:r>
      <w:r w:rsidRPr="00935522">
        <w:rPr>
          <w:rFonts w:ascii="Arial" w:hAnsi="Arial" w:cs="Arial"/>
          <w:sz w:val="24"/>
          <w:szCs w:val="24"/>
        </w:rPr>
        <w:t>Falmer, pp. 103</w:t>
      </w:r>
      <w:r w:rsidR="00C50961">
        <w:rPr>
          <w:rFonts w:ascii="Arial" w:hAnsi="Arial" w:cs="Arial"/>
          <w:sz w:val="24"/>
          <w:szCs w:val="24"/>
        </w:rPr>
        <w:t>–</w:t>
      </w:r>
      <w:r w:rsidRPr="00935522">
        <w:rPr>
          <w:rFonts w:ascii="Arial" w:hAnsi="Arial" w:cs="Arial"/>
          <w:sz w:val="24"/>
          <w:szCs w:val="24"/>
        </w:rPr>
        <w:t>116.</w:t>
      </w:r>
      <w:r w:rsidRPr="00935522">
        <w:rPr>
          <w:rFonts w:ascii="Arial" w:hAnsi="Arial" w:cs="Arial"/>
          <w:i/>
          <w:iCs/>
          <w:sz w:val="24"/>
          <w:szCs w:val="24"/>
        </w:rPr>
        <w:t> </w:t>
      </w:r>
      <w:r w:rsidRPr="00935522">
        <w:rPr>
          <w:rFonts w:ascii="Arial" w:hAnsi="Arial" w:cs="Arial"/>
          <w:sz w:val="24"/>
          <w:szCs w:val="24"/>
        </w:rPr>
        <w:t xml:space="preserve">Available at: </w:t>
      </w:r>
      <w:hyperlink r:id="rId360" w:history="1">
        <w:r w:rsidRPr="00FB3832">
          <w:rPr>
            <w:rStyle w:val="Hyperlink"/>
            <w:rFonts w:ascii="Arial" w:hAnsi="Arial" w:cs="Arial"/>
            <w:sz w:val="24"/>
            <w:szCs w:val="24"/>
          </w:rPr>
          <w:t>https://www.google.co.uk/books/edition/The_RoutledgeFalmer_Reader_in_Multicultu/thrQK0UPziEC?hl=en&amp;gbpv=1&amp;dq=Loose+cannons,+exploding+the+myth+of+the+%E2%80%98black+macho%E2%80%99+lad,+in+manifesto:+education+for+change&amp;pg=PA103&amp;printsec=frontcover</w:t>
        </w:r>
      </w:hyperlink>
      <w:r>
        <w:rPr>
          <w:rFonts w:ascii="Arial" w:hAnsi="Arial" w:cs="Arial"/>
          <w:sz w:val="24"/>
          <w:szCs w:val="24"/>
        </w:rPr>
        <w:t xml:space="preserve"> </w:t>
      </w:r>
      <w:r w:rsidRPr="00935522">
        <w:rPr>
          <w:rFonts w:ascii="Arial" w:hAnsi="Arial" w:cs="Arial"/>
          <w:sz w:val="24"/>
          <w:szCs w:val="24"/>
        </w:rPr>
        <w:t>(Accessed: 2026).</w:t>
      </w:r>
    </w:p>
    <w:p w14:paraId="3D177F26" w14:textId="5698877C" w:rsidR="00A31251" w:rsidRDefault="00A31251" w:rsidP="009E58ED">
      <w:pPr>
        <w:spacing w:line="360" w:lineRule="auto"/>
        <w:jc w:val="both"/>
        <w:rPr>
          <w:rFonts w:ascii="Arial" w:hAnsi="Arial" w:cs="Arial"/>
          <w:sz w:val="24"/>
          <w:szCs w:val="24"/>
        </w:rPr>
      </w:pPr>
      <w:r w:rsidRPr="00A31251">
        <w:rPr>
          <w:rFonts w:ascii="Arial" w:hAnsi="Arial" w:cs="Arial"/>
          <w:sz w:val="24"/>
          <w:szCs w:val="24"/>
        </w:rPr>
        <w:t xml:space="preserve">Shah, S., Ahmed, F., </w:t>
      </w:r>
      <w:r w:rsidR="00394025">
        <w:rPr>
          <w:rFonts w:ascii="Arial" w:hAnsi="Arial" w:cs="Arial"/>
          <w:sz w:val="24"/>
          <w:szCs w:val="24"/>
        </w:rPr>
        <w:t xml:space="preserve">and </w:t>
      </w:r>
      <w:r w:rsidRPr="00A31251">
        <w:rPr>
          <w:rFonts w:ascii="Arial" w:hAnsi="Arial" w:cs="Arial"/>
          <w:sz w:val="24"/>
          <w:szCs w:val="24"/>
        </w:rPr>
        <w:t>Khan, R. (2018)</w:t>
      </w:r>
      <w:r w:rsidR="00C50961">
        <w:rPr>
          <w:rFonts w:ascii="Arial" w:hAnsi="Arial" w:cs="Arial"/>
          <w:sz w:val="24"/>
          <w:szCs w:val="24"/>
        </w:rPr>
        <w:t>.</w:t>
      </w:r>
      <w:r w:rsidRPr="00A31251">
        <w:rPr>
          <w:rFonts w:ascii="Arial" w:hAnsi="Arial" w:cs="Arial"/>
          <w:sz w:val="24"/>
          <w:szCs w:val="24"/>
        </w:rPr>
        <w:t xml:space="preserve"> 'Writing a Critical Review of Literature: A Practical Guide for English Graduate Students', Global Language Review (GLR), 3, pp. 136-153. Available at: </w:t>
      </w:r>
      <w:hyperlink r:id="rId361" w:history="1">
        <w:r w:rsidR="00394025" w:rsidRPr="001228C1">
          <w:rPr>
            <w:rStyle w:val="Hyperlink"/>
            <w:rFonts w:ascii="Arial" w:hAnsi="Arial" w:cs="Arial"/>
            <w:sz w:val="24"/>
            <w:szCs w:val="24"/>
          </w:rPr>
          <w:t>https://d1wqtxts1xzle7.cloudfront.net/104259336/Writing_20a_20Critical_20Review_20of_20Literature_20A_20Practical_20Guide_20for_20English_20Graduate_20Students-libre.pdf?1689342826=&amp;response-content-disposition=inline%3B+filename%3DWriting_a_Critical_Review_of_Literature.pdf&amp;Expires=1773598756&amp;Signature=XuRwa~Fx~vqJUz8eCh0UPwt911avVuqyhHPpQb-qfyorPD7Xn9-M72kRCZW6pijJov-oWJar-vyEkHn5oVVWDFYgUn6W9jR2FYVZprdEBUpiQdJFUKTL~OPVHuwNLiyiEB~w2DmkDxColuolygKqB60NnCdAYEEACfIgBagztM59nN-31LoPIWNKwa34k5vp3m2kBzlpTUumRFEaCsvoJ3HFivisrIIQ2Ly8m2C25VjadgWiIEtYPksKAzmHn-zJEdue918bENDTL3ijtMWBONyciwyiPOCfoHJSJcG41VWe7SZt0KECGYTp7OlTK-</w:t>
        </w:r>
        <w:r w:rsidR="00394025" w:rsidRPr="001228C1">
          <w:rPr>
            <w:rStyle w:val="Hyperlink"/>
            <w:rFonts w:ascii="Arial" w:hAnsi="Arial" w:cs="Arial"/>
            <w:sz w:val="24"/>
            <w:szCs w:val="24"/>
          </w:rPr>
          <w:lastRenderedPageBreak/>
          <w:t>pZwKIcN6TYskvzcZQIPGqdbQ__&amp;Key-Pair-Id=APKAJLOHF5GGSLRBV4ZA</w:t>
        </w:r>
      </w:hyperlink>
      <w:r w:rsidR="00394025">
        <w:rPr>
          <w:rFonts w:ascii="Arial" w:hAnsi="Arial" w:cs="Arial"/>
          <w:sz w:val="24"/>
          <w:szCs w:val="24"/>
        </w:rPr>
        <w:t xml:space="preserve"> </w:t>
      </w:r>
      <w:r w:rsidRPr="00A31251">
        <w:rPr>
          <w:rFonts w:ascii="Arial" w:hAnsi="Arial" w:cs="Arial"/>
          <w:sz w:val="24"/>
          <w:szCs w:val="24"/>
        </w:rPr>
        <w:t xml:space="preserve"> (Accessed: 6</w:t>
      </w:r>
      <w:r w:rsidR="00394025">
        <w:rPr>
          <w:rFonts w:ascii="Arial" w:hAnsi="Arial" w:cs="Arial"/>
          <w:sz w:val="24"/>
          <w:szCs w:val="24"/>
        </w:rPr>
        <w:t xml:space="preserve"> </w:t>
      </w:r>
      <w:r w:rsidRPr="00A31251">
        <w:rPr>
          <w:rFonts w:ascii="Arial" w:hAnsi="Arial" w:cs="Arial"/>
          <w:sz w:val="24"/>
          <w:szCs w:val="24"/>
        </w:rPr>
        <w:t>March 2026).</w:t>
      </w:r>
    </w:p>
    <w:p w14:paraId="2A84B617" w14:textId="0CF68FAB" w:rsidR="001C3D91" w:rsidRDefault="001C3D91" w:rsidP="009E58ED">
      <w:pPr>
        <w:spacing w:line="360" w:lineRule="auto"/>
        <w:jc w:val="both"/>
        <w:rPr>
          <w:rFonts w:ascii="Arial" w:hAnsi="Arial" w:cs="Arial"/>
          <w:sz w:val="24"/>
          <w:szCs w:val="24"/>
        </w:rPr>
      </w:pPr>
      <w:r w:rsidRPr="001C3D91">
        <w:rPr>
          <w:rFonts w:ascii="Arial" w:hAnsi="Arial" w:cs="Arial"/>
          <w:sz w:val="24"/>
          <w:szCs w:val="24"/>
        </w:rPr>
        <w:t>Shay, S. (2016)</w:t>
      </w:r>
      <w:r w:rsidR="00C50961">
        <w:rPr>
          <w:rFonts w:ascii="Arial" w:hAnsi="Arial" w:cs="Arial"/>
          <w:sz w:val="24"/>
          <w:szCs w:val="24"/>
        </w:rPr>
        <w:t>.</w:t>
      </w:r>
      <w:r w:rsidRPr="001C3D91">
        <w:rPr>
          <w:rFonts w:ascii="Arial" w:hAnsi="Arial" w:cs="Arial"/>
          <w:sz w:val="24"/>
          <w:szCs w:val="24"/>
        </w:rPr>
        <w:t xml:space="preserve"> 'Decolonising the curriculum: It's time for a strategy', </w:t>
      </w:r>
      <w:r w:rsidRPr="001C3D91">
        <w:rPr>
          <w:rFonts w:ascii="Arial" w:hAnsi="Arial" w:cs="Arial"/>
          <w:i/>
          <w:iCs/>
          <w:sz w:val="24"/>
          <w:szCs w:val="24"/>
        </w:rPr>
        <w:t>The Conversation</w:t>
      </w:r>
      <w:r w:rsidRPr="001C3D91">
        <w:rPr>
          <w:rFonts w:ascii="Arial" w:hAnsi="Arial" w:cs="Arial"/>
          <w:sz w:val="24"/>
          <w:szCs w:val="24"/>
        </w:rPr>
        <w:t xml:space="preserve">, 13 June. Available at: </w:t>
      </w:r>
      <w:hyperlink r:id="rId362" w:history="1">
        <w:r w:rsidRPr="007D0B0F">
          <w:rPr>
            <w:rStyle w:val="Hyperlink"/>
            <w:rFonts w:ascii="Arial" w:hAnsi="Arial" w:cs="Arial"/>
            <w:sz w:val="24"/>
            <w:szCs w:val="24"/>
          </w:rPr>
          <w:t>https://theconversation.com/decolonising-the-curriculum-its-time-for-a-strategy-60598</w:t>
        </w:r>
      </w:hyperlink>
      <w:r>
        <w:rPr>
          <w:rFonts w:ascii="Arial" w:hAnsi="Arial" w:cs="Arial"/>
          <w:sz w:val="24"/>
          <w:szCs w:val="24"/>
        </w:rPr>
        <w:t xml:space="preserve"> </w:t>
      </w:r>
      <w:r w:rsidRPr="001C3D91">
        <w:rPr>
          <w:rFonts w:ascii="Arial" w:hAnsi="Arial" w:cs="Arial"/>
          <w:sz w:val="24"/>
          <w:szCs w:val="24"/>
        </w:rPr>
        <w:t>(Accessed: 23 March 2026).</w:t>
      </w:r>
    </w:p>
    <w:p w14:paraId="688DB9D5" w14:textId="3FAAD33C" w:rsidR="001E5B49" w:rsidRDefault="001E5B49" w:rsidP="009E58ED">
      <w:pPr>
        <w:spacing w:line="360" w:lineRule="auto"/>
        <w:jc w:val="both"/>
        <w:rPr>
          <w:rFonts w:ascii="Arial" w:hAnsi="Arial" w:cs="Arial"/>
          <w:sz w:val="24"/>
          <w:szCs w:val="24"/>
        </w:rPr>
      </w:pPr>
      <w:r w:rsidRPr="001E5B49">
        <w:rPr>
          <w:rFonts w:ascii="Arial" w:hAnsi="Arial" w:cs="Arial"/>
          <w:sz w:val="24"/>
          <w:szCs w:val="24"/>
        </w:rPr>
        <w:t>Shilliam, IR. (2014) 'Black Academia in Britain', </w:t>
      </w:r>
      <w:r w:rsidRPr="001E5B49">
        <w:rPr>
          <w:rFonts w:ascii="Arial" w:hAnsi="Arial" w:cs="Arial"/>
          <w:i/>
          <w:iCs/>
          <w:sz w:val="24"/>
          <w:szCs w:val="24"/>
        </w:rPr>
        <w:t xml:space="preserve">The Disorder </w:t>
      </w:r>
      <w:proofErr w:type="gramStart"/>
      <w:r w:rsidRPr="001E5B49">
        <w:rPr>
          <w:rFonts w:ascii="Arial" w:hAnsi="Arial" w:cs="Arial"/>
          <w:i/>
          <w:iCs/>
          <w:sz w:val="24"/>
          <w:szCs w:val="24"/>
        </w:rPr>
        <w:t>Of</w:t>
      </w:r>
      <w:proofErr w:type="gramEnd"/>
      <w:r w:rsidRPr="001E5B49">
        <w:rPr>
          <w:rFonts w:ascii="Arial" w:hAnsi="Arial" w:cs="Arial"/>
          <w:i/>
          <w:iCs/>
          <w:sz w:val="24"/>
          <w:szCs w:val="24"/>
        </w:rPr>
        <w:t xml:space="preserve"> Things</w:t>
      </w:r>
      <w:r w:rsidRPr="001E5B49">
        <w:rPr>
          <w:rFonts w:ascii="Arial" w:hAnsi="Arial" w:cs="Arial"/>
          <w:sz w:val="24"/>
          <w:szCs w:val="24"/>
        </w:rPr>
        <w:t xml:space="preserve">, 28 July. Available at: </w:t>
      </w:r>
      <w:hyperlink r:id="rId363" w:history="1">
        <w:r w:rsidRPr="007D0B0F">
          <w:rPr>
            <w:rStyle w:val="Hyperlink"/>
            <w:rFonts w:ascii="Arial" w:hAnsi="Arial" w:cs="Arial"/>
            <w:sz w:val="24"/>
            <w:szCs w:val="24"/>
          </w:rPr>
          <w:t>https://thedisorderofthings.com/2014/07/28/black-academia-in-britain/</w:t>
        </w:r>
      </w:hyperlink>
      <w:r>
        <w:rPr>
          <w:rFonts w:ascii="Arial" w:hAnsi="Arial" w:cs="Arial"/>
          <w:sz w:val="24"/>
          <w:szCs w:val="24"/>
        </w:rPr>
        <w:t xml:space="preserve"> </w:t>
      </w:r>
      <w:r w:rsidRPr="001E5B49">
        <w:rPr>
          <w:rFonts w:ascii="Arial" w:hAnsi="Arial" w:cs="Arial"/>
          <w:sz w:val="24"/>
          <w:szCs w:val="24"/>
        </w:rPr>
        <w:t>(Accessed: 23 March 2026).</w:t>
      </w:r>
    </w:p>
    <w:p w14:paraId="1C164F66" w14:textId="19F3E29F" w:rsidR="00BF3D5A" w:rsidRDefault="00BF3D5A" w:rsidP="009E58ED">
      <w:pPr>
        <w:spacing w:line="360" w:lineRule="auto"/>
        <w:jc w:val="both"/>
        <w:rPr>
          <w:rFonts w:ascii="Arial" w:hAnsi="Arial" w:cs="Arial"/>
          <w:sz w:val="24"/>
          <w:szCs w:val="24"/>
        </w:rPr>
      </w:pPr>
      <w:r w:rsidRPr="00BF3D5A">
        <w:rPr>
          <w:rFonts w:ascii="Arial" w:hAnsi="Arial" w:cs="Arial"/>
          <w:sz w:val="24"/>
          <w:szCs w:val="24"/>
        </w:rPr>
        <w:t xml:space="preserve">Shiner, M., Carre, Z., Delsol, R., and Eastwood, N. (2018) Title. </w:t>
      </w:r>
      <w:proofErr w:type="gramStart"/>
      <w:r w:rsidRPr="00BF3D5A">
        <w:rPr>
          <w:rFonts w:ascii="Arial" w:hAnsi="Arial" w:cs="Arial"/>
          <w:sz w:val="24"/>
          <w:szCs w:val="24"/>
        </w:rPr>
        <w:t>Stop</w:t>
      </w:r>
      <w:r w:rsidR="00890265">
        <w:rPr>
          <w:rFonts w:ascii="Arial" w:hAnsi="Arial" w:cs="Arial"/>
          <w:sz w:val="24"/>
          <w:szCs w:val="24"/>
        </w:rPr>
        <w:t xml:space="preserve"> </w:t>
      </w:r>
      <w:r w:rsidRPr="00BF3D5A">
        <w:rPr>
          <w:rFonts w:ascii="Arial" w:hAnsi="Arial" w:cs="Arial"/>
          <w:sz w:val="24"/>
          <w:szCs w:val="24"/>
        </w:rPr>
        <w:t>Watch</w:t>
      </w:r>
      <w:proofErr w:type="gramEnd"/>
      <w:r w:rsidRPr="00BF3D5A">
        <w:rPr>
          <w:rFonts w:ascii="Arial" w:hAnsi="Arial" w:cs="Arial"/>
          <w:sz w:val="24"/>
          <w:szCs w:val="24"/>
        </w:rPr>
        <w:t xml:space="preserve"> and Release. Available at: </w:t>
      </w:r>
      <w:hyperlink r:id="rId364" w:history="1">
        <w:r w:rsidRPr="00172D15">
          <w:rPr>
            <w:rStyle w:val="Hyperlink"/>
            <w:rFonts w:ascii="Arial" w:hAnsi="Arial" w:cs="Arial"/>
            <w:sz w:val="24"/>
            <w:szCs w:val="24"/>
          </w:rPr>
          <w:t>https://www.lse.ac.uk/united-states/Assets/Documents/The-Colour-of-Injustice.pdf</w:t>
        </w:r>
      </w:hyperlink>
      <w:r>
        <w:rPr>
          <w:rFonts w:ascii="Arial" w:hAnsi="Arial" w:cs="Arial"/>
          <w:sz w:val="24"/>
          <w:szCs w:val="24"/>
        </w:rPr>
        <w:t xml:space="preserve"> </w:t>
      </w:r>
      <w:r w:rsidRPr="00BF3D5A">
        <w:rPr>
          <w:rFonts w:ascii="Arial" w:hAnsi="Arial" w:cs="Arial"/>
          <w:sz w:val="24"/>
          <w:szCs w:val="24"/>
        </w:rPr>
        <w:t>(Accessed: 5 April 2026).</w:t>
      </w:r>
    </w:p>
    <w:p w14:paraId="2E7A5B82" w14:textId="7CBEEA13" w:rsidR="00FB1117" w:rsidRDefault="00FB1117" w:rsidP="009E58ED">
      <w:pPr>
        <w:spacing w:line="360" w:lineRule="auto"/>
        <w:jc w:val="both"/>
        <w:rPr>
          <w:rFonts w:ascii="Arial" w:hAnsi="Arial" w:cs="Arial"/>
          <w:sz w:val="24"/>
          <w:szCs w:val="24"/>
        </w:rPr>
      </w:pPr>
      <w:r w:rsidRPr="00FB1117">
        <w:rPr>
          <w:rFonts w:ascii="Arial" w:hAnsi="Arial" w:cs="Arial"/>
          <w:sz w:val="24"/>
          <w:szCs w:val="24"/>
        </w:rPr>
        <w:t xml:space="preserve">Siddaway, A., Wood, A., and Hedges, L. (2019). 'How to Do a Systematic Review: A Best Practice Guide for Conducting and Reporting Narrative Reviews, Meta-Analyses, and Meta-Syntheses', Annual Review of Psychology, 70, pp. 747-770. Available at: </w:t>
      </w:r>
      <w:hyperlink r:id="rId365" w:history="1">
        <w:r w:rsidRPr="00D94FAA">
          <w:rPr>
            <w:rStyle w:val="Hyperlink"/>
            <w:rFonts w:ascii="Arial" w:hAnsi="Arial" w:cs="Arial"/>
            <w:sz w:val="24"/>
            <w:szCs w:val="24"/>
          </w:rPr>
          <w:t>https://www.annualreviews.org/content/journals/10.1146/annurev-psych-010418-102803</w:t>
        </w:r>
      </w:hyperlink>
      <w:r>
        <w:rPr>
          <w:rFonts w:ascii="Arial" w:hAnsi="Arial" w:cs="Arial"/>
          <w:sz w:val="24"/>
          <w:szCs w:val="24"/>
        </w:rPr>
        <w:t xml:space="preserve"> </w:t>
      </w:r>
      <w:r w:rsidRPr="00FB1117">
        <w:rPr>
          <w:rFonts w:ascii="Arial" w:hAnsi="Arial" w:cs="Arial"/>
          <w:sz w:val="24"/>
          <w:szCs w:val="24"/>
        </w:rPr>
        <w:t>(Accessed: 4 March 2026).</w:t>
      </w:r>
    </w:p>
    <w:p w14:paraId="07A94F3D" w14:textId="74A6C884" w:rsidR="00AC2DAD" w:rsidRDefault="00AC2DAD" w:rsidP="009E58ED">
      <w:pPr>
        <w:spacing w:line="360" w:lineRule="auto"/>
        <w:jc w:val="both"/>
        <w:rPr>
          <w:rFonts w:ascii="Arial" w:hAnsi="Arial" w:cs="Arial"/>
          <w:sz w:val="24"/>
          <w:szCs w:val="24"/>
        </w:rPr>
      </w:pPr>
      <w:r w:rsidRPr="00AC2DAD">
        <w:rPr>
          <w:rFonts w:ascii="Arial" w:hAnsi="Arial" w:cs="Arial"/>
          <w:sz w:val="24"/>
          <w:szCs w:val="24"/>
        </w:rPr>
        <w:t>Singh, D. (2011)</w:t>
      </w:r>
      <w:r w:rsidR="00F95B70">
        <w:rPr>
          <w:rFonts w:ascii="Arial" w:hAnsi="Arial" w:cs="Arial"/>
          <w:sz w:val="24"/>
          <w:szCs w:val="24"/>
        </w:rPr>
        <w:t>.</w:t>
      </w:r>
      <w:r w:rsidRPr="00AC2DAD">
        <w:rPr>
          <w:rFonts w:ascii="Arial" w:hAnsi="Arial" w:cs="Arial"/>
          <w:sz w:val="24"/>
          <w:szCs w:val="24"/>
        </w:rPr>
        <w:t xml:space="preserve"> 'Black and Minority Ethnic (BME) Students' Participation and Success in Higher Education: Improving Retention and Success - A Synthesis of Research Evidence'. Available at: </w:t>
      </w:r>
      <w:hyperlink r:id="rId366" w:history="1">
        <w:r w:rsidRPr="001C55C5">
          <w:rPr>
            <w:rStyle w:val="Hyperlink"/>
            <w:rFonts w:ascii="Arial" w:hAnsi="Arial" w:cs="Arial"/>
            <w:sz w:val="24"/>
            <w:szCs w:val="24"/>
          </w:rPr>
          <w:t>https://www.academia.edu/38297591/Black_and_Minority_Ethnic_BME_students_participation_and_success_in_Higher_Education_improving_retention_and_success_A_Synthesis_of_Research_Evidence</w:t>
        </w:r>
      </w:hyperlink>
      <w:r>
        <w:rPr>
          <w:rFonts w:ascii="Arial" w:hAnsi="Arial" w:cs="Arial"/>
          <w:sz w:val="24"/>
          <w:szCs w:val="24"/>
        </w:rPr>
        <w:t xml:space="preserve"> </w:t>
      </w:r>
      <w:r w:rsidRPr="00AC2DAD">
        <w:rPr>
          <w:rFonts w:ascii="Arial" w:hAnsi="Arial" w:cs="Arial"/>
          <w:sz w:val="24"/>
          <w:szCs w:val="24"/>
        </w:rPr>
        <w:t>(Accessed: 19 March 2026).</w:t>
      </w:r>
    </w:p>
    <w:p w14:paraId="7AA5F708" w14:textId="41B3283F" w:rsidR="00CF6348" w:rsidRDefault="00CF6348" w:rsidP="009E58ED">
      <w:pPr>
        <w:spacing w:line="360" w:lineRule="auto"/>
        <w:jc w:val="both"/>
        <w:rPr>
          <w:rFonts w:ascii="Arial" w:hAnsi="Arial" w:cs="Arial"/>
          <w:sz w:val="24"/>
          <w:szCs w:val="24"/>
        </w:rPr>
      </w:pPr>
      <w:r w:rsidRPr="00CF6348">
        <w:rPr>
          <w:rFonts w:ascii="Arial" w:hAnsi="Arial" w:cs="Arial"/>
          <w:sz w:val="24"/>
          <w:szCs w:val="24"/>
        </w:rPr>
        <w:t>Sleeter, C. (2008)</w:t>
      </w:r>
      <w:r w:rsidR="00F95B70">
        <w:rPr>
          <w:rFonts w:ascii="Arial" w:hAnsi="Arial" w:cs="Arial"/>
          <w:sz w:val="24"/>
          <w:szCs w:val="24"/>
        </w:rPr>
        <w:t>.</w:t>
      </w:r>
      <w:r w:rsidRPr="00CF6348">
        <w:rPr>
          <w:rFonts w:ascii="Arial" w:hAnsi="Arial" w:cs="Arial"/>
          <w:sz w:val="24"/>
          <w:szCs w:val="24"/>
        </w:rPr>
        <w:t xml:space="preserve"> 'Equity, Democracy, and Neoliberal Assaults on Teacher Education', Teaching and Teacher Education, 24(8), pp. 1947-1957. Available at: </w:t>
      </w:r>
      <w:hyperlink r:id="rId367" w:history="1">
        <w:r w:rsidR="005578DE" w:rsidRPr="007D0B0F">
          <w:rPr>
            <w:rStyle w:val="Hyperlink"/>
            <w:rFonts w:ascii="Arial" w:hAnsi="Arial" w:cs="Arial"/>
            <w:sz w:val="24"/>
            <w:szCs w:val="24"/>
          </w:rPr>
          <w:t>https://www.sciencedirect.com/science/article/pii/S0742051X08000656</w:t>
        </w:r>
      </w:hyperlink>
      <w:r w:rsidR="005578DE">
        <w:rPr>
          <w:rFonts w:ascii="Arial" w:hAnsi="Arial" w:cs="Arial"/>
          <w:sz w:val="24"/>
          <w:szCs w:val="24"/>
        </w:rPr>
        <w:t xml:space="preserve"> </w:t>
      </w:r>
      <w:r w:rsidRPr="00CF6348">
        <w:rPr>
          <w:rFonts w:ascii="Arial" w:hAnsi="Arial" w:cs="Arial"/>
          <w:sz w:val="24"/>
          <w:szCs w:val="24"/>
        </w:rPr>
        <w:t>(Accessed: 20 March 2026).</w:t>
      </w:r>
    </w:p>
    <w:p w14:paraId="24FD3AFF" w14:textId="1AEE94FB" w:rsidR="00124195" w:rsidRDefault="00124195" w:rsidP="009E58ED">
      <w:pPr>
        <w:spacing w:line="360" w:lineRule="auto"/>
        <w:jc w:val="both"/>
        <w:rPr>
          <w:rFonts w:ascii="Arial" w:hAnsi="Arial" w:cs="Arial"/>
          <w:sz w:val="24"/>
          <w:szCs w:val="24"/>
        </w:rPr>
      </w:pPr>
      <w:r w:rsidRPr="00124195">
        <w:rPr>
          <w:rFonts w:ascii="Arial" w:hAnsi="Arial" w:cs="Arial"/>
          <w:sz w:val="24"/>
          <w:szCs w:val="24"/>
        </w:rPr>
        <w:t>Smallbone, D., Bertotti, M., Ekanem, I. (2005)</w:t>
      </w:r>
      <w:r>
        <w:rPr>
          <w:rFonts w:ascii="Arial" w:hAnsi="Arial" w:cs="Arial"/>
          <w:sz w:val="24"/>
          <w:szCs w:val="24"/>
        </w:rPr>
        <w:t>.</w:t>
      </w:r>
      <w:r w:rsidRPr="00124195">
        <w:rPr>
          <w:rFonts w:ascii="Arial" w:hAnsi="Arial" w:cs="Arial"/>
          <w:sz w:val="24"/>
          <w:szCs w:val="24"/>
        </w:rPr>
        <w:t xml:space="preserve"> 'Diversification in ethnic minority business</w:t>
      </w:r>
      <w:r>
        <w:rPr>
          <w:rFonts w:ascii="Arial" w:hAnsi="Arial" w:cs="Arial"/>
          <w:sz w:val="24"/>
          <w:szCs w:val="24"/>
        </w:rPr>
        <w:t xml:space="preserve">: </w:t>
      </w:r>
      <w:r w:rsidRPr="00124195">
        <w:rPr>
          <w:rFonts w:ascii="Arial" w:hAnsi="Arial" w:cs="Arial"/>
          <w:sz w:val="24"/>
          <w:szCs w:val="24"/>
        </w:rPr>
        <w:t xml:space="preserve">The case of Asians in London’s creative industries', Journal of Small </w:t>
      </w:r>
      <w:r w:rsidRPr="00124195">
        <w:rPr>
          <w:rFonts w:ascii="Arial" w:hAnsi="Arial" w:cs="Arial"/>
          <w:sz w:val="24"/>
          <w:szCs w:val="24"/>
        </w:rPr>
        <w:lastRenderedPageBreak/>
        <w:t>Business and Enterprise Development, 12(1), pp. 41</w:t>
      </w:r>
      <w:r>
        <w:rPr>
          <w:rFonts w:ascii="Arial" w:hAnsi="Arial" w:cs="Arial"/>
          <w:sz w:val="24"/>
          <w:szCs w:val="24"/>
        </w:rPr>
        <w:t>–</w:t>
      </w:r>
      <w:r w:rsidRPr="00124195">
        <w:rPr>
          <w:rFonts w:ascii="Arial" w:hAnsi="Arial" w:cs="Arial"/>
          <w:sz w:val="24"/>
          <w:szCs w:val="24"/>
        </w:rPr>
        <w:t xml:space="preserve">56. Available at:  </w:t>
      </w:r>
      <w:hyperlink r:id="rId368" w:history="1">
        <w:r w:rsidRPr="007D0B0F">
          <w:rPr>
            <w:rStyle w:val="Hyperlink"/>
            <w:rFonts w:ascii="Arial" w:hAnsi="Arial" w:cs="Arial"/>
            <w:sz w:val="24"/>
            <w:szCs w:val="24"/>
          </w:rPr>
          <w:t>https://www.researchgate.net/profile/Ignatius-Ekanem/publication/235294488_Diversification_in_ethnic_minority_business_The_case_of_Asians_in_London's_creative_industries/links/54f98a2b0cf28d6deca4da09/Diversification-in-ethnic-minority-business-The-case-of-Asians-in-Londons-creative-industries.pdf</w:t>
        </w:r>
      </w:hyperlink>
      <w:r>
        <w:rPr>
          <w:rFonts w:ascii="Arial" w:hAnsi="Arial" w:cs="Arial"/>
          <w:sz w:val="24"/>
          <w:szCs w:val="24"/>
        </w:rPr>
        <w:t xml:space="preserve"> </w:t>
      </w:r>
      <w:r w:rsidRPr="00124195">
        <w:rPr>
          <w:rFonts w:ascii="Arial" w:hAnsi="Arial" w:cs="Arial"/>
          <w:sz w:val="24"/>
          <w:szCs w:val="24"/>
        </w:rPr>
        <w:t>(Accessed: 26 March 2026).</w:t>
      </w:r>
    </w:p>
    <w:p w14:paraId="0D7CD957" w14:textId="33022FDE" w:rsidR="00632EF0" w:rsidRDefault="00632EF0" w:rsidP="009E58ED">
      <w:pPr>
        <w:spacing w:line="360" w:lineRule="auto"/>
        <w:jc w:val="both"/>
        <w:rPr>
          <w:rFonts w:ascii="Arial" w:hAnsi="Arial" w:cs="Arial"/>
          <w:sz w:val="24"/>
          <w:szCs w:val="24"/>
        </w:rPr>
      </w:pPr>
      <w:r w:rsidRPr="00632EF0">
        <w:rPr>
          <w:rFonts w:ascii="Arial" w:hAnsi="Arial" w:cs="Arial"/>
          <w:sz w:val="24"/>
          <w:szCs w:val="24"/>
        </w:rPr>
        <w:t>Smith, S. (2017)</w:t>
      </w:r>
      <w:r w:rsidR="00F95B70">
        <w:rPr>
          <w:rFonts w:ascii="Arial" w:hAnsi="Arial" w:cs="Arial"/>
          <w:sz w:val="24"/>
          <w:szCs w:val="24"/>
        </w:rPr>
        <w:t>.</w:t>
      </w:r>
      <w:r w:rsidRPr="00632EF0">
        <w:rPr>
          <w:rFonts w:ascii="Arial" w:hAnsi="Arial" w:cs="Arial"/>
          <w:sz w:val="24"/>
          <w:szCs w:val="24"/>
        </w:rPr>
        <w:t xml:space="preserve"> 'Exploring the Black and Minority Ethnic (BME)' Student Attainment Gap: What Did It Tell Us? Actions to Address Home BME Undergraduate Students’ Degree Attainment', Journal of Perspectives in Applied Academic Practice, 5(1), pp. 46</w:t>
      </w:r>
      <w:r w:rsidR="00F95B70">
        <w:rPr>
          <w:rFonts w:ascii="Arial" w:hAnsi="Arial" w:cs="Arial"/>
          <w:sz w:val="24"/>
          <w:szCs w:val="24"/>
        </w:rPr>
        <w:t>–</w:t>
      </w:r>
      <w:r w:rsidRPr="00632EF0">
        <w:rPr>
          <w:rFonts w:ascii="Arial" w:hAnsi="Arial" w:cs="Arial"/>
          <w:sz w:val="24"/>
          <w:szCs w:val="24"/>
        </w:rPr>
        <w:t xml:space="preserve">57. Available at: </w:t>
      </w:r>
      <w:hyperlink r:id="rId369" w:history="1">
        <w:r w:rsidR="00783779" w:rsidRPr="00F821EF">
          <w:rPr>
            <w:rStyle w:val="Hyperlink"/>
            <w:rFonts w:ascii="Arial" w:hAnsi="Arial" w:cs="Arial"/>
            <w:sz w:val="24"/>
            <w:szCs w:val="24"/>
          </w:rPr>
          <w:t>https://jpaap.ac.uk/JPAAP/article/view/239/pdf</w:t>
        </w:r>
      </w:hyperlink>
      <w:r w:rsidR="00783779">
        <w:rPr>
          <w:rFonts w:ascii="Arial" w:hAnsi="Arial" w:cs="Arial"/>
          <w:sz w:val="24"/>
          <w:szCs w:val="24"/>
        </w:rPr>
        <w:t xml:space="preserve"> </w:t>
      </w:r>
      <w:r w:rsidRPr="00632EF0">
        <w:rPr>
          <w:rFonts w:ascii="Arial" w:hAnsi="Arial" w:cs="Arial"/>
          <w:sz w:val="24"/>
          <w:szCs w:val="24"/>
        </w:rPr>
        <w:t>(Accessed: 20 March 2026).</w:t>
      </w:r>
    </w:p>
    <w:p w14:paraId="4FDC2385" w14:textId="6A505EB6" w:rsidR="002B3654" w:rsidRDefault="002B3654" w:rsidP="009E58ED">
      <w:pPr>
        <w:spacing w:line="360" w:lineRule="auto"/>
        <w:jc w:val="both"/>
        <w:rPr>
          <w:rFonts w:ascii="Arial" w:hAnsi="Arial" w:cs="Arial"/>
          <w:sz w:val="24"/>
          <w:szCs w:val="24"/>
        </w:rPr>
      </w:pPr>
      <w:r w:rsidRPr="002B3654">
        <w:rPr>
          <w:rFonts w:ascii="Arial" w:hAnsi="Arial" w:cs="Arial"/>
          <w:sz w:val="24"/>
          <w:szCs w:val="24"/>
        </w:rPr>
        <w:t>Smith, C., Crosnoe, R., and Chao, S. (2016)</w:t>
      </w:r>
      <w:r w:rsidR="00F95B70">
        <w:rPr>
          <w:rFonts w:ascii="Arial" w:hAnsi="Arial" w:cs="Arial"/>
          <w:sz w:val="24"/>
          <w:szCs w:val="24"/>
        </w:rPr>
        <w:t>.</w:t>
      </w:r>
      <w:r w:rsidRPr="002B3654">
        <w:rPr>
          <w:rFonts w:ascii="Arial" w:hAnsi="Arial" w:cs="Arial"/>
          <w:sz w:val="24"/>
          <w:szCs w:val="24"/>
        </w:rPr>
        <w:t xml:space="preserve"> 'Family background and contemporary changes in young adults’ school-work transitions and family formation in the United States', </w:t>
      </w:r>
      <w:r w:rsidRPr="002B3654">
        <w:rPr>
          <w:rFonts w:ascii="Arial" w:hAnsi="Arial" w:cs="Arial"/>
          <w:i/>
          <w:iCs/>
          <w:sz w:val="24"/>
          <w:szCs w:val="24"/>
        </w:rPr>
        <w:t>Research in Social Stratification and Mobility</w:t>
      </w:r>
      <w:r w:rsidRPr="002B3654">
        <w:rPr>
          <w:rFonts w:ascii="Arial" w:hAnsi="Arial" w:cs="Arial"/>
          <w:sz w:val="24"/>
          <w:szCs w:val="24"/>
        </w:rPr>
        <w:t>, 46 (A), pp. 3</w:t>
      </w:r>
      <w:r w:rsidR="00F95B70">
        <w:rPr>
          <w:rFonts w:ascii="Arial" w:hAnsi="Arial" w:cs="Arial"/>
          <w:sz w:val="24"/>
          <w:szCs w:val="24"/>
        </w:rPr>
        <w:t>–</w:t>
      </w:r>
      <w:r w:rsidRPr="002B3654">
        <w:rPr>
          <w:rFonts w:ascii="Arial" w:hAnsi="Arial" w:cs="Arial"/>
          <w:sz w:val="24"/>
          <w:szCs w:val="24"/>
        </w:rPr>
        <w:t xml:space="preserve">10. Available at: </w:t>
      </w:r>
      <w:hyperlink r:id="rId370" w:history="1">
        <w:r w:rsidRPr="002F0426">
          <w:rPr>
            <w:rStyle w:val="Hyperlink"/>
            <w:rFonts w:ascii="Arial" w:hAnsi="Arial" w:cs="Arial"/>
            <w:sz w:val="24"/>
            <w:szCs w:val="24"/>
          </w:rPr>
          <w:t>https://www-sciencedirect-com.uwtsd.idm.oclc.org/science/article/pii/S0276562416300099</w:t>
        </w:r>
      </w:hyperlink>
      <w:r>
        <w:rPr>
          <w:rFonts w:ascii="Arial" w:hAnsi="Arial" w:cs="Arial"/>
          <w:sz w:val="24"/>
          <w:szCs w:val="24"/>
        </w:rPr>
        <w:t xml:space="preserve"> </w:t>
      </w:r>
      <w:r w:rsidRPr="002B3654">
        <w:rPr>
          <w:rFonts w:ascii="Arial" w:hAnsi="Arial" w:cs="Arial"/>
          <w:sz w:val="24"/>
          <w:szCs w:val="24"/>
        </w:rPr>
        <w:t>(Accessed: 20 March 2026).</w:t>
      </w:r>
    </w:p>
    <w:p w14:paraId="09FA3594" w14:textId="31FF0C8E" w:rsidR="00C2696F" w:rsidRDefault="00C2696F" w:rsidP="009E58ED">
      <w:pPr>
        <w:spacing w:line="360" w:lineRule="auto"/>
        <w:jc w:val="both"/>
        <w:rPr>
          <w:rFonts w:ascii="Arial" w:hAnsi="Arial" w:cs="Arial"/>
          <w:sz w:val="24"/>
          <w:szCs w:val="24"/>
        </w:rPr>
      </w:pPr>
      <w:r w:rsidRPr="00C2696F">
        <w:rPr>
          <w:rFonts w:ascii="Arial" w:hAnsi="Arial" w:cs="Arial"/>
          <w:sz w:val="24"/>
          <w:szCs w:val="24"/>
        </w:rPr>
        <w:t xml:space="preserve">Smith, S., </w:t>
      </w:r>
      <w:proofErr w:type="gramStart"/>
      <w:r w:rsidRPr="00C2696F">
        <w:rPr>
          <w:rFonts w:ascii="Arial" w:hAnsi="Arial" w:cs="Arial"/>
          <w:sz w:val="24"/>
          <w:szCs w:val="24"/>
        </w:rPr>
        <w:t>Taylor-Smith</w:t>
      </w:r>
      <w:proofErr w:type="gramEnd"/>
      <w:r w:rsidRPr="00C2696F">
        <w:rPr>
          <w:rFonts w:ascii="Arial" w:hAnsi="Arial" w:cs="Arial"/>
          <w:sz w:val="24"/>
          <w:szCs w:val="24"/>
        </w:rPr>
        <w:t>, E., Fabian, K., Zarb, M., Paterson, J., Barr, M., and Berg, T. (2021). 'A multi-institutional exploration of the social mobility potential of degree</w:t>
      </w:r>
      <w:r>
        <w:rPr>
          <w:rFonts w:ascii="Arial" w:hAnsi="Arial" w:cs="Arial"/>
          <w:sz w:val="24"/>
          <w:szCs w:val="24"/>
        </w:rPr>
        <w:t xml:space="preserve"> </w:t>
      </w:r>
      <w:r w:rsidRPr="00C2696F">
        <w:rPr>
          <w:rFonts w:ascii="Arial" w:hAnsi="Arial" w:cs="Arial"/>
          <w:sz w:val="24"/>
          <w:szCs w:val="24"/>
        </w:rPr>
        <w:t>apprenticeships', Journal of Education and Work, 34(4), pp. 488</w:t>
      </w:r>
      <w:r>
        <w:rPr>
          <w:rFonts w:ascii="Arial" w:hAnsi="Arial" w:cs="Arial"/>
          <w:sz w:val="24"/>
          <w:szCs w:val="24"/>
        </w:rPr>
        <w:t>–</w:t>
      </w:r>
      <w:r w:rsidRPr="00C2696F">
        <w:rPr>
          <w:rFonts w:ascii="Arial" w:hAnsi="Arial" w:cs="Arial"/>
          <w:sz w:val="24"/>
          <w:szCs w:val="24"/>
        </w:rPr>
        <w:t xml:space="preserve">503. Available at: </w:t>
      </w:r>
      <w:hyperlink r:id="rId371" w:history="1">
        <w:r w:rsidRPr="007D0B0F">
          <w:rPr>
            <w:rStyle w:val="Hyperlink"/>
            <w:rFonts w:ascii="Arial" w:hAnsi="Arial" w:cs="Arial"/>
            <w:sz w:val="24"/>
            <w:szCs w:val="24"/>
          </w:rPr>
          <w:t>https://researchonline.gcu.ac.uk/ws/portalfiles/portal/58499336/A_multi_institutional_exploration_of_the_social_mobility_potential_of_degree_apprenticeships.pdf</w:t>
        </w:r>
      </w:hyperlink>
      <w:r>
        <w:rPr>
          <w:rFonts w:ascii="Arial" w:hAnsi="Arial" w:cs="Arial"/>
          <w:sz w:val="24"/>
          <w:szCs w:val="24"/>
        </w:rPr>
        <w:t xml:space="preserve"> </w:t>
      </w:r>
      <w:r w:rsidRPr="00C2696F">
        <w:rPr>
          <w:rFonts w:ascii="Arial" w:hAnsi="Arial" w:cs="Arial"/>
          <w:sz w:val="24"/>
          <w:szCs w:val="24"/>
        </w:rPr>
        <w:t>(Accessed: 26 March 2026).</w:t>
      </w:r>
    </w:p>
    <w:p w14:paraId="05BBBC16" w14:textId="3BDE0AFA" w:rsidR="00FD6F5D" w:rsidRDefault="00FD6F5D" w:rsidP="009E58ED">
      <w:pPr>
        <w:spacing w:line="360" w:lineRule="auto"/>
        <w:jc w:val="both"/>
        <w:rPr>
          <w:rFonts w:ascii="Arial" w:hAnsi="Arial" w:cs="Arial"/>
          <w:sz w:val="24"/>
          <w:szCs w:val="24"/>
        </w:rPr>
      </w:pPr>
      <w:r w:rsidRPr="00FD6F5D">
        <w:rPr>
          <w:rFonts w:ascii="Arial" w:hAnsi="Arial" w:cs="Arial"/>
          <w:sz w:val="24"/>
          <w:szCs w:val="24"/>
        </w:rPr>
        <w:t xml:space="preserve">Social Exclusion Unit's (SEU). (1998). 'Truancy and School Exclusion Report' (ISBN 0-10-139572-8). Social Exclusion Unit Available at: </w:t>
      </w:r>
      <w:hyperlink r:id="rId372" w:history="1">
        <w:r w:rsidR="0059171A" w:rsidRPr="007D0B0F">
          <w:rPr>
            <w:rStyle w:val="Hyperlink"/>
            <w:rFonts w:ascii="Arial" w:hAnsi="Arial" w:cs="Arial"/>
            <w:sz w:val="24"/>
            <w:szCs w:val="24"/>
          </w:rPr>
          <w:t>https://dera.ioe.ac.uk/id/eprint/5074/2/D5074New.pdf</w:t>
        </w:r>
      </w:hyperlink>
      <w:r w:rsidR="0059171A">
        <w:rPr>
          <w:rFonts w:ascii="Arial" w:hAnsi="Arial" w:cs="Arial"/>
          <w:sz w:val="24"/>
          <w:szCs w:val="24"/>
        </w:rPr>
        <w:t xml:space="preserve"> </w:t>
      </w:r>
      <w:r w:rsidRPr="00FD6F5D">
        <w:rPr>
          <w:rFonts w:ascii="Arial" w:hAnsi="Arial" w:cs="Arial"/>
          <w:sz w:val="24"/>
          <w:szCs w:val="24"/>
        </w:rPr>
        <w:t>(Accessed: 18 March 2026).</w:t>
      </w:r>
    </w:p>
    <w:p w14:paraId="0E032977" w14:textId="0E9F3942" w:rsidR="00774E38" w:rsidRDefault="00774E38" w:rsidP="009E58ED">
      <w:pPr>
        <w:spacing w:line="360" w:lineRule="auto"/>
        <w:jc w:val="both"/>
        <w:rPr>
          <w:rFonts w:ascii="Arial" w:hAnsi="Arial" w:cs="Arial"/>
          <w:sz w:val="24"/>
          <w:szCs w:val="24"/>
        </w:rPr>
      </w:pPr>
      <w:r w:rsidRPr="00774E38">
        <w:rPr>
          <w:rFonts w:ascii="Arial" w:hAnsi="Arial" w:cs="Arial"/>
          <w:sz w:val="24"/>
          <w:szCs w:val="24"/>
        </w:rPr>
        <w:t>Sohdi, R. (2026)</w:t>
      </w:r>
      <w:r>
        <w:rPr>
          <w:rFonts w:ascii="Arial" w:hAnsi="Arial" w:cs="Arial"/>
          <w:sz w:val="24"/>
          <w:szCs w:val="24"/>
        </w:rPr>
        <w:t>.</w:t>
      </w:r>
      <w:r w:rsidRPr="00774E38">
        <w:rPr>
          <w:rFonts w:ascii="Arial" w:hAnsi="Arial" w:cs="Arial"/>
          <w:sz w:val="24"/>
          <w:szCs w:val="24"/>
        </w:rPr>
        <w:t xml:space="preserve"> 'Apprenticeship as social leveller? A critical exploration of vocational pathways through a social justice lens', Education + Training, Issue information, pp. 1</w:t>
      </w:r>
      <w:r>
        <w:rPr>
          <w:rFonts w:ascii="Arial" w:hAnsi="Arial" w:cs="Arial"/>
          <w:sz w:val="24"/>
          <w:szCs w:val="24"/>
        </w:rPr>
        <w:t>–</w:t>
      </w:r>
      <w:r w:rsidRPr="00774E38">
        <w:rPr>
          <w:rFonts w:ascii="Arial" w:hAnsi="Arial" w:cs="Arial"/>
          <w:sz w:val="24"/>
          <w:szCs w:val="24"/>
        </w:rPr>
        <w:t xml:space="preserve">18. Available at: </w:t>
      </w:r>
      <w:hyperlink r:id="rId373" w:history="1">
        <w:r w:rsidRPr="007D0B0F">
          <w:rPr>
            <w:rStyle w:val="Hyperlink"/>
            <w:rFonts w:ascii="Arial" w:hAnsi="Arial" w:cs="Arial"/>
            <w:sz w:val="24"/>
            <w:szCs w:val="24"/>
          </w:rPr>
          <w:t>https://sure.sunderland.ac.uk/id/eprint/19878/1/Apprenticeship%20as%20Social%20Leveller_%20A%20Critical%20Exploration%20of%20Vocational%20Pathways%20through%20a%20Social%20Justice%20Lens.pdf</w:t>
        </w:r>
      </w:hyperlink>
      <w:r>
        <w:rPr>
          <w:rFonts w:ascii="Arial" w:hAnsi="Arial" w:cs="Arial"/>
          <w:sz w:val="24"/>
          <w:szCs w:val="24"/>
        </w:rPr>
        <w:t xml:space="preserve"> </w:t>
      </w:r>
      <w:r w:rsidRPr="00774E38">
        <w:rPr>
          <w:rFonts w:ascii="Arial" w:hAnsi="Arial" w:cs="Arial"/>
          <w:sz w:val="24"/>
          <w:szCs w:val="24"/>
        </w:rPr>
        <w:t>(Accessed: 26 March 2026).</w:t>
      </w:r>
    </w:p>
    <w:p w14:paraId="75239916" w14:textId="43AC383A" w:rsidR="00AF2551" w:rsidRDefault="00AF2551" w:rsidP="009E58ED">
      <w:pPr>
        <w:spacing w:line="360" w:lineRule="auto"/>
        <w:jc w:val="both"/>
        <w:rPr>
          <w:rFonts w:ascii="Arial" w:hAnsi="Arial" w:cs="Arial"/>
          <w:sz w:val="24"/>
          <w:szCs w:val="24"/>
        </w:rPr>
      </w:pPr>
      <w:r w:rsidRPr="00AF2551">
        <w:rPr>
          <w:rFonts w:ascii="Arial" w:hAnsi="Arial" w:cs="Arial"/>
          <w:sz w:val="24"/>
          <w:szCs w:val="24"/>
        </w:rPr>
        <w:t xml:space="preserve">Stacey, C. (2019). Double discrimination?  Unlock. Available at: </w:t>
      </w:r>
      <w:hyperlink r:id="rId374" w:history="1">
        <w:r w:rsidRPr="00172D15">
          <w:rPr>
            <w:rStyle w:val="Hyperlink"/>
            <w:rFonts w:ascii="Arial" w:hAnsi="Arial" w:cs="Arial"/>
            <w:sz w:val="24"/>
            <w:szCs w:val="24"/>
          </w:rPr>
          <w:t>https://unlock.org.uk/wp-content/uploads/2024/03/Double-discrimination-Full-report-July-2019.pdf</w:t>
        </w:r>
      </w:hyperlink>
      <w:r>
        <w:rPr>
          <w:rFonts w:ascii="Arial" w:hAnsi="Arial" w:cs="Arial"/>
          <w:sz w:val="24"/>
          <w:szCs w:val="24"/>
        </w:rPr>
        <w:t xml:space="preserve"> </w:t>
      </w:r>
      <w:r w:rsidRPr="00AF2551">
        <w:rPr>
          <w:rFonts w:ascii="Arial" w:hAnsi="Arial" w:cs="Arial"/>
          <w:sz w:val="24"/>
          <w:szCs w:val="24"/>
        </w:rPr>
        <w:t>(Accessed: 5 April 2026).</w:t>
      </w:r>
    </w:p>
    <w:p w14:paraId="67986DDC" w14:textId="43CBA93D" w:rsidR="00462993" w:rsidRDefault="00462993" w:rsidP="009E58ED">
      <w:pPr>
        <w:spacing w:line="360" w:lineRule="auto"/>
        <w:jc w:val="both"/>
        <w:rPr>
          <w:rFonts w:ascii="Arial" w:hAnsi="Arial" w:cs="Arial"/>
          <w:sz w:val="24"/>
          <w:szCs w:val="24"/>
        </w:rPr>
      </w:pPr>
      <w:r w:rsidRPr="00462993">
        <w:rPr>
          <w:rFonts w:ascii="Arial" w:hAnsi="Arial" w:cs="Arial"/>
          <w:sz w:val="24"/>
          <w:szCs w:val="24"/>
        </w:rPr>
        <w:t>Steel, C. (1997)</w:t>
      </w:r>
      <w:r w:rsidR="00F95B70">
        <w:rPr>
          <w:rFonts w:ascii="Arial" w:hAnsi="Arial" w:cs="Arial"/>
          <w:sz w:val="24"/>
          <w:szCs w:val="24"/>
        </w:rPr>
        <w:t>.</w:t>
      </w:r>
      <w:r w:rsidRPr="00462993">
        <w:rPr>
          <w:rFonts w:ascii="Arial" w:hAnsi="Arial" w:cs="Arial"/>
          <w:sz w:val="24"/>
          <w:szCs w:val="24"/>
        </w:rPr>
        <w:t xml:space="preserve"> 'A Threat in the Air: How Stereotypes Shape Intellectual Identity and Performance', The American Psychologist, 52(6), pp. 613-629. Available at: </w:t>
      </w:r>
      <w:hyperlink r:id="rId375" w:history="1">
        <w:r w:rsidRPr="00FB3832">
          <w:rPr>
            <w:rStyle w:val="Hyperlink"/>
            <w:rFonts w:ascii="Arial" w:hAnsi="Arial" w:cs="Arial"/>
            <w:sz w:val="24"/>
            <w:szCs w:val="24"/>
          </w:rPr>
          <w:t>https://research-ebsco-com.uwtsd.idm.oclc.org/c/onvpsy/viewer/pdf/jtxedwmis5?route=details</w:t>
        </w:r>
      </w:hyperlink>
      <w:r>
        <w:rPr>
          <w:rFonts w:ascii="Arial" w:hAnsi="Arial" w:cs="Arial"/>
          <w:sz w:val="24"/>
          <w:szCs w:val="24"/>
        </w:rPr>
        <w:t xml:space="preserve"> </w:t>
      </w:r>
      <w:r w:rsidRPr="00462993">
        <w:rPr>
          <w:rFonts w:ascii="Arial" w:hAnsi="Arial" w:cs="Arial"/>
          <w:sz w:val="24"/>
          <w:szCs w:val="24"/>
        </w:rPr>
        <w:t>(Accessed: 20 March 2026).</w:t>
      </w:r>
    </w:p>
    <w:p w14:paraId="7A43B23E" w14:textId="3C4CD742" w:rsidR="00D45A04" w:rsidRDefault="00D45A04" w:rsidP="009E58ED">
      <w:pPr>
        <w:spacing w:line="360" w:lineRule="auto"/>
        <w:jc w:val="both"/>
        <w:rPr>
          <w:rFonts w:ascii="Arial" w:hAnsi="Arial" w:cs="Arial"/>
          <w:sz w:val="24"/>
          <w:szCs w:val="24"/>
        </w:rPr>
      </w:pPr>
      <w:r w:rsidRPr="00D45A04">
        <w:rPr>
          <w:rFonts w:ascii="Arial" w:hAnsi="Arial" w:cs="Arial"/>
          <w:sz w:val="24"/>
          <w:szCs w:val="24"/>
        </w:rPr>
        <w:t>Stevenson, H., and Wood, P. (2013)</w:t>
      </w:r>
      <w:r w:rsidR="00F95B70">
        <w:rPr>
          <w:rFonts w:ascii="Arial" w:hAnsi="Arial" w:cs="Arial"/>
          <w:sz w:val="24"/>
          <w:szCs w:val="24"/>
        </w:rPr>
        <w:t>.</w:t>
      </w:r>
      <w:r w:rsidRPr="00D45A04">
        <w:rPr>
          <w:rFonts w:ascii="Arial" w:hAnsi="Arial" w:cs="Arial"/>
          <w:sz w:val="24"/>
          <w:szCs w:val="24"/>
        </w:rPr>
        <w:t xml:space="preserve"> 'Markets, Managerialism and Teachers’</w:t>
      </w:r>
      <w:r>
        <w:rPr>
          <w:rFonts w:ascii="Arial" w:hAnsi="Arial" w:cs="Arial"/>
          <w:sz w:val="24"/>
          <w:szCs w:val="24"/>
        </w:rPr>
        <w:t xml:space="preserve"> </w:t>
      </w:r>
      <w:r w:rsidRPr="00D45A04">
        <w:rPr>
          <w:rFonts w:ascii="Arial" w:hAnsi="Arial" w:cs="Arial"/>
          <w:sz w:val="24"/>
          <w:szCs w:val="24"/>
        </w:rPr>
        <w:t>Work: The Invisible Hand of High-Stakes Testing in England', </w:t>
      </w:r>
      <w:r w:rsidRPr="00D45A04">
        <w:rPr>
          <w:rFonts w:ascii="Arial" w:hAnsi="Arial" w:cs="Arial"/>
          <w:i/>
          <w:iCs/>
          <w:sz w:val="24"/>
          <w:szCs w:val="24"/>
        </w:rPr>
        <w:t>The International Education Journal: Comparative Perspectives, 12(2),</w:t>
      </w:r>
      <w:r w:rsidRPr="00D45A04">
        <w:rPr>
          <w:rFonts w:ascii="Arial" w:hAnsi="Arial" w:cs="Arial"/>
          <w:sz w:val="24"/>
          <w:szCs w:val="24"/>
        </w:rPr>
        <w:t> pp. 42</w:t>
      </w:r>
      <w:r w:rsidR="00F95B70">
        <w:rPr>
          <w:rFonts w:ascii="Arial" w:hAnsi="Arial" w:cs="Arial"/>
          <w:sz w:val="24"/>
          <w:szCs w:val="24"/>
        </w:rPr>
        <w:t>–</w:t>
      </w:r>
      <w:r w:rsidRPr="00D45A04">
        <w:rPr>
          <w:rFonts w:ascii="Arial" w:hAnsi="Arial" w:cs="Arial"/>
          <w:sz w:val="24"/>
          <w:szCs w:val="24"/>
        </w:rPr>
        <w:t xml:space="preserve">61. Available at: </w:t>
      </w:r>
      <w:hyperlink r:id="rId376" w:history="1">
        <w:r w:rsidRPr="00D45A04">
          <w:rPr>
            <w:rStyle w:val="Hyperlink"/>
            <w:rFonts w:ascii="Arial" w:hAnsi="Arial" w:cs="Arial"/>
            <w:sz w:val="24"/>
            <w:szCs w:val="24"/>
          </w:rPr>
          <w:t>https://d1wqtxts1xzle7.cloudfront.net/86343305/EJ1017715-libre.pdf?1653302436=&amp;response-content-disposition=inline%3B+filename%3DMarkets_managerialism_and_teachers_work.pdf&amp;Expires=1775155998&amp;Signature=fSfmEs5uJeVI18jof5McEprj3l6eyvEhfE2cwSjcz5frTA9wJ9uT9QtxRIY-2WVSjReU9gUlzlI31HPokdr06SgNFyGbv69s2fHmsONqHhuHigegqaPHPm-ntHIEiPl~DuUFKTiMC~MHKemUdRHKod5TXML6Tqj19s6KV~14rq8RNJagLOwLIMFzoWLXM25w0XgsZ5fVt09mHhhbLLnYujTM0DI-JBjmeFcz-OQSEN8~HDgS5Xc1sMit4BMayOSFegx3dRALeI7~aPf4hNlQiIfQyX8IogmxQbkobMQ-JFJ7XvNjETKyUkNuQl3hmHatXefmzcTEe8iF0T3KZVwNZg__&amp;Key-Pair-Id=APKAJLOHF5GGSLRBV4ZA</w:t>
        </w:r>
      </w:hyperlink>
      <w:r>
        <w:rPr>
          <w:rFonts w:ascii="Arial" w:hAnsi="Arial" w:cs="Arial"/>
          <w:sz w:val="24"/>
          <w:szCs w:val="24"/>
        </w:rPr>
        <w:t xml:space="preserve"> </w:t>
      </w:r>
      <w:r w:rsidRPr="00D45A04">
        <w:rPr>
          <w:rFonts w:ascii="Arial" w:hAnsi="Arial" w:cs="Arial"/>
          <w:sz w:val="24"/>
          <w:szCs w:val="24"/>
        </w:rPr>
        <w:t>(Accessed: 21 March 2026).</w:t>
      </w:r>
    </w:p>
    <w:p w14:paraId="5089958B" w14:textId="36E6F2C8" w:rsidR="0016144F" w:rsidRDefault="0016144F" w:rsidP="009E58ED">
      <w:pPr>
        <w:spacing w:line="360" w:lineRule="auto"/>
        <w:jc w:val="both"/>
        <w:rPr>
          <w:rFonts w:ascii="Arial" w:hAnsi="Arial" w:cs="Arial"/>
          <w:sz w:val="24"/>
          <w:szCs w:val="24"/>
        </w:rPr>
      </w:pPr>
      <w:r w:rsidRPr="0016144F">
        <w:rPr>
          <w:rFonts w:ascii="Arial" w:hAnsi="Arial" w:cs="Arial"/>
          <w:sz w:val="24"/>
          <w:szCs w:val="24"/>
        </w:rPr>
        <w:t>Strand, S. (2010)</w:t>
      </w:r>
      <w:r w:rsidR="00F95B70">
        <w:rPr>
          <w:rFonts w:ascii="Arial" w:hAnsi="Arial" w:cs="Arial"/>
          <w:sz w:val="24"/>
          <w:szCs w:val="24"/>
        </w:rPr>
        <w:t>.</w:t>
      </w:r>
      <w:r w:rsidRPr="0016144F">
        <w:rPr>
          <w:rFonts w:ascii="Arial" w:hAnsi="Arial" w:cs="Arial"/>
          <w:sz w:val="24"/>
          <w:szCs w:val="24"/>
        </w:rPr>
        <w:t xml:space="preserve"> 'Do some schools narrow the gap? Diﬀerential school eﬀectiveness by ethnicity, gender, poverty, and prior achievement</w:t>
      </w:r>
      <w:r w:rsidR="00462993">
        <w:rPr>
          <w:rFonts w:ascii="Arial" w:hAnsi="Arial" w:cs="Arial"/>
          <w:sz w:val="24"/>
          <w:szCs w:val="24"/>
        </w:rPr>
        <w:t>’</w:t>
      </w:r>
      <w:r w:rsidRPr="0016144F">
        <w:rPr>
          <w:rFonts w:ascii="Arial" w:hAnsi="Arial" w:cs="Arial"/>
          <w:sz w:val="24"/>
          <w:szCs w:val="24"/>
        </w:rPr>
        <w:t>, </w:t>
      </w:r>
      <w:r w:rsidRPr="0016144F">
        <w:rPr>
          <w:rFonts w:ascii="Arial" w:hAnsi="Arial" w:cs="Arial"/>
          <w:i/>
          <w:iCs/>
          <w:sz w:val="24"/>
          <w:szCs w:val="24"/>
        </w:rPr>
        <w:t>School Eﬀectiveness and School Improvement</w:t>
      </w:r>
      <w:r w:rsidRPr="0016144F">
        <w:rPr>
          <w:rFonts w:ascii="Arial" w:hAnsi="Arial" w:cs="Arial"/>
          <w:sz w:val="24"/>
          <w:szCs w:val="24"/>
        </w:rPr>
        <w:t>, 21(3), pp. 289</w:t>
      </w:r>
      <w:r w:rsidR="00F95B70">
        <w:rPr>
          <w:rFonts w:ascii="Arial" w:hAnsi="Arial" w:cs="Arial"/>
          <w:sz w:val="24"/>
          <w:szCs w:val="24"/>
        </w:rPr>
        <w:t>–</w:t>
      </w:r>
      <w:r w:rsidRPr="0016144F">
        <w:rPr>
          <w:rFonts w:ascii="Arial" w:hAnsi="Arial" w:cs="Arial"/>
          <w:sz w:val="24"/>
          <w:szCs w:val="24"/>
        </w:rPr>
        <w:t xml:space="preserve">314. Available at: </w:t>
      </w:r>
      <w:hyperlink r:id="rId377" w:history="1">
        <w:r w:rsidR="0044054E" w:rsidRPr="002F0426">
          <w:rPr>
            <w:rStyle w:val="Hyperlink"/>
            <w:rFonts w:ascii="Arial" w:hAnsi="Arial" w:cs="Arial"/>
            <w:sz w:val="24"/>
            <w:szCs w:val="24"/>
          </w:rPr>
          <w:t>https://www.tandfonline.com/doi/epdf/10.1080/09243451003732651?needAccess=true</w:t>
        </w:r>
      </w:hyperlink>
      <w:r w:rsidR="0044054E">
        <w:rPr>
          <w:rFonts w:ascii="Arial" w:hAnsi="Arial" w:cs="Arial"/>
          <w:sz w:val="24"/>
          <w:szCs w:val="24"/>
        </w:rPr>
        <w:t xml:space="preserve"> </w:t>
      </w:r>
      <w:r w:rsidRPr="0016144F">
        <w:rPr>
          <w:rFonts w:ascii="Arial" w:hAnsi="Arial" w:cs="Arial"/>
          <w:sz w:val="24"/>
          <w:szCs w:val="24"/>
        </w:rPr>
        <w:t>(Accessed: 17 March 2026).</w:t>
      </w:r>
    </w:p>
    <w:p w14:paraId="186A906E" w14:textId="4AE5A647" w:rsidR="00007EDF" w:rsidRDefault="00007EDF" w:rsidP="009E58ED">
      <w:pPr>
        <w:spacing w:line="360" w:lineRule="auto"/>
        <w:jc w:val="both"/>
        <w:rPr>
          <w:rFonts w:ascii="Arial" w:hAnsi="Arial" w:cs="Arial"/>
          <w:sz w:val="24"/>
          <w:szCs w:val="24"/>
        </w:rPr>
      </w:pPr>
      <w:r w:rsidRPr="00007EDF">
        <w:rPr>
          <w:rFonts w:ascii="Arial" w:hAnsi="Arial" w:cs="Arial"/>
          <w:sz w:val="24"/>
          <w:szCs w:val="24"/>
        </w:rPr>
        <w:t xml:space="preserve">Strayhorn, T. (2019). College Students’ Sense of Belonging: A Key to Educational Success for All Students. Routledge. Available at: </w:t>
      </w:r>
      <w:hyperlink r:id="rId378" w:history="1">
        <w:r w:rsidRPr="007D0B0F">
          <w:rPr>
            <w:rStyle w:val="Hyperlink"/>
            <w:rFonts w:ascii="Arial" w:hAnsi="Arial" w:cs="Arial"/>
            <w:sz w:val="24"/>
            <w:szCs w:val="24"/>
          </w:rPr>
          <w:t>https://www.researchgate.net/profile/Terrell-Strayhorn/publication/328109869_College_Students'_Sense_of_Belonging/links/5c3a847c92851c22a370cdfd/College-Students-Sense-of-Belonging.pdf</w:t>
        </w:r>
      </w:hyperlink>
      <w:r>
        <w:rPr>
          <w:rFonts w:ascii="Arial" w:hAnsi="Arial" w:cs="Arial"/>
          <w:sz w:val="24"/>
          <w:szCs w:val="24"/>
        </w:rPr>
        <w:t xml:space="preserve"> </w:t>
      </w:r>
      <w:r w:rsidRPr="00007EDF">
        <w:rPr>
          <w:rFonts w:ascii="Arial" w:hAnsi="Arial" w:cs="Arial"/>
          <w:sz w:val="24"/>
          <w:szCs w:val="24"/>
        </w:rPr>
        <w:t>(Accessed: 24 March 2026).</w:t>
      </w:r>
    </w:p>
    <w:p w14:paraId="402328BA" w14:textId="38739A78" w:rsidR="00710D49" w:rsidRDefault="00710D49" w:rsidP="009E58ED">
      <w:pPr>
        <w:spacing w:line="360" w:lineRule="auto"/>
        <w:jc w:val="both"/>
        <w:rPr>
          <w:rFonts w:ascii="Arial" w:hAnsi="Arial" w:cs="Arial"/>
          <w:sz w:val="24"/>
          <w:szCs w:val="24"/>
        </w:rPr>
      </w:pPr>
      <w:r w:rsidRPr="005E289D">
        <w:rPr>
          <w:rFonts w:ascii="Arial" w:hAnsi="Arial" w:cs="Arial"/>
          <w:sz w:val="24"/>
          <w:szCs w:val="24"/>
        </w:rPr>
        <w:t>Snyder, H. (2019)</w:t>
      </w:r>
      <w:r w:rsidR="00F95B70">
        <w:rPr>
          <w:rFonts w:ascii="Arial" w:hAnsi="Arial" w:cs="Arial"/>
          <w:sz w:val="24"/>
          <w:szCs w:val="24"/>
        </w:rPr>
        <w:t>.</w:t>
      </w:r>
      <w:r w:rsidRPr="005E289D">
        <w:rPr>
          <w:rFonts w:ascii="Arial" w:hAnsi="Arial" w:cs="Arial"/>
          <w:sz w:val="24"/>
          <w:szCs w:val="24"/>
        </w:rPr>
        <w:t xml:space="preserve"> 'Literature review as a research methodology: An overview and guidelines', Journal of Business Research, 104, pp. 333</w:t>
      </w:r>
      <w:r w:rsidR="00F95B70">
        <w:rPr>
          <w:rFonts w:ascii="Arial" w:hAnsi="Arial" w:cs="Arial"/>
          <w:sz w:val="24"/>
          <w:szCs w:val="24"/>
        </w:rPr>
        <w:t>–</w:t>
      </w:r>
      <w:r w:rsidRPr="005E289D">
        <w:rPr>
          <w:rFonts w:ascii="Arial" w:hAnsi="Arial" w:cs="Arial"/>
          <w:sz w:val="24"/>
          <w:szCs w:val="24"/>
        </w:rPr>
        <w:t xml:space="preserve">339. Available at: </w:t>
      </w:r>
      <w:hyperlink r:id="rId379" w:history="1">
        <w:r w:rsidRPr="001228C1">
          <w:rPr>
            <w:rStyle w:val="Hyperlink"/>
            <w:rFonts w:ascii="Arial" w:hAnsi="Arial" w:cs="Arial"/>
            <w:sz w:val="24"/>
            <w:szCs w:val="24"/>
          </w:rPr>
          <w:t>https://www.sciencedirect.com/science/article/pii/S0148296319304564</w:t>
        </w:r>
      </w:hyperlink>
      <w:r>
        <w:rPr>
          <w:rFonts w:ascii="Arial" w:hAnsi="Arial" w:cs="Arial"/>
          <w:sz w:val="24"/>
          <w:szCs w:val="24"/>
        </w:rPr>
        <w:t xml:space="preserve"> </w:t>
      </w:r>
      <w:r w:rsidRPr="005E289D">
        <w:rPr>
          <w:rFonts w:ascii="Arial" w:hAnsi="Arial" w:cs="Arial"/>
          <w:sz w:val="24"/>
          <w:szCs w:val="24"/>
        </w:rPr>
        <w:t>(Accessed: 6 March 2026).</w:t>
      </w:r>
    </w:p>
    <w:p w14:paraId="52452271" w14:textId="02ED2ADE" w:rsidR="00A15C70" w:rsidRDefault="00A15C70" w:rsidP="009E58ED">
      <w:pPr>
        <w:spacing w:line="360" w:lineRule="auto"/>
        <w:jc w:val="both"/>
        <w:rPr>
          <w:rFonts w:ascii="Arial" w:hAnsi="Arial" w:cs="Arial"/>
          <w:sz w:val="24"/>
          <w:szCs w:val="24"/>
        </w:rPr>
      </w:pPr>
      <w:r w:rsidRPr="00A15C70">
        <w:rPr>
          <w:rFonts w:ascii="Arial" w:hAnsi="Arial" w:cs="Arial"/>
          <w:sz w:val="24"/>
          <w:szCs w:val="24"/>
        </w:rPr>
        <w:t>Strand, S. (2012)</w:t>
      </w:r>
      <w:r w:rsidR="00F95B70">
        <w:rPr>
          <w:rFonts w:ascii="Arial" w:hAnsi="Arial" w:cs="Arial"/>
          <w:sz w:val="24"/>
          <w:szCs w:val="24"/>
        </w:rPr>
        <w:t>.</w:t>
      </w:r>
      <w:r w:rsidRPr="00A15C70">
        <w:rPr>
          <w:rFonts w:ascii="Arial" w:hAnsi="Arial" w:cs="Arial"/>
          <w:sz w:val="24"/>
          <w:szCs w:val="24"/>
        </w:rPr>
        <w:t xml:space="preserve"> 'The White British–Black Caribbean achievement gap: tests, tiers and teacher expectations', British Educational Research Journal, 38(1), pp. 75</w:t>
      </w:r>
      <w:r w:rsidR="00F95B70">
        <w:rPr>
          <w:rFonts w:ascii="Arial" w:hAnsi="Arial" w:cs="Arial"/>
          <w:sz w:val="24"/>
          <w:szCs w:val="24"/>
        </w:rPr>
        <w:t>–</w:t>
      </w:r>
      <w:r w:rsidRPr="00A15C70">
        <w:rPr>
          <w:rFonts w:ascii="Arial" w:hAnsi="Arial" w:cs="Arial"/>
          <w:sz w:val="24"/>
          <w:szCs w:val="24"/>
        </w:rPr>
        <w:t xml:space="preserve">101. Available at: </w:t>
      </w:r>
      <w:hyperlink r:id="rId380" w:history="1">
        <w:r w:rsidRPr="00F821EF">
          <w:rPr>
            <w:rStyle w:val="Hyperlink"/>
            <w:rFonts w:ascii="Arial" w:hAnsi="Arial" w:cs="Arial"/>
            <w:sz w:val="24"/>
            <w:szCs w:val="24"/>
          </w:rPr>
          <w:t>https://bera-journals.onlinelibrary.wiley.com/doi/epdf/10.1080/01411926.2010.526702</w:t>
        </w:r>
      </w:hyperlink>
      <w:r>
        <w:rPr>
          <w:rFonts w:ascii="Arial" w:hAnsi="Arial" w:cs="Arial"/>
          <w:sz w:val="24"/>
          <w:szCs w:val="24"/>
        </w:rPr>
        <w:t xml:space="preserve"> </w:t>
      </w:r>
      <w:r w:rsidRPr="00A15C70">
        <w:rPr>
          <w:rFonts w:ascii="Arial" w:hAnsi="Arial" w:cs="Arial"/>
          <w:sz w:val="24"/>
          <w:szCs w:val="24"/>
        </w:rPr>
        <w:t>(Accessed: 19 March 2026).</w:t>
      </w:r>
    </w:p>
    <w:p w14:paraId="0D275B4D" w14:textId="78FF542E" w:rsidR="00CE2165" w:rsidRDefault="00CE2165" w:rsidP="009E58ED">
      <w:pPr>
        <w:spacing w:line="360" w:lineRule="auto"/>
        <w:jc w:val="both"/>
        <w:rPr>
          <w:rFonts w:ascii="Arial" w:hAnsi="Arial" w:cs="Arial"/>
          <w:sz w:val="24"/>
          <w:szCs w:val="24"/>
        </w:rPr>
      </w:pPr>
      <w:r w:rsidRPr="00CE2165">
        <w:rPr>
          <w:rFonts w:ascii="Arial" w:hAnsi="Arial" w:cs="Arial"/>
          <w:sz w:val="24"/>
          <w:szCs w:val="24"/>
        </w:rPr>
        <w:t>Stuber, J. (2011</w:t>
      </w:r>
      <w:r w:rsidR="00F95B70" w:rsidRPr="00CE2165">
        <w:rPr>
          <w:rFonts w:ascii="Arial" w:hAnsi="Arial" w:cs="Arial"/>
          <w:sz w:val="24"/>
          <w:szCs w:val="24"/>
        </w:rPr>
        <w:t>).</w:t>
      </w:r>
      <w:r w:rsidR="00F95B70">
        <w:rPr>
          <w:rFonts w:ascii="Arial" w:hAnsi="Arial" w:cs="Arial"/>
          <w:i/>
          <w:iCs/>
          <w:sz w:val="24"/>
          <w:szCs w:val="24"/>
        </w:rPr>
        <w:t xml:space="preserve"> Inside the College Gates:</w:t>
      </w:r>
      <w:r w:rsidRPr="00CE2165">
        <w:rPr>
          <w:rFonts w:ascii="Arial" w:hAnsi="Arial" w:cs="Arial"/>
          <w:i/>
          <w:iCs/>
          <w:sz w:val="24"/>
          <w:szCs w:val="24"/>
        </w:rPr>
        <w:t xml:space="preserve"> How Class and Culture Matter in Higher Education.</w:t>
      </w:r>
      <w:r w:rsidRPr="00CE2165">
        <w:rPr>
          <w:rFonts w:ascii="Arial" w:hAnsi="Arial" w:cs="Arial"/>
          <w:sz w:val="24"/>
          <w:szCs w:val="24"/>
        </w:rPr>
        <w:t xml:space="preserve"> Lexington Books. Available at: </w:t>
      </w:r>
      <w:hyperlink r:id="rId381" w:history="1">
        <w:r w:rsidRPr="002F0426">
          <w:rPr>
            <w:rStyle w:val="Hyperlink"/>
            <w:rFonts w:ascii="Arial" w:hAnsi="Arial" w:cs="Arial"/>
            <w:sz w:val="24"/>
            <w:szCs w:val="24"/>
          </w:rPr>
          <w:t>https://raggeduniversity.co.uk/wp-content/uploads/2025/07/1_x_Inside-the-college-gates-_-how-class-and-culture-matter-in-Jenny-M_-Stuber.pdf</w:t>
        </w:r>
      </w:hyperlink>
      <w:r>
        <w:rPr>
          <w:rFonts w:ascii="Arial" w:hAnsi="Arial" w:cs="Arial"/>
          <w:sz w:val="24"/>
          <w:szCs w:val="24"/>
        </w:rPr>
        <w:t xml:space="preserve"> </w:t>
      </w:r>
      <w:r w:rsidRPr="00CE2165">
        <w:rPr>
          <w:rFonts w:ascii="Arial" w:hAnsi="Arial" w:cs="Arial"/>
          <w:sz w:val="24"/>
          <w:szCs w:val="24"/>
        </w:rPr>
        <w:t>(Accessed: 17 March 2026).</w:t>
      </w:r>
    </w:p>
    <w:p w14:paraId="13B4FC5F" w14:textId="366FD5D8" w:rsidR="006F5543" w:rsidRDefault="006F5543" w:rsidP="009E58ED">
      <w:pPr>
        <w:spacing w:line="360" w:lineRule="auto"/>
        <w:jc w:val="both"/>
        <w:rPr>
          <w:rFonts w:ascii="Arial" w:hAnsi="Arial" w:cs="Arial"/>
          <w:sz w:val="24"/>
          <w:szCs w:val="24"/>
        </w:rPr>
      </w:pPr>
      <w:r w:rsidRPr="006F5543">
        <w:rPr>
          <w:rFonts w:ascii="Arial" w:hAnsi="Arial" w:cs="Arial"/>
          <w:sz w:val="24"/>
          <w:szCs w:val="24"/>
        </w:rPr>
        <w:t xml:space="preserve">Strunk, W., </w:t>
      </w:r>
      <w:r>
        <w:rPr>
          <w:rFonts w:ascii="Arial" w:hAnsi="Arial" w:cs="Arial"/>
          <w:sz w:val="24"/>
          <w:szCs w:val="24"/>
        </w:rPr>
        <w:t xml:space="preserve">and </w:t>
      </w:r>
      <w:r w:rsidRPr="006F5543">
        <w:rPr>
          <w:rFonts w:ascii="Arial" w:hAnsi="Arial" w:cs="Arial"/>
          <w:sz w:val="24"/>
          <w:szCs w:val="24"/>
        </w:rPr>
        <w:t>White, E. (1979)</w:t>
      </w:r>
      <w:r>
        <w:rPr>
          <w:rFonts w:ascii="Arial" w:hAnsi="Arial" w:cs="Arial"/>
          <w:sz w:val="24"/>
          <w:szCs w:val="24"/>
        </w:rPr>
        <w:t>.</w:t>
      </w:r>
      <w:r w:rsidRPr="006F5543">
        <w:rPr>
          <w:rFonts w:ascii="Arial" w:hAnsi="Arial" w:cs="Arial"/>
          <w:i/>
          <w:iCs/>
          <w:sz w:val="24"/>
          <w:szCs w:val="24"/>
        </w:rPr>
        <w:t xml:space="preserve"> The Elements of Style.</w:t>
      </w:r>
      <w:r w:rsidRPr="006F5543">
        <w:rPr>
          <w:rFonts w:ascii="Arial" w:hAnsi="Arial" w:cs="Arial"/>
          <w:sz w:val="24"/>
          <w:szCs w:val="24"/>
        </w:rPr>
        <w:t> Macmillan Publishing.co.inc. Available at:</w:t>
      </w:r>
      <w:r w:rsidR="0076145A">
        <w:rPr>
          <w:rFonts w:ascii="Arial" w:hAnsi="Arial" w:cs="Arial"/>
          <w:sz w:val="24"/>
          <w:szCs w:val="24"/>
        </w:rPr>
        <w:t xml:space="preserve"> </w:t>
      </w:r>
      <w:hyperlink r:id="rId382" w:history="1">
        <w:r w:rsidR="0076145A" w:rsidRPr="001228C1">
          <w:rPr>
            <w:rStyle w:val="Hyperlink"/>
            <w:rFonts w:ascii="Arial" w:hAnsi="Arial" w:cs="Arial"/>
            <w:sz w:val="24"/>
            <w:szCs w:val="24"/>
          </w:rPr>
          <w:t>https://faculty.washington.edu/heagerty/Courses/b572/public/StrunkWhite.pdf</w:t>
        </w:r>
      </w:hyperlink>
      <w:r>
        <w:rPr>
          <w:rFonts w:ascii="Arial" w:hAnsi="Arial" w:cs="Arial"/>
          <w:sz w:val="24"/>
          <w:szCs w:val="24"/>
        </w:rPr>
        <w:t xml:space="preserve"> </w:t>
      </w:r>
      <w:r w:rsidRPr="006F5543">
        <w:rPr>
          <w:rFonts w:ascii="Arial" w:hAnsi="Arial" w:cs="Arial"/>
          <w:sz w:val="24"/>
          <w:szCs w:val="24"/>
        </w:rPr>
        <w:t>(Accessed: 12 March 2026).</w:t>
      </w:r>
    </w:p>
    <w:p w14:paraId="4FA42091" w14:textId="0FD19087" w:rsidR="007D142E" w:rsidRDefault="007D142E" w:rsidP="009E58ED">
      <w:pPr>
        <w:spacing w:line="360" w:lineRule="auto"/>
        <w:jc w:val="both"/>
        <w:rPr>
          <w:rFonts w:ascii="Arial" w:hAnsi="Arial" w:cs="Arial"/>
          <w:sz w:val="24"/>
          <w:szCs w:val="24"/>
        </w:rPr>
      </w:pPr>
      <w:r w:rsidRPr="007D142E">
        <w:rPr>
          <w:rFonts w:ascii="Arial" w:hAnsi="Arial" w:cs="Arial"/>
          <w:sz w:val="24"/>
          <w:szCs w:val="24"/>
        </w:rPr>
        <w:t>Swanson, D., Cunningham, M., and Spencer, M. (2003). 'Black Males’ Structural Conditions, Achievement Patterns, Normative Needs and "Opportunities"', Urban Education, 38(5), pp. 608</w:t>
      </w:r>
      <w:r w:rsidR="00F95B70">
        <w:rPr>
          <w:rFonts w:ascii="Arial" w:hAnsi="Arial" w:cs="Arial"/>
          <w:sz w:val="24"/>
          <w:szCs w:val="24"/>
        </w:rPr>
        <w:t>–</w:t>
      </w:r>
      <w:r w:rsidRPr="007D142E">
        <w:rPr>
          <w:rFonts w:ascii="Arial" w:hAnsi="Arial" w:cs="Arial"/>
          <w:sz w:val="24"/>
          <w:szCs w:val="24"/>
        </w:rPr>
        <w:t xml:space="preserve">633. Available at: </w:t>
      </w:r>
      <w:hyperlink r:id="rId383" w:history="1">
        <w:r w:rsidRPr="00FB3832">
          <w:rPr>
            <w:rStyle w:val="Hyperlink"/>
            <w:rFonts w:ascii="Arial" w:hAnsi="Arial" w:cs="Arial"/>
            <w:sz w:val="24"/>
            <w:szCs w:val="24"/>
          </w:rPr>
          <w:t>https://journals.sagepub.com/doi/epdf/10.1177/0042085903256218</w:t>
        </w:r>
      </w:hyperlink>
      <w:r>
        <w:rPr>
          <w:rFonts w:ascii="Arial" w:hAnsi="Arial" w:cs="Arial"/>
          <w:sz w:val="24"/>
          <w:szCs w:val="24"/>
        </w:rPr>
        <w:t xml:space="preserve"> </w:t>
      </w:r>
      <w:r w:rsidRPr="007D142E">
        <w:rPr>
          <w:rFonts w:ascii="Arial" w:hAnsi="Arial" w:cs="Arial"/>
          <w:sz w:val="24"/>
          <w:szCs w:val="24"/>
        </w:rPr>
        <w:t>(Accessed: 20 March 2026).</w:t>
      </w:r>
    </w:p>
    <w:p w14:paraId="301B91AC" w14:textId="167671A3" w:rsidR="00161C51" w:rsidRDefault="00161C51" w:rsidP="009E58ED">
      <w:pPr>
        <w:spacing w:line="360" w:lineRule="auto"/>
        <w:jc w:val="both"/>
        <w:rPr>
          <w:rFonts w:ascii="Arial" w:hAnsi="Arial" w:cs="Arial"/>
          <w:sz w:val="24"/>
          <w:szCs w:val="24"/>
        </w:rPr>
      </w:pPr>
      <w:r w:rsidRPr="00161C51">
        <w:rPr>
          <w:rFonts w:ascii="Arial" w:hAnsi="Arial" w:cs="Arial"/>
          <w:sz w:val="24"/>
          <w:szCs w:val="24"/>
        </w:rPr>
        <w:t>Tait, A. (2004)</w:t>
      </w:r>
      <w:r>
        <w:rPr>
          <w:rFonts w:ascii="Arial" w:hAnsi="Arial" w:cs="Arial"/>
          <w:sz w:val="24"/>
          <w:szCs w:val="24"/>
        </w:rPr>
        <w:t>.</w:t>
      </w:r>
      <w:r w:rsidRPr="00161C51">
        <w:rPr>
          <w:rFonts w:ascii="Arial" w:hAnsi="Arial" w:cs="Arial"/>
          <w:sz w:val="24"/>
          <w:szCs w:val="24"/>
        </w:rPr>
        <w:t xml:space="preserve"> </w:t>
      </w:r>
      <w:r w:rsidR="00E73659" w:rsidRPr="00161C51">
        <w:rPr>
          <w:rFonts w:ascii="Arial" w:hAnsi="Arial" w:cs="Arial"/>
          <w:sz w:val="24"/>
          <w:szCs w:val="24"/>
        </w:rPr>
        <w:t xml:space="preserve">'Planning </w:t>
      </w:r>
      <w:r w:rsidR="00E73659">
        <w:rPr>
          <w:rFonts w:ascii="Arial" w:hAnsi="Arial" w:cs="Arial"/>
          <w:sz w:val="24"/>
          <w:szCs w:val="24"/>
        </w:rPr>
        <w:t>a</w:t>
      </w:r>
      <w:r w:rsidR="00E73659" w:rsidRPr="00161C51">
        <w:rPr>
          <w:rFonts w:ascii="Arial" w:hAnsi="Arial" w:cs="Arial"/>
          <w:sz w:val="24"/>
          <w:szCs w:val="24"/>
        </w:rPr>
        <w:t>nd Management of Learner Support</w:t>
      </w:r>
      <w:r w:rsidRPr="00161C51">
        <w:rPr>
          <w:rFonts w:ascii="Arial" w:hAnsi="Arial" w:cs="Arial"/>
          <w:sz w:val="24"/>
          <w:szCs w:val="24"/>
        </w:rPr>
        <w:t>: Management of Services to Students ', in J. Brindley, C. Walti, O. Zawacki-Richter (Eds.), Learner Support in</w:t>
      </w:r>
      <w:r>
        <w:rPr>
          <w:rFonts w:ascii="Arial" w:hAnsi="Arial" w:cs="Arial"/>
          <w:sz w:val="24"/>
          <w:szCs w:val="24"/>
        </w:rPr>
        <w:t xml:space="preserve"> </w:t>
      </w:r>
      <w:r w:rsidRPr="00161C51">
        <w:rPr>
          <w:rFonts w:ascii="Arial" w:hAnsi="Arial" w:cs="Arial"/>
          <w:sz w:val="24"/>
          <w:szCs w:val="24"/>
        </w:rPr>
        <w:t>Open, Distance and Online Learning Environments. BIS-Verlag der Carl von Ossietzky Universität Oldenburg, pp. 205</w:t>
      </w:r>
      <w:r>
        <w:rPr>
          <w:rFonts w:ascii="Arial" w:hAnsi="Arial" w:cs="Arial"/>
          <w:sz w:val="24"/>
          <w:szCs w:val="24"/>
        </w:rPr>
        <w:t>–</w:t>
      </w:r>
      <w:r w:rsidRPr="00161C51">
        <w:rPr>
          <w:rFonts w:ascii="Arial" w:hAnsi="Arial" w:cs="Arial"/>
          <w:sz w:val="24"/>
          <w:szCs w:val="24"/>
        </w:rPr>
        <w:t xml:space="preserve">218. Available at: </w:t>
      </w:r>
      <w:hyperlink r:id="rId384" w:anchor="page=284" w:history="1">
        <w:r w:rsidRPr="007D0B0F">
          <w:rPr>
            <w:rStyle w:val="Hyperlink"/>
            <w:rFonts w:ascii="Arial" w:hAnsi="Arial" w:cs="Arial"/>
            <w:sz w:val="24"/>
            <w:szCs w:val="24"/>
          </w:rPr>
          <w:t>https://www.researchgate.net/profile/Alan-Tait-3/publication/237705066_On_Institutional_Models_and_Concepts_of_Student_Support_Services_The_Case_of_the_Open_University_UK/links/545001680cf24e8f7374ad42/On-Institutional-Models-and-Concepts-of-Student-Support-Services-The-Case-of-the-Open-University-UK.pdf#page=284</w:t>
        </w:r>
      </w:hyperlink>
      <w:r>
        <w:rPr>
          <w:rFonts w:ascii="Arial" w:hAnsi="Arial" w:cs="Arial"/>
          <w:sz w:val="24"/>
          <w:szCs w:val="24"/>
        </w:rPr>
        <w:t xml:space="preserve"> </w:t>
      </w:r>
      <w:r w:rsidRPr="00161C51">
        <w:rPr>
          <w:rFonts w:ascii="Arial" w:hAnsi="Arial" w:cs="Arial"/>
          <w:sz w:val="24"/>
          <w:szCs w:val="24"/>
        </w:rPr>
        <w:t>(Accessed: 24 March 2026).</w:t>
      </w:r>
    </w:p>
    <w:p w14:paraId="4D4010BB" w14:textId="62F2A543" w:rsidR="00135025" w:rsidRDefault="00135025" w:rsidP="009E58ED">
      <w:pPr>
        <w:spacing w:line="360" w:lineRule="auto"/>
        <w:jc w:val="both"/>
        <w:rPr>
          <w:rFonts w:ascii="Arial" w:hAnsi="Arial" w:cs="Arial"/>
          <w:sz w:val="24"/>
          <w:szCs w:val="24"/>
        </w:rPr>
      </w:pPr>
      <w:r w:rsidRPr="00135025">
        <w:rPr>
          <w:rFonts w:ascii="Arial" w:hAnsi="Arial" w:cs="Arial"/>
          <w:sz w:val="24"/>
          <w:szCs w:val="24"/>
        </w:rPr>
        <w:t>Tate, S., and Bagguley, P. (2017)</w:t>
      </w:r>
      <w:r w:rsidR="00F95B70">
        <w:rPr>
          <w:rFonts w:ascii="Arial" w:hAnsi="Arial" w:cs="Arial"/>
          <w:sz w:val="24"/>
          <w:szCs w:val="24"/>
        </w:rPr>
        <w:t>.</w:t>
      </w:r>
      <w:r w:rsidRPr="00135025">
        <w:rPr>
          <w:rFonts w:ascii="Arial" w:hAnsi="Arial" w:cs="Arial"/>
          <w:sz w:val="24"/>
          <w:szCs w:val="24"/>
        </w:rPr>
        <w:t xml:space="preserve"> 'Building the anti-racist university: next steps', </w:t>
      </w:r>
      <w:r w:rsidRPr="00135025">
        <w:rPr>
          <w:rFonts w:ascii="Arial" w:hAnsi="Arial" w:cs="Arial"/>
          <w:i/>
          <w:iCs/>
          <w:sz w:val="24"/>
          <w:szCs w:val="24"/>
        </w:rPr>
        <w:t>Race Ethnicity and Education</w:t>
      </w:r>
      <w:r w:rsidRPr="00135025">
        <w:rPr>
          <w:rFonts w:ascii="Arial" w:hAnsi="Arial" w:cs="Arial"/>
          <w:sz w:val="24"/>
          <w:szCs w:val="24"/>
        </w:rPr>
        <w:t>, 20(3), pp. 289</w:t>
      </w:r>
      <w:r w:rsidR="00F95B70">
        <w:rPr>
          <w:rFonts w:ascii="Arial" w:hAnsi="Arial" w:cs="Arial"/>
          <w:sz w:val="24"/>
          <w:szCs w:val="24"/>
        </w:rPr>
        <w:t>–</w:t>
      </w:r>
      <w:r w:rsidRPr="00135025">
        <w:rPr>
          <w:rFonts w:ascii="Arial" w:hAnsi="Arial" w:cs="Arial"/>
          <w:sz w:val="24"/>
          <w:szCs w:val="24"/>
        </w:rPr>
        <w:t xml:space="preserve">299. Available at: </w:t>
      </w:r>
      <w:hyperlink r:id="rId385" w:anchor="d1e125" w:history="1">
        <w:r w:rsidRPr="007D0B0F">
          <w:rPr>
            <w:rStyle w:val="Hyperlink"/>
            <w:rFonts w:ascii="Arial" w:hAnsi="Arial" w:cs="Arial"/>
            <w:sz w:val="24"/>
            <w:szCs w:val="24"/>
          </w:rPr>
          <w:t>https://www.tandfonline.com/doi/full/10.1080/13613324.2016.1260227#d1e125</w:t>
        </w:r>
      </w:hyperlink>
      <w:r>
        <w:rPr>
          <w:rFonts w:ascii="Arial" w:hAnsi="Arial" w:cs="Arial"/>
          <w:sz w:val="24"/>
          <w:szCs w:val="24"/>
        </w:rPr>
        <w:t xml:space="preserve"> </w:t>
      </w:r>
      <w:r w:rsidRPr="00135025">
        <w:rPr>
          <w:rFonts w:ascii="Arial" w:hAnsi="Arial" w:cs="Arial"/>
          <w:sz w:val="24"/>
          <w:szCs w:val="24"/>
        </w:rPr>
        <w:t>(Accessed: 23 March 2026).</w:t>
      </w:r>
    </w:p>
    <w:p w14:paraId="584F8AFD" w14:textId="4465BBE3" w:rsidR="00F86D01" w:rsidRDefault="00F86D01" w:rsidP="009E58ED">
      <w:pPr>
        <w:spacing w:line="360" w:lineRule="auto"/>
        <w:jc w:val="both"/>
        <w:rPr>
          <w:rFonts w:ascii="Arial" w:hAnsi="Arial" w:cs="Arial"/>
          <w:sz w:val="24"/>
          <w:szCs w:val="24"/>
        </w:rPr>
      </w:pPr>
      <w:r w:rsidRPr="00F86D01">
        <w:rPr>
          <w:rFonts w:ascii="Arial" w:hAnsi="Arial" w:cs="Arial"/>
          <w:sz w:val="24"/>
          <w:szCs w:val="24"/>
        </w:rPr>
        <w:t xml:space="preserve">Tenet Law (2022) Cash-strapped students falling prey to money mule fraud. Available at: </w:t>
      </w:r>
      <w:hyperlink r:id="rId386" w:history="1">
        <w:r w:rsidRPr="007D0B0F">
          <w:rPr>
            <w:rStyle w:val="Hyperlink"/>
            <w:rFonts w:ascii="Arial" w:hAnsi="Arial" w:cs="Arial"/>
            <w:sz w:val="24"/>
            <w:szCs w:val="24"/>
          </w:rPr>
          <w:t>https://tenetlaw.co.uk/articles/cash-strapped-students-falling-prey-to-money-mule-fraud/</w:t>
        </w:r>
      </w:hyperlink>
      <w:r>
        <w:rPr>
          <w:rFonts w:ascii="Arial" w:hAnsi="Arial" w:cs="Arial"/>
          <w:sz w:val="24"/>
          <w:szCs w:val="24"/>
        </w:rPr>
        <w:t xml:space="preserve"> </w:t>
      </w:r>
      <w:r w:rsidRPr="00F86D01">
        <w:rPr>
          <w:rFonts w:ascii="Arial" w:hAnsi="Arial" w:cs="Arial"/>
          <w:sz w:val="24"/>
          <w:szCs w:val="24"/>
        </w:rPr>
        <w:t>(Accessed: 2 April 2026).</w:t>
      </w:r>
    </w:p>
    <w:p w14:paraId="154D1905" w14:textId="343C082B" w:rsidR="00AD4B56" w:rsidRDefault="00AD4B56" w:rsidP="009E58ED">
      <w:pPr>
        <w:spacing w:line="360" w:lineRule="auto"/>
        <w:jc w:val="both"/>
        <w:rPr>
          <w:rFonts w:ascii="Arial" w:hAnsi="Arial" w:cs="Arial"/>
          <w:sz w:val="24"/>
          <w:szCs w:val="24"/>
        </w:rPr>
      </w:pPr>
      <w:r w:rsidRPr="00AD4B56">
        <w:rPr>
          <w:rFonts w:ascii="Arial" w:hAnsi="Arial" w:cs="Arial"/>
          <w:sz w:val="24"/>
          <w:szCs w:val="24"/>
        </w:rPr>
        <w:t>The Bradley Commission (2014)</w:t>
      </w:r>
      <w:r>
        <w:rPr>
          <w:rFonts w:ascii="Arial" w:hAnsi="Arial" w:cs="Arial"/>
          <w:sz w:val="24"/>
          <w:szCs w:val="24"/>
        </w:rPr>
        <w:t>.</w:t>
      </w:r>
      <w:r w:rsidRPr="00AD4B56">
        <w:rPr>
          <w:rFonts w:ascii="Arial" w:hAnsi="Arial" w:cs="Arial"/>
          <w:sz w:val="24"/>
          <w:szCs w:val="24"/>
        </w:rPr>
        <w:t xml:space="preserve"> The Bradley Report five years on: An independent review of progress to date and priorities for further development: People from black and minority ethnic</w:t>
      </w:r>
      <w:r>
        <w:rPr>
          <w:rFonts w:ascii="Arial" w:hAnsi="Arial" w:cs="Arial"/>
          <w:sz w:val="24"/>
          <w:szCs w:val="24"/>
        </w:rPr>
        <w:t xml:space="preserve"> </w:t>
      </w:r>
      <w:r w:rsidRPr="00AD4B56">
        <w:rPr>
          <w:rFonts w:ascii="Arial" w:hAnsi="Arial" w:cs="Arial"/>
          <w:sz w:val="24"/>
          <w:szCs w:val="24"/>
        </w:rPr>
        <w:t>communities. Centre for Mental Health</w:t>
      </w:r>
      <w:r>
        <w:rPr>
          <w:rFonts w:ascii="Arial" w:hAnsi="Arial" w:cs="Arial"/>
          <w:sz w:val="24"/>
          <w:szCs w:val="24"/>
        </w:rPr>
        <w:t>.</w:t>
      </w:r>
      <w:r w:rsidRPr="00AD4B56">
        <w:rPr>
          <w:rFonts w:ascii="Arial" w:hAnsi="Arial" w:cs="Arial"/>
          <w:sz w:val="24"/>
          <w:szCs w:val="24"/>
        </w:rPr>
        <w:t xml:space="preserve"> Available at:  </w:t>
      </w:r>
      <w:hyperlink r:id="rId387" w:history="1">
        <w:r w:rsidRPr="00172D15">
          <w:rPr>
            <w:rStyle w:val="Hyperlink"/>
            <w:rFonts w:ascii="Arial" w:hAnsi="Arial" w:cs="Arial"/>
            <w:sz w:val="24"/>
            <w:szCs w:val="24"/>
          </w:rPr>
          <w:t>https://www.centreformentalhealth.org.uk/wp-content/uploads/2018/09/bradley5years.pdf</w:t>
        </w:r>
      </w:hyperlink>
      <w:r>
        <w:rPr>
          <w:rFonts w:ascii="Arial" w:hAnsi="Arial" w:cs="Arial"/>
          <w:sz w:val="24"/>
          <w:szCs w:val="24"/>
        </w:rPr>
        <w:t xml:space="preserve"> </w:t>
      </w:r>
      <w:r w:rsidRPr="00AD4B56">
        <w:rPr>
          <w:rFonts w:ascii="Arial" w:hAnsi="Arial" w:cs="Arial"/>
          <w:sz w:val="24"/>
          <w:szCs w:val="24"/>
        </w:rPr>
        <w:t>(Accessed: 5 April 2026).</w:t>
      </w:r>
    </w:p>
    <w:p w14:paraId="67C99D49" w14:textId="55E26398" w:rsidR="00772A80" w:rsidRDefault="00772A80" w:rsidP="009E58ED">
      <w:pPr>
        <w:spacing w:line="360" w:lineRule="auto"/>
        <w:jc w:val="both"/>
        <w:rPr>
          <w:rFonts w:ascii="Arial" w:hAnsi="Arial" w:cs="Arial"/>
          <w:sz w:val="24"/>
          <w:szCs w:val="24"/>
        </w:rPr>
      </w:pPr>
      <w:r w:rsidRPr="00772A80">
        <w:rPr>
          <w:rFonts w:ascii="Arial" w:hAnsi="Arial" w:cs="Arial"/>
          <w:sz w:val="24"/>
          <w:szCs w:val="24"/>
        </w:rPr>
        <w:t xml:space="preserve">The Department of the Treasury (TDOTT) (2024) 2024 National Money Laundering Risk Assessment.  Available at:  </w:t>
      </w:r>
      <w:hyperlink r:id="rId388" w:history="1">
        <w:r w:rsidRPr="007D0B0F">
          <w:rPr>
            <w:rStyle w:val="Hyperlink"/>
            <w:rFonts w:ascii="Arial" w:hAnsi="Arial" w:cs="Arial"/>
            <w:sz w:val="24"/>
            <w:szCs w:val="24"/>
          </w:rPr>
          <w:t>https://home.treasury.gov/system/files/136/2024-National-Money-Laundering-Risk-Assessment.pdf</w:t>
        </w:r>
      </w:hyperlink>
      <w:r>
        <w:rPr>
          <w:rFonts w:ascii="Arial" w:hAnsi="Arial" w:cs="Arial"/>
          <w:sz w:val="24"/>
          <w:szCs w:val="24"/>
        </w:rPr>
        <w:t xml:space="preserve"> </w:t>
      </w:r>
      <w:r w:rsidRPr="00772A80">
        <w:rPr>
          <w:rFonts w:ascii="Arial" w:hAnsi="Arial" w:cs="Arial"/>
          <w:sz w:val="24"/>
          <w:szCs w:val="24"/>
        </w:rPr>
        <w:t>(Accessed: 1 April 2026).</w:t>
      </w:r>
    </w:p>
    <w:p w14:paraId="221A7200" w14:textId="7FD7366F" w:rsidR="00BC4D76" w:rsidRDefault="00BC4D76" w:rsidP="009E58ED">
      <w:pPr>
        <w:spacing w:line="360" w:lineRule="auto"/>
        <w:jc w:val="both"/>
        <w:rPr>
          <w:rFonts w:ascii="Arial" w:hAnsi="Arial" w:cs="Arial"/>
          <w:sz w:val="24"/>
          <w:szCs w:val="24"/>
        </w:rPr>
      </w:pPr>
      <w:r w:rsidRPr="00BC4D76">
        <w:rPr>
          <w:rFonts w:ascii="Arial" w:hAnsi="Arial" w:cs="Arial"/>
          <w:sz w:val="24"/>
          <w:szCs w:val="24"/>
        </w:rPr>
        <w:t>The Youth Violence Commission (2018). </w:t>
      </w:r>
      <w:r w:rsidRPr="00BC4D76">
        <w:rPr>
          <w:rFonts w:ascii="Arial" w:hAnsi="Arial" w:cs="Arial"/>
          <w:i/>
          <w:iCs/>
          <w:sz w:val="24"/>
          <w:szCs w:val="24"/>
        </w:rPr>
        <w:t>The Youth Violence Commission Interim Report July 2018</w:t>
      </w:r>
      <w:r w:rsidRPr="00BC4D76">
        <w:rPr>
          <w:rFonts w:ascii="Arial" w:hAnsi="Arial" w:cs="Arial"/>
          <w:sz w:val="24"/>
          <w:szCs w:val="24"/>
        </w:rPr>
        <w:t xml:space="preserve">. Available at: </w:t>
      </w:r>
      <w:hyperlink r:id="rId389" w:history="1">
        <w:r w:rsidRPr="007D0B0F">
          <w:rPr>
            <w:rStyle w:val="Hyperlink"/>
            <w:rFonts w:ascii="Arial" w:hAnsi="Arial" w:cs="Arial"/>
            <w:sz w:val="24"/>
            <w:szCs w:val="24"/>
          </w:rPr>
          <w:t>https://www.yvcommission.com/_files/ugd/ad2256_d4b4f677734a4a4b86cb5833cfcee53f.pdf</w:t>
        </w:r>
      </w:hyperlink>
      <w:r>
        <w:rPr>
          <w:rFonts w:ascii="Arial" w:hAnsi="Arial" w:cs="Arial"/>
          <w:sz w:val="24"/>
          <w:szCs w:val="24"/>
        </w:rPr>
        <w:t xml:space="preserve"> </w:t>
      </w:r>
      <w:r w:rsidRPr="00BC4D76">
        <w:rPr>
          <w:rFonts w:ascii="Arial" w:hAnsi="Arial" w:cs="Arial"/>
          <w:sz w:val="24"/>
          <w:szCs w:val="24"/>
        </w:rPr>
        <w:t>(Accessed: 22 March 2026).</w:t>
      </w:r>
    </w:p>
    <w:p w14:paraId="73710A5E" w14:textId="2FE022FC" w:rsidR="004962B8" w:rsidRDefault="004962B8" w:rsidP="009E58ED">
      <w:pPr>
        <w:spacing w:line="360" w:lineRule="auto"/>
        <w:jc w:val="both"/>
        <w:rPr>
          <w:rFonts w:ascii="Arial" w:hAnsi="Arial" w:cs="Arial"/>
          <w:sz w:val="24"/>
          <w:szCs w:val="24"/>
        </w:rPr>
      </w:pPr>
      <w:r w:rsidRPr="004962B8">
        <w:rPr>
          <w:rFonts w:ascii="Arial" w:hAnsi="Arial" w:cs="Arial"/>
          <w:sz w:val="24"/>
          <w:szCs w:val="24"/>
        </w:rPr>
        <w:t>Thomson, P., and Pennacchia, J. (2015)</w:t>
      </w:r>
      <w:r w:rsidR="00A04673">
        <w:rPr>
          <w:rFonts w:ascii="Arial" w:hAnsi="Arial" w:cs="Arial"/>
          <w:sz w:val="24"/>
          <w:szCs w:val="24"/>
        </w:rPr>
        <w:t>.</w:t>
      </w:r>
      <w:r w:rsidRPr="004962B8">
        <w:rPr>
          <w:rFonts w:ascii="Arial" w:hAnsi="Arial" w:cs="Arial"/>
          <w:sz w:val="24"/>
          <w:szCs w:val="24"/>
        </w:rPr>
        <w:t xml:space="preserve"> 'Disciplinary regimes of ‘care’ and complementary alternative education', </w:t>
      </w:r>
      <w:r w:rsidRPr="004962B8">
        <w:rPr>
          <w:rFonts w:ascii="Arial" w:hAnsi="Arial" w:cs="Arial"/>
          <w:i/>
          <w:iCs/>
          <w:sz w:val="24"/>
          <w:szCs w:val="24"/>
        </w:rPr>
        <w:t>Critical Studies in Education</w:t>
      </w:r>
      <w:r w:rsidRPr="004962B8">
        <w:rPr>
          <w:rFonts w:ascii="Arial" w:hAnsi="Arial" w:cs="Arial"/>
          <w:sz w:val="24"/>
          <w:szCs w:val="24"/>
        </w:rPr>
        <w:t>, 57(1), pp. 84</w:t>
      </w:r>
      <w:r w:rsidR="00A04673">
        <w:rPr>
          <w:rFonts w:ascii="Arial" w:hAnsi="Arial" w:cs="Arial"/>
          <w:sz w:val="24"/>
          <w:szCs w:val="24"/>
        </w:rPr>
        <w:t>–</w:t>
      </w:r>
      <w:r w:rsidRPr="004962B8">
        <w:rPr>
          <w:rFonts w:ascii="Arial" w:hAnsi="Arial" w:cs="Arial"/>
          <w:sz w:val="24"/>
          <w:szCs w:val="24"/>
        </w:rPr>
        <w:t xml:space="preserve">99. Available at: </w:t>
      </w:r>
      <w:hyperlink r:id="rId390" w:anchor="d1e158" w:history="1">
        <w:r w:rsidRPr="007D0B0F">
          <w:rPr>
            <w:rStyle w:val="Hyperlink"/>
            <w:rFonts w:ascii="Arial" w:hAnsi="Arial" w:cs="Arial"/>
            <w:sz w:val="24"/>
            <w:szCs w:val="24"/>
          </w:rPr>
          <w:t>https://www.tandfonline.com/doi/full/10.1080/17508487.2016.1117506?scroll=top&amp;needAccess=true#d1e158</w:t>
        </w:r>
      </w:hyperlink>
      <w:r>
        <w:rPr>
          <w:rFonts w:ascii="Arial" w:hAnsi="Arial" w:cs="Arial"/>
          <w:sz w:val="24"/>
          <w:szCs w:val="24"/>
        </w:rPr>
        <w:t xml:space="preserve"> </w:t>
      </w:r>
      <w:r w:rsidRPr="004962B8">
        <w:rPr>
          <w:rFonts w:ascii="Arial" w:hAnsi="Arial" w:cs="Arial"/>
          <w:sz w:val="24"/>
          <w:szCs w:val="24"/>
        </w:rPr>
        <w:t>(Accessed: 21 March 2026).</w:t>
      </w:r>
    </w:p>
    <w:p w14:paraId="1F80391D" w14:textId="6BFD7908" w:rsidR="00A04673" w:rsidRDefault="00A04673" w:rsidP="009E58ED">
      <w:pPr>
        <w:spacing w:line="360" w:lineRule="auto"/>
        <w:jc w:val="both"/>
        <w:rPr>
          <w:rFonts w:ascii="Arial" w:hAnsi="Arial" w:cs="Arial"/>
          <w:sz w:val="24"/>
          <w:szCs w:val="24"/>
        </w:rPr>
      </w:pPr>
      <w:proofErr w:type="spellStart"/>
      <w:r w:rsidRPr="00A04673">
        <w:rPr>
          <w:rFonts w:ascii="Arial" w:hAnsi="Arial" w:cs="Arial"/>
          <w:sz w:val="24"/>
          <w:szCs w:val="24"/>
        </w:rPr>
        <w:t>Timitimi</w:t>
      </w:r>
      <w:proofErr w:type="spellEnd"/>
      <w:r w:rsidRPr="00A04673">
        <w:rPr>
          <w:rFonts w:ascii="Arial" w:hAnsi="Arial" w:cs="Arial"/>
          <w:sz w:val="24"/>
          <w:szCs w:val="24"/>
        </w:rPr>
        <w:t>, E., and Spencer, L. (2022)</w:t>
      </w:r>
      <w:r>
        <w:rPr>
          <w:rFonts w:ascii="Arial" w:hAnsi="Arial" w:cs="Arial"/>
          <w:sz w:val="24"/>
          <w:szCs w:val="24"/>
        </w:rPr>
        <w:t>.</w:t>
      </w:r>
      <w:r w:rsidRPr="00A04673">
        <w:rPr>
          <w:rFonts w:ascii="Arial" w:hAnsi="Arial" w:cs="Arial"/>
          <w:sz w:val="24"/>
          <w:szCs w:val="24"/>
        </w:rPr>
        <w:t xml:space="preserve"> 'Academic Mentorship and Lecturers' Performance: A Survey </w:t>
      </w:r>
      <w:r>
        <w:rPr>
          <w:rFonts w:ascii="Arial" w:hAnsi="Arial" w:cs="Arial"/>
          <w:sz w:val="24"/>
          <w:szCs w:val="24"/>
        </w:rPr>
        <w:t>o</w:t>
      </w:r>
      <w:r w:rsidRPr="00A04673">
        <w:rPr>
          <w:rFonts w:ascii="Arial" w:hAnsi="Arial" w:cs="Arial"/>
          <w:sz w:val="24"/>
          <w:szCs w:val="24"/>
        </w:rPr>
        <w:t xml:space="preserve">f Tertiary Institutions </w:t>
      </w:r>
      <w:r>
        <w:rPr>
          <w:rFonts w:ascii="Arial" w:hAnsi="Arial" w:cs="Arial"/>
          <w:sz w:val="24"/>
          <w:szCs w:val="24"/>
        </w:rPr>
        <w:t>in</w:t>
      </w:r>
      <w:r w:rsidRPr="00A04673">
        <w:rPr>
          <w:rFonts w:ascii="Arial" w:hAnsi="Arial" w:cs="Arial"/>
          <w:sz w:val="24"/>
          <w:szCs w:val="24"/>
        </w:rPr>
        <w:t xml:space="preserve"> Bayelsa State', </w:t>
      </w:r>
      <w:r w:rsidRPr="00A04673">
        <w:rPr>
          <w:rFonts w:ascii="Arial" w:hAnsi="Arial" w:cs="Arial"/>
          <w:i/>
          <w:iCs/>
          <w:sz w:val="24"/>
          <w:szCs w:val="24"/>
        </w:rPr>
        <w:t>Nigerian Journal of Management Sciences</w:t>
      </w:r>
      <w:r w:rsidRPr="00A04673">
        <w:rPr>
          <w:rFonts w:ascii="Arial" w:hAnsi="Arial" w:cs="Arial"/>
          <w:sz w:val="24"/>
          <w:szCs w:val="24"/>
        </w:rPr>
        <w:t>, 23(1), pp. 1</w:t>
      </w:r>
      <w:r>
        <w:rPr>
          <w:rFonts w:ascii="Arial" w:hAnsi="Arial" w:cs="Arial"/>
          <w:sz w:val="24"/>
          <w:szCs w:val="24"/>
        </w:rPr>
        <w:t>–</w:t>
      </w:r>
      <w:r w:rsidRPr="00A04673">
        <w:rPr>
          <w:rFonts w:ascii="Arial" w:hAnsi="Arial" w:cs="Arial"/>
          <w:sz w:val="24"/>
          <w:szCs w:val="24"/>
        </w:rPr>
        <w:t xml:space="preserve">14. Available at: </w:t>
      </w:r>
      <w:hyperlink r:id="rId391" w:history="1">
        <w:r w:rsidRPr="007D0B0F">
          <w:rPr>
            <w:rStyle w:val="Hyperlink"/>
            <w:rFonts w:ascii="Arial" w:hAnsi="Arial" w:cs="Arial"/>
            <w:sz w:val="24"/>
            <w:szCs w:val="24"/>
          </w:rPr>
          <w:t>https://nigerianjournalofmanagementsciences.com/wp-content/uploads/2022/03/6.-ACADEMIC-MENTORSHIP-AND-LECTURERS-PERFORMANCE.pdf</w:t>
        </w:r>
      </w:hyperlink>
      <w:r>
        <w:rPr>
          <w:rFonts w:ascii="Arial" w:hAnsi="Arial" w:cs="Arial"/>
          <w:sz w:val="24"/>
          <w:szCs w:val="24"/>
        </w:rPr>
        <w:t xml:space="preserve"> </w:t>
      </w:r>
      <w:r w:rsidRPr="00A04673">
        <w:rPr>
          <w:rFonts w:ascii="Arial" w:hAnsi="Arial" w:cs="Arial"/>
          <w:sz w:val="24"/>
          <w:szCs w:val="24"/>
        </w:rPr>
        <w:t>(Accessed: 24 March 2026).</w:t>
      </w:r>
    </w:p>
    <w:p w14:paraId="4B1832C9" w14:textId="5AA71DD6" w:rsidR="008968EA" w:rsidRDefault="008968EA" w:rsidP="009E58ED">
      <w:pPr>
        <w:spacing w:line="360" w:lineRule="auto"/>
        <w:jc w:val="both"/>
        <w:rPr>
          <w:rFonts w:ascii="Arial" w:hAnsi="Arial" w:cs="Arial"/>
          <w:sz w:val="24"/>
          <w:szCs w:val="24"/>
        </w:rPr>
      </w:pPr>
      <w:r w:rsidRPr="008968EA">
        <w:rPr>
          <w:rFonts w:ascii="Arial" w:hAnsi="Arial" w:cs="Arial"/>
          <w:sz w:val="24"/>
          <w:szCs w:val="24"/>
        </w:rPr>
        <w:t>Torraco, R. (2005)</w:t>
      </w:r>
      <w:r w:rsidR="00F95B70">
        <w:rPr>
          <w:rFonts w:ascii="Arial" w:hAnsi="Arial" w:cs="Arial"/>
          <w:sz w:val="24"/>
          <w:szCs w:val="24"/>
        </w:rPr>
        <w:t>.</w:t>
      </w:r>
      <w:r w:rsidRPr="008968EA">
        <w:rPr>
          <w:rFonts w:ascii="Arial" w:hAnsi="Arial" w:cs="Arial"/>
          <w:sz w:val="24"/>
          <w:szCs w:val="24"/>
        </w:rPr>
        <w:t xml:space="preserve"> 'Writing Integrative Literature Reviews: Guidelines and Examples', </w:t>
      </w:r>
      <w:r w:rsidRPr="008968EA">
        <w:rPr>
          <w:rFonts w:ascii="Arial" w:hAnsi="Arial" w:cs="Arial"/>
          <w:i/>
          <w:iCs/>
          <w:sz w:val="24"/>
          <w:szCs w:val="24"/>
        </w:rPr>
        <w:t>Human Resource Development Review</w:t>
      </w:r>
      <w:r w:rsidRPr="008968EA">
        <w:rPr>
          <w:rFonts w:ascii="Arial" w:hAnsi="Arial" w:cs="Arial"/>
          <w:sz w:val="24"/>
          <w:szCs w:val="24"/>
        </w:rPr>
        <w:t>, 4 (3), pp. 356</w:t>
      </w:r>
      <w:r w:rsidR="00A04673">
        <w:rPr>
          <w:rFonts w:ascii="Arial" w:hAnsi="Arial" w:cs="Arial"/>
          <w:sz w:val="24"/>
          <w:szCs w:val="24"/>
        </w:rPr>
        <w:t>–</w:t>
      </w:r>
      <w:r w:rsidRPr="008968EA">
        <w:rPr>
          <w:rFonts w:ascii="Arial" w:hAnsi="Arial" w:cs="Arial"/>
          <w:sz w:val="24"/>
          <w:szCs w:val="24"/>
        </w:rPr>
        <w:t xml:space="preserve">367. Available at: </w:t>
      </w:r>
      <w:hyperlink r:id="rId392" w:history="1">
        <w:r w:rsidRPr="001228C1">
          <w:rPr>
            <w:rStyle w:val="Hyperlink"/>
            <w:rFonts w:ascii="Arial" w:hAnsi="Arial" w:cs="Arial"/>
            <w:sz w:val="24"/>
            <w:szCs w:val="24"/>
          </w:rPr>
          <w:t>https://journals-sagepub-com.uwtsd.idm.oclc.org/doi/abs/10.1177/1534484305278283</w:t>
        </w:r>
      </w:hyperlink>
      <w:r>
        <w:rPr>
          <w:rFonts w:ascii="Arial" w:hAnsi="Arial" w:cs="Arial"/>
          <w:sz w:val="24"/>
          <w:szCs w:val="24"/>
        </w:rPr>
        <w:t xml:space="preserve"> </w:t>
      </w:r>
      <w:r w:rsidRPr="008968EA">
        <w:rPr>
          <w:rFonts w:ascii="Arial" w:hAnsi="Arial" w:cs="Arial"/>
          <w:sz w:val="24"/>
          <w:szCs w:val="24"/>
        </w:rPr>
        <w:t>(Accessed: 12 March 2026).</w:t>
      </w:r>
    </w:p>
    <w:p w14:paraId="239DA515" w14:textId="055FB6EA" w:rsidR="001C1A47" w:rsidRDefault="001C1A47" w:rsidP="009E58ED">
      <w:pPr>
        <w:spacing w:line="360" w:lineRule="auto"/>
        <w:jc w:val="both"/>
        <w:rPr>
          <w:rFonts w:ascii="Arial" w:hAnsi="Arial" w:cs="Arial"/>
          <w:sz w:val="24"/>
          <w:szCs w:val="24"/>
        </w:rPr>
      </w:pPr>
      <w:r w:rsidRPr="00E85377">
        <w:rPr>
          <w:rFonts w:ascii="Arial" w:hAnsi="Arial" w:cs="Arial"/>
          <w:sz w:val="24"/>
          <w:szCs w:val="24"/>
        </w:rPr>
        <w:t>Tranfield, D., Denyer, D., and Smart, P. (2003)</w:t>
      </w:r>
      <w:r w:rsidR="00F95B70">
        <w:rPr>
          <w:rFonts w:ascii="Arial" w:hAnsi="Arial" w:cs="Arial"/>
          <w:sz w:val="24"/>
          <w:szCs w:val="24"/>
        </w:rPr>
        <w:t>.</w:t>
      </w:r>
      <w:r w:rsidRPr="00E85377">
        <w:rPr>
          <w:rFonts w:ascii="Arial" w:hAnsi="Arial" w:cs="Arial"/>
          <w:sz w:val="24"/>
          <w:szCs w:val="24"/>
        </w:rPr>
        <w:t xml:space="preserve"> 'Towards a Methodology for Developing Evidence-Informed Management Knowledge by Means of Systematic Review', British Journal of Management, 14, pp. 207</w:t>
      </w:r>
      <w:r w:rsidR="00F95B70">
        <w:rPr>
          <w:rFonts w:ascii="Arial" w:hAnsi="Arial" w:cs="Arial"/>
          <w:sz w:val="24"/>
          <w:szCs w:val="24"/>
        </w:rPr>
        <w:t>–</w:t>
      </w:r>
      <w:r w:rsidRPr="00E85377">
        <w:rPr>
          <w:rFonts w:ascii="Arial" w:hAnsi="Arial" w:cs="Arial"/>
          <w:sz w:val="24"/>
          <w:szCs w:val="24"/>
        </w:rPr>
        <w:t xml:space="preserve">222. Available at: </w:t>
      </w:r>
      <w:hyperlink r:id="rId393" w:history="1">
        <w:r w:rsidRPr="00D94FAA">
          <w:rPr>
            <w:rStyle w:val="Hyperlink"/>
            <w:rFonts w:ascii="Arial" w:hAnsi="Arial" w:cs="Arial"/>
            <w:sz w:val="24"/>
            <w:szCs w:val="24"/>
          </w:rPr>
          <w:t>https://onlinelibrary.wiley.com/doi/epdf/10.1111/1467-8551.00375?saml_referrer</w:t>
        </w:r>
      </w:hyperlink>
      <w:r>
        <w:rPr>
          <w:rFonts w:ascii="Arial" w:hAnsi="Arial" w:cs="Arial"/>
          <w:sz w:val="24"/>
          <w:szCs w:val="24"/>
        </w:rPr>
        <w:t xml:space="preserve"> </w:t>
      </w:r>
      <w:r w:rsidRPr="00E85377">
        <w:rPr>
          <w:rFonts w:ascii="Arial" w:hAnsi="Arial" w:cs="Arial"/>
          <w:sz w:val="24"/>
          <w:szCs w:val="24"/>
        </w:rPr>
        <w:t>(Accessed: 28 February 2026).</w:t>
      </w:r>
    </w:p>
    <w:p w14:paraId="4BC62AD5" w14:textId="207D0F2D" w:rsidR="00EA64F8" w:rsidRDefault="00EA64F8" w:rsidP="009E58ED">
      <w:pPr>
        <w:spacing w:line="360" w:lineRule="auto"/>
        <w:jc w:val="both"/>
        <w:rPr>
          <w:rFonts w:ascii="Arial" w:hAnsi="Arial" w:cs="Arial"/>
          <w:sz w:val="24"/>
          <w:szCs w:val="24"/>
        </w:rPr>
      </w:pPr>
      <w:r w:rsidRPr="00EA64F8">
        <w:rPr>
          <w:rFonts w:ascii="Arial" w:hAnsi="Arial" w:cs="Arial"/>
          <w:sz w:val="24"/>
          <w:szCs w:val="24"/>
        </w:rPr>
        <w:t>Tsui, A., Egan, T., and O'Reilly, C. (1992)</w:t>
      </w:r>
      <w:r w:rsidR="00F95B70">
        <w:rPr>
          <w:rFonts w:ascii="Arial" w:hAnsi="Arial" w:cs="Arial"/>
          <w:sz w:val="24"/>
          <w:szCs w:val="24"/>
        </w:rPr>
        <w:t>.</w:t>
      </w:r>
      <w:r w:rsidRPr="00EA64F8">
        <w:rPr>
          <w:rFonts w:ascii="Arial" w:hAnsi="Arial" w:cs="Arial"/>
          <w:sz w:val="24"/>
          <w:szCs w:val="24"/>
        </w:rPr>
        <w:t xml:space="preserve"> 'Being Different: Relational Demography and Organizational Attachment', </w:t>
      </w:r>
      <w:r w:rsidRPr="00EA64F8">
        <w:rPr>
          <w:rFonts w:ascii="Arial" w:hAnsi="Arial" w:cs="Arial"/>
          <w:i/>
          <w:iCs/>
          <w:sz w:val="24"/>
          <w:szCs w:val="24"/>
        </w:rPr>
        <w:t>Administrative Science Quarterly</w:t>
      </w:r>
      <w:r w:rsidRPr="00EA64F8">
        <w:rPr>
          <w:rFonts w:ascii="Arial" w:hAnsi="Arial" w:cs="Arial"/>
          <w:sz w:val="24"/>
          <w:szCs w:val="24"/>
        </w:rPr>
        <w:t>, 37(4), pp. 549</w:t>
      </w:r>
      <w:r w:rsidR="00F95B70">
        <w:rPr>
          <w:rFonts w:ascii="Arial" w:hAnsi="Arial" w:cs="Arial"/>
          <w:sz w:val="24"/>
          <w:szCs w:val="24"/>
        </w:rPr>
        <w:t>–</w:t>
      </w:r>
      <w:r w:rsidRPr="00EA64F8">
        <w:rPr>
          <w:rFonts w:ascii="Arial" w:hAnsi="Arial" w:cs="Arial"/>
          <w:sz w:val="24"/>
          <w:szCs w:val="24"/>
        </w:rPr>
        <w:t xml:space="preserve">579. Available at: </w:t>
      </w:r>
      <w:hyperlink r:id="rId394" w:history="1">
        <w:r w:rsidRPr="00FB3832">
          <w:rPr>
            <w:rStyle w:val="Hyperlink"/>
            <w:rFonts w:ascii="Arial" w:hAnsi="Arial" w:cs="Arial"/>
            <w:sz w:val="24"/>
            <w:szCs w:val="24"/>
          </w:rPr>
          <w:t>https://www.academia.edu/27510948/Being_Different_Relational_Demography_and_Organizational_Attachment</w:t>
        </w:r>
      </w:hyperlink>
      <w:r>
        <w:rPr>
          <w:rFonts w:ascii="Arial" w:hAnsi="Arial" w:cs="Arial"/>
          <w:sz w:val="24"/>
          <w:szCs w:val="24"/>
        </w:rPr>
        <w:t xml:space="preserve"> </w:t>
      </w:r>
      <w:r w:rsidRPr="00EA64F8">
        <w:rPr>
          <w:rFonts w:ascii="Arial" w:hAnsi="Arial" w:cs="Arial"/>
          <w:sz w:val="24"/>
          <w:szCs w:val="24"/>
        </w:rPr>
        <w:t>(Accessed: 20 March 2026).</w:t>
      </w:r>
    </w:p>
    <w:p w14:paraId="5D41FFB3" w14:textId="2DEBFBEE" w:rsidR="00E536F4" w:rsidRDefault="00E536F4" w:rsidP="009E58ED">
      <w:pPr>
        <w:spacing w:line="360" w:lineRule="auto"/>
        <w:jc w:val="both"/>
        <w:rPr>
          <w:rFonts w:ascii="Arial" w:hAnsi="Arial" w:cs="Arial"/>
          <w:sz w:val="24"/>
          <w:szCs w:val="24"/>
        </w:rPr>
      </w:pPr>
      <w:proofErr w:type="spellStart"/>
      <w:r w:rsidRPr="00E536F4">
        <w:rPr>
          <w:rFonts w:ascii="Arial" w:hAnsi="Arial" w:cs="Arial"/>
          <w:sz w:val="24"/>
          <w:szCs w:val="24"/>
        </w:rPr>
        <w:lastRenderedPageBreak/>
        <w:t>Tufanaru</w:t>
      </w:r>
      <w:proofErr w:type="spellEnd"/>
      <w:r w:rsidRPr="00E536F4">
        <w:rPr>
          <w:rFonts w:ascii="Arial" w:hAnsi="Arial" w:cs="Arial"/>
          <w:sz w:val="24"/>
          <w:szCs w:val="24"/>
        </w:rPr>
        <w:t xml:space="preserve">, C., Munn, Z., Stephenson, M., and </w:t>
      </w:r>
      <w:proofErr w:type="spellStart"/>
      <w:r w:rsidRPr="00E536F4">
        <w:rPr>
          <w:rFonts w:ascii="Arial" w:hAnsi="Arial" w:cs="Arial"/>
          <w:sz w:val="24"/>
          <w:szCs w:val="24"/>
        </w:rPr>
        <w:t>Aromataris</w:t>
      </w:r>
      <w:proofErr w:type="spellEnd"/>
      <w:r w:rsidRPr="00E536F4">
        <w:rPr>
          <w:rFonts w:ascii="Arial" w:hAnsi="Arial" w:cs="Arial"/>
          <w:sz w:val="24"/>
          <w:szCs w:val="24"/>
        </w:rPr>
        <w:t xml:space="preserve">, E. (2015). 'Fixed or random effects meta-analysis? Common methodological issues in systematic reviews of effectiveness', International Journal of Evidence-Based Healthcare, 13, pp. 196-207. Available at: </w:t>
      </w:r>
      <w:hyperlink r:id="rId395" w:history="1">
        <w:r w:rsidRPr="005C7CBD">
          <w:rPr>
            <w:rStyle w:val="Hyperlink"/>
            <w:rFonts w:ascii="Arial" w:hAnsi="Arial" w:cs="Arial"/>
            <w:sz w:val="24"/>
            <w:szCs w:val="24"/>
          </w:rPr>
          <w:t>https://test.legeweb.com/media/350613/fixed_or_random_effects_meta_analysis__common.12.pdf</w:t>
        </w:r>
      </w:hyperlink>
      <w:r>
        <w:rPr>
          <w:rFonts w:ascii="Arial" w:hAnsi="Arial" w:cs="Arial"/>
          <w:sz w:val="24"/>
          <w:szCs w:val="24"/>
        </w:rPr>
        <w:t xml:space="preserve"> </w:t>
      </w:r>
      <w:r w:rsidRPr="00E536F4">
        <w:rPr>
          <w:rFonts w:ascii="Arial" w:hAnsi="Arial" w:cs="Arial"/>
          <w:sz w:val="24"/>
          <w:szCs w:val="24"/>
        </w:rPr>
        <w:t>(Accessed: 8 April 2026).</w:t>
      </w:r>
    </w:p>
    <w:p w14:paraId="61785434" w14:textId="6029ECA3" w:rsidR="00B42195" w:rsidRDefault="00B42195" w:rsidP="009E58ED">
      <w:pPr>
        <w:spacing w:line="360" w:lineRule="auto"/>
        <w:jc w:val="both"/>
        <w:rPr>
          <w:rFonts w:ascii="Arial" w:hAnsi="Arial" w:cs="Arial"/>
          <w:sz w:val="24"/>
          <w:szCs w:val="24"/>
        </w:rPr>
      </w:pPr>
      <w:r w:rsidRPr="00B42195">
        <w:rPr>
          <w:rFonts w:ascii="Arial" w:hAnsi="Arial" w:cs="Arial"/>
          <w:sz w:val="24"/>
          <w:szCs w:val="24"/>
        </w:rPr>
        <w:t>Turner, E., and Beneke, A. (2020)</w:t>
      </w:r>
      <w:r w:rsidR="00F95B70">
        <w:rPr>
          <w:rFonts w:ascii="Arial" w:hAnsi="Arial" w:cs="Arial"/>
          <w:sz w:val="24"/>
          <w:szCs w:val="24"/>
        </w:rPr>
        <w:t>.</w:t>
      </w:r>
      <w:r w:rsidRPr="00B42195">
        <w:rPr>
          <w:rFonts w:ascii="Arial" w:hAnsi="Arial" w:cs="Arial"/>
          <w:sz w:val="24"/>
          <w:szCs w:val="24"/>
        </w:rPr>
        <w:t xml:space="preserve"> '‘Softening’ school resource officers: the extension of police presence in schools in an era of Black Lives Matter, school shootings, and rising inequality', </w:t>
      </w:r>
      <w:r w:rsidRPr="00B42195">
        <w:rPr>
          <w:rFonts w:ascii="Arial" w:hAnsi="Arial" w:cs="Arial"/>
          <w:i/>
          <w:iCs/>
          <w:sz w:val="24"/>
          <w:szCs w:val="24"/>
        </w:rPr>
        <w:t>Race Ethnicity and Education</w:t>
      </w:r>
      <w:r w:rsidRPr="00B42195">
        <w:rPr>
          <w:rFonts w:ascii="Arial" w:hAnsi="Arial" w:cs="Arial"/>
          <w:sz w:val="24"/>
          <w:szCs w:val="24"/>
        </w:rPr>
        <w:t>, 23(2), pp. 221</w:t>
      </w:r>
      <w:r w:rsidR="00F95B70">
        <w:rPr>
          <w:rFonts w:ascii="Arial" w:hAnsi="Arial" w:cs="Arial"/>
          <w:sz w:val="24"/>
          <w:szCs w:val="24"/>
        </w:rPr>
        <w:t>–</w:t>
      </w:r>
      <w:r w:rsidRPr="00B42195">
        <w:rPr>
          <w:rFonts w:ascii="Arial" w:hAnsi="Arial" w:cs="Arial"/>
          <w:sz w:val="24"/>
          <w:szCs w:val="24"/>
        </w:rPr>
        <w:t xml:space="preserve">240. Available at: </w:t>
      </w:r>
      <w:hyperlink r:id="rId396" w:anchor="abstract" w:history="1">
        <w:r w:rsidRPr="007D0B0F">
          <w:rPr>
            <w:rStyle w:val="Hyperlink"/>
            <w:rFonts w:ascii="Arial" w:hAnsi="Arial" w:cs="Arial"/>
            <w:sz w:val="24"/>
            <w:szCs w:val="24"/>
          </w:rPr>
          <w:t>https://www.tandfonline.com/doi/full/10.1080/13613324.2019.1679753?scroll=top&amp;needAccess=true#abstract</w:t>
        </w:r>
      </w:hyperlink>
      <w:r>
        <w:rPr>
          <w:rFonts w:ascii="Arial" w:hAnsi="Arial" w:cs="Arial"/>
          <w:sz w:val="24"/>
          <w:szCs w:val="24"/>
        </w:rPr>
        <w:t xml:space="preserve"> </w:t>
      </w:r>
      <w:r w:rsidRPr="00B42195">
        <w:rPr>
          <w:rFonts w:ascii="Arial" w:hAnsi="Arial" w:cs="Arial"/>
          <w:sz w:val="24"/>
          <w:szCs w:val="24"/>
        </w:rPr>
        <w:t>(Accessed: 22 March 2026).</w:t>
      </w:r>
    </w:p>
    <w:p w14:paraId="2EB24AED" w14:textId="0B0890CC" w:rsidR="00A66D8C" w:rsidRDefault="00A66D8C" w:rsidP="009E58ED">
      <w:pPr>
        <w:spacing w:line="360" w:lineRule="auto"/>
        <w:jc w:val="both"/>
        <w:rPr>
          <w:rFonts w:ascii="Arial" w:hAnsi="Arial" w:cs="Arial"/>
          <w:sz w:val="24"/>
          <w:szCs w:val="24"/>
        </w:rPr>
      </w:pPr>
      <w:r w:rsidRPr="00A66D8C">
        <w:rPr>
          <w:rFonts w:ascii="Arial" w:hAnsi="Arial" w:cs="Arial"/>
          <w:sz w:val="24"/>
          <w:szCs w:val="24"/>
        </w:rPr>
        <w:t xml:space="preserve">Ullah, F., Rahman, M., Smith, R., and </w:t>
      </w:r>
      <w:proofErr w:type="spellStart"/>
      <w:r w:rsidRPr="00A66D8C">
        <w:rPr>
          <w:rFonts w:ascii="Arial" w:hAnsi="Arial" w:cs="Arial"/>
          <w:sz w:val="24"/>
          <w:szCs w:val="24"/>
        </w:rPr>
        <w:t>Beloucif</w:t>
      </w:r>
      <w:proofErr w:type="spellEnd"/>
      <w:r w:rsidRPr="00A66D8C">
        <w:rPr>
          <w:rFonts w:ascii="Arial" w:hAnsi="Arial" w:cs="Arial"/>
          <w:sz w:val="24"/>
          <w:szCs w:val="24"/>
        </w:rPr>
        <w:t>, A. (2016)</w:t>
      </w:r>
      <w:r>
        <w:rPr>
          <w:rFonts w:ascii="Arial" w:hAnsi="Arial" w:cs="Arial"/>
          <w:sz w:val="24"/>
          <w:szCs w:val="24"/>
        </w:rPr>
        <w:t>.</w:t>
      </w:r>
      <w:r w:rsidRPr="00A66D8C">
        <w:rPr>
          <w:rFonts w:ascii="Arial" w:hAnsi="Arial" w:cs="Arial"/>
          <w:sz w:val="24"/>
          <w:szCs w:val="24"/>
        </w:rPr>
        <w:t xml:space="preserve"> 'What influences ethnic entrepreneurs’ decision to start-up', Journal of Small Business and Enterprise Development, 23(4), pp. 1</w:t>
      </w:r>
      <w:r>
        <w:rPr>
          <w:rFonts w:ascii="Arial" w:hAnsi="Arial" w:cs="Arial"/>
          <w:sz w:val="24"/>
          <w:szCs w:val="24"/>
        </w:rPr>
        <w:t>–</w:t>
      </w:r>
      <w:r w:rsidRPr="00A66D8C">
        <w:rPr>
          <w:rFonts w:ascii="Arial" w:hAnsi="Arial" w:cs="Arial"/>
          <w:sz w:val="24"/>
          <w:szCs w:val="24"/>
        </w:rPr>
        <w:t xml:space="preserve">19. Available at: </w:t>
      </w:r>
      <w:hyperlink r:id="rId397" w:history="1">
        <w:r w:rsidRPr="007D0B0F">
          <w:rPr>
            <w:rStyle w:val="Hyperlink"/>
            <w:rFonts w:ascii="Arial" w:hAnsi="Arial" w:cs="Arial"/>
            <w:sz w:val="24"/>
            <w:szCs w:val="24"/>
          </w:rPr>
          <w:t>https://www.proquest.com/docview/1834758207/fulltextPDF/9781775A1E84466APQ/1?accountid=130472&amp;sourcetype=Scholarly%20Journals</w:t>
        </w:r>
      </w:hyperlink>
      <w:r>
        <w:rPr>
          <w:rFonts w:ascii="Arial" w:hAnsi="Arial" w:cs="Arial"/>
          <w:sz w:val="24"/>
          <w:szCs w:val="24"/>
        </w:rPr>
        <w:t xml:space="preserve"> </w:t>
      </w:r>
      <w:r w:rsidRPr="00A66D8C">
        <w:rPr>
          <w:rFonts w:ascii="Arial" w:hAnsi="Arial" w:cs="Arial"/>
          <w:sz w:val="24"/>
          <w:szCs w:val="24"/>
        </w:rPr>
        <w:t>(Accessed: 26 March 2026).</w:t>
      </w:r>
      <w:r w:rsidR="00577659">
        <w:rPr>
          <w:rFonts w:ascii="Arial" w:hAnsi="Arial" w:cs="Arial"/>
          <w:sz w:val="24"/>
          <w:szCs w:val="24"/>
        </w:rPr>
        <w:t xml:space="preserve"> </w:t>
      </w:r>
    </w:p>
    <w:p w14:paraId="5153767A" w14:textId="1D67CBAF" w:rsidR="00577659" w:rsidRDefault="00577659" w:rsidP="009E58ED">
      <w:pPr>
        <w:spacing w:line="360" w:lineRule="auto"/>
        <w:jc w:val="both"/>
        <w:rPr>
          <w:rFonts w:ascii="Arial" w:hAnsi="Arial" w:cs="Arial"/>
          <w:sz w:val="24"/>
          <w:szCs w:val="24"/>
        </w:rPr>
      </w:pPr>
      <w:r w:rsidRPr="00577659">
        <w:rPr>
          <w:rFonts w:ascii="Arial" w:hAnsi="Arial" w:cs="Arial"/>
          <w:sz w:val="24"/>
          <w:szCs w:val="24"/>
        </w:rPr>
        <w:t xml:space="preserve">UK Parliament (2023) 18 October 2023 – The work of HMRC – Oral evidence. Publisher or Available at: </w:t>
      </w:r>
      <w:hyperlink r:id="rId398" w:history="1">
        <w:r w:rsidRPr="007D0B0F">
          <w:rPr>
            <w:rStyle w:val="Hyperlink"/>
            <w:rFonts w:ascii="Arial" w:hAnsi="Arial" w:cs="Arial"/>
            <w:sz w:val="24"/>
            <w:szCs w:val="24"/>
          </w:rPr>
          <w:t>https://committees.parliament.uk/event/19518/formal-meeting-oral-evidence-session/</w:t>
        </w:r>
      </w:hyperlink>
      <w:r>
        <w:rPr>
          <w:rFonts w:ascii="Arial" w:hAnsi="Arial" w:cs="Arial"/>
          <w:sz w:val="24"/>
          <w:szCs w:val="24"/>
        </w:rPr>
        <w:t xml:space="preserve"> </w:t>
      </w:r>
      <w:r w:rsidRPr="00577659">
        <w:rPr>
          <w:rFonts w:ascii="Arial" w:hAnsi="Arial" w:cs="Arial"/>
          <w:sz w:val="24"/>
          <w:szCs w:val="24"/>
        </w:rPr>
        <w:t>(Accessed: 1 April 2026).</w:t>
      </w:r>
    </w:p>
    <w:p w14:paraId="7B575292" w14:textId="3BE3863B" w:rsidR="00A76BDA" w:rsidRDefault="00A76BDA" w:rsidP="009E58ED">
      <w:pPr>
        <w:spacing w:line="360" w:lineRule="auto"/>
        <w:jc w:val="both"/>
        <w:rPr>
          <w:rFonts w:ascii="Arial" w:hAnsi="Arial" w:cs="Arial"/>
          <w:sz w:val="24"/>
          <w:szCs w:val="24"/>
        </w:rPr>
      </w:pPr>
      <w:r w:rsidRPr="00A76BDA">
        <w:rPr>
          <w:rFonts w:ascii="Arial" w:hAnsi="Arial" w:cs="Arial"/>
          <w:sz w:val="24"/>
          <w:szCs w:val="24"/>
        </w:rPr>
        <w:t>University and College Union (UCU) (2019): </w:t>
      </w:r>
      <w:r w:rsidRPr="00A76BDA">
        <w:rPr>
          <w:rFonts w:ascii="Arial" w:hAnsi="Arial" w:cs="Arial"/>
          <w:i/>
          <w:iCs/>
          <w:sz w:val="24"/>
          <w:szCs w:val="24"/>
        </w:rPr>
        <w:t>Black academic staff face double whammy in promotion and pay stakes</w:t>
      </w:r>
      <w:r w:rsidRPr="00A76BDA">
        <w:rPr>
          <w:rFonts w:ascii="Arial" w:hAnsi="Arial" w:cs="Arial"/>
          <w:sz w:val="24"/>
          <w:szCs w:val="24"/>
        </w:rPr>
        <w:t xml:space="preserve">. Available at: </w:t>
      </w:r>
      <w:hyperlink r:id="rId399" w:history="1">
        <w:r w:rsidR="00FF5218" w:rsidRPr="00FB3832">
          <w:rPr>
            <w:rStyle w:val="Hyperlink"/>
            <w:rFonts w:ascii="Arial" w:hAnsi="Arial" w:cs="Arial"/>
            <w:sz w:val="24"/>
            <w:szCs w:val="24"/>
          </w:rPr>
          <w:t>https://www.ucu.org.uk/article/10360/Black-academic-staff-face-double-whammy-in-promotion-and-pay-stakes</w:t>
        </w:r>
      </w:hyperlink>
      <w:r w:rsidR="00FF5218">
        <w:rPr>
          <w:rFonts w:ascii="Arial" w:hAnsi="Arial" w:cs="Arial"/>
          <w:sz w:val="24"/>
          <w:szCs w:val="24"/>
        </w:rPr>
        <w:t xml:space="preserve"> </w:t>
      </w:r>
      <w:r w:rsidRPr="00A76BDA">
        <w:rPr>
          <w:rFonts w:ascii="Arial" w:hAnsi="Arial" w:cs="Arial"/>
          <w:sz w:val="24"/>
          <w:szCs w:val="24"/>
        </w:rPr>
        <w:t>(Accessed: 21 March 2026).</w:t>
      </w:r>
    </w:p>
    <w:p w14:paraId="0B1D43A0" w14:textId="4B55FB7F" w:rsidR="005B7482" w:rsidRDefault="005B7482" w:rsidP="009E58ED">
      <w:pPr>
        <w:spacing w:line="360" w:lineRule="auto"/>
        <w:jc w:val="both"/>
        <w:rPr>
          <w:rFonts w:ascii="Arial" w:hAnsi="Arial" w:cs="Arial"/>
          <w:sz w:val="24"/>
          <w:szCs w:val="24"/>
        </w:rPr>
      </w:pPr>
      <w:proofErr w:type="spellStart"/>
      <w:r w:rsidRPr="005B7482">
        <w:rPr>
          <w:rFonts w:ascii="Arial" w:hAnsi="Arial" w:cs="Arial"/>
          <w:sz w:val="24"/>
          <w:szCs w:val="24"/>
        </w:rPr>
        <w:t>Vlachantoni</w:t>
      </w:r>
      <w:proofErr w:type="spellEnd"/>
      <w:r w:rsidRPr="005B7482">
        <w:rPr>
          <w:rFonts w:ascii="Arial" w:hAnsi="Arial" w:cs="Arial"/>
          <w:sz w:val="24"/>
          <w:szCs w:val="24"/>
        </w:rPr>
        <w:t xml:space="preserve">, A., Feng, Z., </w:t>
      </w:r>
      <w:proofErr w:type="spellStart"/>
      <w:r w:rsidRPr="005B7482">
        <w:rPr>
          <w:rFonts w:ascii="Arial" w:hAnsi="Arial" w:cs="Arial"/>
          <w:sz w:val="24"/>
          <w:szCs w:val="24"/>
        </w:rPr>
        <w:t>Evandrou</w:t>
      </w:r>
      <w:proofErr w:type="spellEnd"/>
      <w:r w:rsidRPr="005B7482">
        <w:rPr>
          <w:rFonts w:ascii="Arial" w:hAnsi="Arial" w:cs="Arial"/>
          <w:sz w:val="24"/>
          <w:szCs w:val="24"/>
        </w:rPr>
        <w:t>, and Falkingham, J. (2015)</w:t>
      </w:r>
      <w:r>
        <w:rPr>
          <w:rFonts w:ascii="Arial" w:hAnsi="Arial" w:cs="Arial"/>
          <w:sz w:val="24"/>
          <w:szCs w:val="24"/>
        </w:rPr>
        <w:t>.</w:t>
      </w:r>
      <w:r w:rsidRPr="005B7482">
        <w:rPr>
          <w:rFonts w:ascii="Arial" w:hAnsi="Arial" w:cs="Arial"/>
          <w:sz w:val="24"/>
          <w:szCs w:val="24"/>
        </w:rPr>
        <w:t xml:space="preserve"> 'Ethnicity and Occupational Pension Membership in the UK', Social Policy and Administration, 49(7), pp. 801</w:t>
      </w:r>
      <w:r>
        <w:rPr>
          <w:rFonts w:ascii="Arial" w:hAnsi="Arial" w:cs="Arial"/>
          <w:sz w:val="24"/>
          <w:szCs w:val="24"/>
        </w:rPr>
        <w:t>–</w:t>
      </w:r>
      <w:r w:rsidRPr="005B7482">
        <w:rPr>
          <w:rFonts w:ascii="Arial" w:hAnsi="Arial" w:cs="Arial"/>
          <w:sz w:val="24"/>
          <w:szCs w:val="24"/>
        </w:rPr>
        <w:t xml:space="preserve">823. Available at: </w:t>
      </w:r>
      <w:hyperlink r:id="rId400" w:history="1">
        <w:r w:rsidRPr="007D0B0F">
          <w:rPr>
            <w:rStyle w:val="Hyperlink"/>
            <w:rFonts w:ascii="Arial" w:hAnsi="Arial" w:cs="Arial"/>
            <w:sz w:val="24"/>
            <w:szCs w:val="24"/>
          </w:rPr>
          <w:t>https://onlinelibrary.wiley.com/doi/full/10.1111/spol.12137</w:t>
        </w:r>
      </w:hyperlink>
      <w:r>
        <w:rPr>
          <w:rFonts w:ascii="Arial" w:hAnsi="Arial" w:cs="Arial"/>
          <w:sz w:val="24"/>
          <w:szCs w:val="24"/>
        </w:rPr>
        <w:t xml:space="preserve"> </w:t>
      </w:r>
      <w:r w:rsidRPr="005B7482">
        <w:rPr>
          <w:rFonts w:ascii="Arial" w:hAnsi="Arial" w:cs="Arial"/>
          <w:sz w:val="24"/>
          <w:szCs w:val="24"/>
        </w:rPr>
        <w:t>(Accessed: 27 March 2026).</w:t>
      </w:r>
    </w:p>
    <w:p w14:paraId="716C78C9" w14:textId="5F026212" w:rsidR="00A07B71" w:rsidRDefault="00A07B71" w:rsidP="009E58ED">
      <w:pPr>
        <w:spacing w:line="360" w:lineRule="auto"/>
        <w:jc w:val="both"/>
        <w:rPr>
          <w:rFonts w:ascii="Arial" w:hAnsi="Arial" w:cs="Arial"/>
          <w:sz w:val="24"/>
          <w:szCs w:val="24"/>
        </w:rPr>
      </w:pPr>
      <w:proofErr w:type="spellStart"/>
      <w:r w:rsidRPr="00A07B71">
        <w:rPr>
          <w:rFonts w:ascii="Arial" w:hAnsi="Arial" w:cs="Arial"/>
          <w:sz w:val="24"/>
          <w:szCs w:val="24"/>
        </w:rPr>
        <w:lastRenderedPageBreak/>
        <w:t>Vlachantoni</w:t>
      </w:r>
      <w:proofErr w:type="spellEnd"/>
      <w:r w:rsidRPr="00A07B71">
        <w:rPr>
          <w:rFonts w:ascii="Arial" w:hAnsi="Arial" w:cs="Arial"/>
          <w:sz w:val="24"/>
          <w:szCs w:val="24"/>
        </w:rPr>
        <w:t xml:space="preserve">, A., Feng, Z., </w:t>
      </w:r>
      <w:proofErr w:type="spellStart"/>
      <w:r w:rsidRPr="00A07B71">
        <w:rPr>
          <w:rFonts w:ascii="Arial" w:hAnsi="Arial" w:cs="Arial"/>
          <w:sz w:val="24"/>
          <w:szCs w:val="24"/>
        </w:rPr>
        <w:t>Evandrou</w:t>
      </w:r>
      <w:proofErr w:type="spellEnd"/>
      <w:r w:rsidRPr="00A07B71">
        <w:rPr>
          <w:rFonts w:ascii="Arial" w:hAnsi="Arial" w:cs="Arial"/>
          <w:sz w:val="24"/>
          <w:szCs w:val="24"/>
        </w:rPr>
        <w:t>, M., and Falkingham, J. (201</w:t>
      </w:r>
      <w:r w:rsidR="00E53698">
        <w:rPr>
          <w:rFonts w:ascii="Arial" w:hAnsi="Arial" w:cs="Arial"/>
          <w:sz w:val="24"/>
          <w:szCs w:val="24"/>
        </w:rPr>
        <w:t>7</w:t>
      </w:r>
      <w:r w:rsidRPr="00A07B71">
        <w:rPr>
          <w:rFonts w:ascii="Arial" w:hAnsi="Arial" w:cs="Arial"/>
          <w:sz w:val="24"/>
          <w:szCs w:val="24"/>
        </w:rPr>
        <w:t>)</w:t>
      </w:r>
      <w:r w:rsidR="00E53698">
        <w:rPr>
          <w:rFonts w:ascii="Arial" w:hAnsi="Arial" w:cs="Arial"/>
          <w:sz w:val="24"/>
          <w:szCs w:val="24"/>
        </w:rPr>
        <w:t>.</w:t>
      </w:r>
      <w:r w:rsidRPr="00A07B71">
        <w:rPr>
          <w:rFonts w:ascii="Arial" w:hAnsi="Arial" w:cs="Arial"/>
          <w:sz w:val="24"/>
          <w:szCs w:val="24"/>
        </w:rPr>
        <w:t xml:space="preserve"> 'Ethnic elders and pension protection in the United Kingdom', Ageing and Society, 37(5), pp. 1–25. Available at: </w:t>
      </w:r>
      <w:hyperlink r:id="rId401" w:history="1">
        <w:r w:rsidR="00E53698" w:rsidRPr="007D0B0F">
          <w:rPr>
            <w:rStyle w:val="Hyperlink"/>
            <w:rFonts w:ascii="Arial" w:hAnsi="Arial" w:cs="Arial"/>
            <w:sz w:val="24"/>
            <w:szCs w:val="24"/>
          </w:rPr>
          <w:t>https://www.researchgate.net/profile/Athina-Vlachantoni/publication/299426883_Pension_receipt_in_the_UK_are_older_individuals_from_ethnic_minorities_disadvantaged/links/57a1bf0308ae5f8b2589ed00/Pension-receipt-in-the-UK-are-older-individuals-from-ethnic-minorities-disadvantaged.pdf</w:t>
        </w:r>
      </w:hyperlink>
      <w:r w:rsidR="00E53698">
        <w:rPr>
          <w:rFonts w:ascii="Arial" w:hAnsi="Arial" w:cs="Arial"/>
          <w:sz w:val="24"/>
          <w:szCs w:val="24"/>
        </w:rPr>
        <w:t xml:space="preserve"> </w:t>
      </w:r>
      <w:r w:rsidRPr="00A07B71">
        <w:rPr>
          <w:rFonts w:ascii="Arial" w:hAnsi="Arial" w:cs="Arial"/>
          <w:sz w:val="24"/>
          <w:szCs w:val="24"/>
        </w:rPr>
        <w:t>(Accessed: 27 March 2026).</w:t>
      </w:r>
    </w:p>
    <w:p w14:paraId="75EB8F3A" w14:textId="578996F2" w:rsidR="008B5F41" w:rsidRDefault="008B5F41" w:rsidP="009E58ED">
      <w:pPr>
        <w:spacing w:line="360" w:lineRule="auto"/>
        <w:jc w:val="both"/>
        <w:rPr>
          <w:rFonts w:ascii="Arial" w:hAnsi="Arial" w:cs="Arial"/>
          <w:sz w:val="24"/>
          <w:szCs w:val="24"/>
        </w:rPr>
      </w:pPr>
      <w:r w:rsidRPr="008B5F41">
        <w:rPr>
          <w:rFonts w:ascii="Arial" w:hAnsi="Arial" w:cs="Arial"/>
          <w:sz w:val="24"/>
          <w:szCs w:val="24"/>
        </w:rPr>
        <w:t>Wainwright, J., McKeown, M., and Kinney, M. (2019). '“In these streets”: the saliency of</w:t>
      </w:r>
      <w:r>
        <w:rPr>
          <w:rFonts w:ascii="Arial" w:hAnsi="Arial" w:cs="Arial"/>
          <w:sz w:val="24"/>
          <w:szCs w:val="24"/>
        </w:rPr>
        <w:t xml:space="preserve"> </w:t>
      </w:r>
      <w:r w:rsidRPr="008B5F41">
        <w:rPr>
          <w:rFonts w:ascii="Arial" w:hAnsi="Arial" w:cs="Arial"/>
          <w:sz w:val="24"/>
          <w:szCs w:val="24"/>
        </w:rPr>
        <w:t>place in an alternative black mental</w:t>
      </w:r>
      <w:r>
        <w:rPr>
          <w:rFonts w:ascii="Arial" w:hAnsi="Arial" w:cs="Arial"/>
          <w:sz w:val="24"/>
          <w:szCs w:val="24"/>
        </w:rPr>
        <w:t xml:space="preserve"> </w:t>
      </w:r>
      <w:r w:rsidRPr="008B5F41">
        <w:rPr>
          <w:rFonts w:ascii="Arial" w:hAnsi="Arial" w:cs="Arial"/>
          <w:sz w:val="24"/>
          <w:szCs w:val="24"/>
        </w:rPr>
        <w:t>health resource centre', International Journal of Human Rights in Healthcare, 13(1), pp. 31</w:t>
      </w:r>
      <w:r>
        <w:rPr>
          <w:rFonts w:ascii="Arial" w:hAnsi="Arial" w:cs="Arial"/>
          <w:sz w:val="24"/>
          <w:szCs w:val="24"/>
        </w:rPr>
        <w:t>–</w:t>
      </w:r>
      <w:r w:rsidRPr="008B5F41">
        <w:rPr>
          <w:rFonts w:ascii="Arial" w:hAnsi="Arial" w:cs="Arial"/>
          <w:sz w:val="24"/>
          <w:szCs w:val="24"/>
        </w:rPr>
        <w:t xml:space="preserve">44. Available at: </w:t>
      </w:r>
      <w:hyperlink r:id="rId402" w:history="1">
        <w:r w:rsidRPr="00172D15">
          <w:rPr>
            <w:rStyle w:val="Hyperlink"/>
            <w:rFonts w:ascii="Arial" w:hAnsi="Arial" w:cs="Arial"/>
            <w:sz w:val="24"/>
            <w:szCs w:val="24"/>
          </w:rPr>
          <w:t>https://www.emerald.com/ijhrh/article-pdf/13/1/31/791896/ijhrh-08-2019-0062.pdf</w:t>
        </w:r>
      </w:hyperlink>
      <w:r>
        <w:rPr>
          <w:rFonts w:ascii="Arial" w:hAnsi="Arial" w:cs="Arial"/>
          <w:sz w:val="24"/>
          <w:szCs w:val="24"/>
        </w:rPr>
        <w:t xml:space="preserve"> </w:t>
      </w:r>
      <w:r w:rsidRPr="008B5F41">
        <w:rPr>
          <w:rFonts w:ascii="Arial" w:hAnsi="Arial" w:cs="Arial"/>
          <w:sz w:val="24"/>
          <w:szCs w:val="24"/>
        </w:rPr>
        <w:t>(Accessed: 5 April 2026).</w:t>
      </w:r>
    </w:p>
    <w:p w14:paraId="508FB743" w14:textId="4893B81F" w:rsidR="002704C1" w:rsidRDefault="002704C1" w:rsidP="009E58ED">
      <w:pPr>
        <w:spacing w:line="360" w:lineRule="auto"/>
        <w:jc w:val="both"/>
        <w:rPr>
          <w:rFonts w:ascii="Arial" w:hAnsi="Arial" w:cs="Arial"/>
          <w:sz w:val="24"/>
          <w:szCs w:val="24"/>
        </w:rPr>
      </w:pPr>
      <w:r w:rsidRPr="002704C1">
        <w:rPr>
          <w:rFonts w:ascii="Arial" w:hAnsi="Arial" w:cs="Arial"/>
          <w:sz w:val="24"/>
          <w:szCs w:val="24"/>
        </w:rPr>
        <w:t xml:space="preserve">Waldinger, R., Aldrich, H., Ward, R. (1990). Ethnic Entrepreneurs Immigrant Business in Industrial Societies. Sage. Available at: </w:t>
      </w:r>
      <w:hyperlink r:id="rId403" w:history="1">
        <w:r w:rsidRPr="007D0B0F">
          <w:rPr>
            <w:rStyle w:val="Hyperlink"/>
            <w:rFonts w:ascii="Arial" w:hAnsi="Arial" w:cs="Arial"/>
            <w:sz w:val="24"/>
            <w:szCs w:val="24"/>
          </w:rPr>
          <w:t>https://waldinger.scholar.ss.ucla.edu/wp-content/uploads/sites/25/2024/08/B9_EthnicEntrepreneurs.pdf</w:t>
        </w:r>
      </w:hyperlink>
      <w:r>
        <w:rPr>
          <w:rFonts w:ascii="Arial" w:hAnsi="Arial" w:cs="Arial"/>
          <w:sz w:val="24"/>
          <w:szCs w:val="24"/>
        </w:rPr>
        <w:t xml:space="preserve"> </w:t>
      </w:r>
      <w:r w:rsidRPr="002704C1">
        <w:rPr>
          <w:rFonts w:ascii="Arial" w:hAnsi="Arial" w:cs="Arial"/>
          <w:sz w:val="24"/>
          <w:szCs w:val="24"/>
        </w:rPr>
        <w:t>(Accessed: 27 March 2026).</w:t>
      </w:r>
    </w:p>
    <w:p w14:paraId="769E1BE9" w14:textId="03B7F785" w:rsidR="002E4708" w:rsidRDefault="002E4708" w:rsidP="009E58ED">
      <w:pPr>
        <w:spacing w:line="360" w:lineRule="auto"/>
        <w:jc w:val="both"/>
        <w:rPr>
          <w:rFonts w:ascii="Arial" w:hAnsi="Arial" w:cs="Arial"/>
          <w:sz w:val="24"/>
          <w:szCs w:val="24"/>
        </w:rPr>
      </w:pPr>
      <w:r w:rsidRPr="002E4708">
        <w:rPr>
          <w:rFonts w:ascii="Arial" w:hAnsi="Arial" w:cs="Arial"/>
          <w:sz w:val="24"/>
          <w:szCs w:val="24"/>
        </w:rPr>
        <w:t>Walker, A. (2019)</w:t>
      </w:r>
      <w:r w:rsidR="00F95B70">
        <w:rPr>
          <w:rFonts w:ascii="Arial" w:hAnsi="Arial" w:cs="Arial"/>
          <w:sz w:val="24"/>
          <w:szCs w:val="24"/>
        </w:rPr>
        <w:t>.</w:t>
      </w:r>
      <w:r w:rsidRPr="002E4708">
        <w:rPr>
          <w:rFonts w:ascii="Arial" w:hAnsi="Arial" w:cs="Arial"/>
          <w:sz w:val="24"/>
          <w:szCs w:val="24"/>
        </w:rPr>
        <w:t xml:space="preserve"> 'Boris Johnson pledges to increase stop and search powers', The</w:t>
      </w:r>
      <w:r w:rsidRPr="002E4708">
        <w:rPr>
          <w:rFonts w:ascii="Arial" w:hAnsi="Arial" w:cs="Arial"/>
          <w:i/>
          <w:iCs/>
          <w:sz w:val="24"/>
          <w:szCs w:val="24"/>
        </w:rPr>
        <w:t> Guardian</w:t>
      </w:r>
      <w:r w:rsidRPr="002E4708">
        <w:rPr>
          <w:rFonts w:ascii="Arial" w:hAnsi="Arial" w:cs="Arial"/>
          <w:sz w:val="24"/>
          <w:szCs w:val="24"/>
        </w:rPr>
        <w:t>, 1 July. Available at: </w:t>
      </w:r>
      <w:hyperlink r:id="rId404" w:history="1">
        <w:r w:rsidRPr="007D0B0F">
          <w:rPr>
            <w:rStyle w:val="Hyperlink"/>
            <w:rFonts w:ascii="Arial" w:hAnsi="Arial" w:cs="Arial"/>
            <w:sz w:val="24"/>
            <w:szCs w:val="24"/>
          </w:rPr>
          <w:t>https://www.theguardian.com/politics/2019/jul/01/boris-johnson-pledges-to-increase-stop-and-search-powers</w:t>
        </w:r>
      </w:hyperlink>
      <w:r>
        <w:rPr>
          <w:rFonts w:ascii="Arial" w:hAnsi="Arial" w:cs="Arial"/>
          <w:sz w:val="24"/>
          <w:szCs w:val="24"/>
        </w:rPr>
        <w:t xml:space="preserve"> </w:t>
      </w:r>
      <w:r w:rsidRPr="002E4708">
        <w:rPr>
          <w:rFonts w:ascii="Arial" w:hAnsi="Arial" w:cs="Arial"/>
          <w:sz w:val="24"/>
          <w:szCs w:val="24"/>
        </w:rPr>
        <w:t>(Accessed: 22 March 2026).</w:t>
      </w:r>
    </w:p>
    <w:p w14:paraId="2499F05A" w14:textId="3630C08D" w:rsidR="00766BFD" w:rsidRDefault="00766BFD" w:rsidP="009E58ED">
      <w:pPr>
        <w:spacing w:line="360" w:lineRule="auto"/>
        <w:jc w:val="both"/>
        <w:rPr>
          <w:rFonts w:ascii="Arial" w:hAnsi="Arial" w:cs="Arial"/>
          <w:sz w:val="24"/>
          <w:szCs w:val="24"/>
        </w:rPr>
      </w:pPr>
      <w:r w:rsidRPr="00766BFD">
        <w:rPr>
          <w:rFonts w:ascii="Arial" w:hAnsi="Arial" w:cs="Arial"/>
          <w:sz w:val="24"/>
          <w:szCs w:val="24"/>
        </w:rPr>
        <w:t>Wallace, M., and Wray, A. (2011)</w:t>
      </w:r>
      <w:r>
        <w:rPr>
          <w:rFonts w:ascii="Arial" w:hAnsi="Arial" w:cs="Arial"/>
          <w:sz w:val="24"/>
          <w:szCs w:val="24"/>
        </w:rPr>
        <w:t>.</w:t>
      </w:r>
      <w:r w:rsidRPr="00766BFD">
        <w:rPr>
          <w:rFonts w:ascii="Arial" w:hAnsi="Arial" w:cs="Arial"/>
          <w:sz w:val="24"/>
          <w:szCs w:val="24"/>
        </w:rPr>
        <w:t xml:space="preserve"> Critical Reading and Writing for Postgraduates. Sage Publications. Available at: </w:t>
      </w:r>
      <w:hyperlink r:id="rId405" w:history="1">
        <w:r w:rsidRPr="005C7CBD">
          <w:rPr>
            <w:rStyle w:val="Hyperlink"/>
            <w:rFonts w:ascii="Arial" w:hAnsi="Arial" w:cs="Arial"/>
            <w:sz w:val="24"/>
            <w:szCs w:val="24"/>
          </w:rPr>
          <w:t>https://d1wqtxts1xzle7.cloudfront.net/37709261/Critical_Reading_and_Writing_for_Postgraduates_by_Mike_Wallace_and_Alison_Wray-libre.pdf?1432312560=&amp;response-content-disposition=inline%3B+filename%3DCritical_Reading_and_Writing_for_Postgra.pdf&amp;Expires=1776357952&amp;Signature=Opv6f4Mx59~DzO9A3dMvf2Ubs-5ulpUVKLmdJoKGe5qYeiNZMvplPRZ9YoWeJ5ExOQSc9D7lTIqlIHUiM2I~VzNnLUJlqMxLAscRcDzNTxr4-SlLHpj6mXMjHGiF47ZzNJ6XfKyCn2hC0BbSs8dU-</w:t>
        </w:r>
        <w:r w:rsidRPr="005C7CBD">
          <w:rPr>
            <w:rStyle w:val="Hyperlink"/>
            <w:rFonts w:ascii="Arial" w:hAnsi="Arial" w:cs="Arial"/>
            <w:sz w:val="24"/>
            <w:szCs w:val="24"/>
          </w:rPr>
          <w:lastRenderedPageBreak/>
          <w:t>yaSaBx33DzbuJkpbTq26sDdeEUKh6psRcUUFitYtfEvMD42t2ORxJta3IcczfgB9ftkIhWMxGXPZQSZ2JFW1by1W3QU~Sw01eAMz1r3Na1P~5M-MGPjHFIo0crCpUKh~OO0QvSm23pmeeE5-ZtFvkahljxyOkG5w1ENHszYE0JVSujLE40VyemNeHAAmkP2eQ__&amp;Key-Pair-Id=APKAJLOHF5GGSLRBV4ZA</w:t>
        </w:r>
      </w:hyperlink>
      <w:r>
        <w:rPr>
          <w:rFonts w:ascii="Arial" w:hAnsi="Arial" w:cs="Arial"/>
          <w:sz w:val="24"/>
          <w:szCs w:val="24"/>
        </w:rPr>
        <w:t xml:space="preserve"> </w:t>
      </w:r>
      <w:r w:rsidRPr="00766BFD">
        <w:rPr>
          <w:rFonts w:ascii="Arial" w:hAnsi="Arial" w:cs="Arial"/>
          <w:sz w:val="24"/>
          <w:szCs w:val="24"/>
        </w:rPr>
        <w:t>(Accessed: 8 April 2026).</w:t>
      </w:r>
    </w:p>
    <w:p w14:paraId="08F5FDBF" w14:textId="461FD605" w:rsidR="00C4204A" w:rsidRDefault="00C4204A" w:rsidP="009E58ED">
      <w:pPr>
        <w:spacing w:line="360" w:lineRule="auto"/>
        <w:jc w:val="both"/>
        <w:rPr>
          <w:rFonts w:ascii="Arial" w:hAnsi="Arial" w:cs="Arial"/>
          <w:sz w:val="24"/>
          <w:szCs w:val="24"/>
        </w:rPr>
      </w:pPr>
      <w:r w:rsidRPr="00C4204A">
        <w:rPr>
          <w:rFonts w:ascii="Arial" w:hAnsi="Arial" w:cs="Arial"/>
          <w:sz w:val="24"/>
          <w:szCs w:val="24"/>
        </w:rPr>
        <w:t>Wallace, D., Joseph-Sailsbury, R. (2021)</w:t>
      </w:r>
      <w:r w:rsidR="00F95B70">
        <w:rPr>
          <w:rFonts w:ascii="Arial" w:hAnsi="Arial" w:cs="Arial"/>
          <w:sz w:val="24"/>
          <w:szCs w:val="24"/>
        </w:rPr>
        <w:t>.</w:t>
      </w:r>
      <w:r w:rsidRPr="00C4204A">
        <w:rPr>
          <w:rFonts w:ascii="Arial" w:hAnsi="Arial" w:cs="Arial"/>
          <w:sz w:val="24"/>
          <w:szCs w:val="24"/>
        </w:rPr>
        <w:t xml:space="preserve"> 'How, still, is the Black Caribbean child made educationally subnormal in the English school system?' 'Ethnic and Racial Studies, 45(8), pp. 1426</w:t>
      </w:r>
      <w:r w:rsidR="00F95B70">
        <w:rPr>
          <w:rFonts w:ascii="Arial" w:hAnsi="Arial" w:cs="Arial"/>
          <w:sz w:val="24"/>
          <w:szCs w:val="24"/>
        </w:rPr>
        <w:t>–</w:t>
      </w:r>
      <w:r w:rsidRPr="00C4204A">
        <w:rPr>
          <w:rFonts w:ascii="Arial" w:hAnsi="Arial" w:cs="Arial"/>
          <w:sz w:val="24"/>
          <w:szCs w:val="24"/>
        </w:rPr>
        <w:t xml:space="preserve">1452. Available at: </w:t>
      </w:r>
      <w:hyperlink r:id="rId406" w:history="1">
        <w:r w:rsidRPr="00F821EF">
          <w:rPr>
            <w:rStyle w:val="Hyperlink"/>
            <w:rFonts w:ascii="Arial" w:hAnsi="Arial" w:cs="Arial"/>
            <w:sz w:val="24"/>
            <w:szCs w:val="24"/>
          </w:rPr>
          <w:t>https://www.tandfonline.com/doi/epdf/10.1080/01419870.2021.1981969?needAccess=true</w:t>
        </w:r>
      </w:hyperlink>
      <w:r>
        <w:rPr>
          <w:rFonts w:ascii="Arial" w:hAnsi="Arial" w:cs="Arial"/>
          <w:sz w:val="24"/>
          <w:szCs w:val="24"/>
        </w:rPr>
        <w:t xml:space="preserve"> </w:t>
      </w:r>
      <w:r w:rsidRPr="00C4204A">
        <w:rPr>
          <w:rFonts w:ascii="Arial" w:hAnsi="Arial" w:cs="Arial"/>
          <w:sz w:val="24"/>
          <w:szCs w:val="24"/>
        </w:rPr>
        <w:t>(Accessed: 19 March 2026).</w:t>
      </w:r>
    </w:p>
    <w:p w14:paraId="71488C25" w14:textId="77777777" w:rsidR="00766BFD" w:rsidRDefault="00766BFD" w:rsidP="009E58ED">
      <w:pPr>
        <w:spacing w:line="360" w:lineRule="auto"/>
        <w:jc w:val="both"/>
        <w:rPr>
          <w:rFonts w:ascii="Arial" w:hAnsi="Arial" w:cs="Arial"/>
          <w:sz w:val="24"/>
          <w:szCs w:val="24"/>
        </w:rPr>
      </w:pPr>
    </w:p>
    <w:p w14:paraId="721EF5A6" w14:textId="307DC799" w:rsidR="00366C37" w:rsidRDefault="00366C37" w:rsidP="009E58ED">
      <w:pPr>
        <w:spacing w:line="360" w:lineRule="auto"/>
        <w:jc w:val="both"/>
        <w:rPr>
          <w:rFonts w:ascii="Arial" w:hAnsi="Arial" w:cs="Arial"/>
          <w:sz w:val="24"/>
          <w:szCs w:val="24"/>
        </w:rPr>
      </w:pPr>
      <w:r w:rsidRPr="00366C37">
        <w:rPr>
          <w:rFonts w:ascii="Arial" w:hAnsi="Arial" w:cs="Arial"/>
          <w:sz w:val="24"/>
          <w:szCs w:val="24"/>
        </w:rPr>
        <w:t xml:space="preserve">Wallace, S., </w:t>
      </w:r>
      <w:proofErr w:type="spellStart"/>
      <w:r w:rsidRPr="00366C37">
        <w:rPr>
          <w:rFonts w:ascii="Arial" w:hAnsi="Arial" w:cs="Arial"/>
          <w:sz w:val="24"/>
          <w:szCs w:val="24"/>
        </w:rPr>
        <w:t>Nazroo</w:t>
      </w:r>
      <w:proofErr w:type="spellEnd"/>
      <w:r w:rsidRPr="00366C37">
        <w:rPr>
          <w:rFonts w:ascii="Arial" w:hAnsi="Arial" w:cs="Arial"/>
          <w:sz w:val="24"/>
          <w:szCs w:val="24"/>
        </w:rPr>
        <w:t xml:space="preserve">, J., and </w:t>
      </w:r>
      <w:proofErr w:type="spellStart"/>
      <w:r w:rsidRPr="00366C37">
        <w:rPr>
          <w:rFonts w:ascii="Arial" w:hAnsi="Arial" w:cs="Arial"/>
          <w:sz w:val="24"/>
          <w:szCs w:val="24"/>
        </w:rPr>
        <w:t>Bécares</w:t>
      </w:r>
      <w:proofErr w:type="spellEnd"/>
      <w:r w:rsidRPr="00366C37">
        <w:rPr>
          <w:rFonts w:ascii="Arial" w:hAnsi="Arial" w:cs="Arial"/>
          <w:sz w:val="24"/>
          <w:szCs w:val="24"/>
        </w:rPr>
        <w:t xml:space="preserve">, L. (2016) 'Cumulative Effect of Racial Discrimination on the Mental Health of Ethnic Minorities in the United Kingdom', Public Health, 106(7), 1294-1300. Available at: </w:t>
      </w:r>
      <w:hyperlink r:id="rId407" w:history="1">
        <w:r w:rsidRPr="007D0B0F">
          <w:rPr>
            <w:rStyle w:val="Hyperlink"/>
            <w:rFonts w:ascii="Arial" w:hAnsi="Arial" w:cs="Arial"/>
            <w:sz w:val="24"/>
            <w:szCs w:val="24"/>
          </w:rPr>
          <w:t>https://pmc.ncbi.nlm.nih.gov/articles/PMC4984732/</w:t>
        </w:r>
      </w:hyperlink>
      <w:r>
        <w:rPr>
          <w:rFonts w:ascii="Arial" w:hAnsi="Arial" w:cs="Arial"/>
          <w:sz w:val="24"/>
          <w:szCs w:val="24"/>
        </w:rPr>
        <w:t xml:space="preserve"> </w:t>
      </w:r>
      <w:r w:rsidRPr="00366C37">
        <w:rPr>
          <w:rFonts w:ascii="Arial" w:hAnsi="Arial" w:cs="Arial"/>
          <w:sz w:val="24"/>
          <w:szCs w:val="24"/>
        </w:rPr>
        <w:t>(Accessed: 30 March 2026).</w:t>
      </w:r>
    </w:p>
    <w:p w14:paraId="44080FB2" w14:textId="3E33B45A" w:rsidR="000A59FD" w:rsidRDefault="000A59FD" w:rsidP="009E58ED">
      <w:pPr>
        <w:spacing w:line="360" w:lineRule="auto"/>
        <w:jc w:val="both"/>
        <w:rPr>
          <w:rFonts w:ascii="Arial" w:hAnsi="Arial" w:cs="Arial"/>
          <w:sz w:val="24"/>
          <w:szCs w:val="24"/>
        </w:rPr>
      </w:pPr>
      <w:r w:rsidRPr="000A59FD">
        <w:rPr>
          <w:rFonts w:ascii="Arial" w:hAnsi="Arial" w:cs="Arial"/>
          <w:sz w:val="24"/>
          <w:szCs w:val="24"/>
        </w:rPr>
        <w:t>Wanberg, C., Welsh, E., and Hezlett, S. (2003)</w:t>
      </w:r>
      <w:r>
        <w:rPr>
          <w:rFonts w:ascii="Arial" w:hAnsi="Arial" w:cs="Arial"/>
          <w:sz w:val="24"/>
          <w:szCs w:val="24"/>
        </w:rPr>
        <w:t xml:space="preserve">. </w:t>
      </w:r>
      <w:r w:rsidRPr="000A59FD">
        <w:rPr>
          <w:rFonts w:ascii="Arial" w:hAnsi="Arial" w:cs="Arial"/>
          <w:i/>
          <w:iCs/>
          <w:sz w:val="24"/>
          <w:szCs w:val="24"/>
        </w:rPr>
        <w:t>Mentoring Research: A Review and Dynamic Process Model.</w:t>
      </w:r>
      <w:r w:rsidRPr="000A59FD">
        <w:rPr>
          <w:rFonts w:ascii="Arial" w:hAnsi="Arial" w:cs="Arial"/>
          <w:sz w:val="24"/>
          <w:szCs w:val="24"/>
        </w:rPr>
        <w:t xml:space="preserve"> Publisher. Available at: </w:t>
      </w:r>
      <w:hyperlink r:id="rId408" w:history="1">
        <w:r w:rsidRPr="00FB3832">
          <w:rPr>
            <w:rStyle w:val="Hyperlink"/>
            <w:rFonts w:ascii="Arial" w:hAnsi="Arial" w:cs="Arial"/>
            <w:sz w:val="24"/>
            <w:szCs w:val="24"/>
          </w:rPr>
          <w:t>https://doi.org/10.1016/S0742-7301(03)22002-8</w:t>
        </w:r>
      </w:hyperlink>
      <w:r>
        <w:rPr>
          <w:rFonts w:ascii="Arial" w:hAnsi="Arial" w:cs="Arial"/>
          <w:sz w:val="24"/>
          <w:szCs w:val="24"/>
        </w:rPr>
        <w:t xml:space="preserve"> </w:t>
      </w:r>
      <w:r w:rsidRPr="000A59FD">
        <w:rPr>
          <w:rFonts w:ascii="Arial" w:hAnsi="Arial" w:cs="Arial"/>
          <w:sz w:val="24"/>
          <w:szCs w:val="24"/>
        </w:rPr>
        <w:t>(Accessed: 21 March 2026).</w:t>
      </w:r>
    </w:p>
    <w:p w14:paraId="2F918296" w14:textId="77777777" w:rsidR="008B5F41" w:rsidRDefault="008B5F41" w:rsidP="009E58ED">
      <w:pPr>
        <w:spacing w:line="360" w:lineRule="auto"/>
        <w:jc w:val="both"/>
        <w:rPr>
          <w:rFonts w:ascii="Arial" w:hAnsi="Arial" w:cs="Arial"/>
          <w:sz w:val="24"/>
          <w:szCs w:val="24"/>
        </w:rPr>
      </w:pPr>
    </w:p>
    <w:p w14:paraId="154B52DA" w14:textId="5712D2C0" w:rsidR="00204351" w:rsidRDefault="00204351" w:rsidP="009E58ED">
      <w:pPr>
        <w:spacing w:line="360" w:lineRule="auto"/>
        <w:jc w:val="both"/>
        <w:rPr>
          <w:rFonts w:ascii="Arial" w:hAnsi="Arial" w:cs="Arial"/>
          <w:sz w:val="24"/>
          <w:szCs w:val="24"/>
        </w:rPr>
      </w:pPr>
      <w:r w:rsidRPr="00204351">
        <w:rPr>
          <w:rFonts w:ascii="Arial" w:hAnsi="Arial" w:cs="Arial"/>
          <w:sz w:val="24"/>
          <w:szCs w:val="24"/>
        </w:rPr>
        <w:t>Webster, J., Watson, R. (2002)</w:t>
      </w:r>
      <w:r w:rsidR="00F95B70">
        <w:rPr>
          <w:rFonts w:ascii="Arial" w:hAnsi="Arial" w:cs="Arial"/>
          <w:sz w:val="24"/>
          <w:szCs w:val="24"/>
        </w:rPr>
        <w:t>.</w:t>
      </w:r>
      <w:r w:rsidRPr="00204351">
        <w:rPr>
          <w:rFonts w:ascii="Arial" w:hAnsi="Arial" w:cs="Arial"/>
          <w:sz w:val="24"/>
          <w:szCs w:val="24"/>
        </w:rPr>
        <w:t xml:space="preserve"> '</w:t>
      </w:r>
      <w:proofErr w:type="spellStart"/>
      <w:r w:rsidRPr="00204351">
        <w:rPr>
          <w:rFonts w:ascii="Arial" w:hAnsi="Arial" w:cs="Arial"/>
          <w:sz w:val="24"/>
          <w:szCs w:val="24"/>
        </w:rPr>
        <w:t>Analyzing</w:t>
      </w:r>
      <w:proofErr w:type="spellEnd"/>
      <w:r w:rsidRPr="00204351">
        <w:rPr>
          <w:rFonts w:ascii="Arial" w:hAnsi="Arial" w:cs="Arial"/>
          <w:sz w:val="24"/>
          <w:szCs w:val="24"/>
        </w:rPr>
        <w:t xml:space="preserve"> the Past to Prepare for the Future: Writing a Literature Review', </w:t>
      </w:r>
      <w:r w:rsidRPr="00204351">
        <w:rPr>
          <w:rFonts w:ascii="Arial" w:hAnsi="Arial" w:cs="Arial"/>
          <w:i/>
          <w:iCs/>
          <w:sz w:val="24"/>
          <w:szCs w:val="24"/>
        </w:rPr>
        <w:t xml:space="preserve">Management Information Systems Research </w:t>
      </w:r>
      <w:proofErr w:type="spellStart"/>
      <w:r w:rsidRPr="00204351">
        <w:rPr>
          <w:rFonts w:ascii="Arial" w:hAnsi="Arial" w:cs="Arial"/>
          <w:i/>
          <w:iCs/>
          <w:sz w:val="24"/>
          <w:szCs w:val="24"/>
        </w:rPr>
        <w:t>Center</w:t>
      </w:r>
      <w:proofErr w:type="spellEnd"/>
      <w:r w:rsidRPr="00204351">
        <w:rPr>
          <w:rFonts w:ascii="Arial" w:hAnsi="Arial" w:cs="Arial"/>
          <w:sz w:val="24"/>
          <w:szCs w:val="24"/>
        </w:rPr>
        <w:t>, 26(2), pp. 13</w:t>
      </w:r>
      <w:r w:rsidR="00F95B70">
        <w:rPr>
          <w:rFonts w:ascii="Arial" w:hAnsi="Arial" w:cs="Arial"/>
          <w:sz w:val="24"/>
          <w:szCs w:val="24"/>
        </w:rPr>
        <w:t>–</w:t>
      </w:r>
      <w:r w:rsidRPr="00204351">
        <w:rPr>
          <w:rFonts w:ascii="Arial" w:hAnsi="Arial" w:cs="Arial"/>
          <w:sz w:val="24"/>
          <w:szCs w:val="24"/>
        </w:rPr>
        <w:t xml:space="preserve">23. Available at: </w:t>
      </w:r>
      <w:hyperlink r:id="rId409" w:history="1">
        <w:r w:rsidRPr="00D94FAA">
          <w:rPr>
            <w:rStyle w:val="Hyperlink"/>
            <w:rFonts w:ascii="Arial" w:hAnsi="Arial" w:cs="Arial"/>
            <w:sz w:val="24"/>
            <w:szCs w:val="24"/>
          </w:rPr>
          <w:t>https://assets.super.so/6b4b5d92-904a-4e7b-95bd-914dd1d1528f/files/8008f21a-6ef8-4dde-a4ac-63a10b2c37d9.pdf</w:t>
        </w:r>
      </w:hyperlink>
      <w:r>
        <w:rPr>
          <w:rFonts w:ascii="Arial" w:hAnsi="Arial" w:cs="Arial"/>
          <w:sz w:val="24"/>
          <w:szCs w:val="24"/>
        </w:rPr>
        <w:t xml:space="preserve"> </w:t>
      </w:r>
      <w:r w:rsidRPr="00204351">
        <w:rPr>
          <w:rFonts w:ascii="Arial" w:hAnsi="Arial" w:cs="Arial"/>
          <w:sz w:val="24"/>
          <w:szCs w:val="24"/>
        </w:rPr>
        <w:t>(Accessed: 28 February 2026).</w:t>
      </w:r>
    </w:p>
    <w:p w14:paraId="21DC2F08" w14:textId="5A7DB050" w:rsidR="00F95B70" w:rsidRDefault="00F95B70" w:rsidP="009E58ED">
      <w:pPr>
        <w:spacing w:line="360" w:lineRule="auto"/>
        <w:jc w:val="both"/>
        <w:rPr>
          <w:rFonts w:ascii="Arial" w:hAnsi="Arial" w:cs="Arial"/>
          <w:sz w:val="24"/>
          <w:szCs w:val="24"/>
        </w:rPr>
      </w:pPr>
      <w:r w:rsidRPr="00F95B70">
        <w:rPr>
          <w:rFonts w:ascii="Arial" w:hAnsi="Arial" w:cs="Arial"/>
          <w:sz w:val="24"/>
          <w:szCs w:val="24"/>
        </w:rPr>
        <w:t>Weinberg, F. (2019)</w:t>
      </w:r>
      <w:r>
        <w:rPr>
          <w:rFonts w:ascii="Arial" w:hAnsi="Arial" w:cs="Arial"/>
          <w:sz w:val="24"/>
          <w:szCs w:val="24"/>
        </w:rPr>
        <w:t>.</w:t>
      </w:r>
      <w:r w:rsidRPr="00F95B70">
        <w:rPr>
          <w:rFonts w:ascii="Arial" w:hAnsi="Arial" w:cs="Arial"/>
          <w:sz w:val="24"/>
          <w:szCs w:val="24"/>
        </w:rPr>
        <w:t xml:space="preserve"> 'How and When Is Role </w:t>
      </w:r>
      <w:proofErr w:type="spellStart"/>
      <w:r w:rsidRPr="00F95B70">
        <w:rPr>
          <w:rFonts w:ascii="Arial" w:hAnsi="Arial" w:cs="Arial"/>
          <w:sz w:val="24"/>
          <w:szCs w:val="24"/>
        </w:rPr>
        <w:t>Modeling</w:t>
      </w:r>
      <w:proofErr w:type="spellEnd"/>
      <w:r w:rsidRPr="00F95B70">
        <w:rPr>
          <w:rFonts w:ascii="Arial" w:hAnsi="Arial" w:cs="Arial"/>
          <w:sz w:val="24"/>
          <w:szCs w:val="24"/>
        </w:rPr>
        <w:t xml:space="preserve"> Effective? The Influence of Mentee Professional Identity on Mentoring Dynamics and Personal Learning Outcomes', Group and Organization Management, 44(2), pp. 425</w:t>
      </w:r>
      <w:r>
        <w:rPr>
          <w:rFonts w:ascii="Arial" w:hAnsi="Arial" w:cs="Arial"/>
          <w:sz w:val="24"/>
          <w:szCs w:val="24"/>
        </w:rPr>
        <w:t>–</w:t>
      </w:r>
      <w:r w:rsidRPr="00F95B70">
        <w:rPr>
          <w:rFonts w:ascii="Arial" w:hAnsi="Arial" w:cs="Arial"/>
          <w:sz w:val="24"/>
          <w:szCs w:val="24"/>
        </w:rPr>
        <w:t xml:space="preserve">477. Available at: </w:t>
      </w:r>
      <w:hyperlink r:id="rId410" w:history="1">
        <w:r w:rsidRPr="007D0B0F">
          <w:rPr>
            <w:rStyle w:val="Hyperlink"/>
            <w:rFonts w:ascii="Arial" w:hAnsi="Arial" w:cs="Arial"/>
            <w:sz w:val="24"/>
            <w:szCs w:val="24"/>
          </w:rPr>
          <w:t>https://journals.sagepub.com/doi/epub/10.1177/1059601119838689</w:t>
        </w:r>
      </w:hyperlink>
      <w:r>
        <w:rPr>
          <w:rFonts w:ascii="Arial" w:hAnsi="Arial" w:cs="Arial"/>
          <w:sz w:val="24"/>
          <w:szCs w:val="24"/>
        </w:rPr>
        <w:t xml:space="preserve"> </w:t>
      </w:r>
      <w:r w:rsidRPr="00F95B70">
        <w:rPr>
          <w:rFonts w:ascii="Arial" w:hAnsi="Arial" w:cs="Arial"/>
          <w:sz w:val="24"/>
          <w:szCs w:val="24"/>
        </w:rPr>
        <w:t>(Accessed: 24 March 2026).</w:t>
      </w:r>
    </w:p>
    <w:p w14:paraId="7956A575" w14:textId="59337F59" w:rsidR="00EA0963" w:rsidRDefault="00EA0963" w:rsidP="009E58ED">
      <w:pPr>
        <w:spacing w:line="360" w:lineRule="auto"/>
        <w:jc w:val="both"/>
        <w:rPr>
          <w:rFonts w:ascii="Arial" w:hAnsi="Arial" w:cs="Arial"/>
          <w:sz w:val="24"/>
          <w:szCs w:val="24"/>
        </w:rPr>
      </w:pPr>
      <w:r w:rsidRPr="00EA0963">
        <w:rPr>
          <w:rFonts w:ascii="Arial" w:hAnsi="Arial" w:cs="Arial"/>
          <w:sz w:val="24"/>
          <w:szCs w:val="24"/>
        </w:rPr>
        <w:t>Wessely, S. (2018)</w:t>
      </w:r>
      <w:r>
        <w:rPr>
          <w:rFonts w:ascii="Arial" w:hAnsi="Arial" w:cs="Arial"/>
          <w:sz w:val="24"/>
          <w:szCs w:val="24"/>
        </w:rPr>
        <w:t>.</w:t>
      </w:r>
      <w:r w:rsidRPr="00EA0963">
        <w:rPr>
          <w:rFonts w:ascii="Arial" w:hAnsi="Arial" w:cs="Arial"/>
          <w:sz w:val="24"/>
          <w:szCs w:val="24"/>
        </w:rPr>
        <w:t xml:space="preserve"> Modernising the Mental Health Act</w:t>
      </w:r>
      <w:r w:rsidR="00786505">
        <w:rPr>
          <w:rFonts w:ascii="Arial" w:hAnsi="Arial" w:cs="Arial"/>
          <w:sz w:val="24"/>
          <w:szCs w:val="24"/>
        </w:rPr>
        <w:t>: Increasing choice, reducing compulsion.</w:t>
      </w:r>
      <w:r>
        <w:rPr>
          <w:rFonts w:ascii="Arial" w:hAnsi="Arial" w:cs="Arial"/>
          <w:sz w:val="24"/>
          <w:szCs w:val="24"/>
        </w:rPr>
        <w:t xml:space="preserve"> </w:t>
      </w:r>
      <w:r w:rsidRPr="00EA0963">
        <w:rPr>
          <w:rFonts w:ascii="Arial" w:hAnsi="Arial" w:cs="Arial"/>
          <w:sz w:val="24"/>
          <w:szCs w:val="24"/>
        </w:rPr>
        <w:t xml:space="preserve">Final report of the Independent Review of the Mental Health Act 1983. Available at: </w:t>
      </w:r>
      <w:hyperlink r:id="rId411" w:history="1">
        <w:r w:rsidRPr="007D0B0F">
          <w:rPr>
            <w:rStyle w:val="Hyperlink"/>
            <w:rFonts w:ascii="Arial" w:hAnsi="Arial" w:cs="Arial"/>
            <w:sz w:val="24"/>
            <w:szCs w:val="24"/>
          </w:rPr>
          <w:t>https://assets.publishing.service.gov.uk/media/5c6596a7ed915d045f37798c/Modernising_the_Mental_Health_Act_-_increasing_choice__reducing_compulsion.pdf</w:t>
        </w:r>
      </w:hyperlink>
      <w:r>
        <w:rPr>
          <w:rFonts w:ascii="Arial" w:hAnsi="Arial" w:cs="Arial"/>
          <w:sz w:val="24"/>
          <w:szCs w:val="24"/>
        </w:rPr>
        <w:t xml:space="preserve"> </w:t>
      </w:r>
      <w:r w:rsidRPr="00EA0963">
        <w:rPr>
          <w:rFonts w:ascii="Arial" w:hAnsi="Arial" w:cs="Arial"/>
          <w:sz w:val="24"/>
          <w:szCs w:val="24"/>
        </w:rPr>
        <w:t>(Accessed: 29 March 2026).</w:t>
      </w:r>
    </w:p>
    <w:p w14:paraId="4798BD24" w14:textId="4CEA28E2" w:rsidR="00FE60BC" w:rsidRDefault="00FE60BC" w:rsidP="009E58ED">
      <w:pPr>
        <w:spacing w:line="360" w:lineRule="auto"/>
        <w:jc w:val="both"/>
        <w:rPr>
          <w:rFonts w:ascii="Arial" w:hAnsi="Arial" w:cs="Arial"/>
          <w:sz w:val="24"/>
          <w:szCs w:val="24"/>
        </w:rPr>
      </w:pPr>
      <w:r w:rsidRPr="00FE60BC">
        <w:rPr>
          <w:rFonts w:ascii="Arial" w:hAnsi="Arial" w:cs="Arial"/>
          <w:sz w:val="24"/>
          <w:szCs w:val="24"/>
        </w:rPr>
        <w:t>West, A. (2010)</w:t>
      </w:r>
      <w:r w:rsidR="00F95B70">
        <w:rPr>
          <w:rFonts w:ascii="Arial" w:hAnsi="Arial" w:cs="Arial"/>
          <w:sz w:val="24"/>
          <w:szCs w:val="24"/>
        </w:rPr>
        <w:t>.</w:t>
      </w:r>
      <w:r w:rsidRPr="00FE60BC">
        <w:rPr>
          <w:rFonts w:ascii="Arial" w:hAnsi="Arial" w:cs="Arial"/>
          <w:sz w:val="24"/>
          <w:szCs w:val="24"/>
        </w:rPr>
        <w:t xml:space="preserve"> 'High stakes testing, accountability, incentives and consequences in English schools', </w:t>
      </w:r>
      <w:r w:rsidRPr="00FE60BC">
        <w:rPr>
          <w:rFonts w:ascii="Arial" w:hAnsi="Arial" w:cs="Arial"/>
          <w:i/>
          <w:iCs/>
          <w:sz w:val="24"/>
          <w:szCs w:val="24"/>
        </w:rPr>
        <w:t>Policy and Politics</w:t>
      </w:r>
      <w:r w:rsidRPr="00FE60BC">
        <w:rPr>
          <w:rFonts w:ascii="Arial" w:hAnsi="Arial" w:cs="Arial"/>
          <w:sz w:val="24"/>
          <w:szCs w:val="24"/>
        </w:rPr>
        <w:t>, 38(1), pp. 23</w:t>
      </w:r>
      <w:r w:rsidR="00F95B70">
        <w:rPr>
          <w:rFonts w:ascii="Arial" w:hAnsi="Arial" w:cs="Arial"/>
          <w:sz w:val="24"/>
          <w:szCs w:val="24"/>
        </w:rPr>
        <w:t>–</w:t>
      </w:r>
      <w:r w:rsidRPr="00FE60BC">
        <w:rPr>
          <w:rFonts w:ascii="Arial" w:hAnsi="Arial" w:cs="Arial"/>
          <w:sz w:val="24"/>
          <w:szCs w:val="24"/>
        </w:rPr>
        <w:t xml:space="preserve">39. Available at: </w:t>
      </w:r>
      <w:hyperlink r:id="rId412" w:history="1">
        <w:r w:rsidRPr="007D0B0F">
          <w:rPr>
            <w:rStyle w:val="Hyperlink"/>
            <w:rFonts w:ascii="Arial" w:hAnsi="Arial" w:cs="Arial"/>
            <w:sz w:val="24"/>
            <w:szCs w:val="24"/>
          </w:rPr>
          <w:t>https://www.proquest.com/docview/1948860221?pq-origsite=gscholar&amp;fromopenview=true&amp;sourcetype=Scholarly%20Journals</w:t>
        </w:r>
      </w:hyperlink>
      <w:r>
        <w:rPr>
          <w:rFonts w:ascii="Arial" w:hAnsi="Arial" w:cs="Arial"/>
          <w:sz w:val="24"/>
          <w:szCs w:val="24"/>
        </w:rPr>
        <w:t xml:space="preserve"> </w:t>
      </w:r>
      <w:r w:rsidRPr="00FE60BC">
        <w:rPr>
          <w:rFonts w:ascii="Arial" w:hAnsi="Arial" w:cs="Arial"/>
          <w:sz w:val="24"/>
          <w:szCs w:val="24"/>
        </w:rPr>
        <w:t>(Accessed: 21 March 2026).</w:t>
      </w:r>
    </w:p>
    <w:p w14:paraId="743A35F3" w14:textId="28B5E7A4" w:rsidR="007A348F" w:rsidRDefault="007A348F" w:rsidP="009E58ED">
      <w:pPr>
        <w:spacing w:line="360" w:lineRule="auto"/>
        <w:jc w:val="both"/>
        <w:rPr>
          <w:rFonts w:ascii="Arial" w:hAnsi="Arial" w:cs="Arial"/>
          <w:sz w:val="24"/>
          <w:szCs w:val="24"/>
        </w:rPr>
      </w:pPr>
      <w:r w:rsidRPr="007A348F">
        <w:rPr>
          <w:rFonts w:ascii="Arial" w:hAnsi="Arial" w:cs="Arial"/>
          <w:sz w:val="24"/>
          <w:szCs w:val="24"/>
        </w:rPr>
        <w:t>Wilkins, A. (2014)</w:t>
      </w:r>
      <w:r w:rsidR="00F95B70">
        <w:rPr>
          <w:rFonts w:ascii="Arial" w:hAnsi="Arial" w:cs="Arial"/>
          <w:sz w:val="24"/>
          <w:szCs w:val="24"/>
        </w:rPr>
        <w:t>.</w:t>
      </w:r>
      <w:r w:rsidRPr="007A348F">
        <w:rPr>
          <w:rFonts w:ascii="Arial" w:hAnsi="Arial" w:cs="Arial"/>
          <w:sz w:val="24"/>
          <w:szCs w:val="24"/>
        </w:rPr>
        <w:t xml:space="preserve"> 'Race, Age, and Identity Transformations in the Transition from High School to College for Black and First-generation White Men', Sociology of Education, 87(3), pp. 171</w:t>
      </w:r>
      <w:r w:rsidR="00F95B70">
        <w:rPr>
          <w:rFonts w:ascii="Arial" w:hAnsi="Arial" w:cs="Arial"/>
          <w:sz w:val="24"/>
          <w:szCs w:val="24"/>
        </w:rPr>
        <w:t>–</w:t>
      </w:r>
      <w:r w:rsidRPr="007A348F">
        <w:rPr>
          <w:rFonts w:ascii="Arial" w:hAnsi="Arial" w:cs="Arial"/>
          <w:sz w:val="24"/>
          <w:szCs w:val="24"/>
        </w:rPr>
        <w:t xml:space="preserve">187. Available at: </w:t>
      </w:r>
      <w:hyperlink r:id="rId413" w:history="1">
        <w:r w:rsidRPr="002F0426">
          <w:rPr>
            <w:rStyle w:val="Hyperlink"/>
            <w:rFonts w:ascii="Arial" w:hAnsi="Arial" w:cs="Arial"/>
            <w:sz w:val="24"/>
            <w:szCs w:val="24"/>
          </w:rPr>
          <w:t>https://journals.sagepub.com/doi/10.1177/0038040714537901</w:t>
        </w:r>
      </w:hyperlink>
      <w:r>
        <w:rPr>
          <w:rFonts w:ascii="Arial" w:hAnsi="Arial" w:cs="Arial"/>
          <w:sz w:val="24"/>
          <w:szCs w:val="24"/>
        </w:rPr>
        <w:t xml:space="preserve"> </w:t>
      </w:r>
      <w:r w:rsidRPr="007A348F">
        <w:rPr>
          <w:rFonts w:ascii="Arial" w:hAnsi="Arial" w:cs="Arial"/>
          <w:sz w:val="24"/>
          <w:szCs w:val="24"/>
        </w:rPr>
        <w:t>(Accessed: 16 March 2026).</w:t>
      </w:r>
    </w:p>
    <w:p w14:paraId="456A0540" w14:textId="035171AE" w:rsidR="00212125" w:rsidRDefault="00212125" w:rsidP="009E58ED">
      <w:pPr>
        <w:spacing w:line="360" w:lineRule="auto"/>
        <w:jc w:val="both"/>
        <w:rPr>
          <w:rFonts w:ascii="Arial" w:hAnsi="Arial" w:cs="Arial"/>
          <w:sz w:val="24"/>
          <w:szCs w:val="24"/>
        </w:rPr>
      </w:pPr>
      <w:r w:rsidRPr="00212125">
        <w:rPr>
          <w:rFonts w:ascii="Arial" w:hAnsi="Arial" w:cs="Arial"/>
          <w:sz w:val="24"/>
          <w:szCs w:val="24"/>
        </w:rPr>
        <w:t>Williams, P., Bath, S., Arday, J., and Lewis, C. (2019)</w:t>
      </w:r>
      <w:r>
        <w:rPr>
          <w:rFonts w:ascii="Arial" w:hAnsi="Arial" w:cs="Arial"/>
          <w:sz w:val="24"/>
          <w:szCs w:val="24"/>
        </w:rPr>
        <w:t xml:space="preserve">. </w:t>
      </w:r>
      <w:r w:rsidRPr="00212125">
        <w:rPr>
          <w:rFonts w:ascii="Arial" w:hAnsi="Arial" w:cs="Arial"/>
          <w:i/>
          <w:iCs/>
          <w:sz w:val="24"/>
          <w:szCs w:val="24"/>
        </w:rPr>
        <w:t>Barriers to Black PhD Students Accessing</w:t>
      </w:r>
      <w:r w:rsidRPr="00212125">
        <w:rPr>
          <w:rFonts w:ascii="Arial" w:hAnsi="Arial" w:cs="Arial"/>
          <w:i/>
          <w:iCs/>
          <w:sz w:val="24"/>
          <w:szCs w:val="24"/>
        </w:rPr>
        <w:br/>
        <w:t>Research Council Funding</w:t>
      </w:r>
      <w:r w:rsidRPr="00212125">
        <w:rPr>
          <w:rFonts w:ascii="Arial" w:hAnsi="Arial" w:cs="Arial"/>
          <w:sz w:val="24"/>
          <w:szCs w:val="24"/>
        </w:rPr>
        <w:t xml:space="preserve">. Leading Routes Available at: </w:t>
      </w:r>
      <w:hyperlink r:id="rId414" w:history="1">
        <w:r w:rsidRPr="00FB3832">
          <w:rPr>
            <w:rStyle w:val="Hyperlink"/>
            <w:rFonts w:ascii="Arial" w:hAnsi="Arial" w:cs="Arial"/>
            <w:sz w:val="24"/>
            <w:szCs w:val="24"/>
          </w:rPr>
          <w:t>https://leadingroutes.org/wp-content/uploads/2024/09/The-Broken-Pipeline-Report-Sept-2019-120919-1.pdf</w:t>
        </w:r>
      </w:hyperlink>
      <w:r>
        <w:rPr>
          <w:rFonts w:ascii="Arial" w:hAnsi="Arial" w:cs="Arial"/>
          <w:sz w:val="24"/>
          <w:szCs w:val="24"/>
        </w:rPr>
        <w:t xml:space="preserve"> </w:t>
      </w:r>
      <w:r w:rsidRPr="00212125">
        <w:rPr>
          <w:rFonts w:ascii="Arial" w:hAnsi="Arial" w:cs="Arial"/>
          <w:sz w:val="24"/>
          <w:szCs w:val="24"/>
        </w:rPr>
        <w:t>(Accessed: 21 March 2026).</w:t>
      </w:r>
    </w:p>
    <w:p w14:paraId="0C833502" w14:textId="7FD2146A" w:rsidR="00D00B9D" w:rsidRDefault="00ED0620" w:rsidP="009E58ED">
      <w:pPr>
        <w:spacing w:line="360" w:lineRule="auto"/>
        <w:jc w:val="both"/>
        <w:rPr>
          <w:rFonts w:ascii="Arial" w:hAnsi="Arial" w:cs="Arial"/>
          <w:sz w:val="24"/>
          <w:szCs w:val="24"/>
        </w:rPr>
      </w:pPr>
      <w:r w:rsidRPr="00ED0620">
        <w:rPr>
          <w:rFonts w:ascii="Arial" w:hAnsi="Arial" w:cs="Arial"/>
          <w:sz w:val="24"/>
          <w:szCs w:val="24"/>
        </w:rPr>
        <w:t>Willie, M. (2025)</w:t>
      </w:r>
      <w:r w:rsidR="00F95B70">
        <w:rPr>
          <w:rFonts w:ascii="Arial" w:hAnsi="Arial" w:cs="Arial"/>
          <w:sz w:val="24"/>
          <w:szCs w:val="24"/>
        </w:rPr>
        <w:t>.</w:t>
      </w:r>
      <w:r w:rsidRPr="00ED0620">
        <w:rPr>
          <w:rFonts w:ascii="Arial" w:hAnsi="Arial" w:cs="Arial"/>
          <w:sz w:val="24"/>
          <w:szCs w:val="24"/>
        </w:rPr>
        <w:t xml:space="preserve"> 'Rethinking Literature Reviews: Key Pitfalls and Strategies for Postgraduates', </w:t>
      </w:r>
      <w:r w:rsidRPr="00ED0620">
        <w:rPr>
          <w:rFonts w:ascii="Arial" w:hAnsi="Arial" w:cs="Arial"/>
          <w:i/>
          <w:iCs/>
          <w:sz w:val="24"/>
          <w:szCs w:val="24"/>
        </w:rPr>
        <w:t>Indonesian Journal of Classroom Action Research</w:t>
      </w:r>
      <w:r w:rsidRPr="00ED0620">
        <w:rPr>
          <w:rFonts w:ascii="Arial" w:hAnsi="Arial" w:cs="Arial"/>
          <w:sz w:val="24"/>
          <w:szCs w:val="24"/>
        </w:rPr>
        <w:t>, 3(2), pp. 61</w:t>
      </w:r>
      <w:r w:rsidR="00F95B70">
        <w:rPr>
          <w:rFonts w:ascii="Arial" w:hAnsi="Arial" w:cs="Arial"/>
          <w:sz w:val="24"/>
          <w:szCs w:val="24"/>
        </w:rPr>
        <w:t>–</w:t>
      </w:r>
      <w:r w:rsidRPr="00ED0620">
        <w:rPr>
          <w:rFonts w:ascii="Arial" w:hAnsi="Arial" w:cs="Arial"/>
          <w:sz w:val="24"/>
          <w:szCs w:val="24"/>
        </w:rPr>
        <w:t xml:space="preserve">66. Available at: </w:t>
      </w:r>
      <w:hyperlink r:id="rId415" w:history="1">
        <w:r w:rsidRPr="001228C1">
          <w:rPr>
            <w:rStyle w:val="Hyperlink"/>
            <w:rFonts w:ascii="Arial" w:hAnsi="Arial" w:cs="Arial"/>
            <w:sz w:val="24"/>
            <w:szCs w:val="24"/>
          </w:rPr>
          <w:t>https://www.researchgate.net/publication/392464881_Rethinking_Literature_Reviews_Key_Pitfalls_and_Strategies_for_Postgraduates</w:t>
        </w:r>
      </w:hyperlink>
      <w:r>
        <w:rPr>
          <w:rFonts w:ascii="Arial" w:hAnsi="Arial" w:cs="Arial"/>
          <w:sz w:val="24"/>
          <w:szCs w:val="24"/>
        </w:rPr>
        <w:t xml:space="preserve"> </w:t>
      </w:r>
      <w:r w:rsidRPr="00ED0620">
        <w:rPr>
          <w:rFonts w:ascii="Arial" w:hAnsi="Arial" w:cs="Arial"/>
          <w:sz w:val="24"/>
          <w:szCs w:val="24"/>
        </w:rPr>
        <w:t xml:space="preserve"> (Accessed: 10 March 2026).</w:t>
      </w:r>
    </w:p>
    <w:p w14:paraId="19EA6E71" w14:textId="63F1D035" w:rsidR="00D00B9D" w:rsidRDefault="00D00B9D" w:rsidP="009E58ED">
      <w:pPr>
        <w:spacing w:line="360" w:lineRule="auto"/>
        <w:jc w:val="both"/>
        <w:rPr>
          <w:rFonts w:ascii="Arial" w:hAnsi="Arial" w:cs="Arial"/>
          <w:sz w:val="24"/>
          <w:szCs w:val="24"/>
        </w:rPr>
      </w:pPr>
      <w:r w:rsidRPr="00D00B9D">
        <w:rPr>
          <w:rFonts w:ascii="Arial" w:hAnsi="Arial" w:cs="Arial"/>
          <w:sz w:val="24"/>
          <w:szCs w:val="24"/>
        </w:rPr>
        <w:lastRenderedPageBreak/>
        <w:t>Wolf, A. (2010)</w:t>
      </w:r>
      <w:r w:rsidR="00B44E41">
        <w:rPr>
          <w:rFonts w:ascii="Arial" w:hAnsi="Arial" w:cs="Arial"/>
          <w:sz w:val="24"/>
          <w:szCs w:val="24"/>
        </w:rPr>
        <w:t>.</w:t>
      </w:r>
      <w:r w:rsidRPr="00D00B9D">
        <w:rPr>
          <w:rFonts w:ascii="Arial" w:hAnsi="Arial" w:cs="Arial"/>
          <w:sz w:val="24"/>
          <w:szCs w:val="24"/>
        </w:rPr>
        <w:t xml:space="preserve"> “Shifting Power to the Learner,” Adults learning, 21(8), p</w:t>
      </w:r>
      <w:r>
        <w:rPr>
          <w:rFonts w:ascii="Arial" w:hAnsi="Arial" w:cs="Arial"/>
          <w:sz w:val="24"/>
          <w:szCs w:val="24"/>
        </w:rPr>
        <w:t>p</w:t>
      </w:r>
      <w:r w:rsidRPr="00D00B9D">
        <w:rPr>
          <w:rFonts w:ascii="Arial" w:hAnsi="Arial" w:cs="Arial"/>
          <w:sz w:val="24"/>
          <w:szCs w:val="24"/>
        </w:rPr>
        <w:t>. 20</w:t>
      </w:r>
      <w:r w:rsidR="00B44E41">
        <w:rPr>
          <w:rFonts w:ascii="Arial" w:hAnsi="Arial" w:cs="Arial"/>
          <w:sz w:val="24"/>
          <w:szCs w:val="24"/>
        </w:rPr>
        <w:t>–</w:t>
      </w:r>
      <w:r w:rsidR="00DC3D31">
        <w:rPr>
          <w:rFonts w:ascii="Arial" w:hAnsi="Arial" w:cs="Arial"/>
          <w:sz w:val="24"/>
          <w:szCs w:val="24"/>
        </w:rPr>
        <w:t>22</w:t>
      </w:r>
      <w:r w:rsidRPr="00D00B9D">
        <w:rPr>
          <w:rFonts w:ascii="Arial" w:hAnsi="Arial" w:cs="Arial"/>
          <w:sz w:val="24"/>
          <w:szCs w:val="24"/>
        </w:rPr>
        <w:t>.</w:t>
      </w:r>
      <w:r w:rsidR="00AD4E2F">
        <w:rPr>
          <w:rFonts w:ascii="Arial" w:hAnsi="Arial" w:cs="Arial"/>
          <w:sz w:val="24"/>
          <w:szCs w:val="24"/>
        </w:rPr>
        <w:t xml:space="preserve"> </w:t>
      </w:r>
      <w:r w:rsidR="00647A4A" w:rsidRPr="00647A4A">
        <w:rPr>
          <w:rFonts w:ascii="Arial" w:hAnsi="Arial" w:cs="Arial"/>
          <w:sz w:val="24"/>
          <w:szCs w:val="24"/>
        </w:rPr>
        <w:t>Available at:</w:t>
      </w:r>
      <w:r w:rsidR="00AD4E2F">
        <w:rPr>
          <w:rFonts w:ascii="Arial" w:hAnsi="Arial" w:cs="Arial"/>
          <w:sz w:val="24"/>
          <w:szCs w:val="24"/>
        </w:rPr>
        <w:t xml:space="preserve"> </w:t>
      </w:r>
      <w:hyperlink r:id="rId416" w:history="1">
        <w:r w:rsidR="00AD4E2F" w:rsidRPr="00FB3832">
          <w:rPr>
            <w:rStyle w:val="Hyperlink"/>
            <w:rFonts w:ascii="Arial" w:hAnsi="Arial" w:cs="Arial"/>
            <w:sz w:val="24"/>
            <w:szCs w:val="24"/>
          </w:rPr>
          <w:t>https://research-ebsco-com.uwtsd.idm.oclc.org/c/onvpsy/viewer/pdf/xrhxo4xdjz?route=details</w:t>
        </w:r>
      </w:hyperlink>
      <w:r w:rsidR="00AD4E2F">
        <w:rPr>
          <w:rFonts w:ascii="Arial" w:hAnsi="Arial" w:cs="Arial"/>
          <w:sz w:val="24"/>
          <w:szCs w:val="24"/>
        </w:rPr>
        <w:t xml:space="preserve"> </w:t>
      </w:r>
      <w:r w:rsidR="00AD4E2F" w:rsidRPr="00AD4E2F">
        <w:rPr>
          <w:rFonts w:ascii="Arial" w:hAnsi="Arial" w:cs="Arial"/>
          <w:sz w:val="24"/>
          <w:szCs w:val="24"/>
        </w:rPr>
        <w:t xml:space="preserve">(Accessed: </w:t>
      </w:r>
      <w:r w:rsidR="00032A31">
        <w:rPr>
          <w:rFonts w:ascii="Arial" w:hAnsi="Arial" w:cs="Arial"/>
          <w:sz w:val="24"/>
          <w:szCs w:val="24"/>
        </w:rPr>
        <w:t>20</w:t>
      </w:r>
      <w:r w:rsidR="00AD4E2F" w:rsidRPr="00AD4E2F">
        <w:rPr>
          <w:rFonts w:ascii="Arial" w:hAnsi="Arial" w:cs="Arial"/>
          <w:sz w:val="24"/>
          <w:szCs w:val="24"/>
        </w:rPr>
        <w:t xml:space="preserve"> March 2026).</w:t>
      </w:r>
    </w:p>
    <w:p w14:paraId="57C97D71" w14:textId="0DCCD834" w:rsidR="00D41D9E" w:rsidRDefault="00D41D9E" w:rsidP="009E58ED">
      <w:pPr>
        <w:spacing w:line="360" w:lineRule="auto"/>
        <w:jc w:val="both"/>
        <w:rPr>
          <w:rFonts w:ascii="Arial" w:hAnsi="Arial" w:cs="Arial"/>
          <w:sz w:val="24"/>
          <w:szCs w:val="24"/>
        </w:rPr>
      </w:pPr>
      <w:r w:rsidRPr="00D41D9E">
        <w:rPr>
          <w:rFonts w:ascii="Arial" w:hAnsi="Arial" w:cs="Arial"/>
          <w:sz w:val="24"/>
          <w:szCs w:val="24"/>
        </w:rPr>
        <w:t xml:space="preserve">Women and Equalities Committee (2019) Race Disparity Audit (HC 562). Available at: </w:t>
      </w:r>
      <w:hyperlink r:id="rId417" w:history="1">
        <w:r w:rsidRPr="007D0B0F">
          <w:rPr>
            <w:rStyle w:val="Hyperlink"/>
            <w:rFonts w:ascii="Arial" w:hAnsi="Arial" w:cs="Arial"/>
            <w:sz w:val="24"/>
            <w:szCs w:val="24"/>
          </w:rPr>
          <w:t>https://publications.parliament.uk/pa/cm201719/cmselect/cmwomeq/562/562.pdf</w:t>
        </w:r>
      </w:hyperlink>
      <w:r>
        <w:rPr>
          <w:rFonts w:ascii="Arial" w:hAnsi="Arial" w:cs="Arial"/>
          <w:sz w:val="24"/>
          <w:szCs w:val="24"/>
        </w:rPr>
        <w:t xml:space="preserve"> </w:t>
      </w:r>
      <w:r w:rsidRPr="00D41D9E">
        <w:rPr>
          <w:rFonts w:ascii="Arial" w:hAnsi="Arial" w:cs="Arial"/>
          <w:sz w:val="24"/>
          <w:szCs w:val="24"/>
        </w:rPr>
        <w:t>(Accessed: 26 March 2026).</w:t>
      </w:r>
    </w:p>
    <w:p w14:paraId="0B80451F" w14:textId="630EBC46" w:rsidR="00915815" w:rsidRDefault="00915815" w:rsidP="009E58ED">
      <w:pPr>
        <w:spacing w:line="360" w:lineRule="auto"/>
        <w:jc w:val="both"/>
        <w:rPr>
          <w:rFonts w:ascii="Arial" w:hAnsi="Arial" w:cs="Arial"/>
          <w:sz w:val="24"/>
          <w:szCs w:val="24"/>
        </w:rPr>
      </w:pPr>
      <w:r w:rsidRPr="00915815">
        <w:rPr>
          <w:rFonts w:ascii="Arial" w:hAnsi="Arial" w:cs="Arial"/>
          <w:sz w:val="24"/>
          <w:szCs w:val="24"/>
        </w:rPr>
        <w:t>Wong, G., Greenhalgh, T., Westhorp, G., Buckingham, J. and Pawson, R. (2013)</w:t>
      </w:r>
      <w:r w:rsidR="00B44E41">
        <w:rPr>
          <w:rFonts w:ascii="Arial" w:hAnsi="Arial" w:cs="Arial"/>
          <w:sz w:val="24"/>
          <w:szCs w:val="24"/>
        </w:rPr>
        <w:t>.</w:t>
      </w:r>
      <w:r w:rsidRPr="00915815">
        <w:rPr>
          <w:rFonts w:ascii="Arial" w:hAnsi="Arial" w:cs="Arial"/>
          <w:sz w:val="24"/>
          <w:szCs w:val="24"/>
        </w:rPr>
        <w:t xml:space="preserve"> 'RAMESES publication standards: meta-narrative reviews', </w:t>
      </w:r>
      <w:r w:rsidRPr="00915815">
        <w:rPr>
          <w:rFonts w:ascii="Arial" w:hAnsi="Arial" w:cs="Arial"/>
          <w:i/>
          <w:iCs/>
          <w:sz w:val="24"/>
          <w:szCs w:val="24"/>
        </w:rPr>
        <w:t>BMC Medicine</w:t>
      </w:r>
      <w:r w:rsidRPr="00915815">
        <w:rPr>
          <w:rFonts w:ascii="Arial" w:hAnsi="Arial" w:cs="Arial"/>
          <w:sz w:val="24"/>
          <w:szCs w:val="24"/>
        </w:rPr>
        <w:t>, 11 (20), pp. 987</w:t>
      </w:r>
      <w:r w:rsidR="00B44E41">
        <w:rPr>
          <w:rFonts w:ascii="Arial" w:hAnsi="Arial" w:cs="Arial"/>
          <w:sz w:val="24"/>
          <w:szCs w:val="24"/>
        </w:rPr>
        <w:t>–</w:t>
      </w:r>
      <w:r w:rsidRPr="00915815">
        <w:rPr>
          <w:rFonts w:ascii="Arial" w:hAnsi="Arial" w:cs="Arial"/>
          <w:sz w:val="24"/>
          <w:szCs w:val="24"/>
        </w:rPr>
        <w:t xml:space="preserve">1004. Available at: </w:t>
      </w:r>
      <w:hyperlink r:id="rId418" w:anchor="citeas" w:history="1">
        <w:r w:rsidRPr="001228C1">
          <w:rPr>
            <w:rStyle w:val="Hyperlink"/>
            <w:rFonts w:ascii="Arial" w:hAnsi="Arial" w:cs="Arial"/>
            <w:sz w:val="24"/>
            <w:szCs w:val="24"/>
          </w:rPr>
          <w:t>https://link.springer.com/article/10.1186/1741-7015-11-20#citeas</w:t>
        </w:r>
      </w:hyperlink>
      <w:r>
        <w:rPr>
          <w:rFonts w:ascii="Arial" w:hAnsi="Arial" w:cs="Arial"/>
          <w:sz w:val="24"/>
          <w:szCs w:val="24"/>
        </w:rPr>
        <w:t xml:space="preserve"> </w:t>
      </w:r>
      <w:r w:rsidRPr="00915815">
        <w:rPr>
          <w:rFonts w:ascii="Arial" w:hAnsi="Arial" w:cs="Arial"/>
          <w:sz w:val="24"/>
          <w:szCs w:val="24"/>
        </w:rPr>
        <w:t>(Accessed: 11 March 2026).</w:t>
      </w:r>
    </w:p>
    <w:p w14:paraId="63DD517F" w14:textId="27B0E44B" w:rsidR="00CB280B" w:rsidRDefault="00CB280B" w:rsidP="009E58ED">
      <w:pPr>
        <w:spacing w:line="360" w:lineRule="auto"/>
        <w:jc w:val="both"/>
        <w:rPr>
          <w:rFonts w:ascii="Arial" w:hAnsi="Arial" w:cs="Arial"/>
          <w:sz w:val="24"/>
          <w:szCs w:val="24"/>
        </w:rPr>
      </w:pPr>
      <w:r w:rsidRPr="00CB280B">
        <w:rPr>
          <w:rFonts w:ascii="Arial" w:hAnsi="Arial" w:cs="Arial"/>
          <w:sz w:val="24"/>
          <w:szCs w:val="24"/>
        </w:rPr>
        <w:t>Wright, C., Maylor, U., and Becker, S. (2016)</w:t>
      </w:r>
      <w:r w:rsidR="00B44E41">
        <w:rPr>
          <w:rFonts w:ascii="Arial" w:hAnsi="Arial" w:cs="Arial"/>
          <w:sz w:val="24"/>
          <w:szCs w:val="24"/>
        </w:rPr>
        <w:t>.</w:t>
      </w:r>
      <w:r w:rsidRPr="00CB280B">
        <w:rPr>
          <w:rFonts w:ascii="Arial" w:hAnsi="Arial" w:cs="Arial"/>
          <w:sz w:val="24"/>
          <w:szCs w:val="24"/>
        </w:rPr>
        <w:t xml:space="preserve"> 'Young Black Males: resilience and the use of capital to transform school ‘failure’', </w:t>
      </w:r>
      <w:r w:rsidRPr="00CB280B">
        <w:rPr>
          <w:rFonts w:ascii="Arial" w:hAnsi="Arial" w:cs="Arial"/>
          <w:i/>
          <w:iCs/>
          <w:sz w:val="24"/>
          <w:szCs w:val="24"/>
        </w:rPr>
        <w:t>Critical Studies in Education</w:t>
      </w:r>
      <w:r w:rsidRPr="00CB280B">
        <w:rPr>
          <w:rFonts w:ascii="Arial" w:hAnsi="Arial" w:cs="Arial"/>
          <w:sz w:val="24"/>
          <w:szCs w:val="24"/>
        </w:rPr>
        <w:t>, 57(1), pp. 21</w:t>
      </w:r>
      <w:r w:rsidR="00B44E41">
        <w:rPr>
          <w:rFonts w:ascii="Arial" w:hAnsi="Arial" w:cs="Arial"/>
          <w:sz w:val="24"/>
          <w:szCs w:val="24"/>
        </w:rPr>
        <w:t>–</w:t>
      </w:r>
      <w:r w:rsidRPr="00CB280B">
        <w:rPr>
          <w:rFonts w:ascii="Arial" w:hAnsi="Arial" w:cs="Arial"/>
          <w:sz w:val="24"/>
          <w:szCs w:val="24"/>
        </w:rPr>
        <w:t xml:space="preserve">34. Available at: </w:t>
      </w:r>
      <w:hyperlink r:id="rId419" w:history="1">
        <w:r w:rsidRPr="002F0426">
          <w:rPr>
            <w:rStyle w:val="Hyperlink"/>
            <w:rFonts w:ascii="Arial" w:hAnsi="Arial" w:cs="Arial"/>
            <w:sz w:val="24"/>
            <w:szCs w:val="24"/>
          </w:rPr>
          <w:t>https://www.tandfonline.com/doi/epdf/10.1080/17508487.2016.1117005?needAccess=true</w:t>
        </w:r>
      </w:hyperlink>
      <w:r>
        <w:rPr>
          <w:rFonts w:ascii="Arial" w:hAnsi="Arial" w:cs="Arial"/>
          <w:sz w:val="24"/>
          <w:szCs w:val="24"/>
        </w:rPr>
        <w:t xml:space="preserve"> </w:t>
      </w:r>
      <w:r w:rsidRPr="00CB280B">
        <w:rPr>
          <w:rFonts w:ascii="Arial" w:hAnsi="Arial" w:cs="Arial"/>
          <w:sz w:val="24"/>
          <w:szCs w:val="24"/>
        </w:rPr>
        <w:t>(Accessed: 17 March 2026).</w:t>
      </w:r>
    </w:p>
    <w:p w14:paraId="75848339" w14:textId="1CCA3739" w:rsidR="004E6FD3" w:rsidRDefault="004E6FD3" w:rsidP="009E58ED">
      <w:pPr>
        <w:spacing w:line="360" w:lineRule="auto"/>
        <w:jc w:val="both"/>
        <w:rPr>
          <w:rFonts w:ascii="Arial" w:hAnsi="Arial" w:cs="Arial"/>
          <w:sz w:val="24"/>
          <w:szCs w:val="24"/>
        </w:rPr>
      </w:pPr>
      <w:r w:rsidRPr="004E6FD3">
        <w:rPr>
          <w:rFonts w:ascii="Arial" w:hAnsi="Arial" w:cs="Arial"/>
          <w:sz w:val="24"/>
          <w:szCs w:val="24"/>
        </w:rPr>
        <w:t>Wright, C., Standen, P., and Patel, T. (2010). </w:t>
      </w:r>
      <w:r w:rsidRPr="004E6FD3">
        <w:rPr>
          <w:rFonts w:ascii="Arial" w:hAnsi="Arial" w:cs="Arial"/>
          <w:i/>
          <w:iCs/>
          <w:sz w:val="24"/>
          <w:szCs w:val="24"/>
        </w:rPr>
        <w:t>Black Youth Matters: Transitions from School to Success.</w:t>
      </w:r>
      <w:r w:rsidRPr="004E6FD3">
        <w:rPr>
          <w:rFonts w:ascii="Arial" w:hAnsi="Arial" w:cs="Arial"/>
          <w:sz w:val="24"/>
          <w:szCs w:val="24"/>
        </w:rPr>
        <w:t xml:space="preserve"> Publisher. Available at: </w:t>
      </w:r>
      <w:hyperlink r:id="rId420" w:history="1">
        <w:r w:rsidRPr="00FB3832">
          <w:rPr>
            <w:rStyle w:val="Hyperlink"/>
            <w:rFonts w:ascii="Arial" w:hAnsi="Arial" w:cs="Arial"/>
            <w:sz w:val="24"/>
            <w:szCs w:val="24"/>
          </w:rPr>
          <w:t>file:///C:/Users/Student/Downloads/9780203863053_previewpdf.pdf</w:t>
        </w:r>
      </w:hyperlink>
      <w:r>
        <w:rPr>
          <w:rFonts w:ascii="Arial" w:hAnsi="Arial" w:cs="Arial"/>
          <w:sz w:val="24"/>
          <w:szCs w:val="24"/>
        </w:rPr>
        <w:t xml:space="preserve"> </w:t>
      </w:r>
      <w:r w:rsidRPr="004E6FD3">
        <w:rPr>
          <w:rFonts w:ascii="Arial" w:hAnsi="Arial" w:cs="Arial"/>
          <w:sz w:val="24"/>
          <w:szCs w:val="24"/>
        </w:rPr>
        <w:t>(Accessed: 20 March 2026).</w:t>
      </w:r>
    </w:p>
    <w:p w14:paraId="5997861E" w14:textId="78BEEA33" w:rsidR="00CA5381" w:rsidRDefault="00CA5381" w:rsidP="009E58ED">
      <w:pPr>
        <w:spacing w:line="360" w:lineRule="auto"/>
        <w:jc w:val="both"/>
        <w:rPr>
          <w:rFonts w:ascii="Arial" w:hAnsi="Arial" w:cs="Arial"/>
          <w:sz w:val="24"/>
          <w:szCs w:val="24"/>
        </w:rPr>
      </w:pPr>
      <w:r w:rsidRPr="00CA5381">
        <w:rPr>
          <w:rFonts w:ascii="Arial" w:hAnsi="Arial" w:cs="Arial"/>
          <w:sz w:val="24"/>
          <w:szCs w:val="24"/>
        </w:rPr>
        <w:t>Wright, C., Weeks, D., McGlaughlin, A., and Webb, D. (1998) '</w:t>
      </w:r>
      <w:proofErr w:type="spellStart"/>
      <w:r w:rsidRPr="00CA5381">
        <w:rPr>
          <w:rFonts w:ascii="Arial" w:hAnsi="Arial" w:cs="Arial"/>
          <w:sz w:val="24"/>
          <w:szCs w:val="24"/>
        </w:rPr>
        <w:t>Maculinised</w:t>
      </w:r>
      <w:proofErr w:type="spellEnd"/>
      <w:r w:rsidRPr="00CA5381">
        <w:rPr>
          <w:rFonts w:ascii="Arial" w:hAnsi="Arial" w:cs="Arial"/>
          <w:sz w:val="24"/>
          <w:szCs w:val="24"/>
        </w:rPr>
        <w:t xml:space="preserve"> discourses within education and the construction of black male identities amongst African Caribbean youth', British</w:t>
      </w:r>
      <w:r w:rsidRPr="00CA5381">
        <w:rPr>
          <w:rFonts w:ascii="Arial" w:hAnsi="Arial" w:cs="Arial"/>
          <w:i/>
          <w:iCs/>
          <w:sz w:val="24"/>
          <w:szCs w:val="24"/>
        </w:rPr>
        <w:t> Journal of Sociology of Education</w:t>
      </w:r>
      <w:r w:rsidRPr="00CA5381">
        <w:rPr>
          <w:rFonts w:ascii="Arial" w:hAnsi="Arial" w:cs="Arial"/>
          <w:sz w:val="24"/>
          <w:szCs w:val="24"/>
        </w:rPr>
        <w:t>, 19(1), pp. 75</w:t>
      </w:r>
      <w:r w:rsidR="00B44E41">
        <w:rPr>
          <w:rFonts w:ascii="Arial" w:hAnsi="Arial" w:cs="Arial"/>
          <w:sz w:val="24"/>
          <w:szCs w:val="24"/>
        </w:rPr>
        <w:t>–</w:t>
      </w:r>
      <w:r w:rsidRPr="00CA5381">
        <w:rPr>
          <w:rFonts w:ascii="Arial" w:hAnsi="Arial" w:cs="Arial"/>
          <w:sz w:val="24"/>
          <w:szCs w:val="24"/>
        </w:rPr>
        <w:t xml:space="preserve">87. Available at: </w:t>
      </w:r>
      <w:hyperlink r:id="rId421" w:history="1">
        <w:r w:rsidRPr="00FB3832">
          <w:rPr>
            <w:rStyle w:val="Hyperlink"/>
            <w:rFonts w:ascii="Arial" w:hAnsi="Arial" w:cs="Arial"/>
            <w:sz w:val="24"/>
            <w:szCs w:val="24"/>
          </w:rPr>
          <w:t>https://www.proquest.com/docview/60087688?accountid=130472&amp;parentSessionId=%2FTisu0e3SNSo13K1%2FbiaolROpiqVdDDB1jYnVh1txvA%3D&amp;pq-origsite=primo&amp;sourcetype=Scholarly%20Journals#</w:t>
        </w:r>
      </w:hyperlink>
      <w:r>
        <w:rPr>
          <w:rFonts w:ascii="Arial" w:hAnsi="Arial" w:cs="Arial"/>
          <w:sz w:val="24"/>
          <w:szCs w:val="24"/>
        </w:rPr>
        <w:t xml:space="preserve"> </w:t>
      </w:r>
      <w:r w:rsidRPr="00CA5381">
        <w:rPr>
          <w:rFonts w:ascii="Arial" w:hAnsi="Arial" w:cs="Arial"/>
          <w:sz w:val="24"/>
          <w:szCs w:val="24"/>
        </w:rPr>
        <w:t>(Accessed: 20 March 2026).</w:t>
      </w:r>
    </w:p>
    <w:p w14:paraId="2DD34329" w14:textId="67F0FD8F" w:rsidR="001C36CA" w:rsidRDefault="001C36CA" w:rsidP="009E58ED">
      <w:pPr>
        <w:spacing w:line="360" w:lineRule="auto"/>
        <w:jc w:val="both"/>
        <w:rPr>
          <w:rFonts w:ascii="Arial" w:hAnsi="Arial" w:cs="Arial"/>
          <w:sz w:val="24"/>
          <w:szCs w:val="24"/>
        </w:rPr>
      </w:pPr>
      <w:r w:rsidRPr="001C36CA">
        <w:rPr>
          <w:rFonts w:ascii="Arial" w:hAnsi="Arial" w:cs="Arial"/>
          <w:sz w:val="24"/>
          <w:szCs w:val="24"/>
        </w:rPr>
        <w:lastRenderedPageBreak/>
        <w:t>Youth Justice Board (2010)</w:t>
      </w:r>
      <w:r>
        <w:rPr>
          <w:rFonts w:ascii="Arial" w:hAnsi="Arial" w:cs="Arial"/>
          <w:sz w:val="24"/>
          <w:szCs w:val="24"/>
        </w:rPr>
        <w:t>.</w:t>
      </w:r>
      <w:r w:rsidRPr="001C36CA">
        <w:rPr>
          <w:rFonts w:ascii="Arial" w:hAnsi="Arial" w:cs="Arial"/>
          <w:sz w:val="24"/>
          <w:szCs w:val="24"/>
        </w:rPr>
        <w:t xml:space="preserve"> Exploring the needs of young Black and Minority Ethnic offenders and the provision of targeted interventions. Youth Justice Board. Available at: </w:t>
      </w:r>
      <w:hyperlink r:id="rId422" w:history="1">
        <w:r w:rsidRPr="00172D15">
          <w:rPr>
            <w:rStyle w:val="Hyperlink"/>
            <w:rFonts w:ascii="Arial" w:hAnsi="Arial" w:cs="Arial"/>
            <w:sz w:val="24"/>
            <w:szCs w:val="24"/>
          </w:rPr>
          <w:t>https://assets.publishing.service.gov.uk/media/5a7e3ab4ed915d74e33f0e47/yjb-exploring-needs-young-black-minority-ethnic-offenders.pdf</w:t>
        </w:r>
      </w:hyperlink>
      <w:r>
        <w:rPr>
          <w:rFonts w:ascii="Arial" w:hAnsi="Arial" w:cs="Arial"/>
          <w:sz w:val="24"/>
          <w:szCs w:val="24"/>
        </w:rPr>
        <w:t xml:space="preserve"> </w:t>
      </w:r>
      <w:r w:rsidRPr="001C36CA">
        <w:rPr>
          <w:rFonts w:ascii="Arial" w:hAnsi="Arial" w:cs="Arial"/>
          <w:sz w:val="24"/>
          <w:szCs w:val="24"/>
        </w:rPr>
        <w:t>(Accessed: 5 April 2026).</w:t>
      </w:r>
    </w:p>
    <w:p w14:paraId="18396CE4" w14:textId="0D77569D" w:rsidR="00C5391A" w:rsidRDefault="00C5391A" w:rsidP="009E58ED">
      <w:pPr>
        <w:spacing w:line="360" w:lineRule="auto"/>
        <w:jc w:val="both"/>
        <w:rPr>
          <w:rFonts w:ascii="Arial" w:hAnsi="Arial" w:cs="Arial"/>
          <w:sz w:val="24"/>
          <w:szCs w:val="24"/>
        </w:rPr>
      </w:pPr>
      <w:r w:rsidRPr="00C5391A">
        <w:rPr>
          <w:rFonts w:ascii="Arial" w:hAnsi="Arial" w:cs="Arial"/>
          <w:sz w:val="24"/>
          <w:szCs w:val="24"/>
        </w:rPr>
        <w:t>Youth Justice Board / Ministry of Justice (2019) Youth Justice Statistics, England and Wales,</w:t>
      </w:r>
      <w:r>
        <w:rPr>
          <w:rFonts w:ascii="Arial" w:hAnsi="Arial" w:cs="Arial"/>
          <w:sz w:val="24"/>
          <w:szCs w:val="24"/>
        </w:rPr>
        <w:t xml:space="preserve"> </w:t>
      </w:r>
      <w:r w:rsidRPr="00C5391A">
        <w:rPr>
          <w:rFonts w:ascii="Arial" w:hAnsi="Arial" w:cs="Arial"/>
          <w:sz w:val="24"/>
          <w:szCs w:val="24"/>
        </w:rPr>
        <w:t xml:space="preserve">April 2017 to March 2018. Ministry of Justice. Available at: </w:t>
      </w:r>
      <w:hyperlink r:id="rId423" w:history="1">
        <w:r w:rsidRPr="00172D15">
          <w:rPr>
            <w:rStyle w:val="Hyperlink"/>
            <w:rFonts w:ascii="Arial" w:hAnsi="Arial" w:cs="Arial"/>
            <w:sz w:val="24"/>
            <w:szCs w:val="24"/>
          </w:rPr>
          <w:t>https://assets.publishing.service.gov.uk/media/5c51a24c40f0b625422c9603/youth_justice_statistics_bulletin_2017_2018.pdf</w:t>
        </w:r>
      </w:hyperlink>
      <w:r>
        <w:rPr>
          <w:rFonts w:ascii="Arial" w:hAnsi="Arial" w:cs="Arial"/>
          <w:sz w:val="24"/>
          <w:szCs w:val="24"/>
        </w:rPr>
        <w:t xml:space="preserve"> </w:t>
      </w:r>
      <w:r w:rsidRPr="00C5391A">
        <w:rPr>
          <w:rFonts w:ascii="Arial" w:hAnsi="Arial" w:cs="Arial"/>
          <w:sz w:val="24"/>
          <w:szCs w:val="24"/>
        </w:rPr>
        <w:t>(Accessed: 5 April 2026).</w:t>
      </w:r>
    </w:p>
    <w:p w14:paraId="7AE517AF" w14:textId="2CEF11AB" w:rsidR="00D40F36" w:rsidRDefault="00D40F36" w:rsidP="009E58ED">
      <w:pPr>
        <w:spacing w:line="360" w:lineRule="auto"/>
        <w:jc w:val="both"/>
        <w:rPr>
          <w:rFonts w:ascii="Arial" w:hAnsi="Arial" w:cs="Arial"/>
          <w:sz w:val="24"/>
          <w:szCs w:val="24"/>
        </w:rPr>
      </w:pPr>
      <w:r w:rsidRPr="00D40F36">
        <w:rPr>
          <w:rFonts w:ascii="Arial" w:hAnsi="Arial" w:cs="Arial"/>
          <w:sz w:val="24"/>
          <w:szCs w:val="24"/>
        </w:rPr>
        <w:t>Young, S., Rush, L., and Shaw, D. (2009)</w:t>
      </w:r>
      <w:r w:rsidR="00B44E41">
        <w:rPr>
          <w:rFonts w:ascii="Arial" w:hAnsi="Arial" w:cs="Arial"/>
          <w:sz w:val="24"/>
          <w:szCs w:val="24"/>
        </w:rPr>
        <w:t>.</w:t>
      </w:r>
      <w:r w:rsidRPr="00D40F36">
        <w:rPr>
          <w:rFonts w:ascii="Arial" w:hAnsi="Arial" w:cs="Arial"/>
          <w:sz w:val="24"/>
          <w:szCs w:val="24"/>
        </w:rPr>
        <w:t xml:space="preserve"> 'Evaluating Gender Bias in Ratings of University Instructors’ Teaching Effectiveness', International Journal for the Scholarship of Teaching and Learning, 3(2), pp. 2</w:t>
      </w:r>
      <w:r w:rsidR="00B44E41">
        <w:rPr>
          <w:rFonts w:ascii="Arial" w:hAnsi="Arial" w:cs="Arial"/>
          <w:sz w:val="24"/>
          <w:szCs w:val="24"/>
        </w:rPr>
        <w:t>–</w:t>
      </w:r>
      <w:r w:rsidRPr="00D40F36">
        <w:rPr>
          <w:rFonts w:ascii="Arial" w:hAnsi="Arial" w:cs="Arial"/>
          <w:sz w:val="24"/>
          <w:szCs w:val="24"/>
        </w:rPr>
        <w:t xml:space="preserve">14. Available at: </w:t>
      </w:r>
      <w:hyperlink r:id="rId424" w:history="1">
        <w:r w:rsidRPr="00FB3832">
          <w:rPr>
            <w:rStyle w:val="Hyperlink"/>
            <w:rFonts w:ascii="Arial" w:hAnsi="Arial" w:cs="Arial"/>
            <w:sz w:val="24"/>
            <w:szCs w:val="24"/>
          </w:rPr>
          <w:t>https://www.researchgate.net/publication/266342856_Evaluating_Gender_Bias_in_Ratings_of_University_Instructors'_Teaching_Effectiveness</w:t>
        </w:r>
      </w:hyperlink>
      <w:r>
        <w:rPr>
          <w:rFonts w:ascii="Arial" w:hAnsi="Arial" w:cs="Arial"/>
          <w:sz w:val="24"/>
          <w:szCs w:val="24"/>
        </w:rPr>
        <w:t xml:space="preserve"> </w:t>
      </w:r>
      <w:r w:rsidRPr="00D40F36">
        <w:rPr>
          <w:rFonts w:ascii="Arial" w:hAnsi="Arial" w:cs="Arial"/>
          <w:sz w:val="24"/>
          <w:szCs w:val="24"/>
        </w:rPr>
        <w:t>(Accessed: 19 March 2026).</w:t>
      </w:r>
    </w:p>
    <w:p w14:paraId="6B3B127F" w14:textId="11BCFC85" w:rsidR="009B79D6" w:rsidRDefault="009B79D6" w:rsidP="009E58ED">
      <w:pPr>
        <w:spacing w:line="360" w:lineRule="auto"/>
        <w:jc w:val="both"/>
        <w:rPr>
          <w:rFonts w:ascii="Arial" w:hAnsi="Arial" w:cs="Arial"/>
          <w:sz w:val="24"/>
          <w:szCs w:val="24"/>
        </w:rPr>
      </w:pPr>
      <w:r w:rsidRPr="009B79D6">
        <w:rPr>
          <w:rFonts w:ascii="Arial" w:hAnsi="Arial" w:cs="Arial"/>
          <w:sz w:val="24"/>
          <w:szCs w:val="24"/>
        </w:rPr>
        <w:t>Zhang, J. (2015)</w:t>
      </w:r>
      <w:r>
        <w:rPr>
          <w:rFonts w:ascii="Arial" w:hAnsi="Arial" w:cs="Arial"/>
          <w:sz w:val="24"/>
          <w:szCs w:val="24"/>
        </w:rPr>
        <w:t>.</w:t>
      </w:r>
      <w:r w:rsidRPr="009B79D6">
        <w:rPr>
          <w:rFonts w:ascii="Arial" w:hAnsi="Arial" w:cs="Arial"/>
          <w:sz w:val="24"/>
          <w:szCs w:val="24"/>
        </w:rPr>
        <w:t xml:space="preserve"> 'A Preliminary Study of Barriers to Bank Financing of Ethnic Chinese Entrepreneurs in the UK', Open Journal of Social Sciences, 3, pp. 105</w:t>
      </w:r>
      <w:r>
        <w:rPr>
          <w:rFonts w:ascii="Arial" w:hAnsi="Arial" w:cs="Arial"/>
          <w:sz w:val="24"/>
          <w:szCs w:val="24"/>
        </w:rPr>
        <w:t>–</w:t>
      </w:r>
      <w:r w:rsidRPr="009B79D6">
        <w:rPr>
          <w:rFonts w:ascii="Arial" w:hAnsi="Arial" w:cs="Arial"/>
          <w:sz w:val="24"/>
          <w:szCs w:val="24"/>
        </w:rPr>
        <w:t xml:space="preserve">110. Available at: </w:t>
      </w:r>
      <w:hyperlink r:id="rId425" w:history="1">
        <w:r w:rsidRPr="007D0B0F">
          <w:rPr>
            <w:rStyle w:val="Hyperlink"/>
            <w:rFonts w:ascii="Arial" w:hAnsi="Arial" w:cs="Arial"/>
            <w:sz w:val="24"/>
            <w:szCs w:val="24"/>
          </w:rPr>
          <w:t>https://www.scirp.org/pdf/JSS_2015071612042611.pdf</w:t>
        </w:r>
      </w:hyperlink>
      <w:r>
        <w:rPr>
          <w:rFonts w:ascii="Arial" w:hAnsi="Arial" w:cs="Arial"/>
          <w:sz w:val="24"/>
          <w:szCs w:val="24"/>
        </w:rPr>
        <w:t xml:space="preserve"> </w:t>
      </w:r>
      <w:r w:rsidRPr="009B79D6">
        <w:rPr>
          <w:rFonts w:ascii="Arial" w:hAnsi="Arial" w:cs="Arial"/>
          <w:sz w:val="24"/>
          <w:szCs w:val="24"/>
        </w:rPr>
        <w:t>(Accessed: 26 March 2026).</w:t>
      </w:r>
    </w:p>
    <w:p w14:paraId="35FA5B4D" w14:textId="085F0511" w:rsidR="00101EAD" w:rsidRDefault="00101EAD" w:rsidP="009E58ED">
      <w:pPr>
        <w:spacing w:line="360" w:lineRule="auto"/>
        <w:jc w:val="both"/>
        <w:rPr>
          <w:rFonts w:ascii="Arial" w:hAnsi="Arial" w:cs="Arial"/>
          <w:sz w:val="24"/>
          <w:szCs w:val="24"/>
        </w:rPr>
      </w:pPr>
      <w:r w:rsidRPr="00101EAD">
        <w:rPr>
          <w:rFonts w:ascii="Arial" w:hAnsi="Arial" w:cs="Arial"/>
          <w:sz w:val="24"/>
          <w:szCs w:val="24"/>
        </w:rPr>
        <w:t>Zuccotti, C., Platt, L. (2023)</w:t>
      </w:r>
      <w:r>
        <w:rPr>
          <w:rFonts w:ascii="Arial" w:hAnsi="Arial" w:cs="Arial"/>
          <w:sz w:val="24"/>
          <w:szCs w:val="24"/>
        </w:rPr>
        <w:t>.</w:t>
      </w:r>
      <w:r w:rsidRPr="00101EAD">
        <w:rPr>
          <w:rFonts w:ascii="Arial" w:hAnsi="Arial" w:cs="Arial"/>
          <w:sz w:val="24"/>
          <w:szCs w:val="24"/>
        </w:rPr>
        <w:t xml:space="preserve"> 'The paradoxical role of social class background in the educational and labour market outcomes of the children of immigrants in the UK', The British Journal of Sociology, 74(4), pp. 733</w:t>
      </w:r>
      <w:r>
        <w:rPr>
          <w:rFonts w:ascii="Arial" w:hAnsi="Arial" w:cs="Arial"/>
          <w:sz w:val="24"/>
          <w:szCs w:val="24"/>
        </w:rPr>
        <w:t>–</w:t>
      </w:r>
      <w:r w:rsidRPr="00101EAD">
        <w:rPr>
          <w:rFonts w:ascii="Arial" w:hAnsi="Arial" w:cs="Arial"/>
          <w:sz w:val="24"/>
          <w:szCs w:val="24"/>
        </w:rPr>
        <w:t xml:space="preserve">754. Available at: </w:t>
      </w:r>
      <w:hyperlink r:id="rId426" w:history="1">
        <w:r w:rsidRPr="007D0B0F">
          <w:rPr>
            <w:rStyle w:val="Hyperlink"/>
            <w:rFonts w:ascii="Arial" w:hAnsi="Arial" w:cs="Arial"/>
            <w:sz w:val="24"/>
            <w:szCs w:val="24"/>
          </w:rPr>
          <w:t>https://onlinelibrary.wiley.com/doi/full/10.1111/1468-4446.13047</w:t>
        </w:r>
      </w:hyperlink>
      <w:r>
        <w:rPr>
          <w:rFonts w:ascii="Arial" w:hAnsi="Arial" w:cs="Arial"/>
          <w:sz w:val="24"/>
          <w:szCs w:val="24"/>
        </w:rPr>
        <w:t xml:space="preserve"> </w:t>
      </w:r>
      <w:r w:rsidRPr="00101EAD">
        <w:rPr>
          <w:rFonts w:ascii="Arial" w:hAnsi="Arial" w:cs="Arial"/>
          <w:sz w:val="24"/>
          <w:szCs w:val="24"/>
        </w:rPr>
        <w:t>(Accessed: 25 March 2026).</w:t>
      </w:r>
    </w:p>
    <w:p w14:paraId="28A20BDC" w14:textId="55F5710A" w:rsidR="00A42AD8" w:rsidRPr="00B7349A" w:rsidRDefault="00A42AD8" w:rsidP="009E58ED">
      <w:pPr>
        <w:spacing w:line="360" w:lineRule="auto"/>
        <w:jc w:val="both"/>
        <w:rPr>
          <w:rFonts w:ascii="Arial" w:hAnsi="Arial" w:cs="Arial"/>
          <w:sz w:val="24"/>
          <w:szCs w:val="24"/>
        </w:rPr>
      </w:pPr>
      <w:r w:rsidRPr="00A42AD8">
        <w:rPr>
          <w:rFonts w:ascii="Arial" w:hAnsi="Arial" w:cs="Arial"/>
          <w:sz w:val="24"/>
          <w:szCs w:val="24"/>
        </w:rPr>
        <w:t xml:space="preserve">Zuckerman, M., and </w:t>
      </w:r>
      <w:proofErr w:type="spellStart"/>
      <w:r w:rsidRPr="00A42AD8">
        <w:rPr>
          <w:rFonts w:ascii="Arial" w:hAnsi="Arial" w:cs="Arial"/>
          <w:sz w:val="24"/>
          <w:szCs w:val="24"/>
        </w:rPr>
        <w:t>Aluja</w:t>
      </w:r>
      <w:proofErr w:type="spellEnd"/>
      <w:r w:rsidRPr="00A42AD8">
        <w:rPr>
          <w:rFonts w:ascii="Arial" w:hAnsi="Arial" w:cs="Arial"/>
          <w:sz w:val="24"/>
          <w:szCs w:val="24"/>
        </w:rPr>
        <w:t xml:space="preserve">, A. (2015) 'Measures of Sensation Seeking', in Boyle, G., </w:t>
      </w:r>
      <w:proofErr w:type="spellStart"/>
      <w:r w:rsidRPr="00A42AD8">
        <w:rPr>
          <w:rFonts w:ascii="Arial" w:hAnsi="Arial" w:cs="Arial"/>
          <w:sz w:val="24"/>
          <w:szCs w:val="24"/>
        </w:rPr>
        <w:t>Saklofske</w:t>
      </w:r>
      <w:proofErr w:type="spellEnd"/>
      <w:r w:rsidRPr="00A42AD8">
        <w:rPr>
          <w:rFonts w:ascii="Arial" w:hAnsi="Arial" w:cs="Arial"/>
          <w:sz w:val="24"/>
          <w:szCs w:val="24"/>
        </w:rPr>
        <w:t xml:space="preserve">, D., and Matthews, G. (ed.), Measures of Personality and Social Psychological Constructs. Oxford: Academic Press, pp. 352-380. Available at: </w:t>
      </w:r>
      <w:hyperlink r:id="rId427" w:history="1">
        <w:r w:rsidRPr="007D0B0F">
          <w:rPr>
            <w:rStyle w:val="Hyperlink"/>
            <w:rFonts w:ascii="Arial" w:hAnsi="Arial" w:cs="Arial"/>
            <w:sz w:val="24"/>
            <w:szCs w:val="24"/>
          </w:rPr>
          <w:t>https://www.researchgate.net/profile/Anton-Aluja/publication/328389082_Measures_of_Sensation_Seeking/links/5bc9e442458515f7d9c9e297/Measures-of-Sensation-Seeking.pdf</w:t>
        </w:r>
      </w:hyperlink>
      <w:r>
        <w:rPr>
          <w:rFonts w:ascii="Arial" w:hAnsi="Arial" w:cs="Arial"/>
          <w:sz w:val="24"/>
          <w:szCs w:val="24"/>
        </w:rPr>
        <w:t xml:space="preserve"> </w:t>
      </w:r>
      <w:r w:rsidRPr="00A42AD8">
        <w:rPr>
          <w:rFonts w:ascii="Arial" w:hAnsi="Arial" w:cs="Arial"/>
          <w:sz w:val="24"/>
          <w:szCs w:val="24"/>
        </w:rPr>
        <w:t>(Accessed: 2 April 2026).</w:t>
      </w:r>
    </w:p>
    <w:sectPr w:rsidR="00A42AD8" w:rsidRPr="00B7349A" w:rsidSect="006F011A">
      <w:headerReference w:type="default" r:id="rId428"/>
      <w:footerReference w:type="default" r:id="rId4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409B0" w14:textId="77777777" w:rsidR="0061602C" w:rsidRDefault="0061602C" w:rsidP="00C70C9C">
      <w:pPr>
        <w:spacing w:after="0" w:line="240" w:lineRule="auto"/>
      </w:pPr>
      <w:r>
        <w:separator/>
      </w:r>
    </w:p>
  </w:endnote>
  <w:endnote w:type="continuationSeparator" w:id="0">
    <w:p w14:paraId="7C1B5C83" w14:textId="77777777" w:rsidR="0061602C" w:rsidRDefault="0061602C" w:rsidP="00C70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2995" w14:textId="7600A34D" w:rsidR="00C70C9C" w:rsidRDefault="0061602C">
    <w:pPr>
      <w:pStyle w:val="Footer"/>
    </w:pPr>
    <w:sdt>
      <w:sdtPr>
        <w:id w:val="899088343"/>
        <w:docPartObj>
          <w:docPartGallery w:val="Page Numbers (Bottom of Page)"/>
          <w:docPartUnique/>
        </w:docPartObj>
      </w:sdtPr>
      <w:sdtEndPr/>
      <w:sdtContent>
        <w:r w:rsidR="00C70C9C">
          <w:rPr>
            <w:noProof/>
          </w:rPr>
          <mc:AlternateContent>
            <mc:Choice Requires="wpg">
              <w:drawing>
                <wp:anchor distT="0" distB="0" distL="114300" distR="114300" simplePos="0" relativeHeight="251658240" behindDoc="0" locked="0" layoutInCell="0" allowOverlap="1" wp14:anchorId="58810212" wp14:editId="3F7FFDEF">
                  <wp:simplePos x="0" y="0"/>
                  <wp:positionH relativeFrom="rightMargin">
                    <wp:align>right</wp:align>
                  </wp:positionH>
                  <wp:positionV relativeFrom="bottomMargin">
                    <wp:align>bottom</wp:align>
                  </wp:positionV>
                  <wp:extent cx="914400" cy="914400"/>
                  <wp:effectExtent l="11430" t="0" r="0" b="0"/>
                  <wp:wrapNone/>
                  <wp:docPr id="927477708"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914400"/>
                            <a:chOff x="10800" y="14400"/>
                            <a:chExt cx="1440" cy="1440"/>
                          </a:xfrm>
                        </wpg:grpSpPr>
                        <wps:wsp>
                          <wps:cNvPr id="1674974903" name="Rectangle 2"/>
                          <wps:cNvSpPr>
                            <a:spLocks noChangeArrowheads="1"/>
                          </wps:cNvSpPr>
                          <wps:spPr bwMode="auto">
                            <a:xfrm>
                              <a:off x="10800" y="14400"/>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394C38" w14:textId="77777777" w:rsidR="00C70C9C" w:rsidRDefault="00C70C9C"/>
                            </w:txbxContent>
                          </wps:txbx>
                          <wps:bodyPr rot="0" vert="horz" wrap="square" lIns="91440" tIns="45720" rIns="91440" bIns="45720" anchor="t" anchorCtr="0" upright="1">
                            <a:noAutofit/>
                          </wps:bodyPr>
                        </wps:wsp>
                        <wps:wsp>
                          <wps:cNvPr id="1743619433" name="AutoShape 3"/>
                          <wps:cNvSpPr>
                            <a:spLocks noChangeArrowheads="1"/>
                          </wps:cNvSpPr>
                          <wps:spPr bwMode="auto">
                            <a:xfrm rot="13500000" flipH="1">
                              <a:off x="10813" y="14744"/>
                              <a:ext cx="1121" cy="495"/>
                            </a:xfrm>
                            <a:prstGeom prst="homePlate">
                              <a:avLst>
                                <a:gd name="adj" fmla="val 56616"/>
                              </a:avLst>
                            </a:prstGeom>
                            <a:noFill/>
                            <a:ln w="9525">
                              <a:solidFill>
                                <a:srgbClr val="5C83B4"/>
                              </a:solidFill>
                              <a:miter lim="800000"/>
                              <a:headEnd/>
                              <a:tailEnd/>
                            </a:ln>
                            <a:extLst>
                              <a:ext uri="{909E8E84-426E-40DD-AFC4-6F175D3DCCD1}">
                                <a14:hiddenFill xmlns:a14="http://schemas.microsoft.com/office/drawing/2010/main">
                                  <a:solidFill>
                                    <a:srgbClr val="5C83B4"/>
                                  </a:solidFill>
                                </a14:hiddenFill>
                              </a:ext>
                            </a:extLst>
                          </wps:spPr>
                          <wps:txbx>
                            <w:txbxContent>
                              <w:p w14:paraId="7495AF81" w14:textId="77777777" w:rsidR="00C70C9C" w:rsidRDefault="00C70C9C">
                                <w:pPr>
                                  <w:pStyle w:val="Footer"/>
                                  <w:jc w:val="center"/>
                                </w:pPr>
                                <w:r>
                                  <w:fldChar w:fldCharType="begin"/>
                                </w:r>
                                <w:r>
                                  <w:instrText>PAGE   \* MERGEFORMAT</w:instrText>
                                </w:r>
                                <w:r>
                                  <w:fldChar w:fldCharType="separate"/>
                                </w:r>
                                <w:r>
                                  <w:t>2</w:t>
                                </w:r>
                                <w:r>
                                  <w:fldChar w:fldCharType="end"/>
                                </w:r>
                              </w:p>
                            </w:txbxContent>
                          </wps:txbx>
                          <wps:bodyPr rot="0" vert="horz" wrap="square" lIns="91440" tIns="0" rIns="9144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10212" id="Group 3" o:spid="_x0000_s1027" style="position:absolute;margin-left:20.8pt;margin-top:0;width:1in;height:1in;z-index:251658240;mso-position-horizontal:right;mso-position-horizontal-relative:right-margin-area;mso-position-vertical:bottom;mso-position-vertical-relative:bottom-margin-area" coordorigin="10800,14400" coordsize="14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" o:allowincell="f">
                  <v:rect id="Rectangle 2" o:spid="_x0000_s1028" style="position:absolute;left:10800;top:14400;width:144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" stroked="f">
                    <v:textbox>
                      <w:txbxContent>
                        <w:p w14:paraId="68394C38" w14:textId="77777777" w:rsidR="00C70C9C" w:rsidRDefault="00C70C9C"/>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3" o:spid="_x0000_s1029" type="#_x0000_t15" style="position:absolute;left:10813;top:14744;width:1121;height:495;rotation:1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" filled="f" fillcolor="#5c83b4" strokecolor="#5c83b4">
                    <v:textbox inset=",0,,0">
                      <w:txbxContent>
                        <w:p w14:paraId="7495AF81" w14:textId="77777777" w:rsidR="00C70C9C" w:rsidRDefault="00C70C9C">
                          <w:pPr>
                            <w:pStyle w:val="Footer"/>
                            <w:jc w:val="center"/>
                          </w:pPr>
                          <w:r>
                            <w:fldChar w:fldCharType="begin"/>
                          </w:r>
                          <w:r>
                            <w:instrText>PAGE   \* MERGEFORMAT</w:instrText>
                          </w:r>
                          <w:r>
                            <w:fldChar w:fldCharType="separate"/>
                          </w:r>
                          <w:r>
                            <w:t>2</w:t>
                          </w:r>
                          <w:r>
                            <w:fldChar w:fldCharType="end"/>
                          </w:r>
                        </w:p>
                      </w:txbxContent>
                    </v:textbox>
                  </v:shape>
                  <w10:wrap anchorx="margin" anchory="margin"/>
                </v:group>
              </w:pict>
            </mc:Fallback>
          </mc:AlternateContent>
        </w:r>
      </w:sdtContent>
    </w:sdt>
    <w:r w:rsidR="001259AF" w:rsidRPr="00122C4B">
      <w:rPr>
        <w:noProof/>
      </w:rPr>
      <w:drawing>
        <wp:inline distT="0" distB="0" distL="0" distR="0" wp14:anchorId="5B605584" wp14:editId="19BD809F">
          <wp:extent cx="414655" cy="890270"/>
          <wp:effectExtent l="0" t="0" r="4445" b="0"/>
          <wp:docPr id="1272186809" name="Picture 10" descr="A black and yellow shield with red lions and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511138" name="Picture 10" descr="A black and yellow shield with red lions and blue flower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655" cy="890270"/>
                  </a:xfrm>
                  <a:prstGeom prst="rect">
                    <a:avLst/>
                  </a:prstGeom>
                  <a:noFill/>
                </pic:spPr>
              </pic:pic>
            </a:graphicData>
          </a:graphic>
        </wp:inline>
      </w:drawing>
    </w:r>
    <w:r w:rsidR="00A1103B" w:rsidRPr="00A1103B">
      <w:rPr>
        <w:sz w:val="12"/>
        <w:szCs w:val="12"/>
      </w:rPr>
      <w:t>University of Wales Trinity Saint David (2012).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2A94B" w14:textId="77777777" w:rsidR="0061602C" w:rsidRDefault="0061602C" w:rsidP="00C70C9C">
      <w:pPr>
        <w:spacing w:after="0" w:line="240" w:lineRule="auto"/>
      </w:pPr>
      <w:r>
        <w:separator/>
      </w:r>
    </w:p>
  </w:footnote>
  <w:footnote w:type="continuationSeparator" w:id="0">
    <w:p w14:paraId="1899DCF0" w14:textId="77777777" w:rsidR="0061602C" w:rsidRDefault="0061602C" w:rsidP="00C70C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2FA42" w14:textId="79AAC68F" w:rsidR="00F65363" w:rsidRDefault="00F65363">
    <w:pPr>
      <w:pStyle w:val="Header"/>
    </w:pPr>
    <w:r>
      <w:rPr>
        <w:noProof/>
      </w:rPr>
      <w:drawing>
        <wp:inline distT="0" distB="0" distL="0" distR="0" wp14:anchorId="522B9843" wp14:editId="6B313B5D">
          <wp:extent cx="975360" cy="756285"/>
          <wp:effectExtent l="0" t="0" r="0" b="0"/>
          <wp:docPr id="6448292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5360" cy="756285"/>
                  </a:xfrm>
                  <a:prstGeom prst="rect">
                    <a:avLst/>
                  </a:prstGeom>
                  <a:noFill/>
                </pic:spPr>
              </pic:pic>
            </a:graphicData>
          </a:graphic>
        </wp:inline>
      </w:drawing>
    </w:r>
    <w:r w:rsidR="0066506D">
      <w:t xml:space="preserve"> </w:t>
    </w:r>
    <w:r w:rsidR="0066506D" w:rsidRPr="0066506D">
      <w:rPr>
        <w:sz w:val="12"/>
        <w:szCs w:val="12"/>
      </w:rPr>
      <w:t xml:space="preserve">Study In UK, (2025).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67C45"/>
    <w:multiLevelType w:val="hybridMultilevel"/>
    <w:tmpl w:val="A47CB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B270A"/>
    <w:multiLevelType w:val="hybridMultilevel"/>
    <w:tmpl w:val="A44A18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412FAA"/>
    <w:multiLevelType w:val="hybridMultilevel"/>
    <w:tmpl w:val="E8BE4C9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FF9470F"/>
    <w:multiLevelType w:val="hybridMultilevel"/>
    <w:tmpl w:val="057E1F50"/>
    <w:lvl w:ilvl="0" w:tplc="A0DE092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D7D26"/>
    <w:multiLevelType w:val="hybridMultilevel"/>
    <w:tmpl w:val="C8284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71A36"/>
    <w:multiLevelType w:val="hybridMultilevel"/>
    <w:tmpl w:val="737E2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B51158"/>
    <w:multiLevelType w:val="hybridMultilevel"/>
    <w:tmpl w:val="209AF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562CDD"/>
    <w:multiLevelType w:val="hybridMultilevel"/>
    <w:tmpl w:val="1660C17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18B3409"/>
    <w:multiLevelType w:val="hybridMultilevel"/>
    <w:tmpl w:val="4014A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B2634B"/>
    <w:multiLevelType w:val="hybridMultilevel"/>
    <w:tmpl w:val="33ACDC42"/>
    <w:lvl w:ilvl="0" w:tplc="37B22BC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3081592">
    <w:abstractNumId w:val="1"/>
  </w:num>
  <w:num w:numId="2" w16cid:durableId="260064262">
    <w:abstractNumId w:val="0"/>
  </w:num>
  <w:num w:numId="3" w16cid:durableId="1638099585">
    <w:abstractNumId w:val="8"/>
  </w:num>
  <w:num w:numId="4" w16cid:durableId="1837650383">
    <w:abstractNumId w:val="6"/>
  </w:num>
  <w:num w:numId="5" w16cid:durableId="1490707616">
    <w:abstractNumId w:val="7"/>
  </w:num>
  <w:num w:numId="6" w16cid:durableId="1601328291">
    <w:abstractNumId w:val="4"/>
  </w:num>
  <w:num w:numId="7" w16cid:durableId="1083377414">
    <w:abstractNumId w:val="9"/>
  </w:num>
  <w:num w:numId="8" w16cid:durableId="1471822704">
    <w:abstractNumId w:val="2"/>
  </w:num>
  <w:num w:numId="9" w16cid:durableId="1142624468">
    <w:abstractNumId w:val="5"/>
  </w:num>
  <w:num w:numId="10" w16cid:durableId="16397948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11A"/>
    <w:rsid w:val="000011AF"/>
    <w:rsid w:val="000016E1"/>
    <w:rsid w:val="000026A6"/>
    <w:rsid w:val="00002BF9"/>
    <w:rsid w:val="0000339E"/>
    <w:rsid w:val="0000340D"/>
    <w:rsid w:val="00003B6D"/>
    <w:rsid w:val="00004422"/>
    <w:rsid w:val="000044B4"/>
    <w:rsid w:val="000044E5"/>
    <w:rsid w:val="000047AE"/>
    <w:rsid w:val="00004C54"/>
    <w:rsid w:val="00005337"/>
    <w:rsid w:val="000053D6"/>
    <w:rsid w:val="00006132"/>
    <w:rsid w:val="00006CCC"/>
    <w:rsid w:val="00007206"/>
    <w:rsid w:val="00007EDF"/>
    <w:rsid w:val="00010307"/>
    <w:rsid w:val="00010870"/>
    <w:rsid w:val="00010A5C"/>
    <w:rsid w:val="00012ABA"/>
    <w:rsid w:val="00012EC8"/>
    <w:rsid w:val="000141CE"/>
    <w:rsid w:val="0001464F"/>
    <w:rsid w:val="000148CA"/>
    <w:rsid w:val="000150A1"/>
    <w:rsid w:val="0001639D"/>
    <w:rsid w:val="00017075"/>
    <w:rsid w:val="000177C6"/>
    <w:rsid w:val="00017EE5"/>
    <w:rsid w:val="00020CFA"/>
    <w:rsid w:val="000213F7"/>
    <w:rsid w:val="000215C5"/>
    <w:rsid w:val="0002172B"/>
    <w:rsid w:val="000219A5"/>
    <w:rsid w:val="00022707"/>
    <w:rsid w:val="0002283F"/>
    <w:rsid w:val="0002290D"/>
    <w:rsid w:val="00023135"/>
    <w:rsid w:val="00023718"/>
    <w:rsid w:val="00023B90"/>
    <w:rsid w:val="0002487F"/>
    <w:rsid w:val="00024A66"/>
    <w:rsid w:val="00024DCE"/>
    <w:rsid w:val="000252BC"/>
    <w:rsid w:val="000254F8"/>
    <w:rsid w:val="00025607"/>
    <w:rsid w:val="00026504"/>
    <w:rsid w:val="00026C79"/>
    <w:rsid w:val="00026EAE"/>
    <w:rsid w:val="0002759B"/>
    <w:rsid w:val="00027D98"/>
    <w:rsid w:val="0003032C"/>
    <w:rsid w:val="00030D7F"/>
    <w:rsid w:val="000320EC"/>
    <w:rsid w:val="00032125"/>
    <w:rsid w:val="00032338"/>
    <w:rsid w:val="000325CD"/>
    <w:rsid w:val="00032A31"/>
    <w:rsid w:val="0003418B"/>
    <w:rsid w:val="000344F3"/>
    <w:rsid w:val="00034637"/>
    <w:rsid w:val="000346A6"/>
    <w:rsid w:val="0003482F"/>
    <w:rsid w:val="00034CE7"/>
    <w:rsid w:val="0003582B"/>
    <w:rsid w:val="00037296"/>
    <w:rsid w:val="00037669"/>
    <w:rsid w:val="000406A8"/>
    <w:rsid w:val="000423C6"/>
    <w:rsid w:val="00042A8C"/>
    <w:rsid w:val="00042D1C"/>
    <w:rsid w:val="00042DFE"/>
    <w:rsid w:val="00045B79"/>
    <w:rsid w:val="00045CEE"/>
    <w:rsid w:val="00045F8E"/>
    <w:rsid w:val="000462B8"/>
    <w:rsid w:val="000462F4"/>
    <w:rsid w:val="0004640C"/>
    <w:rsid w:val="0004651F"/>
    <w:rsid w:val="00047AE5"/>
    <w:rsid w:val="00047C01"/>
    <w:rsid w:val="000505AD"/>
    <w:rsid w:val="000508DA"/>
    <w:rsid w:val="00051278"/>
    <w:rsid w:val="0005254A"/>
    <w:rsid w:val="00052625"/>
    <w:rsid w:val="00054BC3"/>
    <w:rsid w:val="00055042"/>
    <w:rsid w:val="00055B0D"/>
    <w:rsid w:val="0005772F"/>
    <w:rsid w:val="000606E3"/>
    <w:rsid w:val="0006072A"/>
    <w:rsid w:val="00060AF6"/>
    <w:rsid w:val="00060B1B"/>
    <w:rsid w:val="00061505"/>
    <w:rsid w:val="00061D86"/>
    <w:rsid w:val="00061F06"/>
    <w:rsid w:val="00061F32"/>
    <w:rsid w:val="0006232A"/>
    <w:rsid w:val="00062696"/>
    <w:rsid w:val="0006365D"/>
    <w:rsid w:val="00063973"/>
    <w:rsid w:val="00063BE3"/>
    <w:rsid w:val="00063DA2"/>
    <w:rsid w:val="0006405C"/>
    <w:rsid w:val="00065A37"/>
    <w:rsid w:val="00066573"/>
    <w:rsid w:val="00066DE3"/>
    <w:rsid w:val="00070005"/>
    <w:rsid w:val="00070406"/>
    <w:rsid w:val="00070A3E"/>
    <w:rsid w:val="00070A79"/>
    <w:rsid w:val="0007172A"/>
    <w:rsid w:val="00071AE2"/>
    <w:rsid w:val="00071C5E"/>
    <w:rsid w:val="000721A5"/>
    <w:rsid w:val="00072C6E"/>
    <w:rsid w:val="00072E72"/>
    <w:rsid w:val="00072F33"/>
    <w:rsid w:val="00073146"/>
    <w:rsid w:val="000731CE"/>
    <w:rsid w:val="000743D2"/>
    <w:rsid w:val="000748E1"/>
    <w:rsid w:val="00074C26"/>
    <w:rsid w:val="000758B4"/>
    <w:rsid w:val="000759D0"/>
    <w:rsid w:val="00076D05"/>
    <w:rsid w:val="000772CB"/>
    <w:rsid w:val="0007770F"/>
    <w:rsid w:val="000803F6"/>
    <w:rsid w:val="00080412"/>
    <w:rsid w:val="00080A8A"/>
    <w:rsid w:val="00080AD3"/>
    <w:rsid w:val="00080DC8"/>
    <w:rsid w:val="00081AE6"/>
    <w:rsid w:val="00081E6E"/>
    <w:rsid w:val="00081F9C"/>
    <w:rsid w:val="00083D53"/>
    <w:rsid w:val="000857F3"/>
    <w:rsid w:val="0008587E"/>
    <w:rsid w:val="00085AFA"/>
    <w:rsid w:val="000861C4"/>
    <w:rsid w:val="0008620B"/>
    <w:rsid w:val="000867B6"/>
    <w:rsid w:val="0008698B"/>
    <w:rsid w:val="00086A51"/>
    <w:rsid w:val="00086A69"/>
    <w:rsid w:val="00087403"/>
    <w:rsid w:val="0009034C"/>
    <w:rsid w:val="000905F4"/>
    <w:rsid w:val="00090FCF"/>
    <w:rsid w:val="00091CDE"/>
    <w:rsid w:val="00091FD1"/>
    <w:rsid w:val="0009227B"/>
    <w:rsid w:val="00092BC5"/>
    <w:rsid w:val="00092C8E"/>
    <w:rsid w:val="00093A7E"/>
    <w:rsid w:val="00093AC1"/>
    <w:rsid w:val="00094BFB"/>
    <w:rsid w:val="0009502B"/>
    <w:rsid w:val="00095FDC"/>
    <w:rsid w:val="00096253"/>
    <w:rsid w:val="00096AAB"/>
    <w:rsid w:val="00096D3A"/>
    <w:rsid w:val="00097F55"/>
    <w:rsid w:val="000A02F2"/>
    <w:rsid w:val="000A19BF"/>
    <w:rsid w:val="000A1AAB"/>
    <w:rsid w:val="000A1E0A"/>
    <w:rsid w:val="000A21FC"/>
    <w:rsid w:val="000A23FD"/>
    <w:rsid w:val="000A32B1"/>
    <w:rsid w:val="000A3E62"/>
    <w:rsid w:val="000A4258"/>
    <w:rsid w:val="000A4BA6"/>
    <w:rsid w:val="000A5438"/>
    <w:rsid w:val="000A568F"/>
    <w:rsid w:val="000A59FD"/>
    <w:rsid w:val="000A6DAE"/>
    <w:rsid w:val="000A701A"/>
    <w:rsid w:val="000A7C03"/>
    <w:rsid w:val="000A7DAF"/>
    <w:rsid w:val="000B03DA"/>
    <w:rsid w:val="000B07C8"/>
    <w:rsid w:val="000B0800"/>
    <w:rsid w:val="000B1055"/>
    <w:rsid w:val="000B1806"/>
    <w:rsid w:val="000B250B"/>
    <w:rsid w:val="000B2828"/>
    <w:rsid w:val="000B2875"/>
    <w:rsid w:val="000B298D"/>
    <w:rsid w:val="000B2B38"/>
    <w:rsid w:val="000B53E7"/>
    <w:rsid w:val="000B55E4"/>
    <w:rsid w:val="000B63FF"/>
    <w:rsid w:val="000B69CB"/>
    <w:rsid w:val="000B702A"/>
    <w:rsid w:val="000B71DA"/>
    <w:rsid w:val="000B731B"/>
    <w:rsid w:val="000B7A60"/>
    <w:rsid w:val="000C0D80"/>
    <w:rsid w:val="000C107D"/>
    <w:rsid w:val="000C1215"/>
    <w:rsid w:val="000C1BD6"/>
    <w:rsid w:val="000C267E"/>
    <w:rsid w:val="000C282B"/>
    <w:rsid w:val="000C3320"/>
    <w:rsid w:val="000C3FE2"/>
    <w:rsid w:val="000C52C1"/>
    <w:rsid w:val="000C5961"/>
    <w:rsid w:val="000C7AC7"/>
    <w:rsid w:val="000C7C5D"/>
    <w:rsid w:val="000D0F05"/>
    <w:rsid w:val="000D1B4D"/>
    <w:rsid w:val="000D2863"/>
    <w:rsid w:val="000D2960"/>
    <w:rsid w:val="000D2BAF"/>
    <w:rsid w:val="000D381E"/>
    <w:rsid w:val="000D3C8A"/>
    <w:rsid w:val="000D3CAE"/>
    <w:rsid w:val="000D4F88"/>
    <w:rsid w:val="000D7BBB"/>
    <w:rsid w:val="000E0BBF"/>
    <w:rsid w:val="000E0E41"/>
    <w:rsid w:val="000E12B7"/>
    <w:rsid w:val="000E17A6"/>
    <w:rsid w:val="000E30C7"/>
    <w:rsid w:val="000E351E"/>
    <w:rsid w:val="000E36E3"/>
    <w:rsid w:val="000E4F3D"/>
    <w:rsid w:val="000E5090"/>
    <w:rsid w:val="000E50B3"/>
    <w:rsid w:val="000E571A"/>
    <w:rsid w:val="000E6218"/>
    <w:rsid w:val="000E6509"/>
    <w:rsid w:val="000E6822"/>
    <w:rsid w:val="000E7982"/>
    <w:rsid w:val="000F021A"/>
    <w:rsid w:val="000F0220"/>
    <w:rsid w:val="000F069E"/>
    <w:rsid w:val="000F0927"/>
    <w:rsid w:val="000F2DF1"/>
    <w:rsid w:val="000F389D"/>
    <w:rsid w:val="000F4667"/>
    <w:rsid w:val="000F49C1"/>
    <w:rsid w:val="000F5503"/>
    <w:rsid w:val="000F6E91"/>
    <w:rsid w:val="000F7570"/>
    <w:rsid w:val="000F7B49"/>
    <w:rsid w:val="000F7CF8"/>
    <w:rsid w:val="000F7D0D"/>
    <w:rsid w:val="00100499"/>
    <w:rsid w:val="001007DF"/>
    <w:rsid w:val="00101772"/>
    <w:rsid w:val="00101EAD"/>
    <w:rsid w:val="00102048"/>
    <w:rsid w:val="001029C5"/>
    <w:rsid w:val="00102B8B"/>
    <w:rsid w:val="00103AFE"/>
    <w:rsid w:val="001042DA"/>
    <w:rsid w:val="001049E3"/>
    <w:rsid w:val="00104F2E"/>
    <w:rsid w:val="0010586C"/>
    <w:rsid w:val="00105DBD"/>
    <w:rsid w:val="00106175"/>
    <w:rsid w:val="0010656E"/>
    <w:rsid w:val="00106693"/>
    <w:rsid w:val="00107213"/>
    <w:rsid w:val="0010786F"/>
    <w:rsid w:val="00110F0A"/>
    <w:rsid w:val="00111375"/>
    <w:rsid w:val="00111C2F"/>
    <w:rsid w:val="00111DE2"/>
    <w:rsid w:val="00111F4A"/>
    <w:rsid w:val="00112DCD"/>
    <w:rsid w:val="00112FB3"/>
    <w:rsid w:val="00113160"/>
    <w:rsid w:val="001150A1"/>
    <w:rsid w:val="00115233"/>
    <w:rsid w:val="00116202"/>
    <w:rsid w:val="001165C8"/>
    <w:rsid w:val="00117591"/>
    <w:rsid w:val="00120376"/>
    <w:rsid w:val="001207BF"/>
    <w:rsid w:val="0012088D"/>
    <w:rsid w:val="00120A8A"/>
    <w:rsid w:val="00121651"/>
    <w:rsid w:val="001220F5"/>
    <w:rsid w:val="00122D51"/>
    <w:rsid w:val="001233E9"/>
    <w:rsid w:val="001239A6"/>
    <w:rsid w:val="00124195"/>
    <w:rsid w:val="001245F2"/>
    <w:rsid w:val="00125245"/>
    <w:rsid w:val="001259AF"/>
    <w:rsid w:val="00126327"/>
    <w:rsid w:val="00126CB1"/>
    <w:rsid w:val="001271FC"/>
    <w:rsid w:val="00127D90"/>
    <w:rsid w:val="00127D9F"/>
    <w:rsid w:val="0013004D"/>
    <w:rsid w:val="00130A4F"/>
    <w:rsid w:val="00130FCD"/>
    <w:rsid w:val="00131092"/>
    <w:rsid w:val="00131D5D"/>
    <w:rsid w:val="001324A9"/>
    <w:rsid w:val="0013403E"/>
    <w:rsid w:val="0013446C"/>
    <w:rsid w:val="00135025"/>
    <w:rsid w:val="00135074"/>
    <w:rsid w:val="00135199"/>
    <w:rsid w:val="00135A66"/>
    <w:rsid w:val="0013654C"/>
    <w:rsid w:val="0013712A"/>
    <w:rsid w:val="00137411"/>
    <w:rsid w:val="00137704"/>
    <w:rsid w:val="00140D68"/>
    <w:rsid w:val="00140E1F"/>
    <w:rsid w:val="00142592"/>
    <w:rsid w:val="0014261D"/>
    <w:rsid w:val="00143C11"/>
    <w:rsid w:val="001442C7"/>
    <w:rsid w:val="00144ECC"/>
    <w:rsid w:val="0014570F"/>
    <w:rsid w:val="001472C4"/>
    <w:rsid w:val="00147328"/>
    <w:rsid w:val="001473CB"/>
    <w:rsid w:val="00147A68"/>
    <w:rsid w:val="001502C9"/>
    <w:rsid w:val="001504FE"/>
    <w:rsid w:val="00151085"/>
    <w:rsid w:val="001513AE"/>
    <w:rsid w:val="00151D54"/>
    <w:rsid w:val="0015208A"/>
    <w:rsid w:val="0015271C"/>
    <w:rsid w:val="00152CDE"/>
    <w:rsid w:val="0015370F"/>
    <w:rsid w:val="00154A86"/>
    <w:rsid w:val="001551DB"/>
    <w:rsid w:val="00156D2E"/>
    <w:rsid w:val="0015701A"/>
    <w:rsid w:val="00157773"/>
    <w:rsid w:val="00157CB3"/>
    <w:rsid w:val="00157F39"/>
    <w:rsid w:val="00160680"/>
    <w:rsid w:val="00160892"/>
    <w:rsid w:val="00160FA3"/>
    <w:rsid w:val="0016144F"/>
    <w:rsid w:val="00161C51"/>
    <w:rsid w:val="00162356"/>
    <w:rsid w:val="00162B0A"/>
    <w:rsid w:val="00164439"/>
    <w:rsid w:val="00164CBE"/>
    <w:rsid w:val="0016502F"/>
    <w:rsid w:val="0016506A"/>
    <w:rsid w:val="00165774"/>
    <w:rsid w:val="00166A7D"/>
    <w:rsid w:val="00167B7E"/>
    <w:rsid w:val="00167C1D"/>
    <w:rsid w:val="00167D4C"/>
    <w:rsid w:val="00167FBC"/>
    <w:rsid w:val="001703DB"/>
    <w:rsid w:val="00170C69"/>
    <w:rsid w:val="00170E17"/>
    <w:rsid w:val="00170F31"/>
    <w:rsid w:val="001716B3"/>
    <w:rsid w:val="001719B9"/>
    <w:rsid w:val="00172746"/>
    <w:rsid w:val="00173847"/>
    <w:rsid w:val="00173849"/>
    <w:rsid w:val="00173E2F"/>
    <w:rsid w:val="00174328"/>
    <w:rsid w:val="001744C2"/>
    <w:rsid w:val="0017454B"/>
    <w:rsid w:val="001765EF"/>
    <w:rsid w:val="001775DD"/>
    <w:rsid w:val="0018032D"/>
    <w:rsid w:val="0018049E"/>
    <w:rsid w:val="00180AB1"/>
    <w:rsid w:val="001817D4"/>
    <w:rsid w:val="00182219"/>
    <w:rsid w:val="00182390"/>
    <w:rsid w:val="001825DF"/>
    <w:rsid w:val="001833D8"/>
    <w:rsid w:val="00183777"/>
    <w:rsid w:val="00183AED"/>
    <w:rsid w:val="00186B6A"/>
    <w:rsid w:val="001875C5"/>
    <w:rsid w:val="00187935"/>
    <w:rsid w:val="00187CB9"/>
    <w:rsid w:val="001903FC"/>
    <w:rsid w:val="00190B56"/>
    <w:rsid w:val="00190BCE"/>
    <w:rsid w:val="00191781"/>
    <w:rsid w:val="00191A94"/>
    <w:rsid w:val="00192D4F"/>
    <w:rsid w:val="00192D5A"/>
    <w:rsid w:val="00192D92"/>
    <w:rsid w:val="001936C6"/>
    <w:rsid w:val="00193CF3"/>
    <w:rsid w:val="001942F3"/>
    <w:rsid w:val="001946E4"/>
    <w:rsid w:val="001950DA"/>
    <w:rsid w:val="00195EE9"/>
    <w:rsid w:val="00196240"/>
    <w:rsid w:val="00196A6B"/>
    <w:rsid w:val="00196C64"/>
    <w:rsid w:val="00197814"/>
    <w:rsid w:val="00197BCA"/>
    <w:rsid w:val="001A0208"/>
    <w:rsid w:val="001A120A"/>
    <w:rsid w:val="001A1B7F"/>
    <w:rsid w:val="001A457E"/>
    <w:rsid w:val="001A54CB"/>
    <w:rsid w:val="001A5950"/>
    <w:rsid w:val="001A5CB6"/>
    <w:rsid w:val="001A6703"/>
    <w:rsid w:val="001A6A31"/>
    <w:rsid w:val="001A6D4D"/>
    <w:rsid w:val="001A6E8D"/>
    <w:rsid w:val="001A702F"/>
    <w:rsid w:val="001A7855"/>
    <w:rsid w:val="001A7F63"/>
    <w:rsid w:val="001B0BBE"/>
    <w:rsid w:val="001B1061"/>
    <w:rsid w:val="001B1778"/>
    <w:rsid w:val="001B1C8D"/>
    <w:rsid w:val="001B33FE"/>
    <w:rsid w:val="001B38BC"/>
    <w:rsid w:val="001B3AAF"/>
    <w:rsid w:val="001B4190"/>
    <w:rsid w:val="001B43F6"/>
    <w:rsid w:val="001B45BB"/>
    <w:rsid w:val="001B4F2F"/>
    <w:rsid w:val="001B519B"/>
    <w:rsid w:val="001B58E2"/>
    <w:rsid w:val="001B5A6E"/>
    <w:rsid w:val="001B5CCA"/>
    <w:rsid w:val="001B5E71"/>
    <w:rsid w:val="001B5FC5"/>
    <w:rsid w:val="001B6B24"/>
    <w:rsid w:val="001B7109"/>
    <w:rsid w:val="001B7361"/>
    <w:rsid w:val="001C0EAC"/>
    <w:rsid w:val="001C1A47"/>
    <w:rsid w:val="001C1AE7"/>
    <w:rsid w:val="001C36CA"/>
    <w:rsid w:val="001C3939"/>
    <w:rsid w:val="001C396C"/>
    <w:rsid w:val="001C399B"/>
    <w:rsid w:val="001C3C85"/>
    <w:rsid w:val="001C3D91"/>
    <w:rsid w:val="001C3FF6"/>
    <w:rsid w:val="001C55D3"/>
    <w:rsid w:val="001C5698"/>
    <w:rsid w:val="001C584C"/>
    <w:rsid w:val="001C7457"/>
    <w:rsid w:val="001C7614"/>
    <w:rsid w:val="001C7757"/>
    <w:rsid w:val="001D024B"/>
    <w:rsid w:val="001D04E7"/>
    <w:rsid w:val="001D22ED"/>
    <w:rsid w:val="001D2FDB"/>
    <w:rsid w:val="001D33FB"/>
    <w:rsid w:val="001D3728"/>
    <w:rsid w:val="001D3FFF"/>
    <w:rsid w:val="001D5570"/>
    <w:rsid w:val="001D5A66"/>
    <w:rsid w:val="001D659B"/>
    <w:rsid w:val="001D78C9"/>
    <w:rsid w:val="001D7E42"/>
    <w:rsid w:val="001E0516"/>
    <w:rsid w:val="001E1C0A"/>
    <w:rsid w:val="001E1D5A"/>
    <w:rsid w:val="001E255D"/>
    <w:rsid w:val="001E28BE"/>
    <w:rsid w:val="001E3778"/>
    <w:rsid w:val="001E394E"/>
    <w:rsid w:val="001E4ADB"/>
    <w:rsid w:val="001E4C5B"/>
    <w:rsid w:val="001E5557"/>
    <w:rsid w:val="001E569E"/>
    <w:rsid w:val="001E5B49"/>
    <w:rsid w:val="001E64FF"/>
    <w:rsid w:val="001E6509"/>
    <w:rsid w:val="001E78CE"/>
    <w:rsid w:val="001F04B8"/>
    <w:rsid w:val="001F1AD9"/>
    <w:rsid w:val="001F24E2"/>
    <w:rsid w:val="001F2B6D"/>
    <w:rsid w:val="001F3B17"/>
    <w:rsid w:val="001F551E"/>
    <w:rsid w:val="001F56BD"/>
    <w:rsid w:val="001F599C"/>
    <w:rsid w:val="001F59E0"/>
    <w:rsid w:val="001F6467"/>
    <w:rsid w:val="001F6F9C"/>
    <w:rsid w:val="001F7738"/>
    <w:rsid w:val="001F7E9B"/>
    <w:rsid w:val="0020043B"/>
    <w:rsid w:val="00200485"/>
    <w:rsid w:val="00203AE3"/>
    <w:rsid w:val="00204351"/>
    <w:rsid w:val="002055B3"/>
    <w:rsid w:val="002062BB"/>
    <w:rsid w:val="00206668"/>
    <w:rsid w:val="002066C2"/>
    <w:rsid w:val="00207731"/>
    <w:rsid w:val="00210380"/>
    <w:rsid w:val="00210635"/>
    <w:rsid w:val="002114BE"/>
    <w:rsid w:val="00211AC5"/>
    <w:rsid w:val="00212125"/>
    <w:rsid w:val="002125A0"/>
    <w:rsid w:val="00212A4E"/>
    <w:rsid w:val="00212C00"/>
    <w:rsid w:val="00213658"/>
    <w:rsid w:val="0021409F"/>
    <w:rsid w:val="002146C5"/>
    <w:rsid w:val="00214C1E"/>
    <w:rsid w:val="00215B76"/>
    <w:rsid w:val="00215E56"/>
    <w:rsid w:val="0021748B"/>
    <w:rsid w:val="002174B7"/>
    <w:rsid w:val="00217C5A"/>
    <w:rsid w:val="00220820"/>
    <w:rsid w:val="00221B1D"/>
    <w:rsid w:val="00221B7A"/>
    <w:rsid w:val="00222CA8"/>
    <w:rsid w:val="00224A24"/>
    <w:rsid w:val="00224F79"/>
    <w:rsid w:val="00225335"/>
    <w:rsid w:val="00225F8E"/>
    <w:rsid w:val="002303D7"/>
    <w:rsid w:val="00230AA1"/>
    <w:rsid w:val="002316CB"/>
    <w:rsid w:val="00232265"/>
    <w:rsid w:val="002336D6"/>
    <w:rsid w:val="0023376A"/>
    <w:rsid w:val="00233C56"/>
    <w:rsid w:val="002341CE"/>
    <w:rsid w:val="002341D1"/>
    <w:rsid w:val="002342DB"/>
    <w:rsid w:val="002357E8"/>
    <w:rsid w:val="002364D3"/>
    <w:rsid w:val="002375BA"/>
    <w:rsid w:val="00240BFB"/>
    <w:rsid w:val="00240E2A"/>
    <w:rsid w:val="002410A3"/>
    <w:rsid w:val="00241394"/>
    <w:rsid w:val="002413D2"/>
    <w:rsid w:val="00241985"/>
    <w:rsid w:val="002419F5"/>
    <w:rsid w:val="002429CA"/>
    <w:rsid w:val="0024306D"/>
    <w:rsid w:val="002441E2"/>
    <w:rsid w:val="002449CA"/>
    <w:rsid w:val="00244F5E"/>
    <w:rsid w:val="00245082"/>
    <w:rsid w:val="00245C1E"/>
    <w:rsid w:val="002461AA"/>
    <w:rsid w:val="002469AB"/>
    <w:rsid w:val="00247AC5"/>
    <w:rsid w:val="002504C7"/>
    <w:rsid w:val="00251683"/>
    <w:rsid w:val="00251D03"/>
    <w:rsid w:val="00251FC4"/>
    <w:rsid w:val="00252CC1"/>
    <w:rsid w:val="0025343F"/>
    <w:rsid w:val="0025366C"/>
    <w:rsid w:val="00253D4A"/>
    <w:rsid w:val="00254427"/>
    <w:rsid w:val="00256341"/>
    <w:rsid w:val="002574C5"/>
    <w:rsid w:val="00260607"/>
    <w:rsid w:val="00260B04"/>
    <w:rsid w:val="00260B0A"/>
    <w:rsid w:val="00262DB3"/>
    <w:rsid w:val="002638C9"/>
    <w:rsid w:val="00264717"/>
    <w:rsid w:val="002650D6"/>
    <w:rsid w:val="00265F41"/>
    <w:rsid w:val="00266E92"/>
    <w:rsid w:val="002704C1"/>
    <w:rsid w:val="00270581"/>
    <w:rsid w:val="00271283"/>
    <w:rsid w:val="0027154F"/>
    <w:rsid w:val="00271BB6"/>
    <w:rsid w:val="002722CF"/>
    <w:rsid w:val="002723F9"/>
    <w:rsid w:val="00274B28"/>
    <w:rsid w:val="00274EC8"/>
    <w:rsid w:val="002755DC"/>
    <w:rsid w:val="00275963"/>
    <w:rsid w:val="00277A45"/>
    <w:rsid w:val="002808A3"/>
    <w:rsid w:val="00280C29"/>
    <w:rsid w:val="00280E5B"/>
    <w:rsid w:val="00281013"/>
    <w:rsid w:val="002810F6"/>
    <w:rsid w:val="00281D5F"/>
    <w:rsid w:val="00282028"/>
    <w:rsid w:val="002834AA"/>
    <w:rsid w:val="0028374F"/>
    <w:rsid w:val="00284897"/>
    <w:rsid w:val="0028535E"/>
    <w:rsid w:val="0028538C"/>
    <w:rsid w:val="002855B8"/>
    <w:rsid w:val="0028571C"/>
    <w:rsid w:val="00285F4E"/>
    <w:rsid w:val="00285FD2"/>
    <w:rsid w:val="0028645E"/>
    <w:rsid w:val="00286672"/>
    <w:rsid w:val="00287B17"/>
    <w:rsid w:val="002902FE"/>
    <w:rsid w:val="002904F8"/>
    <w:rsid w:val="002917B1"/>
    <w:rsid w:val="002917BE"/>
    <w:rsid w:val="0029199D"/>
    <w:rsid w:val="00292B57"/>
    <w:rsid w:val="0029422B"/>
    <w:rsid w:val="00294632"/>
    <w:rsid w:val="00295689"/>
    <w:rsid w:val="0029587E"/>
    <w:rsid w:val="00296579"/>
    <w:rsid w:val="002967A3"/>
    <w:rsid w:val="00296C29"/>
    <w:rsid w:val="00296D26"/>
    <w:rsid w:val="00297D28"/>
    <w:rsid w:val="00297FE5"/>
    <w:rsid w:val="002A01E0"/>
    <w:rsid w:val="002A055E"/>
    <w:rsid w:val="002A0831"/>
    <w:rsid w:val="002A084D"/>
    <w:rsid w:val="002A0E43"/>
    <w:rsid w:val="002A2B2B"/>
    <w:rsid w:val="002A4040"/>
    <w:rsid w:val="002A4510"/>
    <w:rsid w:val="002A5661"/>
    <w:rsid w:val="002A5B63"/>
    <w:rsid w:val="002A66E2"/>
    <w:rsid w:val="002A77E0"/>
    <w:rsid w:val="002A77FD"/>
    <w:rsid w:val="002A7B0D"/>
    <w:rsid w:val="002B0902"/>
    <w:rsid w:val="002B28F9"/>
    <w:rsid w:val="002B2D25"/>
    <w:rsid w:val="002B3100"/>
    <w:rsid w:val="002B331E"/>
    <w:rsid w:val="002B3654"/>
    <w:rsid w:val="002B38D9"/>
    <w:rsid w:val="002B4985"/>
    <w:rsid w:val="002B66BB"/>
    <w:rsid w:val="002B6FC3"/>
    <w:rsid w:val="002B7DA5"/>
    <w:rsid w:val="002C0F7D"/>
    <w:rsid w:val="002C1166"/>
    <w:rsid w:val="002C1586"/>
    <w:rsid w:val="002C22DA"/>
    <w:rsid w:val="002C2D76"/>
    <w:rsid w:val="002C32BD"/>
    <w:rsid w:val="002C378C"/>
    <w:rsid w:val="002C3CA6"/>
    <w:rsid w:val="002C45A0"/>
    <w:rsid w:val="002C4DB2"/>
    <w:rsid w:val="002C5221"/>
    <w:rsid w:val="002C6FAE"/>
    <w:rsid w:val="002C75A5"/>
    <w:rsid w:val="002C7A63"/>
    <w:rsid w:val="002D0DB7"/>
    <w:rsid w:val="002D1DEF"/>
    <w:rsid w:val="002D2F5E"/>
    <w:rsid w:val="002D3B6A"/>
    <w:rsid w:val="002D4734"/>
    <w:rsid w:val="002D6132"/>
    <w:rsid w:val="002D6F8E"/>
    <w:rsid w:val="002D78AA"/>
    <w:rsid w:val="002E039E"/>
    <w:rsid w:val="002E060B"/>
    <w:rsid w:val="002E06B1"/>
    <w:rsid w:val="002E0AE7"/>
    <w:rsid w:val="002E159B"/>
    <w:rsid w:val="002E1DD5"/>
    <w:rsid w:val="002E2465"/>
    <w:rsid w:val="002E312F"/>
    <w:rsid w:val="002E35C9"/>
    <w:rsid w:val="002E369C"/>
    <w:rsid w:val="002E37D2"/>
    <w:rsid w:val="002E4708"/>
    <w:rsid w:val="002E4967"/>
    <w:rsid w:val="002E4E72"/>
    <w:rsid w:val="002E5406"/>
    <w:rsid w:val="002E5D68"/>
    <w:rsid w:val="002E66D2"/>
    <w:rsid w:val="002E727B"/>
    <w:rsid w:val="002E7FC8"/>
    <w:rsid w:val="002F03C0"/>
    <w:rsid w:val="002F106F"/>
    <w:rsid w:val="002F109A"/>
    <w:rsid w:val="002F11B5"/>
    <w:rsid w:val="002F18DA"/>
    <w:rsid w:val="002F29AE"/>
    <w:rsid w:val="002F2BFA"/>
    <w:rsid w:val="002F2C7C"/>
    <w:rsid w:val="002F3630"/>
    <w:rsid w:val="002F43AB"/>
    <w:rsid w:val="002F4632"/>
    <w:rsid w:val="002F4EBA"/>
    <w:rsid w:val="002F5F97"/>
    <w:rsid w:val="002F6009"/>
    <w:rsid w:val="002F644B"/>
    <w:rsid w:val="002F6B95"/>
    <w:rsid w:val="002F6E9C"/>
    <w:rsid w:val="002F6FDD"/>
    <w:rsid w:val="002F7291"/>
    <w:rsid w:val="002F74AE"/>
    <w:rsid w:val="00302206"/>
    <w:rsid w:val="00303332"/>
    <w:rsid w:val="00303368"/>
    <w:rsid w:val="003043EA"/>
    <w:rsid w:val="003047B6"/>
    <w:rsid w:val="00304876"/>
    <w:rsid w:val="0030499E"/>
    <w:rsid w:val="00304AA3"/>
    <w:rsid w:val="003050AE"/>
    <w:rsid w:val="00307427"/>
    <w:rsid w:val="003076C3"/>
    <w:rsid w:val="00307C83"/>
    <w:rsid w:val="00307CC1"/>
    <w:rsid w:val="00310C49"/>
    <w:rsid w:val="0031114B"/>
    <w:rsid w:val="003118FD"/>
    <w:rsid w:val="0031252F"/>
    <w:rsid w:val="00312ADD"/>
    <w:rsid w:val="00312C4B"/>
    <w:rsid w:val="00313270"/>
    <w:rsid w:val="0031337A"/>
    <w:rsid w:val="00313E89"/>
    <w:rsid w:val="003147CA"/>
    <w:rsid w:val="00314A05"/>
    <w:rsid w:val="00314DDF"/>
    <w:rsid w:val="00314F99"/>
    <w:rsid w:val="0031518C"/>
    <w:rsid w:val="00316D62"/>
    <w:rsid w:val="003171FE"/>
    <w:rsid w:val="0031747A"/>
    <w:rsid w:val="003200DD"/>
    <w:rsid w:val="00320399"/>
    <w:rsid w:val="00320B1C"/>
    <w:rsid w:val="003210F7"/>
    <w:rsid w:val="00322282"/>
    <w:rsid w:val="00323117"/>
    <w:rsid w:val="00324826"/>
    <w:rsid w:val="003250B1"/>
    <w:rsid w:val="00325D08"/>
    <w:rsid w:val="00325DF4"/>
    <w:rsid w:val="0032638C"/>
    <w:rsid w:val="003271AF"/>
    <w:rsid w:val="0032758F"/>
    <w:rsid w:val="0032782A"/>
    <w:rsid w:val="00330058"/>
    <w:rsid w:val="003306DE"/>
    <w:rsid w:val="00330A20"/>
    <w:rsid w:val="00330A28"/>
    <w:rsid w:val="00330C03"/>
    <w:rsid w:val="00331464"/>
    <w:rsid w:val="00331561"/>
    <w:rsid w:val="003315E4"/>
    <w:rsid w:val="003321D6"/>
    <w:rsid w:val="00332377"/>
    <w:rsid w:val="00333ADA"/>
    <w:rsid w:val="00333F1C"/>
    <w:rsid w:val="003354B0"/>
    <w:rsid w:val="00335A00"/>
    <w:rsid w:val="00335CD9"/>
    <w:rsid w:val="003362AC"/>
    <w:rsid w:val="003365A1"/>
    <w:rsid w:val="00336B5C"/>
    <w:rsid w:val="003376CB"/>
    <w:rsid w:val="00337AF9"/>
    <w:rsid w:val="003408C5"/>
    <w:rsid w:val="00340A70"/>
    <w:rsid w:val="00340C98"/>
    <w:rsid w:val="00340E98"/>
    <w:rsid w:val="00341C00"/>
    <w:rsid w:val="003425F2"/>
    <w:rsid w:val="003428A5"/>
    <w:rsid w:val="00342E08"/>
    <w:rsid w:val="003443F0"/>
    <w:rsid w:val="00346324"/>
    <w:rsid w:val="003464E3"/>
    <w:rsid w:val="003467E1"/>
    <w:rsid w:val="00346801"/>
    <w:rsid w:val="00346CDF"/>
    <w:rsid w:val="00347123"/>
    <w:rsid w:val="00347B35"/>
    <w:rsid w:val="00347C1E"/>
    <w:rsid w:val="00347D56"/>
    <w:rsid w:val="00347D93"/>
    <w:rsid w:val="00350679"/>
    <w:rsid w:val="00350A86"/>
    <w:rsid w:val="00350C60"/>
    <w:rsid w:val="0035100F"/>
    <w:rsid w:val="00351435"/>
    <w:rsid w:val="00351657"/>
    <w:rsid w:val="00352577"/>
    <w:rsid w:val="003530F3"/>
    <w:rsid w:val="00353860"/>
    <w:rsid w:val="00354844"/>
    <w:rsid w:val="00354A6A"/>
    <w:rsid w:val="003550A0"/>
    <w:rsid w:val="00355382"/>
    <w:rsid w:val="003571D3"/>
    <w:rsid w:val="0036008F"/>
    <w:rsid w:val="00360113"/>
    <w:rsid w:val="00360E8F"/>
    <w:rsid w:val="00361F2E"/>
    <w:rsid w:val="0036261A"/>
    <w:rsid w:val="00362BFD"/>
    <w:rsid w:val="00363019"/>
    <w:rsid w:val="00363151"/>
    <w:rsid w:val="003631BE"/>
    <w:rsid w:val="003648B5"/>
    <w:rsid w:val="00364F5B"/>
    <w:rsid w:val="00365495"/>
    <w:rsid w:val="00365C93"/>
    <w:rsid w:val="00365F9C"/>
    <w:rsid w:val="00366490"/>
    <w:rsid w:val="00366C37"/>
    <w:rsid w:val="00366CD3"/>
    <w:rsid w:val="00366FF9"/>
    <w:rsid w:val="00367072"/>
    <w:rsid w:val="00367C2B"/>
    <w:rsid w:val="00367C61"/>
    <w:rsid w:val="003701BC"/>
    <w:rsid w:val="00370CBF"/>
    <w:rsid w:val="003711E2"/>
    <w:rsid w:val="00371C05"/>
    <w:rsid w:val="00371DA0"/>
    <w:rsid w:val="003737F5"/>
    <w:rsid w:val="0037437B"/>
    <w:rsid w:val="0037506A"/>
    <w:rsid w:val="00375B4A"/>
    <w:rsid w:val="00376060"/>
    <w:rsid w:val="003769DB"/>
    <w:rsid w:val="00376CAB"/>
    <w:rsid w:val="0037764A"/>
    <w:rsid w:val="00377AB3"/>
    <w:rsid w:val="00377ECC"/>
    <w:rsid w:val="00380BE7"/>
    <w:rsid w:val="0038133D"/>
    <w:rsid w:val="00381FE2"/>
    <w:rsid w:val="00382A82"/>
    <w:rsid w:val="00382FDA"/>
    <w:rsid w:val="00383183"/>
    <w:rsid w:val="0038516C"/>
    <w:rsid w:val="003851C0"/>
    <w:rsid w:val="003855FF"/>
    <w:rsid w:val="00386615"/>
    <w:rsid w:val="00390E39"/>
    <w:rsid w:val="0039385B"/>
    <w:rsid w:val="00393C5B"/>
    <w:rsid w:val="00394025"/>
    <w:rsid w:val="0039413E"/>
    <w:rsid w:val="003943E4"/>
    <w:rsid w:val="00394E3B"/>
    <w:rsid w:val="00394EB2"/>
    <w:rsid w:val="00394FBC"/>
    <w:rsid w:val="003956D6"/>
    <w:rsid w:val="00395FBA"/>
    <w:rsid w:val="00396445"/>
    <w:rsid w:val="00396D28"/>
    <w:rsid w:val="00397222"/>
    <w:rsid w:val="00397AE1"/>
    <w:rsid w:val="003A038D"/>
    <w:rsid w:val="003A0AE7"/>
    <w:rsid w:val="003A0B92"/>
    <w:rsid w:val="003A147E"/>
    <w:rsid w:val="003A183C"/>
    <w:rsid w:val="003A1B4F"/>
    <w:rsid w:val="003A20A5"/>
    <w:rsid w:val="003A393D"/>
    <w:rsid w:val="003A3B8B"/>
    <w:rsid w:val="003A42D4"/>
    <w:rsid w:val="003A46CA"/>
    <w:rsid w:val="003A4935"/>
    <w:rsid w:val="003A5DD3"/>
    <w:rsid w:val="003A7DAD"/>
    <w:rsid w:val="003B2ABE"/>
    <w:rsid w:val="003B2FAC"/>
    <w:rsid w:val="003B31B4"/>
    <w:rsid w:val="003B31DC"/>
    <w:rsid w:val="003B32C6"/>
    <w:rsid w:val="003B4D51"/>
    <w:rsid w:val="003B50D0"/>
    <w:rsid w:val="003B54EA"/>
    <w:rsid w:val="003B594F"/>
    <w:rsid w:val="003B6AB6"/>
    <w:rsid w:val="003B749E"/>
    <w:rsid w:val="003B77A3"/>
    <w:rsid w:val="003B7877"/>
    <w:rsid w:val="003C00EA"/>
    <w:rsid w:val="003C09EC"/>
    <w:rsid w:val="003C1728"/>
    <w:rsid w:val="003C190C"/>
    <w:rsid w:val="003C233F"/>
    <w:rsid w:val="003C2CAE"/>
    <w:rsid w:val="003C2E60"/>
    <w:rsid w:val="003C32DA"/>
    <w:rsid w:val="003C54C2"/>
    <w:rsid w:val="003C56D8"/>
    <w:rsid w:val="003C74E4"/>
    <w:rsid w:val="003C7537"/>
    <w:rsid w:val="003C7650"/>
    <w:rsid w:val="003C7F3D"/>
    <w:rsid w:val="003D08DE"/>
    <w:rsid w:val="003D1159"/>
    <w:rsid w:val="003D14F1"/>
    <w:rsid w:val="003D1597"/>
    <w:rsid w:val="003D1721"/>
    <w:rsid w:val="003D2811"/>
    <w:rsid w:val="003D2D8F"/>
    <w:rsid w:val="003D2EEA"/>
    <w:rsid w:val="003D30F4"/>
    <w:rsid w:val="003D3112"/>
    <w:rsid w:val="003D36B9"/>
    <w:rsid w:val="003D4CE3"/>
    <w:rsid w:val="003D5655"/>
    <w:rsid w:val="003D573A"/>
    <w:rsid w:val="003D5E9F"/>
    <w:rsid w:val="003D6521"/>
    <w:rsid w:val="003D7553"/>
    <w:rsid w:val="003E0905"/>
    <w:rsid w:val="003E3D38"/>
    <w:rsid w:val="003E3E2E"/>
    <w:rsid w:val="003E404A"/>
    <w:rsid w:val="003E41D8"/>
    <w:rsid w:val="003E4E1A"/>
    <w:rsid w:val="003E6486"/>
    <w:rsid w:val="003E7175"/>
    <w:rsid w:val="003E7564"/>
    <w:rsid w:val="003E75DB"/>
    <w:rsid w:val="003E7DB8"/>
    <w:rsid w:val="003F1684"/>
    <w:rsid w:val="003F3718"/>
    <w:rsid w:val="003F3C08"/>
    <w:rsid w:val="003F4115"/>
    <w:rsid w:val="003F4F64"/>
    <w:rsid w:val="003F51A5"/>
    <w:rsid w:val="003F572A"/>
    <w:rsid w:val="003F59D6"/>
    <w:rsid w:val="003F5AEC"/>
    <w:rsid w:val="003F5DC6"/>
    <w:rsid w:val="003F6204"/>
    <w:rsid w:val="003F7322"/>
    <w:rsid w:val="003F74A4"/>
    <w:rsid w:val="003F7ED3"/>
    <w:rsid w:val="0040071C"/>
    <w:rsid w:val="0040183E"/>
    <w:rsid w:val="00401BDA"/>
    <w:rsid w:val="00401C51"/>
    <w:rsid w:val="00403467"/>
    <w:rsid w:val="00403AAD"/>
    <w:rsid w:val="004046E8"/>
    <w:rsid w:val="004049A2"/>
    <w:rsid w:val="00404A7A"/>
    <w:rsid w:val="00405A1C"/>
    <w:rsid w:val="00406641"/>
    <w:rsid w:val="004126DF"/>
    <w:rsid w:val="00412A44"/>
    <w:rsid w:val="004148BE"/>
    <w:rsid w:val="00414C02"/>
    <w:rsid w:val="00414CF5"/>
    <w:rsid w:val="00415142"/>
    <w:rsid w:val="00415BB6"/>
    <w:rsid w:val="0041740C"/>
    <w:rsid w:val="004174BE"/>
    <w:rsid w:val="00417CC9"/>
    <w:rsid w:val="00417DA9"/>
    <w:rsid w:val="00417E82"/>
    <w:rsid w:val="00420177"/>
    <w:rsid w:val="00420256"/>
    <w:rsid w:val="0042059F"/>
    <w:rsid w:val="00420DAF"/>
    <w:rsid w:val="00422600"/>
    <w:rsid w:val="004229DA"/>
    <w:rsid w:val="00422F07"/>
    <w:rsid w:val="00423E6B"/>
    <w:rsid w:val="00423E80"/>
    <w:rsid w:val="00425588"/>
    <w:rsid w:val="00426061"/>
    <w:rsid w:val="004261FF"/>
    <w:rsid w:val="00426968"/>
    <w:rsid w:val="00426E77"/>
    <w:rsid w:val="0042711A"/>
    <w:rsid w:val="004277A9"/>
    <w:rsid w:val="00427FD0"/>
    <w:rsid w:val="00430DD0"/>
    <w:rsid w:val="004310B3"/>
    <w:rsid w:val="0043119C"/>
    <w:rsid w:val="00431F51"/>
    <w:rsid w:val="004320BA"/>
    <w:rsid w:val="00432BE8"/>
    <w:rsid w:val="004349D5"/>
    <w:rsid w:val="00434ABC"/>
    <w:rsid w:val="004350E4"/>
    <w:rsid w:val="004356E4"/>
    <w:rsid w:val="00435FAD"/>
    <w:rsid w:val="00437A58"/>
    <w:rsid w:val="00437A7B"/>
    <w:rsid w:val="00437BC2"/>
    <w:rsid w:val="0044054E"/>
    <w:rsid w:val="004409D6"/>
    <w:rsid w:val="00440FCF"/>
    <w:rsid w:val="004414E1"/>
    <w:rsid w:val="004415AE"/>
    <w:rsid w:val="004420F5"/>
    <w:rsid w:val="0044377B"/>
    <w:rsid w:val="00443AE5"/>
    <w:rsid w:val="00443C4D"/>
    <w:rsid w:val="00444565"/>
    <w:rsid w:val="00445DFA"/>
    <w:rsid w:val="00447051"/>
    <w:rsid w:val="0044774E"/>
    <w:rsid w:val="00447C06"/>
    <w:rsid w:val="00450445"/>
    <w:rsid w:val="0045044A"/>
    <w:rsid w:val="00450B59"/>
    <w:rsid w:val="00450C02"/>
    <w:rsid w:val="004510E1"/>
    <w:rsid w:val="00451B53"/>
    <w:rsid w:val="00451B85"/>
    <w:rsid w:val="00452A7E"/>
    <w:rsid w:val="00453364"/>
    <w:rsid w:val="004536B3"/>
    <w:rsid w:val="00453AF3"/>
    <w:rsid w:val="004543A6"/>
    <w:rsid w:val="00454D13"/>
    <w:rsid w:val="00454D34"/>
    <w:rsid w:val="00454F5F"/>
    <w:rsid w:val="00454FE9"/>
    <w:rsid w:val="00455085"/>
    <w:rsid w:val="0045513C"/>
    <w:rsid w:val="00455C49"/>
    <w:rsid w:val="00456762"/>
    <w:rsid w:val="004578F1"/>
    <w:rsid w:val="00457BA7"/>
    <w:rsid w:val="00460184"/>
    <w:rsid w:val="00460B5E"/>
    <w:rsid w:val="00461745"/>
    <w:rsid w:val="00461BFB"/>
    <w:rsid w:val="00462210"/>
    <w:rsid w:val="00462993"/>
    <w:rsid w:val="004629DC"/>
    <w:rsid w:val="00463600"/>
    <w:rsid w:val="0046363A"/>
    <w:rsid w:val="00463A8B"/>
    <w:rsid w:val="004644A9"/>
    <w:rsid w:val="00464E80"/>
    <w:rsid w:val="00467F90"/>
    <w:rsid w:val="0047058A"/>
    <w:rsid w:val="00472242"/>
    <w:rsid w:val="0047232F"/>
    <w:rsid w:val="00472DC9"/>
    <w:rsid w:val="004736F2"/>
    <w:rsid w:val="00473776"/>
    <w:rsid w:val="004740CC"/>
    <w:rsid w:val="00474275"/>
    <w:rsid w:val="00474484"/>
    <w:rsid w:val="00474874"/>
    <w:rsid w:val="004750A9"/>
    <w:rsid w:val="004750F7"/>
    <w:rsid w:val="0047700F"/>
    <w:rsid w:val="00477628"/>
    <w:rsid w:val="00480278"/>
    <w:rsid w:val="004806FF"/>
    <w:rsid w:val="00480A83"/>
    <w:rsid w:val="00480B59"/>
    <w:rsid w:val="00480BDE"/>
    <w:rsid w:val="004813B6"/>
    <w:rsid w:val="00481452"/>
    <w:rsid w:val="0048195F"/>
    <w:rsid w:val="00481DE4"/>
    <w:rsid w:val="00483778"/>
    <w:rsid w:val="004837C6"/>
    <w:rsid w:val="00483BD4"/>
    <w:rsid w:val="00483DF7"/>
    <w:rsid w:val="004840C5"/>
    <w:rsid w:val="00485453"/>
    <w:rsid w:val="00486CD3"/>
    <w:rsid w:val="00490FA6"/>
    <w:rsid w:val="00491874"/>
    <w:rsid w:val="00492285"/>
    <w:rsid w:val="00492C93"/>
    <w:rsid w:val="00493014"/>
    <w:rsid w:val="00493A96"/>
    <w:rsid w:val="004946EA"/>
    <w:rsid w:val="00494901"/>
    <w:rsid w:val="00495208"/>
    <w:rsid w:val="00495348"/>
    <w:rsid w:val="0049580D"/>
    <w:rsid w:val="004962B8"/>
    <w:rsid w:val="00497A1E"/>
    <w:rsid w:val="004A0A8E"/>
    <w:rsid w:val="004A1647"/>
    <w:rsid w:val="004A1E46"/>
    <w:rsid w:val="004A1FE5"/>
    <w:rsid w:val="004A2C39"/>
    <w:rsid w:val="004A3769"/>
    <w:rsid w:val="004A4330"/>
    <w:rsid w:val="004A47E7"/>
    <w:rsid w:val="004A5B24"/>
    <w:rsid w:val="004A5D79"/>
    <w:rsid w:val="004A5FE6"/>
    <w:rsid w:val="004A69DB"/>
    <w:rsid w:val="004A6FB8"/>
    <w:rsid w:val="004A753F"/>
    <w:rsid w:val="004B03AB"/>
    <w:rsid w:val="004B03B9"/>
    <w:rsid w:val="004B086E"/>
    <w:rsid w:val="004B0D69"/>
    <w:rsid w:val="004B171A"/>
    <w:rsid w:val="004B206A"/>
    <w:rsid w:val="004B2469"/>
    <w:rsid w:val="004B2885"/>
    <w:rsid w:val="004B2B5E"/>
    <w:rsid w:val="004B2CAC"/>
    <w:rsid w:val="004B3D66"/>
    <w:rsid w:val="004B3DEB"/>
    <w:rsid w:val="004B51D3"/>
    <w:rsid w:val="004B6A3E"/>
    <w:rsid w:val="004B6C2B"/>
    <w:rsid w:val="004B6C2D"/>
    <w:rsid w:val="004B6E36"/>
    <w:rsid w:val="004B7014"/>
    <w:rsid w:val="004B75AF"/>
    <w:rsid w:val="004B7B24"/>
    <w:rsid w:val="004B7B96"/>
    <w:rsid w:val="004B7D16"/>
    <w:rsid w:val="004C04D2"/>
    <w:rsid w:val="004C09AA"/>
    <w:rsid w:val="004C12EB"/>
    <w:rsid w:val="004C252C"/>
    <w:rsid w:val="004C3114"/>
    <w:rsid w:val="004C4766"/>
    <w:rsid w:val="004C4B05"/>
    <w:rsid w:val="004C5634"/>
    <w:rsid w:val="004C5AEC"/>
    <w:rsid w:val="004C5B3E"/>
    <w:rsid w:val="004C5C07"/>
    <w:rsid w:val="004C5D3C"/>
    <w:rsid w:val="004C64B1"/>
    <w:rsid w:val="004C6CD6"/>
    <w:rsid w:val="004D08AF"/>
    <w:rsid w:val="004D0FCA"/>
    <w:rsid w:val="004D13C4"/>
    <w:rsid w:val="004D19C9"/>
    <w:rsid w:val="004D1E69"/>
    <w:rsid w:val="004D3025"/>
    <w:rsid w:val="004D3315"/>
    <w:rsid w:val="004D3320"/>
    <w:rsid w:val="004D4CF0"/>
    <w:rsid w:val="004D4F97"/>
    <w:rsid w:val="004D5714"/>
    <w:rsid w:val="004D57D0"/>
    <w:rsid w:val="004D685C"/>
    <w:rsid w:val="004D793B"/>
    <w:rsid w:val="004D797C"/>
    <w:rsid w:val="004E07B8"/>
    <w:rsid w:val="004E0A08"/>
    <w:rsid w:val="004E0DEC"/>
    <w:rsid w:val="004E1E44"/>
    <w:rsid w:val="004E1FD4"/>
    <w:rsid w:val="004E2105"/>
    <w:rsid w:val="004E263F"/>
    <w:rsid w:val="004E3FDA"/>
    <w:rsid w:val="004E465F"/>
    <w:rsid w:val="004E48A4"/>
    <w:rsid w:val="004E54C6"/>
    <w:rsid w:val="004E559A"/>
    <w:rsid w:val="004E693B"/>
    <w:rsid w:val="004E6C27"/>
    <w:rsid w:val="004E6FD3"/>
    <w:rsid w:val="004E7455"/>
    <w:rsid w:val="004E7EF9"/>
    <w:rsid w:val="004F0477"/>
    <w:rsid w:val="004F0C33"/>
    <w:rsid w:val="004F0DE9"/>
    <w:rsid w:val="004F1113"/>
    <w:rsid w:val="004F14FF"/>
    <w:rsid w:val="004F19A2"/>
    <w:rsid w:val="004F1ADC"/>
    <w:rsid w:val="004F2727"/>
    <w:rsid w:val="004F2C9F"/>
    <w:rsid w:val="004F3410"/>
    <w:rsid w:val="004F3412"/>
    <w:rsid w:val="004F3723"/>
    <w:rsid w:val="004F4CE5"/>
    <w:rsid w:val="004F4EB8"/>
    <w:rsid w:val="004F5267"/>
    <w:rsid w:val="004F55E3"/>
    <w:rsid w:val="005005F1"/>
    <w:rsid w:val="0050104B"/>
    <w:rsid w:val="00501DD3"/>
    <w:rsid w:val="005022F0"/>
    <w:rsid w:val="0050263F"/>
    <w:rsid w:val="005026CA"/>
    <w:rsid w:val="00502785"/>
    <w:rsid w:val="00502BAE"/>
    <w:rsid w:val="005040C5"/>
    <w:rsid w:val="005051A6"/>
    <w:rsid w:val="00505529"/>
    <w:rsid w:val="0050579C"/>
    <w:rsid w:val="00505B08"/>
    <w:rsid w:val="00506C2C"/>
    <w:rsid w:val="00510385"/>
    <w:rsid w:val="005118D5"/>
    <w:rsid w:val="005120A0"/>
    <w:rsid w:val="005121AC"/>
    <w:rsid w:val="00512AC8"/>
    <w:rsid w:val="00513481"/>
    <w:rsid w:val="00513AB0"/>
    <w:rsid w:val="00513F73"/>
    <w:rsid w:val="00514140"/>
    <w:rsid w:val="0051427E"/>
    <w:rsid w:val="005149D9"/>
    <w:rsid w:val="00514A1F"/>
    <w:rsid w:val="00514FD4"/>
    <w:rsid w:val="005153D5"/>
    <w:rsid w:val="0051595B"/>
    <w:rsid w:val="0051667C"/>
    <w:rsid w:val="00516921"/>
    <w:rsid w:val="0051708A"/>
    <w:rsid w:val="00517CD5"/>
    <w:rsid w:val="005213E5"/>
    <w:rsid w:val="0052147F"/>
    <w:rsid w:val="00521C72"/>
    <w:rsid w:val="00524248"/>
    <w:rsid w:val="00524545"/>
    <w:rsid w:val="00525235"/>
    <w:rsid w:val="0052698A"/>
    <w:rsid w:val="005278BD"/>
    <w:rsid w:val="00527E32"/>
    <w:rsid w:val="005309ED"/>
    <w:rsid w:val="00531070"/>
    <w:rsid w:val="005315F8"/>
    <w:rsid w:val="0053236E"/>
    <w:rsid w:val="00533DD7"/>
    <w:rsid w:val="00533F03"/>
    <w:rsid w:val="00533FEE"/>
    <w:rsid w:val="00534AA2"/>
    <w:rsid w:val="00535716"/>
    <w:rsid w:val="00535B6A"/>
    <w:rsid w:val="00536864"/>
    <w:rsid w:val="00537015"/>
    <w:rsid w:val="00537238"/>
    <w:rsid w:val="00537327"/>
    <w:rsid w:val="00537AF9"/>
    <w:rsid w:val="005408F6"/>
    <w:rsid w:val="00540A72"/>
    <w:rsid w:val="00540D12"/>
    <w:rsid w:val="00541264"/>
    <w:rsid w:val="00542C48"/>
    <w:rsid w:val="0054330B"/>
    <w:rsid w:val="005435BC"/>
    <w:rsid w:val="00543A9A"/>
    <w:rsid w:val="00543D58"/>
    <w:rsid w:val="005447CB"/>
    <w:rsid w:val="00544F18"/>
    <w:rsid w:val="005450D3"/>
    <w:rsid w:val="00545127"/>
    <w:rsid w:val="0054517A"/>
    <w:rsid w:val="0054526D"/>
    <w:rsid w:val="00545660"/>
    <w:rsid w:val="00545760"/>
    <w:rsid w:val="00546142"/>
    <w:rsid w:val="005464CA"/>
    <w:rsid w:val="0055020F"/>
    <w:rsid w:val="0055048E"/>
    <w:rsid w:val="0055057F"/>
    <w:rsid w:val="00550BBD"/>
    <w:rsid w:val="00550C5F"/>
    <w:rsid w:val="00551145"/>
    <w:rsid w:val="0055133D"/>
    <w:rsid w:val="00551D7C"/>
    <w:rsid w:val="00551F75"/>
    <w:rsid w:val="0055277D"/>
    <w:rsid w:val="0055369E"/>
    <w:rsid w:val="005536FB"/>
    <w:rsid w:val="00554591"/>
    <w:rsid w:val="005559C9"/>
    <w:rsid w:val="00555A83"/>
    <w:rsid w:val="0055688C"/>
    <w:rsid w:val="00557446"/>
    <w:rsid w:val="005578DE"/>
    <w:rsid w:val="00557B44"/>
    <w:rsid w:val="00557F9F"/>
    <w:rsid w:val="00560322"/>
    <w:rsid w:val="005617FA"/>
    <w:rsid w:val="005625D9"/>
    <w:rsid w:val="00562810"/>
    <w:rsid w:val="00563195"/>
    <w:rsid w:val="00563881"/>
    <w:rsid w:val="005648F5"/>
    <w:rsid w:val="005649CB"/>
    <w:rsid w:val="005652CD"/>
    <w:rsid w:val="005660CD"/>
    <w:rsid w:val="00566C1E"/>
    <w:rsid w:val="005672F8"/>
    <w:rsid w:val="00567DE4"/>
    <w:rsid w:val="00570311"/>
    <w:rsid w:val="00571193"/>
    <w:rsid w:val="0057291B"/>
    <w:rsid w:val="005731AB"/>
    <w:rsid w:val="0057483C"/>
    <w:rsid w:val="00574895"/>
    <w:rsid w:val="0057490C"/>
    <w:rsid w:val="00574F90"/>
    <w:rsid w:val="0057586F"/>
    <w:rsid w:val="00575C4B"/>
    <w:rsid w:val="00575D6E"/>
    <w:rsid w:val="005769BC"/>
    <w:rsid w:val="00576AA2"/>
    <w:rsid w:val="00576C12"/>
    <w:rsid w:val="00577659"/>
    <w:rsid w:val="00577B92"/>
    <w:rsid w:val="00580DEF"/>
    <w:rsid w:val="00580E3F"/>
    <w:rsid w:val="005813A7"/>
    <w:rsid w:val="00581885"/>
    <w:rsid w:val="005825ED"/>
    <w:rsid w:val="005831BD"/>
    <w:rsid w:val="00584809"/>
    <w:rsid w:val="005852D5"/>
    <w:rsid w:val="00585707"/>
    <w:rsid w:val="00585B8D"/>
    <w:rsid w:val="00585F91"/>
    <w:rsid w:val="005864FF"/>
    <w:rsid w:val="00590EEF"/>
    <w:rsid w:val="0059171A"/>
    <w:rsid w:val="00591FDB"/>
    <w:rsid w:val="0059263D"/>
    <w:rsid w:val="0059324D"/>
    <w:rsid w:val="00593EE8"/>
    <w:rsid w:val="00593F5D"/>
    <w:rsid w:val="00594920"/>
    <w:rsid w:val="00594CD1"/>
    <w:rsid w:val="00594EB5"/>
    <w:rsid w:val="00595B21"/>
    <w:rsid w:val="00595F44"/>
    <w:rsid w:val="00595F45"/>
    <w:rsid w:val="005960E7"/>
    <w:rsid w:val="00596251"/>
    <w:rsid w:val="005964BE"/>
    <w:rsid w:val="00596697"/>
    <w:rsid w:val="00596D23"/>
    <w:rsid w:val="00597074"/>
    <w:rsid w:val="00597B25"/>
    <w:rsid w:val="00597E82"/>
    <w:rsid w:val="005A00D9"/>
    <w:rsid w:val="005A057E"/>
    <w:rsid w:val="005A0984"/>
    <w:rsid w:val="005A0B32"/>
    <w:rsid w:val="005A0C16"/>
    <w:rsid w:val="005A161C"/>
    <w:rsid w:val="005A27FB"/>
    <w:rsid w:val="005A304C"/>
    <w:rsid w:val="005A3FD2"/>
    <w:rsid w:val="005A41A9"/>
    <w:rsid w:val="005A425F"/>
    <w:rsid w:val="005A52C1"/>
    <w:rsid w:val="005A539B"/>
    <w:rsid w:val="005A5AB2"/>
    <w:rsid w:val="005A667B"/>
    <w:rsid w:val="005A7224"/>
    <w:rsid w:val="005A7596"/>
    <w:rsid w:val="005A7B14"/>
    <w:rsid w:val="005B0203"/>
    <w:rsid w:val="005B028D"/>
    <w:rsid w:val="005B090F"/>
    <w:rsid w:val="005B0EAA"/>
    <w:rsid w:val="005B1C51"/>
    <w:rsid w:val="005B2068"/>
    <w:rsid w:val="005B248A"/>
    <w:rsid w:val="005B273F"/>
    <w:rsid w:val="005B2A1A"/>
    <w:rsid w:val="005B30C2"/>
    <w:rsid w:val="005B3696"/>
    <w:rsid w:val="005B37BA"/>
    <w:rsid w:val="005B524A"/>
    <w:rsid w:val="005B592A"/>
    <w:rsid w:val="005B5ECA"/>
    <w:rsid w:val="005B60C1"/>
    <w:rsid w:val="005B7482"/>
    <w:rsid w:val="005C063B"/>
    <w:rsid w:val="005C0F01"/>
    <w:rsid w:val="005C10F2"/>
    <w:rsid w:val="005C1478"/>
    <w:rsid w:val="005C15A0"/>
    <w:rsid w:val="005C1E2B"/>
    <w:rsid w:val="005C24B3"/>
    <w:rsid w:val="005C3545"/>
    <w:rsid w:val="005C385B"/>
    <w:rsid w:val="005C4540"/>
    <w:rsid w:val="005C561A"/>
    <w:rsid w:val="005C5BF0"/>
    <w:rsid w:val="005C7945"/>
    <w:rsid w:val="005C7A32"/>
    <w:rsid w:val="005D0032"/>
    <w:rsid w:val="005D04DF"/>
    <w:rsid w:val="005D0D90"/>
    <w:rsid w:val="005D17EB"/>
    <w:rsid w:val="005D18ED"/>
    <w:rsid w:val="005D21F6"/>
    <w:rsid w:val="005D29BE"/>
    <w:rsid w:val="005D3050"/>
    <w:rsid w:val="005D44E5"/>
    <w:rsid w:val="005D459B"/>
    <w:rsid w:val="005D4711"/>
    <w:rsid w:val="005D4EB4"/>
    <w:rsid w:val="005D55AB"/>
    <w:rsid w:val="005D57FE"/>
    <w:rsid w:val="005D5F01"/>
    <w:rsid w:val="005D60C8"/>
    <w:rsid w:val="005D63D1"/>
    <w:rsid w:val="005D667C"/>
    <w:rsid w:val="005D6A76"/>
    <w:rsid w:val="005D6DA3"/>
    <w:rsid w:val="005D7146"/>
    <w:rsid w:val="005D79D6"/>
    <w:rsid w:val="005E0965"/>
    <w:rsid w:val="005E0D06"/>
    <w:rsid w:val="005E1204"/>
    <w:rsid w:val="005E139B"/>
    <w:rsid w:val="005E18BD"/>
    <w:rsid w:val="005E234F"/>
    <w:rsid w:val="005E289D"/>
    <w:rsid w:val="005E2D66"/>
    <w:rsid w:val="005E2EEE"/>
    <w:rsid w:val="005E3234"/>
    <w:rsid w:val="005E386B"/>
    <w:rsid w:val="005E389F"/>
    <w:rsid w:val="005E3F7A"/>
    <w:rsid w:val="005E4BE0"/>
    <w:rsid w:val="005E4DF3"/>
    <w:rsid w:val="005E6170"/>
    <w:rsid w:val="005E6209"/>
    <w:rsid w:val="005E64A8"/>
    <w:rsid w:val="005E655A"/>
    <w:rsid w:val="005E66EB"/>
    <w:rsid w:val="005E6CA7"/>
    <w:rsid w:val="005E726B"/>
    <w:rsid w:val="005E74CD"/>
    <w:rsid w:val="005E7890"/>
    <w:rsid w:val="005F07CD"/>
    <w:rsid w:val="005F1296"/>
    <w:rsid w:val="005F17C6"/>
    <w:rsid w:val="005F1E41"/>
    <w:rsid w:val="005F2240"/>
    <w:rsid w:val="005F2315"/>
    <w:rsid w:val="005F267B"/>
    <w:rsid w:val="005F3202"/>
    <w:rsid w:val="005F3621"/>
    <w:rsid w:val="005F374C"/>
    <w:rsid w:val="005F3DD1"/>
    <w:rsid w:val="005F3F0C"/>
    <w:rsid w:val="005F4871"/>
    <w:rsid w:val="005F5129"/>
    <w:rsid w:val="005F519F"/>
    <w:rsid w:val="005F549E"/>
    <w:rsid w:val="005F5E02"/>
    <w:rsid w:val="005F5F4C"/>
    <w:rsid w:val="005F696F"/>
    <w:rsid w:val="005F6D2B"/>
    <w:rsid w:val="005F6FBA"/>
    <w:rsid w:val="005F739B"/>
    <w:rsid w:val="005F7C44"/>
    <w:rsid w:val="00600253"/>
    <w:rsid w:val="00601112"/>
    <w:rsid w:val="0060155C"/>
    <w:rsid w:val="00602B0F"/>
    <w:rsid w:val="00604405"/>
    <w:rsid w:val="006052CA"/>
    <w:rsid w:val="00605CD0"/>
    <w:rsid w:val="006069BA"/>
    <w:rsid w:val="00606D5B"/>
    <w:rsid w:val="00606E7B"/>
    <w:rsid w:val="00610049"/>
    <w:rsid w:val="00610F15"/>
    <w:rsid w:val="00611AEC"/>
    <w:rsid w:val="00612076"/>
    <w:rsid w:val="006122BC"/>
    <w:rsid w:val="00612873"/>
    <w:rsid w:val="00613106"/>
    <w:rsid w:val="006136DB"/>
    <w:rsid w:val="00613B0F"/>
    <w:rsid w:val="00613E56"/>
    <w:rsid w:val="006155AF"/>
    <w:rsid w:val="00615A61"/>
    <w:rsid w:val="00615B50"/>
    <w:rsid w:val="0061602C"/>
    <w:rsid w:val="0061645A"/>
    <w:rsid w:val="00616DEE"/>
    <w:rsid w:val="00617438"/>
    <w:rsid w:val="00617AAB"/>
    <w:rsid w:val="006200E2"/>
    <w:rsid w:val="00620551"/>
    <w:rsid w:val="00620B0B"/>
    <w:rsid w:val="00621797"/>
    <w:rsid w:val="0062180E"/>
    <w:rsid w:val="00622A78"/>
    <w:rsid w:val="006231D0"/>
    <w:rsid w:val="00625DD0"/>
    <w:rsid w:val="006301C3"/>
    <w:rsid w:val="006309B8"/>
    <w:rsid w:val="006310A7"/>
    <w:rsid w:val="006323F0"/>
    <w:rsid w:val="00632970"/>
    <w:rsid w:val="00632BAD"/>
    <w:rsid w:val="00632E68"/>
    <w:rsid w:val="00632EF0"/>
    <w:rsid w:val="0063314B"/>
    <w:rsid w:val="006332C7"/>
    <w:rsid w:val="00633307"/>
    <w:rsid w:val="00633323"/>
    <w:rsid w:val="006335CE"/>
    <w:rsid w:val="00633624"/>
    <w:rsid w:val="00633FB1"/>
    <w:rsid w:val="0063407B"/>
    <w:rsid w:val="00634275"/>
    <w:rsid w:val="006342B3"/>
    <w:rsid w:val="006346BA"/>
    <w:rsid w:val="006347AE"/>
    <w:rsid w:val="00634E48"/>
    <w:rsid w:val="00641294"/>
    <w:rsid w:val="00641B40"/>
    <w:rsid w:val="006421E7"/>
    <w:rsid w:val="006429D5"/>
    <w:rsid w:val="00643962"/>
    <w:rsid w:val="00643F0E"/>
    <w:rsid w:val="006444E3"/>
    <w:rsid w:val="00644C84"/>
    <w:rsid w:val="00644DEA"/>
    <w:rsid w:val="00645E96"/>
    <w:rsid w:val="006460B0"/>
    <w:rsid w:val="006464BA"/>
    <w:rsid w:val="00646691"/>
    <w:rsid w:val="00646AFE"/>
    <w:rsid w:val="00647289"/>
    <w:rsid w:val="00647806"/>
    <w:rsid w:val="00647A4A"/>
    <w:rsid w:val="00647B53"/>
    <w:rsid w:val="00647FF7"/>
    <w:rsid w:val="006501A1"/>
    <w:rsid w:val="00650D80"/>
    <w:rsid w:val="00651283"/>
    <w:rsid w:val="00651E44"/>
    <w:rsid w:val="00652203"/>
    <w:rsid w:val="00652CBC"/>
    <w:rsid w:val="006530F0"/>
    <w:rsid w:val="006540AE"/>
    <w:rsid w:val="00654F94"/>
    <w:rsid w:val="00656279"/>
    <w:rsid w:val="0065663D"/>
    <w:rsid w:val="00656F49"/>
    <w:rsid w:val="006574CD"/>
    <w:rsid w:val="006574DD"/>
    <w:rsid w:val="00660358"/>
    <w:rsid w:val="006604C1"/>
    <w:rsid w:val="00660AC7"/>
    <w:rsid w:val="0066202D"/>
    <w:rsid w:val="006620DD"/>
    <w:rsid w:val="00662574"/>
    <w:rsid w:val="00662ACA"/>
    <w:rsid w:val="00662BCF"/>
    <w:rsid w:val="006639E1"/>
    <w:rsid w:val="0066464A"/>
    <w:rsid w:val="0066506D"/>
    <w:rsid w:val="00665A57"/>
    <w:rsid w:val="00665BCC"/>
    <w:rsid w:val="00665F57"/>
    <w:rsid w:val="00666005"/>
    <w:rsid w:val="006660D9"/>
    <w:rsid w:val="00666325"/>
    <w:rsid w:val="00666547"/>
    <w:rsid w:val="006665BE"/>
    <w:rsid w:val="006669FE"/>
    <w:rsid w:val="00666ABD"/>
    <w:rsid w:val="006671E3"/>
    <w:rsid w:val="00667273"/>
    <w:rsid w:val="006679FD"/>
    <w:rsid w:val="0067087A"/>
    <w:rsid w:val="006709AE"/>
    <w:rsid w:val="00670B6F"/>
    <w:rsid w:val="00670F1C"/>
    <w:rsid w:val="006716DB"/>
    <w:rsid w:val="00671B4E"/>
    <w:rsid w:val="00672302"/>
    <w:rsid w:val="00672E04"/>
    <w:rsid w:val="0067310F"/>
    <w:rsid w:val="00673FB9"/>
    <w:rsid w:val="006741CC"/>
    <w:rsid w:val="006745E4"/>
    <w:rsid w:val="00675D68"/>
    <w:rsid w:val="006763CC"/>
    <w:rsid w:val="00676432"/>
    <w:rsid w:val="006765BC"/>
    <w:rsid w:val="006767CA"/>
    <w:rsid w:val="00676931"/>
    <w:rsid w:val="00676A06"/>
    <w:rsid w:val="006778B7"/>
    <w:rsid w:val="006779BC"/>
    <w:rsid w:val="00677EA3"/>
    <w:rsid w:val="00680310"/>
    <w:rsid w:val="00681A26"/>
    <w:rsid w:val="00682158"/>
    <w:rsid w:val="00682787"/>
    <w:rsid w:val="00682D42"/>
    <w:rsid w:val="00683BE3"/>
    <w:rsid w:val="006843BE"/>
    <w:rsid w:val="006847E7"/>
    <w:rsid w:val="00684D8F"/>
    <w:rsid w:val="00685266"/>
    <w:rsid w:val="006854C4"/>
    <w:rsid w:val="00685A8D"/>
    <w:rsid w:val="00685DD8"/>
    <w:rsid w:val="006861BB"/>
    <w:rsid w:val="006869A4"/>
    <w:rsid w:val="00686FF9"/>
    <w:rsid w:val="00687BFE"/>
    <w:rsid w:val="00687FF0"/>
    <w:rsid w:val="00690EBD"/>
    <w:rsid w:val="0069118C"/>
    <w:rsid w:val="006916BD"/>
    <w:rsid w:val="00691A6C"/>
    <w:rsid w:val="00691FE2"/>
    <w:rsid w:val="00692362"/>
    <w:rsid w:val="00692B1E"/>
    <w:rsid w:val="0069337E"/>
    <w:rsid w:val="00693974"/>
    <w:rsid w:val="00693CEF"/>
    <w:rsid w:val="00694AEB"/>
    <w:rsid w:val="00694D06"/>
    <w:rsid w:val="006959C6"/>
    <w:rsid w:val="00695D00"/>
    <w:rsid w:val="006970AD"/>
    <w:rsid w:val="006A1008"/>
    <w:rsid w:val="006A2161"/>
    <w:rsid w:val="006A218D"/>
    <w:rsid w:val="006A2D17"/>
    <w:rsid w:val="006A314A"/>
    <w:rsid w:val="006A3ABB"/>
    <w:rsid w:val="006A3BB2"/>
    <w:rsid w:val="006A4287"/>
    <w:rsid w:val="006A4374"/>
    <w:rsid w:val="006A474E"/>
    <w:rsid w:val="006A4836"/>
    <w:rsid w:val="006A48EF"/>
    <w:rsid w:val="006A4BC3"/>
    <w:rsid w:val="006A4FB7"/>
    <w:rsid w:val="006A548A"/>
    <w:rsid w:val="006B0DCD"/>
    <w:rsid w:val="006B0F4D"/>
    <w:rsid w:val="006B21CE"/>
    <w:rsid w:val="006B28E0"/>
    <w:rsid w:val="006B3901"/>
    <w:rsid w:val="006B3B39"/>
    <w:rsid w:val="006B3D8B"/>
    <w:rsid w:val="006B59A7"/>
    <w:rsid w:val="006B5A43"/>
    <w:rsid w:val="006B65A4"/>
    <w:rsid w:val="006B66F6"/>
    <w:rsid w:val="006B7B10"/>
    <w:rsid w:val="006C0038"/>
    <w:rsid w:val="006C08BE"/>
    <w:rsid w:val="006C0B00"/>
    <w:rsid w:val="006C2298"/>
    <w:rsid w:val="006C29B4"/>
    <w:rsid w:val="006C2D28"/>
    <w:rsid w:val="006C3610"/>
    <w:rsid w:val="006C40C2"/>
    <w:rsid w:val="006C4753"/>
    <w:rsid w:val="006C4A1E"/>
    <w:rsid w:val="006C5AFA"/>
    <w:rsid w:val="006C6EDA"/>
    <w:rsid w:val="006C7027"/>
    <w:rsid w:val="006C7EA2"/>
    <w:rsid w:val="006D035D"/>
    <w:rsid w:val="006D07E8"/>
    <w:rsid w:val="006D0852"/>
    <w:rsid w:val="006D1C62"/>
    <w:rsid w:val="006D498C"/>
    <w:rsid w:val="006D4C4B"/>
    <w:rsid w:val="006D4D74"/>
    <w:rsid w:val="006D4E11"/>
    <w:rsid w:val="006D5386"/>
    <w:rsid w:val="006D663C"/>
    <w:rsid w:val="006D690A"/>
    <w:rsid w:val="006D7F81"/>
    <w:rsid w:val="006E0622"/>
    <w:rsid w:val="006E0881"/>
    <w:rsid w:val="006E128F"/>
    <w:rsid w:val="006E189D"/>
    <w:rsid w:val="006E3514"/>
    <w:rsid w:val="006E38BE"/>
    <w:rsid w:val="006E411C"/>
    <w:rsid w:val="006E52DC"/>
    <w:rsid w:val="006E76B6"/>
    <w:rsid w:val="006E7E92"/>
    <w:rsid w:val="006E7F8B"/>
    <w:rsid w:val="006F011A"/>
    <w:rsid w:val="006F03A6"/>
    <w:rsid w:val="006F17E5"/>
    <w:rsid w:val="006F1AD7"/>
    <w:rsid w:val="006F201A"/>
    <w:rsid w:val="006F251A"/>
    <w:rsid w:val="006F296E"/>
    <w:rsid w:val="006F2EE9"/>
    <w:rsid w:val="006F41AF"/>
    <w:rsid w:val="006F4A1D"/>
    <w:rsid w:val="006F4BBF"/>
    <w:rsid w:val="006F4D14"/>
    <w:rsid w:val="006F5543"/>
    <w:rsid w:val="006F5932"/>
    <w:rsid w:val="006F6355"/>
    <w:rsid w:val="006F6C84"/>
    <w:rsid w:val="006F74C9"/>
    <w:rsid w:val="006F7A4A"/>
    <w:rsid w:val="007003C0"/>
    <w:rsid w:val="00701920"/>
    <w:rsid w:val="0070247F"/>
    <w:rsid w:val="00702DDC"/>
    <w:rsid w:val="007036BF"/>
    <w:rsid w:val="00703DC2"/>
    <w:rsid w:val="00704F19"/>
    <w:rsid w:val="00705A7B"/>
    <w:rsid w:val="00705F1D"/>
    <w:rsid w:val="007064F6"/>
    <w:rsid w:val="00706E44"/>
    <w:rsid w:val="0070779F"/>
    <w:rsid w:val="007101B5"/>
    <w:rsid w:val="007103CE"/>
    <w:rsid w:val="00710458"/>
    <w:rsid w:val="007107AD"/>
    <w:rsid w:val="00710D49"/>
    <w:rsid w:val="00711101"/>
    <w:rsid w:val="007115E0"/>
    <w:rsid w:val="0071171F"/>
    <w:rsid w:val="00711DD5"/>
    <w:rsid w:val="00712C10"/>
    <w:rsid w:val="0071302A"/>
    <w:rsid w:val="0071348A"/>
    <w:rsid w:val="007136C7"/>
    <w:rsid w:val="007138EA"/>
    <w:rsid w:val="00714B93"/>
    <w:rsid w:val="00714C6C"/>
    <w:rsid w:val="00715459"/>
    <w:rsid w:val="007158A3"/>
    <w:rsid w:val="00715AB3"/>
    <w:rsid w:val="00716D79"/>
    <w:rsid w:val="00717105"/>
    <w:rsid w:val="00717623"/>
    <w:rsid w:val="00717A58"/>
    <w:rsid w:val="00717FDA"/>
    <w:rsid w:val="00720068"/>
    <w:rsid w:val="007208BB"/>
    <w:rsid w:val="00720E3C"/>
    <w:rsid w:val="00721642"/>
    <w:rsid w:val="0072172B"/>
    <w:rsid w:val="00722219"/>
    <w:rsid w:val="00723091"/>
    <w:rsid w:val="00723D10"/>
    <w:rsid w:val="00723DA0"/>
    <w:rsid w:val="00724A6F"/>
    <w:rsid w:val="00725765"/>
    <w:rsid w:val="00725A51"/>
    <w:rsid w:val="00725A5B"/>
    <w:rsid w:val="00726145"/>
    <w:rsid w:val="007264F6"/>
    <w:rsid w:val="0072659E"/>
    <w:rsid w:val="00726D8B"/>
    <w:rsid w:val="007274EC"/>
    <w:rsid w:val="007276DF"/>
    <w:rsid w:val="0072793E"/>
    <w:rsid w:val="0073006E"/>
    <w:rsid w:val="00730D67"/>
    <w:rsid w:val="007316CB"/>
    <w:rsid w:val="00731918"/>
    <w:rsid w:val="007325A1"/>
    <w:rsid w:val="007336CE"/>
    <w:rsid w:val="00734A07"/>
    <w:rsid w:val="0073578D"/>
    <w:rsid w:val="00735EE9"/>
    <w:rsid w:val="00737725"/>
    <w:rsid w:val="00737F35"/>
    <w:rsid w:val="00740913"/>
    <w:rsid w:val="00740F31"/>
    <w:rsid w:val="007418C9"/>
    <w:rsid w:val="00742686"/>
    <w:rsid w:val="00743C7D"/>
    <w:rsid w:val="00743D37"/>
    <w:rsid w:val="00744656"/>
    <w:rsid w:val="00744E97"/>
    <w:rsid w:val="007463D2"/>
    <w:rsid w:val="00746634"/>
    <w:rsid w:val="00746AA9"/>
    <w:rsid w:val="007475CF"/>
    <w:rsid w:val="00747D87"/>
    <w:rsid w:val="007500D1"/>
    <w:rsid w:val="007502D3"/>
    <w:rsid w:val="007502FE"/>
    <w:rsid w:val="007504B0"/>
    <w:rsid w:val="007507A7"/>
    <w:rsid w:val="007509B1"/>
    <w:rsid w:val="00751DBA"/>
    <w:rsid w:val="00751E0B"/>
    <w:rsid w:val="00751FD1"/>
    <w:rsid w:val="007523DE"/>
    <w:rsid w:val="0075243F"/>
    <w:rsid w:val="00752849"/>
    <w:rsid w:val="007529CD"/>
    <w:rsid w:val="007529FB"/>
    <w:rsid w:val="00752CE6"/>
    <w:rsid w:val="00753425"/>
    <w:rsid w:val="007536B5"/>
    <w:rsid w:val="007537C2"/>
    <w:rsid w:val="00753F6D"/>
    <w:rsid w:val="007542DA"/>
    <w:rsid w:val="007544F1"/>
    <w:rsid w:val="00754579"/>
    <w:rsid w:val="00754EE3"/>
    <w:rsid w:val="00755643"/>
    <w:rsid w:val="007558F0"/>
    <w:rsid w:val="007560EA"/>
    <w:rsid w:val="00756A73"/>
    <w:rsid w:val="00757E9F"/>
    <w:rsid w:val="0076119B"/>
    <w:rsid w:val="0076145A"/>
    <w:rsid w:val="00761ADC"/>
    <w:rsid w:val="00762148"/>
    <w:rsid w:val="007627D3"/>
    <w:rsid w:val="00762912"/>
    <w:rsid w:val="00763ED4"/>
    <w:rsid w:val="00764117"/>
    <w:rsid w:val="007649C0"/>
    <w:rsid w:val="00765493"/>
    <w:rsid w:val="0076553D"/>
    <w:rsid w:val="00765893"/>
    <w:rsid w:val="00766279"/>
    <w:rsid w:val="0076631D"/>
    <w:rsid w:val="00766BFD"/>
    <w:rsid w:val="00766E80"/>
    <w:rsid w:val="007670E7"/>
    <w:rsid w:val="007674D1"/>
    <w:rsid w:val="0077196C"/>
    <w:rsid w:val="00771D90"/>
    <w:rsid w:val="0077200D"/>
    <w:rsid w:val="007721CA"/>
    <w:rsid w:val="0077294F"/>
    <w:rsid w:val="00772A80"/>
    <w:rsid w:val="0077358A"/>
    <w:rsid w:val="00773F09"/>
    <w:rsid w:val="00774E38"/>
    <w:rsid w:val="00775C58"/>
    <w:rsid w:val="00776EDA"/>
    <w:rsid w:val="00777E22"/>
    <w:rsid w:val="0078010A"/>
    <w:rsid w:val="007808F0"/>
    <w:rsid w:val="00781425"/>
    <w:rsid w:val="00781E58"/>
    <w:rsid w:val="00782738"/>
    <w:rsid w:val="00782BFF"/>
    <w:rsid w:val="00783779"/>
    <w:rsid w:val="00783BDD"/>
    <w:rsid w:val="00783C8A"/>
    <w:rsid w:val="0078402C"/>
    <w:rsid w:val="00786057"/>
    <w:rsid w:val="00786401"/>
    <w:rsid w:val="00786505"/>
    <w:rsid w:val="0078650F"/>
    <w:rsid w:val="00786C35"/>
    <w:rsid w:val="00786DA5"/>
    <w:rsid w:val="0078782C"/>
    <w:rsid w:val="007879E3"/>
    <w:rsid w:val="00790154"/>
    <w:rsid w:val="0079052B"/>
    <w:rsid w:val="007908AD"/>
    <w:rsid w:val="00790D24"/>
    <w:rsid w:val="00791478"/>
    <w:rsid w:val="007923D8"/>
    <w:rsid w:val="0079260E"/>
    <w:rsid w:val="00792793"/>
    <w:rsid w:val="007930DB"/>
    <w:rsid w:val="00793966"/>
    <w:rsid w:val="00793CEE"/>
    <w:rsid w:val="0079544C"/>
    <w:rsid w:val="00795C71"/>
    <w:rsid w:val="00795DDE"/>
    <w:rsid w:val="00796691"/>
    <w:rsid w:val="00796C71"/>
    <w:rsid w:val="007972A7"/>
    <w:rsid w:val="007A0CCD"/>
    <w:rsid w:val="007A0ECF"/>
    <w:rsid w:val="007A1710"/>
    <w:rsid w:val="007A2718"/>
    <w:rsid w:val="007A2824"/>
    <w:rsid w:val="007A348F"/>
    <w:rsid w:val="007A4D73"/>
    <w:rsid w:val="007A5039"/>
    <w:rsid w:val="007A54F4"/>
    <w:rsid w:val="007A55F7"/>
    <w:rsid w:val="007A58F1"/>
    <w:rsid w:val="007A6191"/>
    <w:rsid w:val="007A68B0"/>
    <w:rsid w:val="007A7550"/>
    <w:rsid w:val="007B0005"/>
    <w:rsid w:val="007B0ED4"/>
    <w:rsid w:val="007B0EFB"/>
    <w:rsid w:val="007B22B2"/>
    <w:rsid w:val="007B23B3"/>
    <w:rsid w:val="007B24AD"/>
    <w:rsid w:val="007B2A4A"/>
    <w:rsid w:val="007B2EDB"/>
    <w:rsid w:val="007B3F7B"/>
    <w:rsid w:val="007B6540"/>
    <w:rsid w:val="007B71F8"/>
    <w:rsid w:val="007B727C"/>
    <w:rsid w:val="007C0D1B"/>
    <w:rsid w:val="007C11B2"/>
    <w:rsid w:val="007C2054"/>
    <w:rsid w:val="007C23E5"/>
    <w:rsid w:val="007C2D3B"/>
    <w:rsid w:val="007C2E98"/>
    <w:rsid w:val="007C34FD"/>
    <w:rsid w:val="007C37BA"/>
    <w:rsid w:val="007C415B"/>
    <w:rsid w:val="007C4189"/>
    <w:rsid w:val="007C4345"/>
    <w:rsid w:val="007C5912"/>
    <w:rsid w:val="007C64F8"/>
    <w:rsid w:val="007C66C5"/>
    <w:rsid w:val="007C7135"/>
    <w:rsid w:val="007C74D8"/>
    <w:rsid w:val="007C7A9C"/>
    <w:rsid w:val="007C7CA0"/>
    <w:rsid w:val="007C7F9E"/>
    <w:rsid w:val="007D0549"/>
    <w:rsid w:val="007D13C0"/>
    <w:rsid w:val="007D142E"/>
    <w:rsid w:val="007D1879"/>
    <w:rsid w:val="007D1ACA"/>
    <w:rsid w:val="007D1F53"/>
    <w:rsid w:val="007D4315"/>
    <w:rsid w:val="007D4965"/>
    <w:rsid w:val="007D53AE"/>
    <w:rsid w:val="007D5703"/>
    <w:rsid w:val="007D6382"/>
    <w:rsid w:val="007D6F1C"/>
    <w:rsid w:val="007D73DC"/>
    <w:rsid w:val="007D7481"/>
    <w:rsid w:val="007D75BA"/>
    <w:rsid w:val="007D7920"/>
    <w:rsid w:val="007D7DE8"/>
    <w:rsid w:val="007D7E86"/>
    <w:rsid w:val="007E057B"/>
    <w:rsid w:val="007E12EA"/>
    <w:rsid w:val="007E1BAE"/>
    <w:rsid w:val="007E2068"/>
    <w:rsid w:val="007E26E2"/>
    <w:rsid w:val="007E2D7B"/>
    <w:rsid w:val="007E2F07"/>
    <w:rsid w:val="007E3003"/>
    <w:rsid w:val="007E3336"/>
    <w:rsid w:val="007E39C9"/>
    <w:rsid w:val="007E4136"/>
    <w:rsid w:val="007E4A0A"/>
    <w:rsid w:val="007E511E"/>
    <w:rsid w:val="007E6307"/>
    <w:rsid w:val="007E6565"/>
    <w:rsid w:val="007E6E96"/>
    <w:rsid w:val="007E7119"/>
    <w:rsid w:val="007E712A"/>
    <w:rsid w:val="007E734E"/>
    <w:rsid w:val="007E7DE5"/>
    <w:rsid w:val="007F03B6"/>
    <w:rsid w:val="007F067C"/>
    <w:rsid w:val="007F1CB2"/>
    <w:rsid w:val="007F253B"/>
    <w:rsid w:val="007F273B"/>
    <w:rsid w:val="007F2A8B"/>
    <w:rsid w:val="007F2AA9"/>
    <w:rsid w:val="007F3254"/>
    <w:rsid w:val="007F3851"/>
    <w:rsid w:val="007F4094"/>
    <w:rsid w:val="007F443A"/>
    <w:rsid w:val="007F4D7F"/>
    <w:rsid w:val="007F587A"/>
    <w:rsid w:val="007F5FDC"/>
    <w:rsid w:val="007F7EFF"/>
    <w:rsid w:val="0080010C"/>
    <w:rsid w:val="00801BBB"/>
    <w:rsid w:val="00801E08"/>
    <w:rsid w:val="008025F2"/>
    <w:rsid w:val="008025FE"/>
    <w:rsid w:val="0080402D"/>
    <w:rsid w:val="008045D5"/>
    <w:rsid w:val="00804882"/>
    <w:rsid w:val="008049F9"/>
    <w:rsid w:val="00804E6F"/>
    <w:rsid w:val="00804F05"/>
    <w:rsid w:val="00805527"/>
    <w:rsid w:val="00805C6B"/>
    <w:rsid w:val="0080795D"/>
    <w:rsid w:val="00807F3A"/>
    <w:rsid w:val="00810E89"/>
    <w:rsid w:val="008117EC"/>
    <w:rsid w:val="00811E69"/>
    <w:rsid w:val="00812336"/>
    <w:rsid w:val="0081256B"/>
    <w:rsid w:val="00814922"/>
    <w:rsid w:val="00814DBA"/>
    <w:rsid w:val="00815CA9"/>
    <w:rsid w:val="008164F4"/>
    <w:rsid w:val="008165EA"/>
    <w:rsid w:val="00816DD2"/>
    <w:rsid w:val="008172F6"/>
    <w:rsid w:val="00817C86"/>
    <w:rsid w:val="00817FF3"/>
    <w:rsid w:val="00820805"/>
    <w:rsid w:val="00820CD3"/>
    <w:rsid w:val="00820EBE"/>
    <w:rsid w:val="0082265D"/>
    <w:rsid w:val="00822F2D"/>
    <w:rsid w:val="00823483"/>
    <w:rsid w:val="00823683"/>
    <w:rsid w:val="008246F2"/>
    <w:rsid w:val="00824D02"/>
    <w:rsid w:val="00825593"/>
    <w:rsid w:val="0082595D"/>
    <w:rsid w:val="0082615D"/>
    <w:rsid w:val="008263C9"/>
    <w:rsid w:val="008265B3"/>
    <w:rsid w:val="0082695E"/>
    <w:rsid w:val="00827EE2"/>
    <w:rsid w:val="0083252B"/>
    <w:rsid w:val="008337C5"/>
    <w:rsid w:val="00833CEF"/>
    <w:rsid w:val="00833ECA"/>
    <w:rsid w:val="0083479B"/>
    <w:rsid w:val="00834B93"/>
    <w:rsid w:val="00834F9F"/>
    <w:rsid w:val="00835EA5"/>
    <w:rsid w:val="00836012"/>
    <w:rsid w:val="008368C4"/>
    <w:rsid w:val="00836EB2"/>
    <w:rsid w:val="00837174"/>
    <w:rsid w:val="0083730D"/>
    <w:rsid w:val="00840744"/>
    <w:rsid w:val="00841A99"/>
    <w:rsid w:val="00841C6B"/>
    <w:rsid w:val="008420F2"/>
    <w:rsid w:val="008427D6"/>
    <w:rsid w:val="00842839"/>
    <w:rsid w:val="00843679"/>
    <w:rsid w:val="008438D8"/>
    <w:rsid w:val="00843C50"/>
    <w:rsid w:val="00844F83"/>
    <w:rsid w:val="00845AD7"/>
    <w:rsid w:val="00845B09"/>
    <w:rsid w:val="0084629B"/>
    <w:rsid w:val="0084694E"/>
    <w:rsid w:val="00846E5F"/>
    <w:rsid w:val="00846E66"/>
    <w:rsid w:val="00847DDF"/>
    <w:rsid w:val="008500B0"/>
    <w:rsid w:val="00850725"/>
    <w:rsid w:val="008515E4"/>
    <w:rsid w:val="00852D6E"/>
    <w:rsid w:val="00853162"/>
    <w:rsid w:val="008535D4"/>
    <w:rsid w:val="0085399C"/>
    <w:rsid w:val="00853ADE"/>
    <w:rsid w:val="0085594A"/>
    <w:rsid w:val="008559AB"/>
    <w:rsid w:val="008560CF"/>
    <w:rsid w:val="008573C4"/>
    <w:rsid w:val="0085751D"/>
    <w:rsid w:val="00860032"/>
    <w:rsid w:val="008603D5"/>
    <w:rsid w:val="008605C5"/>
    <w:rsid w:val="008606D1"/>
    <w:rsid w:val="00860A0E"/>
    <w:rsid w:val="0086104C"/>
    <w:rsid w:val="00861754"/>
    <w:rsid w:val="00861903"/>
    <w:rsid w:val="00861D12"/>
    <w:rsid w:val="00861E06"/>
    <w:rsid w:val="0086354D"/>
    <w:rsid w:val="00863806"/>
    <w:rsid w:val="00863F8A"/>
    <w:rsid w:val="008644A6"/>
    <w:rsid w:val="00864F96"/>
    <w:rsid w:val="00865873"/>
    <w:rsid w:val="00866031"/>
    <w:rsid w:val="008670C2"/>
    <w:rsid w:val="008677DB"/>
    <w:rsid w:val="00867A61"/>
    <w:rsid w:val="0087080E"/>
    <w:rsid w:val="008709D0"/>
    <w:rsid w:val="00870F37"/>
    <w:rsid w:val="008711A8"/>
    <w:rsid w:val="00871352"/>
    <w:rsid w:val="00871738"/>
    <w:rsid w:val="00871BB6"/>
    <w:rsid w:val="008720C2"/>
    <w:rsid w:val="00872FAE"/>
    <w:rsid w:val="008742D8"/>
    <w:rsid w:val="00874813"/>
    <w:rsid w:val="00875047"/>
    <w:rsid w:val="0087511D"/>
    <w:rsid w:val="008764CB"/>
    <w:rsid w:val="00876B4B"/>
    <w:rsid w:val="008772A0"/>
    <w:rsid w:val="0088060E"/>
    <w:rsid w:val="00880D4C"/>
    <w:rsid w:val="008815CE"/>
    <w:rsid w:val="00881AEB"/>
    <w:rsid w:val="00881F2B"/>
    <w:rsid w:val="008820E3"/>
    <w:rsid w:val="00882BEA"/>
    <w:rsid w:val="008839DA"/>
    <w:rsid w:val="00884696"/>
    <w:rsid w:val="00885047"/>
    <w:rsid w:val="00885AB9"/>
    <w:rsid w:val="008861F4"/>
    <w:rsid w:val="00886FDE"/>
    <w:rsid w:val="008874F3"/>
    <w:rsid w:val="00887FA6"/>
    <w:rsid w:val="00890265"/>
    <w:rsid w:val="008904B8"/>
    <w:rsid w:val="0089055F"/>
    <w:rsid w:val="00890DD0"/>
    <w:rsid w:val="00890F2F"/>
    <w:rsid w:val="008915DB"/>
    <w:rsid w:val="00892E06"/>
    <w:rsid w:val="00892E30"/>
    <w:rsid w:val="008931B3"/>
    <w:rsid w:val="008932AA"/>
    <w:rsid w:val="008934FB"/>
    <w:rsid w:val="0089483F"/>
    <w:rsid w:val="00894DA9"/>
    <w:rsid w:val="0089521E"/>
    <w:rsid w:val="0089530F"/>
    <w:rsid w:val="00895F36"/>
    <w:rsid w:val="00896391"/>
    <w:rsid w:val="0089686F"/>
    <w:rsid w:val="00896876"/>
    <w:rsid w:val="008968EA"/>
    <w:rsid w:val="008968EE"/>
    <w:rsid w:val="00897FD7"/>
    <w:rsid w:val="008A0990"/>
    <w:rsid w:val="008A0F9A"/>
    <w:rsid w:val="008A30E9"/>
    <w:rsid w:val="008A3933"/>
    <w:rsid w:val="008A46C6"/>
    <w:rsid w:val="008A4F2E"/>
    <w:rsid w:val="008A5232"/>
    <w:rsid w:val="008A5DFC"/>
    <w:rsid w:val="008B12B3"/>
    <w:rsid w:val="008B15F4"/>
    <w:rsid w:val="008B1CFA"/>
    <w:rsid w:val="008B1D47"/>
    <w:rsid w:val="008B1DE8"/>
    <w:rsid w:val="008B1DFC"/>
    <w:rsid w:val="008B2111"/>
    <w:rsid w:val="008B306B"/>
    <w:rsid w:val="008B333B"/>
    <w:rsid w:val="008B3AAE"/>
    <w:rsid w:val="008B3AD0"/>
    <w:rsid w:val="008B4646"/>
    <w:rsid w:val="008B4790"/>
    <w:rsid w:val="008B4AD9"/>
    <w:rsid w:val="008B4B34"/>
    <w:rsid w:val="008B5F41"/>
    <w:rsid w:val="008B7049"/>
    <w:rsid w:val="008C0206"/>
    <w:rsid w:val="008C0908"/>
    <w:rsid w:val="008C16E2"/>
    <w:rsid w:val="008C1895"/>
    <w:rsid w:val="008C1969"/>
    <w:rsid w:val="008C1A85"/>
    <w:rsid w:val="008C1CA3"/>
    <w:rsid w:val="008C22D0"/>
    <w:rsid w:val="008C332E"/>
    <w:rsid w:val="008C333F"/>
    <w:rsid w:val="008C3367"/>
    <w:rsid w:val="008C349E"/>
    <w:rsid w:val="008C35A5"/>
    <w:rsid w:val="008C3929"/>
    <w:rsid w:val="008C3D39"/>
    <w:rsid w:val="008C47EA"/>
    <w:rsid w:val="008C4A86"/>
    <w:rsid w:val="008C4BB3"/>
    <w:rsid w:val="008C4D10"/>
    <w:rsid w:val="008C56E6"/>
    <w:rsid w:val="008C5AFB"/>
    <w:rsid w:val="008C6262"/>
    <w:rsid w:val="008C671A"/>
    <w:rsid w:val="008C7205"/>
    <w:rsid w:val="008C7B49"/>
    <w:rsid w:val="008D08F7"/>
    <w:rsid w:val="008D10A6"/>
    <w:rsid w:val="008D1E22"/>
    <w:rsid w:val="008D22A4"/>
    <w:rsid w:val="008D2447"/>
    <w:rsid w:val="008D3AB1"/>
    <w:rsid w:val="008D41C8"/>
    <w:rsid w:val="008D619F"/>
    <w:rsid w:val="008D645D"/>
    <w:rsid w:val="008D655F"/>
    <w:rsid w:val="008D67BB"/>
    <w:rsid w:val="008D6A3F"/>
    <w:rsid w:val="008D7D0C"/>
    <w:rsid w:val="008E0089"/>
    <w:rsid w:val="008E068C"/>
    <w:rsid w:val="008E070C"/>
    <w:rsid w:val="008E0E53"/>
    <w:rsid w:val="008E0F70"/>
    <w:rsid w:val="008E139F"/>
    <w:rsid w:val="008E15F2"/>
    <w:rsid w:val="008E1BE6"/>
    <w:rsid w:val="008E1E36"/>
    <w:rsid w:val="008E307C"/>
    <w:rsid w:val="008E3C2C"/>
    <w:rsid w:val="008E697C"/>
    <w:rsid w:val="008E771E"/>
    <w:rsid w:val="008E7AF3"/>
    <w:rsid w:val="008E7C07"/>
    <w:rsid w:val="008E7ED7"/>
    <w:rsid w:val="008F0218"/>
    <w:rsid w:val="008F0421"/>
    <w:rsid w:val="008F20C1"/>
    <w:rsid w:val="008F2650"/>
    <w:rsid w:val="008F273E"/>
    <w:rsid w:val="008F2E40"/>
    <w:rsid w:val="008F30E5"/>
    <w:rsid w:val="008F355F"/>
    <w:rsid w:val="008F3663"/>
    <w:rsid w:val="008F382A"/>
    <w:rsid w:val="008F400B"/>
    <w:rsid w:val="008F4025"/>
    <w:rsid w:val="008F4FC1"/>
    <w:rsid w:val="008F57E1"/>
    <w:rsid w:val="008F5826"/>
    <w:rsid w:val="008F701E"/>
    <w:rsid w:val="008F7254"/>
    <w:rsid w:val="00900E9B"/>
    <w:rsid w:val="009016AE"/>
    <w:rsid w:val="009019CA"/>
    <w:rsid w:val="00901AB8"/>
    <w:rsid w:val="009025AE"/>
    <w:rsid w:val="00902870"/>
    <w:rsid w:val="0090357E"/>
    <w:rsid w:val="00905375"/>
    <w:rsid w:val="00906596"/>
    <w:rsid w:val="00906D5D"/>
    <w:rsid w:val="00907659"/>
    <w:rsid w:val="00907DCC"/>
    <w:rsid w:val="00910F54"/>
    <w:rsid w:val="0091148A"/>
    <w:rsid w:val="00911DA4"/>
    <w:rsid w:val="009124E9"/>
    <w:rsid w:val="0091259C"/>
    <w:rsid w:val="00912682"/>
    <w:rsid w:val="009137CB"/>
    <w:rsid w:val="0091390F"/>
    <w:rsid w:val="00913B87"/>
    <w:rsid w:val="009144FC"/>
    <w:rsid w:val="00914DCA"/>
    <w:rsid w:val="00915715"/>
    <w:rsid w:val="00915815"/>
    <w:rsid w:val="00915864"/>
    <w:rsid w:val="009167C5"/>
    <w:rsid w:val="00917103"/>
    <w:rsid w:val="0092012C"/>
    <w:rsid w:val="00920ACC"/>
    <w:rsid w:val="0092144B"/>
    <w:rsid w:val="00921902"/>
    <w:rsid w:val="00921C2D"/>
    <w:rsid w:val="009222A2"/>
    <w:rsid w:val="00922A7E"/>
    <w:rsid w:val="00923054"/>
    <w:rsid w:val="0092356E"/>
    <w:rsid w:val="0092487B"/>
    <w:rsid w:val="00924A18"/>
    <w:rsid w:val="00924D9B"/>
    <w:rsid w:val="0092522A"/>
    <w:rsid w:val="009252AE"/>
    <w:rsid w:val="0092641C"/>
    <w:rsid w:val="00927BE0"/>
    <w:rsid w:val="00931F8F"/>
    <w:rsid w:val="00933146"/>
    <w:rsid w:val="009336A8"/>
    <w:rsid w:val="00933978"/>
    <w:rsid w:val="00934314"/>
    <w:rsid w:val="009346CE"/>
    <w:rsid w:val="00934715"/>
    <w:rsid w:val="00935522"/>
    <w:rsid w:val="00935DA9"/>
    <w:rsid w:val="009360D3"/>
    <w:rsid w:val="00936EB4"/>
    <w:rsid w:val="0093769F"/>
    <w:rsid w:val="00937989"/>
    <w:rsid w:val="00937BD3"/>
    <w:rsid w:val="00937D43"/>
    <w:rsid w:val="00940241"/>
    <w:rsid w:val="00941FB1"/>
    <w:rsid w:val="0094208D"/>
    <w:rsid w:val="00942192"/>
    <w:rsid w:val="009427C5"/>
    <w:rsid w:val="00942C4A"/>
    <w:rsid w:val="00943A2B"/>
    <w:rsid w:val="00944015"/>
    <w:rsid w:val="009442B9"/>
    <w:rsid w:val="00944DB4"/>
    <w:rsid w:val="0094508A"/>
    <w:rsid w:val="00945156"/>
    <w:rsid w:val="00945162"/>
    <w:rsid w:val="00946207"/>
    <w:rsid w:val="00946ECB"/>
    <w:rsid w:val="00947F45"/>
    <w:rsid w:val="00950351"/>
    <w:rsid w:val="00950623"/>
    <w:rsid w:val="009506A2"/>
    <w:rsid w:val="00950995"/>
    <w:rsid w:val="009515EC"/>
    <w:rsid w:val="0095195E"/>
    <w:rsid w:val="00951C36"/>
    <w:rsid w:val="00952086"/>
    <w:rsid w:val="00952D43"/>
    <w:rsid w:val="00952EE0"/>
    <w:rsid w:val="00953150"/>
    <w:rsid w:val="0095359A"/>
    <w:rsid w:val="00953866"/>
    <w:rsid w:val="00954505"/>
    <w:rsid w:val="009549B8"/>
    <w:rsid w:val="00956E73"/>
    <w:rsid w:val="00956EED"/>
    <w:rsid w:val="00957094"/>
    <w:rsid w:val="0095761E"/>
    <w:rsid w:val="009609AF"/>
    <w:rsid w:val="009617C9"/>
    <w:rsid w:val="009627D4"/>
    <w:rsid w:val="00962B53"/>
    <w:rsid w:val="00962C6B"/>
    <w:rsid w:val="00963206"/>
    <w:rsid w:val="00963241"/>
    <w:rsid w:val="0096339B"/>
    <w:rsid w:val="009633BC"/>
    <w:rsid w:val="0096375D"/>
    <w:rsid w:val="0096454C"/>
    <w:rsid w:val="00964C32"/>
    <w:rsid w:val="0096533A"/>
    <w:rsid w:val="00965740"/>
    <w:rsid w:val="00965AE5"/>
    <w:rsid w:val="00965CBD"/>
    <w:rsid w:val="00967E74"/>
    <w:rsid w:val="0097127D"/>
    <w:rsid w:val="009717DD"/>
    <w:rsid w:val="00971833"/>
    <w:rsid w:val="00971B04"/>
    <w:rsid w:val="00971BAD"/>
    <w:rsid w:val="00971C63"/>
    <w:rsid w:val="009724AB"/>
    <w:rsid w:val="00974ED0"/>
    <w:rsid w:val="00975737"/>
    <w:rsid w:val="00975AB7"/>
    <w:rsid w:val="00975C9C"/>
    <w:rsid w:val="00980F30"/>
    <w:rsid w:val="0098122E"/>
    <w:rsid w:val="00981D4A"/>
    <w:rsid w:val="00982060"/>
    <w:rsid w:val="0098278F"/>
    <w:rsid w:val="00983269"/>
    <w:rsid w:val="00983471"/>
    <w:rsid w:val="009845F4"/>
    <w:rsid w:val="009857C3"/>
    <w:rsid w:val="00985FB9"/>
    <w:rsid w:val="0098618A"/>
    <w:rsid w:val="009861C2"/>
    <w:rsid w:val="00986403"/>
    <w:rsid w:val="009864D9"/>
    <w:rsid w:val="00986A3A"/>
    <w:rsid w:val="00986AA9"/>
    <w:rsid w:val="00987058"/>
    <w:rsid w:val="00987C87"/>
    <w:rsid w:val="00987F1D"/>
    <w:rsid w:val="00990D4E"/>
    <w:rsid w:val="00990EA1"/>
    <w:rsid w:val="00991C75"/>
    <w:rsid w:val="00991EAA"/>
    <w:rsid w:val="00992786"/>
    <w:rsid w:val="0099363C"/>
    <w:rsid w:val="0099398D"/>
    <w:rsid w:val="00993CA0"/>
    <w:rsid w:val="00993DF8"/>
    <w:rsid w:val="0099477E"/>
    <w:rsid w:val="009952CD"/>
    <w:rsid w:val="0099608D"/>
    <w:rsid w:val="00996413"/>
    <w:rsid w:val="00996D25"/>
    <w:rsid w:val="0099726F"/>
    <w:rsid w:val="009A092C"/>
    <w:rsid w:val="009A368E"/>
    <w:rsid w:val="009A488F"/>
    <w:rsid w:val="009A54B5"/>
    <w:rsid w:val="009A57CB"/>
    <w:rsid w:val="009A59C4"/>
    <w:rsid w:val="009A600D"/>
    <w:rsid w:val="009A722E"/>
    <w:rsid w:val="009A74F3"/>
    <w:rsid w:val="009B067B"/>
    <w:rsid w:val="009B0F1F"/>
    <w:rsid w:val="009B1076"/>
    <w:rsid w:val="009B11F0"/>
    <w:rsid w:val="009B1882"/>
    <w:rsid w:val="009B3C59"/>
    <w:rsid w:val="009B4E82"/>
    <w:rsid w:val="009B542C"/>
    <w:rsid w:val="009B5901"/>
    <w:rsid w:val="009B625D"/>
    <w:rsid w:val="009B6CCF"/>
    <w:rsid w:val="009B6E26"/>
    <w:rsid w:val="009B7429"/>
    <w:rsid w:val="009B7740"/>
    <w:rsid w:val="009B79D6"/>
    <w:rsid w:val="009C0044"/>
    <w:rsid w:val="009C0CDD"/>
    <w:rsid w:val="009C1CEC"/>
    <w:rsid w:val="009C3ADC"/>
    <w:rsid w:val="009C3F60"/>
    <w:rsid w:val="009C4302"/>
    <w:rsid w:val="009C4D81"/>
    <w:rsid w:val="009C6688"/>
    <w:rsid w:val="009C76CB"/>
    <w:rsid w:val="009C7A54"/>
    <w:rsid w:val="009C7F37"/>
    <w:rsid w:val="009D0530"/>
    <w:rsid w:val="009D077A"/>
    <w:rsid w:val="009D09C1"/>
    <w:rsid w:val="009D0B39"/>
    <w:rsid w:val="009D0FBB"/>
    <w:rsid w:val="009D1B4D"/>
    <w:rsid w:val="009D20AA"/>
    <w:rsid w:val="009D2418"/>
    <w:rsid w:val="009D3A4C"/>
    <w:rsid w:val="009D47AB"/>
    <w:rsid w:val="009D4DDB"/>
    <w:rsid w:val="009D6751"/>
    <w:rsid w:val="009D6A98"/>
    <w:rsid w:val="009D7F1F"/>
    <w:rsid w:val="009E129D"/>
    <w:rsid w:val="009E2003"/>
    <w:rsid w:val="009E244F"/>
    <w:rsid w:val="009E24F2"/>
    <w:rsid w:val="009E2E3B"/>
    <w:rsid w:val="009E2F52"/>
    <w:rsid w:val="009E31A0"/>
    <w:rsid w:val="009E36E7"/>
    <w:rsid w:val="009E4176"/>
    <w:rsid w:val="009E457B"/>
    <w:rsid w:val="009E48D9"/>
    <w:rsid w:val="009E4B5A"/>
    <w:rsid w:val="009E50C6"/>
    <w:rsid w:val="009E58ED"/>
    <w:rsid w:val="009E6838"/>
    <w:rsid w:val="009E7026"/>
    <w:rsid w:val="009E7490"/>
    <w:rsid w:val="009E7682"/>
    <w:rsid w:val="009E7B49"/>
    <w:rsid w:val="009F19DE"/>
    <w:rsid w:val="009F1E29"/>
    <w:rsid w:val="009F22C2"/>
    <w:rsid w:val="009F2318"/>
    <w:rsid w:val="009F292F"/>
    <w:rsid w:val="009F3313"/>
    <w:rsid w:val="009F3903"/>
    <w:rsid w:val="009F3FE3"/>
    <w:rsid w:val="009F5EBE"/>
    <w:rsid w:val="009F7B2E"/>
    <w:rsid w:val="00A00DBF"/>
    <w:rsid w:val="00A02252"/>
    <w:rsid w:val="00A02FC1"/>
    <w:rsid w:val="00A03906"/>
    <w:rsid w:val="00A045BF"/>
    <w:rsid w:val="00A04673"/>
    <w:rsid w:val="00A04900"/>
    <w:rsid w:val="00A04E10"/>
    <w:rsid w:val="00A0503C"/>
    <w:rsid w:val="00A0505D"/>
    <w:rsid w:val="00A05955"/>
    <w:rsid w:val="00A05B66"/>
    <w:rsid w:val="00A05CE9"/>
    <w:rsid w:val="00A05EA4"/>
    <w:rsid w:val="00A063AD"/>
    <w:rsid w:val="00A0688C"/>
    <w:rsid w:val="00A068B1"/>
    <w:rsid w:val="00A06C68"/>
    <w:rsid w:val="00A07B71"/>
    <w:rsid w:val="00A10D3B"/>
    <w:rsid w:val="00A1103B"/>
    <w:rsid w:val="00A11505"/>
    <w:rsid w:val="00A1161D"/>
    <w:rsid w:val="00A11BA1"/>
    <w:rsid w:val="00A12DD7"/>
    <w:rsid w:val="00A13341"/>
    <w:rsid w:val="00A135A8"/>
    <w:rsid w:val="00A1461D"/>
    <w:rsid w:val="00A14974"/>
    <w:rsid w:val="00A15C70"/>
    <w:rsid w:val="00A161BB"/>
    <w:rsid w:val="00A16230"/>
    <w:rsid w:val="00A1758B"/>
    <w:rsid w:val="00A20296"/>
    <w:rsid w:val="00A208FA"/>
    <w:rsid w:val="00A20C25"/>
    <w:rsid w:val="00A216E2"/>
    <w:rsid w:val="00A2194C"/>
    <w:rsid w:val="00A221E4"/>
    <w:rsid w:val="00A22522"/>
    <w:rsid w:val="00A22B09"/>
    <w:rsid w:val="00A22EE1"/>
    <w:rsid w:val="00A23272"/>
    <w:rsid w:val="00A23397"/>
    <w:rsid w:val="00A2376A"/>
    <w:rsid w:val="00A23813"/>
    <w:rsid w:val="00A23B00"/>
    <w:rsid w:val="00A23D6A"/>
    <w:rsid w:val="00A23FEE"/>
    <w:rsid w:val="00A2461E"/>
    <w:rsid w:val="00A24802"/>
    <w:rsid w:val="00A250CC"/>
    <w:rsid w:val="00A2582A"/>
    <w:rsid w:val="00A25B2F"/>
    <w:rsid w:val="00A26A8C"/>
    <w:rsid w:val="00A270A8"/>
    <w:rsid w:val="00A309AB"/>
    <w:rsid w:val="00A31251"/>
    <w:rsid w:val="00A312C0"/>
    <w:rsid w:val="00A32657"/>
    <w:rsid w:val="00A32703"/>
    <w:rsid w:val="00A32C6A"/>
    <w:rsid w:val="00A33795"/>
    <w:rsid w:val="00A33EEA"/>
    <w:rsid w:val="00A34424"/>
    <w:rsid w:val="00A34E60"/>
    <w:rsid w:val="00A34E8F"/>
    <w:rsid w:val="00A35085"/>
    <w:rsid w:val="00A351EF"/>
    <w:rsid w:val="00A354D3"/>
    <w:rsid w:val="00A3633B"/>
    <w:rsid w:val="00A365D6"/>
    <w:rsid w:val="00A3679B"/>
    <w:rsid w:val="00A36E64"/>
    <w:rsid w:val="00A3713A"/>
    <w:rsid w:val="00A374D4"/>
    <w:rsid w:val="00A37533"/>
    <w:rsid w:val="00A4064B"/>
    <w:rsid w:val="00A40685"/>
    <w:rsid w:val="00A40A6E"/>
    <w:rsid w:val="00A40B28"/>
    <w:rsid w:val="00A40E31"/>
    <w:rsid w:val="00A40FE7"/>
    <w:rsid w:val="00A41F89"/>
    <w:rsid w:val="00A42259"/>
    <w:rsid w:val="00A422AD"/>
    <w:rsid w:val="00A42870"/>
    <w:rsid w:val="00A42AD8"/>
    <w:rsid w:val="00A43245"/>
    <w:rsid w:val="00A4391E"/>
    <w:rsid w:val="00A441BE"/>
    <w:rsid w:val="00A44389"/>
    <w:rsid w:val="00A446AA"/>
    <w:rsid w:val="00A457DB"/>
    <w:rsid w:val="00A45A89"/>
    <w:rsid w:val="00A46BE6"/>
    <w:rsid w:val="00A46C44"/>
    <w:rsid w:val="00A472FB"/>
    <w:rsid w:val="00A4750B"/>
    <w:rsid w:val="00A476ED"/>
    <w:rsid w:val="00A47C03"/>
    <w:rsid w:val="00A47C89"/>
    <w:rsid w:val="00A47D73"/>
    <w:rsid w:val="00A47F42"/>
    <w:rsid w:val="00A5058D"/>
    <w:rsid w:val="00A51F1F"/>
    <w:rsid w:val="00A5229D"/>
    <w:rsid w:val="00A52EB1"/>
    <w:rsid w:val="00A530B9"/>
    <w:rsid w:val="00A53360"/>
    <w:rsid w:val="00A53576"/>
    <w:rsid w:val="00A54F40"/>
    <w:rsid w:val="00A5522F"/>
    <w:rsid w:val="00A556D8"/>
    <w:rsid w:val="00A55A2C"/>
    <w:rsid w:val="00A55DC0"/>
    <w:rsid w:val="00A56A86"/>
    <w:rsid w:val="00A57D67"/>
    <w:rsid w:val="00A57E66"/>
    <w:rsid w:val="00A6007E"/>
    <w:rsid w:val="00A6008F"/>
    <w:rsid w:val="00A60D4D"/>
    <w:rsid w:val="00A619E0"/>
    <w:rsid w:val="00A634EF"/>
    <w:rsid w:val="00A642AE"/>
    <w:rsid w:val="00A64416"/>
    <w:rsid w:val="00A6486B"/>
    <w:rsid w:val="00A648C7"/>
    <w:rsid w:val="00A652C8"/>
    <w:rsid w:val="00A65C45"/>
    <w:rsid w:val="00A66D8C"/>
    <w:rsid w:val="00A679DC"/>
    <w:rsid w:val="00A67E84"/>
    <w:rsid w:val="00A706B1"/>
    <w:rsid w:val="00A70926"/>
    <w:rsid w:val="00A71234"/>
    <w:rsid w:val="00A7173A"/>
    <w:rsid w:val="00A72BED"/>
    <w:rsid w:val="00A72D3B"/>
    <w:rsid w:val="00A7313B"/>
    <w:rsid w:val="00A7432B"/>
    <w:rsid w:val="00A74FA3"/>
    <w:rsid w:val="00A754E9"/>
    <w:rsid w:val="00A768BB"/>
    <w:rsid w:val="00A76BDA"/>
    <w:rsid w:val="00A77081"/>
    <w:rsid w:val="00A80ED6"/>
    <w:rsid w:val="00A8250C"/>
    <w:rsid w:val="00A826AD"/>
    <w:rsid w:val="00A82C08"/>
    <w:rsid w:val="00A843AE"/>
    <w:rsid w:val="00A845BD"/>
    <w:rsid w:val="00A84DA7"/>
    <w:rsid w:val="00A85753"/>
    <w:rsid w:val="00A859A1"/>
    <w:rsid w:val="00A85FC5"/>
    <w:rsid w:val="00A86317"/>
    <w:rsid w:val="00A86ED2"/>
    <w:rsid w:val="00A870F5"/>
    <w:rsid w:val="00A91D9A"/>
    <w:rsid w:val="00A91F33"/>
    <w:rsid w:val="00A93474"/>
    <w:rsid w:val="00A941E9"/>
    <w:rsid w:val="00A9453E"/>
    <w:rsid w:val="00A94A87"/>
    <w:rsid w:val="00A950C6"/>
    <w:rsid w:val="00A95210"/>
    <w:rsid w:val="00A95242"/>
    <w:rsid w:val="00A95606"/>
    <w:rsid w:val="00A960EF"/>
    <w:rsid w:val="00A96D0F"/>
    <w:rsid w:val="00AA0985"/>
    <w:rsid w:val="00AA0F13"/>
    <w:rsid w:val="00AA0F34"/>
    <w:rsid w:val="00AA19DE"/>
    <w:rsid w:val="00AA1A9E"/>
    <w:rsid w:val="00AA20A6"/>
    <w:rsid w:val="00AA2312"/>
    <w:rsid w:val="00AA2CC9"/>
    <w:rsid w:val="00AA2FC0"/>
    <w:rsid w:val="00AA3A4A"/>
    <w:rsid w:val="00AA456E"/>
    <w:rsid w:val="00AA462E"/>
    <w:rsid w:val="00AA4A72"/>
    <w:rsid w:val="00AA55D2"/>
    <w:rsid w:val="00AA7500"/>
    <w:rsid w:val="00AB0362"/>
    <w:rsid w:val="00AB0D09"/>
    <w:rsid w:val="00AB0EF4"/>
    <w:rsid w:val="00AB2541"/>
    <w:rsid w:val="00AB2841"/>
    <w:rsid w:val="00AB2C4D"/>
    <w:rsid w:val="00AB2FE1"/>
    <w:rsid w:val="00AB4244"/>
    <w:rsid w:val="00AB4274"/>
    <w:rsid w:val="00AB4439"/>
    <w:rsid w:val="00AB5259"/>
    <w:rsid w:val="00AB6339"/>
    <w:rsid w:val="00AB6705"/>
    <w:rsid w:val="00AB7DB3"/>
    <w:rsid w:val="00AB7FBB"/>
    <w:rsid w:val="00AC0726"/>
    <w:rsid w:val="00AC0C82"/>
    <w:rsid w:val="00AC0F6D"/>
    <w:rsid w:val="00AC14A3"/>
    <w:rsid w:val="00AC186B"/>
    <w:rsid w:val="00AC1B5F"/>
    <w:rsid w:val="00AC2DAD"/>
    <w:rsid w:val="00AC3EB7"/>
    <w:rsid w:val="00AC532F"/>
    <w:rsid w:val="00AC65EC"/>
    <w:rsid w:val="00AC6DD6"/>
    <w:rsid w:val="00AC7034"/>
    <w:rsid w:val="00AC706C"/>
    <w:rsid w:val="00AC7154"/>
    <w:rsid w:val="00AC7522"/>
    <w:rsid w:val="00AC7E0E"/>
    <w:rsid w:val="00AD0D1B"/>
    <w:rsid w:val="00AD192B"/>
    <w:rsid w:val="00AD1AB2"/>
    <w:rsid w:val="00AD270E"/>
    <w:rsid w:val="00AD2ABD"/>
    <w:rsid w:val="00AD33C4"/>
    <w:rsid w:val="00AD41B6"/>
    <w:rsid w:val="00AD4252"/>
    <w:rsid w:val="00AD4B56"/>
    <w:rsid w:val="00AD4E2F"/>
    <w:rsid w:val="00AD51E6"/>
    <w:rsid w:val="00AD68F7"/>
    <w:rsid w:val="00AD6BC9"/>
    <w:rsid w:val="00AD6E2E"/>
    <w:rsid w:val="00AD6F3A"/>
    <w:rsid w:val="00AD7D65"/>
    <w:rsid w:val="00AD7F51"/>
    <w:rsid w:val="00AE0018"/>
    <w:rsid w:val="00AE0023"/>
    <w:rsid w:val="00AE014E"/>
    <w:rsid w:val="00AE04EE"/>
    <w:rsid w:val="00AE0FCF"/>
    <w:rsid w:val="00AE0FDB"/>
    <w:rsid w:val="00AE1224"/>
    <w:rsid w:val="00AE28BE"/>
    <w:rsid w:val="00AE398B"/>
    <w:rsid w:val="00AE3EA7"/>
    <w:rsid w:val="00AE44CC"/>
    <w:rsid w:val="00AE4547"/>
    <w:rsid w:val="00AE4D40"/>
    <w:rsid w:val="00AE5491"/>
    <w:rsid w:val="00AE5594"/>
    <w:rsid w:val="00AE56CD"/>
    <w:rsid w:val="00AE58DB"/>
    <w:rsid w:val="00AE6AC7"/>
    <w:rsid w:val="00AE6BAA"/>
    <w:rsid w:val="00AE7C82"/>
    <w:rsid w:val="00AE7F63"/>
    <w:rsid w:val="00AF0483"/>
    <w:rsid w:val="00AF0682"/>
    <w:rsid w:val="00AF07E6"/>
    <w:rsid w:val="00AF1046"/>
    <w:rsid w:val="00AF10B2"/>
    <w:rsid w:val="00AF12DB"/>
    <w:rsid w:val="00AF13FA"/>
    <w:rsid w:val="00AF1809"/>
    <w:rsid w:val="00AF19A0"/>
    <w:rsid w:val="00AF224B"/>
    <w:rsid w:val="00AF2551"/>
    <w:rsid w:val="00AF39C9"/>
    <w:rsid w:val="00AF3DEE"/>
    <w:rsid w:val="00AF4101"/>
    <w:rsid w:val="00AF421B"/>
    <w:rsid w:val="00AF428E"/>
    <w:rsid w:val="00AF5791"/>
    <w:rsid w:val="00AF5A53"/>
    <w:rsid w:val="00AF5A75"/>
    <w:rsid w:val="00AF60AE"/>
    <w:rsid w:val="00AF716B"/>
    <w:rsid w:val="00B0013D"/>
    <w:rsid w:val="00B00745"/>
    <w:rsid w:val="00B01350"/>
    <w:rsid w:val="00B013FF"/>
    <w:rsid w:val="00B0149D"/>
    <w:rsid w:val="00B0181A"/>
    <w:rsid w:val="00B0227B"/>
    <w:rsid w:val="00B035D5"/>
    <w:rsid w:val="00B037A4"/>
    <w:rsid w:val="00B05B22"/>
    <w:rsid w:val="00B06496"/>
    <w:rsid w:val="00B06595"/>
    <w:rsid w:val="00B075F2"/>
    <w:rsid w:val="00B07831"/>
    <w:rsid w:val="00B0795A"/>
    <w:rsid w:val="00B07AAC"/>
    <w:rsid w:val="00B1010B"/>
    <w:rsid w:val="00B10C15"/>
    <w:rsid w:val="00B10E7D"/>
    <w:rsid w:val="00B1214F"/>
    <w:rsid w:val="00B12448"/>
    <w:rsid w:val="00B12F9B"/>
    <w:rsid w:val="00B14194"/>
    <w:rsid w:val="00B15733"/>
    <w:rsid w:val="00B15ED5"/>
    <w:rsid w:val="00B165C1"/>
    <w:rsid w:val="00B16618"/>
    <w:rsid w:val="00B16879"/>
    <w:rsid w:val="00B178AE"/>
    <w:rsid w:val="00B17E90"/>
    <w:rsid w:val="00B2077D"/>
    <w:rsid w:val="00B2166F"/>
    <w:rsid w:val="00B21C17"/>
    <w:rsid w:val="00B21F42"/>
    <w:rsid w:val="00B22459"/>
    <w:rsid w:val="00B224BB"/>
    <w:rsid w:val="00B226D3"/>
    <w:rsid w:val="00B229D3"/>
    <w:rsid w:val="00B22CED"/>
    <w:rsid w:val="00B2363A"/>
    <w:rsid w:val="00B2396F"/>
    <w:rsid w:val="00B24173"/>
    <w:rsid w:val="00B2532F"/>
    <w:rsid w:val="00B25A3E"/>
    <w:rsid w:val="00B26FF0"/>
    <w:rsid w:val="00B27F07"/>
    <w:rsid w:val="00B303E8"/>
    <w:rsid w:val="00B30C62"/>
    <w:rsid w:val="00B30F1E"/>
    <w:rsid w:val="00B3132A"/>
    <w:rsid w:val="00B316CB"/>
    <w:rsid w:val="00B31AF0"/>
    <w:rsid w:val="00B31B6A"/>
    <w:rsid w:val="00B3317F"/>
    <w:rsid w:val="00B3391B"/>
    <w:rsid w:val="00B35546"/>
    <w:rsid w:val="00B35CCB"/>
    <w:rsid w:val="00B379DF"/>
    <w:rsid w:val="00B405A2"/>
    <w:rsid w:val="00B4064E"/>
    <w:rsid w:val="00B4065A"/>
    <w:rsid w:val="00B40A5F"/>
    <w:rsid w:val="00B41C8D"/>
    <w:rsid w:val="00B42195"/>
    <w:rsid w:val="00B43403"/>
    <w:rsid w:val="00B446D0"/>
    <w:rsid w:val="00B44A5F"/>
    <w:rsid w:val="00B44E41"/>
    <w:rsid w:val="00B45214"/>
    <w:rsid w:val="00B45453"/>
    <w:rsid w:val="00B45A8B"/>
    <w:rsid w:val="00B468E1"/>
    <w:rsid w:val="00B46DE9"/>
    <w:rsid w:val="00B47694"/>
    <w:rsid w:val="00B478C4"/>
    <w:rsid w:val="00B47BAD"/>
    <w:rsid w:val="00B50F64"/>
    <w:rsid w:val="00B5178A"/>
    <w:rsid w:val="00B51A6B"/>
    <w:rsid w:val="00B52317"/>
    <w:rsid w:val="00B52375"/>
    <w:rsid w:val="00B52E71"/>
    <w:rsid w:val="00B53309"/>
    <w:rsid w:val="00B53438"/>
    <w:rsid w:val="00B53E8C"/>
    <w:rsid w:val="00B54B24"/>
    <w:rsid w:val="00B55859"/>
    <w:rsid w:val="00B55B63"/>
    <w:rsid w:val="00B56BB7"/>
    <w:rsid w:val="00B56CD0"/>
    <w:rsid w:val="00B57A88"/>
    <w:rsid w:val="00B6067B"/>
    <w:rsid w:val="00B607B5"/>
    <w:rsid w:val="00B60BD0"/>
    <w:rsid w:val="00B61198"/>
    <w:rsid w:val="00B615DD"/>
    <w:rsid w:val="00B61BB6"/>
    <w:rsid w:val="00B6372F"/>
    <w:rsid w:val="00B6602B"/>
    <w:rsid w:val="00B6623F"/>
    <w:rsid w:val="00B66A16"/>
    <w:rsid w:val="00B675B9"/>
    <w:rsid w:val="00B67D01"/>
    <w:rsid w:val="00B67D2C"/>
    <w:rsid w:val="00B67D64"/>
    <w:rsid w:val="00B701F3"/>
    <w:rsid w:val="00B705CB"/>
    <w:rsid w:val="00B70B82"/>
    <w:rsid w:val="00B7142F"/>
    <w:rsid w:val="00B71A98"/>
    <w:rsid w:val="00B71CA3"/>
    <w:rsid w:val="00B7332F"/>
    <w:rsid w:val="00B7349A"/>
    <w:rsid w:val="00B73802"/>
    <w:rsid w:val="00B73888"/>
    <w:rsid w:val="00B73A39"/>
    <w:rsid w:val="00B73C96"/>
    <w:rsid w:val="00B73DE7"/>
    <w:rsid w:val="00B74096"/>
    <w:rsid w:val="00B7411F"/>
    <w:rsid w:val="00B743BF"/>
    <w:rsid w:val="00B756A4"/>
    <w:rsid w:val="00B75BE2"/>
    <w:rsid w:val="00B75E77"/>
    <w:rsid w:val="00B76ACA"/>
    <w:rsid w:val="00B770B8"/>
    <w:rsid w:val="00B77FF7"/>
    <w:rsid w:val="00B800A4"/>
    <w:rsid w:val="00B801F1"/>
    <w:rsid w:val="00B80712"/>
    <w:rsid w:val="00B80C23"/>
    <w:rsid w:val="00B81012"/>
    <w:rsid w:val="00B813E0"/>
    <w:rsid w:val="00B8266B"/>
    <w:rsid w:val="00B82864"/>
    <w:rsid w:val="00B82A9F"/>
    <w:rsid w:val="00B831E4"/>
    <w:rsid w:val="00B83448"/>
    <w:rsid w:val="00B840C6"/>
    <w:rsid w:val="00B841D5"/>
    <w:rsid w:val="00B8443B"/>
    <w:rsid w:val="00B84DE1"/>
    <w:rsid w:val="00B85464"/>
    <w:rsid w:val="00B856AC"/>
    <w:rsid w:val="00B85922"/>
    <w:rsid w:val="00B85FA0"/>
    <w:rsid w:val="00B861D8"/>
    <w:rsid w:val="00B86620"/>
    <w:rsid w:val="00B87C8B"/>
    <w:rsid w:val="00B87D9D"/>
    <w:rsid w:val="00B90640"/>
    <w:rsid w:val="00B90886"/>
    <w:rsid w:val="00B90AD3"/>
    <w:rsid w:val="00B90C0A"/>
    <w:rsid w:val="00B90CBA"/>
    <w:rsid w:val="00B91188"/>
    <w:rsid w:val="00B91556"/>
    <w:rsid w:val="00B924CB"/>
    <w:rsid w:val="00B92838"/>
    <w:rsid w:val="00B92E2A"/>
    <w:rsid w:val="00B93B17"/>
    <w:rsid w:val="00B93C43"/>
    <w:rsid w:val="00B940D0"/>
    <w:rsid w:val="00B9418E"/>
    <w:rsid w:val="00B942C4"/>
    <w:rsid w:val="00B94A0E"/>
    <w:rsid w:val="00B94C5F"/>
    <w:rsid w:val="00B94F27"/>
    <w:rsid w:val="00B95182"/>
    <w:rsid w:val="00B96583"/>
    <w:rsid w:val="00B9715F"/>
    <w:rsid w:val="00B976AF"/>
    <w:rsid w:val="00B97CA2"/>
    <w:rsid w:val="00BA2A87"/>
    <w:rsid w:val="00BA3E37"/>
    <w:rsid w:val="00BA426B"/>
    <w:rsid w:val="00BA42F4"/>
    <w:rsid w:val="00BA43D0"/>
    <w:rsid w:val="00BA49EF"/>
    <w:rsid w:val="00BA5AB1"/>
    <w:rsid w:val="00BA729F"/>
    <w:rsid w:val="00BA7461"/>
    <w:rsid w:val="00BB05D6"/>
    <w:rsid w:val="00BB06B0"/>
    <w:rsid w:val="00BB0E85"/>
    <w:rsid w:val="00BB2777"/>
    <w:rsid w:val="00BB290E"/>
    <w:rsid w:val="00BB2C11"/>
    <w:rsid w:val="00BB369F"/>
    <w:rsid w:val="00BB398B"/>
    <w:rsid w:val="00BB483F"/>
    <w:rsid w:val="00BB5CA8"/>
    <w:rsid w:val="00BB6263"/>
    <w:rsid w:val="00BB62A9"/>
    <w:rsid w:val="00BB6349"/>
    <w:rsid w:val="00BB753A"/>
    <w:rsid w:val="00BB774E"/>
    <w:rsid w:val="00BC07EE"/>
    <w:rsid w:val="00BC0EF9"/>
    <w:rsid w:val="00BC1363"/>
    <w:rsid w:val="00BC176A"/>
    <w:rsid w:val="00BC1941"/>
    <w:rsid w:val="00BC2B66"/>
    <w:rsid w:val="00BC3224"/>
    <w:rsid w:val="00BC3259"/>
    <w:rsid w:val="00BC3A66"/>
    <w:rsid w:val="00BC3EA6"/>
    <w:rsid w:val="00BC4D41"/>
    <w:rsid w:val="00BC4D76"/>
    <w:rsid w:val="00BC629F"/>
    <w:rsid w:val="00BC66BB"/>
    <w:rsid w:val="00BC678B"/>
    <w:rsid w:val="00BC6DB0"/>
    <w:rsid w:val="00BC701C"/>
    <w:rsid w:val="00BC7262"/>
    <w:rsid w:val="00BD00D9"/>
    <w:rsid w:val="00BD13F1"/>
    <w:rsid w:val="00BD18E0"/>
    <w:rsid w:val="00BD281E"/>
    <w:rsid w:val="00BD3B91"/>
    <w:rsid w:val="00BD423F"/>
    <w:rsid w:val="00BD44A7"/>
    <w:rsid w:val="00BD67A6"/>
    <w:rsid w:val="00BD70A7"/>
    <w:rsid w:val="00BD78E3"/>
    <w:rsid w:val="00BD7C5C"/>
    <w:rsid w:val="00BE029B"/>
    <w:rsid w:val="00BE07C3"/>
    <w:rsid w:val="00BE106C"/>
    <w:rsid w:val="00BE1135"/>
    <w:rsid w:val="00BE1F9D"/>
    <w:rsid w:val="00BE2C30"/>
    <w:rsid w:val="00BE34A6"/>
    <w:rsid w:val="00BE37D7"/>
    <w:rsid w:val="00BE4451"/>
    <w:rsid w:val="00BE59F8"/>
    <w:rsid w:val="00BE62ED"/>
    <w:rsid w:val="00BE65F9"/>
    <w:rsid w:val="00BF0C78"/>
    <w:rsid w:val="00BF1700"/>
    <w:rsid w:val="00BF2599"/>
    <w:rsid w:val="00BF2D47"/>
    <w:rsid w:val="00BF2F25"/>
    <w:rsid w:val="00BF3270"/>
    <w:rsid w:val="00BF32E1"/>
    <w:rsid w:val="00BF3D5A"/>
    <w:rsid w:val="00BF479A"/>
    <w:rsid w:val="00BF4A97"/>
    <w:rsid w:val="00BF5429"/>
    <w:rsid w:val="00BF578A"/>
    <w:rsid w:val="00BF5DD3"/>
    <w:rsid w:val="00BF6DA0"/>
    <w:rsid w:val="00BF6F84"/>
    <w:rsid w:val="00BF7944"/>
    <w:rsid w:val="00C00C0B"/>
    <w:rsid w:val="00C00D95"/>
    <w:rsid w:val="00C00E8F"/>
    <w:rsid w:val="00C01339"/>
    <w:rsid w:val="00C015CF"/>
    <w:rsid w:val="00C01612"/>
    <w:rsid w:val="00C0273B"/>
    <w:rsid w:val="00C034EE"/>
    <w:rsid w:val="00C04055"/>
    <w:rsid w:val="00C0436E"/>
    <w:rsid w:val="00C0448D"/>
    <w:rsid w:val="00C0670C"/>
    <w:rsid w:val="00C06C18"/>
    <w:rsid w:val="00C077F0"/>
    <w:rsid w:val="00C10997"/>
    <w:rsid w:val="00C113F6"/>
    <w:rsid w:val="00C114C4"/>
    <w:rsid w:val="00C11723"/>
    <w:rsid w:val="00C11AE4"/>
    <w:rsid w:val="00C11BD9"/>
    <w:rsid w:val="00C139F5"/>
    <w:rsid w:val="00C13A54"/>
    <w:rsid w:val="00C13C24"/>
    <w:rsid w:val="00C1406F"/>
    <w:rsid w:val="00C1412E"/>
    <w:rsid w:val="00C15172"/>
    <w:rsid w:val="00C1542C"/>
    <w:rsid w:val="00C15FBD"/>
    <w:rsid w:val="00C17C5E"/>
    <w:rsid w:val="00C2053B"/>
    <w:rsid w:val="00C20B33"/>
    <w:rsid w:val="00C20D80"/>
    <w:rsid w:val="00C20E7B"/>
    <w:rsid w:val="00C22DD7"/>
    <w:rsid w:val="00C230EB"/>
    <w:rsid w:val="00C23675"/>
    <w:rsid w:val="00C23B50"/>
    <w:rsid w:val="00C2413C"/>
    <w:rsid w:val="00C2460E"/>
    <w:rsid w:val="00C2638B"/>
    <w:rsid w:val="00C2696F"/>
    <w:rsid w:val="00C27E7C"/>
    <w:rsid w:val="00C30764"/>
    <w:rsid w:val="00C30989"/>
    <w:rsid w:val="00C32DE2"/>
    <w:rsid w:val="00C32F96"/>
    <w:rsid w:val="00C336D7"/>
    <w:rsid w:val="00C33E95"/>
    <w:rsid w:val="00C340C2"/>
    <w:rsid w:val="00C34981"/>
    <w:rsid w:val="00C34ACB"/>
    <w:rsid w:val="00C34ACF"/>
    <w:rsid w:val="00C34B17"/>
    <w:rsid w:val="00C34EFF"/>
    <w:rsid w:val="00C35171"/>
    <w:rsid w:val="00C35567"/>
    <w:rsid w:val="00C36842"/>
    <w:rsid w:val="00C36BC9"/>
    <w:rsid w:val="00C36C20"/>
    <w:rsid w:val="00C4028F"/>
    <w:rsid w:val="00C40EAB"/>
    <w:rsid w:val="00C413DC"/>
    <w:rsid w:val="00C41F7C"/>
    <w:rsid w:val="00C4204A"/>
    <w:rsid w:val="00C4229F"/>
    <w:rsid w:val="00C42CC0"/>
    <w:rsid w:val="00C42EC2"/>
    <w:rsid w:val="00C449D7"/>
    <w:rsid w:val="00C45367"/>
    <w:rsid w:val="00C46735"/>
    <w:rsid w:val="00C46C55"/>
    <w:rsid w:val="00C46F38"/>
    <w:rsid w:val="00C50961"/>
    <w:rsid w:val="00C50C65"/>
    <w:rsid w:val="00C52CD6"/>
    <w:rsid w:val="00C533B6"/>
    <w:rsid w:val="00C534C0"/>
    <w:rsid w:val="00C53611"/>
    <w:rsid w:val="00C5391A"/>
    <w:rsid w:val="00C5481B"/>
    <w:rsid w:val="00C548ED"/>
    <w:rsid w:val="00C554CE"/>
    <w:rsid w:val="00C56C10"/>
    <w:rsid w:val="00C57079"/>
    <w:rsid w:val="00C571F4"/>
    <w:rsid w:val="00C6004A"/>
    <w:rsid w:val="00C60938"/>
    <w:rsid w:val="00C61094"/>
    <w:rsid w:val="00C6152D"/>
    <w:rsid w:val="00C624C7"/>
    <w:rsid w:val="00C635C6"/>
    <w:rsid w:val="00C6384B"/>
    <w:rsid w:val="00C63891"/>
    <w:rsid w:val="00C6484A"/>
    <w:rsid w:val="00C653D6"/>
    <w:rsid w:val="00C659A9"/>
    <w:rsid w:val="00C664B6"/>
    <w:rsid w:val="00C66793"/>
    <w:rsid w:val="00C668C0"/>
    <w:rsid w:val="00C66D81"/>
    <w:rsid w:val="00C67A0E"/>
    <w:rsid w:val="00C67F14"/>
    <w:rsid w:val="00C70602"/>
    <w:rsid w:val="00C70725"/>
    <w:rsid w:val="00C70834"/>
    <w:rsid w:val="00C70C9C"/>
    <w:rsid w:val="00C71253"/>
    <w:rsid w:val="00C7166A"/>
    <w:rsid w:val="00C720CA"/>
    <w:rsid w:val="00C7244E"/>
    <w:rsid w:val="00C72622"/>
    <w:rsid w:val="00C72780"/>
    <w:rsid w:val="00C753E7"/>
    <w:rsid w:val="00C7653C"/>
    <w:rsid w:val="00C7691A"/>
    <w:rsid w:val="00C76AB3"/>
    <w:rsid w:val="00C76B51"/>
    <w:rsid w:val="00C777CE"/>
    <w:rsid w:val="00C77B2D"/>
    <w:rsid w:val="00C77BD2"/>
    <w:rsid w:val="00C822F4"/>
    <w:rsid w:val="00C8260E"/>
    <w:rsid w:val="00C82EE7"/>
    <w:rsid w:val="00C83811"/>
    <w:rsid w:val="00C838D4"/>
    <w:rsid w:val="00C839F2"/>
    <w:rsid w:val="00C84ED1"/>
    <w:rsid w:val="00C855FE"/>
    <w:rsid w:val="00C85FD6"/>
    <w:rsid w:val="00C861B5"/>
    <w:rsid w:val="00C86377"/>
    <w:rsid w:val="00C87C40"/>
    <w:rsid w:val="00C87EA5"/>
    <w:rsid w:val="00C87FCF"/>
    <w:rsid w:val="00C87FD1"/>
    <w:rsid w:val="00C90C8C"/>
    <w:rsid w:val="00C91B00"/>
    <w:rsid w:val="00C92561"/>
    <w:rsid w:val="00C92BF6"/>
    <w:rsid w:val="00C92DEF"/>
    <w:rsid w:val="00C932CE"/>
    <w:rsid w:val="00C94BCA"/>
    <w:rsid w:val="00C951A7"/>
    <w:rsid w:val="00C95223"/>
    <w:rsid w:val="00C95A43"/>
    <w:rsid w:val="00C96AD3"/>
    <w:rsid w:val="00C96F93"/>
    <w:rsid w:val="00C979C3"/>
    <w:rsid w:val="00C97DF7"/>
    <w:rsid w:val="00CA10DB"/>
    <w:rsid w:val="00CA1C7E"/>
    <w:rsid w:val="00CA1D1C"/>
    <w:rsid w:val="00CA401C"/>
    <w:rsid w:val="00CA4780"/>
    <w:rsid w:val="00CA4DE3"/>
    <w:rsid w:val="00CA50CE"/>
    <w:rsid w:val="00CA5381"/>
    <w:rsid w:val="00CA5631"/>
    <w:rsid w:val="00CA60BC"/>
    <w:rsid w:val="00CA7287"/>
    <w:rsid w:val="00CA77DE"/>
    <w:rsid w:val="00CA7A16"/>
    <w:rsid w:val="00CB00DC"/>
    <w:rsid w:val="00CB04A0"/>
    <w:rsid w:val="00CB137D"/>
    <w:rsid w:val="00CB280B"/>
    <w:rsid w:val="00CB2ACB"/>
    <w:rsid w:val="00CB3116"/>
    <w:rsid w:val="00CB405E"/>
    <w:rsid w:val="00CB442C"/>
    <w:rsid w:val="00CB47CD"/>
    <w:rsid w:val="00CB4B2D"/>
    <w:rsid w:val="00CB4C73"/>
    <w:rsid w:val="00CB5899"/>
    <w:rsid w:val="00CB5E2C"/>
    <w:rsid w:val="00CB7205"/>
    <w:rsid w:val="00CB7E76"/>
    <w:rsid w:val="00CC0B17"/>
    <w:rsid w:val="00CC0C56"/>
    <w:rsid w:val="00CC17F3"/>
    <w:rsid w:val="00CC24CF"/>
    <w:rsid w:val="00CC28E2"/>
    <w:rsid w:val="00CC2A0D"/>
    <w:rsid w:val="00CC2F51"/>
    <w:rsid w:val="00CC31AA"/>
    <w:rsid w:val="00CC32F1"/>
    <w:rsid w:val="00CC368E"/>
    <w:rsid w:val="00CC3825"/>
    <w:rsid w:val="00CC3D17"/>
    <w:rsid w:val="00CC432C"/>
    <w:rsid w:val="00CC5A68"/>
    <w:rsid w:val="00CC6266"/>
    <w:rsid w:val="00CC6B55"/>
    <w:rsid w:val="00CC75F9"/>
    <w:rsid w:val="00CD045D"/>
    <w:rsid w:val="00CD0E49"/>
    <w:rsid w:val="00CD1D28"/>
    <w:rsid w:val="00CD286D"/>
    <w:rsid w:val="00CD2B7E"/>
    <w:rsid w:val="00CD3963"/>
    <w:rsid w:val="00CD43D7"/>
    <w:rsid w:val="00CD4C69"/>
    <w:rsid w:val="00CD5778"/>
    <w:rsid w:val="00CD6BA9"/>
    <w:rsid w:val="00CD6F21"/>
    <w:rsid w:val="00CD73D3"/>
    <w:rsid w:val="00CD7E9D"/>
    <w:rsid w:val="00CE089D"/>
    <w:rsid w:val="00CE0CB9"/>
    <w:rsid w:val="00CE0D0A"/>
    <w:rsid w:val="00CE10F7"/>
    <w:rsid w:val="00CE1C6F"/>
    <w:rsid w:val="00CE1F76"/>
    <w:rsid w:val="00CE2165"/>
    <w:rsid w:val="00CE2978"/>
    <w:rsid w:val="00CE2B65"/>
    <w:rsid w:val="00CE3662"/>
    <w:rsid w:val="00CE3D67"/>
    <w:rsid w:val="00CE441F"/>
    <w:rsid w:val="00CE5762"/>
    <w:rsid w:val="00CE64D3"/>
    <w:rsid w:val="00CE65F3"/>
    <w:rsid w:val="00CE73CB"/>
    <w:rsid w:val="00CE7C50"/>
    <w:rsid w:val="00CE7C7B"/>
    <w:rsid w:val="00CF1026"/>
    <w:rsid w:val="00CF2694"/>
    <w:rsid w:val="00CF29F3"/>
    <w:rsid w:val="00CF3748"/>
    <w:rsid w:val="00CF3A20"/>
    <w:rsid w:val="00CF4338"/>
    <w:rsid w:val="00CF4C5A"/>
    <w:rsid w:val="00CF4E0D"/>
    <w:rsid w:val="00CF4E75"/>
    <w:rsid w:val="00CF6122"/>
    <w:rsid w:val="00CF6348"/>
    <w:rsid w:val="00CF69A4"/>
    <w:rsid w:val="00CF6C1A"/>
    <w:rsid w:val="00CF7921"/>
    <w:rsid w:val="00D00AA5"/>
    <w:rsid w:val="00D00B9D"/>
    <w:rsid w:val="00D00DCF"/>
    <w:rsid w:val="00D0106D"/>
    <w:rsid w:val="00D01F2B"/>
    <w:rsid w:val="00D02BC5"/>
    <w:rsid w:val="00D02FC6"/>
    <w:rsid w:val="00D03406"/>
    <w:rsid w:val="00D03835"/>
    <w:rsid w:val="00D04BBA"/>
    <w:rsid w:val="00D06E50"/>
    <w:rsid w:val="00D072E3"/>
    <w:rsid w:val="00D075CC"/>
    <w:rsid w:val="00D079DF"/>
    <w:rsid w:val="00D1045E"/>
    <w:rsid w:val="00D10D4C"/>
    <w:rsid w:val="00D1110C"/>
    <w:rsid w:val="00D119C8"/>
    <w:rsid w:val="00D123D1"/>
    <w:rsid w:val="00D13142"/>
    <w:rsid w:val="00D136D4"/>
    <w:rsid w:val="00D13A83"/>
    <w:rsid w:val="00D14518"/>
    <w:rsid w:val="00D14977"/>
    <w:rsid w:val="00D15A8F"/>
    <w:rsid w:val="00D15F7E"/>
    <w:rsid w:val="00D16A62"/>
    <w:rsid w:val="00D172F7"/>
    <w:rsid w:val="00D177E7"/>
    <w:rsid w:val="00D17986"/>
    <w:rsid w:val="00D2038A"/>
    <w:rsid w:val="00D203F8"/>
    <w:rsid w:val="00D20F53"/>
    <w:rsid w:val="00D215CC"/>
    <w:rsid w:val="00D21BC4"/>
    <w:rsid w:val="00D21F1C"/>
    <w:rsid w:val="00D22B25"/>
    <w:rsid w:val="00D24708"/>
    <w:rsid w:val="00D24D6A"/>
    <w:rsid w:val="00D25771"/>
    <w:rsid w:val="00D25DE2"/>
    <w:rsid w:val="00D26299"/>
    <w:rsid w:val="00D2793D"/>
    <w:rsid w:val="00D3044E"/>
    <w:rsid w:val="00D314FC"/>
    <w:rsid w:val="00D31932"/>
    <w:rsid w:val="00D31A7E"/>
    <w:rsid w:val="00D325EC"/>
    <w:rsid w:val="00D32908"/>
    <w:rsid w:val="00D34A57"/>
    <w:rsid w:val="00D34EE1"/>
    <w:rsid w:val="00D35168"/>
    <w:rsid w:val="00D352E3"/>
    <w:rsid w:val="00D356E0"/>
    <w:rsid w:val="00D366A9"/>
    <w:rsid w:val="00D36796"/>
    <w:rsid w:val="00D37143"/>
    <w:rsid w:val="00D37DA6"/>
    <w:rsid w:val="00D4048B"/>
    <w:rsid w:val="00D4065E"/>
    <w:rsid w:val="00D40953"/>
    <w:rsid w:val="00D40A36"/>
    <w:rsid w:val="00D40F36"/>
    <w:rsid w:val="00D410A0"/>
    <w:rsid w:val="00D4129B"/>
    <w:rsid w:val="00D418D2"/>
    <w:rsid w:val="00D41CBB"/>
    <w:rsid w:val="00D41D9E"/>
    <w:rsid w:val="00D421D8"/>
    <w:rsid w:val="00D4221B"/>
    <w:rsid w:val="00D4258C"/>
    <w:rsid w:val="00D43945"/>
    <w:rsid w:val="00D43ABA"/>
    <w:rsid w:val="00D43D17"/>
    <w:rsid w:val="00D44026"/>
    <w:rsid w:val="00D44EA0"/>
    <w:rsid w:val="00D4504C"/>
    <w:rsid w:val="00D45A04"/>
    <w:rsid w:val="00D47030"/>
    <w:rsid w:val="00D47181"/>
    <w:rsid w:val="00D47AE2"/>
    <w:rsid w:val="00D5081F"/>
    <w:rsid w:val="00D5124B"/>
    <w:rsid w:val="00D527ED"/>
    <w:rsid w:val="00D52A22"/>
    <w:rsid w:val="00D569BC"/>
    <w:rsid w:val="00D56C8C"/>
    <w:rsid w:val="00D57312"/>
    <w:rsid w:val="00D57422"/>
    <w:rsid w:val="00D57FDB"/>
    <w:rsid w:val="00D60228"/>
    <w:rsid w:val="00D602AA"/>
    <w:rsid w:val="00D6062B"/>
    <w:rsid w:val="00D60A54"/>
    <w:rsid w:val="00D60AF3"/>
    <w:rsid w:val="00D61259"/>
    <w:rsid w:val="00D61674"/>
    <w:rsid w:val="00D62AF3"/>
    <w:rsid w:val="00D630CB"/>
    <w:rsid w:val="00D641DD"/>
    <w:rsid w:val="00D64A39"/>
    <w:rsid w:val="00D658C5"/>
    <w:rsid w:val="00D65F57"/>
    <w:rsid w:val="00D66276"/>
    <w:rsid w:val="00D66E94"/>
    <w:rsid w:val="00D677E8"/>
    <w:rsid w:val="00D70933"/>
    <w:rsid w:val="00D71BFC"/>
    <w:rsid w:val="00D72384"/>
    <w:rsid w:val="00D72AF0"/>
    <w:rsid w:val="00D73856"/>
    <w:rsid w:val="00D7412B"/>
    <w:rsid w:val="00D746CC"/>
    <w:rsid w:val="00D74708"/>
    <w:rsid w:val="00D74BE0"/>
    <w:rsid w:val="00D74CA8"/>
    <w:rsid w:val="00D74F66"/>
    <w:rsid w:val="00D750E5"/>
    <w:rsid w:val="00D766A3"/>
    <w:rsid w:val="00D76979"/>
    <w:rsid w:val="00D76D31"/>
    <w:rsid w:val="00D77F27"/>
    <w:rsid w:val="00D809AC"/>
    <w:rsid w:val="00D80F82"/>
    <w:rsid w:val="00D81071"/>
    <w:rsid w:val="00D8157B"/>
    <w:rsid w:val="00D81669"/>
    <w:rsid w:val="00D81C47"/>
    <w:rsid w:val="00D829B6"/>
    <w:rsid w:val="00D82B28"/>
    <w:rsid w:val="00D82E2B"/>
    <w:rsid w:val="00D8429E"/>
    <w:rsid w:val="00D85351"/>
    <w:rsid w:val="00D853F0"/>
    <w:rsid w:val="00D854C8"/>
    <w:rsid w:val="00D85789"/>
    <w:rsid w:val="00D87510"/>
    <w:rsid w:val="00D8786B"/>
    <w:rsid w:val="00D90727"/>
    <w:rsid w:val="00D90B57"/>
    <w:rsid w:val="00D918E5"/>
    <w:rsid w:val="00D9254C"/>
    <w:rsid w:val="00D92B19"/>
    <w:rsid w:val="00D92BF7"/>
    <w:rsid w:val="00D92CCA"/>
    <w:rsid w:val="00D95AEB"/>
    <w:rsid w:val="00D95D81"/>
    <w:rsid w:val="00D962BF"/>
    <w:rsid w:val="00D96388"/>
    <w:rsid w:val="00D969F9"/>
    <w:rsid w:val="00D97847"/>
    <w:rsid w:val="00DA05EB"/>
    <w:rsid w:val="00DA1C47"/>
    <w:rsid w:val="00DA228F"/>
    <w:rsid w:val="00DA26F8"/>
    <w:rsid w:val="00DA338F"/>
    <w:rsid w:val="00DA38B4"/>
    <w:rsid w:val="00DA66FD"/>
    <w:rsid w:val="00DB1BAB"/>
    <w:rsid w:val="00DB2184"/>
    <w:rsid w:val="00DB26E9"/>
    <w:rsid w:val="00DB3D3F"/>
    <w:rsid w:val="00DB42BA"/>
    <w:rsid w:val="00DB4337"/>
    <w:rsid w:val="00DB4852"/>
    <w:rsid w:val="00DB5512"/>
    <w:rsid w:val="00DB5751"/>
    <w:rsid w:val="00DB65CE"/>
    <w:rsid w:val="00DB6799"/>
    <w:rsid w:val="00DB6FC4"/>
    <w:rsid w:val="00DB7357"/>
    <w:rsid w:val="00DC0357"/>
    <w:rsid w:val="00DC04C2"/>
    <w:rsid w:val="00DC1263"/>
    <w:rsid w:val="00DC14DD"/>
    <w:rsid w:val="00DC186E"/>
    <w:rsid w:val="00DC1B8A"/>
    <w:rsid w:val="00DC3A5A"/>
    <w:rsid w:val="00DC3D31"/>
    <w:rsid w:val="00DC6F72"/>
    <w:rsid w:val="00DC71BA"/>
    <w:rsid w:val="00DC7239"/>
    <w:rsid w:val="00DD0146"/>
    <w:rsid w:val="00DD0B36"/>
    <w:rsid w:val="00DD0F6F"/>
    <w:rsid w:val="00DD1D76"/>
    <w:rsid w:val="00DD214F"/>
    <w:rsid w:val="00DD47DE"/>
    <w:rsid w:val="00DD4C50"/>
    <w:rsid w:val="00DD4CC0"/>
    <w:rsid w:val="00DD59C8"/>
    <w:rsid w:val="00DD6BE8"/>
    <w:rsid w:val="00DD6F9C"/>
    <w:rsid w:val="00DD77D0"/>
    <w:rsid w:val="00DD7AA8"/>
    <w:rsid w:val="00DD7ADE"/>
    <w:rsid w:val="00DE09EE"/>
    <w:rsid w:val="00DE0ADD"/>
    <w:rsid w:val="00DE14DF"/>
    <w:rsid w:val="00DE15AB"/>
    <w:rsid w:val="00DE1C98"/>
    <w:rsid w:val="00DE1D2D"/>
    <w:rsid w:val="00DE2C74"/>
    <w:rsid w:val="00DE34C7"/>
    <w:rsid w:val="00DE3E8B"/>
    <w:rsid w:val="00DE4667"/>
    <w:rsid w:val="00DE4F31"/>
    <w:rsid w:val="00DE4F66"/>
    <w:rsid w:val="00DE5696"/>
    <w:rsid w:val="00DE5888"/>
    <w:rsid w:val="00DE5CCB"/>
    <w:rsid w:val="00DE6BAD"/>
    <w:rsid w:val="00DE7172"/>
    <w:rsid w:val="00DF0529"/>
    <w:rsid w:val="00DF3F80"/>
    <w:rsid w:val="00DF50E8"/>
    <w:rsid w:val="00DF59D0"/>
    <w:rsid w:val="00DF5CFA"/>
    <w:rsid w:val="00E014B1"/>
    <w:rsid w:val="00E01BE9"/>
    <w:rsid w:val="00E02826"/>
    <w:rsid w:val="00E02915"/>
    <w:rsid w:val="00E040F8"/>
    <w:rsid w:val="00E04969"/>
    <w:rsid w:val="00E05722"/>
    <w:rsid w:val="00E05D7D"/>
    <w:rsid w:val="00E05F61"/>
    <w:rsid w:val="00E05F68"/>
    <w:rsid w:val="00E0686E"/>
    <w:rsid w:val="00E06904"/>
    <w:rsid w:val="00E0707D"/>
    <w:rsid w:val="00E10238"/>
    <w:rsid w:val="00E10A16"/>
    <w:rsid w:val="00E122DC"/>
    <w:rsid w:val="00E127D7"/>
    <w:rsid w:val="00E12803"/>
    <w:rsid w:val="00E12DFD"/>
    <w:rsid w:val="00E12F2B"/>
    <w:rsid w:val="00E13EE0"/>
    <w:rsid w:val="00E14049"/>
    <w:rsid w:val="00E147E8"/>
    <w:rsid w:val="00E14BE0"/>
    <w:rsid w:val="00E14E8A"/>
    <w:rsid w:val="00E163FF"/>
    <w:rsid w:val="00E165E9"/>
    <w:rsid w:val="00E16962"/>
    <w:rsid w:val="00E17455"/>
    <w:rsid w:val="00E17663"/>
    <w:rsid w:val="00E17B32"/>
    <w:rsid w:val="00E207F8"/>
    <w:rsid w:val="00E216F5"/>
    <w:rsid w:val="00E22164"/>
    <w:rsid w:val="00E223CF"/>
    <w:rsid w:val="00E2275A"/>
    <w:rsid w:val="00E228A4"/>
    <w:rsid w:val="00E23311"/>
    <w:rsid w:val="00E2331F"/>
    <w:rsid w:val="00E23686"/>
    <w:rsid w:val="00E24546"/>
    <w:rsid w:val="00E24730"/>
    <w:rsid w:val="00E249D8"/>
    <w:rsid w:val="00E25875"/>
    <w:rsid w:val="00E2595D"/>
    <w:rsid w:val="00E259E3"/>
    <w:rsid w:val="00E261B2"/>
    <w:rsid w:val="00E27925"/>
    <w:rsid w:val="00E30BAC"/>
    <w:rsid w:val="00E30C9D"/>
    <w:rsid w:val="00E3111B"/>
    <w:rsid w:val="00E31799"/>
    <w:rsid w:val="00E31983"/>
    <w:rsid w:val="00E327E1"/>
    <w:rsid w:val="00E3325C"/>
    <w:rsid w:val="00E33725"/>
    <w:rsid w:val="00E346AE"/>
    <w:rsid w:val="00E3541D"/>
    <w:rsid w:val="00E3557B"/>
    <w:rsid w:val="00E36323"/>
    <w:rsid w:val="00E3633F"/>
    <w:rsid w:val="00E364A9"/>
    <w:rsid w:val="00E36619"/>
    <w:rsid w:val="00E36708"/>
    <w:rsid w:val="00E36A37"/>
    <w:rsid w:val="00E36BE5"/>
    <w:rsid w:val="00E36EE1"/>
    <w:rsid w:val="00E3751D"/>
    <w:rsid w:val="00E37804"/>
    <w:rsid w:val="00E37CFC"/>
    <w:rsid w:val="00E37FB4"/>
    <w:rsid w:val="00E401AD"/>
    <w:rsid w:val="00E40F25"/>
    <w:rsid w:val="00E41F6D"/>
    <w:rsid w:val="00E423D4"/>
    <w:rsid w:val="00E42D7B"/>
    <w:rsid w:val="00E432D0"/>
    <w:rsid w:val="00E44454"/>
    <w:rsid w:val="00E45419"/>
    <w:rsid w:val="00E4592C"/>
    <w:rsid w:val="00E461EE"/>
    <w:rsid w:val="00E4625F"/>
    <w:rsid w:val="00E462E5"/>
    <w:rsid w:val="00E4631D"/>
    <w:rsid w:val="00E4642C"/>
    <w:rsid w:val="00E47120"/>
    <w:rsid w:val="00E4796D"/>
    <w:rsid w:val="00E47F9F"/>
    <w:rsid w:val="00E50B2E"/>
    <w:rsid w:val="00E50B3C"/>
    <w:rsid w:val="00E51803"/>
    <w:rsid w:val="00E51922"/>
    <w:rsid w:val="00E52242"/>
    <w:rsid w:val="00E52A8B"/>
    <w:rsid w:val="00E52D84"/>
    <w:rsid w:val="00E52EBD"/>
    <w:rsid w:val="00E53698"/>
    <w:rsid w:val="00E536F4"/>
    <w:rsid w:val="00E5460B"/>
    <w:rsid w:val="00E55103"/>
    <w:rsid w:val="00E558D9"/>
    <w:rsid w:val="00E56B6C"/>
    <w:rsid w:val="00E56D71"/>
    <w:rsid w:val="00E570BB"/>
    <w:rsid w:val="00E57695"/>
    <w:rsid w:val="00E5792F"/>
    <w:rsid w:val="00E605FD"/>
    <w:rsid w:val="00E60DB0"/>
    <w:rsid w:val="00E61BD2"/>
    <w:rsid w:val="00E61ED3"/>
    <w:rsid w:val="00E6279F"/>
    <w:rsid w:val="00E62B00"/>
    <w:rsid w:val="00E6323D"/>
    <w:rsid w:val="00E642EB"/>
    <w:rsid w:val="00E645B1"/>
    <w:rsid w:val="00E6602E"/>
    <w:rsid w:val="00E66B9C"/>
    <w:rsid w:val="00E67605"/>
    <w:rsid w:val="00E6761D"/>
    <w:rsid w:val="00E70A96"/>
    <w:rsid w:val="00E70E94"/>
    <w:rsid w:val="00E70FDA"/>
    <w:rsid w:val="00E711F6"/>
    <w:rsid w:val="00E714C9"/>
    <w:rsid w:val="00E71530"/>
    <w:rsid w:val="00E72C34"/>
    <w:rsid w:val="00E72D08"/>
    <w:rsid w:val="00E73659"/>
    <w:rsid w:val="00E73ACC"/>
    <w:rsid w:val="00E7412E"/>
    <w:rsid w:val="00E749D9"/>
    <w:rsid w:val="00E751AC"/>
    <w:rsid w:val="00E7592D"/>
    <w:rsid w:val="00E764AD"/>
    <w:rsid w:val="00E7669A"/>
    <w:rsid w:val="00E76AF4"/>
    <w:rsid w:val="00E81D7F"/>
    <w:rsid w:val="00E8312D"/>
    <w:rsid w:val="00E834AC"/>
    <w:rsid w:val="00E83936"/>
    <w:rsid w:val="00E83E22"/>
    <w:rsid w:val="00E84874"/>
    <w:rsid w:val="00E84877"/>
    <w:rsid w:val="00E84CD0"/>
    <w:rsid w:val="00E85377"/>
    <w:rsid w:val="00E85D16"/>
    <w:rsid w:val="00E865EA"/>
    <w:rsid w:val="00E86B56"/>
    <w:rsid w:val="00E8702D"/>
    <w:rsid w:val="00E87C6D"/>
    <w:rsid w:val="00E87FBF"/>
    <w:rsid w:val="00E90887"/>
    <w:rsid w:val="00E90B17"/>
    <w:rsid w:val="00E90CFD"/>
    <w:rsid w:val="00E90D4F"/>
    <w:rsid w:val="00E91FDD"/>
    <w:rsid w:val="00E93486"/>
    <w:rsid w:val="00E93FE5"/>
    <w:rsid w:val="00E943D0"/>
    <w:rsid w:val="00E943F6"/>
    <w:rsid w:val="00E94A33"/>
    <w:rsid w:val="00E95042"/>
    <w:rsid w:val="00E95E33"/>
    <w:rsid w:val="00E95EA7"/>
    <w:rsid w:val="00E9602B"/>
    <w:rsid w:val="00E962D3"/>
    <w:rsid w:val="00E9635F"/>
    <w:rsid w:val="00E96578"/>
    <w:rsid w:val="00EA0963"/>
    <w:rsid w:val="00EA0A0D"/>
    <w:rsid w:val="00EA100E"/>
    <w:rsid w:val="00EA1188"/>
    <w:rsid w:val="00EA12E5"/>
    <w:rsid w:val="00EA15A9"/>
    <w:rsid w:val="00EA16B2"/>
    <w:rsid w:val="00EA1778"/>
    <w:rsid w:val="00EA1CE9"/>
    <w:rsid w:val="00EA1D77"/>
    <w:rsid w:val="00EA2B23"/>
    <w:rsid w:val="00EA2CEF"/>
    <w:rsid w:val="00EA3337"/>
    <w:rsid w:val="00EA3827"/>
    <w:rsid w:val="00EA3863"/>
    <w:rsid w:val="00EA4B53"/>
    <w:rsid w:val="00EA4E30"/>
    <w:rsid w:val="00EA60FE"/>
    <w:rsid w:val="00EA64F8"/>
    <w:rsid w:val="00EA65C8"/>
    <w:rsid w:val="00EA662A"/>
    <w:rsid w:val="00EA7433"/>
    <w:rsid w:val="00EA7771"/>
    <w:rsid w:val="00EB02DD"/>
    <w:rsid w:val="00EB08D4"/>
    <w:rsid w:val="00EB0AD6"/>
    <w:rsid w:val="00EB0C34"/>
    <w:rsid w:val="00EB0F59"/>
    <w:rsid w:val="00EB1E6C"/>
    <w:rsid w:val="00EB2026"/>
    <w:rsid w:val="00EB2508"/>
    <w:rsid w:val="00EB2C31"/>
    <w:rsid w:val="00EB3F2C"/>
    <w:rsid w:val="00EB3F7E"/>
    <w:rsid w:val="00EB3FA1"/>
    <w:rsid w:val="00EB40DA"/>
    <w:rsid w:val="00EB45FB"/>
    <w:rsid w:val="00EB4A48"/>
    <w:rsid w:val="00EB536A"/>
    <w:rsid w:val="00EB5884"/>
    <w:rsid w:val="00EB5EE1"/>
    <w:rsid w:val="00EB6D5A"/>
    <w:rsid w:val="00EB703D"/>
    <w:rsid w:val="00EB79FB"/>
    <w:rsid w:val="00EB7F14"/>
    <w:rsid w:val="00EC065B"/>
    <w:rsid w:val="00EC1820"/>
    <w:rsid w:val="00EC1D45"/>
    <w:rsid w:val="00EC25B8"/>
    <w:rsid w:val="00EC26F8"/>
    <w:rsid w:val="00EC281F"/>
    <w:rsid w:val="00EC29A0"/>
    <w:rsid w:val="00EC2E8E"/>
    <w:rsid w:val="00EC3464"/>
    <w:rsid w:val="00EC3928"/>
    <w:rsid w:val="00EC4132"/>
    <w:rsid w:val="00EC4380"/>
    <w:rsid w:val="00EC4498"/>
    <w:rsid w:val="00EC5CAE"/>
    <w:rsid w:val="00EC5F08"/>
    <w:rsid w:val="00EC67F0"/>
    <w:rsid w:val="00EC6E09"/>
    <w:rsid w:val="00EC721A"/>
    <w:rsid w:val="00ED033F"/>
    <w:rsid w:val="00ED0620"/>
    <w:rsid w:val="00ED0FF4"/>
    <w:rsid w:val="00ED11D4"/>
    <w:rsid w:val="00ED154E"/>
    <w:rsid w:val="00ED1D98"/>
    <w:rsid w:val="00ED23EE"/>
    <w:rsid w:val="00ED35AD"/>
    <w:rsid w:val="00ED39DF"/>
    <w:rsid w:val="00ED3EC7"/>
    <w:rsid w:val="00ED47EB"/>
    <w:rsid w:val="00ED49D8"/>
    <w:rsid w:val="00ED4C78"/>
    <w:rsid w:val="00ED5032"/>
    <w:rsid w:val="00ED521E"/>
    <w:rsid w:val="00ED5ACC"/>
    <w:rsid w:val="00ED7044"/>
    <w:rsid w:val="00EE00A6"/>
    <w:rsid w:val="00EE18D4"/>
    <w:rsid w:val="00EE28C7"/>
    <w:rsid w:val="00EE29CD"/>
    <w:rsid w:val="00EE2E32"/>
    <w:rsid w:val="00EE3228"/>
    <w:rsid w:val="00EE39E6"/>
    <w:rsid w:val="00EE42DD"/>
    <w:rsid w:val="00EE5172"/>
    <w:rsid w:val="00EE532F"/>
    <w:rsid w:val="00EE5962"/>
    <w:rsid w:val="00EE6C6F"/>
    <w:rsid w:val="00EE6D5C"/>
    <w:rsid w:val="00EE713C"/>
    <w:rsid w:val="00EE7D1D"/>
    <w:rsid w:val="00EF03B6"/>
    <w:rsid w:val="00EF0CFD"/>
    <w:rsid w:val="00EF1C34"/>
    <w:rsid w:val="00EF20AE"/>
    <w:rsid w:val="00EF2DBC"/>
    <w:rsid w:val="00EF494D"/>
    <w:rsid w:val="00EF5487"/>
    <w:rsid w:val="00EF69EF"/>
    <w:rsid w:val="00EF70A0"/>
    <w:rsid w:val="00EF71BB"/>
    <w:rsid w:val="00EF7E3D"/>
    <w:rsid w:val="00F00402"/>
    <w:rsid w:val="00F019E7"/>
    <w:rsid w:val="00F0252A"/>
    <w:rsid w:val="00F02999"/>
    <w:rsid w:val="00F03743"/>
    <w:rsid w:val="00F037EB"/>
    <w:rsid w:val="00F03B94"/>
    <w:rsid w:val="00F03E6B"/>
    <w:rsid w:val="00F04635"/>
    <w:rsid w:val="00F05921"/>
    <w:rsid w:val="00F067F0"/>
    <w:rsid w:val="00F078EC"/>
    <w:rsid w:val="00F07A84"/>
    <w:rsid w:val="00F1001C"/>
    <w:rsid w:val="00F10928"/>
    <w:rsid w:val="00F11B6A"/>
    <w:rsid w:val="00F125A2"/>
    <w:rsid w:val="00F12D1F"/>
    <w:rsid w:val="00F12F08"/>
    <w:rsid w:val="00F14478"/>
    <w:rsid w:val="00F16B61"/>
    <w:rsid w:val="00F20409"/>
    <w:rsid w:val="00F217F4"/>
    <w:rsid w:val="00F2184E"/>
    <w:rsid w:val="00F21A85"/>
    <w:rsid w:val="00F21A96"/>
    <w:rsid w:val="00F21ED7"/>
    <w:rsid w:val="00F22728"/>
    <w:rsid w:val="00F22D8D"/>
    <w:rsid w:val="00F22DA8"/>
    <w:rsid w:val="00F22EAA"/>
    <w:rsid w:val="00F22F8F"/>
    <w:rsid w:val="00F238ED"/>
    <w:rsid w:val="00F24290"/>
    <w:rsid w:val="00F26975"/>
    <w:rsid w:val="00F2708B"/>
    <w:rsid w:val="00F271A0"/>
    <w:rsid w:val="00F27439"/>
    <w:rsid w:val="00F27558"/>
    <w:rsid w:val="00F27609"/>
    <w:rsid w:val="00F27B4D"/>
    <w:rsid w:val="00F27C64"/>
    <w:rsid w:val="00F31ECE"/>
    <w:rsid w:val="00F320E0"/>
    <w:rsid w:val="00F32258"/>
    <w:rsid w:val="00F32A16"/>
    <w:rsid w:val="00F33C8D"/>
    <w:rsid w:val="00F33D0F"/>
    <w:rsid w:val="00F347A3"/>
    <w:rsid w:val="00F347B1"/>
    <w:rsid w:val="00F34809"/>
    <w:rsid w:val="00F34A35"/>
    <w:rsid w:val="00F34A45"/>
    <w:rsid w:val="00F34FF8"/>
    <w:rsid w:val="00F35690"/>
    <w:rsid w:val="00F356DF"/>
    <w:rsid w:val="00F35DEF"/>
    <w:rsid w:val="00F362F1"/>
    <w:rsid w:val="00F36D5E"/>
    <w:rsid w:val="00F37F12"/>
    <w:rsid w:val="00F41087"/>
    <w:rsid w:val="00F42146"/>
    <w:rsid w:val="00F42E1D"/>
    <w:rsid w:val="00F44086"/>
    <w:rsid w:val="00F441BF"/>
    <w:rsid w:val="00F445DA"/>
    <w:rsid w:val="00F447A8"/>
    <w:rsid w:val="00F452EB"/>
    <w:rsid w:val="00F4557F"/>
    <w:rsid w:val="00F457BC"/>
    <w:rsid w:val="00F46E78"/>
    <w:rsid w:val="00F47495"/>
    <w:rsid w:val="00F47815"/>
    <w:rsid w:val="00F51C3F"/>
    <w:rsid w:val="00F51CCE"/>
    <w:rsid w:val="00F51CFC"/>
    <w:rsid w:val="00F51F34"/>
    <w:rsid w:val="00F53F08"/>
    <w:rsid w:val="00F547B0"/>
    <w:rsid w:val="00F54CA2"/>
    <w:rsid w:val="00F56215"/>
    <w:rsid w:val="00F56B30"/>
    <w:rsid w:val="00F56C5E"/>
    <w:rsid w:val="00F56F97"/>
    <w:rsid w:val="00F57423"/>
    <w:rsid w:val="00F57C24"/>
    <w:rsid w:val="00F57FD4"/>
    <w:rsid w:val="00F601DF"/>
    <w:rsid w:val="00F60587"/>
    <w:rsid w:val="00F60DC4"/>
    <w:rsid w:val="00F647FB"/>
    <w:rsid w:val="00F64C72"/>
    <w:rsid w:val="00F64E67"/>
    <w:rsid w:val="00F65363"/>
    <w:rsid w:val="00F65574"/>
    <w:rsid w:val="00F65A34"/>
    <w:rsid w:val="00F66DB7"/>
    <w:rsid w:val="00F67578"/>
    <w:rsid w:val="00F677AA"/>
    <w:rsid w:val="00F67B13"/>
    <w:rsid w:val="00F70346"/>
    <w:rsid w:val="00F7090D"/>
    <w:rsid w:val="00F70CB5"/>
    <w:rsid w:val="00F719BB"/>
    <w:rsid w:val="00F71C20"/>
    <w:rsid w:val="00F71CF4"/>
    <w:rsid w:val="00F72434"/>
    <w:rsid w:val="00F74AB3"/>
    <w:rsid w:val="00F74DCE"/>
    <w:rsid w:val="00F7515E"/>
    <w:rsid w:val="00F765FF"/>
    <w:rsid w:val="00F7719A"/>
    <w:rsid w:val="00F7739B"/>
    <w:rsid w:val="00F774D8"/>
    <w:rsid w:val="00F775BD"/>
    <w:rsid w:val="00F80BC7"/>
    <w:rsid w:val="00F80E90"/>
    <w:rsid w:val="00F80F1E"/>
    <w:rsid w:val="00F81088"/>
    <w:rsid w:val="00F81E8A"/>
    <w:rsid w:val="00F8248E"/>
    <w:rsid w:val="00F82CA6"/>
    <w:rsid w:val="00F83421"/>
    <w:rsid w:val="00F83E81"/>
    <w:rsid w:val="00F84B06"/>
    <w:rsid w:val="00F850F5"/>
    <w:rsid w:val="00F8669C"/>
    <w:rsid w:val="00F86D01"/>
    <w:rsid w:val="00F86E3D"/>
    <w:rsid w:val="00F86EBE"/>
    <w:rsid w:val="00F8719E"/>
    <w:rsid w:val="00F87924"/>
    <w:rsid w:val="00F9040A"/>
    <w:rsid w:val="00F912B6"/>
    <w:rsid w:val="00F912F6"/>
    <w:rsid w:val="00F914E8"/>
    <w:rsid w:val="00F918B1"/>
    <w:rsid w:val="00F91F1D"/>
    <w:rsid w:val="00F927F3"/>
    <w:rsid w:val="00F9291D"/>
    <w:rsid w:val="00F92D58"/>
    <w:rsid w:val="00F92E7C"/>
    <w:rsid w:val="00F94D83"/>
    <w:rsid w:val="00F95B20"/>
    <w:rsid w:val="00F95B70"/>
    <w:rsid w:val="00F965CE"/>
    <w:rsid w:val="00F9741C"/>
    <w:rsid w:val="00FA02B6"/>
    <w:rsid w:val="00FA0D07"/>
    <w:rsid w:val="00FA0FD2"/>
    <w:rsid w:val="00FA1EC1"/>
    <w:rsid w:val="00FA2615"/>
    <w:rsid w:val="00FA31C0"/>
    <w:rsid w:val="00FA3686"/>
    <w:rsid w:val="00FA6DE0"/>
    <w:rsid w:val="00FA6F04"/>
    <w:rsid w:val="00FA7376"/>
    <w:rsid w:val="00FB007A"/>
    <w:rsid w:val="00FB0486"/>
    <w:rsid w:val="00FB1117"/>
    <w:rsid w:val="00FB2199"/>
    <w:rsid w:val="00FB290E"/>
    <w:rsid w:val="00FB2A80"/>
    <w:rsid w:val="00FB300B"/>
    <w:rsid w:val="00FB33ED"/>
    <w:rsid w:val="00FB3DFF"/>
    <w:rsid w:val="00FB4331"/>
    <w:rsid w:val="00FB465E"/>
    <w:rsid w:val="00FB62EB"/>
    <w:rsid w:val="00FB6664"/>
    <w:rsid w:val="00FB6E92"/>
    <w:rsid w:val="00FC0110"/>
    <w:rsid w:val="00FC049B"/>
    <w:rsid w:val="00FC0965"/>
    <w:rsid w:val="00FC0CA4"/>
    <w:rsid w:val="00FC0F5A"/>
    <w:rsid w:val="00FC2813"/>
    <w:rsid w:val="00FC2C83"/>
    <w:rsid w:val="00FC2DDB"/>
    <w:rsid w:val="00FC2DFD"/>
    <w:rsid w:val="00FC3AD1"/>
    <w:rsid w:val="00FC3C21"/>
    <w:rsid w:val="00FC3D39"/>
    <w:rsid w:val="00FC3F20"/>
    <w:rsid w:val="00FC4044"/>
    <w:rsid w:val="00FC44C1"/>
    <w:rsid w:val="00FC4B4A"/>
    <w:rsid w:val="00FC7E42"/>
    <w:rsid w:val="00FD2F40"/>
    <w:rsid w:val="00FD3639"/>
    <w:rsid w:val="00FD3843"/>
    <w:rsid w:val="00FD3B10"/>
    <w:rsid w:val="00FD45C7"/>
    <w:rsid w:val="00FD55ED"/>
    <w:rsid w:val="00FD5659"/>
    <w:rsid w:val="00FD56F5"/>
    <w:rsid w:val="00FD6F5D"/>
    <w:rsid w:val="00FE05DD"/>
    <w:rsid w:val="00FE0F58"/>
    <w:rsid w:val="00FE1279"/>
    <w:rsid w:val="00FE1F33"/>
    <w:rsid w:val="00FE2834"/>
    <w:rsid w:val="00FE2DAD"/>
    <w:rsid w:val="00FE330B"/>
    <w:rsid w:val="00FE3AA0"/>
    <w:rsid w:val="00FE4B5F"/>
    <w:rsid w:val="00FE4D8B"/>
    <w:rsid w:val="00FE6073"/>
    <w:rsid w:val="00FE60BC"/>
    <w:rsid w:val="00FE6206"/>
    <w:rsid w:val="00FE66BD"/>
    <w:rsid w:val="00FE6904"/>
    <w:rsid w:val="00FE6BF4"/>
    <w:rsid w:val="00FE754F"/>
    <w:rsid w:val="00FE7791"/>
    <w:rsid w:val="00FE7A30"/>
    <w:rsid w:val="00FF024C"/>
    <w:rsid w:val="00FF0837"/>
    <w:rsid w:val="00FF1E6E"/>
    <w:rsid w:val="00FF26AE"/>
    <w:rsid w:val="00FF28AF"/>
    <w:rsid w:val="00FF3B23"/>
    <w:rsid w:val="00FF3D58"/>
    <w:rsid w:val="00FF47AF"/>
    <w:rsid w:val="00FF4842"/>
    <w:rsid w:val="00FF5218"/>
    <w:rsid w:val="00FF554C"/>
    <w:rsid w:val="00FF5A25"/>
    <w:rsid w:val="00FF5CA6"/>
    <w:rsid w:val="00FF6369"/>
    <w:rsid w:val="00FF6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C2C98"/>
  <w15:chartTrackingRefBased/>
  <w15:docId w15:val="{3A0ECBE7-AC62-487B-8AB9-C9900B5E0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777"/>
  </w:style>
  <w:style w:type="paragraph" w:styleId="Heading1">
    <w:name w:val="heading 1"/>
    <w:basedOn w:val="Normal"/>
    <w:next w:val="Normal"/>
    <w:link w:val="Heading1Char"/>
    <w:uiPriority w:val="9"/>
    <w:qFormat/>
    <w:rsid w:val="006F01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01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01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F01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F01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F01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F01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F01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F01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1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01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01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F01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F011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F01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F011A"/>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F01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F011A"/>
    <w:rPr>
      <w:rFonts w:eastAsiaTheme="majorEastAsia" w:cstheme="majorBidi"/>
      <w:color w:val="272727" w:themeColor="text1" w:themeTint="D8"/>
    </w:rPr>
  </w:style>
  <w:style w:type="paragraph" w:styleId="Title">
    <w:name w:val="Title"/>
    <w:basedOn w:val="Normal"/>
    <w:next w:val="Normal"/>
    <w:link w:val="TitleChar"/>
    <w:uiPriority w:val="10"/>
    <w:qFormat/>
    <w:rsid w:val="006F01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01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01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01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011A"/>
    <w:pPr>
      <w:spacing w:before="160"/>
      <w:jc w:val="center"/>
    </w:pPr>
    <w:rPr>
      <w:i/>
      <w:iCs/>
      <w:color w:val="404040" w:themeColor="text1" w:themeTint="BF"/>
    </w:rPr>
  </w:style>
  <w:style w:type="character" w:customStyle="1" w:styleId="QuoteChar">
    <w:name w:val="Quote Char"/>
    <w:basedOn w:val="DefaultParagraphFont"/>
    <w:link w:val="Quote"/>
    <w:uiPriority w:val="29"/>
    <w:rsid w:val="006F011A"/>
    <w:rPr>
      <w:i/>
      <w:iCs/>
      <w:color w:val="404040" w:themeColor="text1" w:themeTint="BF"/>
    </w:rPr>
  </w:style>
  <w:style w:type="paragraph" w:styleId="ListParagraph">
    <w:name w:val="List Paragraph"/>
    <w:basedOn w:val="Normal"/>
    <w:uiPriority w:val="34"/>
    <w:qFormat/>
    <w:rsid w:val="006F011A"/>
    <w:pPr>
      <w:ind w:left="720"/>
      <w:contextualSpacing/>
    </w:pPr>
  </w:style>
  <w:style w:type="character" w:styleId="IntenseEmphasis">
    <w:name w:val="Intense Emphasis"/>
    <w:basedOn w:val="DefaultParagraphFont"/>
    <w:uiPriority w:val="21"/>
    <w:qFormat/>
    <w:rsid w:val="006F011A"/>
    <w:rPr>
      <w:i/>
      <w:iCs/>
      <w:color w:val="0F4761" w:themeColor="accent1" w:themeShade="BF"/>
    </w:rPr>
  </w:style>
  <w:style w:type="paragraph" w:styleId="IntenseQuote">
    <w:name w:val="Intense Quote"/>
    <w:basedOn w:val="Normal"/>
    <w:next w:val="Normal"/>
    <w:link w:val="IntenseQuoteChar"/>
    <w:uiPriority w:val="30"/>
    <w:qFormat/>
    <w:rsid w:val="006F01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011A"/>
    <w:rPr>
      <w:i/>
      <w:iCs/>
      <w:color w:val="0F4761" w:themeColor="accent1" w:themeShade="BF"/>
    </w:rPr>
  </w:style>
  <w:style w:type="character" w:styleId="IntenseReference">
    <w:name w:val="Intense Reference"/>
    <w:basedOn w:val="DefaultParagraphFont"/>
    <w:uiPriority w:val="32"/>
    <w:qFormat/>
    <w:rsid w:val="006F011A"/>
    <w:rPr>
      <w:b/>
      <w:bCs/>
      <w:smallCaps/>
      <w:color w:val="0F4761" w:themeColor="accent1" w:themeShade="BF"/>
      <w:spacing w:val="5"/>
    </w:rPr>
  </w:style>
  <w:style w:type="paragraph" w:styleId="NoSpacing">
    <w:name w:val="No Spacing"/>
    <w:link w:val="NoSpacingChar"/>
    <w:uiPriority w:val="1"/>
    <w:qFormat/>
    <w:rsid w:val="006F011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F011A"/>
    <w:rPr>
      <w:rFonts w:eastAsiaTheme="minorEastAsia"/>
      <w:kern w:val="0"/>
      <w:lang w:eastAsia="en-GB"/>
      <w14:ligatures w14:val="none"/>
    </w:rPr>
  </w:style>
  <w:style w:type="paragraph" w:styleId="TOCHeading">
    <w:name w:val="TOC Heading"/>
    <w:basedOn w:val="Heading1"/>
    <w:next w:val="Normal"/>
    <w:uiPriority w:val="39"/>
    <w:unhideWhenUsed/>
    <w:qFormat/>
    <w:rsid w:val="00DA1C47"/>
    <w:pPr>
      <w:spacing w:before="240" w:after="0"/>
      <w:outlineLvl w:val="9"/>
    </w:pPr>
    <w:rPr>
      <w:kern w:val="0"/>
      <w:sz w:val="32"/>
      <w:szCs w:val="32"/>
      <w:lang w:eastAsia="en-GB"/>
      <w14:ligatures w14:val="none"/>
    </w:rPr>
  </w:style>
  <w:style w:type="character" w:styleId="Hyperlink">
    <w:name w:val="Hyperlink"/>
    <w:basedOn w:val="DefaultParagraphFont"/>
    <w:uiPriority w:val="99"/>
    <w:unhideWhenUsed/>
    <w:rsid w:val="000D7BBB"/>
    <w:rPr>
      <w:color w:val="467886" w:themeColor="hyperlink"/>
      <w:u w:val="single"/>
    </w:rPr>
  </w:style>
  <w:style w:type="character" w:styleId="UnresolvedMention">
    <w:name w:val="Unresolved Mention"/>
    <w:basedOn w:val="DefaultParagraphFont"/>
    <w:uiPriority w:val="99"/>
    <w:semiHidden/>
    <w:unhideWhenUsed/>
    <w:rsid w:val="000D7BBB"/>
    <w:rPr>
      <w:color w:val="605E5C"/>
      <w:shd w:val="clear" w:color="auto" w:fill="E1DFDD"/>
    </w:rPr>
  </w:style>
  <w:style w:type="paragraph" w:styleId="TOC1">
    <w:name w:val="toc 1"/>
    <w:basedOn w:val="Normal"/>
    <w:next w:val="Normal"/>
    <w:autoRedefine/>
    <w:uiPriority w:val="39"/>
    <w:unhideWhenUsed/>
    <w:rsid w:val="00FB290E"/>
    <w:pPr>
      <w:spacing w:after="100"/>
    </w:pPr>
  </w:style>
  <w:style w:type="paragraph" w:styleId="TOC2">
    <w:name w:val="toc 2"/>
    <w:basedOn w:val="Normal"/>
    <w:next w:val="Normal"/>
    <w:autoRedefine/>
    <w:uiPriority w:val="39"/>
    <w:unhideWhenUsed/>
    <w:rsid w:val="00FB290E"/>
    <w:pPr>
      <w:spacing w:after="100"/>
      <w:ind w:left="220"/>
    </w:pPr>
  </w:style>
  <w:style w:type="paragraph" w:styleId="Header">
    <w:name w:val="header"/>
    <w:basedOn w:val="Normal"/>
    <w:link w:val="HeaderChar"/>
    <w:uiPriority w:val="99"/>
    <w:unhideWhenUsed/>
    <w:rsid w:val="00C70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C9C"/>
  </w:style>
  <w:style w:type="paragraph" w:styleId="Footer">
    <w:name w:val="footer"/>
    <w:basedOn w:val="Normal"/>
    <w:link w:val="FooterChar"/>
    <w:uiPriority w:val="99"/>
    <w:unhideWhenUsed/>
    <w:rsid w:val="00C70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C9C"/>
  </w:style>
  <w:style w:type="paragraph" w:styleId="TOC3">
    <w:name w:val="toc 3"/>
    <w:basedOn w:val="Normal"/>
    <w:next w:val="Normal"/>
    <w:autoRedefine/>
    <w:uiPriority w:val="39"/>
    <w:unhideWhenUsed/>
    <w:rsid w:val="00212C00"/>
    <w:pPr>
      <w:spacing w:after="100"/>
      <w:ind w:left="440"/>
    </w:pPr>
  </w:style>
  <w:style w:type="character" w:styleId="SubtleEmphasis">
    <w:name w:val="Subtle Emphasis"/>
    <w:basedOn w:val="DefaultParagraphFont"/>
    <w:uiPriority w:val="19"/>
    <w:qFormat/>
    <w:rsid w:val="005D60C8"/>
    <w:rPr>
      <w:i/>
      <w:iCs/>
      <w:color w:val="404040" w:themeColor="text1" w:themeTint="BF"/>
    </w:rPr>
  </w:style>
  <w:style w:type="character" w:styleId="Emphasis">
    <w:name w:val="Emphasis"/>
    <w:basedOn w:val="DefaultParagraphFont"/>
    <w:uiPriority w:val="20"/>
    <w:qFormat/>
    <w:rsid w:val="005D60C8"/>
    <w:rPr>
      <w:i/>
      <w:iCs/>
    </w:rPr>
  </w:style>
  <w:style w:type="paragraph" w:styleId="NormalWeb">
    <w:name w:val="Normal (Web)"/>
    <w:basedOn w:val="Normal"/>
    <w:uiPriority w:val="99"/>
    <w:semiHidden/>
    <w:unhideWhenUsed/>
    <w:rsid w:val="0089055F"/>
    <w:rPr>
      <w:rFonts w:ascii="Times New Roman" w:hAnsi="Times New Roman" w:cs="Times New Roman"/>
      <w:sz w:val="24"/>
      <w:szCs w:val="24"/>
    </w:rPr>
  </w:style>
  <w:style w:type="table" w:styleId="TableGrid">
    <w:name w:val="Table Grid"/>
    <w:basedOn w:val="TableNormal"/>
    <w:uiPriority w:val="39"/>
    <w:rsid w:val="00D17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55277D"/>
    <w:pPr>
      <w:spacing w:after="0" w:line="240" w:lineRule="auto"/>
    </w:pPr>
    <w:rPr>
      <w:rFonts w:eastAsiaTheme="minorEastAsia"/>
      <w:kern w:val="0"/>
      <w:lang w:eastAsia="en-GB"/>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paragraph" w:customStyle="1" w:styleId="DecimalAligned">
    <w:name w:val="Decimal Aligned"/>
    <w:basedOn w:val="Normal"/>
    <w:uiPriority w:val="40"/>
    <w:qFormat/>
    <w:rsid w:val="00805C6B"/>
    <w:pPr>
      <w:tabs>
        <w:tab w:val="decimal" w:pos="360"/>
      </w:tabs>
      <w:spacing w:after="200" w:line="276" w:lineRule="auto"/>
    </w:pPr>
    <w:rPr>
      <w:rFonts w:eastAsiaTheme="minorEastAsia" w:cs="Times New Roman"/>
      <w:kern w:val="0"/>
      <w:lang w:eastAsia="en-GB"/>
      <w14:ligatures w14:val="none"/>
    </w:rPr>
  </w:style>
  <w:style w:type="paragraph" w:styleId="FootnoteText">
    <w:name w:val="footnote text"/>
    <w:basedOn w:val="Normal"/>
    <w:link w:val="FootnoteTextChar"/>
    <w:uiPriority w:val="99"/>
    <w:unhideWhenUsed/>
    <w:rsid w:val="00805C6B"/>
    <w:pPr>
      <w:spacing w:after="0" w:line="240" w:lineRule="auto"/>
    </w:pPr>
    <w:rPr>
      <w:rFonts w:eastAsiaTheme="minorEastAsia" w:cs="Times New Roman"/>
      <w:kern w:val="0"/>
      <w:sz w:val="20"/>
      <w:szCs w:val="20"/>
      <w:lang w:eastAsia="en-GB"/>
      <w14:ligatures w14:val="none"/>
    </w:rPr>
  </w:style>
  <w:style w:type="character" w:customStyle="1" w:styleId="FootnoteTextChar">
    <w:name w:val="Footnote Text Char"/>
    <w:basedOn w:val="DefaultParagraphFont"/>
    <w:link w:val="FootnoteText"/>
    <w:uiPriority w:val="99"/>
    <w:rsid w:val="00805C6B"/>
    <w:rPr>
      <w:rFonts w:eastAsiaTheme="minorEastAsia" w:cs="Times New Roman"/>
      <w:kern w:val="0"/>
      <w:sz w:val="20"/>
      <w:szCs w:val="20"/>
      <w:lang w:eastAsia="en-GB"/>
      <w14:ligatures w14:val="none"/>
    </w:rPr>
  </w:style>
  <w:style w:type="table" w:styleId="LightShading-Accent1">
    <w:name w:val="Light Shading Accent 1"/>
    <w:basedOn w:val="TableNormal"/>
    <w:uiPriority w:val="60"/>
    <w:rsid w:val="00805C6B"/>
    <w:pPr>
      <w:spacing w:after="0" w:line="240" w:lineRule="auto"/>
    </w:pPr>
    <w:rPr>
      <w:rFonts w:eastAsiaTheme="minorEastAsia"/>
      <w:color w:val="0F4761" w:themeColor="accent1" w:themeShade="BF"/>
      <w:kern w:val="0"/>
      <w:lang w:eastAsia="en-GB"/>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andfonline-com.uwtsd.idm.oclc.org/doi/full/10.1080/13632434.2018.1442324" TargetMode="External"/><Relationship Id="rId299" Type="http://schemas.openxmlformats.org/officeDocument/2006/relationships/hyperlink" Target="https://link.springer.com/content/pdf/10.1186/s12909-021-02744-2.pdf" TargetMode="External"/><Relationship Id="rId21" Type="http://schemas.openxmlformats.org/officeDocument/2006/relationships/hyperlink" Target="https://brocku.scholaris.ca/server/api/core/bitstreams/ac71cef5-372b-4540-b007-d51d35d2ca15/content" TargetMode="External"/><Relationship Id="rId63" Type="http://schemas.openxmlformats.org/officeDocument/2006/relationships/hyperlink" Target="https://www.ucu.org.uk/media/9535/Investigating-higher-education-institutions-and-their-views-on-the-Race-Equality-Charter-Sept-18/pdf/REC_report_Sep18_fp.pdf" TargetMode="External"/><Relationship Id="rId159" Type="http://schemas.openxmlformats.org/officeDocument/2006/relationships/hyperlink" Target="https://www.tandfonline.com/doi/epdf/10.1080/23311975.2025.2458743?needAccess=true" TargetMode="External"/><Relationship Id="rId324" Type="http://schemas.openxmlformats.org/officeDocument/2006/relationships/hyperlink" Target="https://www.tandfonline.com/doi/full/10.1080/13613324.2011.646255" TargetMode="External"/><Relationship Id="rId366" Type="http://schemas.openxmlformats.org/officeDocument/2006/relationships/hyperlink" Target="https://www.academia.edu/38297591/Black_and_Minority_Ethnic_BME_students_participation_and_success_in_Higher_Education_improving_retention_and_success_A_Synthesis_of_Research_Evidence" TargetMode="External"/><Relationship Id="rId170" Type="http://schemas.openxmlformats.org/officeDocument/2006/relationships/hyperlink" Target="https://d1wqtxts1xzle7.cloudfront.net/123424095/hrdq.2138620250623-1-a89qx-libre.pdf?1750701902=&amp;response-content-disposition=inline%3B+filename%3DExploring_the_lived_experiences_of_mutua.pdf&amp;Expires=1775414343&amp;Signature=IBUIkcGKRr9iR0FdecOdyL5m5N5YI63CARWgX4MWp8ALFEASACQUxE~x18vxUqlCOvwQ8K4Q4nWziefxpBfJMWahjTNg4jH317ffKBflZ4FVE2MN3GAe1mw~53zNd5LoMhuMdph76GWhdjXtagdRqxbqNvyV6fRtAuFQUk4t68PpI1QdjnAx-qpJC5awCSOBBjjZqqab-Yc71pjL8itLxhP~5OZfMxdreLCa7jYpQGRY-fGTh932lQm1nT2M8zIcRsiRznWw4AcX-kmthoWmxXIYIWXX26vshjBU51abvqpNGJM70q9iLlHAgDgG8FjMlMeKsne99YLQMSbIWx3jvQ__&amp;Key-Pair-Id=APKAJLOHF5GGSLRBV4ZA" TargetMode="External"/><Relationship Id="rId226" Type="http://schemas.openxmlformats.org/officeDocument/2006/relationships/hyperlink" Target="https://jgme.kglmeridian.com/view/journals/jgme/15/2/article-p180.xml" TargetMode="External"/><Relationship Id="rId268" Type="http://schemas.openxmlformats.org/officeDocument/2006/relationships/hyperlink" Target="https://www.mentalhealth.org.uk/explore-mental-health/a-z-topics/black-asian-and-minority-ethnic-bame-communities" TargetMode="External"/><Relationship Id="rId32" Type="http://schemas.openxmlformats.org/officeDocument/2006/relationships/hyperlink" Target="https://niromp.org/wp-content/uploads/2020/11/19588-tbc2021report.pdf" TargetMode="External"/><Relationship Id="rId74" Type="http://schemas.openxmlformats.org/officeDocument/2006/relationships/hyperlink" Target="https://www.google.co.uk/books/edition/Adult_and_Continuing_Education_Adult_edu/79DGnwT_vfUC?hl=en&amp;gbpv=1&amp;pg=PA173&amp;printsec=frontcover" TargetMode="External"/><Relationship Id="rId128" Type="http://schemas.openxmlformats.org/officeDocument/2006/relationships/hyperlink" Target="https://journals.sagepub.com/doi/full/10.1177/08948453221077674" TargetMode="External"/><Relationship Id="rId335" Type="http://schemas.openxmlformats.org/officeDocument/2006/relationships/hyperlink" Target="https://www.researchgate.net/publication/231867814_Choices_of_Degree_or_Degrees_of_Choice_Class_'Race'_and_the_Higher_Education_Choice_Process" TargetMode="External"/><Relationship Id="rId377" Type="http://schemas.openxmlformats.org/officeDocument/2006/relationships/hyperlink" Target="https://www.tandfonline.com/doi/epdf/10.1080/09243451003732651?needAccess=true" TargetMode="External"/><Relationship Id="rId5" Type="http://schemas.openxmlformats.org/officeDocument/2006/relationships/customXml" Target="../customXml/item5.xml"/><Relationship Id="rId181" Type="http://schemas.openxmlformats.org/officeDocument/2006/relationships/hyperlink" Target="https://www.proquest.com/docview/884630411?%20Theses&amp;fromopenview=true&amp;pq-origsite=gscholar&amp;sourcetype=Dissertations%20" TargetMode="External"/><Relationship Id="rId237" Type="http://schemas.openxmlformats.org/officeDocument/2006/relationships/hyperlink" Target="https://www.scribd.com/document/705898184/Education-Globalization-and-Social-Change" TargetMode="External"/><Relationship Id="rId402" Type="http://schemas.openxmlformats.org/officeDocument/2006/relationships/hyperlink" Target="https://www.emerald.com/ijhrh/article-pdf/13/1/31/791896/ijhrh-08-2019-0062.pdf" TargetMode="External"/><Relationship Id="rId279" Type="http://schemas.openxmlformats.org/officeDocument/2006/relationships/hyperlink" Target="https://www.proquest.com/docview/2359957077?accountid=130472&amp;parentSessionId=%2FougFViUf0ol5SR6A%2BNiOqDRHW3mvVak%2B2jM65rT7EM%3D&amp;pq-origsite=primo&amp;sourcetype=Scholarly%20Journals" TargetMode="External"/><Relationship Id="rId43" Type="http://schemas.openxmlformats.org/officeDocument/2006/relationships/hyperlink" Target="https://www.google.co.uk/books/edition/Research_Handbook_on_the_Sociology_of_Mi/hw3wEAAAQBAJ?hl=en&amp;gbpv=1&amp;pg=PA192&amp;printsec=frontcover" TargetMode="External"/><Relationship Id="rId139" Type="http://schemas.openxmlformats.org/officeDocument/2006/relationships/hyperlink" Target="https://www.studeersnel.nl/nl/document/wageningen-university-research/get-a-grip-on-your-studies/mindset-carol-dweck-article-2008-transforming-students-motivation-to-learn/6637074L" TargetMode="External"/><Relationship Id="rId290" Type="http://schemas.openxmlformats.org/officeDocument/2006/relationships/hyperlink" Target="https://papers.ssrn.com/sol3/papers.cfm?abstract_id=4150307" TargetMode="External"/><Relationship Id="rId304" Type="http://schemas.openxmlformats.org/officeDocument/2006/relationships/hyperlink" Target="https://backup.ons.gov.uk/wp-content/uploads/sites/3/2023/11/Ethnicity-pay-gaps-UK-2012-to-2022.pdf" TargetMode="External"/><Relationship Id="rId346" Type="http://schemas.openxmlformats.org/officeDocument/2006/relationships/hyperlink" Target="https://www.google.co.uk/books/edition/Informal_Workplace_Learning_and_Employee/mJX7EAAAQBAJ?hl=en&amp;gbpv=1&amp;pg=PA1999&amp;printsec=frontcover" TargetMode="External"/><Relationship Id="rId388" Type="http://schemas.openxmlformats.org/officeDocument/2006/relationships/hyperlink" Target="https://home.treasury.gov/system/files/136/2024-National-Money-Laundering-Risk-Assessment.pdf" TargetMode="External"/><Relationship Id="rId85" Type="http://schemas.openxmlformats.org/officeDocument/2006/relationships/hyperlink" Target="https://www.tandfonline.com/doi/full/10.1080/13562517.2022.2119075" TargetMode="External"/><Relationship Id="rId150" Type="http://schemas.openxmlformats.org/officeDocument/2006/relationships/hyperlink" Target="https://rfairlie.sites.luskin.ucla.edu/wp-content/uploads/sites/32/2022/08/jole-2007-blackbusiness-1.pdf" TargetMode="External"/><Relationship Id="rId192" Type="http://schemas.openxmlformats.org/officeDocument/2006/relationships/hyperlink" Target="https://link.springer.com/article/10.1186/1471-2458-11-861" TargetMode="External"/><Relationship Id="rId206" Type="http://schemas.openxmlformats.org/officeDocument/2006/relationships/hyperlink" Target="https://assets.publishing.service.gov.uk/media/5da47329ed915d17b9646841/hate-crime-1819-hosb2419.pdf" TargetMode="External"/><Relationship Id="rId413" Type="http://schemas.openxmlformats.org/officeDocument/2006/relationships/hyperlink" Target="https://journals.sagepub.com/doi/10.1177/0038040714537901" TargetMode="External"/><Relationship Id="rId248" Type="http://schemas.openxmlformats.org/officeDocument/2006/relationships/hyperlink" Target="https://link.springer.com/article/10.1186/1471-2288-7-4" TargetMode="External"/><Relationship Id="rId12" Type="http://schemas.openxmlformats.org/officeDocument/2006/relationships/image" Target="media/image1.png"/><Relationship Id="rId108" Type="http://schemas.openxmlformats.org/officeDocument/2006/relationships/hyperlink" Target="https://go.gale.com/ps/i.do?id=GALE%7CA20760053&amp;v=2.1&amp;it=r&amp;u=walamp&amp;p=AONE&amp;aty=shibboleth" TargetMode="External"/><Relationship Id="rId315" Type="http://schemas.openxmlformats.org/officeDocument/2006/relationships/hyperlink" Target="https://research-ebsco-com.uwtsd.idm.oclc.org/c/onvpsy/viewer/pdf/hsznrxmvjj?route=details" TargetMode="External"/><Relationship Id="rId357" Type="http://schemas.openxmlformats.org/officeDocument/2006/relationships/hyperlink" Target="https://www.researchgate.net/profile/Maria-Evandrou/publication/46431397_The_Relationship_Between_Women's_Work_Histories_and_Incomes_in_Later_Life_in_the_UK_US_and_West_Germany/links/0912f50cc6c7237f19000000/The-Relationship-Between-Womens-Work-Histories-and-Incomes-in-Later-Life-in-the-UK-US-and-West-Germany.pdf?_sg%5B0%5D=started_experiment_milestone&amp;origin=journalDetail" TargetMode="External"/><Relationship Id="rId54" Type="http://schemas.openxmlformats.org/officeDocument/2006/relationships/hyperlink" Target="file:///C:/Users/Student/AppData/Local/Temp/2600bca5-c6ef-4212-853f-6ab20f707e52_bulk-download.zip.bulk-download.zip/Organizing%20Your%20Literature%20Review.pdf" TargetMode="External"/><Relationship Id="rId96" Type="http://schemas.openxmlformats.org/officeDocument/2006/relationships/hyperlink" Target="https://www.academia.edu/92871576/How_College_Works" TargetMode="External"/><Relationship Id="rId161" Type="http://schemas.openxmlformats.org/officeDocument/2006/relationships/hyperlink" Target="https://www.gov.scot/binaries/content/documents/govscot/publications/research-and-analysis/2018/06/community-experiences-serious-organised-crime-scotland/documents/00536071-pdf/00536071-pdf/govscot%3Adocument/00536071.pdf" TargetMode="External"/><Relationship Id="rId217" Type="http://schemas.openxmlformats.org/officeDocument/2006/relationships/hyperlink" Target="https://www.tandfonline.com/doi/full/10.1080/03075070802666807?scroll=top&amp;needAccess=true" TargetMode="External"/><Relationship Id="rId399" Type="http://schemas.openxmlformats.org/officeDocument/2006/relationships/hyperlink" Target="https://www.ucu.org.uk/article/10360/Black-academic-staff-face-double-whammy-in-promotion-and-pay-stakes" TargetMode="External"/><Relationship Id="rId259" Type="http://schemas.openxmlformats.org/officeDocument/2006/relationships/hyperlink" Target="https://www.tandfonline.com/doi/full/10.1080/02680930802382946?scroll=top&amp;needAccess=true" TargetMode="External"/><Relationship Id="rId424" Type="http://schemas.openxmlformats.org/officeDocument/2006/relationships/hyperlink" Target="https://www.researchgate.net/publication/266342856_Evaluating_Gender_Bias_in_Ratings_of_University_Instructors'_Teaching_Effectiveness" TargetMode="External"/><Relationship Id="rId23" Type="http://schemas.openxmlformats.org/officeDocument/2006/relationships/hyperlink" Target="https://www.proquest.com/docview/2534472112?accountid=130472&amp;parentSessionId=eI8uNhPl5zwnO7ij%2BUglAZl%2BS%2BF9QY5raVvv%2BUfMSls%3D&amp;pq-origsite=primo&amp;sourcetype=Scholarly%20Journals" TargetMode="External"/><Relationship Id="rId119" Type="http://schemas.openxmlformats.org/officeDocument/2006/relationships/hyperlink" Target="https://pih.org.uk/wp-content/uploads/2021/05/black_caribbean_underachievement_in_schools_in_england_2017-1.pdf" TargetMode="External"/><Relationship Id="rId270" Type="http://schemas.openxmlformats.org/officeDocument/2006/relationships/hyperlink" Target="https://esajournals.onlinelibrary.wiley.com/doi/pdf/10.1002/bes2.1936" TargetMode="External"/><Relationship Id="rId326" Type="http://schemas.openxmlformats.org/officeDocument/2006/relationships/hyperlink" Target="https://research.ebsco.com/c/onvpsy/search/details/gxq3ffaxnz?db=aph" TargetMode="External"/><Relationship Id="rId65" Type="http://schemas.openxmlformats.org/officeDocument/2006/relationships/hyperlink" Target="file:///C:/Users/Student/Downloads/9780203802755_previewpdf.pdf" TargetMode="External"/><Relationship Id="rId130" Type="http://schemas.openxmlformats.org/officeDocument/2006/relationships/hyperlink" Target="https://www-sciencedirect-com.uwtsd.idm.oclc.org/science/article/pii/S0022103112001369" TargetMode="External"/><Relationship Id="rId368" Type="http://schemas.openxmlformats.org/officeDocument/2006/relationships/hyperlink" Target="https://www.researchgate.net/profile/Ignatius-Ekanem/publication/235294488_Diversification_in_ethnic_minority_business_The_case_of_Asians_in_London's_creative_industries/links/54f98a2b0cf28d6deca4da09/Diversification-in-ethnic-minority-business-The-case-of-Asians-in-Londons-creative-industries.pdf" TargetMode="External"/><Relationship Id="rId172" Type="http://schemas.openxmlformats.org/officeDocument/2006/relationships/hyperlink" Target="file:///C:/Users/Student/Downloads/9780203928424_previewpdf.pdf" TargetMode="External"/><Relationship Id="rId228" Type="http://schemas.openxmlformats.org/officeDocument/2006/relationships/hyperlink" Target="https://onlinelibrary.wiley.com/doi/full/10.1111/gwao.12830" TargetMode="External"/><Relationship Id="rId281" Type="http://schemas.openxmlformats.org/officeDocument/2006/relationships/hyperlink" Target="https://www-tandfonline-com.uwtsd.idm.oclc.org/doi/full/10.1080/17528631.2014.972703" TargetMode="External"/><Relationship Id="rId337" Type="http://schemas.openxmlformats.org/officeDocument/2006/relationships/hyperlink" Target="https://research-ebsco-com.uwtsd.idm.oclc.org/c/onvpsy/viewer/pdf/ktzxo62ygn?route=details" TargetMode="External"/><Relationship Id="rId34" Type="http://schemas.openxmlformats.org/officeDocument/2006/relationships/hyperlink" Target="https://journals-sagepub-com.uwtsd.idm.oclc.org/doi/full/10.1177/00938548241310436" TargetMode="External"/><Relationship Id="rId76" Type="http://schemas.openxmlformats.org/officeDocument/2006/relationships/hyperlink" Target="https://journals.sagepub.com/doi/epdf/10.1350/ijps.5.2.129.14325" TargetMode="External"/><Relationship Id="rId141" Type="http://schemas.openxmlformats.org/officeDocument/2006/relationships/hyperlink" Target="https://www-sciencedirect-com.uwtsd.idm.oclc.org/science/article/pii/S0001879107000401" TargetMode="External"/><Relationship Id="rId379" Type="http://schemas.openxmlformats.org/officeDocument/2006/relationships/hyperlink" Target="https://www.sciencedirect.com/science/article/pii/S0148296319304564" TargetMode="External"/><Relationship Id="rId7" Type="http://schemas.openxmlformats.org/officeDocument/2006/relationships/styles" Target="styles.xml"/><Relationship Id="rId183" Type="http://schemas.openxmlformats.org/officeDocument/2006/relationships/hyperlink" Target="https://journals.sagepub.com/doi/epdf/10.2190/CS.15.3.e" TargetMode="External"/><Relationship Id="rId239" Type="http://schemas.openxmlformats.org/officeDocument/2006/relationships/hyperlink" Target="https://journals.sagepub.com/doi/10.1177/0038040712445519" TargetMode="External"/><Relationship Id="rId390" Type="http://schemas.openxmlformats.org/officeDocument/2006/relationships/hyperlink" Target="https://www.tandfonline.com/doi/full/10.1080/17508487.2016.1117506?scroll=top&amp;needAccess=true" TargetMode="External"/><Relationship Id="rId404" Type="http://schemas.openxmlformats.org/officeDocument/2006/relationships/hyperlink" Target="https://www.theguardian.com/politics/2019/jul/01/boris-johnson-pledges-to-increase-stop-and-search-powers" TargetMode="External"/><Relationship Id="rId250" Type="http://schemas.openxmlformats.org/officeDocument/2006/relationships/hyperlink" Target="https://www.researchgate.net/publication/269288475_What's_in_a_Name_Exposing_Gender_Bias_in_Student_Ratings_of_Teaching" TargetMode="External"/><Relationship Id="rId292" Type="http://schemas.openxmlformats.org/officeDocument/2006/relationships/hyperlink" Target="https://journals-sagepub-com.uwtsd.idm.oclc.org/doi/epdf/10.1177/016146811611800608" TargetMode="External"/><Relationship Id="rId306" Type="http://schemas.openxmlformats.org/officeDocument/2006/relationships/hyperlink" Target="https://assets.childrenscommissioner.gov.uk/wpuploads/2019/09/cco-a-manifesto-for-children.pdf" TargetMode="External"/><Relationship Id="rId45" Type="http://schemas.openxmlformats.org/officeDocument/2006/relationships/hyperlink" Target="https://www.sciencedirect.com/science/article/pii/S0148296320307906" TargetMode="External"/><Relationship Id="rId87" Type="http://schemas.openxmlformats.org/officeDocument/2006/relationships/hyperlink" Target="file:///C:/Users/Student/Downloads/ethnicity-and-the-professional-socialisation-of-teachers-exe.pdf" TargetMode="External"/><Relationship Id="rId110" Type="http://schemas.openxmlformats.org/officeDocument/2006/relationships/hyperlink" Target="https://pmc.ncbi.nlm.nih.gov/articles/PMC5881660/#:~:text=In%20a%20line%20of%20work,Bennett%20&amp;%20Mohring%2C%202015" TargetMode="External"/><Relationship Id="rId348" Type="http://schemas.openxmlformats.org/officeDocument/2006/relationships/hyperlink" Target="https://www.semanticscholar.org/paper/How-to-Write-a-Literature-Review-Samuels/ec689edae8bd38a6fe50404492ce8ed0adc8fa73" TargetMode="External"/><Relationship Id="rId152" Type="http://schemas.openxmlformats.org/officeDocument/2006/relationships/hyperlink" Target="https://www.enterpriseresearch.ac.uk/wp-content/uploads/2020/07/Unlocking-Opportunity_FSB-Report-.2020.pdf" TargetMode="External"/><Relationship Id="rId194" Type="http://schemas.openxmlformats.org/officeDocument/2006/relationships/hyperlink" Target="https://link.springer.com/article/10.1057/s41300-023-00195-z" TargetMode="External"/><Relationship Id="rId208" Type="http://schemas.openxmlformats.org/officeDocument/2006/relationships/hyperlink" Target="https://www.slideshare.net/slideshow/bell-hooks-black-looks_-race-and-representation-south-end-press-1999-pdf/282583086" TargetMode="External"/><Relationship Id="rId415" Type="http://schemas.openxmlformats.org/officeDocument/2006/relationships/hyperlink" Target="https://www.researchgate.net/publication/392464881_Rethinking_Literature_Reviews_Key_Pitfalls_and_Strategies_for_Postgraduates" TargetMode="External"/><Relationship Id="rId261" Type="http://schemas.openxmlformats.org/officeDocument/2006/relationships/hyperlink" Target="https://data.london.gov.uk/download/exyxr/b9b4258a-5d02-4677-9dd6-374f55fd167f/Crime%20speech%20report%20December%202021.pdf" TargetMode="External"/><Relationship Id="rId14" Type="http://schemas.openxmlformats.org/officeDocument/2006/relationships/image" Target="media/image3.png"/><Relationship Id="rId56" Type="http://schemas.openxmlformats.org/officeDocument/2006/relationships/hyperlink" Target="https://www.academia.edu/16786755/An_Apartheid_of_Knowledge_in_Academia_The_Struggle_Over_the_Legitimate_Knowledge_of_Faculty_of_Color" TargetMode="External"/><Relationship Id="rId317" Type="http://schemas.openxmlformats.org/officeDocument/2006/relationships/hyperlink" Target="https://publications.parliament.uk/pa/cm200405/cmselect/cmworpen/268/26811.htm" TargetMode="External"/><Relationship Id="rId359" Type="http://schemas.openxmlformats.org/officeDocument/2006/relationships/hyperlink" Target="https://www.proquest.com/docview/1156207179?pq-origsite=gscholar&amp;fromopenview=true&amp;sourcetype=Scholarly%20Journals" TargetMode="External"/><Relationship Id="rId98" Type="http://schemas.openxmlformats.org/officeDocument/2006/relationships/hyperlink" Target="https://www.researchgate.net/publication/366917532_The_Science_of_Literature_Reviews_Searching_Identifying_Selecting_and_Synthesising" TargetMode="External"/><Relationship Id="rId121" Type="http://schemas.openxmlformats.org/officeDocument/2006/relationships/hyperlink" Target="https://www.gov.uk/government/news/support-for-ethnic-minority-entrepreneurs-helps-11000-businesses-get-off-the-ground" TargetMode="External"/><Relationship Id="rId163" Type="http://schemas.openxmlformats.org/officeDocument/2006/relationships/hyperlink" Target="https://files.libcom.org/files/Paulo%20Freire,%20Myra%20Bergman%20Ramos,%20Donaldo%20Macedo%20-%20Pedagogy%20of%20the%20Oppressed,%2030th%20Anniversary%20Edition%20(2000,%20Bloomsbury%20Academic).pdf" TargetMode="External"/><Relationship Id="rId219" Type="http://schemas.openxmlformats.org/officeDocument/2006/relationships/hyperlink" Target="https://journals.sagepub.com/doi/epub/10.1177/1609406919870075" TargetMode="External"/><Relationship Id="rId370" Type="http://schemas.openxmlformats.org/officeDocument/2006/relationships/hyperlink" Target="https://www-sciencedirect-com.uwtsd.idm.oclc.org/science/article/pii/S0276562416300099" TargetMode="External"/><Relationship Id="rId426" Type="http://schemas.openxmlformats.org/officeDocument/2006/relationships/hyperlink" Target="https://onlinelibrary.wiley.com/doi/full/10.1111/1468-4446.13047" TargetMode="External"/><Relationship Id="rId230" Type="http://schemas.openxmlformats.org/officeDocument/2006/relationships/hyperlink" Target="https://cdn.prod.website-files.com/61488f992b58e687f1108c7c/617be008ff72b2243a23e88b_FinancialInclusion-2008.pdf" TargetMode="External"/><Relationship Id="rId25" Type="http://schemas.openxmlformats.org/officeDocument/2006/relationships/hyperlink" Target="https://www.sciencedirect.com/science/article/pii/S0094576521002800" TargetMode="External"/><Relationship Id="rId67" Type="http://schemas.openxmlformats.org/officeDocument/2006/relationships/hyperlink" Target="https://www.tandfonline.com/doi/abs/10.1080/00071005.2019.1581127" TargetMode="External"/><Relationship Id="rId272" Type="http://schemas.openxmlformats.org/officeDocument/2006/relationships/hyperlink" Target="https://bera-journals.onlinelibrary.wiley.com/doi/epdf/10.1002/berj.3921" TargetMode="External"/><Relationship Id="rId328" Type="http://schemas.openxmlformats.org/officeDocument/2006/relationships/hyperlink" Target="https://feweek.co.uk/wp-content/uploads/2018/01/Skills-Commission-A-Spotlight-on-Apprenticeships-and-Social-Mobility.pdf" TargetMode="External"/><Relationship Id="rId132" Type="http://schemas.openxmlformats.org/officeDocument/2006/relationships/hyperlink" Target="https://link.springer.com/article/10.1007/s40615-022-01352-0" TargetMode="External"/><Relationship Id="rId174" Type="http://schemas.openxmlformats.org/officeDocument/2006/relationships/hyperlink" Target="https://www.tandfonline.com/doi/full/10.1080/13613324.2011.578126" TargetMode="External"/><Relationship Id="rId381" Type="http://schemas.openxmlformats.org/officeDocument/2006/relationships/hyperlink" Target="https://raggeduniversity.co.uk/wp-content/uploads/2025/07/1_x_Inside-the-college-gates-_-how-class-and-culture-matter-in-Jenny-M_-Stuber.pdf" TargetMode="External"/><Relationship Id="rId241" Type="http://schemas.openxmlformats.org/officeDocument/2006/relationships/hyperlink" Target="https://web.engr.oregonstate.edu/~tadepall/dpd/The%20Color%20of%20Supremacy__xid-36354670_3.pdf" TargetMode="External"/><Relationship Id="rId36" Type="http://schemas.openxmlformats.org/officeDocument/2006/relationships/hyperlink" Target="https://pdfs.semanticscholar.org/ae3a/22004817a34175297d23996ae6d7b427cfd2.pdf" TargetMode="External"/><Relationship Id="rId283" Type="http://schemas.openxmlformats.org/officeDocument/2006/relationships/hyperlink" Target="https://www.proquest.com/docview/1524907597?pq-origsite=gscholar&amp;fromopenview=true&amp;sourcetype=Scholarly%20Journals" TargetMode="External"/><Relationship Id="rId339" Type="http://schemas.openxmlformats.org/officeDocument/2006/relationships/hyperlink" Target="https://www.sciencedirect.com/science/article/pii/S0963868724000040?via%3Dihub" TargetMode="External"/><Relationship Id="rId78" Type="http://schemas.openxmlformats.org/officeDocument/2006/relationships/hyperlink" Target="https://www.proquest.com/docview/3065617243?pq-origsite=gscholar&amp;fromopenview=true&amp;sourcetype=Scholarly%20Journals" TargetMode="External"/><Relationship Id="rId101" Type="http://schemas.openxmlformats.org/officeDocument/2006/relationships/hyperlink" Target="https://d1wqtxts1xzle7.cloudfront.net/107806953/9781447351269-libre.pdf?1700916223=&amp;response-content-disposition=inline%3B+filename%3DEthnicity_Race_and_Inequality_in_the_UK.pdf&amp;Expires=1775511308&amp;Signature=JfMu5CeBCrrbAyb4CsgrqHqUYjWd9JOQySttOt~Bi4Qs65j40i1pEUryHvmnDgnhkCzvUTRCaJ1n3h444QfxlnI~KR2qm16chfaNzTN4u3jc0wN1e1Xo8b2m7gTx9tE1rNjhP6~RyDHBKV0xJO4hpdxGSFh74ADDFQzE9kARoCV0Ag3-rNZFBAj-R2DA0cAUPzfbCMM3mcfWVgix9SmzcGrp5j6FDQbYwdtrZovR5K69YfvcbFI7JCxTSNmaDSf5BjaUO5OS5CfY2CWgtqB67vN9SbhtuT9RZMp0UoCSbYLCx4THItV4GBnHLi82B3yKkiX31AiWdBSKcWHWNcy5fA__&amp;Key-Pair-Id=APKAJLOHF5GGSLRBV4ZA" TargetMode="External"/><Relationship Id="rId143" Type="http://schemas.openxmlformats.org/officeDocument/2006/relationships/hyperlink" Target="https://www.proquest.com/docview/216356912?accountid=130472&amp;parentSessionId=JZRJ%2BbdzzWw4aneG7A66SQIuIMWGdw57Vs%2B7%2BkzHGYo%3D&amp;pq-origsite=primo&amp;sourcetype=Scholarly%20Journals" TargetMode="External"/><Relationship Id="rId185" Type="http://schemas.openxmlformats.org/officeDocument/2006/relationships/hyperlink" Target="https://theconversation.com/university-students-are-hidden-targets-of-county-lines-drug-dealing-new-report-187320" TargetMode="External"/><Relationship Id="rId350" Type="http://schemas.openxmlformats.org/officeDocument/2006/relationships/hyperlink" Target="https://moodle.uwtsd.ac.uk/pluginfile.php/1157902/mod_resource/content/1/2023RMBChapter4andPreface.pdf" TargetMode="External"/><Relationship Id="rId406" Type="http://schemas.openxmlformats.org/officeDocument/2006/relationships/hyperlink" Target="https://www.tandfonline.com/doi/epdf/10.1080/01419870.2021.1981969?needAccess=true" TargetMode="External"/><Relationship Id="rId9" Type="http://schemas.openxmlformats.org/officeDocument/2006/relationships/webSettings" Target="webSettings.xml"/><Relationship Id="rId210" Type="http://schemas.openxmlformats.org/officeDocument/2006/relationships/hyperlink" Target="https://www.tandfonline.com/doi/full/10.1080/10301763.2019.1619986?scroll=top&amp;needAccess=true" TargetMode="External"/><Relationship Id="rId392" Type="http://schemas.openxmlformats.org/officeDocument/2006/relationships/hyperlink" Target="https://journals-sagepub-com.uwtsd.idm.oclc.org/doi/abs/10.1177/1534484305278283" TargetMode="External"/><Relationship Id="rId252" Type="http://schemas.openxmlformats.org/officeDocument/2006/relationships/hyperlink" Target="https://www.tandfonline.com/doi/full/10.1080/13562517.2020.1796619?scroll=top&amp;needAccess=true" TargetMode="External"/><Relationship Id="rId294" Type="http://schemas.openxmlformats.org/officeDocument/2006/relationships/hyperlink" Target="https://journals-sagepub-com.uwtsd.idm.oclc.org/doi/epdf/10.1177/0042085903038004005" TargetMode="External"/><Relationship Id="rId308" Type="http://schemas.openxmlformats.org/officeDocument/2006/relationships/hyperlink" Target="https://assets.publishing.service.gov.uk/media/5a7ca25ee5274a2f304ef198/7117.pdf" TargetMode="External"/><Relationship Id="rId47" Type="http://schemas.openxmlformats.org/officeDocument/2006/relationships/hyperlink" Target="https://www.researchgate.net/profile/Helen-Barnes-2/publication/265310241_Work_Saving_and_Retirement_Among_Ethnic_Minorities_A_Qualitative_Study/links/54e327320cf2d618e195ed86/Work-Saving-and-Retirement-Among-Ethnic-Minorities-A-Qualitative-Study.pdf" TargetMode="External"/><Relationship Id="rId89" Type="http://schemas.openxmlformats.org/officeDocument/2006/relationships/hyperlink" Target="https://www.sciencedirect.com/science/article/pii/S0883902605000510" TargetMode="External"/><Relationship Id="rId112" Type="http://schemas.openxmlformats.org/officeDocument/2006/relationships/hyperlink" Target="https://digitalcommons.law.wne.edu/cgi/viewcontent.cgi?article=1644&amp;context=lawreview" TargetMode="External"/><Relationship Id="rId154" Type="http://schemas.openxmlformats.org/officeDocument/2006/relationships/hyperlink" Target="https://journals.sagepub.com/doi/10.1177/20597991251352414" TargetMode="External"/><Relationship Id="rId361" Type="http://schemas.openxmlformats.org/officeDocument/2006/relationships/hyperlink" Target="https://d1wqtxts1xzle7.cloudfront.net/104259336/Writing_20a_20Critical_20Review_20of_20Literature_20A_20Practical_20Guide_20for_20English_20Graduate_20Students-libre.pdf?1689342826=&amp;response-content-disposition=inline%3B+filename%3DWriting_a_Critical_Review_of_Literature.pdf&amp;Expires=1773598756&amp;Signature=XuRwa~Fx~vqJUz8eCh0UPwt911avVuqyhHPpQb-qfyorPD7Xn9-M72kRCZW6pijJov-oWJar-vyEkHn5oVVWDFYgUn6W9jR2FYVZprdEBUpiQdJFUKTL~OPVHuwNLiyiEB~w2DmkDxColuolygKqB60NnCdAYEEACfIgBagztM59nN-31LoPIWNKwa34k5vp3m2kBzlpTUumRFEaCsvoJ3HFivisrIIQ2Ly8m2C25VjadgWiIEtYPksKAzmHn-zJEdue918bENDTL3ijtMWBONyciwyiPOCfoHJSJcG41VWe7SZt0KECGYTp7OlTK-pZwKIcN6TYskvzcZQIPGqdbQ__&amp;Key-Pair-Id=APKAJLOHF5GGSLRBV4ZA" TargetMode="External"/><Relationship Id="rId196" Type="http://schemas.openxmlformats.org/officeDocument/2006/relationships/hyperlink" Target="https://www.google.co.uk/books/edition/Unequal_Chances/In2MEQAAQBAJ?hl=en&amp;gbpv=1&amp;pg=PT6&amp;printsec=frontcover" TargetMode="External"/><Relationship Id="rId417" Type="http://schemas.openxmlformats.org/officeDocument/2006/relationships/hyperlink" Target="https://publications.parliament.uk/pa/cm201719/cmselect/cmwomeq/562/562.pdf" TargetMode="External"/><Relationship Id="rId16" Type="http://schemas.openxmlformats.org/officeDocument/2006/relationships/image" Target="media/image5.png"/><Relationship Id="rId221" Type="http://schemas.openxmlformats.org/officeDocument/2006/relationships/hyperlink" Target="https://www.researchgate.net/profile/Jan-Rath/publication/259345625_Immigrant_businesses_The_economic_political_and_social_environment/links/5ca35cf3a6fdcc12ee8c630c/Immigrant-businesses-The-economic-political-and-social-environment.pdf" TargetMode="External"/><Relationship Id="rId263" Type="http://schemas.openxmlformats.org/officeDocument/2006/relationships/hyperlink" Target="https://www.researchgate.net/profile/David-Mcevoy-4/publication/46542782_Ethnic_minority_entrepreneurship_in_Britain/links/0deec5347edec83ed1000000/Ethnic-minority-entrepreneurship-in-Britain.pdf" TargetMode="External"/><Relationship Id="rId319" Type="http://schemas.openxmlformats.org/officeDocument/2006/relationships/hyperlink" Target="https://www.proquest.com/docview/2081540314?accountid=130472&amp;parentSessionId=IJVAMNVryhUq6J0%2Bt1hHdWGC7q1KPfheBJB4EV3kBVA%3D&amp;pq-origsite=primo&amp;sourcetype=Scholarly%20Journals" TargetMode="External"/><Relationship Id="rId58" Type="http://schemas.openxmlformats.org/officeDocument/2006/relationships/hyperlink" Target="http://www.yjb.gov.uk/Publications/Scripts/prodView.asp?idProduct=200&amp;eP" TargetMode="External"/><Relationship Id="rId123" Type="http://schemas.openxmlformats.org/officeDocument/2006/relationships/hyperlink" Target="https://assets.publishing.service.gov.uk/media/5a7579cee5274a1622e2216b/Public_Sector_Equality_Duty.pdf" TargetMode="External"/><Relationship Id="rId330" Type="http://schemas.openxmlformats.org/officeDocument/2006/relationships/hyperlink" Target="https://journals.sagepub.com/doi/epub/10.1177/0950017012458021" TargetMode="External"/><Relationship Id="rId165" Type="http://schemas.openxmlformats.org/officeDocument/2006/relationships/hyperlink" Target="https://dera.ioe.ac.uk/id/eprint/30618/1/Better-Apprenticeships-1-1.pdf" TargetMode="External"/><Relationship Id="rId372" Type="http://schemas.openxmlformats.org/officeDocument/2006/relationships/hyperlink" Target="https://dera.ioe.ac.uk/id/eprint/5074/2/D5074New.pdf" TargetMode="External"/><Relationship Id="rId428" Type="http://schemas.openxmlformats.org/officeDocument/2006/relationships/header" Target="header1.xml"/><Relationship Id="rId232" Type="http://schemas.openxmlformats.org/officeDocument/2006/relationships/hyperlink" Target="https://cdn.prod.website-files.com/61488f992b58e687f1108c7c/617bd8b229e58955d38890cd_SavingBeyondTheHighStreet-2010.pdf" TargetMode="External"/><Relationship Id="rId274" Type="http://schemas.openxmlformats.org/officeDocument/2006/relationships/hyperlink" Target="https://resources.msduk.org.uk/hubfs/Externally%20Shared%20Files/Redirected%20Files%20from%20Touchpoint/Impact-Report_Final_compressed.pdf" TargetMode="External"/><Relationship Id="rId27" Type="http://schemas.openxmlformats.org/officeDocument/2006/relationships/hyperlink" Target="https://www.aclu.org/wp-content/uploads/publications/aclu_bullies_in_blue_4_11_17_final.pdf" TargetMode="External"/><Relationship Id="rId69" Type="http://schemas.openxmlformats.org/officeDocument/2006/relationships/hyperlink" Target="https://journals.sagepub.com/doi/epdf/10.1207/S15327957PSPR0603_8" TargetMode="External"/><Relationship Id="rId134" Type="http://schemas.openxmlformats.org/officeDocument/2006/relationships/hyperlink" Target="https://www.standard.co.uk/comment/comment/cressida-dick-violent-crime-a4325816.html" TargetMode="External"/><Relationship Id="rId80" Type="http://schemas.openxmlformats.org/officeDocument/2006/relationships/hyperlink" Target="https://www.independent.co.uk/news/uk/home-news/black-boys-discrimination-teenagers-children-white-racial-bias-prison-a8466606.html" TargetMode="External"/><Relationship Id="rId176" Type="http://schemas.openxmlformats.org/officeDocument/2006/relationships/hyperlink" Target="https://www.tandfonline.com/doi/full/10.1080/01419870.2016.1159708?scroll=top&amp;needAccess=true" TargetMode="External"/><Relationship Id="rId341" Type="http://schemas.openxmlformats.org/officeDocument/2006/relationships/hyperlink" Target="https://hansard.parliament.uk/Commons/2003-03-21/debates/31a28bc2-748e-46c5-95b9-e08bd94cf0e6/LabourMarket(EthnicMinorities)" TargetMode="External"/><Relationship Id="rId383" Type="http://schemas.openxmlformats.org/officeDocument/2006/relationships/hyperlink" Target="https://journals.sagepub.com/doi/epdf/10.1177/0042085903256218" TargetMode="External"/><Relationship Id="rId201" Type="http://schemas.openxmlformats.org/officeDocument/2006/relationships/hyperlink" Target="https://assets.publishing.service.gov.uk/media/5c06893bed915d7463b34dbe/hmi-prisons-annual-report-2017-18-revised-web.pdf" TargetMode="External"/><Relationship Id="rId243" Type="http://schemas.openxmlformats.org/officeDocument/2006/relationships/hyperlink" Target="https://www.researchgate.net/profile/Yaojun-Li-6/publication/305218206_Class_Matters_A_Study_of_Minority_and_Majority_Social_Mobility_in_Britain_1982-2011_1/links/57920d7208aed51475ac1c08/Class-Matters-A-Study-of-Minority-and-Majority-Social-Mobility-in-Britain-1982-2011-1.pdf" TargetMode="External"/><Relationship Id="rId285" Type="http://schemas.openxmlformats.org/officeDocument/2006/relationships/hyperlink" Target="https://t2a.org.uk/wp-content/uploads/2014/12/clinks_young-review_report_FINAL-WEB.pdf" TargetMode="External"/><Relationship Id="rId38" Type="http://schemas.openxmlformats.org/officeDocument/2006/relationships/hyperlink" Target="https://www.taylorfrancis.com/books/mono/10.4324/9781003255697/pathways-adolescent-male-violent-offending-sally-ann-ashton" TargetMode="External"/><Relationship Id="rId103" Type="http://schemas.openxmlformats.org/officeDocument/2006/relationships/hyperlink" Target="https://nopoliceinschools.co.uk/resources/Decriminalise%20the%20Classroom%20-%20A%20Community%20Response%20to%20Police%20in%20Greater%20Manchester%27s%20Schools.pdf" TargetMode="External"/><Relationship Id="rId310" Type="http://schemas.openxmlformats.org/officeDocument/2006/relationships/hyperlink" Target="https://onlinelibrary.wiley.com/doi/epdf/10.1111/1748-8583.12227?saml_referrer" TargetMode="External"/><Relationship Id="rId91" Type="http://schemas.openxmlformats.org/officeDocument/2006/relationships/hyperlink" Target="https://www.frontiersin.org/journals/education/articles/10.3389/feduc.2020.576961/full" TargetMode="External"/><Relationship Id="rId145" Type="http://schemas.openxmlformats.org/officeDocument/2006/relationships/hyperlink" Target="https://s3.eu-west-2.amazonaws.com/assets.creode.advancehe-document-manager/documents/ecu/Pages%201-30%20Students_report_2017_November2017_1582302426.pdf" TargetMode="External"/><Relationship Id="rId187" Type="http://schemas.openxmlformats.org/officeDocument/2006/relationships/hyperlink" Target="https://www.tandfonline.com/doi/full/10.1080/0305764X.2011.572863" TargetMode="External"/><Relationship Id="rId352" Type="http://schemas.openxmlformats.org/officeDocument/2006/relationships/hyperlink" Target="https://www-jstor-org.uwtsd.idm.oclc.org/stable/2488180?sid=primo&amp;seq=1" TargetMode="External"/><Relationship Id="rId394" Type="http://schemas.openxmlformats.org/officeDocument/2006/relationships/hyperlink" Target="https://www.academia.edu/27510948/Being_Different_Relational_Demography_and_Organizational_Attachment" TargetMode="External"/><Relationship Id="rId408" Type="http://schemas.openxmlformats.org/officeDocument/2006/relationships/hyperlink" Target="https://doi.org/10.1016/S0742-7301(03)22002-8" TargetMode="External"/><Relationship Id="rId1" Type="http://schemas.openxmlformats.org/officeDocument/2006/relationships/customXml" Target="../customXml/item1.xml"/><Relationship Id="rId212" Type="http://schemas.openxmlformats.org/officeDocument/2006/relationships/hyperlink" Target="https://www-cambridge-org.uwtsd.idm.oclc.org/core/journals/national-institute-economic-review/article/postcompulsory-education-in-england-choices-and-implications/777B44382D89EF34D602B53A1CA3AB8E" TargetMode="External"/><Relationship Id="rId233" Type="http://schemas.openxmlformats.org/officeDocument/2006/relationships/hyperlink" Target="https://npo.kubg.edu.ua/article/view/309863" TargetMode="External"/><Relationship Id="rId254" Type="http://schemas.openxmlformats.org/officeDocument/2006/relationships/hyperlink" Target="https://www.sciencedirect.com/science/article/pii/S0165032719329271" TargetMode="External"/><Relationship Id="rId28" Type="http://schemas.openxmlformats.org/officeDocument/2006/relationships/hyperlink" Target="https://www.tandfonline.com/doi/abs/10.1080/13596748.2016.1196978" TargetMode="External"/><Relationship Id="rId49" Type="http://schemas.openxmlformats.org/officeDocument/2006/relationships/hyperlink" Target="https://d1wqtxts1xzle7.cloudfront.net/114289275/eum000000000679620240508-1-intdky-libre.pdf?1715146854=&amp;response-content-disposition=inline%3B+filename%3DRole_of_Institutional_Support_in_Asian_e.pdf&amp;Expires=1775760668&amp;Signature=RkaRvgcKGOlquKl8aXADA~mspWEcDw5RjhSSB4hV1ysySs2KQ1~IomU78d~YgOLYAyOAhMl-l6o-ccybw-ZIH2LA-jugLovOQt09yxOu0Wu8yYIruQAbVVw8DxPrMnsXGFP~rbGDw~oQ81RfmWBOYJVhdhtolzX43zBVZLrOo5p7u7qcQj8SsOXuOm8fqWVwUTuuLmzHGWA1bMKEe21g340RTG8RW2fUcGOTgz~SZC6SMuwUDP7mI-h0pb6YOMLsyApc5cxynJaetVLXpnBXCrXEO-ln51AIfsL~uHqq9BJ7o7BSq0ttkGASsP0284LaAMR1BAW8KZ7JF860WhHffA__&amp;Key-Pair-Id=APKAJLOHF5GGSLRBV4ZA" TargetMode="External"/><Relationship Id="rId114" Type="http://schemas.openxmlformats.org/officeDocument/2006/relationships/hyperlink" Target="https://www.sciencedirect.com/science/article/pii/S0883902615000130" TargetMode="External"/><Relationship Id="rId275" Type="http://schemas.openxmlformats.org/officeDocument/2006/relationships/hyperlink" Target="https://www.researchgate.net/profile/Lisa-Galloway-2/publication/327356689_Access_and_Inclusion_for_Gypsy_and_Traveller_Students_in_Higher_Education_Racism_Whiteness_and_Decolonising_the_Academy/links/5f522caa92851c250b8f4555/Access-and-Inclusion-for-Gypsy-and-Traveller-Students-in-Higher-Education-Racism-Whiteness-and-Decolonising-the-Academy.pdf" TargetMode="External"/><Relationship Id="rId296" Type="http://schemas.openxmlformats.org/officeDocument/2006/relationships/hyperlink" Target="https://mg.co.za/article/2016-06-29-we-all-have-agency-and-we-must-use-it-to-disrupt-the-status-quo/" TargetMode="External"/><Relationship Id="rId300" Type="http://schemas.openxmlformats.org/officeDocument/2006/relationships/hyperlink" Target="https://www.ons.gov.uk/peoplepopulationandcommunity/populationandmigration/populationestimates/articles/2011censusandthelabourforcesurvey/2012-12-11" TargetMode="External"/><Relationship Id="rId60" Type="http://schemas.openxmlformats.org/officeDocument/2006/relationships/hyperlink" Target="https://www.tandfonline.com/doi/epdf/10.1080/02671522.2019.1615118?needAccess=true" TargetMode="External"/><Relationship Id="rId81" Type="http://schemas.openxmlformats.org/officeDocument/2006/relationships/hyperlink" Target="https://www.researchgate.net/publication/352030905_Measuring_Research_Mentors'_Cultural_Diversity_Awareness_for_RaceEthnicity_in_STEM_Validity_Evidence_for_a_New_Scale" TargetMode="External"/><Relationship Id="rId135" Type="http://schemas.openxmlformats.org/officeDocument/2006/relationships/hyperlink" Target="https://www.theguardian.com/uk-news/2019/dec/31/number-of-homicides-in-london-climbs-to-10-year-high" TargetMode="External"/><Relationship Id="rId156" Type="http://schemas.openxmlformats.org/officeDocument/2006/relationships/hyperlink" Target="https://journals-sagepub-com.uwtsd.idm.oclc.org/doi/full/10.1016/j.ausmj.2019.05.001" TargetMode="External"/><Relationship Id="rId177" Type="http://schemas.openxmlformats.org/officeDocument/2006/relationships/hyperlink" Target="https://www.sciencedirect.com/science/article/abs/pii/S0193397307001244" TargetMode="External"/><Relationship Id="rId198" Type="http://schemas.openxmlformats.org/officeDocument/2006/relationships/hyperlink" Target="https://www.tandfonline.com/doi/full/10.1080/01425692.2017.1375401?scroll=top&amp;needAccess=true" TargetMode="External"/><Relationship Id="rId321" Type="http://schemas.openxmlformats.org/officeDocument/2006/relationships/hyperlink" Target="https://www.tandfonline.com/doi/epdf/10.1080/00131857.2015.1037227?needAccess=true" TargetMode="External"/><Relationship Id="rId342" Type="http://schemas.openxmlformats.org/officeDocument/2006/relationships/hyperlink" Target="https://www.pure.ed.ac.uk/ws/portalfiles/portal/212590218/RobertsonLWainwrightJ2020GBlackBoysAndYoungMensExperiences.pdf" TargetMode="External"/><Relationship Id="rId363" Type="http://schemas.openxmlformats.org/officeDocument/2006/relationships/hyperlink" Target="https://thedisorderofthings.com/2014/07/28/black-academia-in-britain/" TargetMode="External"/><Relationship Id="rId384" Type="http://schemas.openxmlformats.org/officeDocument/2006/relationships/hyperlink" Target="https://www.researchgate.net/profile/Alan-Tait-3/publication/237705066_On_Institutional_Models_and_Concepts_of_Student_Support_Services_The_Case_of_the_Open_University_UK/links/545001680cf24e8f7374ad42/On-Institutional-Models-and-Concepts-of-Student-Support-Services-The-Case-of-the-Open-University-UK.pdf" TargetMode="External"/><Relationship Id="rId419" Type="http://schemas.openxmlformats.org/officeDocument/2006/relationships/hyperlink" Target="https://www.tandfonline.com/doi/epdf/10.1080/17508487.2016.1117005?needAccess=true" TargetMode="External"/><Relationship Id="rId202" Type="http://schemas.openxmlformats.org/officeDocument/2006/relationships/hyperlink" Target="https://assets.publishing.service.gov.uk/media/5acb21d140f0b64fed0afd55/serious-violence-strategy.pdf" TargetMode="External"/><Relationship Id="rId223" Type="http://schemas.openxmlformats.org/officeDocument/2006/relationships/hyperlink" Target="https://www.bloomberg.com/news/articles/2019-03-20/u-k-private-prisons-are-one-industry-not-worried-about-brexit?embedded-checkout=true" TargetMode="External"/><Relationship Id="rId244" Type="http://schemas.openxmlformats.org/officeDocument/2006/relationships/hyperlink" Target="https://www.tandfonline.com/doi/full/10.1080/1369183X.2018.1539241" TargetMode="External"/><Relationship Id="rId430" Type="http://schemas.openxmlformats.org/officeDocument/2006/relationships/fontTable" Target="fontTable.xml"/><Relationship Id="rId18" Type="http://schemas.openxmlformats.org/officeDocument/2006/relationships/hyperlink" Target="https://www.theguardian.com/politics/2002/jan/06/publicservices.race" TargetMode="External"/><Relationship Id="rId39" Type="http://schemas.openxmlformats.org/officeDocument/2006/relationships/hyperlink" Target="https://www.researchgate.net/publication/375801115_A_Conceptual_Approach_to_Transform_and_Enhance_Academic_Mentorship_Through_Open_Educational_Practices" TargetMode="External"/><Relationship Id="rId265" Type="http://schemas.openxmlformats.org/officeDocument/2006/relationships/hyperlink" Target="https://www-tandfonline-com.uwtsd.idm.oclc.org/doi/pdf/10.1080/01639625.2016.1272969?needAccess=true" TargetMode="External"/><Relationship Id="rId286" Type="http://schemas.openxmlformats.org/officeDocument/2006/relationships/hyperlink" Target="https://searchworks.stanford.edu/view/ns646hk9492" TargetMode="External"/><Relationship Id="rId50" Type="http://schemas.openxmlformats.org/officeDocument/2006/relationships/hyperlink" Target="https://www.tandfonline.com/doi/full/10.1080/13603108.2011.611833" TargetMode="External"/><Relationship Id="rId104" Type="http://schemas.openxmlformats.org/officeDocument/2006/relationships/hyperlink" Target="https://www.researchgate.net/profile/Sharon-Mavin-2/publication/344457585_Sandra_Corlett_and_Sharon_Mavin_Chapter_23_in_the_Handbook_of_Qualitative_Research_in_Business_and_Management_Sage_2017_Reflexivity_and_Researcher_Positionality/links/5f781f8592851c14bca9eb43/Sandra-Corlett-and-Sharon-Mavin-Chapter-23-in-the-Handbook-of-Qualitative-Research-in-Business-and-Management-Sage-2017-Reflexivity-and-Researcher-Positionality.pdf" TargetMode="External"/><Relationship Id="rId125" Type="http://schemas.openxmlformats.org/officeDocument/2006/relationships/hyperlink" Target="https://assets.publishing.service.gov.uk/media/5a7ce351e5274a724f0be1ff/SFR40_2013_FINALv2.pdf" TargetMode="External"/><Relationship Id="rId146" Type="http://schemas.openxmlformats.org/officeDocument/2006/relationships/hyperlink" Target="https://www.equalityhumanrights.com/sites/default/files/healing_a_divided_britain_-_the_need_for_a_comprehensive_race_equality_strategy_final.pdf" TargetMode="External"/><Relationship Id="rId167" Type="http://schemas.openxmlformats.org/officeDocument/2006/relationships/hyperlink" Target="https://link.springer.com/article/10.1186/s12889-018-6267-y" TargetMode="External"/><Relationship Id="rId188" Type="http://schemas.openxmlformats.org/officeDocument/2006/relationships/hyperlink" Target="https://onlinelibrary.wiley.com/doi/epdf/10.1111/1748-8583.12492" TargetMode="External"/><Relationship Id="rId311" Type="http://schemas.openxmlformats.org/officeDocument/2006/relationships/hyperlink" Target="https://irep.ntu.ac.uk/id/eprint/44335/1/1475824_O%27Hagan.pdf" TargetMode="External"/><Relationship Id="rId332" Type="http://schemas.openxmlformats.org/officeDocument/2006/relationships/hyperlink" Target="https://www.researchgate.net/profile/Tahir-Abbas-16/publication/248979129_Ethnic_minority_business_in_comparative_perspective_The_case_of_the_independent_restaurant_sector/links/560708f308aea25fce399852/Ethnic-minority-business-in-comparative-perspective-The-case-of-the-independent-restaurant-sector.pdf" TargetMode="External"/><Relationship Id="rId353" Type="http://schemas.openxmlformats.org/officeDocument/2006/relationships/hyperlink" Target="https://www.sciencedirect.com/science/article/pii/S1447677020301972" TargetMode="External"/><Relationship Id="rId374" Type="http://schemas.openxmlformats.org/officeDocument/2006/relationships/hyperlink" Target="https://unlock.org.uk/wp-content/uploads/2024/03/Double-discrimination-Full-report-July-2019.pdf" TargetMode="External"/><Relationship Id="rId395" Type="http://schemas.openxmlformats.org/officeDocument/2006/relationships/hyperlink" Target="https://test.legeweb.com/media/350613/fixed_or_random_effects_meta_analysis__common.12.pdf" TargetMode="External"/><Relationship Id="rId409" Type="http://schemas.openxmlformats.org/officeDocument/2006/relationships/hyperlink" Target="https://assets.super.so/6b4b5d92-904a-4e7b-95bd-914dd1d1528f/files/8008f21a-6ef8-4dde-a4ac-63a10b2c37d9.pdf" TargetMode="External"/><Relationship Id="rId71" Type="http://schemas.openxmlformats.org/officeDocument/2006/relationships/hyperlink" Target="https://inequality.stanford.edu/sites/default/files/media/_media/pdf/key_issues/gender_research.pdf" TargetMode="External"/><Relationship Id="rId92" Type="http://schemas.openxmlformats.org/officeDocument/2006/relationships/hyperlink" Target="file:///C:/Users/Student/Downloads/ethnic-minority-disadvantage-full.pdf" TargetMode="External"/><Relationship Id="rId213" Type="http://schemas.openxmlformats.org/officeDocument/2006/relationships/hyperlink" Target="https://www.proquest.com/docview/2447835853?pq-origsite=gscholar&amp;fromopenview=true&amp;sourcetype=Dissertations%20&amp;%20Theses" TargetMode="External"/><Relationship Id="rId234" Type="http://schemas.openxmlformats.org/officeDocument/2006/relationships/hyperlink" Target="https://janrath.com/downloads/@mixed%20embeddedness%20ijurr.pdf" TargetMode="External"/><Relationship Id="rId420" Type="http://schemas.openxmlformats.org/officeDocument/2006/relationships/hyperlink" Target="file:///C:/Users/Student/Downloads/9780203863053_previewpdf.pdf" TargetMode="External"/><Relationship Id="rId2" Type="http://schemas.openxmlformats.org/officeDocument/2006/relationships/customXml" Target="../customXml/item2.xml"/><Relationship Id="rId29" Type="http://schemas.openxmlformats.org/officeDocument/2006/relationships/hyperlink" Target="https://rgs-ibg.onlinelibrary.wiley.com/doi/epdf/10.1111/area.12528?saml_referrer" TargetMode="External"/><Relationship Id="rId255" Type="http://schemas.openxmlformats.org/officeDocument/2006/relationships/hyperlink" Target="https://link.springer.com/article/10.1007/s10734-016-0016-x" TargetMode="External"/><Relationship Id="rId276" Type="http://schemas.openxmlformats.org/officeDocument/2006/relationships/hyperlink" Target="https://www.taylorfrancis.com/reader/read-online/8746ef53-7055-40db-83f5-035181709d05/book/epub?context=ubx" TargetMode="External"/><Relationship Id="rId297" Type="http://schemas.openxmlformats.org/officeDocument/2006/relationships/hyperlink" Target="https://www.proquest.com/docview/219239252?accountid=130472&amp;parentSessionId=JyBdns9wLCm5C7ZTgtJyDsZwgj55Z1IScOH%2FgKjQVqc%3D&amp;pq-origsite=primo&amp;sourcetype=Scholarly%20Journals" TargetMode="External"/><Relationship Id="rId40" Type="http://schemas.openxmlformats.org/officeDocument/2006/relationships/hyperlink" Target="https://link-springer-com.uwtsd.idm.oclc.org/article/10.1007/s11205-015-0955-0" TargetMode="External"/><Relationship Id="rId115" Type="http://schemas.openxmlformats.org/officeDocument/2006/relationships/hyperlink" Target="https://www.researchgate.net/profile/Chantal-Davies/publication/305187028_The_BME_Student_Experience_At_A_Small_Northern_University_An_Examination_Of_The_Experiences_Of_Minority_Ethnic_Students_Undertaking_Undergraduate_Study_Within_A_Small_Northern_University/links/58d146fe92851ce355c02565/The-BME-Student-Experience-At-A-Small-Northern-University-An-Examination-Of-The-Experiences-Of-Minority-Ethnic-Students-Undertaking-Undergraduate-Study-Within-A-Small-Northern-University.pdf?_sg%5B0%5D=started_experiment_milestone&amp;origin=journalDetail" TargetMode="External"/><Relationship Id="rId136" Type="http://schemas.openxmlformats.org/officeDocument/2006/relationships/hyperlink" Target="https://d1wqtxts1xzle7.cloudfront.net/73264817/DombokaTT_Web13_1__2_-libre.pdf?1634802667=&amp;response-content-disposition=inline%3B+filename%3DThe_Entrepreneurial_Experiences_of_1st_G.pdf&amp;Expires=1775769678&amp;Signature=UFrp8k35FMs2mSucJk-mhxTx42AxKvzF6yN2Xyzaw6edoVg-VnUulebqgn8cHbvHfwq~9saRJde48~NldOYl1jULOxrJG83gX1tUVi5Fo3h~~f~4oxqkuC3ccMsENQ9hYcSdrnHRkFs4IMCx5~xhBtQ0PyG5FpAZhxfxZmeWNazCsNdMDAHpyB-LRiZuMyyt8Nmu32n4pvXWccdWrzxSPpKuU7GZbRsTw2Q~PDzlV2A6NbLOGQEwahEJpCcQGcyDkfEgos2JqRcOkGf~DBSV8Cqjrc3zk7XK4verVr~ZtZ4uBr4P9fW6I~11xWfoQIpM7or~846ze1ri6NVXZUg9LA__&amp;Key-Pair-Id=APKAJLOHF5GGSLRBV4ZA" TargetMode="External"/><Relationship Id="rId157" Type="http://schemas.openxmlformats.org/officeDocument/2006/relationships/hyperlink" Target="https://research-ebsco-com.uwtsd.idm.oclc.org/c/onvpsy/viewer/pdf/aoxbv3hj3f?route=details" TargetMode="External"/><Relationship Id="rId178" Type="http://schemas.openxmlformats.org/officeDocument/2006/relationships/hyperlink" Target="https://www.proquest.com/docview/1222007012?pq-origsite=gscholar&amp;fromopenview=true&amp;sourcetype=Scholarly%20Journals" TargetMode="External"/><Relationship Id="rId301" Type="http://schemas.openxmlformats.org/officeDocument/2006/relationships/hyperlink" Target="https://www.ons.gov.uk/peoplepopulationandcommunity/crimeandjustice/bulletins/crimeinenglandandwales/yearendingmarch2020" TargetMode="External"/><Relationship Id="rId322" Type="http://schemas.openxmlformats.org/officeDocument/2006/relationships/hyperlink" Target="https://www.42ndstreet.org.uk/media/uo3bstoo/we-tell-you-perceptions.pdf" TargetMode="External"/><Relationship Id="rId343" Type="http://schemas.openxmlformats.org/officeDocument/2006/relationships/hyperlink" Target="https://www.researchgate.net/publication/350422267_Using_Lenses_to_Make_Sense_of_Research_A_Review_of_Sharon_M_Ravitch_and_Matthew_Riggan's_Reason_Rigor_How_Conceptual_Frameworks_Guide_Research" TargetMode="External"/><Relationship Id="rId364" Type="http://schemas.openxmlformats.org/officeDocument/2006/relationships/hyperlink" Target="https://www.lse.ac.uk/united-states/Assets/Documents/The-Colour-of-Injustice.pdf" TargetMode="External"/><Relationship Id="rId61" Type="http://schemas.openxmlformats.org/officeDocument/2006/relationships/hyperlink" Target="https://www.birmingham.ac.uk/documents/college-social-sciences/education/reports/advancing-equality-and-higher-education.pdf" TargetMode="External"/><Relationship Id="rId82" Type="http://schemas.openxmlformats.org/officeDocument/2006/relationships/hyperlink" Target="https://www.ethnicity-facts-figures.service.gov.uk/static/race-disparity-audit-summary-findings.pdf" TargetMode="External"/><Relationship Id="rId199" Type="http://schemas.openxmlformats.org/officeDocument/2006/relationships/hyperlink" Target="https://www.hesa.ac.uk/news/25-01-2022/sb262-higher-education-student-statistics" TargetMode="External"/><Relationship Id="rId203" Type="http://schemas.openxmlformats.org/officeDocument/2006/relationships/hyperlink" Target="https://dera.ioe.ac.uk/id/eprint/35006/1/Children-in-Custody-2018-19-Web-1.pdf" TargetMode="External"/><Relationship Id="rId385" Type="http://schemas.openxmlformats.org/officeDocument/2006/relationships/hyperlink" Target="https://www.tandfonline.com/doi/full/10.1080/13613324.2016.1260227" TargetMode="External"/><Relationship Id="rId19" Type="http://schemas.openxmlformats.org/officeDocument/2006/relationships/hyperlink" Target="https://www.sciencedirect.com/science/article/pii/S0738399115300562" TargetMode="External"/><Relationship Id="rId224" Type="http://schemas.openxmlformats.org/officeDocument/2006/relationships/hyperlink" Target="https://onlinelibrary.wiley.com/doi/epdf/10.1002/psp.2646" TargetMode="External"/><Relationship Id="rId245" Type="http://schemas.openxmlformats.org/officeDocument/2006/relationships/hyperlink" Target="https://rgs-ibg.onlinelibrary.wiley.com/doi/epdf/10.1111/geoj.12563" TargetMode="External"/><Relationship Id="rId266" Type="http://schemas.openxmlformats.org/officeDocument/2006/relationships/hyperlink" Target="https://academic.oup.com/jeea/article/17/2/535/4850534?login=true&amp;guestAccessKey=" TargetMode="External"/><Relationship Id="rId287" Type="http://schemas.openxmlformats.org/officeDocument/2006/relationships/hyperlink" Target="https://nyaspubs.onlinelibrary.wiley.com/doi/epdf/10.1111/nyas.14176?saml_referrer" TargetMode="External"/><Relationship Id="rId410" Type="http://schemas.openxmlformats.org/officeDocument/2006/relationships/hyperlink" Target="https://journals.sagepub.com/doi/epub/10.1177/1059601119838689" TargetMode="External"/><Relationship Id="rId431" Type="http://schemas.openxmlformats.org/officeDocument/2006/relationships/glossaryDocument" Target="glossary/document.xml"/><Relationship Id="rId30" Type="http://schemas.openxmlformats.org/officeDocument/2006/relationships/hyperlink" Target="https://www.tandfonline.com/doi/full/10.1080/01596306.2015.1013245?scroll=top&amp;needAccess=true" TargetMode="External"/><Relationship Id="rId105" Type="http://schemas.openxmlformats.org/officeDocument/2006/relationships/hyperlink" Target="https://link.springer.com/article/10.1007/s00127-012-0565-y" TargetMode="External"/><Relationship Id="rId126" Type="http://schemas.openxmlformats.org/officeDocument/2006/relationships/hyperlink" Target="https://www.pacma.org.uk/ligali/pdf/minority_ethnic_attainment.pdf" TargetMode="External"/><Relationship Id="rId147" Type="http://schemas.openxmlformats.org/officeDocument/2006/relationships/hyperlink" Target="https://www.equalityhumanrights.com/sites/default/files/racial-harassment-inquiry-survey-of-university-students.pdf" TargetMode="External"/><Relationship Id="rId168" Type="http://schemas.openxmlformats.org/officeDocument/2006/relationships/hyperlink" Target="https://www.tandfonline.com/doi/full/10.1080/13557858.2014.961410" TargetMode="External"/><Relationship Id="rId312" Type="http://schemas.openxmlformats.org/officeDocument/2006/relationships/hyperlink" Target="https://research.ebsco.com/c/onvpsy/search/details/svyup5bccb?db=bth" TargetMode="External"/><Relationship Id="rId333" Type="http://schemas.openxmlformats.org/officeDocument/2006/relationships/hyperlink" Target="https://www.researchgate.net/profile/Jan-Rath/publication/259345625_Immigrant_businesses_The_economic_political_and_social_environment/links/5ca35cf3a6fdcc12ee8c630c/Immigrant-businesses-The-economic-political-and-social-environment.pdf" TargetMode="External"/><Relationship Id="rId354" Type="http://schemas.openxmlformats.org/officeDocument/2006/relationships/hyperlink" Target="https://www.macrothink.org/journal/index.php/ije/article/view/12799/10231" TargetMode="External"/><Relationship Id="rId51" Type="http://schemas.openxmlformats.org/officeDocument/2006/relationships/hyperlink" Target="https://journals.sagepub.com/doi/full/10.1177/09500170241254794" TargetMode="External"/><Relationship Id="rId72" Type="http://schemas.openxmlformats.org/officeDocument/2006/relationships/hyperlink" Target="https://pubmed.ncbi.nlm.nih.gov/31051808/" TargetMode="External"/><Relationship Id="rId93" Type="http://schemas.openxmlformats.org/officeDocument/2006/relationships/hyperlink" Target="https://cver.lse.ac.uk/textonly/cver/pubs/cverdp015.pdf" TargetMode="External"/><Relationship Id="rId189" Type="http://schemas.openxmlformats.org/officeDocument/2006/relationships/hyperlink" Target="https://www.researchgate.net/profile/Grace-Robinson-8/publication/334633203_Grafting_the_boyz_just_doing_business_Deviant_entrepreneurship_in_street_gangs/links/5d440fb84585153e59355987/Grafting-the-boyz-just-doing-business-Deviant-entrepreneurship-in-street-gangs.pdf" TargetMode="External"/><Relationship Id="rId375" Type="http://schemas.openxmlformats.org/officeDocument/2006/relationships/hyperlink" Target="https://research-ebsco-com.uwtsd.idm.oclc.org/c/onvpsy/viewer/pdf/jtxedwmis5?route=details" TargetMode="External"/><Relationship Id="rId396" Type="http://schemas.openxmlformats.org/officeDocument/2006/relationships/hyperlink" Target="https://www.tandfonline.com/doi/full/10.1080/13613324.2019.1679753?scroll=top&amp;needAccess=true" TargetMode="External"/><Relationship Id="rId3" Type="http://schemas.openxmlformats.org/officeDocument/2006/relationships/customXml" Target="../customXml/item3.xml"/><Relationship Id="rId214" Type="http://schemas.openxmlformats.org/officeDocument/2006/relationships/hyperlink" Target="https://journals-sagepub-com.uwtsd.idm.oclc.org/doi/epdf/10.1111/1467-9280.00272" TargetMode="External"/><Relationship Id="rId235" Type="http://schemas.openxmlformats.org/officeDocument/2006/relationships/hyperlink" Target="https://www.researchgate.net/publication/376453976_Mentoring_across_difference_and_distance_building_effective_virtual_research_opportunities_for_underrepresented_minority_undergraduate_students_in_biological_sciences" TargetMode="External"/><Relationship Id="rId256" Type="http://schemas.openxmlformats.org/officeDocument/2006/relationships/hyperlink" Target="https://www.theguardian.com/uk-news/2020/jan/06/county-lines-dealers-posing-as-students-to-sell-class-a-drugs-experts-warn" TargetMode="External"/><Relationship Id="rId277" Type="http://schemas.openxmlformats.org/officeDocument/2006/relationships/hyperlink" Target="https://www.proquest.com/docview/3191371559?pq-origsite=gscholar&amp;fromopenview=true&amp;sourcetype=Scholarly%20Journals" TargetMode="External"/><Relationship Id="rId298" Type="http://schemas.openxmlformats.org/officeDocument/2006/relationships/hyperlink" Target="https://journals-sagepub-com.uwtsd.idm.oclc.org/doi/abs/10.1177/074880680802500308" TargetMode="External"/><Relationship Id="rId400" Type="http://schemas.openxmlformats.org/officeDocument/2006/relationships/hyperlink" Target="https://onlinelibrary.wiley.com/doi/full/10.1111/spol.12137" TargetMode="External"/><Relationship Id="rId421" Type="http://schemas.openxmlformats.org/officeDocument/2006/relationships/hyperlink" Target="https://www.proquest.com/docview/60087688?accountid=130472&amp;parentSessionId=%2FTisu0e3SNSo13K1%2FbiaolROpiqVdDDB1jYnVh1txvA%3D&amp;pq-origsite=primo&amp;sourcetype=Scholarly%20Journals" TargetMode="External"/><Relationship Id="rId116" Type="http://schemas.openxmlformats.org/officeDocument/2006/relationships/hyperlink" Target="https://www.tandfonline.com/doi/full/10.1080/03075079.2018.1504909?scroll=top&amp;needAccess=true" TargetMode="External"/><Relationship Id="rId137" Type="http://schemas.openxmlformats.org/officeDocument/2006/relationships/hyperlink" Target="https://www.homepages.ucl.ac.uk/~uctpb21/Cpapers/Ethn_2gen_revision_C1.pdf" TargetMode="External"/><Relationship Id="rId158" Type="http://schemas.openxmlformats.org/officeDocument/2006/relationships/hyperlink" Target="https://image.guardian.co.uk/sys-files/Education/documents/2005/11/15/fosterreport.pdf" TargetMode="External"/><Relationship Id="rId302" Type="http://schemas.openxmlformats.org/officeDocument/2006/relationships/hyperlink" Target="https://www.ons.gov.uk/methodology/classificationsandstandards/measuringequality/ethnicgroupnationalidentityandreligion" TargetMode="External"/><Relationship Id="rId323" Type="http://schemas.openxmlformats.org/officeDocument/2006/relationships/hyperlink" Target="https://irr.org.uk/wp-content/uploads/2020/09/How-Black-Working-Class-Youth-are-Criminalised-and-Excluded-in-the-English-School-System.pdf" TargetMode="External"/><Relationship Id="rId344" Type="http://schemas.openxmlformats.org/officeDocument/2006/relationships/hyperlink" Target="https://www.theguardian.com/higher-education-network/2016/jan/19/how-much-does-your-university-do-for-racial-equality" TargetMode="External"/><Relationship Id="rId20" Type="http://schemas.openxmlformats.org/officeDocument/2006/relationships/hyperlink" Target="https://www.proquest.com/docview/3147270343?accountid=130472&amp;parentSessionId=I5v9068LUgq3d3l%2BDaKrTdwBCsMiyd7jxo92VTHw4sg%3D&amp;pq-origsite=primo&amp;sourcetype=Scholarly%20Journals" TargetMode="External"/><Relationship Id="rId41" Type="http://schemas.openxmlformats.org/officeDocument/2006/relationships/hyperlink" Target="https://www.researchgate.net/publication/5490018_What_Are_the_Odds_How_Demographic_Similarity_Affects_the_Prevalence_of_Perceived_Employment_Discrimination" TargetMode="External"/><Relationship Id="rId62" Type="http://schemas.openxmlformats.org/officeDocument/2006/relationships/hyperlink" Target="https://pure-oai.bham.ac.uk/ws/files/94867657/Accepted_version_Bhopal_et_al_BERJ.pdf" TargetMode="External"/><Relationship Id="rId83" Type="http://schemas.openxmlformats.org/officeDocument/2006/relationships/hyperlink" Target="https://hansard.parliament.uk/%E2%80%8CCommons/2000-01-31/debates/0716cebe-5528-42e6-894d-18e715305f63/SchoolExclusions" TargetMode="External"/><Relationship Id="rId179" Type="http://schemas.openxmlformats.org/officeDocument/2006/relationships/hyperlink" Target="https://www.proquest.com/docview/203787580?accountid=130472&amp;parentSessionId=vv%2BXBZK7W11e2sscpNqQ6JmXho7fV8JF3Px56k28iy4%3D&amp;pq-origsite=primo&amp;sourcetype=Scholarly%20Journals" TargetMode="External"/><Relationship Id="rId365" Type="http://schemas.openxmlformats.org/officeDocument/2006/relationships/hyperlink" Target="https://www.annualreviews.org/content/journals/10.1146/annurev-psych-010418-102803" TargetMode="External"/><Relationship Id="rId386" Type="http://schemas.openxmlformats.org/officeDocument/2006/relationships/hyperlink" Target="https://tenetlaw.co.uk/articles/cash-strapped-students-falling-prey-to-money-mule-fraud/" TargetMode="External"/><Relationship Id="rId190" Type="http://schemas.openxmlformats.org/officeDocument/2006/relationships/hyperlink" Target="https://www.researchgate.net/publication/320095448_Critical_Literature_Review_Preparation_Strategies" TargetMode="External"/><Relationship Id="rId204" Type="http://schemas.openxmlformats.org/officeDocument/2006/relationships/hyperlink" Target="https://journals.sagepub.com/doi/abs/10.1177/1473225420902850" TargetMode="External"/><Relationship Id="rId225" Type="http://schemas.openxmlformats.org/officeDocument/2006/relationships/hyperlink" Target="https://www.tandfonline.com/doi/epdf/10.1080/13613324.2021.1890563?needAccess=true" TargetMode="External"/><Relationship Id="rId246" Type="http://schemas.openxmlformats.org/officeDocument/2006/relationships/hyperlink" Target="https://www.equalityhumanrights.com/sites/default/files/pay_gaps_accross_equalities_areas.pdf" TargetMode="External"/><Relationship Id="rId267" Type="http://schemas.openxmlformats.org/officeDocument/2006/relationships/hyperlink" Target="https://www.mentalhealth.org.uk/explore-mental-health/a-z-topics/black-asian-and-minority-ethnic-bame-communities" TargetMode="External"/><Relationship Id="rId288" Type="http://schemas.openxmlformats.org/officeDocument/2006/relationships/hyperlink" Target="https://www.proquest.com/docview/2498995020?accountid=130472&amp;parentSessionId=A7ZW0aoIAZntk2TuRm61ouRU6WRr9Qm1IHCD913gpx4%3D&amp;pq-origsite=primo&amp;sourcetype=Scholarly%20Journals" TargetMode="External"/><Relationship Id="rId411" Type="http://schemas.openxmlformats.org/officeDocument/2006/relationships/hyperlink" Target="https://assets.publishing.service.gov.uk/media/5c6596a7ed915d045f37798c/Modernising_the_Mental_Health_Act_-_increasing_choice__reducing_compulsion.pdf" TargetMode="External"/><Relationship Id="rId432" Type="http://schemas.openxmlformats.org/officeDocument/2006/relationships/theme" Target="theme/theme1.xml"/><Relationship Id="rId106" Type="http://schemas.openxmlformats.org/officeDocument/2006/relationships/hyperlink" Target="https://www.sciencedirect.com/science/article/pii/S1471595301900083" TargetMode="External"/><Relationship Id="rId127" Type="http://schemas.openxmlformats.org/officeDocument/2006/relationships/hyperlink" Target="https://education-uk.org/documents/pdfs/2003-widening-participation-he.pdf" TargetMode="External"/><Relationship Id="rId313" Type="http://schemas.openxmlformats.org/officeDocument/2006/relationships/hyperlink" Target="https://web.archive.org/web/20200217013122id_/https://repository.uel.ac.uk/download/ab4ce0e77fc4ea547a22b9fd9a32178c1fb4955b756d8a52c6d515de31c80543/1514295/2019_PhD_Olutola.pdf" TargetMode="External"/><Relationship Id="rId10" Type="http://schemas.openxmlformats.org/officeDocument/2006/relationships/footnotes" Target="footnotes.xml"/><Relationship Id="rId31" Type="http://schemas.openxmlformats.org/officeDocument/2006/relationships/hyperlink" Target="https://www.tandfonline.com/doi/epdf/10.1080/00131857.2020.1773257?needAccess=true" TargetMode="External"/><Relationship Id="rId52" Type="http://schemas.openxmlformats.org/officeDocument/2006/relationships/hyperlink" Target="https://monoskop.org/images/2/2b/Becker_Howard_Outsiders_Studies_In_The_Sociogy_Of_Deviance_1963.pdf" TargetMode="External"/><Relationship Id="rId73" Type="http://schemas.openxmlformats.org/officeDocument/2006/relationships/hyperlink" Target="https://bera-journals.onlinelibrary.wiley.com/doi/epdf/10.1002/rev3.3196?saml_referrer" TargetMode="External"/><Relationship Id="rId94" Type="http://schemas.openxmlformats.org/officeDocument/2006/relationships/hyperlink" Target="https://www.tandfonline.com/doi/pdf/10.1080/00221546.2000.11780814" TargetMode="External"/><Relationship Id="rId148" Type="http://schemas.openxmlformats.org/officeDocument/2006/relationships/hyperlink" Target="https://www.equalityhumanrights.com/sites/default/files/tackling-racial-harassment-universities-challenged.pdf" TargetMode="External"/><Relationship Id="rId169" Type="http://schemas.openxmlformats.org/officeDocument/2006/relationships/hyperlink" Target="https://dukespace.lib.duke.edu/server/api/core/bitstreams/03e2e477-78d2-4652-b01a-551cd8f3a9ea/content" TargetMode="External"/><Relationship Id="rId334" Type="http://schemas.openxmlformats.org/officeDocument/2006/relationships/hyperlink" Target="https://dera.ioe.ac.uk/id/eprint/6778/1/reach-report.pdf" TargetMode="External"/><Relationship Id="rId355" Type="http://schemas.openxmlformats.org/officeDocument/2006/relationships/hyperlink" Target="https://www.researchgate.net/profile/Toni-Schmader/publication/9089312_Converging_Evidence_That_Stereotype_Threat_Reduces_Working_Memory_Capacity/links/09e41509bc6460a987000000/Converging-Evidence-That-Stereotype-Threat-Reduces-Working-Memory-Capacity.pdf" TargetMode="External"/><Relationship Id="rId376" Type="http://schemas.openxmlformats.org/officeDocument/2006/relationships/hyperlink" Target="https://d1wqtxts1xzle7.cloudfront.net/86343305/EJ1017715-libre.pdf?1653302436=&amp;response-content-disposition=inline%3B+filename%3DMarkets_managerialism_and_teachers_work.pdf&amp;Expires=1775155998&amp;Signature=fSfmEs5uJeVI18jof5McEprj3l6eyvEhfE2cwSjcz5frTA9wJ9uT9QtxRIY-2WVSjReU9gUlzlI31HPokdr06SgNFyGbv69s2fHmsONqHhuHigegqaPHPm-ntHIEiPl~DuUFKTiMC~MHKemUdRHKod5TXML6Tqj19s6KV~14rq8RNJagLOwLIMFzoWLXM25w0XgsZ5fVt09mHhhbLLnYujTM0DI-JBjmeFcz-OQSEN8~HDgS5Xc1sMit4BMayOSFegx3dRALeI7~aPf4hNlQiIfQyX8IogmxQbkobMQ-JFJ7XvNjETKyUkNuQl3hmHatXefmzcTEe8iF0T3KZVwNZg__&amp;Key-Pair-Id=APKAJLOHF5GGSLRBV4ZA" TargetMode="External"/><Relationship Id="rId397" Type="http://schemas.openxmlformats.org/officeDocument/2006/relationships/hyperlink" Target="https://www.proquest.com/docview/1834758207/fulltextPDF/9781775A1E84466APQ/1?accountid=130472&amp;sourcetype=Scholarly%20Journals" TargetMode="External"/><Relationship Id="rId4" Type="http://schemas.openxmlformats.org/officeDocument/2006/relationships/customXml" Target="../customXml/item4.xml"/><Relationship Id="rId180" Type="http://schemas.openxmlformats.org/officeDocument/2006/relationships/hyperlink" Target="https://doi.org/10.51952/9781447342533" TargetMode="External"/><Relationship Id="rId215" Type="http://schemas.openxmlformats.org/officeDocument/2006/relationships/hyperlink" Target="https://www.slideshare.net/slideshow/multicultural-britain-2012-28376057/28376057" TargetMode="External"/><Relationship Id="rId236" Type="http://schemas.openxmlformats.org/officeDocument/2006/relationships/hyperlink" Target="https://www.researchgate.net/profile/Nikita-Hayden/publication/380605644_Reducing_the_Risk_of_Criminal_Exploitation_Using_Multisystemic_Therapy_-the_RESET_Study_Feasibility_study_report_About_the_Youth_Endowment_Fund/links/6645e9e70b0d2845743715ea/Reducing-the-Risk-of-Criminal-Exploitation-Using-Multisystemic-Therapy-the-RESET-Study-Feasibility-study-report-About-the-Youth-Endowment-Fund.pdf" TargetMode="External"/><Relationship Id="rId257" Type="http://schemas.openxmlformats.org/officeDocument/2006/relationships/hyperlink" Target="https://onlinelibrary.wiley.com/doi/full/10.1111/chso.12696" TargetMode="External"/><Relationship Id="rId278" Type="http://schemas.openxmlformats.org/officeDocument/2006/relationships/hyperlink" Target="https://www-tandfonline-com.uwtsd.idm.oclc.org/doi/full/10.1080/17528631.2014.972703" TargetMode="External"/><Relationship Id="rId401" Type="http://schemas.openxmlformats.org/officeDocument/2006/relationships/hyperlink" Target="https://www.researchgate.net/profile/Athina-Vlachantoni/publication/299426883_Pension_receipt_in_the_UK_are_older_individuals_from_ethnic_minorities_disadvantaged/links/57a1bf0308ae5f8b2589ed00/Pension-receipt-in-the-UK-are-older-individuals-from-ethnic-minorities-disadvantaged.pdf" TargetMode="External"/><Relationship Id="rId422" Type="http://schemas.openxmlformats.org/officeDocument/2006/relationships/hyperlink" Target="https://assets.publishing.service.gov.uk/media/5a7e3ab4ed915d74e33f0e47/yjb-exploring-needs-young-black-minority-ethnic-offenders.pdf" TargetMode="External"/><Relationship Id="rId303" Type="http://schemas.openxmlformats.org/officeDocument/2006/relationships/hyperlink" Target="https://www.ons.gov.uk/employmentandlabourmarket/peopleinwork/earningsandworkinghours/articles/ethnicitypaygapsingreatbritain/2018" TargetMode="External"/><Relationship Id="rId42" Type="http://schemas.openxmlformats.org/officeDocument/2006/relationships/hyperlink" Target="https://www.tandfonline.com/doi/epdf/10.1080/03075079.2025.2591802?needAccess=true" TargetMode="External"/><Relationship Id="rId84" Type="http://schemas.openxmlformats.org/officeDocument/2006/relationships/hyperlink" Target="https://www.gov.scot/binaries/content/documents/govscot/publications/factsheet/2017/09/serious-organised-crime-role-communications-reducing-demand-victimisation-fear/documents/00525233-pdf/00525233-pdf/govscot%3Adocument/00525233.pdf" TargetMode="External"/><Relationship Id="rId138" Type="http://schemas.openxmlformats.org/officeDocument/2006/relationships/hyperlink" Target="https://academic-oup-com.uwtsd.idm.oclc.org/oep/article/62/2/209/2362144?login=true&amp;token=eyJhbGciOiJub25lIn0.eyJleHAiOjE3NzgxMDY3NzMsImp0aSI6ImUzMDA3NWQwLTg5MGQtNGZiNi1iZGVmLTIxMmQzYzM2MDQ4ZiJ9" TargetMode="External"/><Relationship Id="rId345" Type="http://schemas.openxmlformats.org/officeDocument/2006/relationships/hyperlink" Target="https://friendsprovidentfoundation.org/wp-content/uploads/2024/01/Financial-Inclusion-Report-2017.pdf" TargetMode="External"/><Relationship Id="rId387" Type="http://schemas.openxmlformats.org/officeDocument/2006/relationships/hyperlink" Target="https://www.centreformentalhealth.org.uk/wp-content/uploads/2018/09/bradley5years.pdf" TargetMode="External"/><Relationship Id="rId191" Type="http://schemas.openxmlformats.org/officeDocument/2006/relationships/hyperlink" Target="https://www.researchgate.net/publication/363938409_Writing_Doctoral_Dissertation_Literature_Review_Identifying_the_Prerequisites_Corequisites_and_the_Iterative_Process_for_Writing_the_Literature" TargetMode="External"/><Relationship Id="rId205" Type="http://schemas.openxmlformats.org/officeDocument/2006/relationships/hyperlink" Target="https://assets.publishing.service.gov.uk/media/5db04463ed915d095f05b66c/police-powers-procedures-mar19-hosb2519.pdf" TargetMode="External"/><Relationship Id="rId247" Type="http://schemas.openxmlformats.org/officeDocument/2006/relationships/hyperlink" Target="https://assets.publishing.service.gov.uk/media/5a75c362ed915d6faf2b57e6/National_minimum_wage_Low_Pay_Commission_report_2013.pdf" TargetMode="External"/><Relationship Id="rId412" Type="http://schemas.openxmlformats.org/officeDocument/2006/relationships/hyperlink" Target="https://www.proquest.com/docview/1948860221?pq-origsite=gscholar&amp;fromopenview=true&amp;sourcetype=Scholarly%20Journals" TargetMode="External"/><Relationship Id="rId107" Type="http://schemas.openxmlformats.org/officeDocument/2006/relationships/hyperlink" Target="https://www-tandfonline-com.uwtsd.idm.oclc.org/doi/full/10.1080/09500790.2011.581509" TargetMode="External"/><Relationship Id="rId289" Type="http://schemas.openxmlformats.org/officeDocument/2006/relationships/hyperlink" Target="https://www.naacpldf.org/wp-content/uploads/Dismantling_the_School_to_Prison_Pipeline-1.pdf" TargetMode="External"/><Relationship Id="rId11" Type="http://schemas.openxmlformats.org/officeDocument/2006/relationships/endnotes" Target="endnotes.xml"/><Relationship Id="rId53" Type="http://schemas.openxmlformats.org/officeDocument/2006/relationships/hyperlink" Target="https://d1wqtxts1xzle7.cloudfront.net/117410645/pdf-libre.pdf?1723540668=&amp;response-content-disposition=inline%3B+filename%3DInvestigating_Change_in_Student_Financia.pdf&amp;Expires=1776081235&amp;Signature=faWc27nveTrRGKkeyr5nqC9sT2hS0Nf1ECfG8ZIOOVWKv1AUtl2nyexw6Bb26JREW115iEv1qJCBx48LVxZZjrYpfa9fht2zIk9EuS7iObN5eDFHkkVyivq4yHzGgAU2lljMH-F0eEELjz~eyZYLNyKOBAL8E24syfq8q0xFN95Iq55bsAdL60BryklZMF7mrM3qEbluKXslSVJ01maPUMxc1Gha0DHJ8qHZGZLsIpfyNZKu2wqYfgE5shVl0SXHMxoQBYyfefsYFlVJPIU3Z70VHsOVcx~YyCrGQlL-xR7Xh3eRJBI~RN8BTXJCbPSjlfW-vgadoxWo~cgi6eUONA__&amp;Key-Pair-Id=APKAJLOHF5GGSLRBV4ZA" TargetMode="External"/><Relationship Id="rId149" Type="http://schemas.openxmlformats.org/officeDocument/2006/relationships/hyperlink" Target="https://www.researchgate.net/profile/Alicia-Robb-2/publication/227458439_Race_and_Entrepreneurial_Success_Black-_Asian-_and_White-Owned_Businesses_in_the_United_States/links/00463527833ccc0038000000/Race-and-Entrepreneurial-Success-Black-Asian-and-White-Owned-Businesses-in-the-United-States.pdf" TargetMode="External"/><Relationship Id="rId314" Type="http://schemas.openxmlformats.org/officeDocument/2006/relationships/hyperlink" Target="https://onlinelibrary.wiley.com/doi/epdf/10.1002/car.2704" TargetMode="External"/><Relationship Id="rId356" Type="http://schemas.openxmlformats.org/officeDocument/2006/relationships/hyperlink" Target="https://www.proquest.com/docview/2307245076?pq-origsite=gscholar&amp;fromopenview=true" TargetMode="External"/><Relationship Id="rId398" Type="http://schemas.openxmlformats.org/officeDocument/2006/relationships/hyperlink" Target="https://committees.parliament.uk/event/19518/formal-meeting-oral-evidence-session/" TargetMode="External"/><Relationship Id="rId95" Type="http://schemas.openxmlformats.org/officeDocument/2006/relationships/hyperlink" Target="https://www.antislaverycommissioner.co.uk/media/2bhhuyiu/csj-jc_criminal_exploitation.pdf" TargetMode="External"/><Relationship Id="rId160" Type="http://schemas.openxmlformats.org/officeDocument/2006/relationships/hyperlink" Target="https://onlinelibrary-wiley-com.uwtsd.idm.oclc.org/doi/epdf/10.1111/1467-6427.12471" TargetMode="External"/><Relationship Id="rId216" Type="http://schemas.openxmlformats.org/officeDocument/2006/relationships/hyperlink" Target="https://rsisinternational.org/journals/ijriss/articles/strategic-management-as-an-essential-part-of-business-development-and-growth/" TargetMode="External"/><Relationship Id="rId423" Type="http://schemas.openxmlformats.org/officeDocument/2006/relationships/hyperlink" Target="https://assets.publishing.service.gov.uk/media/5c51a24c40f0b625422c9603/youth_justice_statistics_bulletin_2017_2018.pdf" TargetMode="External"/><Relationship Id="rId258" Type="http://schemas.openxmlformats.org/officeDocument/2006/relationships/hyperlink" Target="https://www.researchgate.net/publication/350163467_The_peer_mentor_experience_benefits_and_challenges_in_undergraduate_programs" TargetMode="External"/><Relationship Id="rId22" Type="http://schemas.openxmlformats.org/officeDocument/2006/relationships/hyperlink" Target="https://scispace.com/pdf/on-being-included-racism-and-diversity-in-institutional-life-10pznpx6d1.pdf" TargetMode="External"/><Relationship Id="rId64" Type="http://schemas.openxmlformats.org/officeDocument/2006/relationships/hyperlink" Target="https://www.tandfonline.com/doi/full/10.1080/13613324.2020.1718082?scroll=top&amp;needAccess=true" TargetMode="External"/><Relationship Id="rId118" Type="http://schemas.openxmlformats.org/officeDocument/2006/relationships/hyperlink" Target="https://journals.sagepub.com/doi/epub/10.1177/27526461211068511" TargetMode="External"/><Relationship Id="rId325" Type="http://schemas.openxmlformats.org/officeDocument/2006/relationships/hyperlink" Target="https://www.proquest.com/docview/217670496?pq-origsite=gscholar&amp;fromopenview=true&amp;sourcetype=Scholarly%20Journals" TargetMode="External"/><Relationship Id="rId367" Type="http://schemas.openxmlformats.org/officeDocument/2006/relationships/hyperlink" Target="https://www.sciencedirect.com/science/article/pii/S0742051X08000656" TargetMode="External"/><Relationship Id="rId171" Type="http://schemas.openxmlformats.org/officeDocument/2006/relationships/hyperlink" Target="https://ippr-org.files.svdcdn.com/production/Downloads/making-the-difference-summary-october-2017.pdf" TargetMode="External"/><Relationship Id="rId227" Type="http://schemas.openxmlformats.org/officeDocument/2006/relationships/hyperlink" Target="https://www.researchgate.net/profile/Teemu-Kautonen/publication/228314695_Predicting_Entrepreneurial_Behaviour_A_Test_of_the_Theory_of_Planned_Behaviour/links/00b4951a319d94989c000000/Predicting-Entrepreneurial-Behaviour-A-Test-of-the-Theory-of-Planned-Behaviour.pdf?origin=journalDetail&amp;_tp=eyJwYWdlIjoiam91cm5hbERldGFpbCJ9" TargetMode="External"/><Relationship Id="rId269" Type="http://schemas.openxmlformats.org/officeDocument/2006/relationships/hyperlink" Target="https://journals.sagepub.com/doi/epdf/10.1177/0306624X251329944" TargetMode="External"/><Relationship Id="rId33" Type="http://schemas.openxmlformats.org/officeDocument/2006/relationships/hyperlink" Target="https://www.cambridge.org/core/journals/social-policy-and-society/article/what-do-we-know-about-black-and-minority-ethnic-bame-participation-in-uk-higher-education/D603F9ECA65148D8C583653E40DC02EE" TargetMode="External"/><Relationship Id="rId129" Type="http://schemas.openxmlformats.org/officeDocument/2006/relationships/hyperlink" Target="https://journals.sagepub.com/doi/full/10.1177/1473225414530538" TargetMode="External"/><Relationship Id="rId280" Type="http://schemas.openxmlformats.org/officeDocument/2006/relationships/hyperlink" Target="https://muse.jhu.edu/pub/4/article/613174/summary" TargetMode="External"/><Relationship Id="rId336" Type="http://schemas.openxmlformats.org/officeDocument/2006/relationships/hyperlink" Target="https://www.tandfonline.com/doi/full/10.1080/01419870600960362?scroll=top&amp;needAccess=true" TargetMode="External"/><Relationship Id="rId75" Type="http://schemas.openxmlformats.org/officeDocument/2006/relationships/hyperlink" Target="https://davidgauntlett.com/wp-content/uploads/2018/04/gauntlett2011-extract-sc.pdf" TargetMode="External"/><Relationship Id="rId140" Type="http://schemas.openxmlformats.org/officeDocument/2006/relationships/hyperlink" Target="https://assets.publishing.service.gov.uk/media/5c6596e140f0b676df6e4746/Independent_Review_of_the_Mental_Health_Act_1983_-_supporting_documents.pdf" TargetMode="External"/><Relationship Id="rId182" Type="http://schemas.openxmlformats.org/officeDocument/2006/relationships/hyperlink" Target="https://d1wqtxts1xzle7.cloudfront.net/91292606/jpoc.2108020220920-1-vmgjri-libre.pdf?1663663809=&amp;response-content-disposition=inline%3B+filename%3DMental_Health_Inequalities_Facing_U_K_Mi.pdf&amp;Expires=1775781614&amp;Signature=dRSAi5HYNuQHupk-V10pSshOTLbSDlheXYvYoiHVE-ohINWHW4R6dr2AaDlVOlbyRxZfpbS8BgtOSE3IlE02xKBaeR1Oe0eMjvp-ky2UXWSaF2KYySAao9~7iBy~uuHdj~Z~c8diBKtJCKXdq3cZuo3NpzivUIB4PQyTk7Z1QvhMBiVKnf55zdC573exB1CD6LC5WLUuB1nDO8HGQO-Z3L4s1iMcFLXK1I6ktz6RRQFDEPMZm0hCLhwI0kwm0D~6cnV9t1zyaQtDjNfpW8Dx~KfdJiFJUhgCE5uq0lsdCh-AJKRPeKxem5eQy1Xj1xYRvKngDNLtmEQty25cHm6rhw__&amp;Key-Pair-Id=APKAJLOHF5GGSLRBV4ZA" TargetMode="External"/><Relationship Id="rId378" Type="http://schemas.openxmlformats.org/officeDocument/2006/relationships/hyperlink" Target="https://www.researchgate.net/profile/Terrell-Strayhorn/publication/328109869_College_Students'_Sense_of_Belonging/links/5c3a847c92851c22a370cdfd/College-Students-Sense-of-Belonging.pdf" TargetMode="External"/><Relationship Id="rId403" Type="http://schemas.openxmlformats.org/officeDocument/2006/relationships/hyperlink" Target="https://waldinger.scholar.ss.ucla.edu/wp-content/uploads/sites/25/2024/08/B9_EthnicEntrepreneurs.pdf" TargetMode="External"/><Relationship Id="rId6" Type="http://schemas.openxmlformats.org/officeDocument/2006/relationships/numbering" Target="numbering.xml"/><Relationship Id="rId238" Type="http://schemas.openxmlformats.org/officeDocument/2006/relationships/hyperlink" Target="https://www.sciencedirect.com/science/article/pii/S0277953621003130" TargetMode="External"/><Relationship Id="rId291" Type="http://schemas.openxmlformats.org/officeDocument/2006/relationships/hyperlink" Target="https://assets.nationbuilder.com/nus/pages/37/attachments/original/1666093713/Student_Cost_of_Living_-_NUS_report.pdf" TargetMode="External"/><Relationship Id="rId305" Type="http://schemas.openxmlformats.org/officeDocument/2006/relationships/hyperlink" Target="https://www.ons.gov.uk/peoplepopulationandcommunity/personalandhouseholdfinances/incomeandwealth/articles/householdwealthbyethnicitygreatbritain/april2016tomarch2018" TargetMode="External"/><Relationship Id="rId347" Type="http://schemas.openxmlformats.org/officeDocument/2006/relationships/hyperlink" Target="https://www.proquest.com/docview/1938516395?accountid=130472&amp;parentSessionId=x8Hg8E08b%2B%2F2IGXomfxBsOJ0CRyNStKhh2TcNLgEuBs%3D&amp;pq-origsite=primo&amp;sourcetype=Scholarly%20Journals" TargetMode="External"/><Relationship Id="rId44" Type="http://schemas.openxmlformats.org/officeDocument/2006/relationships/hyperlink" Target="https://www.sciencedirect.com/science/article/pii/S0190740920310148" TargetMode="External"/><Relationship Id="rId86" Type="http://schemas.openxmlformats.org/officeDocument/2006/relationships/hyperlink" Target="https://www.sciencedirect.com/science/article/pii/S1471595301900083" TargetMode="External"/><Relationship Id="rId151" Type="http://schemas.openxmlformats.org/officeDocument/2006/relationships/hyperlink" Target="https://journals.sagepub.com/doi/epdf/10.1177/016146810310500606" TargetMode="External"/><Relationship Id="rId389" Type="http://schemas.openxmlformats.org/officeDocument/2006/relationships/hyperlink" Target="https://www.yvcommission.com/_files/ugd/ad2256_d4b4f677734a4a4b86cb5833cfcee53f.pdf" TargetMode="External"/><Relationship Id="rId193" Type="http://schemas.openxmlformats.org/officeDocument/2006/relationships/hyperlink" Target="https://www.researchgate.net/profile/Nazir-Hawi/publication/306048463_The_Relations_Among_Social_Media_Addiction_Self-Esteem_and_Life_Satisfaction_in_University_Students/links/59efa4b6a6fdcce2096dc335/The-Relations-Among-Social-Media-Addiction-Self-Esteem-and-Life-Satisfaction-in-University-Students.pdf" TargetMode="External"/><Relationship Id="rId207" Type="http://schemas.openxmlformats.org/officeDocument/2006/relationships/hyperlink" Target="https://www.parliament.uk/globalassets/documents/commons-committees/home-affairs/Correspondence-19-20/Government-Response-to-the-Committees-Report-on-Serious-Youth-Violence.pdf" TargetMode="External"/><Relationship Id="rId249" Type="http://schemas.openxmlformats.org/officeDocument/2006/relationships/hyperlink" Target="https://www.ijfmr.com/research-paper.php?id=55575" TargetMode="External"/><Relationship Id="rId414" Type="http://schemas.openxmlformats.org/officeDocument/2006/relationships/hyperlink" Target="https://leadingroutes.org/wp-content/uploads/2024/09/The-Broken-Pipeline-Report-Sept-2019-120919-1.pdf" TargetMode="External"/><Relationship Id="rId13" Type="http://schemas.openxmlformats.org/officeDocument/2006/relationships/image" Target="media/image2.png"/><Relationship Id="rId109" Type="http://schemas.openxmlformats.org/officeDocument/2006/relationships/hyperlink" Target="https://www-tandfonline-com.uwtsd.idm.oclc.org/doi/full/10.1080/01425690500293520" TargetMode="External"/><Relationship Id="rId260" Type="http://schemas.openxmlformats.org/officeDocument/2006/relationships/hyperlink" Target="https://dera.ioe.ac.uk/id/eprint/11380/1/DCSF-RR177.pdf" TargetMode="External"/><Relationship Id="rId316" Type="http://schemas.openxmlformats.org/officeDocument/2006/relationships/hyperlink" Target="https://d1wqtxts1xzle7.cloudfront.net/5798856/WJEMSD_V7N1_2011_OSEWA-EDIAE__6_-libre.pdf?1390842968=&amp;response-content-disposition=inline%3B+filename%3DAssessing_the_Sustainability_of_London_B.pdf&amp;Expires=1775766678&amp;Signature=TJpLRqY4nprqzhKJ7RRBgaEZwy3lF0INPfWjXLbHdkw~IiksEBQumnxkxlJh7MHDH9h0NrNYADIIrQP~ZdX8~7Vq7OV8f7bMHTiPOINR2t~z3zYSYLIItPpzFO5L0HdNulhWeWXF5BuCzxXC7zq~mtl73FMrUDMukFnFQaE8i1szcQdERoSh36c2rUDM2D-JnVfRs0gCMG0Qlzz9EAtUYRExzhMpXiHRlc-z-iuyj0bln~T0V-uXbLlc2o14Rp2W6S5u1VNFoLWhJ3aYVInBFEPlqmeM3YzFI~3ps0j2QmtLNdOYYMQknnNLvSLTN3zub2G28FtzplXSqVzJLAZthw__&amp;Key-Pair-Id=APKAJLOHF5GGSLRBV4ZA" TargetMode="External"/><Relationship Id="rId55" Type="http://schemas.openxmlformats.org/officeDocument/2006/relationships/hyperlink" Target="https://research-ebsco-com.uwtsd.idm.oclc.org/c/onvpsy/viewer/pdf/4kcxiegdqn?route=details" TargetMode="External"/><Relationship Id="rId97" Type="http://schemas.openxmlformats.org/officeDocument/2006/relationships/hyperlink" Target="https://statmodeling.stat.columbia.edu/wp-content/uploads/2016/02/chaterjee.pdf" TargetMode="External"/><Relationship Id="rId120" Type="http://schemas.openxmlformats.org/officeDocument/2006/relationships/hyperlink" Target="https://www.lambeth.gov.uk/sites/default/files/2021-06/The_Underachievement_of_Black_Caribbean_Heritage_Pupils_in_Schools-_Research_Brief.pdf" TargetMode="External"/><Relationship Id="rId358" Type="http://schemas.openxmlformats.org/officeDocument/2006/relationships/hyperlink" Target="https://www.scribd.com/document/186524710/Black-Masculinities-and-Schooling-How-Black-Boys-Survive-Modern-Schooling-1997-Blackatk" TargetMode="External"/><Relationship Id="rId162" Type="http://schemas.openxmlformats.org/officeDocument/2006/relationships/hyperlink" Target="https://dukespace.lib.duke.edu/server/api/core/bitstreams/851bc185-5de1-4d80-89b0-4880f643a7b4/content" TargetMode="External"/><Relationship Id="rId218" Type="http://schemas.openxmlformats.org/officeDocument/2006/relationships/hyperlink" Target="https://www.researchgate.net/profile/Carol-Robinson-3/publication/230076115_What_is_meant_by_'support'_in_higher_education_Towards_a_model_of_academic_and_welfare_support/links/5a3a2e2da6fdcc34776b39fc/What-is-meant-by-support-in-higher-education-Towards-a-model-of-academic-and-welfare-support.pdf?_sg%5B0%5D=started_experiment_milestone&amp;origin=journalDetail&amp;_rtd=e30%3D" TargetMode="External"/><Relationship Id="rId425" Type="http://schemas.openxmlformats.org/officeDocument/2006/relationships/hyperlink" Target="https://www.scirp.org/pdf/JSS_2015071612042611.pdf" TargetMode="External"/><Relationship Id="rId271" Type="http://schemas.openxmlformats.org/officeDocument/2006/relationships/hyperlink" Target="https://www.proquest.com/docview/223521602?pq-origsite=gscholar&amp;fromopenview=true&amp;sourcetype=Scholarly%20Journals" TargetMode="External"/><Relationship Id="rId24" Type="http://schemas.openxmlformats.org/officeDocument/2006/relationships/hyperlink" Target="https://assets-global.website-files.com/61488f992b58e687f1108c7c/617bcf1cd124685da56a014c_Aiming%20Higher.pdf" TargetMode="External"/><Relationship Id="rId66" Type="http://schemas.openxmlformats.org/officeDocument/2006/relationships/hyperlink" Target="https://pure-oai.bham.ac.uk/ws/files/39291838/_soton.ac.uk_ude_personalfiles_users_kb4_mydocuments_publications_Teacher_training_article_Sept2014_BJES_sept2014_final_version_3_Jan2015_Race_identity_and_support_in_intital_teach_training_final.pdf" TargetMode="External"/><Relationship Id="rId131" Type="http://schemas.openxmlformats.org/officeDocument/2006/relationships/hyperlink" Target="https://journals.scu.ac.ir/article_17007_b39b8e45eb0a208a18438adc209c3902.pdf" TargetMode="External"/><Relationship Id="rId327" Type="http://schemas.openxmlformats.org/officeDocument/2006/relationships/hyperlink" Target="https://www.tandfonline.com/doi/epdf/10.1111/j.1468-0122.2005.00347.x?needAccess=true" TargetMode="External"/><Relationship Id="rId369" Type="http://schemas.openxmlformats.org/officeDocument/2006/relationships/hyperlink" Target="https://jpaap.ac.uk/JPAAP/article/view/239/pdf" TargetMode="External"/><Relationship Id="rId173" Type="http://schemas.openxmlformats.org/officeDocument/2006/relationships/hyperlink" Target="https://link.springer.com/article/10.1007/s11162-019-09570-y" TargetMode="External"/><Relationship Id="rId229" Type="http://schemas.openxmlformats.org/officeDocument/2006/relationships/hyperlink" Target="https://journals.sagepub.com/doi/epdf/10.1177/0042085905282261" TargetMode="External"/><Relationship Id="rId380" Type="http://schemas.openxmlformats.org/officeDocument/2006/relationships/hyperlink" Target="https://bera-journals.onlinelibrary.wiley.com/doi/epdf/10.1080/01411926.2010.526702" TargetMode="External"/><Relationship Id="rId240" Type="http://schemas.openxmlformats.org/officeDocument/2006/relationships/hyperlink" Target="https://www.sciencedirect.com/science/article/pii/S1469029219302961" TargetMode="External"/><Relationship Id="rId35" Type="http://schemas.openxmlformats.org/officeDocument/2006/relationships/hyperlink" Target="https://www.proquest.com/docview/3150563008?accountid=130472&amp;parentSessionId=ehK2n5HV7VKwoNFFvYN5nnJWKOxF%2FQh3rY6VKIN%2B6Hs%3D&amp;pq-origsite=primo&amp;sourcetype=Scholarly%20Journals" TargetMode="External"/><Relationship Id="rId77" Type="http://schemas.openxmlformats.org/officeDocument/2006/relationships/hyperlink" Target="https://www.researchgate.net/profile/Alan-Tait-3/publication/237705066_On_Institutional_Models_and_Concepts_of_Student_Support_Services_The_Case_of_the_Open_University_UK/links/545001680cf24e8f7374ad42/On-Institutional-Models-and-Concepts-of-Student-Support-Services-The-Case-of-the-Open-University-UK.pdf" TargetMode="External"/><Relationship Id="rId100" Type="http://schemas.openxmlformats.org/officeDocument/2006/relationships/hyperlink" Target="https://www.tandfonline.com/doi/full/10.1080/17439760.2016.1262613" TargetMode="External"/><Relationship Id="rId282" Type="http://schemas.openxmlformats.org/officeDocument/2006/relationships/hyperlink" Target="https://journals.sagepub.com/doi/full/10.1177/20503121211018122" TargetMode="External"/><Relationship Id="rId338" Type="http://schemas.openxmlformats.org/officeDocument/2006/relationships/hyperlink" Target="https://www.researchgate.net/profile/Andrew-Pilkington/publication/327352755_The_Rise_and_Fall_in_the_Salience_of_Race_Equality_in_Higher_Education_Racism_Whiteness_and_Decolonising_the_Academy/links/641b181692cfd54f842051f3/The-Rise-and-Fall-in-the-Salience-of-Race-Equality-in-Higher-Education-Racism-Whiteness-and-Decolonising-the-Academy.pdf" TargetMode="External"/><Relationship Id="rId8" Type="http://schemas.openxmlformats.org/officeDocument/2006/relationships/settings" Target="settings.xml"/><Relationship Id="rId142" Type="http://schemas.openxmlformats.org/officeDocument/2006/relationships/hyperlink" Target="https://www.ethndis.org/supplementarchive/files/ethndis-28-485.pdf" TargetMode="External"/><Relationship Id="rId184" Type="http://schemas.openxmlformats.org/officeDocument/2006/relationships/hyperlink" Target="https://www.scienceopen.com/document_file/3c93c772-01f0-4a81-a069-cb06feb2bc49/PubMedCentral/3c93c772-01f0-4a81-a069-cb06feb2bc49.pdf" TargetMode="External"/><Relationship Id="rId391" Type="http://schemas.openxmlformats.org/officeDocument/2006/relationships/hyperlink" Target="https://nigerianjournalofmanagementsciences.com/wp-content/uploads/2022/03/6.-ACADEMIC-MENTORSHIP-AND-LECTURERS-PERFORMANCE.pdf" TargetMode="External"/><Relationship Id="rId405" Type="http://schemas.openxmlformats.org/officeDocument/2006/relationships/hyperlink" Target="https://d1wqtxts1xzle7.cloudfront.net/37709261/Critical_Reading_and_Writing_for_Postgraduates_by_Mike_Wallace_and_Alison_Wray-libre.pdf?1432312560=&amp;response-content-disposition=inline%3B+filename%3DCritical_Reading_and_Writing_for_Postgra.pdf&amp;Expires=1776357952&amp;Signature=Opv6f4Mx59~DzO9A3dMvf2Ubs-5ulpUVKLmdJoKGe5qYeiNZMvplPRZ9YoWeJ5ExOQSc9D7lTIqlIHUiM2I~VzNnLUJlqMxLAscRcDzNTxr4-SlLHpj6mXMjHGiF47ZzNJ6XfKyCn2hC0BbSs8dU-yaSaBx33DzbuJkpbTq26sDdeEUKh6psRcUUFitYtfEvMD42t2ORxJta3IcczfgB9ftkIhWMxGXPZQSZ2JFW1by1W3QU~Sw01eAMz1r3Na1P~5M-MGPjHFIo0crCpUKh~OO0QvSm23pmeeE5-ZtFvkahljxyOkG5w1ENHszYE0JVSujLE40VyemNeHAAmkP2eQ__&amp;Key-Pair-Id=APKAJLOHF5GGSLRBV4ZA" TargetMode="External"/><Relationship Id="rId251" Type="http://schemas.openxmlformats.org/officeDocument/2006/relationships/hyperlink" Target="https://assets.publishing.service.gov.uk/media/5a7c2af540f0b645ba3c7202/4262.pdf" TargetMode="External"/><Relationship Id="rId46" Type="http://schemas.openxmlformats.org/officeDocument/2006/relationships/hyperlink" Target="https://www.craigbarlow.co.uk/_webedit/uploaded-files/All%20Files/Shanna's%20Folder/Barlow%20et%20al%20Circles%20of%20Analysis%202021.pdf" TargetMode="External"/><Relationship Id="rId293" Type="http://schemas.openxmlformats.org/officeDocument/2006/relationships/hyperlink" Target="https://bura.brunel.ac.uk/bitstream/2438/30026/1/FullText.pdf" TargetMode="External"/><Relationship Id="rId307" Type="http://schemas.openxmlformats.org/officeDocument/2006/relationships/hyperlink" Target="https://assets.childrenscommissioner.gov.uk/wpuploads/2017/07/They-never-give-up-on-you-final-report.pdf" TargetMode="External"/><Relationship Id="rId349" Type="http://schemas.openxmlformats.org/officeDocument/2006/relationships/hyperlink" Target="https://files.libcom.org/files/%5BFrantz_Fanon%5D_Black_Skin,_White_Masks_(Pluto_Clas(BookZZ.org).pdf" TargetMode="External"/><Relationship Id="rId88" Type="http://schemas.openxmlformats.org/officeDocument/2006/relationships/hyperlink" Target="https://www.proquest.com/docview/1979951403?accountid=130472&amp;parentSessionId=f6cKqzqBHyk%2FLvNnXWVhNyws3Ygug9z%2FoL3VgUClEbA%3D&amp;pq-origsite=primo&amp;sourcetype=Scholarly%20Journals" TargetMode="External"/><Relationship Id="rId111" Type="http://schemas.openxmlformats.org/officeDocument/2006/relationships/hyperlink" Target="https://www.researchgate.net/publication/372265412_Does_Mentoring_Directly_Improve_Students'_Research_Skills_Examining_the_Role_of_Information_Literacy_and_Competency_Development" TargetMode="External"/><Relationship Id="rId153" Type="http://schemas.openxmlformats.org/officeDocument/2006/relationships/hyperlink" Target="https://irr.org.uk/wp-content/uploads/2020/09/How-Black-Working-Class-Youth-are-Criminalised-and-Excluded-in-the-English-School-System.pdf" TargetMode="External"/><Relationship Id="rId195" Type="http://schemas.openxmlformats.org/officeDocument/2006/relationships/hyperlink" Target="https://www.researchgate.net/profile/Sin-Yi-Cheung/publication/265248323_Ethnic_Penalties_in_the_Labour_Market_Employers_and_Discrimination/links/5dc15e494585151435e9a056/Ethnic-Penalties-in-the-Labour-Market-Employers-and-Discrimination.pdf" TargetMode="External"/><Relationship Id="rId209" Type="http://schemas.openxmlformats.org/officeDocument/2006/relationships/hyperlink" Target="https://publications.parliament.uk/pa/cm200607/cmselect/cmhaff/181/181ii.pdf" TargetMode="External"/><Relationship Id="rId360" Type="http://schemas.openxmlformats.org/officeDocument/2006/relationships/hyperlink" Target="https://www.google.co.uk/books/edition/The_RoutledgeFalmer_Reader_in_Multicultu/thrQK0UPziEC?hl=en&amp;gbpv=1&amp;dq=Loose+cannons,+exploding+the+myth+of+the+%E2%80%98black+macho%E2%80%99+lad,+in+manifesto:+education+for+change&amp;pg=PA103&amp;printsec=frontcover" TargetMode="External"/><Relationship Id="rId416" Type="http://schemas.openxmlformats.org/officeDocument/2006/relationships/hyperlink" Target="https://research-ebsco-com.uwtsd.idm.oclc.org/c/onvpsy/viewer/pdf/xrhxo4xdjz?route=details" TargetMode="External"/><Relationship Id="rId220" Type="http://schemas.openxmlformats.org/officeDocument/2006/relationships/hyperlink" Target="https://pmc.ncbi.nlm.nih.gov/articles/PMC8223175/pdf/S2059866121000248a.pdf" TargetMode="External"/><Relationship Id="rId15" Type="http://schemas.openxmlformats.org/officeDocument/2006/relationships/image" Target="media/image4.png"/><Relationship Id="rId57" Type="http://schemas.openxmlformats.org/officeDocument/2006/relationships/hyperlink" Target="https://www.researchgate.net/publication/226795096_Labeling_Theory" TargetMode="External"/><Relationship Id="rId262" Type="http://schemas.openxmlformats.org/officeDocument/2006/relationships/hyperlink" Target="https://journals.sagepub.com/doi/epub/10.1177/1474022215618513" TargetMode="External"/><Relationship Id="rId318" Type="http://schemas.openxmlformats.org/officeDocument/2006/relationships/hyperlink" Target="https://dera.ioe.ac.uk/id/eprint/4577/1/RR307.pdf" TargetMode="External"/><Relationship Id="rId99" Type="http://schemas.openxmlformats.org/officeDocument/2006/relationships/hyperlink" Target="https://www-jstor-org.uwtsd.idm.oclc.org/stable/2535238?sid=primo&amp;seq=" TargetMode="External"/><Relationship Id="rId122" Type="http://schemas.openxmlformats.org/officeDocument/2006/relationships/hyperlink" Target="https://assets.publishing.service.gov.uk/media/5a74eacde5274a59fa715f9d/BIS-15-604-english-apprenticeships-our-2020-vision.pdf" TargetMode="External"/><Relationship Id="rId164" Type="http://schemas.openxmlformats.org/officeDocument/2006/relationships/hyperlink" Target="https://journals.sagepub.com/doi/full/10.1016/j.brq.2018.06.002" TargetMode="External"/><Relationship Id="rId371" Type="http://schemas.openxmlformats.org/officeDocument/2006/relationships/hyperlink" Target="https://researchonline.gcu.ac.uk/ws/portalfiles/portal/58499336/A_multi_institutional_exploration_of_the_social_mobility_potential_of_degree_apprenticeships.pdf" TargetMode="External"/><Relationship Id="rId427" Type="http://schemas.openxmlformats.org/officeDocument/2006/relationships/hyperlink" Target="https://www.researchgate.net/profile/Anton-Aluja/publication/328389082_Measures_of_Sensation_Seeking/links/5bc9e442458515f7d9c9e297/Measures-of-Sensation-Seeking.pdf" TargetMode="External"/><Relationship Id="rId26" Type="http://schemas.openxmlformats.org/officeDocument/2006/relationships/hyperlink" Target="https://www.researchgate.net/profile/L-Brown-6/publication/44209514_Social_Entrepreneurship_Leadership_that_Facilitates_Societal_Transformation-An_Exploratory_Study/links/590f9fed4585159781875697/Social-Entrepreneurship-Leadership-that-Facilitates-Societal-Transformation-An-Exploratory-Study.pdf" TargetMode="External"/><Relationship Id="rId231" Type="http://schemas.openxmlformats.org/officeDocument/2006/relationships/hyperlink" Target="https://d1wqtxts1xzle7.cloudfront.net/31960835/whydoassetsmatter-libre.pdf?1392477046=&amp;response-content-disposition=inline%3B+filename%3DAssets_Equality_and_Ethnicity_Building_t.pdf&amp;Expires=1775689111&amp;Signature=IH2JeFRdMVlsBn0ycQglf4Nm6r5eh2R~cquiKr6ZJH8Xjz9b6gsYf4WPdk7ns38raUQlUHRcjxP7S0S~rQaUNjxuDM3lJaW1O5PEQRfb4Q0OwdK3eaaDu4BO8wMfZ5zcs8vjPfzV~dHmpZS-qBTDk6Vp6Y5VhTORfuI7YWMGrxUCXHcnEYlMx~wxz~eZbjewUuNQdTxRlmq1arp7R67-LraaLG6SWxAPHFtni77kBaRuVwAYj4SM~LYG7AXdqXQNSJEYX~jmXqxWhCJoshM-h809MS1zJD7UCdkfXFgYhceCl5sfHDZ7JYOFVkU~7I95klY3MEDeE7-TryXeZH5ILw__&amp;Key-Pair-Id=APKAJLOHF5GGSLRBV4ZA" TargetMode="External"/><Relationship Id="rId273" Type="http://schemas.openxmlformats.org/officeDocument/2006/relationships/hyperlink" Target="https://assets.publishing.service.gov.uk/government/uploads/system/uploads/attachment_data/file/849200/statistics-on-race-and-the-cjs-2018.pdf" TargetMode="External"/><Relationship Id="rId329" Type="http://schemas.openxmlformats.org/officeDocument/2006/relationships/hyperlink" Target="https://assets.publishing.service.gov.uk/media/5ceeb35740f0b62373577770/Review_of_post_18_education_and_funding.pdf" TargetMode="External"/><Relationship Id="rId68" Type="http://schemas.openxmlformats.org/officeDocument/2006/relationships/hyperlink" Target="https://raceequalityfoundation.org.uk/wp-content/uploads/2022/10/mental-health-report-v5-2-2.pdf" TargetMode="External"/><Relationship Id="rId133" Type="http://schemas.openxmlformats.org/officeDocument/2006/relationships/hyperlink" Target="https://waynenorthey.com/wp-content/uploads/2017/11/WhiteFragilityDiAngelo-2011.pdf" TargetMode="External"/><Relationship Id="rId175" Type="http://schemas.openxmlformats.org/officeDocument/2006/relationships/hyperlink" Target="https://d1wqtxts1xzle7.cloudfront.net/46940250/0007131012007116020160701-1486-1mqqhli-libre.pdf?1467412166=&amp;response-content-disposition=inline%3B+filename%3DPension_prospects_of_minority_ethnic_gro.pdf&amp;Expires=1775683959&amp;Signature=ELDFyrmfesLGPeMo0Im0ECcBkFhY4x~mZnKnhXE9cjapnKzMSYVdUFOFWBs8KxJGbsjSVM1E2uloL~IJVF14w25rF040cqaFsV-dcYR7D-25RtqNuWLrYP5IGhbHLvQxOIzRV6QuDpXAkMIpagznfJZL3xgihHTIzuuFstvvkaHRpEqLfrGIrIA6JZvV-AUNNJVUNEepHdhRY8vGE2ioD9QGnDoDigyl-0hRkUQMLi8y5p63N7DPY1xWmu6jCGI0kP9aB~0B1bCBCw4F7CDQM3gLMK3gQpauhvvnUUz1FBfSHB8ZmFH6eq~pAUsHbFxgw0zlmBmLXPlPHEMq9kikMg__&amp;Key-Pair-Id=APKAJLOHF5GGSLRBV4ZA" TargetMode="External"/><Relationship Id="rId340" Type="http://schemas.openxmlformats.org/officeDocument/2006/relationships/hyperlink" Target="https://d1wqtxts1xzle7.cloudfront.net/61838731/Working_County_Lines20200120-19345-1hslymw-libre.pdf?1579536193=&amp;response-content-disposition=inline%3B+filename%3DWorking_County_Lines_Child_Criminal_Expl.pdf&amp;Expires=1776092936&amp;Signature=V~bYRwqGR-RkDmPZQLYAfU7nVTUQxhaBEiw0~1lumkFtZVYAORq3B-EmrkaKRz9xnpiQJqHztayjGE-YHmEdfDyv8FOlRsaCaCTa5UtoZoF19cImWcZnhF0ZN4WpHwain-DcDl1YfV74O~4yBae73VhsilxFgUXygUffR3DA2zX3CySDJJyj66n3hJGa9Zd3NR428SHMQGXOaxEIrrE26yJ67MBl2gJAfVAGhrvjl5YVO8EZ3tv4XHcVLFhgz8N0F8SFIG2CpHdqmYWPmbpYDFQgMFAEWZaFpupdxu20SaHaKCxYiAVQ0aTo09M0buscOlPW1~N8F3Ew3C7ct5iFEA__&amp;Key-Pair-Id=APKAJLOHF5GGSLRBV4ZA" TargetMode="External"/><Relationship Id="rId200" Type="http://schemas.openxmlformats.org/officeDocument/2006/relationships/hyperlink" Target="https://research.ebsco.com/c/onvpsy/search/details/tyulp2fasf?db=aph" TargetMode="External"/><Relationship Id="rId382" Type="http://schemas.openxmlformats.org/officeDocument/2006/relationships/hyperlink" Target="https://faculty.washington.edu/heagerty/Courses/b572/public/StrunkWhite.pdf" TargetMode="External"/><Relationship Id="rId242" Type="http://schemas.openxmlformats.org/officeDocument/2006/relationships/hyperlink" Target="https://www.tandfonline.com/doi/epdf/10.1080/13613320120117180?needAccess=true" TargetMode="External"/><Relationship Id="rId284" Type="http://schemas.openxmlformats.org/officeDocument/2006/relationships/hyperlink" Target="https://www.researchgate.net/profile/Peter-Jones-65/publication/318527587_Ethnicity_and_long-term_course_and_outcome_of_psychotic_disorders_in_a_UK_sample_the_AESOP-10_study/links/598865a845851560584f49b9/Ethnicity-and-long-term-course-and-outcome-of-psychotic-disorders-in-a-UK-sample-the-AESOP-10-study.pdf" TargetMode="External"/><Relationship Id="rId37" Type="http://schemas.openxmlformats.org/officeDocument/2006/relationships/hyperlink" Target="https://journals.sagepub.com/doi/full/10.1177/0306624X211058960" TargetMode="External"/><Relationship Id="rId79" Type="http://schemas.openxmlformats.org/officeDocument/2006/relationships/hyperlink" Target="https://link.springer.com/article/10.1007/s00127-014-0900-6" TargetMode="External"/><Relationship Id="rId102" Type="http://schemas.openxmlformats.org/officeDocument/2006/relationships/hyperlink" Target="https://assets.publishing.service.gov.uk/media/6062ddb1d3bf7f5ce1060aa4/20210331_-_CRED_Report_-_FINAL_-_Web_Accessible.pdf" TargetMode="External"/><Relationship Id="rId144" Type="http://schemas.openxmlformats.org/officeDocument/2006/relationships/hyperlink" Target="https://link.springer.com/article/10.1007/s11013-013-9322-2" TargetMode="External"/><Relationship Id="rId90" Type="http://schemas.openxmlformats.org/officeDocument/2006/relationships/hyperlink" Target="https://www-jstor-org.uwtsd.idm.oclc.org/stable/10.1086/588738?seq=1" TargetMode="External"/><Relationship Id="rId186" Type="http://schemas.openxmlformats.org/officeDocument/2006/relationships/hyperlink" Target="https://www.tandfonline.com/doi/full/10.1080/13562517.2012.752725?scroll=top&amp;needAccess=true" TargetMode="External"/><Relationship Id="rId351" Type="http://schemas.openxmlformats.org/officeDocument/2006/relationships/hyperlink" Target="https://www.tandfonline.com/doi/full/10.1080/17521882.2011.596485?scroll=top&amp;needAccess=true" TargetMode="External"/><Relationship Id="rId393" Type="http://schemas.openxmlformats.org/officeDocument/2006/relationships/hyperlink" Target="https://onlinelibrary.wiley.com/doi/epdf/10.1111/1467-8551.00375?saml_referrer" TargetMode="External"/><Relationship Id="rId407" Type="http://schemas.openxmlformats.org/officeDocument/2006/relationships/hyperlink" Target="https://pmc.ncbi.nlm.nih.gov/articles/PMC4984732/" TargetMode="External"/><Relationship Id="rId211" Type="http://schemas.openxmlformats.org/officeDocument/2006/relationships/hyperlink" Target="https://journals.sagepub.com/doi/full/10.1177/1521025121991502" TargetMode="External"/><Relationship Id="rId253" Type="http://schemas.openxmlformats.org/officeDocument/2006/relationships/hyperlink" Target="https://d1wqtxts1xzle7.cloudfront.net/34201041/Mahony_emot-libre.pdf?1405381030=&amp;response-content-disposition=inline%3B+filename%3DThe_emotional_impact_of_performance_rela.pdf&amp;Expires=1775158651&amp;Signature=eBvQPGDO2Z4XvbKb0Sdv5u--CNkTe0ja1SDxW1lIzZ0keevCSZcsh0R4fDbj6abMxgF~PieAio2fWO09jjcaanCB6dQ0IuGeMH5z-E7gHyC2tiDvTxKOd2ciEAW6-XJwP6vSk-2N9YoTOFfXvjmnx1ioOvQC~hl6a1ELCZUe4nCmIo7EY3WHULVq0TKuA9s-pV-NnIWAiX4XpjATg5d9ZzcjrxZnz7fexWa9bag--HsAJyIau6URZWZG49IAMPCuyPM9yWCEbivGPaVtda1PnzdJR5FHz8zputwJMgW4DJhX5N48GOF0uARGPzUsR9dQTg-G1nYVLtfTecddS6LUaQ__&amp;Key-Pair-Id=APKAJLOHF5GGSLRBV4ZA" TargetMode="External"/><Relationship Id="rId295" Type="http://schemas.openxmlformats.org/officeDocument/2006/relationships/hyperlink" Target="https://e-journal.uum.edu.my/index.php/uumjls/en/article/view/uumjls.6.2015.4585/596" TargetMode="External"/><Relationship Id="rId309" Type="http://schemas.openxmlformats.org/officeDocument/2006/relationships/hyperlink" Target="https://dera.ioe.ac.uk/id/eprint/5547/1/Race%20equality%20in%20further%20education%20a%20report%20by%20HMI%20progress%20and%20good%20practice%20in%20colleges%20in%20the%20further%20education%20sector%20in%20response%20to%20the%20Race%20Relations%20%28Amendment%29%20Act%202000%20%28PDF%20format.pdf" TargetMode="External"/><Relationship Id="rId48" Type="http://schemas.openxmlformats.org/officeDocument/2006/relationships/hyperlink" Target="https://hansard.parliament.uk/lords/1998-05-11/debates/1e326b1c-8df8-491c-a86d-12c20d775bc8/SocialExclusionUnit" TargetMode="External"/><Relationship Id="rId113" Type="http://schemas.openxmlformats.org/officeDocument/2006/relationships/hyperlink" Target="https://link.springer.com/article/10.1186/s12916-018-1035-5" TargetMode="External"/><Relationship Id="rId320" Type="http://schemas.openxmlformats.org/officeDocument/2006/relationships/hyperlink" Target="https://www.pensionspolicyinstitute.org.uk/media/bmekgzsr/20250627-ppi-uk-pensions-primer.pdf" TargetMode="External"/><Relationship Id="rId155" Type="http://schemas.openxmlformats.org/officeDocument/2006/relationships/hyperlink" Target="https://research.ebsco.com/c/onvpsy/search/details/nqsf3nt66n?db=eue" TargetMode="External"/><Relationship Id="rId197" Type="http://schemas.openxmlformats.org/officeDocument/2006/relationships/hyperlink" Target="https://files.eric.ed.gov/fulltext/EJ1187109.pdf" TargetMode="External"/><Relationship Id="rId362" Type="http://schemas.openxmlformats.org/officeDocument/2006/relationships/hyperlink" Target="https://theconversation.com/decolonising-the-curriculum-its-time-for-a-strategy-60598" TargetMode="External"/><Relationship Id="rId418" Type="http://schemas.openxmlformats.org/officeDocument/2006/relationships/hyperlink" Target="https://link.springer.com/article/10.1186/1741-7015-11-20" TargetMode="External"/><Relationship Id="rId222" Type="http://schemas.openxmlformats.org/officeDocument/2006/relationships/hyperlink" Target="https://journals.sagepub.com/doi/epub/10.1177/0020872818808557" TargetMode="External"/><Relationship Id="rId264" Type="http://schemas.openxmlformats.org/officeDocument/2006/relationships/hyperlink" Target="https://assets.publishing.service.gov.uk/media/5a7f81c6ed915d74e33f6dc4/race-in-workplace-mcgregor-smith-review.pdf" TargetMode="External"/><Relationship Id="rId17" Type="http://schemas.openxmlformats.org/officeDocument/2006/relationships/image" Target="media/image6.png"/><Relationship Id="rId59" Type="http://schemas.openxmlformats.org/officeDocument/2006/relationships/hyperlink" Target="https://link.springer.com/article/10.1007/s00127-021-02035-7" TargetMode="External"/><Relationship Id="rId124" Type="http://schemas.openxmlformats.org/officeDocument/2006/relationships/hyperlink" Target="https://assets.publishing.service.gov.uk/media/5a81f13840f0b62302699feb/SFR35_2017_text.pdf" TargetMode="External"/><Relationship Id="rId70" Type="http://schemas.openxmlformats.org/officeDocument/2006/relationships/hyperlink" Target="https://www.thinknpc.org/wp-content/uploads/2018/07/Short-changed.pdf" TargetMode="External"/><Relationship Id="rId166" Type="http://schemas.openxmlformats.org/officeDocument/2006/relationships/hyperlink" Target="https://www.theguardian.com/politics/2019/aug/03/priti-patel-home-secretary-wants-criminals-to-literally-feel-terror" TargetMode="External"/><Relationship Id="rId331" Type="http://schemas.openxmlformats.org/officeDocument/2006/relationships/hyperlink" Target="https://www.researchgate.net/profile/Robert-Smith-23/publication/310488545_What_influences_ethnic_entrepreneurs'_decision_to_start-up_Some_evidence_from_Aberdeen_Scotland/links/5c31eb45299bf12be3b24802/What-influences-ethnic-entrepreneurs-decision-to-start-up-Some-evidence-from-Aberdeen-Scotland.pdf" TargetMode="External"/><Relationship Id="rId373" Type="http://schemas.openxmlformats.org/officeDocument/2006/relationships/hyperlink" Target="https://sure.sunderland.ac.uk/id/eprint/19878/1/Apprenticeship%20as%20Social%20Leveller_%20A%20Critical%20Exploration%20of%20Vocational%20Pathways%20through%20a%20Social%20Justice%20Lens.pdf" TargetMode="External"/><Relationship Id="rId42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61EB898645F49CD894CA822151B4A57"/>
        <w:category>
          <w:name w:val="General"/>
          <w:gallery w:val="placeholder"/>
        </w:category>
        <w:types>
          <w:type w:val="bbPlcHdr"/>
        </w:types>
        <w:behaviors>
          <w:behavior w:val="content"/>
        </w:behaviors>
        <w:guid w:val="{10561596-2BC2-45EB-BC51-ABAD09748BF6}"/>
      </w:docPartPr>
      <w:docPartBody>
        <w:p w:rsidR="00AD7E78" w:rsidRDefault="00CB7DBF" w:rsidP="00CB7DBF">
          <w:pPr>
            <w:pStyle w:val="661EB898645F49CD894CA822151B4A57"/>
          </w:pPr>
          <w:r>
            <w:rPr>
              <w:rFonts w:asciiTheme="majorHAnsi" w:eastAsiaTheme="majorEastAsia" w:hAnsiTheme="majorHAnsi" w:cstheme="majorBidi"/>
              <w:caps/>
              <w:color w:val="156082" w:themeColor="accent1"/>
              <w:sz w:val="80"/>
              <w:szCs w:val="80"/>
            </w:rPr>
            <w:t>[Document title]</w:t>
          </w:r>
        </w:p>
      </w:docPartBody>
    </w:docPart>
    <w:docPart>
      <w:docPartPr>
        <w:name w:val="A01BDDF07F404A2D9728E8369F115D27"/>
        <w:category>
          <w:name w:val="General"/>
          <w:gallery w:val="placeholder"/>
        </w:category>
        <w:types>
          <w:type w:val="bbPlcHdr"/>
        </w:types>
        <w:behaviors>
          <w:behavior w:val="content"/>
        </w:behaviors>
        <w:guid w:val="{444AA998-F348-438A-99EB-1938AF3AFC28}"/>
      </w:docPartPr>
      <w:docPartBody>
        <w:p w:rsidR="00AD7E78" w:rsidRDefault="00CB7DBF" w:rsidP="00CB7DBF">
          <w:pPr>
            <w:pStyle w:val="A01BDDF07F404A2D9728E8369F115D2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DBF"/>
    <w:rsid w:val="0004192D"/>
    <w:rsid w:val="000C267E"/>
    <w:rsid w:val="002A7C54"/>
    <w:rsid w:val="00337F95"/>
    <w:rsid w:val="00396445"/>
    <w:rsid w:val="005A057E"/>
    <w:rsid w:val="005F390C"/>
    <w:rsid w:val="00615D69"/>
    <w:rsid w:val="00691FE2"/>
    <w:rsid w:val="006C0038"/>
    <w:rsid w:val="007475CF"/>
    <w:rsid w:val="008B4FAD"/>
    <w:rsid w:val="00AD7E78"/>
    <w:rsid w:val="00AF5E42"/>
    <w:rsid w:val="00BD44A7"/>
    <w:rsid w:val="00CB7DBF"/>
    <w:rsid w:val="00D03406"/>
    <w:rsid w:val="00D37B55"/>
    <w:rsid w:val="00E03FB9"/>
    <w:rsid w:val="00E17B32"/>
    <w:rsid w:val="00F40ECC"/>
    <w:rsid w:val="00FF6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1EB898645F49CD894CA822151B4A57">
    <w:name w:val="661EB898645F49CD894CA822151B4A57"/>
    <w:rsid w:val="00CB7DBF"/>
  </w:style>
  <w:style w:type="paragraph" w:customStyle="1" w:styleId="A01BDDF07F404A2D9728E8369F115D27">
    <w:name w:val="A01BDDF07F404A2D9728E8369F115D27"/>
    <w:rsid w:val="00CB7D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2026-03-26T00:00:00</PublishDate>
  <Abstract/>
  <CompanyAddress>Lecturer: Dr Mansoob Murshed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17" ma:contentTypeDescription="Create a new document." ma:contentTypeScope="" ma:versionID="1857b8087821548aee4f057ec1eb328f">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37b4ab918893779bd97285494ecefad"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CR"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fe17946d-473b-4586-81ce-d4c04b62bab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39CE72-63ED-4AA6-81BE-4EAC4C4BDD0C}">
  <ds:schemaRefs>
    <ds:schemaRef ds:uri="http://schemas.openxmlformats.org/officeDocument/2006/bibliography"/>
  </ds:schemaRefs>
</ds:datastoreItem>
</file>

<file path=customXml/itemProps3.xml><?xml version="1.0" encoding="utf-8"?>
<ds:datastoreItem xmlns:ds="http://schemas.openxmlformats.org/officeDocument/2006/customXml" ds:itemID="{0615C1C7-185E-429F-8520-A6CA6F391261}">
  <ds:schemaRefs>
    <ds:schemaRef ds:uri="http://schemas.microsoft.com/sharepoint/v3/contenttype/forms"/>
  </ds:schemaRefs>
</ds:datastoreItem>
</file>

<file path=customXml/itemProps4.xml><?xml version="1.0" encoding="utf-8"?>
<ds:datastoreItem xmlns:ds="http://schemas.openxmlformats.org/officeDocument/2006/customXml" ds:itemID="{37763A8A-DA2F-407B-AFE5-DEF1F4545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DB1B5D1-1CBF-46AD-A2BB-D52417A19751}">
  <ds:schemaRefs>
    <ds:schemaRef ds:uri="http://schemas.microsoft.com/office/2006/metadata/properties"/>
    <ds:schemaRef ds:uri="http://schemas.microsoft.com/office/infopath/2007/PartnerControls"/>
    <ds:schemaRef ds:uri="fe17946d-473b-4586-81ce-d4c04b62babd"/>
  </ds:schemaRefs>
</ds:datastoreItem>
</file>

<file path=docProps/app.xml><?xml version="1.0" encoding="utf-8"?>
<Properties xmlns="http://schemas.openxmlformats.org/officeDocument/2006/extended-properties" xmlns:vt="http://schemas.openxmlformats.org/officeDocument/2006/docPropsVTypes">
  <Template>Normal</Template>
  <TotalTime>6699</TotalTime>
  <Pages>159</Pages>
  <Words>50493</Words>
  <Characters>317103</Characters>
  <Application>Microsoft Office Word</Application>
  <DocSecurity>0</DocSecurity>
  <Lines>12196</Lines>
  <Paragraphs>7207</Paragraphs>
  <ScaleCrop>false</ScaleCrop>
  <HeadingPairs>
    <vt:vector size="2" baseType="variant">
      <vt:variant>
        <vt:lpstr>Title</vt:lpstr>
      </vt:variant>
      <vt:variant>
        <vt:i4>1</vt:i4>
      </vt:variant>
    </vt:vector>
  </HeadingPairs>
  <TitlesOfParts>
    <vt:vector size="1" baseType="lpstr">
      <vt:lpstr>A systematic review of the educational-to- socioeconomic Transition: Mapping Mechanisms of business Participation and risk among Black Males</vt:lpstr>
    </vt:vector>
  </TitlesOfParts>
  <Company>Student: Sabrina Reid 1920873</Company>
  <LinksUpToDate>false</LinksUpToDate>
  <CharactersWithSpaces>360389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systematic review of the educational-to- socioeconomic Transition: Mapping Mechanisms of business Participation and risk among Black Males</dc:title>
  <dc:subject>Critical Literature Review for Doctoral Research LCDB7009</dc:subject>
  <dc:creator>Sabrina Reid (1920873)</dc:creator>
  <cp:keywords/>
  <dc:description/>
  <cp:lastModifiedBy>Sabrina Reid (1920873)</cp:lastModifiedBy>
  <cp:revision>1346</cp:revision>
  <dcterms:created xsi:type="dcterms:W3CDTF">2026-04-14T10:25:00Z</dcterms:created>
  <dcterms:modified xsi:type="dcterms:W3CDTF">2026-04-24T14:17:00Z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d09b6b4e-762a-46f5-948b-24f40aa1dba4</vt:lpwstr>
  </property>
  <property fmtid="{D5CDD505-2E9C-101B-9397-08002B2CF9AE}" pid="3" name="ContentTypeId">
    <vt:lpwstr>0x0101006C6FAE98E0725340AA54BF6C37EBD441</vt:lpwstr>
  </property>
</Properties>
</file>