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C282C4" w14:textId="7AB25DC4" w:rsidR="007D11C2" w:rsidRDefault="005C6158" w:rsidP="00F25E96">
      <w:pPr>
        <w:pStyle w:val="1"/>
      </w:pPr>
      <w:r>
        <w:rPr>
          <w:rFonts w:hint="eastAsia"/>
        </w:rPr>
        <w:t>T</w:t>
      </w:r>
      <w:r>
        <w:t xml:space="preserve">ask1 </w:t>
      </w:r>
    </w:p>
    <w:p w14:paraId="27C4294E" w14:textId="45344698" w:rsidR="005C6158" w:rsidRDefault="005C6158" w:rsidP="00434961">
      <w:pPr>
        <w:pStyle w:val="2"/>
      </w:pPr>
      <w:r>
        <w:t>ISO 27</w:t>
      </w:r>
      <w:r w:rsidR="00CE60D1">
        <w:rPr>
          <w:rFonts w:hint="eastAsia"/>
        </w:rPr>
        <w:t>000</w:t>
      </w:r>
      <w:r w:rsidR="00CE60D1">
        <w:t xml:space="preserve"> </w:t>
      </w:r>
      <w:r w:rsidR="00CE60D1">
        <w:rPr>
          <w:rFonts w:hint="eastAsia"/>
        </w:rPr>
        <w:t>series</w:t>
      </w:r>
    </w:p>
    <w:p w14:paraId="324936E5" w14:textId="21308C68" w:rsidR="00CE60D1" w:rsidRDefault="00CE60D1" w:rsidP="00790855">
      <w:r>
        <w:rPr>
          <w:rFonts w:hint="eastAsia"/>
        </w:rPr>
        <w:t>The</w:t>
      </w:r>
      <w:r>
        <w:t xml:space="preserve"> </w:t>
      </w:r>
      <w:r w:rsidRPr="00CE60D1">
        <w:t xml:space="preserve">ISO 27000 series is a </w:t>
      </w:r>
      <w:r>
        <w:rPr>
          <w:rFonts w:hint="eastAsia"/>
        </w:rPr>
        <w:t>common</w:t>
      </w:r>
      <w:r>
        <w:t xml:space="preserve"> </w:t>
      </w:r>
      <w:r w:rsidRPr="00CE60D1">
        <w:t>security framework jointly issued by the International Organization for Standardization</w:t>
      </w:r>
      <w:r w:rsidR="00434961">
        <w:t xml:space="preserve"> </w:t>
      </w:r>
      <w:r>
        <w:t xml:space="preserve">(ISO) </w:t>
      </w:r>
      <w:r w:rsidRPr="00CE60D1">
        <w:t xml:space="preserve">and International </w:t>
      </w:r>
      <w:r>
        <w:t>E</w:t>
      </w:r>
      <w:r w:rsidRPr="00CE60D1">
        <w:t xml:space="preserve">lectrotechnical </w:t>
      </w:r>
      <w:r>
        <w:t>C</w:t>
      </w:r>
      <w:r w:rsidRPr="00CE60D1">
        <w:t>ommission</w:t>
      </w:r>
      <w:r w:rsidR="00434961">
        <w:t xml:space="preserve"> </w:t>
      </w:r>
      <w:r>
        <w:t>(IEC)</w:t>
      </w:r>
      <w:r w:rsidRPr="00CE60D1">
        <w:t>. Its purpose is to control and manage the risk of information assets through a prescribed information security management system</w:t>
      </w:r>
      <w:r w:rsidR="00434961">
        <w:t xml:space="preserve"> </w:t>
      </w:r>
      <w:r>
        <w:t>(</w:t>
      </w:r>
      <w:r w:rsidRPr="00CE60D1">
        <w:t>ISMS</w:t>
      </w:r>
      <w:r>
        <w:t>)</w:t>
      </w:r>
      <w:r w:rsidRPr="00CE60D1">
        <w:t xml:space="preserve">, to help </w:t>
      </w:r>
      <w:r>
        <w:t xml:space="preserve">organizations </w:t>
      </w:r>
      <w:r w:rsidRPr="00CE60D1">
        <w:t>ensure the security of information assets. It was first modified and integrated the existing British standard BS 7799, and it was continuously updated and added later, and it was renamed ISO27000 series</w:t>
      </w:r>
      <w:r>
        <w:t xml:space="preserve"> then.</w:t>
      </w:r>
    </w:p>
    <w:p w14:paraId="3100B2A2" w14:textId="4C91201D" w:rsidR="00CE60D1" w:rsidRDefault="00CE60D1" w:rsidP="00790855">
      <w:r w:rsidRPr="00CE60D1">
        <w:t>The series has published and planned to release more than forty documents and standards. Each standard is designed to focus on a specific area. Among them, ISO / IEC 27000</w:t>
      </w:r>
      <w:r>
        <w:t xml:space="preserve">, </w:t>
      </w:r>
      <w:r w:rsidRPr="00CE60D1">
        <w:t xml:space="preserve">27001 </w:t>
      </w:r>
      <w:r>
        <w:t xml:space="preserve">, </w:t>
      </w:r>
      <w:r w:rsidRPr="00CE60D1">
        <w:t xml:space="preserve">27002 </w:t>
      </w:r>
      <w:r>
        <w:t>are</w:t>
      </w:r>
      <w:r w:rsidRPr="00CE60D1">
        <w:t xml:space="preserve"> the most important and basic </w:t>
      </w:r>
      <w:r>
        <w:t xml:space="preserve">standards. </w:t>
      </w:r>
      <w:r w:rsidRPr="00CE60D1">
        <w:t xml:space="preserve">Other </w:t>
      </w:r>
      <w:r>
        <w:t>standards</w:t>
      </w:r>
      <w:r w:rsidRPr="00CE60D1">
        <w:t xml:space="preserve"> are </w:t>
      </w:r>
      <w:r>
        <w:t>m</w:t>
      </w:r>
      <w:r w:rsidRPr="00CE60D1">
        <w:t xml:space="preserve">odified, supplemented and improved based on these three </w:t>
      </w:r>
      <w:r w:rsidR="00434961">
        <w:t xml:space="preserve">standards. </w:t>
      </w:r>
      <w:r w:rsidRPr="00CE60D1">
        <w:t>For example, ISO 27018 focuses more on the protection of personal privacy data</w:t>
      </w:r>
      <w:r w:rsidR="00434961">
        <w:t xml:space="preserve"> it b</w:t>
      </w:r>
      <w:r w:rsidRPr="00CE60D1">
        <w:t>ase</w:t>
      </w:r>
      <w:r w:rsidR="00434961">
        <w:t>s</w:t>
      </w:r>
      <w:r w:rsidRPr="00CE60D1">
        <w:t xml:space="preserve"> on ISO 27002, it extends the definition of privacy protection for new personal data.</w:t>
      </w:r>
    </w:p>
    <w:p w14:paraId="701A8038" w14:textId="0376D494" w:rsidR="00574509" w:rsidRDefault="00434961" w:rsidP="00434961">
      <w:pPr>
        <w:pStyle w:val="3"/>
      </w:pPr>
      <w:r w:rsidRPr="00CE60D1">
        <w:t>ISO / IEC</w:t>
      </w:r>
      <w:r>
        <w:rPr>
          <w:rFonts w:hint="eastAsia"/>
        </w:rPr>
        <w:t xml:space="preserve"> </w:t>
      </w:r>
      <w:r w:rsidR="00574509">
        <w:rPr>
          <w:rFonts w:hint="eastAsia"/>
        </w:rPr>
        <w:t>27001</w:t>
      </w:r>
      <w:r>
        <w:t>.2013</w:t>
      </w:r>
    </w:p>
    <w:p w14:paraId="46FE871D" w14:textId="77777777" w:rsidR="003A62D0" w:rsidRPr="003A62D0" w:rsidRDefault="003A62D0" w:rsidP="003A62D0">
      <w:r w:rsidRPr="003A62D0">
        <w:t>ISO/IEC 27001:2013 </w:t>
      </w:r>
      <w:r w:rsidRPr="003A62D0">
        <w:rPr>
          <w:color w:val="666666"/>
        </w:rPr>
        <w:t>[ISO/IEC 27001:2013]</w:t>
      </w:r>
    </w:p>
    <w:p w14:paraId="24EBE8A8" w14:textId="09493E04" w:rsidR="003A62D0" w:rsidRDefault="003A62D0" w:rsidP="003A62D0">
      <w:r w:rsidRPr="003A62D0">
        <w:t>Information technology — Security techniques — Information security management systems — Requirements</w:t>
      </w:r>
    </w:p>
    <w:p w14:paraId="60884B1B" w14:textId="47C6BD90" w:rsidR="003A62D0" w:rsidRDefault="00434961" w:rsidP="003A62D0">
      <w:r w:rsidRPr="00434961">
        <w:t>ISO / IEC 27001: 2013 is the latest version of the 27001 document and the most well-known standard in the series</w:t>
      </w:r>
      <w:r w:rsidR="003A62D0">
        <w:rPr>
          <w:rFonts w:hint="eastAsia"/>
        </w:rPr>
        <w:t>，</w:t>
      </w:r>
      <w:r w:rsidR="003A62D0" w:rsidRPr="003A62D0">
        <w:rPr>
          <w:rFonts w:hint="eastAsia"/>
        </w:rPr>
        <w:t>it</w:t>
      </w:r>
      <w:r w:rsidR="003A62D0" w:rsidRPr="003A62D0">
        <w:t xml:space="preserve"> provides requirements for an information security management system (ISMS). </w:t>
      </w:r>
    </w:p>
    <w:p w14:paraId="0912CE61" w14:textId="0C0569D5" w:rsidR="00434961" w:rsidRDefault="003A62D0" w:rsidP="003A62D0">
      <w:r w:rsidRPr="003A62D0">
        <w:t>ISO/IEC 27001:2013 specifies the requirements for establishing, implementing, maintaining and continually improving an information security management system within the context of the organization. It also includes requirements for the assessment and treatment of information security risks tailored to the needs of the organization. The requirements set out in ISO/IEC 27001:2013 are generic and are intended to be applicable to all organizations, regardless of type, size or nature.</w:t>
      </w:r>
      <w:r>
        <w:t xml:space="preserve"> </w:t>
      </w:r>
      <w:r>
        <w:rPr>
          <w:rFonts w:hint="eastAsia"/>
        </w:rPr>
        <w:t>Chart</w:t>
      </w:r>
      <w:r>
        <w:t xml:space="preserve"> </w:t>
      </w:r>
      <w:r>
        <w:rPr>
          <w:rFonts w:hint="eastAsia"/>
        </w:rPr>
        <w:t>1</w:t>
      </w:r>
      <w:r>
        <w:t xml:space="preserve"> </w:t>
      </w:r>
      <w:r>
        <w:rPr>
          <w:rFonts w:hint="eastAsia"/>
        </w:rPr>
        <w:t>shows</w:t>
      </w:r>
      <w:r>
        <w:t xml:space="preserve"> </w:t>
      </w:r>
      <w:r w:rsidR="001239E5" w:rsidRPr="003A62D0">
        <w:t>ISO/IEC 27001:2013</w:t>
      </w:r>
      <w:r w:rsidR="001239E5">
        <w:t xml:space="preserve"> </w:t>
      </w:r>
      <w:r w:rsidR="001239E5">
        <w:rPr>
          <w:rFonts w:hint="eastAsia"/>
        </w:rPr>
        <w:t>conten</w:t>
      </w:r>
      <w:r w:rsidR="00434961">
        <w:t>ts</w:t>
      </w:r>
    </w:p>
    <w:tbl>
      <w:tblPr>
        <w:tblStyle w:val="a4"/>
        <w:tblW w:w="0" w:type="auto"/>
        <w:tblLook w:val="04A0" w:firstRow="1" w:lastRow="0" w:firstColumn="1" w:lastColumn="0" w:noHBand="0" w:noVBand="1"/>
      </w:tblPr>
      <w:tblGrid>
        <w:gridCol w:w="8296"/>
      </w:tblGrid>
      <w:tr w:rsidR="001239E5" w14:paraId="6A5115DF" w14:textId="77777777" w:rsidTr="001239E5">
        <w:tc>
          <w:tcPr>
            <w:tcW w:w="8296" w:type="dxa"/>
          </w:tcPr>
          <w:p w14:paraId="4CFB935C" w14:textId="4FCD89A9" w:rsidR="001239E5" w:rsidRDefault="001239E5" w:rsidP="003A62D0">
            <w:r>
              <w:rPr>
                <w:rFonts w:hint="eastAsia"/>
              </w:rPr>
              <w:t>0</w:t>
            </w:r>
            <w:r>
              <w:t xml:space="preserve"> I</w:t>
            </w:r>
            <w:r>
              <w:rPr>
                <w:rFonts w:hint="eastAsia"/>
              </w:rPr>
              <w:t>ntroduction</w:t>
            </w:r>
          </w:p>
        </w:tc>
      </w:tr>
      <w:tr w:rsidR="001239E5" w14:paraId="5FA82F88" w14:textId="77777777" w:rsidTr="001239E5">
        <w:tc>
          <w:tcPr>
            <w:tcW w:w="8296" w:type="dxa"/>
          </w:tcPr>
          <w:p w14:paraId="43C109F7" w14:textId="3E2C2C10" w:rsidR="001239E5" w:rsidRDefault="001239E5" w:rsidP="003A62D0">
            <w:r>
              <w:rPr>
                <w:rFonts w:hint="eastAsia"/>
              </w:rPr>
              <w:t>1</w:t>
            </w:r>
            <w:r>
              <w:t xml:space="preserve"> S</w:t>
            </w:r>
            <w:r>
              <w:rPr>
                <w:rFonts w:hint="eastAsia"/>
              </w:rPr>
              <w:t>cope</w:t>
            </w:r>
          </w:p>
        </w:tc>
      </w:tr>
      <w:tr w:rsidR="001239E5" w14:paraId="3CE10A98" w14:textId="77777777" w:rsidTr="001239E5">
        <w:tc>
          <w:tcPr>
            <w:tcW w:w="8296" w:type="dxa"/>
          </w:tcPr>
          <w:p w14:paraId="52345656" w14:textId="380A54A1" w:rsidR="001239E5" w:rsidRDefault="001239E5" w:rsidP="003A62D0">
            <w:r>
              <w:rPr>
                <w:rFonts w:hint="eastAsia"/>
              </w:rPr>
              <w:t>3</w:t>
            </w:r>
            <w:r>
              <w:t xml:space="preserve"> T</w:t>
            </w:r>
            <w:r>
              <w:rPr>
                <w:rFonts w:hint="eastAsia"/>
              </w:rPr>
              <w:t>erms</w:t>
            </w:r>
            <w:r>
              <w:t xml:space="preserve"> </w:t>
            </w:r>
            <w:r>
              <w:rPr>
                <w:rFonts w:hint="eastAsia"/>
              </w:rPr>
              <w:t>and</w:t>
            </w:r>
            <w:r>
              <w:t xml:space="preserve"> </w:t>
            </w:r>
            <w:r>
              <w:rPr>
                <w:rFonts w:hint="eastAsia"/>
              </w:rPr>
              <w:t>definitions</w:t>
            </w:r>
          </w:p>
        </w:tc>
      </w:tr>
      <w:tr w:rsidR="001239E5" w14:paraId="2472D0BB" w14:textId="77777777" w:rsidTr="001239E5">
        <w:tc>
          <w:tcPr>
            <w:tcW w:w="8296" w:type="dxa"/>
          </w:tcPr>
          <w:p w14:paraId="20602B88" w14:textId="129D5720" w:rsidR="001239E5" w:rsidRDefault="001239E5" w:rsidP="003A62D0">
            <w:r>
              <w:rPr>
                <w:rFonts w:hint="eastAsia"/>
              </w:rPr>
              <w:t>4.</w:t>
            </w:r>
            <w:r>
              <w:t xml:space="preserve"> C</w:t>
            </w:r>
            <w:r>
              <w:rPr>
                <w:rFonts w:hint="eastAsia"/>
              </w:rPr>
              <w:t>ontext</w:t>
            </w:r>
            <w:r>
              <w:t xml:space="preserve"> </w:t>
            </w:r>
            <w:r>
              <w:rPr>
                <w:rFonts w:hint="eastAsia"/>
              </w:rPr>
              <w:t>of</w:t>
            </w:r>
            <w:r>
              <w:t xml:space="preserve"> </w:t>
            </w:r>
            <w:r>
              <w:rPr>
                <w:rFonts w:hint="eastAsia"/>
              </w:rPr>
              <w:t>the</w:t>
            </w:r>
            <w:r>
              <w:t xml:space="preserve"> </w:t>
            </w:r>
            <w:r>
              <w:rPr>
                <w:rFonts w:hint="eastAsia"/>
              </w:rPr>
              <w:t>organization</w:t>
            </w:r>
          </w:p>
        </w:tc>
      </w:tr>
      <w:tr w:rsidR="001239E5" w14:paraId="1A34E33A" w14:textId="77777777" w:rsidTr="001239E5">
        <w:tc>
          <w:tcPr>
            <w:tcW w:w="8296" w:type="dxa"/>
          </w:tcPr>
          <w:p w14:paraId="63BE64FB" w14:textId="7F403353" w:rsidR="001239E5" w:rsidRDefault="001239E5" w:rsidP="003A62D0">
            <w:r>
              <w:rPr>
                <w:rFonts w:hint="eastAsia"/>
              </w:rPr>
              <w:t>5</w:t>
            </w:r>
            <w:r>
              <w:t>. Leadership</w:t>
            </w:r>
          </w:p>
        </w:tc>
      </w:tr>
      <w:tr w:rsidR="001239E5" w14:paraId="1D7CFD45" w14:textId="77777777" w:rsidTr="001239E5">
        <w:tc>
          <w:tcPr>
            <w:tcW w:w="8296" w:type="dxa"/>
          </w:tcPr>
          <w:p w14:paraId="79FDED13" w14:textId="332B4703" w:rsidR="001239E5" w:rsidRDefault="001239E5" w:rsidP="003A62D0">
            <w:r>
              <w:rPr>
                <w:rFonts w:hint="eastAsia"/>
              </w:rPr>
              <w:t>6</w:t>
            </w:r>
            <w:r>
              <w:t xml:space="preserve"> Planning</w:t>
            </w:r>
          </w:p>
        </w:tc>
      </w:tr>
      <w:tr w:rsidR="001239E5" w14:paraId="13CD34C9" w14:textId="77777777" w:rsidTr="001239E5">
        <w:tc>
          <w:tcPr>
            <w:tcW w:w="8296" w:type="dxa"/>
          </w:tcPr>
          <w:p w14:paraId="5F0D1436" w14:textId="1540E0FC" w:rsidR="001239E5" w:rsidRDefault="001239E5" w:rsidP="003A62D0">
            <w:r>
              <w:rPr>
                <w:rFonts w:hint="eastAsia"/>
              </w:rPr>
              <w:t>7</w:t>
            </w:r>
            <w:r>
              <w:t xml:space="preserve"> Support</w:t>
            </w:r>
          </w:p>
        </w:tc>
      </w:tr>
      <w:tr w:rsidR="001239E5" w14:paraId="2D3C2DB9" w14:textId="77777777" w:rsidTr="001239E5">
        <w:tc>
          <w:tcPr>
            <w:tcW w:w="8296" w:type="dxa"/>
          </w:tcPr>
          <w:p w14:paraId="426EBC57" w14:textId="6F959EEB" w:rsidR="001239E5" w:rsidRDefault="001239E5" w:rsidP="003A62D0">
            <w:r>
              <w:rPr>
                <w:rFonts w:hint="eastAsia"/>
              </w:rPr>
              <w:t>8</w:t>
            </w:r>
            <w:r>
              <w:t>.Opreration</w:t>
            </w:r>
          </w:p>
        </w:tc>
      </w:tr>
      <w:tr w:rsidR="001239E5" w14:paraId="166C3270" w14:textId="77777777" w:rsidTr="001239E5">
        <w:tc>
          <w:tcPr>
            <w:tcW w:w="8296" w:type="dxa"/>
          </w:tcPr>
          <w:p w14:paraId="656CB517" w14:textId="1114A55A" w:rsidR="001239E5" w:rsidRDefault="001239E5" w:rsidP="003A62D0">
            <w:r>
              <w:rPr>
                <w:rFonts w:hint="eastAsia"/>
              </w:rPr>
              <w:t>9</w:t>
            </w:r>
            <w:r>
              <w:t xml:space="preserve"> Performance evaluation</w:t>
            </w:r>
          </w:p>
        </w:tc>
      </w:tr>
      <w:tr w:rsidR="001239E5" w14:paraId="4FF6425A" w14:textId="77777777" w:rsidTr="001239E5">
        <w:tc>
          <w:tcPr>
            <w:tcW w:w="8296" w:type="dxa"/>
          </w:tcPr>
          <w:p w14:paraId="1F6A66CB" w14:textId="60B1F1F0" w:rsidR="001239E5" w:rsidRDefault="001239E5" w:rsidP="003A62D0">
            <w:r>
              <w:rPr>
                <w:rFonts w:hint="eastAsia"/>
              </w:rPr>
              <w:t>1</w:t>
            </w:r>
            <w:r>
              <w:t>0 Improvement</w:t>
            </w:r>
          </w:p>
        </w:tc>
      </w:tr>
    </w:tbl>
    <w:p w14:paraId="1B12B815" w14:textId="382CAE1C" w:rsidR="00434961" w:rsidRPr="003A62D0" w:rsidRDefault="00434961" w:rsidP="00790855">
      <w:r>
        <w:rPr>
          <w:rFonts w:hint="eastAsia"/>
        </w:rPr>
        <w:lastRenderedPageBreak/>
        <w:t xml:space="preserve"> </w:t>
      </w:r>
      <w:r>
        <w:t xml:space="preserve">                                Chart 1-1</w:t>
      </w:r>
    </w:p>
    <w:p w14:paraId="12BE4105" w14:textId="082B142E" w:rsidR="00434961" w:rsidRDefault="00434961" w:rsidP="00434961">
      <w:pPr>
        <w:pStyle w:val="3"/>
      </w:pPr>
      <w:r w:rsidRPr="00CE60D1">
        <w:t>ISO / IEC</w:t>
      </w:r>
      <w:r>
        <w:rPr>
          <w:rFonts w:hint="eastAsia"/>
        </w:rPr>
        <w:t xml:space="preserve"> 2700</w:t>
      </w:r>
      <w:r>
        <w:t>2.2013</w:t>
      </w:r>
    </w:p>
    <w:p w14:paraId="65CD9D40" w14:textId="0472E2D4" w:rsidR="001239E5" w:rsidRDefault="001239E5" w:rsidP="001239E5">
      <w:r>
        <w:t>ISO/IEC 27002:2013 [ISO/IEC 27002:2013]</w:t>
      </w:r>
    </w:p>
    <w:p w14:paraId="17A7ABA5" w14:textId="77B1E001" w:rsidR="00FB77A9" w:rsidRDefault="001239E5" w:rsidP="001239E5">
      <w:r>
        <w:t>Information technology — Security techniques — Code of practice for information security controls</w:t>
      </w:r>
    </w:p>
    <w:p w14:paraId="48CEAA20" w14:textId="77777777" w:rsidR="00434961" w:rsidRDefault="00434961" w:rsidP="001239E5">
      <w:r>
        <w:rPr>
          <w:rFonts w:hint="eastAsia"/>
        </w:rPr>
        <w:t>T</w:t>
      </w:r>
      <w:r>
        <w:t>he newest version of ISO 27002 is ISO/IEC 27002:2013</w:t>
      </w:r>
      <w:r>
        <w:rPr>
          <w:rFonts w:hint="eastAsia"/>
        </w:rPr>
        <w:t>.</w:t>
      </w:r>
      <w:r w:rsidRPr="00434961">
        <w:t xml:space="preserve"> 27002 is an auxiliary file supporting the implementation of 27001</w:t>
      </w:r>
      <w:r>
        <w:t>.</w:t>
      </w:r>
    </w:p>
    <w:p w14:paraId="78B8153C" w14:textId="6B842D67" w:rsidR="001239E5" w:rsidRDefault="001239E5" w:rsidP="001239E5">
      <w:r>
        <w:t>ISO/IEC 27002:2013 gives guidelines for organizational information security standards and information security management practices including the selection, implementation and management of controls taking into consideration the organization's information security risk environment(s).</w:t>
      </w:r>
    </w:p>
    <w:p w14:paraId="106B98E3" w14:textId="40BBCD36" w:rsidR="001239E5" w:rsidRPr="001239E5" w:rsidRDefault="001239E5" w:rsidP="001239E5">
      <w:r>
        <w:t>It is designed to be used by organizations that intend to:</w:t>
      </w:r>
    </w:p>
    <w:p w14:paraId="0AD5073F" w14:textId="7802768E" w:rsidR="001239E5" w:rsidRDefault="001239E5" w:rsidP="001239E5">
      <w:r>
        <w:t>1.select controls within the process of implementing an Information Security Management System based on ISO/IEC 27001;</w:t>
      </w:r>
    </w:p>
    <w:p w14:paraId="2983BA01" w14:textId="21AB8E57" w:rsidR="001239E5" w:rsidRDefault="001239E5" w:rsidP="001239E5">
      <w:r>
        <w:t>2.implement commonly accepted information security controls;</w:t>
      </w:r>
    </w:p>
    <w:p w14:paraId="5C221718" w14:textId="42865D1A" w:rsidR="001239E5" w:rsidRDefault="001239E5" w:rsidP="001239E5">
      <w:r>
        <w:t>3.develop their own information security management guidelines.</w:t>
      </w:r>
    </w:p>
    <w:p w14:paraId="37AE94E0" w14:textId="21FC1B37" w:rsidR="001239E5" w:rsidRDefault="001239E5" w:rsidP="001239E5">
      <w:r>
        <w:t>Chart 1-</w:t>
      </w:r>
      <w:r w:rsidR="00434961">
        <w:t>2</w:t>
      </w:r>
      <w:r>
        <w:t xml:space="preserve"> shows the content of ISO/IEC 27002:2013</w:t>
      </w:r>
    </w:p>
    <w:tbl>
      <w:tblPr>
        <w:tblStyle w:val="a4"/>
        <w:tblW w:w="0" w:type="auto"/>
        <w:tblLook w:val="04A0" w:firstRow="1" w:lastRow="0" w:firstColumn="1" w:lastColumn="0" w:noHBand="0" w:noVBand="1"/>
      </w:tblPr>
      <w:tblGrid>
        <w:gridCol w:w="8296"/>
      </w:tblGrid>
      <w:tr w:rsidR="001239E5" w14:paraId="79F9567F" w14:textId="77777777" w:rsidTr="001239E5">
        <w:tc>
          <w:tcPr>
            <w:tcW w:w="8296" w:type="dxa"/>
          </w:tcPr>
          <w:p w14:paraId="263C7FA3" w14:textId="489641CD" w:rsidR="001239E5" w:rsidRDefault="001239E5" w:rsidP="001239E5">
            <w:r>
              <w:rPr>
                <w:rFonts w:hint="eastAsia"/>
              </w:rPr>
              <w:t>0</w:t>
            </w:r>
            <w:r>
              <w:t xml:space="preserve"> Introduction</w:t>
            </w:r>
          </w:p>
        </w:tc>
      </w:tr>
      <w:tr w:rsidR="001239E5" w14:paraId="369D327B" w14:textId="77777777" w:rsidTr="001239E5">
        <w:tc>
          <w:tcPr>
            <w:tcW w:w="8296" w:type="dxa"/>
          </w:tcPr>
          <w:p w14:paraId="6D782E82" w14:textId="78528732" w:rsidR="001239E5" w:rsidRDefault="001239E5" w:rsidP="001239E5">
            <w:r>
              <w:rPr>
                <w:rFonts w:hint="eastAsia"/>
              </w:rPr>
              <w:t>1</w:t>
            </w:r>
            <w:r>
              <w:t xml:space="preserve"> Scope</w:t>
            </w:r>
          </w:p>
        </w:tc>
      </w:tr>
      <w:tr w:rsidR="001239E5" w14:paraId="53AD3C95" w14:textId="77777777" w:rsidTr="001239E5">
        <w:tc>
          <w:tcPr>
            <w:tcW w:w="8296" w:type="dxa"/>
          </w:tcPr>
          <w:p w14:paraId="47A658E6" w14:textId="610ED9F2" w:rsidR="001239E5" w:rsidRDefault="001239E5" w:rsidP="001239E5">
            <w:r>
              <w:rPr>
                <w:rFonts w:hint="eastAsia"/>
              </w:rPr>
              <w:t>2</w:t>
            </w:r>
            <w:r>
              <w:t xml:space="preserve"> Normative references</w:t>
            </w:r>
          </w:p>
        </w:tc>
      </w:tr>
      <w:tr w:rsidR="001239E5" w14:paraId="0A6502E0" w14:textId="77777777" w:rsidTr="001239E5">
        <w:tc>
          <w:tcPr>
            <w:tcW w:w="8296" w:type="dxa"/>
          </w:tcPr>
          <w:p w14:paraId="37F9EF7B" w14:textId="7ABD2CF1" w:rsidR="001239E5" w:rsidRDefault="001239E5" w:rsidP="001239E5">
            <w:r>
              <w:rPr>
                <w:rFonts w:hint="eastAsia"/>
              </w:rPr>
              <w:t>3</w:t>
            </w:r>
            <w:r>
              <w:t xml:space="preserve"> Terms and definitions</w:t>
            </w:r>
          </w:p>
        </w:tc>
      </w:tr>
      <w:tr w:rsidR="001239E5" w14:paraId="1305010F" w14:textId="77777777" w:rsidTr="001239E5">
        <w:tc>
          <w:tcPr>
            <w:tcW w:w="8296" w:type="dxa"/>
          </w:tcPr>
          <w:p w14:paraId="602BFFE6" w14:textId="23E5B9D2" w:rsidR="001239E5" w:rsidRDefault="001239E5" w:rsidP="001239E5">
            <w:r>
              <w:rPr>
                <w:rFonts w:hint="eastAsia"/>
              </w:rPr>
              <w:t>4</w:t>
            </w:r>
            <w:r>
              <w:t xml:space="preserve"> Structure of this standard</w:t>
            </w:r>
          </w:p>
        </w:tc>
      </w:tr>
      <w:tr w:rsidR="001239E5" w14:paraId="09FDE8B3" w14:textId="77777777" w:rsidTr="001239E5">
        <w:tc>
          <w:tcPr>
            <w:tcW w:w="8296" w:type="dxa"/>
          </w:tcPr>
          <w:p w14:paraId="42066282" w14:textId="41A1039E" w:rsidR="001239E5" w:rsidRDefault="001239E5" w:rsidP="001239E5">
            <w:r>
              <w:rPr>
                <w:rFonts w:hint="eastAsia"/>
              </w:rPr>
              <w:t>5</w:t>
            </w:r>
            <w:r>
              <w:t xml:space="preserve"> Information security policies</w:t>
            </w:r>
          </w:p>
        </w:tc>
      </w:tr>
      <w:tr w:rsidR="001239E5" w14:paraId="3D02A584" w14:textId="77777777" w:rsidTr="001239E5">
        <w:tc>
          <w:tcPr>
            <w:tcW w:w="8296" w:type="dxa"/>
          </w:tcPr>
          <w:p w14:paraId="6CD4DBD7" w14:textId="6791A0F9" w:rsidR="001239E5" w:rsidRDefault="001239E5" w:rsidP="001239E5">
            <w:r>
              <w:rPr>
                <w:rFonts w:hint="eastAsia"/>
              </w:rPr>
              <w:t>6</w:t>
            </w:r>
            <w:r>
              <w:t xml:space="preserve"> Organization of information security</w:t>
            </w:r>
          </w:p>
        </w:tc>
      </w:tr>
      <w:tr w:rsidR="001239E5" w14:paraId="430CD036" w14:textId="77777777" w:rsidTr="001239E5">
        <w:tc>
          <w:tcPr>
            <w:tcW w:w="8296" w:type="dxa"/>
          </w:tcPr>
          <w:p w14:paraId="29948DB3" w14:textId="19E5DC09" w:rsidR="001239E5" w:rsidRDefault="001239E5" w:rsidP="001239E5">
            <w:r>
              <w:rPr>
                <w:rFonts w:hint="eastAsia"/>
              </w:rPr>
              <w:t>7</w:t>
            </w:r>
            <w:r>
              <w:t xml:space="preserve"> Human resource security</w:t>
            </w:r>
          </w:p>
        </w:tc>
      </w:tr>
      <w:tr w:rsidR="001239E5" w14:paraId="5DD69E56" w14:textId="77777777" w:rsidTr="001239E5">
        <w:tc>
          <w:tcPr>
            <w:tcW w:w="8296" w:type="dxa"/>
          </w:tcPr>
          <w:p w14:paraId="59CE63C7" w14:textId="281995BC" w:rsidR="001239E5" w:rsidRDefault="001239E5" w:rsidP="001239E5">
            <w:r>
              <w:rPr>
                <w:rFonts w:hint="eastAsia"/>
              </w:rPr>
              <w:t>8</w:t>
            </w:r>
            <w:r>
              <w:t xml:space="preserve"> Asset management</w:t>
            </w:r>
          </w:p>
        </w:tc>
      </w:tr>
      <w:tr w:rsidR="001239E5" w14:paraId="619241B8" w14:textId="77777777" w:rsidTr="001239E5">
        <w:tc>
          <w:tcPr>
            <w:tcW w:w="8296" w:type="dxa"/>
          </w:tcPr>
          <w:p w14:paraId="55A978F5" w14:textId="60B6FAA8" w:rsidR="001239E5" w:rsidRDefault="001239E5" w:rsidP="001239E5">
            <w:r>
              <w:rPr>
                <w:rFonts w:hint="eastAsia"/>
              </w:rPr>
              <w:t>9</w:t>
            </w:r>
            <w:r>
              <w:t xml:space="preserve"> Access control</w:t>
            </w:r>
          </w:p>
        </w:tc>
      </w:tr>
      <w:tr w:rsidR="001239E5" w14:paraId="67CB0DD9" w14:textId="77777777" w:rsidTr="001239E5">
        <w:tc>
          <w:tcPr>
            <w:tcW w:w="8296" w:type="dxa"/>
          </w:tcPr>
          <w:p w14:paraId="494499BF" w14:textId="238C9647" w:rsidR="001239E5" w:rsidRDefault="001239E5" w:rsidP="001239E5">
            <w:r>
              <w:rPr>
                <w:rFonts w:hint="eastAsia"/>
              </w:rPr>
              <w:t>1</w:t>
            </w:r>
            <w:r>
              <w:t>0 Cryptography</w:t>
            </w:r>
          </w:p>
        </w:tc>
      </w:tr>
      <w:tr w:rsidR="001239E5" w14:paraId="4DCE8CAE" w14:textId="77777777" w:rsidTr="001239E5">
        <w:tc>
          <w:tcPr>
            <w:tcW w:w="8296" w:type="dxa"/>
          </w:tcPr>
          <w:p w14:paraId="46693978" w14:textId="67FDCC77" w:rsidR="001239E5" w:rsidRDefault="001239E5" w:rsidP="001239E5">
            <w:r>
              <w:rPr>
                <w:rFonts w:hint="eastAsia"/>
              </w:rPr>
              <w:t>1</w:t>
            </w:r>
            <w:r>
              <w:t xml:space="preserve">1 Physical and environment security </w:t>
            </w:r>
          </w:p>
        </w:tc>
      </w:tr>
      <w:tr w:rsidR="001239E5" w14:paraId="14C2EE4A" w14:textId="77777777" w:rsidTr="001239E5">
        <w:tc>
          <w:tcPr>
            <w:tcW w:w="8296" w:type="dxa"/>
          </w:tcPr>
          <w:p w14:paraId="488E4391" w14:textId="72BF31B9" w:rsidR="001239E5" w:rsidRDefault="001239E5" w:rsidP="001239E5">
            <w:r>
              <w:rPr>
                <w:rFonts w:hint="eastAsia"/>
              </w:rPr>
              <w:t>1</w:t>
            </w:r>
            <w:r>
              <w:t>3 Communication security</w:t>
            </w:r>
          </w:p>
        </w:tc>
      </w:tr>
      <w:tr w:rsidR="001239E5" w14:paraId="347746CD" w14:textId="77777777" w:rsidTr="001239E5">
        <w:tc>
          <w:tcPr>
            <w:tcW w:w="8296" w:type="dxa"/>
          </w:tcPr>
          <w:p w14:paraId="56AFE1D3" w14:textId="360B8C8E" w:rsidR="001239E5" w:rsidRDefault="001239E5" w:rsidP="001239E5">
            <w:r>
              <w:rPr>
                <w:rFonts w:hint="eastAsia"/>
              </w:rPr>
              <w:t>1</w:t>
            </w:r>
            <w:r>
              <w:t xml:space="preserve">4 System acquisition, </w:t>
            </w:r>
            <w:r w:rsidRPr="001239E5">
              <w:t>development, and maintenance</w:t>
            </w:r>
          </w:p>
        </w:tc>
      </w:tr>
      <w:tr w:rsidR="001239E5" w14:paraId="65C47722" w14:textId="77777777" w:rsidTr="001239E5">
        <w:tc>
          <w:tcPr>
            <w:tcW w:w="8296" w:type="dxa"/>
          </w:tcPr>
          <w:p w14:paraId="3D1B9233" w14:textId="344A5C73" w:rsidR="001239E5" w:rsidRPr="001239E5" w:rsidRDefault="001239E5" w:rsidP="001239E5">
            <w:r>
              <w:t xml:space="preserve">15 </w:t>
            </w:r>
            <w:r w:rsidRPr="001239E5">
              <w:t>Supplier relationships</w:t>
            </w:r>
          </w:p>
        </w:tc>
      </w:tr>
      <w:tr w:rsidR="001239E5" w14:paraId="33BD9697" w14:textId="77777777" w:rsidTr="001239E5">
        <w:tc>
          <w:tcPr>
            <w:tcW w:w="8296" w:type="dxa"/>
          </w:tcPr>
          <w:p w14:paraId="36F01760" w14:textId="1A373602" w:rsidR="001239E5" w:rsidRDefault="001239E5" w:rsidP="001239E5">
            <w:r>
              <w:t xml:space="preserve">16 </w:t>
            </w:r>
            <w:r w:rsidRPr="001239E5">
              <w:t>Information security incident managemen</w:t>
            </w:r>
            <w:r>
              <w:t>t</w:t>
            </w:r>
          </w:p>
        </w:tc>
      </w:tr>
      <w:tr w:rsidR="001239E5" w14:paraId="3123D329" w14:textId="77777777" w:rsidTr="001239E5">
        <w:tc>
          <w:tcPr>
            <w:tcW w:w="8296" w:type="dxa"/>
          </w:tcPr>
          <w:p w14:paraId="3B7FCE8D" w14:textId="1BC06D85" w:rsidR="001239E5" w:rsidRDefault="001239E5" w:rsidP="001239E5">
            <w:r>
              <w:t xml:space="preserve">17 </w:t>
            </w:r>
            <w:r w:rsidRPr="001239E5">
              <w:t>Information security aspects of business continuity management</w:t>
            </w:r>
          </w:p>
        </w:tc>
      </w:tr>
      <w:tr w:rsidR="001239E5" w14:paraId="0439A64B" w14:textId="77777777" w:rsidTr="001239E5">
        <w:tc>
          <w:tcPr>
            <w:tcW w:w="8296" w:type="dxa"/>
          </w:tcPr>
          <w:p w14:paraId="4040779D" w14:textId="5B6B3F2A" w:rsidR="001239E5" w:rsidRDefault="001239E5" w:rsidP="001239E5">
            <w:r>
              <w:t xml:space="preserve">18 </w:t>
            </w:r>
            <w:r w:rsidRPr="001239E5">
              <w:t>Compliance</w:t>
            </w:r>
          </w:p>
        </w:tc>
      </w:tr>
    </w:tbl>
    <w:p w14:paraId="37587F01" w14:textId="591D8221" w:rsidR="001239E5" w:rsidRPr="001239E5" w:rsidRDefault="00434961" w:rsidP="001239E5">
      <w:r>
        <w:rPr>
          <w:rFonts w:hint="eastAsia"/>
        </w:rPr>
        <w:t xml:space="preserve"> </w:t>
      </w:r>
      <w:r>
        <w:t xml:space="preserve">                            Chart 1-2</w:t>
      </w:r>
    </w:p>
    <w:p w14:paraId="44B2A675" w14:textId="1A40EED1" w:rsidR="00574509" w:rsidRDefault="00434961" w:rsidP="00790855">
      <w:r w:rsidRPr="00434961">
        <w:t xml:space="preserve">Some other well-known ISO series standards are listed in the </w:t>
      </w:r>
      <w:r>
        <w:t>chart 1-3</w:t>
      </w:r>
      <w:r w:rsidRPr="00434961">
        <w:t xml:space="preserve"> below</w:t>
      </w:r>
    </w:p>
    <w:tbl>
      <w:tblPr>
        <w:tblStyle w:val="a4"/>
        <w:tblW w:w="0" w:type="auto"/>
        <w:tblLook w:val="04A0" w:firstRow="1" w:lastRow="0" w:firstColumn="1" w:lastColumn="0" w:noHBand="0" w:noVBand="1"/>
      </w:tblPr>
      <w:tblGrid>
        <w:gridCol w:w="1838"/>
        <w:gridCol w:w="6458"/>
      </w:tblGrid>
      <w:tr w:rsidR="001239E5" w14:paraId="1F222522" w14:textId="77777777" w:rsidTr="00CB367D">
        <w:tc>
          <w:tcPr>
            <w:tcW w:w="1838" w:type="dxa"/>
          </w:tcPr>
          <w:p w14:paraId="2D77886A" w14:textId="2D58736C" w:rsidR="001239E5" w:rsidRDefault="001239E5" w:rsidP="00790855">
            <w:r>
              <w:rPr>
                <w:rFonts w:hint="eastAsia"/>
              </w:rPr>
              <w:t>Standard</w:t>
            </w:r>
          </w:p>
        </w:tc>
        <w:tc>
          <w:tcPr>
            <w:tcW w:w="6458" w:type="dxa"/>
          </w:tcPr>
          <w:p w14:paraId="5DB90C85" w14:textId="7C592126" w:rsidR="001239E5" w:rsidRDefault="001239E5" w:rsidP="00790855">
            <w:r>
              <w:rPr>
                <w:rFonts w:hint="eastAsia"/>
              </w:rPr>
              <w:t>Title</w:t>
            </w:r>
            <w:r>
              <w:t xml:space="preserve"> </w:t>
            </w:r>
            <w:r>
              <w:rPr>
                <w:rFonts w:hint="eastAsia"/>
              </w:rPr>
              <w:t>or</w:t>
            </w:r>
            <w:r>
              <w:t xml:space="preserve"> </w:t>
            </w:r>
            <w:r>
              <w:rPr>
                <w:rFonts w:hint="eastAsia"/>
              </w:rPr>
              <w:t>Topic</w:t>
            </w:r>
          </w:p>
        </w:tc>
      </w:tr>
      <w:tr w:rsidR="001239E5" w14:paraId="75EF432A" w14:textId="77777777" w:rsidTr="00CB367D">
        <w:tc>
          <w:tcPr>
            <w:tcW w:w="1838" w:type="dxa"/>
          </w:tcPr>
          <w:p w14:paraId="7BF74285" w14:textId="4F7F257C" w:rsidR="001239E5" w:rsidRDefault="00CB367D" w:rsidP="00790855">
            <w:r>
              <w:rPr>
                <w:rFonts w:hint="eastAsia"/>
              </w:rPr>
              <w:t>27003</w:t>
            </w:r>
          </w:p>
        </w:tc>
        <w:tc>
          <w:tcPr>
            <w:tcW w:w="6458" w:type="dxa"/>
          </w:tcPr>
          <w:p w14:paraId="57BFD8DC" w14:textId="0C492BC7" w:rsidR="001239E5" w:rsidRDefault="001239E5" w:rsidP="00790855">
            <w:r w:rsidRPr="001239E5">
              <w:t>Information Security Management Systems Implementation Guidance</w:t>
            </w:r>
          </w:p>
        </w:tc>
      </w:tr>
      <w:tr w:rsidR="001239E5" w14:paraId="62FD3261" w14:textId="77777777" w:rsidTr="00CB367D">
        <w:tc>
          <w:tcPr>
            <w:tcW w:w="1838" w:type="dxa"/>
          </w:tcPr>
          <w:p w14:paraId="76F09AE4" w14:textId="230F41EC" w:rsidR="001239E5" w:rsidRDefault="00CB367D" w:rsidP="00790855">
            <w:r>
              <w:rPr>
                <w:rFonts w:hint="eastAsia"/>
              </w:rPr>
              <w:t>27004</w:t>
            </w:r>
          </w:p>
        </w:tc>
        <w:tc>
          <w:tcPr>
            <w:tcW w:w="6458" w:type="dxa"/>
          </w:tcPr>
          <w:p w14:paraId="077307C1" w14:textId="7E8581D2" w:rsidR="001239E5" w:rsidRPr="00CB367D" w:rsidRDefault="00CB367D" w:rsidP="00790855">
            <w:r w:rsidRPr="00CB367D">
              <w:t>Information Security Measurements</w:t>
            </w:r>
          </w:p>
        </w:tc>
      </w:tr>
      <w:tr w:rsidR="001239E5" w14:paraId="13DA9DA4" w14:textId="77777777" w:rsidTr="00CB367D">
        <w:tc>
          <w:tcPr>
            <w:tcW w:w="1838" w:type="dxa"/>
          </w:tcPr>
          <w:p w14:paraId="2682A714" w14:textId="1B60C55E" w:rsidR="001239E5" w:rsidRDefault="00CB367D" w:rsidP="00790855">
            <w:r>
              <w:rPr>
                <w:rFonts w:hint="eastAsia"/>
              </w:rPr>
              <w:t>27005</w:t>
            </w:r>
          </w:p>
        </w:tc>
        <w:tc>
          <w:tcPr>
            <w:tcW w:w="6458" w:type="dxa"/>
          </w:tcPr>
          <w:p w14:paraId="7D507D0F" w14:textId="523E37CD" w:rsidR="001239E5" w:rsidRDefault="00CB367D" w:rsidP="00790855">
            <w:r w:rsidRPr="00CB367D">
              <w:t>ISMS Risk Management</w:t>
            </w:r>
          </w:p>
        </w:tc>
      </w:tr>
      <w:tr w:rsidR="001239E5" w14:paraId="7E07F10D" w14:textId="77777777" w:rsidTr="00CB367D">
        <w:tc>
          <w:tcPr>
            <w:tcW w:w="1838" w:type="dxa"/>
          </w:tcPr>
          <w:p w14:paraId="44DE535A" w14:textId="6A805753" w:rsidR="001239E5" w:rsidRDefault="00CB367D" w:rsidP="00790855">
            <w:r>
              <w:rPr>
                <w:rFonts w:hint="eastAsia"/>
              </w:rPr>
              <w:lastRenderedPageBreak/>
              <w:t>27006</w:t>
            </w:r>
          </w:p>
        </w:tc>
        <w:tc>
          <w:tcPr>
            <w:tcW w:w="6458" w:type="dxa"/>
          </w:tcPr>
          <w:p w14:paraId="20307512" w14:textId="28ADF3E9" w:rsidR="001239E5" w:rsidRDefault="00CB367D" w:rsidP="00790855">
            <w:r w:rsidRPr="00CB367D">
              <w:t>Requirements for Bodies Providing</w:t>
            </w:r>
            <w:r>
              <w:t xml:space="preserve"> </w:t>
            </w:r>
            <w:r w:rsidRPr="00CB367D">
              <w:t>and Certification of an ISMS</w:t>
            </w:r>
          </w:p>
        </w:tc>
      </w:tr>
      <w:tr w:rsidR="001239E5" w14:paraId="4B0DD9D9" w14:textId="77777777" w:rsidTr="00CB367D">
        <w:tc>
          <w:tcPr>
            <w:tcW w:w="1838" w:type="dxa"/>
          </w:tcPr>
          <w:p w14:paraId="11B784CC" w14:textId="58A3037C" w:rsidR="001239E5" w:rsidRDefault="00CB367D" w:rsidP="00790855">
            <w:r>
              <w:rPr>
                <w:rFonts w:hint="eastAsia"/>
              </w:rPr>
              <w:t>27007</w:t>
            </w:r>
          </w:p>
        </w:tc>
        <w:tc>
          <w:tcPr>
            <w:tcW w:w="6458" w:type="dxa"/>
          </w:tcPr>
          <w:p w14:paraId="486E505D" w14:textId="149A4974" w:rsidR="001239E5" w:rsidRPr="00CB367D" w:rsidRDefault="00CB367D" w:rsidP="00790855">
            <w:r w:rsidRPr="00CB367D">
              <w:t>Guidelines for ISMS Auditing</w:t>
            </w:r>
          </w:p>
        </w:tc>
      </w:tr>
      <w:tr w:rsidR="001239E5" w14:paraId="083C6C56" w14:textId="77777777" w:rsidTr="00CB367D">
        <w:tc>
          <w:tcPr>
            <w:tcW w:w="1838" w:type="dxa"/>
          </w:tcPr>
          <w:p w14:paraId="6D6B4068" w14:textId="00C9A150" w:rsidR="001239E5" w:rsidRDefault="00CB367D" w:rsidP="00790855">
            <w:r>
              <w:rPr>
                <w:rFonts w:hint="eastAsia"/>
              </w:rPr>
              <w:t>27008</w:t>
            </w:r>
          </w:p>
        </w:tc>
        <w:tc>
          <w:tcPr>
            <w:tcW w:w="6458" w:type="dxa"/>
          </w:tcPr>
          <w:p w14:paraId="4692C92C" w14:textId="09FA1CF6" w:rsidR="001239E5" w:rsidRDefault="00CB367D" w:rsidP="00790855">
            <w:r w:rsidRPr="00CB367D">
              <w:t>Guidelines for Information Security Auditing</w:t>
            </w:r>
          </w:p>
        </w:tc>
      </w:tr>
    </w:tbl>
    <w:p w14:paraId="5F7992CE" w14:textId="3A09CFB5" w:rsidR="001239E5" w:rsidRDefault="00434961" w:rsidP="00434961">
      <w:pPr>
        <w:ind w:firstLineChars="1500" w:firstLine="3150"/>
      </w:pPr>
      <w:r>
        <w:t>Chart 1-3</w:t>
      </w:r>
    </w:p>
    <w:p w14:paraId="5CD79C0D" w14:textId="2109E41F" w:rsidR="00434961" w:rsidRDefault="00434961" w:rsidP="00434961">
      <w:r w:rsidRPr="00434961">
        <w:t>It can be seen that the ISO series of standards covers a very wide range. Some of the documents focus on specific aspects of information security, such as network security and application security, and some involve special industries such as healthcare. Therefore, no matter what the organization is, Find the appropriate documentation to resolve the issue.</w:t>
      </w:r>
    </w:p>
    <w:p w14:paraId="3902F852" w14:textId="145D0135" w:rsidR="00574509" w:rsidRDefault="00434961" w:rsidP="00790855">
      <w:r w:rsidRPr="00434961">
        <w:t xml:space="preserve">In addition, we can see from ISO / IEC 27002: 2013 and ISO / IEC 27001: 2013 that this series of standards only provides a framework, not very detailed, and the documents in this series deliberately broaden the content and do not involve confidentiality Privacy, network security issues, and IT technology, so </w:t>
      </w:r>
      <w:proofErr w:type="spellStart"/>
      <w:r w:rsidRPr="00434961">
        <w:t>its</w:t>
      </w:r>
      <w:proofErr w:type="spellEnd"/>
      <w:r w:rsidRPr="00434961">
        <w:t xml:space="preserve"> another advantage is that it is suitable for companies and organizations of all sizes and technical levels, so this series is very popular worldwide.</w:t>
      </w:r>
    </w:p>
    <w:p w14:paraId="2FA5E95F" w14:textId="66E3C340" w:rsidR="00FE38B0" w:rsidRDefault="00434961" w:rsidP="00790855">
      <w:r w:rsidRPr="00434961">
        <w:t xml:space="preserve">Some of the </w:t>
      </w:r>
      <w:r>
        <w:t>standard</w:t>
      </w:r>
      <w:r w:rsidRPr="00434961">
        <w:t xml:space="preserve">s in the </w:t>
      </w:r>
      <w:r>
        <w:t>ISO 27000 series</w:t>
      </w:r>
      <w:r w:rsidRPr="00434961">
        <w:t xml:space="preserve"> are free and open source, but there are still some that require paid use and are sold directly by ISO. However, ISO encourages organizations to develop ISMSs suitable for them, and only considers the ISO 27000 series as a framework and guide. Finally, the ISO standard has been continuously updated and supplemented to adapt to the rapid development of information technology, which is one of the reasons why it is so popular.</w:t>
      </w:r>
    </w:p>
    <w:p w14:paraId="257B5BB5" w14:textId="4EE06848" w:rsidR="005C6158" w:rsidRDefault="00915D19" w:rsidP="00434961">
      <w:pPr>
        <w:pStyle w:val="2"/>
        <w:rPr>
          <w:shd w:val="clear" w:color="auto" w:fill="FFFFFF"/>
        </w:rPr>
      </w:pPr>
      <w:r>
        <w:rPr>
          <w:rFonts w:hint="eastAsia"/>
          <w:shd w:val="clear" w:color="auto" w:fill="FFFFFF"/>
        </w:rPr>
        <w:t>NIST SP800</w:t>
      </w:r>
      <w:r w:rsidR="00434961">
        <w:rPr>
          <w:shd w:val="clear" w:color="auto" w:fill="FFFFFF"/>
        </w:rPr>
        <w:t xml:space="preserve"> series</w:t>
      </w:r>
    </w:p>
    <w:p w14:paraId="4FB47FB0" w14:textId="3B834780" w:rsidR="00915D19" w:rsidRDefault="00434961" w:rsidP="00915D19">
      <w:pPr>
        <w:rPr>
          <w:shd w:val="clear" w:color="auto" w:fill="FFFFFF"/>
        </w:rPr>
      </w:pPr>
      <w:r w:rsidRPr="00434961">
        <w:rPr>
          <w:shd w:val="clear" w:color="auto" w:fill="FFFFFF"/>
        </w:rPr>
        <w:t>The NIST SP800 series of standards are a series of models and guidelines on information security issued by the United States NIST (National Institute of Standards and Technology). The earliest purpose was to help non-military federal agencies to adapt to federal information processing standards. After a lot of practice and cumulative collection</w:t>
      </w:r>
      <w:r>
        <w:rPr>
          <w:shd w:val="clear" w:color="auto" w:fill="FFFFFF"/>
        </w:rPr>
        <w:t>, t</w:t>
      </w:r>
      <w:r w:rsidRPr="00434961">
        <w:rPr>
          <w:shd w:val="clear" w:color="auto" w:fill="FFFFFF"/>
        </w:rPr>
        <w:t>his series of government information security work has developed many standards, including a large number of documents and standards. Chart 1-4 shows some common standards</w:t>
      </w:r>
    </w:p>
    <w:tbl>
      <w:tblPr>
        <w:tblStyle w:val="a4"/>
        <w:tblW w:w="0" w:type="auto"/>
        <w:tblLook w:val="04A0" w:firstRow="1" w:lastRow="0" w:firstColumn="1" w:lastColumn="0" w:noHBand="0" w:noVBand="1"/>
      </w:tblPr>
      <w:tblGrid>
        <w:gridCol w:w="1838"/>
        <w:gridCol w:w="6458"/>
      </w:tblGrid>
      <w:tr w:rsidR="00915D19" w14:paraId="466A3A98" w14:textId="77777777" w:rsidTr="00D92B90">
        <w:tc>
          <w:tcPr>
            <w:tcW w:w="1838" w:type="dxa"/>
          </w:tcPr>
          <w:p w14:paraId="033FBD52" w14:textId="7D4C2148" w:rsidR="00915D19" w:rsidRDefault="00915D19" w:rsidP="00915D19">
            <w:pPr>
              <w:rPr>
                <w:shd w:val="clear" w:color="auto" w:fill="FFFFFF"/>
              </w:rPr>
            </w:pPr>
            <w:r>
              <w:rPr>
                <w:rFonts w:hint="eastAsia"/>
                <w:shd w:val="clear" w:color="auto" w:fill="FFFFFF"/>
              </w:rPr>
              <w:t>S</w:t>
            </w:r>
            <w:r>
              <w:rPr>
                <w:shd w:val="clear" w:color="auto" w:fill="FFFFFF"/>
              </w:rPr>
              <w:t>tandard</w:t>
            </w:r>
          </w:p>
        </w:tc>
        <w:tc>
          <w:tcPr>
            <w:tcW w:w="6458" w:type="dxa"/>
          </w:tcPr>
          <w:p w14:paraId="3F4EA059" w14:textId="39E57879" w:rsidR="00915D19" w:rsidRDefault="00915D19" w:rsidP="00915D19">
            <w:pPr>
              <w:rPr>
                <w:shd w:val="clear" w:color="auto" w:fill="FFFFFF"/>
              </w:rPr>
            </w:pPr>
            <w:r>
              <w:rPr>
                <w:rFonts w:hint="eastAsia"/>
                <w:shd w:val="clear" w:color="auto" w:fill="FFFFFF"/>
              </w:rPr>
              <w:t>T</w:t>
            </w:r>
            <w:r>
              <w:rPr>
                <w:shd w:val="clear" w:color="auto" w:fill="FFFFFF"/>
              </w:rPr>
              <w:t>itle of Topic</w:t>
            </w:r>
          </w:p>
        </w:tc>
      </w:tr>
      <w:tr w:rsidR="00915D19" w14:paraId="71BDEE7E" w14:textId="77777777" w:rsidTr="00D92B90">
        <w:tc>
          <w:tcPr>
            <w:tcW w:w="1838" w:type="dxa"/>
          </w:tcPr>
          <w:p w14:paraId="7456B5E7" w14:textId="08085B21" w:rsidR="00915D19" w:rsidRDefault="00915D19" w:rsidP="00915D19">
            <w:pPr>
              <w:rPr>
                <w:shd w:val="clear" w:color="auto" w:fill="FFFFFF"/>
              </w:rPr>
            </w:pPr>
            <w:r w:rsidRPr="00915D19">
              <w:rPr>
                <w:shd w:val="clear" w:color="auto" w:fill="FFFFFF"/>
              </w:rPr>
              <w:t>NIST SP800-</w:t>
            </w:r>
            <w:r>
              <w:rPr>
                <w:shd w:val="clear" w:color="auto" w:fill="FFFFFF"/>
              </w:rPr>
              <w:t>12</w:t>
            </w:r>
          </w:p>
        </w:tc>
        <w:tc>
          <w:tcPr>
            <w:tcW w:w="6458" w:type="dxa"/>
          </w:tcPr>
          <w:p w14:paraId="3D8D5335" w14:textId="04AF2D21" w:rsidR="00915D19" w:rsidRDefault="00D92B90" w:rsidP="00915D19">
            <w:pPr>
              <w:rPr>
                <w:shd w:val="clear" w:color="auto" w:fill="FFFFFF"/>
              </w:rPr>
            </w:pPr>
            <w:r w:rsidRPr="00D92B90">
              <w:rPr>
                <w:shd w:val="clear" w:color="auto" w:fill="FFFFFF"/>
              </w:rPr>
              <w:t>An Introduction to Information Security</w:t>
            </w:r>
          </w:p>
        </w:tc>
      </w:tr>
      <w:tr w:rsidR="00915D19" w14:paraId="7F846C13" w14:textId="77777777" w:rsidTr="00D92B90">
        <w:tc>
          <w:tcPr>
            <w:tcW w:w="1838" w:type="dxa"/>
          </w:tcPr>
          <w:p w14:paraId="1E735A9A" w14:textId="70B52904" w:rsidR="00915D19" w:rsidRDefault="00915D19" w:rsidP="00915D19">
            <w:pPr>
              <w:rPr>
                <w:shd w:val="clear" w:color="auto" w:fill="FFFFFF"/>
              </w:rPr>
            </w:pPr>
            <w:r w:rsidRPr="00915D19">
              <w:rPr>
                <w:shd w:val="clear" w:color="auto" w:fill="FFFFFF"/>
              </w:rPr>
              <w:t>NIST SP800-</w:t>
            </w:r>
            <w:r>
              <w:rPr>
                <w:shd w:val="clear" w:color="auto" w:fill="FFFFFF"/>
              </w:rPr>
              <w:t>14</w:t>
            </w:r>
          </w:p>
        </w:tc>
        <w:tc>
          <w:tcPr>
            <w:tcW w:w="6458" w:type="dxa"/>
          </w:tcPr>
          <w:p w14:paraId="4A677F1E" w14:textId="18FEB35B" w:rsidR="00915D19" w:rsidRDefault="00D92B90" w:rsidP="00915D19">
            <w:pPr>
              <w:rPr>
                <w:shd w:val="clear" w:color="auto" w:fill="FFFFFF"/>
              </w:rPr>
            </w:pPr>
            <w:r w:rsidRPr="00D92B90">
              <w:rPr>
                <w:shd w:val="clear" w:color="auto" w:fill="FFFFFF"/>
              </w:rPr>
              <w:t>Generally Accepted Principles and Practices for Securing Information Technology Systems</w:t>
            </w:r>
          </w:p>
        </w:tc>
      </w:tr>
      <w:tr w:rsidR="00915D19" w14:paraId="7BEBB3C8" w14:textId="77777777" w:rsidTr="00D92B90">
        <w:tc>
          <w:tcPr>
            <w:tcW w:w="1838" w:type="dxa"/>
          </w:tcPr>
          <w:p w14:paraId="16330E5D" w14:textId="70CA2E6B" w:rsidR="00915D19" w:rsidRDefault="00915D19" w:rsidP="00915D19">
            <w:pPr>
              <w:rPr>
                <w:shd w:val="clear" w:color="auto" w:fill="FFFFFF"/>
              </w:rPr>
            </w:pPr>
            <w:r w:rsidRPr="00915D19">
              <w:rPr>
                <w:shd w:val="clear" w:color="auto" w:fill="FFFFFF"/>
              </w:rPr>
              <w:t>NIST SP800-</w:t>
            </w:r>
            <w:r>
              <w:rPr>
                <w:shd w:val="clear" w:color="auto" w:fill="FFFFFF"/>
              </w:rPr>
              <w:t>18</w:t>
            </w:r>
          </w:p>
        </w:tc>
        <w:tc>
          <w:tcPr>
            <w:tcW w:w="6458" w:type="dxa"/>
          </w:tcPr>
          <w:p w14:paraId="3FBACA32" w14:textId="4AA05A76" w:rsidR="00915D19" w:rsidRDefault="00D92B90" w:rsidP="00915D19">
            <w:pPr>
              <w:rPr>
                <w:shd w:val="clear" w:color="auto" w:fill="FFFFFF"/>
              </w:rPr>
            </w:pPr>
            <w:r w:rsidRPr="00D92B90">
              <w:rPr>
                <w:shd w:val="clear" w:color="auto" w:fill="FFFFFF"/>
              </w:rPr>
              <w:t>Guide for Developing Security Plans for Federal Information Systems</w:t>
            </w:r>
          </w:p>
        </w:tc>
      </w:tr>
      <w:tr w:rsidR="00915D19" w14:paraId="343084A9" w14:textId="77777777" w:rsidTr="00D92B90">
        <w:tc>
          <w:tcPr>
            <w:tcW w:w="1838" w:type="dxa"/>
          </w:tcPr>
          <w:p w14:paraId="1C5CF4C6" w14:textId="67F3D5AA" w:rsidR="00915D19" w:rsidRDefault="00915D19" w:rsidP="00915D19">
            <w:pPr>
              <w:rPr>
                <w:shd w:val="clear" w:color="auto" w:fill="FFFFFF"/>
              </w:rPr>
            </w:pPr>
            <w:r w:rsidRPr="00915D19">
              <w:rPr>
                <w:shd w:val="clear" w:color="auto" w:fill="FFFFFF"/>
              </w:rPr>
              <w:t>NIST SP800-</w:t>
            </w:r>
            <w:r>
              <w:rPr>
                <w:shd w:val="clear" w:color="auto" w:fill="FFFFFF"/>
              </w:rPr>
              <w:t>34</w:t>
            </w:r>
          </w:p>
        </w:tc>
        <w:tc>
          <w:tcPr>
            <w:tcW w:w="6458" w:type="dxa"/>
          </w:tcPr>
          <w:p w14:paraId="3526FFCF" w14:textId="718DF7FA" w:rsidR="00915D19" w:rsidRDefault="00D92B90" w:rsidP="00915D19">
            <w:pPr>
              <w:rPr>
                <w:shd w:val="clear" w:color="auto" w:fill="FFFFFF"/>
              </w:rPr>
            </w:pPr>
            <w:r w:rsidRPr="00D92B90">
              <w:rPr>
                <w:shd w:val="clear" w:color="auto" w:fill="FFFFFF"/>
              </w:rPr>
              <w:t>Contingency Planning Guide for Federal Information Systems</w:t>
            </w:r>
          </w:p>
        </w:tc>
      </w:tr>
      <w:tr w:rsidR="00915D19" w14:paraId="5A648CE4" w14:textId="77777777" w:rsidTr="00D92B90">
        <w:tc>
          <w:tcPr>
            <w:tcW w:w="1838" w:type="dxa"/>
          </w:tcPr>
          <w:p w14:paraId="445E26C7" w14:textId="3ADACC4B" w:rsidR="00915D19" w:rsidRDefault="00915D19" w:rsidP="00915D19">
            <w:pPr>
              <w:rPr>
                <w:shd w:val="clear" w:color="auto" w:fill="FFFFFF"/>
              </w:rPr>
            </w:pPr>
            <w:r w:rsidRPr="00915D19">
              <w:rPr>
                <w:shd w:val="clear" w:color="auto" w:fill="FFFFFF"/>
              </w:rPr>
              <w:t>NIST SP800-</w:t>
            </w:r>
            <w:r>
              <w:rPr>
                <w:shd w:val="clear" w:color="auto" w:fill="FFFFFF"/>
              </w:rPr>
              <w:t>37</w:t>
            </w:r>
          </w:p>
        </w:tc>
        <w:tc>
          <w:tcPr>
            <w:tcW w:w="6458" w:type="dxa"/>
          </w:tcPr>
          <w:p w14:paraId="6B0282E5" w14:textId="5AF0EE65" w:rsidR="00915D19" w:rsidRDefault="00D92B90" w:rsidP="00915D19">
            <w:pPr>
              <w:rPr>
                <w:shd w:val="clear" w:color="auto" w:fill="FFFFFF"/>
              </w:rPr>
            </w:pPr>
            <w:r w:rsidRPr="00D92B90">
              <w:rPr>
                <w:shd w:val="clear" w:color="auto" w:fill="FFFFFF"/>
              </w:rPr>
              <w:t>Guide for Applying the Risk Management Framework to Federal Information Systems: A Security Life Cycle Approach</w:t>
            </w:r>
          </w:p>
        </w:tc>
      </w:tr>
      <w:tr w:rsidR="00915D19" w14:paraId="77868A84" w14:textId="77777777" w:rsidTr="00D92B90">
        <w:tc>
          <w:tcPr>
            <w:tcW w:w="1838" w:type="dxa"/>
          </w:tcPr>
          <w:p w14:paraId="5E7DF0DA" w14:textId="5A724697" w:rsidR="00915D19" w:rsidRDefault="00915D19" w:rsidP="00915D19">
            <w:pPr>
              <w:rPr>
                <w:shd w:val="clear" w:color="auto" w:fill="FFFFFF"/>
              </w:rPr>
            </w:pPr>
            <w:r w:rsidRPr="00915D19">
              <w:rPr>
                <w:shd w:val="clear" w:color="auto" w:fill="FFFFFF"/>
              </w:rPr>
              <w:t>NIST SP800-</w:t>
            </w:r>
            <w:r>
              <w:rPr>
                <w:shd w:val="clear" w:color="auto" w:fill="FFFFFF"/>
              </w:rPr>
              <w:t>39</w:t>
            </w:r>
          </w:p>
        </w:tc>
        <w:tc>
          <w:tcPr>
            <w:tcW w:w="6458" w:type="dxa"/>
          </w:tcPr>
          <w:p w14:paraId="208DB5DC" w14:textId="2995D4D5" w:rsidR="00915D19" w:rsidRDefault="00D92B90" w:rsidP="00915D19">
            <w:pPr>
              <w:rPr>
                <w:shd w:val="clear" w:color="auto" w:fill="FFFFFF"/>
              </w:rPr>
            </w:pPr>
            <w:r w:rsidRPr="00D92B90">
              <w:rPr>
                <w:shd w:val="clear" w:color="auto" w:fill="FFFFFF"/>
              </w:rPr>
              <w:t>Managing Information Security Risk: Organization, Mission, and Information System View</w:t>
            </w:r>
          </w:p>
        </w:tc>
      </w:tr>
      <w:tr w:rsidR="00915D19" w14:paraId="7E64FB2D" w14:textId="77777777" w:rsidTr="00D92B90">
        <w:tc>
          <w:tcPr>
            <w:tcW w:w="1838" w:type="dxa"/>
          </w:tcPr>
          <w:p w14:paraId="7F7CE2BC" w14:textId="71E9EBDB" w:rsidR="00915D19" w:rsidRDefault="00915D19" w:rsidP="00915D19">
            <w:pPr>
              <w:rPr>
                <w:shd w:val="clear" w:color="auto" w:fill="FFFFFF"/>
              </w:rPr>
            </w:pPr>
            <w:r w:rsidRPr="00915D19">
              <w:rPr>
                <w:shd w:val="clear" w:color="auto" w:fill="FFFFFF"/>
              </w:rPr>
              <w:t>NIST SP800-</w:t>
            </w:r>
            <w:r>
              <w:rPr>
                <w:shd w:val="clear" w:color="auto" w:fill="FFFFFF"/>
              </w:rPr>
              <w:t>53</w:t>
            </w:r>
          </w:p>
        </w:tc>
        <w:tc>
          <w:tcPr>
            <w:tcW w:w="6458" w:type="dxa"/>
          </w:tcPr>
          <w:p w14:paraId="75133F01" w14:textId="789BBCCC" w:rsidR="00915D19" w:rsidRDefault="00D92B90" w:rsidP="00915D19">
            <w:pPr>
              <w:rPr>
                <w:shd w:val="clear" w:color="auto" w:fill="FFFFFF"/>
              </w:rPr>
            </w:pPr>
            <w:r w:rsidRPr="00D92B90">
              <w:rPr>
                <w:shd w:val="clear" w:color="auto" w:fill="FFFFFF"/>
              </w:rPr>
              <w:t>Security and Privacy Controls in Federal Information Systems and Organizations</w:t>
            </w:r>
          </w:p>
        </w:tc>
      </w:tr>
      <w:tr w:rsidR="00915D19" w14:paraId="7DD5D0D9" w14:textId="77777777" w:rsidTr="00D92B90">
        <w:tc>
          <w:tcPr>
            <w:tcW w:w="1838" w:type="dxa"/>
          </w:tcPr>
          <w:p w14:paraId="632784A2" w14:textId="7C7ECA16" w:rsidR="00915D19" w:rsidRPr="00915D19" w:rsidRDefault="00915D19" w:rsidP="00915D19">
            <w:pPr>
              <w:rPr>
                <w:shd w:val="clear" w:color="auto" w:fill="FFFFFF"/>
              </w:rPr>
            </w:pPr>
            <w:r w:rsidRPr="00915D19">
              <w:rPr>
                <w:shd w:val="clear" w:color="auto" w:fill="FFFFFF"/>
              </w:rPr>
              <w:t>NIST SP800-</w:t>
            </w:r>
            <w:r>
              <w:rPr>
                <w:shd w:val="clear" w:color="auto" w:fill="FFFFFF"/>
              </w:rPr>
              <w:t>53</w:t>
            </w:r>
            <w:r w:rsidR="00D92B90">
              <w:rPr>
                <w:shd w:val="clear" w:color="auto" w:fill="FFFFFF"/>
              </w:rPr>
              <w:t>A</w:t>
            </w:r>
          </w:p>
        </w:tc>
        <w:tc>
          <w:tcPr>
            <w:tcW w:w="6458" w:type="dxa"/>
          </w:tcPr>
          <w:p w14:paraId="7E181B22" w14:textId="67E7D3E4" w:rsidR="00915D19" w:rsidRDefault="00D92B90" w:rsidP="00915D19">
            <w:pPr>
              <w:rPr>
                <w:shd w:val="clear" w:color="auto" w:fill="FFFFFF"/>
              </w:rPr>
            </w:pPr>
            <w:r w:rsidRPr="00D92B90">
              <w:rPr>
                <w:shd w:val="clear" w:color="auto" w:fill="FFFFFF"/>
              </w:rPr>
              <w:t>Assessing Security and Privacy Controls in Federal Information Systems and Organizations: Building Effective Assessment Plans</w:t>
            </w:r>
          </w:p>
        </w:tc>
      </w:tr>
    </w:tbl>
    <w:p w14:paraId="63C678BD" w14:textId="5012E5B1" w:rsidR="00434961" w:rsidRDefault="00434961" w:rsidP="00434961">
      <w:pPr>
        <w:ind w:firstLineChars="1750" w:firstLine="3675"/>
        <w:rPr>
          <w:shd w:val="clear" w:color="auto" w:fill="FFFFFF"/>
        </w:rPr>
      </w:pPr>
      <w:r w:rsidRPr="00434961">
        <w:rPr>
          <w:shd w:val="clear" w:color="auto" w:fill="FFFFFF"/>
        </w:rPr>
        <w:t>Chart 1-4</w:t>
      </w:r>
    </w:p>
    <w:p w14:paraId="3D291369" w14:textId="77777777" w:rsidR="00434961" w:rsidRPr="00434961" w:rsidRDefault="00434961" w:rsidP="00434961">
      <w:pPr>
        <w:rPr>
          <w:shd w:val="clear" w:color="auto" w:fill="FFFFFF"/>
        </w:rPr>
      </w:pPr>
      <w:r w:rsidRPr="00434961">
        <w:rPr>
          <w:shd w:val="clear" w:color="auto" w:fill="FFFFFF"/>
        </w:rPr>
        <w:lastRenderedPageBreak/>
        <w:t>In fact, this series of standards is much more than that, it can be said that one of the characteristics of this series is that it covers a wide range.</w:t>
      </w:r>
    </w:p>
    <w:p w14:paraId="1C7C456C" w14:textId="6BDA7809" w:rsidR="00434961" w:rsidRDefault="00434961" w:rsidP="00434961">
      <w:pPr>
        <w:rPr>
          <w:shd w:val="clear" w:color="auto" w:fill="FFFFFF"/>
        </w:rPr>
      </w:pPr>
      <w:r w:rsidRPr="00434961">
        <w:rPr>
          <w:shd w:val="clear" w:color="auto" w:fill="FFFFFF"/>
        </w:rPr>
        <w:t>This series of protocols has the following two significant advantages</w:t>
      </w:r>
    </w:p>
    <w:p w14:paraId="547B0FF9" w14:textId="5839D9D3" w:rsidR="00584303" w:rsidRDefault="00584303" w:rsidP="00915D19">
      <w:pPr>
        <w:rPr>
          <w:shd w:val="clear" w:color="auto" w:fill="FFFFFF"/>
        </w:rPr>
      </w:pPr>
      <w:r>
        <w:rPr>
          <w:rFonts w:hint="eastAsia"/>
          <w:shd w:val="clear" w:color="auto" w:fill="FFFFFF"/>
        </w:rPr>
        <w:t>1.</w:t>
      </w:r>
      <w:r w:rsidRPr="00584303">
        <w:rPr>
          <w:shd w:val="clear" w:color="auto" w:fill="FFFFFF"/>
        </w:rPr>
        <w:t>They are publicly available at no charge</w:t>
      </w:r>
    </w:p>
    <w:p w14:paraId="1973AB40" w14:textId="3D4872A9" w:rsidR="00584303" w:rsidRDefault="00584303" w:rsidP="00915D19">
      <w:pPr>
        <w:rPr>
          <w:shd w:val="clear" w:color="auto" w:fill="FFFFFF"/>
        </w:rPr>
      </w:pPr>
      <w:r>
        <w:rPr>
          <w:rFonts w:hint="eastAsia"/>
          <w:shd w:val="clear" w:color="auto" w:fill="FFFFFF"/>
        </w:rPr>
        <w:t>2.T</w:t>
      </w:r>
      <w:r w:rsidRPr="00584303">
        <w:rPr>
          <w:shd w:val="clear" w:color="auto" w:fill="FFFFFF"/>
        </w:rPr>
        <w:t>hey have been available for some</w:t>
      </w:r>
      <w:r w:rsidR="00434961">
        <w:rPr>
          <w:shd w:val="clear" w:color="auto" w:fill="FFFFFF"/>
        </w:rPr>
        <w:t xml:space="preserve"> </w:t>
      </w:r>
      <w:r w:rsidRPr="00584303">
        <w:rPr>
          <w:shd w:val="clear" w:color="auto" w:fill="FFFFFF"/>
        </w:rPr>
        <w:t>time</w:t>
      </w:r>
      <w:r w:rsidR="008E4261">
        <w:rPr>
          <w:shd w:val="clear" w:color="auto" w:fill="FFFFFF"/>
        </w:rPr>
        <w:t xml:space="preserve">, </w:t>
      </w:r>
      <w:r w:rsidRPr="00584303">
        <w:rPr>
          <w:shd w:val="clear" w:color="auto" w:fill="FFFFFF"/>
        </w:rPr>
        <w:t>thus</w:t>
      </w:r>
      <w:r w:rsidR="008E4261">
        <w:rPr>
          <w:shd w:val="clear" w:color="auto" w:fill="FFFFFF"/>
        </w:rPr>
        <w:t xml:space="preserve">, </w:t>
      </w:r>
      <w:r w:rsidRPr="00584303">
        <w:rPr>
          <w:shd w:val="clear" w:color="auto" w:fill="FFFFFF"/>
        </w:rPr>
        <w:t>they have been broadly reviewed by government and industry professionals.</w:t>
      </w:r>
    </w:p>
    <w:p w14:paraId="1F639D3B" w14:textId="2EFA589D" w:rsidR="00434961" w:rsidRDefault="00434961" w:rsidP="00434961">
      <w:pPr>
        <w:rPr>
          <w:shd w:val="clear" w:color="auto" w:fill="FFFFFF"/>
        </w:rPr>
      </w:pPr>
      <w:r w:rsidRPr="00434961">
        <w:rPr>
          <w:shd w:val="clear" w:color="auto" w:fill="FFFFFF"/>
        </w:rPr>
        <w:t>Because of these two advantages, the U.S. government and many U.S. companies choose this series instead of the ISO series standards</w:t>
      </w:r>
      <w:r w:rsidR="00C02EA9">
        <w:rPr>
          <w:rFonts w:hint="eastAsia"/>
          <w:shd w:val="clear" w:color="auto" w:fill="FFFFFF"/>
        </w:rPr>
        <w:t>.</w:t>
      </w:r>
      <w:r w:rsidR="00C02EA9">
        <w:rPr>
          <w:shd w:val="clear" w:color="auto" w:fill="FFFFFF"/>
        </w:rPr>
        <w:t xml:space="preserve"> </w:t>
      </w:r>
      <w:r w:rsidRPr="00434961">
        <w:rPr>
          <w:shd w:val="clear" w:color="auto" w:fill="FFFFFF"/>
        </w:rPr>
        <w:t>In addition, this series of protocols has considerable flexibility and comprehensiveness, so this series has become very popular.</w:t>
      </w:r>
    </w:p>
    <w:p w14:paraId="64A6EE58" w14:textId="77777777" w:rsidR="00C02EA9" w:rsidRDefault="00C02EA9" w:rsidP="00915D19">
      <w:pPr>
        <w:rPr>
          <w:shd w:val="clear" w:color="auto" w:fill="FFFFFF"/>
        </w:rPr>
      </w:pPr>
      <w:r w:rsidRPr="00C02EA9">
        <w:rPr>
          <w:shd w:val="clear" w:color="auto" w:fill="FFFFFF"/>
        </w:rPr>
        <w:t>Of these standards, NIST SP800-53 and NIST SP800-53A are the most widely known and used</w:t>
      </w:r>
    </w:p>
    <w:p w14:paraId="28988CC3" w14:textId="1251BC06" w:rsidR="008E4261" w:rsidRDefault="008E4261" w:rsidP="00C02EA9">
      <w:pPr>
        <w:pStyle w:val="3"/>
        <w:rPr>
          <w:shd w:val="clear" w:color="auto" w:fill="FFFFFF"/>
        </w:rPr>
      </w:pPr>
      <w:r w:rsidRPr="00915D19">
        <w:rPr>
          <w:shd w:val="clear" w:color="auto" w:fill="FFFFFF"/>
        </w:rPr>
        <w:t>NIST SP800-</w:t>
      </w:r>
      <w:r>
        <w:rPr>
          <w:shd w:val="clear" w:color="auto" w:fill="FFFFFF"/>
        </w:rPr>
        <w:t>53</w:t>
      </w:r>
    </w:p>
    <w:p w14:paraId="1BD9E370" w14:textId="2BE83E9B" w:rsidR="004F35D3" w:rsidRDefault="00C02EA9" w:rsidP="00915D19">
      <w:r w:rsidRPr="00C02EA9">
        <w:rPr>
          <w:shd w:val="clear" w:color="auto" w:fill="FFFFFF"/>
        </w:rPr>
        <w:t>NIST SP800-53 provides all the security and privacy directories of the U.S. Federal Information System, except of course for national security related content,</w:t>
      </w:r>
      <w:r>
        <w:rPr>
          <w:shd w:val="clear" w:color="auto" w:fill="FFFFFF"/>
        </w:rPr>
        <w:t xml:space="preserve"> it </w:t>
      </w:r>
      <w:r w:rsidR="008E4261">
        <w:rPr>
          <w:shd w:val="clear" w:color="auto" w:fill="FFFFFF"/>
        </w:rPr>
        <w:t>is part of the Special Publication 800-series</w:t>
      </w:r>
      <w:r>
        <w:rPr>
          <w:shd w:val="clear" w:color="auto" w:fill="FFFFFF"/>
        </w:rPr>
        <w:t xml:space="preserve">. </w:t>
      </w:r>
      <w:r w:rsidRPr="00C02EA9">
        <w:t>Specifically, NIST SP800-53 includes</w:t>
      </w:r>
      <w:r>
        <w:t xml:space="preserve"> </w:t>
      </w:r>
      <w:r w:rsidR="008E4261" w:rsidRPr="008E4261">
        <w:rPr>
          <w:shd w:val="clear" w:color="auto" w:fill="FFFFFF"/>
        </w:rPr>
        <w:t>detailed information on the NIST family of security controls</w:t>
      </w:r>
      <w:r>
        <w:rPr>
          <w:shd w:val="clear" w:color="auto" w:fill="FFFFFF"/>
        </w:rPr>
        <w:t xml:space="preserve">, </w:t>
      </w:r>
      <w:r w:rsidRPr="00C02EA9">
        <w:rPr>
          <w:shd w:val="clear" w:color="auto" w:fill="FFFFFF"/>
        </w:rPr>
        <w:t>all steps in the risk management framework</w:t>
      </w:r>
      <w:r>
        <w:rPr>
          <w:shd w:val="clear" w:color="auto" w:fill="FFFFFF"/>
        </w:rPr>
        <w:t xml:space="preserve"> and </w:t>
      </w:r>
      <w:r w:rsidR="008E4261" w:rsidRPr="008E4261">
        <w:rPr>
          <w:shd w:val="clear" w:color="auto" w:fill="FFFFFF"/>
        </w:rPr>
        <w:t xml:space="preserve">"a more holistic approach to information security and risk management by providing organizations with the breadth and depth of security controls necessary to fundamentally strengthen their information systems and the environments in which those systems operate- contributing to systems that are more resilient in the face of </w:t>
      </w:r>
      <w:proofErr w:type="spellStart"/>
      <w:r w:rsidR="008E4261" w:rsidRPr="008E4261">
        <w:rPr>
          <w:shd w:val="clear" w:color="auto" w:fill="FFFFFF"/>
        </w:rPr>
        <w:t>cyber attacks</w:t>
      </w:r>
      <w:proofErr w:type="spellEnd"/>
      <w:r w:rsidR="008E4261" w:rsidRPr="008E4261">
        <w:rPr>
          <w:shd w:val="clear" w:color="auto" w:fill="FFFFFF"/>
        </w:rPr>
        <w:t xml:space="preserve"> and other threats</w:t>
      </w:r>
      <w:r w:rsidR="008E4261">
        <w:rPr>
          <w:rFonts w:hint="eastAsia"/>
          <w:shd w:val="clear" w:color="auto" w:fill="FFFFFF"/>
        </w:rPr>
        <w:t>.</w:t>
      </w:r>
      <w:r>
        <w:rPr>
          <w:shd w:val="clear" w:color="auto" w:fill="FFFFFF"/>
        </w:rPr>
        <w:t>”</w:t>
      </w:r>
      <w:r w:rsidR="008E4261" w:rsidRPr="008E4261">
        <w:t xml:space="preserve"> </w:t>
      </w:r>
    </w:p>
    <w:p w14:paraId="07B69DBF" w14:textId="199D1DB2" w:rsidR="00C02EA9" w:rsidRPr="00C02EA9" w:rsidRDefault="00C02EA9" w:rsidP="00915D19">
      <w:pPr>
        <w:rPr>
          <w:shd w:val="clear" w:color="auto" w:fill="FFFFFF"/>
        </w:rPr>
      </w:pPr>
      <w:r w:rsidRPr="00C02EA9">
        <w:rPr>
          <w:shd w:val="clear" w:color="auto" w:fill="FFFFFF"/>
        </w:rPr>
        <w:t>It is worth noting that the NIST</w:t>
      </w:r>
      <w:r>
        <w:rPr>
          <w:shd w:val="clear" w:color="auto" w:fill="FFFFFF"/>
        </w:rPr>
        <w:t xml:space="preserve"> SP</w:t>
      </w:r>
      <w:r w:rsidRPr="00C02EA9">
        <w:rPr>
          <w:shd w:val="clear" w:color="auto" w:fill="FFFFFF"/>
        </w:rPr>
        <w:t>800-53 framework is very flexible and can be customized, sometimes as part of an organization's risk management strategy.</w:t>
      </w:r>
    </w:p>
    <w:p w14:paraId="002FCB6A" w14:textId="4E8042DB" w:rsidR="004F35D3" w:rsidRPr="00C02EA9" w:rsidRDefault="004F35D3" w:rsidP="00915D19">
      <w:pPr>
        <w:rPr>
          <w:shd w:val="clear" w:color="auto" w:fill="FFFFFF"/>
        </w:rPr>
      </w:pPr>
      <w:r w:rsidRPr="008E4261">
        <w:rPr>
          <w:shd w:val="clear" w:color="auto" w:fill="FFFFFF"/>
        </w:rPr>
        <w:t>This document has a fifth revision in draft.</w:t>
      </w:r>
      <w:r>
        <w:rPr>
          <w:rFonts w:hint="eastAsia"/>
          <w:shd w:val="clear" w:color="auto" w:fill="FFFFFF"/>
        </w:rPr>
        <w:t xml:space="preserve"> </w:t>
      </w:r>
      <w:r w:rsidR="00C02EA9" w:rsidRPr="00C02EA9">
        <w:rPr>
          <w:shd w:val="clear" w:color="auto" w:fill="FFFFFF"/>
        </w:rPr>
        <w:t xml:space="preserve">In the fifth </w:t>
      </w:r>
      <w:hyperlink r:id="rId7" w:anchor="Fourth_Revision" w:history="1">
        <w:r w:rsidR="00C02EA9">
          <w:t>r</w:t>
        </w:r>
        <w:r w:rsidR="00C02EA9" w:rsidRPr="00C02EA9">
          <w:t>evision</w:t>
        </w:r>
      </w:hyperlink>
      <w:r w:rsidR="00C02EA9" w:rsidRPr="00C02EA9">
        <w:t>,</w:t>
      </w:r>
      <w:r w:rsidR="00C02EA9" w:rsidRPr="00C02EA9">
        <w:rPr>
          <w:shd w:val="clear" w:color="auto" w:fill="FFFFFF"/>
        </w:rPr>
        <w:t xml:space="preserve"> twenty different privacy and security controlled directories allow U.S. federal agencies and organizations to better manage their risks</w:t>
      </w:r>
      <w:r w:rsidR="00C02EA9">
        <w:rPr>
          <w:shd w:val="clear" w:color="auto" w:fill="FFFFFF"/>
        </w:rPr>
        <w:t>.</w:t>
      </w:r>
    </w:p>
    <w:p w14:paraId="7F702522" w14:textId="6CCE1392" w:rsidR="008E4261" w:rsidRPr="0008091A" w:rsidRDefault="0008091A" w:rsidP="00C02EA9">
      <w:pPr>
        <w:pStyle w:val="3"/>
        <w:rPr>
          <w:shd w:val="clear" w:color="auto" w:fill="FFFFFF"/>
        </w:rPr>
      </w:pPr>
      <w:r w:rsidRPr="00915D19">
        <w:rPr>
          <w:shd w:val="clear" w:color="auto" w:fill="FFFFFF"/>
        </w:rPr>
        <w:t>NIST SP800-</w:t>
      </w:r>
      <w:r>
        <w:rPr>
          <w:shd w:val="clear" w:color="auto" w:fill="FFFFFF"/>
        </w:rPr>
        <w:t>53</w:t>
      </w:r>
      <w:r>
        <w:rPr>
          <w:rFonts w:hint="eastAsia"/>
          <w:shd w:val="clear" w:color="auto" w:fill="FFFFFF"/>
        </w:rPr>
        <w:t xml:space="preserve"> </w:t>
      </w:r>
      <w:r>
        <w:rPr>
          <w:shd w:val="clear" w:color="auto" w:fill="FFFFFF"/>
        </w:rPr>
        <w:t>A</w:t>
      </w:r>
    </w:p>
    <w:p w14:paraId="0A23EDEF" w14:textId="69B380F3" w:rsidR="00C02EA9" w:rsidRDefault="00C02EA9" w:rsidP="00915D19">
      <w:pPr>
        <w:rPr>
          <w:shd w:val="clear" w:color="auto" w:fill="FFFFFF"/>
        </w:rPr>
      </w:pPr>
      <w:r w:rsidRPr="00C02EA9">
        <w:rPr>
          <w:shd w:val="clear" w:color="auto" w:fill="FFFFFF"/>
        </w:rPr>
        <w:t>NIST SP800-53 A is a companion guide to NIST SP800-53, which provides a set of procedures for evaluating security controls and privacy controls used in federal information systems and organizations. A big advantage of this program is that it can be easily modified and customized, so it can be applied to various organizations. It also provides information on establishing an effective security evaluation plan and privacy evaluation plan, and guidance for analyzing the evaluation results.</w:t>
      </w:r>
    </w:p>
    <w:p w14:paraId="7CBE9F2C" w14:textId="77777777" w:rsidR="0008091A" w:rsidRPr="0008091A" w:rsidRDefault="0008091A" w:rsidP="00915D19">
      <w:pPr>
        <w:rPr>
          <w:shd w:val="clear" w:color="auto" w:fill="FFFFFF"/>
        </w:rPr>
      </w:pPr>
    </w:p>
    <w:p w14:paraId="24F8DE5F" w14:textId="1984DA8C" w:rsidR="0008091A" w:rsidRPr="00405A70" w:rsidRDefault="0008091A" w:rsidP="00405A70">
      <w:pPr>
        <w:pStyle w:val="3"/>
        <w:rPr>
          <w:rStyle w:val="a3"/>
          <w:b/>
          <w:bCs/>
        </w:rPr>
      </w:pPr>
      <w:r w:rsidRPr="00405A70">
        <w:rPr>
          <w:rStyle w:val="a3"/>
          <w:b/>
          <w:bCs/>
        </w:rPr>
        <w:t>NIST Cybersecurity Framework</w:t>
      </w:r>
    </w:p>
    <w:p w14:paraId="15C84168" w14:textId="4A823588" w:rsidR="0088754C" w:rsidRDefault="00AE6E5C" w:rsidP="00AE6E5C">
      <w:pPr>
        <w:rPr>
          <w:rStyle w:val="a3"/>
          <w:rFonts w:ascii="Roboto" w:hAnsi="Roboto"/>
          <w:b w:val="0"/>
          <w:bCs w:val="0"/>
          <w:color w:val="444444"/>
          <w:shd w:val="clear" w:color="auto" w:fill="FFFFFF"/>
        </w:rPr>
      </w:pPr>
      <w:r w:rsidRPr="00AE6E5C">
        <w:rPr>
          <w:rStyle w:val="a3"/>
          <w:rFonts w:ascii="Roboto" w:hAnsi="Roboto"/>
          <w:b w:val="0"/>
          <w:bCs w:val="0"/>
          <w:color w:val="444444"/>
          <w:shd w:val="clear" w:color="auto" w:fill="FFFFFF"/>
        </w:rPr>
        <w:t>The NIST Cybersecurity Framework</w:t>
      </w:r>
      <w:r w:rsidR="00C02EA9">
        <w:rPr>
          <w:rStyle w:val="a3"/>
          <w:rFonts w:ascii="Roboto" w:hAnsi="Roboto"/>
          <w:b w:val="0"/>
          <w:bCs w:val="0"/>
          <w:color w:val="444444"/>
          <w:shd w:val="clear" w:color="auto" w:fill="FFFFFF"/>
        </w:rPr>
        <w:t xml:space="preserve"> (NIST CSF)</w:t>
      </w:r>
      <w:r w:rsidR="00C02EA9" w:rsidRPr="00C02EA9">
        <w:t xml:space="preserve"> </w:t>
      </w:r>
      <w:r w:rsidR="00C02EA9">
        <w:rPr>
          <w:rStyle w:val="a3"/>
          <w:rFonts w:ascii="Roboto" w:hAnsi="Roboto"/>
          <w:b w:val="0"/>
          <w:bCs w:val="0"/>
          <w:color w:val="444444"/>
          <w:shd w:val="clear" w:color="auto" w:fill="FFFFFF"/>
        </w:rPr>
        <w:t>i</w:t>
      </w:r>
      <w:r w:rsidR="00C02EA9" w:rsidRPr="00C02EA9">
        <w:rPr>
          <w:rStyle w:val="a3"/>
          <w:rFonts w:ascii="Roboto" w:hAnsi="Roboto"/>
          <w:b w:val="0"/>
          <w:bCs w:val="0"/>
          <w:color w:val="444444"/>
          <w:shd w:val="clear" w:color="auto" w:fill="FFFFFF"/>
        </w:rPr>
        <w:t>s a new CSF released by NIST in the United States in 2014.It provides a computer security guidance policy framework and is designed specifically for individual businesses and other organizations.</w:t>
      </w:r>
      <w:r w:rsidR="00C02EA9">
        <w:rPr>
          <w:rStyle w:val="a3"/>
          <w:rFonts w:ascii="Roboto" w:hAnsi="Roboto"/>
          <w:b w:val="0"/>
          <w:bCs w:val="0"/>
          <w:color w:val="444444"/>
          <w:shd w:val="clear" w:color="auto" w:fill="FFFFFF"/>
        </w:rPr>
        <w:t xml:space="preserve"> </w:t>
      </w:r>
      <w:r w:rsidR="00C02EA9" w:rsidRPr="00C02EA9">
        <w:rPr>
          <w:rStyle w:val="a3"/>
          <w:rFonts w:ascii="Roboto" w:hAnsi="Roboto"/>
          <w:b w:val="0"/>
          <w:bCs w:val="0"/>
          <w:color w:val="444444"/>
          <w:shd w:val="clear" w:color="auto" w:fill="FFFFFF"/>
        </w:rPr>
        <w:t xml:space="preserve">The main purpose is to help </w:t>
      </w:r>
      <w:r w:rsidR="00C02EA9" w:rsidRPr="00C02EA9">
        <w:rPr>
          <w:rStyle w:val="a3"/>
          <w:rFonts w:ascii="Roboto" w:hAnsi="Roboto"/>
          <w:b w:val="0"/>
          <w:bCs w:val="0"/>
          <w:color w:val="444444"/>
          <w:shd w:val="clear" w:color="auto" w:fill="FFFFFF"/>
        </w:rPr>
        <w:lastRenderedPageBreak/>
        <w:t xml:space="preserve">them assess risks and guidance based on existing standards </w:t>
      </w:r>
      <w:r w:rsidR="00C02EA9">
        <w:rPr>
          <w:rStyle w:val="a3"/>
          <w:rFonts w:ascii="Roboto" w:hAnsi="Roboto"/>
          <w:b w:val="0"/>
          <w:bCs w:val="0"/>
          <w:color w:val="444444"/>
          <w:shd w:val="clear" w:color="auto" w:fill="FFFFFF"/>
        </w:rPr>
        <w:t>that h</w:t>
      </w:r>
      <w:r w:rsidR="00C02EA9" w:rsidRPr="00C02EA9">
        <w:rPr>
          <w:rStyle w:val="a3"/>
          <w:rFonts w:ascii="Roboto" w:hAnsi="Roboto"/>
          <w:b w:val="0"/>
          <w:bCs w:val="0"/>
          <w:color w:val="444444"/>
          <w:shd w:val="clear" w:color="auto" w:fill="FFFFFF"/>
        </w:rPr>
        <w:t xml:space="preserve">ow US private companies can improve their ability to detect, defend, and respond to </w:t>
      </w:r>
      <w:proofErr w:type="spellStart"/>
      <w:r w:rsidR="00C02EA9" w:rsidRPr="00C02EA9">
        <w:rPr>
          <w:rStyle w:val="a3"/>
          <w:rFonts w:ascii="Roboto" w:hAnsi="Roboto"/>
          <w:b w:val="0"/>
          <w:bCs w:val="0"/>
          <w:color w:val="444444"/>
          <w:shd w:val="clear" w:color="auto" w:fill="FFFFFF"/>
        </w:rPr>
        <w:t>cyber attacks</w:t>
      </w:r>
      <w:proofErr w:type="spellEnd"/>
      <w:r w:rsidR="00C02EA9" w:rsidRPr="00C02EA9">
        <w:rPr>
          <w:rStyle w:val="a3"/>
          <w:rFonts w:ascii="Roboto" w:hAnsi="Roboto"/>
          <w:b w:val="0"/>
          <w:bCs w:val="0"/>
          <w:color w:val="444444"/>
          <w:shd w:val="clear" w:color="auto" w:fill="FFFFFF"/>
        </w:rPr>
        <w:t xml:space="preserve"> and risks</w:t>
      </w:r>
      <w:r w:rsidR="0088754C">
        <w:t xml:space="preserve">. </w:t>
      </w:r>
      <w:r w:rsidR="0088754C" w:rsidRPr="0088754C">
        <w:rPr>
          <w:rStyle w:val="a3"/>
          <w:rFonts w:ascii="Roboto" w:hAnsi="Roboto"/>
          <w:b w:val="0"/>
          <w:bCs w:val="0"/>
          <w:color w:val="444444"/>
          <w:shd w:val="clear" w:color="auto" w:fill="FFFFFF"/>
        </w:rPr>
        <w:t>The NIST Cybersecurity Framework has proven to be flexible enough to be used by organizations outside the United States.</w:t>
      </w:r>
      <w:r w:rsidR="0088754C">
        <w:rPr>
          <w:rStyle w:val="a3"/>
          <w:rFonts w:ascii="Roboto" w:hAnsi="Roboto"/>
          <w:b w:val="0"/>
          <w:bCs w:val="0"/>
          <w:color w:val="444444"/>
          <w:shd w:val="clear" w:color="auto" w:fill="FFFFFF"/>
        </w:rPr>
        <w:t xml:space="preserve"> </w:t>
      </w:r>
      <w:r w:rsidR="0088754C" w:rsidRPr="0088754C">
        <w:rPr>
          <w:rStyle w:val="a3"/>
          <w:rFonts w:ascii="Roboto" w:hAnsi="Roboto"/>
          <w:b w:val="0"/>
          <w:bCs w:val="0"/>
          <w:color w:val="444444"/>
          <w:shd w:val="clear" w:color="auto" w:fill="FFFFFF"/>
        </w:rPr>
        <w:t>In fact, NISTCSF did not introduce new standards and concepts at the beginning, but just used and extracted the network security frameworks already widely used by the industry such as NIST and ISO.</w:t>
      </w:r>
      <w:r w:rsidR="0088754C">
        <w:rPr>
          <w:rStyle w:val="a3"/>
          <w:rFonts w:ascii="Roboto" w:hAnsi="Roboto"/>
          <w:b w:val="0"/>
          <w:bCs w:val="0"/>
          <w:color w:val="444444"/>
          <w:shd w:val="clear" w:color="auto" w:fill="FFFFFF"/>
        </w:rPr>
        <w:t xml:space="preserve"> </w:t>
      </w:r>
    </w:p>
    <w:p w14:paraId="2215A214" w14:textId="29EA1F87" w:rsidR="00AE6E5C" w:rsidRDefault="00AE6E5C" w:rsidP="00AE6E5C">
      <w:pPr>
        <w:rPr>
          <w:rStyle w:val="a3"/>
          <w:rFonts w:ascii="Roboto" w:hAnsi="Roboto"/>
          <w:b w:val="0"/>
          <w:bCs w:val="0"/>
          <w:color w:val="444444"/>
          <w:shd w:val="clear" w:color="auto" w:fill="FFFFFF"/>
        </w:rPr>
      </w:pPr>
      <w:r w:rsidRPr="00AE6E5C">
        <w:rPr>
          <w:rStyle w:val="a3"/>
          <w:rFonts w:ascii="Roboto" w:hAnsi="Roboto"/>
          <w:b w:val="0"/>
          <w:bCs w:val="0"/>
          <w:color w:val="444444"/>
          <w:shd w:val="clear" w:color="auto" w:fill="FFFFFF"/>
        </w:rPr>
        <w:t>The framework is divided into three parts, "Core", "Profile" and "Tiers". The "Framework Core" contains an array of activities, outcomes and references about aspects and approaches to cybersecurity. The "Framework Implementation Tiers" are used by an organization to clarify for itself and its partners how it views cybersecurity risk and the degree of sophistication of its management approach. A "Framework Profile" is a list of outcomes that an organization has chosen from the categories and subcategories, based on its needs and risk assessments.</w:t>
      </w:r>
    </w:p>
    <w:p w14:paraId="4B91A27A" w14:textId="62371A71" w:rsidR="00E83015" w:rsidRDefault="00E83015" w:rsidP="00AE6E5C">
      <w:pPr>
        <w:rPr>
          <w:rStyle w:val="a3"/>
          <w:rFonts w:ascii="Roboto" w:hAnsi="Roboto"/>
          <w:b w:val="0"/>
          <w:bCs w:val="0"/>
          <w:color w:val="444444"/>
          <w:shd w:val="clear" w:color="auto" w:fill="FFFFFF"/>
        </w:rPr>
      </w:pPr>
      <w:r>
        <w:rPr>
          <w:noProof/>
        </w:rPr>
        <w:drawing>
          <wp:inline distT="0" distB="0" distL="0" distR="0" wp14:anchorId="76FE3C9C" wp14:editId="12682B87">
            <wp:extent cx="2952750" cy="23050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52750" cy="2305050"/>
                    </a:xfrm>
                    <a:prstGeom prst="rect">
                      <a:avLst/>
                    </a:prstGeom>
                  </pic:spPr>
                </pic:pic>
              </a:graphicData>
            </a:graphic>
          </wp:inline>
        </w:drawing>
      </w:r>
    </w:p>
    <w:p w14:paraId="0D89EC9B" w14:textId="6E24E15F" w:rsidR="00AE6E5C" w:rsidRDefault="0088754C" w:rsidP="00AE6E5C">
      <w:pPr>
        <w:rPr>
          <w:rStyle w:val="a3"/>
          <w:rFonts w:ascii="Roboto" w:hAnsi="Roboto"/>
          <w:b w:val="0"/>
          <w:bCs w:val="0"/>
          <w:color w:val="444444"/>
          <w:shd w:val="clear" w:color="auto" w:fill="FFFFFF"/>
        </w:rPr>
      </w:pPr>
      <w:r w:rsidRPr="0088754C">
        <w:rPr>
          <w:rStyle w:val="a3"/>
          <w:rFonts w:ascii="Roboto" w:hAnsi="Roboto"/>
          <w:b w:val="0"/>
          <w:bCs w:val="0"/>
          <w:color w:val="444444"/>
          <w:shd w:val="clear" w:color="auto" w:fill="FFFFFF"/>
        </w:rPr>
        <w:t>The framework has a simple self-assessment system with the following evaluation criteria</w:t>
      </w:r>
    </w:p>
    <w:p w14:paraId="34211517" w14:textId="77777777" w:rsidR="00AE6E5C" w:rsidRPr="00AE6E5C" w:rsidRDefault="00AE6E5C" w:rsidP="00AE6E5C">
      <w:pPr>
        <w:rPr>
          <w:rStyle w:val="a3"/>
          <w:rFonts w:ascii="Roboto" w:hAnsi="Roboto"/>
          <w:b w:val="0"/>
          <w:bCs w:val="0"/>
          <w:color w:val="444444"/>
          <w:shd w:val="clear" w:color="auto" w:fill="FFFFFF"/>
        </w:rPr>
      </w:pPr>
      <w:r w:rsidRPr="00AE6E5C">
        <w:rPr>
          <w:rStyle w:val="a3"/>
          <w:rFonts w:ascii="Roboto" w:hAnsi="Roboto"/>
          <w:b w:val="0"/>
          <w:bCs w:val="0"/>
          <w:color w:val="444444"/>
          <w:shd w:val="clear" w:color="auto" w:fill="FFFFFF"/>
        </w:rPr>
        <w:t>Leadership</w:t>
      </w:r>
    </w:p>
    <w:p w14:paraId="7432DA03" w14:textId="77777777" w:rsidR="00AE6E5C" w:rsidRPr="00AE6E5C" w:rsidRDefault="00AE6E5C" w:rsidP="00AE6E5C">
      <w:pPr>
        <w:rPr>
          <w:rStyle w:val="a3"/>
          <w:rFonts w:ascii="Roboto" w:hAnsi="Roboto"/>
          <w:b w:val="0"/>
          <w:bCs w:val="0"/>
          <w:color w:val="444444"/>
          <w:shd w:val="clear" w:color="auto" w:fill="FFFFFF"/>
        </w:rPr>
      </w:pPr>
      <w:r w:rsidRPr="00AE6E5C">
        <w:rPr>
          <w:rStyle w:val="a3"/>
          <w:rFonts w:ascii="Roboto" w:hAnsi="Roboto"/>
          <w:b w:val="0"/>
          <w:bCs w:val="0"/>
          <w:color w:val="444444"/>
          <w:shd w:val="clear" w:color="auto" w:fill="FFFFFF"/>
        </w:rPr>
        <w:t>Strategy</w:t>
      </w:r>
    </w:p>
    <w:p w14:paraId="5DE289F1" w14:textId="77777777" w:rsidR="00AE6E5C" w:rsidRPr="00AE6E5C" w:rsidRDefault="00AE6E5C" w:rsidP="00AE6E5C">
      <w:pPr>
        <w:rPr>
          <w:rStyle w:val="a3"/>
          <w:rFonts w:ascii="Roboto" w:hAnsi="Roboto"/>
          <w:b w:val="0"/>
          <w:bCs w:val="0"/>
          <w:color w:val="444444"/>
          <w:shd w:val="clear" w:color="auto" w:fill="FFFFFF"/>
        </w:rPr>
      </w:pPr>
      <w:r w:rsidRPr="00AE6E5C">
        <w:rPr>
          <w:rStyle w:val="a3"/>
          <w:rFonts w:ascii="Roboto" w:hAnsi="Roboto"/>
          <w:b w:val="0"/>
          <w:bCs w:val="0"/>
          <w:color w:val="444444"/>
          <w:shd w:val="clear" w:color="auto" w:fill="FFFFFF"/>
        </w:rPr>
        <w:t>Customers</w:t>
      </w:r>
    </w:p>
    <w:p w14:paraId="56D2CF45" w14:textId="77777777" w:rsidR="00AE6E5C" w:rsidRPr="00AE6E5C" w:rsidRDefault="00AE6E5C" w:rsidP="00AE6E5C">
      <w:pPr>
        <w:rPr>
          <w:rStyle w:val="a3"/>
          <w:rFonts w:ascii="Roboto" w:hAnsi="Roboto"/>
          <w:b w:val="0"/>
          <w:bCs w:val="0"/>
          <w:color w:val="444444"/>
          <w:shd w:val="clear" w:color="auto" w:fill="FFFFFF"/>
        </w:rPr>
      </w:pPr>
      <w:r w:rsidRPr="00AE6E5C">
        <w:rPr>
          <w:rStyle w:val="a3"/>
          <w:rFonts w:ascii="Roboto" w:hAnsi="Roboto"/>
          <w:b w:val="0"/>
          <w:bCs w:val="0"/>
          <w:color w:val="444444"/>
          <w:shd w:val="clear" w:color="auto" w:fill="FFFFFF"/>
        </w:rPr>
        <w:t>Measurement, Analysis and Knowledge Management</w:t>
      </w:r>
    </w:p>
    <w:p w14:paraId="70667968" w14:textId="77777777" w:rsidR="00AE6E5C" w:rsidRPr="00AE6E5C" w:rsidRDefault="00AE6E5C" w:rsidP="00AE6E5C">
      <w:pPr>
        <w:rPr>
          <w:rStyle w:val="a3"/>
          <w:rFonts w:ascii="Roboto" w:hAnsi="Roboto"/>
          <w:b w:val="0"/>
          <w:bCs w:val="0"/>
          <w:color w:val="444444"/>
          <w:shd w:val="clear" w:color="auto" w:fill="FFFFFF"/>
        </w:rPr>
      </w:pPr>
      <w:r w:rsidRPr="00AE6E5C">
        <w:rPr>
          <w:rStyle w:val="a3"/>
          <w:rFonts w:ascii="Roboto" w:hAnsi="Roboto"/>
          <w:b w:val="0"/>
          <w:bCs w:val="0"/>
          <w:color w:val="444444"/>
          <w:shd w:val="clear" w:color="auto" w:fill="FFFFFF"/>
        </w:rPr>
        <w:t>Workforce</w:t>
      </w:r>
    </w:p>
    <w:p w14:paraId="58487F53" w14:textId="71033931" w:rsidR="00AE6E5C" w:rsidRDefault="00AE6E5C" w:rsidP="00AE6E5C">
      <w:pPr>
        <w:rPr>
          <w:rStyle w:val="a3"/>
          <w:rFonts w:ascii="Roboto" w:hAnsi="Roboto"/>
          <w:b w:val="0"/>
          <w:bCs w:val="0"/>
          <w:color w:val="444444"/>
          <w:shd w:val="clear" w:color="auto" w:fill="FFFFFF"/>
        </w:rPr>
      </w:pPr>
      <w:r w:rsidRPr="00AE6E5C">
        <w:rPr>
          <w:rStyle w:val="a3"/>
          <w:rFonts w:ascii="Roboto" w:hAnsi="Roboto"/>
          <w:b w:val="0"/>
          <w:bCs w:val="0"/>
          <w:color w:val="444444"/>
          <w:shd w:val="clear" w:color="auto" w:fill="FFFFFF"/>
        </w:rPr>
        <w:t>Operations</w:t>
      </w:r>
    </w:p>
    <w:p w14:paraId="58C37BD6" w14:textId="6199CAAC" w:rsidR="00B00672" w:rsidRDefault="0088754C" w:rsidP="00907890">
      <w:pPr>
        <w:rPr>
          <w:rStyle w:val="a3"/>
          <w:rFonts w:ascii="Roboto" w:hAnsi="Roboto"/>
          <w:b w:val="0"/>
          <w:bCs w:val="0"/>
          <w:color w:val="444444"/>
          <w:shd w:val="clear" w:color="auto" w:fill="FFFFFF"/>
        </w:rPr>
      </w:pPr>
      <w:r w:rsidRPr="0088754C">
        <w:rPr>
          <w:rStyle w:val="a3"/>
          <w:rFonts w:ascii="Roboto" w:hAnsi="Roboto"/>
          <w:b w:val="0"/>
          <w:bCs w:val="0"/>
          <w:color w:val="444444"/>
          <w:shd w:val="clear" w:color="auto" w:fill="FFFFFF"/>
        </w:rPr>
        <w:t>It should be noted that the NIST Cybersecurity Framework is not a comprehensive and standard framework. It is more similar to ISO 27001, a general guide.</w:t>
      </w:r>
      <w:r w:rsidR="00907890">
        <w:rPr>
          <w:rStyle w:val="a3"/>
          <w:rFonts w:ascii="Roboto" w:hAnsi="Roboto" w:hint="eastAsia"/>
          <w:b w:val="0"/>
          <w:bCs w:val="0"/>
          <w:color w:val="444444"/>
          <w:shd w:val="clear" w:color="auto" w:fill="FFFFFF"/>
        </w:rPr>
        <w:t>it</w:t>
      </w:r>
      <w:r w:rsidR="00907890" w:rsidRPr="00907890">
        <w:rPr>
          <w:rStyle w:val="a3"/>
          <w:rFonts w:ascii="Roboto" w:hAnsi="Roboto"/>
          <w:b w:val="0"/>
          <w:bCs w:val="0"/>
          <w:color w:val="444444"/>
          <w:shd w:val="clear" w:color="auto" w:fill="FFFFFF"/>
        </w:rPr>
        <w:t xml:space="preserve"> provides a brief and accessible high-order guide to information security, broken down into five categories: identify, protect, detect, respond, and recover.</w:t>
      </w:r>
      <w:r w:rsidRPr="0088754C">
        <w:t xml:space="preserve"> </w:t>
      </w:r>
    </w:p>
    <w:p w14:paraId="1EEB7C4A" w14:textId="46619B73" w:rsidR="00E83015" w:rsidRDefault="00E83015" w:rsidP="00907890">
      <w:pPr>
        <w:rPr>
          <w:rStyle w:val="a3"/>
          <w:rFonts w:ascii="Roboto" w:hAnsi="Roboto"/>
          <w:b w:val="0"/>
          <w:bCs w:val="0"/>
          <w:color w:val="444444"/>
          <w:shd w:val="clear" w:color="auto" w:fill="FFFFFF"/>
        </w:rPr>
      </w:pPr>
      <w:r>
        <w:rPr>
          <w:noProof/>
        </w:rPr>
        <w:lastRenderedPageBreak/>
        <w:drawing>
          <wp:inline distT="0" distB="0" distL="0" distR="0" wp14:anchorId="589C2207" wp14:editId="78D24C5E">
            <wp:extent cx="2886075" cy="24288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86075" cy="2428875"/>
                    </a:xfrm>
                    <a:prstGeom prst="rect">
                      <a:avLst/>
                    </a:prstGeom>
                  </pic:spPr>
                </pic:pic>
              </a:graphicData>
            </a:graphic>
          </wp:inline>
        </w:drawing>
      </w:r>
    </w:p>
    <w:p w14:paraId="2C2D390B" w14:textId="19A29752" w:rsidR="0088754C" w:rsidRDefault="0088754C" w:rsidP="0088754C">
      <w:pPr>
        <w:rPr>
          <w:rStyle w:val="a3"/>
          <w:rFonts w:ascii="Roboto" w:hAnsi="Roboto"/>
          <w:b w:val="0"/>
          <w:bCs w:val="0"/>
          <w:color w:val="444444"/>
          <w:shd w:val="clear" w:color="auto" w:fill="FFFFFF"/>
        </w:rPr>
      </w:pPr>
      <w:r w:rsidRPr="0088754C">
        <w:rPr>
          <w:rStyle w:val="a3"/>
          <w:rFonts w:ascii="Roboto" w:hAnsi="Roboto"/>
          <w:b w:val="0"/>
          <w:bCs w:val="0"/>
          <w:color w:val="444444"/>
          <w:shd w:val="clear" w:color="auto" w:fill="FFFFFF"/>
        </w:rPr>
        <w:t>This makes it not comprehensive and detailed, but it also reduces the time and investment costs of using it, so it can be popular among SMEs.</w:t>
      </w:r>
      <w:r>
        <w:rPr>
          <w:rStyle w:val="a3"/>
          <w:rFonts w:ascii="Roboto" w:hAnsi="Roboto"/>
          <w:b w:val="0"/>
          <w:bCs w:val="0"/>
          <w:color w:val="444444"/>
          <w:shd w:val="clear" w:color="auto" w:fill="FFFFFF"/>
        </w:rPr>
        <w:t xml:space="preserve"> And o</w:t>
      </w:r>
      <w:r w:rsidRPr="0088754C">
        <w:rPr>
          <w:rStyle w:val="a3"/>
          <w:rFonts w:ascii="Roboto" w:hAnsi="Roboto"/>
          <w:b w:val="0"/>
          <w:bCs w:val="0"/>
          <w:color w:val="444444"/>
          <w:shd w:val="clear" w:color="auto" w:fill="FFFFFF"/>
        </w:rPr>
        <w:t>ne of its disadvantages is that its simplicity does not make it meet common compliance requirements.</w:t>
      </w:r>
    </w:p>
    <w:p w14:paraId="77356245" w14:textId="77777777" w:rsidR="0088754C" w:rsidRPr="0088754C" w:rsidRDefault="0088754C" w:rsidP="0088754C">
      <w:pPr>
        <w:rPr>
          <w:rStyle w:val="a3"/>
          <w:rFonts w:ascii="Roboto" w:hAnsi="Roboto"/>
          <w:b w:val="0"/>
          <w:bCs w:val="0"/>
          <w:color w:val="444444"/>
          <w:shd w:val="clear" w:color="auto" w:fill="FFFFFF"/>
        </w:rPr>
      </w:pPr>
      <w:r w:rsidRPr="0088754C">
        <w:rPr>
          <w:rStyle w:val="a3"/>
          <w:rFonts w:ascii="Roboto" w:hAnsi="Roboto"/>
          <w:b w:val="0"/>
          <w:bCs w:val="0"/>
          <w:color w:val="444444"/>
          <w:shd w:val="clear" w:color="auto" w:fill="FFFFFF"/>
        </w:rPr>
        <w:t>In addition, the NIST Cybersecurity Framework is a voluntary framework that contains standards, guidelines, and best practices for managing Cybersecurity-related risks, and is a fee.</w:t>
      </w:r>
    </w:p>
    <w:p w14:paraId="3926EE94" w14:textId="5607DE03" w:rsidR="00AE6E5C" w:rsidRPr="002060DB" w:rsidRDefault="0088754C" w:rsidP="0088754C">
      <w:pPr>
        <w:rPr>
          <w:rStyle w:val="a3"/>
          <w:rFonts w:ascii="Roboto" w:hAnsi="Roboto"/>
          <w:b w:val="0"/>
          <w:bCs w:val="0"/>
          <w:color w:val="444444"/>
          <w:shd w:val="clear" w:color="auto" w:fill="FFFFFF"/>
        </w:rPr>
      </w:pPr>
      <w:r w:rsidRPr="0088754C">
        <w:rPr>
          <w:rStyle w:val="a3"/>
          <w:rFonts w:ascii="Roboto" w:hAnsi="Roboto"/>
          <w:b w:val="0"/>
          <w:bCs w:val="0"/>
          <w:color w:val="444444"/>
          <w:shd w:val="clear" w:color="auto" w:fill="FFFFFF"/>
        </w:rPr>
        <w:t>NIST Cybersecurity Framework is also constantly improving and modifying</w:t>
      </w:r>
    </w:p>
    <w:p w14:paraId="5253E8F2" w14:textId="0541AD67" w:rsidR="002060DB" w:rsidRPr="00405A70" w:rsidRDefault="00487A56" w:rsidP="00405A70">
      <w:pPr>
        <w:pStyle w:val="2"/>
        <w:rPr>
          <w:rStyle w:val="a3"/>
          <w:b/>
          <w:bCs/>
        </w:rPr>
      </w:pPr>
      <w:r w:rsidRPr="00405A70">
        <w:rPr>
          <w:rStyle w:val="a3"/>
          <w:b/>
          <w:bCs/>
        </w:rPr>
        <w:t>Comparison of ISO 27000 series, NIST800 series and NISTCSF</w:t>
      </w:r>
    </w:p>
    <w:p w14:paraId="281BC2E1" w14:textId="4F723357" w:rsidR="00487A56" w:rsidRPr="00487A56" w:rsidRDefault="00487A56" w:rsidP="00487A56">
      <w:pPr>
        <w:rPr>
          <w:rStyle w:val="a3"/>
          <w:rFonts w:ascii="Roboto" w:hAnsi="Roboto"/>
          <w:b w:val="0"/>
          <w:bCs w:val="0"/>
          <w:color w:val="444444"/>
          <w:shd w:val="clear" w:color="auto" w:fill="FFFFFF"/>
        </w:rPr>
      </w:pPr>
      <w:r w:rsidRPr="00487A56">
        <w:rPr>
          <w:rStyle w:val="a3"/>
          <w:rFonts w:ascii="Roboto" w:hAnsi="Roboto"/>
          <w:b w:val="0"/>
          <w:bCs w:val="0"/>
          <w:color w:val="444444"/>
          <w:shd w:val="clear" w:color="auto" w:fill="FFFFFF"/>
        </w:rPr>
        <w:t>Compared to ISO</w:t>
      </w:r>
      <w:r>
        <w:rPr>
          <w:rStyle w:val="a3"/>
          <w:rFonts w:ascii="Roboto" w:hAnsi="Roboto"/>
          <w:b w:val="0"/>
          <w:bCs w:val="0"/>
          <w:color w:val="444444"/>
          <w:shd w:val="clear" w:color="auto" w:fill="FFFFFF"/>
        </w:rPr>
        <w:t xml:space="preserve"> 27000</w:t>
      </w:r>
      <w:r w:rsidR="00855598">
        <w:rPr>
          <w:rStyle w:val="a3"/>
          <w:rFonts w:ascii="Roboto" w:hAnsi="Roboto"/>
          <w:b w:val="0"/>
          <w:bCs w:val="0"/>
          <w:color w:val="444444"/>
          <w:shd w:val="clear" w:color="auto" w:fill="FFFFFF"/>
        </w:rPr>
        <w:t xml:space="preserve"> </w:t>
      </w:r>
      <w:r>
        <w:rPr>
          <w:rStyle w:val="a3"/>
          <w:rFonts w:ascii="Roboto" w:hAnsi="Roboto"/>
          <w:b w:val="0"/>
          <w:bCs w:val="0"/>
          <w:color w:val="444444"/>
          <w:shd w:val="clear" w:color="auto" w:fill="FFFFFF"/>
        </w:rPr>
        <w:t>series</w:t>
      </w:r>
      <w:r w:rsidRPr="00487A56">
        <w:rPr>
          <w:rStyle w:val="a3"/>
          <w:rFonts w:ascii="Roboto" w:hAnsi="Roboto"/>
          <w:b w:val="0"/>
          <w:bCs w:val="0"/>
          <w:color w:val="444444"/>
          <w:shd w:val="clear" w:color="auto" w:fill="FFFFFF"/>
        </w:rPr>
        <w:t xml:space="preserve">, NIST </w:t>
      </w:r>
      <w:r>
        <w:rPr>
          <w:rStyle w:val="a3"/>
          <w:rFonts w:ascii="Roboto" w:hAnsi="Roboto"/>
          <w:b w:val="0"/>
          <w:bCs w:val="0"/>
          <w:color w:val="444444"/>
          <w:shd w:val="clear" w:color="auto" w:fill="FFFFFF"/>
        </w:rPr>
        <w:t>SP</w:t>
      </w:r>
      <w:r w:rsidRPr="00487A56">
        <w:rPr>
          <w:rStyle w:val="a3"/>
          <w:rFonts w:ascii="Roboto" w:hAnsi="Roboto"/>
          <w:b w:val="0"/>
          <w:bCs w:val="0"/>
          <w:color w:val="444444"/>
          <w:shd w:val="clear" w:color="auto" w:fill="FFFFFF"/>
        </w:rPr>
        <w:t>800</w:t>
      </w:r>
      <w:r>
        <w:rPr>
          <w:rStyle w:val="a3"/>
          <w:rFonts w:ascii="Roboto" w:hAnsi="Roboto"/>
          <w:b w:val="0"/>
          <w:bCs w:val="0"/>
          <w:color w:val="444444"/>
          <w:shd w:val="clear" w:color="auto" w:fill="FFFFFF"/>
        </w:rPr>
        <w:t xml:space="preserve"> series </w:t>
      </w:r>
      <w:r w:rsidRPr="00487A56">
        <w:rPr>
          <w:rStyle w:val="a3"/>
          <w:rFonts w:ascii="Roboto" w:hAnsi="Roboto"/>
          <w:b w:val="0"/>
          <w:bCs w:val="0"/>
          <w:color w:val="444444"/>
          <w:shd w:val="clear" w:color="auto" w:fill="FFFFFF"/>
        </w:rPr>
        <w:t xml:space="preserve">is more comprehensive, and can get many past success stories. The required documents can also be obtained for free, but NIST </w:t>
      </w:r>
      <w:r>
        <w:rPr>
          <w:rStyle w:val="a3"/>
          <w:rFonts w:ascii="Roboto" w:hAnsi="Roboto"/>
          <w:b w:val="0"/>
          <w:bCs w:val="0"/>
          <w:color w:val="444444"/>
          <w:shd w:val="clear" w:color="auto" w:fill="FFFFFF"/>
        </w:rPr>
        <w:t>SP</w:t>
      </w:r>
      <w:r w:rsidRPr="00487A56">
        <w:rPr>
          <w:rStyle w:val="a3"/>
          <w:rFonts w:ascii="Roboto" w:hAnsi="Roboto"/>
          <w:b w:val="0"/>
          <w:bCs w:val="0"/>
          <w:color w:val="444444"/>
          <w:shd w:val="clear" w:color="auto" w:fill="FFFFFF"/>
        </w:rPr>
        <w:t>800</w:t>
      </w:r>
      <w:r>
        <w:rPr>
          <w:rStyle w:val="a3"/>
          <w:rFonts w:ascii="Roboto" w:hAnsi="Roboto"/>
          <w:b w:val="0"/>
          <w:bCs w:val="0"/>
          <w:color w:val="444444"/>
          <w:shd w:val="clear" w:color="auto" w:fill="FFFFFF"/>
        </w:rPr>
        <w:t xml:space="preserve"> series</w:t>
      </w:r>
      <w:r w:rsidRPr="00487A56">
        <w:rPr>
          <w:rStyle w:val="a3"/>
          <w:rFonts w:ascii="Roboto" w:hAnsi="Roboto"/>
          <w:b w:val="0"/>
          <w:bCs w:val="0"/>
          <w:color w:val="444444"/>
          <w:shd w:val="clear" w:color="auto" w:fill="FFFFFF"/>
        </w:rPr>
        <w:t xml:space="preserve"> also brings disadvantages because of the comprehensive content, such as time and investment costs are higher than ISO, </w:t>
      </w:r>
      <w:r>
        <w:rPr>
          <w:rStyle w:val="a3"/>
          <w:rFonts w:ascii="Roboto" w:hAnsi="Roboto"/>
          <w:b w:val="0"/>
          <w:bCs w:val="0"/>
          <w:color w:val="444444"/>
          <w:shd w:val="clear" w:color="auto" w:fill="FFFFFF"/>
        </w:rPr>
        <w:t xml:space="preserve">and </w:t>
      </w:r>
      <w:r w:rsidRPr="00487A56">
        <w:rPr>
          <w:rStyle w:val="a3"/>
          <w:rFonts w:ascii="Roboto" w:hAnsi="Roboto"/>
          <w:b w:val="0"/>
          <w:bCs w:val="0"/>
          <w:color w:val="444444"/>
          <w:shd w:val="clear" w:color="auto" w:fill="FFFFFF"/>
        </w:rPr>
        <w:t>require very experienced professionals to guide the operation. And NIST mainly serves the US federal agencies and organizations, and ISO is an internationally recognized standard</w:t>
      </w:r>
    </w:p>
    <w:p w14:paraId="43A5F4DA" w14:textId="2D611521" w:rsidR="00487A56" w:rsidRPr="00487A56" w:rsidRDefault="00487A56" w:rsidP="00487A56">
      <w:pPr>
        <w:rPr>
          <w:rStyle w:val="a3"/>
          <w:rFonts w:ascii="Roboto" w:hAnsi="Roboto"/>
          <w:b w:val="0"/>
          <w:bCs w:val="0"/>
          <w:color w:val="444444"/>
          <w:shd w:val="clear" w:color="auto" w:fill="FFFFFF"/>
        </w:rPr>
      </w:pPr>
      <w:r w:rsidRPr="00487A56">
        <w:rPr>
          <w:rStyle w:val="a3"/>
          <w:rFonts w:ascii="Roboto" w:hAnsi="Roboto"/>
          <w:b w:val="0"/>
          <w:bCs w:val="0"/>
          <w:color w:val="444444"/>
          <w:shd w:val="clear" w:color="auto" w:fill="FFFFFF"/>
        </w:rPr>
        <w:t xml:space="preserve">Compared with NIST </w:t>
      </w:r>
      <w:r>
        <w:rPr>
          <w:rStyle w:val="a3"/>
          <w:rFonts w:ascii="Roboto" w:hAnsi="Roboto"/>
          <w:b w:val="0"/>
          <w:bCs w:val="0"/>
          <w:color w:val="444444"/>
          <w:shd w:val="clear" w:color="auto" w:fill="FFFFFF"/>
        </w:rPr>
        <w:t>SP</w:t>
      </w:r>
      <w:r w:rsidRPr="00487A56">
        <w:rPr>
          <w:rStyle w:val="a3"/>
          <w:rFonts w:ascii="Roboto" w:hAnsi="Roboto"/>
          <w:b w:val="0"/>
          <w:bCs w:val="0"/>
          <w:color w:val="444444"/>
          <w:shd w:val="clear" w:color="auto" w:fill="FFFFFF"/>
        </w:rPr>
        <w:t>800</w:t>
      </w:r>
      <w:r>
        <w:rPr>
          <w:rStyle w:val="a3"/>
          <w:rFonts w:ascii="Roboto" w:hAnsi="Roboto"/>
          <w:b w:val="0"/>
          <w:bCs w:val="0"/>
          <w:color w:val="444444"/>
          <w:shd w:val="clear" w:color="auto" w:fill="FFFFFF"/>
        </w:rPr>
        <w:t xml:space="preserve"> series</w:t>
      </w:r>
      <w:r w:rsidRPr="00487A56">
        <w:rPr>
          <w:rStyle w:val="a3"/>
          <w:rFonts w:ascii="Roboto" w:hAnsi="Roboto"/>
          <w:b w:val="0"/>
          <w:bCs w:val="0"/>
          <w:color w:val="444444"/>
          <w:shd w:val="clear" w:color="auto" w:fill="FFFFFF"/>
        </w:rPr>
        <w:t>, the main advantage of</w:t>
      </w:r>
      <w:r w:rsidR="00855598" w:rsidRPr="00855598">
        <w:rPr>
          <w:rStyle w:val="a3"/>
          <w:rFonts w:ascii="Roboto" w:hAnsi="Roboto"/>
          <w:b w:val="0"/>
          <w:bCs w:val="0"/>
          <w:color w:val="444444"/>
          <w:shd w:val="clear" w:color="auto" w:fill="FFFFFF"/>
        </w:rPr>
        <w:t xml:space="preserve"> </w:t>
      </w:r>
      <w:r w:rsidR="00855598" w:rsidRPr="00487A56">
        <w:rPr>
          <w:rStyle w:val="a3"/>
          <w:rFonts w:ascii="Roboto" w:hAnsi="Roboto"/>
          <w:b w:val="0"/>
          <w:bCs w:val="0"/>
          <w:color w:val="444444"/>
          <w:shd w:val="clear" w:color="auto" w:fill="FFFFFF"/>
        </w:rPr>
        <w:t>ISO</w:t>
      </w:r>
      <w:r w:rsidR="00855598">
        <w:rPr>
          <w:rStyle w:val="a3"/>
          <w:rFonts w:ascii="Roboto" w:hAnsi="Roboto"/>
          <w:b w:val="0"/>
          <w:bCs w:val="0"/>
          <w:color w:val="444444"/>
          <w:shd w:val="clear" w:color="auto" w:fill="FFFFFF"/>
        </w:rPr>
        <w:t xml:space="preserve"> 27000 series</w:t>
      </w:r>
      <w:r w:rsidR="00855598" w:rsidRPr="00487A56">
        <w:rPr>
          <w:rStyle w:val="a3"/>
          <w:rFonts w:ascii="Roboto" w:hAnsi="Roboto"/>
          <w:b w:val="0"/>
          <w:bCs w:val="0"/>
          <w:color w:val="444444"/>
          <w:shd w:val="clear" w:color="auto" w:fill="FFFFFF"/>
        </w:rPr>
        <w:t xml:space="preserve"> </w:t>
      </w:r>
      <w:r w:rsidRPr="00487A56">
        <w:rPr>
          <w:rStyle w:val="a3"/>
          <w:rFonts w:ascii="Roboto" w:hAnsi="Roboto"/>
          <w:b w:val="0"/>
          <w:bCs w:val="0"/>
          <w:color w:val="444444"/>
          <w:shd w:val="clear" w:color="auto" w:fill="FFFFFF"/>
        </w:rPr>
        <w:t>is that ISO standards are suitable for all types of organizations, including public institutions, private institutions, profit institutions and non-profit organizations. Another advantage of</w:t>
      </w:r>
      <w:r w:rsidR="00855598">
        <w:rPr>
          <w:rStyle w:val="a3"/>
          <w:rFonts w:ascii="Roboto" w:hAnsi="Roboto"/>
          <w:b w:val="0"/>
          <w:bCs w:val="0"/>
          <w:color w:val="444444"/>
          <w:shd w:val="clear" w:color="auto" w:fill="FFFFFF"/>
        </w:rPr>
        <w:t xml:space="preserve"> </w:t>
      </w:r>
      <w:r w:rsidR="00855598" w:rsidRPr="00487A56">
        <w:rPr>
          <w:rStyle w:val="a3"/>
          <w:rFonts w:ascii="Roboto" w:hAnsi="Roboto"/>
          <w:b w:val="0"/>
          <w:bCs w:val="0"/>
          <w:color w:val="444444"/>
          <w:shd w:val="clear" w:color="auto" w:fill="FFFFFF"/>
        </w:rPr>
        <w:t>ISO</w:t>
      </w:r>
      <w:r w:rsidR="00855598">
        <w:rPr>
          <w:rStyle w:val="a3"/>
          <w:rFonts w:ascii="Roboto" w:hAnsi="Roboto"/>
          <w:b w:val="0"/>
          <w:bCs w:val="0"/>
          <w:color w:val="444444"/>
          <w:shd w:val="clear" w:color="auto" w:fill="FFFFFF"/>
        </w:rPr>
        <w:t xml:space="preserve"> 27000 series</w:t>
      </w:r>
      <w:r w:rsidRPr="00487A56">
        <w:rPr>
          <w:rStyle w:val="a3"/>
          <w:rFonts w:ascii="Roboto" w:hAnsi="Roboto"/>
          <w:b w:val="0"/>
          <w:bCs w:val="0"/>
          <w:color w:val="444444"/>
          <w:shd w:val="clear" w:color="auto" w:fill="FFFFFF"/>
        </w:rPr>
        <w:t xml:space="preserve"> is that</w:t>
      </w:r>
      <w:r w:rsidR="00855598">
        <w:rPr>
          <w:rStyle w:val="a3"/>
          <w:rFonts w:ascii="Roboto" w:hAnsi="Roboto"/>
          <w:b w:val="0"/>
          <w:bCs w:val="0"/>
          <w:color w:val="444444"/>
          <w:shd w:val="clear" w:color="auto" w:fill="FFFFFF"/>
        </w:rPr>
        <w:t xml:space="preserve"> the technology</w:t>
      </w:r>
      <w:r w:rsidRPr="00487A56">
        <w:rPr>
          <w:rStyle w:val="a3"/>
          <w:rFonts w:ascii="Roboto" w:hAnsi="Roboto"/>
          <w:b w:val="0"/>
          <w:bCs w:val="0"/>
          <w:color w:val="444444"/>
          <w:shd w:val="clear" w:color="auto" w:fill="FFFFFF"/>
        </w:rPr>
        <w:t xml:space="preserve"> is low and is based on risk </w:t>
      </w:r>
      <w:r w:rsidR="00855598">
        <w:rPr>
          <w:rStyle w:val="a3"/>
          <w:rFonts w:ascii="Roboto" w:hAnsi="Roboto"/>
          <w:b w:val="0"/>
          <w:bCs w:val="0"/>
          <w:color w:val="444444"/>
          <w:shd w:val="clear" w:color="auto" w:fill="FFFFFF"/>
        </w:rPr>
        <w:t>m</w:t>
      </w:r>
      <w:r w:rsidRPr="00487A56">
        <w:rPr>
          <w:rStyle w:val="a3"/>
          <w:rFonts w:ascii="Roboto" w:hAnsi="Roboto"/>
          <w:b w:val="0"/>
          <w:bCs w:val="0"/>
          <w:color w:val="444444"/>
          <w:shd w:val="clear" w:color="auto" w:fill="FFFFFF"/>
        </w:rPr>
        <w:t>anagement approach</w:t>
      </w:r>
      <w:r w:rsidR="00855598">
        <w:rPr>
          <w:rStyle w:val="a3"/>
          <w:rFonts w:ascii="Roboto" w:hAnsi="Roboto"/>
          <w:b w:val="0"/>
          <w:bCs w:val="0"/>
          <w:color w:val="444444"/>
          <w:shd w:val="clear" w:color="auto" w:fill="FFFFFF"/>
        </w:rPr>
        <w:t>.</w:t>
      </w:r>
    </w:p>
    <w:p w14:paraId="600F4E8D" w14:textId="29B26780" w:rsidR="00855598" w:rsidRPr="00855598" w:rsidRDefault="00855598" w:rsidP="00855598">
      <w:r w:rsidRPr="00855598">
        <w:rPr>
          <w:shd w:val="clear" w:color="auto" w:fill="FFFFFF"/>
        </w:rPr>
        <w:t xml:space="preserve">NIST cybersecurity framework has less coverage of major cybersecurity frameworks than </w:t>
      </w:r>
      <w:r w:rsidRPr="00487A56">
        <w:rPr>
          <w:rStyle w:val="a3"/>
          <w:rFonts w:ascii="Roboto" w:hAnsi="Roboto"/>
          <w:b w:val="0"/>
          <w:bCs w:val="0"/>
          <w:color w:val="444444"/>
          <w:shd w:val="clear" w:color="auto" w:fill="FFFFFF"/>
        </w:rPr>
        <w:t>ISO</w:t>
      </w:r>
      <w:r>
        <w:rPr>
          <w:rStyle w:val="a3"/>
          <w:rFonts w:ascii="Roboto" w:hAnsi="Roboto"/>
          <w:b w:val="0"/>
          <w:bCs w:val="0"/>
          <w:color w:val="444444"/>
          <w:shd w:val="clear" w:color="auto" w:fill="FFFFFF"/>
        </w:rPr>
        <w:t xml:space="preserve"> 27000 series</w:t>
      </w:r>
      <w:r w:rsidRPr="00855598">
        <w:rPr>
          <w:shd w:val="clear" w:color="auto" w:fill="FFFFFF"/>
        </w:rPr>
        <w:t>, but it will also be more friendly to smaller organizations</w:t>
      </w:r>
      <w:r>
        <w:rPr>
          <w:rFonts w:hint="eastAsia"/>
          <w:shd w:val="clear" w:color="auto" w:fill="FFFFFF"/>
        </w:rPr>
        <w:t>.</w:t>
      </w:r>
      <w:r>
        <w:rPr>
          <w:shd w:val="clear" w:color="auto" w:fill="FFFFFF"/>
        </w:rPr>
        <w:t xml:space="preserve"> </w:t>
      </w:r>
      <w:r w:rsidRPr="00855598">
        <w:rPr>
          <w:shd w:val="clear" w:color="auto" w:fill="FFFFFF"/>
        </w:rPr>
        <w:t>In contrast</w:t>
      </w:r>
      <w:r>
        <w:rPr>
          <w:shd w:val="clear" w:color="auto" w:fill="FFFFFF"/>
        </w:rPr>
        <w:t>,</w:t>
      </w:r>
      <w:r w:rsidRPr="00855598">
        <w:rPr>
          <w:shd w:val="clear" w:color="auto" w:fill="FFFFFF"/>
        </w:rPr>
        <w:t xml:space="preserve"> </w:t>
      </w:r>
      <w:r w:rsidRPr="00487A56">
        <w:rPr>
          <w:rStyle w:val="a3"/>
          <w:rFonts w:ascii="Roboto" w:hAnsi="Roboto"/>
          <w:b w:val="0"/>
          <w:bCs w:val="0"/>
          <w:color w:val="444444"/>
          <w:shd w:val="clear" w:color="auto" w:fill="FFFFFF"/>
        </w:rPr>
        <w:t>ISO</w:t>
      </w:r>
      <w:r>
        <w:rPr>
          <w:rStyle w:val="a3"/>
          <w:rFonts w:ascii="Roboto" w:hAnsi="Roboto"/>
          <w:b w:val="0"/>
          <w:bCs w:val="0"/>
          <w:color w:val="444444"/>
          <w:shd w:val="clear" w:color="auto" w:fill="FFFFFF"/>
        </w:rPr>
        <w:t xml:space="preserve"> 27000 series</w:t>
      </w:r>
      <w:r w:rsidRPr="00855598">
        <w:rPr>
          <w:shd w:val="clear" w:color="auto" w:fill="FFFFFF"/>
        </w:rPr>
        <w:t xml:space="preserve"> is a widely used international network security framework, covering a lot of content</w:t>
      </w:r>
      <w:r>
        <w:t>.</w:t>
      </w:r>
    </w:p>
    <w:p w14:paraId="42BE3BAA" w14:textId="77777777" w:rsidR="00855598" w:rsidRDefault="00855598">
      <w:r w:rsidRPr="00855598">
        <w:t>Finally, compared to</w:t>
      </w:r>
      <w:r w:rsidRPr="00855598">
        <w:rPr>
          <w:rStyle w:val="a3"/>
          <w:rFonts w:ascii="Roboto" w:hAnsi="Roboto"/>
          <w:color w:val="444444"/>
          <w:shd w:val="clear" w:color="auto" w:fill="FFFFFF"/>
        </w:rPr>
        <w:t xml:space="preserve"> </w:t>
      </w:r>
      <w:r w:rsidRPr="00487A56">
        <w:rPr>
          <w:rStyle w:val="a3"/>
          <w:rFonts w:ascii="Roboto" w:hAnsi="Roboto"/>
          <w:color w:val="444444"/>
          <w:shd w:val="clear" w:color="auto" w:fill="FFFFFF"/>
        </w:rPr>
        <w:t>NIST</w:t>
      </w:r>
      <w:r>
        <w:rPr>
          <w:rStyle w:val="a3"/>
          <w:rFonts w:ascii="Roboto" w:hAnsi="Roboto"/>
          <w:color w:val="444444"/>
          <w:shd w:val="clear" w:color="auto" w:fill="FFFFFF"/>
        </w:rPr>
        <w:t xml:space="preserve"> SP</w:t>
      </w:r>
      <w:r w:rsidRPr="00487A56">
        <w:rPr>
          <w:rStyle w:val="a3"/>
          <w:rFonts w:ascii="Roboto" w:hAnsi="Roboto"/>
          <w:color w:val="444444"/>
          <w:shd w:val="clear" w:color="auto" w:fill="FFFFFF"/>
        </w:rPr>
        <w:t xml:space="preserve">800 </w:t>
      </w:r>
      <w:r>
        <w:rPr>
          <w:rStyle w:val="a3"/>
          <w:rFonts w:ascii="Roboto" w:hAnsi="Roboto"/>
          <w:color w:val="444444"/>
          <w:shd w:val="clear" w:color="auto" w:fill="FFFFFF"/>
        </w:rPr>
        <w:t>series</w:t>
      </w:r>
      <w:r w:rsidRPr="00855598">
        <w:t xml:space="preserve"> , NIST </w:t>
      </w:r>
      <w:r>
        <w:t>CSF</w:t>
      </w:r>
      <w:r w:rsidRPr="00855598">
        <w:t xml:space="preserve"> is more basic and simple, and the cost of use is low. Therefore, it is very suitable for small and medium-sized enterprises that cannot afford a lot of time and investment costs. Efficient.</w:t>
      </w:r>
    </w:p>
    <w:p w14:paraId="58AAB93E" w14:textId="747966E1" w:rsidR="00855598" w:rsidRPr="00855598" w:rsidRDefault="00855598" w:rsidP="00855598">
      <w:pPr>
        <w:pStyle w:val="2"/>
      </w:pPr>
      <w:r w:rsidRPr="00855598">
        <w:lastRenderedPageBreak/>
        <w:t xml:space="preserve">The connection of the three frameworks and how to choose from ISO </w:t>
      </w:r>
      <w:r w:rsidRPr="00855598">
        <w:rPr>
          <w:rFonts w:hint="eastAsia"/>
        </w:rPr>
        <w:t>27002</w:t>
      </w:r>
      <w:r w:rsidRPr="00855598">
        <w:t>, NIST SP800-53 and NISTCSF</w:t>
      </w:r>
    </w:p>
    <w:p w14:paraId="4A85E51B" w14:textId="341AA3D1" w:rsidR="00855598" w:rsidRDefault="00855598">
      <w:r w:rsidRPr="00855598">
        <w:t xml:space="preserve">In fact, there is a close relationship between ISO 27002 and NIST </w:t>
      </w:r>
      <w:r>
        <w:t>SP</w:t>
      </w:r>
      <w:r w:rsidRPr="00855598">
        <w:t>800-53 and NIS</w:t>
      </w:r>
      <w:r>
        <w:t>T</w:t>
      </w:r>
      <w:r w:rsidRPr="00855598">
        <w:t>CSF. NIS</w:t>
      </w:r>
      <w:r>
        <w:t>T</w:t>
      </w:r>
      <w:r w:rsidRPr="00855598">
        <w:t>CSF borrowed part of ISO 27002 and NIST</w:t>
      </w:r>
      <w:r>
        <w:t xml:space="preserve"> SP</w:t>
      </w:r>
      <w:r w:rsidRPr="00855598">
        <w:t xml:space="preserve">800-53 and added its own new content, but overall it is less than the other two frameworks. Therefore, NISTCSF is more suitable for small </w:t>
      </w:r>
      <w:r>
        <w:t>organizations</w:t>
      </w:r>
      <w:r w:rsidRPr="00855598">
        <w:t xml:space="preserve">, and ISO27002 and NIST800-53 are more suitable. Large </w:t>
      </w:r>
      <w:r>
        <w:t>organizations</w:t>
      </w:r>
      <w:r w:rsidRPr="00855598">
        <w:t xml:space="preserve"> with wider demand. NIST</w:t>
      </w:r>
      <w:r>
        <w:t xml:space="preserve"> SP</w:t>
      </w:r>
      <w:r w:rsidRPr="00855598">
        <w:t>800-53 can be seen as a more detailed ISO</w:t>
      </w:r>
      <w:r>
        <w:t xml:space="preserve"> </w:t>
      </w:r>
      <w:r w:rsidRPr="00855598">
        <w:t>27002, because the former contains almost everything of the latter, and the relationship between the three can be represented by the following figure</w:t>
      </w:r>
      <w:r>
        <w:t xml:space="preserve"> 1-1</w:t>
      </w:r>
    </w:p>
    <w:p w14:paraId="7335DD13" w14:textId="29A56A90" w:rsidR="004F35D3" w:rsidRDefault="00855598">
      <w:r>
        <w:rPr>
          <w:noProof/>
        </w:rPr>
        <w:drawing>
          <wp:inline distT="0" distB="0" distL="0" distR="0" wp14:anchorId="11DF9DCC" wp14:editId="3CDE4CCF">
            <wp:extent cx="5274310" cy="238379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383790"/>
                    </a:xfrm>
                    <a:prstGeom prst="rect">
                      <a:avLst/>
                    </a:prstGeom>
                  </pic:spPr>
                </pic:pic>
              </a:graphicData>
            </a:graphic>
          </wp:inline>
        </w:drawing>
      </w:r>
    </w:p>
    <w:p w14:paraId="49F5E570" w14:textId="371F8335" w:rsidR="00855598" w:rsidRDefault="00855598" w:rsidP="00855598">
      <w:pPr>
        <w:ind w:firstLineChars="1750" w:firstLine="3675"/>
      </w:pPr>
      <w:r w:rsidRPr="00855598">
        <w:t>figure</w:t>
      </w:r>
      <w:r>
        <w:t xml:space="preserve"> 1-1</w:t>
      </w:r>
    </w:p>
    <w:p w14:paraId="7410A004" w14:textId="77777777" w:rsidR="00F25E96" w:rsidRDefault="00405A70" w:rsidP="00F25E96">
      <w:pPr>
        <w:pStyle w:val="1"/>
      </w:pPr>
      <w:r>
        <w:rPr>
          <w:rFonts w:hint="eastAsia"/>
        </w:rPr>
        <w:t>T</w:t>
      </w:r>
      <w:r>
        <w:t>ask 2</w:t>
      </w:r>
      <w:r w:rsidR="00F25E96">
        <w:rPr>
          <w:rFonts w:hint="eastAsia"/>
        </w:rPr>
        <w:t xml:space="preserve"> </w:t>
      </w:r>
    </w:p>
    <w:p w14:paraId="31092724" w14:textId="11FEB91F" w:rsidR="00405A70" w:rsidRPr="00F25E96" w:rsidRDefault="00067BB6" w:rsidP="00F25E96">
      <w:pPr>
        <w:pStyle w:val="1"/>
        <w:rPr>
          <w:rFonts w:asciiTheme="minorHAnsi" w:hAnsiTheme="minorHAnsi" w:cstheme="minorBidi"/>
          <w:sz w:val="21"/>
        </w:rPr>
      </w:pPr>
      <w:r w:rsidRPr="00423018">
        <w:t>Security Management</w:t>
      </w:r>
      <w:r w:rsidR="00F25E96">
        <w:t xml:space="preserve"> </w:t>
      </w:r>
      <w:r w:rsidRPr="00423018">
        <w:t>Practice</w:t>
      </w:r>
    </w:p>
    <w:p w14:paraId="52D9E9EB" w14:textId="5A53E145" w:rsidR="00067BB6" w:rsidRDefault="00F25E96" w:rsidP="00F25E96">
      <w:pPr>
        <w:pStyle w:val="2"/>
      </w:pPr>
      <w:r w:rsidRPr="00F25E96">
        <w:t>Risk Management</w:t>
      </w:r>
    </w:p>
    <w:p w14:paraId="51E8AE4C" w14:textId="59D26079" w:rsidR="00F25E96" w:rsidRDefault="00F25E96" w:rsidP="00F25E96">
      <w:r>
        <w:t xml:space="preserve">First of all, we need to </w:t>
      </w:r>
      <w:r>
        <w:rPr>
          <w:rFonts w:hint="eastAsia"/>
        </w:rPr>
        <w:t>assess</w:t>
      </w:r>
      <w:r>
        <w:t xml:space="preserve"> the value of the company's assets. Only after we </w:t>
      </w:r>
      <w:r>
        <w:rPr>
          <w:rFonts w:hint="eastAsia"/>
        </w:rPr>
        <w:t>assess</w:t>
      </w:r>
      <w:r>
        <w:t xml:space="preserve"> the value of the assets can we define the severity of the risk, because the size of the risk is directly proportional to the impact on the property.</w:t>
      </w:r>
    </w:p>
    <w:p w14:paraId="66738A13" w14:textId="77777777" w:rsidR="00F25E96" w:rsidRDefault="00F25E96" w:rsidP="00F25E96">
      <w:r>
        <w:t>Assets to be evaluated include physical assets and information assets</w:t>
      </w:r>
    </w:p>
    <w:p w14:paraId="7984ED64" w14:textId="77777777" w:rsidR="00F25E96" w:rsidRDefault="00F25E96" w:rsidP="00F25E96">
      <w:r>
        <w:t xml:space="preserve">Physical assets include company infrastructure, computer room, server, computer, communication equipment, factory, transportation, </w:t>
      </w:r>
      <w:proofErr w:type="spellStart"/>
      <w:r>
        <w:t>etc</w:t>
      </w:r>
      <w:proofErr w:type="spellEnd"/>
    </w:p>
    <w:p w14:paraId="7B940425" w14:textId="77777777" w:rsidR="00F25E96" w:rsidRDefault="00F25E96" w:rsidP="00F25E96">
      <w:r>
        <w:t>Information assets include code, web page, user data, company data, etc.</w:t>
      </w:r>
    </w:p>
    <w:p w14:paraId="5EF5FD30" w14:textId="353E2D6A" w:rsidR="00F25E96" w:rsidRDefault="00F25E96" w:rsidP="00F25E96">
      <w:r>
        <w:lastRenderedPageBreak/>
        <w:t xml:space="preserve">Here, the NIST framework in Task1 is used to </w:t>
      </w:r>
      <w:r>
        <w:rPr>
          <w:rFonts w:hint="eastAsia"/>
        </w:rPr>
        <w:t>assess</w:t>
      </w:r>
      <w:r>
        <w:t xml:space="preserve"> the value of all assets</w:t>
      </w:r>
    </w:p>
    <w:p w14:paraId="0BBB05FB" w14:textId="77777777" w:rsidR="00F25E96" w:rsidRDefault="00F25E96" w:rsidP="00F25E96">
      <w:pPr>
        <w:pStyle w:val="3"/>
      </w:pPr>
      <w:r>
        <w:t>Risk assessment</w:t>
      </w:r>
    </w:p>
    <w:p w14:paraId="1059A677" w14:textId="6523D4ED" w:rsidR="00F25E96" w:rsidRDefault="00F25E96" w:rsidP="00F25E96">
      <w:r w:rsidRPr="00F25E96">
        <w:t>Only through a comprehensive risk assessment can we know the risks faced by the company and the risk degree of each risk, and then we can specify a targeted safety implementation plan for each risk and select appropriate safety technology and products. Here use NIST generic risk model in Task1</w:t>
      </w:r>
      <w:r>
        <w:rPr>
          <w:rFonts w:hint="eastAsia"/>
        </w:rPr>
        <w:t>,</w:t>
      </w:r>
      <w:r>
        <w:t xml:space="preserve"> Figure 2-1 shows the process.</w:t>
      </w:r>
    </w:p>
    <w:p w14:paraId="236A5431" w14:textId="77777777" w:rsidR="00DD6506" w:rsidRDefault="00F25E96" w:rsidP="00DD6506">
      <w:r>
        <w:rPr>
          <w:noProof/>
        </w:rPr>
        <w:drawing>
          <wp:inline distT="0" distB="0" distL="0" distR="0" wp14:anchorId="62C3DA13" wp14:editId="21DEFD64">
            <wp:extent cx="3481754" cy="1869103"/>
            <wp:effectExtent l="0" t="0" r="444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94866" cy="1876142"/>
                    </a:xfrm>
                    <a:prstGeom prst="rect">
                      <a:avLst/>
                    </a:prstGeom>
                  </pic:spPr>
                </pic:pic>
              </a:graphicData>
            </a:graphic>
          </wp:inline>
        </w:drawing>
      </w:r>
    </w:p>
    <w:p w14:paraId="21274402" w14:textId="6CA224CA" w:rsidR="00F25E96" w:rsidRDefault="00F25E96" w:rsidP="00DD6506">
      <w:pPr>
        <w:ind w:firstLineChars="400" w:firstLine="840"/>
      </w:pPr>
      <w:r>
        <w:t>Figure 2-1</w:t>
      </w:r>
      <w:r w:rsidR="00DD6506">
        <w:t xml:space="preserve"> NIST generic risk model</w:t>
      </w:r>
    </w:p>
    <w:p w14:paraId="3647E67B" w14:textId="7F61CBE1" w:rsidR="009E033F" w:rsidRDefault="009E033F" w:rsidP="00F25E96">
      <w:pPr>
        <w:ind w:firstLineChars="900" w:firstLine="1890"/>
      </w:pPr>
    </w:p>
    <w:p w14:paraId="65D776B7" w14:textId="77777777" w:rsidR="009E033F" w:rsidRDefault="009E033F" w:rsidP="00F25E96">
      <w:pPr>
        <w:ind w:firstLineChars="900" w:firstLine="1890"/>
        <w:rPr>
          <w:rFonts w:hint="eastAsia"/>
        </w:rPr>
      </w:pPr>
    </w:p>
    <w:p w14:paraId="2CC79BD7" w14:textId="79CCA78B" w:rsidR="00F25E96" w:rsidRDefault="00F25E96" w:rsidP="00F25E96">
      <w:r w:rsidRPr="00F25E96">
        <w:t>Develop risk assessment table, possibility table and finally risk table</w:t>
      </w:r>
    </w:p>
    <w:tbl>
      <w:tblPr>
        <w:tblStyle w:val="a4"/>
        <w:tblW w:w="8500" w:type="dxa"/>
        <w:tblLook w:val="04A0" w:firstRow="1" w:lastRow="0" w:firstColumn="1" w:lastColumn="0" w:noHBand="0" w:noVBand="1"/>
      </w:tblPr>
      <w:tblGrid>
        <w:gridCol w:w="704"/>
        <w:gridCol w:w="1276"/>
        <w:gridCol w:w="4307"/>
        <w:gridCol w:w="2213"/>
      </w:tblGrid>
      <w:tr w:rsidR="00F25E96" w14:paraId="4736DCAE" w14:textId="77777777" w:rsidTr="009E033F">
        <w:tc>
          <w:tcPr>
            <w:tcW w:w="704" w:type="dxa"/>
          </w:tcPr>
          <w:p w14:paraId="4A09D40F"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hint="eastAsia"/>
                <w:sz w:val="16"/>
                <w:szCs w:val="16"/>
              </w:rPr>
              <w:t>Rank</w:t>
            </w:r>
          </w:p>
        </w:tc>
        <w:tc>
          <w:tcPr>
            <w:tcW w:w="1276" w:type="dxa"/>
          </w:tcPr>
          <w:p w14:paraId="761916EB"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hint="eastAsia"/>
                <w:sz w:val="16"/>
                <w:szCs w:val="16"/>
              </w:rPr>
              <w:t>Description</w:t>
            </w:r>
          </w:p>
        </w:tc>
        <w:tc>
          <w:tcPr>
            <w:tcW w:w="4307" w:type="dxa"/>
          </w:tcPr>
          <w:p w14:paraId="3B911C8C"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sz w:val="16"/>
                <w:szCs w:val="16"/>
              </w:rPr>
              <w:t>Definition</w:t>
            </w:r>
          </w:p>
        </w:tc>
        <w:tc>
          <w:tcPr>
            <w:tcW w:w="2213" w:type="dxa"/>
          </w:tcPr>
          <w:p w14:paraId="49010558"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hint="eastAsia"/>
                <w:sz w:val="16"/>
                <w:szCs w:val="16"/>
              </w:rPr>
              <w:t>Suggestion</w:t>
            </w:r>
          </w:p>
        </w:tc>
      </w:tr>
      <w:tr w:rsidR="00F25E96" w14:paraId="6D83134D" w14:textId="77777777" w:rsidTr="009E033F">
        <w:tc>
          <w:tcPr>
            <w:tcW w:w="704" w:type="dxa"/>
          </w:tcPr>
          <w:p w14:paraId="1EBCE5A4"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hint="eastAsia"/>
                <w:sz w:val="16"/>
                <w:szCs w:val="16"/>
              </w:rPr>
              <w:t>0</w:t>
            </w:r>
          </w:p>
        </w:tc>
        <w:tc>
          <w:tcPr>
            <w:tcW w:w="1276" w:type="dxa"/>
          </w:tcPr>
          <w:p w14:paraId="4FC283AB"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sz w:val="16"/>
                <w:szCs w:val="16"/>
              </w:rPr>
              <w:t>N</w:t>
            </w:r>
            <w:r w:rsidRPr="009E033F">
              <w:rPr>
                <w:rFonts w:ascii="Arial" w:hAnsi="Arial" w:cs="Arial" w:hint="eastAsia"/>
                <w:sz w:val="16"/>
                <w:szCs w:val="16"/>
              </w:rPr>
              <w:t>o</w:t>
            </w:r>
            <w:r w:rsidRPr="009E033F">
              <w:rPr>
                <w:rFonts w:ascii="Arial" w:hAnsi="Arial" w:cs="Arial"/>
                <w:sz w:val="16"/>
                <w:szCs w:val="16"/>
              </w:rPr>
              <w:t xml:space="preserve"> </w:t>
            </w:r>
            <w:r w:rsidRPr="009E033F">
              <w:rPr>
                <w:rFonts w:ascii="Arial" w:hAnsi="Arial" w:cs="Arial" w:hint="eastAsia"/>
                <w:sz w:val="16"/>
                <w:szCs w:val="16"/>
              </w:rPr>
              <w:t>risk</w:t>
            </w:r>
          </w:p>
        </w:tc>
        <w:tc>
          <w:tcPr>
            <w:tcW w:w="4307" w:type="dxa"/>
          </w:tcPr>
          <w:p w14:paraId="74420EB6" w14:textId="40F08BA6" w:rsidR="00F25E96" w:rsidRPr="009E033F" w:rsidRDefault="00F25E96" w:rsidP="00C90DA9">
            <w:pPr>
              <w:spacing w:after="160" w:line="259" w:lineRule="auto"/>
              <w:rPr>
                <w:rFonts w:ascii="Arial" w:hAnsi="Arial" w:cs="Arial" w:hint="eastAsia"/>
                <w:sz w:val="16"/>
                <w:szCs w:val="16"/>
              </w:rPr>
            </w:pPr>
            <w:r w:rsidRPr="009E033F">
              <w:rPr>
                <w:rFonts w:ascii="Arial" w:hAnsi="Arial" w:cs="Arial"/>
                <w:sz w:val="16"/>
                <w:szCs w:val="16"/>
              </w:rPr>
              <w:t>No security issues</w:t>
            </w:r>
          </w:p>
        </w:tc>
        <w:tc>
          <w:tcPr>
            <w:tcW w:w="2213" w:type="dxa"/>
          </w:tcPr>
          <w:p w14:paraId="253B42EC" w14:textId="0B4BBD47" w:rsidR="00F25E96" w:rsidRPr="009E033F" w:rsidRDefault="00F25E96" w:rsidP="00C90DA9">
            <w:pPr>
              <w:spacing w:after="160" w:line="259" w:lineRule="auto"/>
              <w:rPr>
                <w:rFonts w:ascii="Arial" w:hAnsi="Arial" w:cs="Arial" w:hint="eastAsia"/>
                <w:sz w:val="16"/>
                <w:szCs w:val="16"/>
              </w:rPr>
            </w:pPr>
            <w:r w:rsidRPr="009E033F">
              <w:rPr>
                <w:rFonts w:ascii="Arial" w:hAnsi="Arial" w:cs="Arial"/>
                <w:sz w:val="16"/>
                <w:szCs w:val="16"/>
              </w:rPr>
              <w:t>No need to process</w:t>
            </w:r>
          </w:p>
        </w:tc>
      </w:tr>
      <w:tr w:rsidR="00F25E96" w14:paraId="6259EF4A" w14:textId="77777777" w:rsidTr="009E033F">
        <w:tc>
          <w:tcPr>
            <w:tcW w:w="704" w:type="dxa"/>
          </w:tcPr>
          <w:p w14:paraId="58885A52"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hint="eastAsia"/>
                <w:sz w:val="16"/>
                <w:szCs w:val="16"/>
              </w:rPr>
              <w:t>1</w:t>
            </w:r>
          </w:p>
        </w:tc>
        <w:tc>
          <w:tcPr>
            <w:tcW w:w="1276" w:type="dxa"/>
          </w:tcPr>
          <w:p w14:paraId="01FDE49E"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sz w:val="16"/>
                <w:szCs w:val="16"/>
              </w:rPr>
              <w:t>I</w:t>
            </w:r>
            <w:r w:rsidRPr="009E033F">
              <w:rPr>
                <w:rFonts w:ascii="Arial" w:hAnsi="Arial" w:cs="Arial" w:hint="eastAsia"/>
                <w:sz w:val="16"/>
                <w:szCs w:val="16"/>
              </w:rPr>
              <w:t>nsignificant</w:t>
            </w:r>
          </w:p>
        </w:tc>
        <w:tc>
          <w:tcPr>
            <w:tcW w:w="4307" w:type="dxa"/>
          </w:tcPr>
          <w:p w14:paraId="0438394D" w14:textId="4E2B4343"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Very small security issues, no direct impact on the business</w:t>
            </w:r>
          </w:p>
        </w:tc>
        <w:tc>
          <w:tcPr>
            <w:tcW w:w="2213" w:type="dxa"/>
          </w:tcPr>
          <w:p w14:paraId="7BFADF6A" w14:textId="1A94AC7B"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Record, assess, and deal with risks when necessary</w:t>
            </w:r>
          </w:p>
        </w:tc>
      </w:tr>
      <w:tr w:rsidR="00F25E96" w14:paraId="353758B6" w14:textId="77777777" w:rsidTr="009E033F">
        <w:tc>
          <w:tcPr>
            <w:tcW w:w="704" w:type="dxa"/>
          </w:tcPr>
          <w:p w14:paraId="2F3DDC4D"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hint="eastAsia"/>
                <w:sz w:val="16"/>
                <w:szCs w:val="16"/>
              </w:rPr>
              <w:t>2</w:t>
            </w:r>
          </w:p>
        </w:tc>
        <w:tc>
          <w:tcPr>
            <w:tcW w:w="1276" w:type="dxa"/>
          </w:tcPr>
          <w:p w14:paraId="73393775"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sz w:val="16"/>
                <w:szCs w:val="16"/>
              </w:rPr>
              <w:t>M</w:t>
            </w:r>
            <w:r w:rsidRPr="009E033F">
              <w:rPr>
                <w:rFonts w:ascii="Arial" w:hAnsi="Arial" w:cs="Arial" w:hint="eastAsia"/>
                <w:sz w:val="16"/>
                <w:szCs w:val="16"/>
              </w:rPr>
              <w:t>inor</w:t>
            </w:r>
          </w:p>
        </w:tc>
        <w:tc>
          <w:tcPr>
            <w:tcW w:w="4307" w:type="dxa"/>
          </w:tcPr>
          <w:p w14:paraId="75117A43" w14:textId="2D6001C0"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Minor security issues will only have a very small impact on the business</w:t>
            </w:r>
          </w:p>
        </w:tc>
        <w:tc>
          <w:tcPr>
            <w:tcW w:w="2213" w:type="dxa"/>
          </w:tcPr>
          <w:p w14:paraId="3A8C58CC" w14:textId="313F53A2"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Record, assess and deal with risks within 130 days</w:t>
            </w:r>
          </w:p>
        </w:tc>
      </w:tr>
      <w:tr w:rsidR="00F25E96" w14:paraId="0548BD15" w14:textId="77777777" w:rsidTr="009E033F">
        <w:tc>
          <w:tcPr>
            <w:tcW w:w="704" w:type="dxa"/>
          </w:tcPr>
          <w:p w14:paraId="2753065A"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hint="eastAsia"/>
                <w:sz w:val="16"/>
                <w:szCs w:val="16"/>
              </w:rPr>
              <w:t>3</w:t>
            </w:r>
          </w:p>
        </w:tc>
        <w:tc>
          <w:tcPr>
            <w:tcW w:w="1276" w:type="dxa"/>
          </w:tcPr>
          <w:p w14:paraId="37276211"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sz w:val="16"/>
                <w:szCs w:val="16"/>
              </w:rPr>
              <w:t>M</w:t>
            </w:r>
            <w:r w:rsidRPr="009E033F">
              <w:rPr>
                <w:rFonts w:ascii="Arial" w:hAnsi="Arial" w:cs="Arial" w:hint="eastAsia"/>
                <w:sz w:val="16"/>
                <w:szCs w:val="16"/>
              </w:rPr>
              <w:t>oderate</w:t>
            </w:r>
          </w:p>
        </w:tc>
        <w:tc>
          <w:tcPr>
            <w:tcW w:w="4307" w:type="dxa"/>
          </w:tcPr>
          <w:p w14:paraId="7CEA08EE" w14:textId="20BE4956"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Medium risk security issues that may affect the business</w:t>
            </w:r>
          </w:p>
        </w:tc>
        <w:tc>
          <w:tcPr>
            <w:tcW w:w="2213" w:type="dxa"/>
          </w:tcPr>
          <w:p w14:paraId="39657BBC" w14:textId="14782D58"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 xml:space="preserve">Record, assess and deal with risks within </w:t>
            </w:r>
            <w:r w:rsidRPr="009E033F">
              <w:rPr>
                <w:rFonts w:ascii="Arial" w:hAnsi="Arial" w:cs="Arial"/>
                <w:sz w:val="16"/>
                <w:szCs w:val="16"/>
              </w:rPr>
              <w:t>90</w:t>
            </w:r>
            <w:r w:rsidRPr="009E033F">
              <w:rPr>
                <w:rFonts w:ascii="Arial" w:hAnsi="Arial" w:cs="Arial"/>
                <w:sz w:val="16"/>
                <w:szCs w:val="16"/>
              </w:rPr>
              <w:t xml:space="preserve"> days</w:t>
            </w:r>
          </w:p>
        </w:tc>
      </w:tr>
      <w:tr w:rsidR="00F25E96" w14:paraId="21D30E7E" w14:textId="77777777" w:rsidTr="009E033F">
        <w:tc>
          <w:tcPr>
            <w:tcW w:w="704" w:type="dxa"/>
          </w:tcPr>
          <w:p w14:paraId="528A83AD"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hint="eastAsia"/>
                <w:sz w:val="16"/>
                <w:szCs w:val="16"/>
              </w:rPr>
              <w:t>4</w:t>
            </w:r>
          </w:p>
        </w:tc>
        <w:tc>
          <w:tcPr>
            <w:tcW w:w="1276" w:type="dxa"/>
          </w:tcPr>
          <w:p w14:paraId="26EA74C4"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sz w:val="16"/>
                <w:szCs w:val="16"/>
              </w:rPr>
              <w:t>M</w:t>
            </w:r>
            <w:r w:rsidRPr="009E033F">
              <w:rPr>
                <w:rFonts w:ascii="Arial" w:hAnsi="Arial" w:cs="Arial" w:hint="eastAsia"/>
                <w:sz w:val="16"/>
                <w:szCs w:val="16"/>
              </w:rPr>
              <w:t>ajor</w:t>
            </w:r>
          </w:p>
        </w:tc>
        <w:tc>
          <w:tcPr>
            <w:tcW w:w="4307" w:type="dxa"/>
          </w:tcPr>
          <w:p w14:paraId="0B8E52C8" w14:textId="476148A1"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Serious security vulnerability, if exploited, may have a serious impact on the enterprise</w:t>
            </w:r>
          </w:p>
        </w:tc>
        <w:tc>
          <w:tcPr>
            <w:tcW w:w="2213" w:type="dxa"/>
          </w:tcPr>
          <w:p w14:paraId="6E0A7262" w14:textId="7F1B6212"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 xml:space="preserve">Record, assess and deal with risks within </w:t>
            </w:r>
            <w:r w:rsidRPr="009E033F">
              <w:rPr>
                <w:rFonts w:ascii="Arial" w:hAnsi="Arial" w:cs="Arial"/>
                <w:sz w:val="16"/>
                <w:szCs w:val="16"/>
              </w:rPr>
              <w:t>30</w:t>
            </w:r>
            <w:r w:rsidRPr="009E033F">
              <w:rPr>
                <w:rFonts w:ascii="Arial" w:hAnsi="Arial" w:cs="Arial"/>
                <w:sz w:val="16"/>
                <w:szCs w:val="16"/>
              </w:rPr>
              <w:t xml:space="preserve"> days</w:t>
            </w:r>
          </w:p>
        </w:tc>
      </w:tr>
      <w:tr w:rsidR="00F25E96" w14:paraId="587389B6" w14:textId="77777777" w:rsidTr="009E033F">
        <w:tc>
          <w:tcPr>
            <w:tcW w:w="704" w:type="dxa"/>
          </w:tcPr>
          <w:p w14:paraId="38DFB909"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hint="eastAsia"/>
                <w:sz w:val="16"/>
                <w:szCs w:val="16"/>
              </w:rPr>
              <w:t>5</w:t>
            </w:r>
          </w:p>
        </w:tc>
        <w:tc>
          <w:tcPr>
            <w:tcW w:w="1276" w:type="dxa"/>
          </w:tcPr>
          <w:p w14:paraId="79CA701F" w14:textId="77777777" w:rsidR="00F25E96" w:rsidRPr="009E033F" w:rsidRDefault="00F25E96" w:rsidP="00C90DA9">
            <w:pPr>
              <w:spacing w:after="160" w:line="259" w:lineRule="auto"/>
              <w:rPr>
                <w:rFonts w:ascii="Arial" w:hAnsi="Arial" w:cs="Arial" w:hint="eastAsia"/>
                <w:sz w:val="16"/>
                <w:szCs w:val="16"/>
              </w:rPr>
            </w:pPr>
            <w:r w:rsidRPr="009E033F">
              <w:rPr>
                <w:rFonts w:ascii="Arial" w:hAnsi="Arial" w:cs="Arial"/>
                <w:sz w:val="16"/>
                <w:szCs w:val="16"/>
              </w:rPr>
              <w:t>S</w:t>
            </w:r>
            <w:r w:rsidRPr="009E033F">
              <w:rPr>
                <w:rFonts w:ascii="Arial" w:hAnsi="Arial" w:cs="Arial" w:hint="eastAsia"/>
                <w:sz w:val="16"/>
                <w:szCs w:val="16"/>
              </w:rPr>
              <w:t>evere</w:t>
            </w:r>
          </w:p>
        </w:tc>
        <w:tc>
          <w:tcPr>
            <w:tcW w:w="4307" w:type="dxa"/>
          </w:tcPr>
          <w:p w14:paraId="663C5E01" w14:textId="0BAF8A34"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Very serious security vulnerability, if exploited, will cause serious damage to the business</w:t>
            </w:r>
          </w:p>
        </w:tc>
        <w:tc>
          <w:tcPr>
            <w:tcW w:w="2213" w:type="dxa"/>
          </w:tcPr>
          <w:p w14:paraId="34EF393C" w14:textId="403A4BD0" w:rsidR="00F25E96" w:rsidRPr="009E033F" w:rsidRDefault="009E033F" w:rsidP="00C90DA9">
            <w:pPr>
              <w:spacing w:after="160" w:line="259" w:lineRule="auto"/>
              <w:rPr>
                <w:rFonts w:ascii="Arial" w:hAnsi="Arial" w:cs="Arial" w:hint="eastAsia"/>
                <w:sz w:val="16"/>
                <w:szCs w:val="16"/>
              </w:rPr>
            </w:pPr>
            <w:r w:rsidRPr="009E033F">
              <w:rPr>
                <w:rFonts w:ascii="Arial" w:hAnsi="Arial" w:cs="Arial"/>
                <w:sz w:val="16"/>
                <w:szCs w:val="16"/>
              </w:rPr>
              <w:t>Record, assess, deal with risk immediately</w:t>
            </w:r>
          </w:p>
        </w:tc>
      </w:tr>
    </w:tbl>
    <w:p w14:paraId="3B446600" w14:textId="323EAB8D" w:rsidR="00F25E96" w:rsidRDefault="009E033F" w:rsidP="00F25E96">
      <w:r>
        <w:rPr>
          <w:rFonts w:hint="eastAsia"/>
        </w:rPr>
        <w:t xml:space="preserve"> </w:t>
      </w:r>
      <w:r>
        <w:t xml:space="preserve">                               Table 2-1 r</w:t>
      </w:r>
      <w:r w:rsidRPr="00F25E96">
        <w:t>isk assessment table</w:t>
      </w:r>
    </w:p>
    <w:p w14:paraId="29481C03" w14:textId="4E67661F" w:rsidR="009E033F" w:rsidRDefault="009E033F" w:rsidP="00F25E96"/>
    <w:p w14:paraId="6FC59497" w14:textId="09E26330" w:rsidR="009E033F" w:rsidRDefault="009E033F" w:rsidP="00F25E96"/>
    <w:p w14:paraId="4D03E581" w14:textId="29886121" w:rsidR="009E033F" w:rsidRDefault="009E033F" w:rsidP="00F25E96"/>
    <w:p w14:paraId="16D3B5DF" w14:textId="77777777" w:rsidR="009E033F" w:rsidRDefault="009E033F" w:rsidP="00F25E96">
      <w:pPr>
        <w:rPr>
          <w:rFonts w:hint="eastAsia"/>
        </w:rPr>
      </w:pPr>
    </w:p>
    <w:tbl>
      <w:tblPr>
        <w:tblStyle w:val="a4"/>
        <w:tblW w:w="0" w:type="auto"/>
        <w:tblLook w:val="04A0" w:firstRow="1" w:lastRow="0" w:firstColumn="1" w:lastColumn="0" w:noHBand="0" w:noVBand="1"/>
      </w:tblPr>
      <w:tblGrid>
        <w:gridCol w:w="2695"/>
        <w:gridCol w:w="2811"/>
        <w:gridCol w:w="2790"/>
      </w:tblGrid>
      <w:tr w:rsidR="009E033F" w14:paraId="455FA3C3" w14:textId="77777777" w:rsidTr="009E033F">
        <w:tc>
          <w:tcPr>
            <w:tcW w:w="2695" w:type="dxa"/>
          </w:tcPr>
          <w:p w14:paraId="385B4E47"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lastRenderedPageBreak/>
              <w:t>Rank</w:t>
            </w:r>
          </w:p>
        </w:tc>
        <w:tc>
          <w:tcPr>
            <w:tcW w:w="2811" w:type="dxa"/>
          </w:tcPr>
          <w:p w14:paraId="21D6BD3B" w14:textId="77777777" w:rsidR="009E033F" w:rsidRPr="009E033F" w:rsidRDefault="009E033F" w:rsidP="00C90DA9">
            <w:pPr>
              <w:spacing w:after="160" w:line="259" w:lineRule="auto"/>
              <w:rPr>
                <w:rFonts w:ascii="Arial" w:hAnsi="Arial" w:cs="Arial" w:hint="eastAsia"/>
                <w:sz w:val="16"/>
                <w:szCs w:val="16"/>
              </w:rPr>
            </w:pPr>
            <w:r w:rsidRPr="009E033F">
              <w:rPr>
                <w:rFonts w:ascii="Arial" w:hAnsi="Arial" w:cs="Arial" w:hint="eastAsia"/>
                <w:sz w:val="16"/>
                <w:szCs w:val="16"/>
              </w:rPr>
              <w:t>D</w:t>
            </w:r>
            <w:r w:rsidRPr="009E033F">
              <w:rPr>
                <w:rFonts w:ascii="Arial" w:hAnsi="Arial" w:cs="Arial"/>
                <w:sz w:val="16"/>
                <w:szCs w:val="16"/>
              </w:rPr>
              <w:t>escription</w:t>
            </w:r>
          </w:p>
        </w:tc>
        <w:tc>
          <w:tcPr>
            <w:tcW w:w="2790" w:type="dxa"/>
          </w:tcPr>
          <w:p w14:paraId="46264631"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P</w:t>
            </w:r>
            <w:r w:rsidRPr="009E033F">
              <w:rPr>
                <w:rFonts w:ascii="Arial" w:hAnsi="Arial" w:cs="Arial"/>
                <w:sz w:val="16"/>
                <w:szCs w:val="16"/>
              </w:rPr>
              <w:t>ercent Likelihood</w:t>
            </w:r>
          </w:p>
        </w:tc>
      </w:tr>
      <w:tr w:rsidR="009E033F" w14:paraId="4FAEF059" w14:textId="77777777" w:rsidTr="009E033F">
        <w:tc>
          <w:tcPr>
            <w:tcW w:w="2695" w:type="dxa"/>
          </w:tcPr>
          <w:p w14:paraId="011A4124"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0</w:t>
            </w:r>
          </w:p>
        </w:tc>
        <w:tc>
          <w:tcPr>
            <w:tcW w:w="2811" w:type="dxa"/>
          </w:tcPr>
          <w:p w14:paraId="6741B8A0"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sz w:val="16"/>
                <w:szCs w:val="16"/>
              </w:rPr>
              <w:t>Not applicable</w:t>
            </w:r>
          </w:p>
        </w:tc>
        <w:tc>
          <w:tcPr>
            <w:tcW w:w="2790" w:type="dxa"/>
          </w:tcPr>
          <w:p w14:paraId="5F54B4F4"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0</w:t>
            </w:r>
            <w:r w:rsidRPr="009E033F">
              <w:rPr>
                <w:rFonts w:ascii="Arial" w:hAnsi="Arial" w:cs="Arial"/>
                <w:sz w:val="16"/>
                <w:szCs w:val="16"/>
              </w:rPr>
              <w:t>% likely in the 12 months</w:t>
            </w:r>
          </w:p>
        </w:tc>
      </w:tr>
      <w:tr w:rsidR="009E033F" w14:paraId="4BFAA0E7" w14:textId="77777777" w:rsidTr="009E033F">
        <w:tc>
          <w:tcPr>
            <w:tcW w:w="2695" w:type="dxa"/>
          </w:tcPr>
          <w:p w14:paraId="05475BE7"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1</w:t>
            </w:r>
          </w:p>
        </w:tc>
        <w:tc>
          <w:tcPr>
            <w:tcW w:w="2811" w:type="dxa"/>
          </w:tcPr>
          <w:p w14:paraId="1D9D7108"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r</w:t>
            </w:r>
            <w:r w:rsidRPr="009E033F">
              <w:rPr>
                <w:rFonts w:ascii="Arial" w:hAnsi="Arial" w:cs="Arial"/>
                <w:sz w:val="16"/>
                <w:szCs w:val="16"/>
              </w:rPr>
              <w:t>are</w:t>
            </w:r>
          </w:p>
        </w:tc>
        <w:tc>
          <w:tcPr>
            <w:tcW w:w="2790" w:type="dxa"/>
          </w:tcPr>
          <w:p w14:paraId="3C05F7A7"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sz w:val="16"/>
                <w:szCs w:val="16"/>
              </w:rPr>
              <w:t>5% likely in the 12 months</w:t>
            </w:r>
          </w:p>
        </w:tc>
      </w:tr>
      <w:tr w:rsidR="009E033F" w14:paraId="3AFB2466" w14:textId="77777777" w:rsidTr="009E033F">
        <w:tc>
          <w:tcPr>
            <w:tcW w:w="2695" w:type="dxa"/>
          </w:tcPr>
          <w:p w14:paraId="68FB9296"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2</w:t>
            </w:r>
          </w:p>
        </w:tc>
        <w:tc>
          <w:tcPr>
            <w:tcW w:w="2811" w:type="dxa"/>
          </w:tcPr>
          <w:p w14:paraId="16336813"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u</w:t>
            </w:r>
            <w:r w:rsidRPr="009E033F">
              <w:rPr>
                <w:rFonts w:ascii="Arial" w:hAnsi="Arial" w:cs="Arial"/>
                <w:sz w:val="16"/>
                <w:szCs w:val="16"/>
              </w:rPr>
              <w:t>nlikely</w:t>
            </w:r>
          </w:p>
        </w:tc>
        <w:tc>
          <w:tcPr>
            <w:tcW w:w="2790" w:type="dxa"/>
          </w:tcPr>
          <w:p w14:paraId="4D2C63BD"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sz w:val="16"/>
                <w:szCs w:val="16"/>
              </w:rPr>
              <w:t>25% likely in the 12 months</w:t>
            </w:r>
          </w:p>
        </w:tc>
      </w:tr>
      <w:tr w:rsidR="009E033F" w14:paraId="522EE2A0" w14:textId="77777777" w:rsidTr="009E033F">
        <w:tc>
          <w:tcPr>
            <w:tcW w:w="2695" w:type="dxa"/>
          </w:tcPr>
          <w:p w14:paraId="4FB0359F"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3</w:t>
            </w:r>
          </w:p>
        </w:tc>
        <w:tc>
          <w:tcPr>
            <w:tcW w:w="2811" w:type="dxa"/>
          </w:tcPr>
          <w:p w14:paraId="3605E310"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oderate</w:t>
            </w:r>
          </w:p>
        </w:tc>
        <w:tc>
          <w:tcPr>
            <w:tcW w:w="2790" w:type="dxa"/>
          </w:tcPr>
          <w:p w14:paraId="1AE4AF89"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sz w:val="16"/>
                <w:szCs w:val="16"/>
              </w:rPr>
              <w:t>50% likely in the 12 months</w:t>
            </w:r>
          </w:p>
        </w:tc>
      </w:tr>
      <w:tr w:rsidR="009E033F" w14:paraId="67CDBD5E" w14:textId="77777777" w:rsidTr="009E033F">
        <w:tc>
          <w:tcPr>
            <w:tcW w:w="2695" w:type="dxa"/>
          </w:tcPr>
          <w:p w14:paraId="6BB8F561"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4</w:t>
            </w:r>
          </w:p>
        </w:tc>
        <w:tc>
          <w:tcPr>
            <w:tcW w:w="2811" w:type="dxa"/>
          </w:tcPr>
          <w:p w14:paraId="31AA819A"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ikely</w:t>
            </w:r>
          </w:p>
        </w:tc>
        <w:tc>
          <w:tcPr>
            <w:tcW w:w="2790" w:type="dxa"/>
          </w:tcPr>
          <w:p w14:paraId="753AB20E"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sz w:val="16"/>
                <w:szCs w:val="16"/>
              </w:rPr>
              <w:t>75% likely in the 12 months</w:t>
            </w:r>
          </w:p>
        </w:tc>
      </w:tr>
      <w:tr w:rsidR="009E033F" w14:paraId="1B810DF7" w14:textId="77777777" w:rsidTr="009E033F">
        <w:tc>
          <w:tcPr>
            <w:tcW w:w="2695" w:type="dxa"/>
          </w:tcPr>
          <w:p w14:paraId="5AE6A9C5" w14:textId="77777777" w:rsidR="009E033F" w:rsidRPr="009E033F" w:rsidRDefault="009E033F" w:rsidP="00C90DA9">
            <w:pPr>
              <w:spacing w:after="160" w:line="259" w:lineRule="auto"/>
              <w:rPr>
                <w:rFonts w:ascii="Arial" w:hAnsi="Arial" w:cs="Arial" w:hint="eastAsia"/>
                <w:sz w:val="16"/>
                <w:szCs w:val="16"/>
              </w:rPr>
            </w:pPr>
            <w:r w:rsidRPr="009E033F">
              <w:rPr>
                <w:rFonts w:ascii="Arial" w:hAnsi="Arial" w:cs="Arial" w:hint="eastAsia"/>
                <w:sz w:val="16"/>
                <w:szCs w:val="16"/>
              </w:rPr>
              <w:t>5</w:t>
            </w:r>
          </w:p>
        </w:tc>
        <w:tc>
          <w:tcPr>
            <w:tcW w:w="2811" w:type="dxa"/>
          </w:tcPr>
          <w:p w14:paraId="5E0BD69D"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sz w:val="16"/>
                <w:szCs w:val="16"/>
              </w:rPr>
              <w:t>Almost certain</w:t>
            </w:r>
          </w:p>
        </w:tc>
        <w:tc>
          <w:tcPr>
            <w:tcW w:w="2790" w:type="dxa"/>
          </w:tcPr>
          <w:p w14:paraId="07351C08"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sz w:val="16"/>
                <w:szCs w:val="16"/>
              </w:rPr>
              <w:t>100% likely in the 12 months</w:t>
            </w:r>
          </w:p>
        </w:tc>
      </w:tr>
    </w:tbl>
    <w:p w14:paraId="53E94DD2" w14:textId="776E0E97" w:rsidR="009E033F" w:rsidRDefault="009E033F" w:rsidP="00F25E96">
      <w:r>
        <w:t xml:space="preserve">   </w:t>
      </w:r>
      <w:r>
        <w:t xml:space="preserve">                       </w:t>
      </w:r>
      <w:r>
        <w:t xml:space="preserve"> Table 2-</w:t>
      </w:r>
      <w:r>
        <w:t>2</w:t>
      </w:r>
      <w:r>
        <w:t xml:space="preserve"> </w:t>
      </w:r>
      <w:r w:rsidRPr="00F25E96">
        <w:t>possibility table</w:t>
      </w:r>
    </w:p>
    <w:tbl>
      <w:tblPr>
        <w:tblStyle w:val="a4"/>
        <w:tblW w:w="0" w:type="auto"/>
        <w:tblLook w:val="04A0" w:firstRow="1" w:lastRow="0" w:firstColumn="1" w:lastColumn="0" w:noHBand="0" w:noVBand="1"/>
      </w:tblPr>
      <w:tblGrid>
        <w:gridCol w:w="1477"/>
        <w:gridCol w:w="1286"/>
        <w:gridCol w:w="1373"/>
        <w:gridCol w:w="1414"/>
        <w:gridCol w:w="1373"/>
        <w:gridCol w:w="1373"/>
      </w:tblGrid>
      <w:tr w:rsidR="009E033F" w14:paraId="1D6A647C" w14:textId="77777777" w:rsidTr="009E033F">
        <w:tc>
          <w:tcPr>
            <w:tcW w:w="1477" w:type="dxa"/>
          </w:tcPr>
          <w:p w14:paraId="3885ED8B"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S</w:t>
            </w:r>
            <w:r w:rsidRPr="009E033F">
              <w:rPr>
                <w:rFonts w:ascii="Arial" w:hAnsi="Arial" w:cs="Arial"/>
                <w:sz w:val="16"/>
                <w:szCs w:val="16"/>
              </w:rPr>
              <w:t>evere</w:t>
            </w:r>
          </w:p>
        </w:tc>
        <w:tc>
          <w:tcPr>
            <w:tcW w:w="1286" w:type="dxa"/>
          </w:tcPr>
          <w:p w14:paraId="04F6CDDC"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373" w:type="dxa"/>
          </w:tcPr>
          <w:p w14:paraId="0B4414AB"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edium</w:t>
            </w:r>
          </w:p>
        </w:tc>
        <w:tc>
          <w:tcPr>
            <w:tcW w:w="1414" w:type="dxa"/>
          </w:tcPr>
          <w:p w14:paraId="4DD989E2"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H</w:t>
            </w:r>
            <w:r w:rsidRPr="009E033F">
              <w:rPr>
                <w:rFonts w:ascii="Arial" w:hAnsi="Arial" w:cs="Arial"/>
                <w:sz w:val="16"/>
                <w:szCs w:val="16"/>
              </w:rPr>
              <w:t>igh</w:t>
            </w:r>
          </w:p>
        </w:tc>
        <w:tc>
          <w:tcPr>
            <w:tcW w:w="1373" w:type="dxa"/>
          </w:tcPr>
          <w:p w14:paraId="2D8B91EC"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H</w:t>
            </w:r>
            <w:r w:rsidRPr="009E033F">
              <w:rPr>
                <w:rFonts w:ascii="Arial" w:hAnsi="Arial" w:cs="Arial"/>
                <w:sz w:val="16"/>
                <w:szCs w:val="16"/>
              </w:rPr>
              <w:t>igh</w:t>
            </w:r>
          </w:p>
        </w:tc>
        <w:tc>
          <w:tcPr>
            <w:tcW w:w="1373" w:type="dxa"/>
          </w:tcPr>
          <w:p w14:paraId="5E69D703"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C</w:t>
            </w:r>
            <w:r w:rsidRPr="009E033F">
              <w:rPr>
                <w:rFonts w:ascii="Arial" w:hAnsi="Arial" w:cs="Arial"/>
                <w:sz w:val="16"/>
                <w:szCs w:val="16"/>
              </w:rPr>
              <w:t>ritical</w:t>
            </w:r>
          </w:p>
        </w:tc>
      </w:tr>
      <w:tr w:rsidR="009E033F" w14:paraId="31EC1378" w14:textId="77777777" w:rsidTr="009E033F">
        <w:tc>
          <w:tcPr>
            <w:tcW w:w="1477" w:type="dxa"/>
          </w:tcPr>
          <w:p w14:paraId="159DAD16"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ajor</w:t>
            </w:r>
          </w:p>
        </w:tc>
        <w:tc>
          <w:tcPr>
            <w:tcW w:w="1286" w:type="dxa"/>
          </w:tcPr>
          <w:p w14:paraId="5D05D5C5"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373" w:type="dxa"/>
          </w:tcPr>
          <w:p w14:paraId="43E6C9EC"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edium</w:t>
            </w:r>
          </w:p>
        </w:tc>
        <w:tc>
          <w:tcPr>
            <w:tcW w:w="1414" w:type="dxa"/>
          </w:tcPr>
          <w:p w14:paraId="07DD3708"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edium</w:t>
            </w:r>
          </w:p>
        </w:tc>
        <w:tc>
          <w:tcPr>
            <w:tcW w:w="1373" w:type="dxa"/>
          </w:tcPr>
          <w:p w14:paraId="4C94EEA5"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H</w:t>
            </w:r>
            <w:r w:rsidRPr="009E033F">
              <w:rPr>
                <w:rFonts w:ascii="Arial" w:hAnsi="Arial" w:cs="Arial"/>
                <w:sz w:val="16"/>
                <w:szCs w:val="16"/>
              </w:rPr>
              <w:t>igh</w:t>
            </w:r>
          </w:p>
        </w:tc>
        <w:tc>
          <w:tcPr>
            <w:tcW w:w="1373" w:type="dxa"/>
          </w:tcPr>
          <w:p w14:paraId="08940763"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H</w:t>
            </w:r>
            <w:r w:rsidRPr="009E033F">
              <w:rPr>
                <w:rFonts w:ascii="Arial" w:hAnsi="Arial" w:cs="Arial"/>
                <w:sz w:val="16"/>
                <w:szCs w:val="16"/>
              </w:rPr>
              <w:t>igh</w:t>
            </w:r>
          </w:p>
        </w:tc>
      </w:tr>
      <w:tr w:rsidR="009E033F" w14:paraId="4E50F1AD" w14:textId="77777777" w:rsidTr="009E033F">
        <w:tc>
          <w:tcPr>
            <w:tcW w:w="1477" w:type="dxa"/>
          </w:tcPr>
          <w:p w14:paraId="48B3A667"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oderate</w:t>
            </w:r>
          </w:p>
        </w:tc>
        <w:tc>
          <w:tcPr>
            <w:tcW w:w="1286" w:type="dxa"/>
          </w:tcPr>
          <w:p w14:paraId="2F03A605"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373" w:type="dxa"/>
          </w:tcPr>
          <w:p w14:paraId="3A04D72C"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414" w:type="dxa"/>
          </w:tcPr>
          <w:p w14:paraId="66BF8627" w14:textId="77777777" w:rsidR="009E033F" w:rsidRPr="009E033F" w:rsidRDefault="009E033F" w:rsidP="00C90DA9">
            <w:pPr>
              <w:spacing w:after="160" w:line="259" w:lineRule="auto"/>
              <w:rPr>
                <w:rFonts w:ascii="Arial" w:hAnsi="Arial" w:cs="Arial" w:hint="eastAsia"/>
                <w:sz w:val="16"/>
                <w:szCs w:val="16"/>
              </w:rPr>
            </w:pPr>
            <w:r w:rsidRPr="009E033F">
              <w:rPr>
                <w:rFonts w:ascii="Arial" w:hAnsi="Arial" w:cs="Arial" w:hint="eastAsia"/>
                <w:sz w:val="16"/>
                <w:szCs w:val="16"/>
              </w:rPr>
              <w:t>M</w:t>
            </w:r>
            <w:r w:rsidRPr="009E033F">
              <w:rPr>
                <w:rFonts w:ascii="Arial" w:hAnsi="Arial" w:cs="Arial"/>
                <w:sz w:val="16"/>
                <w:szCs w:val="16"/>
              </w:rPr>
              <w:t>edium</w:t>
            </w:r>
          </w:p>
        </w:tc>
        <w:tc>
          <w:tcPr>
            <w:tcW w:w="1373" w:type="dxa"/>
          </w:tcPr>
          <w:p w14:paraId="5C8A77D5"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edium</w:t>
            </w:r>
          </w:p>
        </w:tc>
        <w:tc>
          <w:tcPr>
            <w:tcW w:w="1373" w:type="dxa"/>
          </w:tcPr>
          <w:p w14:paraId="47241546"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H</w:t>
            </w:r>
            <w:r w:rsidRPr="009E033F">
              <w:rPr>
                <w:rFonts w:ascii="Arial" w:hAnsi="Arial" w:cs="Arial"/>
                <w:sz w:val="16"/>
                <w:szCs w:val="16"/>
              </w:rPr>
              <w:t>igh</w:t>
            </w:r>
          </w:p>
        </w:tc>
      </w:tr>
      <w:tr w:rsidR="009E033F" w14:paraId="254E7339" w14:textId="77777777" w:rsidTr="009E033F">
        <w:tc>
          <w:tcPr>
            <w:tcW w:w="1477" w:type="dxa"/>
          </w:tcPr>
          <w:p w14:paraId="12544C1F"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inor</w:t>
            </w:r>
          </w:p>
        </w:tc>
        <w:tc>
          <w:tcPr>
            <w:tcW w:w="1286" w:type="dxa"/>
          </w:tcPr>
          <w:p w14:paraId="46F905AC"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373" w:type="dxa"/>
          </w:tcPr>
          <w:p w14:paraId="5A5B6B1A"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414" w:type="dxa"/>
          </w:tcPr>
          <w:p w14:paraId="0028B990"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373" w:type="dxa"/>
          </w:tcPr>
          <w:p w14:paraId="3563791E"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edium</w:t>
            </w:r>
          </w:p>
        </w:tc>
        <w:tc>
          <w:tcPr>
            <w:tcW w:w="1373" w:type="dxa"/>
          </w:tcPr>
          <w:p w14:paraId="442A4965"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edium</w:t>
            </w:r>
          </w:p>
        </w:tc>
      </w:tr>
      <w:tr w:rsidR="009E033F" w14:paraId="2EAAA11F" w14:textId="77777777" w:rsidTr="009E033F">
        <w:tc>
          <w:tcPr>
            <w:tcW w:w="1477" w:type="dxa"/>
          </w:tcPr>
          <w:p w14:paraId="4DA708C7"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I</w:t>
            </w:r>
            <w:r w:rsidRPr="009E033F">
              <w:rPr>
                <w:rFonts w:ascii="Arial" w:hAnsi="Arial" w:cs="Arial"/>
                <w:sz w:val="16"/>
                <w:szCs w:val="16"/>
              </w:rPr>
              <w:t>nsignificant</w:t>
            </w:r>
          </w:p>
        </w:tc>
        <w:tc>
          <w:tcPr>
            <w:tcW w:w="1286" w:type="dxa"/>
          </w:tcPr>
          <w:p w14:paraId="1C08A78A"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373" w:type="dxa"/>
          </w:tcPr>
          <w:p w14:paraId="13102C88"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414" w:type="dxa"/>
          </w:tcPr>
          <w:p w14:paraId="6E891740"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373" w:type="dxa"/>
          </w:tcPr>
          <w:p w14:paraId="1C4DD4C9"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c>
          <w:tcPr>
            <w:tcW w:w="1373" w:type="dxa"/>
          </w:tcPr>
          <w:p w14:paraId="70E8D119"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ow</w:t>
            </w:r>
          </w:p>
        </w:tc>
      </w:tr>
      <w:tr w:rsidR="009E033F" w14:paraId="74A4B14F" w14:textId="77777777" w:rsidTr="009E033F">
        <w:tc>
          <w:tcPr>
            <w:tcW w:w="1477" w:type="dxa"/>
          </w:tcPr>
          <w:p w14:paraId="62F3F19C" w14:textId="77777777" w:rsidR="009E033F" w:rsidRPr="009E033F" w:rsidRDefault="009E033F" w:rsidP="00C90DA9">
            <w:pPr>
              <w:spacing w:after="160" w:line="259" w:lineRule="auto"/>
              <w:rPr>
                <w:rFonts w:ascii="Arial" w:hAnsi="Arial" w:cs="Arial"/>
                <w:sz w:val="16"/>
                <w:szCs w:val="16"/>
              </w:rPr>
            </w:pPr>
          </w:p>
        </w:tc>
        <w:tc>
          <w:tcPr>
            <w:tcW w:w="1286" w:type="dxa"/>
          </w:tcPr>
          <w:p w14:paraId="4388D539"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R</w:t>
            </w:r>
            <w:r w:rsidRPr="009E033F">
              <w:rPr>
                <w:rFonts w:ascii="Arial" w:hAnsi="Arial" w:cs="Arial"/>
                <w:sz w:val="16"/>
                <w:szCs w:val="16"/>
              </w:rPr>
              <w:t>are</w:t>
            </w:r>
          </w:p>
        </w:tc>
        <w:tc>
          <w:tcPr>
            <w:tcW w:w="1373" w:type="dxa"/>
          </w:tcPr>
          <w:p w14:paraId="7368C698"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U</w:t>
            </w:r>
            <w:r w:rsidRPr="009E033F">
              <w:rPr>
                <w:rFonts w:ascii="Arial" w:hAnsi="Arial" w:cs="Arial"/>
                <w:sz w:val="16"/>
                <w:szCs w:val="16"/>
              </w:rPr>
              <w:t>nlikely</w:t>
            </w:r>
          </w:p>
        </w:tc>
        <w:tc>
          <w:tcPr>
            <w:tcW w:w="1414" w:type="dxa"/>
          </w:tcPr>
          <w:p w14:paraId="15979BB9"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M</w:t>
            </w:r>
            <w:r w:rsidRPr="009E033F">
              <w:rPr>
                <w:rFonts w:ascii="Arial" w:hAnsi="Arial" w:cs="Arial"/>
                <w:sz w:val="16"/>
                <w:szCs w:val="16"/>
              </w:rPr>
              <w:t>oderate</w:t>
            </w:r>
          </w:p>
        </w:tc>
        <w:tc>
          <w:tcPr>
            <w:tcW w:w="1373" w:type="dxa"/>
          </w:tcPr>
          <w:p w14:paraId="743DCE43"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L</w:t>
            </w:r>
            <w:r w:rsidRPr="009E033F">
              <w:rPr>
                <w:rFonts w:ascii="Arial" w:hAnsi="Arial" w:cs="Arial"/>
                <w:sz w:val="16"/>
                <w:szCs w:val="16"/>
              </w:rPr>
              <w:t>ikely</w:t>
            </w:r>
          </w:p>
        </w:tc>
        <w:tc>
          <w:tcPr>
            <w:tcW w:w="1373" w:type="dxa"/>
          </w:tcPr>
          <w:p w14:paraId="021EDA2D" w14:textId="77777777" w:rsidR="009E033F" w:rsidRPr="009E033F" w:rsidRDefault="009E033F" w:rsidP="00C90DA9">
            <w:pPr>
              <w:spacing w:after="160" w:line="259" w:lineRule="auto"/>
              <w:rPr>
                <w:rFonts w:ascii="Arial" w:hAnsi="Arial" w:cs="Arial"/>
                <w:sz w:val="16"/>
                <w:szCs w:val="16"/>
              </w:rPr>
            </w:pPr>
            <w:r w:rsidRPr="009E033F">
              <w:rPr>
                <w:rFonts w:ascii="Arial" w:hAnsi="Arial" w:cs="Arial" w:hint="eastAsia"/>
                <w:sz w:val="16"/>
                <w:szCs w:val="16"/>
              </w:rPr>
              <w:t>A</w:t>
            </w:r>
            <w:r w:rsidRPr="009E033F">
              <w:rPr>
                <w:rFonts w:ascii="Arial" w:hAnsi="Arial" w:cs="Arial"/>
                <w:sz w:val="16"/>
                <w:szCs w:val="16"/>
              </w:rPr>
              <w:t>lmost Certain</w:t>
            </w:r>
          </w:p>
        </w:tc>
      </w:tr>
    </w:tbl>
    <w:p w14:paraId="71F74A63" w14:textId="7766FD49" w:rsidR="009E033F" w:rsidRDefault="009E033F" w:rsidP="009E033F">
      <w:pPr>
        <w:ind w:firstLineChars="1600" w:firstLine="3360"/>
        <w:rPr>
          <w:rFonts w:hint="eastAsia"/>
        </w:rPr>
      </w:pPr>
      <w:r>
        <w:t>Table 2-</w:t>
      </w:r>
      <w:r>
        <w:t>3</w:t>
      </w:r>
      <w:r>
        <w:t xml:space="preserve"> r</w:t>
      </w:r>
      <w:r w:rsidRPr="00F25E96">
        <w:t>isk assessment table</w:t>
      </w:r>
    </w:p>
    <w:p w14:paraId="5FBBE1FC" w14:textId="77777777" w:rsidR="009E033F" w:rsidRDefault="009E033F" w:rsidP="009E033F">
      <w:r>
        <w:t>Evaluate the possible risks according to the risk table, and the aspects to be evaluated include</w:t>
      </w:r>
    </w:p>
    <w:p w14:paraId="45D96F11" w14:textId="77777777" w:rsidR="009E033F" w:rsidRDefault="009E033F" w:rsidP="009E033F">
      <w:r>
        <w:t>Physical security risk</w:t>
      </w:r>
    </w:p>
    <w:p w14:paraId="4186B5F1" w14:textId="77777777" w:rsidR="009E033F" w:rsidRDefault="009E033F" w:rsidP="009E033F">
      <w:pPr>
        <w:pStyle w:val="a6"/>
        <w:numPr>
          <w:ilvl w:val="0"/>
          <w:numId w:val="3"/>
        </w:numPr>
        <w:ind w:firstLineChars="0"/>
      </w:pPr>
      <w:r>
        <w:t>Safety risks caused by personnel entering and leaving the machine room at will</w:t>
      </w:r>
    </w:p>
    <w:p w14:paraId="67FEC56D" w14:textId="0B658870" w:rsidR="009E033F" w:rsidRDefault="009E033F" w:rsidP="009E033F">
      <w:pPr>
        <w:pStyle w:val="a6"/>
        <w:numPr>
          <w:ilvl w:val="0"/>
          <w:numId w:val="3"/>
        </w:numPr>
        <w:ind w:firstLineChars="0"/>
      </w:pPr>
      <w:r>
        <w:t>Anti</w:t>
      </w:r>
      <w:r>
        <w:t>-</w:t>
      </w:r>
      <w:r>
        <w:t>theft measures in the computer room do lead to the risk of equipment theft and damage</w:t>
      </w:r>
    </w:p>
    <w:p w14:paraId="33E8CF80" w14:textId="77777777" w:rsidR="009E033F" w:rsidRDefault="009E033F" w:rsidP="009E033F">
      <w:pPr>
        <w:pStyle w:val="a6"/>
        <w:numPr>
          <w:ilvl w:val="0"/>
          <w:numId w:val="3"/>
        </w:numPr>
        <w:ind w:firstLineChars="0"/>
      </w:pPr>
      <w:r>
        <w:t>Risks of equipment room facilities caused by temperature and humidity exceeding the allowable range</w:t>
      </w:r>
    </w:p>
    <w:p w14:paraId="056D205E" w14:textId="77777777" w:rsidR="009E033F" w:rsidRDefault="009E033F" w:rsidP="009E033F">
      <w:pPr>
        <w:pStyle w:val="a6"/>
        <w:numPr>
          <w:ilvl w:val="0"/>
          <w:numId w:val="3"/>
        </w:numPr>
        <w:ind w:firstLineChars="0"/>
      </w:pPr>
      <w:r>
        <w:t>Risks caused by equipment stop operation due to failure of power supply facilities in machine room</w:t>
      </w:r>
    </w:p>
    <w:p w14:paraId="467F78D6" w14:textId="77777777" w:rsidR="009E033F" w:rsidRDefault="009E033F" w:rsidP="009E033F">
      <w:pPr>
        <w:pStyle w:val="a6"/>
        <w:numPr>
          <w:ilvl w:val="0"/>
          <w:numId w:val="3"/>
        </w:numPr>
        <w:ind w:firstLineChars="0"/>
      </w:pPr>
      <w:r>
        <w:t xml:space="preserve">Risks caused by natural disasters, such as earthquake, fire, lightning, </w:t>
      </w:r>
      <w:proofErr w:type="spellStart"/>
      <w:r>
        <w:t>etc</w:t>
      </w:r>
      <w:proofErr w:type="spellEnd"/>
    </w:p>
    <w:p w14:paraId="234B768C" w14:textId="77777777" w:rsidR="009E033F" w:rsidRDefault="009E033F" w:rsidP="009E033F">
      <w:pPr>
        <w:pStyle w:val="a6"/>
        <w:numPr>
          <w:ilvl w:val="0"/>
          <w:numId w:val="3"/>
        </w:numPr>
        <w:ind w:firstLineChars="0"/>
      </w:pPr>
      <w:r>
        <w:t>Electromagnetic interference risk</w:t>
      </w:r>
    </w:p>
    <w:p w14:paraId="3763B23B" w14:textId="278D2D7B" w:rsidR="009E033F" w:rsidRDefault="009E033F" w:rsidP="009E033F">
      <w:r>
        <w:t>Calculate environmental security risks</w:t>
      </w:r>
      <w:r>
        <w:rPr>
          <w:rFonts w:hint="eastAsia"/>
        </w:rPr>
        <w:t>,</w:t>
      </w:r>
      <w:r>
        <w:t xml:space="preserve"> t</w:t>
      </w:r>
      <w:r>
        <w:t xml:space="preserve">he </w:t>
      </w:r>
      <w:r>
        <w:t xml:space="preserve">aspects </w:t>
      </w:r>
      <w:r>
        <w:t>to be evaluated here include</w:t>
      </w:r>
    </w:p>
    <w:p w14:paraId="06B94C4A" w14:textId="77777777" w:rsidR="009E033F" w:rsidRPr="009E033F" w:rsidRDefault="009E033F" w:rsidP="009E033F">
      <w:pPr>
        <w:pStyle w:val="a6"/>
        <w:numPr>
          <w:ilvl w:val="0"/>
          <w:numId w:val="5"/>
        </w:numPr>
        <w:ind w:firstLineChars="0"/>
        <w:rPr>
          <w:color w:val="000000" w:themeColor="text1"/>
        </w:rPr>
      </w:pPr>
      <w:r w:rsidRPr="009E033F">
        <w:rPr>
          <w:color w:val="000000" w:themeColor="text1"/>
        </w:rPr>
        <w:t>Identity authentication</w:t>
      </w:r>
    </w:p>
    <w:p w14:paraId="0DB077F8" w14:textId="77777777" w:rsidR="009E033F" w:rsidRDefault="009E033F" w:rsidP="009E033F">
      <w:pPr>
        <w:pStyle w:val="a6"/>
        <w:numPr>
          <w:ilvl w:val="0"/>
          <w:numId w:val="5"/>
        </w:numPr>
        <w:ind w:firstLineChars="0"/>
      </w:pPr>
      <w:r>
        <w:t>Access control system audit</w:t>
      </w:r>
    </w:p>
    <w:p w14:paraId="45F72AB4" w14:textId="77777777" w:rsidR="009E033F" w:rsidRDefault="009E033F" w:rsidP="009E033F">
      <w:pPr>
        <w:pStyle w:val="a6"/>
        <w:numPr>
          <w:ilvl w:val="0"/>
          <w:numId w:val="5"/>
        </w:numPr>
        <w:ind w:firstLineChars="0"/>
      </w:pPr>
      <w:r>
        <w:t>Intrusion Prevention</w:t>
      </w:r>
    </w:p>
    <w:p w14:paraId="362E0B6A" w14:textId="77777777" w:rsidR="009E033F" w:rsidRDefault="009E033F" w:rsidP="009E033F">
      <w:pPr>
        <w:pStyle w:val="a6"/>
        <w:numPr>
          <w:ilvl w:val="0"/>
          <w:numId w:val="5"/>
        </w:numPr>
        <w:ind w:firstLineChars="0"/>
      </w:pPr>
      <w:r>
        <w:t>Software fault tolerance</w:t>
      </w:r>
    </w:p>
    <w:p w14:paraId="1F78BB0D" w14:textId="77777777" w:rsidR="009E033F" w:rsidRDefault="009E033F" w:rsidP="009E033F">
      <w:pPr>
        <w:pStyle w:val="a6"/>
        <w:numPr>
          <w:ilvl w:val="0"/>
          <w:numId w:val="5"/>
        </w:numPr>
        <w:ind w:firstLineChars="0"/>
      </w:pPr>
      <w:r>
        <w:t>Data integrity</w:t>
      </w:r>
    </w:p>
    <w:p w14:paraId="75AC9785" w14:textId="1BDB8248" w:rsidR="009E033F" w:rsidRDefault="009E033F" w:rsidP="009E033F">
      <w:pPr>
        <w:pStyle w:val="a6"/>
        <w:numPr>
          <w:ilvl w:val="0"/>
          <w:numId w:val="5"/>
        </w:numPr>
        <w:ind w:firstLineChars="0"/>
      </w:pPr>
      <w:r>
        <w:t>Backup and recovery</w:t>
      </w:r>
    </w:p>
    <w:p w14:paraId="4F21D407" w14:textId="0234119C" w:rsidR="009E033F" w:rsidRDefault="009E033F" w:rsidP="009E033F">
      <w:pPr>
        <w:pStyle w:val="a6"/>
        <w:numPr>
          <w:ilvl w:val="0"/>
          <w:numId w:val="5"/>
        </w:numPr>
        <w:ind w:firstLineChars="0"/>
      </w:pPr>
      <w:r>
        <w:t>Etc.</w:t>
      </w:r>
    </w:p>
    <w:p w14:paraId="4F102B9A" w14:textId="77777777" w:rsidR="009E033F" w:rsidRDefault="009E033F" w:rsidP="009E033F">
      <w:r>
        <w:t>Regional border security risk</w:t>
      </w:r>
    </w:p>
    <w:p w14:paraId="3A6593D4" w14:textId="77777777" w:rsidR="009E033F" w:rsidRDefault="009E033F" w:rsidP="009E033F">
      <w:pPr>
        <w:pStyle w:val="a6"/>
        <w:numPr>
          <w:ilvl w:val="0"/>
          <w:numId w:val="6"/>
        </w:numPr>
        <w:ind w:firstLineChars="0"/>
      </w:pPr>
      <w:r>
        <w:t>Border access control</w:t>
      </w:r>
    </w:p>
    <w:p w14:paraId="65E50088" w14:textId="77777777" w:rsidR="009E033F" w:rsidRDefault="009E033F" w:rsidP="009E033F">
      <w:pPr>
        <w:pStyle w:val="a6"/>
        <w:numPr>
          <w:ilvl w:val="0"/>
          <w:numId w:val="6"/>
        </w:numPr>
        <w:ind w:firstLineChars="0"/>
      </w:pPr>
      <w:r>
        <w:lastRenderedPageBreak/>
        <w:t>Boundary integrity detection</w:t>
      </w:r>
    </w:p>
    <w:p w14:paraId="1D525D6A" w14:textId="77777777" w:rsidR="009E033F" w:rsidRDefault="009E033F" w:rsidP="009E033F">
      <w:pPr>
        <w:pStyle w:val="a6"/>
        <w:numPr>
          <w:ilvl w:val="0"/>
          <w:numId w:val="6"/>
        </w:numPr>
        <w:ind w:firstLineChars="0"/>
      </w:pPr>
      <w:r>
        <w:t>Border intrusion prevention</w:t>
      </w:r>
    </w:p>
    <w:p w14:paraId="7BD67695" w14:textId="31DE7897" w:rsidR="009E033F" w:rsidRDefault="009E033F" w:rsidP="009E033F">
      <w:pPr>
        <w:pStyle w:val="a6"/>
        <w:numPr>
          <w:ilvl w:val="0"/>
          <w:numId w:val="6"/>
        </w:numPr>
        <w:ind w:firstLineChars="0"/>
      </w:pPr>
      <w:r>
        <w:t>Border security audit</w:t>
      </w:r>
    </w:p>
    <w:p w14:paraId="3EC5013D" w14:textId="74D997A3" w:rsidR="009E033F" w:rsidRDefault="009E033F" w:rsidP="009E033F">
      <w:pPr>
        <w:pStyle w:val="a6"/>
        <w:numPr>
          <w:ilvl w:val="0"/>
          <w:numId w:val="6"/>
        </w:numPr>
        <w:ind w:firstLineChars="0"/>
      </w:pPr>
      <w:r>
        <w:t>Etc.</w:t>
      </w:r>
    </w:p>
    <w:p w14:paraId="4FED785E" w14:textId="0B17FA00" w:rsidR="009E033F" w:rsidRDefault="009E033F" w:rsidP="009E033F">
      <w:r>
        <w:t>Communication network security risk</w:t>
      </w:r>
    </w:p>
    <w:p w14:paraId="642F8656" w14:textId="77777777" w:rsidR="009E033F" w:rsidRDefault="009E033F" w:rsidP="009E033F">
      <w:pPr>
        <w:pStyle w:val="a6"/>
        <w:numPr>
          <w:ilvl w:val="0"/>
          <w:numId w:val="7"/>
        </w:numPr>
        <w:ind w:firstLineChars="0"/>
      </w:pPr>
      <w:r>
        <w:t>network structure</w:t>
      </w:r>
    </w:p>
    <w:p w14:paraId="0E41896E" w14:textId="77777777" w:rsidR="009E033F" w:rsidRDefault="009E033F" w:rsidP="009E033F">
      <w:pPr>
        <w:pStyle w:val="a6"/>
        <w:numPr>
          <w:ilvl w:val="0"/>
          <w:numId w:val="7"/>
        </w:numPr>
        <w:ind w:firstLineChars="0"/>
      </w:pPr>
      <w:r>
        <w:t>Network security audit</w:t>
      </w:r>
    </w:p>
    <w:p w14:paraId="034201EE" w14:textId="77777777" w:rsidR="009E033F" w:rsidRDefault="009E033F" w:rsidP="009E033F">
      <w:pPr>
        <w:pStyle w:val="a6"/>
        <w:numPr>
          <w:ilvl w:val="0"/>
          <w:numId w:val="7"/>
        </w:numPr>
        <w:ind w:firstLineChars="0"/>
      </w:pPr>
      <w:r>
        <w:t>Network equipment protection</w:t>
      </w:r>
    </w:p>
    <w:p w14:paraId="1650A715" w14:textId="77777777" w:rsidR="009E033F" w:rsidRDefault="009E033F" w:rsidP="009E033F">
      <w:pPr>
        <w:pStyle w:val="a6"/>
        <w:numPr>
          <w:ilvl w:val="0"/>
          <w:numId w:val="7"/>
        </w:numPr>
        <w:ind w:firstLineChars="0"/>
      </w:pPr>
      <w:r>
        <w:t>Communication integrity and confidentiality</w:t>
      </w:r>
    </w:p>
    <w:p w14:paraId="580723A5" w14:textId="66D45186" w:rsidR="009E033F" w:rsidRDefault="009E033F" w:rsidP="009E033F">
      <w:pPr>
        <w:pStyle w:val="a6"/>
        <w:numPr>
          <w:ilvl w:val="0"/>
          <w:numId w:val="7"/>
        </w:numPr>
        <w:ind w:firstLineChars="0"/>
      </w:pPr>
      <w:r>
        <w:t>Etc.</w:t>
      </w:r>
    </w:p>
    <w:p w14:paraId="46FCB731" w14:textId="77777777" w:rsidR="00DD6506" w:rsidRPr="00DD6506" w:rsidRDefault="00DD6506" w:rsidP="00DD6506">
      <w:pPr>
        <w:pStyle w:val="3"/>
      </w:pPr>
      <w:r w:rsidRPr="00DD6506">
        <w:rPr>
          <w:rFonts w:hint="eastAsia"/>
        </w:rPr>
        <w:t>R</w:t>
      </w:r>
      <w:r w:rsidRPr="00DD6506">
        <w:t xml:space="preserve">isk </w:t>
      </w:r>
      <w:r w:rsidRPr="00DD6506">
        <w:rPr>
          <w:rFonts w:hint="eastAsia"/>
        </w:rPr>
        <w:t>Treatment</w:t>
      </w:r>
    </w:p>
    <w:p w14:paraId="7A48694D" w14:textId="70777711" w:rsidR="00DD6506" w:rsidRDefault="00DD6506" w:rsidP="00DD6506">
      <w:r w:rsidRPr="00DD6506">
        <w:t>After a complete assessment of all aspects of risks, it is necessary to formulate governance strategies for risks. The process of risk governance is shown in the following figure</w:t>
      </w:r>
      <w:r>
        <w:t xml:space="preserve"> 2-2</w:t>
      </w:r>
      <w:r w:rsidRPr="00DD6506">
        <w:t>. Here, iso</w:t>
      </w:r>
      <w:r>
        <w:t xml:space="preserve"> </w:t>
      </w:r>
      <w:r w:rsidRPr="00DD6506">
        <w:t>27005 information security risk management process in ISO 27000 series is selected</w:t>
      </w:r>
    </w:p>
    <w:p w14:paraId="646D12FA" w14:textId="77777777" w:rsidR="00DD6506" w:rsidRDefault="00DD6506" w:rsidP="00DD6506">
      <w:r>
        <w:rPr>
          <w:noProof/>
        </w:rPr>
        <w:drawing>
          <wp:inline distT="0" distB="0" distL="0" distR="0" wp14:anchorId="3FB1E102" wp14:editId="32AE2436">
            <wp:extent cx="3780692" cy="2547103"/>
            <wp:effectExtent l="0" t="0" r="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9125" cy="2552785"/>
                    </a:xfrm>
                    <a:prstGeom prst="rect">
                      <a:avLst/>
                    </a:prstGeom>
                  </pic:spPr>
                </pic:pic>
              </a:graphicData>
            </a:graphic>
          </wp:inline>
        </w:drawing>
      </w:r>
    </w:p>
    <w:p w14:paraId="43C5B713" w14:textId="3F5B88BD" w:rsidR="00DD6506" w:rsidRDefault="00DD6506" w:rsidP="00DD6506">
      <w:pPr>
        <w:ind w:firstLineChars="250" w:firstLine="525"/>
      </w:pPr>
      <w:r>
        <w:rPr>
          <w:rFonts w:hint="eastAsia"/>
        </w:rPr>
        <w:t>F</w:t>
      </w:r>
      <w:r>
        <w:t>igure 2-2  ISO 27005 risk treatment process</w:t>
      </w:r>
    </w:p>
    <w:p w14:paraId="2C6FB805" w14:textId="77777777" w:rsidR="00DD6506" w:rsidRDefault="00DD6506" w:rsidP="00DD6506">
      <w:pPr>
        <w:pStyle w:val="2"/>
      </w:pPr>
      <w:r>
        <w:rPr>
          <w:rFonts w:hint="eastAsia"/>
        </w:rPr>
        <w:t>C</w:t>
      </w:r>
      <w:r>
        <w:t>ontingencies planning</w:t>
      </w:r>
    </w:p>
    <w:p w14:paraId="3599A283" w14:textId="3D0C705F" w:rsidR="00DD6506" w:rsidRDefault="00DD6506" w:rsidP="00DD6506">
      <w:r w:rsidRPr="00DD6506">
        <w:t>It is also necessary to formulate emergency response. In many cases, some crises are sudden, such as natural disasters, human operation errors, etc. if there is no pre-determined measures to deal with the emergency, it is easy to cause a large number of losses or even bankruptcy of the company after the emergency.</w:t>
      </w:r>
    </w:p>
    <w:p w14:paraId="213FD257" w14:textId="00A311E2" w:rsidR="00D756EC" w:rsidRDefault="00D756EC" w:rsidP="00DD6506">
      <w:r>
        <w:rPr>
          <w:noProof/>
        </w:rPr>
        <w:lastRenderedPageBreak/>
        <w:drawing>
          <wp:inline distT="0" distB="0" distL="0" distR="0" wp14:anchorId="317FEA0C" wp14:editId="13428BCE">
            <wp:extent cx="2380120" cy="1893277"/>
            <wp:effectExtent l="0" t="0" r="127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89030" cy="1900365"/>
                    </a:xfrm>
                    <a:prstGeom prst="rect">
                      <a:avLst/>
                    </a:prstGeom>
                  </pic:spPr>
                </pic:pic>
              </a:graphicData>
            </a:graphic>
          </wp:inline>
        </w:drawing>
      </w:r>
    </w:p>
    <w:p w14:paraId="098305F0" w14:textId="1949049E" w:rsidR="00D756EC" w:rsidRDefault="00D756EC" w:rsidP="00DD6506">
      <w:pPr>
        <w:rPr>
          <w:rFonts w:hint="eastAsia"/>
        </w:rPr>
      </w:pPr>
      <w:r>
        <w:t>Figure 2-3 contingency planning hierarchies</w:t>
      </w:r>
    </w:p>
    <w:p w14:paraId="75798556" w14:textId="2142DC98" w:rsidR="00D756EC" w:rsidRDefault="00D756EC" w:rsidP="00DD6506">
      <w:r>
        <w:rPr>
          <w:noProof/>
        </w:rPr>
        <w:drawing>
          <wp:inline distT="0" distB="0" distL="0" distR="0" wp14:anchorId="6AB80DB6" wp14:editId="31F2F129">
            <wp:extent cx="2555631" cy="1950336"/>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72208" cy="1962986"/>
                    </a:xfrm>
                    <a:prstGeom prst="rect">
                      <a:avLst/>
                    </a:prstGeom>
                  </pic:spPr>
                </pic:pic>
              </a:graphicData>
            </a:graphic>
          </wp:inline>
        </w:drawing>
      </w:r>
    </w:p>
    <w:p w14:paraId="1D1579BB" w14:textId="53B1DA2E" w:rsidR="00D756EC" w:rsidRDefault="00D756EC" w:rsidP="00DD6506">
      <w:pPr>
        <w:rPr>
          <w:rFonts w:hint="eastAsia"/>
        </w:rPr>
      </w:pPr>
      <w:r>
        <w:rPr>
          <w:rFonts w:hint="eastAsia"/>
        </w:rPr>
        <w:t>F</w:t>
      </w:r>
      <w:r>
        <w:t>igure 2-4 contingency planning life cycle</w:t>
      </w:r>
    </w:p>
    <w:p w14:paraId="22C9D2C3" w14:textId="77777777" w:rsidR="00D756EC" w:rsidRDefault="00D756EC" w:rsidP="00D756EC">
      <w:pPr>
        <w:pStyle w:val="3"/>
      </w:pPr>
      <w:r>
        <w:rPr>
          <w:rFonts w:hint="eastAsia"/>
        </w:rPr>
        <w:t>Incident</w:t>
      </w:r>
      <w:r>
        <w:t xml:space="preserve"> </w:t>
      </w:r>
      <w:r>
        <w:rPr>
          <w:rFonts w:hint="eastAsia"/>
        </w:rPr>
        <w:t>response</w:t>
      </w:r>
    </w:p>
    <w:p w14:paraId="0FF6E1D0" w14:textId="77777777" w:rsidR="00D756EC" w:rsidRDefault="00D756EC" w:rsidP="00D756EC">
      <w:r>
        <w:t>Developing incident response is an effective way to deal with emergencies, which can effectively detect and respond to staff errors, service interruptions, natural disasters and other situations</w:t>
      </w:r>
    </w:p>
    <w:p w14:paraId="39A6BE72" w14:textId="58BB09DE" w:rsidR="00D756EC" w:rsidRPr="00D756EC" w:rsidRDefault="00D756EC" w:rsidP="00D756EC">
      <w:pPr>
        <w:rPr>
          <w:rFonts w:hint="eastAsia"/>
        </w:rPr>
      </w:pPr>
      <w:r>
        <w:t>According to NIST sp800 series framework in Task1,</w:t>
      </w:r>
      <w:r w:rsidRPr="00D756EC">
        <w:t xml:space="preserve"> </w:t>
      </w:r>
      <w:r>
        <w:t>t</w:t>
      </w:r>
      <w:r w:rsidRPr="00D756EC">
        <w:t xml:space="preserve">he flow of </w:t>
      </w:r>
      <w:r>
        <w:t>incident</w:t>
      </w:r>
      <w:r w:rsidRPr="00D756EC">
        <w:t xml:space="preserve"> response is as follows</w:t>
      </w:r>
    </w:p>
    <w:p w14:paraId="61DEE27E" w14:textId="015B936B" w:rsidR="00D756EC" w:rsidRDefault="00D756EC" w:rsidP="00D756EC">
      <w:pPr>
        <w:rPr>
          <w:lang w:val="en-GB"/>
        </w:rPr>
      </w:pPr>
      <w:r>
        <w:rPr>
          <w:noProof/>
        </w:rPr>
        <w:drawing>
          <wp:inline distT="0" distB="0" distL="0" distR="0" wp14:anchorId="6CEFEC53" wp14:editId="2FC2474F">
            <wp:extent cx="4032738" cy="2225384"/>
            <wp:effectExtent l="0" t="0" r="635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79640" cy="2251266"/>
                    </a:xfrm>
                    <a:prstGeom prst="rect">
                      <a:avLst/>
                    </a:prstGeom>
                  </pic:spPr>
                </pic:pic>
              </a:graphicData>
            </a:graphic>
          </wp:inline>
        </w:drawing>
      </w:r>
    </w:p>
    <w:p w14:paraId="313314F6" w14:textId="08C3A1C6" w:rsidR="00D756EC" w:rsidRPr="00D756EC" w:rsidRDefault="00D756EC" w:rsidP="00D756EC">
      <w:pPr>
        <w:rPr>
          <w:rFonts w:hint="eastAsia"/>
          <w:lang w:val="en-GB"/>
        </w:rPr>
      </w:pPr>
      <w:r>
        <w:rPr>
          <w:rFonts w:hint="eastAsia"/>
          <w:lang w:val="en-GB"/>
        </w:rPr>
        <w:t>F</w:t>
      </w:r>
      <w:r>
        <w:rPr>
          <w:lang w:val="en-GB"/>
        </w:rPr>
        <w:t xml:space="preserve">igure 2-5 NIST incident response life cycle </w:t>
      </w:r>
    </w:p>
    <w:p w14:paraId="3881F309" w14:textId="4B366B47" w:rsidR="00D756EC" w:rsidRPr="00352C68" w:rsidRDefault="00D234A8" w:rsidP="00D756EC">
      <w:pPr>
        <w:rPr>
          <w:rFonts w:hint="eastAsia"/>
        </w:rPr>
      </w:pPr>
      <w:r w:rsidRPr="00352C68">
        <w:t>The responsibility for creating an organization’s IR plan usually falls to the CISO, or an IT manager with security responsibilities</w:t>
      </w:r>
    </w:p>
    <w:p w14:paraId="6063E40A" w14:textId="77777777" w:rsidR="00352C68" w:rsidRPr="00352C68" w:rsidRDefault="00D234A8" w:rsidP="00D756EC">
      <w:r w:rsidRPr="00352C68">
        <w:lastRenderedPageBreak/>
        <w:t>According to NIST SP 800-61, Rev. 2, the IR plan includes:</w:t>
      </w:r>
    </w:p>
    <w:p w14:paraId="73302CB8" w14:textId="77777777" w:rsidR="00352C68" w:rsidRPr="00352C68" w:rsidRDefault="00D234A8" w:rsidP="00D756EC">
      <w:pPr>
        <w:pStyle w:val="a6"/>
        <w:numPr>
          <w:ilvl w:val="0"/>
          <w:numId w:val="8"/>
        </w:numPr>
        <w:ind w:firstLineChars="0"/>
      </w:pPr>
      <w:r w:rsidRPr="00352C68">
        <w:t>Mission</w:t>
      </w:r>
    </w:p>
    <w:p w14:paraId="1A308DED" w14:textId="77777777" w:rsidR="00352C68" w:rsidRPr="00352C68" w:rsidRDefault="00D234A8" w:rsidP="00D756EC">
      <w:pPr>
        <w:pStyle w:val="a6"/>
        <w:numPr>
          <w:ilvl w:val="0"/>
          <w:numId w:val="8"/>
        </w:numPr>
        <w:ind w:firstLineChars="0"/>
      </w:pPr>
      <w:r w:rsidRPr="00352C68">
        <w:t>Strategies and goals</w:t>
      </w:r>
    </w:p>
    <w:p w14:paraId="53C172F8" w14:textId="77777777" w:rsidR="00352C68" w:rsidRPr="00352C68" w:rsidRDefault="00D234A8" w:rsidP="00D756EC">
      <w:pPr>
        <w:pStyle w:val="a6"/>
        <w:numPr>
          <w:ilvl w:val="0"/>
          <w:numId w:val="8"/>
        </w:numPr>
        <w:ind w:firstLineChars="0"/>
      </w:pPr>
      <w:r w:rsidRPr="00352C68">
        <w:t>Senior management approval</w:t>
      </w:r>
    </w:p>
    <w:p w14:paraId="3F6484F0" w14:textId="77777777" w:rsidR="00352C68" w:rsidRPr="00352C68" w:rsidRDefault="00D234A8" w:rsidP="00D756EC">
      <w:pPr>
        <w:pStyle w:val="a6"/>
        <w:numPr>
          <w:ilvl w:val="0"/>
          <w:numId w:val="8"/>
        </w:numPr>
        <w:ind w:firstLineChars="0"/>
      </w:pPr>
      <w:r w:rsidRPr="00352C68">
        <w:t>Organizational approach to incident response</w:t>
      </w:r>
    </w:p>
    <w:p w14:paraId="0E4CB3CC" w14:textId="77777777" w:rsidR="00352C68" w:rsidRPr="00352C68" w:rsidRDefault="00D234A8" w:rsidP="00D756EC">
      <w:pPr>
        <w:pStyle w:val="a6"/>
        <w:numPr>
          <w:ilvl w:val="0"/>
          <w:numId w:val="8"/>
        </w:numPr>
        <w:ind w:firstLineChars="0"/>
      </w:pPr>
      <w:r w:rsidRPr="00352C68">
        <w:t>How the incident response team will communicate</w:t>
      </w:r>
    </w:p>
    <w:p w14:paraId="2F9A4CF6" w14:textId="77777777" w:rsidR="00352C68" w:rsidRPr="00352C68" w:rsidRDefault="00D234A8" w:rsidP="00D756EC">
      <w:pPr>
        <w:pStyle w:val="a6"/>
        <w:numPr>
          <w:ilvl w:val="0"/>
          <w:numId w:val="8"/>
        </w:numPr>
        <w:ind w:firstLineChars="0"/>
      </w:pPr>
      <w:r w:rsidRPr="00352C68">
        <w:t>Metrics for measuring i</w:t>
      </w:r>
      <w:r w:rsidRPr="00352C68">
        <w:t>ncident response capability and effectiveness</w:t>
      </w:r>
    </w:p>
    <w:p w14:paraId="4D874784" w14:textId="77777777" w:rsidR="00352C68" w:rsidRPr="00352C68" w:rsidRDefault="00D234A8" w:rsidP="00D756EC">
      <w:pPr>
        <w:pStyle w:val="a6"/>
        <w:numPr>
          <w:ilvl w:val="0"/>
          <w:numId w:val="8"/>
        </w:numPr>
        <w:ind w:firstLineChars="0"/>
      </w:pPr>
      <w:r w:rsidRPr="00352C68">
        <w:t>Roadmap for maturing incident response capability</w:t>
      </w:r>
    </w:p>
    <w:p w14:paraId="59CF7E19" w14:textId="77777777" w:rsidR="00352C68" w:rsidRPr="00352C68" w:rsidRDefault="00D234A8" w:rsidP="00D756EC">
      <w:pPr>
        <w:pStyle w:val="a6"/>
        <w:numPr>
          <w:ilvl w:val="0"/>
          <w:numId w:val="8"/>
        </w:numPr>
        <w:ind w:firstLineChars="0"/>
      </w:pPr>
      <w:r w:rsidRPr="00352C68">
        <w:t>How the program fits into the overall organization</w:t>
      </w:r>
    </w:p>
    <w:p w14:paraId="507496E8" w14:textId="0C56C952" w:rsidR="00D756EC" w:rsidRDefault="00D756EC" w:rsidP="00D756EC">
      <w:pPr>
        <w:pStyle w:val="3"/>
        <w:rPr>
          <w:lang w:val="en-GB"/>
        </w:rPr>
      </w:pPr>
      <w:r w:rsidRPr="00D756EC">
        <w:rPr>
          <w:lang w:val="en-GB"/>
        </w:rPr>
        <w:t>Disaster Recovery</w:t>
      </w:r>
    </w:p>
    <w:p w14:paraId="77E772A3" w14:textId="77777777" w:rsidR="00D756EC" w:rsidRDefault="00D756EC" w:rsidP="00D756EC">
      <w:pPr>
        <w:rPr>
          <w:lang w:val="en-GB"/>
        </w:rPr>
      </w:pPr>
      <w:r w:rsidRPr="00D756EC">
        <w:rPr>
          <w:lang w:val="en-GB"/>
        </w:rPr>
        <w:t xml:space="preserve">Disasters can be divided into </w:t>
      </w:r>
    </w:p>
    <w:p w14:paraId="70301C67" w14:textId="7BAD5E35" w:rsidR="00D756EC" w:rsidRPr="00D756EC" w:rsidRDefault="00D756EC" w:rsidP="00D756EC">
      <w:pPr>
        <w:pStyle w:val="a6"/>
        <w:numPr>
          <w:ilvl w:val="0"/>
          <w:numId w:val="9"/>
        </w:numPr>
        <w:ind w:firstLineChars="0"/>
        <w:rPr>
          <w:lang w:val="en-GB"/>
        </w:rPr>
      </w:pPr>
      <w:r>
        <w:rPr>
          <w:lang w:val="en-GB"/>
        </w:rPr>
        <w:t>N</w:t>
      </w:r>
      <w:r w:rsidRPr="00D756EC">
        <w:rPr>
          <w:lang w:val="en-GB"/>
        </w:rPr>
        <w:t>atural disasters</w:t>
      </w:r>
    </w:p>
    <w:p w14:paraId="00BE9089" w14:textId="77777777" w:rsidR="00D756EC" w:rsidRPr="00D756EC" w:rsidRDefault="00D756EC" w:rsidP="00D756EC">
      <w:pPr>
        <w:pStyle w:val="a6"/>
        <w:numPr>
          <w:ilvl w:val="0"/>
          <w:numId w:val="9"/>
        </w:numPr>
        <w:ind w:firstLineChars="0"/>
        <w:rPr>
          <w:lang w:val="en-GB"/>
        </w:rPr>
      </w:pPr>
      <w:r w:rsidRPr="00D756EC">
        <w:rPr>
          <w:lang w:val="en-GB"/>
        </w:rPr>
        <w:t>Man-made disasters</w:t>
      </w:r>
    </w:p>
    <w:p w14:paraId="29BB87A7" w14:textId="77777777" w:rsidR="00D756EC" w:rsidRPr="00D756EC" w:rsidRDefault="00D756EC" w:rsidP="00D756EC">
      <w:pPr>
        <w:rPr>
          <w:lang w:val="en-GB"/>
        </w:rPr>
      </w:pPr>
      <w:r w:rsidRPr="00D756EC">
        <w:rPr>
          <w:lang w:val="en-GB"/>
        </w:rPr>
        <w:t>According to the development speed of the disaster, it can be divided into</w:t>
      </w:r>
    </w:p>
    <w:p w14:paraId="1A4FC7C5" w14:textId="49B80CB3" w:rsidR="00D756EC" w:rsidRPr="00D756EC" w:rsidRDefault="00D756EC" w:rsidP="00D756EC">
      <w:pPr>
        <w:pStyle w:val="a6"/>
        <w:numPr>
          <w:ilvl w:val="0"/>
          <w:numId w:val="10"/>
        </w:numPr>
        <w:ind w:firstLineChars="0"/>
        <w:rPr>
          <w:lang w:val="en-GB"/>
        </w:rPr>
      </w:pPr>
      <w:r w:rsidRPr="00D756EC">
        <w:rPr>
          <w:lang w:val="en-GB"/>
        </w:rPr>
        <w:t>Rapid onset disasters</w:t>
      </w:r>
    </w:p>
    <w:p w14:paraId="7875F6B9" w14:textId="111005C0" w:rsidR="00D756EC" w:rsidRPr="00D756EC" w:rsidRDefault="00D756EC" w:rsidP="00D756EC">
      <w:pPr>
        <w:pStyle w:val="a6"/>
        <w:numPr>
          <w:ilvl w:val="0"/>
          <w:numId w:val="10"/>
        </w:numPr>
        <w:ind w:firstLineChars="0"/>
        <w:rPr>
          <w:rFonts w:hint="eastAsia"/>
          <w:lang w:val="en-GB"/>
        </w:rPr>
      </w:pPr>
      <w:r w:rsidRPr="00D756EC">
        <w:rPr>
          <w:lang w:val="en-GB"/>
        </w:rPr>
        <w:t>Slow onset disasters</w:t>
      </w:r>
    </w:p>
    <w:p w14:paraId="574292A7" w14:textId="6BC49FDC" w:rsidR="00D756EC" w:rsidRPr="00D756EC" w:rsidRDefault="00D756EC" w:rsidP="00D756EC">
      <w:r w:rsidRPr="00D756EC">
        <w:t>To deal with different disasters, different Dr plans should be formulated. The basic Dr plan elements are</w:t>
      </w:r>
    </w:p>
    <w:p w14:paraId="24F29113" w14:textId="77777777" w:rsidR="00F24CD8" w:rsidRPr="00F24CD8" w:rsidRDefault="00D234A8" w:rsidP="00D756EC">
      <w:pPr>
        <w:pStyle w:val="a6"/>
        <w:numPr>
          <w:ilvl w:val="0"/>
          <w:numId w:val="12"/>
        </w:numPr>
        <w:ind w:firstLineChars="0"/>
      </w:pPr>
      <w:r w:rsidRPr="00F24CD8">
        <w:t>Name of agency</w:t>
      </w:r>
    </w:p>
    <w:p w14:paraId="08B45AF3" w14:textId="77777777" w:rsidR="00F24CD8" w:rsidRPr="00F24CD8" w:rsidRDefault="00D234A8" w:rsidP="00D756EC">
      <w:pPr>
        <w:pStyle w:val="a6"/>
        <w:numPr>
          <w:ilvl w:val="0"/>
          <w:numId w:val="12"/>
        </w:numPr>
        <w:ind w:firstLineChars="0"/>
      </w:pPr>
      <w:r w:rsidRPr="00F24CD8">
        <w:t>Date of completion or update of the plan and the date of the most recent test</w:t>
      </w:r>
    </w:p>
    <w:p w14:paraId="0A11D5FA" w14:textId="77777777" w:rsidR="00F24CD8" w:rsidRPr="00F24CD8" w:rsidRDefault="00D234A8" w:rsidP="00D756EC">
      <w:pPr>
        <w:pStyle w:val="a6"/>
        <w:numPr>
          <w:ilvl w:val="0"/>
          <w:numId w:val="12"/>
        </w:numPr>
        <w:ind w:firstLineChars="0"/>
      </w:pPr>
      <w:r w:rsidRPr="00F24CD8">
        <w:t>Agency staff to be called in the event</w:t>
      </w:r>
      <w:r w:rsidRPr="00F24CD8">
        <w:t xml:space="preserve"> of a disaster</w:t>
      </w:r>
    </w:p>
    <w:p w14:paraId="694A860D" w14:textId="77777777" w:rsidR="00F24CD8" w:rsidRPr="00F24CD8" w:rsidRDefault="00D234A8" w:rsidP="00D756EC">
      <w:pPr>
        <w:pStyle w:val="a6"/>
        <w:numPr>
          <w:ilvl w:val="0"/>
          <w:numId w:val="12"/>
        </w:numPr>
        <w:ind w:firstLineChars="0"/>
      </w:pPr>
      <w:r w:rsidRPr="00F24CD8">
        <w:t>Emergency services to be called (if needed) in event of a disaster</w:t>
      </w:r>
    </w:p>
    <w:p w14:paraId="6B057D55" w14:textId="77777777" w:rsidR="00F24CD8" w:rsidRPr="00F24CD8" w:rsidRDefault="00D234A8" w:rsidP="00D756EC">
      <w:pPr>
        <w:pStyle w:val="a6"/>
        <w:numPr>
          <w:ilvl w:val="0"/>
          <w:numId w:val="12"/>
        </w:numPr>
        <w:ind w:firstLineChars="0"/>
      </w:pPr>
      <w:r w:rsidRPr="00F24CD8">
        <w:t>Locations of in-house emergency equipment and supplies</w:t>
      </w:r>
    </w:p>
    <w:p w14:paraId="4CA61333" w14:textId="77777777" w:rsidR="00F24CD8" w:rsidRPr="00F24CD8" w:rsidRDefault="00D234A8" w:rsidP="00D756EC">
      <w:pPr>
        <w:pStyle w:val="a6"/>
        <w:numPr>
          <w:ilvl w:val="0"/>
          <w:numId w:val="12"/>
        </w:numPr>
        <w:ind w:firstLineChars="0"/>
      </w:pPr>
      <w:r w:rsidRPr="00F24CD8">
        <w:t>Sources of off-site equipment and supplies</w:t>
      </w:r>
    </w:p>
    <w:p w14:paraId="1A3B65F8" w14:textId="77777777" w:rsidR="00F24CD8" w:rsidRPr="00F24CD8" w:rsidRDefault="00D234A8" w:rsidP="00D756EC">
      <w:pPr>
        <w:pStyle w:val="a6"/>
        <w:numPr>
          <w:ilvl w:val="0"/>
          <w:numId w:val="12"/>
        </w:numPr>
        <w:ind w:firstLineChars="0"/>
      </w:pPr>
      <w:r w:rsidRPr="00F24CD8">
        <w:t>Salvage priority list</w:t>
      </w:r>
    </w:p>
    <w:p w14:paraId="73C397C8" w14:textId="77777777" w:rsidR="00F24CD8" w:rsidRPr="00F24CD8" w:rsidRDefault="00D234A8" w:rsidP="00D756EC">
      <w:pPr>
        <w:pStyle w:val="a6"/>
        <w:numPr>
          <w:ilvl w:val="0"/>
          <w:numId w:val="12"/>
        </w:numPr>
        <w:ind w:firstLineChars="0"/>
      </w:pPr>
      <w:r w:rsidRPr="00F24CD8">
        <w:t>Agency disaster recovery procedures</w:t>
      </w:r>
    </w:p>
    <w:p w14:paraId="31A2D8CE" w14:textId="41019572" w:rsidR="00D756EC" w:rsidRDefault="00D234A8" w:rsidP="00D756EC">
      <w:pPr>
        <w:pStyle w:val="a6"/>
        <w:numPr>
          <w:ilvl w:val="0"/>
          <w:numId w:val="12"/>
        </w:numPr>
        <w:ind w:firstLineChars="0"/>
      </w:pPr>
      <w:r w:rsidRPr="00F24CD8">
        <w:t>Follow-up assessment</w:t>
      </w:r>
    </w:p>
    <w:p w14:paraId="0CEAF59D" w14:textId="77777777" w:rsidR="00F24CD8" w:rsidRPr="00D756EC" w:rsidRDefault="00D756EC" w:rsidP="00D756EC">
      <w:pPr>
        <w:pStyle w:val="3"/>
      </w:pPr>
      <w:r w:rsidRPr="00D756EC">
        <w:rPr>
          <w:lang w:val="en-GB"/>
        </w:rPr>
        <w:t>Business Continuity Planning (BCP)</w:t>
      </w:r>
    </w:p>
    <w:p w14:paraId="74CF0B15" w14:textId="6D91D769" w:rsidR="00D756EC" w:rsidRDefault="00D756EC" w:rsidP="00D756EC">
      <w:r w:rsidRPr="00D756EC">
        <w:t>Sometimes the disaster is too serious for the company to continue to operate in common office places, so business continuity planning (BCP) is also required</w:t>
      </w:r>
    </w:p>
    <w:p w14:paraId="20D0A988" w14:textId="48E05F8C" w:rsidR="00D756EC" w:rsidRDefault="00D756EC" w:rsidP="00D756EC">
      <w:pPr>
        <w:pStyle w:val="2"/>
      </w:pPr>
      <w:r>
        <w:t>Protection mechanisms</w:t>
      </w:r>
    </w:p>
    <w:p w14:paraId="6FD74E49" w14:textId="69DC32AE" w:rsidR="00D756EC" w:rsidRDefault="00D756EC" w:rsidP="00D756EC">
      <w:r>
        <w:t>Protection mechanisms need to be applied in two areas</w:t>
      </w:r>
      <w:r>
        <w:t>.</w:t>
      </w:r>
    </w:p>
    <w:p w14:paraId="743D1A0F" w14:textId="00F7E692" w:rsidR="00D756EC" w:rsidRDefault="00D756EC" w:rsidP="00D756EC">
      <w:r>
        <w:t>First, access controls</w:t>
      </w:r>
      <w:r>
        <w:rPr>
          <w:rFonts w:hint="eastAsia"/>
        </w:rPr>
        <w:t>.</w:t>
      </w:r>
      <w:r>
        <w:t xml:space="preserve"> S</w:t>
      </w:r>
      <w:r>
        <w:t>et access levels for all employees and users. A certain access level can only access certain information and assets.</w:t>
      </w:r>
    </w:p>
    <w:p w14:paraId="671DA4FD" w14:textId="78235489" w:rsidR="00D756EC" w:rsidRDefault="00D756EC" w:rsidP="00D756EC">
      <w:r>
        <w:t>The user level is the lowest, and can only access the open information published on the network, and cannot contact the company's physical assets</w:t>
      </w:r>
      <w:r>
        <w:t>.</w:t>
      </w:r>
    </w:p>
    <w:p w14:paraId="774F5B58" w14:textId="796D7B62" w:rsidR="00D756EC" w:rsidRDefault="00D756EC" w:rsidP="00D756EC">
      <w:r>
        <w:lastRenderedPageBreak/>
        <w:t>General employees can only access limited company information assets. For example, programmers can access some surface code but not the bottom code. They may access the company's core database, and they cannot access the company's computer room</w:t>
      </w:r>
      <w:r>
        <w:t>.</w:t>
      </w:r>
    </w:p>
    <w:p w14:paraId="3A702C37" w14:textId="77777777" w:rsidR="00D756EC" w:rsidRDefault="00D756EC" w:rsidP="00D756EC">
      <w:r>
        <w:t>Senior employees can access more information, such as company databases and servers</w:t>
      </w:r>
    </w:p>
    <w:p w14:paraId="7C5D0D86" w14:textId="41551E05" w:rsidR="00D756EC" w:rsidRDefault="00D756EC" w:rsidP="00D756EC">
      <w:r>
        <w:t>Managers have the highest level of access to all information assets and physical assets, so they should be strictly audited to prevent them from stealing and damaging assets</w:t>
      </w:r>
      <w:r>
        <w:t>.</w:t>
      </w:r>
    </w:p>
    <w:p w14:paraId="62BE69E8" w14:textId="0DD89C5E" w:rsidR="00D756EC" w:rsidRDefault="00D756EC" w:rsidP="00D756EC">
      <w:r>
        <w:t>The other is network security</w:t>
      </w:r>
      <w:r>
        <w:rPr>
          <w:rFonts w:hint="eastAsia"/>
        </w:rPr>
        <w:t>.</w:t>
      </w:r>
      <w:r>
        <w:t xml:space="preserve"> T</w:t>
      </w:r>
      <w:r>
        <w:t>he firewall should be used between the internal network and the external network of the company to prevent the internal network of the company from being attacked and influenced by the external network. Considering that most of the companies use Windows platform, ISA Server firewall can be used, which is the best firewall in the application layer. Due to the large scale of the company, the following scheme is adopted</w:t>
      </w:r>
    </w:p>
    <w:p w14:paraId="49F38296" w14:textId="7D515FAA" w:rsidR="00D756EC" w:rsidRDefault="00D756EC" w:rsidP="00D756EC">
      <w:r>
        <w:rPr>
          <w:noProof/>
        </w:rPr>
        <w:drawing>
          <wp:inline distT="0" distB="0" distL="0" distR="0" wp14:anchorId="0BC89696" wp14:editId="155766D8">
            <wp:extent cx="3716215" cy="219679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49145" cy="2216256"/>
                    </a:xfrm>
                    <a:prstGeom prst="rect">
                      <a:avLst/>
                    </a:prstGeom>
                  </pic:spPr>
                </pic:pic>
              </a:graphicData>
            </a:graphic>
          </wp:inline>
        </w:drawing>
      </w:r>
    </w:p>
    <w:p w14:paraId="35CFEF19" w14:textId="15C77FA8" w:rsidR="00D756EC" w:rsidRDefault="00D756EC" w:rsidP="00D756EC">
      <w:pPr>
        <w:ind w:firstLineChars="700" w:firstLine="1470"/>
      </w:pPr>
      <w:r>
        <w:rPr>
          <w:rFonts w:hint="eastAsia"/>
        </w:rPr>
        <w:t>F</w:t>
      </w:r>
      <w:r>
        <w:t>igure 2-6 Firewalls implement</w:t>
      </w:r>
    </w:p>
    <w:p w14:paraId="21791737" w14:textId="67D44277" w:rsidR="00D756EC" w:rsidRDefault="00D756EC" w:rsidP="00D756EC">
      <w:r w:rsidRPr="00D756EC">
        <w:t>In terms of network security, we also need to take a protective mechanism to prevent network viruses, which will pose a huge security threat to the company. Therefore, it is necessary to fully deploy the anti-virus system in the enterprise</w:t>
      </w:r>
    </w:p>
    <w:p w14:paraId="210D3BD9" w14:textId="77777777" w:rsidR="00D756EC" w:rsidRDefault="00D756EC" w:rsidP="00D756EC">
      <w:pPr>
        <w:pStyle w:val="2"/>
      </w:pPr>
      <w:r>
        <w:t xml:space="preserve">Service level agreement </w:t>
      </w:r>
    </w:p>
    <w:p w14:paraId="4C09CDC5" w14:textId="77777777" w:rsidR="00D756EC" w:rsidRDefault="00D756EC" w:rsidP="00D756EC">
      <w:r>
        <w:t>Finally, make a service level agreement</w:t>
      </w:r>
    </w:p>
    <w:p w14:paraId="34D76CDD" w14:textId="55113C7E" w:rsidR="00D756EC" w:rsidRDefault="00D756EC" w:rsidP="0015102D">
      <w:pPr>
        <w:rPr>
          <w:rFonts w:hint="eastAsia"/>
        </w:rPr>
      </w:pPr>
      <w:r>
        <w:t>It is impossible to set SLA too high in the company's scale, but if the SLA is set too low, it will affect the company's image and customer's trust in the company and satisfaction with the company's services. Therefore, SLA is set at 99.99%, and the following compensation is made for the situation that the SLA fails to meet 99.99%</w:t>
      </w:r>
    </w:p>
    <w:tbl>
      <w:tblPr>
        <w:tblStyle w:val="a4"/>
        <w:tblW w:w="0" w:type="auto"/>
        <w:tblLook w:val="04A0" w:firstRow="1" w:lastRow="0" w:firstColumn="1" w:lastColumn="0" w:noHBand="0" w:noVBand="1"/>
      </w:tblPr>
      <w:tblGrid>
        <w:gridCol w:w="4064"/>
        <w:gridCol w:w="4232"/>
      </w:tblGrid>
      <w:tr w:rsidR="00D756EC" w14:paraId="097B029B" w14:textId="77777777" w:rsidTr="00C90DA9">
        <w:tc>
          <w:tcPr>
            <w:tcW w:w="5222" w:type="dxa"/>
          </w:tcPr>
          <w:p w14:paraId="4C9352E4" w14:textId="77777777" w:rsidR="00D756EC" w:rsidRPr="00D756EC" w:rsidRDefault="00D756EC" w:rsidP="00D756EC">
            <w:pPr>
              <w:spacing w:after="160" w:line="259" w:lineRule="auto"/>
              <w:rPr>
                <w:rFonts w:ascii="Arial" w:hAnsi="Arial" w:cs="Arial" w:hint="eastAsia"/>
                <w:sz w:val="18"/>
                <w:szCs w:val="18"/>
              </w:rPr>
            </w:pPr>
            <w:r w:rsidRPr="00D756EC">
              <w:rPr>
                <w:rFonts w:ascii="Arial" w:hAnsi="Arial" w:cs="Arial" w:hint="eastAsia"/>
                <w:sz w:val="18"/>
                <w:szCs w:val="18"/>
              </w:rPr>
              <w:t>SLA</w:t>
            </w:r>
          </w:p>
        </w:tc>
        <w:tc>
          <w:tcPr>
            <w:tcW w:w="5222" w:type="dxa"/>
          </w:tcPr>
          <w:p w14:paraId="4ADFDF01" w14:textId="77777777" w:rsidR="00D756EC" w:rsidRPr="00D756EC" w:rsidRDefault="00D756EC" w:rsidP="00D756EC">
            <w:pPr>
              <w:spacing w:after="160" w:line="259" w:lineRule="auto"/>
              <w:rPr>
                <w:rFonts w:ascii="Arial" w:hAnsi="Arial" w:cs="Arial" w:hint="eastAsia"/>
                <w:sz w:val="18"/>
                <w:szCs w:val="18"/>
              </w:rPr>
            </w:pPr>
            <w:r w:rsidRPr="00D756EC">
              <w:rPr>
                <w:rFonts w:ascii="Arial" w:hAnsi="Arial" w:cs="Arial"/>
                <w:sz w:val="18"/>
                <w:szCs w:val="18"/>
              </w:rPr>
              <w:t>Compensation measures</w:t>
            </w:r>
          </w:p>
        </w:tc>
      </w:tr>
      <w:tr w:rsidR="00D756EC" w14:paraId="198E69FF" w14:textId="77777777" w:rsidTr="00C90DA9">
        <w:tc>
          <w:tcPr>
            <w:tcW w:w="5222" w:type="dxa"/>
          </w:tcPr>
          <w:p w14:paraId="4F1FB499" w14:textId="77777777" w:rsidR="00D756EC" w:rsidRPr="00D756EC" w:rsidRDefault="00D756EC" w:rsidP="00D756EC">
            <w:pPr>
              <w:spacing w:after="160" w:line="259" w:lineRule="auto"/>
              <w:rPr>
                <w:rFonts w:ascii="Arial" w:hAnsi="Arial" w:cs="Arial" w:hint="eastAsia"/>
                <w:sz w:val="18"/>
                <w:szCs w:val="18"/>
              </w:rPr>
            </w:pPr>
            <w:r w:rsidRPr="00D756EC">
              <w:rPr>
                <w:rFonts w:ascii="Arial" w:hAnsi="Arial" w:cs="Arial" w:hint="eastAsia"/>
                <w:sz w:val="18"/>
                <w:szCs w:val="18"/>
              </w:rPr>
              <w:t>99.9%</w:t>
            </w:r>
          </w:p>
        </w:tc>
        <w:tc>
          <w:tcPr>
            <w:tcW w:w="5222" w:type="dxa"/>
          </w:tcPr>
          <w:p w14:paraId="0E602594" w14:textId="77777777" w:rsidR="00D756EC" w:rsidRPr="00D756EC" w:rsidRDefault="00D756EC" w:rsidP="00D756EC">
            <w:pPr>
              <w:spacing w:after="160" w:line="259" w:lineRule="auto"/>
              <w:rPr>
                <w:rFonts w:ascii="Arial" w:hAnsi="Arial" w:cs="Arial" w:hint="eastAsia"/>
                <w:sz w:val="18"/>
                <w:szCs w:val="18"/>
              </w:rPr>
            </w:pPr>
            <w:r w:rsidRPr="00D756EC">
              <w:rPr>
                <w:rFonts w:ascii="Arial" w:hAnsi="Arial" w:cs="Arial"/>
                <w:sz w:val="18"/>
                <w:szCs w:val="18"/>
              </w:rPr>
              <w:t>Reduce the price of all products by 5%</w:t>
            </w:r>
          </w:p>
        </w:tc>
      </w:tr>
      <w:tr w:rsidR="00D756EC" w14:paraId="4CCE9716" w14:textId="77777777" w:rsidTr="00C90DA9">
        <w:tc>
          <w:tcPr>
            <w:tcW w:w="5222" w:type="dxa"/>
          </w:tcPr>
          <w:p w14:paraId="07851D34" w14:textId="1F7C6329" w:rsidR="00D756EC" w:rsidRPr="00D756EC" w:rsidRDefault="00D756EC" w:rsidP="00D756EC">
            <w:pPr>
              <w:spacing w:after="160" w:line="259" w:lineRule="auto"/>
              <w:rPr>
                <w:rFonts w:ascii="Arial" w:hAnsi="Arial" w:cs="Arial" w:hint="eastAsia"/>
                <w:sz w:val="18"/>
                <w:szCs w:val="18"/>
              </w:rPr>
            </w:pPr>
            <w:r w:rsidRPr="00D756EC">
              <w:rPr>
                <w:rFonts w:ascii="Arial" w:hAnsi="Arial" w:cs="Arial" w:hint="eastAsia"/>
                <w:sz w:val="18"/>
                <w:szCs w:val="18"/>
              </w:rPr>
              <w:t>99</w:t>
            </w:r>
            <w:r w:rsidRPr="00D756EC">
              <w:rPr>
                <w:rFonts w:ascii="Arial" w:hAnsi="Arial" w:cs="Arial"/>
                <w:sz w:val="18"/>
                <w:szCs w:val="18"/>
              </w:rPr>
              <w:t>%</w:t>
            </w:r>
          </w:p>
        </w:tc>
        <w:tc>
          <w:tcPr>
            <w:tcW w:w="5222" w:type="dxa"/>
          </w:tcPr>
          <w:p w14:paraId="18BE04E5" w14:textId="77777777" w:rsidR="00D756EC" w:rsidRPr="00D756EC" w:rsidRDefault="00D756EC" w:rsidP="00D756EC">
            <w:pPr>
              <w:spacing w:after="160" w:line="259" w:lineRule="auto"/>
              <w:rPr>
                <w:rFonts w:ascii="Arial" w:hAnsi="Arial" w:cs="Arial" w:hint="eastAsia"/>
                <w:sz w:val="18"/>
                <w:szCs w:val="18"/>
              </w:rPr>
            </w:pPr>
            <w:r w:rsidRPr="00D756EC">
              <w:rPr>
                <w:rFonts w:ascii="Arial" w:hAnsi="Arial" w:cs="Arial"/>
                <w:sz w:val="18"/>
                <w:szCs w:val="18"/>
              </w:rPr>
              <w:t xml:space="preserve">Reduce the price of all products by </w:t>
            </w:r>
            <w:r w:rsidRPr="00D756EC">
              <w:rPr>
                <w:rFonts w:ascii="Arial" w:hAnsi="Arial" w:cs="Arial" w:hint="eastAsia"/>
                <w:sz w:val="18"/>
                <w:szCs w:val="18"/>
              </w:rPr>
              <w:t>10</w:t>
            </w:r>
            <w:r w:rsidRPr="00D756EC">
              <w:rPr>
                <w:rFonts w:ascii="Arial" w:hAnsi="Arial" w:cs="Arial"/>
                <w:sz w:val="18"/>
                <w:szCs w:val="18"/>
              </w:rPr>
              <w:t>%</w:t>
            </w:r>
          </w:p>
        </w:tc>
      </w:tr>
      <w:tr w:rsidR="00D756EC" w14:paraId="58736143" w14:textId="77777777" w:rsidTr="00C90DA9">
        <w:tc>
          <w:tcPr>
            <w:tcW w:w="5222" w:type="dxa"/>
          </w:tcPr>
          <w:p w14:paraId="2C87154A" w14:textId="284D7D7A" w:rsidR="00D756EC" w:rsidRPr="00D756EC" w:rsidRDefault="0015102D" w:rsidP="00D756EC">
            <w:pPr>
              <w:spacing w:after="160" w:line="259" w:lineRule="auto"/>
              <w:rPr>
                <w:rFonts w:ascii="Arial" w:hAnsi="Arial" w:cs="Arial" w:hint="eastAsia"/>
                <w:sz w:val="18"/>
                <w:szCs w:val="18"/>
              </w:rPr>
            </w:pPr>
            <w:r>
              <w:rPr>
                <w:rFonts w:ascii="Arial" w:hAnsi="Arial" w:cs="Arial"/>
                <w:sz w:val="18"/>
                <w:szCs w:val="18"/>
              </w:rPr>
              <w:t xml:space="preserve">Below </w:t>
            </w:r>
            <w:r w:rsidR="00D756EC" w:rsidRPr="00D756EC">
              <w:rPr>
                <w:rFonts w:ascii="Arial" w:hAnsi="Arial" w:cs="Arial" w:hint="eastAsia"/>
                <w:sz w:val="18"/>
                <w:szCs w:val="18"/>
              </w:rPr>
              <w:t>99</w:t>
            </w:r>
            <w:r w:rsidR="00D756EC" w:rsidRPr="00D756EC">
              <w:rPr>
                <w:rFonts w:ascii="Arial" w:hAnsi="Arial" w:cs="Arial"/>
                <w:sz w:val="18"/>
                <w:szCs w:val="18"/>
              </w:rPr>
              <w:t>%</w:t>
            </w:r>
          </w:p>
        </w:tc>
        <w:tc>
          <w:tcPr>
            <w:tcW w:w="5222" w:type="dxa"/>
          </w:tcPr>
          <w:p w14:paraId="554879BE" w14:textId="77777777" w:rsidR="00D756EC" w:rsidRPr="00D756EC" w:rsidRDefault="00D756EC" w:rsidP="00D756EC">
            <w:pPr>
              <w:spacing w:after="160" w:line="259" w:lineRule="auto"/>
              <w:rPr>
                <w:rFonts w:ascii="Arial" w:hAnsi="Arial" w:cs="Arial" w:hint="eastAsia"/>
                <w:sz w:val="18"/>
                <w:szCs w:val="18"/>
              </w:rPr>
            </w:pPr>
            <w:r w:rsidRPr="00D756EC">
              <w:rPr>
                <w:rFonts w:ascii="Arial" w:hAnsi="Arial" w:cs="Arial"/>
                <w:sz w:val="18"/>
                <w:szCs w:val="18"/>
              </w:rPr>
              <w:t xml:space="preserve">Reduce the price of all products by </w:t>
            </w:r>
            <w:r w:rsidRPr="00D756EC">
              <w:rPr>
                <w:rFonts w:ascii="Arial" w:hAnsi="Arial" w:cs="Arial" w:hint="eastAsia"/>
                <w:sz w:val="18"/>
                <w:szCs w:val="18"/>
              </w:rPr>
              <w:t>20</w:t>
            </w:r>
            <w:r w:rsidRPr="00D756EC">
              <w:rPr>
                <w:rFonts w:ascii="Arial" w:hAnsi="Arial" w:cs="Arial"/>
                <w:sz w:val="18"/>
                <w:szCs w:val="18"/>
              </w:rPr>
              <w:t xml:space="preserve">% </w:t>
            </w:r>
          </w:p>
        </w:tc>
      </w:tr>
    </w:tbl>
    <w:p w14:paraId="0231D3B4" w14:textId="7EABA547" w:rsidR="00D756EC" w:rsidRPr="00D756EC" w:rsidRDefault="0015102D" w:rsidP="0015102D">
      <w:pPr>
        <w:ind w:firstLineChars="1800" w:firstLine="3780"/>
        <w:rPr>
          <w:rFonts w:hint="eastAsia"/>
        </w:rPr>
      </w:pPr>
      <w:bookmarkStart w:id="0" w:name="_GoBack"/>
      <w:bookmarkEnd w:id="0"/>
      <w:r>
        <w:rPr>
          <w:rFonts w:hint="eastAsia"/>
        </w:rPr>
        <w:t>T</w:t>
      </w:r>
      <w:r>
        <w:t>able 2-4 SLA</w:t>
      </w:r>
    </w:p>
    <w:p w14:paraId="0F01DA0C" w14:textId="77777777" w:rsidR="00D756EC" w:rsidRDefault="00D756EC" w:rsidP="00D756EC">
      <w:pPr>
        <w:rPr>
          <w:rFonts w:hint="eastAsia"/>
        </w:rPr>
      </w:pPr>
    </w:p>
    <w:p w14:paraId="7622826D" w14:textId="77777777" w:rsidR="00D756EC" w:rsidRPr="00D756EC" w:rsidRDefault="00D756EC" w:rsidP="00D756EC">
      <w:pPr>
        <w:rPr>
          <w:rFonts w:hint="eastAsia"/>
        </w:rPr>
      </w:pPr>
    </w:p>
    <w:sectPr w:rsidR="00D756EC" w:rsidRPr="00D756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A14D3" w14:textId="77777777" w:rsidR="00D234A8" w:rsidRDefault="00D234A8" w:rsidP="00405A70">
      <w:r>
        <w:separator/>
      </w:r>
    </w:p>
  </w:endnote>
  <w:endnote w:type="continuationSeparator" w:id="0">
    <w:p w14:paraId="42837E15" w14:textId="77777777" w:rsidR="00D234A8" w:rsidRDefault="00D234A8" w:rsidP="00405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90633" w14:textId="77777777" w:rsidR="00D234A8" w:rsidRDefault="00D234A8" w:rsidP="00405A70">
      <w:r>
        <w:separator/>
      </w:r>
    </w:p>
  </w:footnote>
  <w:footnote w:type="continuationSeparator" w:id="0">
    <w:p w14:paraId="106B8826" w14:textId="77777777" w:rsidR="00D234A8" w:rsidRDefault="00D234A8" w:rsidP="00405A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514FF"/>
    <w:multiLevelType w:val="hybridMultilevel"/>
    <w:tmpl w:val="74F2C58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2932C09"/>
    <w:multiLevelType w:val="hybridMultilevel"/>
    <w:tmpl w:val="38F46AD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B7E0869"/>
    <w:multiLevelType w:val="hybridMultilevel"/>
    <w:tmpl w:val="B39630F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BCF37B4"/>
    <w:multiLevelType w:val="hybridMultilevel"/>
    <w:tmpl w:val="7730E34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5034821"/>
    <w:multiLevelType w:val="hybridMultilevel"/>
    <w:tmpl w:val="99D85CE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47ED0BD3"/>
    <w:multiLevelType w:val="hybridMultilevel"/>
    <w:tmpl w:val="8F1CB2A6"/>
    <w:lvl w:ilvl="0" w:tplc="100AD580">
      <w:start w:val="1"/>
      <w:numFmt w:val="bullet"/>
      <w:lvlText w:val=""/>
      <w:lvlJc w:val="left"/>
      <w:pPr>
        <w:tabs>
          <w:tab w:val="num" w:pos="720"/>
        </w:tabs>
        <w:ind w:left="720" w:hanging="360"/>
      </w:pPr>
      <w:rPr>
        <w:rFonts w:ascii="Wingdings 2" w:hAnsi="Wingdings 2" w:hint="default"/>
      </w:rPr>
    </w:lvl>
    <w:lvl w:ilvl="1" w:tplc="1BC49EC8" w:tentative="1">
      <w:start w:val="1"/>
      <w:numFmt w:val="bullet"/>
      <w:lvlText w:val=""/>
      <w:lvlJc w:val="left"/>
      <w:pPr>
        <w:tabs>
          <w:tab w:val="num" w:pos="1440"/>
        </w:tabs>
        <w:ind w:left="1440" w:hanging="360"/>
      </w:pPr>
      <w:rPr>
        <w:rFonts w:ascii="Wingdings 2" w:hAnsi="Wingdings 2" w:hint="default"/>
      </w:rPr>
    </w:lvl>
    <w:lvl w:ilvl="2" w:tplc="01B259A4" w:tentative="1">
      <w:start w:val="1"/>
      <w:numFmt w:val="bullet"/>
      <w:lvlText w:val=""/>
      <w:lvlJc w:val="left"/>
      <w:pPr>
        <w:tabs>
          <w:tab w:val="num" w:pos="2160"/>
        </w:tabs>
        <w:ind w:left="2160" w:hanging="360"/>
      </w:pPr>
      <w:rPr>
        <w:rFonts w:ascii="Wingdings 2" w:hAnsi="Wingdings 2" w:hint="default"/>
      </w:rPr>
    </w:lvl>
    <w:lvl w:ilvl="3" w:tplc="4EC8D418" w:tentative="1">
      <w:start w:val="1"/>
      <w:numFmt w:val="bullet"/>
      <w:lvlText w:val=""/>
      <w:lvlJc w:val="left"/>
      <w:pPr>
        <w:tabs>
          <w:tab w:val="num" w:pos="2880"/>
        </w:tabs>
        <w:ind w:left="2880" w:hanging="360"/>
      </w:pPr>
      <w:rPr>
        <w:rFonts w:ascii="Wingdings 2" w:hAnsi="Wingdings 2" w:hint="default"/>
      </w:rPr>
    </w:lvl>
    <w:lvl w:ilvl="4" w:tplc="4956C6C2" w:tentative="1">
      <w:start w:val="1"/>
      <w:numFmt w:val="bullet"/>
      <w:lvlText w:val=""/>
      <w:lvlJc w:val="left"/>
      <w:pPr>
        <w:tabs>
          <w:tab w:val="num" w:pos="3600"/>
        </w:tabs>
        <w:ind w:left="3600" w:hanging="360"/>
      </w:pPr>
      <w:rPr>
        <w:rFonts w:ascii="Wingdings 2" w:hAnsi="Wingdings 2" w:hint="default"/>
      </w:rPr>
    </w:lvl>
    <w:lvl w:ilvl="5" w:tplc="7358570A" w:tentative="1">
      <w:start w:val="1"/>
      <w:numFmt w:val="bullet"/>
      <w:lvlText w:val=""/>
      <w:lvlJc w:val="left"/>
      <w:pPr>
        <w:tabs>
          <w:tab w:val="num" w:pos="4320"/>
        </w:tabs>
        <w:ind w:left="4320" w:hanging="360"/>
      </w:pPr>
      <w:rPr>
        <w:rFonts w:ascii="Wingdings 2" w:hAnsi="Wingdings 2" w:hint="default"/>
      </w:rPr>
    </w:lvl>
    <w:lvl w:ilvl="6" w:tplc="9406143E" w:tentative="1">
      <w:start w:val="1"/>
      <w:numFmt w:val="bullet"/>
      <w:lvlText w:val=""/>
      <w:lvlJc w:val="left"/>
      <w:pPr>
        <w:tabs>
          <w:tab w:val="num" w:pos="5040"/>
        </w:tabs>
        <w:ind w:left="5040" w:hanging="360"/>
      </w:pPr>
      <w:rPr>
        <w:rFonts w:ascii="Wingdings 2" w:hAnsi="Wingdings 2" w:hint="default"/>
      </w:rPr>
    </w:lvl>
    <w:lvl w:ilvl="7" w:tplc="D3AE4132" w:tentative="1">
      <w:start w:val="1"/>
      <w:numFmt w:val="bullet"/>
      <w:lvlText w:val=""/>
      <w:lvlJc w:val="left"/>
      <w:pPr>
        <w:tabs>
          <w:tab w:val="num" w:pos="5760"/>
        </w:tabs>
        <w:ind w:left="5760" w:hanging="360"/>
      </w:pPr>
      <w:rPr>
        <w:rFonts w:ascii="Wingdings 2" w:hAnsi="Wingdings 2" w:hint="default"/>
      </w:rPr>
    </w:lvl>
    <w:lvl w:ilvl="8" w:tplc="684EFA6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48801F81"/>
    <w:multiLevelType w:val="hybridMultilevel"/>
    <w:tmpl w:val="9DECE8F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512F373C"/>
    <w:multiLevelType w:val="hybridMultilevel"/>
    <w:tmpl w:val="4C8021E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A9A12CE"/>
    <w:multiLevelType w:val="hybridMultilevel"/>
    <w:tmpl w:val="23409D8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5B44761B"/>
    <w:multiLevelType w:val="hybridMultilevel"/>
    <w:tmpl w:val="205495F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6E1573D4"/>
    <w:multiLevelType w:val="hybridMultilevel"/>
    <w:tmpl w:val="AA54E96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713435E7"/>
    <w:multiLevelType w:val="hybridMultilevel"/>
    <w:tmpl w:val="559CA9F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71663775"/>
    <w:multiLevelType w:val="hybridMultilevel"/>
    <w:tmpl w:val="7A4C331E"/>
    <w:lvl w:ilvl="0" w:tplc="160892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2"/>
  </w:num>
  <w:num w:numId="2">
    <w:abstractNumId w:val="7"/>
  </w:num>
  <w:num w:numId="3">
    <w:abstractNumId w:val="9"/>
  </w:num>
  <w:num w:numId="4">
    <w:abstractNumId w:val="2"/>
  </w:num>
  <w:num w:numId="5">
    <w:abstractNumId w:val="10"/>
  </w:num>
  <w:num w:numId="6">
    <w:abstractNumId w:val="1"/>
  </w:num>
  <w:num w:numId="7">
    <w:abstractNumId w:val="8"/>
  </w:num>
  <w:num w:numId="8">
    <w:abstractNumId w:val="3"/>
  </w:num>
  <w:num w:numId="9">
    <w:abstractNumId w:val="0"/>
  </w:num>
  <w:num w:numId="10">
    <w:abstractNumId w:val="4"/>
  </w:num>
  <w:num w:numId="11">
    <w:abstractNumId w:val="5"/>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925"/>
    <w:rsid w:val="00067BB6"/>
    <w:rsid w:val="0008091A"/>
    <w:rsid w:val="001239E5"/>
    <w:rsid w:val="0015102D"/>
    <w:rsid w:val="001F7925"/>
    <w:rsid w:val="002060DB"/>
    <w:rsid w:val="002D7757"/>
    <w:rsid w:val="003A62D0"/>
    <w:rsid w:val="00405A70"/>
    <w:rsid w:val="00434961"/>
    <w:rsid w:val="004823B6"/>
    <w:rsid w:val="00487A56"/>
    <w:rsid w:val="004F35D3"/>
    <w:rsid w:val="00574509"/>
    <w:rsid w:val="00584303"/>
    <w:rsid w:val="005C6158"/>
    <w:rsid w:val="0063027F"/>
    <w:rsid w:val="00790855"/>
    <w:rsid w:val="007D11C2"/>
    <w:rsid w:val="00855598"/>
    <w:rsid w:val="0088754C"/>
    <w:rsid w:val="008E4261"/>
    <w:rsid w:val="00907890"/>
    <w:rsid w:val="00915D19"/>
    <w:rsid w:val="009E033F"/>
    <w:rsid w:val="00A3331F"/>
    <w:rsid w:val="00A70FB9"/>
    <w:rsid w:val="00AE6E5C"/>
    <w:rsid w:val="00B00672"/>
    <w:rsid w:val="00B21F2F"/>
    <w:rsid w:val="00B534F4"/>
    <w:rsid w:val="00BB31AD"/>
    <w:rsid w:val="00BF3C20"/>
    <w:rsid w:val="00C02EA9"/>
    <w:rsid w:val="00C7780E"/>
    <w:rsid w:val="00CB367D"/>
    <w:rsid w:val="00CD296B"/>
    <w:rsid w:val="00CE60D1"/>
    <w:rsid w:val="00D234A8"/>
    <w:rsid w:val="00D756EC"/>
    <w:rsid w:val="00D92B90"/>
    <w:rsid w:val="00DD6506"/>
    <w:rsid w:val="00E66983"/>
    <w:rsid w:val="00E737D9"/>
    <w:rsid w:val="00E83015"/>
    <w:rsid w:val="00F25E96"/>
    <w:rsid w:val="00F65338"/>
    <w:rsid w:val="00F86EC9"/>
    <w:rsid w:val="00FB77A9"/>
    <w:rsid w:val="00FE38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DADBB6"/>
  <w15:chartTrackingRefBased/>
  <w15:docId w15:val="{E66208A1-9C89-4F77-A646-A7DD098B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3A62D0"/>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0"/>
    <w:uiPriority w:val="9"/>
    <w:qFormat/>
    <w:rsid w:val="003A62D0"/>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0"/>
    <w:uiPriority w:val="9"/>
    <w:unhideWhenUsed/>
    <w:qFormat/>
    <w:rsid w:val="0043496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C6158"/>
    <w:rPr>
      <w:b/>
      <w:bCs/>
    </w:rPr>
  </w:style>
  <w:style w:type="table" w:styleId="a4">
    <w:name w:val="Table Grid"/>
    <w:basedOn w:val="a1"/>
    <w:uiPriority w:val="39"/>
    <w:rsid w:val="002060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574509"/>
    <w:rPr>
      <w:color w:val="0000FF"/>
      <w:u w:val="single"/>
    </w:rPr>
  </w:style>
  <w:style w:type="character" w:customStyle="1" w:styleId="10">
    <w:name w:val="标题 1 字符"/>
    <w:basedOn w:val="a0"/>
    <w:link w:val="1"/>
    <w:uiPriority w:val="9"/>
    <w:rsid w:val="003A62D0"/>
    <w:rPr>
      <w:rFonts w:ascii="宋体" w:eastAsia="宋体" w:hAnsi="宋体" w:cs="宋体"/>
      <w:b/>
      <w:bCs/>
      <w:kern w:val="36"/>
      <w:sz w:val="48"/>
      <w:szCs w:val="48"/>
    </w:rPr>
  </w:style>
  <w:style w:type="character" w:customStyle="1" w:styleId="20">
    <w:name w:val="标题 2 字符"/>
    <w:basedOn w:val="a0"/>
    <w:link w:val="2"/>
    <w:uiPriority w:val="9"/>
    <w:rsid w:val="003A62D0"/>
    <w:rPr>
      <w:rFonts w:ascii="宋体" w:eastAsia="宋体" w:hAnsi="宋体" w:cs="宋体"/>
      <w:b/>
      <w:bCs/>
      <w:kern w:val="0"/>
      <w:sz w:val="36"/>
      <w:szCs w:val="36"/>
    </w:rPr>
  </w:style>
  <w:style w:type="character" w:customStyle="1" w:styleId="text-help">
    <w:name w:val="text-help"/>
    <w:basedOn w:val="a0"/>
    <w:rsid w:val="003A62D0"/>
  </w:style>
  <w:style w:type="paragraph" w:styleId="a6">
    <w:name w:val="List Paragraph"/>
    <w:basedOn w:val="a"/>
    <w:uiPriority w:val="34"/>
    <w:qFormat/>
    <w:rsid w:val="001239E5"/>
    <w:pPr>
      <w:ind w:firstLineChars="200" w:firstLine="420"/>
    </w:pPr>
  </w:style>
  <w:style w:type="character" w:customStyle="1" w:styleId="30">
    <w:name w:val="标题 3 字符"/>
    <w:basedOn w:val="a0"/>
    <w:link w:val="3"/>
    <w:uiPriority w:val="9"/>
    <w:rsid w:val="00434961"/>
    <w:rPr>
      <w:b/>
      <w:bCs/>
      <w:sz w:val="32"/>
      <w:szCs w:val="32"/>
    </w:rPr>
  </w:style>
  <w:style w:type="character" w:customStyle="1" w:styleId="toctext">
    <w:name w:val="toctext"/>
    <w:basedOn w:val="a0"/>
    <w:rsid w:val="00C02EA9"/>
  </w:style>
  <w:style w:type="paragraph" w:styleId="a7">
    <w:name w:val="header"/>
    <w:basedOn w:val="a"/>
    <w:link w:val="a8"/>
    <w:uiPriority w:val="99"/>
    <w:unhideWhenUsed/>
    <w:rsid w:val="00405A70"/>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405A70"/>
    <w:rPr>
      <w:sz w:val="18"/>
      <w:szCs w:val="18"/>
    </w:rPr>
  </w:style>
  <w:style w:type="paragraph" w:styleId="a9">
    <w:name w:val="footer"/>
    <w:basedOn w:val="a"/>
    <w:link w:val="aa"/>
    <w:uiPriority w:val="99"/>
    <w:unhideWhenUsed/>
    <w:rsid w:val="00405A70"/>
    <w:pPr>
      <w:tabs>
        <w:tab w:val="center" w:pos="4153"/>
        <w:tab w:val="right" w:pos="8306"/>
      </w:tabs>
      <w:snapToGrid w:val="0"/>
      <w:jc w:val="left"/>
    </w:pPr>
    <w:rPr>
      <w:sz w:val="18"/>
      <w:szCs w:val="18"/>
    </w:rPr>
  </w:style>
  <w:style w:type="character" w:customStyle="1" w:styleId="aa">
    <w:name w:val="页脚 字符"/>
    <w:basedOn w:val="a0"/>
    <w:link w:val="a9"/>
    <w:uiPriority w:val="99"/>
    <w:rsid w:val="00405A7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921556">
      <w:bodyDiv w:val="1"/>
      <w:marLeft w:val="0"/>
      <w:marRight w:val="0"/>
      <w:marTop w:val="0"/>
      <w:marBottom w:val="0"/>
      <w:divBdr>
        <w:top w:val="none" w:sz="0" w:space="0" w:color="auto"/>
        <w:left w:val="none" w:sz="0" w:space="0" w:color="auto"/>
        <w:bottom w:val="none" w:sz="0" w:space="0" w:color="auto"/>
        <w:right w:val="none" w:sz="0" w:space="0" w:color="auto"/>
      </w:divBdr>
    </w:div>
    <w:div w:id="1058019291">
      <w:bodyDiv w:val="1"/>
      <w:marLeft w:val="0"/>
      <w:marRight w:val="0"/>
      <w:marTop w:val="0"/>
      <w:marBottom w:val="0"/>
      <w:divBdr>
        <w:top w:val="none" w:sz="0" w:space="0" w:color="auto"/>
        <w:left w:val="none" w:sz="0" w:space="0" w:color="auto"/>
        <w:bottom w:val="none" w:sz="0" w:space="0" w:color="auto"/>
        <w:right w:val="none" w:sz="0" w:space="0" w:color="auto"/>
      </w:divBdr>
    </w:div>
    <w:div w:id="1531259137">
      <w:bodyDiv w:val="1"/>
      <w:marLeft w:val="0"/>
      <w:marRight w:val="0"/>
      <w:marTop w:val="0"/>
      <w:marBottom w:val="0"/>
      <w:divBdr>
        <w:top w:val="none" w:sz="0" w:space="0" w:color="auto"/>
        <w:left w:val="none" w:sz="0" w:space="0" w:color="auto"/>
        <w:bottom w:val="none" w:sz="0" w:space="0" w:color="auto"/>
        <w:right w:val="none" w:sz="0" w:space="0" w:color="auto"/>
      </w:divBdr>
      <w:divsChild>
        <w:div w:id="1682778561">
          <w:marLeft w:val="0"/>
          <w:marRight w:val="0"/>
          <w:marTop w:val="0"/>
          <w:marBottom w:val="0"/>
          <w:divBdr>
            <w:top w:val="none" w:sz="0" w:space="0" w:color="auto"/>
            <w:left w:val="none" w:sz="0" w:space="0" w:color="auto"/>
            <w:bottom w:val="none" w:sz="0" w:space="0" w:color="auto"/>
            <w:right w:val="none" w:sz="0" w:space="0" w:color="auto"/>
          </w:divBdr>
          <w:divsChild>
            <w:div w:id="327369725">
              <w:marLeft w:val="0"/>
              <w:marRight w:val="0"/>
              <w:marTop w:val="0"/>
              <w:marBottom w:val="0"/>
              <w:divBdr>
                <w:top w:val="single" w:sz="6" w:space="0" w:color="DEDEDE"/>
                <w:left w:val="single" w:sz="6" w:space="0" w:color="DEDEDE"/>
                <w:bottom w:val="single" w:sz="6" w:space="0" w:color="DEDEDE"/>
                <w:right w:val="single" w:sz="6" w:space="0" w:color="DEDEDE"/>
              </w:divBdr>
              <w:divsChild>
                <w:div w:id="1270430017">
                  <w:marLeft w:val="0"/>
                  <w:marRight w:val="0"/>
                  <w:marTop w:val="0"/>
                  <w:marBottom w:val="0"/>
                  <w:divBdr>
                    <w:top w:val="none" w:sz="0" w:space="0" w:color="auto"/>
                    <w:left w:val="none" w:sz="0" w:space="0" w:color="auto"/>
                    <w:bottom w:val="none" w:sz="0" w:space="0" w:color="auto"/>
                    <w:right w:val="none" w:sz="0" w:space="0" w:color="auto"/>
                  </w:divBdr>
                  <w:divsChild>
                    <w:div w:id="433207248">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342972966">
          <w:marLeft w:val="0"/>
          <w:marRight w:val="0"/>
          <w:marTop w:val="0"/>
          <w:marBottom w:val="0"/>
          <w:divBdr>
            <w:top w:val="none" w:sz="0" w:space="0" w:color="auto"/>
            <w:left w:val="none" w:sz="0" w:space="0" w:color="auto"/>
            <w:bottom w:val="none" w:sz="0" w:space="0" w:color="auto"/>
            <w:right w:val="none" w:sz="0" w:space="0" w:color="auto"/>
          </w:divBdr>
          <w:divsChild>
            <w:div w:id="985739993">
              <w:marLeft w:val="0"/>
              <w:marRight w:val="0"/>
              <w:marTop w:val="0"/>
              <w:marBottom w:val="0"/>
              <w:divBdr>
                <w:top w:val="none" w:sz="0" w:space="0" w:color="auto"/>
                <w:left w:val="none" w:sz="0" w:space="0" w:color="auto"/>
                <w:bottom w:val="none" w:sz="0" w:space="0" w:color="auto"/>
                <w:right w:val="none" w:sz="0" w:space="0" w:color="auto"/>
              </w:divBdr>
              <w:divsChild>
                <w:div w:id="1264680517">
                  <w:marLeft w:val="0"/>
                  <w:marRight w:val="0"/>
                  <w:marTop w:val="0"/>
                  <w:marBottom w:val="0"/>
                  <w:divBdr>
                    <w:top w:val="single" w:sz="6" w:space="8" w:color="EEEEEE"/>
                    <w:left w:val="none" w:sz="0" w:space="8" w:color="auto"/>
                    <w:bottom w:val="single" w:sz="6" w:space="8" w:color="EEEEEE"/>
                    <w:right w:val="single" w:sz="6" w:space="8" w:color="EEEEEE"/>
                  </w:divBdr>
                  <w:divsChild>
                    <w:div w:id="184385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NIST_Special_Publication_800-53"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1322</TotalTime>
  <Pages>14</Pages>
  <Words>3276</Words>
  <Characters>18677</Characters>
  <Application>Microsoft Office Word</Application>
  <DocSecurity>0</DocSecurity>
  <Lines>155</Lines>
  <Paragraphs>43</Paragraphs>
  <ScaleCrop>false</ScaleCrop>
  <Company/>
  <LinksUpToDate>false</LinksUpToDate>
  <CharactersWithSpaces>21910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庚</dc:creator>
  <cp:keywords/>
  <dc:description/>
  <cp:lastModifiedBy>李 庚</cp:lastModifiedBy>
  <cp:revision>15</cp:revision>
  <dcterms:created xsi:type="dcterms:W3CDTF">2020-01-28T00:36:00Z</dcterms:created>
  <dcterms:modified xsi:type="dcterms:W3CDTF">2020-01-29T16:19:00Z</dcterms:modified>
</cp:coreProperties>
</file>