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7CA3EB" w14:textId="551D5C87" w:rsidR="00A85A82" w:rsidRPr="003B5F1D" w:rsidRDefault="001E5B18" w:rsidP="001E5B18">
      <w:pPr>
        <w:jc w:val="center"/>
        <w:rPr>
          <w:rFonts w:cs="Segoe UI"/>
          <w:b/>
          <w:sz w:val="36"/>
          <w:shd w:val="clear" w:color="auto" w:fill="FFFFFF"/>
        </w:rPr>
      </w:pPr>
      <w:r w:rsidRPr="003B5F1D">
        <w:rPr>
          <w:rFonts w:cs="Segoe UI"/>
          <w:b/>
          <w:sz w:val="36"/>
          <w:shd w:val="clear" w:color="auto" w:fill="FFFFFF"/>
        </w:rPr>
        <w:t>Making use of funerary evidence associated with one individual pre-Roman Iron Age site of your choice, discuss how the evidence can be used to identify changes in social status display during the 5th-1st century BC.</w:t>
      </w:r>
    </w:p>
    <w:p w14:paraId="538C2F8B" w14:textId="69CBBB8F" w:rsidR="00160623" w:rsidRPr="003B5F1D" w:rsidRDefault="00160623" w:rsidP="001E5B18">
      <w:pPr>
        <w:jc w:val="center"/>
        <w:rPr>
          <w:rFonts w:cs="Segoe UI"/>
          <w:i/>
          <w:sz w:val="24"/>
          <w:shd w:val="clear" w:color="auto" w:fill="FFFFFF"/>
        </w:rPr>
      </w:pPr>
      <w:r w:rsidRPr="003B5F1D">
        <w:rPr>
          <w:rFonts w:cs="Segoe UI"/>
          <w:i/>
          <w:sz w:val="24"/>
          <w:shd w:val="clear" w:color="auto" w:fill="FFFFFF"/>
        </w:rPr>
        <w:t>Danielle Alexander</w:t>
      </w:r>
    </w:p>
    <w:p w14:paraId="47E73BCF" w14:textId="35603E38" w:rsidR="00160623" w:rsidRPr="003B5F1D" w:rsidRDefault="00160623" w:rsidP="001E5B18">
      <w:pPr>
        <w:jc w:val="center"/>
        <w:rPr>
          <w:rFonts w:cs="Segoe UI"/>
          <w:i/>
          <w:sz w:val="24"/>
          <w:shd w:val="clear" w:color="auto" w:fill="FFFFFF"/>
        </w:rPr>
      </w:pPr>
      <w:r w:rsidRPr="003B5F1D">
        <w:rPr>
          <w:rFonts w:cs="Segoe UI"/>
          <w:i/>
          <w:sz w:val="24"/>
          <w:shd w:val="clear" w:color="auto" w:fill="FFFFFF"/>
        </w:rPr>
        <w:t xml:space="preserve">BA Ancient Civilisations </w:t>
      </w:r>
    </w:p>
    <w:p w14:paraId="483FCD06" w14:textId="313A2CAD" w:rsidR="00160623" w:rsidRDefault="00160623" w:rsidP="001E5B18">
      <w:pPr>
        <w:jc w:val="center"/>
        <w:rPr>
          <w:rFonts w:cs="Segoe UI"/>
          <w:sz w:val="28"/>
          <w:shd w:val="clear" w:color="auto" w:fill="FFFFFF"/>
        </w:rPr>
      </w:pPr>
    </w:p>
    <w:p w14:paraId="495CDBFA" w14:textId="77777777" w:rsidR="00981C4A" w:rsidRDefault="00981C4A" w:rsidP="00981C4A">
      <w:pPr>
        <w:keepNext/>
        <w:jc w:val="center"/>
      </w:pPr>
      <w:r>
        <w:rPr>
          <w:noProof/>
        </w:rPr>
        <w:drawing>
          <wp:inline distT="0" distB="0" distL="0" distR="0" wp14:anchorId="316E7FF3" wp14:editId="772F5E9C">
            <wp:extent cx="3752850" cy="3037205"/>
            <wp:effectExtent l="0" t="0" r="0" b="0"/>
            <wp:docPr id="1" name="Picture 1" descr="Image result for vix prin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vix princes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3037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D0A6BE" w14:textId="2FF1FDA8" w:rsidR="003B5F1D" w:rsidRDefault="00981C4A" w:rsidP="00981C4A">
      <w:pPr>
        <w:pStyle w:val="Caption"/>
        <w:jc w:val="center"/>
        <w:rPr>
          <w:rFonts w:cs="Segoe UI"/>
          <w:sz w:val="28"/>
          <w:shd w:val="clear" w:color="auto" w:fill="FFFFFF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Reconstruction of the Tomb of </w:t>
      </w:r>
      <w:proofErr w:type="spellStart"/>
      <w:r>
        <w:t>Vix</w:t>
      </w:r>
      <w:proofErr w:type="spellEnd"/>
    </w:p>
    <w:p w14:paraId="75310FD7" w14:textId="0BB6CDE3" w:rsidR="003B5F1D" w:rsidRDefault="003B5F1D" w:rsidP="001E5B18">
      <w:pPr>
        <w:jc w:val="center"/>
        <w:rPr>
          <w:rFonts w:cs="Segoe UI"/>
          <w:sz w:val="28"/>
          <w:shd w:val="clear" w:color="auto" w:fill="FFFFFF"/>
        </w:rPr>
      </w:pPr>
    </w:p>
    <w:p w14:paraId="1DBE43D4" w14:textId="273CD5CA" w:rsidR="003B5F1D" w:rsidRDefault="003B5F1D" w:rsidP="001E5B18">
      <w:pPr>
        <w:jc w:val="center"/>
        <w:rPr>
          <w:rFonts w:cs="Segoe UI"/>
          <w:sz w:val="28"/>
          <w:shd w:val="clear" w:color="auto" w:fill="FFFFFF"/>
        </w:rPr>
      </w:pPr>
    </w:p>
    <w:p w14:paraId="40AC3E58" w14:textId="32760F15" w:rsidR="003B5F1D" w:rsidRDefault="003B5F1D" w:rsidP="00981C4A">
      <w:pPr>
        <w:rPr>
          <w:rFonts w:cs="Segoe UI"/>
          <w:sz w:val="28"/>
          <w:shd w:val="clear" w:color="auto" w:fill="FFFFFF"/>
        </w:rPr>
      </w:pPr>
    </w:p>
    <w:p w14:paraId="762D75C3" w14:textId="77777777" w:rsidR="00981C4A" w:rsidRDefault="00981C4A" w:rsidP="00981C4A">
      <w:pPr>
        <w:rPr>
          <w:rFonts w:cs="Segoe UI"/>
          <w:sz w:val="28"/>
          <w:shd w:val="clear" w:color="auto" w:fill="FFFFFF"/>
        </w:rPr>
      </w:pPr>
    </w:p>
    <w:p w14:paraId="06584E96" w14:textId="3D5940A1" w:rsidR="003B5F1D" w:rsidRDefault="003B5F1D" w:rsidP="001E5B18">
      <w:pPr>
        <w:jc w:val="center"/>
        <w:rPr>
          <w:rFonts w:cs="Segoe UI"/>
          <w:sz w:val="28"/>
          <w:shd w:val="clear" w:color="auto" w:fill="FFFFFF"/>
        </w:rPr>
      </w:pPr>
    </w:p>
    <w:p w14:paraId="2411231A" w14:textId="407C6DBE" w:rsidR="00C00527" w:rsidRDefault="00C00527" w:rsidP="001E5B18">
      <w:pPr>
        <w:jc w:val="center"/>
        <w:rPr>
          <w:rFonts w:cs="Segoe UI"/>
          <w:sz w:val="28"/>
          <w:shd w:val="clear" w:color="auto" w:fill="FFFFFF"/>
        </w:rPr>
      </w:pPr>
    </w:p>
    <w:p w14:paraId="008AEEF0" w14:textId="77777777" w:rsidR="00C00527" w:rsidRDefault="00C00527" w:rsidP="001E5B18">
      <w:pPr>
        <w:jc w:val="center"/>
        <w:rPr>
          <w:rFonts w:cs="Segoe UI"/>
          <w:sz w:val="28"/>
          <w:shd w:val="clear" w:color="auto" w:fill="FFFFFF"/>
        </w:rPr>
      </w:pPr>
    </w:p>
    <w:p w14:paraId="106CDD6E" w14:textId="77777777" w:rsidR="003B5F1D" w:rsidRDefault="003B5F1D" w:rsidP="001E5B18">
      <w:pPr>
        <w:jc w:val="center"/>
        <w:rPr>
          <w:rFonts w:cs="Segoe UI"/>
          <w:sz w:val="28"/>
          <w:shd w:val="clear" w:color="auto" w:fill="FFFFFF"/>
        </w:rPr>
      </w:pPr>
    </w:p>
    <w:sdt>
      <w:sdtPr>
        <w:id w:val="-1265916658"/>
        <w:docPartObj>
          <w:docPartGallery w:val="Table of Contents"/>
          <w:docPartUnique/>
        </w:docPartObj>
      </w:sdtPr>
      <w:sdtEndPr>
        <w:rPr>
          <w:rFonts w:ascii="Arial Nova" w:eastAsiaTheme="minorHAnsi" w:hAnsi="Arial Nova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C3287F4" w14:textId="188EE54A" w:rsidR="00FB300D" w:rsidRDefault="00FB300D">
          <w:pPr>
            <w:pStyle w:val="TOCHeading"/>
            <w:rPr>
              <w:b/>
              <w:color w:val="auto"/>
            </w:rPr>
          </w:pPr>
          <w:r w:rsidRPr="00FB300D">
            <w:rPr>
              <w:b/>
              <w:color w:val="auto"/>
            </w:rPr>
            <w:t>Contents</w:t>
          </w:r>
        </w:p>
        <w:p w14:paraId="3CFEF836" w14:textId="77777777" w:rsidR="00C00527" w:rsidRPr="00C00527" w:rsidRDefault="00C00527" w:rsidP="00C00527">
          <w:pPr>
            <w:rPr>
              <w:lang w:val="en-US"/>
            </w:rPr>
          </w:pPr>
        </w:p>
        <w:p w14:paraId="7CE22BD7" w14:textId="77691742" w:rsidR="00FB300D" w:rsidRPr="00FB300D" w:rsidRDefault="00FB30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 w:rsidRPr="00FB300D">
            <w:rPr>
              <w:bCs/>
              <w:noProof/>
            </w:rPr>
            <w:fldChar w:fldCharType="begin"/>
          </w:r>
          <w:r w:rsidRPr="00FB300D">
            <w:rPr>
              <w:bCs/>
              <w:noProof/>
            </w:rPr>
            <w:instrText xml:space="preserve"> TOC \o "1-3" \h \z \u </w:instrText>
          </w:r>
          <w:r w:rsidRPr="00FB300D">
            <w:rPr>
              <w:bCs/>
              <w:noProof/>
            </w:rPr>
            <w:fldChar w:fldCharType="separate"/>
          </w:r>
          <w:hyperlink w:anchor="_Toc535938591" w:history="1">
            <w:r w:rsidRPr="00FB300D">
              <w:rPr>
                <w:rStyle w:val="Hyperlink"/>
                <w:noProof/>
              </w:rPr>
              <w:t>Introduction</w:t>
            </w:r>
            <w:r w:rsidRPr="00FB300D">
              <w:rPr>
                <w:noProof/>
                <w:webHidden/>
              </w:rPr>
              <w:tab/>
            </w:r>
            <w:r w:rsidRPr="00FB300D">
              <w:rPr>
                <w:noProof/>
                <w:webHidden/>
              </w:rPr>
              <w:fldChar w:fldCharType="begin"/>
            </w:r>
            <w:r w:rsidRPr="00FB300D">
              <w:rPr>
                <w:noProof/>
                <w:webHidden/>
              </w:rPr>
              <w:instrText xml:space="preserve"> PAGEREF _Toc535938591 \h </w:instrText>
            </w:r>
            <w:r w:rsidRPr="00FB300D">
              <w:rPr>
                <w:noProof/>
                <w:webHidden/>
              </w:rPr>
            </w:r>
            <w:r w:rsidRPr="00FB300D">
              <w:rPr>
                <w:noProof/>
                <w:webHidden/>
              </w:rPr>
              <w:fldChar w:fldCharType="separate"/>
            </w:r>
            <w:r w:rsidR="00A55341">
              <w:rPr>
                <w:noProof/>
                <w:webHidden/>
              </w:rPr>
              <w:t>3</w:t>
            </w:r>
            <w:r w:rsidRPr="00FB300D">
              <w:rPr>
                <w:noProof/>
                <w:webHidden/>
              </w:rPr>
              <w:fldChar w:fldCharType="end"/>
            </w:r>
          </w:hyperlink>
        </w:p>
        <w:p w14:paraId="0BB8C840" w14:textId="54A44888" w:rsidR="00FB300D" w:rsidRPr="00FB300D" w:rsidRDefault="00FB30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5938592" w:history="1">
            <w:r w:rsidRPr="00FB300D">
              <w:rPr>
                <w:rStyle w:val="Hyperlink"/>
                <w:noProof/>
              </w:rPr>
              <w:t>Case study site: Vix</w:t>
            </w:r>
            <w:r w:rsidRPr="00FB300D">
              <w:rPr>
                <w:noProof/>
                <w:webHidden/>
              </w:rPr>
              <w:tab/>
            </w:r>
            <w:r w:rsidRPr="00FB300D">
              <w:rPr>
                <w:noProof/>
                <w:webHidden/>
              </w:rPr>
              <w:fldChar w:fldCharType="begin"/>
            </w:r>
            <w:r w:rsidRPr="00FB300D">
              <w:rPr>
                <w:noProof/>
                <w:webHidden/>
              </w:rPr>
              <w:instrText xml:space="preserve"> PAGEREF _Toc535938592 \h </w:instrText>
            </w:r>
            <w:r w:rsidRPr="00FB300D">
              <w:rPr>
                <w:noProof/>
                <w:webHidden/>
              </w:rPr>
            </w:r>
            <w:r w:rsidRPr="00FB300D">
              <w:rPr>
                <w:noProof/>
                <w:webHidden/>
              </w:rPr>
              <w:fldChar w:fldCharType="separate"/>
            </w:r>
            <w:r w:rsidR="00A55341">
              <w:rPr>
                <w:noProof/>
                <w:webHidden/>
              </w:rPr>
              <w:t>4</w:t>
            </w:r>
            <w:r w:rsidRPr="00FB300D">
              <w:rPr>
                <w:noProof/>
                <w:webHidden/>
              </w:rPr>
              <w:fldChar w:fldCharType="end"/>
            </w:r>
          </w:hyperlink>
        </w:p>
        <w:p w14:paraId="4AE6FD84" w14:textId="5C9EC795" w:rsidR="00FB300D" w:rsidRPr="00FB300D" w:rsidRDefault="00FB30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5938593" w:history="1">
            <w:r w:rsidRPr="00FB300D">
              <w:rPr>
                <w:rStyle w:val="Hyperlink"/>
                <w:noProof/>
              </w:rPr>
              <w:t>La Tene Takeover</w:t>
            </w:r>
            <w:r w:rsidRPr="00FB300D">
              <w:rPr>
                <w:noProof/>
                <w:webHidden/>
              </w:rPr>
              <w:tab/>
            </w:r>
            <w:r w:rsidRPr="00FB300D">
              <w:rPr>
                <w:noProof/>
                <w:webHidden/>
              </w:rPr>
              <w:fldChar w:fldCharType="begin"/>
            </w:r>
            <w:r w:rsidRPr="00FB300D">
              <w:rPr>
                <w:noProof/>
                <w:webHidden/>
              </w:rPr>
              <w:instrText xml:space="preserve"> PAGEREF _Toc535938593 \h </w:instrText>
            </w:r>
            <w:r w:rsidRPr="00FB300D">
              <w:rPr>
                <w:noProof/>
                <w:webHidden/>
              </w:rPr>
            </w:r>
            <w:r w:rsidRPr="00FB300D">
              <w:rPr>
                <w:noProof/>
                <w:webHidden/>
              </w:rPr>
              <w:fldChar w:fldCharType="separate"/>
            </w:r>
            <w:r w:rsidR="00A55341">
              <w:rPr>
                <w:noProof/>
                <w:webHidden/>
              </w:rPr>
              <w:t>6</w:t>
            </w:r>
            <w:r w:rsidRPr="00FB300D">
              <w:rPr>
                <w:noProof/>
                <w:webHidden/>
              </w:rPr>
              <w:fldChar w:fldCharType="end"/>
            </w:r>
          </w:hyperlink>
        </w:p>
        <w:p w14:paraId="1A98889F" w14:textId="1A8FF005" w:rsidR="00FB300D" w:rsidRPr="00FB300D" w:rsidRDefault="00FB30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5938594" w:history="1">
            <w:r w:rsidRPr="00FB300D">
              <w:rPr>
                <w:rStyle w:val="Hyperlink"/>
                <w:noProof/>
              </w:rPr>
              <w:t>Conclusion</w:t>
            </w:r>
            <w:r w:rsidRPr="00FB300D">
              <w:rPr>
                <w:noProof/>
                <w:webHidden/>
              </w:rPr>
              <w:tab/>
            </w:r>
            <w:r w:rsidRPr="00FB300D">
              <w:rPr>
                <w:noProof/>
                <w:webHidden/>
              </w:rPr>
              <w:fldChar w:fldCharType="begin"/>
            </w:r>
            <w:r w:rsidRPr="00FB300D">
              <w:rPr>
                <w:noProof/>
                <w:webHidden/>
              </w:rPr>
              <w:instrText xml:space="preserve"> PAGEREF _Toc535938594 \h </w:instrText>
            </w:r>
            <w:r w:rsidRPr="00FB300D">
              <w:rPr>
                <w:noProof/>
                <w:webHidden/>
              </w:rPr>
            </w:r>
            <w:r w:rsidRPr="00FB300D">
              <w:rPr>
                <w:noProof/>
                <w:webHidden/>
              </w:rPr>
              <w:fldChar w:fldCharType="separate"/>
            </w:r>
            <w:r w:rsidR="00A55341">
              <w:rPr>
                <w:noProof/>
                <w:webHidden/>
              </w:rPr>
              <w:t>7</w:t>
            </w:r>
            <w:r w:rsidRPr="00FB300D">
              <w:rPr>
                <w:noProof/>
                <w:webHidden/>
              </w:rPr>
              <w:fldChar w:fldCharType="end"/>
            </w:r>
          </w:hyperlink>
        </w:p>
        <w:p w14:paraId="68BE032B" w14:textId="1C856E54" w:rsidR="00FB300D" w:rsidRPr="00FB300D" w:rsidRDefault="00FB30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5938595" w:history="1">
            <w:r w:rsidRPr="00FB300D">
              <w:rPr>
                <w:rStyle w:val="Hyperlink"/>
                <w:noProof/>
              </w:rPr>
              <w:t>Figure Bibliography</w:t>
            </w:r>
            <w:r w:rsidRPr="00FB300D">
              <w:rPr>
                <w:noProof/>
                <w:webHidden/>
              </w:rPr>
              <w:tab/>
            </w:r>
            <w:r w:rsidRPr="00FB300D">
              <w:rPr>
                <w:noProof/>
                <w:webHidden/>
              </w:rPr>
              <w:fldChar w:fldCharType="begin"/>
            </w:r>
            <w:r w:rsidRPr="00FB300D">
              <w:rPr>
                <w:noProof/>
                <w:webHidden/>
              </w:rPr>
              <w:instrText xml:space="preserve"> PAGEREF _Toc535938595 \h </w:instrText>
            </w:r>
            <w:r w:rsidRPr="00FB300D">
              <w:rPr>
                <w:noProof/>
                <w:webHidden/>
              </w:rPr>
            </w:r>
            <w:r w:rsidRPr="00FB300D">
              <w:rPr>
                <w:noProof/>
                <w:webHidden/>
              </w:rPr>
              <w:fldChar w:fldCharType="separate"/>
            </w:r>
            <w:r w:rsidR="00A55341">
              <w:rPr>
                <w:noProof/>
                <w:webHidden/>
              </w:rPr>
              <w:t>7</w:t>
            </w:r>
            <w:r w:rsidRPr="00FB300D">
              <w:rPr>
                <w:noProof/>
                <w:webHidden/>
              </w:rPr>
              <w:fldChar w:fldCharType="end"/>
            </w:r>
          </w:hyperlink>
        </w:p>
        <w:p w14:paraId="5C8C666E" w14:textId="2D06A6E3" w:rsidR="00FB300D" w:rsidRPr="00FB300D" w:rsidRDefault="00FB30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5938596" w:history="1">
            <w:r w:rsidRPr="00FB300D">
              <w:rPr>
                <w:rStyle w:val="Hyperlink"/>
                <w:noProof/>
              </w:rPr>
              <w:t>Bibliography</w:t>
            </w:r>
            <w:r w:rsidRPr="00FB300D">
              <w:rPr>
                <w:noProof/>
                <w:webHidden/>
              </w:rPr>
              <w:tab/>
            </w:r>
            <w:r w:rsidRPr="00FB300D">
              <w:rPr>
                <w:noProof/>
                <w:webHidden/>
              </w:rPr>
              <w:fldChar w:fldCharType="begin"/>
            </w:r>
            <w:r w:rsidRPr="00FB300D">
              <w:rPr>
                <w:noProof/>
                <w:webHidden/>
              </w:rPr>
              <w:instrText xml:space="preserve"> PAGEREF _Toc535938596 \h </w:instrText>
            </w:r>
            <w:r w:rsidRPr="00FB300D">
              <w:rPr>
                <w:noProof/>
                <w:webHidden/>
              </w:rPr>
            </w:r>
            <w:r w:rsidRPr="00FB300D">
              <w:rPr>
                <w:noProof/>
                <w:webHidden/>
              </w:rPr>
              <w:fldChar w:fldCharType="separate"/>
            </w:r>
            <w:r w:rsidR="00A55341">
              <w:rPr>
                <w:noProof/>
                <w:webHidden/>
              </w:rPr>
              <w:t>7</w:t>
            </w:r>
            <w:r w:rsidRPr="00FB300D">
              <w:rPr>
                <w:noProof/>
                <w:webHidden/>
              </w:rPr>
              <w:fldChar w:fldCharType="end"/>
            </w:r>
          </w:hyperlink>
        </w:p>
        <w:p w14:paraId="69969147" w14:textId="0BC0C214" w:rsidR="00FB300D" w:rsidRDefault="00FB300D">
          <w:r w:rsidRPr="00FB300D">
            <w:rPr>
              <w:bCs/>
              <w:noProof/>
            </w:rPr>
            <w:fldChar w:fldCharType="end"/>
          </w:r>
        </w:p>
      </w:sdtContent>
    </w:sdt>
    <w:p w14:paraId="25DA1358" w14:textId="4A940379" w:rsidR="00725380" w:rsidRDefault="00725380" w:rsidP="00725380"/>
    <w:p w14:paraId="2B8862C5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3F2106EE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19E2FA36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73EFEEBB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4CA75471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4803D6BF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2AD5A0FA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2B47CAAA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5977250A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603497F5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5CE11450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29198EB6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7E45F7B6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09BBA947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336FB405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1950F41F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35F45C6B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23CA1285" w14:textId="77777777" w:rsidR="00C00527" w:rsidRDefault="00C00527" w:rsidP="00C00527">
      <w:pPr>
        <w:jc w:val="center"/>
        <w:rPr>
          <w:rFonts w:cs="Segoe UI"/>
          <w:i/>
          <w:shd w:val="clear" w:color="auto" w:fill="FFFFFF"/>
        </w:rPr>
      </w:pPr>
    </w:p>
    <w:p w14:paraId="6CFD29A7" w14:textId="7A8A396D" w:rsidR="00C00527" w:rsidRDefault="00C00527" w:rsidP="00C00527">
      <w:pPr>
        <w:jc w:val="center"/>
      </w:pPr>
      <w:r w:rsidRPr="003B5F1D">
        <w:rPr>
          <w:rFonts w:cs="Segoe UI"/>
          <w:i/>
          <w:shd w:val="clear" w:color="auto" w:fill="FFFFFF"/>
        </w:rPr>
        <w:t>Abstract;</w:t>
      </w:r>
      <w:r w:rsidRPr="003B5F1D">
        <w:rPr>
          <w:rFonts w:cs="Segoe UI"/>
          <w:shd w:val="clear" w:color="auto" w:fill="FFFFFF"/>
        </w:rPr>
        <w:t xml:space="preserve"> The Iron Age Celtic site of </w:t>
      </w:r>
      <w:proofErr w:type="spellStart"/>
      <w:r w:rsidRPr="003B5F1D">
        <w:rPr>
          <w:rFonts w:cs="Segoe UI"/>
          <w:shd w:val="clear" w:color="auto" w:fill="FFFFFF"/>
        </w:rPr>
        <w:t>Vix</w:t>
      </w:r>
      <w:proofErr w:type="spellEnd"/>
      <w:r w:rsidRPr="003B5F1D">
        <w:rPr>
          <w:rFonts w:cs="Segoe UI"/>
          <w:shd w:val="clear" w:color="auto" w:fill="FFFFFF"/>
        </w:rPr>
        <w:t xml:space="preserve"> caused a surge of curiosity concerning the princely tombs of the time. The people of the Iron Age would have been experiencing social change as they transitioned from ‘Hallstatt’ into ‘La </w:t>
      </w:r>
      <w:proofErr w:type="spellStart"/>
      <w:r w:rsidRPr="003B5F1D">
        <w:rPr>
          <w:rFonts w:cs="Segoe UI"/>
          <w:shd w:val="clear" w:color="auto" w:fill="FFFFFF"/>
        </w:rPr>
        <w:t>Tene</w:t>
      </w:r>
      <w:proofErr w:type="spellEnd"/>
      <w:r w:rsidRPr="003B5F1D">
        <w:rPr>
          <w:rFonts w:cs="Segoe UI"/>
          <w:shd w:val="clear" w:color="auto" w:fill="FFFFFF"/>
        </w:rPr>
        <w:t xml:space="preserve">’. By examining the data from the </w:t>
      </w:r>
      <w:proofErr w:type="spellStart"/>
      <w:r w:rsidRPr="003B5F1D">
        <w:rPr>
          <w:rFonts w:cs="Segoe UI"/>
          <w:shd w:val="clear" w:color="auto" w:fill="FFFFFF"/>
        </w:rPr>
        <w:t>Vix</w:t>
      </w:r>
      <w:proofErr w:type="spellEnd"/>
      <w:r w:rsidRPr="003B5F1D">
        <w:rPr>
          <w:rFonts w:cs="Segoe UI"/>
          <w:shd w:val="clear" w:color="auto" w:fill="FFFFFF"/>
        </w:rPr>
        <w:t xml:space="preserve"> ‘princess’ burial, it is possible to determine social status changes and their representation.</w:t>
      </w:r>
    </w:p>
    <w:p w14:paraId="2B560B4E" w14:textId="1EFC7AB7" w:rsidR="00C00527" w:rsidRDefault="00C00527" w:rsidP="00725380"/>
    <w:p w14:paraId="2B7DDF47" w14:textId="0C110609" w:rsidR="00160623" w:rsidRPr="00160623" w:rsidRDefault="00160623" w:rsidP="00160623">
      <w:pPr>
        <w:pStyle w:val="Heading1"/>
        <w:rPr>
          <w:rFonts w:ascii="Arial Nova" w:hAnsi="Arial Nova"/>
          <w:b/>
          <w:color w:val="auto"/>
          <w:sz w:val="24"/>
        </w:rPr>
      </w:pPr>
      <w:bookmarkStart w:id="0" w:name="_Toc535938591"/>
      <w:r>
        <w:rPr>
          <w:rFonts w:ascii="Arial Nova" w:hAnsi="Arial Nova"/>
          <w:b/>
          <w:color w:val="auto"/>
          <w:sz w:val="24"/>
        </w:rPr>
        <w:t>Introduction</w:t>
      </w:r>
      <w:bookmarkEnd w:id="0"/>
    </w:p>
    <w:p w14:paraId="7B824DA5" w14:textId="228391E4" w:rsidR="00026AC7" w:rsidRDefault="001E5B18" w:rsidP="001E5B18">
      <w:r>
        <w:t xml:space="preserve">The Celts </w:t>
      </w:r>
      <w:r w:rsidR="00F51EEC">
        <w:rPr>
          <w:noProof/>
        </w:rPr>
        <w:t>are</w:t>
      </w:r>
      <w:r>
        <w:t xml:space="preserve"> the name for the vast and mostly mysterious pre-Roman culture of continental Europe and </w:t>
      </w:r>
      <w:r w:rsidR="00F51EEC">
        <w:t xml:space="preserve">the </w:t>
      </w:r>
      <w:r w:rsidRPr="00F51EEC">
        <w:rPr>
          <w:noProof/>
        </w:rPr>
        <w:t>British</w:t>
      </w:r>
      <w:r>
        <w:t xml:space="preserve"> Isles</w:t>
      </w:r>
      <w:r w:rsidR="00E3318A">
        <w:t xml:space="preserve">, ranging from </w:t>
      </w:r>
      <w:r w:rsidR="003D050C">
        <w:t>the Atlantic and reaching as far as Turkey</w:t>
      </w:r>
      <w:r w:rsidR="00AE2F0C">
        <w:rPr>
          <w:rStyle w:val="FootnoteReference"/>
        </w:rPr>
        <w:footnoteReference w:id="1"/>
      </w:r>
      <w:r>
        <w:t>. According to ancient sources, the Celts’ homeland ranged from the Black Sea to the Atlantic and nature nourished the land with gold</w:t>
      </w:r>
      <w:r w:rsidR="00E919D1">
        <w:rPr>
          <w:rStyle w:val="FootnoteReference"/>
        </w:rPr>
        <w:footnoteReference w:id="2"/>
      </w:r>
      <w:r>
        <w:t xml:space="preserve">. </w:t>
      </w:r>
      <w:r w:rsidR="00F51EEC">
        <w:rPr>
          <w:noProof/>
        </w:rPr>
        <w:t>T</w:t>
      </w:r>
      <w:r>
        <w:t>he ‘barbaric’ tribes of Europe were said to be arrogant, prideful and fearless in the face of death</w:t>
      </w:r>
      <w:r w:rsidR="007E6DFD" w:rsidRPr="007E6DFD">
        <w:rPr>
          <w:noProof/>
        </w:rPr>
        <w:t>,</w:t>
      </w:r>
      <w:r w:rsidR="007E6DFD">
        <w:rPr>
          <w:noProof/>
        </w:rPr>
        <w:t xml:space="preserve"> </w:t>
      </w:r>
      <w:r w:rsidRPr="007E6DFD">
        <w:rPr>
          <w:noProof/>
        </w:rPr>
        <w:t>a formidable force but rather simple in cognitive development</w:t>
      </w:r>
      <w:r w:rsidR="00E2790D">
        <w:rPr>
          <w:rStyle w:val="FootnoteReference"/>
          <w:noProof/>
        </w:rPr>
        <w:footnoteReference w:id="3"/>
      </w:r>
      <w:r>
        <w:t>. However, the archaeological record displays</w:t>
      </w:r>
      <w:r w:rsidR="00CD47EA">
        <w:t xml:space="preserve"> that</w:t>
      </w:r>
      <w:r>
        <w:t xml:space="preserve"> these people were complex, creative and competitive</w:t>
      </w:r>
      <w:r w:rsidR="00E919D1">
        <w:rPr>
          <w:rStyle w:val="FootnoteReference"/>
        </w:rPr>
        <w:footnoteReference w:id="4"/>
      </w:r>
      <w:r w:rsidR="00E919D1">
        <w:t xml:space="preserve">. </w:t>
      </w:r>
      <w:r>
        <w:t>They did not obliterate cultures as they settled in lands, but integrated</w:t>
      </w:r>
      <w:r w:rsidR="00E919D1">
        <w:t xml:space="preserve"> and</w:t>
      </w:r>
      <w:r>
        <w:t xml:space="preserve"> had complex hierarchal systems, demanding respect and relishing in </w:t>
      </w:r>
      <w:r w:rsidRPr="007E6DFD">
        <w:rPr>
          <w:noProof/>
        </w:rPr>
        <w:t>honor</w:t>
      </w:r>
      <w:r>
        <w:t xml:space="preserve">. </w:t>
      </w:r>
      <w:r w:rsidR="00C36BF5" w:rsidRPr="007E6DFD">
        <w:rPr>
          <w:noProof/>
        </w:rPr>
        <w:t>Callim</w:t>
      </w:r>
      <w:r w:rsidR="00595294" w:rsidRPr="007E6DFD">
        <w:rPr>
          <w:noProof/>
        </w:rPr>
        <w:t xml:space="preserve">achus and </w:t>
      </w:r>
      <w:r w:rsidR="006D37DC" w:rsidRPr="007E6DFD">
        <w:rPr>
          <w:noProof/>
        </w:rPr>
        <w:t>Timaeus</w:t>
      </w:r>
      <w:r w:rsidR="006D37DC">
        <w:t xml:space="preserve"> </w:t>
      </w:r>
      <w:r w:rsidR="007E6DFD">
        <w:t xml:space="preserve">both claim </w:t>
      </w:r>
      <w:r w:rsidR="00795436">
        <w:t xml:space="preserve">that the origins of the Celts </w:t>
      </w:r>
      <w:r w:rsidR="007D4055" w:rsidRPr="007D4055">
        <w:rPr>
          <w:noProof/>
        </w:rPr>
        <w:t>lies</w:t>
      </w:r>
      <w:r w:rsidR="007D4055">
        <w:rPr>
          <w:noProof/>
        </w:rPr>
        <w:t xml:space="preserve"> within the</w:t>
      </w:r>
      <w:r w:rsidR="00671D50">
        <w:t xml:space="preserve"> mythical</w:t>
      </w:r>
      <w:r w:rsidR="00B617A5">
        <w:t xml:space="preserve"> </w:t>
      </w:r>
      <w:r w:rsidR="00D66AD8">
        <w:rPr>
          <w:noProof/>
        </w:rPr>
        <w:t>C</w:t>
      </w:r>
      <w:r w:rsidR="00671D50" w:rsidRPr="00D66AD8">
        <w:rPr>
          <w:noProof/>
        </w:rPr>
        <w:t>yclops</w:t>
      </w:r>
      <w:r w:rsidR="00671D50">
        <w:t xml:space="preserve"> or Titans</w:t>
      </w:r>
      <w:r w:rsidR="00E919D1">
        <w:rPr>
          <w:rStyle w:val="FootnoteReference"/>
        </w:rPr>
        <w:footnoteReference w:id="5"/>
      </w:r>
      <w:r w:rsidR="00795436">
        <w:t xml:space="preserve">, likely </w:t>
      </w:r>
      <w:r w:rsidR="00795436" w:rsidRPr="00D66AD8">
        <w:rPr>
          <w:noProof/>
        </w:rPr>
        <w:t>emphasi</w:t>
      </w:r>
      <w:r w:rsidR="00D66AD8">
        <w:rPr>
          <w:noProof/>
        </w:rPr>
        <w:t>z</w:t>
      </w:r>
      <w:r w:rsidR="00795436" w:rsidRPr="00D66AD8">
        <w:rPr>
          <w:noProof/>
        </w:rPr>
        <w:t>ing</w:t>
      </w:r>
      <w:r w:rsidR="00795436">
        <w:t xml:space="preserve"> their ferocity and mystery, but also innate barbarism and polarity to ‘</w:t>
      </w:r>
      <w:r w:rsidR="00795436" w:rsidRPr="00D66AD8">
        <w:rPr>
          <w:noProof/>
        </w:rPr>
        <w:t>civili</w:t>
      </w:r>
      <w:r w:rsidR="00D66AD8">
        <w:rPr>
          <w:noProof/>
        </w:rPr>
        <w:t>z</w:t>
      </w:r>
      <w:r w:rsidR="00795436" w:rsidRPr="00D66AD8">
        <w:rPr>
          <w:noProof/>
        </w:rPr>
        <w:t>ed</w:t>
      </w:r>
      <w:r w:rsidR="00795436">
        <w:t>’ Classical authors.</w:t>
      </w:r>
      <w:r w:rsidR="00DE2A6B">
        <w:t xml:space="preserve"> </w:t>
      </w:r>
      <w:r w:rsidR="007E536E">
        <w:t>This causes issues concerning the accuracy of the data provided, and one must be wary of allowing cultural</w:t>
      </w:r>
      <w:r w:rsidR="000C1BED">
        <w:t xml:space="preserve"> stereotypes to affect the way the Celts are examined. The classification of the culture </w:t>
      </w:r>
      <w:r w:rsidR="004F1FE9">
        <w:t xml:space="preserve">emerged due to linguistic analysis, yet this is problematic because this form of cultural identification would liken English speakers as Germanic. </w:t>
      </w:r>
      <w:r w:rsidR="0031072A">
        <w:t xml:space="preserve">The placement of identity onto peoples of the past for ease of academic classification does not equate to the ancients of </w:t>
      </w:r>
      <w:r w:rsidR="00C12911">
        <w:t xml:space="preserve">prehistoric </w:t>
      </w:r>
      <w:r w:rsidR="00B03A1A">
        <w:t>Europe identifying</w:t>
      </w:r>
      <w:r w:rsidR="0031072A">
        <w:t xml:space="preserve"> themselves </w:t>
      </w:r>
      <w:r w:rsidR="00C12911">
        <w:t>as one cultural</w:t>
      </w:r>
      <w:r w:rsidR="00B03A1A">
        <w:t xml:space="preserve"> or ethnical</w:t>
      </w:r>
      <w:r w:rsidR="00C12911">
        <w:t xml:space="preserve"> unit</w:t>
      </w:r>
      <w:r w:rsidR="00E919D1">
        <w:rPr>
          <w:rStyle w:val="FootnoteReference"/>
        </w:rPr>
        <w:footnoteReference w:id="6"/>
      </w:r>
      <w:r w:rsidR="00E919D1">
        <w:t>.</w:t>
      </w:r>
      <w:r w:rsidR="002A155C">
        <w:t xml:space="preserve"> </w:t>
      </w:r>
      <w:r w:rsidR="004E6E38">
        <w:t>However,</w:t>
      </w:r>
      <w:r w:rsidR="002A155C">
        <w:t xml:space="preserve"> </w:t>
      </w:r>
      <w:r w:rsidR="006D32A1">
        <w:rPr>
          <w:noProof/>
        </w:rPr>
        <w:t>regarding</w:t>
      </w:r>
      <w:r w:rsidR="002A155C">
        <w:t xml:space="preserve"> archaeology,</w:t>
      </w:r>
      <w:r w:rsidR="004E6E38">
        <w:t xml:space="preserve"> the classification is divided into two separate </w:t>
      </w:r>
      <w:r w:rsidR="00660BC3">
        <w:t xml:space="preserve">types of material culture evident within these lands; Hallstatt and La </w:t>
      </w:r>
      <w:proofErr w:type="spellStart"/>
      <w:r w:rsidR="00660BC3">
        <w:t>Tene</w:t>
      </w:r>
      <w:proofErr w:type="spellEnd"/>
      <w:r w:rsidR="00660BC3">
        <w:t xml:space="preserve"> respectively</w:t>
      </w:r>
      <w:r w:rsidR="00E919D1">
        <w:rPr>
          <w:rStyle w:val="FootnoteReference"/>
        </w:rPr>
        <w:footnoteReference w:id="7"/>
      </w:r>
      <w:r w:rsidR="00660BC3">
        <w:t xml:space="preserve">. </w:t>
      </w:r>
      <w:r w:rsidR="00DD0931">
        <w:t>Hallstatt</w:t>
      </w:r>
      <w:r w:rsidR="00660BC3">
        <w:t xml:space="preserve"> takes its’ name from </w:t>
      </w:r>
      <w:r w:rsidR="00937D2A">
        <w:t>the salt mines excavated during 18</w:t>
      </w:r>
      <w:r w:rsidR="00537803">
        <w:t xml:space="preserve">46-1863, revealing </w:t>
      </w:r>
      <w:r w:rsidR="00537803" w:rsidRPr="006D32A1">
        <w:rPr>
          <w:noProof/>
        </w:rPr>
        <w:t>art</w:t>
      </w:r>
      <w:r w:rsidR="006D32A1">
        <w:rPr>
          <w:noProof/>
        </w:rPr>
        <w:t>i</w:t>
      </w:r>
      <w:r w:rsidR="00537803" w:rsidRPr="006D32A1">
        <w:rPr>
          <w:noProof/>
        </w:rPr>
        <w:t>facts</w:t>
      </w:r>
      <w:r w:rsidR="00537803">
        <w:t xml:space="preserve"> dating to the seventh and sixth century BC</w:t>
      </w:r>
      <w:r w:rsidR="00E919D1">
        <w:rPr>
          <w:rStyle w:val="FootnoteReference"/>
        </w:rPr>
        <w:footnoteReference w:id="8"/>
      </w:r>
      <w:r w:rsidR="00537803">
        <w:t>.</w:t>
      </w:r>
      <w:r w:rsidR="007B6692">
        <w:t xml:space="preserve"> However, further excavations </w:t>
      </w:r>
      <w:r w:rsidR="007D4055">
        <w:t xml:space="preserve">identify </w:t>
      </w:r>
      <w:r w:rsidR="007B6692">
        <w:t>the Hallstatt form</w:t>
      </w:r>
      <w:r w:rsidR="00B62CFC" w:rsidRPr="00B62CFC">
        <w:rPr>
          <w:noProof/>
        </w:rPr>
        <w:t xml:space="preserve"> </w:t>
      </w:r>
      <w:r w:rsidR="009E4299">
        <w:t xml:space="preserve">from 1,200 BC to </w:t>
      </w:r>
      <w:r w:rsidR="00093E6D">
        <w:t>c.500 BC</w:t>
      </w:r>
      <w:r w:rsidR="00E919D1">
        <w:rPr>
          <w:rStyle w:val="FootnoteReference"/>
        </w:rPr>
        <w:footnoteReference w:id="9"/>
      </w:r>
      <w:r w:rsidR="00093E6D">
        <w:t>.</w:t>
      </w:r>
      <w:r w:rsidR="009305BB">
        <w:t xml:space="preserve"> </w:t>
      </w:r>
      <w:r w:rsidR="00D03FC1">
        <w:t>The Hallstatt culture emerged alongside iron working and displayed many aspects of eastern and Etruscan influence</w:t>
      </w:r>
      <w:r w:rsidR="009852D6">
        <w:t xml:space="preserve">, </w:t>
      </w:r>
      <w:r w:rsidR="00FF75A5">
        <w:t xml:space="preserve">to reach </w:t>
      </w:r>
      <w:r w:rsidR="009852D6">
        <w:t xml:space="preserve">its zenith between 700-400 </w:t>
      </w:r>
      <w:r w:rsidR="008F570A">
        <w:t xml:space="preserve">BC and </w:t>
      </w:r>
      <w:r w:rsidR="00FF75A5">
        <w:t>to dominate</w:t>
      </w:r>
      <w:r w:rsidR="008F570A">
        <w:t xml:space="preserve"> </w:t>
      </w:r>
      <w:r w:rsidR="002A5005">
        <w:t xml:space="preserve">western and central Europe through </w:t>
      </w:r>
      <w:r w:rsidR="00B62CFC">
        <w:rPr>
          <w:noProof/>
        </w:rPr>
        <w:t>extensiv</w:t>
      </w:r>
      <w:r w:rsidR="002A5005" w:rsidRPr="00B62CFC">
        <w:rPr>
          <w:noProof/>
        </w:rPr>
        <w:t>e</w:t>
      </w:r>
      <w:r w:rsidR="002A5005">
        <w:t xml:space="preserve"> commercial contacts</w:t>
      </w:r>
      <w:r w:rsidR="00E919D1">
        <w:rPr>
          <w:rStyle w:val="FootnoteReference"/>
        </w:rPr>
        <w:footnoteReference w:id="10"/>
      </w:r>
      <w:r w:rsidR="002A5005" w:rsidRPr="00B62CFC">
        <w:rPr>
          <w:noProof/>
        </w:rPr>
        <w:t>.</w:t>
      </w:r>
      <w:r w:rsidR="009C25D3">
        <w:rPr>
          <w:noProof/>
        </w:rPr>
        <w:t xml:space="preserve"> </w:t>
      </w:r>
      <w:r w:rsidR="000C7D2B">
        <w:rPr>
          <w:noProof/>
        </w:rPr>
        <w:t xml:space="preserve">Archaeologists ascribe history and culture through burial remains and associated grave goods, interacting with the material </w:t>
      </w:r>
      <w:r w:rsidR="000C7D2B">
        <w:rPr>
          <w:noProof/>
        </w:rPr>
        <w:lastRenderedPageBreak/>
        <w:t xml:space="preserve">culture to understand the grander image of Celtic cultural life, including </w:t>
      </w:r>
      <w:r w:rsidR="00B5378A">
        <w:t xml:space="preserve">social identity, class equality, gender roles and ritualization while also displaying what is culturally </w:t>
      </w:r>
      <w:r w:rsidR="00B5378A" w:rsidRPr="00F169F1">
        <w:rPr>
          <w:noProof/>
        </w:rPr>
        <w:t>important</w:t>
      </w:r>
      <w:r w:rsidR="00E919D1">
        <w:rPr>
          <w:rStyle w:val="FootnoteReference"/>
        </w:rPr>
        <w:footnoteReference w:id="11"/>
      </w:r>
      <w:r w:rsidR="00B5378A">
        <w:t xml:space="preserve">. </w:t>
      </w:r>
    </w:p>
    <w:p w14:paraId="2C8091E6" w14:textId="3D0A75F8" w:rsidR="00A55341" w:rsidRDefault="00A55341" w:rsidP="001E5B18"/>
    <w:p w14:paraId="555C73D9" w14:textId="1DDC1E0A" w:rsidR="00A55341" w:rsidRDefault="00A55341" w:rsidP="001E5B18"/>
    <w:p w14:paraId="20792EB1" w14:textId="4C16D38B" w:rsidR="00A55341" w:rsidRDefault="00A55341" w:rsidP="001E5B18"/>
    <w:p w14:paraId="22BE5CD4" w14:textId="5E416AA1" w:rsidR="00A55341" w:rsidRDefault="00A55341" w:rsidP="001E5B18"/>
    <w:p w14:paraId="0EA494AF" w14:textId="39A31B24" w:rsidR="00A55341" w:rsidRDefault="00A55341" w:rsidP="001E5B18"/>
    <w:p w14:paraId="41550633" w14:textId="38B2D475" w:rsidR="00A55341" w:rsidRDefault="00A55341" w:rsidP="001E5B18"/>
    <w:p w14:paraId="3F8D514A" w14:textId="67A8F257" w:rsidR="00A55341" w:rsidRDefault="00A55341" w:rsidP="001E5B18"/>
    <w:p w14:paraId="5765DDDA" w14:textId="430FDF0F" w:rsidR="00A55341" w:rsidRDefault="00A55341" w:rsidP="001E5B18"/>
    <w:p w14:paraId="52ED21D5" w14:textId="77777777" w:rsidR="00A55341" w:rsidRDefault="00A55341" w:rsidP="001E5B18"/>
    <w:p w14:paraId="4A4A45C3" w14:textId="5575C4E8" w:rsidR="00160623" w:rsidRPr="00160623" w:rsidRDefault="00160623" w:rsidP="00160623">
      <w:pPr>
        <w:pStyle w:val="Heading1"/>
        <w:rPr>
          <w:rFonts w:ascii="Arial Nova" w:hAnsi="Arial Nova"/>
          <w:b/>
          <w:noProof/>
          <w:color w:val="auto"/>
          <w:sz w:val="24"/>
        </w:rPr>
      </w:pPr>
      <w:bookmarkStart w:id="1" w:name="_Toc535938592"/>
      <w:r>
        <w:rPr>
          <w:rFonts w:ascii="Arial Nova" w:hAnsi="Arial Nova"/>
          <w:b/>
          <w:noProof/>
          <w:color w:val="auto"/>
          <w:sz w:val="24"/>
        </w:rPr>
        <w:t>Case study site: Vix</w:t>
      </w:r>
      <w:bookmarkEnd w:id="1"/>
    </w:p>
    <w:p w14:paraId="0D7F9453" w14:textId="2BB4FCE5" w:rsidR="000C3F54" w:rsidRDefault="00F5721E" w:rsidP="001E5B18">
      <w:r>
        <w:t>The focus of this report lay in archaeological data</w:t>
      </w:r>
      <w:r w:rsidR="004536BC">
        <w:t xml:space="preserve"> of </w:t>
      </w:r>
      <w:proofErr w:type="spellStart"/>
      <w:r w:rsidR="004536BC">
        <w:t>Vix</w:t>
      </w:r>
      <w:proofErr w:type="spellEnd"/>
      <w:r w:rsidR="004536BC">
        <w:t>,</w:t>
      </w:r>
      <w:r w:rsidR="00E6170B">
        <w:t xml:space="preserve"> France (</w:t>
      </w:r>
      <w:r w:rsidR="004536BC">
        <w:t xml:space="preserve">also known as Mont </w:t>
      </w:r>
      <w:proofErr w:type="spellStart"/>
      <w:r w:rsidR="004536BC">
        <w:t>Lassois</w:t>
      </w:r>
      <w:proofErr w:type="spellEnd"/>
      <w:r w:rsidR="00E6170B">
        <w:t>)</w:t>
      </w:r>
      <w:r w:rsidR="00003A5D">
        <w:t>,</w:t>
      </w:r>
      <w:r w:rsidR="00AA7153">
        <w:t xml:space="preserve"> and</w:t>
      </w:r>
      <w:r>
        <w:t xml:space="preserve"> </w:t>
      </w:r>
      <w:r w:rsidRPr="00F169F1">
        <w:rPr>
          <w:noProof/>
        </w:rPr>
        <w:t>specifically</w:t>
      </w:r>
      <w:r w:rsidR="00AA7153">
        <w:t xml:space="preserve"> at its’</w:t>
      </w:r>
      <w:r>
        <w:t xml:space="preserve"> burials. </w:t>
      </w:r>
      <w:r w:rsidR="00F5387E">
        <w:t>The settlement dates to the Late and Final Hallstatt periods</w:t>
      </w:r>
      <w:r w:rsidR="0041629D">
        <w:t xml:space="preserve"> (</w:t>
      </w:r>
      <w:r w:rsidR="007041D2">
        <w:t>500-480 BC)</w:t>
      </w:r>
      <w:r w:rsidR="00E919D1">
        <w:rPr>
          <w:rStyle w:val="FootnoteReference"/>
        </w:rPr>
        <w:footnoteReference w:id="12"/>
      </w:r>
      <w:r w:rsidR="00F5387E">
        <w:t xml:space="preserve">. </w:t>
      </w:r>
      <w:r w:rsidR="00EA5E0C">
        <w:t xml:space="preserve">It </w:t>
      </w:r>
      <w:r w:rsidR="00EA5E0C" w:rsidRPr="009A54C0">
        <w:rPr>
          <w:noProof/>
        </w:rPr>
        <w:t xml:space="preserve">is </w:t>
      </w:r>
      <w:r w:rsidR="009A54C0">
        <w:rPr>
          <w:noProof/>
        </w:rPr>
        <w:t>evident</w:t>
      </w:r>
      <w:r w:rsidR="00EA5E0C">
        <w:t xml:space="preserve"> that this was a beneficial location for trade roots, importing from the Mediterranean as well as Cornwall and still-mysterious </w:t>
      </w:r>
      <w:proofErr w:type="spellStart"/>
      <w:r w:rsidR="00EA5E0C">
        <w:t>Cassiterides</w:t>
      </w:r>
      <w:proofErr w:type="spellEnd"/>
      <w:r w:rsidR="00E919D1">
        <w:rPr>
          <w:rStyle w:val="FootnoteReference"/>
        </w:rPr>
        <w:footnoteReference w:id="13"/>
      </w:r>
      <w:r w:rsidR="00EA5E0C">
        <w:t xml:space="preserve">. </w:t>
      </w:r>
      <w:r w:rsidR="00A70DAE">
        <w:t xml:space="preserve">Moreover, the topographical setting provided strong natural </w:t>
      </w:r>
      <w:r w:rsidR="00A70DAE" w:rsidRPr="007564E4">
        <w:rPr>
          <w:noProof/>
        </w:rPr>
        <w:t>defen</w:t>
      </w:r>
      <w:r w:rsidR="007564E4">
        <w:rPr>
          <w:noProof/>
        </w:rPr>
        <w:t>s</w:t>
      </w:r>
      <w:r w:rsidR="00A70DAE" w:rsidRPr="007564E4">
        <w:rPr>
          <w:noProof/>
        </w:rPr>
        <w:t>es</w:t>
      </w:r>
      <w:r w:rsidR="00A70DAE">
        <w:t xml:space="preserve"> yet the inhabitants fortified using zig-zag ditches, causing control over both waterway and road access</w:t>
      </w:r>
      <w:r w:rsidR="00E919D1">
        <w:rPr>
          <w:rStyle w:val="FootnoteReference"/>
        </w:rPr>
        <w:footnoteReference w:id="14"/>
      </w:r>
      <w:r w:rsidR="00A53FE3">
        <w:t xml:space="preserve">. </w:t>
      </w:r>
      <w:r w:rsidR="00EA5E0C" w:rsidRPr="007564E4">
        <w:rPr>
          <w:noProof/>
        </w:rPr>
        <w:t xml:space="preserve">Due to the </w:t>
      </w:r>
      <w:r w:rsidR="00EA5E0C" w:rsidRPr="008E5593">
        <w:rPr>
          <w:noProof/>
        </w:rPr>
        <w:t>fortifications</w:t>
      </w:r>
      <w:r w:rsidR="00EB2BA9" w:rsidRPr="007564E4">
        <w:rPr>
          <w:noProof/>
        </w:rPr>
        <w:t>,</w:t>
      </w:r>
      <w:r w:rsidR="00EA5E0C" w:rsidRPr="007564E4">
        <w:rPr>
          <w:noProof/>
        </w:rPr>
        <w:t xml:space="preserve"> flowing trade</w:t>
      </w:r>
      <w:r w:rsidR="00D67F2A" w:rsidRPr="007564E4">
        <w:rPr>
          <w:noProof/>
        </w:rPr>
        <w:t>,</w:t>
      </w:r>
      <w:r w:rsidR="00EB2BA9" w:rsidRPr="007564E4">
        <w:rPr>
          <w:noProof/>
        </w:rPr>
        <w:t xml:space="preserve"> planned urban-scape</w:t>
      </w:r>
      <w:r w:rsidR="00AC55DC">
        <w:rPr>
          <w:noProof/>
        </w:rPr>
        <w:t>,</w:t>
      </w:r>
      <w:r w:rsidR="00EB2BA9" w:rsidRPr="007564E4">
        <w:rPr>
          <w:noProof/>
        </w:rPr>
        <w:t xml:space="preserve"> </w:t>
      </w:r>
      <w:r w:rsidR="00EB2BA9" w:rsidRPr="00AC55DC">
        <w:rPr>
          <w:noProof/>
        </w:rPr>
        <w:t>and</w:t>
      </w:r>
      <w:r w:rsidR="00D67F2A" w:rsidRPr="007564E4">
        <w:rPr>
          <w:noProof/>
        </w:rPr>
        <w:t xml:space="preserve"> granaries,</w:t>
      </w:r>
      <w:r w:rsidR="003C2133" w:rsidRPr="007564E4">
        <w:rPr>
          <w:noProof/>
        </w:rPr>
        <w:t xml:space="preserve"> agricultural pens,</w:t>
      </w:r>
      <w:r w:rsidR="00D67F2A" w:rsidRPr="007564E4">
        <w:rPr>
          <w:noProof/>
        </w:rPr>
        <w:t xml:space="preserve"> silos </w:t>
      </w:r>
      <w:r w:rsidR="00D67F2A" w:rsidRPr="0027561D">
        <w:rPr>
          <w:noProof/>
        </w:rPr>
        <w:t>and</w:t>
      </w:r>
      <w:r w:rsidR="00D67F2A" w:rsidRPr="007564E4">
        <w:rPr>
          <w:noProof/>
        </w:rPr>
        <w:t xml:space="preserve"> wells</w:t>
      </w:r>
      <w:r w:rsidR="00E919D1" w:rsidRPr="007564E4">
        <w:rPr>
          <w:rStyle w:val="FootnoteReference"/>
          <w:noProof/>
        </w:rPr>
        <w:footnoteReference w:id="15"/>
      </w:r>
      <w:r w:rsidR="00EA5E0C" w:rsidRPr="007564E4">
        <w:rPr>
          <w:noProof/>
        </w:rPr>
        <w:t xml:space="preserve">, it can </w:t>
      </w:r>
      <w:r w:rsidR="00EA5E0C" w:rsidRPr="0027561D">
        <w:rPr>
          <w:noProof/>
        </w:rPr>
        <w:t>be assumed</w:t>
      </w:r>
      <w:r w:rsidR="00EA5E0C" w:rsidRPr="007564E4">
        <w:rPr>
          <w:noProof/>
        </w:rPr>
        <w:t xml:space="preserve"> that this settlement had a dense populace</w:t>
      </w:r>
      <w:r w:rsidR="007564E4" w:rsidRPr="007564E4">
        <w:rPr>
          <w:noProof/>
        </w:rPr>
        <w:t>. D</w:t>
      </w:r>
      <w:r w:rsidR="00EA5E0C" w:rsidRPr="007564E4">
        <w:rPr>
          <w:noProof/>
        </w:rPr>
        <w:t>wellings</w:t>
      </w:r>
      <w:r w:rsidR="007564E4" w:rsidRPr="007564E4">
        <w:rPr>
          <w:noProof/>
        </w:rPr>
        <w:t xml:space="preserve"> are </w:t>
      </w:r>
      <w:r w:rsidR="00EA5E0C" w:rsidRPr="007564E4">
        <w:rPr>
          <w:noProof/>
        </w:rPr>
        <w:t xml:space="preserve">identifiable through post-holes and central hearths, being excavated across the entire mound and reaching into the marshes – it appears, so far, that only one zone of the site reveals craft </w:t>
      </w:r>
      <w:r w:rsidR="00EA5E0C" w:rsidRPr="00AC55DC">
        <w:rPr>
          <w:noProof/>
        </w:rPr>
        <w:t>speciali</w:t>
      </w:r>
      <w:r w:rsidR="00AC55DC">
        <w:rPr>
          <w:noProof/>
        </w:rPr>
        <w:t>z</w:t>
      </w:r>
      <w:r w:rsidR="00EA5E0C" w:rsidRPr="00AC55DC">
        <w:rPr>
          <w:noProof/>
        </w:rPr>
        <w:t>ation</w:t>
      </w:r>
      <w:r w:rsidR="00EA5E0C" w:rsidRPr="007564E4">
        <w:rPr>
          <w:noProof/>
        </w:rPr>
        <w:t xml:space="preserve"> specific, open aired, workshops and no market has </w:t>
      </w:r>
      <w:r w:rsidR="00EA5E0C" w:rsidRPr="0027561D">
        <w:rPr>
          <w:noProof/>
        </w:rPr>
        <w:t>been excavated</w:t>
      </w:r>
      <w:r w:rsidR="00E919D1" w:rsidRPr="007564E4">
        <w:rPr>
          <w:rStyle w:val="FootnoteReference"/>
          <w:noProof/>
        </w:rPr>
        <w:footnoteReference w:id="16"/>
      </w:r>
      <w:r w:rsidR="00EA5E0C" w:rsidRPr="007564E4">
        <w:rPr>
          <w:noProof/>
        </w:rPr>
        <w:t>.</w:t>
      </w:r>
      <w:r w:rsidR="00EA5E0C">
        <w:t xml:space="preserve"> </w:t>
      </w:r>
    </w:p>
    <w:p w14:paraId="6E4AE513" w14:textId="77777777" w:rsidR="007935CE" w:rsidRDefault="00A53FE3" w:rsidP="00477D6D">
      <w:r>
        <w:t>This ‘proto-urbanized’</w:t>
      </w:r>
      <w:r w:rsidR="00E919D1">
        <w:rPr>
          <w:rStyle w:val="FootnoteReference"/>
        </w:rPr>
        <w:footnoteReference w:id="17"/>
      </w:r>
      <w:r w:rsidR="00BC334C">
        <w:t xml:space="preserve"> </w:t>
      </w:r>
      <w:r>
        <w:t xml:space="preserve">community </w:t>
      </w:r>
      <w:r w:rsidR="00854B47">
        <w:t>housed a</w:t>
      </w:r>
      <w:r w:rsidR="004809B5">
        <w:t>n</w:t>
      </w:r>
      <w:r w:rsidR="00854B47">
        <w:t xml:space="preserve"> extraordinary burial known as ‘the Lady of </w:t>
      </w:r>
      <w:proofErr w:type="spellStart"/>
      <w:r w:rsidR="00854B47">
        <w:t>Vix</w:t>
      </w:r>
      <w:proofErr w:type="spellEnd"/>
      <w:r w:rsidR="00854B47">
        <w:t>’</w:t>
      </w:r>
      <w:r w:rsidR="009A7C86">
        <w:t xml:space="preserve"> (fig 1 from Arnold – find it)</w:t>
      </w:r>
      <w:r w:rsidR="00A432DE">
        <w:t>.</w:t>
      </w:r>
      <w:r w:rsidR="00854B47">
        <w:t xml:space="preserve"> </w:t>
      </w:r>
      <w:r w:rsidR="00A432DE">
        <w:t>A</w:t>
      </w:r>
      <w:r w:rsidR="00F73477">
        <w:t xml:space="preserve">lthough </w:t>
      </w:r>
      <w:r w:rsidR="00E4333F">
        <w:t>“</w:t>
      </w:r>
      <w:r w:rsidR="00F73477">
        <w:t xml:space="preserve">she’s been a woman, a man, and a </w:t>
      </w:r>
      <w:r w:rsidR="00F73477" w:rsidRPr="00EF0EBE">
        <w:rPr>
          <w:noProof/>
        </w:rPr>
        <w:t>transvestite</w:t>
      </w:r>
      <w:r w:rsidR="003C7F6E">
        <w:t>… a ‘barbarian aristocrat’… [and] a ‘</w:t>
      </w:r>
      <w:r w:rsidR="003C7F6E" w:rsidRPr="00AC55DC">
        <w:rPr>
          <w:noProof/>
        </w:rPr>
        <w:t>nob</w:t>
      </w:r>
      <w:r w:rsidR="00AC55DC">
        <w:rPr>
          <w:noProof/>
        </w:rPr>
        <w:t>le</w:t>
      </w:r>
      <w:r w:rsidR="003C7F6E" w:rsidRPr="00AC55DC">
        <w:rPr>
          <w:noProof/>
        </w:rPr>
        <w:t>wom</w:t>
      </w:r>
      <w:r w:rsidR="00A432DE" w:rsidRPr="00AC55DC">
        <w:rPr>
          <w:noProof/>
        </w:rPr>
        <w:t>a</w:t>
      </w:r>
      <w:r w:rsidR="003C7F6E" w:rsidRPr="00AC55DC">
        <w:rPr>
          <w:noProof/>
        </w:rPr>
        <w:t>n</w:t>
      </w:r>
      <w:r w:rsidR="003C7F6E">
        <w:t>’</w:t>
      </w:r>
      <w:r w:rsidR="00F73477">
        <w:t>”</w:t>
      </w:r>
      <w:r w:rsidR="00E919D1">
        <w:rPr>
          <w:rStyle w:val="FootnoteReference"/>
        </w:rPr>
        <w:footnoteReference w:id="18"/>
      </w:r>
      <w:r w:rsidR="00436F0C">
        <w:t>,</w:t>
      </w:r>
      <w:r w:rsidR="00F73477">
        <w:t xml:space="preserve"> </w:t>
      </w:r>
      <w:r w:rsidR="00DF015A">
        <w:t>the ‘princess’ was likely the last of her line</w:t>
      </w:r>
      <w:r w:rsidR="00E919D1">
        <w:rPr>
          <w:rStyle w:val="FootnoteReference"/>
        </w:rPr>
        <w:footnoteReference w:id="19"/>
      </w:r>
      <w:r w:rsidR="00DF015A">
        <w:t xml:space="preserve"> or </w:t>
      </w:r>
      <w:r w:rsidR="00DF015A" w:rsidRPr="00AC55DC">
        <w:rPr>
          <w:noProof/>
        </w:rPr>
        <w:t>was offered</w:t>
      </w:r>
      <w:r w:rsidR="00DF015A">
        <w:t xml:space="preserve"> as a communally beneficial sacrifice</w:t>
      </w:r>
      <w:r w:rsidR="00E919D1">
        <w:rPr>
          <w:rStyle w:val="FootnoteReference"/>
        </w:rPr>
        <w:footnoteReference w:id="20"/>
      </w:r>
      <w:r w:rsidR="00DF015A">
        <w:t xml:space="preserve">. </w:t>
      </w:r>
      <w:r w:rsidR="00145B66">
        <w:t xml:space="preserve">It </w:t>
      </w:r>
      <w:r w:rsidR="00145B66" w:rsidRPr="00EF0EBE">
        <w:rPr>
          <w:noProof/>
        </w:rPr>
        <w:t>is believed</w:t>
      </w:r>
      <w:r w:rsidR="00145B66">
        <w:t xml:space="preserve"> that she lived between 550-500 BC and died at the age of 30-35</w:t>
      </w:r>
      <w:r w:rsidR="00E919D1">
        <w:rPr>
          <w:rStyle w:val="FootnoteReference"/>
        </w:rPr>
        <w:footnoteReference w:id="21"/>
      </w:r>
      <w:r w:rsidR="00145B66">
        <w:t>.</w:t>
      </w:r>
      <w:r w:rsidR="009F46D1">
        <w:t xml:space="preserve"> </w:t>
      </w:r>
      <w:r w:rsidR="0094410B">
        <w:t xml:space="preserve">The burial chamber was </w:t>
      </w:r>
      <w:r w:rsidR="0094410B" w:rsidRPr="008E5593">
        <w:rPr>
          <w:noProof/>
        </w:rPr>
        <w:t>wooden</w:t>
      </w:r>
      <w:r w:rsidR="0094410B">
        <w:t xml:space="preserve"> </w:t>
      </w:r>
      <w:r w:rsidR="00D7487C">
        <w:t xml:space="preserve">and contained a </w:t>
      </w:r>
      <w:r w:rsidR="009E42A8">
        <w:t>highly decorated wagon box, a</w:t>
      </w:r>
      <w:r w:rsidR="00DC498E">
        <w:t xml:space="preserve"> bronze cauldron and</w:t>
      </w:r>
      <w:r w:rsidR="00827E6F">
        <w:t xml:space="preserve"> two</w:t>
      </w:r>
      <w:r w:rsidR="00DC498E">
        <w:t xml:space="preserve"> basins with decorated handles</w:t>
      </w:r>
      <w:r w:rsidR="00587A47">
        <w:rPr>
          <w:rStyle w:val="FootnoteReference"/>
        </w:rPr>
        <w:footnoteReference w:id="22"/>
      </w:r>
      <w:r w:rsidR="00827E6F">
        <w:t>.</w:t>
      </w:r>
      <w:r w:rsidR="00936E45">
        <w:t xml:space="preserve"> Local pottery </w:t>
      </w:r>
      <w:r w:rsidR="00936E45" w:rsidRPr="008E5593">
        <w:rPr>
          <w:noProof/>
        </w:rPr>
        <w:t>is</w:t>
      </w:r>
      <w:r w:rsidR="008E5593" w:rsidRPr="008E5593">
        <w:rPr>
          <w:noProof/>
        </w:rPr>
        <w:t xml:space="preserve"> also</w:t>
      </w:r>
      <w:r w:rsidR="00936E45" w:rsidRPr="008E5593">
        <w:rPr>
          <w:noProof/>
        </w:rPr>
        <w:t xml:space="preserve"> found</w:t>
      </w:r>
      <w:r w:rsidR="00936E45">
        <w:t xml:space="preserve"> in the burial</w:t>
      </w:r>
      <w:r w:rsidR="00E919D1">
        <w:rPr>
          <w:rStyle w:val="FootnoteReference"/>
        </w:rPr>
        <w:footnoteReference w:id="23"/>
      </w:r>
      <w:r w:rsidR="00936E45">
        <w:t xml:space="preserve">, </w:t>
      </w:r>
      <w:r w:rsidR="00713361">
        <w:t>but also</w:t>
      </w:r>
      <w:r w:rsidR="00936E45">
        <w:t xml:space="preserve"> a Greek krater import that is “more spectacular </w:t>
      </w:r>
      <w:r w:rsidR="00936E45" w:rsidRPr="008E5593">
        <w:rPr>
          <w:noProof/>
        </w:rPr>
        <w:t>tha</w:t>
      </w:r>
      <w:r w:rsidR="008E5593">
        <w:rPr>
          <w:noProof/>
        </w:rPr>
        <w:t>n</w:t>
      </w:r>
      <w:r w:rsidR="00936E45">
        <w:t xml:space="preserve"> </w:t>
      </w:r>
      <w:r w:rsidR="00936E45" w:rsidRPr="00EF0EBE">
        <w:rPr>
          <w:noProof/>
        </w:rPr>
        <w:t>anything</w:t>
      </w:r>
      <w:r w:rsidR="00936E45">
        <w:t xml:space="preserve"> surviving </w:t>
      </w:r>
      <w:r w:rsidR="00936E45" w:rsidRPr="00EF0EBE">
        <w:rPr>
          <w:noProof/>
        </w:rPr>
        <w:t>from Greece</w:t>
      </w:r>
      <w:r w:rsidR="00936E45">
        <w:t xml:space="preserve"> itself”</w:t>
      </w:r>
      <w:r w:rsidR="00E919D1">
        <w:rPr>
          <w:rStyle w:val="FootnoteReference"/>
        </w:rPr>
        <w:footnoteReference w:id="24"/>
      </w:r>
      <w:r w:rsidR="00936E45">
        <w:t xml:space="preserve"> </w:t>
      </w:r>
      <w:r w:rsidR="00114C69">
        <w:t>and “the largest bronze vessel known from central Europe</w:t>
      </w:r>
      <w:r w:rsidR="0027561D">
        <w:rPr>
          <w:noProof/>
        </w:rPr>
        <w:t>,”</w:t>
      </w:r>
      <w:r w:rsidR="00114C69">
        <w:t xml:space="preserve"> thus indicating the prestige attached to the item. </w:t>
      </w:r>
      <w:r w:rsidR="00114C69" w:rsidRPr="00EF0EBE">
        <w:rPr>
          <w:noProof/>
        </w:rPr>
        <w:t>Cunliff</w:t>
      </w:r>
      <w:r w:rsidR="00114C69">
        <w:t xml:space="preserve"> notes that </w:t>
      </w:r>
      <w:r w:rsidR="001411A6">
        <w:t>the tomb had all the essential items appropriate for a feast,</w:t>
      </w:r>
      <w:r w:rsidR="00E919D1">
        <w:rPr>
          <w:rStyle w:val="FootnoteReference"/>
        </w:rPr>
        <w:footnoteReference w:id="25"/>
      </w:r>
      <w:r w:rsidR="00D77784">
        <w:t xml:space="preserve"> such as a bronze pitcher, two </w:t>
      </w:r>
      <w:proofErr w:type="spellStart"/>
      <w:r w:rsidR="00D77784">
        <w:t>Attik</w:t>
      </w:r>
      <w:proofErr w:type="spellEnd"/>
      <w:r w:rsidR="00D77784">
        <w:t xml:space="preserve"> </w:t>
      </w:r>
      <w:proofErr w:type="spellStart"/>
      <w:r w:rsidR="00D77784">
        <w:t>kylikes</w:t>
      </w:r>
      <w:proofErr w:type="spellEnd"/>
      <w:r w:rsidR="00D77784">
        <w:t>, a gilde</w:t>
      </w:r>
      <w:r w:rsidR="00F937B1">
        <w:t>d</w:t>
      </w:r>
      <w:r w:rsidR="00D77784">
        <w:t>-base silver bowl</w:t>
      </w:r>
      <w:r w:rsidR="0027561D">
        <w:t>,</w:t>
      </w:r>
      <w:r w:rsidR="00F937B1">
        <w:t xml:space="preserve"> </w:t>
      </w:r>
      <w:r w:rsidR="00F937B1" w:rsidRPr="0027561D">
        <w:rPr>
          <w:noProof/>
        </w:rPr>
        <w:t>and</w:t>
      </w:r>
      <w:r w:rsidR="00F937B1">
        <w:t xml:space="preserve"> a monochrome </w:t>
      </w:r>
      <w:r w:rsidR="00F937B1" w:rsidRPr="008E5593">
        <w:rPr>
          <w:noProof/>
        </w:rPr>
        <w:t>cerami</w:t>
      </w:r>
      <w:r w:rsidR="008E5593">
        <w:rPr>
          <w:noProof/>
        </w:rPr>
        <w:t>c</w:t>
      </w:r>
      <w:r w:rsidR="00F937B1">
        <w:t xml:space="preserve"> bowl</w:t>
      </w:r>
      <w:r w:rsidR="00E919D1">
        <w:rPr>
          <w:rStyle w:val="FootnoteReference"/>
        </w:rPr>
        <w:footnoteReference w:id="26"/>
      </w:r>
      <w:r w:rsidR="00D20F57">
        <w:t xml:space="preserve">. </w:t>
      </w:r>
      <w:r w:rsidR="004C48E4">
        <w:t xml:space="preserve">Furthermore, a notable golden necklace, or </w:t>
      </w:r>
      <w:proofErr w:type="spellStart"/>
      <w:r w:rsidR="004C48E4">
        <w:t>torc</w:t>
      </w:r>
      <w:proofErr w:type="spellEnd"/>
      <w:r w:rsidR="004C48E4">
        <w:t>, with winged horse decorations</w:t>
      </w:r>
      <w:r w:rsidR="001D0EE5">
        <w:t>,</w:t>
      </w:r>
      <w:r w:rsidR="001D0EE5" w:rsidRPr="001D0EE5">
        <w:rPr>
          <w:noProof/>
        </w:rPr>
        <w:t xml:space="preserve"> </w:t>
      </w:r>
      <w:r w:rsidR="00224CD2" w:rsidRPr="001D0EE5">
        <w:rPr>
          <w:noProof/>
        </w:rPr>
        <w:t>imported</w:t>
      </w:r>
      <w:r w:rsidR="00224CD2">
        <w:t xml:space="preserve"> from the </w:t>
      </w:r>
      <w:r w:rsidR="00E919D1">
        <w:t>Iberian Peninsula</w:t>
      </w:r>
      <w:r w:rsidR="001D0EE5">
        <w:t>,</w:t>
      </w:r>
      <w:r w:rsidR="00E919D1">
        <w:rPr>
          <w:rStyle w:val="FootnoteReference"/>
        </w:rPr>
        <w:footnoteReference w:id="27"/>
      </w:r>
      <w:r w:rsidR="00F650F5">
        <w:t xml:space="preserve"> </w:t>
      </w:r>
      <w:r w:rsidR="009E43D9">
        <w:t>provides further prestige to this tomb.</w:t>
      </w:r>
      <w:r w:rsidR="00F650F5" w:rsidRPr="00F650F5">
        <w:t xml:space="preserve"> </w:t>
      </w:r>
      <w:r w:rsidR="00224CD2">
        <w:t xml:space="preserve">More </w:t>
      </w:r>
      <w:r w:rsidR="00224CD2" w:rsidRPr="001D0EE5">
        <w:rPr>
          <w:noProof/>
        </w:rPr>
        <w:t>art</w:t>
      </w:r>
      <w:r w:rsidR="001D0EE5">
        <w:rPr>
          <w:noProof/>
        </w:rPr>
        <w:t>i</w:t>
      </w:r>
      <w:r w:rsidR="00224CD2" w:rsidRPr="001D0EE5">
        <w:rPr>
          <w:noProof/>
        </w:rPr>
        <w:t>facts</w:t>
      </w:r>
      <w:r w:rsidR="00224CD2">
        <w:t xml:space="preserve"> include bracelets, earrings</w:t>
      </w:r>
      <w:r w:rsidR="001D0EE5">
        <w:t>,</w:t>
      </w:r>
      <w:r w:rsidR="00224CD2">
        <w:t xml:space="preserve"> </w:t>
      </w:r>
      <w:r w:rsidR="00224CD2" w:rsidRPr="001D0EE5">
        <w:rPr>
          <w:noProof/>
        </w:rPr>
        <w:t>and</w:t>
      </w:r>
      <w:r w:rsidR="00224CD2">
        <w:t xml:space="preserve"> broaches</w:t>
      </w:r>
      <w:r w:rsidR="00E919D1">
        <w:rPr>
          <w:rStyle w:val="FootnoteReference"/>
        </w:rPr>
        <w:footnoteReference w:id="28"/>
      </w:r>
      <w:r w:rsidR="00224CD2">
        <w:t xml:space="preserve">. </w:t>
      </w:r>
      <w:r w:rsidR="00F650F5">
        <w:t>A wagon/chariot is also present</w:t>
      </w:r>
      <w:r w:rsidR="001D0EE5">
        <w:t>,</w:t>
      </w:r>
      <w:r w:rsidR="00F650F5">
        <w:t xml:space="preserve"> </w:t>
      </w:r>
      <w:r w:rsidR="00F650F5" w:rsidRPr="001D0EE5">
        <w:rPr>
          <w:noProof/>
        </w:rPr>
        <w:t>and</w:t>
      </w:r>
      <w:r w:rsidR="00F650F5">
        <w:t xml:space="preserve"> </w:t>
      </w:r>
      <w:r w:rsidR="00224CD2">
        <w:t xml:space="preserve">all these items are </w:t>
      </w:r>
      <w:r w:rsidR="00EF0EBE">
        <w:rPr>
          <w:noProof/>
        </w:rPr>
        <w:t>appropriate</w:t>
      </w:r>
      <w:r w:rsidR="00224CD2">
        <w:t xml:space="preserve"> indicators to high state, elite, burials of the Iron age</w:t>
      </w:r>
      <w:r w:rsidR="00E919D1">
        <w:rPr>
          <w:rStyle w:val="FootnoteReference"/>
        </w:rPr>
        <w:footnoteReference w:id="29"/>
      </w:r>
      <w:r w:rsidR="00224CD2">
        <w:t>.</w:t>
      </w:r>
      <w:r w:rsidR="00974B8D">
        <w:t xml:space="preserve"> </w:t>
      </w:r>
      <w:r w:rsidR="00B2393F">
        <w:t xml:space="preserve">The </w:t>
      </w:r>
      <w:r w:rsidR="009F766B">
        <w:t xml:space="preserve">inclusion of </w:t>
      </w:r>
      <w:r w:rsidR="009F766B" w:rsidRPr="00EF0EBE">
        <w:rPr>
          <w:noProof/>
        </w:rPr>
        <w:t>high</w:t>
      </w:r>
      <w:r w:rsidR="00EF0EBE">
        <w:rPr>
          <w:noProof/>
        </w:rPr>
        <w:t>-</w:t>
      </w:r>
      <w:r w:rsidR="009F766B" w:rsidRPr="00EF0EBE">
        <w:rPr>
          <w:noProof/>
        </w:rPr>
        <w:t>status</w:t>
      </w:r>
      <w:r w:rsidR="009F766B">
        <w:t xml:space="preserve"> symbols and location within a ‘princely seat’ of Hallstatt, causes this burial to be considered a ‘First Order’</w:t>
      </w:r>
      <w:r w:rsidR="007935CE">
        <w:t>/’princely’</w:t>
      </w:r>
      <w:r w:rsidR="009F766B">
        <w:t xml:space="preserve"> grave</w:t>
      </w:r>
      <w:r w:rsidR="006E71D6">
        <w:t xml:space="preserve"> of whose inhabitant may have </w:t>
      </w:r>
      <w:r w:rsidR="00436045">
        <w:t>advanced social and political power</w:t>
      </w:r>
      <w:r w:rsidR="00E919D1">
        <w:rPr>
          <w:rStyle w:val="FootnoteReference"/>
        </w:rPr>
        <w:footnoteReference w:id="30"/>
      </w:r>
      <w:r w:rsidR="00436045">
        <w:t>.</w:t>
      </w:r>
      <w:r w:rsidR="00D20F57">
        <w:t xml:space="preserve"> </w:t>
      </w:r>
      <w:r w:rsidR="00AA3BA7">
        <w:t xml:space="preserve">They </w:t>
      </w:r>
      <w:r w:rsidR="00EF0EBE" w:rsidRPr="00EF0EBE">
        <w:rPr>
          <w:noProof/>
        </w:rPr>
        <w:t>are</w:t>
      </w:r>
      <w:r w:rsidR="00AA3BA7" w:rsidRPr="00EF0EBE">
        <w:rPr>
          <w:noProof/>
        </w:rPr>
        <w:t xml:space="preserve"> </w:t>
      </w:r>
      <w:r w:rsidR="00C603D4" w:rsidRPr="00EF0EBE">
        <w:rPr>
          <w:noProof/>
        </w:rPr>
        <w:t>named</w:t>
      </w:r>
      <w:r w:rsidR="00C603D4">
        <w:t xml:space="preserve"> as such after the discovery of wealth within, including Mediterranean imports, </w:t>
      </w:r>
      <w:r w:rsidR="00DE7F64" w:rsidRPr="00EF0EBE">
        <w:rPr>
          <w:noProof/>
        </w:rPr>
        <w:t>an</w:t>
      </w:r>
      <w:r w:rsidR="00DE7F64">
        <w:t xml:space="preserve"> </w:t>
      </w:r>
      <w:r w:rsidR="00DE7F64" w:rsidRPr="00EF0EBE">
        <w:rPr>
          <w:noProof/>
        </w:rPr>
        <w:t>assumption</w:t>
      </w:r>
      <w:r w:rsidR="00DE7F64">
        <w:t xml:space="preserve"> that </w:t>
      </w:r>
      <w:r w:rsidR="00EF0EBE">
        <w:rPr>
          <w:noProof/>
        </w:rPr>
        <w:t>valuable</w:t>
      </w:r>
      <w:r w:rsidR="00DE7F64">
        <w:t xml:space="preserve"> grave goods </w:t>
      </w:r>
      <w:r w:rsidR="00DE7F64" w:rsidRPr="00EF0EBE">
        <w:rPr>
          <w:noProof/>
        </w:rPr>
        <w:t>indicates</w:t>
      </w:r>
      <w:r w:rsidR="00DE7F64">
        <w:t xml:space="preserve"> important person</w:t>
      </w:r>
      <w:r w:rsidR="00550319">
        <w:t>s or dynasties</w:t>
      </w:r>
      <w:r w:rsidR="00E919D1">
        <w:rPr>
          <w:rStyle w:val="FootnoteReference"/>
        </w:rPr>
        <w:footnoteReference w:id="31"/>
      </w:r>
      <w:r w:rsidR="00DE7F64">
        <w:t xml:space="preserve">. </w:t>
      </w:r>
      <w:r w:rsidR="00DE7F64" w:rsidRPr="00EF0EBE">
        <w:rPr>
          <w:noProof/>
        </w:rPr>
        <w:t>This</w:t>
      </w:r>
      <w:r w:rsidR="00DE7F64">
        <w:t xml:space="preserve"> </w:t>
      </w:r>
      <w:r w:rsidR="00DE7F64" w:rsidRPr="00EF0EBE">
        <w:rPr>
          <w:noProof/>
        </w:rPr>
        <w:t xml:space="preserve">is </w:t>
      </w:r>
      <w:r w:rsidR="00674815" w:rsidRPr="00EF0EBE">
        <w:rPr>
          <w:noProof/>
        </w:rPr>
        <w:t>further enhanced</w:t>
      </w:r>
      <w:r w:rsidR="00674815">
        <w:t xml:space="preserve"> by the possible influence the Greeks had on Hallstatt culture and socio-political organisation due to considerable amounts of contacts between the cultures</w:t>
      </w:r>
      <w:r w:rsidR="00FB0D48">
        <w:rPr>
          <w:rStyle w:val="FootnoteReference"/>
        </w:rPr>
        <w:footnoteReference w:id="32"/>
      </w:r>
      <w:r w:rsidR="00674815">
        <w:t>.</w:t>
      </w:r>
      <w:r w:rsidR="00F35257">
        <w:t xml:space="preserve"> </w:t>
      </w:r>
      <w:r w:rsidR="00F35257">
        <w:lastRenderedPageBreak/>
        <w:t xml:space="preserve">However, </w:t>
      </w:r>
      <w:proofErr w:type="spellStart"/>
      <w:r w:rsidR="00F35257">
        <w:t>Milcent</w:t>
      </w:r>
      <w:proofErr w:type="spellEnd"/>
      <w:r w:rsidR="00F35257">
        <w:t xml:space="preserve"> states that it “does not evoke… a Mediterranean acropolis”</w:t>
      </w:r>
      <w:r w:rsidR="00FB0D48">
        <w:rPr>
          <w:rStyle w:val="FootnoteReference"/>
        </w:rPr>
        <w:footnoteReference w:id="33"/>
      </w:r>
      <w:r w:rsidR="000B0841">
        <w:t xml:space="preserve"> but is a continuation of traditions within Celtic lands.</w:t>
      </w:r>
      <w:r w:rsidR="00674815">
        <w:t xml:space="preserve"> </w:t>
      </w:r>
    </w:p>
    <w:p w14:paraId="188D21D2" w14:textId="77777777" w:rsidR="00A86205" w:rsidRDefault="000305E8" w:rsidP="00477D6D">
      <w:r>
        <w:t xml:space="preserve">The </w:t>
      </w:r>
      <w:proofErr w:type="spellStart"/>
      <w:r>
        <w:t>Vix</w:t>
      </w:r>
      <w:proofErr w:type="spellEnd"/>
      <w:r>
        <w:t xml:space="preserve"> burial, alongside other sites displaying female burials, indicate that women could </w:t>
      </w:r>
      <w:r w:rsidR="00F76C18">
        <w:t>doubtlessly have had personal prestige</w:t>
      </w:r>
      <w:r w:rsidR="00FB0D48">
        <w:rPr>
          <w:rStyle w:val="FootnoteReference"/>
        </w:rPr>
        <w:footnoteReference w:id="34"/>
      </w:r>
      <w:r w:rsidR="00E92719">
        <w:t>.</w:t>
      </w:r>
      <w:r w:rsidR="00525194">
        <w:t xml:space="preserve"> Hallstatt was organised around kinship relations</w:t>
      </w:r>
      <w:r w:rsidR="002C58A0">
        <w:t xml:space="preserve">, and the splendour within </w:t>
      </w:r>
      <w:r w:rsidR="002C58A0" w:rsidRPr="00EF0EBE">
        <w:rPr>
          <w:noProof/>
        </w:rPr>
        <w:t>burials</w:t>
      </w:r>
      <w:r w:rsidR="00EF0EBE">
        <w:rPr>
          <w:noProof/>
        </w:rPr>
        <w:t xml:space="preserve"> was</w:t>
      </w:r>
      <w:r w:rsidR="002C58A0">
        <w:t xml:space="preserve"> presumably indicating ‘royalty’ </w:t>
      </w:r>
      <w:r w:rsidR="005D26F4">
        <w:t>at the most, very high status at the least</w:t>
      </w:r>
      <w:r w:rsidR="00FB0D48">
        <w:rPr>
          <w:rStyle w:val="FootnoteReference"/>
        </w:rPr>
        <w:footnoteReference w:id="35"/>
      </w:r>
      <w:r w:rsidR="005D26F4">
        <w:t>.</w:t>
      </w:r>
      <w:r w:rsidR="00E92719">
        <w:t xml:space="preserve"> </w:t>
      </w:r>
      <w:r w:rsidR="00E037D1">
        <w:t>Bettina Arnold argues that women’s roles has been neglected in academia concerning this period</w:t>
      </w:r>
      <w:r w:rsidR="00C9329D">
        <w:rPr>
          <w:rStyle w:val="FootnoteReference"/>
        </w:rPr>
        <w:footnoteReference w:id="36"/>
      </w:r>
      <w:r w:rsidR="00C9329D">
        <w:t xml:space="preserve"> and argues that </w:t>
      </w:r>
      <w:r w:rsidR="00865907">
        <w:t xml:space="preserve">the inclusion of anklets in female burials could be an indication of clothing </w:t>
      </w:r>
      <w:r w:rsidR="0038581C">
        <w:t>differentiation</w:t>
      </w:r>
      <w:r w:rsidR="00865907">
        <w:t xml:space="preserve"> that depends on “</w:t>
      </w:r>
      <w:r w:rsidR="0038581C">
        <w:t>her age, marital or economic status”</w:t>
      </w:r>
      <w:r w:rsidR="00FB0D48">
        <w:rPr>
          <w:rStyle w:val="FootnoteReference"/>
        </w:rPr>
        <w:footnoteReference w:id="37"/>
      </w:r>
      <w:r w:rsidR="006955BC">
        <w:t xml:space="preserve">. </w:t>
      </w:r>
      <w:r w:rsidR="0034109E">
        <w:t xml:space="preserve">The similarity between this </w:t>
      </w:r>
      <w:r w:rsidR="0034109E" w:rsidRPr="008A6E97">
        <w:rPr>
          <w:noProof/>
        </w:rPr>
        <w:t>tumuli</w:t>
      </w:r>
      <w:r w:rsidR="0034109E">
        <w:t xml:space="preserve"> and other</w:t>
      </w:r>
      <w:r w:rsidR="00DA49E2">
        <w:t>s during this period indicate that this woman was held in high regard</w:t>
      </w:r>
      <w:r w:rsidR="00AC55AB">
        <w:t xml:space="preserve"> despite prestigious burials with women being sparse</w:t>
      </w:r>
      <w:r w:rsidR="00FB0D48">
        <w:rPr>
          <w:rStyle w:val="FootnoteReference"/>
        </w:rPr>
        <w:footnoteReference w:id="38"/>
      </w:r>
      <w:r w:rsidR="00DA49E2">
        <w:t xml:space="preserve">. </w:t>
      </w:r>
      <w:r w:rsidR="006955BC">
        <w:t xml:space="preserve">Furthermore, </w:t>
      </w:r>
      <w:r w:rsidR="00AF193A">
        <w:rPr>
          <w:noProof/>
        </w:rPr>
        <w:t>the burials appear to have</w:t>
      </w:r>
      <w:r w:rsidR="009C498F">
        <w:rPr>
          <w:noProof/>
        </w:rPr>
        <w:t xml:space="preserve"> a specific form of</w:t>
      </w:r>
      <w:r w:rsidR="00AF193A">
        <w:rPr>
          <w:noProof/>
        </w:rPr>
        <w:t xml:space="preserve"> </w:t>
      </w:r>
      <w:r w:rsidR="009C498F">
        <w:rPr>
          <w:noProof/>
        </w:rPr>
        <w:t>presentation</w:t>
      </w:r>
      <w:r w:rsidR="006955BC">
        <w:t xml:space="preserve">, with men and women having different jewellery patterns and </w:t>
      </w:r>
      <w:r w:rsidR="00AF563F">
        <w:t xml:space="preserve">‘rules’ </w:t>
      </w:r>
      <w:r w:rsidR="0031385C">
        <w:t>–</w:t>
      </w:r>
      <w:r w:rsidR="00AF563F">
        <w:t xml:space="preserve"> </w:t>
      </w:r>
      <w:r w:rsidR="0031385C">
        <w:t xml:space="preserve">due to its’ ‘First Order’ classification, the </w:t>
      </w:r>
      <w:proofErr w:type="spellStart"/>
      <w:r w:rsidR="0031385C">
        <w:t>Vix</w:t>
      </w:r>
      <w:proofErr w:type="spellEnd"/>
      <w:r w:rsidR="0031385C">
        <w:t xml:space="preserve"> burial is categorised with </w:t>
      </w:r>
      <w:r w:rsidR="00B2393F">
        <w:t>graves that display “a unique phenomenon among Iron Age burials”</w:t>
      </w:r>
      <w:r w:rsidR="00FB0D48">
        <w:rPr>
          <w:rStyle w:val="FootnoteReference"/>
        </w:rPr>
        <w:footnoteReference w:id="39"/>
      </w:r>
      <w:r w:rsidR="00B2393F">
        <w:t>.</w:t>
      </w:r>
      <w:r w:rsidR="00B2393F" w:rsidRPr="00B2393F">
        <w:t xml:space="preserve"> </w:t>
      </w:r>
    </w:p>
    <w:p w14:paraId="52181216" w14:textId="12E9EB3C" w:rsidR="00477D6D" w:rsidRDefault="007A06EC" w:rsidP="00477D6D">
      <w:r>
        <w:t>The burial was examined as a ritual</w:t>
      </w:r>
      <w:r w:rsidR="00447ECD">
        <w:t>ised sacrifice by Butler (</w:t>
      </w:r>
      <w:r w:rsidR="00894EF6">
        <w:t>2009</w:t>
      </w:r>
      <w:r w:rsidR="00FB0D48">
        <w:t>)</w:t>
      </w:r>
      <w:r w:rsidR="00447ECD">
        <w:t xml:space="preserve"> claiming: t</w:t>
      </w:r>
      <w:r w:rsidR="00D64732">
        <w:t xml:space="preserve">hese </w:t>
      </w:r>
      <w:r w:rsidR="00FC67D9">
        <w:t>monuments</w:t>
      </w:r>
      <w:r w:rsidR="00D64732">
        <w:t xml:space="preserve"> tumuli were built by the community with the intention </w:t>
      </w:r>
      <w:r w:rsidR="003E3157">
        <w:t xml:space="preserve">of sacrifice to the supernatural powers and </w:t>
      </w:r>
      <w:r w:rsidR="00FC67D9">
        <w:t xml:space="preserve">the wealth displayed is representing the </w:t>
      </w:r>
      <w:proofErr w:type="gramStart"/>
      <w:r w:rsidR="00FC67D9">
        <w:t>community as a whole, not</w:t>
      </w:r>
      <w:proofErr w:type="gramEnd"/>
      <w:r w:rsidR="00FC67D9">
        <w:t xml:space="preserve"> the individual.</w:t>
      </w:r>
      <w:r w:rsidR="005171DF">
        <w:t xml:space="preserve"> </w:t>
      </w:r>
      <w:r w:rsidR="00D01B54">
        <w:t xml:space="preserve">The inclusion of a human amongst inanimate items could indicate </w:t>
      </w:r>
      <w:r w:rsidR="008A6E97">
        <w:t xml:space="preserve">an </w:t>
      </w:r>
      <w:r w:rsidR="00D01B54" w:rsidRPr="008A6E97">
        <w:rPr>
          <w:noProof/>
        </w:rPr>
        <w:t>enhanced</w:t>
      </w:r>
      <w:r w:rsidR="00D01B54">
        <w:t xml:space="preserve"> </w:t>
      </w:r>
      <w:r w:rsidR="008F3711">
        <w:t xml:space="preserve">value of the offering and it seems such a communal event would involve celebrations, thus feasts, </w:t>
      </w:r>
      <w:r w:rsidR="001859B5">
        <w:t xml:space="preserve">to facilitate communication between the settlements’ </w:t>
      </w:r>
      <w:r w:rsidR="00B812AF">
        <w:t>inhabitants</w:t>
      </w:r>
      <w:r w:rsidR="001859B5">
        <w:t xml:space="preserve"> and their gods</w:t>
      </w:r>
      <w:r w:rsidR="008743DD">
        <w:t xml:space="preserve">. </w:t>
      </w:r>
      <w:r w:rsidR="00B812AF">
        <w:t>Remember</w:t>
      </w:r>
      <w:r w:rsidR="00EE7648">
        <w:t xml:space="preserve">, </w:t>
      </w:r>
      <w:r w:rsidR="00EE7648" w:rsidRPr="008A6E97">
        <w:rPr>
          <w:noProof/>
        </w:rPr>
        <w:t>Cunliff</w:t>
      </w:r>
      <w:r w:rsidR="00B812AF">
        <w:t xml:space="preserve"> noted that the burial included </w:t>
      </w:r>
      <w:r w:rsidR="008743DD">
        <w:t xml:space="preserve">items used within feasts (See above). </w:t>
      </w:r>
      <w:r w:rsidR="00781BCC">
        <w:t xml:space="preserve">Moreover, the site has longstanding connections to ritual and votive </w:t>
      </w:r>
      <w:r w:rsidR="00A86205">
        <w:t>activity,</w:t>
      </w:r>
      <w:r w:rsidR="00781BCC">
        <w:t xml:space="preserve"> yet the </w:t>
      </w:r>
      <w:r w:rsidR="00781BCC" w:rsidRPr="008A6E97">
        <w:rPr>
          <w:noProof/>
        </w:rPr>
        <w:t>woman</w:t>
      </w:r>
      <w:r w:rsidR="008A6E97">
        <w:rPr>
          <w:noProof/>
        </w:rPr>
        <w:t>'</w:t>
      </w:r>
      <w:r w:rsidR="00781BCC" w:rsidRPr="008A6E97">
        <w:rPr>
          <w:noProof/>
        </w:rPr>
        <w:t>s</w:t>
      </w:r>
      <w:r w:rsidR="00781BCC">
        <w:t xml:space="preserve">’ burial stands out in importance. </w:t>
      </w:r>
      <w:r w:rsidR="008743DD">
        <w:t xml:space="preserve">Furthermore, </w:t>
      </w:r>
      <w:r w:rsidR="00A430EE">
        <w:t>sacrifice was common practice when attempting to avert disaster by appeasement to the divine</w:t>
      </w:r>
      <w:r w:rsidR="00FB0D48">
        <w:rPr>
          <w:rStyle w:val="FootnoteReference"/>
        </w:rPr>
        <w:footnoteReference w:id="40"/>
      </w:r>
      <w:r w:rsidR="00A430EE">
        <w:t xml:space="preserve">. </w:t>
      </w:r>
      <w:r w:rsidR="00993146">
        <w:t xml:space="preserve">This sacrifice </w:t>
      </w:r>
      <w:r w:rsidR="007A0AA0">
        <w:t xml:space="preserve">could have enhanced her social status after death which means that the classification of ‘First Order’ can be connected to </w:t>
      </w:r>
      <w:r w:rsidR="000C1266">
        <w:t>Butlers’</w:t>
      </w:r>
      <w:r w:rsidR="007A0AA0">
        <w:t xml:space="preserve"> ideas, </w:t>
      </w:r>
      <w:r w:rsidR="00ED6E61">
        <w:t>as well as part of the ‘princely seat’ interpretations.</w:t>
      </w:r>
      <w:r w:rsidR="000C1266">
        <w:t xml:space="preserve"> </w:t>
      </w:r>
      <w:r w:rsidR="00562BFE">
        <w:t xml:space="preserve">Butler also speaks of the possibility of ‘sacral kings’ whose personal </w:t>
      </w:r>
      <w:r w:rsidR="00AD65F1">
        <w:t xml:space="preserve">prosperity was connected to the </w:t>
      </w:r>
      <w:r w:rsidR="00A86205">
        <w:t>community’s</w:t>
      </w:r>
      <w:r w:rsidR="00AD65F1">
        <w:t xml:space="preserve"> continuance and were often sacrificed to restore societal balance</w:t>
      </w:r>
      <w:r w:rsidR="00FB0D48">
        <w:rPr>
          <w:rStyle w:val="FootnoteReference"/>
        </w:rPr>
        <w:footnoteReference w:id="41"/>
      </w:r>
      <w:r w:rsidR="00AD65F1">
        <w:t xml:space="preserve">. </w:t>
      </w:r>
      <w:r w:rsidR="007D6590">
        <w:t>This notion</w:t>
      </w:r>
      <w:r w:rsidR="000C1266">
        <w:t xml:space="preserve"> of sacrificial pleading</w:t>
      </w:r>
      <w:r w:rsidR="007D6590">
        <w:t xml:space="preserve"> coupled with the </w:t>
      </w:r>
      <w:r w:rsidR="0065092B">
        <w:t>extinction of ‘princedoms’ that occurred from the 5</w:t>
      </w:r>
      <w:r w:rsidR="0065092B" w:rsidRPr="0065092B">
        <w:rPr>
          <w:vertAlign w:val="superscript"/>
        </w:rPr>
        <w:t>th</w:t>
      </w:r>
      <w:r w:rsidR="0065092B">
        <w:t xml:space="preserve"> century onwards</w:t>
      </w:r>
      <w:r w:rsidR="00FB0D48">
        <w:rPr>
          <w:rStyle w:val="FootnoteReference"/>
        </w:rPr>
        <w:footnoteReference w:id="42"/>
      </w:r>
      <w:r w:rsidR="0065092B">
        <w:t xml:space="preserve">, could indicate social changes influenced by the La </w:t>
      </w:r>
      <w:proofErr w:type="spellStart"/>
      <w:r w:rsidR="0065092B">
        <w:t>Tene</w:t>
      </w:r>
      <w:proofErr w:type="spellEnd"/>
      <w:r w:rsidR="0065092B">
        <w:t xml:space="preserve"> expansion</w:t>
      </w:r>
      <w:r w:rsidR="008C0AD1">
        <w:t xml:space="preserve"> and therefore a change in how social status is displayed through burial practices.</w:t>
      </w:r>
      <w:r w:rsidR="00B02244">
        <w:t xml:space="preserve"> </w:t>
      </w:r>
      <w:r w:rsidR="00734999">
        <w:t xml:space="preserve">The </w:t>
      </w:r>
      <w:proofErr w:type="spellStart"/>
      <w:r w:rsidR="00734999">
        <w:t>Vix</w:t>
      </w:r>
      <w:proofErr w:type="spellEnd"/>
      <w:r w:rsidR="00734999">
        <w:t xml:space="preserve"> burial dates to the end of the Hallstatt period and is possibly the last burial monument of its type built</w:t>
      </w:r>
      <w:r w:rsidR="00EF5D51">
        <w:t xml:space="preserve"> but could have been a </w:t>
      </w:r>
      <w:r w:rsidR="00190353">
        <w:t>community’s</w:t>
      </w:r>
      <w:r w:rsidR="00EF5D51">
        <w:t xml:space="preserve"> plea to divinity</w:t>
      </w:r>
      <w:r w:rsidR="00993146">
        <w:t xml:space="preserve"> to </w:t>
      </w:r>
      <w:r w:rsidR="00C43808">
        <w:t>divert the disaster of</w:t>
      </w:r>
      <w:r w:rsidR="00993146">
        <w:t>, what we now see as, the decline of Hallstatt society</w:t>
      </w:r>
      <w:r w:rsidR="00FB0D48">
        <w:rPr>
          <w:rStyle w:val="FootnoteReference"/>
        </w:rPr>
        <w:footnoteReference w:id="43"/>
      </w:r>
      <w:r w:rsidR="0063167D">
        <w:t xml:space="preserve">. </w:t>
      </w:r>
      <w:r w:rsidR="00477D6D">
        <w:t xml:space="preserve">The </w:t>
      </w:r>
      <w:r w:rsidR="008A6E97">
        <w:rPr>
          <w:noProof/>
        </w:rPr>
        <w:t>C</w:t>
      </w:r>
      <w:r w:rsidR="00477D6D" w:rsidRPr="008A6E97">
        <w:rPr>
          <w:noProof/>
        </w:rPr>
        <w:t>itadel</w:t>
      </w:r>
      <w:r w:rsidR="00477D6D">
        <w:t xml:space="preserve">, with connections to the Baltic, Adriatic, </w:t>
      </w:r>
      <w:r w:rsidR="00477D6D" w:rsidRPr="008A6E97">
        <w:rPr>
          <w:noProof/>
        </w:rPr>
        <w:t>Mediter</w:t>
      </w:r>
      <w:r w:rsidR="008A6E97">
        <w:rPr>
          <w:noProof/>
        </w:rPr>
        <w:t>ran</w:t>
      </w:r>
      <w:r w:rsidR="00477D6D" w:rsidRPr="008A6E97">
        <w:rPr>
          <w:noProof/>
        </w:rPr>
        <w:t>ean</w:t>
      </w:r>
      <w:r w:rsidR="00477D6D">
        <w:t xml:space="preserve"> </w:t>
      </w:r>
      <w:r w:rsidR="00477D6D" w:rsidRPr="00176DA7">
        <w:rPr>
          <w:noProof/>
        </w:rPr>
        <w:t>and</w:t>
      </w:r>
      <w:r w:rsidR="00477D6D">
        <w:t xml:space="preserve"> mainland Europe, fell shortly after the arrival of La </w:t>
      </w:r>
      <w:proofErr w:type="spellStart"/>
      <w:r w:rsidR="00477D6D">
        <w:t>Tene</w:t>
      </w:r>
      <w:proofErr w:type="spellEnd"/>
      <w:r w:rsidR="00477D6D">
        <w:t xml:space="preserve"> peoples by currently unknown means</w:t>
      </w:r>
      <w:r w:rsidR="00FB0D48">
        <w:rPr>
          <w:rStyle w:val="FootnoteReference"/>
        </w:rPr>
        <w:footnoteReference w:id="44"/>
      </w:r>
      <w:r w:rsidR="00477D6D">
        <w:t>.</w:t>
      </w:r>
    </w:p>
    <w:p w14:paraId="32F224A7" w14:textId="2465741F" w:rsidR="00A55341" w:rsidRDefault="00A55341" w:rsidP="00477D6D"/>
    <w:p w14:paraId="63249636" w14:textId="5478D83B" w:rsidR="00A55341" w:rsidRDefault="00A55341" w:rsidP="00477D6D"/>
    <w:p w14:paraId="3B0C3975" w14:textId="6E37CAFB" w:rsidR="00A55341" w:rsidRDefault="00A55341" w:rsidP="00477D6D"/>
    <w:p w14:paraId="6D7300E2" w14:textId="23CA1E6D" w:rsidR="00A55341" w:rsidRDefault="00A55341" w:rsidP="00477D6D"/>
    <w:p w14:paraId="1BFE10DE" w14:textId="05040A6C" w:rsidR="00A55341" w:rsidRDefault="00A55341" w:rsidP="00477D6D"/>
    <w:p w14:paraId="07108DA1" w14:textId="53A94B48" w:rsidR="00A55341" w:rsidRDefault="00A55341" w:rsidP="00477D6D"/>
    <w:p w14:paraId="20B9FE32" w14:textId="6C889C2F" w:rsidR="00A55341" w:rsidRDefault="00A55341" w:rsidP="00477D6D"/>
    <w:p w14:paraId="4FDC9CE7" w14:textId="77777777" w:rsidR="00A55341" w:rsidRDefault="00A55341" w:rsidP="00477D6D"/>
    <w:p w14:paraId="7CB4B384" w14:textId="0B9EC6F2" w:rsidR="00337A3D" w:rsidRPr="00337A3D" w:rsidRDefault="00337A3D" w:rsidP="00337A3D">
      <w:pPr>
        <w:pStyle w:val="Heading1"/>
        <w:rPr>
          <w:rFonts w:ascii="Arial Nova" w:hAnsi="Arial Nova"/>
          <w:b/>
          <w:color w:val="auto"/>
          <w:sz w:val="24"/>
        </w:rPr>
      </w:pPr>
      <w:bookmarkStart w:id="2" w:name="_Toc535938593"/>
      <w:r w:rsidRPr="00337A3D">
        <w:rPr>
          <w:rFonts w:ascii="Arial Nova" w:hAnsi="Arial Nova"/>
          <w:b/>
          <w:color w:val="auto"/>
          <w:sz w:val="24"/>
        </w:rPr>
        <w:t xml:space="preserve">La </w:t>
      </w:r>
      <w:proofErr w:type="spellStart"/>
      <w:r w:rsidRPr="00337A3D">
        <w:rPr>
          <w:rFonts w:ascii="Arial Nova" w:hAnsi="Arial Nova"/>
          <w:b/>
          <w:color w:val="auto"/>
          <w:sz w:val="24"/>
        </w:rPr>
        <w:t>Tene</w:t>
      </w:r>
      <w:proofErr w:type="spellEnd"/>
      <w:r w:rsidRPr="00337A3D">
        <w:rPr>
          <w:rFonts w:ascii="Arial Nova" w:hAnsi="Arial Nova"/>
          <w:b/>
          <w:color w:val="auto"/>
          <w:sz w:val="24"/>
        </w:rPr>
        <w:t xml:space="preserve"> Takeover</w:t>
      </w:r>
      <w:bookmarkEnd w:id="2"/>
    </w:p>
    <w:p w14:paraId="023B5CE0" w14:textId="12BE65C5" w:rsidR="004263A7" w:rsidRDefault="00973F63" w:rsidP="00E95107">
      <w:r>
        <w:t>L</w:t>
      </w:r>
      <w:r w:rsidR="002479D4">
        <w:t xml:space="preserve">a </w:t>
      </w:r>
      <w:proofErr w:type="spellStart"/>
      <w:r w:rsidR="002479D4">
        <w:t>Tene</w:t>
      </w:r>
      <w:proofErr w:type="spellEnd"/>
      <w:r w:rsidR="002479D4">
        <w:t xml:space="preserve"> culture, identified in Switzerland, appears to have emerged from </w:t>
      </w:r>
      <w:r w:rsidR="002479D4" w:rsidRPr="00B62CFC">
        <w:rPr>
          <w:noProof/>
        </w:rPr>
        <w:t>Hallstatt</w:t>
      </w:r>
      <w:r w:rsidR="002479D4">
        <w:t xml:space="preserve"> and spread across the Celtic lands</w:t>
      </w:r>
      <w:r w:rsidR="00070154">
        <w:t xml:space="preserve">, with </w:t>
      </w:r>
      <w:r w:rsidR="002479D4">
        <w:t xml:space="preserve">the twisting, mostly </w:t>
      </w:r>
      <w:r w:rsidR="002479D4" w:rsidRPr="00176DA7">
        <w:rPr>
          <w:noProof/>
        </w:rPr>
        <w:t>metallic</w:t>
      </w:r>
      <w:r w:rsidR="002479D4">
        <w:t xml:space="preserve"> works </w:t>
      </w:r>
      <w:r w:rsidR="00070154">
        <w:t>reaching their</w:t>
      </w:r>
      <w:r w:rsidR="002479D4">
        <w:t xml:space="preserve"> zenith during the 3</w:t>
      </w:r>
      <w:r w:rsidR="002479D4" w:rsidRPr="00AF21B7">
        <w:rPr>
          <w:vertAlign w:val="superscript"/>
        </w:rPr>
        <w:t>rd</w:t>
      </w:r>
      <w:r w:rsidR="002479D4">
        <w:t xml:space="preserve"> century BC</w:t>
      </w:r>
      <w:r w:rsidR="00EB5137">
        <w:t xml:space="preserve"> - </w:t>
      </w:r>
      <w:proofErr w:type="spellStart"/>
      <w:r w:rsidR="002479D4">
        <w:t>Mansuelli</w:t>
      </w:r>
      <w:proofErr w:type="spellEnd"/>
      <w:r w:rsidR="002479D4">
        <w:t xml:space="preserve"> </w:t>
      </w:r>
      <w:r w:rsidR="00EB5137">
        <w:t>describes it as</w:t>
      </w:r>
      <w:r w:rsidR="002479D4">
        <w:t xml:space="preserve"> “highly original, inventive, and dynamic, </w:t>
      </w:r>
      <w:r w:rsidR="002479D4">
        <w:lastRenderedPageBreak/>
        <w:t>and offers different interpretational possibilities</w:t>
      </w:r>
      <w:r w:rsidR="002479D4" w:rsidRPr="00176DA7">
        <w:rPr>
          <w:noProof/>
        </w:rPr>
        <w:t>”</w:t>
      </w:r>
      <w:r w:rsidR="00FB0D48" w:rsidRPr="00176DA7">
        <w:rPr>
          <w:rStyle w:val="FootnoteReference"/>
          <w:noProof/>
        </w:rPr>
        <w:footnoteReference w:id="45"/>
      </w:r>
      <w:r w:rsidR="00FB0D48" w:rsidRPr="00176DA7">
        <w:rPr>
          <w:noProof/>
        </w:rPr>
        <w:t>.</w:t>
      </w:r>
      <w:r w:rsidR="002479D4">
        <w:t xml:space="preserve"> </w:t>
      </w:r>
      <w:proofErr w:type="spellStart"/>
      <w:r w:rsidR="00317458">
        <w:t>Mathiot</w:t>
      </w:r>
      <w:proofErr w:type="spellEnd"/>
      <w:r w:rsidR="00FB0D48">
        <w:rPr>
          <w:rStyle w:val="FootnoteReference"/>
        </w:rPr>
        <w:footnoteReference w:id="46"/>
      </w:r>
      <w:r w:rsidR="004263A7">
        <w:t xml:space="preserve"> </w:t>
      </w:r>
      <w:r w:rsidR="00E14E02">
        <w:t>state</w:t>
      </w:r>
      <w:r w:rsidR="00317458">
        <w:t>s</w:t>
      </w:r>
      <w:r w:rsidR="004263A7">
        <w:t xml:space="preserve"> that family groups would be housed together under one roof, </w:t>
      </w:r>
      <w:r w:rsidR="00BF4DC9">
        <w:t>undertaking various activities</w:t>
      </w:r>
      <w:r w:rsidR="004263A7">
        <w:t xml:space="preserve"> in the </w:t>
      </w:r>
      <w:r w:rsidR="004263A7" w:rsidRPr="00197CAE">
        <w:rPr>
          <w:noProof/>
        </w:rPr>
        <w:t>home</w:t>
      </w:r>
      <w:r w:rsidR="00BF4DC9" w:rsidRPr="00197CAE">
        <w:rPr>
          <w:noProof/>
        </w:rPr>
        <w:t>,</w:t>
      </w:r>
      <w:r w:rsidR="0085263E">
        <w:t xml:space="preserve"> and that there is clear evidence of elites residing in high-status fortified sites</w:t>
      </w:r>
      <w:r w:rsidR="00FB0D48">
        <w:rPr>
          <w:rStyle w:val="FootnoteReference"/>
        </w:rPr>
        <w:footnoteReference w:id="47"/>
      </w:r>
      <w:r w:rsidR="00AC58BE">
        <w:t xml:space="preserve">. </w:t>
      </w:r>
      <w:r w:rsidR="0085263E">
        <w:t>However, the material culture saw a dramatic shift</w:t>
      </w:r>
      <w:r w:rsidR="00C43776">
        <w:t xml:space="preserve"> which could indicate a different socio-politically </w:t>
      </w:r>
      <w:r w:rsidR="00C43776" w:rsidRPr="00BF4DC9">
        <w:rPr>
          <w:noProof/>
        </w:rPr>
        <w:t>organi</w:t>
      </w:r>
      <w:r w:rsidR="00BF4DC9">
        <w:rPr>
          <w:noProof/>
        </w:rPr>
        <w:t>z</w:t>
      </w:r>
      <w:r w:rsidR="00C43776" w:rsidRPr="00BF4DC9">
        <w:rPr>
          <w:noProof/>
        </w:rPr>
        <w:t>ed</w:t>
      </w:r>
      <w:r w:rsidR="00C43776">
        <w:t xml:space="preserve"> structure to societ</w:t>
      </w:r>
      <w:r w:rsidR="001B54C6">
        <w:t>y</w:t>
      </w:r>
      <w:r w:rsidR="00176DA7">
        <w:t>:</w:t>
      </w:r>
      <w:r w:rsidR="001B54C6">
        <w:t xml:space="preserve"> </w:t>
      </w:r>
      <w:r w:rsidR="001B54C6" w:rsidRPr="00197CAE">
        <w:rPr>
          <w:noProof/>
        </w:rPr>
        <w:t>aristocracy to agrarian</w:t>
      </w:r>
      <w:r w:rsidR="00FB0D48">
        <w:rPr>
          <w:rStyle w:val="FootnoteReference"/>
        </w:rPr>
        <w:footnoteReference w:id="48"/>
      </w:r>
      <w:r w:rsidR="001B54C6">
        <w:t xml:space="preserve">. </w:t>
      </w:r>
      <w:r w:rsidR="00223EF2">
        <w:t xml:space="preserve">In the early La </w:t>
      </w:r>
      <w:proofErr w:type="spellStart"/>
      <w:r w:rsidR="00223EF2">
        <w:t>Tene</w:t>
      </w:r>
      <w:proofErr w:type="spellEnd"/>
      <w:r w:rsidR="00223EF2">
        <w:t xml:space="preserve">, just as they had been in Hallstatt, </w:t>
      </w:r>
      <w:r w:rsidR="008A35D7">
        <w:t xml:space="preserve">similar social status display through artefacts </w:t>
      </w:r>
      <w:r w:rsidR="006975EC">
        <w:t xml:space="preserve">can be identified, </w:t>
      </w:r>
      <w:r w:rsidR="008A35D7">
        <w:t xml:space="preserve">including “wagons, bronze drinking vessels and their contents (beer, mead, or imported wine), Mediterranean imports, and bronze or gold </w:t>
      </w:r>
      <w:r w:rsidR="008A35D7" w:rsidRPr="00176DA7">
        <w:rPr>
          <w:noProof/>
        </w:rPr>
        <w:t>neck</w:t>
      </w:r>
      <w:r w:rsidR="00176DA7">
        <w:rPr>
          <w:noProof/>
        </w:rPr>
        <w:t>-</w:t>
      </w:r>
      <w:r w:rsidR="008A35D7" w:rsidRPr="00176DA7">
        <w:rPr>
          <w:noProof/>
        </w:rPr>
        <w:t>rings</w:t>
      </w:r>
      <w:r w:rsidR="008A35D7">
        <w:t xml:space="preserve"> and other personal ornaments of precious metal”</w:t>
      </w:r>
      <w:r w:rsidR="00FB0D48">
        <w:rPr>
          <w:rStyle w:val="FootnoteReference"/>
        </w:rPr>
        <w:footnoteReference w:id="49"/>
      </w:r>
      <w:r w:rsidR="008A35D7">
        <w:t>.</w:t>
      </w:r>
      <w:r w:rsidR="006975EC">
        <w:t xml:space="preserve"> </w:t>
      </w:r>
      <w:r w:rsidR="001F5DD4">
        <w:t>Generally,</w:t>
      </w:r>
      <w:r w:rsidR="006A4D0E">
        <w:t xml:space="preserve"> </w:t>
      </w:r>
      <w:r w:rsidR="00EC0135">
        <w:t>importance was not placed on the individual but “on the community and the common landscape”</w:t>
      </w:r>
      <w:r w:rsidR="00EC0135">
        <w:rPr>
          <w:rStyle w:val="FootnoteReference"/>
        </w:rPr>
        <w:footnoteReference w:id="50"/>
      </w:r>
      <w:r w:rsidR="00EC0135">
        <w:t xml:space="preserve"> instead. </w:t>
      </w:r>
      <w:r w:rsidR="00D340CB">
        <w:t>During the third century BC, funerary practices began to diffe</w:t>
      </w:r>
      <w:r w:rsidR="00197CAE">
        <w:t>r,</w:t>
      </w:r>
      <w:r w:rsidR="00D340CB">
        <w:t xml:space="preserve"> removing the importance of the community to place it onto </w:t>
      </w:r>
      <w:r w:rsidR="00D340CB" w:rsidRPr="001A3B28">
        <w:rPr>
          <w:noProof/>
        </w:rPr>
        <w:t>individual</w:t>
      </w:r>
      <w:r w:rsidR="00FB0D48">
        <w:rPr>
          <w:rStyle w:val="FootnoteReference"/>
        </w:rPr>
        <w:footnoteReference w:id="51"/>
      </w:r>
      <w:r w:rsidR="00D340CB">
        <w:t xml:space="preserve">, thus likely being the cause for extravagant funerary goods that indicate </w:t>
      </w:r>
      <w:r w:rsidR="00176DA7">
        <w:t xml:space="preserve">the </w:t>
      </w:r>
      <w:r w:rsidR="00D340CB" w:rsidRPr="00176DA7">
        <w:rPr>
          <w:noProof/>
        </w:rPr>
        <w:t>identity</w:t>
      </w:r>
      <w:r w:rsidR="00D340CB">
        <w:t xml:space="preserve"> of the buried.</w:t>
      </w:r>
      <w:r w:rsidR="00584A3D">
        <w:t xml:space="preserve"> </w:t>
      </w:r>
      <w:r w:rsidR="001B5BB0" w:rsidRPr="001A3B28">
        <w:rPr>
          <w:noProof/>
        </w:rPr>
        <w:t>This</w:t>
      </w:r>
      <w:r w:rsidR="001B5BB0">
        <w:t xml:space="preserve"> shows a shift </w:t>
      </w:r>
      <w:r w:rsidR="000E705C">
        <w:t xml:space="preserve">in </w:t>
      </w:r>
      <w:r w:rsidR="000E705C" w:rsidRPr="00FE09DA">
        <w:t>culturally important aspects such as self-identity and nature-related responsibility or respect towards the deities</w:t>
      </w:r>
      <w:r w:rsidR="000E705C">
        <w:t xml:space="preserve"> and how it </w:t>
      </w:r>
      <w:r w:rsidR="000E705C" w:rsidRPr="001A3B28">
        <w:rPr>
          <w:noProof/>
        </w:rPr>
        <w:t>is displayed</w:t>
      </w:r>
      <w:r w:rsidR="000E705C">
        <w:t xml:space="preserve"> in the community</w:t>
      </w:r>
      <w:r w:rsidR="000E705C" w:rsidRPr="00197CAE">
        <w:rPr>
          <w:noProof/>
        </w:rPr>
        <w:t>.</w:t>
      </w:r>
      <w:r w:rsidR="00BE02EA" w:rsidRPr="00197CAE">
        <w:rPr>
          <w:noProof/>
        </w:rPr>
        <w:t xml:space="preserve"> </w:t>
      </w:r>
      <w:r w:rsidR="001402F2" w:rsidRPr="00197CAE">
        <w:rPr>
          <w:noProof/>
        </w:rPr>
        <w:t>Furthermore</w:t>
      </w:r>
      <w:r w:rsidR="00BE02EA">
        <w:t xml:space="preserve">, the architecture </w:t>
      </w:r>
      <w:r w:rsidR="009D0013">
        <w:t xml:space="preserve">throughout La </w:t>
      </w:r>
      <w:proofErr w:type="spellStart"/>
      <w:r w:rsidR="009D0013">
        <w:t>Tene</w:t>
      </w:r>
      <w:proofErr w:type="spellEnd"/>
      <w:r w:rsidR="009D0013">
        <w:t xml:space="preserve"> </w:t>
      </w:r>
      <w:r w:rsidR="004263A7">
        <w:t>reflect</w:t>
      </w:r>
      <w:r w:rsidR="009D0013">
        <w:t>s</w:t>
      </w:r>
      <w:r w:rsidR="004263A7">
        <w:t xml:space="preserve"> cultural traditions and their development over time – making it possible to identify collective and individual presentations of status, identity</w:t>
      </w:r>
      <w:r w:rsidR="00197CAE">
        <w:t>,</w:t>
      </w:r>
      <w:r w:rsidR="004263A7">
        <w:t xml:space="preserve"> </w:t>
      </w:r>
      <w:r w:rsidR="004263A7" w:rsidRPr="00197CAE">
        <w:rPr>
          <w:noProof/>
        </w:rPr>
        <w:t>and</w:t>
      </w:r>
      <w:r w:rsidR="004263A7">
        <w:t xml:space="preserve"> traditions within architecture. </w:t>
      </w:r>
      <w:r w:rsidR="00A75644" w:rsidRPr="00B449B6">
        <w:rPr>
          <w:noProof/>
        </w:rPr>
        <w:t>This</w:t>
      </w:r>
      <w:r w:rsidR="00A75644">
        <w:t xml:space="preserve"> could be encouraged by the introduction of La </w:t>
      </w:r>
      <w:proofErr w:type="spellStart"/>
      <w:r w:rsidR="00A75644">
        <w:t>Tene</w:t>
      </w:r>
      <w:proofErr w:type="spellEnd"/>
      <w:r w:rsidR="00A75644">
        <w:t xml:space="preserve"> </w:t>
      </w:r>
      <w:r w:rsidR="00A75644" w:rsidRPr="00A75644">
        <w:rPr>
          <w:i/>
        </w:rPr>
        <w:t>linguistically</w:t>
      </w:r>
      <w:r w:rsidR="00A75644">
        <w:rPr>
          <w:i/>
        </w:rPr>
        <w:t xml:space="preserve">, </w:t>
      </w:r>
      <w:r w:rsidR="00A75644">
        <w:t xml:space="preserve">with the two similar languages slowly developing </w:t>
      </w:r>
      <w:r w:rsidR="006A3EE1">
        <w:t xml:space="preserve">to form an </w:t>
      </w:r>
      <w:r w:rsidR="00911AD1">
        <w:t>amalgamation</w:t>
      </w:r>
      <w:r w:rsidR="006A3EE1">
        <w:t xml:space="preserve"> of ideas and practices</w:t>
      </w:r>
      <w:r w:rsidR="00F33D9C">
        <w:t xml:space="preserve">; </w:t>
      </w:r>
      <w:r w:rsidR="00911AD1">
        <w:t xml:space="preserve">“language predates concepts and provides a means of structuring the way the world </w:t>
      </w:r>
      <w:r w:rsidR="00911AD1" w:rsidRPr="00B449B6">
        <w:rPr>
          <w:noProof/>
        </w:rPr>
        <w:t>is experienced”</w:t>
      </w:r>
      <w:r w:rsidR="00FB0D48" w:rsidRPr="00B449B6">
        <w:rPr>
          <w:rStyle w:val="FootnoteReference"/>
          <w:noProof/>
        </w:rPr>
        <w:footnoteReference w:id="52"/>
      </w:r>
      <w:r w:rsidR="00911AD1" w:rsidRPr="00B449B6">
        <w:rPr>
          <w:noProof/>
        </w:rPr>
        <w:t>.</w:t>
      </w:r>
      <w:r w:rsidR="00F33D9C">
        <w:t xml:space="preserve"> This notion that language, and therefore community, </w:t>
      </w:r>
      <w:r w:rsidR="00197CAE">
        <w:rPr>
          <w:noProof/>
        </w:rPr>
        <w:t>a</w:t>
      </w:r>
      <w:r w:rsidR="00911AD1" w:rsidRPr="00197CAE">
        <w:rPr>
          <w:noProof/>
        </w:rPr>
        <w:t>ffects</w:t>
      </w:r>
      <w:r w:rsidR="00911AD1">
        <w:t xml:space="preserve"> the individual </w:t>
      </w:r>
      <w:r w:rsidR="00911AD1" w:rsidRPr="00B449B6">
        <w:rPr>
          <w:noProof/>
        </w:rPr>
        <w:t>is seen</w:t>
      </w:r>
      <w:r w:rsidR="00911AD1">
        <w:t xml:space="preserve"> within social constructionism. This methodological approach identifies language and ritualization as a </w:t>
      </w:r>
      <w:r w:rsidR="00197CAE">
        <w:rPr>
          <w:noProof/>
        </w:rPr>
        <w:t>significant</w:t>
      </w:r>
      <w:r w:rsidR="00911AD1">
        <w:t xml:space="preserve"> form of </w:t>
      </w:r>
      <w:r w:rsidR="00911AD1" w:rsidRPr="00197CAE">
        <w:rPr>
          <w:noProof/>
        </w:rPr>
        <w:t>sociali</w:t>
      </w:r>
      <w:r w:rsidR="00197CAE">
        <w:rPr>
          <w:noProof/>
        </w:rPr>
        <w:t>z</w:t>
      </w:r>
      <w:r w:rsidR="00911AD1" w:rsidRPr="00197CAE">
        <w:rPr>
          <w:noProof/>
        </w:rPr>
        <w:t>ation</w:t>
      </w:r>
      <w:r w:rsidR="00911AD1">
        <w:t xml:space="preserve">, imparted from the </w:t>
      </w:r>
      <w:r w:rsidR="00911AD1" w:rsidRPr="00B449B6">
        <w:rPr>
          <w:noProof/>
        </w:rPr>
        <w:t>community</w:t>
      </w:r>
      <w:r w:rsidR="00911AD1">
        <w:t xml:space="preserve"> onto individuals, shaping their identity and </w:t>
      </w:r>
      <w:r w:rsidR="001A3B28">
        <w:rPr>
          <w:noProof/>
        </w:rPr>
        <w:t>a</w:t>
      </w:r>
      <w:r w:rsidR="00911AD1" w:rsidRPr="001A3B28">
        <w:rPr>
          <w:noProof/>
        </w:rPr>
        <w:t>ffecting</w:t>
      </w:r>
      <w:r w:rsidR="00911AD1">
        <w:t xml:space="preserve"> their worldviews</w:t>
      </w:r>
      <w:r w:rsidR="00FB0D48">
        <w:rPr>
          <w:rStyle w:val="FootnoteReference"/>
        </w:rPr>
        <w:footnoteReference w:id="53"/>
      </w:r>
      <w:r w:rsidR="00911AD1">
        <w:t xml:space="preserve">. Concerning Celtic datasets, this sociological theory can aid in understanding how habits and rituals </w:t>
      </w:r>
      <w:r w:rsidR="001A3B28">
        <w:rPr>
          <w:noProof/>
        </w:rPr>
        <w:t>a</w:t>
      </w:r>
      <w:r w:rsidR="00911AD1" w:rsidRPr="001A3B28">
        <w:rPr>
          <w:noProof/>
        </w:rPr>
        <w:t>ffected</w:t>
      </w:r>
      <w:r w:rsidR="00911AD1">
        <w:t xml:space="preserve"> cultural traditions </w:t>
      </w:r>
      <w:r w:rsidR="001837BE">
        <w:t xml:space="preserve">and caused a different display of social status within the archaeological record as La </w:t>
      </w:r>
      <w:proofErr w:type="spellStart"/>
      <w:r w:rsidR="001837BE">
        <w:t>Tene</w:t>
      </w:r>
      <w:proofErr w:type="spellEnd"/>
      <w:r w:rsidR="001837BE">
        <w:t xml:space="preserve"> took over, and then</w:t>
      </w:r>
      <w:r w:rsidR="001A3B28">
        <w:t xml:space="preserve"> again after the influence of the </w:t>
      </w:r>
      <w:r w:rsidR="001837BE">
        <w:t xml:space="preserve">Roman conquest. </w:t>
      </w:r>
    </w:p>
    <w:p w14:paraId="2D52E28D" w14:textId="20E6118A" w:rsidR="00A55341" w:rsidRDefault="00A55341" w:rsidP="00E95107"/>
    <w:p w14:paraId="353BADC8" w14:textId="1E573900" w:rsidR="00A55341" w:rsidRDefault="00A55341" w:rsidP="00E95107"/>
    <w:p w14:paraId="13327990" w14:textId="5C4E0436" w:rsidR="00A55341" w:rsidRDefault="00A55341" w:rsidP="00E95107"/>
    <w:p w14:paraId="3804806E" w14:textId="1C4667E2" w:rsidR="00A55341" w:rsidRDefault="00A55341" w:rsidP="00E95107"/>
    <w:p w14:paraId="540C130E" w14:textId="5326C765" w:rsidR="00A55341" w:rsidRDefault="00A55341" w:rsidP="00E95107"/>
    <w:p w14:paraId="11BC5219" w14:textId="1D896A82" w:rsidR="00A55341" w:rsidRDefault="00A55341" w:rsidP="00E95107"/>
    <w:p w14:paraId="3BC7AF0E" w14:textId="4EED6ABB" w:rsidR="00A55341" w:rsidRDefault="00A55341" w:rsidP="00E95107"/>
    <w:p w14:paraId="05245B68" w14:textId="77777777" w:rsidR="00A55341" w:rsidRDefault="00A55341" w:rsidP="00E95107">
      <w:bookmarkStart w:id="3" w:name="_GoBack"/>
      <w:bookmarkEnd w:id="3"/>
    </w:p>
    <w:p w14:paraId="422031D8" w14:textId="70B904B4" w:rsidR="00337A3D" w:rsidRPr="00337A3D" w:rsidRDefault="00337A3D" w:rsidP="00337A3D">
      <w:pPr>
        <w:pStyle w:val="Heading1"/>
        <w:rPr>
          <w:rFonts w:ascii="Arial Nova" w:hAnsi="Arial Nova"/>
          <w:b/>
          <w:color w:val="auto"/>
          <w:sz w:val="24"/>
        </w:rPr>
      </w:pPr>
      <w:bookmarkStart w:id="4" w:name="_Toc535938594"/>
      <w:r>
        <w:rPr>
          <w:rFonts w:ascii="Arial Nova" w:hAnsi="Arial Nova"/>
          <w:b/>
          <w:color w:val="auto"/>
          <w:sz w:val="24"/>
        </w:rPr>
        <w:t>Conclusion</w:t>
      </w:r>
      <w:bookmarkEnd w:id="4"/>
    </w:p>
    <w:p w14:paraId="4A57EC80" w14:textId="2D78BDFB" w:rsidR="00973F63" w:rsidRDefault="009620DB" w:rsidP="00E95107">
      <w:r>
        <w:t>This dataset contains many gaps of knowledge. Notwithstanding the prominently French and lacking English scholarship,</w:t>
      </w:r>
      <w:r w:rsidR="004828EE">
        <w:t xml:space="preserve"> the looting of burials, </w:t>
      </w:r>
      <w:r w:rsidR="009A2439">
        <w:t>inadequate excavation reports</w:t>
      </w:r>
      <w:r w:rsidR="001A3B28">
        <w:t>,</w:t>
      </w:r>
      <w:r w:rsidR="007C54A0">
        <w:t xml:space="preserve"> </w:t>
      </w:r>
      <w:r w:rsidR="007C54A0" w:rsidRPr="001A3B28">
        <w:rPr>
          <w:noProof/>
        </w:rPr>
        <w:t>and</w:t>
      </w:r>
      <w:r w:rsidR="007C54A0">
        <w:t xml:space="preserve"> the</w:t>
      </w:r>
      <w:r w:rsidR="009A2439">
        <w:t xml:space="preserve"> l</w:t>
      </w:r>
      <w:r w:rsidR="007C54A0">
        <w:t>o</w:t>
      </w:r>
      <w:r w:rsidR="009A2439">
        <w:t>ss</w:t>
      </w:r>
      <w:r w:rsidR="007C54A0">
        <w:t>,</w:t>
      </w:r>
      <w:r w:rsidR="009A2439">
        <w:t xml:space="preserve"> theft </w:t>
      </w:r>
      <w:r w:rsidR="007C54A0">
        <w:t xml:space="preserve">and </w:t>
      </w:r>
      <w:r w:rsidR="009A2439">
        <w:t xml:space="preserve">mixing up of </w:t>
      </w:r>
      <w:r w:rsidR="009A2439" w:rsidRPr="001A3B28">
        <w:rPr>
          <w:noProof/>
        </w:rPr>
        <w:t>art</w:t>
      </w:r>
      <w:r w:rsidR="001A3B28">
        <w:rPr>
          <w:noProof/>
        </w:rPr>
        <w:t>i</w:t>
      </w:r>
      <w:r w:rsidR="009A2439" w:rsidRPr="001A3B28">
        <w:rPr>
          <w:noProof/>
        </w:rPr>
        <w:t>facts</w:t>
      </w:r>
      <w:r w:rsidR="00FB0D48">
        <w:rPr>
          <w:rStyle w:val="FootnoteReference"/>
        </w:rPr>
        <w:footnoteReference w:id="54"/>
      </w:r>
      <w:r w:rsidR="009B412B">
        <w:t xml:space="preserve">, other </w:t>
      </w:r>
      <w:r w:rsidR="009B412B" w:rsidRPr="00577B3F">
        <w:rPr>
          <w:noProof/>
        </w:rPr>
        <w:t>burials</w:t>
      </w:r>
      <w:r w:rsidR="009B412B">
        <w:t xml:space="preserve"> from the </w:t>
      </w:r>
      <w:proofErr w:type="spellStart"/>
      <w:r w:rsidR="009B412B">
        <w:t>Vix</w:t>
      </w:r>
      <w:proofErr w:type="spellEnd"/>
      <w:r w:rsidR="009B412B">
        <w:t xml:space="preserve"> site, located under the citadel, are ignored</w:t>
      </w:r>
      <w:r w:rsidR="00FB0D48">
        <w:rPr>
          <w:rStyle w:val="FootnoteReference"/>
        </w:rPr>
        <w:footnoteReference w:id="55"/>
      </w:r>
      <w:r w:rsidR="009B412B">
        <w:t>.</w:t>
      </w:r>
      <w:r w:rsidR="00A4670C">
        <w:t xml:space="preserve"> Furthermore, the scholarship involving the discussion of the </w:t>
      </w:r>
      <w:proofErr w:type="spellStart"/>
      <w:r w:rsidR="00A4670C">
        <w:t>Vix</w:t>
      </w:r>
      <w:proofErr w:type="spellEnd"/>
      <w:r w:rsidR="00A4670C">
        <w:t xml:space="preserve"> burial is limited to </w:t>
      </w:r>
      <w:r w:rsidR="00B449B6">
        <w:t xml:space="preserve">a </w:t>
      </w:r>
      <w:r w:rsidR="00A4670C" w:rsidRPr="00B449B6">
        <w:rPr>
          <w:noProof/>
        </w:rPr>
        <w:t>gendered</w:t>
      </w:r>
      <w:r w:rsidR="00A4670C">
        <w:t xml:space="preserve"> </w:t>
      </w:r>
      <w:r w:rsidR="00FC6CCC">
        <w:t>discussion or</w:t>
      </w:r>
      <w:r w:rsidR="00A4670C">
        <w:t xml:space="preserve"> attempts to understand the extraordinary</w:t>
      </w:r>
      <w:r w:rsidR="00337A3D">
        <w:rPr>
          <w:noProof/>
        </w:rPr>
        <w:t xml:space="preserve"> burial without actually discussing the contents or its’ context within a grander culture.</w:t>
      </w:r>
      <w:r w:rsidR="00A45951">
        <w:t xml:space="preserve"> </w:t>
      </w:r>
    </w:p>
    <w:p w14:paraId="602BF4E6" w14:textId="1CD12363" w:rsidR="00FC6CCC" w:rsidRDefault="00FC6CCC" w:rsidP="00E95107">
      <w:r>
        <w:t xml:space="preserve">To conclude, the </w:t>
      </w:r>
      <w:proofErr w:type="spellStart"/>
      <w:r>
        <w:t>Vix</w:t>
      </w:r>
      <w:proofErr w:type="spellEnd"/>
      <w:r>
        <w:t xml:space="preserve"> burial </w:t>
      </w:r>
      <w:r w:rsidR="0062600D">
        <w:t xml:space="preserve">requires more study in the context of the culture it is placed within. The scholarship </w:t>
      </w:r>
      <w:r w:rsidR="0062600D" w:rsidRPr="00577B3F">
        <w:rPr>
          <w:noProof/>
        </w:rPr>
        <w:t>requires</w:t>
      </w:r>
      <w:r w:rsidR="0062600D">
        <w:t xml:space="preserve"> re-evaluation concerning its gendered views, while also improving the scope and quality of excavation reports. However, the site </w:t>
      </w:r>
      <w:proofErr w:type="gramStart"/>
      <w:r w:rsidR="0062600D">
        <w:t>is considered to be</w:t>
      </w:r>
      <w:proofErr w:type="gramEnd"/>
      <w:r w:rsidR="0062600D">
        <w:t xml:space="preserve"> the last elite Hallstatt burial monument and the display of social status, whether achieved through kinship </w:t>
      </w:r>
      <w:r w:rsidR="006701FA">
        <w:t xml:space="preserve">and </w:t>
      </w:r>
      <w:r w:rsidR="006701FA" w:rsidRPr="00577B3F">
        <w:rPr>
          <w:noProof/>
        </w:rPr>
        <w:t>princely</w:t>
      </w:r>
      <w:r w:rsidR="006701FA">
        <w:t xml:space="preserve"> tombs or </w:t>
      </w:r>
      <w:r w:rsidR="006701FA" w:rsidRPr="00577B3F">
        <w:rPr>
          <w:noProof/>
        </w:rPr>
        <w:t>sacrificial</w:t>
      </w:r>
      <w:r w:rsidR="006701FA">
        <w:t xml:space="preserve"> locations</w:t>
      </w:r>
      <w:r w:rsidR="00835A88">
        <w:t xml:space="preserve">, changes with the introduction of La </w:t>
      </w:r>
      <w:proofErr w:type="spellStart"/>
      <w:r w:rsidR="00835A88">
        <w:t>Tene</w:t>
      </w:r>
      <w:proofErr w:type="spellEnd"/>
      <w:r w:rsidR="00835A88">
        <w:t xml:space="preserve"> culture and eventually Roman conquest.</w:t>
      </w:r>
      <w:r w:rsidR="00FA6EE0">
        <w:t xml:space="preserve"> </w:t>
      </w:r>
      <w:r w:rsidR="00FA6EE0" w:rsidRPr="00577B3F">
        <w:rPr>
          <w:noProof/>
        </w:rPr>
        <w:t>This</w:t>
      </w:r>
      <w:r w:rsidR="00FA6EE0">
        <w:t xml:space="preserve"> could </w:t>
      </w:r>
      <w:r w:rsidR="00FA6EE0" w:rsidRPr="00577B3F">
        <w:rPr>
          <w:noProof/>
        </w:rPr>
        <w:t>be caused</w:t>
      </w:r>
      <w:r w:rsidR="00FA6EE0">
        <w:t xml:space="preserve"> </w:t>
      </w:r>
      <w:r w:rsidR="00F251B0">
        <w:rPr>
          <w:noProof/>
        </w:rPr>
        <w:t>by the</w:t>
      </w:r>
      <w:r w:rsidR="00FA6EE0">
        <w:t xml:space="preserve"> transformation of </w:t>
      </w:r>
      <w:r w:rsidR="00FA6EE0" w:rsidRPr="00577B3F">
        <w:rPr>
          <w:noProof/>
        </w:rPr>
        <w:t>identi</w:t>
      </w:r>
      <w:r w:rsidR="00577B3F">
        <w:rPr>
          <w:noProof/>
        </w:rPr>
        <w:t>t</w:t>
      </w:r>
      <w:r w:rsidR="00FA6EE0" w:rsidRPr="00577B3F">
        <w:rPr>
          <w:noProof/>
        </w:rPr>
        <w:t>y</w:t>
      </w:r>
      <w:r w:rsidR="00FA6EE0">
        <w:t xml:space="preserve"> representation and cultural traditions</w:t>
      </w:r>
      <w:r w:rsidR="00F251B0">
        <w:t xml:space="preserve"> and new languages, artwork and </w:t>
      </w:r>
      <w:r w:rsidR="00C03A9C">
        <w:t xml:space="preserve">hierarchal </w:t>
      </w:r>
      <w:r w:rsidR="00C03A9C">
        <w:lastRenderedPageBreak/>
        <w:t xml:space="preserve">structure is introduced. The </w:t>
      </w:r>
      <w:proofErr w:type="spellStart"/>
      <w:r w:rsidR="00C03A9C">
        <w:t>Vix</w:t>
      </w:r>
      <w:proofErr w:type="spellEnd"/>
      <w:r w:rsidR="00C03A9C">
        <w:t xml:space="preserve"> burials’ dataset can be used to identify these changes due to the possible connection to aversion </w:t>
      </w:r>
      <w:r w:rsidR="00810B87">
        <w:t>sacrifice and</w:t>
      </w:r>
      <w:r w:rsidR="009B2904">
        <w:t xml:space="preserve"> changing socio-political organisation.</w:t>
      </w:r>
    </w:p>
    <w:p w14:paraId="7C54CD1F" w14:textId="77777777" w:rsidR="00725380" w:rsidRDefault="00725380" w:rsidP="00725380"/>
    <w:p w14:paraId="3C63A802" w14:textId="77777777" w:rsidR="00725380" w:rsidRDefault="00725380" w:rsidP="00725380"/>
    <w:p w14:paraId="38C2D79D" w14:textId="77777777" w:rsidR="00725380" w:rsidRDefault="00725380" w:rsidP="00725380"/>
    <w:p w14:paraId="30C56D43" w14:textId="47CAE6D6" w:rsidR="00725380" w:rsidRDefault="00725380" w:rsidP="00725380"/>
    <w:p w14:paraId="4E067516" w14:textId="68C6A28F" w:rsidR="00725380" w:rsidRDefault="00725380" w:rsidP="00725380"/>
    <w:p w14:paraId="2757326D" w14:textId="77777777" w:rsidR="00725380" w:rsidRDefault="00725380" w:rsidP="00725380"/>
    <w:p w14:paraId="37CC3E7A" w14:textId="733D1CF1" w:rsidR="00725380" w:rsidRDefault="00725380" w:rsidP="00725380"/>
    <w:p w14:paraId="0A8C3886" w14:textId="4061209B" w:rsidR="00A55341" w:rsidRDefault="00A55341" w:rsidP="00725380"/>
    <w:p w14:paraId="692CAF6D" w14:textId="4454B3B8" w:rsidR="00A55341" w:rsidRDefault="00A55341" w:rsidP="00725380"/>
    <w:p w14:paraId="007F6B4C" w14:textId="06E52AD0" w:rsidR="00A55341" w:rsidRDefault="00A55341" w:rsidP="00725380"/>
    <w:p w14:paraId="20A82C5B" w14:textId="7886FF69" w:rsidR="00A55341" w:rsidRDefault="00A55341" w:rsidP="00725380"/>
    <w:p w14:paraId="6E0156A7" w14:textId="40C19294" w:rsidR="00A55341" w:rsidRDefault="00A55341" w:rsidP="00725380"/>
    <w:p w14:paraId="5D2118A5" w14:textId="7A5A1EAF" w:rsidR="00A55341" w:rsidRDefault="00A55341" w:rsidP="00725380"/>
    <w:p w14:paraId="6E581FED" w14:textId="50A03CA7" w:rsidR="00A55341" w:rsidRDefault="00A55341" w:rsidP="00725380"/>
    <w:p w14:paraId="2E43B9FF" w14:textId="35138EB7" w:rsidR="00A55341" w:rsidRDefault="00A55341" w:rsidP="00725380"/>
    <w:p w14:paraId="4A56C11F" w14:textId="685FDFBF" w:rsidR="00A55341" w:rsidRDefault="00A55341" w:rsidP="00725380"/>
    <w:p w14:paraId="41178884" w14:textId="2D6159FD" w:rsidR="00A55341" w:rsidRDefault="00A55341" w:rsidP="00725380"/>
    <w:p w14:paraId="0AC60891" w14:textId="77777777" w:rsidR="00A55341" w:rsidRDefault="00A55341" w:rsidP="00725380"/>
    <w:p w14:paraId="2DE0FD15" w14:textId="20FD7DB5" w:rsidR="00CD13FB" w:rsidRPr="00A55341" w:rsidRDefault="00C41221" w:rsidP="00C41221">
      <w:pPr>
        <w:pStyle w:val="Heading1"/>
        <w:rPr>
          <w:rFonts w:ascii="Arial Nova" w:hAnsi="Arial Nova"/>
          <w:b/>
          <w:color w:val="auto"/>
          <w:sz w:val="28"/>
        </w:rPr>
      </w:pPr>
      <w:bookmarkStart w:id="5" w:name="_Toc535938595"/>
      <w:r w:rsidRPr="00A55341">
        <w:rPr>
          <w:rFonts w:ascii="Arial Nova" w:hAnsi="Arial Nova"/>
          <w:b/>
          <w:color w:val="auto"/>
          <w:sz w:val="28"/>
        </w:rPr>
        <w:t>Figure Bibliography</w:t>
      </w:r>
      <w:bookmarkEnd w:id="5"/>
    </w:p>
    <w:p w14:paraId="6CE4431E" w14:textId="77777777" w:rsidR="00725380" w:rsidRPr="00725380" w:rsidRDefault="00725380" w:rsidP="00725380">
      <w:pPr>
        <w:rPr>
          <w:sz w:val="18"/>
        </w:rPr>
      </w:pPr>
    </w:p>
    <w:p w14:paraId="41DB20FD" w14:textId="101B8875" w:rsidR="00C41221" w:rsidRPr="00725380" w:rsidRDefault="00C41221" w:rsidP="00C41221">
      <w:r w:rsidRPr="00725380">
        <w:rPr>
          <w:i/>
        </w:rPr>
        <w:t xml:space="preserve">Fig 1 – Reconstruction of the Tomb of </w:t>
      </w:r>
      <w:proofErr w:type="spellStart"/>
      <w:r w:rsidRPr="00725380">
        <w:rPr>
          <w:i/>
        </w:rPr>
        <w:t>Vix</w:t>
      </w:r>
      <w:proofErr w:type="spellEnd"/>
      <w:r w:rsidRPr="00725380">
        <w:t xml:space="preserve">: </w:t>
      </w:r>
      <w:proofErr w:type="spellStart"/>
      <w:r w:rsidR="00725380" w:rsidRPr="00725380">
        <w:rPr>
          <w:rFonts w:cs="Arial"/>
          <w:color w:val="000000"/>
          <w:sz w:val="20"/>
          <w:szCs w:val="20"/>
          <w:shd w:val="clear" w:color="auto" w:fill="FFFFFF"/>
        </w:rPr>
        <w:t>Taraskoff</w:t>
      </w:r>
      <w:proofErr w:type="spellEnd"/>
      <w:r w:rsidR="00725380" w:rsidRPr="00725380">
        <w:rPr>
          <w:rFonts w:cs="Arial"/>
          <w:color w:val="000000"/>
          <w:sz w:val="20"/>
          <w:szCs w:val="20"/>
          <w:shd w:val="clear" w:color="auto" w:fill="FFFFFF"/>
        </w:rPr>
        <w:t>, M. (n.d.). [image] Available at: http://esperantonord.free.fr/cdrom/france/histoire/antiquite.htm [Accessed 22 Jan. 2019].</w:t>
      </w:r>
    </w:p>
    <w:p w14:paraId="2B7D96DA" w14:textId="77777777" w:rsidR="00725380" w:rsidRPr="00A55341" w:rsidRDefault="00725380" w:rsidP="00810B87">
      <w:pPr>
        <w:pStyle w:val="Heading1"/>
        <w:rPr>
          <w:rFonts w:ascii="Arial Nova" w:hAnsi="Arial Nova"/>
          <w:b/>
          <w:color w:val="auto"/>
          <w:sz w:val="8"/>
        </w:rPr>
      </w:pPr>
    </w:p>
    <w:p w14:paraId="2F94BF2B" w14:textId="7BF2C507" w:rsidR="00CD13FB" w:rsidRPr="00810B87" w:rsidRDefault="001026CE" w:rsidP="00810B87">
      <w:pPr>
        <w:pStyle w:val="Heading1"/>
        <w:rPr>
          <w:rFonts w:ascii="Arial Nova" w:hAnsi="Arial Nova"/>
          <w:b/>
          <w:color w:val="auto"/>
          <w:sz w:val="28"/>
        </w:rPr>
      </w:pPr>
      <w:bookmarkStart w:id="6" w:name="_Toc535938596"/>
      <w:r w:rsidRPr="00810B87">
        <w:rPr>
          <w:rFonts w:ascii="Arial Nova" w:hAnsi="Arial Nova"/>
          <w:b/>
          <w:color w:val="auto"/>
          <w:sz w:val="28"/>
        </w:rPr>
        <w:t>Bibliography</w:t>
      </w:r>
      <w:bookmarkEnd w:id="6"/>
    </w:p>
    <w:p w14:paraId="411E02B3" w14:textId="77777777" w:rsidR="00810B87" w:rsidRPr="00810B87" w:rsidRDefault="00810B87" w:rsidP="00810B87">
      <w:pPr>
        <w:rPr>
          <w:sz w:val="6"/>
        </w:rPr>
      </w:pPr>
    </w:p>
    <w:p w14:paraId="5397A988" w14:textId="77777777" w:rsidR="00810B87" w:rsidRPr="00810B87" w:rsidRDefault="00810B87" w:rsidP="00E95107">
      <w:pPr>
        <w:rPr>
          <w:sz w:val="20"/>
          <w:szCs w:val="20"/>
        </w:rPr>
      </w:pPr>
      <w:r w:rsidRPr="00810B87">
        <w:rPr>
          <w:sz w:val="20"/>
          <w:szCs w:val="20"/>
        </w:rPr>
        <w:t xml:space="preserve">Andrews, Tom. (2012). </w:t>
      </w:r>
      <w:r w:rsidRPr="00810B87">
        <w:rPr>
          <w:i/>
          <w:sz w:val="20"/>
          <w:szCs w:val="20"/>
        </w:rPr>
        <w:t xml:space="preserve">What is Social </w:t>
      </w:r>
      <w:proofErr w:type="gramStart"/>
      <w:r w:rsidRPr="00810B87">
        <w:rPr>
          <w:i/>
          <w:sz w:val="20"/>
          <w:szCs w:val="20"/>
        </w:rPr>
        <w:t>Constructionism?</w:t>
      </w:r>
      <w:r w:rsidRPr="00810B87">
        <w:rPr>
          <w:sz w:val="20"/>
          <w:szCs w:val="20"/>
        </w:rPr>
        <w:t>.</w:t>
      </w:r>
      <w:proofErr w:type="gramEnd"/>
      <w:r w:rsidRPr="00810B87">
        <w:rPr>
          <w:sz w:val="20"/>
          <w:szCs w:val="20"/>
        </w:rPr>
        <w:t xml:space="preserve"> Grounded Theory Review. Vol. 11. 39-46.</w:t>
      </w:r>
    </w:p>
    <w:p w14:paraId="7C4FB393" w14:textId="77777777" w:rsidR="00810B87" w:rsidRPr="00810B87" w:rsidRDefault="00810B87" w:rsidP="000E58BF">
      <w:pPr>
        <w:rPr>
          <w:sz w:val="20"/>
          <w:szCs w:val="20"/>
        </w:rPr>
      </w:pPr>
      <w:r w:rsidRPr="00810B87">
        <w:rPr>
          <w:sz w:val="20"/>
          <w:szCs w:val="20"/>
        </w:rPr>
        <w:t xml:space="preserve">Arnold, Bettina. (2012). The </w:t>
      </w:r>
      <w:proofErr w:type="spellStart"/>
      <w:r w:rsidRPr="00810B87">
        <w:rPr>
          <w:sz w:val="20"/>
          <w:szCs w:val="20"/>
        </w:rPr>
        <w:t>Vix</w:t>
      </w:r>
      <w:proofErr w:type="spellEnd"/>
      <w:r w:rsidRPr="00810B87">
        <w:rPr>
          <w:sz w:val="20"/>
          <w:szCs w:val="20"/>
        </w:rPr>
        <w:t xml:space="preserve"> Princess Redux: a retrospective on European Iron Age gender and mortuary studies. 10.15366/</w:t>
      </w:r>
      <w:proofErr w:type="gramStart"/>
      <w:r w:rsidRPr="00810B87">
        <w:rPr>
          <w:sz w:val="20"/>
          <w:szCs w:val="20"/>
        </w:rPr>
        <w:t>ar.funeraria</w:t>
      </w:r>
      <w:proofErr w:type="gramEnd"/>
      <w:r w:rsidRPr="00810B87">
        <w:rPr>
          <w:sz w:val="20"/>
          <w:szCs w:val="20"/>
        </w:rPr>
        <w:t>2012.010.</w:t>
      </w:r>
    </w:p>
    <w:p w14:paraId="18A90132" w14:textId="77777777" w:rsidR="00810B87" w:rsidRPr="00810B87" w:rsidRDefault="00810B87" w:rsidP="001E5B18">
      <w:pPr>
        <w:rPr>
          <w:rFonts w:cs="Arial"/>
          <w:color w:val="000000"/>
          <w:sz w:val="20"/>
          <w:szCs w:val="20"/>
          <w:shd w:val="clear" w:color="auto" w:fill="FFFFFF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Berthelier-Ajot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N. (1991). The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Vix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Settlement and the Tomb of the Princess. In: S.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Moscati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O. Frey, V.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B. Raftery and M. Szabo,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Rizzoli International Publications Inc., pp.116-118.</w:t>
      </w:r>
    </w:p>
    <w:p w14:paraId="269F9922" w14:textId="77777777" w:rsidR="00810B87" w:rsidRPr="00810B87" w:rsidRDefault="00810B87" w:rsidP="00E95107">
      <w:pPr>
        <w:rPr>
          <w:sz w:val="20"/>
          <w:szCs w:val="20"/>
        </w:rPr>
      </w:pPr>
      <w:r w:rsidRPr="00810B87">
        <w:rPr>
          <w:sz w:val="20"/>
          <w:szCs w:val="20"/>
        </w:rPr>
        <w:t xml:space="preserve">Butler, Hazel. (2009). Community and the 'Princess' of </w:t>
      </w:r>
      <w:proofErr w:type="spellStart"/>
      <w:r w:rsidRPr="00810B87">
        <w:rPr>
          <w:sz w:val="20"/>
          <w:szCs w:val="20"/>
        </w:rPr>
        <w:t>Vix</w:t>
      </w:r>
      <w:proofErr w:type="spellEnd"/>
      <w:r w:rsidRPr="00810B87">
        <w:rPr>
          <w:sz w:val="20"/>
          <w:szCs w:val="20"/>
        </w:rPr>
        <w:t xml:space="preserve">: A Reinterpretation of the Late Hallstatt Tumuli. </w:t>
      </w:r>
      <w:proofErr w:type="spellStart"/>
      <w:r w:rsidRPr="00810B87">
        <w:rPr>
          <w:sz w:val="20"/>
          <w:szCs w:val="20"/>
        </w:rPr>
        <w:t>Studia</w:t>
      </w:r>
      <w:proofErr w:type="spellEnd"/>
      <w:r w:rsidRPr="00810B87">
        <w:rPr>
          <w:sz w:val="20"/>
          <w:szCs w:val="20"/>
        </w:rPr>
        <w:t xml:space="preserve"> </w:t>
      </w:r>
      <w:proofErr w:type="spellStart"/>
      <w:r w:rsidRPr="00810B87">
        <w:rPr>
          <w:sz w:val="20"/>
          <w:szCs w:val="20"/>
        </w:rPr>
        <w:t>Celtica</w:t>
      </w:r>
      <w:proofErr w:type="spellEnd"/>
      <w:r w:rsidRPr="00810B87">
        <w:rPr>
          <w:sz w:val="20"/>
          <w:szCs w:val="20"/>
        </w:rPr>
        <w:t>. 43.</w:t>
      </w:r>
    </w:p>
    <w:p w14:paraId="53C26925" w14:textId="77777777" w:rsidR="00810B87" w:rsidRPr="00810B87" w:rsidRDefault="00810B87" w:rsidP="000E58BF">
      <w:pPr>
        <w:rPr>
          <w:sz w:val="20"/>
          <w:szCs w:val="20"/>
        </w:rPr>
      </w:pPr>
      <w:r w:rsidRPr="00810B87">
        <w:rPr>
          <w:rFonts w:cs="Arial"/>
          <w:color w:val="000000"/>
          <w:sz w:val="20"/>
          <w:szCs w:val="20"/>
          <w:shd w:val="clear" w:color="auto" w:fill="FFFFFF"/>
        </w:rPr>
        <w:t>Carey, J. and Koch, J. (2009).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 xml:space="preserve">The Celtic heroic </w:t>
      </w:r>
      <w:proofErr w:type="gramStart"/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age</w:t>
      </w:r>
      <w:proofErr w:type="gram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. Aberystwyth: Celtic Studies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Publ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pp.5-47.</w:t>
      </w:r>
    </w:p>
    <w:p w14:paraId="64488855" w14:textId="77777777" w:rsidR="00810B87" w:rsidRPr="00810B87" w:rsidRDefault="00810B87" w:rsidP="00E95107">
      <w:pPr>
        <w:rPr>
          <w:rFonts w:cs="Arial"/>
          <w:color w:val="000000"/>
          <w:sz w:val="20"/>
          <w:szCs w:val="20"/>
          <w:shd w:val="clear" w:color="auto" w:fill="FFFFFF"/>
        </w:rPr>
      </w:pP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Chapman, </w:t>
      </w:r>
      <w:proofErr w:type="gram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R .</w:t>
      </w:r>
      <w:proofErr w:type="gram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(2003). Death, Burial and Social Representation. In: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Stutz, L. and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Tarlow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S. (2003).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Oxford handbook of the archaeology of death and burial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Oxford University Press.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pp.47-58 </w:t>
      </w:r>
    </w:p>
    <w:p w14:paraId="4DA30131" w14:textId="77777777" w:rsidR="00810B87" w:rsidRPr="00810B87" w:rsidRDefault="00810B87" w:rsidP="00E95107">
      <w:pPr>
        <w:rPr>
          <w:rFonts w:cs="Arial"/>
          <w:color w:val="000000"/>
          <w:sz w:val="20"/>
          <w:szCs w:val="20"/>
          <w:shd w:val="clear" w:color="auto" w:fill="FFFFFF"/>
        </w:rPr>
      </w:pPr>
      <w:r w:rsidRPr="00810B87">
        <w:rPr>
          <w:rFonts w:cs="Arial"/>
          <w:color w:val="000000"/>
          <w:sz w:val="20"/>
          <w:szCs w:val="20"/>
          <w:shd w:val="clear" w:color="auto" w:fill="FFFFFF"/>
        </w:rPr>
        <w:t>Cunliffe, B. (1992).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Celtic world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BCA.</w:t>
      </w:r>
    </w:p>
    <w:p w14:paraId="01718641" w14:textId="77777777" w:rsidR="00810B87" w:rsidRPr="00810B87" w:rsidRDefault="00810B87" w:rsidP="00F171EF">
      <w:pPr>
        <w:rPr>
          <w:rFonts w:cs="Arial"/>
          <w:color w:val="000000"/>
          <w:sz w:val="20"/>
          <w:szCs w:val="20"/>
          <w:shd w:val="clear" w:color="auto" w:fill="FFFFFF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Dobesch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G.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(1991).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Ancient Literary Sources.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In: S.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Moscati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O. Frey, V.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B. Raftery and M. Szabo,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Rizzoli International Publications Inc., pp.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36-41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</w:t>
      </w:r>
    </w:p>
    <w:p w14:paraId="7B3809BB" w14:textId="77777777" w:rsidR="00810B87" w:rsidRPr="00810B87" w:rsidRDefault="00810B87" w:rsidP="00A65DAC">
      <w:pPr>
        <w:rPr>
          <w:sz w:val="20"/>
          <w:szCs w:val="20"/>
        </w:rPr>
      </w:pPr>
      <w:r w:rsidRPr="00810B87">
        <w:rPr>
          <w:sz w:val="20"/>
          <w:szCs w:val="20"/>
        </w:rPr>
        <w:t xml:space="preserve">European Prehistory: Neolithic to the Iron Age Author(s): </w:t>
      </w:r>
      <w:proofErr w:type="spellStart"/>
      <w:r w:rsidRPr="00810B87">
        <w:rPr>
          <w:sz w:val="20"/>
          <w:szCs w:val="20"/>
        </w:rPr>
        <w:t>Marija</w:t>
      </w:r>
      <w:proofErr w:type="spellEnd"/>
      <w:r w:rsidRPr="00810B87">
        <w:rPr>
          <w:sz w:val="20"/>
          <w:szCs w:val="20"/>
        </w:rPr>
        <w:t xml:space="preserve"> Gimbutas Source: Biennial Review of Anthropology, Vol. 3 (1963), pp. 69-106 Published </w:t>
      </w:r>
      <w:r w:rsidRPr="00810B87">
        <w:rPr>
          <w:noProof/>
          <w:sz w:val="20"/>
          <w:szCs w:val="20"/>
        </w:rPr>
        <w:t>by:</w:t>
      </w:r>
      <w:r w:rsidRPr="00810B87">
        <w:rPr>
          <w:sz w:val="20"/>
          <w:szCs w:val="20"/>
        </w:rPr>
        <w:t xml:space="preserve"> Bernard Siegel Stable URL: https://www.jstor.org/stable/2949171</w:t>
      </w:r>
    </w:p>
    <w:p w14:paraId="2FDA4BE3" w14:textId="77777777" w:rsidR="00810B87" w:rsidRPr="00810B87" w:rsidRDefault="00810B87" w:rsidP="000E58BF">
      <w:pPr>
        <w:rPr>
          <w:rFonts w:cs="Arial"/>
          <w:color w:val="000000"/>
          <w:sz w:val="20"/>
          <w:szCs w:val="20"/>
          <w:shd w:val="clear" w:color="auto" w:fill="FFFFFF"/>
        </w:rPr>
      </w:pPr>
      <w:r w:rsidRPr="00810B87">
        <w:rPr>
          <w:rFonts w:cs="Arial"/>
          <w:color w:val="000000"/>
          <w:sz w:val="20"/>
          <w:szCs w:val="20"/>
          <w:shd w:val="clear" w:color="auto" w:fill="FFFFFF"/>
        </w:rPr>
        <w:t>Frey, O.H.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(1991).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Celtic Princes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. In: S.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Moscati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O. Frey, V.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B. Raftery and M. Szabo,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Rizzoli International Publications Inc., pp.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75-92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</w:t>
      </w:r>
    </w:p>
    <w:p w14:paraId="649E19B5" w14:textId="77777777" w:rsidR="00810B87" w:rsidRPr="00810B87" w:rsidRDefault="00810B87" w:rsidP="00E95107">
      <w:pPr>
        <w:rPr>
          <w:rFonts w:cs="Arial"/>
          <w:color w:val="000000"/>
          <w:sz w:val="20"/>
          <w:szCs w:val="20"/>
          <w:shd w:val="clear" w:color="auto" w:fill="FFFFFF"/>
        </w:rPr>
      </w:pPr>
      <w:r w:rsidRPr="00810B87">
        <w:rPr>
          <w:rFonts w:cs="Arial"/>
          <w:color w:val="000000"/>
          <w:sz w:val="20"/>
          <w:szCs w:val="20"/>
          <w:shd w:val="clear" w:color="auto" w:fill="FFFFFF"/>
        </w:rPr>
        <w:t>James, S. (2005).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Exploring the world of 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London: Thames and Hudson.</w:t>
      </w:r>
    </w:p>
    <w:p w14:paraId="204D1138" w14:textId="77777777" w:rsidR="00810B87" w:rsidRPr="00810B87" w:rsidRDefault="00810B87" w:rsidP="00F326DB">
      <w:pPr>
        <w:rPr>
          <w:sz w:val="20"/>
          <w:szCs w:val="20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V.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(1991).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In Search of the Ancient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</w:t>
      </w:r>
      <w:proofErr w:type="gram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In</w:t>
      </w:r>
      <w:proofErr w:type="gram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: S.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Moscati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O. Frey, V.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B. Raftery and M. Szabo,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Rizzoli International Publications Inc., pp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29-35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</w:t>
      </w:r>
    </w:p>
    <w:p w14:paraId="479A4A5D" w14:textId="77777777" w:rsidR="00810B87" w:rsidRPr="00810B87" w:rsidRDefault="00810B87" w:rsidP="001E5B18">
      <w:pPr>
        <w:rPr>
          <w:rFonts w:cs="Arial"/>
          <w:color w:val="000000"/>
          <w:sz w:val="20"/>
          <w:szCs w:val="20"/>
          <w:shd w:val="clear" w:color="auto" w:fill="FFFFFF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lastRenderedPageBreak/>
        <w:t>Mansuelli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G.A.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(1991).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The Celts and Ancient Europe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. In: S.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Moscati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O. Frey, V.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B. Raftery and M. Szabo,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Rizzoli International Publications Inc., pp.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15-21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</w:t>
      </w:r>
    </w:p>
    <w:p w14:paraId="0523B465" w14:textId="77777777" w:rsidR="00810B87" w:rsidRPr="00810B87" w:rsidRDefault="00810B87" w:rsidP="00E95107">
      <w:pPr>
        <w:rPr>
          <w:rFonts w:cs="Arial"/>
          <w:color w:val="000000"/>
          <w:sz w:val="20"/>
          <w:szCs w:val="20"/>
          <w:shd w:val="clear" w:color="auto" w:fill="FFFFFF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Mathiot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D. (2012). Person, Family, and Community. In: T. Moore and X. Armada,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Atlantic Europe in the First Millennium BC: Crossing the Divide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Oxford University Press.</w:t>
      </w:r>
    </w:p>
    <w:p w14:paraId="45CC3BAA" w14:textId="77777777" w:rsidR="00810B87" w:rsidRPr="00810B87" w:rsidRDefault="00810B87" w:rsidP="00E95107">
      <w:pPr>
        <w:rPr>
          <w:rFonts w:cs="Arial"/>
          <w:color w:val="000000"/>
          <w:sz w:val="20"/>
          <w:szCs w:val="20"/>
          <w:shd w:val="clear" w:color="auto" w:fill="FFFFFF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Milcent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P. (2014). Hallstatt Urban Experience before the Celtic Oppida in Central and Eastern Gaul. Two Cases-Studies: Bourges and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Vix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. In: M. Fernández-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Götz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H. Wendling and K. Winger,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Paths to Complexity: Centralisation and Urbanisation in Iron Age Europe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Oxbow Books.</w:t>
      </w:r>
    </w:p>
    <w:p w14:paraId="4719D2B5" w14:textId="77777777" w:rsidR="00810B87" w:rsidRPr="00810B87" w:rsidRDefault="00810B87" w:rsidP="00CB0B86">
      <w:pPr>
        <w:rPr>
          <w:rFonts w:cs="Arial"/>
          <w:color w:val="000000"/>
          <w:sz w:val="20"/>
          <w:szCs w:val="20"/>
          <w:shd w:val="clear" w:color="auto" w:fill="FFFFFF"/>
        </w:rPr>
      </w:pP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Mohen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J.P.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 (1991). 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The Princely Tombs of Burgundy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. In: S.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Moscati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, O. Frey, V.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Kruta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B. Raftery and M. Szabo, ed.,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Celts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Rizzoli International Publications Inc., pp.75-92.</w:t>
      </w:r>
    </w:p>
    <w:p w14:paraId="44B53D73" w14:textId="77777777" w:rsidR="00810B87" w:rsidRPr="00810B87" w:rsidRDefault="00810B87" w:rsidP="00E95107">
      <w:pPr>
        <w:rPr>
          <w:rFonts w:cs="Arial"/>
          <w:color w:val="000000"/>
          <w:sz w:val="20"/>
          <w:szCs w:val="20"/>
          <w:shd w:val="clear" w:color="auto" w:fill="FFFFFF"/>
        </w:rPr>
      </w:pPr>
      <w:r w:rsidRPr="00810B87">
        <w:rPr>
          <w:rFonts w:cs="Arial"/>
          <w:color w:val="000000"/>
          <w:sz w:val="20"/>
          <w:szCs w:val="20"/>
          <w:shd w:val="clear" w:color="auto" w:fill="FFFFFF"/>
        </w:rPr>
        <w:t xml:space="preserve">Stutz, L. and </w:t>
      </w:r>
      <w:proofErr w:type="spellStart"/>
      <w:r w:rsidRPr="00810B87">
        <w:rPr>
          <w:rFonts w:cs="Arial"/>
          <w:color w:val="000000"/>
          <w:sz w:val="20"/>
          <w:szCs w:val="20"/>
          <w:shd w:val="clear" w:color="auto" w:fill="FFFFFF"/>
        </w:rPr>
        <w:t>Tarlow</w:t>
      </w:r>
      <w:proofErr w:type="spellEnd"/>
      <w:r w:rsidRPr="00810B87">
        <w:rPr>
          <w:rFonts w:cs="Arial"/>
          <w:color w:val="000000"/>
          <w:sz w:val="20"/>
          <w:szCs w:val="20"/>
          <w:shd w:val="clear" w:color="auto" w:fill="FFFFFF"/>
        </w:rPr>
        <w:t>, S. (2003). </w:t>
      </w:r>
      <w:r w:rsidRPr="00810B87">
        <w:rPr>
          <w:rFonts w:cs="Arial"/>
          <w:i/>
          <w:iCs/>
          <w:color w:val="000000"/>
          <w:sz w:val="20"/>
          <w:szCs w:val="20"/>
          <w:shd w:val="clear" w:color="auto" w:fill="FFFFFF"/>
        </w:rPr>
        <w:t>The Oxford handbook of the archaeology of death and burial</w:t>
      </w:r>
      <w:r w:rsidRPr="00810B87">
        <w:rPr>
          <w:rFonts w:cs="Arial"/>
          <w:color w:val="000000"/>
          <w:sz w:val="20"/>
          <w:szCs w:val="20"/>
          <w:shd w:val="clear" w:color="auto" w:fill="FFFFFF"/>
        </w:rPr>
        <w:t>. Oxford University Press.</w:t>
      </w:r>
    </w:p>
    <w:p w14:paraId="78033A7E" w14:textId="77777777" w:rsidR="00810B87" w:rsidRPr="00810B87" w:rsidRDefault="00810B87" w:rsidP="00E95107">
      <w:pPr>
        <w:rPr>
          <w:sz w:val="20"/>
          <w:szCs w:val="20"/>
        </w:rPr>
      </w:pPr>
      <w:r w:rsidRPr="00810B87">
        <w:rPr>
          <w:sz w:val="20"/>
          <w:szCs w:val="20"/>
        </w:rPr>
        <w:t xml:space="preserve">von der </w:t>
      </w:r>
      <w:proofErr w:type="spellStart"/>
      <w:r w:rsidRPr="00810B87">
        <w:rPr>
          <w:sz w:val="20"/>
          <w:szCs w:val="20"/>
        </w:rPr>
        <w:t>Osten-Woldenburg</w:t>
      </w:r>
      <w:proofErr w:type="spellEnd"/>
      <w:r w:rsidRPr="00810B87">
        <w:rPr>
          <w:sz w:val="20"/>
          <w:szCs w:val="20"/>
        </w:rPr>
        <w:t xml:space="preserve">, Harald &amp; </w:t>
      </w:r>
      <w:proofErr w:type="spellStart"/>
      <w:r w:rsidRPr="00810B87">
        <w:rPr>
          <w:sz w:val="20"/>
          <w:szCs w:val="20"/>
        </w:rPr>
        <w:t>Chaume</w:t>
      </w:r>
      <w:proofErr w:type="spellEnd"/>
      <w:r w:rsidRPr="00810B87">
        <w:rPr>
          <w:sz w:val="20"/>
          <w:szCs w:val="20"/>
        </w:rPr>
        <w:t xml:space="preserve">, Bruno &amp; Reinhard, Walter. (2006). </w:t>
      </w:r>
      <w:r w:rsidRPr="00810B87">
        <w:rPr>
          <w:i/>
          <w:sz w:val="20"/>
          <w:szCs w:val="20"/>
        </w:rPr>
        <w:t xml:space="preserve">New archaeological discoveries through magnetic </w:t>
      </w:r>
      <w:proofErr w:type="spellStart"/>
      <w:r w:rsidRPr="00810B87">
        <w:rPr>
          <w:i/>
          <w:sz w:val="20"/>
          <w:szCs w:val="20"/>
        </w:rPr>
        <w:t>gradiometry</w:t>
      </w:r>
      <w:proofErr w:type="spellEnd"/>
      <w:r w:rsidRPr="00810B87">
        <w:rPr>
          <w:i/>
          <w:sz w:val="20"/>
          <w:szCs w:val="20"/>
        </w:rPr>
        <w:t xml:space="preserve">: The early Celtic settlement on Mont </w:t>
      </w:r>
      <w:proofErr w:type="spellStart"/>
      <w:r w:rsidRPr="00810B87">
        <w:rPr>
          <w:i/>
          <w:sz w:val="20"/>
          <w:szCs w:val="20"/>
        </w:rPr>
        <w:t>Lassois</w:t>
      </w:r>
      <w:proofErr w:type="spellEnd"/>
      <w:r w:rsidRPr="00810B87">
        <w:rPr>
          <w:i/>
          <w:sz w:val="20"/>
          <w:szCs w:val="20"/>
        </w:rPr>
        <w:t>, France</w:t>
      </w:r>
      <w:r w:rsidRPr="00810B87">
        <w:rPr>
          <w:sz w:val="20"/>
          <w:szCs w:val="20"/>
        </w:rPr>
        <w:t>. The Leading Edge. 25. 46-48. 10.1190/1.2164754.</w:t>
      </w:r>
    </w:p>
    <w:p w14:paraId="5B02A953" w14:textId="77777777" w:rsidR="000E58BF" w:rsidRPr="00810B87" w:rsidRDefault="000E58BF" w:rsidP="00F171EF">
      <w:pPr>
        <w:rPr>
          <w:sz w:val="20"/>
          <w:szCs w:val="20"/>
        </w:rPr>
      </w:pPr>
    </w:p>
    <w:p w14:paraId="014FBC66" w14:textId="77777777" w:rsidR="00F326DB" w:rsidRDefault="00F326DB" w:rsidP="001E5B18"/>
    <w:p w14:paraId="16F61E8C" w14:textId="7AFEA2A5" w:rsidR="00551DD0" w:rsidRDefault="00551DD0" w:rsidP="001E5B18"/>
    <w:p w14:paraId="15B28037" w14:textId="77777777" w:rsidR="00551DD0" w:rsidRDefault="00551DD0" w:rsidP="001E5B18"/>
    <w:p w14:paraId="2F572A41" w14:textId="77777777" w:rsidR="004C7655" w:rsidRDefault="004C7655" w:rsidP="001E5B18"/>
    <w:p w14:paraId="5FE71990" w14:textId="77777777" w:rsidR="003E640A" w:rsidRDefault="003E640A" w:rsidP="001E5B18"/>
    <w:p w14:paraId="2063E8C7" w14:textId="77777777" w:rsidR="00B4399B" w:rsidRPr="001E5B18" w:rsidRDefault="00B4399B" w:rsidP="001E5B18"/>
    <w:sectPr w:rsidR="00B4399B" w:rsidRPr="001E5B18" w:rsidSect="00A55341">
      <w:footerReference w:type="default" r:id="rId9"/>
      <w:pgSz w:w="11906" w:h="16838"/>
      <w:pgMar w:top="1440" w:right="1080" w:bottom="1440" w:left="1080" w:header="708" w:footer="708" w:gutter="0"/>
      <w:cols w:space="708"/>
      <w:docGrid w:linePitch="360"/>
      <w15:footnoteColumns w:val="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FE82F1" w14:textId="77777777" w:rsidR="00E919D1" w:rsidRDefault="00E919D1" w:rsidP="00FC6CCC">
      <w:pPr>
        <w:spacing w:after="0" w:line="240" w:lineRule="auto"/>
      </w:pPr>
      <w:r>
        <w:separator/>
      </w:r>
    </w:p>
  </w:endnote>
  <w:endnote w:type="continuationSeparator" w:id="0">
    <w:p w14:paraId="07635BD9" w14:textId="77777777" w:rsidR="00E919D1" w:rsidRDefault="00E919D1" w:rsidP="00FC6C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022439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4F8B09" w14:textId="79496013" w:rsidR="00160623" w:rsidRDefault="0016062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F4771A" w14:textId="77777777" w:rsidR="00160623" w:rsidRDefault="001606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D4DF9C" w14:textId="77777777" w:rsidR="00E919D1" w:rsidRDefault="00E919D1" w:rsidP="00FC6CCC">
      <w:pPr>
        <w:spacing w:after="0" w:line="240" w:lineRule="auto"/>
      </w:pPr>
      <w:r>
        <w:separator/>
      </w:r>
    </w:p>
  </w:footnote>
  <w:footnote w:type="continuationSeparator" w:id="0">
    <w:p w14:paraId="36248B41" w14:textId="77777777" w:rsidR="00E919D1" w:rsidRDefault="00E919D1" w:rsidP="00FC6CCC">
      <w:pPr>
        <w:spacing w:after="0" w:line="240" w:lineRule="auto"/>
      </w:pPr>
      <w:r>
        <w:continuationSeparator/>
      </w:r>
    </w:p>
  </w:footnote>
  <w:footnote w:id="1">
    <w:p w14:paraId="7E88AF69" w14:textId="040BBA8F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Jones 2005:7</w:t>
      </w:r>
    </w:p>
  </w:footnote>
  <w:footnote w:id="2">
    <w:p w14:paraId="66EC3B7E" w14:textId="052EF88C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F306E4" w:rsidRPr="00810B87">
        <w:rPr>
          <w:sz w:val="18"/>
          <w:szCs w:val="18"/>
        </w:rPr>
        <w:t>Dobesch</w:t>
      </w:r>
      <w:proofErr w:type="spellEnd"/>
      <w:r w:rsidR="00ED0C7B" w:rsidRPr="00810B87">
        <w:rPr>
          <w:sz w:val="18"/>
          <w:szCs w:val="18"/>
        </w:rPr>
        <w:t xml:space="preserve"> </w:t>
      </w:r>
      <w:r w:rsidRPr="00810B87">
        <w:rPr>
          <w:sz w:val="18"/>
          <w:szCs w:val="18"/>
        </w:rPr>
        <w:t xml:space="preserve">1991:39-41, </w:t>
      </w:r>
      <w:r w:rsidR="00D629D8" w:rsidRPr="00810B87">
        <w:rPr>
          <w:rFonts w:cs="Arial"/>
          <w:sz w:val="18"/>
          <w:szCs w:val="18"/>
          <w:shd w:val="clear" w:color="auto" w:fill="FFFFFF"/>
        </w:rPr>
        <w:t>Carey and Koch, 2009</w:t>
      </w:r>
      <w:r w:rsidR="00D629D8" w:rsidRPr="00810B87">
        <w:rPr>
          <w:rFonts w:cs="Arial"/>
          <w:sz w:val="18"/>
          <w:szCs w:val="18"/>
          <w:shd w:val="clear" w:color="auto" w:fill="FFFFFF"/>
        </w:rPr>
        <w:t>:5-47</w:t>
      </w:r>
    </w:p>
  </w:footnote>
  <w:footnote w:id="3">
    <w:p w14:paraId="5F4E3301" w14:textId="38A85832" w:rsidR="00E2790D" w:rsidRPr="00810B87" w:rsidRDefault="00E2790D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r w:rsidR="00537BBB" w:rsidRPr="00810B87">
        <w:rPr>
          <w:rFonts w:cs="Arial"/>
          <w:sz w:val="18"/>
          <w:szCs w:val="18"/>
          <w:shd w:val="clear" w:color="auto" w:fill="FFFFFF"/>
        </w:rPr>
        <w:t>Carey and Koch, 2009</w:t>
      </w:r>
      <w:r w:rsidR="0036688E" w:rsidRPr="00810B87">
        <w:rPr>
          <w:rFonts w:cs="Arial"/>
          <w:sz w:val="18"/>
          <w:szCs w:val="18"/>
          <w:shd w:val="clear" w:color="auto" w:fill="FFFFFF"/>
        </w:rPr>
        <w:t>:5-</w:t>
      </w:r>
      <w:r w:rsidR="00EC48B3" w:rsidRPr="00810B87">
        <w:rPr>
          <w:rFonts w:cs="Arial"/>
          <w:sz w:val="18"/>
          <w:szCs w:val="18"/>
          <w:shd w:val="clear" w:color="auto" w:fill="FFFFFF"/>
        </w:rPr>
        <w:t>26</w:t>
      </w:r>
    </w:p>
  </w:footnote>
  <w:footnote w:id="4">
    <w:p w14:paraId="3E7DDC20" w14:textId="2DD2CC89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Jones 2005:7</w:t>
      </w:r>
    </w:p>
  </w:footnote>
  <w:footnote w:id="5">
    <w:p w14:paraId="47237E3E" w14:textId="1AACBFE0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F306E4" w:rsidRPr="00810B87">
        <w:rPr>
          <w:sz w:val="18"/>
          <w:szCs w:val="18"/>
        </w:rPr>
        <w:t>Dobesch</w:t>
      </w:r>
      <w:proofErr w:type="spellEnd"/>
      <w:r w:rsidRPr="00810B87">
        <w:rPr>
          <w:sz w:val="18"/>
          <w:szCs w:val="18"/>
        </w:rPr>
        <w:t xml:space="preserve"> 1991:36</w:t>
      </w:r>
    </w:p>
  </w:footnote>
  <w:footnote w:id="6">
    <w:p w14:paraId="74D96E11" w14:textId="2FCB80C2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Jones 2005:8-9</w:t>
      </w:r>
    </w:p>
  </w:footnote>
  <w:footnote w:id="7">
    <w:p w14:paraId="1B42B0C9" w14:textId="215451E8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Jones 2005:14-15, </w:t>
      </w:r>
      <w:proofErr w:type="spellStart"/>
      <w:r w:rsidR="00ED0C7B" w:rsidRPr="00810B87">
        <w:rPr>
          <w:sz w:val="18"/>
          <w:szCs w:val="18"/>
        </w:rPr>
        <w:t>Kruta</w:t>
      </w:r>
      <w:proofErr w:type="spellEnd"/>
      <w:r w:rsidRPr="00810B87">
        <w:rPr>
          <w:sz w:val="18"/>
          <w:szCs w:val="18"/>
        </w:rPr>
        <w:t xml:space="preserve"> 1991:33</w:t>
      </w:r>
    </w:p>
  </w:footnote>
  <w:footnote w:id="8">
    <w:p w14:paraId="31762866" w14:textId="503638A9" w:rsidR="00E919D1" w:rsidRPr="00810B87" w:rsidRDefault="00E919D1" w:rsidP="00FB0D48">
      <w:pPr>
        <w:pStyle w:val="FootnoteText"/>
        <w:tabs>
          <w:tab w:val="left" w:pos="1928"/>
        </w:tabs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Jones 2005:14</w:t>
      </w:r>
      <w:r w:rsidR="00FB0D48" w:rsidRPr="00810B87">
        <w:rPr>
          <w:sz w:val="18"/>
          <w:szCs w:val="18"/>
        </w:rPr>
        <w:tab/>
      </w:r>
    </w:p>
  </w:footnote>
  <w:footnote w:id="9">
    <w:p w14:paraId="35BCB19F" w14:textId="3BABBD33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Jones 2005:20</w:t>
      </w:r>
    </w:p>
  </w:footnote>
  <w:footnote w:id="10">
    <w:p w14:paraId="24088E2B" w14:textId="544BBB6C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Gimbutas 1963:92-93</w:t>
      </w:r>
    </w:p>
  </w:footnote>
  <w:footnote w:id="11">
    <w:p w14:paraId="41BC6C6A" w14:textId="3B815238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Nilsson Stutz and </w:t>
      </w:r>
      <w:proofErr w:type="spellStart"/>
      <w:r w:rsidRPr="00810B87">
        <w:rPr>
          <w:sz w:val="18"/>
          <w:szCs w:val="18"/>
        </w:rPr>
        <w:t>Tarlow</w:t>
      </w:r>
      <w:proofErr w:type="spellEnd"/>
      <w:r w:rsidRPr="00810B87">
        <w:rPr>
          <w:sz w:val="18"/>
          <w:szCs w:val="18"/>
        </w:rPr>
        <w:t xml:space="preserve"> 2013:2-3, Chapman 2013:47</w:t>
      </w:r>
    </w:p>
  </w:footnote>
  <w:footnote w:id="12">
    <w:p w14:paraId="0C4E715A" w14:textId="29661EA5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r w:rsidR="00BE3B92" w:rsidRPr="00810B87">
        <w:rPr>
          <w:sz w:val="18"/>
          <w:szCs w:val="18"/>
        </w:rPr>
        <w:t>Frey</w:t>
      </w:r>
      <w:r w:rsidRPr="00810B87">
        <w:rPr>
          <w:sz w:val="18"/>
          <w:szCs w:val="18"/>
        </w:rPr>
        <w:t xml:space="preserve"> 1991:88,</w:t>
      </w:r>
      <w:r w:rsidR="008C1748" w:rsidRPr="00810B87">
        <w:rPr>
          <w:sz w:val="18"/>
          <w:szCs w:val="18"/>
        </w:rPr>
        <w:t xml:space="preserve"> </w:t>
      </w:r>
      <w:proofErr w:type="spellStart"/>
      <w:r w:rsidR="008C1748" w:rsidRPr="00810B87">
        <w:rPr>
          <w:sz w:val="18"/>
          <w:szCs w:val="18"/>
        </w:rPr>
        <w:t>Mohen</w:t>
      </w:r>
      <w:proofErr w:type="spellEnd"/>
      <w:r w:rsidR="008C1748" w:rsidRPr="00810B87">
        <w:rPr>
          <w:sz w:val="18"/>
          <w:szCs w:val="18"/>
        </w:rPr>
        <w:t xml:space="preserve"> 1991:</w:t>
      </w:r>
      <w:r w:rsidRPr="00810B87">
        <w:rPr>
          <w:sz w:val="18"/>
          <w:szCs w:val="18"/>
        </w:rPr>
        <w:t xml:space="preserve">103,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:366</w:t>
      </w:r>
    </w:p>
  </w:footnote>
  <w:footnote w:id="13">
    <w:p w14:paraId="59F8CD76" w14:textId="02C06509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BE3B92" w:rsidRPr="00810B87">
        <w:rPr>
          <w:sz w:val="18"/>
          <w:szCs w:val="18"/>
        </w:rPr>
        <w:t>Berthelier-Ajot</w:t>
      </w:r>
      <w:proofErr w:type="spellEnd"/>
      <w:r w:rsidR="00BE3B92" w:rsidRPr="00810B87">
        <w:rPr>
          <w:sz w:val="18"/>
          <w:szCs w:val="18"/>
        </w:rPr>
        <w:t xml:space="preserve"> </w:t>
      </w:r>
      <w:r w:rsidRPr="00810B87">
        <w:rPr>
          <w:sz w:val="18"/>
          <w:szCs w:val="18"/>
        </w:rPr>
        <w:t xml:space="preserve">1991:116, James </w:t>
      </w:r>
      <w:r w:rsidR="002F2D66" w:rsidRPr="00810B87">
        <w:rPr>
          <w:sz w:val="18"/>
          <w:szCs w:val="18"/>
        </w:rPr>
        <w:t>2005</w:t>
      </w:r>
      <w:r w:rsidRPr="00810B87">
        <w:rPr>
          <w:sz w:val="18"/>
          <w:szCs w:val="18"/>
        </w:rPr>
        <w:t>:23</w:t>
      </w:r>
    </w:p>
  </w:footnote>
  <w:footnote w:id="14">
    <w:p w14:paraId="339361A3" w14:textId="58A2E757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BE3B92" w:rsidRPr="00810B87">
        <w:rPr>
          <w:sz w:val="18"/>
          <w:szCs w:val="18"/>
        </w:rPr>
        <w:t>Berthelier-Ajot</w:t>
      </w:r>
      <w:proofErr w:type="spellEnd"/>
      <w:r w:rsidR="00BE3B92" w:rsidRPr="00810B87">
        <w:rPr>
          <w:sz w:val="18"/>
          <w:szCs w:val="18"/>
        </w:rPr>
        <w:t xml:space="preserve"> </w:t>
      </w:r>
      <w:r w:rsidRPr="00810B87">
        <w:rPr>
          <w:sz w:val="18"/>
          <w:szCs w:val="18"/>
        </w:rPr>
        <w:t>1991:116</w:t>
      </w:r>
    </w:p>
  </w:footnote>
  <w:footnote w:id="15">
    <w:p w14:paraId="53F664DC" w14:textId="3133B962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r w:rsidR="00195019" w:rsidRPr="00810B87">
        <w:rPr>
          <w:sz w:val="18"/>
          <w:szCs w:val="18"/>
        </w:rPr>
        <w:t xml:space="preserve">Von der </w:t>
      </w:r>
      <w:proofErr w:type="spellStart"/>
      <w:r w:rsidRPr="00810B87">
        <w:rPr>
          <w:sz w:val="18"/>
          <w:szCs w:val="18"/>
        </w:rPr>
        <w:t>Osten-Woldenburg</w:t>
      </w:r>
      <w:proofErr w:type="spellEnd"/>
      <w:r w:rsidRPr="00810B87">
        <w:rPr>
          <w:sz w:val="18"/>
          <w:szCs w:val="18"/>
        </w:rPr>
        <w:t xml:space="preserve"> et al. 2006:47, </w:t>
      </w:r>
      <w:proofErr w:type="spellStart"/>
      <w:r w:rsidRPr="00810B87">
        <w:rPr>
          <w:sz w:val="18"/>
          <w:szCs w:val="18"/>
        </w:rPr>
        <w:t>Milcent</w:t>
      </w:r>
      <w:proofErr w:type="spellEnd"/>
      <w:r w:rsidRPr="00810B87">
        <w:rPr>
          <w:sz w:val="18"/>
          <w:szCs w:val="18"/>
        </w:rPr>
        <w:t xml:space="preserve"> </w:t>
      </w:r>
      <w:r w:rsidR="00B128DB" w:rsidRPr="00810B87">
        <w:rPr>
          <w:sz w:val="18"/>
          <w:szCs w:val="18"/>
        </w:rPr>
        <w:t>2014</w:t>
      </w:r>
      <w:r w:rsidRPr="00810B87">
        <w:rPr>
          <w:sz w:val="18"/>
          <w:szCs w:val="18"/>
        </w:rPr>
        <w:t>:38-42</w:t>
      </w:r>
    </w:p>
  </w:footnote>
  <w:footnote w:id="16">
    <w:p w14:paraId="573B51D2" w14:textId="517F02B9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BE3B92" w:rsidRPr="00810B87">
        <w:rPr>
          <w:sz w:val="18"/>
          <w:szCs w:val="18"/>
        </w:rPr>
        <w:t>Berthelier-Ajot</w:t>
      </w:r>
      <w:proofErr w:type="spellEnd"/>
      <w:r w:rsidRPr="00810B87">
        <w:rPr>
          <w:sz w:val="18"/>
          <w:szCs w:val="18"/>
        </w:rPr>
        <w:t xml:space="preserve"> 1991:117</w:t>
      </w:r>
    </w:p>
  </w:footnote>
  <w:footnote w:id="17">
    <w:p w14:paraId="0768C08B" w14:textId="1CB64CF5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Pr="00810B87">
        <w:rPr>
          <w:sz w:val="18"/>
          <w:szCs w:val="18"/>
        </w:rPr>
        <w:t>Milcent</w:t>
      </w:r>
      <w:proofErr w:type="spellEnd"/>
      <w:r w:rsidRPr="00810B87">
        <w:rPr>
          <w:sz w:val="18"/>
          <w:szCs w:val="18"/>
        </w:rPr>
        <w:t xml:space="preserve"> </w:t>
      </w:r>
      <w:r w:rsidR="00AD5D7F" w:rsidRPr="00810B87">
        <w:rPr>
          <w:sz w:val="18"/>
          <w:szCs w:val="18"/>
        </w:rPr>
        <w:t>20</w:t>
      </w:r>
      <w:r w:rsidR="00B128DB" w:rsidRPr="00810B87">
        <w:rPr>
          <w:sz w:val="18"/>
          <w:szCs w:val="18"/>
        </w:rPr>
        <w:t>14</w:t>
      </w:r>
      <w:r w:rsidRPr="00810B87">
        <w:rPr>
          <w:sz w:val="18"/>
          <w:szCs w:val="18"/>
        </w:rPr>
        <w:t>:35</w:t>
      </w:r>
    </w:p>
  </w:footnote>
  <w:footnote w:id="18">
    <w:p w14:paraId="369BBCA2" w14:textId="5F31D6C2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:1</w:t>
      </w:r>
    </w:p>
  </w:footnote>
  <w:footnote w:id="19">
    <w:p w14:paraId="2210F258" w14:textId="0B33F36F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5476E6" w:rsidRPr="00810B87">
        <w:rPr>
          <w:sz w:val="18"/>
          <w:szCs w:val="18"/>
        </w:rPr>
        <w:t>Berthelier-Ajot</w:t>
      </w:r>
      <w:proofErr w:type="spellEnd"/>
      <w:r w:rsidRPr="00810B87">
        <w:rPr>
          <w:sz w:val="18"/>
          <w:szCs w:val="18"/>
        </w:rPr>
        <w:t xml:space="preserve"> 1991:117</w:t>
      </w:r>
    </w:p>
  </w:footnote>
  <w:footnote w:id="20">
    <w:p w14:paraId="4AA0C8BF" w14:textId="11884A9C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</w:p>
  </w:footnote>
  <w:footnote w:id="21">
    <w:p w14:paraId="11D541BC" w14:textId="43C5F46D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r w:rsidR="00195019" w:rsidRPr="00810B87">
        <w:rPr>
          <w:sz w:val="18"/>
          <w:szCs w:val="18"/>
        </w:rPr>
        <w:t xml:space="preserve">Von der </w:t>
      </w:r>
      <w:proofErr w:type="spellStart"/>
      <w:r w:rsidRPr="00810B87">
        <w:rPr>
          <w:sz w:val="18"/>
          <w:szCs w:val="18"/>
        </w:rPr>
        <w:t>Osten-Woldenburg</w:t>
      </w:r>
      <w:proofErr w:type="spellEnd"/>
      <w:r w:rsidRPr="00810B87">
        <w:rPr>
          <w:sz w:val="18"/>
          <w:szCs w:val="18"/>
        </w:rPr>
        <w:t xml:space="preserve"> et al. 2006:46,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:366</w:t>
      </w:r>
    </w:p>
  </w:footnote>
  <w:footnote w:id="22">
    <w:p w14:paraId="72317F24" w14:textId="63622C96" w:rsidR="00587A47" w:rsidRPr="00810B87" w:rsidRDefault="00587A47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:366</w:t>
      </w:r>
    </w:p>
  </w:footnote>
  <w:footnote w:id="23">
    <w:p w14:paraId="1F9E2013" w14:textId="4A605577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r w:rsidR="005476E6" w:rsidRPr="00810B87">
        <w:rPr>
          <w:sz w:val="18"/>
          <w:szCs w:val="18"/>
        </w:rPr>
        <w:t>Frey</w:t>
      </w:r>
      <w:r w:rsidRPr="00810B87">
        <w:rPr>
          <w:sz w:val="18"/>
          <w:szCs w:val="18"/>
        </w:rPr>
        <w:t xml:space="preserve"> 1991:88,</w:t>
      </w:r>
      <w:r w:rsidR="005476E6" w:rsidRPr="00810B87">
        <w:rPr>
          <w:sz w:val="18"/>
          <w:szCs w:val="18"/>
        </w:rPr>
        <w:t xml:space="preserve"> </w:t>
      </w:r>
      <w:proofErr w:type="spellStart"/>
      <w:r w:rsidR="005476E6" w:rsidRPr="00810B87">
        <w:rPr>
          <w:sz w:val="18"/>
          <w:szCs w:val="18"/>
        </w:rPr>
        <w:t>Berthelier-Ajot</w:t>
      </w:r>
      <w:proofErr w:type="spellEnd"/>
      <w:r w:rsidR="005476E6" w:rsidRPr="00810B87">
        <w:rPr>
          <w:sz w:val="18"/>
          <w:szCs w:val="18"/>
        </w:rPr>
        <w:t xml:space="preserve"> 1991:</w:t>
      </w:r>
      <w:r w:rsidRPr="00810B87">
        <w:rPr>
          <w:sz w:val="18"/>
          <w:szCs w:val="18"/>
        </w:rPr>
        <w:t>117</w:t>
      </w:r>
    </w:p>
  </w:footnote>
  <w:footnote w:id="24">
    <w:p w14:paraId="12097A5E" w14:textId="08479569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James </w:t>
      </w:r>
      <w:r w:rsidR="002F2D66" w:rsidRPr="00810B87">
        <w:rPr>
          <w:sz w:val="18"/>
          <w:szCs w:val="18"/>
        </w:rPr>
        <w:t>2005</w:t>
      </w:r>
      <w:r w:rsidRPr="00810B87">
        <w:rPr>
          <w:sz w:val="18"/>
          <w:szCs w:val="18"/>
        </w:rPr>
        <w:t>:24</w:t>
      </w:r>
    </w:p>
  </w:footnote>
  <w:footnote w:id="25">
    <w:p w14:paraId="657FC802" w14:textId="01808CAA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Cunliff</w:t>
      </w:r>
      <w:r w:rsidR="002F2D66" w:rsidRPr="00810B87">
        <w:rPr>
          <w:sz w:val="18"/>
          <w:szCs w:val="18"/>
        </w:rPr>
        <w:t>e</w:t>
      </w:r>
      <w:r w:rsidRPr="00810B87">
        <w:rPr>
          <w:sz w:val="18"/>
          <w:szCs w:val="18"/>
        </w:rPr>
        <w:t xml:space="preserve"> </w:t>
      </w:r>
      <w:r w:rsidR="002F2D66" w:rsidRPr="00810B87">
        <w:rPr>
          <w:sz w:val="18"/>
          <w:szCs w:val="18"/>
        </w:rPr>
        <w:t>1992</w:t>
      </w:r>
      <w:r w:rsidRPr="00810B87">
        <w:rPr>
          <w:sz w:val="18"/>
          <w:szCs w:val="18"/>
        </w:rPr>
        <w:t>:23</w:t>
      </w:r>
    </w:p>
  </w:footnote>
  <w:footnote w:id="26">
    <w:p w14:paraId="6767032B" w14:textId="6C6FDC09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:368</w:t>
      </w:r>
    </w:p>
  </w:footnote>
  <w:footnote w:id="27">
    <w:p w14:paraId="29C56FC7" w14:textId="0581AE1E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 xml:space="preserve">:368, </w:t>
      </w:r>
      <w:r w:rsidR="00195019" w:rsidRPr="00810B87">
        <w:rPr>
          <w:sz w:val="18"/>
          <w:szCs w:val="18"/>
        </w:rPr>
        <w:t xml:space="preserve">Von der </w:t>
      </w:r>
      <w:proofErr w:type="spellStart"/>
      <w:r w:rsidRPr="00810B87">
        <w:rPr>
          <w:sz w:val="18"/>
          <w:szCs w:val="18"/>
        </w:rPr>
        <w:t>Osten-Woldenburg</w:t>
      </w:r>
      <w:proofErr w:type="spellEnd"/>
      <w:r w:rsidRPr="00810B87">
        <w:rPr>
          <w:sz w:val="18"/>
          <w:szCs w:val="18"/>
        </w:rPr>
        <w:t xml:space="preserve"> et al. 2006:46</w:t>
      </w:r>
    </w:p>
  </w:footnote>
  <w:footnote w:id="28">
    <w:p w14:paraId="4790ABDF" w14:textId="6BBA9E38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Cunliff</w:t>
      </w:r>
      <w:r w:rsidR="002F2D66" w:rsidRPr="00810B87">
        <w:rPr>
          <w:sz w:val="18"/>
          <w:szCs w:val="18"/>
        </w:rPr>
        <w:t>e 1992</w:t>
      </w:r>
      <w:r w:rsidRPr="00810B87">
        <w:rPr>
          <w:sz w:val="18"/>
          <w:szCs w:val="18"/>
        </w:rPr>
        <w:t xml:space="preserve">:23, </w:t>
      </w:r>
      <w:proofErr w:type="gramStart"/>
      <w:r w:rsidRPr="00810B87">
        <w:rPr>
          <w:sz w:val="18"/>
          <w:szCs w:val="18"/>
        </w:rPr>
        <w:t>Arnold ?</w:t>
      </w:r>
      <w:proofErr w:type="gramEnd"/>
      <w:r w:rsidRPr="00810B87">
        <w:rPr>
          <w:sz w:val="18"/>
          <w:szCs w:val="18"/>
        </w:rPr>
        <w:t>:368</w:t>
      </w:r>
    </w:p>
  </w:footnote>
  <w:footnote w:id="29">
    <w:p w14:paraId="45CDFED4" w14:textId="4AE0731D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:368</w:t>
      </w:r>
    </w:p>
  </w:footnote>
  <w:footnote w:id="30">
    <w:p w14:paraId="0B848A1F" w14:textId="4D89A88D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:372</w:t>
      </w:r>
    </w:p>
  </w:footnote>
  <w:footnote w:id="31">
    <w:p w14:paraId="50E44B37" w14:textId="067C7C0D" w:rsidR="00E919D1" w:rsidRPr="00810B87" w:rsidRDefault="00E919D1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:2</w:t>
      </w:r>
    </w:p>
  </w:footnote>
  <w:footnote w:id="32">
    <w:p w14:paraId="6F024BBA" w14:textId="275A0A40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:2</w:t>
      </w:r>
    </w:p>
  </w:footnote>
  <w:footnote w:id="33">
    <w:p w14:paraId="33DA019E" w14:textId="1DC716A6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Pr="00810B87">
        <w:rPr>
          <w:sz w:val="18"/>
          <w:szCs w:val="18"/>
        </w:rPr>
        <w:t>Milcent</w:t>
      </w:r>
      <w:proofErr w:type="spellEnd"/>
      <w:r w:rsidRPr="00810B87">
        <w:rPr>
          <w:sz w:val="18"/>
          <w:szCs w:val="18"/>
        </w:rPr>
        <w:t xml:space="preserve"> </w:t>
      </w:r>
      <w:r w:rsidR="005A1AD9" w:rsidRPr="00810B87">
        <w:rPr>
          <w:sz w:val="18"/>
          <w:szCs w:val="18"/>
        </w:rPr>
        <w:t>2014</w:t>
      </w:r>
      <w:r w:rsidRPr="00810B87">
        <w:rPr>
          <w:sz w:val="18"/>
          <w:szCs w:val="18"/>
        </w:rPr>
        <w:t>:42</w:t>
      </w:r>
    </w:p>
  </w:footnote>
  <w:footnote w:id="34">
    <w:p w14:paraId="4533C4C7" w14:textId="5DD368B3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James </w:t>
      </w:r>
      <w:r w:rsidR="00646C59" w:rsidRPr="00810B87">
        <w:rPr>
          <w:sz w:val="18"/>
          <w:szCs w:val="18"/>
        </w:rPr>
        <w:t>2005</w:t>
      </w:r>
      <w:r w:rsidRPr="00810B87">
        <w:rPr>
          <w:sz w:val="18"/>
          <w:szCs w:val="18"/>
        </w:rPr>
        <w:t xml:space="preserve">:67,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 xml:space="preserve">:373, Butler </w:t>
      </w:r>
      <w:r w:rsidR="00AD5D7F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:1</w:t>
      </w:r>
    </w:p>
  </w:footnote>
  <w:footnote w:id="35">
    <w:p w14:paraId="0592E73D" w14:textId="3FAE7B05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:3</w:t>
      </w:r>
    </w:p>
  </w:footnote>
  <w:footnote w:id="36">
    <w:p w14:paraId="2ED779C3" w14:textId="2A516097" w:rsidR="00C9329D" w:rsidRPr="00810B87" w:rsidRDefault="00C9329D" w:rsidP="00C9329D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:366</w:t>
      </w:r>
    </w:p>
  </w:footnote>
  <w:footnote w:id="37">
    <w:p w14:paraId="592B3DA0" w14:textId="6E7D2586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:369</w:t>
      </w:r>
    </w:p>
  </w:footnote>
  <w:footnote w:id="38">
    <w:p w14:paraId="1497B0A4" w14:textId="5BF3D65F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AD5D7F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:1-2</w:t>
      </w:r>
    </w:p>
  </w:footnote>
  <w:footnote w:id="39">
    <w:p w14:paraId="04B07697" w14:textId="54FB20C3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:372</w:t>
      </w:r>
    </w:p>
  </w:footnote>
  <w:footnote w:id="40">
    <w:p w14:paraId="680A289B" w14:textId="521F6D01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:6</w:t>
      </w:r>
    </w:p>
  </w:footnote>
  <w:footnote w:id="41">
    <w:p w14:paraId="63DD2397" w14:textId="6753E068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:10</w:t>
      </w:r>
    </w:p>
  </w:footnote>
  <w:footnote w:id="42">
    <w:p w14:paraId="768F6840" w14:textId="3838BBDB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James </w:t>
      </w:r>
      <w:r w:rsidR="00646C59" w:rsidRPr="00810B87">
        <w:rPr>
          <w:sz w:val="18"/>
          <w:szCs w:val="18"/>
        </w:rPr>
        <w:t>2005</w:t>
      </w:r>
      <w:r w:rsidRPr="00810B87">
        <w:rPr>
          <w:sz w:val="18"/>
          <w:szCs w:val="18"/>
        </w:rPr>
        <w:t>:29</w:t>
      </w:r>
    </w:p>
  </w:footnote>
  <w:footnote w:id="43">
    <w:p w14:paraId="6D8B8014" w14:textId="2772A186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:8</w:t>
      </w:r>
    </w:p>
  </w:footnote>
  <w:footnote w:id="44">
    <w:p w14:paraId="39EA1870" w14:textId="71CF661B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1500D5" w:rsidRPr="00810B87">
        <w:rPr>
          <w:sz w:val="18"/>
          <w:szCs w:val="18"/>
        </w:rPr>
        <w:t>Berthelier-Ajot</w:t>
      </w:r>
      <w:proofErr w:type="spellEnd"/>
      <w:r w:rsidRPr="00810B87">
        <w:rPr>
          <w:sz w:val="18"/>
          <w:szCs w:val="18"/>
        </w:rPr>
        <w:t xml:space="preserve"> 1991:117</w:t>
      </w:r>
    </w:p>
  </w:footnote>
  <w:footnote w:id="45">
    <w:p w14:paraId="6565CF2D" w14:textId="2ABAC663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406ECE" w:rsidRPr="00810B87">
        <w:rPr>
          <w:sz w:val="18"/>
          <w:szCs w:val="18"/>
        </w:rPr>
        <w:t>Mansuelli</w:t>
      </w:r>
      <w:proofErr w:type="spellEnd"/>
      <w:r w:rsidRPr="00810B87">
        <w:rPr>
          <w:sz w:val="18"/>
          <w:szCs w:val="18"/>
        </w:rPr>
        <w:t xml:space="preserve"> 1991:17</w:t>
      </w:r>
    </w:p>
  </w:footnote>
  <w:footnote w:id="46">
    <w:p w14:paraId="3E7BC2AF" w14:textId="3B5B44AA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317458" w:rsidRPr="00810B87">
        <w:rPr>
          <w:sz w:val="18"/>
          <w:szCs w:val="18"/>
        </w:rPr>
        <w:t>Mathiot</w:t>
      </w:r>
      <w:proofErr w:type="spellEnd"/>
      <w:r w:rsidRPr="00810B87">
        <w:rPr>
          <w:sz w:val="18"/>
          <w:szCs w:val="18"/>
        </w:rPr>
        <w:t xml:space="preserve"> 2012:359</w:t>
      </w:r>
    </w:p>
  </w:footnote>
  <w:footnote w:id="47">
    <w:p w14:paraId="4FF29F25" w14:textId="43B93043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317458" w:rsidRPr="00810B87">
        <w:rPr>
          <w:sz w:val="18"/>
          <w:szCs w:val="18"/>
        </w:rPr>
        <w:t>Mathiot</w:t>
      </w:r>
      <w:proofErr w:type="spellEnd"/>
      <w:r w:rsidRPr="00810B87">
        <w:rPr>
          <w:sz w:val="18"/>
          <w:szCs w:val="18"/>
        </w:rPr>
        <w:t xml:space="preserve"> 2012:361</w:t>
      </w:r>
    </w:p>
  </w:footnote>
  <w:footnote w:id="48">
    <w:p w14:paraId="60DAD6F2" w14:textId="73462124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Butler </w:t>
      </w:r>
      <w:r w:rsidR="00894EF6" w:rsidRPr="00810B87">
        <w:rPr>
          <w:sz w:val="18"/>
          <w:szCs w:val="18"/>
        </w:rPr>
        <w:t>2009</w:t>
      </w:r>
      <w:r w:rsidRPr="00810B87">
        <w:rPr>
          <w:sz w:val="18"/>
          <w:szCs w:val="18"/>
        </w:rPr>
        <w:t>:8</w:t>
      </w:r>
    </w:p>
  </w:footnote>
  <w:footnote w:id="49">
    <w:p w14:paraId="7824ABC1" w14:textId="44E73FEB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:366</w:t>
      </w:r>
    </w:p>
  </w:footnote>
  <w:footnote w:id="50">
    <w:p w14:paraId="7E930722" w14:textId="59094BD9" w:rsidR="00EC0135" w:rsidRPr="00810B87" w:rsidRDefault="00EC0135" w:rsidP="00EC0135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317458" w:rsidRPr="00810B87">
        <w:rPr>
          <w:sz w:val="18"/>
          <w:szCs w:val="18"/>
        </w:rPr>
        <w:t>Mathiot</w:t>
      </w:r>
      <w:proofErr w:type="spellEnd"/>
      <w:r w:rsidRPr="00810B87">
        <w:rPr>
          <w:sz w:val="18"/>
          <w:szCs w:val="18"/>
        </w:rPr>
        <w:t xml:space="preserve"> 2012:368</w:t>
      </w:r>
    </w:p>
  </w:footnote>
  <w:footnote w:id="51">
    <w:p w14:paraId="6852F1AC" w14:textId="28179696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proofErr w:type="spellStart"/>
      <w:r w:rsidR="00317458" w:rsidRPr="00810B87">
        <w:rPr>
          <w:sz w:val="18"/>
          <w:szCs w:val="18"/>
        </w:rPr>
        <w:t>Mathiot</w:t>
      </w:r>
      <w:proofErr w:type="spellEnd"/>
      <w:r w:rsidRPr="00810B87">
        <w:rPr>
          <w:sz w:val="18"/>
          <w:szCs w:val="18"/>
        </w:rPr>
        <w:t xml:space="preserve"> 2012:370</w:t>
      </w:r>
    </w:p>
  </w:footnote>
  <w:footnote w:id="52">
    <w:p w14:paraId="30931734" w14:textId="1DED798D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Andrews 2012:41</w:t>
      </w:r>
    </w:p>
  </w:footnote>
  <w:footnote w:id="53">
    <w:p w14:paraId="7B45C4DB" w14:textId="0AA75E3A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Andrews 2012:41</w:t>
      </w:r>
    </w:p>
  </w:footnote>
  <w:footnote w:id="54">
    <w:p w14:paraId="5F89A50C" w14:textId="7F3FB1B7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Arnold </w:t>
      </w:r>
      <w:r w:rsidR="00FF2573" w:rsidRPr="00810B87">
        <w:rPr>
          <w:sz w:val="18"/>
          <w:szCs w:val="18"/>
        </w:rPr>
        <w:t>2012</w:t>
      </w:r>
      <w:r w:rsidRPr="00810B87">
        <w:rPr>
          <w:sz w:val="18"/>
          <w:szCs w:val="18"/>
        </w:rPr>
        <w:t>:366</w:t>
      </w:r>
    </w:p>
  </w:footnote>
  <w:footnote w:id="55">
    <w:p w14:paraId="33EE8FEC" w14:textId="10E59CF6" w:rsidR="00FB0D48" w:rsidRPr="00810B87" w:rsidRDefault="00FB0D48">
      <w:pPr>
        <w:pStyle w:val="FootnoteText"/>
        <w:rPr>
          <w:sz w:val="18"/>
          <w:szCs w:val="18"/>
        </w:rPr>
      </w:pPr>
      <w:r w:rsidRPr="00810B87">
        <w:rPr>
          <w:rStyle w:val="FootnoteReference"/>
          <w:sz w:val="18"/>
          <w:szCs w:val="18"/>
        </w:rPr>
        <w:footnoteRef/>
      </w:r>
      <w:r w:rsidRPr="00810B87">
        <w:rPr>
          <w:sz w:val="18"/>
          <w:szCs w:val="18"/>
        </w:rPr>
        <w:t xml:space="preserve"> </w:t>
      </w:r>
      <w:r w:rsidR="00076F63" w:rsidRPr="00810B87">
        <w:rPr>
          <w:sz w:val="18"/>
          <w:szCs w:val="18"/>
        </w:rPr>
        <w:t xml:space="preserve">Frey 1991:88, </w:t>
      </w:r>
      <w:proofErr w:type="spellStart"/>
      <w:r w:rsidR="00076F63" w:rsidRPr="00810B87">
        <w:rPr>
          <w:sz w:val="18"/>
          <w:szCs w:val="18"/>
        </w:rPr>
        <w:t>Berthelier-Ajot</w:t>
      </w:r>
      <w:proofErr w:type="spellEnd"/>
      <w:r w:rsidR="00076F63" w:rsidRPr="00810B87">
        <w:rPr>
          <w:sz w:val="18"/>
          <w:szCs w:val="18"/>
        </w:rPr>
        <w:t xml:space="preserve"> 1991:117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B6C20CC"/>
    <w:multiLevelType w:val="hybridMultilevel"/>
    <w:tmpl w:val="61AEB762"/>
    <w:lvl w:ilvl="0" w:tplc="C388F5C0">
      <w:numFmt w:val="bullet"/>
      <w:lvlText w:val="-"/>
      <w:lvlJc w:val="left"/>
      <w:pPr>
        <w:ind w:left="720" w:hanging="360"/>
      </w:pPr>
      <w:rPr>
        <w:rFonts w:ascii="Arial Nova" w:eastAsiaTheme="minorHAnsi" w:hAnsi="Arial No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S3NLC0tDAwszA1MTJR0lEKTi0uzszPAykwrQUAt9Nw1ywAAAA="/>
  </w:docVars>
  <w:rsids>
    <w:rsidRoot w:val="001E5B18"/>
    <w:rsid w:val="00000E46"/>
    <w:rsid w:val="00003A5D"/>
    <w:rsid w:val="00026AC7"/>
    <w:rsid w:val="0002747F"/>
    <w:rsid w:val="000305E8"/>
    <w:rsid w:val="000325D0"/>
    <w:rsid w:val="000420DF"/>
    <w:rsid w:val="00056169"/>
    <w:rsid w:val="00070154"/>
    <w:rsid w:val="00072FFC"/>
    <w:rsid w:val="00076A01"/>
    <w:rsid w:val="00076F63"/>
    <w:rsid w:val="00093E6D"/>
    <w:rsid w:val="000966B2"/>
    <w:rsid w:val="000B0841"/>
    <w:rsid w:val="000B1DDD"/>
    <w:rsid w:val="000B32CD"/>
    <w:rsid w:val="000B3D64"/>
    <w:rsid w:val="000C1266"/>
    <w:rsid w:val="000C1BED"/>
    <w:rsid w:val="000C3F54"/>
    <w:rsid w:val="000C7D2B"/>
    <w:rsid w:val="000D2A28"/>
    <w:rsid w:val="000D7469"/>
    <w:rsid w:val="000E58BF"/>
    <w:rsid w:val="000E705C"/>
    <w:rsid w:val="000F08EB"/>
    <w:rsid w:val="000F094E"/>
    <w:rsid w:val="001026CE"/>
    <w:rsid w:val="001058A0"/>
    <w:rsid w:val="00114C69"/>
    <w:rsid w:val="00120E6C"/>
    <w:rsid w:val="001220DF"/>
    <w:rsid w:val="00135138"/>
    <w:rsid w:val="00137C55"/>
    <w:rsid w:val="001402F2"/>
    <w:rsid w:val="001411A6"/>
    <w:rsid w:val="00144E6A"/>
    <w:rsid w:val="00145B66"/>
    <w:rsid w:val="001500D5"/>
    <w:rsid w:val="00151256"/>
    <w:rsid w:val="001517D7"/>
    <w:rsid w:val="00160623"/>
    <w:rsid w:val="00170A69"/>
    <w:rsid w:val="001719DD"/>
    <w:rsid w:val="00176DA7"/>
    <w:rsid w:val="001837BE"/>
    <w:rsid w:val="001859B5"/>
    <w:rsid w:val="00190353"/>
    <w:rsid w:val="00191909"/>
    <w:rsid w:val="001920AA"/>
    <w:rsid w:val="00194975"/>
    <w:rsid w:val="00195019"/>
    <w:rsid w:val="00197CAE"/>
    <w:rsid w:val="001A3B28"/>
    <w:rsid w:val="001B3848"/>
    <w:rsid w:val="001B54C6"/>
    <w:rsid w:val="001B5BB0"/>
    <w:rsid w:val="001C3CC6"/>
    <w:rsid w:val="001C5855"/>
    <w:rsid w:val="001C7756"/>
    <w:rsid w:val="001D0EE5"/>
    <w:rsid w:val="001D4F61"/>
    <w:rsid w:val="001E5B18"/>
    <w:rsid w:val="001F2BD0"/>
    <w:rsid w:val="001F4E6A"/>
    <w:rsid w:val="001F5DD4"/>
    <w:rsid w:val="002168DF"/>
    <w:rsid w:val="00221EAE"/>
    <w:rsid w:val="00223EF2"/>
    <w:rsid w:val="00224CD2"/>
    <w:rsid w:val="00227A62"/>
    <w:rsid w:val="002427E0"/>
    <w:rsid w:val="002479D4"/>
    <w:rsid w:val="00252206"/>
    <w:rsid w:val="00255249"/>
    <w:rsid w:val="00261B76"/>
    <w:rsid w:val="00262F8F"/>
    <w:rsid w:val="00270F52"/>
    <w:rsid w:val="0027561D"/>
    <w:rsid w:val="00281A43"/>
    <w:rsid w:val="00287011"/>
    <w:rsid w:val="0028703A"/>
    <w:rsid w:val="00287F1B"/>
    <w:rsid w:val="002A155C"/>
    <w:rsid w:val="002A5005"/>
    <w:rsid w:val="002C58A0"/>
    <w:rsid w:val="002D0827"/>
    <w:rsid w:val="002F170B"/>
    <w:rsid w:val="002F2D66"/>
    <w:rsid w:val="00301A03"/>
    <w:rsid w:val="0031072A"/>
    <w:rsid w:val="00312D09"/>
    <w:rsid w:val="0031385C"/>
    <w:rsid w:val="00315936"/>
    <w:rsid w:val="00317458"/>
    <w:rsid w:val="00321DD2"/>
    <w:rsid w:val="003311AA"/>
    <w:rsid w:val="0033501D"/>
    <w:rsid w:val="00337A3D"/>
    <w:rsid w:val="0034109E"/>
    <w:rsid w:val="0035136B"/>
    <w:rsid w:val="003543FD"/>
    <w:rsid w:val="0036688E"/>
    <w:rsid w:val="00366CEE"/>
    <w:rsid w:val="00372824"/>
    <w:rsid w:val="00380F46"/>
    <w:rsid w:val="0038581C"/>
    <w:rsid w:val="00390114"/>
    <w:rsid w:val="003A78B8"/>
    <w:rsid w:val="003A7C21"/>
    <w:rsid w:val="003B5F1D"/>
    <w:rsid w:val="003C2133"/>
    <w:rsid w:val="003C5D3F"/>
    <w:rsid w:val="003C5E8B"/>
    <w:rsid w:val="003C7F5F"/>
    <w:rsid w:val="003C7F6E"/>
    <w:rsid w:val="003D050C"/>
    <w:rsid w:val="003D2877"/>
    <w:rsid w:val="003D2C60"/>
    <w:rsid w:val="003E3157"/>
    <w:rsid w:val="003E640A"/>
    <w:rsid w:val="003F1D6E"/>
    <w:rsid w:val="003F3D0C"/>
    <w:rsid w:val="003F7A94"/>
    <w:rsid w:val="00401779"/>
    <w:rsid w:val="0040561E"/>
    <w:rsid w:val="00406ECE"/>
    <w:rsid w:val="0041629D"/>
    <w:rsid w:val="004263A7"/>
    <w:rsid w:val="00436045"/>
    <w:rsid w:val="00436B12"/>
    <w:rsid w:val="00436F0C"/>
    <w:rsid w:val="00441223"/>
    <w:rsid w:val="00444505"/>
    <w:rsid w:val="00445629"/>
    <w:rsid w:val="00447ECD"/>
    <w:rsid w:val="0045032E"/>
    <w:rsid w:val="004513B6"/>
    <w:rsid w:val="0045223E"/>
    <w:rsid w:val="004536BC"/>
    <w:rsid w:val="00454546"/>
    <w:rsid w:val="004550C5"/>
    <w:rsid w:val="00460A6D"/>
    <w:rsid w:val="00464D9F"/>
    <w:rsid w:val="00471523"/>
    <w:rsid w:val="00472206"/>
    <w:rsid w:val="00477D6D"/>
    <w:rsid w:val="004809B5"/>
    <w:rsid w:val="004828EE"/>
    <w:rsid w:val="00487B1E"/>
    <w:rsid w:val="0049092D"/>
    <w:rsid w:val="004A366B"/>
    <w:rsid w:val="004B0060"/>
    <w:rsid w:val="004B6A99"/>
    <w:rsid w:val="004C48E4"/>
    <w:rsid w:val="004C7655"/>
    <w:rsid w:val="004D3948"/>
    <w:rsid w:val="004D7E25"/>
    <w:rsid w:val="004E6E38"/>
    <w:rsid w:val="004F1C35"/>
    <w:rsid w:val="004F1FE9"/>
    <w:rsid w:val="004F22F4"/>
    <w:rsid w:val="004F3FE4"/>
    <w:rsid w:val="004F5E5D"/>
    <w:rsid w:val="0050075C"/>
    <w:rsid w:val="00512325"/>
    <w:rsid w:val="005171DF"/>
    <w:rsid w:val="00525194"/>
    <w:rsid w:val="00526547"/>
    <w:rsid w:val="00534878"/>
    <w:rsid w:val="00537803"/>
    <w:rsid w:val="00537BBB"/>
    <w:rsid w:val="00537D49"/>
    <w:rsid w:val="005476E6"/>
    <w:rsid w:val="00550319"/>
    <w:rsid w:val="00551DD0"/>
    <w:rsid w:val="00553BC7"/>
    <w:rsid w:val="00560F99"/>
    <w:rsid w:val="00562156"/>
    <w:rsid w:val="00562BFE"/>
    <w:rsid w:val="00576171"/>
    <w:rsid w:val="00576C99"/>
    <w:rsid w:val="005771AD"/>
    <w:rsid w:val="00577B3F"/>
    <w:rsid w:val="00584A3D"/>
    <w:rsid w:val="00584D95"/>
    <w:rsid w:val="00587A47"/>
    <w:rsid w:val="00592C66"/>
    <w:rsid w:val="00595294"/>
    <w:rsid w:val="005979A8"/>
    <w:rsid w:val="005A1AD9"/>
    <w:rsid w:val="005C6539"/>
    <w:rsid w:val="005C7909"/>
    <w:rsid w:val="005D26F4"/>
    <w:rsid w:val="005D3A2F"/>
    <w:rsid w:val="005E2A61"/>
    <w:rsid w:val="005E474D"/>
    <w:rsid w:val="005E72BA"/>
    <w:rsid w:val="00602852"/>
    <w:rsid w:val="0062600D"/>
    <w:rsid w:val="0063167D"/>
    <w:rsid w:val="0064184F"/>
    <w:rsid w:val="00644E17"/>
    <w:rsid w:val="00646C59"/>
    <w:rsid w:val="00647452"/>
    <w:rsid w:val="0064747B"/>
    <w:rsid w:val="0065092B"/>
    <w:rsid w:val="00660BC3"/>
    <w:rsid w:val="00664594"/>
    <w:rsid w:val="006701FA"/>
    <w:rsid w:val="00671400"/>
    <w:rsid w:val="00671D50"/>
    <w:rsid w:val="00672D21"/>
    <w:rsid w:val="00674815"/>
    <w:rsid w:val="0068208A"/>
    <w:rsid w:val="006955BC"/>
    <w:rsid w:val="00696B2E"/>
    <w:rsid w:val="006975EC"/>
    <w:rsid w:val="006A1F6B"/>
    <w:rsid w:val="006A3EE1"/>
    <w:rsid w:val="006A4D0E"/>
    <w:rsid w:val="006B4FD7"/>
    <w:rsid w:val="006C2183"/>
    <w:rsid w:val="006C28BE"/>
    <w:rsid w:val="006C590A"/>
    <w:rsid w:val="006D32A1"/>
    <w:rsid w:val="006D37DC"/>
    <w:rsid w:val="006D7A28"/>
    <w:rsid w:val="006E71D6"/>
    <w:rsid w:val="006F394C"/>
    <w:rsid w:val="006F4E85"/>
    <w:rsid w:val="007041D2"/>
    <w:rsid w:val="00706AB2"/>
    <w:rsid w:val="00713361"/>
    <w:rsid w:val="00715517"/>
    <w:rsid w:val="00716C2B"/>
    <w:rsid w:val="0071782E"/>
    <w:rsid w:val="00725380"/>
    <w:rsid w:val="00734999"/>
    <w:rsid w:val="00736D8E"/>
    <w:rsid w:val="007400DD"/>
    <w:rsid w:val="0074017C"/>
    <w:rsid w:val="0074662E"/>
    <w:rsid w:val="007564E4"/>
    <w:rsid w:val="00757B0F"/>
    <w:rsid w:val="00767E2B"/>
    <w:rsid w:val="00772416"/>
    <w:rsid w:val="00781BCC"/>
    <w:rsid w:val="00783F96"/>
    <w:rsid w:val="00784BD6"/>
    <w:rsid w:val="007935CE"/>
    <w:rsid w:val="00794600"/>
    <w:rsid w:val="00795436"/>
    <w:rsid w:val="007A06EC"/>
    <w:rsid w:val="007A0AA0"/>
    <w:rsid w:val="007B60F6"/>
    <w:rsid w:val="007B6325"/>
    <w:rsid w:val="007B6692"/>
    <w:rsid w:val="007C54A0"/>
    <w:rsid w:val="007D4055"/>
    <w:rsid w:val="007D56E5"/>
    <w:rsid w:val="007D62BC"/>
    <w:rsid w:val="007D6590"/>
    <w:rsid w:val="007D65FC"/>
    <w:rsid w:val="007E536E"/>
    <w:rsid w:val="007E575C"/>
    <w:rsid w:val="007E6DFD"/>
    <w:rsid w:val="007E7BCF"/>
    <w:rsid w:val="007F52B0"/>
    <w:rsid w:val="00800545"/>
    <w:rsid w:val="008033D1"/>
    <w:rsid w:val="00806471"/>
    <w:rsid w:val="00810B87"/>
    <w:rsid w:val="00811CA9"/>
    <w:rsid w:val="00813748"/>
    <w:rsid w:val="00827E6F"/>
    <w:rsid w:val="00835A88"/>
    <w:rsid w:val="0085197D"/>
    <w:rsid w:val="0085263E"/>
    <w:rsid w:val="00854B47"/>
    <w:rsid w:val="00856F7E"/>
    <w:rsid w:val="00865907"/>
    <w:rsid w:val="0086713F"/>
    <w:rsid w:val="00874323"/>
    <w:rsid w:val="008743DD"/>
    <w:rsid w:val="008754D9"/>
    <w:rsid w:val="008764BB"/>
    <w:rsid w:val="008922BF"/>
    <w:rsid w:val="00894EF6"/>
    <w:rsid w:val="008960DA"/>
    <w:rsid w:val="008A35D7"/>
    <w:rsid w:val="008A59A2"/>
    <w:rsid w:val="008A6E97"/>
    <w:rsid w:val="008A7C75"/>
    <w:rsid w:val="008B5D1F"/>
    <w:rsid w:val="008C0686"/>
    <w:rsid w:val="008C0AD1"/>
    <w:rsid w:val="008C167D"/>
    <w:rsid w:val="008C1748"/>
    <w:rsid w:val="008D08CA"/>
    <w:rsid w:val="008D53EB"/>
    <w:rsid w:val="008D5D46"/>
    <w:rsid w:val="008E1068"/>
    <w:rsid w:val="008E1560"/>
    <w:rsid w:val="008E5593"/>
    <w:rsid w:val="008E72A2"/>
    <w:rsid w:val="008F3711"/>
    <w:rsid w:val="008F570A"/>
    <w:rsid w:val="0090597E"/>
    <w:rsid w:val="0091111B"/>
    <w:rsid w:val="00911AD1"/>
    <w:rsid w:val="00914443"/>
    <w:rsid w:val="009305BB"/>
    <w:rsid w:val="00936E45"/>
    <w:rsid w:val="00937D2A"/>
    <w:rsid w:val="00940DA0"/>
    <w:rsid w:val="0094410B"/>
    <w:rsid w:val="00947A61"/>
    <w:rsid w:val="009504EB"/>
    <w:rsid w:val="00957226"/>
    <w:rsid w:val="00961821"/>
    <w:rsid w:val="009620DB"/>
    <w:rsid w:val="00973F63"/>
    <w:rsid w:val="00974B8D"/>
    <w:rsid w:val="00975709"/>
    <w:rsid w:val="00981C4A"/>
    <w:rsid w:val="009852D6"/>
    <w:rsid w:val="00993146"/>
    <w:rsid w:val="0099509A"/>
    <w:rsid w:val="009A2439"/>
    <w:rsid w:val="009A54C0"/>
    <w:rsid w:val="009A7C86"/>
    <w:rsid w:val="009B1FEE"/>
    <w:rsid w:val="009B2904"/>
    <w:rsid w:val="009B3A76"/>
    <w:rsid w:val="009B412B"/>
    <w:rsid w:val="009C0B2E"/>
    <w:rsid w:val="009C25D3"/>
    <w:rsid w:val="009C498F"/>
    <w:rsid w:val="009D0013"/>
    <w:rsid w:val="009D0EFD"/>
    <w:rsid w:val="009D4492"/>
    <w:rsid w:val="009D6184"/>
    <w:rsid w:val="009D64A9"/>
    <w:rsid w:val="009E4299"/>
    <w:rsid w:val="009E42A8"/>
    <w:rsid w:val="009E43D9"/>
    <w:rsid w:val="009F09FB"/>
    <w:rsid w:val="009F46D1"/>
    <w:rsid w:val="009F766B"/>
    <w:rsid w:val="009F7FFD"/>
    <w:rsid w:val="00A02712"/>
    <w:rsid w:val="00A12318"/>
    <w:rsid w:val="00A20C14"/>
    <w:rsid w:val="00A430EE"/>
    <w:rsid w:val="00A432DE"/>
    <w:rsid w:val="00A45951"/>
    <w:rsid w:val="00A4670C"/>
    <w:rsid w:val="00A53FE3"/>
    <w:rsid w:val="00A55341"/>
    <w:rsid w:val="00A64C7F"/>
    <w:rsid w:val="00A64DCB"/>
    <w:rsid w:val="00A65DAC"/>
    <w:rsid w:val="00A70DAE"/>
    <w:rsid w:val="00A73422"/>
    <w:rsid w:val="00A73497"/>
    <w:rsid w:val="00A75644"/>
    <w:rsid w:val="00A80A7A"/>
    <w:rsid w:val="00A85A82"/>
    <w:rsid w:val="00A86205"/>
    <w:rsid w:val="00A87EDC"/>
    <w:rsid w:val="00A92B88"/>
    <w:rsid w:val="00A94A2C"/>
    <w:rsid w:val="00AA3BA7"/>
    <w:rsid w:val="00AA7153"/>
    <w:rsid w:val="00AC0AE2"/>
    <w:rsid w:val="00AC16F2"/>
    <w:rsid w:val="00AC55AB"/>
    <w:rsid w:val="00AC55DC"/>
    <w:rsid w:val="00AC58BE"/>
    <w:rsid w:val="00AD55DB"/>
    <w:rsid w:val="00AD57CA"/>
    <w:rsid w:val="00AD5D7F"/>
    <w:rsid w:val="00AD65F1"/>
    <w:rsid w:val="00AE10ED"/>
    <w:rsid w:val="00AE2F0C"/>
    <w:rsid w:val="00AE7A76"/>
    <w:rsid w:val="00AF193A"/>
    <w:rsid w:val="00AF21B7"/>
    <w:rsid w:val="00AF259F"/>
    <w:rsid w:val="00AF282F"/>
    <w:rsid w:val="00AF563F"/>
    <w:rsid w:val="00B02244"/>
    <w:rsid w:val="00B03A1A"/>
    <w:rsid w:val="00B063D6"/>
    <w:rsid w:val="00B11D30"/>
    <w:rsid w:val="00B128DB"/>
    <w:rsid w:val="00B146B5"/>
    <w:rsid w:val="00B2393F"/>
    <w:rsid w:val="00B30FE8"/>
    <w:rsid w:val="00B4014D"/>
    <w:rsid w:val="00B4064E"/>
    <w:rsid w:val="00B40937"/>
    <w:rsid w:val="00B4399B"/>
    <w:rsid w:val="00B445AA"/>
    <w:rsid w:val="00B449B6"/>
    <w:rsid w:val="00B44FAF"/>
    <w:rsid w:val="00B5378A"/>
    <w:rsid w:val="00B617A5"/>
    <w:rsid w:val="00B62CFC"/>
    <w:rsid w:val="00B6490E"/>
    <w:rsid w:val="00B65560"/>
    <w:rsid w:val="00B71794"/>
    <w:rsid w:val="00B812AF"/>
    <w:rsid w:val="00B85EE0"/>
    <w:rsid w:val="00B90549"/>
    <w:rsid w:val="00BA463C"/>
    <w:rsid w:val="00BA63D9"/>
    <w:rsid w:val="00BB0EB0"/>
    <w:rsid w:val="00BC0115"/>
    <w:rsid w:val="00BC334C"/>
    <w:rsid w:val="00BC35A0"/>
    <w:rsid w:val="00BC3866"/>
    <w:rsid w:val="00BC4386"/>
    <w:rsid w:val="00BD5AD2"/>
    <w:rsid w:val="00BE02EA"/>
    <w:rsid w:val="00BE2803"/>
    <w:rsid w:val="00BE314A"/>
    <w:rsid w:val="00BE3B92"/>
    <w:rsid w:val="00BF4DC9"/>
    <w:rsid w:val="00C00343"/>
    <w:rsid w:val="00C00527"/>
    <w:rsid w:val="00C0242E"/>
    <w:rsid w:val="00C03273"/>
    <w:rsid w:val="00C03A9C"/>
    <w:rsid w:val="00C0656E"/>
    <w:rsid w:val="00C12911"/>
    <w:rsid w:val="00C134CD"/>
    <w:rsid w:val="00C1751E"/>
    <w:rsid w:val="00C27DEC"/>
    <w:rsid w:val="00C318AE"/>
    <w:rsid w:val="00C32B03"/>
    <w:rsid w:val="00C33837"/>
    <w:rsid w:val="00C36BF5"/>
    <w:rsid w:val="00C41221"/>
    <w:rsid w:val="00C43776"/>
    <w:rsid w:val="00C43808"/>
    <w:rsid w:val="00C603D4"/>
    <w:rsid w:val="00C66783"/>
    <w:rsid w:val="00C71A50"/>
    <w:rsid w:val="00C9329D"/>
    <w:rsid w:val="00CA45FB"/>
    <w:rsid w:val="00CB0B86"/>
    <w:rsid w:val="00CB2371"/>
    <w:rsid w:val="00CC08A3"/>
    <w:rsid w:val="00CC0B24"/>
    <w:rsid w:val="00CC0E18"/>
    <w:rsid w:val="00CD13FB"/>
    <w:rsid w:val="00CD2C4A"/>
    <w:rsid w:val="00CD47EA"/>
    <w:rsid w:val="00CD6470"/>
    <w:rsid w:val="00CF0CDB"/>
    <w:rsid w:val="00CF133C"/>
    <w:rsid w:val="00CF6772"/>
    <w:rsid w:val="00D0191B"/>
    <w:rsid w:val="00D01B54"/>
    <w:rsid w:val="00D03FC1"/>
    <w:rsid w:val="00D0404C"/>
    <w:rsid w:val="00D20F57"/>
    <w:rsid w:val="00D2331B"/>
    <w:rsid w:val="00D340CB"/>
    <w:rsid w:val="00D34D8D"/>
    <w:rsid w:val="00D405FC"/>
    <w:rsid w:val="00D629D8"/>
    <w:rsid w:val="00D64732"/>
    <w:rsid w:val="00D652CF"/>
    <w:rsid w:val="00D66AD8"/>
    <w:rsid w:val="00D67F2A"/>
    <w:rsid w:val="00D72B8B"/>
    <w:rsid w:val="00D7487C"/>
    <w:rsid w:val="00D77784"/>
    <w:rsid w:val="00D86BDB"/>
    <w:rsid w:val="00D906BC"/>
    <w:rsid w:val="00D91E38"/>
    <w:rsid w:val="00D92A23"/>
    <w:rsid w:val="00DA404C"/>
    <w:rsid w:val="00DA49E2"/>
    <w:rsid w:val="00DA4F51"/>
    <w:rsid w:val="00DC13BF"/>
    <w:rsid w:val="00DC498E"/>
    <w:rsid w:val="00DD0931"/>
    <w:rsid w:val="00DE155D"/>
    <w:rsid w:val="00DE2A6B"/>
    <w:rsid w:val="00DE7F64"/>
    <w:rsid w:val="00DF015A"/>
    <w:rsid w:val="00DF272E"/>
    <w:rsid w:val="00DF328B"/>
    <w:rsid w:val="00DF76C2"/>
    <w:rsid w:val="00E037D1"/>
    <w:rsid w:val="00E14E02"/>
    <w:rsid w:val="00E2790D"/>
    <w:rsid w:val="00E330A9"/>
    <w:rsid w:val="00E3318A"/>
    <w:rsid w:val="00E4333F"/>
    <w:rsid w:val="00E56EFA"/>
    <w:rsid w:val="00E6170B"/>
    <w:rsid w:val="00E75765"/>
    <w:rsid w:val="00E77357"/>
    <w:rsid w:val="00E82936"/>
    <w:rsid w:val="00E8664A"/>
    <w:rsid w:val="00E904EB"/>
    <w:rsid w:val="00E919D1"/>
    <w:rsid w:val="00E92719"/>
    <w:rsid w:val="00E95107"/>
    <w:rsid w:val="00EA051E"/>
    <w:rsid w:val="00EA4C7C"/>
    <w:rsid w:val="00EA5E0C"/>
    <w:rsid w:val="00EB21EB"/>
    <w:rsid w:val="00EB2BA9"/>
    <w:rsid w:val="00EB5137"/>
    <w:rsid w:val="00EB569E"/>
    <w:rsid w:val="00EC0135"/>
    <w:rsid w:val="00EC1B41"/>
    <w:rsid w:val="00EC48B3"/>
    <w:rsid w:val="00ED0C7B"/>
    <w:rsid w:val="00ED6E61"/>
    <w:rsid w:val="00EE7648"/>
    <w:rsid w:val="00EF0561"/>
    <w:rsid w:val="00EF0EBE"/>
    <w:rsid w:val="00EF57A5"/>
    <w:rsid w:val="00EF5BA1"/>
    <w:rsid w:val="00EF5D51"/>
    <w:rsid w:val="00F01CC1"/>
    <w:rsid w:val="00F06822"/>
    <w:rsid w:val="00F07570"/>
    <w:rsid w:val="00F159C8"/>
    <w:rsid w:val="00F169F1"/>
    <w:rsid w:val="00F171EF"/>
    <w:rsid w:val="00F17CED"/>
    <w:rsid w:val="00F251B0"/>
    <w:rsid w:val="00F27139"/>
    <w:rsid w:val="00F30378"/>
    <w:rsid w:val="00F306E4"/>
    <w:rsid w:val="00F32593"/>
    <w:rsid w:val="00F326DB"/>
    <w:rsid w:val="00F3391A"/>
    <w:rsid w:val="00F33D9C"/>
    <w:rsid w:val="00F35257"/>
    <w:rsid w:val="00F427F1"/>
    <w:rsid w:val="00F51EEC"/>
    <w:rsid w:val="00F5387E"/>
    <w:rsid w:val="00F5721E"/>
    <w:rsid w:val="00F57687"/>
    <w:rsid w:val="00F605AF"/>
    <w:rsid w:val="00F609C8"/>
    <w:rsid w:val="00F650F5"/>
    <w:rsid w:val="00F73477"/>
    <w:rsid w:val="00F76C18"/>
    <w:rsid w:val="00F835B8"/>
    <w:rsid w:val="00F90C8E"/>
    <w:rsid w:val="00F937B1"/>
    <w:rsid w:val="00F975EA"/>
    <w:rsid w:val="00FA36CC"/>
    <w:rsid w:val="00FA6093"/>
    <w:rsid w:val="00FA6EE0"/>
    <w:rsid w:val="00FB0D48"/>
    <w:rsid w:val="00FB2EBD"/>
    <w:rsid w:val="00FB300D"/>
    <w:rsid w:val="00FB44BD"/>
    <w:rsid w:val="00FC03A5"/>
    <w:rsid w:val="00FC1E4F"/>
    <w:rsid w:val="00FC5FF5"/>
    <w:rsid w:val="00FC67D9"/>
    <w:rsid w:val="00FC6CCC"/>
    <w:rsid w:val="00FC7F54"/>
    <w:rsid w:val="00FD7AA4"/>
    <w:rsid w:val="00FE09DA"/>
    <w:rsid w:val="00FE3EF0"/>
    <w:rsid w:val="00FF2573"/>
    <w:rsid w:val="00FF6265"/>
    <w:rsid w:val="00FF7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F5BEFF0"/>
  <w15:chartTrackingRefBased/>
  <w15:docId w15:val="{4C8DA4A0-BFAF-4205-A0A3-5AB29A9A2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 Nova" w:eastAsiaTheme="minorHAnsi" w:hAnsi="Arial Nov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0B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5B18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FC6CC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C6CC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C6CC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810B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606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623"/>
  </w:style>
  <w:style w:type="paragraph" w:styleId="Footer">
    <w:name w:val="footer"/>
    <w:basedOn w:val="Normal"/>
    <w:link w:val="FooterChar"/>
    <w:uiPriority w:val="99"/>
    <w:unhideWhenUsed/>
    <w:rsid w:val="001606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623"/>
  </w:style>
  <w:style w:type="paragraph" w:styleId="Caption">
    <w:name w:val="caption"/>
    <w:basedOn w:val="Normal"/>
    <w:next w:val="Normal"/>
    <w:uiPriority w:val="35"/>
    <w:unhideWhenUsed/>
    <w:qFormat/>
    <w:rsid w:val="00981C4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FB300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B300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B30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962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46BEF7-FF91-4EE6-ABB7-B9124E25CE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9</Pages>
  <Words>2497</Words>
  <Characters>14471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Alexander</dc:creator>
  <cp:keywords/>
  <dc:description/>
  <cp:lastModifiedBy>Danielle Alexander (1600109)</cp:lastModifiedBy>
  <cp:revision>109</cp:revision>
  <dcterms:created xsi:type="dcterms:W3CDTF">2019-01-21T23:56:00Z</dcterms:created>
  <dcterms:modified xsi:type="dcterms:W3CDTF">2019-01-22T16:44:00Z</dcterms:modified>
</cp:coreProperties>
</file>