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7A1" w:rsidRPr="008707A1" w:rsidRDefault="008707A1" w:rsidP="008707A1">
      <w:pPr>
        <w:jc w:val="center"/>
        <w:rPr>
          <w:b/>
          <w:sz w:val="28"/>
          <w:u w:val="single"/>
        </w:rPr>
      </w:pPr>
    </w:p>
    <w:p w:rsidR="008707A1" w:rsidRPr="008707A1" w:rsidRDefault="008707A1" w:rsidP="008707A1">
      <w:pPr>
        <w:jc w:val="center"/>
        <w:rPr>
          <w:b/>
          <w:sz w:val="28"/>
          <w:u w:val="single"/>
        </w:rPr>
      </w:pPr>
      <w:r w:rsidRPr="008707A1">
        <w:rPr>
          <w:b/>
          <w:sz w:val="28"/>
          <w:u w:val="single"/>
        </w:rPr>
        <w:t>Assignment 2</w:t>
      </w:r>
    </w:p>
    <w:p w:rsidR="008707A1" w:rsidRPr="008707A1" w:rsidRDefault="008707A1" w:rsidP="008707A1">
      <w:pPr>
        <w:jc w:val="center"/>
        <w:rPr>
          <w:b/>
          <w:sz w:val="28"/>
          <w:u w:val="single"/>
        </w:rPr>
      </w:pPr>
      <w:r w:rsidRPr="008707A1">
        <w:rPr>
          <w:b/>
          <w:sz w:val="28"/>
          <w:u w:val="single"/>
        </w:rPr>
        <w:t>Student ID: 1815767</w:t>
      </w:r>
    </w:p>
    <w:p w:rsidR="008707A1" w:rsidRPr="008707A1" w:rsidRDefault="008707A1" w:rsidP="008707A1">
      <w:pPr>
        <w:jc w:val="center"/>
        <w:rPr>
          <w:b/>
          <w:sz w:val="28"/>
          <w:u w:val="single"/>
        </w:rPr>
      </w:pPr>
      <w:r w:rsidRPr="008707A1">
        <w:rPr>
          <w:b/>
          <w:sz w:val="28"/>
          <w:u w:val="single"/>
        </w:rPr>
        <w:t>Name: Hannah Brown</w:t>
      </w: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8707A1" w:rsidRDefault="008707A1" w:rsidP="001F6089">
      <w:pPr>
        <w:rPr>
          <w:b/>
          <w:u w:val="single"/>
        </w:rPr>
      </w:pPr>
    </w:p>
    <w:p w:rsidR="001F6089" w:rsidRDefault="001F6089" w:rsidP="001F6089">
      <w:pPr>
        <w:rPr>
          <w:b/>
          <w:u w:val="single"/>
        </w:rPr>
      </w:pPr>
      <w:r w:rsidRPr="00C47723">
        <w:rPr>
          <w:b/>
          <w:u w:val="single"/>
        </w:rPr>
        <w:t>Task 1</w:t>
      </w:r>
    </w:p>
    <w:p w:rsidR="001F6089" w:rsidRDefault="001F6089" w:rsidP="001F6089">
      <w:r>
        <w:t>In this assignment I am going to analyse why key incidents have had a damaging effect on the willingness of communities to engage with Police. I will also discuss effective community engagement and will evaluate the role of community policing.</w:t>
      </w:r>
    </w:p>
    <w:p w:rsidR="001F6089" w:rsidRDefault="001F6089" w:rsidP="001F6089">
      <w:r>
        <w:t xml:space="preserve">Over the years, there have been a number of major incidents occur, which have had a damaging effect on the relationship between the public and the Police, including the Brixton Riots, the murder of Stephen Lawrence, the death of Fiona Pilkington and most recently the Black Lives Matter movement, after the death of George Floyd in America. The way in which the Police were seen during these incidents, has a lasting effect on the willingness of communities to engage with the Police. I am going to focus on the murder of Stephen Lawrence, and the enquiry led by Sir William Macphersan, which followed, the Macphersan Report. Stephen Lawrence was a young black male, who was murdered in 1993 in an unprovoked attack. Five suspects were arrested, but not convicted for his murder. As outlined by (Foster </w:t>
      </w:r>
      <w:r>
        <w:rPr>
          <w:i/>
        </w:rPr>
        <w:t>et al.</w:t>
      </w:r>
      <w:r>
        <w:t>, 2005) The inquiry pointed out fundamental flaws in the investigation in to the death of Stephen Lawrence, that were attributed to professional incompetence, institutional racism and a failure of leadership, all of which effected community relations. During the Stephen Lawrence Inquiry (1999), Macpherson noted that institutional racism was a factor, and this consisted of a collective failure of the organisation to provide an appropriate and professional service, because of their colour, culture or ethnic origin. Failure of the organisation to recognise the existence of such a problem, allowed such racism to prevail as part of the ethos or culture, therefore impacting police and public relations.</w:t>
      </w:r>
    </w:p>
    <w:p w:rsidR="001F6089" w:rsidRPr="00027E18" w:rsidRDefault="001F6089" w:rsidP="001F6089">
      <w:pPr>
        <w:autoSpaceDE w:val="0"/>
        <w:autoSpaceDN w:val="0"/>
        <w:adjustRightInd w:val="0"/>
        <w:spacing w:after="0" w:line="240" w:lineRule="auto"/>
        <w:rPr>
          <w:rFonts w:cstheme="minorHAnsi"/>
          <w:szCs w:val="24"/>
        </w:rPr>
      </w:pPr>
      <w:r>
        <w:t xml:space="preserve">As stated above the enquiry </w:t>
      </w:r>
      <w:r w:rsidRPr="00027E18">
        <w:rPr>
          <w:rFonts w:cstheme="minorHAnsi"/>
          <w:szCs w:val="24"/>
        </w:rPr>
        <w:t>highlighted a number of issues within the Police investigation that followed the death</w:t>
      </w:r>
      <w:r>
        <w:rPr>
          <w:rFonts w:cstheme="minorHAnsi"/>
          <w:szCs w:val="24"/>
        </w:rPr>
        <w:t xml:space="preserve"> of Stephen</w:t>
      </w:r>
      <w:r w:rsidRPr="00027E18">
        <w:rPr>
          <w:rFonts w:cstheme="minorHAnsi"/>
          <w:szCs w:val="24"/>
        </w:rPr>
        <w:t xml:space="preserve">. This obviously, would have an impact on the public, particularly minority groups with their trust and willingness to engage with Police. As stated by Reiner (2000) </w:t>
      </w:r>
      <w:r>
        <w:rPr>
          <w:rFonts w:cstheme="minorHAnsi"/>
          <w:szCs w:val="24"/>
        </w:rPr>
        <w:t xml:space="preserve">the killing of </w:t>
      </w:r>
      <w:r w:rsidRPr="00027E18">
        <w:rPr>
          <w:rFonts w:cstheme="minorHAnsi"/>
          <w:szCs w:val="24"/>
        </w:rPr>
        <w:t>Stephen Lawrence was unprecedented in its impact, crystallizing the ‘disastrous ebbing</w:t>
      </w:r>
    </w:p>
    <w:p w:rsidR="001F6089" w:rsidRDefault="001F6089" w:rsidP="001F6089">
      <w:pPr>
        <w:rPr>
          <w:rFonts w:cstheme="minorHAnsi"/>
          <w:szCs w:val="24"/>
        </w:rPr>
      </w:pPr>
      <w:r w:rsidRPr="00027E18">
        <w:rPr>
          <w:rFonts w:cstheme="minorHAnsi"/>
          <w:szCs w:val="24"/>
        </w:rPr>
        <w:t>away of black confidence in the police’.</w:t>
      </w:r>
      <w:r>
        <w:rPr>
          <w:rFonts w:cstheme="minorHAnsi"/>
          <w:szCs w:val="24"/>
        </w:rPr>
        <w:t xml:space="preserve"> However, the Macpherson report outlined a number of recommendations for all Police forces, outlining changes that should be made, including racism training, appropriate documentation of stop and searches, including the documentation of ethnicity of the person being searched, measures to encourage reporting of racist incidents, increased recruitment of minority ethnic recruits, along with many others, as outlined by Macpherson, in the Stephen Lawrence Inquiry (1999). In a study conducted by (Foster </w:t>
      </w:r>
      <w:r>
        <w:rPr>
          <w:rFonts w:cstheme="minorHAnsi"/>
          <w:i/>
          <w:szCs w:val="24"/>
        </w:rPr>
        <w:t xml:space="preserve">et al., 2005) </w:t>
      </w:r>
      <w:r>
        <w:rPr>
          <w:rFonts w:cstheme="minorHAnsi"/>
          <w:szCs w:val="24"/>
        </w:rPr>
        <w:t>it showed that there has been significant improvements in understanding community impacts more broadly, and the consultation of local communities. It also showed that senior staff recognised the need for liaising with communities in response to events that had the potential for ‘critical impact’ on local communities. This shows that since the inquiry, and the recommendations that followed, the Police service have recognised the damaging effect on the willingness of communities to engage and are trying to change, and improve relations with the public.</w:t>
      </w:r>
    </w:p>
    <w:p w:rsidR="001F6089" w:rsidRDefault="001F6089" w:rsidP="001F6089">
      <w:pPr>
        <w:rPr>
          <w:rFonts w:cstheme="minorHAnsi"/>
          <w:szCs w:val="24"/>
        </w:rPr>
      </w:pPr>
      <w:r>
        <w:rPr>
          <w:rFonts w:cstheme="minorHAnsi"/>
          <w:szCs w:val="24"/>
        </w:rPr>
        <w:t xml:space="preserve">In order to successfully engage with any community, it is important for Police officers to engage with members of the public within that community in a positive way. An important statement made by Sir Robert Peel in the Peelian Principles is ‘the Police are the public and the public are the Police’ (The Crime Prevention Website, no date). This statement, although very old still applies and shows that the Police and public are one, and should work together. In 2002 Police Community Support Officers (PCSOs) were introduced to increase the visible uniformed presence on the streets. Later, Neighbourhood Policing teams were introduced, which includes PCSOs, Neighbourhood beat </w:t>
      </w:r>
      <w:r>
        <w:rPr>
          <w:rFonts w:cstheme="minorHAnsi"/>
          <w:szCs w:val="24"/>
        </w:rPr>
        <w:lastRenderedPageBreak/>
        <w:t>managers, who are Police officers, and a Police Sergeant. As defined by (College of Policing, no date) neighbourhood policing allows accountability between the public and the police, engagement that builds trust and develops an understanding of that community’s needs and collaborative problem-solving with partners and voluntary sectors. By having a good relationship with the community this allows the Police to build good relationships, maintains public confidence, develops intelligence and improves community cohesion. As outlined by (Secretary of State for the Home Department, 2008) neighbourhood teams main aim is to be easily accessible to the communities, spending time on patrol and holding public meetings, also known as PACT (partners and communities together) meetings. Within these meetings local priorities can be brought to light, and the Police can update the public on what action has been taken.</w:t>
      </w:r>
    </w:p>
    <w:p w:rsidR="001F6089" w:rsidRDefault="001F6089" w:rsidP="001F6089">
      <w:pPr>
        <w:rPr>
          <w:rFonts w:cstheme="minorHAnsi"/>
          <w:szCs w:val="24"/>
        </w:rPr>
      </w:pPr>
      <w:r>
        <w:rPr>
          <w:rFonts w:cstheme="minorHAnsi"/>
          <w:szCs w:val="24"/>
        </w:rPr>
        <w:t xml:space="preserve">Community engagement is a key link between public and Police relations. According to Bryant and Bryant (2019, p.53) a key feature of this approach is the emphasis on communication and problem-solving activities between the Police and the community. A number of approaches can be utilised in order to gain effective community engagement. By using different approaches, better community cohesion can be achieved. Over the years Policing has changed, problem oriented policing has evolved, and researchers have focused on analysis, the development of pragmatic responses, and the need to strategically engage other resources, such as councils, and community members (Goldstein, 1990). The use of models such as the SARA (scanning, analysing, response and assessment) model and the PAT (problem analysis triangle), can assist Police in collecting information needed to find solutions to problems. </w:t>
      </w:r>
    </w:p>
    <w:p w:rsidR="001F6089" w:rsidRDefault="001F6089" w:rsidP="001F6089">
      <w:pPr>
        <w:rPr>
          <w:rFonts w:cstheme="minorHAnsi"/>
          <w:szCs w:val="24"/>
        </w:rPr>
      </w:pPr>
      <w:r>
        <w:rPr>
          <w:rFonts w:cstheme="minorHAnsi"/>
          <w:szCs w:val="24"/>
        </w:rPr>
        <w:t xml:space="preserve">To conclude, during key incidents, public trust has been lost, particularly during the investigation in to the death of Stephen Lawrence. This was due to failings by the Police during the investigation. Recommendations were made during the inquiry that followed, and branded the metropolitan Police as institutionally racist. This damaging the relationship between the Police and communities across the UK. Since then, a number of things have changed within the Police service, including the introduction of racism training, and proper recording of hate crimes. Community Policing as a whole has improved over the years, with the introduction of neighbourhood policing teams and PCSO’s, who have improved community cohesion. Successful neighbourhood policing will outline problems within that community by engagement and the use of PACT meetings. From there, the Police can utilise problem solving techniques in order to solve problems, and increase public confidence, and community cohesion. </w:t>
      </w:r>
    </w:p>
    <w:p w:rsidR="001F6089" w:rsidRDefault="001F6089" w:rsidP="001F6089">
      <w:pPr>
        <w:rPr>
          <w:rFonts w:cstheme="minorHAnsi"/>
          <w:szCs w:val="24"/>
        </w:rPr>
      </w:pPr>
    </w:p>
    <w:p w:rsidR="001F6089" w:rsidRPr="001F6089" w:rsidRDefault="001F6089" w:rsidP="001F6089">
      <w:pPr>
        <w:rPr>
          <w:rFonts w:cstheme="minorHAnsi"/>
          <w:b/>
          <w:szCs w:val="24"/>
        </w:rPr>
      </w:pPr>
      <w:r w:rsidRPr="001F6089">
        <w:rPr>
          <w:rFonts w:cstheme="minorHAnsi"/>
          <w:b/>
          <w:szCs w:val="24"/>
        </w:rPr>
        <w:t>1028 Words</w:t>
      </w:r>
    </w:p>
    <w:p w:rsidR="00DA0056" w:rsidRDefault="002E55E6"/>
    <w:p w:rsidR="001F6089" w:rsidRDefault="001F6089"/>
    <w:p w:rsidR="001F6089" w:rsidRDefault="001F6089"/>
    <w:p w:rsidR="001F6089" w:rsidRDefault="001F6089"/>
    <w:p w:rsidR="001F6089" w:rsidRDefault="001F6089"/>
    <w:p w:rsidR="001F6089" w:rsidRDefault="001F6089"/>
    <w:p w:rsidR="001F6089" w:rsidRDefault="001F6089"/>
    <w:p w:rsidR="008707A1" w:rsidRDefault="008707A1"/>
    <w:p w:rsidR="001F6089" w:rsidRDefault="001F6089">
      <w:pPr>
        <w:rPr>
          <w:b/>
          <w:u w:val="single"/>
        </w:rPr>
      </w:pPr>
      <w:r w:rsidRPr="001F6089">
        <w:rPr>
          <w:b/>
          <w:u w:val="single"/>
        </w:rPr>
        <w:lastRenderedPageBreak/>
        <w:t xml:space="preserve">Task 1 </w:t>
      </w:r>
      <w:r>
        <w:rPr>
          <w:b/>
          <w:u w:val="single"/>
        </w:rPr>
        <w:t>–</w:t>
      </w:r>
      <w:r w:rsidRPr="001F6089">
        <w:rPr>
          <w:b/>
          <w:u w:val="single"/>
        </w:rPr>
        <w:t xml:space="preserve"> Bibliography</w:t>
      </w:r>
    </w:p>
    <w:p w:rsidR="001F6089" w:rsidRPr="00367A7C" w:rsidRDefault="001F6089" w:rsidP="001F6089">
      <w:pPr>
        <w:tabs>
          <w:tab w:val="left" w:pos="1110"/>
        </w:tabs>
        <w:rPr>
          <w:rFonts w:cs="Times New Roman"/>
        </w:rPr>
      </w:pPr>
      <w:r w:rsidRPr="00617E1E">
        <w:rPr>
          <w:rFonts w:cs="Times New Roman"/>
        </w:rPr>
        <w:t xml:space="preserve">Bryant, R. and Bryant, S. (2019) </w:t>
      </w:r>
      <w:r w:rsidRPr="00617E1E">
        <w:rPr>
          <w:rFonts w:cs="Times New Roman"/>
          <w:i/>
        </w:rPr>
        <w:t xml:space="preserve">Blackstone’s Handbook for Policing Students. </w:t>
      </w:r>
      <w:r w:rsidRPr="00617E1E">
        <w:rPr>
          <w:rFonts w:cs="Times New Roman"/>
        </w:rPr>
        <w:t>New York: Oxford University Press.</w:t>
      </w:r>
    </w:p>
    <w:p w:rsidR="001F6089" w:rsidRPr="00324D26" w:rsidRDefault="001F6089" w:rsidP="001F6089">
      <w:pPr>
        <w:rPr>
          <w:rFonts w:cstheme="minorHAnsi"/>
        </w:rPr>
      </w:pPr>
      <w:r w:rsidRPr="00324D26">
        <w:rPr>
          <w:rFonts w:cstheme="minorHAnsi"/>
        </w:rPr>
        <w:t xml:space="preserve">College of Policing (no date) </w:t>
      </w:r>
      <w:r w:rsidRPr="00324D26">
        <w:rPr>
          <w:rFonts w:cstheme="minorHAnsi"/>
          <w:i/>
        </w:rPr>
        <w:t>Definition of Neighbourhood Policing.</w:t>
      </w:r>
      <w:r w:rsidRPr="00324D26">
        <w:rPr>
          <w:rFonts w:cstheme="minorHAnsi"/>
        </w:rPr>
        <w:t xml:space="preserve"> Available at: </w:t>
      </w:r>
      <w:hyperlink r:id="rId6" w:history="1">
        <w:r w:rsidRPr="00324D26">
          <w:rPr>
            <w:rStyle w:val="Hyperlink"/>
            <w:rFonts w:cstheme="minorHAnsi"/>
          </w:rPr>
          <w:t>https://www.college.police.uk/What-we-do/Standards/Guidelines/Neighbourhood-Policing/Pages/definition-of-neighbourhood-policing.aspx</w:t>
        </w:r>
      </w:hyperlink>
      <w:r w:rsidRPr="00324D26">
        <w:rPr>
          <w:rFonts w:cstheme="minorHAnsi"/>
        </w:rPr>
        <w:t xml:space="preserve"> (Accessed: 22 December 2020).</w:t>
      </w:r>
    </w:p>
    <w:p w:rsidR="001F6089" w:rsidRPr="001F6089" w:rsidRDefault="001F6089" w:rsidP="001F6089">
      <w:pPr>
        <w:rPr>
          <w:rFonts w:cstheme="minorHAnsi"/>
          <w:i/>
        </w:rPr>
      </w:pPr>
      <w:r w:rsidRPr="001F6089">
        <w:rPr>
          <w:rFonts w:cstheme="minorHAnsi"/>
        </w:rPr>
        <w:t xml:space="preserve">Foster, J., </w:t>
      </w:r>
      <w:r w:rsidRPr="001F6089">
        <w:rPr>
          <w:rFonts w:cstheme="minorHAnsi"/>
          <w:i/>
        </w:rPr>
        <w:t>et al</w:t>
      </w:r>
      <w:r w:rsidRPr="001F6089">
        <w:rPr>
          <w:rFonts w:cstheme="minorHAnsi"/>
        </w:rPr>
        <w:t xml:space="preserve">. (2005). ‘Assessing the impact of the Stephen Lawrence inquiry’, </w:t>
      </w:r>
      <w:r w:rsidRPr="001F6089">
        <w:rPr>
          <w:rFonts w:cstheme="minorHAnsi"/>
          <w:i/>
        </w:rPr>
        <w:t>Home Office Research Study 294, pp.1).</w:t>
      </w:r>
    </w:p>
    <w:p w:rsidR="001F6089" w:rsidRPr="001F6089" w:rsidRDefault="001F6089" w:rsidP="001F6089">
      <w:pPr>
        <w:rPr>
          <w:rFonts w:cstheme="minorHAnsi"/>
        </w:rPr>
      </w:pPr>
      <w:r w:rsidRPr="001F6089">
        <w:t xml:space="preserve">Goldstein, H., 1990. Excellence in problem-oriented policing. </w:t>
      </w:r>
      <w:r w:rsidRPr="001F6089">
        <w:rPr>
          <w:i/>
          <w:iCs/>
        </w:rPr>
        <w:t>New York: McGraw-Hill. Im, K., Pesaran, M., &amp; Shin, Y.(2003). Testing for unit roots in heterogeneous panels. J. Econometrics</w:t>
      </w:r>
      <w:r w:rsidRPr="001F6089">
        <w:t xml:space="preserve">, </w:t>
      </w:r>
      <w:r w:rsidRPr="001F6089">
        <w:rPr>
          <w:i/>
          <w:iCs/>
        </w:rPr>
        <w:t>115</w:t>
      </w:r>
      <w:r w:rsidRPr="001F6089">
        <w:t>, pp.53-74.</w:t>
      </w:r>
    </w:p>
    <w:p w:rsidR="001F6089" w:rsidRPr="001F6089" w:rsidRDefault="001F6089" w:rsidP="001F6089">
      <w:pPr>
        <w:rPr>
          <w:rFonts w:cstheme="minorHAnsi"/>
        </w:rPr>
      </w:pPr>
      <w:r w:rsidRPr="001F6089">
        <w:rPr>
          <w:rFonts w:cstheme="minorHAnsi"/>
        </w:rPr>
        <w:t xml:space="preserve">Macpherson, W. (1999) </w:t>
      </w:r>
      <w:r w:rsidRPr="001F6089">
        <w:rPr>
          <w:rFonts w:cstheme="minorHAnsi"/>
          <w:i/>
        </w:rPr>
        <w:t>The Stephen Lawrence Inquiry</w:t>
      </w:r>
      <w:r w:rsidRPr="001F6089">
        <w:rPr>
          <w:rFonts w:cstheme="minorHAnsi"/>
        </w:rPr>
        <w:t xml:space="preserve">. (Cm 4262-I). Available at: </w:t>
      </w:r>
      <w:hyperlink r:id="rId7" w:history="1">
        <w:r w:rsidRPr="00820339">
          <w:rPr>
            <w:rStyle w:val="Hyperlink"/>
            <w:rFonts w:cstheme="minorHAnsi"/>
          </w:rPr>
          <w:t>https://assets.publishing.service.gov.uk/government/uploads/system/uploads/attachment_data/file/277111/4262.pdf</w:t>
        </w:r>
      </w:hyperlink>
      <w:r w:rsidRPr="001F6089">
        <w:rPr>
          <w:rFonts w:cstheme="minorHAnsi"/>
        </w:rPr>
        <w:t xml:space="preserve"> (Accessed: 11 December 2020). </w:t>
      </w:r>
    </w:p>
    <w:p w:rsidR="001F6089" w:rsidRDefault="001F6089" w:rsidP="001F6089">
      <w:pPr>
        <w:rPr>
          <w:rFonts w:cstheme="minorHAnsi"/>
        </w:rPr>
      </w:pPr>
      <w:r w:rsidRPr="00324D26">
        <w:rPr>
          <w:rFonts w:cstheme="minorHAnsi"/>
        </w:rPr>
        <w:t>Reiner, R. (2000), The Politics of the Police. Oxford: Oxford University Press.</w:t>
      </w:r>
    </w:p>
    <w:p w:rsidR="001F6089" w:rsidRPr="00241F4F" w:rsidRDefault="001F6089" w:rsidP="001F6089">
      <w:pPr>
        <w:rPr>
          <w:rFonts w:cstheme="minorHAnsi"/>
        </w:rPr>
      </w:pPr>
      <w:r>
        <w:rPr>
          <w:rFonts w:cstheme="minorHAnsi"/>
        </w:rPr>
        <w:t xml:space="preserve">Secretary of State for the Home Department (2008) </w:t>
      </w:r>
      <w:r>
        <w:rPr>
          <w:rFonts w:cstheme="minorHAnsi"/>
          <w:i/>
        </w:rPr>
        <w:t xml:space="preserve">From the neighbourhood to the national: Policing our communities together </w:t>
      </w:r>
      <w:r>
        <w:rPr>
          <w:rFonts w:cstheme="minorHAnsi"/>
        </w:rPr>
        <w:t xml:space="preserve">(CM 7448). Available at: </w:t>
      </w:r>
      <w:hyperlink r:id="rId8" w:history="1">
        <w:r w:rsidRPr="00B54CC8">
          <w:rPr>
            <w:rStyle w:val="Hyperlink"/>
            <w:rFonts w:cstheme="minorHAnsi"/>
          </w:rPr>
          <w:t>https://assets.publishing.service.gov.uk/government/uploads/system/uploads/attachment_data/file/229019/7448.pdf</w:t>
        </w:r>
      </w:hyperlink>
      <w:r>
        <w:rPr>
          <w:rFonts w:cstheme="minorHAnsi"/>
        </w:rPr>
        <w:t xml:space="preserve"> (Accessed: 29 December 2020). </w:t>
      </w:r>
    </w:p>
    <w:p w:rsidR="001F6089" w:rsidRPr="00324D26" w:rsidRDefault="001F6089" w:rsidP="001F6089">
      <w:pPr>
        <w:rPr>
          <w:rFonts w:cstheme="minorHAnsi"/>
          <w:b/>
        </w:rPr>
      </w:pPr>
      <w:r w:rsidRPr="00324D26">
        <w:rPr>
          <w:rFonts w:cstheme="minorHAnsi"/>
        </w:rPr>
        <w:t xml:space="preserve">The Crime Prevention Website (no date) </w:t>
      </w:r>
      <w:r w:rsidRPr="00324D26">
        <w:rPr>
          <w:rFonts w:cstheme="minorHAnsi"/>
          <w:i/>
        </w:rPr>
        <w:t>Peelian Principles.</w:t>
      </w:r>
      <w:r w:rsidRPr="00324D26">
        <w:rPr>
          <w:rFonts w:cstheme="minorHAnsi"/>
        </w:rPr>
        <w:t xml:space="preserve"> Available at: </w:t>
      </w:r>
      <w:hyperlink r:id="rId9" w:history="1">
        <w:r w:rsidRPr="00324D26">
          <w:rPr>
            <w:rStyle w:val="Hyperlink"/>
            <w:rFonts w:cstheme="minorHAnsi"/>
          </w:rPr>
          <w:t>https://thecrimepreventionwebsite.com/police-crime-prevention-service---a-short-history/744/the-peelian-principles/</w:t>
        </w:r>
      </w:hyperlink>
      <w:r w:rsidRPr="00324D26">
        <w:rPr>
          <w:rFonts w:cstheme="minorHAnsi"/>
        </w:rPr>
        <w:t xml:space="preserve"> (Accessed: 22 December 2020).</w:t>
      </w:r>
    </w:p>
    <w:p w:rsidR="001F6089" w:rsidRDefault="001F6089">
      <w:pPr>
        <w:rPr>
          <w:b/>
          <w:u w:val="single"/>
        </w:rPr>
      </w:pPr>
    </w:p>
    <w:p w:rsidR="001F6089" w:rsidRDefault="001F6089">
      <w:pPr>
        <w:rPr>
          <w:b/>
          <w:u w:val="single"/>
        </w:rPr>
      </w:pPr>
    </w:p>
    <w:p w:rsidR="001F6089" w:rsidRDefault="001F6089">
      <w:pPr>
        <w:rPr>
          <w:b/>
          <w:u w:val="single"/>
        </w:rPr>
      </w:pPr>
    </w:p>
    <w:p w:rsidR="001F6089" w:rsidRDefault="001F6089">
      <w:pPr>
        <w:rPr>
          <w:b/>
          <w:u w:val="single"/>
        </w:rPr>
      </w:pPr>
    </w:p>
    <w:p w:rsidR="001F6089" w:rsidRDefault="001F6089">
      <w:pPr>
        <w:rPr>
          <w:b/>
          <w:u w:val="single"/>
        </w:rPr>
      </w:pPr>
    </w:p>
    <w:p w:rsidR="001F6089" w:rsidRDefault="001F6089">
      <w:pPr>
        <w:rPr>
          <w:b/>
          <w:u w:val="single"/>
        </w:rPr>
      </w:pPr>
    </w:p>
    <w:p w:rsidR="001F6089" w:rsidRDefault="001F6089">
      <w:pPr>
        <w:rPr>
          <w:b/>
          <w:u w:val="single"/>
        </w:rPr>
      </w:pPr>
    </w:p>
    <w:p w:rsidR="001F6089" w:rsidRDefault="001F6089">
      <w:pPr>
        <w:rPr>
          <w:b/>
          <w:u w:val="single"/>
        </w:rPr>
      </w:pPr>
    </w:p>
    <w:p w:rsidR="001F6089" w:rsidRDefault="001F6089">
      <w:pPr>
        <w:rPr>
          <w:b/>
          <w:u w:val="single"/>
        </w:rPr>
      </w:pPr>
    </w:p>
    <w:p w:rsidR="001F6089" w:rsidRDefault="001F6089">
      <w:pPr>
        <w:rPr>
          <w:b/>
          <w:u w:val="single"/>
        </w:rPr>
      </w:pPr>
    </w:p>
    <w:p w:rsidR="001F6089" w:rsidRDefault="001F6089">
      <w:pPr>
        <w:rPr>
          <w:b/>
          <w:u w:val="single"/>
        </w:rPr>
      </w:pPr>
    </w:p>
    <w:p w:rsidR="001F6089" w:rsidRDefault="001F6089">
      <w:pPr>
        <w:rPr>
          <w:b/>
          <w:u w:val="single"/>
        </w:rPr>
      </w:pPr>
    </w:p>
    <w:p w:rsidR="008707A1" w:rsidRDefault="008707A1">
      <w:pPr>
        <w:rPr>
          <w:b/>
          <w:u w:val="single"/>
        </w:rPr>
      </w:pPr>
    </w:p>
    <w:p w:rsidR="008707A1" w:rsidRDefault="008707A1">
      <w:pPr>
        <w:rPr>
          <w:b/>
          <w:u w:val="single"/>
        </w:rPr>
      </w:pPr>
    </w:p>
    <w:p w:rsidR="001F6089" w:rsidRDefault="001F6089">
      <w:pPr>
        <w:rPr>
          <w:b/>
          <w:u w:val="single"/>
        </w:rPr>
      </w:pPr>
      <w:r>
        <w:rPr>
          <w:b/>
          <w:u w:val="single"/>
        </w:rPr>
        <w:lastRenderedPageBreak/>
        <w:t>Task 2</w:t>
      </w:r>
    </w:p>
    <w:p w:rsidR="006D73EA" w:rsidRDefault="006D73EA" w:rsidP="006D73EA">
      <w:r>
        <w:t>In this assignment I am going to assess the strengths and weakness o</w:t>
      </w:r>
      <w:r w:rsidR="00506590">
        <w:t xml:space="preserve">f different Policing models and </w:t>
      </w:r>
      <w:r>
        <w:t xml:space="preserve">explore crime prevention theories and </w:t>
      </w:r>
      <w:r w:rsidR="00506590">
        <w:t>strategies. I will also explain</w:t>
      </w:r>
      <w:r>
        <w:t xml:space="preserve"> analytical products provided by intelligence specialists during an investigation. </w:t>
      </w:r>
    </w:p>
    <w:p w:rsidR="006D73EA" w:rsidRPr="00851470" w:rsidRDefault="006D73EA" w:rsidP="006D73EA">
      <w:pPr>
        <w:rPr>
          <w:rFonts w:cstheme="minorHAnsi"/>
          <w:lang w:val="en"/>
        </w:rPr>
      </w:pPr>
      <w:r>
        <w:t xml:space="preserve">Crime is something </w:t>
      </w:r>
      <w:r w:rsidRPr="006E4342">
        <w:t xml:space="preserve">which many </w:t>
      </w:r>
      <w:r w:rsidRPr="006E4342">
        <w:rPr>
          <w:rFonts w:cstheme="minorHAnsi"/>
        </w:rPr>
        <w:t xml:space="preserve">people will be a victim </w:t>
      </w:r>
      <w:r w:rsidR="00CA347A">
        <w:rPr>
          <w:rFonts w:cstheme="minorHAnsi"/>
        </w:rPr>
        <w:t xml:space="preserve">of </w:t>
      </w:r>
      <w:r>
        <w:rPr>
          <w:rFonts w:cstheme="minorHAnsi"/>
        </w:rPr>
        <w:t>in their lifetime. Crime</w:t>
      </w:r>
      <w:r w:rsidRPr="006E4342">
        <w:rPr>
          <w:rFonts w:cstheme="minorHAnsi"/>
        </w:rPr>
        <w:t xml:space="preserve"> is defined by (Victim Support, no date) as</w:t>
      </w:r>
      <w:r w:rsidRPr="006E4342">
        <w:rPr>
          <w:rFonts w:cstheme="minorHAnsi"/>
          <w:lang w:val="en"/>
        </w:rPr>
        <w:t xml:space="preserve"> a deliberate act that causes physical or psychological harm, damage to or loss of property, and is against the law.</w:t>
      </w:r>
      <w:r>
        <w:rPr>
          <w:rFonts w:cstheme="minorHAnsi"/>
          <w:lang w:val="en"/>
        </w:rPr>
        <w:t xml:space="preserve"> A number of policing models have been established over the years</w:t>
      </w:r>
      <w:r w:rsidR="00506590">
        <w:rPr>
          <w:rFonts w:cstheme="minorHAnsi"/>
          <w:lang w:val="en"/>
        </w:rPr>
        <w:t xml:space="preserve"> and each one is </w:t>
      </w:r>
      <w:r>
        <w:rPr>
          <w:rFonts w:cstheme="minorHAnsi"/>
          <w:lang w:val="en"/>
        </w:rPr>
        <w:t>designed to offer an appropriate policing response to crime, and how it can be reduced. Once a crime is committed in an area once, it is likely that it will be committed there again in the future, as a weakness has been identified. Those places, persons and items can be considered as ‘hot’, and this is known as the ‘hot’ model. As outlined by Clarke and Webb (1999) an item is a ‘hot product’ if it is likely to be taken by thieves. The acronym CRAVED summarises six elements that makes a product hot. These are; concealable; removable, available, valuable, enjoyable and disposable. Like hot products, victims and</w:t>
      </w:r>
      <w:r w:rsidR="00506590">
        <w:rPr>
          <w:rFonts w:cstheme="minorHAnsi"/>
          <w:lang w:val="en"/>
        </w:rPr>
        <w:t xml:space="preserve"> locations can also be deemed as</w:t>
      </w:r>
      <w:r>
        <w:rPr>
          <w:rFonts w:cstheme="minorHAnsi"/>
          <w:lang w:val="en"/>
        </w:rPr>
        <w:t xml:space="preserve"> ‘hot’. As stated by Bryant and Bryant (2019, p.70) hot offenders are more likely to want hot products and hot victims are more likely to be in hot spots. Hot offenders are likely to target hot spots as there are easy opportunities for crime, and little chance of being caught. </w:t>
      </w:r>
    </w:p>
    <w:p w:rsidR="006D73EA" w:rsidRDefault="006D73EA" w:rsidP="006D73EA">
      <w:pPr>
        <w:autoSpaceDE w:val="0"/>
        <w:autoSpaceDN w:val="0"/>
        <w:adjustRightInd w:val="0"/>
        <w:spacing w:after="0" w:line="240" w:lineRule="auto"/>
        <w:rPr>
          <w:rFonts w:cstheme="minorHAnsi"/>
        </w:rPr>
      </w:pPr>
      <w:r>
        <w:rPr>
          <w:rFonts w:cstheme="minorHAnsi"/>
        </w:rPr>
        <w:t>Another model of policing is Goldsteins Problem-oriented Policing (POP). He defined POP as a comprehens</w:t>
      </w:r>
      <w:r w:rsidR="00506590">
        <w:rPr>
          <w:rFonts w:cstheme="minorHAnsi"/>
        </w:rPr>
        <w:t>ive plan for improving policing, and problems which shape the police agency, influencing change in personnel, the organisation and procedures</w:t>
      </w:r>
      <w:r>
        <w:rPr>
          <w:rFonts w:cstheme="minorHAnsi"/>
        </w:rPr>
        <w:t xml:space="preserve"> (Goldstein, 1990a, p.32). Since POP was introduced it has evolved so that focus is given to analysis, the development of pragmatic responses and the need to strategically engage other resources, such as local authorities, and partners (Goldstein, 1990b). POP can b</w:t>
      </w:r>
      <w:r w:rsidR="00506590">
        <w:rPr>
          <w:rFonts w:cstheme="minorHAnsi"/>
        </w:rPr>
        <w:t>e described using the SARA model, which employs four stages; scanning; analysis; response; and assessment</w:t>
      </w:r>
      <w:r>
        <w:rPr>
          <w:rFonts w:cstheme="minorHAnsi"/>
        </w:rPr>
        <w:t xml:space="preserve">. As stated by (College of Policing, no date) the SARA model assumes that by identifying and understanding root causes of problems, the solution developed to tackle it will be effective. In a study conducted by (Hinkle, </w:t>
      </w:r>
      <w:r>
        <w:rPr>
          <w:rFonts w:cstheme="minorHAnsi"/>
          <w:i/>
        </w:rPr>
        <w:t xml:space="preserve">et al., 2020) </w:t>
      </w:r>
      <w:r>
        <w:rPr>
          <w:rFonts w:cstheme="minorHAnsi"/>
        </w:rPr>
        <w:t xml:space="preserve"> it was found that policing strategies that identify specific problems, and deliver tailor-made responses such as POP are more effective in reducing crime and disorder than standard reactive methods. In a report conducted by (Cordner, </w:t>
      </w:r>
      <w:r>
        <w:rPr>
          <w:rFonts w:cstheme="minorHAnsi"/>
          <w:i/>
        </w:rPr>
        <w:t xml:space="preserve">et al., </w:t>
      </w:r>
      <w:r w:rsidRPr="00B17754">
        <w:rPr>
          <w:rFonts w:cstheme="minorHAnsi"/>
        </w:rPr>
        <w:t>2003</w:t>
      </w:r>
      <w:r>
        <w:rPr>
          <w:rFonts w:cstheme="minorHAnsi"/>
          <w:i/>
        </w:rPr>
        <w:t xml:space="preserve">) </w:t>
      </w:r>
      <w:r>
        <w:rPr>
          <w:rFonts w:cstheme="minorHAnsi"/>
        </w:rPr>
        <w:t>a weakness of POP was identified, thus being that POP is time consuming, and Police officers did not have the time to implement the SARA process properly, and did not have to knowledge to do so either.</w:t>
      </w:r>
    </w:p>
    <w:p w:rsidR="006D73EA" w:rsidRDefault="006D73EA" w:rsidP="006D73EA">
      <w:pPr>
        <w:autoSpaceDE w:val="0"/>
        <w:autoSpaceDN w:val="0"/>
        <w:adjustRightInd w:val="0"/>
        <w:spacing w:after="0" w:line="240" w:lineRule="auto"/>
        <w:rPr>
          <w:rFonts w:cstheme="minorHAnsi"/>
        </w:rPr>
      </w:pPr>
    </w:p>
    <w:p w:rsidR="006D73EA" w:rsidRDefault="006D73EA" w:rsidP="006D73EA">
      <w:pPr>
        <w:autoSpaceDE w:val="0"/>
        <w:autoSpaceDN w:val="0"/>
        <w:adjustRightInd w:val="0"/>
        <w:spacing w:after="0" w:line="240" w:lineRule="auto"/>
        <w:rPr>
          <w:rFonts w:cstheme="minorHAnsi"/>
        </w:rPr>
      </w:pPr>
      <w:r>
        <w:rPr>
          <w:rFonts w:cstheme="minorHAnsi"/>
          <w:lang w:val="en"/>
        </w:rPr>
        <w:t>Crime prevention can be used in a targeted and directed manner to reduce crime and thereby free more police resources for dedicated proactive police work, as stated by Bryant and Bryant (2019, p.70). Lum and Koper (2015), define evidence based policing (EBP) as</w:t>
      </w:r>
      <w:r w:rsidRPr="00FB668C">
        <w:rPr>
          <w:rFonts w:cstheme="minorHAnsi"/>
          <w:lang w:val="en"/>
        </w:rPr>
        <w:t xml:space="preserve"> </w:t>
      </w:r>
      <w:r w:rsidRPr="00FB668C">
        <w:rPr>
          <w:rFonts w:cstheme="minorHAnsi"/>
        </w:rPr>
        <w:t>a law-enforce</w:t>
      </w:r>
      <w:r>
        <w:rPr>
          <w:rFonts w:cstheme="minorHAnsi"/>
        </w:rPr>
        <w:t xml:space="preserve">ment perspective and philosophy </w:t>
      </w:r>
      <w:r w:rsidRPr="00FB668C">
        <w:rPr>
          <w:rFonts w:cstheme="minorHAnsi"/>
        </w:rPr>
        <w:t>that implicates the use of research, evalu</w:t>
      </w:r>
      <w:r>
        <w:rPr>
          <w:rFonts w:cstheme="minorHAnsi"/>
        </w:rPr>
        <w:t xml:space="preserve">ation, analysis, and scientific </w:t>
      </w:r>
      <w:r w:rsidRPr="00FB668C">
        <w:rPr>
          <w:rFonts w:cstheme="minorHAnsi"/>
        </w:rPr>
        <w:t xml:space="preserve">processes in law-enforcement decision making. This basically means that evidence should be used to direct policing practices. </w:t>
      </w:r>
      <w:r>
        <w:rPr>
          <w:rFonts w:cstheme="minorHAnsi"/>
        </w:rPr>
        <w:t xml:space="preserve">By gaining a knowledge and researching crime this allows the police to develop a better understanding of an issue; by describing the nature, extent and possible causes of the problem, and asses the effect of a policing intervention; by testing the impact of a new initiative (College of Policing, no date). By using such research, this gives Police a better understanding on how to direct patrols, and put measures in place to prevent crime. However, there are a number of weaknesses which can be found for evidence-based policing, these focus mainly on the quality of the research being used. As outlined in a study conducted by (Bowers </w:t>
      </w:r>
      <w:r>
        <w:rPr>
          <w:rFonts w:cstheme="minorHAnsi"/>
          <w:i/>
        </w:rPr>
        <w:t xml:space="preserve">et al. 2017) </w:t>
      </w:r>
      <w:r>
        <w:rPr>
          <w:rFonts w:cstheme="minorHAnsi"/>
        </w:rPr>
        <w:t xml:space="preserve">some weaknesses in research can include; little consideration given to alternative explanations; lack of internal validity; language may be inaccessible; and containing ‘old’ information, which hasn’t been updated. There is however a grading system in place, to ensure the best available evidence is obtained. As stated by </w:t>
      </w:r>
      <w:r>
        <w:rPr>
          <w:rFonts w:cstheme="minorHAnsi"/>
        </w:rPr>
        <w:lastRenderedPageBreak/>
        <w:t xml:space="preserve">Bryant and Bryant (2019, p.74) another weakness of EBP is the evidence reviews being expensive and time-consuming. </w:t>
      </w:r>
    </w:p>
    <w:p w:rsidR="006D73EA" w:rsidRDefault="006D73EA" w:rsidP="006D73EA">
      <w:pPr>
        <w:autoSpaceDE w:val="0"/>
        <w:autoSpaceDN w:val="0"/>
        <w:adjustRightInd w:val="0"/>
        <w:spacing w:after="0" w:line="240" w:lineRule="auto"/>
        <w:rPr>
          <w:rFonts w:cstheme="minorHAnsi"/>
        </w:rPr>
      </w:pPr>
    </w:p>
    <w:p w:rsidR="006D73EA" w:rsidRPr="00485B44" w:rsidRDefault="006D73EA" w:rsidP="006D73EA">
      <w:pPr>
        <w:autoSpaceDE w:val="0"/>
        <w:autoSpaceDN w:val="0"/>
        <w:adjustRightInd w:val="0"/>
        <w:spacing w:after="0" w:line="240" w:lineRule="auto"/>
        <w:rPr>
          <w:rFonts w:cstheme="minorHAnsi"/>
          <w:lang w:val="en"/>
        </w:rPr>
      </w:pPr>
      <w:r>
        <w:rPr>
          <w:rFonts w:cstheme="minorHAnsi"/>
          <w:lang w:val="en"/>
        </w:rPr>
        <w:t>The Routine Activity Theory (RAT) suggests that crime could relate to the victim, offender or the location of the crime. As outlined by Cohen and Felson (1979) the structure of routine activities, influences criminal opportunity. This structure involves direct</w:t>
      </w:r>
      <w:r w:rsidR="00485B44">
        <w:rPr>
          <w:rFonts w:cstheme="minorHAnsi"/>
          <w:lang w:val="en"/>
        </w:rPr>
        <w:t xml:space="preserve"> </w:t>
      </w:r>
      <w:r>
        <w:rPr>
          <w:rFonts w:cstheme="minorHAnsi"/>
          <w:lang w:val="en"/>
        </w:rPr>
        <w:t>contact between at least one offender, and at least one person or object take</w:t>
      </w:r>
      <w:r w:rsidR="00485B44">
        <w:rPr>
          <w:rFonts w:cstheme="minorHAnsi"/>
          <w:lang w:val="en"/>
        </w:rPr>
        <w:t>n</w:t>
      </w:r>
      <w:r>
        <w:rPr>
          <w:rFonts w:cstheme="minorHAnsi"/>
          <w:lang w:val="en"/>
        </w:rPr>
        <w:t xml:space="preserve"> or damage</w:t>
      </w:r>
      <w:r w:rsidR="00485B44">
        <w:rPr>
          <w:rFonts w:cstheme="minorHAnsi"/>
          <w:lang w:val="en"/>
        </w:rPr>
        <w:t>d</w:t>
      </w:r>
      <w:r>
        <w:rPr>
          <w:rFonts w:cstheme="minorHAnsi"/>
          <w:lang w:val="en"/>
        </w:rPr>
        <w:t xml:space="preserve">. RAT suggests that all three elements must be present, for a </w:t>
      </w:r>
      <w:r w:rsidR="00485B44">
        <w:rPr>
          <w:rFonts w:cstheme="minorHAnsi"/>
          <w:lang w:val="en"/>
        </w:rPr>
        <w:t xml:space="preserve">criminal opportunity to arise. </w:t>
      </w:r>
      <w:r>
        <w:rPr>
          <w:rFonts w:cstheme="minorHAnsi"/>
          <w:lang w:val="en"/>
        </w:rPr>
        <w:t>Cohen and Felson (1979), continue to argue that the removal of one of these elements, is enough to prevent the successful completion of a crime. For example, should the home owner of a premises that has previously been burgled install a CCTV camera, this might deter the offender from repeating the crime, as the target has been altered.</w:t>
      </w:r>
    </w:p>
    <w:p w:rsidR="006D73EA" w:rsidRDefault="006D73EA" w:rsidP="006D73EA">
      <w:pPr>
        <w:autoSpaceDE w:val="0"/>
        <w:autoSpaceDN w:val="0"/>
        <w:adjustRightInd w:val="0"/>
        <w:spacing w:after="0" w:line="240" w:lineRule="auto"/>
        <w:rPr>
          <w:rFonts w:cstheme="minorHAnsi"/>
        </w:rPr>
      </w:pPr>
    </w:p>
    <w:p w:rsidR="006D73EA" w:rsidRDefault="006D73EA" w:rsidP="006D73EA">
      <w:pPr>
        <w:autoSpaceDE w:val="0"/>
        <w:autoSpaceDN w:val="0"/>
        <w:adjustRightInd w:val="0"/>
        <w:spacing w:after="0" w:line="240" w:lineRule="auto"/>
        <w:rPr>
          <w:rFonts w:cstheme="minorHAnsi"/>
        </w:rPr>
      </w:pPr>
      <w:r>
        <w:rPr>
          <w:rFonts w:cstheme="minorHAnsi"/>
        </w:rPr>
        <w:t>In addition to problem-solving models, and crime prevention, analysis can be used for a better understanding of the crimes committed</w:t>
      </w:r>
      <w:r w:rsidR="00485B44">
        <w:rPr>
          <w:rFonts w:cstheme="minorHAnsi"/>
        </w:rPr>
        <w:t xml:space="preserve">. </w:t>
      </w:r>
      <w:r>
        <w:rPr>
          <w:rFonts w:cstheme="minorHAnsi"/>
        </w:rPr>
        <w:t xml:space="preserve">As defined by Bryant and Bryant (2019, p.511) intelligence is generally information derived from sources, that has been recorded, graded and evaluated. Once intelligence has been recorded, an analyst will then analyse the intelligence, and develop potential trends. The National Intelligence Model (NIM) outlines four core models; problem profiling; subject profiling; tactical assessment; and strategic assessment (College of Policing, 2019). The key feature of analysis is for patterns of crime to be identified, and for strategic deployment of resources, to tackle the crime patterns </w:t>
      </w:r>
      <w:r w:rsidR="00CA347A">
        <w:rPr>
          <w:rFonts w:cstheme="minorHAnsi"/>
        </w:rPr>
        <w:t>identified. The information identified is</w:t>
      </w:r>
      <w:r>
        <w:rPr>
          <w:rFonts w:cstheme="minorHAnsi"/>
        </w:rPr>
        <w:t xml:space="preserve"> known as an analytical product. An analytical product can be identified from evaluating intelligence. Subject analysis aims to provide a picture of an individual, such as a victim, witness or offender. This can then be used to aid an investigation, and assist with decision making (College of Policing, 2019). This could relate t</w:t>
      </w:r>
      <w:r w:rsidR="00CA347A">
        <w:rPr>
          <w:rFonts w:cstheme="minorHAnsi"/>
        </w:rPr>
        <w:t>o somebodies Modus Operandi (MO)</w:t>
      </w:r>
      <w:r>
        <w:rPr>
          <w:rFonts w:cstheme="minorHAnsi"/>
        </w:rPr>
        <w:t>, and could assist with identifying an offender from the MO used.</w:t>
      </w:r>
    </w:p>
    <w:p w:rsidR="006D73EA" w:rsidRDefault="006D73EA" w:rsidP="006D73EA">
      <w:pPr>
        <w:autoSpaceDE w:val="0"/>
        <w:autoSpaceDN w:val="0"/>
        <w:adjustRightInd w:val="0"/>
        <w:spacing w:after="0" w:line="240" w:lineRule="auto"/>
        <w:rPr>
          <w:rFonts w:cstheme="minorHAnsi"/>
        </w:rPr>
      </w:pPr>
    </w:p>
    <w:p w:rsidR="006D73EA" w:rsidRDefault="006D73EA" w:rsidP="006D73EA">
      <w:pPr>
        <w:autoSpaceDE w:val="0"/>
        <w:autoSpaceDN w:val="0"/>
        <w:adjustRightInd w:val="0"/>
        <w:spacing w:after="0" w:line="240" w:lineRule="auto"/>
        <w:rPr>
          <w:rFonts w:cstheme="minorHAnsi"/>
        </w:rPr>
      </w:pPr>
      <w:r>
        <w:rPr>
          <w:rFonts w:cstheme="minorHAnsi"/>
        </w:rPr>
        <w:t>To conclude there are a numb</w:t>
      </w:r>
      <w:r w:rsidR="00CA347A">
        <w:rPr>
          <w:rFonts w:cstheme="minorHAnsi"/>
        </w:rPr>
        <w:t xml:space="preserve">er of policing models </w:t>
      </w:r>
      <w:r>
        <w:rPr>
          <w:rFonts w:cstheme="minorHAnsi"/>
        </w:rPr>
        <w:t xml:space="preserve">used in relation to crime, and each have different strengths and weaknesses. The strength they have in common, is that they can both be used to strategically deploy resources. They have a strong link to crime prevention theories, such as RAT. Analytical products can be used during an investigation to build a picture of what has happened, including detailed profiling of </w:t>
      </w:r>
      <w:r w:rsidR="00CA347A">
        <w:rPr>
          <w:rFonts w:cstheme="minorHAnsi"/>
        </w:rPr>
        <w:t>persons involved and</w:t>
      </w:r>
      <w:r>
        <w:rPr>
          <w:rFonts w:cstheme="minorHAnsi"/>
        </w:rPr>
        <w:t xml:space="preserve"> locations. These can assist with decision making, and again deployment of resources. </w:t>
      </w:r>
    </w:p>
    <w:p w:rsidR="001F6089" w:rsidRDefault="001F6089"/>
    <w:p w:rsidR="006D73EA" w:rsidRDefault="006D73EA"/>
    <w:p w:rsidR="006D73EA" w:rsidRPr="002E55E6" w:rsidRDefault="00CA347A">
      <w:pPr>
        <w:rPr>
          <w:b/>
        </w:rPr>
      </w:pPr>
      <w:r w:rsidRPr="002E55E6">
        <w:rPr>
          <w:b/>
        </w:rPr>
        <w:t>1100 Words</w:t>
      </w:r>
    </w:p>
    <w:p w:rsidR="006D73EA" w:rsidRDefault="006D73EA"/>
    <w:p w:rsidR="006D73EA" w:rsidRDefault="006D73EA"/>
    <w:p w:rsidR="006D73EA" w:rsidRDefault="006D73EA"/>
    <w:p w:rsidR="006D73EA" w:rsidRDefault="006D73EA"/>
    <w:p w:rsidR="006D73EA" w:rsidRDefault="006D73EA"/>
    <w:p w:rsidR="006D73EA" w:rsidRDefault="006D73EA"/>
    <w:p w:rsidR="006D73EA" w:rsidRDefault="006D73EA"/>
    <w:p w:rsidR="006D73EA" w:rsidRDefault="006D73EA"/>
    <w:p w:rsidR="002320C3" w:rsidRDefault="002320C3">
      <w:pPr>
        <w:rPr>
          <w:b/>
          <w:u w:val="single"/>
        </w:rPr>
      </w:pPr>
    </w:p>
    <w:p w:rsidR="006D73EA" w:rsidRDefault="006D73EA">
      <w:pPr>
        <w:rPr>
          <w:b/>
          <w:u w:val="single"/>
        </w:rPr>
      </w:pPr>
      <w:r>
        <w:rPr>
          <w:b/>
          <w:u w:val="single"/>
        </w:rPr>
        <w:lastRenderedPageBreak/>
        <w:t>Task 2 – Bibliography</w:t>
      </w:r>
    </w:p>
    <w:p w:rsidR="006D73EA" w:rsidRPr="006D73EA" w:rsidRDefault="006D73EA" w:rsidP="006D73EA">
      <w:pPr>
        <w:tabs>
          <w:tab w:val="left" w:pos="1110"/>
        </w:tabs>
        <w:rPr>
          <w:rFonts w:cs="Times New Roman"/>
        </w:rPr>
      </w:pPr>
      <w:r w:rsidRPr="00617E1E">
        <w:rPr>
          <w:rFonts w:cs="Times New Roman"/>
        </w:rPr>
        <w:t xml:space="preserve">Bryant, R. and Bryant, S. (2019) </w:t>
      </w:r>
      <w:r w:rsidRPr="00617E1E">
        <w:rPr>
          <w:rFonts w:cs="Times New Roman"/>
          <w:i/>
        </w:rPr>
        <w:t xml:space="preserve">Blackstone’s Handbook for Policing Students. </w:t>
      </w:r>
      <w:r w:rsidRPr="00617E1E">
        <w:rPr>
          <w:rFonts w:cs="Times New Roman"/>
        </w:rPr>
        <w:t xml:space="preserve">New York: Oxford </w:t>
      </w:r>
      <w:r w:rsidRPr="006D73EA">
        <w:rPr>
          <w:rFonts w:cs="Times New Roman"/>
        </w:rPr>
        <w:t>University Press.</w:t>
      </w:r>
    </w:p>
    <w:p w:rsidR="006D73EA" w:rsidRPr="006D73EA" w:rsidRDefault="006D73EA" w:rsidP="006D73EA">
      <w:r w:rsidRPr="006D73EA">
        <w:t xml:space="preserve">Bowers, K., Tompson, L., Sidebottom, A., Bullock, K. and Johnson, S.D., (2017). ‘Reviewing evidence for evidence-based policing’, </w:t>
      </w:r>
      <w:r w:rsidRPr="006D73EA">
        <w:rPr>
          <w:i/>
          <w:iCs/>
        </w:rPr>
        <w:t xml:space="preserve">Advances in evidence based policing, </w:t>
      </w:r>
      <w:r w:rsidRPr="006D73EA">
        <w:t>pp.98-116.</w:t>
      </w:r>
    </w:p>
    <w:p w:rsidR="006D73EA" w:rsidRPr="006D73EA" w:rsidRDefault="006D73EA" w:rsidP="006D73EA">
      <w:r w:rsidRPr="006D73EA">
        <w:t xml:space="preserve">Clarke, R.V.G. and Webb, B., 1999. </w:t>
      </w:r>
      <w:r w:rsidRPr="006D73EA">
        <w:rPr>
          <w:i/>
          <w:iCs/>
        </w:rPr>
        <w:t>Hot products: Understanding, anticipating and reducing demand for stolen goods</w:t>
      </w:r>
      <w:r w:rsidRPr="006D73EA">
        <w:t xml:space="preserve"> (Vol. 112). London: Home Office, Policing and Reducing Crime Unit, Research, Development and Statistics Directorate.</w:t>
      </w:r>
    </w:p>
    <w:p w:rsidR="006D73EA" w:rsidRPr="006D73EA" w:rsidRDefault="006D73EA" w:rsidP="006D73EA">
      <w:r w:rsidRPr="006D73EA">
        <w:t xml:space="preserve">Cohen, L.E. and Felson, M., (1979). ‘Social change and crime rate trends: A routine activity approach’, </w:t>
      </w:r>
      <w:r w:rsidRPr="006D73EA">
        <w:rPr>
          <w:i/>
          <w:iCs/>
        </w:rPr>
        <w:t>American sociological review</w:t>
      </w:r>
      <w:r w:rsidRPr="006D73EA">
        <w:t>, pp.588-608.</w:t>
      </w:r>
    </w:p>
    <w:p w:rsidR="006D73EA" w:rsidRPr="006D73EA" w:rsidRDefault="006D73EA" w:rsidP="006D73EA">
      <w:r w:rsidRPr="006D73EA">
        <w:t xml:space="preserve">College of Policing (2019) </w:t>
      </w:r>
      <w:r w:rsidRPr="006D73EA">
        <w:rPr>
          <w:i/>
        </w:rPr>
        <w:t>Intelligenge Products</w:t>
      </w:r>
      <w:r w:rsidRPr="006D73EA">
        <w:t xml:space="preserve">. Available at: </w:t>
      </w:r>
      <w:hyperlink r:id="rId10" w:history="1">
        <w:r w:rsidRPr="00820339">
          <w:rPr>
            <w:rStyle w:val="Hyperlink"/>
          </w:rPr>
          <w:t>https://www.app.college.police.uk/app-content/intelligence-management/analysis/intelligence-products/</w:t>
        </w:r>
      </w:hyperlink>
      <w:r w:rsidRPr="006D73EA">
        <w:t xml:space="preserve"> (Accessed: 3 January 2021)</w:t>
      </w:r>
    </w:p>
    <w:p w:rsidR="006D73EA" w:rsidRPr="006D73EA" w:rsidRDefault="006D73EA" w:rsidP="006D73EA">
      <w:r w:rsidRPr="006D73EA">
        <w:t xml:space="preserve">College of Policing (2020) </w:t>
      </w:r>
      <w:r w:rsidRPr="006D73EA">
        <w:rPr>
          <w:i/>
        </w:rPr>
        <w:t xml:space="preserve">Problem-oriented Policing NEW. </w:t>
      </w:r>
      <w:r w:rsidRPr="006D73EA">
        <w:t xml:space="preserve">Available at: </w:t>
      </w:r>
      <w:hyperlink r:id="rId11" w:history="1">
        <w:r w:rsidRPr="00820339">
          <w:rPr>
            <w:rStyle w:val="Hyperlink"/>
          </w:rPr>
          <w:t>https://whatworks.college.police.uk/toolkit/Pages/Intervention.aspx?InterventionID=47</w:t>
        </w:r>
      </w:hyperlink>
      <w:r w:rsidRPr="006D73EA">
        <w:t xml:space="preserve"> (Accessed: 3 January 2020).</w:t>
      </w:r>
    </w:p>
    <w:p w:rsidR="006D73EA" w:rsidRPr="006D73EA" w:rsidRDefault="006D73EA" w:rsidP="006D73EA">
      <w:r w:rsidRPr="006D73EA">
        <w:t xml:space="preserve">College of Policing (no date) </w:t>
      </w:r>
      <w:r w:rsidRPr="006D73EA">
        <w:rPr>
          <w:i/>
        </w:rPr>
        <w:t>What is Evidence-Based Policing?</w:t>
      </w:r>
      <w:r w:rsidRPr="006D73EA">
        <w:t xml:space="preserve"> Available at: </w:t>
      </w:r>
      <w:hyperlink r:id="rId12" w:history="1">
        <w:r w:rsidRPr="00820339">
          <w:rPr>
            <w:rStyle w:val="Hyperlink"/>
          </w:rPr>
          <w:t>https://whatworks.college.police.uk/About/Pages/What-is-EBP.aspx</w:t>
        </w:r>
      </w:hyperlink>
      <w:r w:rsidRPr="006D73EA">
        <w:t xml:space="preserve"> (Accessed: 3 January 2021).</w:t>
      </w:r>
    </w:p>
    <w:p w:rsidR="006D73EA" w:rsidRPr="006D73EA" w:rsidRDefault="006D73EA" w:rsidP="006D73EA">
      <w:pPr>
        <w:rPr>
          <w:rFonts w:cstheme="minorHAnsi"/>
          <w:lang w:val="en"/>
        </w:rPr>
      </w:pPr>
      <w:r w:rsidRPr="006D73EA">
        <w:t xml:space="preserve">Cordner, G. and Biebel, E., (2003) </w:t>
      </w:r>
      <w:r w:rsidRPr="006D73EA">
        <w:rPr>
          <w:i/>
        </w:rPr>
        <w:t xml:space="preserve">Research for Practice: Problem-Oriented Policing in Practice. </w:t>
      </w:r>
      <w:r w:rsidRPr="006D73EA">
        <w:t xml:space="preserve">Available at: </w:t>
      </w:r>
      <w:hyperlink r:id="rId13" w:history="1">
        <w:r w:rsidRPr="00820339">
          <w:rPr>
            <w:rStyle w:val="Hyperlink"/>
          </w:rPr>
          <w:t>https://www.ncjrs.gov/pdffiles1/nij/grants/200518.pdf</w:t>
        </w:r>
      </w:hyperlink>
      <w:r w:rsidRPr="006D73EA">
        <w:t xml:space="preserve"> (Accessed: 3 January 2021). </w:t>
      </w:r>
    </w:p>
    <w:p w:rsidR="006D73EA" w:rsidRPr="006D73EA" w:rsidRDefault="006D73EA" w:rsidP="006D73EA">
      <w:r w:rsidRPr="006D73EA">
        <w:t xml:space="preserve">Goldstein, H., (1990a), </w:t>
      </w:r>
      <w:r w:rsidRPr="006D73EA">
        <w:rPr>
          <w:i/>
        </w:rPr>
        <w:t>Problem-oriented Policing</w:t>
      </w:r>
      <w:r w:rsidRPr="006D73EA">
        <w:t xml:space="preserve"> (New York: McGraw Hill).</w:t>
      </w:r>
    </w:p>
    <w:p w:rsidR="006D73EA" w:rsidRPr="006D73EA" w:rsidRDefault="006D73EA" w:rsidP="006D73EA">
      <w:r w:rsidRPr="006D73EA">
        <w:t xml:space="preserve">Goldstein, H, (1990b). </w:t>
      </w:r>
      <w:r w:rsidRPr="006D73EA">
        <w:rPr>
          <w:i/>
        </w:rPr>
        <w:t>Excellence in problem-oriented policing</w:t>
      </w:r>
      <w:r w:rsidRPr="006D73EA">
        <w:t xml:space="preserve">. </w:t>
      </w:r>
      <w:r w:rsidRPr="006D73EA">
        <w:rPr>
          <w:i/>
          <w:iCs/>
        </w:rPr>
        <w:t>New York: McGraw-Hill. Im, K., Pesaran, M., &amp; Shin, Y.(2003). Testing for unit roots in heterogeneous panels. J. Econometrics</w:t>
      </w:r>
      <w:r w:rsidRPr="006D73EA">
        <w:t xml:space="preserve">, </w:t>
      </w:r>
      <w:r w:rsidRPr="006D73EA">
        <w:rPr>
          <w:i/>
          <w:iCs/>
        </w:rPr>
        <w:t>115</w:t>
      </w:r>
      <w:r w:rsidRPr="006D73EA">
        <w:t>, pp.53-74.</w:t>
      </w:r>
    </w:p>
    <w:p w:rsidR="006D73EA" w:rsidRPr="009E1C80" w:rsidRDefault="006D73EA" w:rsidP="006D73EA">
      <w:r w:rsidRPr="009E1C80">
        <w:t xml:space="preserve">Hinkle, J.C., </w:t>
      </w:r>
      <w:r w:rsidRPr="009E1C80">
        <w:rPr>
          <w:i/>
        </w:rPr>
        <w:t>et al.,</w:t>
      </w:r>
      <w:r w:rsidRPr="009E1C80">
        <w:t xml:space="preserve"> (2020). ‘Problem‐oriented policing for reducing crime and disorder: An updated systematic review and meta‐analysis’, </w:t>
      </w:r>
      <w:r w:rsidRPr="009E1C80">
        <w:rPr>
          <w:i/>
          <w:iCs/>
        </w:rPr>
        <w:t>Campbell Systematic Reviews</w:t>
      </w:r>
      <w:r w:rsidRPr="009E1C80">
        <w:t xml:space="preserve">, </w:t>
      </w:r>
      <w:r w:rsidRPr="009E1C80">
        <w:rPr>
          <w:i/>
          <w:iCs/>
        </w:rPr>
        <w:t>16</w:t>
      </w:r>
      <w:r w:rsidRPr="009E1C80">
        <w:t>(2), p.e1089.</w:t>
      </w:r>
    </w:p>
    <w:p w:rsidR="006D73EA" w:rsidRPr="009E1C80" w:rsidRDefault="006D73EA" w:rsidP="006D73EA">
      <w:r w:rsidRPr="009E1C80">
        <w:t xml:space="preserve">Lum, C. and Koper, C.S., 2015. </w:t>
      </w:r>
      <w:r w:rsidRPr="009E1C80">
        <w:rPr>
          <w:i/>
          <w:iCs/>
        </w:rPr>
        <w:t>Evidence-based policing</w:t>
      </w:r>
      <w:r w:rsidRPr="009E1C80">
        <w:t xml:space="preserve"> (pp. 260-274). Illinois, IL: Waveland Press.</w:t>
      </w:r>
    </w:p>
    <w:p w:rsidR="006D73EA" w:rsidRPr="00E56B8D" w:rsidRDefault="006D73EA" w:rsidP="006D73EA">
      <w:r>
        <w:t xml:space="preserve">Victim Support (no date) </w:t>
      </w:r>
      <w:r>
        <w:rPr>
          <w:i/>
        </w:rPr>
        <w:t>What is crime?</w:t>
      </w:r>
      <w:r>
        <w:t xml:space="preserve"> Available at: </w:t>
      </w:r>
      <w:hyperlink r:id="rId14" w:history="1">
        <w:r w:rsidRPr="00B54CC8">
          <w:rPr>
            <w:rStyle w:val="Hyperlink"/>
          </w:rPr>
          <w:t>https://www.victimsupport.org.uk/crime-info/what-crime</w:t>
        </w:r>
      </w:hyperlink>
      <w:r>
        <w:t xml:space="preserve"> (Accessed: 29 December 2020).</w:t>
      </w:r>
    </w:p>
    <w:p w:rsidR="006D73EA" w:rsidRDefault="006D73EA"/>
    <w:p w:rsidR="006D73EA" w:rsidRDefault="006D73EA"/>
    <w:p w:rsidR="006D73EA" w:rsidRDefault="006D73EA"/>
    <w:p w:rsidR="006D73EA" w:rsidRDefault="006D73EA"/>
    <w:p w:rsidR="006D73EA" w:rsidRDefault="006D73EA"/>
    <w:p w:rsidR="006D73EA" w:rsidRDefault="006D73EA"/>
    <w:p w:rsidR="006D73EA" w:rsidRDefault="006D73EA"/>
    <w:p w:rsidR="006D73EA" w:rsidRDefault="006D73EA">
      <w:pPr>
        <w:rPr>
          <w:b/>
          <w:u w:val="single"/>
        </w:rPr>
      </w:pPr>
      <w:r>
        <w:rPr>
          <w:b/>
          <w:u w:val="single"/>
        </w:rPr>
        <w:lastRenderedPageBreak/>
        <w:t>Task 3</w:t>
      </w:r>
    </w:p>
    <w:p w:rsidR="00735C6E" w:rsidRDefault="00735C6E" w:rsidP="00735C6E">
      <w:r>
        <w:t>In this assignment I will critically review issues relating to the complexity and challenges of operational policing, giving an example of a major and critical incident, and I will analyse the role of Police within a joint emergency services operation.</w:t>
      </w:r>
    </w:p>
    <w:p w:rsidR="00735C6E" w:rsidRDefault="00735C6E" w:rsidP="00735C6E">
      <w:r>
        <w:t xml:space="preserve">As time goes on, the world is changing, and the Police service </w:t>
      </w:r>
      <w:r w:rsidR="00D144A0">
        <w:t>is facing new challenged and complexities, which it has not before faced</w:t>
      </w:r>
      <w:r>
        <w:t xml:space="preserve">. Technology is constantly advancing, and new crimes are becoming apparent, through the use of technology. The Police service needs to be fluid, and implement their own changes in order to continually serve the public, and prevent and detect crime. In a report written by (Flanagan, 2008) it is outlined that the role of the Police service has expanded and the range of issues managed, has diversified. He also states that public expectations have grown, and policy priorities have multiplied, not only taking responsibility for traditional functions but new ones also, which may require different skills and different ways of working. This meaning, that each Police service, and officer within that service needs to be able to adapt to change easily. In a UK Government Green Paper (Home Office, 2008), it outlines positive actions being taken by the Police and the government to tackle crime, such as </w:t>
      </w:r>
      <w:r w:rsidR="00D144A0">
        <w:t>the introduction of new powers</w:t>
      </w:r>
      <w:r>
        <w:t>, new technologies and techniques being utilised and improved partnership working. As well as Police having to deal with these new crimes, Police forces are finding themselves low on Police Officers, to deal with the demand. Over a number of years, there has been a decrease in Police officers, however between March 2019 and March 2020, there was an increase of 4.8% of officers, which was the largest year on year change since 2003/04, and thus being the highest number of Police officers on the ground since 2013 (Home Office, 2020). Crime in England and Wales has remained stable in recent years, however theft, some fraud and higher harm types of violence, including knife crime have increased (Office for National Statistics, 2019).</w:t>
      </w:r>
    </w:p>
    <w:p w:rsidR="00735C6E" w:rsidRDefault="00735C6E" w:rsidP="00735C6E">
      <w:r>
        <w:t>Some of these incidents may be classed as a major or critical incident. As defined by (College of Policing, 2020) a critical incident is any incident where the effectiveness of the police response is likely to have a significant impact on the confidence of the victim, their family and/or the community. The death of Fiona Pilkington and her daughter is an example of a critical incident. Fiona was a woman who had a disabled daughter, and because of this faced bullying and victimisation from local youths. Reports were made to Police, however Leicestershire Police failed to realise what was going on, and eventually she killed herself, and her daughter. In a report conducted by the (Independent Police Complaints Commission (IPCC), 2011) it was found that Police had the systems to show the harassment that was on-going but did not make use of them. It was also found that each incident was dealt with in isolation, with an unstructured approach. However, from this Leicestershire Police have made a number of changes to how they monitor anti-social behaviour (ASB), deal with vulnerable people and they have improved their management structures (True Vision, no date).</w:t>
      </w:r>
    </w:p>
    <w:p w:rsidR="00735C6E" w:rsidRDefault="00735C6E" w:rsidP="00735C6E">
      <w:r>
        <w:t xml:space="preserve">As defined by (Wiltshire Police, no date), a major incident is an emergency that requires the implementation of special arrangements by one or more of the emergency services, the NHS or local authority. This type of incident does not have to be a criminal incident, but can be something which requires a joint response, such as flooding, or a medical emergency, such as coronavirus. An example of a major incident would be the Grenfell Tower fires. This required a joint, multi-agency response, whereby each agency had to work together, in order to save life and limb. The role of the Police here was to coordinate the scene, keeping crowds back, and protecting firefighters and members of the public from falling debris. The later role of the Police would then be the inquiries in to the deaths, </w:t>
      </w:r>
      <w:r>
        <w:lastRenderedPageBreak/>
        <w:t>and whether there were any failings from the housing provider, which needed to be criminally investigated.</w:t>
      </w:r>
    </w:p>
    <w:p w:rsidR="00735C6E" w:rsidRDefault="00735C6E" w:rsidP="00735C6E">
      <w:r>
        <w:t xml:space="preserve">Each emergency service, including the Police have to adopt a multiagency approach when a major incident has been declared. Under legislation (Civil Contingencies Act, 2004), there is a legal requirement for emergency services to have contingency plans in place, as stated by Bryant and Bryant (2019, p.243). In order to avoid any further failings from the emergency services, when it comes to multi-agency working, the Joint Emergency Services Interoperability Principles (JESIP) were introduced. JESIP provides agreed joint working practices between the Police, fire and ambulance services when responding the incidents (College of Policing, 2020). A Police officer could be the first person at the scene of an incident, which could subsequently become a major or critical incident. It is important that every constable is aware what initial actions at a scene, are required. The pneumonic METHANE was introduced by JESIP and can be used as standard procedure for incidents. As described by Bryant and Bryant (2019, p.243) METHANE stands for; Major incident declared; Exact location; Type of incident; Hazards, present or suspected; Access – routes that are safe to use; Number, type, severity of casualties; and emergency services present and those required. It is the Police’s role, not only to possibly be the first at the scene, implementing the above actions, and conveying the appropriate information, but also to consider whether the location may be a crime scene. As outlined by Bryant and Bryant (2019, p.244) the Police will be constantly alert to the possibility that a crime has been committed, and the scene of a major/critical incident may also be a crime scene. Subsequently the actions of the first officer on scene are vital to the investigation which may follow. </w:t>
      </w:r>
    </w:p>
    <w:p w:rsidR="00735C6E" w:rsidRDefault="00735C6E" w:rsidP="00735C6E">
      <w:r>
        <w:t xml:space="preserve">To conclude, there are a number of issues relating to the challenges of an operational Police officer, including new crimes, the use of technology and social media, and police facing more violent crime. However the Police are showing that they are adapting well, and the increase of Police Officers is helping, as crime is stable. It is clear that over the years, there have been failings by Police forces across the country when dealing with critical and major incidents, however from these failings recommendations have been made, and Police forces have themselves implemented change following inquiries. The Police have a strong role when attending such incidents, and with the introduction of JESIP and METHANE, all emergency services follow the same guidance, allowing good practice. </w:t>
      </w:r>
    </w:p>
    <w:p w:rsidR="006D73EA" w:rsidRDefault="006D73EA"/>
    <w:p w:rsidR="00735C6E" w:rsidRPr="002E55E6" w:rsidRDefault="00D144A0">
      <w:pPr>
        <w:rPr>
          <w:b/>
        </w:rPr>
      </w:pPr>
      <w:r w:rsidRPr="002E55E6">
        <w:rPr>
          <w:b/>
        </w:rPr>
        <w:t>1084</w:t>
      </w:r>
      <w:r w:rsidR="00CA347A" w:rsidRPr="002E55E6">
        <w:rPr>
          <w:b/>
        </w:rPr>
        <w:t xml:space="preserve"> Words</w:t>
      </w:r>
    </w:p>
    <w:p w:rsidR="00735C6E" w:rsidRDefault="00735C6E"/>
    <w:p w:rsidR="00735C6E" w:rsidRDefault="00735C6E"/>
    <w:p w:rsidR="00735C6E" w:rsidRDefault="00735C6E"/>
    <w:p w:rsidR="00735C6E" w:rsidRDefault="00735C6E"/>
    <w:p w:rsidR="00735C6E" w:rsidRDefault="00735C6E"/>
    <w:p w:rsidR="00735C6E" w:rsidRDefault="00735C6E"/>
    <w:p w:rsidR="00735C6E" w:rsidRDefault="00735C6E"/>
    <w:p w:rsidR="00735C6E" w:rsidRDefault="00735C6E"/>
    <w:p w:rsidR="002320C3" w:rsidRDefault="002320C3"/>
    <w:p w:rsidR="00735C6E" w:rsidRDefault="00735C6E">
      <w:pPr>
        <w:rPr>
          <w:b/>
          <w:u w:val="single"/>
        </w:rPr>
      </w:pPr>
      <w:r>
        <w:rPr>
          <w:b/>
          <w:u w:val="single"/>
        </w:rPr>
        <w:lastRenderedPageBreak/>
        <w:t>Task 3 – Bibliography</w:t>
      </w:r>
    </w:p>
    <w:p w:rsidR="00735C6E" w:rsidRDefault="00735C6E" w:rsidP="00735C6E">
      <w:pPr>
        <w:tabs>
          <w:tab w:val="left" w:pos="1110"/>
        </w:tabs>
        <w:rPr>
          <w:rFonts w:eastAsia="Times New Roman" w:cs="Times New Roman"/>
        </w:rPr>
      </w:pPr>
      <w:r w:rsidRPr="003716FB">
        <w:rPr>
          <w:rFonts w:eastAsia="Times New Roman" w:cs="Times New Roman"/>
        </w:rPr>
        <w:t xml:space="preserve">Bryant, R. and Bryant, S. (2019) </w:t>
      </w:r>
      <w:r w:rsidRPr="003716FB">
        <w:rPr>
          <w:rFonts w:eastAsia="Times New Roman" w:cs="Times New Roman"/>
          <w:i/>
        </w:rPr>
        <w:t xml:space="preserve">Blackstone’s Handbook for Policing Students. </w:t>
      </w:r>
      <w:r w:rsidRPr="003716FB">
        <w:rPr>
          <w:rFonts w:eastAsia="Times New Roman" w:cs="Times New Roman"/>
        </w:rPr>
        <w:t>New York: Oxford University Press.</w:t>
      </w:r>
    </w:p>
    <w:p w:rsidR="00735C6E" w:rsidRPr="003716FB" w:rsidRDefault="00735C6E" w:rsidP="00735C6E">
      <w:pPr>
        <w:tabs>
          <w:tab w:val="left" w:pos="1110"/>
        </w:tabs>
        <w:rPr>
          <w:rFonts w:eastAsia="Times New Roman" w:cs="Times New Roman"/>
        </w:rPr>
      </w:pPr>
      <w:r>
        <w:rPr>
          <w:rFonts w:eastAsia="Times New Roman" w:cs="Times New Roman"/>
        </w:rPr>
        <w:t xml:space="preserve">College of Policing (2020) Civil Contingencies. Available at: </w:t>
      </w:r>
      <w:hyperlink r:id="rId15" w:history="1">
        <w:r w:rsidRPr="007657B3">
          <w:rPr>
            <w:rStyle w:val="Hyperlink"/>
            <w:rFonts w:eastAsia="Times New Roman" w:cs="Times New Roman"/>
          </w:rPr>
          <w:t>https://www.app.college.police.uk/app-content/civil-emergencies/civil-contingencies/</w:t>
        </w:r>
      </w:hyperlink>
      <w:r>
        <w:rPr>
          <w:rFonts w:eastAsia="Times New Roman" w:cs="Times New Roman"/>
        </w:rPr>
        <w:t xml:space="preserve"> (Accessed: 4 January 2021). </w:t>
      </w:r>
    </w:p>
    <w:p w:rsidR="00735C6E" w:rsidRDefault="00735C6E" w:rsidP="00735C6E">
      <w:r>
        <w:t xml:space="preserve">College of Policing (2020) </w:t>
      </w:r>
      <w:r>
        <w:rPr>
          <w:i/>
        </w:rPr>
        <w:t xml:space="preserve">Critical Incident Management. </w:t>
      </w:r>
      <w:r>
        <w:t xml:space="preserve">Available at: </w:t>
      </w:r>
      <w:hyperlink r:id="rId16" w:history="1">
        <w:r w:rsidRPr="007657B3">
          <w:rPr>
            <w:rStyle w:val="Hyperlink"/>
          </w:rPr>
          <w:t>https://www.app.college.police.uk/app-content/critical-incident-management/types-of-critical-incident/</w:t>
        </w:r>
      </w:hyperlink>
      <w:r>
        <w:t xml:space="preserve"> (Accessed: 4 January 2021).</w:t>
      </w:r>
    </w:p>
    <w:p w:rsidR="00735C6E" w:rsidRPr="005920AB" w:rsidRDefault="00735C6E" w:rsidP="00735C6E">
      <w:r>
        <w:t xml:space="preserve">Civil Contingencies Act 2004, S. 2. Available at: </w:t>
      </w:r>
      <w:hyperlink r:id="rId17" w:history="1">
        <w:r w:rsidRPr="007657B3">
          <w:rPr>
            <w:rStyle w:val="Hyperlink"/>
          </w:rPr>
          <w:t>https://www.legislation.gov.uk/ukpga/2004/36/section/2</w:t>
        </w:r>
      </w:hyperlink>
      <w:r>
        <w:t xml:space="preserve"> (Accessed: 4 January 2021).</w:t>
      </w:r>
    </w:p>
    <w:p w:rsidR="00735C6E" w:rsidRDefault="00735C6E" w:rsidP="00735C6E">
      <w:r>
        <w:t xml:space="preserve">Flanagan, R (2008) </w:t>
      </w:r>
      <w:r>
        <w:rPr>
          <w:i/>
        </w:rPr>
        <w:t xml:space="preserve">The review of Policing – Final Report. </w:t>
      </w:r>
      <w:r>
        <w:t>London: Home Office.</w:t>
      </w:r>
    </w:p>
    <w:p w:rsidR="00735C6E" w:rsidRDefault="00735C6E" w:rsidP="00735C6E">
      <w:r>
        <w:t xml:space="preserve">Home Office (2008) </w:t>
      </w:r>
      <w:r>
        <w:rPr>
          <w:i/>
        </w:rPr>
        <w:t xml:space="preserve">From the neighbourhood to the National: Policing out communities together </w:t>
      </w:r>
      <w:r w:rsidRPr="00DA656A">
        <w:t>(Cm7448). Available at:</w:t>
      </w:r>
      <w:r>
        <w:t xml:space="preserve"> </w:t>
      </w:r>
      <w:hyperlink r:id="rId18" w:history="1">
        <w:r w:rsidRPr="007657B3">
          <w:rPr>
            <w:rStyle w:val="Hyperlink"/>
          </w:rPr>
          <w:t>https://assets.publishing.service.gov.uk/government/uploads/system/uploads/attachment_data/file/229019/7448.pdf</w:t>
        </w:r>
      </w:hyperlink>
      <w:r>
        <w:t xml:space="preserve"> (Accessed: 4 January 2021).</w:t>
      </w:r>
    </w:p>
    <w:p w:rsidR="00735C6E" w:rsidRDefault="00735C6E" w:rsidP="00735C6E">
      <w:r>
        <w:t xml:space="preserve">Home Office (2020) </w:t>
      </w:r>
      <w:r>
        <w:rPr>
          <w:i/>
        </w:rPr>
        <w:t>Police workforce, England and Wales, at 31</w:t>
      </w:r>
      <w:r w:rsidRPr="008A1FC2">
        <w:rPr>
          <w:i/>
          <w:vertAlign w:val="superscript"/>
        </w:rPr>
        <w:t>st</w:t>
      </w:r>
      <w:r>
        <w:rPr>
          <w:i/>
        </w:rPr>
        <w:t xml:space="preserve"> March 2020. </w:t>
      </w:r>
      <w:r w:rsidRPr="00035512">
        <w:t xml:space="preserve">Available at: </w:t>
      </w:r>
      <w:hyperlink r:id="rId19" w:history="1">
        <w:r w:rsidRPr="00035512">
          <w:rPr>
            <w:rStyle w:val="Hyperlink"/>
          </w:rPr>
          <w:t>https://assets.publishing.service.gov.uk/government/uploads/system/uploads/attachment_data/file/905169/police-workforce-mar20-hosb2020.pdf</w:t>
        </w:r>
      </w:hyperlink>
      <w:r>
        <w:t xml:space="preserve"> (Accessed; 4 January 2021</w:t>
      </w:r>
      <w:r w:rsidRPr="00035512">
        <w:t>).</w:t>
      </w:r>
    </w:p>
    <w:p w:rsidR="00735C6E" w:rsidRDefault="00735C6E" w:rsidP="00735C6E">
      <w:pPr>
        <w:autoSpaceDE w:val="0"/>
        <w:autoSpaceDN w:val="0"/>
        <w:adjustRightInd w:val="0"/>
        <w:spacing w:after="0" w:line="240" w:lineRule="auto"/>
        <w:rPr>
          <w:rFonts w:cstheme="minorHAnsi"/>
        </w:rPr>
      </w:pPr>
      <w:r w:rsidRPr="00FD6D1C">
        <w:rPr>
          <w:rFonts w:cstheme="minorHAnsi"/>
        </w:rPr>
        <w:t xml:space="preserve">Independent Police Complaints Commission (2011), </w:t>
      </w:r>
      <w:r w:rsidRPr="00FD6D1C">
        <w:rPr>
          <w:rFonts w:cstheme="minorHAnsi"/>
          <w:i/>
        </w:rPr>
        <w:t>IPCC Report into the Contact Between Fiona Pilkington</w:t>
      </w:r>
      <w:r>
        <w:rPr>
          <w:rFonts w:cstheme="minorHAnsi"/>
          <w:i/>
        </w:rPr>
        <w:t xml:space="preserve"> </w:t>
      </w:r>
      <w:r w:rsidRPr="00FD6D1C">
        <w:rPr>
          <w:rFonts w:cstheme="minorHAnsi"/>
          <w:i/>
        </w:rPr>
        <w:t>and Leicestershire Constabulary 2004-2007.</w:t>
      </w:r>
      <w:r w:rsidRPr="00FD6D1C">
        <w:rPr>
          <w:rFonts w:cstheme="minorHAnsi"/>
        </w:rPr>
        <w:t xml:space="preserve"> </w:t>
      </w:r>
    </w:p>
    <w:p w:rsidR="00735C6E" w:rsidRPr="00FD6D1C" w:rsidRDefault="00735C6E" w:rsidP="00735C6E">
      <w:pPr>
        <w:autoSpaceDE w:val="0"/>
        <w:autoSpaceDN w:val="0"/>
        <w:adjustRightInd w:val="0"/>
        <w:spacing w:after="0" w:line="240" w:lineRule="auto"/>
        <w:rPr>
          <w:rFonts w:cstheme="minorHAnsi"/>
          <w:i/>
        </w:rPr>
      </w:pPr>
    </w:p>
    <w:p w:rsidR="00735C6E" w:rsidRDefault="00735C6E" w:rsidP="00735C6E">
      <w:r>
        <w:t xml:space="preserve">Office for National Statistics (2019) </w:t>
      </w:r>
      <w:r>
        <w:rPr>
          <w:i/>
        </w:rPr>
        <w:t>Crime in England and Wales: Year ending June 2019.</w:t>
      </w:r>
      <w:r>
        <w:t xml:space="preserve"> Available at: </w:t>
      </w:r>
      <w:hyperlink r:id="rId20" w:history="1">
        <w:r w:rsidRPr="007657B3">
          <w:rPr>
            <w:rStyle w:val="Hyperlink"/>
          </w:rPr>
          <w:t>https://www.ons.gov.uk/peoplepopulationandcommunity/crimeandjustice/bulletins/crimeinenglandandwales/yearendingjune2019</w:t>
        </w:r>
      </w:hyperlink>
      <w:r>
        <w:t xml:space="preserve"> (Accessed: 4 January 2021). </w:t>
      </w:r>
    </w:p>
    <w:p w:rsidR="00735C6E" w:rsidRPr="003028C0" w:rsidRDefault="00735C6E" w:rsidP="00735C6E">
      <w:r>
        <w:t xml:space="preserve">True Vision (no date) </w:t>
      </w:r>
      <w:r>
        <w:rPr>
          <w:i/>
        </w:rPr>
        <w:t xml:space="preserve">IPCC publishes Fiona Pilkington report. </w:t>
      </w:r>
      <w:r>
        <w:t xml:space="preserve">Available at: </w:t>
      </w:r>
      <w:hyperlink r:id="rId21" w:history="1">
        <w:r w:rsidRPr="007657B3">
          <w:rPr>
            <w:rStyle w:val="Hyperlink"/>
          </w:rPr>
          <w:t>https://www.report-it.org.uk/ipcc_publishes_fiona_pilkington_investigation_r</w:t>
        </w:r>
      </w:hyperlink>
      <w:r>
        <w:t xml:space="preserve"> (Accessed: 4 January 2021).</w:t>
      </w:r>
    </w:p>
    <w:p w:rsidR="00735C6E" w:rsidRPr="005D2937" w:rsidRDefault="00735C6E" w:rsidP="00735C6E">
      <w:r>
        <w:t xml:space="preserve">Wiltshire Police (no date) </w:t>
      </w:r>
      <w:r>
        <w:rPr>
          <w:i/>
        </w:rPr>
        <w:t>Major Incident Team.</w:t>
      </w:r>
      <w:r>
        <w:t xml:space="preserve"> Available at: </w:t>
      </w:r>
      <w:hyperlink r:id="rId22" w:history="1">
        <w:r w:rsidRPr="007657B3">
          <w:rPr>
            <w:rStyle w:val="Hyperlink"/>
          </w:rPr>
          <w:t>https://www.wiltshire.police.uk/article/1070/Major-Incident-Team</w:t>
        </w:r>
      </w:hyperlink>
      <w:r>
        <w:t xml:space="preserve"> (Accessed: 4 January 2021).</w:t>
      </w:r>
    </w:p>
    <w:p w:rsidR="00735C6E" w:rsidRDefault="00735C6E"/>
    <w:p w:rsidR="00735C6E" w:rsidRDefault="00735C6E"/>
    <w:p w:rsidR="00735C6E" w:rsidRDefault="00735C6E"/>
    <w:p w:rsidR="00735C6E" w:rsidRDefault="00735C6E"/>
    <w:p w:rsidR="00735C6E" w:rsidRDefault="00735C6E"/>
    <w:p w:rsidR="00735C6E" w:rsidRDefault="00735C6E"/>
    <w:p w:rsidR="00735C6E" w:rsidRDefault="00735C6E"/>
    <w:p w:rsidR="00735C6E" w:rsidRDefault="00735C6E"/>
    <w:p w:rsidR="002320C3" w:rsidRDefault="002320C3"/>
    <w:p w:rsidR="00735C6E" w:rsidRDefault="00735C6E">
      <w:pPr>
        <w:rPr>
          <w:b/>
          <w:u w:val="single"/>
        </w:rPr>
      </w:pPr>
      <w:r>
        <w:rPr>
          <w:b/>
          <w:u w:val="single"/>
        </w:rPr>
        <w:lastRenderedPageBreak/>
        <w:t>Task 4</w:t>
      </w:r>
    </w:p>
    <w:p w:rsidR="00735C6E" w:rsidRDefault="00735C6E" w:rsidP="00735C6E">
      <w:r>
        <w:t xml:space="preserve">In this assignment I am going to analyse potential links between terrorism and other forms of criminality. I will also discuss how policing of the roads can assist in a counter terrorism investigation. </w:t>
      </w:r>
    </w:p>
    <w:p w:rsidR="00735C6E" w:rsidRDefault="00735C6E" w:rsidP="00735C6E">
      <w:r>
        <w:t xml:space="preserve">In recent years terrorism has become an increased threat within the UK. The current threat level in the UK is severe, meaning that an attack is highly likely (Mi5, no date). As stated by the (Crown Prosecution Service (CPS, no date) terrorism is the use or threat of action, both in and outside of the UK, designed to influence any international government organisation or to intimidate the public. It must also be for the purpose of advancing a political, religious racial or ideological cause. Every terrorist act could be deemed as criminal, therefore becoming a criminal act. However, it is likely that terrorism itself isn’t the only criminal act conducted by terrorists, and it is likely that they are also involved in other criminality. As outlined by Dandurand and Chin (2004), there are two reasons terrorists may be involved in common criminality. The first, being the absence of other means of support, such as financial support, meaning that they become involved in various forms of lucrative conventional crimes, acquisitive or predatory, in order to support themselves and finance their main activities. Secondly, in the absence of normal access to some of the means they require to conduct their activities, they become involved in various crimes in order to acquire such means. This could mean a number of things, such as falsifying documents, in order to rent a car, or the purchasing of a gun from the black market. </w:t>
      </w:r>
    </w:p>
    <w:p w:rsidR="00735C6E" w:rsidRDefault="00D144A0" w:rsidP="00735C6E">
      <w:r>
        <w:t xml:space="preserve">As stated by (Sanderson </w:t>
      </w:r>
      <w:r w:rsidR="00735C6E">
        <w:t xml:space="preserve">2004) organised crime, and international terrorism increasingly share both organisational and operational characteristics, and at times even partner </w:t>
      </w:r>
      <w:r>
        <w:t>with each other. This means</w:t>
      </w:r>
      <w:r w:rsidR="00735C6E">
        <w:t xml:space="preserve"> that terrorists appear to be adopting techniques used by organised criminals, in order to succeed. As mentioned earlier on, terrorist groups may lose financial support, and in doing so, they need to consider other options to obtain funding. Other crimes being committed are the obvious and easiest alternative to obtaining the money needed, and become the sole method by which to sustain the terrorist organisation (Sanderson, 2004). There is a strong link between the production and trafficking of drugs, and the funding of terrorism. It is understood that this is one of the easiest ways for terrorist organisa</w:t>
      </w:r>
      <w:r>
        <w:t>tions to obtain money. As agreed</w:t>
      </w:r>
      <w:r w:rsidR="00735C6E">
        <w:t xml:space="preserve"> by (National Crime Agency, no date) the profits from illegal drugs are used to fund criminal operations, such as financing terrorism. </w:t>
      </w:r>
    </w:p>
    <w:p w:rsidR="00735C6E" w:rsidRDefault="00735C6E" w:rsidP="00735C6E">
      <w:r>
        <w:t xml:space="preserve">Another way in which terrorists may commit crime is to obtain the means needed to commit the terrorist act. This could be a variety of things, for example a gun, explosive materials, a vehicle or false documents, just to name a few. Terrorists may obtain false documents for a number of reasons, but the main reason would be to conceal their true identity. They may require the documents to either enter a country, or to obtain goods, such as a vehicle. They may use either fake, or genuine identity documents, which can include, counterfeit documents, forgeries, pseudo documents, fraudulently obtained genuine documents or misused genuine documents (Interpol, no date). It is well known that terrorists require the use of a vehicle. They may require a vehicle to meet with other persons in the organisation, or to get places. Sometimes, the vehicle itself may also be used as the weapon, in order to harm persons. By using a vehicle, they will therefore be using the UK road network. It is important that the Police understand how they can successfully Police the roads, and by doing so, disrupt criminals, including terrorists. </w:t>
      </w:r>
    </w:p>
    <w:p w:rsidR="00735C6E" w:rsidRDefault="00735C6E" w:rsidP="00735C6E">
      <w:r>
        <w:t xml:space="preserve">As outlined within the (National Police Chief’s Council (NPCC), 2015) roads policing strategy 2015-2020, the aim is to combat terrorism, through flexible enforcement, based upon intelligence, professional judgement and discretion. There is specific legislation in place, which allows Police officers to stop and search persons and vehicles if they are suspected to be involved in terrorism. </w:t>
      </w:r>
      <w:r>
        <w:lastRenderedPageBreak/>
        <w:t>These are covered under Sections 43, 43A and 47 of (The Terrorism Act 2000). This act allows the Police constable to search for and discover, evidence that he/she is involved in terrorism. When tackling any crime on the road, automatic number plate recognition (ANPR) cameras may be used to detect, deter and disrupt criminality at a local and national level (Police UK, no date). If a specific vehicle is known to be being used in the commission of an offence, or by a person believed to be involved in an offence, or a subject in an any investigation, but particularly terrorism, then that vehicle may be placed on the ‘hot list’. When that vehicle then passes an ANPR camera, Police will be notified of its whereabouts. This may then either allow Police to attend the location, or this information may be used as intelligence to build a bigger picture on where that vehicle may be going. As stated within by (HM Government, 2018) local policing is critical in detecting and frustrating emergency threats and mi</w:t>
      </w:r>
      <w:r w:rsidR="00D144A0">
        <w:t>tigating any attacks. By gathering</w:t>
      </w:r>
      <w:r>
        <w:t xml:space="preserve"> further intelligence, this could potentially be the missing bit of information which could stop an attack. </w:t>
      </w:r>
    </w:p>
    <w:p w:rsidR="00735C6E" w:rsidRDefault="00735C6E" w:rsidP="00735C6E">
      <w:r>
        <w:t>To conclude, I have found that there are a number of links between terrorism and common criminality. These mainly revolve around money, and terrorist’s lack of it, due to loss of funding. They therefore engage in other forms of criminality, such as the production of drugs in order to obtain the money they need to continue. Another form of criminality is identity fraud. There are a number of reasons this may need to be done, including concealing their true identity, or to obtain goods through false representation. This could be in order to obtain a car. I have identified that there are a number of reasons terrorists may use a road, and ways in which roads Policing can assist in a counter terrorism investigation, such as intelligence gathering.</w:t>
      </w:r>
    </w:p>
    <w:p w:rsidR="00735C6E" w:rsidRPr="00735C6E" w:rsidRDefault="00735C6E"/>
    <w:p w:rsidR="00735C6E" w:rsidRPr="002E55E6" w:rsidRDefault="00D144A0">
      <w:pPr>
        <w:rPr>
          <w:b/>
        </w:rPr>
      </w:pPr>
      <w:bookmarkStart w:id="0" w:name="_GoBack"/>
      <w:r w:rsidRPr="002E55E6">
        <w:rPr>
          <w:b/>
        </w:rPr>
        <w:t>990</w:t>
      </w:r>
      <w:r w:rsidR="00CA347A" w:rsidRPr="002E55E6">
        <w:rPr>
          <w:b/>
        </w:rPr>
        <w:t xml:space="preserve"> Words</w:t>
      </w:r>
    </w:p>
    <w:bookmarkEnd w:id="0"/>
    <w:p w:rsidR="00735C6E" w:rsidRDefault="00735C6E">
      <w:pPr>
        <w:rPr>
          <w:b/>
          <w:u w:val="single"/>
        </w:rPr>
      </w:pPr>
    </w:p>
    <w:p w:rsidR="00735C6E" w:rsidRDefault="00735C6E">
      <w:pPr>
        <w:rPr>
          <w:b/>
          <w:u w:val="single"/>
        </w:rPr>
      </w:pPr>
    </w:p>
    <w:p w:rsidR="00735C6E" w:rsidRDefault="00735C6E">
      <w:pPr>
        <w:rPr>
          <w:b/>
          <w:u w:val="single"/>
        </w:rPr>
      </w:pPr>
    </w:p>
    <w:p w:rsidR="00735C6E" w:rsidRDefault="00735C6E">
      <w:pPr>
        <w:rPr>
          <w:b/>
          <w:u w:val="single"/>
        </w:rPr>
      </w:pPr>
    </w:p>
    <w:p w:rsidR="00735C6E" w:rsidRDefault="00735C6E">
      <w:pPr>
        <w:rPr>
          <w:b/>
          <w:u w:val="single"/>
        </w:rPr>
      </w:pPr>
    </w:p>
    <w:p w:rsidR="00735C6E" w:rsidRDefault="00735C6E">
      <w:pPr>
        <w:rPr>
          <w:b/>
          <w:u w:val="single"/>
        </w:rPr>
      </w:pPr>
    </w:p>
    <w:p w:rsidR="00735C6E" w:rsidRDefault="00735C6E">
      <w:pPr>
        <w:rPr>
          <w:b/>
          <w:u w:val="single"/>
        </w:rPr>
      </w:pPr>
    </w:p>
    <w:p w:rsidR="00735C6E" w:rsidRDefault="00735C6E">
      <w:pPr>
        <w:rPr>
          <w:b/>
          <w:u w:val="single"/>
        </w:rPr>
      </w:pPr>
    </w:p>
    <w:p w:rsidR="00735C6E" w:rsidRDefault="00735C6E">
      <w:pPr>
        <w:rPr>
          <w:b/>
          <w:u w:val="single"/>
        </w:rPr>
      </w:pPr>
    </w:p>
    <w:p w:rsidR="00735C6E" w:rsidRDefault="00735C6E">
      <w:pPr>
        <w:rPr>
          <w:b/>
          <w:u w:val="single"/>
        </w:rPr>
      </w:pPr>
    </w:p>
    <w:p w:rsidR="00735C6E" w:rsidRDefault="00735C6E">
      <w:pPr>
        <w:rPr>
          <w:b/>
          <w:u w:val="single"/>
        </w:rPr>
      </w:pPr>
    </w:p>
    <w:p w:rsidR="00735C6E" w:rsidRDefault="00735C6E">
      <w:pPr>
        <w:rPr>
          <w:b/>
          <w:u w:val="single"/>
        </w:rPr>
      </w:pPr>
    </w:p>
    <w:p w:rsidR="00735C6E" w:rsidRDefault="00735C6E">
      <w:pPr>
        <w:rPr>
          <w:b/>
          <w:u w:val="single"/>
        </w:rPr>
      </w:pPr>
    </w:p>
    <w:p w:rsidR="00735C6E" w:rsidRDefault="00735C6E">
      <w:pPr>
        <w:rPr>
          <w:b/>
          <w:u w:val="single"/>
        </w:rPr>
      </w:pPr>
    </w:p>
    <w:p w:rsidR="00735C6E" w:rsidRDefault="00735C6E">
      <w:pPr>
        <w:rPr>
          <w:b/>
          <w:u w:val="single"/>
        </w:rPr>
      </w:pPr>
    </w:p>
    <w:p w:rsidR="00735C6E" w:rsidRDefault="00735C6E">
      <w:pPr>
        <w:rPr>
          <w:b/>
          <w:u w:val="single"/>
        </w:rPr>
      </w:pPr>
      <w:r>
        <w:rPr>
          <w:b/>
          <w:u w:val="single"/>
        </w:rPr>
        <w:lastRenderedPageBreak/>
        <w:t>Task 4 – Bibliography</w:t>
      </w:r>
    </w:p>
    <w:p w:rsidR="00735C6E" w:rsidRPr="002B6448" w:rsidRDefault="00735C6E" w:rsidP="00735C6E">
      <w:r w:rsidRPr="002B6448">
        <w:t xml:space="preserve">Crown Prosecution Service (CPS) (no date) </w:t>
      </w:r>
      <w:r w:rsidRPr="002B6448">
        <w:rPr>
          <w:i/>
        </w:rPr>
        <w:t>Terrorism</w:t>
      </w:r>
      <w:r w:rsidRPr="002B6448">
        <w:t xml:space="preserve">. Available at: </w:t>
      </w:r>
      <w:hyperlink r:id="rId23" w:history="1">
        <w:r w:rsidRPr="00820339">
          <w:rPr>
            <w:rStyle w:val="Hyperlink"/>
          </w:rPr>
          <w:t>https://www.cps.gov.uk/crime-info/terrorism</w:t>
        </w:r>
      </w:hyperlink>
      <w:r w:rsidRPr="002B6448">
        <w:t xml:space="preserve"> (Accessed: 7 January 2021). </w:t>
      </w:r>
    </w:p>
    <w:p w:rsidR="00735C6E" w:rsidRPr="002B6448" w:rsidRDefault="00735C6E" w:rsidP="00735C6E">
      <w:r w:rsidRPr="002B6448">
        <w:t xml:space="preserve">Dandurand, Y. and Chin, V., (2004). </w:t>
      </w:r>
      <w:r w:rsidRPr="002B6448">
        <w:rPr>
          <w:i/>
          <w:iCs/>
        </w:rPr>
        <w:t>Links between terrorism and other forms of crime</w:t>
      </w:r>
      <w:r w:rsidRPr="002B6448">
        <w:t xml:space="preserve">. Available at: </w:t>
      </w:r>
      <w:hyperlink r:id="rId24" w:history="1">
        <w:r w:rsidRPr="00820339">
          <w:rPr>
            <w:rStyle w:val="Hyperlink"/>
          </w:rPr>
          <w:t>https://www.publicsafety.gc.ca/lbrr/archives/cnmcs-plcng/cn29647-eng.pdf</w:t>
        </w:r>
      </w:hyperlink>
      <w:r w:rsidRPr="002B6448">
        <w:t xml:space="preserve"> (Accessed: 7 January 2021).</w:t>
      </w:r>
    </w:p>
    <w:p w:rsidR="00735C6E" w:rsidRPr="002B6448" w:rsidRDefault="00735C6E" w:rsidP="00735C6E">
      <w:r w:rsidRPr="002B6448">
        <w:t xml:space="preserve">HM Government (2018) </w:t>
      </w:r>
      <w:r w:rsidRPr="002B6448">
        <w:rPr>
          <w:i/>
        </w:rPr>
        <w:t>Contest, The United Kingdom’s Strategy for Countering Terrorism.</w:t>
      </w:r>
      <w:r w:rsidRPr="002B6448">
        <w:t xml:space="preserve"> Available at: </w:t>
      </w:r>
      <w:hyperlink r:id="rId25" w:history="1">
        <w:r w:rsidRPr="00820339">
          <w:rPr>
            <w:rStyle w:val="Hyperlink"/>
          </w:rPr>
          <w:t>https://assets.publishing.service.gov.uk/government/uploads/system/uploads/attachment_data/file/716907/140618_CCS207_CCS0218929798-1_CONTEST_3.0_WEB.pdf</w:t>
        </w:r>
      </w:hyperlink>
      <w:r w:rsidRPr="002B6448">
        <w:t xml:space="preserve"> (Accessed: 7 January 2021). </w:t>
      </w:r>
    </w:p>
    <w:p w:rsidR="00735C6E" w:rsidRPr="002B6448" w:rsidRDefault="00735C6E" w:rsidP="00735C6E">
      <w:r w:rsidRPr="002B6448">
        <w:t xml:space="preserve">Interpol (no date). </w:t>
      </w:r>
      <w:r w:rsidRPr="002B6448">
        <w:rPr>
          <w:i/>
        </w:rPr>
        <w:t>Identity and travel document fraud</w:t>
      </w:r>
      <w:r w:rsidRPr="002B6448">
        <w:t xml:space="preserve">. Available at: </w:t>
      </w:r>
      <w:hyperlink r:id="rId26" w:history="1">
        <w:r w:rsidRPr="00820339">
          <w:rPr>
            <w:rStyle w:val="Hyperlink"/>
          </w:rPr>
          <w:t>https://www.interpol.int/en/Crimes/Counterfeit-currency-and-security-document /Identity-and-travel-document-fraud</w:t>
        </w:r>
      </w:hyperlink>
      <w:r w:rsidRPr="002B6448">
        <w:t xml:space="preserve"> (Accessed: 7 January 2021). </w:t>
      </w:r>
    </w:p>
    <w:p w:rsidR="00735C6E" w:rsidRPr="002B6448" w:rsidRDefault="00735C6E" w:rsidP="00735C6E">
      <w:r w:rsidRPr="002B6448">
        <w:t xml:space="preserve">Mi5 (no date) </w:t>
      </w:r>
      <w:r w:rsidRPr="002B6448">
        <w:rPr>
          <w:i/>
        </w:rPr>
        <w:t>Threat Levels.</w:t>
      </w:r>
      <w:r w:rsidRPr="002B6448">
        <w:t xml:space="preserve"> Available at: </w:t>
      </w:r>
      <w:hyperlink r:id="rId27" w:history="1">
        <w:r w:rsidRPr="00820339">
          <w:rPr>
            <w:rStyle w:val="Hyperlink"/>
          </w:rPr>
          <w:t>https://www.mi5.gov.uk/threat-levels</w:t>
        </w:r>
      </w:hyperlink>
      <w:r w:rsidRPr="002B6448">
        <w:t xml:space="preserve"> (Accessed: 7 January 2021). </w:t>
      </w:r>
    </w:p>
    <w:p w:rsidR="00735C6E" w:rsidRDefault="00735C6E" w:rsidP="00735C6E">
      <w:r w:rsidRPr="002B6448">
        <w:t xml:space="preserve">National Crime Agency (no date) </w:t>
      </w:r>
      <w:r w:rsidRPr="002B6448">
        <w:rPr>
          <w:i/>
        </w:rPr>
        <w:t>Drug Trafficking.</w:t>
      </w:r>
      <w:r w:rsidRPr="002B6448">
        <w:t xml:space="preserve"> Available at: </w:t>
      </w:r>
      <w:hyperlink r:id="rId28" w:history="1">
        <w:r w:rsidRPr="00820339">
          <w:rPr>
            <w:rStyle w:val="Hyperlink"/>
          </w:rPr>
          <w:t>https://www.nationalcrimeagency.gov.uk/what-we-do/crime-threats/drug-trafficking</w:t>
        </w:r>
      </w:hyperlink>
      <w:r w:rsidRPr="002B6448">
        <w:t xml:space="preserve"> (Accessed: 7 January 2021). </w:t>
      </w:r>
    </w:p>
    <w:p w:rsidR="00735C6E" w:rsidRPr="008D6C6E" w:rsidRDefault="00735C6E" w:rsidP="00735C6E">
      <w:r>
        <w:t xml:space="preserve">National Police Chiefs Council (NPCC) (2015) </w:t>
      </w:r>
      <w:r>
        <w:rPr>
          <w:i/>
        </w:rPr>
        <w:t xml:space="preserve">Policing the Roads in Partnership: A five year strategy 2015-2020). </w:t>
      </w:r>
      <w:r>
        <w:t xml:space="preserve">Available at: </w:t>
      </w:r>
      <w:hyperlink r:id="rId29" w:history="1">
        <w:r w:rsidRPr="00820339">
          <w:rPr>
            <w:rStyle w:val="Hyperlink"/>
          </w:rPr>
          <w:t>http://library.college.police.uk/docs/NPCC/Policing_the_Roads_in_Partnership_2015.pdf</w:t>
        </w:r>
      </w:hyperlink>
      <w:r>
        <w:t xml:space="preserve"> (Accessed: 7 January 2021).</w:t>
      </w:r>
    </w:p>
    <w:p w:rsidR="00735C6E" w:rsidRPr="002B6448" w:rsidRDefault="00735C6E" w:rsidP="00735C6E">
      <w:pPr>
        <w:tabs>
          <w:tab w:val="left" w:pos="2916"/>
        </w:tabs>
      </w:pPr>
      <w:r w:rsidRPr="002B6448">
        <w:t xml:space="preserve">Police UK (no date). </w:t>
      </w:r>
      <w:r w:rsidRPr="002B6448">
        <w:rPr>
          <w:i/>
        </w:rPr>
        <w:t xml:space="preserve">Automatic Number Plate Recognition (ANPR). </w:t>
      </w:r>
      <w:r w:rsidRPr="002B6448">
        <w:t xml:space="preserve">Available at: </w:t>
      </w:r>
      <w:hyperlink r:id="rId30" w:history="1">
        <w:r w:rsidRPr="002B6448">
          <w:rPr>
            <w:rStyle w:val="Hyperlink"/>
            <w:color w:val="auto"/>
          </w:rPr>
          <w:t>https://www.police.uk/pu/advice-crime-prevention/automatic-number-plate-recognition-anpr/</w:t>
        </w:r>
      </w:hyperlink>
      <w:r w:rsidRPr="002B6448">
        <w:t xml:space="preserve">  (Accessed on: 12 September 2020). </w:t>
      </w:r>
    </w:p>
    <w:p w:rsidR="00735C6E" w:rsidRPr="002B6448" w:rsidRDefault="00735C6E" w:rsidP="00735C6E">
      <w:r w:rsidRPr="002B6448">
        <w:t xml:space="preserve">Sanderson, T.M., 2004. Transnational terror and organized crime: blurring the lines. </w:t>
      </w:r>
      <w:r w:rsidRPr="002B6448">
        <w:rPr>
          <w:i/>
          <w:iCs/>
        </w:rPr>
        <w:t>SAIS Review of International Affairs</w:t>
      </w:r>
      <w:r w:rsidRPr="002B6448">
        <w:t xml:space="preserve">, </w:t>
      </w:r>
      <w:r w:rsidRPr="002B6448">
        <w:rPr>
          <w:i/>
          <w:iCs/>
        </w:rPr>
        <w:t>24</w:t>
      </w:r>
      <w:r w:rsidRPr="002B6448">
        <w:t>(1), pp.49-61.</w:t>
      </w:r>
    </w:p>
    <w:p w:rsidR="00735C6E" w:rsidRPr="002B6448" w:rsidRDefault="00735C6E" w:rsidP="00735C6E">
      <w:r w:rsidRPr="002B6448">
        <w:rPr>
          <w:i/>
        </w:rPr>
        <w:t>The Terrorism Act 2000, s.43, 43A, 47</w:t>
      </w:r>
      <w:r w:rsidRPr="002B6448">
        <w:t xml:space="preserve">. Available at: </w:t>
      </w:r>
      <w:hyperlink r:id="rId31" w:history="1">
        <w:r w:rsidRPr="00820339">
          <w:rPr>
            <w:rStyle w:val="Hyperlink"/>
          </w:rPr>
          <w:t>https://www.interpol.int/en/Crimes/Counterfeit-currency-and-security-documents/Identity-and-travel-document-fraud</w:t>
        </w:r>
      </w:hyperlink>
      <w:r w:rsidRPr="002B6448">
        <w:t xml:space="preserve"> (Accessed: 7 January 2021).</w:t>
      </w:r>
    </w:p>
    <w:p w:rsidR="00735C6E" w:rsidRPr="00735C6E" w:rsidRDefault="00735C6E"/>
    <w:sectPr w:rsidR="00735C6E" w:rsidRPr="00735C6E" w:rsidSect="00735C6E">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C6E" w:rsidRDefault="00735C6E" w:rsidP="00735C6E">
      <w:pPr>
        <w:spacing w:after="0" w:line="240" w:lineRule="auto"/>
      </w:pPr>
      <w:r>
        <w:separator/>
      </w:r>
    </w:p>
  </w:endnote>
  <w:endnote w:type="continuationSeparator" w:id="0">
    <w:p w:rsidR="00735C6E" w:rsidRDefault="00735C6E" w:rsidP="00735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4A0" w:rsidRDefault="002E55E6" w:rsidP="002E55E6">
    <w:pPr>
      <w:pStyle w:val="Footer"/>
      <w:rPr>
        <w:color w:val="000000"/>
        <w:sz w:val="17"/>
      </w:rPr>
    </w:pPr>
    <w:bookmarkStart w:id="3" w:name="TITUS1FooterEvenPages"/>
    <w:r>
      <w:rPr>
        <w:color w:val="000000"/>
        <w:sz w:val="17"/>
      </w:rPr>
      <w:t> </w:t>
    </w:r>
  </w:p>
  <w:bookmarkEnd w:id="3"/>
  <w:p w:rsidR="00D144A0" w:rsidRDefault="00D144A0" w:rsidP="00D144A0">
    <w:pPr>
      <w:pStyle w:val="Footer"/>
    </w:pPr>
  </w:p>
  <w:p w:rsidR="00735C6E" w:rsidRDefault="00735C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C6E" w:rsidRDefault="002E55E6" w:rsidP="002E55E6">
    <w:pPr>
      <w:pStyle w:val="Footer"/>
      <w:rPr>
        <w:color w:val="000000"/>
        <w:sz w:val="17"/>
      </w:rPr>
    </w:pPr>
    <w:bookmarkStart w:id="4" w:name="TITUS1FooterPrimary"/>
    <w:r>
      <w:rPr>
        <w:color w:val="000000"/>
        <w:sz w:val="17"/>
      </w:rPr>
      <w:t> </w:t>
    </w:r>
  </w:p>
  <w:bookmarkEnd w:id="4"/>
  <w:p w:rsidR="00735C6E" w:rsidRDefault="00735C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C6E" w:rsidRDefault="002E55E6" w:rsidP="002E55E6">
    <w:pPr>
      <w:pStyle w:val="Footer"/>
      <w:rPr>
        <w:color w:val="000000"/>
        <w:sz w:val="17"/>
      </w:rPr>
    </w:pPr>
    <w:bookmarkStart w:id="6" w:name="TITUS1FooterFirstPage"/>
    <w:r>
      <w:rPr>
        <w:color w:val="000000"/>
        <w:sz w:val="17"/>
      </w:rPr>
      <w:t> </w:t>
    </w:r>
  </w:p>
  <w:bookmarkEnd w:id="6"/>
  <w:p w:rsidR="00735C6E" w:rsidRDefault="00735C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C6E" w:rsidRDefault="00735C6E" w:rsidP="00735C6E">
      <w:pPr>
        <w:spacing w:after="0" w:line="240" w:lineRule="auto"/>
      </w:pPr>
      <w:r>
        <w:separator/>
      </w:r>
    </w:p>
  </w:footnote>
  <w:footnote w:type="continuationSeparator" w:id="0">
    <w:p w:rsidR="00735C6E" w:rsidRDefault="00735C6E" w:rsidP="00735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4A0" w:rsidRDefault="002E55E6" w:rsidP="002E55E6">
    <w:pPr>
      <w:pStyle w:val="Header"/>
      <w:rPr>
        <w:color w:val="000000"/>
        <w:sz w:val="17"/>
      </w:rPr>
    </w:pPr>
    <w:bookmarkStart w:id="1" w:name="TITUS1HeaderEvenPages"/>
    <w:r>
      <w:rPr>
        <w:color w:val="000000"/>
        <w:sz w:val="17"/>
      </w:rPr>
      <w:t> </w:t>
    </w:r>
  </w:p>
  <w:bookmarkEnd w:id="1"/>
  <w:p w:rsidR="00D144A0" w:rsidRDefault="00D144A0" w:rsidP="00D144A0">
    <w:pPr>
      <w:pStyle w:val="Header"/>
    </w:pPr>
  </w:p>
  <w:p w:rsidR="00735C6E" w:rsidRDefault="00735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C6E" w:rsidRDefault="002E55E6" w:rsidP="002E55E6">
    <w:pPr>
      <w:pStyle w:val="Header"/>
      <w:rPr>
        <w:color w:val="000000"/>
        <w:sz w:val="17"/>
      </w:rPr>
    </w:pPr>
    <w:bookmarkStart w:id="2" w:name="TITUS1HeaderPrimary"/>
    <w:r>
      <w:rPr>
        <w:color w:val="000000"/>
        <w:sz w:val="17"/>
      </w:rPr>
      <w:t> </w:t>
    </w:r>
  </w:p>
  <w:bookmarkEnd w:id="2"/>
  <w:p w:rsidR="00735C6E" w:rsidRDefault="00735C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C6E" w:rsidRDefault="002E55E6" w:rsidP="002E55E6">
    <w:pPr>
      <w:pStyle w:val="Header"/>
      <w:rPr>
        <w:color w:val="000000"/>
        <w:sz w:val="17"/>
      </w:rPr>
    </w:pPr>
    <w:bookmarkStart w:id="5" w:name="TITUS1HeaderFirstPage"/>
    <w:r>
      <w:rPr>
        <w:color w:val="000000"/>
        <w:sz w:val="17"/>
      </w:rPr>
      <w:t> </w:t>
    </w:r>
  </w:p>
  <w:bookmarkEnd w:id="5"/>
  <w:p w:rsidR="00735C6E" w:rsidRDefault="00735C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089"/>
    <w:rsid w:val="001F6089"/>
    <w:rsid w:val="002320C3"/>
    <w:rsid w:val="002D6266"/>
    <w:rsid w:val="002E55E6"/>
    <w:rsid w:val="00485B44"/>
    <w:rsid w:val="00506590"/>
    <w:rsid w:val="005E3813"/>
    <w:rsid w:val="006D73EA"/>
    <w:rsid w:val="00735C6E"/>
    <w:rsid w:val="008707A1"/>
    <w:rsid w:val="008D5839"/>
    <w:rsid w:val="00B70F84"/>
    <w:rsid w:val="00CA347A"/>
    <w:rsid w:val="00D14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6431055A-A71B-4511-A964-E6CA7D15D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0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6089"/>
    <w:rPr>
      <w:color w:val="0563C1" w:themeColor="hyperlink"/>
      <w:u w:val="single"/>
    </w:rPr>
  </w:style>
  <w:style w:type="character" w:styleId="FollowedHyperlink">
    <w:name w:val="FollowedHyperlink"/>
    <w:basedOn w:val="DefaultParagraphFont"/>
    <w:uiPriority w:val="99"/>
    <w:semiHidden/>
    <w:unhideWhenUsed/>
    <w:rsid w:val="00735C6E"/>
    <w:rPr>
      <w:color w:val="954F72" w:themeColor="followedHyperlink"/>
      <w:u w:val="single"/>
    </w:rPr>
  </w:style>
  <w:style w:type="paragraph" w:styleId="Header">
    <w:name w:val="header"/>
    <w:basedOn w:val="Normal"/>
    <w:link w:val="HeaderChar"/>
    <w:uiPriority w:val="99"/>
    <w:unhideWhenUsed/>
    <w:rsid w:val="00735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C6E"/>
  </w:style>
  <w:style w:type="paragraph" w:styleId="Footer">
    <w:name w:val="footer"/>
    <w:basedOn w:val="Normal"/>
    <w:link w:val="FooterChar"/>
    <w:uiPriority w:val="99"/>
    <w:unhideWhenUsed/>
    <w:rsid w:val="00735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C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29019/7448.pdf" TargetMode="External"/><Relationship Id="rId13" Type="http://schemas.openxmlformats.org/officeDocument/2006/relationships/hyperlink" Target="https://www.ncjrs.gov/pdffiles1/nij/grants/200518.pdf" TargetMode="External"/><Relationship Id="rId18" Type="http://schemas.openxmlformats.org/officeDocument/2006/relationships/hyperlink" Target="https://assets.publishing.service.gov.uk/government/uploads/system/uploads/attachment_data/file/229019/7448.pdf" TargetMode="External"/><Relationship Id="rId26" Type="http://schemas.openxmlformats.org/officeDocument/2006/relationships/hyperlink" Target="https://www.interpol.int/en/Crimes/Counterfeit-currency-and-security-document%20/Identity-and-travel-document-fraud"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report-it.org.uk/ipcc_publishes_fiona_pilkington_investigation_r" TargetMode="External"/><Relationship Id="rId34" Type="http://schemas.openxmlformats.org/officeDocument/2006/relationships/footer" Target="footer1.xml"/><Relationship Id="rId7" Type="http://schemas.openxmlformats.org/officeDocument/2006/relationships/hyperlink" Target="https://assets.publishing.service.gov.uk/government/uploads/system/uploads/attachment_data/file/277111/4262.pdf" TargetMode="External"/><Relationship Id="rId12" Type="http://schemas.openxmlformats.org/officeDocument/2006/relationships/hyperlink" Target="https://whatworks.college.police.uk/About/Pages/What-is-EBP.aspx" TargetMode="External"/><Relationship Id="rId17" Type="http://schemas.openxmlformats.org/officeDocument/2006/relationships/hyperlink" Target="https://www.legislation.gov.uk/ukpga/2004/36/section/2" TargetMode="External"/><Relationship Id="rId25" Type="http://schemas.openxmlformats.org/officeDocument/2006/relationships/hyperlink" Target="https://assets.publishing.service.gov.uk/government/uploads/system/uploads/attachment_data/file/716907/140618_CCS207_CCS0218929798-1_CONTEST_3.0_WEB.pdf"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app.college.police.uk/app-content/critical-incident-management/types-of-critical-incident/" TargetMode="External"/><Relationship Id="rId20" Type="http://schemas.openxmlformats.org/officeDocument/2006/relationships/hyperlink" Target="https://www.ons.gov.uk/peoplepopulationandcommunity/crimeandjustice/bulletins/crimeinenglandandwales/yearendingjune2019" TargetMode="External"/><Relationship Id="rId29" Type="http://schemas.openxmlformats.org/officeDocument/2006/relationships/hyperlink" Target="http://library.college.police.uk/docs/NPCC/Policing_the_Roads_in_Partnership_2015.pdf" TargetMode="External"/><Relationship Id="rId1" Type="http://schemas.openxmlformats.org/officeDocument/2006/relationships/styles" Target="styles.xml"/><Relationship Id="rId6" Type="http://schemas.openxmlformats.org/officeDocument/2006/relationships/hyperlink" Target="https://www.college.police.uk/What-we-do/Standards/Guidelines/Neighbourhood-Policing/Pages/definition-of-neighbourhood-policing.aspx" TargetMode="External"/><Relationship Id="rId11" Type="http://schemas.openxmlformats.org/officeDocument/2006/relationships/hyperlink" Target="https://whatworks.college.police.uk/toolkit/Pages/Intervention.aspx?InterventionID=47" TargetMode="External"/><Relationship Id="rId24" Type="http://schemas.openxmlformats.org/officeDocument/2006/relationships/hyperlink" Target="https://www.publicsafety.gc.ca/lbrr/archives/cnmcs-plcng/cn29647-eng.pdf"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s://www.app.college.police.uk/app-content/civil-emergencies/civil-contingencies/" TargetMode="External"/><Relationship Id="rId23" Type="http://schemas.openxmlformats.org/officeDocument/2006/relationships/hyperlink" Target="https://www.cps.gov.uk/crime-info/terrorism" TargetMode="External"/><Relationship Id="rId28" Type="http://schemas.openxmlformats.org/officeDocument/2006/relationships/hyperlink" Target="https://www.nationalcrimeagency.gov.uk/what-we-do/crime-threats/drug-trafficking" TargetMode="External"/><Relationship Id="rId36" Type="http://schemas.openxmlformats.org/officeDocument/2006/relationships/header" Target="header3.xml"/><Relationship Id="rId10" Type="http://schemas.openxmlformats.org/officeDocument/2006/relationships/hyperlink" Target="https://www.app.college.police.uk/app-content/intelligence-management/analysis/intelligence-products/" TargetMode="External"/><Relationship Id="rId19" Type="http://schemas.openxmlformats.org/officeDocument/2006/relationships/hyperlink" Target="https://assets.publishing.service.gov.uk/government/uploads/system/uploads/attachment_data/file/905169/police-workforce-mar20-hosb2020.pdf" TargetMode="External"/><Relationship Id="rId31" Type="http://schemas.openxmlformats.org/officeDocument/2006/relationships/hyperlink" Target="https://www.interpol.int/en/Crimes/Counterfeit-currency-and-security-documents/Identity-and-travel-document-fraud" TargetMode="External"/><Relationship Id="rId4" Type="http://schemas.openxmlformats.org/officeDocument/2006/relationships/footnotes" Target="footnotes.xml"/><Relationship Id="rId9" Type="http://schemas.openxmlformats.org/officeDocument/2006/relationships/hyperlink" Target="https://thecrimepreventionwebsite.com/police-crime-prevention-service---a-short-history/744/the-peelian-principles/" TargetMode="External"/><Relationship Id="rId14" Type="http://schemas.openxmlformats.org/officeDocument/2006/relationships/hyperlink" Target="https://www.victimsupport.org.uk/crime-info/what-crime" TargetMode="External"/><Relationship Id="rId22" Type="http://schemas.openxmlformats.org/officeDocument/2006/relationships/hyperlink" Target="https://www.wiltshire.police.uk/article/1070/Major-Incident-Team" TargetMode="External"/><Relationship Id="rId27" Type="http://schemas.openxmlformats.org/officeDocument/2006/relationships/hyperlink" Target="https://www.mi5.gov.uk/threat-levels" TargetMode="External"/><Relationship Id="rId30" Type="http://schemas.openxmlformats.org/officeDocument/2006/relationships/hyperlink" Target="https://www.police.uk/pu/advice-crime-prevention/automatic-number-plate-recognition-anpr/"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5521</Words>
  <Characters>31476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Brown,Hannah swp6434</dc:creator>
  <cp:keywords/>
  <dc:description/>
  <cp:lastModifiedBy>Brown,Hannah swp6434</cp:lastModifiedBy>
  <cp:revision>4</cp:revision>
  <dcterms:created xsi:type="dcterms:W3CDTF">2021-01-08T16:30:00Z</dcterms:created>
  <dcterms:modified xsi:type="dcterms:W3CDTF">2021-01-08T16:36:00Z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92d8f8b1-7f5d-4367-9df7-b1d990f4e356</vt:lpwstr>
  </property>
  <property fmtid="{D5CDD505-2E9C-101B-9397-08002B2CF9AE}" pid="3" name="Classification">
    <vt:lpwstr>OFFICIAL</vt:lpwstr>
  </property>
  <property fmtid="{D5CDD505-2E9C-101B-9397-08002B2CF9AE}" pid="4" name="Visibility">
    <vt:lpwstr>NOT VISIBLE</vt:lpwstr>
  </property>
</Properties>
</file>