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2F2FF" w14:textId="77777777" w:rsidR="00D367B9" w:rsidRPr="000C6C08" w:rsidRDefault="00D367B9" w:rsidP="00D367B9">
      <w:pPr>
        <w:pStyle w:val="Title"/>
        <w:jc w:val="center"/>
        <w:rPr>
          <w:sz w:val="44"/>
          <w:szCs w:val="44"/>
          <w:lang w:val="en-US"/>
        </w:rPr>
      </w:pPr>
      <w:bookmarkStart w:id="0" w:name="_Hlk124489506"/>
      <w:r w:rsidRPr="000C6C08">
        <w:rPr>
          <w:sz w:val="44"/>
          <w:szCs w:val="44"/>
          <w:lang w:val="en-US"/>
        </w:rPr>
        <w:t>Is sacred space a human construct or a natural phenomenon? What sparks the timeless pull of Blencathra mountain in Cumbria?</w:t>
      </w:r>
    </w:p>
    <w:p w14:paraId="28A101E5" w14:textId="77777777" w:rsidR="00D367B9" w:rsidRPr="000D42CF" w:rsidRDefault="00D367B9" w:rsidP="00D367B9">
      <w:pPr>
        <w:pStyle w:val="Heading2"/>
        <w:jc w:val="right"/>
        <w:rPr>
          <w:lang w:val="en-US"/>
        </w:rPr>
      </w:pPr>
      <w:r>
        <w:rPr>
          <w:lang w:val="en-US"/>
        </w:rPr>
        <w:t>5250 words</w:t>
      </w:r>
      <w:bookmarkEnd w:id="0"/>
    </w:p>
    <w:p w14:paraId="43D27F30" w14:textId="77777777" w:rsidR="00D367B9" w:rsidRDefault="00D367B9" w:rsidP="00D367B9">
      <w:pPr>
        <w:rPr>
          <w:lang w:val="en-US"/>
        </w:rPr>
      </w:pPr>
    </w:p>
    <w:p w14:paraId="7D663BD6" w14:textId="7B31F930" w:rsidR="00D367B9" w:rsidRDefault="00D367B9" w:rsidP="00D367B9">
      <w:pPr>
        <w:pStyle w:val="Heading1"/>
        <w:rPr>
          <w:lang w:val="en-US"/>
        </w:rPr>
      </w:pPr>
      <w:r>
        <w:rPr>
          <w:lang w:val="en-US"/>
        </w:rPr>
        <w:t>Introduction and academic rationale 225/3</w:t>
      </w:r>
      <w:r w:rsidR="006A796A">
        <w:rPr>
          <w:lang w:val="en-US"/>
        </w:rPr>
        <w:t>5</w:t>
      </w:r>
      <w:r w:rsidR="001246C8">
        <w:rPr>
          <w:lang w:val="en-US"/>
        </w:rPr>
        <w:t>7</w:t>
      </w:r>
    </w:p>
    <w:p w14:paraId="5612740E" w14:textId="77777777" w:rsidR="00D367B9" w:rsidRDefault="00D367B9" w:rsidP="00D367B9">
      <w:r w:rsidRPr="004334BF">
        <w:t>The aim of this research</w:t>
      </w:r>
      <w:r>
        <w:t xml:space="preserve"> is to investigate whether Blencathra Mountain, Keswick, Cumbria (NY 323277</w:t>
      </w:r>
      <w:r>
        <w:rPr>
          <w:rStyle w:val="FootnoteReference"/>
        </w:rPr>
        <w:footnoteReference w:id="1"/>
      </w:r>
      <w:r>
        <w:t>) can be considered a site of sacred geography. Blencathra Mountain attracts a lot of attention – not many mountains have BBC documentaries made about them</w:t>
      </w:r>
      <w:r>
        <w:rPr>
          <w:rStyle w:val="FootnoteReference"/>
        </w:rPr>
        <w:footnoteReference w:id="2"/>
      </w:r>
      <w:r>
        <w:t>, or have Facebook groups dedicated to them</w:t>
      </w:r>
      <w:r>
        <w:rPr>
          <w:rStyle w:val="FootnoteReference"/>
        </w:rPr>
        <w:footnoteReference w:id="3"/>
      </w:r>
      <w:r>
        <w:t xml:space="preserve">, as Blencathra does. </w:t>
      </w:r>
    </w:p>
    <w:p w14:paraId="1CFB2BE8" w14:textId="26847B3B" w:rsidR="00D367B9" w:rsidRPr="006A796A" w:rsidRDefault="00D367B9" w:rsidP="00D367B9">
      <w:pPr>
        <w:rPr>
          <w:rFonts w:ascii="Calibri" w:hAnsi="Calibri" w:cs="Calibri"/>
          <w:bCs/>
        </w:rPr>
      </w:pPr>
      <w:r>
        <w:rPr>
          <w:rFonts w:ascii="Calibri" w:hAnsi="Calibri" w:cs="Calibri"/>
        </w:rPr>
        <w:t xml:space="preserve">Blencathra always evoked a powerful response in me, changing over the years from childhood feelings fear to the feelings love and reverence that I experience today. Over the last five decades, it has become my North Lakes anchor-point, my orientation, pulling my attention always. I have often wondered what provoked this sense of Blencathra’s sacredness in me. </w:t>
      </w:r>
      <w:r>
        <w:rPr>
          <w:rFonts w:ascii="Calibri" w:hAnsi="Calibri" w:cs="Calibri"/>
          <w:b/>
        </w:rPr>
        <w:t>Durkheim</w:t>
      </w:r>
      <w:r>
        <w:rPr>
          <w:rFonts w:ascii="Calibri" w:hAnsi="Calibri" w:cs="Calibri"/>
          <w:bCs/>
        </w:rPr>
        <w:t xml:space="preserve"> believed that spaces in themselves do not have any inherent sacredness, but that they are made so by humanity’s rituals and beliefs</w:t>
      </w:r>
      <w:r w:rsidR="006A796A">
        <w:rPr>
          <w:rFonts w:ascii="Calibri" w:hAnsi="Calibri" w:cs="Calibri"/>
          <w:bCs/>
        </w:rPr>
        <w:t>.</w:t>
      </w:r>
      <w:r>
        <w:rPr>
          <w:rStyle w:val="FootnoteReference"/>
          <w:rFonts w:ascii="Calibri" w:hAnsi="Calibri" w:cs="Calibri"/>
          <w:bCs/>
        </w:rPr>
        <w:footnoteReference w:id="4"/>
      </w:r>
      <w:r>
        <w:rPr>
          <w:rFonts w:ascii="Calibri" w:hAnsi="Calibri" w:cs="Calibri"/>
          <w:bCs/>
        </w:rPr>
        <w:t xml:space="preserve"> </w:t>
      </w:r>
      <w:r w:rsidR="006A796A">
        <w:rPr>
          <w:rFonts w:ascii="Calibri" w:hAnsi="Calibri" w:cs="Calibri"/>
          <w:bCs/>
        </w:rPr>
        <w:t xml:space="preserve">Perhaps ritualising my reverence to Blencathra has created the sacredness I experience there. </w:t>
      </w:r>
      <w:r w:rsidR="006A796A">
        <w:rPr>
          <w:rFonts w:ascii="Calibri" w:hAnsi="Calibri" w:cs="Calibri"/>
          <w:bCs/>
        </w:rPr>
        <w:t>However,</w:t>
      </w:r>
      <w:r>
        <w:rPr>
          <w:rFonts w:ascii="Calibri" w:hAnsi="Calibri" w:cs="Calibri"/>
          <w:bCs/>
        </w:rPr>
        <w:t xml:space="preserve"> </w:t>
      </w:r>
      <w:r w:rsidRPr="002C74EF">
        <w:rPr>
          <w:rFonts w:ascii="Calibri" w:hAnsi="Calibri" w:cs="Calibri"/>
          <w:b/>
        </w:rPr>
        <w:t>Eliade</w:t>
      </w:r>
      <w:r>
        <w:rPr>
          <w:rFonts w:ascii="Calibri" w:hAnsi="Calibri" w:cs="Calibri"/>
          <w:b/>
        </w:rPr>
        <w:t xml:space="preserve"> </w:t>
      </w:r>
      <w:r w:rsidR="006A796A">
        <w:rPr>
          <w:rFonts w:ascii="Calibri" w:hAnsi="Calibri" w:cs="Calibri"/>
          <w:bCs/>
        </w:rPr>
        <w:t>said</w:t>
      </w:r>
      <w:r w:rsidRPr="00722FDE">
        <w:rPr>
          <w:rFonts w:ascii="Calibri" w:hAnsi="Calibri" w:cs="Calibri"/>
          <w:bCs/>
        </w:rPr>
        <w:t xml:space="preserve"> </w:t>
      </w:r>
      <w:r>
        <w:rPr>
          <w:rFonts w:ascii="Calibri" w:hAnsi="Calibri" w:cs="Calibri"/>
          <w:bCs/>
        </w:rPr>
        <w:t>humanity is shown the sacredness of special places through hierophanies, whereby the divine emerges, allowing the sacred to be experienced</w:t>
      </w:r>
      <w:r w:rsidR="006A796A">
        <w:rPr>
          <w:rFonts w:ascii="Calibri" w:hAnsi="Calibri" w:cs="Calibri"/>
          <w:bCs/>
        </w:rPr>
        <w:t>, and not needing humanity to identify it as such</w:t>
      </w:r>
      <w:r>
        <w:rPr>
          <w:rFonts w:ascii="Calibri" w:hAnsi="Calibri" w:cs="Calibri"/>
          <w:bCs/>
        </w:rPr>
        <w:t>.</w:t>
      </w:r>
      <w:r>
        <w:rPr>
          <w:rStyle w:val="FootnoteReference"/>
          <w:rFonts w:ascii="Calibri" w:hAnsi="Calibri" w:cs="Calibri"/>
          <w:bCs/>
        </w:rPr>
        <w:footnoteReference w:id="5"/>
      </w:r>
      <w:r>
        <w:rPr>
          <w:rFonts w:ascii="Calibri" w:hAnsi="Calibri" w:cs="Calibri"/>
          <w:bCs/>
        </w:rPr>
        <w:t xml:space="preserve"> </w:t>
      </w:r>
      <w:r w:rsidR="006A796A">
        <w:rPr>
          <w:rFonts w:ascii="Calibri" w:hAnsi="Calibri" w:cs="Calibri"/>
          <w:bCs/>
        </w:rPr>
        <w:t xml:space="preserve">Has </w:t>
      </w:r>
      <w:r>
        <w:rPr>
          <w:rFonts w:ascii="Calibri" w:hAnsi="Calibri" w:cs="Calibri"/>
          <w:bCs/>
        </w:rPr>
        <w:t>Blencathra has</w:t>
      </w:r>
      <w:r w:rsidR="006A796A">
        <w:rPr>
          <w:rFonts w:ascii="Calibri" w:hAnsi="Calibri" w:cs="Calibri"/>
          <w:bCs/>
        </w:rPr>
        <w:t xml:space="preserve"> simply allowed</w:t>
      </w:r>
      <w:r>
        <w:rPr>
          <w:rFonts w:ascii="Calibri" w:hAnsi="Calibri" w:cs="Calibri"/>
          <w:bCs/>
        </w:rPr>
        <w:t xml:space="preserve"> me to experience the divine</w:t>
      </w:r>
      <w:r w:rsidR="006A796A">
        <w:rPr>
          <w:rFonts w:ascii="Calibri" w:hAnsi="Calibri" w:cs="Calibri"/>
          <w:bCs/>
        </w:rPr>
        <w:t>?</w:t>
      </w:r>
      <w:r>
        <w:rPr>
          <w:rFonts w:ascii="Calibri" w:hAnsi="Calibri" w:cs="Calibri"/>
          <w:bCs/>
        </w:rPr>
        <w:t xml:space="preserve"> </w:t>
      </w:r>
      <w:r w:rsidRPr="006C2FBF">
        <w:rPr>
          <w:rFonts w:ascii="Calibri" w:hAnsi="Calibri" w:cs="Calibri"/>
          <w:b/>
        </w:rPr>
        <w:t xml:space="preserve">Lane </w:t>
      </w:r>
      <w:r>
        <w:rPr>
          <w:rFonts w:ascii="Calibri" w:hAnsi="Calibri" w:cs="Calibri"/>
          <w:bCs/>
        </w:rPr>
        <w:t>described four characteristics of sacred space</w:t>
      </w:r>
      <w:r>
        <w:rPr>
          <w:rStyle w:val="FootnoteReference"/>
          <w:rFonts w:ascii="Calibri" w:hAnsi="Calibri" w:cs="Calibri"/>
          <w:bCs/>
        </w:rPr>
        <w:footnoteReference w:id="6"/>
      </w:r>
      <w:r>
        <w:rPr>
          <w:rFonts w:ascii="Calibri" w:hAnsi="Calibri" w:cs="Calibri"/>
          <w:bCs/>
        </w:rPr>
        <w:t xml:space="preserve"> and </w:t>
      </w:r>
      <w:r w:rsidRPr="002944A3">
        <w:rPr>
          <w:rFonts w:ascii="Calibri" w:hAnsi="Calibri" w:cs="Calibri"/>
          <w:b/>
          <w:bCs/>
        </w:rPr>
        <w:t>Bernbaum</w:t>
      </w:r>
      <w:r>
        <w:rPr>
          <w:rFonts w:ascii="Calibri" w:hAnsi="Calibri" w:cs="Calibri"/>
          <w:b/>
          <w:bCs/>
        </w:rPr>
        <w:t xml:space="preserve">, </w:t>
      </w:r>
      <w:r>
        <w:rPr>
          <w:rFonts w:ascii="Calibri" w:hAnsi="Calibri" w:cs="Calibri"/>
        </w:rPr>
        <w:t xml:space="preserve">referring to mountains in particular, identified three </w:t>
      </w:r>
      <w:r>
        <w:rPr>
          <w:rFonts w:ascii="Calibri" w:hAnsi="Calibri" w:cs="Calibri"/>
          <w:bCs/>
        </w:rPr>
        <w:t>‘dimensions of sacredness’ that sacred mountains fulfil.</w:t>
      </w:r>
      <w:r>
        <w:rPr>
          <w:rStyle w:val="FootnoteReference"/>
          <w:rFonts w:ascii="Calibri" w:hAnsi="Calibri" w:cs="Calibri"/>
        </w:rPr>
        <w:footnoteReference w:id="7"/>
      </w:r>
      <w:r>
        <w:rPr>
          <w:rFonts w:ascii="Calibri" w:hAnsi="Calibri" w:cs="Calibri"/>
        </w:rPr>
        <w:t xml:space="preserve"> </w:t>
      </w:r>
      <w:r w:rsidR="006A796A">
        <w:rPr>
          <w:rFonts w:ascii="Calibri" w:hAnsi="Calibri" w:cs="Calibri"/>
        </w:rPr>
        <w:t xml:space="preserve">Maybe </w:t>
      </w:r>
      <w:r>
        <w:rPr>
          <w:rFonts w:ascii="Calibri" w:hAnsi="Calibri" w:cs="Calibri"/>
        </w:rPr>
        <w:t xml:space="preserve">Blencathra attracts so much attention </w:t>
      </w:r>
      <w:r w:rsidR="006A796A">
        <w:rPr>
          <w:rFonts w:ascii="Calibri" w:hAnsi="Calibri" w:cs="Calibri"/>
        </w:rPr>
        <w:t>because</w:t>
      </w:r>
      <w:r>
        <w:rPr>
          <w:rFonts w:ascii="Calibri" w:hAnsi="Calibri" w:cs="Calibri"/>
        </w:rPr>
        <w:t xml:space="preserve"> it fulfils Lane’s axioms of sacred landscape and Bernbaum’s dimensions of sacrality. </w:t>
      </w:r>
      <w:r>
        <w:rPr>
          <w:rFonts w:ascii="Calibri" w:hAnsi="Calibri" w:cs="Calibri"/>
          <w:b/>
        </w:rPr>
        <w:t xml:space="preserve">Tilley </w:t>
      </w:r>
      <w:r>
        <w:rPr>
          <w:rFonts w:ascii="Calibri" w:hAnsi="Calibri" w:cs="Calibri"/>
          <w:bCs/>
        </w:rPr>
        <w:t>identified a person’s own phenomenological experience as a valuable source of information about a place/sacred space,</w:t>
      </w:r>
      <w:r>
        <w:rPr>
          <w:rStyle w:val="FootnoteReference"/>
          <w:rFonts w:ascii="Calibri" w:hAnsi="Calibri" w:cs="Calibri"/>
          <w:bCs/>
        </w:rPr>
        <w:footnoteReference w:id="8"/>
      </w:r>
      <w:r>
        <w:rPr>
          <w:rFonts w:ascii="Calibri" w:hAnsi="Calibri" w:cs="Calibri"/>
          <w:bCs/>
        </w:rPr>
        <w:t xml:space="preserve"> whereas </w:t>
      </w:r>
      <w:r w:rsidRPr="00A016C0">
        <w:rPr>
          <w:rFonts w:ascii="Calibri" w:hAnsi="Calibri" w:cs="Calibri"/>
          <w:b/>
        </w:rPr>
        <w:t>Bender</w:t>
      </w:r>
      <w:r>
        <w:rPr>
          <w:rFonts w:ascii="Calibri" w:hAnsi="Calibri" w:cs="Calibri"/>
          <w:bCs/>
        </w:rPr>
        <w:t xml:space="preserve"> suggested that looking at the wider cultural, political and economic forces at work around a place can give us </w:t>
      </w:r>
      <w:r>
        <w:rPr>
          <w:rFonts w:ascii="Calibri" w:hAnsi="Calibri" w:cs="Calibri"/>
          <w:bCs/>
        </w:rPr>
        <w:lastRenderedPageBreak/>
        <w:t>insights into its meaning.</w:t>
      </w:r>
      <w:r>
        <w:rPr>
          <w:rStyle w:val="FootnoteReference"/>
          <w:rFonts w:ascii="Calibri" w:hAnsi="Calibri" w:cs="Calibri"/>
          <w:bCs/>
        </w:rPr>
        <w:footnoteReference w:id="9"/>
      </w:r>
      <w:r>
        <w:rPr>
          <w:rFonts w:ascii="Calibri" w:hAnsi="Calibri" w:cs="Calibri"/>
          <w:bCs/>
        </w:rPr>
        <w:t xml:space="preserve"> These ideas raise questions about whether my own </w:t>
      </w:r>
      <w:r w:rsidR="006A796A">
        <w:rPr>
          <w:rFonts w:ascii="Calibri" w:hAnsi="Calibri" w:cs="Calibri"/>
          <w:bCs/>
        </w:rPr>
        <w:t>embodied</w:t>
      </w:r>
      <w:r>
        <w:rPr>
          <w:rFonts w:ascii="Calibri" w:hAnsi="Calibri" w:cs="Calibri"/>
          <w:bCs/>
        </w:rPr>
        <w:t xml:space="preserve"> responses to the mountain are what empowers Blencathra in my mind, or whether my perceptions have been influenced by the wider context of events concerning Blencathra. </w:t>
      </w:r>
    </w:p>
    <w:p w14:paraId="6AD02F8E" w14:textId="0EA2C985" w:rsidR="00D367B9" w:rsidRDefault="00D367B9" w:rsidP="00D367B9">
      <w:pPr>
        <w:rPr>
          <w:rFonts w:ascii="Calibri" w:hAnsi="Calibri" w:cs="Calibri"/>
        </w:rPr>
      </w:pPr>
      <w:r>
        <w:rPr>
          <w:rFonts w:ascii="Calibri" w:hAnsi="Calibri" w:cs="Calibri"/>
        </w:rPr>
        <w:t>This research aimed to explore</w:t>
      </w:r>
      <w:r w:rsidR="006A796A">
        <w:rPr>
          <w:rFonts w:ascii="Calibri" w:hAnsi="Calibri" w:cs="Calibri"/>
        </w:rPr>
        <w:t xml:space="preserve"> the following questions:</w:t>
      </w:r>
      <w:r>
        <w:rPr>
          <w:rFonts w:ascii="Calibri" w:hAnsi="Calibri" w:cs="Calibri"/>
        </w:rPr>
        <w:t xml:space="preserve"> what inspires my feelings for Blencathra</w:t>
      </w:r>
      <w:r w:rsidR="006A796A">
        <w:rPr>
          <w:rFonts w:ascii="Calibri" w:hAnsi="Calibri" w:cs="Calibri"/>
        </w:rPr>
        <w:t>;</w:t>
      </w:r>
      <w:r>
        <w:rPr>
          <w:rFonts w:ascii="Calibri" w:hAnsi="Calibri" w:cs="Calibri"/>
        </w:rPr>
        <w:t xml:space="preserve"> </w:t>
      </w:r>
      <w:r w:rsidR="006A796A">
        <w:rPr>
          <w:rFonts w:ascii="Calibri" w:hAnsi="Calibri" w:cs="Calibri"/>
        </w:rPr>
        <w:t>does</w:t>
      </w:r>
      <w:r>
        <w:rPr>
          <w:rFonts w:ascii="Calibri" w:hAnsi="Calibri" w:cs="Calibri"/>
        </w:rPr>
        <w:t xml:space="preserve"> Blencathra </w:t>
      </w:r>
      <w:r w:rsidR="006A796A">
        <w:rPr>
          <w:rFonts w:ascii="Calibri" w:hAnsi="Calibri" w:cs="Calibri"/>
        </w:rPr>
        <w:t>have its own inherent power;</w:t>
      </w:r>
      <w:r>
        <w:rPr>
          <w:rFonts w:ascii="Calibri" w:hAnsi="Calibri" w:cs="Calibri"/>
        </w:rPr>
        <w:t xml:space="preserve"> </w:t>
      </w:r>
      <w:r w:rsidR="006A796A">
        <w:rPr>
          <w:rFonts w:ascii="Calibri" w:hAnsi="Calibri" w:cs="Calibri"/>
        </w:rPr>
        <w:t>is</w:t>
      </w:r>
      <w:r>
        <w:rPr>
          <w:rFonts w:ascii="Calibri" w:hAnsi="Calibri" w:cs="Calibri"/>
        </w:rPr>
        <w:t xml:space="preserve"> Blencathra</w:t>
      </w:r>
      <w:r w:rsidR="006A796A">
        <w:rPr>
          <w:rFonts w:ascii="Calibri" w:hAnsi="Calibri" w:cs="Calibri"/>
        </w:rPr>
        <w:t xml:space="preserve"> a </w:t>
      </w:r>
      <w:r>
        <w:rPr>
          <w:rFonts w:ascii="Calibri" w:hAnsi="Calibri" w:cs="Calibri"/>
        </w:rPr>
        <w:t>sacred landscape</w:t>
      </w:r>
      <w:r w:rsidR="006A796A">
        <w:rPr>
          <w:rFonts w:ascii="Calibri" w:hAnsi="Calibri" w:cs="Calibri"/>
        </w:rPr>
        <w:t>?</w:t>
      </w:r>
      <w:r>
        <w:rPr>
          <w:rFonts w:ascii="Calibri" w:hAnsi="Calibri" w:cs="Calibri"/>
        </w:rPr>
        <w:t xml:space="preserve"> This essay will discuss four key themes arising from the research – topography; names; myths; and contested space. This essay now describes the research methods used.</w:t>
      </w:r>
    </w:p>
    <w:p w14:paraId="4FBD5757" w14:textId="6D1291F4" w:rsidR="00D367B9" w:rsidRDefault="00D367B9" w:rsidP="00D367B9">
      <w:pPr>
        <w:pStyle w:val="Heading1"/>
        <w:rPr>
          <w:lang w:val="en-US"/>
        </w:rPr>
      </w:pPr>
      <w:r>
        <w:rPr>
          <w:lang w:val="en-US"/>
        </w:rPr>
        <w:t>Methodology 900/</w:t>
      </w:r>
      <w:r w:rsidR="000D4003">
        <w:rPr>
          <w:lang w:val="en-US"/>
        </w:rPr>
        <w:t>9</w:t>
      </w:r>
      <w:r w:rsidR="003C2A53">
        <w:rPr>
          <w:lang w:val="en-US"/>
        </w:rPr>
        <w:t>23</w:t>
      </w:r>
    </w:p>
    <w:p w14:paraId="2DCC8F14" w14:textId="4A882E85" w:rsidR="00D367B9" w:rsidRDefault="001246C8" w:rsidP="00D367B9">
      <w:pPr>
        <w:pStyle w:val="Heading2"/>
      </w:pPr>
      <w:r>
        <w:t>F</w:t>
      </w:r>
      <w:r w:rsidR="00D367B9">
        <w:t xml:space="preserve">ieldwork </w:t>
      </w:r>
    </w:p>
    <w:p w14:paraId="76DBD21B" w14:textId="6D75CFD8" w:rsidR="00D367B9" w:rsidRPr="00556789" w:rsidRDefault="00D367B9" w:rsidP="00D367B9">
      <w:r>
        <w:t xml:space="preserve">For </w:t>
      </w:r>
      <w:r w:rsidRPr="00312223">
        <w:rPr>
          <w:b/>
          <w:bCs/>
        </w:rPr>
        <w:t>Christopher Tilley</w:t>
      </w:r>
      <w:r w:rsidRPr="00556789">
        <w:t xml:space="preserve"> the ‘meaning of place is grounded in existential or lived consciousness of it’ and our knowledge ‘of place stems from human experiences, feeling and thought.’</w:t>
      </w:r>
      <w:r w:rsidRPr="00556789">
        <w:rPr>
          <w:rStyle w:val="FootnoteReference"/>
          <w:color w:val="538135" w:themeColor="accent6" w:themeShade="BF"/>
        </w:rPr>
        <w:footnoteReference w:id="10"/>
      </w:r>
      <w:r w:rsidRPr="00556789">
        <w:t xml:space="preserve"> </w:t>
      </w:r>
      <w:r w:rsidR="003C23C9">
        <w:t>A</w:t>
      </w:r>
      <w:r w:rsidRPr="00556789">
        <w:t xml:space="preserve">longside an appraisal of </w:t>
      </w:r>
      <w:r w:rsidR="003C23C9">
        <w:t xml:space="preserve">relevant </w:t>
      </w:r>
      <w:r w:rsidRPr="00556789">
        <w:t>literature</w:t>
      </w:r>
      <w:r w:rsidR="003C23C9">
        <w:t>,</w:t>
      </w:r>
      <w:r w:rsidRPr="00556789">
        <w:t xml:space="preserve"> I planned to undertake qualitative research t</w:t>
      </w:r>
      <w:r w:rsidR="003C23C9">
        <w:t xml:space="preserve">hrough personal fieldwork </w:t>
      </w:r>
      <w:r w:rsidRPr="00556789">
        <w:t>conducted on and around the mountain</w:t>
      </w:r>
      <w:r w:rsidR="003C23C9" w:rsidRPr="003C23C9">
        <w:t xml:space="preserve"> </w:t>
      </w:r>
      <w:r w:rsidR="003C23C9">
        <w:t>to analyse my ‘lived consciousness’ of the space</w:t>
      </w:r>
      <w:r w:rsidRPr="00556789">
        <w:t>.</w:t>
      </w:r>
      <w:r w:rsidR="003C23C9">
        <w:t xml:space="preserve"> I aimed </w:t>
      </w:r>
      <w:r>
        <w:t>to ascend Blencathra via Blease Fell, noting my experiences in a journal</w:t>
      </w:r>
      <w:r w:rsidR="003C23C9">
        <w:t xml:space="preserve"> </w:t>
      </w:r>
      <w:r>
        <w:t xml:space="preserve">at the different stages of the climb </w:t>
      </w:r>
      <w:r w:rsidR="003C23C9">
        <w:t xml:space="preserve">and taking photographs, as well as </w:t>
      </w:r>
      <w:r>
        <w:t xml:space="preserve">observing other </w:t>
      </w:r>
      <w:r w:rsidR="001246C8">
        <w:t>fell-</w:t>
      </w:r>
      <w:r>
        <w:t>walkers</w:t>
      </w:r>
      <w:r w:rsidR="003C23C9">
        <w:t>.</w:t>
      </w:r>
      <w:r>
        <w:t xml:space="preserve"> I </w:t>
      </w:r>
      <w:r w:rsidR="001246C8">
        <w:t>aimed</w:t>
      </w:r>
      <w:r>
        <w:t xml:space="preserve"> to visit Castlerigg Stone Circle</w:t>
      </w:r>
      <w:r>
        <w:rPr>
          <w:rStyle w:val="FootnoteReference"/>
        </w:rPr>
        <w:footnoteReference w:id="11"/>
      </w:r>
      <w:r>
        <w:t xml:space="preserve"> and </w:t>
      </w:r>
      <w:r w:rsidR="003C23C9">
        <w:t xml:space="preserve">journal </w:t>
      </w:r>
      <w:r>
        <w:t xml:space="preserve">my personal observations of viewing Blencathra from this site, photographing the mountain and observing other visitors to the stone circle, noting </w:t>
      </w:r>
      <w:r w:rsidR="001246C8">
        <w:t>how they interacted with</w:t>
      </w:r>
      <w:r>
        <w:t xml:space="preserve"> Blencathra. The intention was to examine how this phenomenological approach deepened</w:t>
      </w:r>
      <w:r w:rsidRPr="00556789">
        <w:t xml:space="preserve"> </w:t>
      </w:r>
      <w:r>
        <w:t>my</w:t>
      </w:r>
      <w:r w:rsidRPr="00556789">
        <w:t xml:space="preserve"> understanding of Blencathra</w:t>
      </w:r>
      <w:r>
        <w:t xml:space="preserve"> as a sacred mountain</w:t>
      </w:r>
      <w:r w:rsidRPr="00556789">
        <w:t xml:space="preserve"> </w:t>
      </w:r>
      <w:r>
        <w:t xml:space="preserve">through </w:t>
      </w:r>
      <w:r w:rsidRPr="00556789">
        <w:t>observ</w:t>
      </w:r>
      <w:r>
        <w:t xml:space="preserve">ing </w:t>
      </w:r>
      <w:r w:rsidRPr="00556789">
        <w:t xml:space="preserve">the relationship between my Being and my Being-in-the-world on the slopes of the mountain (Tilley, 1994). </w:t>
      </w:r>
    </w:p>
    <w:p w14:paraId="6A1850D7" w14:textId="721D908F" w:rsidR="00D367B9" w:rsidRPr="00105B50" w:rsidRDefault="00D367B9" w:rsidP="00D367B9">
      <w:r w:rsidRPr="00556789">
        <w:t>Unfortunately, I developed a</w:t>
      </w:r>
      <w:r w:rsidR="003C23C9">
        <w:t xml:space="preserve"> </w:t>
      </w:r>
      <w:r w:rsidRPr="00556789">
        <w:t>chest infection</w:t>
      </w:r>
      <w:r w:rsidR="003C23C9">
        <w:t xml:space="preserve"> at the beginning </w:t>
      </w:r>
      <w:r w:rsidRPr="00556789">
        <w:t xml:space="preserve">of this </w:t>
      </w:r>
      <w:r w:rsidRPr="00FF6164">
        <w:t>study</w:t>
      </w:r>
      <w:r w:rsidR="001246C8">
        <w:t xml:space="preserve"> and was unable to make my planned trip to Blencathra</w:t>
      </w:r>
      <w:r w:rsidRPr="00FF6164">
        <w:t>.</w:t>
      </w:r>
      <w:r w:rsidRPr="00FF6164">
        <w:rPr>
          <w:rStyle w:val="FootnoteReference"/>
          <w:color w:val="538135" w:themeColor="accent6" w:themeShade="BF"/>
        </w:rPr>
        <w:footnoteReference w:id="12"/>
      </w:r>
      <w:r w:rsidRPr="00FF6164">
        <w:t xml:space="preserve"> </w:t>
      </w:r>
      <w:r>
        <w:t xml:space="preserve">Worried I would not be able to visit Blencathra at all during the timescale of this project, I began to gather some of </w:t>
      </w:r>
      <w:r w:rsidR="001246C8">
        <w:t>my</w:t>
      </w:r>
      <w:r>
        <w:t xml:space="preserve"> memories of Blencathra in a journal, as </w:t>
      </w:r>
      <w:r w:rsidRPr="00FF6164">
        <w:t xml:space="preserve">it felt important to find a way of including </w:t>
      </w:r>
      <w:r>
        <w:t>my personal</w:t>
      </w:r>
      <w:r w:rsidRPr="00FF6164">
        <w:t xml:space="preserve"> responses in thi</w:t>
      </w:r>
      <w:r w:rsidRPr="00105B50">
        <w:t>s paper</w:t>
      </w:r>
      <w:r>
        <w:t xml:space="preserve"> somehow.</w:t>
      </w:r>
    </w:p>
    <w:p w14:paraId="41E22BD6" w14:textId="156F7257" w:rsidR="00D367B9" w:rsidRDefault="00D367B9" w:rsidP="00D367B9">
      <w:r w:rsidRPr="00105B50">
        <w:t xml:space="preserve">For </w:t>
      </w:r>
      <w:r w:rsidRPr="003C23C9">
        <w:rPr>
          <w:b/>
          <w:bCs/>
        </w:rPr>
        <w:t>Merleau-Ponty,</w:t>
      </w:r>
      <w:r w:rsidRPr="00105B50">
        <w:t xml:space="preserve"> phenomenological data has value </w:t>
      </w:r>
      <w:r>
        <w:t>because it</w:t>
      </w:r>
      <w:r w:rsidRPr="00105B50">
        <w:t xml:space="preserve"> </w:t>
      </w:r>
      <w:r w:rsidR="001246C8">
        <w:t>offers</w:t>
      </w:r>
      <w:r w:rsidRPr="00105B50">
        <w:t xml:space="preserve"> authentic description</w:t>
      </w:r>
      <w:r w:rsidR="001246C8">
        <w:t>s</w:t>
      </w:r>
      <w:r w:rsidRPr="00105B50">
        <w:t xml:space="preserve"> of human encounters with place, unencumbered by the need to offer rationalisations and justifications.</w:t>
      </w:r>
      <w:r w:rsidRPr="00E37F71">
        <w:rPr>
          <w:rStyle w:val="FootnoteReference"/>
          <w:b/>
          <w:bCs/>
          <w:color w:val="538135" w:themeColor="accent6" w:themeShade="BF"/>
        </w:rPr>
        <w:footnoteReference w:id="13"/>
      </w:r>
      <w:r w:rsidRPr="00E37F71">
        <w:rPr>
          <w:b/>
          <w:bCs/>
        </w:rPr>
        <w:t xml:space="preserve"> </w:t>
      </w:r>
      <w:r w:rsidR="001246C8">
        <w:rPr>
          <w:b/>
          <w:bCs/>
        </w:rPr>
        <w:t>T</w:t>
      </w:r>
      <w:r>
        <w:t xml:space="preserve">he body is the axis </w:t>
      </w:r>
      <w:r w:rsidR="00E37F71">
        <w:t>linking</w:t>
      </w:r>
      <w:r>
        <w:t xml:space="preserve"> the mind that thinks about the world and the world that the body experiences</w:t>
      </w:r>
      <w:r w:rsidR="001246C8">
        <w:t xml:space="preserve"> (</w:t>
      </w:r>
      <w:r w:rsidR="001246C8" w:rsidRPr="001246C8">
        <w:rPr>
          <w:b/>
          <w:bCs/>
        </w:rPr>
        <w:t>Tilley, 1994)</w:t>
      </w:r>
      <w:r w:rsidRPr="001246C8">
        <w:rPr>
          <w:b/>
          <w:bCs/>
        </w:rPr>
        <w:t>.</w:t>
      </w:r>
      <w:r w:rsidRPr="001246C8">
        <w:rPr>
          <w:rStyle w:val="FootnoteReference"/>
          <w:b/>
          <w:bCs/>
        </w:rPr>
        <w:footnoteReference w:id="14"/>
      </w:r>
      <w:r>
        <w:t xml:space="preserve"> So, if </w:t>
      </w:r>
      <w:r w:rsidRPr="00105B50">
        <w:t xml:space="preserve"> the human body </w:t>
      </w:r>
      <w:r>
        <w:t>is</w:t>
      </w:r>
      <w:r w:rsidRPr="00105B50">
        <w:t xml:space="preserve"> the vehicle through which the world is made real</w:t>
      </w:r>
      <w:r>
        <w:t>,</w:t>
      </w:r>
      <w:r w:rsidRPr="00105B50">
        <w:t xml:space="preserve"> it</w:t>
      </w:r>
      <w:r>
        <w:t xml:space="preserve"> is reasonable</w:t>
      </w:r>
      <w:r w:rsidRPr="00105B50">
        <w:t xml:space="preserve"> to include descriptions of my</w:t>
      </w:r>
      <w:r w:rsidRPr="001246C8">
        <w:rPr>
          <w:i/>
          <w:iCs/>
        </w:rPr>
        <w:t xml:space="preserve"> remembered</w:t>
      </w:r>
      <w:r w:rsidRPr="00105B50">
        <w:t xml:space="preserve"> embodied responses to Blencathra in this paper</w:t>
      </w:r>
      <w:r>
        <w:t xml:space="preserve">, as </w:t>
      </w:r>
      <w:r w:rsidR="00F22431">
        <w:t>they offer a valid meaning to my understanding of Blencathra</w:t>
      </w:r>
      <w:r>
        <w:t xml:space="preserve"> (</w:t>
      </w:r>
      <w:r w:rsidRPr="00E37F71">
        <w:rPr>
          <w:b/>
          <w:bCs/>
        </w:rPr>
        <w:t>Tilley,</w:t>
      </w:r>
      <w:r>
        <w:t xml:space="preserve"> 1994). </w:t>
      </w:r>
      <w:r w:rsidRPr="00FF6164">
        <w:t xml:space="preserve">Merleau-Ponty defined phenomenology as being ‘a matter of describing, not of explaining or </w:t>
      </w:r>
      <w:r w:rsidRPr="00FF6164">
        <w:lastRenderedPageBreak/>
        <w:t>analysing’</w:t>
      </w:r>
      <w:r w:rsidRPr="00FF6164">
        <w:rPr>
          <w:rStyle w:val="FootnoteReference"/>
          <w:color w:val="538135" w:themeColor="accent6" w:themeShade="BF"/>
        </w:rPr>
        <w:footnoteReference w:id="15"/>
      </w:r>
      <w:r>
        <w:t xml:space="preserve"> but there are problems with relying on </w:t>
      </w:r>
      <w:r w:rsidRPr="00FF6164">
        <w:t xml:space="preserve">memories </w:t>
      </w:r>
      <w:r w:rsidR="00E37F71">
        <w:t>of experiences</w:t>
      </w:r>
      <w:r w:rsidRPr="00FF6164">
        <w:t xml:space="preserve">. </w:t>
      </w:r>
      <w:r w:rsidRPr="00BF2321">
        <w:rPr>
          <w:b/>
          <w:bCs/>
        </w:rPr>
        <w:t>Merleau-Ponty</w:t>
      </w:r>
      <w:r w:rsidRPr="00FF6164">
        <w:t xml:space="preserve"> </w:t>
      </w:r>
      <w:r w:rsidR="00F22431">
        <w:t>observed</w:t>
      </w:r>
      <w:r w:rsidRPr="00FF6164">
        <w:t>, ‘every time we are able to compare our memories with the objects to which they refer, we are surprised’</w:t>
      </w:r>
      <w:r>
        <w:t xml:space="preserve"> at</w:t>
      </w:r>
      <w:r w:rsidR="00E37F71">
        <w:t xml:space="preserve"> </w:t>
      </w:r>
      <w:r w:rsidR="00F22431">
        <w:t xml:space="preserve">how they differ </w:t>
      </w:r>
      <w:r>
        <w:t xml:space="preserve">in our mind’s eye </w:t>
      </w:r>
      <w:r w:rsidR="00F22431">
        <w:t>compared to</w:t>
      </w:r>
      <w:r>
        <w:t xml:space="preserve"> the reality we observe in the present.</w:t>
      </w:r>
      <w:r w:rsidRPr="00FF6164">
        <w:rPr>
          <w:rStyle w:val="FootnoteReference"/>
          <w:color w:val="538135" w:themeColor="accent6" w:themeShade="BF"/>
        </w:rPr>
        <w:footnoteReference w:id="16"/>
      </w:r>
      <w:r w:rsidRPr="00FF6164">
        <w:t xml:space="preserve"> </w:t>
      </w:r>
      <w:r w:rsidRPr="00FB0B1F">
        <w:t>While</w:t>
      </w:r>
      <w:r w:rsidRPr="00BF2321">
        <w:rPr>
          <w:b/>
          <w:bCs/>
        </w:rPr>
        <w:t xml:space="preserve"> Husserl</w:t>
      </w:r>
      <w:r w:rsidRPr="00FB0B1F">
        <w:t xml:space="preserve"> recognised that memories could offer useful perceptions of the phenomenal world, he also recognised that </w:t>
      </w:r>
      <w:r w:rsidR="00F22431">
        <w:t xml:space="preserve">layer up our </w:t>
      </w:r>
      <w:r w:rsidRPr="00FB0B1F">
        <w:t>perceptions</w:t>
      </w:r>
      <w:r w:rsidR="00F22431">
        <w:t>/memories</w:t>
      </w:r>
      <w:r w:rsidRPr="00FB0B1F">
        <w:t xml:space="preserve"> </w:t>
      </w:r>
      <w:r w:rsidR="00F22431">
        <w:t>with</w:t>
      </w:r>
      <w:r w:rsidRPr="00FB0B1F">
        <w:t xml:space="preserve"> assumptions and subjectivity.</w:t>
      </w:r>
      <w:r w:rsidRPr="00FB0B1F">
        <w:rPr>
          <w:rStyle w:val="FootnoteReference"/>
          <w:color w:val="538135" w:themeColor="accent6" w:themeShade="BF"/>
        </w:rPr>
        <w:footnoteReference w:id="17"/>
      </w:r>
      <w:r w:rsidRPr="00FB0B1F">
        <w:t xml:space="preserve"> I</w:t>
      </w:r>
      <w:r>
        <w:t xml:space="preserve"> </w:t>
      </w:r>
      <w:r w:rsidRPr="00FB0B1F">
        <w:t xml:space="preserve">decided, nevertheless, to include some of my </w:t>
      </w:r>
      <w:r>
        <w:t xml:space="preserve">Blencathra </w:t>
      </w:r>
      <w:r w:rsidRPr="00FB0B1F">
        <w:t xml:space="preserve">memories </w:t>
      </w:r>
      <w:r>
        <w:t>b</w:t>
      </w:r>
      <w:r w:rsidRPr="00FB0B1F">
        <w:t xml:space="preserve">y taking </w:t>
      </w:r>
      <w:r w:rsidRPr="00BF2321">
        <w:rPr>
          <w:b/>
          <w:bCs/>
        </w:rPr>
        <w:t>Husserl’</w:t>
      </w:r>
      <w:r w:rsidRPr="00FB0B1F">
        <w:t xml:space="preserve">s </w:t>
      </w:r>
      <w:r w:rsidRPr="00E37F71">
        <w:rPr>
          <w:i/>
          <w:iCs/>
        </w:rPr>
        <w:t>epoche</w:t>
      </w:r>
      <w:r w:rsidRPr="00FB0B1F">
        <w:t xml:space="preserve"> approach to dealing with the tricky issue of separating t</w:t>
      </w:r>
      <w:r w:rsidR="00E37F71">
        <w:t>ruth and perception.</w:t>
      </w:r>
      <w:r>
        <w:rPr>
          <w:rStyle w:val="FootnoteReference"/>
          <w:color w:val="538135" w:themeColor="accent6" w:themeShade="BF"/>
        </w:rPr>
        <w:footnoteReference w:id="18"/>
      </w:r>
      <w:r w:rsidRPr="00FB0B1F">
        <w:t xml:space="preserve"> Rather than getting bogged down in questions of whether my memories are real and valid recollections of my previous interactions with Blencathra, I chose to present those memories</w:t>
      </w:r>
      <w:r>
        <w:t xml:space="preserve"> simply</w:t>
      </w:r>
      <w:r w:rsidRPr="00FB0B1F">
        <w:t xml:space="preserve"> as they emerged during the research process</w:t>
      </w:r>
      <w:r>
        <w:t>.</w:t>
      </w:r>
    </w:p>
    <w:p w14:paraId="1CB88184" w14:textId="77893618" w:rsidR="00D367B9" w:rsidRDefault="00D367B9" w:rsidP="00D367B9">
      <w:r>
        <w:t xml:space="preserve">Although illness </w:t>
      </w:r>
      <w:r w:rsidR="00E37F71">
        <w:t>kept</w:t>
      </w:r>
      <w:r>
        <w:t xml:space="preserve"> me from scaling the mountain, I was able to drive up to the area on 8</w:t>
      </w:r>
      <w:r w:rsidRPr="00587232">
        <w:rPr>
          <w:vertAlign w:val="superscript"/>
        </w:rPr>
        <w:t>th</w:t>
      </w:r>
      <w:r>
        <w:t xml:space="preserve"> January 2023</w:t>
      </w:r>
      <w:r w:rsidR="00E37F71">
        <w:t xml:space="preserve">. My intention </w:t>
      </w:r>
      <w:r>
        <w:t>to conduct fieldwork around the base of the mountain, parking in Threlkeld, before heading on to Castlerigg Stone Circle</w:t>
      </w:r>
      <w:r w:rsidR="00E37F71">
        <w:t xml:space="preserve"> </w:t>
      </w:r>
      <w:r>
        <w:t>was thwarted by poor weather –  I was</w:t>
      </w:r>
      <w:r w:rsidR="00E37F71">
        <w:t>, however,</w:t>
      </w:r>
      <w:r>
        <w:t xml:space="preserve"> able to access Castlerigg and conduct observations and take photographs from there. </w:t>
      </w:r>
    </w:p>
    <w:p w14:paraId="4FEC5017" w14:textId="77777777" w:rsidR="00D367B9" w:rsidRDefault="00D367B9" w:rsidP="00D367B9">
      <w:pPr>
        <w:pStyle w:val="Heading3"/>
      </w:pPr>
      <w:r>
        <w:t>Library research</w:t>
      </w:r>
    </w:p>
    <w:p w14:paraId="37C96FFA" w14:textId="233ED6FC" w:rsidR="00D367B9" w:rsidRDefault="00D367B9" w:rsidP="00D367B9">
      <w:r w:rsidRPr="005A1ECF">
        <w:rPr>
          <w:b/>
          <w:bCs/>
        </w:rPr>
        <w:t>Gunzburg and Brady</w:t>
      </w:r>
      <w:r>
        <w:t xml:space="preserve"> said that ‘Part of the story of a mountain is its story of creation and its journey through its life.’</w:t>
      </w:r>
      <w:r>
        <w:rPr>
          <w:rStyle w:val="FootnoteReference"/>
        </w:rPr>
        <w:footnoteReference w:id="19"/>
      </w:r>
      <w:r>
        <w:t>Blencathra is a visually strong presence in the landscape, so the first part of the library research focused on the topography of the mountain</w:t>
      </w:r>
      <w:r w:rsidR="00E37F71">
        <w:t>,</w:t>
      </w:r>
      <w:r>
        <w:t xml:space="preserve"> uncover</w:t>
      </w:r>
      <w:r w:rsidR="00E37F71">
        <w:t>ing</w:t>
      </w:r>
      <w:r>
        <w:t xml:space="preserve"> its physical journey through life. This involved accessing the online resources of University of Wales, Trinity St. David’s library to undertake a documentary search for information about the geology and topography of Blencathra. </w:t>
      </w:r>
    </w:p>
    <w:p w14:paraId="45D999B2" w14:textId="116E5FCA" w:rsidR="00D367B9" w:rsidRDefault="00D367B9" w:rsidP="00D367B9">
      <w:r>
        <w:t xml:space="preserve">Having gained some basic, verifiable data about Blencathra, the next stage of the research was a general Internet search on Google. </w:t>
      </w:r>
      <w:r w:rsidRPr="00BF2321">
        <w:rPr>
          <w:b/>
          <w:bCs/>
        </w:rPr>
        <w:t>Bell and Waters</w:t>
      </w:r>
      <w:r>
        <w:t xml:space="preserve"> suggest research topics </w:t>
      </w:r>
      <w:r w:rsidR="00E37F71">
        <w:t>should</w:t>
      </w:r>
      <w:r>
        <w:t xml:space="preserve"> be searched using complete questions because single word searches can yield poor results.</w:t>
      </w:r>
      <w:r>
        <w:rPr>
          <w:rStyle w:val="FootnoteReference"/>
        </w:rPr>
        <w:footnoteReference w:id="20"/>
      </w:r>
      <w:r>
        <w:t xml:space="preserve"> However, as Blencathra is a very specific name, instead of searching complete questions such as, </w:t>
      </w:r>
      <w:r w:rsidRPr="005A1ECF">
        <w:rPr>
          <w:i/>
          <w:iCs/>
        </w:rPr>
        <w:t xml:space="preserve">Is Blencathra a sacred </w:t>
      </w:r>
      <w:r w:rsidR="00F22431" w:rsidRPr="005A1ECF">
        <w:rPr>
          <w:i/>
          <w:iCs/>
        </w:rPr>
        <w:t>mountain?</w:t>
      </w:r>
      <w:r>
        <w:t xml:space="preserve"> I was able to search using </w:t>
      </w:r>
      <w:r w:rsidR="00E37F71">
        <w:t>individual</w:t>
      </w:r>
      <w:r>
        <w:t xml:space="preserve"> words</w:t>
      </w:r>
      <w:r w:rsidR="00F22431">
        <w:t>/</w:t>
      </w:r>
      <w:r w:rsidR="00E37F71">
        <w:t>short phrases</w:t>
      </w:r>
      <w:r>
        <w:t xml:space="preserve">, such as ‘Blencathra’, ‘Blencathra Mountain’, and ‘Blencathra Mythology’. </w:t>
      </w:r>
      <w:r w:rsidR="00E37F71">
        <w:t>T</w:t>
      </w:r>
      <w:r>
        <w:t>hese searches</w:t>
      </w:r>
      <w:r w:rsidR="00E37F71">
        <w:t xml:space="preserve"> yielded </w:t>
      </w:r>
      <w:r>
        <w:t>websites and blogs</w:t>
      </w:r>
      <w:r w:rsidR="00F22431">
        <w:t>,</w:t>
      </w:r>
      <w:r>
        <w:t xml:space="preserve"> aimed at fell-walkers and tourists</w:t>
      </w:r>
      <w:r w:rsidR="00F22431">
        <w:t xml:space="preserve">, that </w:t>
      </w:r>
      <w:r w:rsidR="00E37F71">
        <w:t>describ</w:t>
      </w:r>
      <w:r w:rsidR="00F22431">
        <w:t>ed</w:t>
      </w:r>
      <w:r w:rsidR="00E37F71">
        <w:t xml:space="preserve"> Blencathra and its walking routes, </w:t>
      </w:r>
      <w:r>
        <w:t>as well as relaying some legends surrounding it.</w:t>
      </w:r>
      <w:r w:rsidR="00E37F71">
        <w:rPr>
          <w:rStyle w:val="FootnoteReference"/>
        </w:rPr>
        <w:footnoteReference w:id="21"/>
      </w:r>
      <w:r>
        <w:t xml:space="preserve"> </w:t>
      </w:r>
    </w:p>
    <w:p w14:paraId="57D232C2" w14:textId="68AD29D9" w:rsidR="000D4003" w:rsidRDefault="00D367B9" w:rsidP="000D4003">
      <w:r>
        <w:t>Having completed the general digital search, the information gathered from the various sites was compared</w:t>
      </w:r>
      <w:r w:rsidR="000D4003">
        <w:t xml:space="preserve">, revealing </w:t>
      </w:r>
      <w:r>
        <w:t>general themes</w:t>
      </w:r>
      <w:r w:rsidR="000D4003">
        <w:t xml:space="preserve"> emerging</w:t>
      </w:r>
      <w:r>
        <w:t xml:space="preserve"> through repeated references, for example, Arthur</w:t>
      </w:r>
      <w:r w:rsidR="000D4003">
        <w:t xml:space="preserve">ian </w:t>
      </w:r>
      <w:r w:rsidR="000D4003">
        <w:lastRenderedPageBreak/>
        <w:t>legend and ghosts</w:t>
      </w:r>
      <w:r w:rsidR="00F22431">
        <w:t>-</w:t>
      </w:r>
      <w:r w:rsidR="000D4003">
        <w:t xml:space="preserve">sightings </w:t>
      </w:r>
      <w:r>
        <w:t xml:space="preserve">on the mountain. These themes were then researched more specifically via online resources available in places such as, Jstor, University of Wales, Trinity St. David’s library and a BBC documentary about Blencathra, as well as gathering information from more popular sources such as, YouTube, Facebook and Google. </w:t>
      </w:r>
      <w:r w:rsidRPr="00C11F51">
        <w:rPr>
          <w:b/>
          <w:bCs/>
        </w:rPr>
        <w:t>As Bell and Waters</w:t>
      </w:r>
      <w:r>
        <w:t xml:space="preserve"> point out, social media and the internet can provide rich layers of data but there is a danger of information-overload by getting side-tracked by the sheer volume of information out there.</w:t>
      </w:r>
      <w:r>
        <w:rPr>
          <w:rStyle w:val="FootnoteReference"/>
        </w:rPr>
        <w:footnoteReference w:id="22"/>
      </w:r>
      <w:r>
        <w:t xml:space="preserve"> Care was taken, therefore, to keep the parameters of the searches very focused on the themes and to discard any data that was straying too far away from information I was seeking. </w:t>
      </w:r>
      <w:r w:rsidR="000D4003">
        <w:t>As the photographs I took on my visit to Blencathra were quite misty because of the poor visibility, I used some photographs from the Creative Commons website, using search words such as, ‘Blencathra from Castlerigg’, ‘Sharp Edge Blencathra’.</w:t>
      </w:r>
    </w:p>
    <w:p w14:paraId="790BCE1B" w14:textId="5AE9D661" w:rsidR="00D367B9" w:rsidRDefault="00D367B9" w:rsidP="00D367B9">
      <w:r>
        <w:t xml:space="preserve">Once the final themes had been researched, my own experiences were compared to the data that the research had yielded, and the combined findings written up. </w:t>
      </w:r>
    </w:p>
    <w:p w14:paraId="54EECAEF" w14:textId="14BF442A" w:rsidR="00D367B9" w:rsidRDefault="00D367B9" w:rsidP="00D367B9">
      <w:pPr>
        <w:pStyle w:val="Heading1"/>
      </w:pPr>
      <w:r>
        <w:t xml:space="preserve">Reflexivity 174 </w:t>
      </w:r>
      <w:r w:rsidR="000D4003">
        <w:t>/1</w:t>
      </w:r>
      <w:r w:rsidR="00E80C53">
        <w:t>46</w:t>
      </w:r>
    </w:p>
    <w:p w14:paraId="67EC06AB" w14:textId="26B5F0CF" w:rsidR="00D367B9" w:rsidRDefault="003C2A53" w:rsidP="00D367B9">
      <w:r>
        <w:t xml:space="preserve">Like many of my friends from the Fylde Coast in Lancashire, I have </w:t>
      </w:r>
      <w:r w:rsidR="00D367B9">
        <w:t xml:space="preserve">walked the fells of the Lake District since I was a child, </w:t>
      </w:r>
      <w:r>
        <w:t>visiting first with</w:t>
      </w:r>
      <w:r w:rsidR="00E80C53">
        <w:t xml:space="preserve"> my family,</w:t>
      </w:r>
      <w:r>
        <w:t xml:space="preserve"> then independently as </w:t>
      </w:r>
      <w:r w:rsidR="00E80C53">
        <w:t xml:space="preserve">a </w:t>
      </w:r>
      <w:r>
        <w:t xml:space="preserve">teenager going up there with friends. </w:t>
      </w:r>
      <w:r w:rsidR="00E80C53">
        <w:t>I</w:t>
      </w:r>
      <w:r>
        <w:t xml:space="preserve"> feel </w:t>
      </w:r>
      <w:r w:rsidR="00D367B9">
        <w:t>Cumbrian by proxy, for the Lake</w:t>
      </w:r>
      <w:r w:rsidR="000D4003">
        <w:t>s</w:t>
      </w:r>
      <w:r w:rsidR="00D367B9">
        <w:t xml:space="preserve"> was </w:t>
      </w:r>
      <w:r w:rsidR="00E80C53">
        <w:t>my</w:t>
      </w:r>
      <w:r w:rsidR="00D367B9">
        <w:t xml:space="preserve"> recreational and spiritual</w:t>
      </w:r>
      <w:r w:rsidR="000D4003">
        <w:t xml:space="preserve"> second</w:t>
      </w:r>
      <w:r w:rsidR="00D367B9">
        <w:t xml:space="preserve"> home. As a white northern British female, I felt at home in the Lakes, even though being a punk/alternative type </w:t>
      </w:r>
      <w:r w:rsidR="00E80C53">
        <w:t>mean</w:t>
      </w:r>
      <w:r w:rsidR="00D367B9">
        <w:t>t I was a far from conventional fell-walker. Later in my twenties, camping in the Lakes with my black British partner, I was aware that he was often the only black person on the mountain and</w:t>
      </w:r>
      <w:r>
        <w:t xml:space="preserve">, because of this, </w:t>
      </w:r>
      <w:r w:rsidR="00D367B9">
        <w:t xml:space="preserve">I </w:t>
      </w:r>
      <w:r>
        <w:t>probably</w:t>
      </w:r>
      <w:r w:rsidR="00D367B9">
        <w:t xml:space="preserve"> felt more </w:t>
      </w:r>
      <w:r>
        <w:t>at-home</w:t>
      </w:r>
      <w:r w:rsidR="00D367B9">
        <w:t xml:space="preserve"> in those fells than he did</w:t>
      </w:r>
      <w:r>
        <w:t xml:space="preserve">. My sense of the sacredness of Blencathra might be different, therefore, from someone who feels less sense of belonging than I do. </w:t>
      </w:r>
    </w:p>
    <w:p w14:paraId="64C8B1C6" w14:textId="6D76A7B4" w:rsidR="00D367B9" w:rsidRDefault="00D367B9" w:rsidP="00D367B9">
      <w:pPr>
        <w:pStyle w:val="Heading1"/>
        <w:rPr>
          <w:lang w:val="en-US"/>
        </w:rPr>
      </w:pPr>
      <w:r>
        <w:rPr>
          <w:lang w:val="en-US"/>
        </w:rPr>
        <w:t>Literature Review 900/</w:t>
      </w:r>
      <w:r w:rsidR="00246AA5">
        <w:rPr>
          <w:lang w:val="en-US"/>
        </w:rPr>
        <w:t>958</w:t>
      </w:r>
    </w:p>
    <w:p w14:paraId="0258E91A" w14:textId="1C93FBAE" w:rsidR="00D367B9" w:rsidRDefault="00D367B9" w:rsidP="00D367B9">
      <w:pPr>
        <w:rPr>
          <w:rFonts w:ascii="Calibri" w:hAnsi="Calibri" w:cs="Calibri"/>
          <w:bCs/>
        </w:rPr>
      </w:pPr>
      <w:r>
        <w:rPr>
          <w:rFonts w:ascii="Calibri" w:hAnsi="Calibri" w:cs="Calibri"/>
          <w:bCs/>
        </w:rPr>
        <w:t xml:space="preserve">There </w:t>
      </w:r>
      <w:r w:rsidR="000D4003">
        <w:rPr>
          <w:rFonts w:ascii="Calibri" w:hAnsi="Calibri" w:cs="Calibri"/>
          <w:bCs/>
        </w:rPr>
        <w:t xml:space="preserve">is much debate about the </w:t>
      </w:r>
      <w:r>
        <w:rPr>
          <w:rFonts w:ascii="Calibri" w:hAnsi="Calibri" w:cs="Calibri"/>
          <w:bCs/>
        </w:rPr>
        <w:t>construction, definitions and purpose</w:t>
      </w:r>
      <w:r w:rsidR="000D4003">
        <w:rPr>
          <w:rFonts w:ascii="Calibri" w:hAnsi="Calibri" w:cs="Calibri"/>
          <w:bCs/>
        </w:rPr>
        <w:t xml:space="preserve"> of sacred space</w:t>
      </w:r>
      <w:r w:rsidR="00D57B30">
        <w:rPr>
          <w:rFonts w:ascii="Calibri" w:hAnsi="Calibri" w:cs="Calibri"/>
          <w:bCs/>
        </w:rPr>
        <w:t>.</w:t>
      </w:r>
      <w:r>
        <w:rPr>
          <w:rFonts w:ascii="Calibri" w:hAnsi="Calibri" w:cs="Calibri"/>
          <w:bCs/>
        </w:rPr>
        <w:t xml:space="preserve"> </w:t>
      </w:r>
      <w:r w:rsidRPr="000843FE">
        <w:rPr>
          <w:rFonts w:ascii="Calibri" w:hAnsi="Calibri" w:cs="Calibri"/>
          <w:b/>
        </w:rPr>
        <w:t>Durkheim</w:t>
      </w:r>
      <w:r>
        <w:rPr>
          <w:rFonts w:ascii="Calibri" w:hAnsi="Calibri" w:cs="Calibri"/>
          <w:i/>
          <w:iCs/>
          <w:lang w:val="en-US"/>
        </w:rPr>
        <w:t xml:space="preserve"> </w:t>
      </w:r>
      <w:r>
        <w:rPr>
          <w:rStyle w:val="FootnoteReference"/>
          <w:rFonts w:ascii="Calibri" w:hAnsi="Calibri" w:cs="Calibri"/>
          <w:i/>
          <w:iCs/>
          <w:lang w:val="en-US"/>
        </w:rPr>
        <w:footnoteReference w:id="23"/>
      </w:r>
      <w:r>
        <w:rPr>
          <w:rFonts w:ascii="Calibri" w:hAnsi="Calibri" w:cs="Calibri"/>
          <w:bCs/>
        </w:rPr>
        <w:t xml:space="preserve"> </w:t>
      </w:r>
      <w:r w:rsidRPr="000843FE">
        <w:rPr>
          <w:rFonts w:ascii="Calibri" w:hAnsi="Calibri" w:cs="Calibri"/>
          <w:b/>
        </w:rPr>
        <w:t>and Eliade</w:t>
      </w:r>
      <w:r>
        <w:rPr>
          <w:rStyle w:val="FootnoteReference"/>
          <w:rFonts w:ascii="Calibri" w:hAnsi="Calibri" w:cs="Calibri"/>
          <w:i/>
          <w:iCs/>
          <w:lang w:val="en-US"/>
        </w:rPr>
        <w:footnoteReference w:id="24"/>
      </w:r>
      <w:r w:rsidR="000D4003">
        <w:rPr>
          <w:rFonts w:ascii="Calibri" w:hAnsi="Calibri" w:cs="Calibri"/>
          <w:b/>
        </w:rPr>
        <w:t xml:space="preserve">, </w:t>
      </w:r>
      <w:r w:rsidRPr="000D4003">
        <w:rPr>
          <w:rFonts w:ascii="Calibri" w:hAnsi="Calibri" w:cs="Calibri"/>
          <w:bCs/>
        </w:rPr>
        <w:t xml:space="preserve"> who</w:t>
      </w:r>
      <w:r>
        <w:rPr>
          <w:rFonts w:ascii="Calibri" w:hAnsi="Calibri" w:cs="Calibri"/>
          <w:bCs/>
        </w:rPr>
        <w:t xml:space="preserve"> both outlined the debate in terms of the </w:t>
      </w:r>
      <w:r w:rsidR="00D57B30">
        <w:rPr>
          <w:rFonts w:ascii="Calibri" w:hAnsi="Calibri" w:cs="Calibri"/>
          <w:bCs/>
        </w:rPr>
        <w:t>sacred:profane</w:t>
      </w:r>
      <w:r>
        <w:rPr>
          <w:rFonts w:ascii="Calibri" w:hAnsi="Calibri" w:cs="Calibri"/>
          <w:bCs/>
        </w:rPr>
        <w:t xml:space="preserve"> dichotomy, have provided a framework for much of the recent discussion around sacred space. </w:t>
      </w:r>
    </w:p>
    <w:p w14:paraId="27F33AB3" w14:textId="5CB352E3" w:rsidR="00D367B9" w:rsidRPr="006D3A6F" w:rsidRDefault="00D367B9" w:rsidP="00D367B9">
      <w:pPr>
        <w:rPr>
          <w:rFonts w:ascii="Calibri" w:hAnsi="Calibri" w:cs="Calibri"/>
        </w:rPr>
      </w:pPr>
      <w:r>
        <w:rPr>
          <w:rFonts w:ascii="Calibri" w:hAnsi="Calibri" w:cs="Calibri"/>
          <w:bCs/>
        </w:rPr>
        <w:t>For Durkheim, the sacrality of place is granted through the beliefs and rituals of humanity</w:t>
      </w:r>
      <w:r w:rsidR="000D4003">
        <w:rPr>
          <w:rFonts w:ascii="Calibri" w:hAnsi="Calibri" w:cs="Calibri"/>
          <w:bCs/>
        </w:rPr>
        <w:t>, which</w:t>
      </w:r>
      <w:r>
        <w:rPr>
          <w:rFonts w:ascii="Calibri" w:hAnsi="Calibri" w:cs="Calibri"/>
          <w:bCs/>
        </w:rPr>
        <w:t xml:space="preserve"> set it apart from profane space. </w:t>
      </w:r>
      <w:r w:rsidR="000D4003">
        <w:rPr>
          <w:rFonts w:ascii="Calibri" w:hAnsi="Calibri" w:cs="Calibri"/>
          <w:bCs/>
        </w:rPr>
        <w:t>T</w:t>
      </w:r>
      <w:r>
        <w:rPr>
          <w:rFonts w:ascii="Calibri" w:hAnsi="Calibri" w:cs="Calibri"/>
          <w:bCs/>
        </w:rPr>
        <w:t>he manmade quality of Durkheimian sacred space</w:t>
      </w:r>
      <w:r w:rsidR="000D4003">
        <w:rPr>
          <w:rFonts w:ascii="Calibri" w:hAnsi="Calibri" w:cs="Calibri"/>
          <w:bCs/>
        </w:rPr>
        <w:t xml:space="preserve"> means</w:t>
      </w:r>
      <w:r>
        <w:rPr>
          <w:rFonts w:ascii="Calibri" w:hAnsi="Calibri" w:cs="Calibri"/>
          <w:bCs/>
        </w:rPr>
        <w:t xml:space="preserve"> the divinity of </w:t>
      </w:r>
      <w:r w:rsidR="000D4003">
        <w:rPr>
          <w:rFonts w:ascii="Calibri" w:hAnsi="Calibri" w:cs="Calibri"/>
          <w:bCs/>
        </w:rPr>
        <w:t xml:space="preserve">his </w:t>
      </w:r>
      <w:r>
        <w:rPr>
          <w:rFonts w:ascii="Calibri" w:hAnsi="Calibri" w:cs="Calibri"/>
          <w:bCs/>
        </w:rPr>
        <w:t xml:space="preserve">sacred place is impermanent, enduring only </w:t>
      </w:r>
      <w:r w:rsidR="006D3A6F">
        <w:rPr>
          <w:rFonts w:ascii="Calibri" w:hAnsi="Calibri" w:cs="Calibri"/>
          <w:bCs/>
        </w:rPr>
        <w:t>if</w:t>
      </w:r>
      <w:r>
        <w:rPr>
          <w:rFonts w:ascii="Calibri" w:hAnsi="Calibri" w:cs="Calibri"/>
          <w:bCs/>
        </w:rPr>
        <w:t xml:space="preserve"> humanity continues to revere it.  Eliadian sacred space differs from profane space because it is the place where divinity chooses to reveal itself</w:t>
      </w:r>
      <w:r w:rsidR="006D3A6F">
        <w:rPr>
          <w:rFonts w:ascii="Calibri" w:hAnsi="Calibri" w:cs="Calibri"/>
          <w:bCs/>
        </w:rPr>
        <w:t xml:space="preserve">. Hierophanies turn </w:t>
      </w:r>
      <w:r w:rsidR="00E80C53">
        <w:rPr>
          <w:rFonts w:ascii="Calibri" w:hAnsi="Calibri" w:cs="Calibri"/>
        </w:rPr>
        <w:t>‘</w:t>
      </w:r>
      <w:r w:rsidR="00E80C53" w:rsidRPr="00715D7F">
        <w:rPr>
          <w:rFonts w:ascii="Calibri" w:hAnsi="Calibri" w:cs="Calibri"/>
        </w:rPr>
        <w:t xml:space="preserve">formless </w:t>
      </w:r>
      <w:r w:rsidR="00E80C53">
        <w:rPr>
          <w:rFonts w:ascii="Calibri" w:hAnsi="Calibri" w:cs="Calibri"/>
        </w:rPr>
        <w:t>…</w:t>
      </w:r>
      <w:r w:rsidR="00E80C53" w:rsidRPr="00715D7F">
        <w:rPr>
          <w:rFonts w:ascii="Calibri" w:hAnsi="Calibri" w:cs="Calibri"/>
        </w:rPr>
        <w:t>profane space’</w:t>
      </w:r>
      <w:r w:rsidR="00E80C53" w:rsidRPr="00715D7F">
        <w:rPr>
          <w:rStyle w:val="FootnoteReference"/>
          <w:rFonts w:ascii="Calibri" w:hAnsi="Calibri" w:cs="Calibri"/>
        </w:rPr>
        <w:footnoteReference w:id="25"/>
      </w:r>
      <w:r w:rsidR="00E80C53">
        <w:rPr>
          <w:rFonts w:ascii="Calibri" w:hAnsi="Calibri" w:cs="Calibri"/>
        </w:rPr>
        <w:t xml:space="preserve"> into </w:t>
      </w:r>
      <w:r w:rsidRPr="00715D7F">
        <w:t>‘strong, significant space’</w:t>
      </w:r>
      <w:r w:rsidRPr="00715D7F">
        <w:rPr>
          <w:rStyle w:val="FootnoteReference"/>
          <w:rFonts w:ascii="Calibri" w:hAnsi="Calibri" w:cs="Calibri"/>
        </w:rPr>
        <w:footnoteReference w:id="26"/>
      </w:r>
      <w:r w:rsidR="00E80C53">
        <w:t xml:space="preserve">, thus giving </w:t>
      </w:r>
      <w:r w:rsidRPr="00715D7F">
        <w:rPr>
          <w:rFonts w:ascii="Calibri" w:hAnsi="Calibri" w:cs="Calibri"/>
        </w:rPr>
        <w:t xml:space="preserve">life meaning </w:t>
      </w:r>
      <w:r w:rsidR="006D3A6F">
        <w:rPr>
          <w:rFonts w:ascii="Calibri" w:hAnsi="Calibri" w:cs="Calibri"/>
        </w:rPr>
        <w:t xml:space="preserve">when faced with </w:t>
      </w:r>
      <w:r w:rsidRPr="00715D7F">
        <w:rPr>
          <w:rFonts w:ascii="Calibri" w:hAnsi="Calibri" w:cs="Calibri"/>
        </w:rPr>
        <w:t>the ‘terror of nothingness’</w:t>
      </w:r>
      <w:r>
        <w:rPr>
          <w:rFonts w:ascii="Calibri" w:hAnsi="Calibri" w:cs="Calibri"/>
        </w:rPr>
        <w:t>.</w:t>
      </w:r>
      <w:r w:rsidRPr="00715D7F">
        <w:rPr>
          <w:rStyle w:val="FootnoteReference"/>
          <w:rFonts w:ascii="Calibri" w:hAnsi="Calibri" w:cs="Calibri"/>
        </w:rPr>
        <w:footnoteReference w:id="27"/>
      </w:r>
      <w:r w:rsidRPr="00715D7F">
        <w:rPr>
          <w:rFonts w:ascii="Calibri" w:hAnsi="Calibri" w:cs="Calibri"/>
        </w:rPr>
        <w:t xml:space="preserve"> </w:t>
      </w:r>
      <w:r w:rsidR="00B05ADD" w:rsidRPr="0090129F">
        <w:rPr>
          <w:rFonts w:ascii="Calibri" w:hAnsi="Calibri" w:cs="Calibri"/>
          <w:bCs/>
        </w:rPr>
        <w:t xml:space="preserve">People have reported extraordinary experiences on the slopes of Blencathra. This research wanted to examine whether those experiences might be considered Eliadian-type hierophanies which have resulted in Blencathra being </w:t>
      </w:r>
      <w:r w:rsidR="00B05ADD" w:rsidRPr="0090129F">
        <w:rPr>
          <w:rFonts w:ascii="Calibri" w:hAnsi="Calibri" w:cs="Calibri"/>
          <w:bCs/>
        </w:rPr>
        <w:lastRenderedPageBreak/>
        <w:t>viewed as sacred space, or whether the people had those experiences because they had been influenced by the fact that Blencathra had already been marked out as sacred, in a Durkheimian way</w:t>
      </w:r>
      <w:r w:rsidR="00B05ADD">
        <w:rPr>
          <w:rFonts w:ascii="Calibri" w:hAnsi="Calibri" w:cs="Calibri"/>
          <w:bCs/>
        </w:rPr>
        <w:t>.</w:t>
      </w:r>
    </w:p>
    <w:p w14:paraId="11FCEA93" w14:textId="537E2953" w:rsidR="00B05ADD" w:rsidRPr="0090129F" w:rsidRDefault="006D3A6F" w:rsidP="00B05ADD">
      <w:pPr>
        <w:rPr>
          <w:rFonts w:ascii="Calibri" w:hAnsi="Calibri" w:cs="Calibri"/>
        </w:rPr>
      </w:pPr>
      <w:r>
        <w:rPr>
          <w:rFonts w:ascii="Calibri" w:hAnsi="Calibri" w:cs="Calibri"/>
          <w:bCs/>
        </w:rPr>
        <w:t xml:space="preserve">The purpose of </w:t>
      </w:r>
      <w:r w:rsidR="00B05ADD" w:rsidRPr="0090129F">
        <w:rPr>
          <w:rFonts w:ascii="Calibri" w:hAnsi="Calibri" w:cs="Calibri"/>
          <w:bCs/>
        </w:rPr>
        <w:t>Durkheimian sacred space is</w:t>
      </w:r>
      <w:r>
        <w:rPr>
          <w:rFonts w:ascii="Calibri" w:hAnsi="Calibri" w:cs="Calibri"/>
          <w:bCs/>
        </w:rPr>
        <w:t xml:space="preserve"> to help human society become aware of itself and make it more cohesive</w:t>
      </w:r>
      <w:r w:rsidR="00B05ADD" w:rsidRPr="0090129F">
        <w:rPr>
          <w:rFonts w:ascii="Calibri" w:hAnsi="Calibri" w:cs="Calibri"/>
        </w:rPr>
        <w:t>.</w:t>
      </w:r>
      <w:r w:rsidR="00B05ADD" w:rsidRPr="0090129F">
        <w:rPr>
          <w:rStyle w:val="FootnoteReference"/>
          <w:rFonts w:ascii="Calibri" w:hAnsi="Calibri" w:cs="Calibri"/>
        </w:rPr>
        <w:footnoteReference w:id="28"/>
      </w:r>
      <w:r w:rsidR="00B05ADD" w:rsidRPr="0090129F">
        <w:rPr>
          <w:rFonts w:ascii="Calibri" w:hAnsi="Calibri" w:cs="Calibri"/>
        </w:rPr>
        <w:t xml:space="preserve"> As society becomes self-aware, deeper feelings of connectedness within the group emerge, and society becomes more </w:t>
      </w:r>
      <w:r>
        <w:rPr>
          <w:rFonts w:ascii="Calibri" w:hAnsi="Calibri" w:cs="Calibri"/>
        </w:rPr>
        <w:t>unified</w:t>
      </w:r>
      <w:r w:rsidR="00B05ADD" w:rsidRPr="0090129F">
        <w:rPr>
          <w:rFonts w:ascii="Calibri" w:hAnsi="Calibri" w:cs="Calibri"/>
        </w:rPr>
        <w:t xml:space="preserve"> as individual interests are transcended and group needs take precedence. Although Durkheim’s sacred space has this unifying quality, </w:t>
      </w:r>
      <w:r>
        <w:rPr>
          <w:rFonts w:ascii="Calibri" w:hAnsi="Calibri" w:cs="Calibri"/>
        </w:rPr>
        <w:t xml:space="preserve">setting some space </w:t>
      </w:r>
      <w:r w:rsidR="00B05ADD" w:rsidRPr="0090129F">
        <w:rPr>
          <w:rFonts w:ascii="Calibri" w:hAnsi="Calibri" w:cs="Calibri"/>
        </w:rPr>
        <w:t xml:space="preserve">apart from ordinary space can also make it vulnerable to outside groups who might seek to disrupt the </w:t>
      </w:r>
      <w:r>
        <w:rPr>
          <w:rFonts w:ascii="Calibri" w:hAnsi="Calibri" w:cs="Calibri"/>
        </w:rPr>
        <w:t xml:space="preserve">harmony </w:t>
      </w:r>
      <w:r w:rsidR="00B05ADD" w:rsidRPr="0090129F">
        <w:rPr>
          <w:rFonts w:ascii="Calibri" w:hAnsi="Calibri" w:cs="Calibri"/>
        </w:rPr>
        <w:t xml:space="preserve">of the group attached to a particular place or may want to enjoy the power of that place for themselves. </w:t>
      </w:r>
      <w:r w:rsidR="00B05ADD" w:rsidRPr="0090129F">
        <w:rPr>
          <w:rFonts w:ascii="Calibri" w:hAnsi="Calibri" w:cs="Calibri"/>
          <w:b/>
          <w:bCs/>
        </w:rPr>
        <w:t>Barbara Bender</w:t>
      </w:r>
      <w:r w:rsidR="00B05ADD" w:rsidRPr="0090129F">
        <w:rPr>
          <w:rFonts w:ascii="Calibri" w:hAnsi="Calibri" w:cs="Calibri"/>
        </w:rPr>
        <w:t xml:space="preserve"> suggested that landscape cannot be separated from the cultural, political and economic influences surround</w:t>
      </w:r>
      <w:r w:rsidR="00B05ADD">
        <w:rPr>
          <w:rFonts w:ascii="Calibri" w:hAnsi="Calibri" w:cs="Calibri"/>
        </w:rPr>
        <w:t xml:space="preserve">ing </w:t>
      </w:r>
      <w:r w:rsidR="00B05ADD" w:rsidRPr="0090129F">
        <w:rPr>
          <w:rFonts w:ascii="Calibri" w:hAnsi="Calibri" w:cs="Calibri"/>
        </w:rPr>
        <w:t xml:space="preserve">it at any given time and that this </w:t>
      </w:r>
      <w:r w:rsidR="00B05ADD">
        <w:rPr>
          <w:rFonts w:ascii="Calibri" w:hAnsi="Calibri" w:cs="Calibri"/>
        </w:rPr>
        <w:t>leads</w:t>
      </w:r>
      <w:r w:rsidR="00B05ADD" w:rsidRPr="0090129F">
        <w:rPr>
          <w:rFonts w:ascii="Calibri" w:hAnsi="Calibri" w:cs="Calibri"/>
        </w:rPr>
        <w:t xml:space="preserve"> to some places becoming contested landscapes.</w:t>
      </w:r>
      <w:r w:rsidR="00B05ADD" w:rsidRPr="0090129F">
        <w:rPr>
          <w:rStyle w:val="FootnoteReference"/>
          <w:rFonts w:ascii="Calibri" w:hAnsi="Calibri" w:cs="Calibri"/>
        </w:rPr>
        <w:footnoteReference w:id="29"/>
      </w:r>
      <w:r w:rsidR="00B05ADD" w:rsidRPr="0090129F">
        <w:rPr>
          <w:rFonts w:ascii="Calibri" w:hAnsi="Calibri" w:cs="Calibri"/>
        </w:rPr>
        <w:t xml:space="preserve"> This paper wants to explore whether Blencathra </w:t>
      </w:r>
      <w:r w:rsidR="00B05ADD">
        <w:rPr>
          <w:rFonts w:ascii="Calibri" w:hAnsi="Calibri" w:cs="Calibri"/>
        </w:rPr>
        <w:t xml:space="preserve">is a </w:t>
      </w:r>
      <w:r w:rsidR="00B05ADD" w:rsidRPr="0090129F">
        <w:rPr>
          <w:rFonts w:ascii="Calibri" w:hAnsi="Calibri" w:cs="Calibri"/>
        </w:rPr>
        <w:t>contested</w:t>
      </w:r>
      <w:r w:rsidR="00B05ADD">
        <w:rPr>
          <w:rFonts w:ascii="Calibri" w:hAnsi="Calibri" w:cs="Calibri"/>
        </w:rPr>
        <w:t xml:space="preserve"> landscape and whether that has impacted its sacredness</w:t>
      </w:r>
      <w:r w:rsidR="00B05ADD" w:rsidRPr="0090129F">
        <w:rPr>
          <w:rFonts w:ascii="Calibri" w:hAnsi="Calibri" w:cs="Calibri"/>
        </w:rPr>
        <w:t>.</w:t>
      </w:r>
    </w:p>
    <w:p w14:paraId="48C489C3" w14:textId="2ED28F2D" w:rsidR="00D367B9" w:rsidRPr="0090129F" w:rsidRDefault="00D57B30" w:rsidP="00D367B9">
      <w:pPr>
        <w:rPr>
          <w:rFonts w:ascii="Calibri" w:hAnsi="Calibri" w:cs="Calibri"/>
          <w:bCs/>
        </w:rPr>
      </w:pPr>
      <w:r w:rsidRPr="007A7603">
        <w:rPr>
          <w:b/>
          <w:bCs/>
          <w:lang w:val="en-US"/>
        </w:rPr>
        <w:t>Aristotl</w:t>
      </w:r>
      <w:r>
        <w:rPr>
          <w:b/>
          <w:bCs/>
          <w:lang w:val="en-US"/>
        </w:rPr>
        <w:t xml:space="preserve">e’s </w:t>
      </w:r>
      <w:r>
        <w:rPr>
          <w:lang w:val="en-US"/>
        </w:rPr>
        <w:t>self-contained</w:t>
      </w:r>
      <w:r w:rsidR="00D367B9">
        <w:rPr>
          <w:lang w:val="en-US"/>
        </w:rPr>
        <w:t xml:space="preserve"> </w:t>
      </w:r>
      <w:r>
        <w:rPr>
          <w:lang w:val="en-US"/>
        </w:rPr>
        <w:t xml:space="preserve">space </w:t>
      </w:r>
      <w:r w:rsidR="00D367B9">
        <w:rPr>
          <w:lang w:val="en-US"/>
        </w:rPr>
        <w:t xml:space="preserve">does not need an external power (be that human or divine) to bestow sacredness upon it. </w:t>
      </w:r>
      <w:r w:rsidR="00D367B9">
        <w:rPr>
          <w:rFonts w:ascii="Calibri" w:hAnsi="Calibri" w:cs="Calibri"/>
          <w:bCs/>
        </w:rPr>
        <w:t>As</w:t>
      </w:r>
      <w:r w:rsidR="00D367B9" w:rsidRPr="00602CCC">
        <w:rPr>
          <w:rFonts w:ascii="Calibri" w:hAnsi="Calibri" w:cs="Calibri"/>
          <w:b/>
        </w:rPr>
        <w:t xml:space="preserve"> Casey</w:t>
      </w:r>
      <w:r w:rsidR="00D367B9">
        <w:rPr>
          <w:rFonts w:ascii="Calibri" w:hAnsi="Calibri" w:cs="Calibri"/>
          <w:bCs/>
        </w:rPr>
        <w:t xml:space="preserve"> explained, </w:t>
      </w:r>
      <w:r w:rsidR="00D367B9" w:rsidRPr="007A7603">
        <w:rPr>
          <w:rFonts w:ascii="Calibri" w:hAnsi="Calibri" w:cs="Calibri"/>
          <w:b/>
        </w:rPr>
        <w:t xml:space="preserve">Aristotle </w:t>
      </w:r>
      <w:r w:rsidR="00D367B9">
        <w:rPr>
          <w:rFonts w:ascii="Calibri" w:hAnsi="Calibri" w:cs="Calibri"/>
          <w:bCs/>
        </w:rPr>
        <w:t>believed that place was ‘</w:t>
      </w:r>
      <w:r w:rsidR="00D367B9">
        <w:t>something with its own inherent powers’.</w:t>
      </w:r>
      <w:r w:rsidR="00D367B9">
        <w:rPr>
          <w:rStyle w:val="FootnoteReference"/>
        </w:rPr>
        <w:footnoteReference w:id="30"/>
      </w:r>
      <w:r w:rsidR="00D367B9">
        <w:t xml:space="preserve"> Aristotle </w:t>
      </w:r>
      <w:r>
        <w:t>argued that</w:t>
      </w:r>
      <w:r w:rsidR="00D367B9">
        <w:t xml:space="preserve"> those powers emerge from the elemental make-up of (natural) things</w:t>
      </w:r>
      <w:r w:rsidR="00106379">
        <w:t>, and</w:t>
      </w:r>
      <w:r w:rsidR="00D367B9">
        <w:t xml:space="preserve"> declared, ‘that nature is a source or cause of being moved and of </w:t>
      </w:r>
      <w:bookmarkStart w:id="5" w:name="_Hlk124674090"/>
      <w:r w:rsidR="00D367B9">
        <w:t>being at rest in that to which it belongs primarily’.</w:t>
      </w:r>
      <w:r w:rsidR="00D367B9">
        <w:rPr>
          <w:rStyle w:val="FootnoteReference"/>
        </w:rPr>
        <w:footnoteReference w:id="31"/>
      </w:r>
      <w:bookmarkEnd w:id="5"/>
      <w:r w:rsidR="00D367B9">
        <w:t xml:space="preserve"> Things are drawn to their own </w:t>
      </w:r>
      <w:r>
        <w:t xml:space="preserve">elemental </w:t>
      </w:r>
      <w:r w:rsidR="00D367B9">
        <w:t>nature, for example, water flows to water</w:t>
      </w:r>
      <w:r>
        <w:t xml:space="preserve"> -</w:t>
      </w:r>
      <w:r w:rsidR="00D367B9">
        <w:t xml:space="preserve"> </w:t>
      </w:r>
      <w:r>
        <w:t>rivers</w:t>
      </w:r>
      <w:r w:rsidR="00D367B9">
        <w:t xml:space="preserve"> flow to the ocean. Things feel ‘at rest’ when they are where they belong, and where they belong is with their like, which implies there is a creative force that urges a body to find its proper place, a place where the elemental body feels at home. </w:t>
      </w:r>
      <w:r w:rsidR="00D367B9" w:rsidRPr="000843FE">
        <w:rPr>
          <w:b/>
          <w:bCs/>
        </w:rPr>
        <w:t>Casey</w:t>
      </w:r>
      <w:r w:rsidR="00D367B9">
        <w:t xml:space="preserve"> used the beautiful phrase ‘reciprocal belongingness’ to describe the way Aristotle talks about body and place experiencing that symbiotic union.</w:t>
      </w:r>
      <w:r w:rsidR="00D367B9">
        <w:rPr>
          <w:rStyle w:val="FootnoteReference"/>
        </w:rPr>
        <w:footnoteReference w:id="32"/>
      </w:r>
      <w:r w:rsidR="00D367B9">
        <w:t xml:space="preserve"> </w:t>
      </w:r>
      <w:r w:rsidR="00D367B9" w:rsidRPr="0090129F">
        <w:t>If place, because of its elemental nature, has the power the be ‘the cause of being moved’ as Aristotle suggested, can place be seen as having its own agency, having the power to draw</w:t>
      </w:r>
      <w:r w:rsidR="00106379">
        <w:t xml:space="preserve"> or repel</w:t>
      </w:r>
      <w:r w:rsidR="00D367B9" w:rsidRPr="0090129F">
        <w:t xml:space="preserve"> people, and, if so, is it this elemental pull that has attracted people to Blencathra?</w:t>
      </w:r>
    </w:p>
    <w:p w14:paraId="6797ABF5" w14:textId="492617BF" w:rsidR="00D367B9" w:rsidRDefault="00D367B9" w:rsidP="00D367B9">
      <w:pPr>
        <w:rPr>
          <w:rFonts w:ascii="Calibri" w:hAnsi="Calibri" w:cs="Calibri"/>
          <w:bCs/>
          <w:color w:val="FF0000"/>
        </w:rPr>
      </w:pPr>
      <w:r w:rsidRPr="0090129F">
        <w:t xml:space="preserve">If </w:t>
      </w:r>
      <w:r w:rsidR="00B05ADD">
        <w:t>B</w:t>
      </w:r>
      <w:r w:rsidRPr="0090129F">
        <w:t xml:space="preserve">lencathra </w:t>
      </w:r>
      <w:r w:rsidR="00B05ADD">
        <w:t>is a</w:t>
      </w:r>
      <w:r w:rsidRPr="0090129F">
        <w:t xml:space="preserve"> sacred landscape, then questions arise about why this particular mountain</w:t>
      </w:r>
      <w:r w:rsidR="00106379">
        <w:t>, in a landscape full of magnificent mountains,</w:t>
      </w:r>
      <w:r w:rsidRPr="0090129F">
        <w:t xml:space="preserve"> </w:t>
      </w:r>
      <w:r w:rsidR="00B05ADD">
        <w:t xml:space="preserve">is </w:t>
      </w:r>
      <w:r w:rsidRPr="0090129F">
        <w:t xml:space="preserve">singled out as special. </w:t>
      </w:r>
      <w:r w:rsidRPr="0090129F">
        <w:rPr>
          <w:b/>
          <w:bCs/>
          <w:lang w:val="en-US"/>
        </w:rPr>
        <w:t>Belden Lane</w:t>
      </w:r>
      <w:r w:rsidRPr="0090129F">
        <w:rPr>
          <w:lang w:val="en-US"/>
        </w:rPr>
        <w:t xml:space="preserve"> </w:t>
      </w:r>
      <w:r w:rsidR="00106379">
        <w:rPr>
          <w:lang w:val="en-US"/>
        </w:rPr>
        <w:t xml:space="preserve">recommended applying </w:t>
      </w:r>
      <w:r w:rsidRPr="0090129F">
        <w:rPr>
          <w:lang w:val="en-US"/>
        </w:rPr>
        <w:t>four axioms</w:t>
      </w:r>
      <w:r w:rsidR="00B05ADD">
        <w:rPr>
          <w:lang w:val="en-US"/>
        </w:rPr>
        <w:t xml:space="preserve"> </w:t>
      </w:r>
      <w:r w:rsidR="00106379">
        <w:rPr>
          <w:lang w:val="en-US"/>
        </w:rPr>
        <w:t xml:space="preserve">to a place as way of </w:t>
      </w:r>
      <w:r>
        <w:rPr>
          <w:lang w:val="en-US"/>
        </w:rPr>
        <w:t>identifying sacred space within a landscape.</w:t>
      </w:r>
      <w:r>
        <w:rPr>
          <w:rStyle w:val="FootnoteReference"/>
          <w:lang w:val="en-US"/>
        </w:rPr>
        <w:footnoteReference w:id="33"/>
      </w:r>
      <w:r>
        <w:rPr>
          <w:color w:val="FF0000"/>
        </w:rPr>
        <w:t xml:space="preserve"> </w:t>
      </w:r>
      <w:r w:rsidRPr="00B63DDD">
        <w:rPr>
          <w:rFonts w:ascii="Calibri" w:hAnsi="Calibri" w:cs="Calibri"/>
          <w:bCs/>
        </w:rPr>
        <w:t>Lane</w:t>
      </w:r>
      <w:r w:rsidR="00B05ADD">
        <w:rPr>
          <w:rFonts w:ascii="Calibri" w:hAnsi="Calibri" w:cs="Calibri"/>
          <w:bCs/>
        </w:rPr>
        <w:t>’s axioms</w:t>
      </w:r>
      <w:r w:rsidRPr="00B63DDD">
        <w:rPr>
          <w:rFonts w:ascii="Calibri" w:hAnsi="Calibri" w:cs="Calibri"/>
          <w:bCs/>
        </w:rPr>
        <w:t xml:space="preserve"> identif</w:t>
      </w:r>
      <w:r w:rsidR="00B05ADD">
        <w:rPr>
          <w:rFonts w:ascii="Calibri" w:hAnsi="Calibri" w:cs="Calibri"/>
          <w:bCs/>
        </w:rPr>
        <w:t xml:space="preserve">y </w:t>
      </w:r>
      <w:r>
        <w:rPr>
          <w:rFonts w:ascii="Calibri" w:hAnsi="Calibri" w:cs="Calibri"/>
          <w:bCs/>
        </w:rPr>
        <w:t xml:space="preserve">sacred landscape </w:t>
      </w:r>
      <w:r w:rsidRPr="00B05ADD">
        <w:rPr>
          <w:rFonts w:ascii="Calibri" w:hAnsi="Calibri" w:cs="Calibri"/>
          <w:bCs/>
          <w:i/>
          <w:iCs/>
        </w:rPr>
        <w:t>generally,</w:t>
      </w:r>
      <w:r>
        <w:rPr>
          <w:rFonts w:ascii="Calibri" w:hAnsi="Calibri" w:cs="Calibri"/>
          <w:bCs/>
        </w:rPr>
        <w:t xml:space="preserve"> </w:t>
      </w:r>
      <w:r w:rsidR="00106379">
        <w:rPr>
          <w:rFonts w:ascii="Calibri" w:hAnsi="Calibri" w:cs="Calibri"/>
          <w:bCs/>
        </w:rPr>
        <w:t xml:space="preserve">but </w:t>
      </w:r>
      <w:r w:rsidRPr="000843FE">
        <w:rPr>
          <w:rFonts w:ascii="Calibri" w:hAnsi="Calibri" w:cs="Calibri"/>
          <w:b/>
        </w:rPr>
        <w:t>Bernbaum</w:t>
      </w:r>
      <w:r w:rsidR="00844FA4">
        <w:rPr>
          <w:rFonts w:ascii="Calibri" w:hAnsi="Calibri" w:cs="Calibri"/>
          <w:b/>
        </w:rPr>
        <w:t>’s</w:t>
      </w:r>
      <w:r>
        <w:rPr>
          <w:rFonts w:ascii="Calibri" w:hAnsi="Calibri" w:cs="Calibri"/>
          <w:bCs/>
        </w:rPr>
        <w:t xml:space="preserve"> ‘dimensions of sacredness’ focus on sacred </w:t>
      </w:r>
      <w:r w:rsidRPr="00844FA4">
        <w:rPr>
          <w:rFonts w:ascii="Calibri" w:hAnsi="Calibri" w:cs="Calibri"/>
          <w:bCs/>
        </w:rPr>
        <w:t xml:space="preserve">mountains </w:t>
      </w:r>
      <w:r w:rsidRPr="00844FA4">
        <w:rPr>
          <w:rFonts w:ascii="Calibri" w:hAnsi="Calibri" w:cs="Calibri"/>
          <w:bCs/>
          <w:i/>
          <w:iCs/>
        </w:rPr>
        <w:t>specifically</w:t>
      </w:r>
      <w:r w:rsidRPr="00844FA4">
        <w:rPr>
          <w:rFonts w:ascii="Calibri" w:hAnsi="Calibri" w:cs="Calibri"/>
          <w:bCs/>
        </w:rPr>
        <w:t>.</w:t>
      </w:r>
      <w:r w:rsidRPr="00844FA4">
        <w:rPr>
          <w:rStyle w:val="FootnoteReference"/>
          <w:rFonts w:ascii="Calibri" w:hAnsi="Calibri" w:cs="Calibri"/>
          <w:bCs/>
        </w:rPr>
        <w:footnoteReference w:id="34"/>
      </w:r>
      <w:r w:rsidRPr="00844FA4">
        <w:rPr>
          <w:rFonts w:ascii="Calibri" w:hAnsi="Calibri" w:cs="Calibri"/>
          <w:bCs/>
        </w:rPr>
        <w:t xml:space="preserve"> </w:t>
      </w:r>
      <w:r w:rsidRPr="00844FA4">
        <w:rPr>
          <w:b/>
          <w:bCs/>
        </w:rPr>
        <w:t>Devereux</w:t>
      </w:r>
      <w:r w:rsidR="000E2A3A">
        <w:rPr>
          <w:b/>
          <w:bCs/>
        </w:rPr>
        <w:t xml:space="preserve"> and Wozencroft</w:t>
      </w:r>
      <w:r w:rsidR="004E741F">
        <w:rPr>
          <w:b/>
          <w:bCs/>
        </w:rPr>
        <w:t xml:space="preserve"> (2014)</w:t>
      </w:r>
      <w:r w:rsidR="000E2A3A">
        <w:rPr>
          <w:b/>
          <w:bCs/>
        </w:rPr>
        <w:t xml:space="preserve"> </w:t>
      </w:r>
      <w:r w:rsidRPr="00844FA4">
        <w:rPr>
          <w:b/>
          <w:bCs/>
        </w:rPr>
        <w:t xml:space="preserve"> </w:t>
      </w:r>
      <w:r w:rsidR="000E2A3A">
        <w:rPr>
          <w:b/>
          <w:bCs/>
        </w:rPr>
        <w:t xml:space="preserve">found that some </w:t>
      </w:r>
      <w:r w:rsidRPr="00844FA4">
        <w:t xml:space="preserve">ancient </w:t>
      </w:r>
      <w:r w:rsidR="000E2A3A">
        <w:t>monument</w:t>
      </w:r>
      <w:r w:rsidR="004E741F">
        <w:t>s appear to mirror striking features in the local landscape.</w:t>
      </w:r>
      <w:r w:rsidR="004E741F">
        <w:rPr>
          <w:rStyle w:val="FootnoteReference"/>
        </w:rPr>
        <w:footnoteReference w:id="35"/>
      </w:r>
      <w:r w:rsidR="00844FA4" w:rsidRPr="00844FA4">
        <w:t xml:space="preserve"> </w:t>
      </w:r>
      <w:r w:rsidRPr="00844FA4">
        <w:rPr>
          <w:rFonts w:ascii="Calibri" w:hAnsi="Calibri" w:cs="Calibri"/>
          <w:bCs/>
        </w:rPr>
        <w:t>This paper consider</w:t>
      </w:r>
      <w:r w:rsidR="00844FA4" w:rsidRPr="00844FA4">
        <w:rPr>
          <w:rFonts w:ascii="Calibri" w:hAnsi="Calibri" w:cs="Calibri"/>
          <w:bCs/>
        </w:rPr>
        <w:t>s</w:t>
      </w:r>
      <w:r w:rsidRPr="00844FA4">
        <w:rPr>
          <w:rFonts w:ascii="Calibri" w:hAnsi="Calibri" w:cs="Calibri"/>
          <w:bCs/>
        </w:rPr>
        <w:t xml:space="preserve"> whether Blencathra fulfils Lane’s and Bernbaum’s criteria for sacrality and whether there was something </w:t>
      </w:r>
      <w:r w:rsidRPr="00844FA4">
        <w:rPr>
          <w:rFonts w:ascii="Calibri" w:hAnsi="Calibri" w:cs="Calibri"/>
          <w:bCs/>
        </w:rPr>
        <w:lastRenderedPageBreak/>
        <w:t>about its physical</w:t>
      </w:r>
      <w:r w:rsidR="00844FA4">
        <w:rPr>
          <w:rFonts w:ascii="Calibri" w:hAnsi="Calibri" w:cs="Calibri"/>
          <w:bCs/>
        </w:rPr>
        <w:t xml:space="preserve"> being</w:t>
      </w:r>
      <w:r w:rsidRPr="00844FA4">
        <w:rPr>
          <w:rFonts w:ascii="Calibri" w:hAnsi="Calibri" w:cs="Calibri"/>
          <w:bCs/>
        </w:rPr>
        <w:t xml:space="preserve"> that might explain why it attracts so much attention</w:t>
      </w:r>
      <w:r w:rsidR="004E741F">
        <w:rPr>
          <w:rFonts w:ascii="Calibri" w:hAnsi="Calibri" w:cs="Calibri"/>
          <w:bCs/>
        </w:rPr>
        <w:t xml:space="preserve"> and if it has a relationship with nearby Castlerigg Stone Circle</w:t>
      </w:r>
      <w:r w:rsidRPr="00844FA4">
        <w:rPr>
          <w:rFonts w:ascii="Calibri" w:hAnsi="Calibri" w:cs="Calibri"/>
          <w:bCs/>
        </w:rPr>
        <w:t>.</w:t>
      </w:r>
    </w:p>
    <w:p w14:paraId="3D16554E" w14:textId="411A393B" w:rsidR="00D367B9" w:rsidRDefault="00D367B9" w:rsidP="00D367B9">
      <w:r>
        <w:rPr>
          <w:rFonts w:ascii="Calibri" w:hAnsi="Calibri" w:cs="Calibri"/>
          <w:bCs/>
        </w:rPr>
        <w:t>Some of Bernbaum’s criteria for a mountain’s sacrality</w:t>
      </w:r>
      <w:r>
        <w:rPr>
          <w:rStyle w:val="FootnoteReference"/>
          <w:rFonts w:ascii="Calibri" w:hAnsi="Calibri" w:cs="Calibri"/>
          <w:bCs/>
        </w:rPr>
        <w:footnoteReference w:id="36"/>
      </w:r>
      <w:r>
        <w:rPr>
          <w:rFonts w:ascii="Calibri" w:hAnsi="Calibri" w:cs="Calibri"/>
          <w:bCs/>
        </w:rPr>
        <w:t xml:space="preserve"> echo </w:t>
      </w:r>
      <w:r w:rsidRPr="000843FE">
        <w:rPr>
          <w:rFonts w:ascii="Calibri" w:hAnsi="Calibri" w:cs="Calibri"/>
          <w:b/>
        </w:rPr>
        <w:t>Merleau-Ponty’s</w:t>
      </w:r>
      <w:r>
        <w:rPr>
          <w:rFonts w:ascii="Calibri" w:hAnsi="Calibri" w:cs="Calibri"/>
          <w:bCs/>
        </w:rPr>
        <w:t xml:space="preserve"> theory that human beings experience the world through their body - Merleau-Ponty said it is easy to underestimate the value of </w:t>
      </w:r>
      <w:r>
        <w:t>‘consciousness, through which from the outset a world forms itself round [us] and begins to exist for [us].’</w:t>
      </w:r>
      <w:r>
        <w:rPr>
          <w:rStyle w:val="FootnoteReference"/>
        </w:rPr>
        <w:footnoteReference w:id="37"/>
      </w:r>
      <w:r>
        <w:t xml:space="preserve"> </w:t>
      </w:r>
      <w:r w:rsidR="00844FA4">
        <w:t>T</w:t>
      </w:r>
      <w:r>
        <w:t>hrough this bodily interaction with landscape</w:t>
      </w:r>
      <w:r w:rsidR="00844FA4">
        <w:t>,</w:t>
      </w:r>
      <w:r>
        <w:t xml:space="preserve"> the landscape comes alive and is brought into existence for us. When we relinquish the urge to explain the world scientifically or historically, </w:t>
      </w:r>
      <w:r w:rsidRPr="00F70020">
        <w:rPr>
          <w:b/>
          <w:bCs/>
        </w:rPr>
        <w:t>Merleau-Ponty</w:t>
      </w:r>
      <w:r>
        <w:t xml:space="preserve"> </w:t>
      </w:r>
      <w:r w:rsidR="00844FA4">
        <w:t xml:space="preserve">argued </w:t>
      </w:r>
      <w:r>
        <w:t>that we can experience the world more authentically.</w:t>
      </w:r>
      <w:r>
        <w:rPr>
          <w:rStyle w:val="FootnoteReference"/>
        </w:rPr>
        <w:footnoteReference w:id="38"/>
      </w:r>
      <w:r>
        <w:t xml:space="preserve"> Our phenomenological experience of a landscape</w:t>
      </w:r>
      <w:r w:rsidR="00844FA4">
        <w:t xml:space="preserve"> </w:t>
      </w:r>
      <w:r w:rsidR="00106379">
        <w:t>connects</w:t>
      </w:r>
      <w:r>
        <w:t xml:space="preserve"> us with a less culturally</w:t>
      </w:r>
      <w:r w:rsidR="00106379">
        <w:t>-</w:t>
      </w:r>
      <w:r>
        <w:t xml:space="preserve">encumbered knowledge of that landscape than if we approach it from </w:t>
      </w:r>
      <w:r w:rsidR="00246AA5">
        <w:t>a</w:t>
      </w:r>
      <w:r>
        <w:t xml:space="preserve"> standard geographical-historical-scientific-sociological perspective</w:t>
      </w:r>
      <w:r w:rsidRPr="000843FE">
        <w:rPr>
          <w:b/>
          <w:bCs/>
        </w:rPr>
        <w:t>.  Tilley</w:t>
      </w:r>
      <w:r>
        <w:t xml:space="preserve"> </w:t>
      </w:r>
      <w:r w:rsidR="00246AA5">
        <w:t>suggest</w:t>
      </w:r>
      <w:r>
        <w:t>ed that the ‘meaning of place is grounded in existential or lived consciousness of i</w:t>
      </w:r>
      <w:r w:rsidR="00246AA5">
        <w:t>t</w:t>
      </w:r>
      <w:r>
        <w:t>’.</w:t>
      </w:r>
      <w:r>
        <w:rPr>
          <w:rStyle w:val="FootnoteReference"/>
        </w:rPr>
        <w:footnoteReference w:id="39"/>
      </w:r>
      <w:r>
        <w:t xml:space="preserve"> It is only through lived experience of a place, of a mountain, that we begin to grasp its meaning and through this deeper connection with the place, we develop a relationship with that place that leads to the naming of the place and the stories we tell of that landscape (Tilley, 1994). As Tilley eloquently </w:t>
      </w:r>
      <w:r w:rsidR="00844FA4">
        <w:t>said</w:t>
      </w:r>
      <w:r>
        <w:t>, the narrative becomes ‘sedimented into the landscape’, enriching both landscape and humanity.</w:t>
      </w:r>
      <w:r>
        <w:rPr>
          <w:rStyle w:val="FootnoteReference"/>
        </w:rPr>
        <w:footnoteReference w:id="40"/>
      </w:r>
      <w:r>
        <w:t xml:space="preserve"> </w:t>
      </w:r>
      <w:r w:rsidRPr="00361C8D">
        <w:rPr>
          <w:b/>
          <w:bCs/>
        </w:rPr>
        <w:t>Darrelyn Gunzburg and Bernadette Brady</w:t>
      </w:r>
      <w:r>
        <w:t xml:space="preserve"> remind us that mountains ‘exist in a different time frame to our own; they exist in deep time’ and that although we are aware of them by virtue of their size and their longevity, they are not necessarily aware of us, because of our comparatively short life and diminutive frames.</w:t>
      </w:r>
      <w:r>
        <w:rPr>
          <w:rStyle w:val="FootnoteReference"/>
        </w:rPr>
        <w:footnoteReference w:id="41"/>
      </w:r>
      <w:r>
        <w:t xml:space="preserve"> This research aimed to </w:t>
      </w:r>
      <w:r w:rsidR="00844FA4">
        <w:t xml:space="preserve">explore whether my </w:t>
      </w:r>
      <w:r w:rsidRPr="001D01AE">
        <w:rPr>
          <w:color w:val="FF0000"/>
        </w:rPr>
        <w:t xml:space="preserve"> </w:t>
      </w:r>
      <w:r w:rsidRPr="00D70097">
        <w:t xml:space="preserve">phenomenological consciousness </w:t>
      </w:r>
      <w:r w:rsidR="00844FA4" w:rsidRPr="00D70097">
        <w:t>of Blencathra deepened my understanding of it</w:t>
      </w:r>
      <w:r w:rsidRPr="00D70097">
        <w:t>, as suggested by Merleau-Ponty, and</w:t>
      </w:r>
      <w:r w:rsidR="00844FA4" w:rsidRPr="00D70097">
        <w:t xml:space="preserve"> whether</w:t>
      </w:r>
      <w:r w:rsidRPr="00D70097">
        <w:t xml:space="preserve"> its sedimented stories</w:t>
      </w:r>
      <w:r w:rsidR="00844FA4" w:rsidRPr="00D70097">
        <w:t xml:space="preserve"> helped me understand </w:t>
      </w:r>
      <w:r w:rsidRPr="00D70097">
        <w:t>its existence within the context of deep time, instead of simply viewing its existence from my mere decades.</w:t>
      </w:r>
    </w:p>
    <w:p w14:paraId="055D8495" w14:textId="6FB40771" w:rsidR="00D70097" w:rsidRDefault="00D70097" w:rsidP="00D367B9"/>
    <w:p w14:paraId="688E668B" w14:textId="77777777" w:rsidR="00D70097" w:rsidRPr="001D01AE" w:rsidRDefault="00D70097" w:rsidP="00D367B9">
      <w:pPr>
        <w:rPr>
          <w:color w:val="FF0000"/>
        </w:rPr>
      </w:pPr>
    </w:p>
    <w:p w14:paraId="1CD357C5" w14:textId="39E59052" w:rsidR="00D367B9" w:rsidRPr="007C781F" w:rsidRDefault="00D367B9" w:rsidP="00D367B9">
      <w:pPr>
        <w:pStyle w:val="Heading1"/>
        <w:rPr>
          <w:sz w:val="22"/>
          <w:szCs w:val="22"/>
          <w:lang w:val="en-US"/>
        </w:rPr>
      </w:pPr>
      <w:r>
        <w:rPr>
          <w:lang w:val="en-US"/>
        </w:rPr>
        <w:t>Fieldwork and Discussion/Themes</w:t>
      </w:r>
      <w:r w:rsidR="00D70097">
        <w:rPr>
          <w:lang w:val="en-US"/>
        </w:rPr>
        <w:t xml:space="preserve"> 2500/</w:t>
      </w:r>
      <w:r w:rsidR="00623953">
        <w:rPr>
          <w:lang w:val="en-US"/>
        </w:rPr>
        <w:t>5</w:t>
      </w:r>
      <w:r w:rsidR="009D02D0">
        <w:rPr>
          <w:lang w:val="en-US"/>
        </w:rPr>
        <w:t>090</w:t>
      </w:r>
    </w:p>
    <w:p w14:paraId="4FDF86CB" w14:textId="77777777" w:rsidR="00E355F4" w:rsidRDefault="00D367B9" w:rsidP="00D367B9">
      <w:pPr>
        <w:pStyle w:val="Heading1"/>
      </w:pPr>
      <w:bookmarkStart w:id="9" w:name="_Hlk124919390"/>
      <w:r>
        <w:t>Physical mountain</w:t>
      </w:r>
    </w:p>
    <w:p w14:paraId="7AD68397" w14:textId="77777777" w:rsidR="00E355F4" w:rsidRDefault="00E355F4" w:rsidP="00E355F4">
      <w:pPr>
        <w:pStyle w:val="Heading1"/>
      </w:pPr>
    </w:p>
    <w:p w14:paraId="12834326" w14:textId="77777777" w:rsidR="00E355F4" w:rsidRPr="002C3373" w:rsidRDefault="00E355F4" w:rsidP="00E355F4">
      <w:r w:rsidRPr="009E2ADF">
        <w:rPr>
          <w:b/>
          <w:bCs/>
        </w:rPr>
        <w:t>Devereux et al</w:t>
      </w:r>
      <w:r>
        <w:t xml:space="preserve"> wrote that ‘the term </w:t>
      </w:r>
      <w:r w:rsidRPr="009E2ADF">
        <w:rPr>
          <w:i/>
          <w:iCs/>
        </w:rPr>
        <w:t>topos</w:t>
      </w:r>
      <w:r>
        <w:t xml:space="preserve"> [refers] to the physical, observable features of a locale, and…</w:t>
      </w:r>
      <w:r w:rsidRPr="009E2ADF">
        <w:rPr>
          <w:i/>
          <w:iCs/>
        </w:rPr>
        <w:t xml:space="preserve">chora </w:t>
      </w:r>
      <w:r>
        <w:t xml:space="preserve">[refers] to those qualities of a location that could trigger imagination and evoke a mythic </w:t>
      </w:r>
      <w:r>
        <w:lastRenderedPageBreak/>
        <w:t>presence’.</w:t>
      </w:r>
      <w:r>
        <w:rPr>
          <w:rStyle w:val="FootnoteReference"/>
        </w:rPr>
        <w:footnoteReference w:id="42"/>
      </w:r>
      <w:r>
        <w:t xml:space="preserve"> This theme explores what aspects of Blencathra’s physicality might evoke that sense of sacrality and mythic presence.</w:t>
      </w:r>
    </w:p>
    <w:p w14:paraId="50B3D60E" w14:textId="77777777" w:rsidR="00E355F4" w:rsidRDefault="00E355F4" w:rsidP="00E355F4">
      <w:pPr>
        <w:pStyle w:val="Heading3"/>
      </w:pPr>
    </w:p>
    <w:p w14:paraId="1E27BB58" w14:textId="77777777" w:rsidR="00E355F4" w:rsidRDefault="00E355F4" w:rsidP="00E355F4">
      <w:pPr>
        <w:pStyle w:val="Heading4"/>
      </w:pPr>
      <w:r>
        <w:t>Height</w:t>
      </w:r>
    </w:p>
    <w:p w14:paraId="754AD3CA" w14:textId="77777777" w:rsidR="00E355F4" w:rsidRPr="008C3064" w:rsidRDefault="00E355F4" w:rsidP="00E355F4">
      <w:r>
        <w:t>Blencathra, looming big and large over the A66 road, first captured my attention as a young child. In January 2023, I retraced those childhood journeys along the A66. I observed that I do not feel fear anymore, but its physical presence still attracted my attention. Sitting in the passenger seat, my 23-year-old son, exclaimed, ‘Wow, what is that place? It’s huge,’ as Blencathra came into view. At a height of 868m/2848 feet, it is not the highest peak in the Lake District</w:t>
      </w:r>
      <w:r>
        <w:rPr>
          <w:rStyle w:val="FootnoteReference"/>
        </w:rPr>
        <w:footnoteReference w:id="43"/>
      </w:r>
      <w:r>
        <w:t xml:space="preserve"> (</w:t>
      </w:r>
      <w:r w:rsidRPr="006E40DB">
        <w:rPr>
          <w:color w:val="FF0000"/>
        </w:rPr>
        <w:t>see Fig</w:t>
      </w:r>
      <w:r>
        <w:rPr>
          <w:color w:val="FF0000"/>
        </w:rPr>
        <w:t>.</w:t>
      </w:r>
      <w:r w:rsidRPr="006E40DB">
        <w:rPr>
          <w:color w:val="FF0000"/>
        </w:rPr>
        <w:t xml:space="preserve"> </w:t>
      </w:r>
      <w:r>
        <w:rPr>
          <w:color w:val="FF0000"/>
        </w:rPr>
        <w:t>1</w:t>
      </w:r>
      <w:r w:rsidRPr="006E40DB">
        <w:rPr>
          <w:color w:val="FF0000"/>
        </w:rPr>
        <w:t>)</w:t>
      </w:r>
      <w:r>
        <w:rPr>
          <w:color w:val="FF0000"/>
        </w:rPr>
        <w:t>, h</w:t>
      </w:r>
      <w:r>
        <w:t xml:space="preserve">owever, Blencathra does fulfil </w:t>
      </w:r>
      <w:r w:rsidRPr="007E4713">
        <w:rPr>
          <w:b/>
          <w:bCs/>
        </w:rPr>
        <w:t xml:space="preserve">Bernbaum’s </w:t>
      </w:r>
      <w:r>
        <w:t>criteria for sacred mountains to have height, as it is large compared to other English mountains</w:t>
      </w:r>
      <w:r>
        <w:rPr>
          <w:rStyle w:val="FootnoteReference"/>
        </w:rPr>
        <w:footnoteReference w:id="44"/>
      </w:r>
      <w:r>
        <w:t xml:space="preserve"> Its height was mostly obscured by heavy cloud on my fieldwork visit, but despite this, its size had captured my son’s attention. Perhaps it was not height alone that accounted for his awe. </w:t>
      </w:r>
      <w:r w:rsidRPr="00FE23D7">
        <w:rPr>
          <w:b/>
          <w:bCs/>
        </w:rPr>
        <w:t>Lane</w:t>
      </w:r>
      <w:r>
        <w:t xml:space="preserve"> suggested sacred places are not chosen –rather, they present </w:t>
      </w:r>
      <w:r w:rsidRPr="009B35E8">
        <w:rPr>
          <w:i/>
          <w:iCs/>
        </w:rPr>
        <w:t>themselve</w:t>
      </w:r>
      <w:r>
        <w:t>s as sacred places.</w:t>
      </w:r>
      <w:r>
        <w:rPr>
          <w:rStyle w:val="FootnoteReference"/>
        </w:rPr>
        <w:footnoteReference w:id="45"/>
      </w:r>
      <w:r>
        <w:t xml:space="preserve"> I observed that its steep sides rising straight up from the valley floor make it appear bigger than it actually is, making it feel like a mountain that cannot, or will not, be ignored. As artist</w:t>
      </w:r>
      <w:r w:rsidRPr="00E97111">
        <w:rPr>
          <w:b/>
          <w:bCs/>
        </w:rPr>
        <w:t>, Sue Foster</w:t>
      </w:r>
      <w:r>
        <w:t>, speaking in the BBC Blencathra documentary, noted, Blencathra  stands ‘there in all its majesty, demanding that you look at it and respect it’.</w:t>
      </w:r>
      <w:r>
        <w:rPr>
          <w:rStyle w:val="FootnoteReference"/>
        </w:rPr>
        <w:footnoteReference w:id="46"/>
      </w:r>
    </w:p>
    <w:p w14:paraId="52ABEEC2" w14:textId="77777777" w:rsidR="00E355F4" w:rsidRDefault="00E355F4" w:rsidP="00E355F4">
      <w:pPr>
        <w:jc w:val="center"/>
      </w:pPr>
    </w:p>
    <w:p w14:paraId="2E6F1BD2" w14:textId="2F57A29A" w:rsidR="00E355F4" w:rsidRDefault="00E355F4" w:rsidP="00E355F4">
      <w:r>
        <w:rPr>
          <w:noProof/>
        </w:rPr>
        <w:lastRenderedPageBreak/>
        <w:drawing>
          <wp:inline distT="0" distB="0" distL="0" distR="0" wp14:anchorId="5005B880" wp14:editId="4F6433E9">
            <wp:extent cx="5334000" cy="5386363"/>
            <wp:effectExtent l="0" t="0" r="0" b="508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rotWithShape="1">
                    <a:blip r:embed="rId7">
                      <a:extLst>
                        <a:ext uri="{28A0092B-C50C-407E-A947-70E740481C1C}">
                          <a14:useLocalDpi xmlns:a14="http://schemas.microsoft.com/office/drawing/2010/main" val="0"/>
                        </a:ext>
                      </a:extLst>
                    </a:blip>
                    <a:srcRect b="7270"/>
                    <a:stretch/>
                  </pic:blipFill>
                  <pic:spPr bwMode="auto">
                    <a:xfrm>
                      <a:off x="0" y="0"/>
                      <a:ext cx="5341170" cy="5393603"/>
                    </a:xfrm>
                    <a:prstGeom prst="rect">
                      <a:avLst/>
                    </a:prstGeom>
                    <a:ln>
                      <a:noFill/>
                    </a:ln>
                    <a:extLst>
                      <a:ext uri="{53640926-AAD7-44D8-BBD7-CCE9431645EC}">
                        <a14:shadowObscured xmlns:a14="http://schemas.microsoft.com/office/drawing/2010/main"/>
                      </a:ext>
                    </a:extLst>
                  </pic:spPr>
                </pic:pic>
              </a:graphicData>
            </a:graphic>
          </wp:inline>
        </w:drawing>
      </w:r>
    </w:p>
    <w:p w14:paraId="28F3646A" w14:textId="28004BF7" w:rsidR="00E355F4" w:rsidRDefault="00E355F4" w:rsidP="00E355F4">
      <w:r>
        <w:t>Figure 1. My battered, old Ordnance Survey map of Blencathra and its surrounds.</w:t>
      </w:r>
    </w:p>
    <w:p w14:paraId="1C600B7B" w14:textId="77777777" w:rsidR="00E355F4" w:rsidRDefault="00E355F4" w:rsidP="00E355F4">
      <w:pPr>
        <w:pStyle w:val="Heading4"/>
      </w:pPr>
      <w:r>
        <w:t>Topography</w:t>
      </w:r>
    </w:p>
    <w:p w14:paraId="2BA52069" w14:textId="77777777" w:rsidR="00E355F4" w:rsidRDefault="00E355F4" w:rsidP="00E355F4">
      <w:r>
        <w:t>On the fieldtrip visit, the rain was torrential. Weather warnings were in place</w:t>
      </w:r>
      <w:r>
        <w:rPr>
          <w:rStyle w:val="FootnoteReference"/>
        </w:rPr>
        <w:footnoteReference w:id="47"/>
      </w:r>
      <w:r>
        <w:t>. The low cloud concealed Blencathra’s complex topography. Blencathra is not a single mountain, rather, it is made up of several fells (</w:t>
      </w:r>
      <w:r w:rsidRPr="00876822">
        <w:rPr>
          <w:color w:val="FF0000"/>
        </w:rPr>
        <w:t>see Fig. 2).</w:t>
      </w:r>
      <w:r>
        <w:rPr>
          <w:rStyle w:val="FootnoteReference"/>
          <w:color w:val="FF0000"/>
        </w:rPr>
        <w:footnoteReference w:id="48"/>
      </w:r>
      <w:r w:rsidRPr="00876822">
        <w:rPr>
          <w:color w:val="FF0000"/>
        </w:rPr>
        <w:t xml:space="preserve"> </w:t>
      </w:r>
      <w:r>
        <w:t xml:space="preserve">The middle fells have steep sides of scree, whereas the outer fells are grassier and more rounded (see </w:t>
      </w:r>
      <w:r w:rsidRPr="00876822">
        <w:rPr>
          <w:color w:val="FF0000"/>
        </w:rPr>
        <w:t xml:space="preserve">Fig. </w:t>
      </w:r>
      <w:r>
        <w:rPr>
          <w:color w:val="FF0000"/>
        </w:rPr>
        <w:t>1</w:t>
      </w:r>
      <w:r w:rsidRPr="00876822">
        <w:rPr>
          <w:color w:val="FF0000"/>
        </w:rPr>
        <w:t xml:space="preserve"> and </w:t>
      </w:r>
      <w:r>
        <w:rPr>
          <w:color w:val="FF0000"/>
        </w:rPr>
        <w:t>2</w:t>
      </w:r>
      <w:r w:rsidRPr="00876822">
        <w:rPr>
          <w:color w:val="FF0000"/>
        </w:rPr>
        <w:t xml:space="preserve">). </w:t>
      </w:r>
      <w:r>
        <w:t xml:space="preserve">The rocky undulating top of the mountain resembles a chair or saddle shape – a physical feature which has contributed to its name (see </w:t>
      </w:r>
      <w:r w:rsidRPr="0023301F">
        <w:rPr>
          <w:i/>
          <w:iCs/>
        </w:rPr>
        <w:t>Named Landscape</w:t>
      </w:r>
      <w:r>
        <w:t xml:space="preserve"> below).</w:t>
      </w:r>
    </w:p>
    <w:p w14:paraId="78D934DB" w14:textId="77777777" w:rsidR="00E355F4" w:rsidRDefault="00E355F4" w:rsidP="00E355F4">
      <w:r>
        <w:t xml:space="preserve">Atop Blencathra runs a narrow rocky </w:t>
      </w:r>
      <w:r w:rsidRPr="00995695">
        <w:rPr>
          <w:i/>
          <w:iCs/>
        </w:rPr>
        <w:t>arête</w:t>
      </w:r>
      <w:r>
        <w:t xml:space="preserve"> known as Sharp </w:t>
      </w:r>
      <w:r w:rsidRPr="00995695">
        <w:rPr>
          <w:color w:val="FF0000"/>
        </w:rPr>
        <w:t>Edge (Fig. 3</w:t>
      </w:r>
      <w:r>
        <w:rPr>
          <w:color w:val="FF0000"/>
        </w:rPr>
        <w:t xml:space="preserve">), </w:t>
      </w:r>
      <w:r>
        <w:t>with steep drop down to Scales Tarn (</w:t>
      </w:r>
      <w:r w:rsidRPr="00995695">
        <w:rPr>
          <w:color w:val="FF0000"/>
        </w:rPr>
        <w:t xml:space="preserve">Fig. </w:t>
      </w:r>
      <w:r>
        <w:rPr>
          <w:color w:val="FF0000"/>
        </w:rPr>
        <w:t>4)</w:t>
      </w:r>
      <w:r>
        <w:t xml:space="preserve">. Not a route for inexperienced scramblers or for those with a fear of heights, it </w:t>
      </w:r>
      <w:r>
        <w:lastRenderedPageBreak/>
        <w:t>can present problems for even experienced mountaineers. While danger-element is attractive to some walkers, it should not be underestimated as Keswick Mountain Rescue Team notes Sharp Edge as a local accident blackspot.</w:t>
      </w:r>
      <w:r>
        <w:rPr>
          <w:rStyle w:val="FootnoteReference"/>
        </w:rPr>
        <w:footnoteReference w:id="49"/>
      </w:r>
      <w:r>
        <w:t xml:space="preserve"> </w:t>
      </w:r>
    </w:p>
    <w:p w14:paraId="3FCDB829" w14:textId="6F29A29D" w:rsidR="00E355F4" w:rsidRDefault="00E355F4" w:rsidP="00E355F4">
      <w:r>
        <w:rPr>
          <w:noProof/>
        </w:rPr>
        <w:drawing>
          <wp:inline distT="0" distB="0" distL="0" distR="0" wp14:anchorId="2B504A9C" wp14:editId="0E5D17A6">
            <wp:extent cx="5455920" cy="1524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455920" cy="1524000"/>
                    </a:xfrm>
                    <a:prstGeom prst="rect">
                      <a:avLst/>
                    </a:prstGeom>
                  </pic:spPr>
                </pic:pic>
              </a:graphicData>
            </a:graphic>
          </wp:inline>
        </w:drawing>
      </w:r>
    </w:p>
    <w:p w14:paraId="521EC773" w14:textId="77777777" w:rsidR="00E355F4" w:rsidRDefault="00E355F4" w:rsidP="00E355F4">
      <w:r>
        <w:t>Figure 2. Blencathra’s five fells with their rocky spurs reaching down to the valley floor.</w:t>
      </w:r>
      <w:r>
        <w:rPr>
          <w:rStyle w:val="FootnoteReference"/>
          <w:rFonts w:ascii="Arial" w:hAnsi="Arial" w:cs="Arial"/>
          <w:color w:val="30272E"/>
          <w:sz w:val="21"/>
          <w:szCs w:val="21"/>
        </w:rPr>
        <w:footnoteReference w:id="50"/>
      </w:r>
    </w:p>
    <w:p w14:paraId="01D6565B" w14:textId="77777777" w:rsidR="00E355F4" w:rsidRPr="00876822" w:rsidRDefault="00E355F4" w:rsidP="00E355F4">
      <w:r w:rsidRPr="00820AF2">
        <w:rPr>
          <w:b/>
          <w:bCs/>
        </w:rPr>
        <w:t>Eliade</w:t>
      </w:r>
      <w:r w:rsidRPr="00820AF2">
        <w:t xml:space="preserve"> contrasted strong sacred space with the neutral space that surrounds it</w:t>
      </w:r>
      <w:r w:rsidRPr="00820AF2">
        <w:rPr>
          <w:rStyle w:val="FootnoteReference"/>
        </w:rPr>
        <w:footnoteReference w:id="51"/>
      </w:r>
      <w:r w:rsidRPr="00820AF2">
        <w:t>. Blencathra’s dramatic</w:t>
      </w:r>
      <w:r w:rsidRPr="00820AF2">
        <w:rPr>
          <w:i/>
          <w:iCs/>
        </w:rPr>
        <w:t xml:space="preserve"> </w:t>
      </w:r>
      <w:r w:rsidRPr="00820AF2">
        <w:t xml:space="preserve">topography </w:t>
      </w:r>
      <w:r>
        <w:t>sits in sharp</w:t>
      </w:r>
      <w:r w:rsidRPr="00876822">
        <w:t xml:space="preserve"> contrast to the rather featureless valley of St</w:t>
      </w:r>
      <w:r>
        <w:t>-</w:t>
      </w:r>
      <w:r w:rsidRPr="00876822">
        <w:t>John’s</w:t>
      </w:r>
      <w:r>
        <w:t>-</w:t>
      </w:r>
      <w:r w:rsidRPr="00876822">
        <w:t>in</w:t>
      </w:r>
      <w:r>
        <w:t>-</w:t>
      </w:r>
      <w:r w:rsidRPr="00876822">
        <w:t>the</w:t>
      </w:r>
      <w:r>
        <w:t>-</w:t>
      </w:r>
      <w:r w:rsidRPr="00876822">
        <w:t>Vale that lies below Blencathra</w:t>
      </w:r>
      <w:r>
        <w:t xml:space="preserve"> (</w:t>
      </w:r>
      <w:r w:rsidRPr="00876822">
        <w:rPr>
          <w:color w:val="FF0000"/>
        </w:rPr>
        <w:t>see Fig 2)</w:t>
      </w:r>
      <w:r>
        <w:rPr>
          <w:color w:val="FF0000"/>
        </w:rPr>
        <w:t xml:space="preserve">. This contrast might </w:t>
      </w:r>
      <w:r>
        <w:t>contribute to Blencathra’s sense of mythic presence and sacrality.</w:t>
      </w:r>
    </w:p>
    <w:p w14:paraId="16BB90CA" w14:textId="35FFFCF7" w:rsidR="00E355F4" w:rsidRDefault="00E355F4" w:rsidP="00E355F4">
      <w:pPr>
        <w:jc w:val="center"/>
      </w:pPr>
      <w:r>
        <w:rPr>
          <w:noProof/>
        </w:rPr>
        <w:drawing>
          <wp:inline distT="0" distB="0" distL="0" distR="0" wp14:anchorId="38987110" wp14:editId="4B2B0BD0">
            <wp:extent cx="3810000" cy="2543175"/>
            <wp:effectExtent l="0" t="0" r="0" b="9525"/>
            <wp:docPr id="5" name="Picture 5" descr="A picture containing mountain, outdoor, nature,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mountain, outdoor, nature, hil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10000" cy="2543175"/>
                    </a:xfrm>
                    <a:prstGeom prst="rect">
                      <a:avLst/>
                    </a:prstGeom>
                  </pic:spPr>
                </pic:pic>
              </a:graphicData>
            </a:graphic>
          </wp:inline>
        </w:drawing>
      </w:r>
    </w:p>
    <w:p w14:paraId="34AE63E9" w14:textId="77777777" w:rsidR="00E355F4" w:rsidRDefault="00E355F4" w:rsidP="00E355F4">
      <w:r>
        <w:t>Figure 3. Sharp Edge.</w:t>
      </w:r>
      <w:r>
        <w:rPr>
          <w:rStyle w:val="FootnoteReference"/>
          <w:rFonts w:ascii="Arial" w:hAnsi="Arial" w:cs="Arial"/>
          <w:color w:val="30272E"/>
          <w:sz w:val="21"/>
          <w:szCs w:val="21"/>
        </w:rPr>
        <w:footnoteReference w:id="52"/>
      </w:r>
    </w:p>
    <w:p w14:paraId="042470B2" w14:textId="09DA7082" w:rsidR="00E355F4" w:rsidRDefault="00E355F4" w:rsidP="00E355F4">
      <w:r>
        <w:rPr>
          <w:noProof/>
        </w:rPr>
        <w:lastRenderedPageBreak/>
        <w:drawing>
          <wp:inline distT="0" distB="0" distL="0" distR="0" wp14:anchorId="1C1AF256" wp14:editId="5E7DD907">
            <wp:extent cx="5349240" cy="1971675"/>
            <wp:effectExtent l="0" t="0" r="3810" b="9525"/>
            <wp:docPr id="6" name="Picture 6" descr="A picture containing mountain, nature, rock, high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mountain, nature, rock, highland&#10;&#10;Description automatically generated"/>
                    <pic:cNvPicPr/>
                  </pic:nvPicPr>
                  <pic:blipFill>
                    <a:blip r:embed="rId10">
                      <a:extLst>
                        <a:ext uri="{BEBA8EAE-BF5A-486C-A8C5-ECC9F3942E4B}">
                          <a14:imgProps xmlns:a14="http://schemas.microsoft.com/office/drawing/2010/main">
                            <a14:imgLayer r:embed="rId11">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5349240" cy="1971675"/>
                    </a:xfrm>
                    <a:prstGeom prst="rect">
                      <a:avLst/>
                    </a:prstGeom>
                  </pic:spPr>
                </pic:pic>
              </a:graphicData>
            </a:graphic>
          </wp:inline>
        </w:drawing>
      </w:r>
    </w:p>
    <w:p w14:paraId="213BB9EA" w14:textId="4D7106F3" w:rsidR="00E355F4" w:rsidRDefault="00E355F4" w:rsidP="00E355F4">
      <w:pPr>
        <w:rPr>
          <w:rFonts w:ascii="Arial" w:hAnsi="Arial" w:cs="Arial"/>
          <w:color w:val="30272E"/>
          <w:sz w:val="21"/>
          <w:szCs w:val="21"/>
        </w:rPr>
      </w:pPr>
      <w:r>
        <w:t>Figure 4. This shows the perilous drop down from Sharp Edge down to Scales Tarn.</w:t>
      </w:r>
      <w:r>
        <w:rPr>
          <w:rStyle w:val="FootnoteReference"/>
        </w:rPr>
        <w:footnoteReference w:id="53"/>
      </w:r>
    </w:p>
    <w:p w14:paraId="0B57F870" w14:textId="77777777" w:rsidR="00E355F4" w:rsidRDefault="00E355F4" w:rsidP="00E355F4">
      <w:pPr>
        <w:pStyle w:val="Heading2"/>
      </w:pPr>
    </w:p>
    <w:p w14:paraId="48E29D87" w14:textId="77777777" w:rsidR="00E355F4" w:rsidRPr="002C3373" w:rsidRDefault="00E355F4" w:rsidP="00E355F4">
      <w:pPr>
        <w:pStyle w:val="Heading4"/>
      </w:pPr>
      <w:r>
        <w:t>Embodied Blencathra</w:t>
      </w:r>
    </w:p>
    <w:p w14:paraId="38C230C4" w14:textId="77777777" w:rsidR="00E355F4" w:rsidRDefault="00E355F4" w:rsidP="00E355F4">
      <w:r w:rsidRPr="002C3373">
        <w:rPr>
          <w:b/>
          <w:bCs/>
        </w:rPr>
        <w:t>Merleau-Ponty</w:t>
      </w:r>
      <w:r>
        <w:t xml:space="preserve"> affirmed that</w:t>
      </w:r>
      <w:r w:rsidRPr="00014EC2">
        <w:t xml:space="preserve"> </w:t>
      </w:r>
      <w:r>
        <w:t>‘</w:t>
      </w:r>
      <w:r w:rsidRPr="00014EC2">
        <w:t>there is a truth about the past’</w:t>
      </w:r>
      <w:r>
        <w:t xml:space="preserve"> despite perceptions changing over time</w:t>
      </w:r>
      <w:r w:rsidRPr="00014EC2">
        <w:t>.</w:t>
      </w:r>
      <w:r w:rsidRPr="00014EC2">
        <w:rPr>
          <w:rStyle w:val="FootnoteReference"/>
        </w:rPr>
        <w:footnoteReference w:id="54"/>
      </w:r>
      <w:r w:rsidRPr="00014EC2">
        <w:t xml:space="preserve"> </w:t>
      </w:r>
      <w:r>
        <w:t xml:space="preserve">Although unsure of the date of my first encounter with Blencathra, I clearly remember being afraid of it. The undulating saddle ridge, and the dark spurs of the inner fells running down to the road like a giant’s rocky foot made it an easy mountain to remember. No other mountain elicited such a visceral response in me. I was not afraid of height or steep sides, but Blencathra, always sitting in ominous shadow, filled me with foreboding. </w:t>
      </w:r>
      <w:r w:rsidRPr="009237DC">
        <w:rPr>
          <w:b/>
          <w:bCs/>
        </w:rPr>
        <w:t>Bernbaum</w:t>
      </w:r>
      <w:r>
        <w:rPr>
          <w:b/>
          <w:bCs/>
        </w:rPr>
        <w:t xml:space="preserve"> said that sacred </w:t>
      </w:r>
      <w:r>
        <w:rPr>
          <w:rFonts w:ascii="Calibri" w:hAnsi="Calibri" w:cs="Calibri"/>
          <w:bCs/>
        </w:rPr>
        <w:t>mountains can represent paradise and places of great natural beauty and harmony.</w:t>
      </w:r>
      <w:r>
        <w:rPr>
          <w:rStyle w:val="FootnoteReference"/>
          <w:rFonts w:ascii="Calibri" w:hAnsi="Calibri" w:cs="Calibri"/>
          <w:bCs/>
        </w:rPr>
        <w:footnoteReference w:id="55"/>
      </w:r>
      <w:r w:rsidRPr="000E41DB">
        <w:t xml:space="preserve"> </w:t>
      </w:r>
      <w:r>
        <w:t>Although I now see it as aplace of beauty, Blencathra did not fulfil Bernbaum’s criteria for me back then - instead, it seemed a threatening place of dark power.</w:t>
      </w:r>
    </w:p>
    <w:p w14:paraId="0CD59830" w14:textId="77777777" w:rsidR="00E355F4" w:rsidRPr="003B76D7" w:rsidRDefault="00E355F4" w:rsidP="00E355F4">
      <w:r>
        <w:t>As a teenager, Blencathra no longer frightened me but its influence was undiminished. Driving along the A66, I would silently greet Blencathra. The mountain became my anchor-point because, wherever I was in North Lakes, I would scan the horizon for Blencathra’s distinctive outline.</w:t>
      </w:r>
      <w:r>
        <w:rPr>
          <w:rStyle w:val="FootnoteReference"/>
        </w:rPr>
        <w:footnoteReference w:id="56"/>
      </w:r>
      <w:r>
        <w:t xml:space="preserve"> I did not know it at the time, but I was having a conversation with Blencathra (</w:t>
      </w:r>
      <w:r w:rsidRPr="00C869B1">
        <w:rPr>
          <w:b/>
          <w:bCs/>
        </w:rPr>
        <w:t>Gunzburg and Brady</w:t>
      </w:r>
      <w:r>
        <w:t xml:space="preserve"> 2020). It had, perhaps, become my </w:t>
      </w:r>
      <w:r>
        <w:rPr>
          <w:i/>
          <w:iCs/>
        </w:rPr>
        <w:t>axis mundi</w:t>
      </w:r>
      <w:r>
        <w:t xml:space="preserve"> </w:t>
      </w:r>
      <w:r w:rsidRPr="003B76D7">
        <w:rPr>
          <w:b/>
          <w:bCs/>
        </w:rPr>
        <w:t>(Eliade</w:t>
      </w:r>
      <w:r>
        <w:t>, 1987 [1957]).</w:t>
      </w:r>
    </w:p>
    <w:p w14:paraId="793C19C3" w14:textId="77777777" w:rsidR="00E355F4" w:rsidRDefault="00E355F4" w:rsidP="00E355F4">
      <w:r>
        <w:t xml:space="preserve">On the fieldtrip visit, I noted I felt relief at not being able to ascend Blencathra. When </w:t>
      </w:r>
      <w:r w:rsidRPr="00E97111">
        <w:rPr>
          <w:b/>
          <w:bCs/>
        </w:rPr>
        <w:t>Donald Angus</w:t>
      </w:r>
      <w:r>
        <w:rPr>
          <w:b/>
          <w:bCs/>
        </w:rPr>
        <w:t>,</w:t>
      </w:r>
      <w:r>
        <w:t xml:space="preserve"> born and bred in Threlkeld, was</w:t>
      </w:r>
      <w:r w:rsidRPr="008050CD">
        <w:t xml:space="preserve"> </w:t>
      </w:r>
      <w:r>
        <w:t>interviewed on BBC’s documentary about Blencathra, he revealed that 80% of Threlkeld’s original residents have no interest in climbing Blencathra.</w:t>
      </w:r>
      <w:r>
        <w:rPr>
          <w:rStyle w:val="FootnoteReference"/>
        </w:rPr>
        <w:footnoteReference w:id="57"/>
      </w:r>
      <w:r>
        <w:t xml:space="preserve">  Investigating my own personal resistance to climbing Blencathra, it seemed to arise out of a sort of respect for the mountain. It reminds me of my attitude towards my Buddhist teacher, for whom I have a deep affection, but it is an affection that will never be demonstrated in casual physical friendliness. </w:t>
      </w:r>
      <w:r w:rsidRPr="00A5117B">
        <w:rPr>
          <w:b/>
          <w:bCs/>
        </w:rPr>
        <w:t>Bernbaum</w:t>
      </w:r>
      <w:r>
        <w:rPr>
          <w:b/>
          <w:bCs/>
        </w:rPr>
        <w:t xml:space="preserve"> suggested</w:t>
      </w:r>
      <w:r>
        <w:t xml:space="preserve"> that sacred mountains awaken ’a sense of wonder and awe that sets them </w:t>
      </w:r>
      <w:r>
        <w:lastRenderedPageBreak/>
        <w:t>apart’.</w:t>
      </w:r>
      <w:r>
        <w:rPr>
          <w:rStyle w:val="FootnoteReference"/>
        </w:rPr>
        <w:footnoteReference w:id="58"/>
      </w:r>
      <w:r>
        <w:t xml:space="preserve"> Always in awe of Blencathra’, I clearly continue to set it apart from other fells. Writing in 1787, </w:t>
      </w:r>
      <w:r w:rsidRPr="00DF3F48">
        <w:rPr>
          <w:b/>
          <w:bCs/>
        </w:rPr>
        <w:t>James Clarke</w:t>
      </w:r>
      <w:r>
        <w:t xml:space="preserve"> described Blencathra’s physical presence in vivid detail, using imagery suggestive of a terrible power (</w:t>
      </w:r>
      <w:r>
        <w:rPr>
          <w:i/>
          <w:iCs/>
        </w:rPr>
        <w:t>chora)</w:t>
      </w:r>
      <w:r>
        <w:t>:</w:t>
      </w:r>
    </w:p>
    <w:p w14:paraId="11B5541D" w14:textId="77777777" w:rsidR="00E355F4" w:rsidRPr="00AE1798" w:rsidRDefault="00E355F4" w:rsidP="00E355F4">
      <w:pPr>
        <w:spacing w:before="240"/>
        <w:ind w:left="567" w:right="567"/>
        <w:jc w:val="both"/>
      </w:pPr>
      <w:r>
        <w:t xml:space="preserve">..a point of the mountain juts out like the angle of a bastion between two of these </w:t>
      </w:r>
      <w:r w:rsidRPr="00270BB5">
        <w:rPr>
          <w:i/>
          <w:iCs/>
        </w:rPr>
        <w:t>horrid abysses</w:t>
      </w:r>
      <w:r>
        <w:t xml:space="preserve">. I stood upon this, (though my head turned so giddy I could not go to the extremity of it,) and on each side a gulf about two hundred yards wide, and at least eight hundred deep! Their sides were rocky, bare and rough… I discharged my gun…the echo was </w:t>
      </w:r>
      <w:r w:rsidRPr="00270BB5">
        <w:rPr>
          <w:i/>
          <w:iCs/>
        </w:rPr>
        <w:t>inconceivable</w:t>
      </w:r>
      <w:r>
        <w:t xml:space="preserve">; it resembled a peal of thunder bursting over my head, and was so </w:t>
      </w:r>
      <w:r w:rsidRPr="00270BB5">
        <w:rPr>
          <w:i/>
          <w:iCs/>
        </w:rPr>
        <w:t>prodigiously loud and fierce</w:t>
      </w:r>
      <w:r>
        <w:t xml:space="preserve">, that my dog (though a staunch pointer) crept </w:t>
      </w:r>
      <w:r w:rsidRPr="00270BB5">
        <w:rPr>
          <w:i/>
          <w:iCs/>
        </w:rPr>
        <w:t>trembling</w:t>
      </w:r>
      <w:r>
        <w:t xml:space="preserve"> behind me.</w:t>
      </w:r>
      <w:r>
        <w:rPr>
          <w:rStyle w:val="FootnoteReference"/>
        </w:rPr>
        <w:footnoteReference w:id="59"/>
      </w:r>
    </w:p>
    <w:p w14:paraId="7468A331" w14:textId="77777777" w:rsidR="00E355F4" w:rsidRPr="0004386D" w:rsidRDefault="00E355F4" w:rsidP="00E355F4">
      <w:r>
        <w:t xml:space="preserve">Just as for my younger self, for Clarke and his dog, Blencathra was a place of danger, fear and awe. </w:t>
      </w:r>
      <w:r w:rsidRPr="00BE40AD">
        <w:rPr>
          <w:b/>
          <w:bCs/>
        </w:rPr>
        <w:t>Tilley</w:t>
      </w:r>
      <w:r>
        <w:t xml:space="preserve"> suggested that ‘the body …provides the living bond with the world’</w:t>
      </w:r>
      <w:r>
        <w:rPr>
          <w:rStyle w:val="FootnoteReference"/>
        </w:rPr>
        <w:footnoteReference w:id="60"/>
      </w:r>
      <w:r>
        <w:t xml:space="preserve"> but, in Clarke’s description, the bond is one whereby the mountain is dominant. Even after discharging his gun, a symbol of humanity’s power over nature if ever there was one, Clarke finds it is the mountain which emerges powerful, with the echo of the gun frightening both Clarke and his dog. </w:t>
      </w:r>
      <w:r w:rsidRPr="00DF3F48">
        <w:rPr>
          <w:b/>
          <w:bCs/>
        </w:rPr>
        <w:t>Merleau-Ponty</w:t>
      </w:r>
      <w:r>
        <w:t xml:space="preserve"> said that ‘phenomenology’s task was to reveal the mystery of the world and of reason’, suggesting both tangible, corporeality and intangible divinity is sensed phenomenologically.</w:t>
      </w:r>
      <w:r>
        <w:rPr>
          <w:rStyle w:val="FootnoteReference"/>
        </w:rPr>
        <w:footnoteReference w:id="61"/>
      </w:r>
      <w:r>
        <w:t xml:space="preserve"> Like an angry god, Blencathra seemed to reveal its authority to Clarke, in an Aristotelian way, and reject any feeling of ‘reciprocal belongingness’ between the man, his gun and the mountain.</w:t>
      </w:r>
      <w:r>
        <w:rPr>
          <w:rStyle w:val="FootnoteReference"/>
        </w:rPr>
        <w:footnoteReference w:id="62"/>
      </w:r>
      <w:r>
        <w:t xml:space="preserve"> </w:t>
      </w:r>
    </w:p>
    <w:p w14:paraId="6D4973A7" w14:textId="77777777" w:rsidR="00E355F4" w:rsidRPr="00270BB5" w:rsidRDefault="00E355F4" w:rsidP="00E355F4">
      <w:pPr>
        <w:rPr>
          <w:color w:val="FF0000"/>
        </w:rPr>
      </w:pPr>
    </w:p>
    <w:p w14:paraId="35E6BA64" w14:textId="77777777" w:rsidR="00E355F4" w:rsidRDefault="00E355F4" w:rsidP="00E355F4">
      <w:pPr>
        <w:pStyle w:val="Heading4"/>
      </w:pPr>
      <w:r>
        <w:t>Castlerigg</w:t>
      </w:r>
    </w:p>
    <w:p w14:paraId="6F895761" w14:textId="77777777" w:rsidR="00E355F4" w:rsidRDefault="00E355F4" w:rsidP="00E355F4">
      <w:r>
        <w:t xml:space="preserve">If Blencathra has always elicited such powerful responses in people, then perhaps the Neolithic Castlerigg Stone Circle </w:t>
      </w:r>
      <w:r w:rsidRPr="00FB58FC">
        <w:rPr>
          <w:rFonts w:cstheme="minorHAnsi"/>
          <w:sz w:val="20"/>
          <w:szCs w:val="20"/>
        </w:rPr>
        <w:t>(</w:t>
      </w:r>
      <w:r w:rsidRPr="00FB58FC">
        <w:rPr>
          <w:rFonts w:cstheme="minorHAnsi"/>
          <w:color w:val="2E2E2E"/>
          <w:sz w:val="20"/>
          <w:szCs w:val="20"/>
        </w:rPr>
        <w:t>NY291236)</w:t>
      </w:r>
      <w:r>
        <w:rPr>
          <w:sz w:val="20"/>
          <w:szCs w:val="20"/>
        </w:rPr>
        <w:t xml:space="preserve"> </w:t>
      </w:r>
      <w:r>
        <w:t xml:space="preserve">is also part of the story of Blencathra’s sacredness. </w:t>
      </w:r>
    </w:p>
    <w:p w14:paraId="02EA2844" w14:textId="77777777" w:rsidR="00E355F4" w:rsidRDefault="00E355F4" w:rsidP="00E355F4">
      <w:r w:rsidRPr="00DF3F48">
        <w:rPr>
          <w:b/>
          <w:bCs/>
        </w:rPr>
        <w:t>Devereux and Wozencroft</w:t>
      </w:r>
      <w:r>
        <w:t xml:space="preserve"> (2014) found that ancient monuments often reflect the topography of the surrounding landscape.</w:t>
      </w:r>
      <w:r>
        <w:rPr>
          <w:rStyle w:val="FootnoteReference"/>
        </w:rPr>
        <w:footnoteReference w:id="63"/>
      </w:r>
      <w:r>
        <w:t xml:space="preserve"> Castlerigg appears to be in visual relationship with Blencathra.  </w:t>
      </w:r>
    </w:p>
    <w:p w14:paraId="6C176E46" w14:textId="77777777" w:rsidR="00E355F4" w:rsidRDefault="00E355F4" w:rsidP="00E355F4">
      <w:r>
        <w:t>When we arrived Castlerigg Stone Circle, we had the circle to ourselves for the first twenty minutes. With heavy rain and low clouds, the site felt wild, lonesome, and exposed, even more atmospheric than normal. My eyes were immediately pulled northeast towards Blencathra, despite the fact it was barely visible (</w:t>
      </w:r>
      <w:r w:rsidRPr="00C87989">
        <w:rPr>
          <w:color w:val="FF0000"/>
        </w:rPr>
        <w:t>see Fig. 5</w:t>
      </w:r>
      <w:r>
        <w:t>). I felt its presence despite the clouds.</w:t>
      </w:r>
    </w:p>
    <w:p w14:paraId="59EE6EC3" w14:textId="77777777" w:rsidR="00E355F4" w:rsidRDefault="00E355F4" w:rsidP="00E355F4"/>
    <w:p w14:paraId="2B1C1F02" w14:textId="77777777" w:rsidR="00E355F4" w:rsidRDefault="00E355F4" w:rsidP="00E355F4">
      <w:pPr>
        <w:jc w:val="center"/>
      </w:pPr>
    </w:p>
    <w:p w14:paraId="02A37582" w14:textId="45F74E7D" w:rsidR="00E355F4" w:rsidRDefault="00E355F4" w:rsidP="00E355F4">
      <w:r>
        <w:rPr>
          <w:noProof/>
        </w:rPr>
        <w:lastRenderedPageBreak/>
        <w:drawing>
          <wp:inline distT="0" distB="0" distL="0" distR="0" wp14:anchorId="3B8AF417" wp14:editId="3A0A8C1D">
            <wp:extent cx="2682240" cy="3576419"/>
            <wp:effectExtent l="0" t="0" r="3810" b="5080"/>
            <wp:docPr id="7" name="Picture 7" descr="A body of water with rocks and grass around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ody of water with rocks and grass around it&#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84002" cy="3578768"/>
                    </a:xfrm>
                    <a:prstGeom prst="rect">
                      <a:avLst/>
                    </a:prstGeom>
                  </pic:spPr>
                </pic:pic>
              </a:graphicData>
            </a:graphic>
          </wp:inline>
        </w:drawing>
      </w:r>
    </w:p>
    <w:p w14:paraId="70DE6657" w14:textId="1CFBCAE5" w:rsidR="00E355F4" w:rsidRDefault="00E355F4" w:rsidP="00E355F4">
      <w:r>
        <w:t xml:space="preserve">Figure 5. My photograph of Castlerigg Stone Circle looking towards Blencathra, which is covered in cloud. </w:t>
      </w:r>
    </w:p>
    <w:p w14:paraId="4C3C7820" w14:textId="18A19E30" w:rsidR="00E355F4" w:rsidRDefault="00E355F4" w:rsidP="00E355F4">
      <w:r>
        <w:rPr>
          <w:noProof/>
        </w:rPr>
        <w:drawing>
          <wp:inline distT="0" distB="0" distL="0" distR="0" wp14:anchorId="0B3E5555" wp14:editId="39E88E1A">
            <wp:extent cx="3810000" cy="3810000"/>
            <wp:effectExtent l="0" t="0" r="0" b="0"/>
            <wp:docPr id="8" name="Picture 8" descr="A picture containing grass, mountain,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ss, mountain, outdoor, sk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1F0916E9" w14:textId="41AE0682" w:rsidR="00E355F4" w:rsidRDefault="00E355F4" w:rsidP="00E355F4">
      <w:r>
        <w:t>Figure 6. The stone circle mirroring the rounded curves of Blencathra</w:t>
      </w:r>
      <w:r>
        <w:rPr>
          <w:rFonts w:ascii="Arial" w:hAnsi="Arial" w:cs="Arial"/>
          <w:color w:val="30272E"/>
          <w:sz w:val="21"/>
          <w:szCs w:val="21"/>
        </w:rPr>
        <w:t>.</w:t>
      </w:r>
      <w:r>
        <w:rPr>
          <w:rStyle w:val="FootnoteReference"/>
        </w:rPr>
        <w:footnoteReference w:id="64"/>
      </w:r>
    </w:p>
    <w:p w14:paraId="3AC0B380" w14:textId="77777777" w:rsidR="00E355F4" w:rsidRDefault="00E355F4" w:rsidP="00E355F4">
      <w:pPr>
        <w:spacing w:before="240"/>
      </w:pPr>
      <w:r>
        <w:lastRenderedPageBreak/>
        <w:t>I observed the way the circle of the monument mirrored the rounded arms of Blencathra. There seemed a reciprocal belongingness (Casey, 1997) between circle and monument (</w:t>
      </w:r>
      <w:r w:rsidRPr="00E167D0">
        <w:rPr>
          <w:color w:val="FF0000"/>
        </w:rPr>
        <w:t>see Fig. 6</w:t>
      </w:r>
      <w:r>
        <w:rPr>
          <w:color w:val="FF0000"/>
        </w:rPr>
        <w:t>). It was easy to imagine</w:t>
      </w:r>
      <w:r>
        <w:t xml:space="preserve"> the builders of Castlerigg had positioned it intentionally to draw attention to Blencathra (</w:t>
      </w:r>
      <w:r w:rsidRPr="00E167D0">
        <w:rPr>
          <w:b/>
          <w:bCs/>
        </w:rPr>
        <w:t>Devereux and Wozencroft</w:t>
      </w:r>
      <w:r>
        <w:t xml:space="preserve">, 2014). </w:t>
      </w:r>
      <w:r w:rsidRPr="00F25CFB">
        <w:rPr>
          <w:b/>
          <w:bCs/>
        </w:rPr>
        <w:t>Durkheim</w:t>
      </w:r>
      <w:r>
        <w:t xml:space="preserve"> (2001) argued that sacred space is created through human ritual. While the exact purpose of Neolithic circles is unknown, they are generally believed to be centres of spiritual activity, so maybe the monument’s builder were seeking to empower the sacrality of Blencathra through its visual pairing with the monument. </w:t>
      </w:r>
      <w:r w:rsidRPr="006309A7">
        <w:rPr>
          <w:b/>
          <w:bCs/>
        </w:rPr>
        <w:t xml:space="preserve">Aristotle </w:t>
      </w:r>
      <w:r>
        <w:t>suggested spatial harmony exists when things are in their proper place and landscape is ‘at rest in that to which it belongs primarily’.</w:t>
      </w:r>
      <w:r>
        <w:rPr>
          <w:rStyle w:val="FootnoteReference"/>
        </w:rPr>
        <w:footnoteReference w:id="65"/>
      </w:r>
      <w:r>
        <w:t xml:space="preserve"> New visitors arrived at Castlerigg shortly after us. One man stood in the circle and called to his friend, ‘Come, stand inside. Feel the energy. ...look at the mountains.’ There was not much of a view to be had that afternoon, but the mountains and circle seemed nevertheless to be in relationship for that visitor. </w:t>
      </w:r>
    </w:p>
    <w:p w14:paraId="0DB2FA96" w14:textId="77777777" w:rsidR="00E355F4" w:rsidRDefault="00E355F4" w:rsidP="00E355F4">
      <w:pPr>
        <w:spacing w:before="240"/>
      </w:pPr>
      <w:r>
        <w:t>The harmony of monument and mountain is in contrast with the disharmony between the A66</w:t>
      </w:r>
      <w:r>
        <w:rPr>
          <w:rStyle w:val="FootnoteReference"/>
        </w:rPr>
        <w:footnoteReference w:id="66"/>
      </w:r>
      <w:r>
        <w:t xml:space="preserve"> and Blencathra. Even in poor visibility with the mountain mostly covered in mist, the energy of the road seemed at odds with the silent slopes of Blencathra – there was no ‘reciprocal belongingness’ here (</w:t>
      </w:r>
      <w:r w:rsidRPr="006309A7">
        <w:rPr>
          <w:b/>
          <w:bCs/>
        </w:rPr>
        <w:t>Casey, 1997)</w:t>
      </w:r>
      <w:r>
        <w:rPr>
          <w:b/>
          <w:bCs/>
        </w:rPr>
        <w:t>.</w:t>
      </w:r>
      <w:r>
        <w:t xml:space="preserve">  We cannot know whether Castlerigg’s builders intended any association with Blencathra, but we also cannot know whether their network of relationships did </w:t>
      </w:r>
      <w:r w:rsidRPr="00AB1E74">
        <w:rPr>
          <w:i/>
          <w:iCs/>
        </w:rPr>
        <w:t xml:space="preserve">not </w:t>
      </w:r>
      <w:r>
        <w:t>include the mountain (Merleau-Ponty, 1976). Despite the weather, Castlerigg’s visitors seemed to sense the spatial harmony of the place and stood in silence, under their hoods and umbrellas, seemingly enjoying the union of monument and landscape. As my son noted, ‘People have been doing what we’re doing here for thousands of years.’</w:t>
      </w:r>
    </w:p>
    <w:p w14:paraId="2644121A" w14:textId="77777777" w:rsidR="00E355F4" w:rsidRPr="006309A7" w:rsidRDefault="00E355F4" w:rsidP="00E355F4">
      <w:pPr>
        <w:rPr>
          <w:color w:val="FF0000"/>
        </w:rPr>
      </w:pPr>
    </w:p>
    <w:p w14:paraId="1C773F79" w14:textId="77777777" w:rsidR="00E355F4" w:rsidRDefault="00E355F4" w:rsidP="00E355F4">
      <w:pPr>
        <w:pStyle w:val="Heading4"/>
      </w:pPr>
      <w:r>
        <w:t>Final Thoughts</w:t>
      </w:r>
    </w:p>
    <w:p w14:paraId="25CAB823" w14:textId="6A397045" w:rsidR="00E355F4" w:rsidRDefault="00E355F4" w:rsidP="00E355F4">
      <w:r>
        <w:t xml:space="preserve">People’s embodied reactions to the mountain suggest that Blencathra’s unforgiving </w:t>
      </w:r>
      <w:r w:rsidRPr="00732B5E">
        <w:rPr>
          <w:i/>
          <w:iCs/>
        </w:rPr>
        <w:t>topos</w:t>
      </w:r>
      <w:r>
        <w:t xml:space="preserve"> inspires fear, awe and respect in ways that other mountains do not, which fulfils one of Bernbaum’s criteria for sacred mountains. A topologically dramatic landscape, it is a contrast to the formless valley below. While this contrast might have influenced humanity’s setting aside of Blencathra from other mountains (in a Durkheimian way), Blencathra’s rugged appearance might have contributed to its reputation as a sacred or mythic landscape (in an Eliadian way). </w:t>
      </w:r>
      <w:r w:rsidRPr="007D7EEA">
        <w:rPr>
          <w:b/>
          <w:bCs/>
        </w:rPr>
        <w:t>Bernbaum</w:t>
      </w:r>
      <w:r>
        <w:t xml:space="preserve"> said sacred mountains are a source of blessings.</w:t>
      </w:r>
      <w:r>
        <w:rPr>
          <w:rStyle w:val="FootnoteReference"/>
        </w:rPr>
        <w:footnoteReference w:id="67"/>
      </w:r>
      <w:r>
        <w:t xml:space="preserve"> As well as providing the blessing of water,</w:t>
      </w:r>
      <w:r>
        <w:rPr>
          <w:rStyle w:val="FootnoteReference"/>
        </w:rPr>
        <w:footnoteReference w:id="68"/>
      </w:r>
      <w:r>
        <w:t xml:space="preserve"> Blencathra might have been seen as a sacred landscape, a form of blessing, to Neolithic monument builders as Castelrigg Stone Circle can be interpreted as mirroring the outline of Blencathra’s upward slopes.</w:t>
      </w:r>
    </w:p>
    <w:p w14:paraId="3894FB22" w14:textId="467308B0" w:rsidR="00E355F4" w:rsidRDefault="00E355F4" w:rsidP="00E355F4"/>
    <w:p w14:paraId="7FABD8F7" w14:textId="77777777" w:rsidR="005735F0" w:rsidRDefault="005735F0" w:rsidP="005735F0">
      <w:pPr>
        <w:pStyle w:val="Heading1"/>
      </w:pPr>
      <w:r>
        <w:t>Named mountain 705</w:t>
      </w:r>
    </w:p>
    <w:p w14:paraId="7EAF794F" w14:textId="77777777" w:rsidR="005735F0" w:rsidRDefault="005735F0" w:rsidP="005735F0">
      <w:r>
        <w:t xml:space="preserve">A mountain’s physical existence is one just part of that mountain’s story (Gunzburg and Brady, 2020) - </w:t>
      </w:r>
      <w:r w:rsidRPr="00B83AC9">
        <w:t>it is the</w:t>
      </w:r>
      <w:r>
        <w:t xml:space="preserve"> naming  of a mountain that gives birth to ‘the narrative a mountain has with its human </w:t>
      </w:r>
      <w:r>
        <w:lastRenderedPageBreak/>
        <w:t>community’.</w:t>
      </w:r>
      <w:r>
        <w:rPr>
          <w:rStyle w:val="FootnoteReference"/>
        </w:rPr>
        <w:footnoteReference w:id="69"/>
      </w:r>
      <w:r>
        <w:t xml:space="preserve"> </w:t>
      </w:r>
      <w:r w:rsidRPr="00D615A7">
        <w:rPr>
          <w:b/>
          <w:bCs/>
        </w:rPr>
        <w:t>Tilley</w:t>
      </w:r>
      <w:r>
        <w:t xml:space="preserve"> suggested place names are one way that landscape becomes invested with meaning,  ‘as [they] transform the sheerly physical and geographical into something that is historically and socially experienced.’</w:t>
      </w:r>
      <w:r>
        <w:rPr>
          <w:rStyle w:val="FootnoteReference"/>
        </w:rPr>
        <w:footnoteReference w:id="70"/>
      </w:r>
      <w:r>
        <w:t xml:space="preserve"> This section considers whether the mountain’s name adds potency to the narrative of mystery and power around Blencathra, amplifying Blencathra’s sacrality.</w:t>
      </w:r>
    </w:p>
    <w:p w14:paraId="2CCDB606" w14:textId="77777777" w:rsidR="005735F0" w:rsidRDefault="005735F0" w:rsidP="005735F0">
      <w:pPr>
        <w:pStyle w:val="Heading4"/>
      </w:pPr>
      <w:r>
        <w:t>Blencathra or Saddleback</w:t>
      </w:r>
    </w:p>
    <w:p w14:paraId="6ACCD46D" w14:textId="77777777" w:rsidR="005735F0" w:rsidRDefault="005735F0" w:rsidP="005735F0">
      <w:pPr>
        <w:rPr>
          <w:b/>
          <w:bCs/>
        </w:rPr>
      </w:pPr>
      <w:r>
        <w:t>One unusual feature of Blencathra is that is has been known by two names: Blencathra and Saddleback. Blencathra is the mountain’s older Celtic name; Saddleback a more recent English title. Saddleback alludes to the saddle shape of the rocky undulation on its skyline (</w:t>
      </w:r>
      <w:r w:rsidRPr="00D940C5">
        <w:rPr>
          <w:color w:val="FF0000"/>
        </w:rPr>
        <w:t>see Fi</w:t>
      </w:r>
      <w:r>
        <w:rPr>
          <w:color w:val="FF0000"/>
        </w:rPr>
        <w:t>g. 6</w:t>
      </w:r>
      <w:r>
        <w:t>). My father initially called the mountain Saddleback, which made sense as the name resembles the fell’s natural features. Several years later, when Dad told us the old name, Blencathra, it felt like the mountain’s proper name. I had no idea what Blencathra meant but it felt more ‘right’ than Saddleback.</w:t>
      </w:r>
      <w:r w:rsidRPr="001E79B4">
        <w:rPr>
          <w:b/>
          <w:bCs/>
        </w:rPr>
        <w:t xml:space="preserve"> </w:t>
      </w:r>
    </w:p>
    <w:p w14:paraId="4EFE480B" w14:textId="77777777" w:rsidR="005735F0" w:rsidRPr="006E5A71" w:rsidRDefault="005735F0" w:rsidP="005735F0">
      <w:r>
        <w:t xml:space="preserve">It is not clear when the Saddleback name came into existence. </w:t>
      </w:r>
      <w:r w:rsidRPr="00784EEC">
        <w:rPr>
          <w:b/>
          <w:bCs/>
        </w:rPr>
        <w:t>David Powell-Thompson</w:t>
      </w:r>
      <w:r>
        <w:t xml:space="preserve"> speaking on the BBC Blencathra documentary</w:t>
      </w:r>
      <w:r>
        <w:rPr>
          <w:rStyle w:val="FootnoteReference"/>
        </w:rPr>
        <w:footnoteReference w:id="71"/>
      </w:r>
      <w:r>
        <w:t xml:space="preserve"> suggested the name was made popular in Victorian times, but </w:t>
      </w:r>
      <w:r w:rsidRPr="008F2CA9">
        <w:rPr>
          <w:b/>
          <w:bCs/>
        </w:rPr>
        <w:t xml:space="preserve">Breeze </w:t>
      </w:r>
      <w:r>
        <w:t>claimed it was first attested in 1704.</w:t>
      </w:r>
      <w:r>
        <w:rPr>
          <w:rStyle w:val="FootnoteReference"/>
        </w:rPr>
        <w:footnoteReference w:id="72"/>
      </w:r>
      <w:r>
        <w:t xml:space="preserve"> Writer, </w:t>
      </w:r>
      <w:r w:rsidRPr="008F2CA9">
        <w:rPr>
          <w:b/>
          <w:bCs/>
        </w:rPr>
        <w:t>Arthur Wainwright</w:t>
      </w:r>
      <w:r>
        <w:t xml:space="preserve"> is credited with encouraging the return to the use of the ‘beautiful and inspiring name’, Blencathra.</w:t>
      </w:r>
      <w:r w:rsidRPr="00F47A9C">
        <w:rPr>
          <w:rStyle w:val="FootnoteReference"/>
        </w:rPr>
        <w:footnoteReference w:id="73"/>
      </w:r>
      <w:r w:rsidRPr="00F47A9C">
        <w:t xml:space="preserve"> It is now more commonly known as Blencathra, although </w:t>
      </w:r>
      <w:r w:rsidRPr="00F47A9C">
        <w:rPr>
          <w:b/>
          <w:bCs/>
        </w:rPr>
        <w:t>Ordnance Survey</w:t>
      </w:r>
      <w:r w:rsidRPr="00F47A9C">
        <w:t xml:space="preserve"> maps still refer to the mountain by both names.</w:t>
      </w:r>
      <w:r w:rsidRPr="00F47A9C">
        <w:rPr>
          <w:rStyle w:val="FootnoteReference"/>
        </w:rPr>
        <w:footnoteReference w:id="74"/>
      </w:r>
      <w:r>
        <w:t xml:space="preserve"> </w:t>
      </w:r>
      <w:r w:rsidRPr="001E79B4">
        <w:rPr>
          <w:b/>
          <w:bCs/>
        </w:rPr>
        <w:t>Tilley</w:t>
      </w:r>
      <w:r>
        <w:t xml:space="preserve"> wrote the ‘naming and identification of particular topographical features…. is crucial for the establishment and maintenance of their identity’</w:t>
      </w:r>
      <w:r>
        <w:rPr>
          <w:rStyle w:val="FootnoteReference"/>
        </w:rPr>
        <w:footnoteReference w:id="75"/>
      </w:r>
      <w:r>
        <w:t xml:space="preserve"> but, if mountains’ identities are established by naming them after their topography, one might ask why revert to using the old Celtic name when ‘Saddleback’ also reflects the mountain’s appearance so well. The etymology of the name might offer insights into why the old name came back into popular use.</w:t>
      </w:r>
    </w:p>
    <w:p w14:paraId="0C1E9DF3" w14:textId="77777777" w:rsidR="005735F0" w:rsidRDefault="005735F0" w:rsidP="005735F0">
      <w:pPr>
        <w:pStyle w:val="Heading4"/>
      </w:pPr>
      <w:r>
        <w:t>Etymology</w:t>
      </w:r>
    </w:p>
    <w:p w14:paraId="08F5619F" w14:textId="77777777" w:rsidR="00A30952" w:rsidRDefault="005735F0" w:rsidP="005735F0">
      <w:pPr>
        <w:rPr>
          <w:b/>
          <w:bCs/>
        </w:rPr>
      </w:pPr>
      <w:r>
        <w:t>Searching terms like ‘Blencathra mythology’ using Google’s search engine resulted in popular blogs stating that Blencathra means ‘Devil’s Chair’, ‘Chair of Afallach’ and Seat of King Arthur’.</w:t>
      </w:r>
      <w:r>
        <w:rPr>
          <w:rStyle w:val="FootnoteReference"/>
        </w:rPr>
        <w:footnoteReference w:id="76"/>
      </w:r>
      <w:r>
        <w:t xml:space="preserve"> While unsure of what evidence there was for these claims, I wondered whether these associations  with mythical beings might increase the sense of Blencathra’s sacrality (</w:t>
      </w:r>
      <w:r w:rsidRPr="00AE14AD">
        <w:rPr>
          <w:b/>
          <w:bCs/>
        </w:rPr>
        <w:t>Durkheim</w:t>
      </w:r>
      <w:r>
        <w:rPr>
          <w:b/>
          <w:bCs/>
        </w:rPr>
        <w:t xml:space="preserve"> 2001, Bernbaum 2006) or whether </w:t>
      </w:r>
      <w:r>
        <w:t>the meanings had arisen out of Blencathra’s inherent sacrality (</w:t>
      </w:r>
      <w:r w:rsidRPr="00AE14AD">
        <w:rPr>
          <w:b/>
          <w:bCs/>
        </w:rPr>
        <w:t>Eliad</w:t>
      </w:r>
      <w:r>
        <w:rPr>
          <w:b/>
          <w:bCs/>
        </w:rPr>
        <w:t>e 1987).</w:t>
      </w:r>
    </w:p>
    <w:p w14:paraId="062AB855" w14:textId="7E86804F" w:rsidR="005735F0" w:rsidRDefault="005735F0" w:rsidP="005735F0">
      <w:r>
        <w:lastRenderedPageBreak/>
        <w:t>During the Celtic period, northwest Britons spoke Cumbric, a Welsh-based language commonly spoken locally until the 11</w:t>
      </w:r>
      <w:r w:rsidRPr="00304D51">
        <w:rPr>
          <w:vertAlign w:val="superscript"/>
        </w:rPr>
        <w:t>th</w:t>
      </w:r>
      <w:r>
        <w:t xml:space="preserve"> century.</w:t>
      </w:r>
      <w:r>
        <w:rPr>
          <w:rStyle w:val="FootnoteReference"/>
        </w:rPr>
        <w:footnoteReference w:id="77"/>
      </w:r>
      <w:r>
        <w:t xml:space="preserve"> While the first syllable, </w:t>
      </w:r>
      <w:r w:rsidRPr="00D13D5F">
        <w:rPr>
          <w:i/>
          <w:iCs/>
        </w:rPr>
        <w:t>Blen</w:t>
      </w:r>
      <w:r>
        <w:t>, has its parallel with the Welsh word</w:t>
      </w:r>
      <w:r w:rsidRPr="0067600F">
        <w:rPr>
          <w:i/>
          <w:iCs/>
        </w:rPr>
        <w:t xml:space="preserve"> blaen</w:t>
      </w:r>
      <w:r>
        <w:t xml:space="preserve">, meaning summit, the </w:t>
      </w:r>
      <w:r w:rsidRPr="00D13D5F">
        <w:rPr>
          <w:i/>
          <w:iCs/>
        </w:rPr>
        <w:t>cathra</w:t>
      </w:r>
      <w:r>
        <w:rPr>
          <w:i/>
          <w:iCs/>
        </w:rPr>
        <w:t xml:space="preserve"> </w:t>
      </w:r>
      <w:r>
        <w:t>part of the name is more problematic.</w:t>
      </w:r>
      <w:r>
        <w:rPr>
          <w:rStyle w:val="FootnoteReference"/>
        </w:rPr>
        <w:footnoteReference w:id="78"/>
      </w:r>
      <w:r>
        <w:t xml:space="preserve"> </w:t>
      </w:r>
    </w:p>
    <w:p w14:paraId="2FEE5804" w14:textId="77777777" w:rsidR="005735F0" w:rsidRPr="00E9737A" w:rsidRDefault="005735F0" w:rsidP="005735F0">
      <w:r w:rsidRPr="00AE14AD">
        <w:rPr>
          <w:b/>
          <w:bCs/>
        </w:rPr>
        <w:t>Breeze</w:t>
      </w:r>
      <w:r>
        <w:t xml:space="preserve"> found the mountain was named </w:t>
      </w:r>
      <w:r w:rsidRPr="0067600F">
        <w:rPr>
          <w:i/>
          <w:iCs/>
        </w:rPr>
        <w:t>Blenkarthure</w:t>
      </w:r>
      <w:r>
        <w:rPr>
          <w:i/>
          <w:iCs/>
        </w:rPr>
        <w:t xml:space="preserve"> </w:t>
      </w:r>
      <w:r>
        <w:t xml:space="preserve">in 1589, before being shortened to </w:t>
      </w:r>
      <w:r w:rsidRPr="0067600F">
        <w:rPr>
          <w:i/>
          <w:iCs/>
        </w:rPr>
        <w:t>Blenk-Arthur</w:t>
      </w:r>
      <w:r>
        <w:t xml:space="preserve"> in 1704, then </w:t>
      </w:r>
      <w:r w:rsidRPr="0067600F">
        <w:rPr>
          <w:i/>
          <w:iCs/>
        </w:rPr>
        <w:t xml:space="preserve">Blencarter </w:t>
      </w:r>
      <w:r>
        <w:t>at the end of the eighteenth century.</w:t>
      </w:r>
      <w:r>
        <w:rPr>
          <w:rStyle w:val="FootnoteReference"/>
        </w:rPr>
        <w:footnoteReference w:id="79"/>
      </w:r>
      <w:r>
        <w:t xml:space="preserve">  The last two syllables sound like the name Arthur, so perhap this is where the popular meanings of the name originate. Breeze, however, believes it is more accurate to find counterparts within the Welsh language to the</w:t>
      </w:r>
      <w:r w:rsidRPr="00767DBD">
        <w:rPr>
          <w:i/>
          <w:iCs/>
        </w:rPr>
        <w:t xml:space="preserve"> kathure</w:t>
      </w:r>
      <w:r>
        <w:t xml:space="preserve"> part of the name, as Welsh is the basis for Cumbric. He argued the word </w:t>
      </w:r>
      <w:r>
        <w:rPr>
          <w:i/>
          <w:iCs/>
        </w:rPr>
        <w:t>carthwr</w:t>
      </w:r>
      <w:r>
        <w:t>, meaning ‘draught horse’ is a likely parallel, especially as it resembles the English name, Saddleback.</w:t>
      </w:r>
      <w:r>
        <w:rPr>
          <w:rStyle w:val="FootnoteReference"/>
        </w:rPr>
        <w:footnoteReference w:id="80"/>
      </w:r>
      <w:r>
        <w:t xml:space="preserve"> As he noted, this ‘</w:t>
      </w:r>
      <w:r w:rsidRPr="00E9737A">
        <w:t xml:space="preserve">provides </w:t>
      </w:r>
      <w:r>
        <w:t xml:space="preserve">… </w:t>
      </w:r>
      <w:r w:rsidRPr="00E9737A">
        <w:t>a lesson on the importance of early forms of toponyms, where (despite partial assimilation to Arthur) the oldest attestations allow</w:t>
      </w:r>
      <w:r w:rsidRPr="00DB2A6C">
        <w:t xml:space="preserve"> </w:t>
      </w:r>
      <w:r w:rsidRPr="00E9737A">
        <w:t xml:space="preserve">easy identification with Welsh </w:t>
      </w:r>
      <w:r w:rsidRPr="0076610B">
        <w:rPr>
          <w:i/>
          <w:iCs/>
        </w:rPr>
        <w:t>carthwr</w:t>
      </w:r>
      <w:r w:rsidRPr="00E9737A">
        <w:t>, as modern Blencathra (which has undergone consonant-shift) does not.</w:t>
      </w:r>
      <w:r>
        <w:t>’</w:t>
      </w:r>
      <w:r>
        <w:rPr>
          <w:rStyle w:val="FootnoteReference"/>
        </w:rPr>
        <w:footnoteReference w:id="81"/>
      </w:r>
      <w:r>
        <w:t xml:space="preserve"> While not definitively proving the etymology of the Blencathra name, it offers a plausible route to the name as we know it today, especially as the Saddleback name mirrors the older form in meaning and it is possible the mountain would be named after its animal features.</w:t>
      </w:r>
    </w:p>
    <w:p w14:paraId="65B361B3" w14:textId="77777777" w:rsidR="005735F0" w:rsidRDefault="005735F0" w:rsidP="005735F0">
      <w:pPr>
        <w:pStyle w:val="Heading4"/>
      </w:pPr>
      <w:r>
        <w:t>Final thoughts</w:t>
      </w:r>
    </w:p>
    <w:p w14:paraId="2DB7FE79" w14:textId="77777777" w:rsidR="005735F0" w:rsidRDefault="005735F0" w:rsidP="005735F0">
      <w:r>
        <w:t>Despite Blencathra’s name not being linked to Arthurian legend as some blogs suggest, it appears that mythological meaning has been inserted into the name to support the narrative of its sacrality. This would support Durkheim’s argument that sacrality is a human construct. However, one could argue that in reverting to the old Celtic name suggests that this mountain is more comfortable identifying with ‘deep time’.</w:t>
      </w:r>
      <w:r>
        <w:rPr>
          <w:rStyle w:val="FootnoteReference"/>
        </w:rPr>
        <w:footnoteReference w:id="82"/>
      </w:r>
      <w:r>
        <w:t xml:space="preserve"> And it is to deep time that this essay now turns.</w:t>
      </w:r>
    </w:p>
    <w:p w14:paraId="399EF768" w14:textId="77777777" w:rsidR="00A30952" w:rsidRPr="00933568" w:rsidRDefault="00A30952" w:rsidP="00A30952">
      <w:pPr>
        <w:pStyle w:val="Heading1"/>
      </w:pPr>
      <w:r>
        <w:t>Mythical and storied mountain</w:t>
      </w:r>
    </w:p>
    <w:p w14:paraId="22861977" w14:textId="77777777" w:rsidR="00A30952" w:rsidRPr="00A30952" w:rsidRDefault="00A30952" w:rsidP="00A30952">
      <w:r w:rsidRPr="00A30952">
        <w:t>Places have their own biographies (</w:t>
      </w:r>
      <w:r w:rsidRPr="00A30952">
        <w:rPr>
          <w:b/>
          <w:bCs/>
        </w:rPr>
        <w:t>Tilley, 1994</w:t>
      </w:r>
      <w:r w:rsidRPr="00A30952">
        <w:t>). Stories, by their very nature, must take place somewhere, and be located within landscape, which then gains deeper significance because a story is located there (Tilley, 1994). This section explores the stories associated with Blencathra to examine how these narratives contribute to the sacredness of the mountain.</w:t>
      </w:r>
    </w:p>
    <w:p w14:paraId="0D8BA50D" w14:textId="77777777" w:rsidR="00A30952" w:rsidRPr="007008BA" w:rsidRDefault="00A30952" w:rsidP="00A30952">
      <w:pPr>
        <w:rPr>
          <w:color w:val="FF0000"/>
        </w:rPr>
      </w:pPr>
      <w:r w:rsidRPr="0071739D">
        <w:rPr>
          <w:b/>
          <w:bCs/>
        </w:rPr>
        <w:t xml:space="preserve">Bernbaum </w:t>
      </w:r>
      <w:r>
        <w:t>identified two features of a mountain’s biography that can enhance its sacrality: sacred mountains have close links to ancestors/ the Dead; sacred mountains derive their power from their association with deities.</w:t>
      </w:r>
      <w:r>
        <w:rPr>
          <w:rStyle w:val="FootnoteReference"/>
        </w:rPr>
        <w:footnoteReference w:id="83"/>
      </w:r>
      <w:r>
        <w:t xml:space="preserve"> One theme that emerged from the literary research was a link between Blencathra and Arthurian and Celtic legend. While the mountain’s name might not be related to Arthurian legend in the way many writers assert (see above), there are threads of history and mythology that suggest a link between Blencathra and Arthurian and Celtic mythology. However, in </w:t>
      </w:r>
      <w:r>
        <w:lastRenderedPageBreak/>
        <w:t>order to remain within the scope of this essay, this section will only focus on two elements of those threads: the Celtic mythological associations with Urien, King of Rheged; and the story of the ghost army appearing on Blencathra’s slopes.</w:t>
      </w:r>
    </w:p>
    <w:p w14:paraId="4147ADC1" w14:textId="77777777" w:rsidR="00A30952" w:rsidRPr="0071739D" w:rsidRDefault="00A30952" w:rsidP="00A30952">
      <w:pPr>
        <w:rPr>
          <w:color w:val="538135" w:themeColor="accent6" w:themeShade="BF"/>
        </w:rPr>
      </w:pPr>
    </w:p>
    <w:p w14:paraId="75E18A45" w14:textId="77777777" w:rsidR="00A30952" w:rsidRDefault="00A30952" w:rsidP="00A30952">
      <w:pPr>
        <w:pStyle w:val="Heading4"/>
      </w:pPr>
      <w:r>
        <w:t>Mythical Blencathra</w:t>
      </w:r>
    </w:p>
    <w:p w14:paraId="68826C01" w14:textId="77777777" w:rsidR="00A30952" w:rsidRDefault="00A30952" w:rsidP="00A30952">
      <w:r>
        <w:t xml:space="preserve">Written evidence of Celtic life in northwest Briton is scarce but some literary sources offer insights to life at that time, although care is needed with these sources as some of the references are unclear and open to interpretation (Breeze, 2015). </w:t>
      </w:r>
      <w:r w:rsidRPr="00024101">
        <w:t xml:space="preserve">There are popular stories of King Arthur and his men </w:t>
      </w:r>
      <w:r>
        <w:t>sleeping</w:t>
      </w:r>
      <w:r w:rsidRPr="00024101">
        <w:t xml:space="preserve"> in the bowels of Blencathra</w:t>
      </w:r>
      <w:r>
        <w:t xml:space="preserve"> until they are called upon to save Britain from danger and other stories say that Afallach, Lord of the Celtic Underworld,</w:t>
      </w:r>
      <w:r>
        <w:rPr>
          <w:rStyle w:val="FootnoteReference"/>
        </w:rPr>
        <w:footnoteReference w:id="84"/>
      </w:r>
      <w:r>
        <w:t xml:space="preserve"> lives in the mountain.</w:t>
      </w:r>
    </w:p>
    <w:p w14:paraId="6E7654C7" w14:textId="77777777" w:rsidR="00A30952" w:rsidRDefault="00A30952" w:rsidP="00A30952">
      <w:pPr>
        <w:rPr>
          <w:color w:val="000000"/>
          <w:sz w:val="27"/>
          <w:szCs w:val="27"/>
        </w:rPr>
      </w:pPr>
      <w:r>
        <w:t>The root of the stories about Arthur and the Celtic Underworld might lie in the stories of Urien, King of Rheged. Urien was a sixth-century leader whose lands were thought to encompass southwest Scotland down to northwest England (including Cumbria).</w:t>
      </w:r>
      <w:r>
        <w:rPr>
          <w:rStyle w:val="FootnoteReference"/>
        </w:rPr>
        <w:footnoteReference w:id="85"/>
      </w:r>
      <w:r>
        <w:t xml:space="preserve"> Urien is mentioned in Nennius’ </w:t>
      </w:r>
      <w:r w:rsidRPr="00AE7BF2">
        <w:rPr>
          <w:i/>
          <w:iCs/>
        </w:rPr>
        <w:t>Historia Brittonnum</w:t>
      </w:r>
      <w:r>
        <w:t xml:space="preserve">, Taliesin’s verses, and The Triads. Taliesin, possibly a bard at Urien’s court, described </w:t>
      </w:r>
      <w:r w:rsidRPr="00B35D85">
        <w:rPr>
          <w:rFonts w:cstheme="minorHAnsi"/>
        </w:rPr>
        <w:t>Urien as</w:t>
      </w:r>
      <w:r w:rsidRPr="00B35D85">
        <w:rPr>
          <w:color w:val="000000"/>
        </w:rPr>
        <w:t xml:space="preserve"> ‘protector of Rheged..the anchor of the country’</w:t>
      </w:r>
      <w:r>
        <w:rPr>
          <w:color w:val="000000"/>
        </w:rPr>
        <w:t xml:space="preserve"> and a man of</w:t>
      </w:r>
      <w:r w:rsidRPr="00B35D85">
        <w:rPr>
          <w:color w:val="000000"/>
        </w:rPr>
        <w:t xml:space="preserve"> ‘modest demeanour’.</w:t>
      </w:r>
      <w:r>
        <w:rPr>
          <w:rStyle w:val="FootnoteReference"/>
          <w:color w:val="000000"/>
        </w:rPr>
        <w:footnoteReference w:id="86"/>
      </w:r>
      <w:r>
        <w:rPr>
          <w:color w:val="000000"/>
        </w:rPr>
        <w:t xml:space="preserve"> In another verse, Taliesin vividly portrays Urien’s fearlessness on the battlefield,</w:t>
      </w:r>
      <w:r>
        <w:rPr>
          <w:color w:val="000000"/>
          <w:sz w:val="27"/>
          <w:szCs w:val="27"/>
        </w:rPr>
        <w:br/>
      </w:r>
    </w:p>
    <w:p w14:paraId="4C9F3E25" w14:textId="77777777" w:rsidR="00A30952" w:rsidRPr="004B6924" w:rsidRDefault="00A30952" w:rsidP="00A30952">
      <w:pPr>
        <w:ind w:left="567" w:right="567"/>
        <w:rPr>
          <w:rFonts w:cstheme="minorHAnsi"/>
        </w:rPr>
      </w:pPr>
      <w:r w:rsidRPr="00B35D85">
        <w:rPr>
          <w:rFonts w:cstheme="minorHAnsi"/>
        </w:rPr>
        <w:t>If there is a cry on the hill,</w:t>
      </w:r>
      <w:r w:rsidRPr="00B35D85">
        <w:rPr>
          <w:rFonts w:cstheme="minorHAnsi"/>
        </w:rPr>
        <w:br/>
        <w:t>Is it not Urien that terrifies?</w:t>
      </w:r>
      <w:r w:rsidRPr="00B35D85">
        <w:rPr>
          <w:rFonts w:cstheme="minorHAnsi"/>
        </w:rPr>
        <w:br/>
        <w:t>If there is a cry in the valley,</w:t>
      </w:r>
      <w:r w:rsidRPr="00B35D85">
        <w:rPr>
          <w:rFonts w:cstheme="minorHAnsi"/>
        </w:rPr>
        <w:br/>
        <w:t>Is it not Urien that pierces?</w:t>
      </w:r>
      <w:r w:rsidRPr="00B35D85">
        <w:rPr>
          <w:rFonts w:cstheme="minorHAnsi"/>
        </w:rPr>
        <w:br/>
        <w:t>If there is a cry in the mountain,</w:t>
      </w:r>
      <w:r w:rsidRPr="00B35D85">
        <w:rPr>
          <w:rFonts w:cstheme="minorHAnsi"/>
        </w:rPr>
        <w:br/>
        <w:t>Is it not Urien that conquers?</w:t>
      </w:r>
      <w:r>
        <w:rPr>
          <w:rStyle w:val="FootnoteReference"/>
          <w:rFonts w:cstheme="minorHAnsi"/>
        </w:rPr>
        <w:footnoteReference w:id="87"/>
      </w:r>
    </w:p>
    <w:p w14:paraId="141FE1FE" w14:textId="77777777" w:rsidR="00A30952" w:rsidRDefault="00A30952" w:rsidP="00A30952">
      <w:r>
        <w:t>Urien’s reputation as a great leader, brave in battle and considerate in statesmanship, does evoke images of a king like Arthur and it is possible Urien could have been a template for the legendary Arthur. However, Urien’s story seems more entwined with Celtic mythology than with Arthurian legend.</w:t>
      </w:r>
    </w:p>
    <w:p w14:paraId="262D8ADE" w14:textId="77777777" w:rsidR="00A30952" w:rsidRDefault="00A30952" w:rsidP="00A30952">
      <w:r w:rsidRPr="00602EC7">
        <w:t>A</w:t>
      </w:r>
      <w:r>
        <w:t>ssociation with the ancestors and/or dieties is a feature of sacred mountains (</w:t>
      </w:r>
      <w:r w:rsidRPr="009038BC">
        <w:rPr>
          <w:b/>
          <w:bCs/>
        </w:rPr>
        <w:t>Bernbaum</w:t>
      </w:r>
      <w:r>
        <w:t>, 2006) and Blencathra’s story does suggest an association with Urien (ancestor) and Afallach (diety). A strange woman was said to have been seen continually washing clothes by the river, dogs would howl when they saw her and local people were afraid of her – when Urien came by the river and saw the woman, he was not afraid and he had sex with her, after which she revealed that she was destined to wash clothes there until she became pregnant by a Christian man.</w:t>
      </w:r>
      <w:r>
        <w:rPr>
          <w:rStyle w:val="FootnoteReference"/>
        </w:rPr>
        <w:footnoteReference w:id="88"/>
      </w:r>
      <w:r>
        <w:t xml:space="preserve"> The  woman is said to have been Modron, daughter of Afallach, ruler of the Celtic underworld, which is sometimes referred to as Avalon/Land of Apples</w:t>
      </w:r>
      <w:r>
        <w:rPr>
          <w:rStyle w:val="FootnoteReference"/>
        </w:rPr>
        <w:footnoteReference w:id="89"/>
      </w:r>
      <w:r>
        <w:t xml:space="preserve"> the result of her union with Urien was the birth of a son, </w:t>
      </w:r>
      <w:r>
        <w:lastRenderedPageBreak/>
        <w:t>Owain and daughter, Morfudd.</w:t>
      </w:r>
      <w:r>
        <w:rPr>
          <w:rStyle w:val="FootnoteReference"/>
        </w:rPr>
        <w:footnoteReference w:id="90"/>
      </w:r>
      <w:r>
        <w:t xml:space="preserve"> </w:t>
      </w:r>
      <w:r w:rsidRPr="00E0438D">
        <w:rPr>
          <w:i/>
          <w:iCs/>
        </w:rPr>
        <w:t xml:space="preserve">Trioedd ynys Prydein </w:t>
      </w:r>
      <w:r>
        <w:t>number 70, mentions Modron was blessed with the ‘womb-burden’ of having twins, ‘</w:t>
      </w:r>
      <w:r w:rsidRPr="00E0438D">
        <w:t xml:space="preserve">Owain son of Urien and Morfudd daughter of Urien </w:t>
      </w:r>
      <w:r>
        <w:t>…..</w:t>
      </w:r>
      <w:r w:rsidRPr="00E0438D">
        <w:t xml:space="preserve"> by Modron daughter of Afallach their mother.</w:t>
      </w:r>
      <w:r>
        <w:t>’</w:t>
      </w:r>
      <w:r>
        <w:rPr>
          <w:rStyle w:val="FootnoteReference"/>
        </w:rPr>
        <w:footnoteReference w:id="91"/>
      </w:r>
      <w:r>
        <w:t xml:space="preserve"> Whilst Urien and his children were real people, Modron and Afallach are characters from mythology and, as such, there is no one single location to which they seem to belong.</w:t>
      </w:r>
      <w:r>
        <w:rPr>
          <w:rStyle w:val="FootnoteReference"/>
        </w:rPr>
        <w:footnoteReference w:id="92"/>
      </w:r>
      <w:r>
        <w:t xml:space="preserve"> As Urien was the ruler of Rheged, it is not  unreasonable to locate this story in Cumbria, especially as there is a village at the foot of Skiddaw-Little-Man (adjacent to Blencathra) that is called Applethwaite</w:t>
      </w:r>
      <w:r>
        <w:rPr>
          <w:rStyle w:val="FootnoteReference"/>
        </w:rPr>
        <w:footnoteReference w:id="93"/>
      </w:r>
      <w:r>
        <w:t xml:space="preserve"> and apples are commonly associated with the Celtic underworld.</w:t>
      </w:r>
      <w:r>
        <w:rPr>
          <w:rStyle w:val="FootnoteReference"/>
        </w:rPr>
        <w:footnoteReference w:id="94"/>
      </w:r>
      <w:r>
        <w:t xml:space="preserve"> Perhaps these names are clues to the mythic status of Blencathra and the historical link with Urien. </w:t>
      </w:r>
    </w:p>
    <w:p w14:paraId="3C3525F7" w14:textId="77777777" w:rsidR="00A30952" w:rsidRDefault="00A30952" w:rsidP="00A30952">
      <w:pPr>
        <w:rPr>
          <w:lang w:val="en-US"/>
        </w:rPr>
      </w:pPr>
      <w:r w:rsidRPr="007717A5">
        <w:rPr>
          <w:b/>
          <w:bCs/>
          <w:lang w:val="en-US"/>
        </w:rPr>
        <w:t>Lane’</w:t>
      </w:r>
      <w:r>
        <w:rPr>
          <w:b/>
          <w:bCs/>
          <w:lang w:val="en-US"/>
        </w:rPr>
        <w:t xml:space="preserve">s fourth axiom </w:t>
      </w:r>
      <w:r>
        <w:rPr>
          <w:lang w:val="en-US"/>
        </w:rPr>
        <w:t>for identifying sacred landscape is that the ‘impulse of sacred place is both centripetal and centrifugal, local and universal’</w:t>
      </w:r>
      <w:r>
        <w:rPr>
          <w:rStyle w:val="FootnoteReference"/>
          <w:lang w:val="en-US"/>
        </w:rPr>
        <w:footnoteReference w:id="95"/>
      </w:r>
      <w:r>
        <w:rPr>
          <w:lang w:val="en-US"/>
        </w:rPr>
        <w:t xml:space="preserve">. Urien was a local hero, fierce protector of his people’s land – land which encompassed Blencathra. </w:t>
      </w:r>
      <w:r>
        <w:t>Although Urien was a mortal being, perhaps the story of his relationship with Modron was a way of endorsing or elevating his power and status – after all, being worthy of mating with a deity such as Modron indicates he has some superhuman or divinely potent power himself. Modron was Afallach’s daughter and Afallach was rumoured reside in Blencathra in his otherworld. These intertwined stories suggest that the sacred power of Blencathra could perhaps be seen as radiating outwards from the local to the universal and fulfilling Lane’s criteria for sacred landscape.</w:t>
      </w:r>
    </w:p>
    <w:p w14:paraId="7D250AB8" w14:textId="77777777" w:rsidR="00A30952" w:rsidRPr="008F0D77" w:rsidRDefault="00A30952" w:rsidP="00A30952">
      <w:pPr>
        <w:rPr>
          <w:lang w:val="en-US"/>
        </w:rPr>
      </w:pPr>
    </w:p>
    <w:p w14:paraId="11193E44" w14:textId="77777777" w:rsidR="00A30952" w:rsidRDefault="00A30952" w:rsidP="00A30952">
      <w:pPr>
        <w:pStyle w:val="Heading4"/>
      </w:pPr>
      <w:bookmarkStart w:id="15" w:name="_Hlk121813878"/>
      <w:bookmarkEnd w:id="15"/>
      <w:r>
        <w:t>Extraordinary experiences</w:t>
      </w:r>
    </w:p>
    <w:p w14:paraId="10766F47" w14:textId="77777777" w:rsidR="00A30952" w:rsidRDefault="00A30952" w:rsidP="00A30952">
      <w:r>
        <w:t xml:space="preserve">Alongside stories of myth, Blencathra is also the site of extraordinary experiences. </w:t>
      </w:r>
      <w:r w:rsidRPr="00550FCE">
        <w:rPr>
          <w:b/>
          <w:bCs/>
        </w:rPr>
        <w:t>Jack Hunter</w:t>
      </w:r>
      <w:r>
        <w:t xml:space="preserve"> suggests keeping the definition of extraordinary experiences as open as possible as all ‘anomalous phenomena are inseparable components of a much deeper mystery.’</w:t>
      </w:r>
      <w:r>
        <w:rPr>
          <w:rStyle w:val="FootnoteReference"/>
        </w:rPr>
        <w:footnoteReference w:id="96"/>
      </w:r>
      <w:r>
        <w:t xml:space="preserve"> Some of the phenomena witnessed on and around Blencathra’s slopes might fall into the category of what Hunter refers to as ‘High Strangeness’.</w:t>
      </w:r>
      <w:r>
        <w:rPr>
          <w:rStyle w:val="FootnoteReference"/>
        </w:rPr>
        <w:footnoteReference w:id="97"/>
      </w:r>
      <w:r w:rsidRPr="004C45AB">
        <w:rPr>
          <w:b/>
          <w:bCs/>
        </w:rPr>
        <w:t xml:space="preserve"> Bernbaum</w:t>
      </w:r>
      <w:r>
        <w:t xml:space="preserve"> believed that one of the features that marks mountains out as sacred  is that they are places of supernatural power.</w:t>
      </w:r>
      <w:r>
        <w:rPr>
          <w:rStyle w:val="FootnoteReference"/>
        </w:rPr>
        <w:footnoteReference w:id="98"/>
      </w:r>
      <w:r>
        <w:t xml:space="preserve"> While there are several stories of high </w:t>
      </w:r>
      <w:r>
        <w:lastRenderedPageBreak/>
        <w:t>strangeness, this section will just focus on the story of the ghostly army that appeared in the 1700’s.</w:t>
      </w:r>
      <w:r>
        <w:rPr>
          <w:rStyle w:val="FootnoteReference"/>
        </w:rPr>
        <w:footnoteReference w:id="99"/>
      </w:r>
      <w:r>
        <w:t xml:space="preserve"> </w:t>
      </w:r>
    </w:p>
    <w:p w14:paraId="2A97AF97" w14:textId="77777777" w:rsidR="00A30952" w:rsidRDefault="00A30952" w:rsidP="00A30952">
      <w:r>
        <w:t xml:space="preserve">This extraordinary experience was reported to have taken place on Blencathra’s Souther Fell on a Midsummer Eve. A comprehensive description of the event is set out </w:t>
      </w:r>
      <w:r w:rsidRPr="00143F58">
        <w:rPr>
          <w:b/>
          <w:bCs/>
        </w:rPr>
        <w:t>in Clarke’s Survey of the Lakes, 1787</w:t>
      </w:r>
      <w:r>
        <w:t>. Clarke spoke with Mr Lancaster of Blake-hills who, along with other locals, had witnessed the ghostly procession. He described the ghostly sight:</w:t>
      </w:r>
    </w:p>
    <w:p w14:paraId="1838018F" w14:textId="77777777" w:rsidR="00A30952" w:rsidRPr="005149F8" w:rsidRDefault="00A30952" w:rsidP="00A30952">
      <w:pPr>
        <w:ind w:left="567" w:right="567"/>
        <w:jc w:val="both"/>
      </w:pPr>
      <w:r>
        <w:t xml:space="preserve">These visionary horsemen….moved in regular troops along the side of the Fell, till they came opposite </w:t>
      </w:r>
      <w:r>
        <w:rPr>
          <w:i/>
          <w:iCs/>
        </w:rPr>
        <w:t>Blake-hills</w:t>
      </w:r>
      <w:r>
        <w:t xml:space="preserve">, when they went over the mountain…Frequently the last, or last but one, in a troop….would leave his place, gallop to the front, and the take the same pace with the rest …The spectators saw, </w:t>
      </w:r>
      <w:r>
        <w:rPr>
          <w:i/>
          <w:iCs/>
        </w:rPr>
        <w:t xml:space="preserve">all alike, </w:t>
      </w:r>
      <w:r>
        <w:t xml:space="preserve">the same changes ..Nor was this wonderful phaenomenon seen at Blake-hills only, it was seen by </w:t>
      </w:r>
      <w:r>
        <w:rPr>
          <w:i/>
          <w:iCs/>
        </w:rPr>
        <w:t xml:space="preserve">every </w:t>
      </w:r>
      <w:r>
        <w:t xml:space="preserve"> person at </w:t>
      </w:r>
      <w:r>
        <w:rPr>
          <w:i/>
          <w:iCs/>
        </w:rPr>
        <w:t>every cottage</w:t>
      </w:r>
      <w:r>
        <w:t xml:space="preserve"> within the distance of a mile…the appearance must have last at least two hours and an half</w:t>
      </w:r>
      <w:r>
        <w:rPr>
          <w:rStyle w:val="FootnoteReference"/>
        </w:rPr>
        <w:footnoteReference w:id="100"/>
      </w:r>
    </w:p>
    <w:p w14:paraId="37A08C4A" w14:textId="77777777" w:rsidR="00A30952" w:rsidRPr="00C03CE2" w:rsidRDefault="00A30952" w:rsidP="00A30952">
      <w:r>
        <w:t>This ghostly procession evokes the mythology of Arthur and his men holed up inside Blencathra, adding to the overall sense of deeper mysteries surrounding the mountain (</w:t>
      </w:r>
      <w:r w:rsidRPr="004714AD">
        <w:rPr>
          <w:b/>
          <w:bCs/>
        </w:rPr>
        <w:t>Hunter,2019)</w:t>
      </w:r>
      <w:r>
        <w:t xml:space="preserve"> and supporting </w:t>
      </w:r>
      <w:r w:rsidRPr="0087184F">
        <w:rPr>
          <w:b/>
          <w:bCs/>
        </w:rPr>
        <w:t>Lane</w:t>
      </w:r>
      <w:r>
        <w:t xml:space="preserve">’s suggestion that sacred space is ordinary space made </w:t>
      </w:r>
      <w:r w:rsidRPr="004714AD">
        <w:t>extraordinary</w:t>
      </w:r>
      <w:r w:rsidRPr="004714AD">
        <w:rPr>
          <w:rStyle w:val="FootnoteReference"/>
        </w:rPr>
        <w:footnoteReference w:id="101"/>
      </w:r>
      <w:r w:rsidRPr="004714AD">
        <w:t xml:space="preserve">. Another of </w:t>
      </w:r>
      <w:r w:rsidRPr="004714AD">
        <w:rPr>
          <w:b/>
          <w:bCs/>
        </w:rPr>
        <w:t>Lane’s</w:t>
      </w:r>
      <w:r w:rsidRPr="004714AD">
        <w:t xml:space="preserve"> axioms is that sacred space reveals itself, rather than being chosen by humanity.</w:t>
      </w:r>
      <w:r w:rsidRPr="004714AD">
        <w:rPr>
          <w:rStyle w:val="FootnoteReference"/>
        </w:rPr>
        <w:footnoteReference w:id="102"/>
      </w:r>
      <w:r w:rsidRPr="004714AD">
        <w:t xml:space="preserve"> People have tried to replicate the experiences of Mr Lancaster by keeping a watch out on Souther Fell on Midsummer Eve, but this has not resulted in further sighting of the ghost army, suggesting Blencathra </w:t>
      </w:r>
      <w:r w:rsidRPr="00C03CE2">
        <w:rPr>
          <w:i/>
          <w:iCs/>
        </w:rPr>
        <w:t xml:space="preserve">chooses </w:t>
      </w:r>
      <w:r w:rsidRPr="004714AD">
        <w:t xml:space="preserve">when to reveal her mysteries. </w:t>
      </w:r>
    </w:p>
    <w:p w14:paraId="2532B559" w14:textId="77777777" w:rsidR="00A30952" w:rsidRDefault="00A30952" w:rsidP="00A30952"/>
    <w:p w14:paraId="2563CF3B" w14:textId="77777777" w:rsidR="00A30952" w:rsidRDefault="00A30952" w:rsidP="00A30952">
      <w:pPr>
        <w:pStyle w:val="Heading4"/>
      </w:pPr>
      <w:r>
        <w:t>Final thoughts</w:t>
      </w:r>
    </w:p>
    <w:p w14:paraId="0111D13F" w14:textId="77777777" w:rsidR="00A30952" w:rsidRPr="00C03CE2" w:rsidRDefault="00A30952" w:rsidP="00A30952">
      <w:r>
        <w:t>Needs short conclusion</w:t>
      </w:r>
    </w:p>
    <w:p w14:paraId="239503F4" w14:textId="77777777" w:rsidR="00A30952" w:rsidRDefault="00A30952" w:rsidP="00A30952">
      <w:r>
        <w:t>Durkheim -  stories made it sacred</w:t>
      </w:r>
    </w:p>
    <w:p w14:paraId="26C5659C" w14:textId="77777777" w:rsidR="00A30952" w:rsidRDefault="00A30952" w:rsidP="00A30952">
      <w:r>
        <w:t xml:space="preserve">Eliade – hierophany </w:t>
      </w:r>
    </w:p>
    <w:p w14:paraId="7DD7D8F6" w14:textId="77777777" w:rsidR="00A30952" w:rsidRDefault="00A30952" w:rsidP="00A30952">
      <w:r>
        <w:t>Hunter – much deeper mystery</w:t>
      </w:r>
    </w:p>
    <w:p w14:paraId="5D374EC3" w14:textId="77777777" w:rsidR="00CA67D5" w:rsidRDefault="00CA67D5" w:rsidP="00CA67D5">
      <w:pPr>
        <w:pStyle w:val="Heading2"/>
        <w:rPr>
          <w:lang w:val="en-US"/>
        </w:rPr>
      </w:pPr>
      <w:r>
        <w:rPr>
          <w:lang w:val="en-US"/>
        </w:rPr>
        <w:t>Contested Landscape</w:t>
      </w:r>
    </w:p>
    <w:p w14:paraId="2DD5756B" w14:textId="77777777" w:rsidR="00CA67D5" w:rsidRDefault="00CA67D5" w:rsidP="00CA67D5">
      <w:r>
        <w:t>One Boxing Day when I was about 17, my friends and I decided to climb Skiddaw. It was bright and clear but freezing cold on the fells, so cold that our camera battery froze. No other walkers were on the mountain. It was idyllic. But, about three quarters of the way up, the silence was pierced by the sharp sounds of the Blencathra Hunt</w:t>
      </w:r>
      <w:r>
        <w:rPr>
          <w:rStyle w:val="FootnoteReference"/>
        </w:rPr>
        <w:footnoteReference w:id="103"/>
      </w:r>
      <w:r>
        <w:t xml:space="preserve"> who were on the chase just beyond Skiddaw. It was so distressing thinking about the hounds chasing some poor animal to its death, a horror that seemed </w:t>
      </w:r>
      <w:r>
        <w:lastRenderedPageBreak/>
        <w:t xml:space="preserve">amplified in contrast the serene peace that had preceded the shrills calls of the hounds and horns. We abandoned our climb and headed home. </w:t>
      </w:r>
    </w:p>
    <w:p w14:paraId="710656E5" w14:textId="77777777" w:rsidR="00CA67D5" w:rsidRDefault="00CA67D5" w:rsidP="00CA67D5">
      <w:r w:rsidRPr="005918C3">
        <w:rPr>
          <w:b/>
          <w:bCs/>
        </w:rPr>
        <w:t>Aristotle</w:t>
      </w:r>
      <w:r>
        <w:t xml:space="preserve"> described place as ‘being at rest in that to which it belongs primarily’.</w:t>
      </w:r>
      <w:r>
        <w:rPr>
          <w:rStyle w:val="FootnoteReference"/>
        </w:rPr>
        <w:footnoteReference w:id="104"/>
      </w:r>
      <w:r>
        <w:t xml:space="preserve"> If harmony exists in places where things that belong together meet, then conversely, there must disharmony when things which do not belong together meet in a place. For me and my fellwalking friends, the joy of an empty mountain was not in harmony with the thought of animals suffering.  The Hunt has been a feature of the locality for more than 200 years</w:t>
      </w:r>
      <w:r>
        <w:rPr>
          <w:rStyle w:val="FootnoteReference"/>
        </w:rPr>
        <w:footnoteReference w:id="105"/>
      </w:r>
      <w:r>
        <w:t xml:space="preserve"> but, in recent decades, it has become a focus of contention between the hunters, many of whom are locals, and the hunt saboteurs, many of whom are from out of town.</w:t>
      </w:r>
      <w:r>
        <w:rPr>
          <w:rStyle w:val="FootnoteReference"/>
        </w:rPr>
        <w:footnoteReference w:id="106"/>
      </w:r>
      <w:r>
        <w:t xml:space="preserve"> </w:t>
      </w:r>
    </w:p>
    <w:p w14:paraId="1B4084E8" w14:textId="77777777" w:rsidR="00CA67D5" w:rsidRDefault="00CA67D5" w:rsidP="00CA67D5">
      <w:r>
        <w:t>Another recent conflict focused on the mountain itself. Owner of Blencathra, the 8</w:t>
      </w:r>
      <w:r w:rsidRPr="00707013">
        <w:rPr>
          <w:vertAlign w:val="superscript"/>
        </w:rPr>
        <w:t>th</w:t>
      </w:r>
      <w:r>
        <w:t xml:space="preserve"> Earl of Lonsdale, put the mountain up for sale in 2014 in order to settle a hefty inheritance tax bill.</w:t>
      </w:r>
      <w:r>
        <w:rPr>
          <w:rStyle w:val="FootnoteReference"/>
        </w:rPr>
        <w:footnoteReference w:id="107"/>
      </w:r>
      <w:r>
        <w:t xml:space="preserve"> Lovers of the mountain, concerned about the mountain’s future, established ‘Friends of Blencathra’ – a group whose aim was to raise enough money to purchase the mountain. The conflict became quite bitter with accusations of mismanagement of funds and counteraccusations of death-threats being made against the organisers of the fundraiser. In the end, Friends of Blencathra did not raise enough to purchase the mountain and the Earl of Lonsdale decided against the sale anyway. </w:t>
      </w:r>
    </w:p>
    <w:p w14:paraId="1537798C" w14:textId="77777777" w:rsidR="00CA67D5" w:rsidRDefault="00CA67D5" w:rsidP="00CA67D5">
      <w:r>
        <w:t xml:space="preserve">From disputes about the name of the mountain to contests about the right to hunt on the slopes and the right to own it, Blencathra has certainly been at the centre of dispute over recent years. Referring to Stonehenge, </w:t>
      </w:r>
      <w:r w:rsidRPr="00707013">
        <w:rPr>
          <w:b/>
          <w:bCs/>
        </w:rPr>
        <w:t>Barbara Bender</w:t>
      </w:r>
      <w:r>
        <w:t xml:space="preserve"> spoke of conflict over landscape and noted </w:t>
      </w:r>
    </w:p>
    <w:p w14:paraId="0C3EAB5B" w14:textId="77777777" w:rsidR="00CA67D5" w:rsidRDefault="00CA67D5" w:rsidP="00CA67D5">
      <w:pPr>
        <w:ind w:left="567" w:right="567"/>
        <w:jc w:val="both"/>
      </w:pPr>
      <w:r>
        <w:t>those with economic and political power and the necessary cultural capital have attempted, physically and aesthetically, to appropriate the landscape, but…….these appropriations have been contested by those engaging with the land in quite different ways.</w:t>
      </w:r>
      <w:r>
        <w:rPr>
          <w:rStyle w:val="FootnoteReference"/>
        </w:rPr>
        <w:footnoteReference w:id="108"/>
      </w:r>
    </w:p>
    <w:p w14:paraId="5B407E13" w14:textId="77777777" w:rsidR="00CA67D5" w:rsidRDefault="00CA67D5" w:rsidP="00CA67D5">
      <w:r>
        <w:t>Both the hunt disputes and sale of Blencathra can be viewed in terms of economic and political powerplay as they both centre on the power of landowners contesting rights with non-landowners who engage with the land differently. But these contests might also be a way of the mountain asserting herself.</w:t>
      </w:r>
      <w:r w:rsidRPr="009C59F4">
        <w:rPr>
          <w:b/>
          <w:bCs/>
        </w:rPr>
        <w:t xml:space="preserve"> Aristotle</w:t>
      </w:r>
      <w:r>
        <w:t xml:space="preserve"> wrote about how elemental forces draw things to their proper place</w:t>
      </w:r>
      <w:r>
        <w:rPr>
          <w:rStyle w:val="FootnoteReference"/>
        </w:rPr>
        <w:footnoteReference w:id="109"/>
      </w:r>
      <w:r>
        <w:t xml:space="preserve"> and perhaps these contests are a way of Blencathra rejecting what does not ‘belong’ to her space. The fight against the sale of Blencathra was started by Cumbrian woman, Debbie Cosgrove, and it is hard not to notice the parallel between Cosgrove the female protector of Blencathra and the nine sisters of Avalon who are said to care for Arthur in the Otherworld, which may or may not be inside Blencathra. </w:t>
      </w:r>
    </w:p>
    <w:p w14:paraId="54318BB3" w14:textId="77777777" w:rsidR="00CA67D5" w:rsidRPr="00DB4D1E" w:rsidRDefault="00CA67D5" w:rsidP="00CA67D5">
      <w:pPr>
        <w:rPr>
          <w:lang w:val="en-US"/>
        </w:rPr>
      </w:pPr>
      <w:r>
        <w:rPr>
          <w:lang w:val="en-US"/>
        </w:rPr>
        <w:t xml:space="preserve"> </w:t>
      </w:r>
    </w:p>
    <w:bookmarkEnd w:id="9"/>
    <w:p w14:paraId="558CA70E" w14:textId="77777777" w:rsidR="00D367B9" w:rsidRPr="000C6C08" w:rsidRDefault="00D367B9" w:rsidP="00D367B9">
      <w:pPr>
        <w:pStyle w:val="Heading1"/>
        <w:rPr>
          <w:sz w:val="24"/>
          <w:szCs w:val="24"/>
          <w:lang w:val="en-US"/>
        </w:rPr>
      </w:pPr>
      <w:r>
        <w:rPr>
          <w:lang w:val="en-US"/>
        </w:rPr>
        <w:lastRenderedPageBreak/>
        <w:t>Final Thoughts/</w:t>
      </w:r>
      <w:r>
        <w:rPr>
          <w:sz w:val="24"/>
          <w:szCs w:val="24"/>
          <w:lang w:val="en-US"/>
        </w:rPr>
        <w:t>Conclusion 350</w:t>
      </w:r>
    </w:p>
    <w:p w14:paraId="65669589" w14:textId="77777777" w:rsidR="00984D9F" w:rsidRDefault="00984D9F"/>
    <w:sectPr w:rsidR="00984D9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05004" w14:textId="77777777" w:rsidR="00017A94" w:rsidRDefault="00017A94" w:rsidP="00D367B9">
      <w:pPr>
        <w:spacing w:after="0" w:line="240" w:lineRule="auto"/>
      </w:pPr>
      <w:r>
        <w:separator/>
      </w:r>
    </w:p>
  </w:endnote>
  <w:endnote w:type="continuationSeparator" w:id="0">
    <w:p w14:paraId="41B93806" w14:textId="77777777" w:rsidR="00017A94" w:rsidRDefault="00017A94" w:rsidP="00D36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122450"/>
      <w:docPartObj>
        <w:docPartGallery w:val="Page Numbers (Bottom of Page)"/>
        <w:docPartUnique/>
      </w:docPartObj>
    </w:sdtPr>
    <w:sdtEndPr>
      <w:rPr>
        <w:noProof/>
      </w:rPr>
    </w:sdtEndPr>
    <w:sdtContent>
      <w:p w14:paraId="1723D2BC" w14:textId="578648BC" w:rsidR="00623953" w:rsidRDefault="006239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AC9B90" w14:textId="77777777" w:rsidR="00623953" w:rsidRDefault="00623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0AC23" w14:textId="77777777" w:rsidR="00017A94" w:rsidRDefault="00017A94" w:rsidP="00D367B9">
      <w:pPr>
        <w:spacing w:after="0" w:line="240" w:lineRule="auto"/>
      </w:pPr>
      <w:r>
        <w:separator/>
      </w:r>
    </w:p>
  </w:footnote>
  <w:footnote w:type="continuationSeparator" w:id="0">
    <w:p w14:paraId="3901B5F2" w14:textId="77777777" w:rsidR="00017A94" w:rsidRDefault="00017A94" w:rsidP="00D367B9">
      <w:pPr>
        <w:spacing w:after="0" w:line="240" w:lineRule="auto"/>
      </w:pPr>
      <w:r>
        <w:continuationSeparator/>
      </w:r>
    </w:p>
  </w:footnote>
  <w:footnote w:id="1">
    <w:p w14:paraId="23B31FD4" w14:textId="77777777" w:rsidR="00D367B9" w:rsidRPr="003C23C9" w:rsidRDefault="00D367B9" w:rsidP="00D367B9">
      <w:pPr>
        <w:pStyle w:val="FootnoteText"/>
      </w:pPr>
      <w:r>
        <w:rPr>
          <w:rStyle w:val="FootnoteReference"/>
        </w:rPr>
        <w:footnoteRef/>
      </w:r>
      <w:r>
        <w:t xml:space="preserve"> </w:t>
      </w:r>
      <w:r w:rsidRPr="003C23C9">
        <w:t>As Blencathra is made up of several fells, the grid references can vary slightly, depending on which fell top is being referenced. Blencathra mountain is in the Northern Lakes in Keswick, Cumbria. Ordnance Survey grid references are generally given as NY 323277 (</w:t>
      </w:r>
      <w:hyperlink r:id="rId1" w:history="1">
        <w:r w:rsidRPr="003C23C9">
          <w:rPr>
            <w:rStyle w:val="Hyperlink"/>
          </w:rPr>
          <w:t>www.themountainguide.co.uk</w:t>
        </w:r>
      </w:hyperlink>
      <w:r w:rsidRPr="003C23C9">
        <w:rPr>
          <w:rStyle w:val="Hyperlink"/>
        </w:rPr>
        <w:t xml:space="preserve">  for example).</w:t>
      </w:r>
    </w:p>
  </w:footnote>
  <w:footnote w:id="2">
    <w:p w14:paraId="29D8C2B0" w14:textId="77777777" w:rsidR="00D367B9" w:rsidRPr="003C23C9" w:rsidRDefault="00D367B9" w:rsidP="00D367B9">
      <w:pPr>
        <w:spacing w:line="240" w:lineRule="auto"/>
        <w:rPr>
          <w:rFonts w:cstheme="minorHAnsi"/>
          <w:sz w:val="20"/>
          <w:szCs w:val="20"/>
        </w:rPr>
      </w:pPr>
      <w:r w:rsidRPr="003C23C9">
        <w:rPr>
          <w:rStyle w:val="FootnoteReference"/>
          <w:sz w:val="20"/>
          <w:szCs w:val="20"/>
        </w:rPr>
        <w:footnoteRef/>
      </w:r>
      <w:r w:rsidRPr="003C23C9">
        <w:rPr>
          <w:sz w:val="20"/>
          <w:szCs w:val="20"/>
        </w:rPr>
        <w:t xml:space="preserve"> </w:t>
      </w:r>
      <w:r w:rsidRPr="003C23C9">
        <w:rPr>
          <w:rFonts w:cstheme="minorHAnsi"/>
          <w:sz w:val="20"/>
          <w:szCs w:val="20"/>
        </w:rPr>
        <w:t>Terry Abraham</w:t>
      </w:r>
      <w:r w:rsidRPr="003C23C9">
        <w:rPr>
          <w:rFonts w:cstheme="minorHAnsi"/>
          <w:i/>
          <w:iCs/>
          <w:sz w:val="20"/>
          <w:szCs w:val="20"/>
        </w:rPr>
        <w:t xml:space="preserve">, Life of a Mountain: A Year on Blencathra, </w:t>
      </w:r>
      <w:r w:rsidRPr="003C23C9">
        <w:rPr>
          <w:rFonts w:cstheme="minorHAnsi"/>
          <w:sz w:val="20"/>
          <w:szCs w:val="20"/>
        </w:rPr>
        <w:t>BBC, 2017.</w:t>
      </w:r>
    </w:p>
  </w:footnote>
  <w:footnote w:id="3">
    <w:p w14:paraId="7BB19607" w14:textId="77777777" w:rsidR="00D367B9" w:rsidRPr="003C23C9" w:rsidRDefault="00D367B9" w:rsidP="00D367B9">
      <w:pPr>
        <w:pStyle w:val="FootnoteText"/>
      </w:pPr>
      <w:r w:rsidRPr="003C23C9">
        <w:rPr>
          <w:rStyle w:val="FootnoteReference"/>
        </w:rPr>
        <w:footnoteRef/>
      </w:r>
      <w:r w:rsidRPr="003C23C9">
        <w:t xml:space="preserve"> For example, ‘Friends of Blencathra’, Facebook Group, which was set up as a support group to protect the mountain from sale.</w:t>
      </w:r>
    </w:p>
  </w:footnote>
  <w:footnote w:id="4">
    <w:p w14:paraId="66D57E4E" w14:textId="77777777" w:rsidR="00D367B9" w:rsidRPr="003C23C9" w:rsidRDefault="00D367B9" w:rsidP="00D367B9">
      <w:pPr>
        <w:rPr>
          <w:rFonts w:cstheme="minorHAnsi"/>
          <w:sz w:val="20"/>
          <w:szCs w:val="20"/>
        </w:rPr>
      </w:pPr>
      <w:r w:rsidRPr="003C23C9">
        <w:rPr>
          <w:rStyle w:val="FootnoteReference"/>
          <w:sz w:val="20"/>
          <w:szCs w:val="20"/>
        </w:rPr>
        <w:footnoteRef/>
      </w:r>
      <w:r w:rsidRPr="003C23C9">
        <w:rPr>
          <w:sz w:val="20"/>
          <w:szCs w:val="20"/>
        </w:rPr>
        <w:t xml:space="preserve"> </w:t>
      </w:r>
      <w:bookmarkStart w:id="1" w:name="_Hlk119234046"/>
      <w:r w:rsidRPr="003C23C9">
        <w:rPr>
          <w:sz w:val="20"/>
          <w:szCs w:val="20"/>
        </w:rPr>
        <w:t xml:space="preserve">Emile </w:t>
      </w:r>
      <w:r w:rsidRPr="003C23C9">
        <w:rPr>
          <w:rFonts w:cstheme="minorHAnsi"/>
          <w:sz w:val="20"/>
          <w:szCs w:val="20"/>
        </w:rPr>
        <w:t xml:space="preserve">Durkheim, </w:t>
      </w:r>
      <w:r w:rsidRPr="003C23C9">
        <w:rPr>
          <w:rFonts w:cstheme="minorHAnsi"/>
          <w:i/>
          <w:iCs/>
          <w:sz w:val="20"/>
          <w:szCs w:val="20"/>
        </w:rPr>
        <w:t xml:space="preserve">The Elementary Forms of Religious Life, A new translation by Carol Cosman, </w:t>
      </w:r>
      <w:r w:rsidRPr="003C23C9">
        <w:rPr>
          <w:rFonts w:cstheme="minorHAnsi"/>
          <w:sz w:val="20"/>
          <w:szCs w:val="20"/>
        </w:rPr>
        <w:t>Oxford University Press, New York, (2001)</w:t>
      </w:r>
      <w:bookmarkEnd w:id="1"/>
    </w:p>
  </w:footnote>
  <w:footnote w:id="5">
    <w:p w14:paraId="275B689A" w14:textId="77777777" w:rsidR="00D367B9" w:rsidRPr="003C23C9" w:rsidRDefault="00D367B9" w:rsidP="00D367B9">
      <w:pPr>
        <w:rPr>
          <w:rFonts w:cstheme="minorHAnsi"/>
          <w:sz w:val="20"/>
          <w:szCs w:val="20"/>
        </w:rPr>
      </w:pPr>
      <w:r w:rsidRPr="003C23C9">
        <w:rPr>
          <w:rStyle w:val="FootnoteReference"/>
          <w:sz w:val="20"/>
          <w:szCs w:val="20"/>
        </w:rPr>
        <w:footnoteRef/>
      </w:r>
      <w:r w:rsidRPr="003C23C9">
        <w:rPr>
          <w:sz w:val="20"/>
          <w:szCs w:val="20"/>
        </w:rPr>
        <w:t xml:space="preserve"> </w:t>
      </w:r>
      <w:r w:rsidRPr="003C23C9">
        <w:rPr>
          <w:rFonts w:cstheme="minorHAnsi"/>
          <w:sz w:val="20"/>
          <w:szCs w:val="20"/>
        </w:rPr>
        <w:t xml:space="preserve">Mircea Eliade, </w:t>
      </w:r>
      <w:r w:rsidRPr="003C23C9">
        <w:rPr>
          <w:rFonts w:cstheme="minorHAnsi"/>
          <w:i/>
          <w:iCs/>
          <w:sz w:val="20"/>
          <w:szCs w:val="20"/>
        </w:rPr>
        <w:t xml:space="preserve">The Sacred and the Profane, The Nature of Religion, </w:t>
      </w:r>
      <w:r w:rsidRPr="003C23C9">
        <w:rPr>
          <w:rFonts w:cstheme="minorHAnsi"/>
          <w:sz w:val="20"/>
          <w:szCs w:val="20"/>
        </w:rPr>
        <w:t>Harcourt, New York, (1987 [1957])</w:t>
      </w:r>
    </w:p>
  </w:footnote>
  <w:footnote w:id="6">
    <w:p w14:paraId="78C8B5DB" w14:textId="77777777" w:rsidR="00D367B9" w:rsidRPr="003C23C9" w:rsidRDefault="00D367B9" w:rsidP="00D367B9">
      <w:pPr>
        <w:rPr>
          <w:sz w:val="20"/>
          <w:szCs w:val="20"/>
        </w:rPr>
      </w:pPr>
      <w:r w:rsidRPr="003C23C9">
        <w:rPr>
          <w:rStyle w:val="FootnoteReference"/>
          <w:sz w:val="20"/>
          <w:szCs w:val="20"/>
        </w:rPr>
        <w:footnoteRef/>
      </w:r>
      <w:r w:rsidRPr="003C23C9">
        <w:rPr>
          <w:sz w:val="20"/>
          <w:szCs w:val="20"/>
        </w:rPr>
        <w:t xml:space="preserve">Belden C. Lane, </w:t>
      </w:r>
      <w:r w:rsidRPr="003C23C9">
        <w:rPr>
          <w:i/>
          <w:iCs/>
          <w:sz w:val="20"/>
          <w:szCs w:val="20"/>
        </w:rPr>
        <w:t>Landscapes of the Sacred: Geography and Narrative in American Spirituality</w:t>
      </w:r>
      <w:r w:rsidRPr="003C23C9">
        <w:rPr>
          <w:sz w:val="20"/>
          <w:szCs w:val="20"/>
        </w:rPr>
        <w:t>, Expanded ed. (Baltimore, Md. ;: Johns Hopkins University Press, 2002)</w:t>
      </w:r>
    </w:p>
    <w:p w14:paraId="46F59190" w14:textId="77777777" w:rsidR="00D367B9" w:rsidRPr="003C23C9" w:rsidRDefault="00D367B9" w:rsidP="00D367B9">
      <w:pPr>
        <w:pStyle w:val="FootnoteText"/>
      </w:pPr>
    </w:p>
  </w:footnote>
  <w:footnote w:id="7">
    <w:p w14:paraId="55DE16A8" w14:textId="77777777" w:rsidR="00D367B9" w:rsidRDefault="00D367B9" w:rsidP="00D367B9">
      <w:r w:rsidRPr="003C23C9">
        <w:rPr>
          <w:rStyle w:val="FootnoteReference"/>
          <w:sz w:val="20"/>
          <w:szCs w:val="20"/>
        </w:rPr>
        <w:footnoteRef/>
      </w:r>
      <w:r w:rsidRPr="003C23C9">
        <w:rPr>
          <w:sz w:val="20"/>
          <w:szCs w:val="20"/>
        </w:rPr>
        <w:t xml:space="preserve"> </w:t>
      </w:r>
      <w:r w:rsidRPr="003C23C9">
        <w:rPr>
          <w:rFonts w:eastAsia="Times New Roman" w:cstheme="minorHAnsi"/>
          <w:sz w:val="20"/>
          <w:szCs w:val="20"/>
          <w:lang w:eastAsia="en-GB"/>
        </w:rPr>
        <w:t xml:space="preserve">Bernbaum, Edwin. “Sacred Mountains: Themes and Teachings.” </w:t>
      </w:r>
      <w:r w:rsidRPr="003C23C9">
        <w:rPr>
          <w:rFonts w:eastAsia="Times New Roman" w:cstheme="minorHAnsi"/>
          <w:i/>
          <w:iCs/>
          <w:sz w:val="20"/>
          <w:szCs w:val="20"/>
          <w:lang w:eastAsia="en-GB"/>
        </w:rPr>
        <w:t>Mountain Research and Development</w:t>
      </w:r>
      <w:r w:rsidRPr="003C23C9">
        <w:rPr>
          <w:rFonts w:eastAsia="Times New Roman" w:cstheme="minorHAnsi"/>
          <w:sz w:val="20"/>
          <w:szCs w:val="20"/>
          <w:lang w:eastAsia="en-GB"/>
        </w:rPr>
        <w:t xml:space="preserve">, vol. 26, no. 4, 2006, pp. 306. </w:t>
      </w:r>
      <w:r w:rsidRPr="003C23C9">
        <w:rPr>
          <w:rFonts w:eastAsia="Times New Roman" w:cstheme="minorHAnsi"/>
          <w:i/>
          <w:iCs/>
          <w:sz w:val="20"/>
          <w:szCs w:val="20"/>
          <w:lang w:eastAsia="en-GB"/>
        </w:rPr>
        <w:t>JSTOR</w:t>
      </w:r>
      <w:r w:rsidRPr="003C23C9">
        <w:rPr>
          <w:rFonts w:eastAsia="Times New Roman" w:cstheme="minorHAnsi"/>
          <w:sz w:val="20"/>
          <w:szCs w:val="20"/>
          <w:lang w:eastAsia="en-GB"/>
        </w:rPr>
        <w:t xml:space="preserve">, </w:t>
      </w:r>
      <w:hyperlink r:id="rId2" w:history="1">
        <w:r w:rsidRPr="003C23C9">
          <w:rPr>
            <w:rStyle w:val="Hyperlink"/>
            <w:rFonts w:eastAsia="Times New Roman" w:cstheme="minorHAnsi"/>
            <w:sz w:val="20"/>
            <w:szCs w:val="20"/>
            <w:lang w:eastAsia="en-GB"/>
          </w:rPr>
          <w:t>http://www.jstor.org/stable/4540647</w:t>
        </w:r>
      </w:hyperlink>
      <w:r w:rsidRPr="003C23C9">
        <w:rPr>
          <w:rFonts w:eastAsia="Times New Roman" w:cstheme="minorHAnsi"/>
          <w:sz w:val="20"/>
          <w:szCs w:val="20"/>
          <w:lang w:eastAsia="en-GB"/>
        </w:rPr>
        <w:t>.</w:t>
      </w:r>
    </w:p>
  </w:footnote>
  <w:footnote w:id="8">
    <w:p w14:paraId="44180099" w14:textId="77777777" w:rsidR="00D367B9" w:rsidRPr="003C23C9" w:rsidRDefault="00D367B9" w:rsidP="00D367B9">
      <w:pPr>
        <w:rPr>
          <w:sz w:val="20"/>
          <w:szCs w:val="20"/>
        </w:rPr>
      </w:pPr>
      <w:r w:rsidRPr="003C23C9">
        <w:rPr>
          <w:rStyle w:val="FootnoteReference"/>
          <w:sz w:val="20"/>
          <w:szCs w:val="20"/>
        </w:rPr>
        <w:footnoteRef/>
      </w:r>
      <w:r w:rsidRPr="003C23C9">
        <w:rPr>
          <w:sz w:val="20"/>
          <w:szCs w:val="20"/>
        </w:rPr>
        <w:t xml:space="preserve"> </w:t>
      </w:r>
      <w:bookmarkStart w:id="2" w:name="_Hlk123020830"/>
      <w:r w:rsidRPr="003C23C9">
        <w:rPr>
          <w:sz w:val="20"/>
          <w:szCs w:val="20"/>
        </w:rPr>
        <w:t xml:space="preserve">Christopher Y. Tilley, </w:t>
      </w:r>
      <w:r w:rsidRPr="003C23C9">
        <w:rPr>
          <w:i/>
          <w:iCs/>
          <w:sz w:val="20"/>
          <w:szCs w:val="20"/>
        </w:rPr>
        <w:t>A Phenomenology of Landscape : Places, Paths and Monuments</w:t>
      </w:r>
      <w:r w:rsidRPr="003C23C9">
        <w:rPr>
          <w:sz w:val="20"/>
          <w:szCs w:val="20"/>
        </w:rPr>
        <w:t xml:space="preserve"> (Oxford: Berg, 1994)</w:t>
      </w:r>
      <w:bookmarkEnd w:id="2"/>
    </w:p>
  </w:footnote>
  <w:footnote w:id="9">
    <w:p w14:paraId="67DBD80E" w14:textId="77777777" w:rsidR="00D367B9" w:rsidRDefault="00D367B9" w:rsidP="00D367B9">
      <w:r w:rsidRPr="003C23C9">
        <w:rPr>
          <w:rStyle w:val="FootnoteReference"/>
          <w:sz w:val="20"/>
          <w:szCs w:val="20"/>
        </w:rPr>
        <w:footnoteRef/>
      </w:r>
      <w:r w:rsidRPr="003C23C9">
        <w:rPr>
          <w:sz w:val="20"/>
          <w:szCs w:val="20"/>
        </w:rPr>
        <w:t xml:space="preserve"> Barbara Bender, Stonehenge : Making Space (Oxford: Berg, 1998)</w:t>
      </w:r>
    </w:p>
  </w:footnote>
  <w:footnote w:id="10">
    <w:p w14:paraId="77FC6F31" w14:textId="77777777" w:rsidR="00D367B9" w:rsidRPr="001D6DC6" w:rsidRDefault="00D367B9" w:rsidP="00D367B9">
      <w:pPr>
        <w:rPr>
          <w:sz w:val="20"/>
          <w:szCs w:val="20"/>
        </w:rPr>
      </w:pPr>
      <w:r>
        <w:rPr>
          <w:rStyle w:val="FootnoteReference"/>
        </w:rPr>
        <w:footnoteRef/>
      </w:r>
      <w:r>
        <w:t xml:space="preserve"> </w:t>
      </w:r>
      <w:r w:rsidRPr="001D6DC6">
        <w:rPr>
          <w:sz w:val="20"/>
          <w:szCs w:val="20"/>
        </w:rPr>
        <w:t xml:space="preserve">Christopher Y. Tilley, </w:t>
      </w:r>
      <w:r w:rsidRPr="001D6DC6">
        <w:rPr>
          <w:i/>
          <w:iCs/>
          <w:sz w:val="20"/>
          <w:szCs w:val="20"/>
        </w:rPr>
        <w:t>A Phenomenology of Landscape: Places, Paths and Monuments</w:t>
      </w:r>
      <w:r w:rsidRPr="001D6DC6">
        <w:rPr>
          <w:sz w:val="20"/>
          <w:szCs w:val="20"/>
        </w:rPr>
        <w:t xml:space="preserve"> (Oxford: Berg, 1994), p. 15</w:t>
      </w:r>
    </w:p>
  </w:footnote>
  <w:footnote w:id="11">
    <w:p w14:paraId="2A42B066" w14:textId="77777777" w:rsidR="00D367B9" w:rsidRPr="002A5CB0" w:rsidRDefault="00D367B9" w:rsidP="00D367B9">
      <w:pPr>
        <w:pStyle w:val="FootnoteText"/>
        <w:rPr>
          <w:lang w:val="en-US"/>
        </w:rPr>
      </w:pPr>
      <w:r>
        <w:rPr>
          <w:rStyle w:val="FootnoteReference"/>
        </w:rPr>
        <w:footnoteRef/>
      </w:r>
      <w:r>
        <w:t xml:space="preserve"> </w:t>
      </w:r>
      <w:r>
        <w:rPr>
          <w:lang w:val="en-US"/>
        </w:rPr>
        <w:t xml:space="preserve">Castlerigg Stone Circle lies across the valley from Blencathra- the mountain is clearly visible from the stone circle by looking northeast from the circle. </w:t>
      </w:r>
    </w:p>
  </w:footnote>
  <w:footnote w:id="12">
    <w:p w14:paraId="5B760DCC" w14:textId="626B08A5" w:rsidR="00D367B9" w:rsidRPr="001D6DC6" w:rsidRDefault="00D367B9" w:rsidP="00D367B9">
      <w:pPr>
        <w:pStyle w:val="FootnoteText"/>
      </w:pPr>
      <w:r w:rsidRPr="001D6DC6">
        <w:rPr>
          <w:rStyle w:val="FootnoteReference"/>
        </w:rPr>
        <w:footnoteRef/>
      </w:r>
      <w:r w:rsidRPr="001D6DC6">
        <w:t xml:space="preserve"> I have </w:t>
      </w:r>
      <w:r w:rsidR="003C23C9">
        <w:t xml:space="preserve">pulmonary </w:t>
      </w:r>
      <w:r w:rsidRPr="001D6DC6">
        <w:t>sarcoidosis which m</w:t>
      </w:r>
      <w:r w:rsidR="003C23C9">
        <w:t>eans w</w:t>
      </w:r>
      <w:r w:rsidRPr="001D6DC6">
        <w:t>hen I get chest infection, it tends to quickly deteriorate and take weeks to recover</w:t>
      </w:r>
      <w:r w:rsidR="003C23C9">
        <w:t xml:space="preserve"> from.</w:t>
      </w:r>
      <w:r w:rsidR="001246C8" w:rsidRPr="001246C8">
        <w:t xml:space="preserve"> </w:t>
      </w:r>
      <w:r w:rsidR="001246C8" w:rsidRPr="001D6DC6">
        <w:t>As a moderate-hard climb in good weather, in winter extra care needs to be taken on the slate slopes, so, even once I had started to recover, fieldwork on the mountain was just not possible because my breathing problems would have put me at risk of needing mountain rescue.</w:t>
      </w:r>
    </w:p>
  </w:footnote>
  <w:footnote w:id="13">
    <w:p w14:paraId="18A3531D" w14:textId="77777777" w:rsidR="00D367B9" w:rsidRDefault="00D367B9" w:rsidP="00D367B9">
      <w:pPr>
        <w:pStyle w:val="FootnoteText"/>
      </w:pPr>
      <w:r>
        <w:rPr>
          <w:rStyle w:val="FootnoteReference"/>
        </w:rPr>
        <w:footnoteRef/>
      </w:r>
      <w:r>
        <w:t xml:space="preserve"> Maurice Merleau-Ponty, </w:t>
      </w:r>
      <w:r w:rsidRPr="00240F1D">
        <w:rPr>
          <w:i/>
          <w:iCs/>
        </w:rPr>
        <w:t>Phenomenology of Perception</w:t>
      </w:r>
      <w:r>
        <w:t xml:space="preserve"> (London: Routledge &amp; Kegan Paul, 1978), p.vii.</w:t>
      </w:r>
    </w:p>
  </w:footnote>
  <w:footnote w:id="14">
    <w:p w14:paraId="4CB83449" w14:textId="77777777" w:rsidR="00D367B9" w:rsidRPr="001D6F3D" w:rsidRDefault="00D367B9" w:rsidP="00D367B9">
      <w:pPr>
        <w:pStyle w:val="FootnoteText"/>
        <w:rPr>
          <w:lang w:val="en-US"/>
        </w:rPr>
      </w:pPr>
      <w:r>
        <w:rPr>
          <w:rStyle w:val="FootnoteReference"/>
        </w:rPr>
        <w:footnoteRef/>
      </w:r>
      <w:r>
        <w:t xml:space="preserve"> </w:t>
      </w:r>
      <w:r w:rsidRPr="001D6DC6">
        <w:t xml:space="preserve">Christopher Y. Tilley, </w:t>
      </w:r>
      <w:r w:rsidRPr="001D6DC6">
        <w:rPr>
          <w:i/>
          <w:iCs/>
        </w:rPr>
        <w:t>A Phenomenology of Landscape: Places, Paths and Monuments</w:t>
      </w:r>
      <w:r w:rsidRPr="001D6DC6">
        <w:t xml:space="preserve"> (Oxford: Berg, 1994), p. 1</w:t>
      </w:r>
      <w:r>
        <w:t>6.</w:t>
      </w:r>
    </w:p>
  </w:footnote>
  <w:footnote w:id="15">
    <w:p w14:paraId="51BAA990" w14:textId="77777777" w:rsidR="00D367B9" w:rsidRPr="001D6DC6" w:rsidRDefault="00D367B9" w:rsidP="00D367B9">
      <w:pPr>
        <w:rPr>
          <w:sz w:val="20"/>
          <w:szCs w:val="20"/>
        </w:rPr>
      </w:pPr>
      <w:r w:rsidRPr="001D6DC6">
        <w:rPr>
          <w:rStyle w:val="FootnoteReference"/>
        </w:rPr>
        <w:footnoteRef/>
      </w:r>
      <w:r w:rsidRPr="001D6DC6">
        <w:rPr>
          <w:sz w:val="20"/>
          <w:szCs w:val="20"/>
        </w:rPr>
        <w:t xml:space="preserve"> Maurice Merleau-Ponty, </w:t>
      </w:r>
      <w:r w:rsidRPr="001D6DC6">
        <w:rPr>
          <w:i/>
          <w:iCs/>
          <w:sz w:val="20"/>
          <w:szCs w:val="20"/>
        </w:rPr>
        <w:t>Phenomenology of Perception</w:t>
      </w:r>
      <w:r w:rsidRPr="001D6DC6">
        <w:rPr>
          <w:sz w:val="20"/>
          <w:szCs w:val="20"/>
        </w:rPr>
        <w:t xml:space="preserve"> (London: Routledge &amp; Kegan Paul, 1978), p.viii.</w:t>
      </w:r>
    </w:p>
  </w:footnote>
  <w:footnote w:id="16">
    <w:p w14:paraId="0107D960" w14:textId="77777777" w:rsidR="00D367B9" w:rsidRDefault="00D367B9" w:rsidP="00D367B9">
      <w:pPr>
        <w:pStyle w:val="FootnoteText"/>
      </w:pPr>
      <w:r>
        <w:rPr>
          <w:rStyle w:val="FootnoteReference"/>
        </w:rPr>
        <w:footnoteRef/>
      </w:r>
      <w:r>
        <w:t xml:space="preserve"> </w:t>
      </w:r>
      <w:r w:rsidRPr="001D6DC6">
        <w:t xml:space="preserve">Maurice Merleau-Ponty, </w:t>
      </w:r>
      <w:r w:rsidRPr="001D6DC6">
        <w:rPr>
          <w:i/>
          <w:iCs/>
        </w:rPr>
        <w:t>Phenomenology of Perception</w:t>
      </w:r>
      <w:r w:rsidRPr="001D6DC6">
        <w:t xml:space="preserve"> (London: Routledge &amp; Kegan Paul, 1978)</w:t>
      </w:r>
      <w:r>
        <w:t>, p. 70.</w:t>
      </w:r>
    </w:p>
  </w:footnote>
  <w:footnote w:id="17">
    <w:p w14:paraId="252AE61C" w14:textId="77777777" w:rsidR="00D367B9" w:rsidRDefault="00D367B9" w:rsidP="00D367B9">
      <w:pPr>
        <w:pStyle w:val="FootnoteText"/>
      </w:pPr>
      <w:r>
        <w:rPr>
          <w:rStyle w:val="FootnoteReference"/>
        </w:rPr>
        <w:footnoteRef/>
      </w:r>
      <w:r>
        <w:t xml:space="preserve"> E. Husserl, </w:t>
      </w:r>
      <w:r w:rsidRPr="00DF1527">
        <w:rPr>
          <w:i/>
          <w:iCs/>
        </w:rPr>
        <w:t>The Crisis of European Sciences and Transcendental Phenomenology</w:t>
      </w:r>
      <w:r>
        <w:t xml:space="preserve"> (Evanston: Northwestern University Press, 1970).</w:t>
      </w:r>
    </w:p>
  </w:footnote>
  <w:footnote w:id="18">
    <w:p w14:paraId="79CA766B" w14:textId="77777777" w:rsidR="00D367B9" w:rsidRDefault="00D367B9" w:rsidP="00D367B9">
      <w:pPr>
        <w:pStyle w:val="FootnoteText"/>
      </w:pPr>
      <w:r>
        <w:rPr>
          <w:rStyle w:val="FootnoteReference"/>
        </w:rPr>
        <w:footnoteRef/>
      </w:r>
      <w:r>
        <w:t xml:space="preserve"> E. Husserl, </w:t>
      </w:r>
      <w:r w:rsidRPr="00DF1527">
        <w:rPr>
          <w:i/>
          <w:iCs/>
        </w:rPr>
        <w:t>The Crisis of European Sciences and Transcendental Phenomenology</w:t>
      </w:r>
      <w:r>
        <w:t xml:space="preserve"> (Evanston: Northwestern University Press, 1970).</w:t>
      </w:r>
    </w:p>
  </w:footnote>
  <w:footnote w:id="19">
    <w:p w14:paraId="672DDFB1" w14:textId="77777777" w:rsidR="00D367B9" w:rsidRPr="005A1ECF" w:rsidRDefault="00D367B9" w:rsidP="00D367B9">
      <w:pPr>
        <w:rPr>
          <w:sz w:val="20"/>
          <w:szCs w:val="20"/>
        </w:rPr>
      </w:pPr>
      <w:r>
        <w:rPr>
          <w:rStyle w:val="FootnoteReference"/>
        </w:rPr>
        <w:footnoteRef/>
      </w:r>
      <w:r>
        <w:t xml:space="preserve"> </w:t>
      </w:r>
      <w:r w:rsidRPr="005A1ECF">
        <w:rPr>
          <w:sz w:val="20"/>
          <w:szCs w:val="20"/>
        </w:rPr>
        <w:t xml:space="preserve">Darrelyn Gunzburg, and Bernadette Brady, </w:t>
      </w:r>
      <w:r w:rsidRPr="005A1ECF">
        <w:rPr>
          <w:i/>
          <w:iCs/>
          <w:sz w:val="20"/>
          <w:szCs w:val="20"/>
        </w:rPr>
        <w:t>Space, Place and Religious Landscapes: Living Mountains</w:t>
      </w:r>
      <w:r w:rsidRPr="005A1ECF">
        <w:rPr>
          <w:sz w:val="20"/>
          <w:szCs w:val="20"/>
        </w:rPr>
        <w:t>, ed. by Darrelyn Gunzburg and Bernadette Brady, First edition. (London [England: Bloomsbury Academic, 2020), p. 1.</w:t>
      </w:r>
    </w:p>
  </w:footnote>
  <w:footnote w:id="20">
    <w:p w14:paraId="65EB726C" w14:textId="77777777" w:rsidR="00D367B9" w:rsidRDefault="00D367B9" w:rsidP="00D367B9">
      <w:pPr>
        <w:jc w:val="both"/>
      </w:pPr>
      <w:r w:rsidRPr="005A1ECF">
        <w:rPr>
          <w:rStyle w:val="FootnoteReference"/>
        </w:rPr>
        <w:footnoteRef/>
      </w:r>
      <w:r w:rsidRPr="005A1ECF">
        <w:rPr>
          <w:sz w:val="20"/>
          <w:szCs w:val="20"/>
        </w:rPr>
        <w:t xml:space="preserve"> </w:t>
      </w:r>
      <w:bookmarkStart w:id="3" w:name="_Hlk104132501"/>
      <w:r w:rsidRPr="005A1ECF">
        <w:rPr>
          <w:sz w:val="20"/>
          <w:szCs w:val="20"/>
        </w:rPr>
        <w:t xml:space="preserve">Judith Bell and Stephen Waters, </w:t>
      </w:r>
      <w:r w:rsidRPr="005A1ECF">
        <w:rPr>
          <w:i/>
          <w:iCs/>
          <w:sz w:val="20"/>
          <w:szCs w:val="20"/>
        </w:rPr>
        <w:t>Doing Your Research Project : a Guide for First-Time Researchers</w:t>
      </w:r>
      <w:r w:rsidRPr="005A1ECF">
        <w:rPr>
          <w:sz w:val="20"/>
          <w:szCs w:val="20"/>
        </w:rPr>
        <w:t>, 7th edition. (London: Open University Press, McGraw-Hill Education, 2018), p. 172.</w:t>
      </w:r>
      <w:bookmarkEnd w:id="3"/>
    </w:p>
  </w:footnote>
  <w:footnote w:id="21">
    <w:p w14:paraId="1B58317F" w14:textId="6DDB4454" w:rsidR="00E37F71" w:rsidRDefault="00E37F71" w:rsidP="000D4003">
      <w:r>
        <w:rPr>
          <w:rStyle w:val="FootnoteReference"/>
        </w:rPr>
        <w:footnoteRef/>
      </w:r>
      <w:r>
        <w:t xml:space="preserve"> </w:t>
      </w:r>
      <w:r w:rsidR="000D4003" w:rsidRPr="000D4003">
        <w:rPr>
          <w:sz w:val="20"/>
          <w:szCs w:val="20"/>
        </w:rPr>
        <w:t xml:space="preserve">One of the more informative, popular sites is </w:t>
      </w:r>
      <w:hyperlink r:id="rId3" w:history="1">
        <w:r w:rsidR="000D4003" w:rsidRPr="000D4003">
          <w:rPr>
            <w:rStyle w:val="Hyperlink"/>
            <w:sz w:val="20"/>
            <w:szCs w:val="20"/>
          </w:rPr>
          <w:t>https://www.herdy.co.uk/did-ewe-know/blencathra-facts-a-wainwright-favourite/</w:t>
        </w:r>
      </w:hyperlink>
      <w:r w:rsidR="000D4003" w:rsidRPr="000D4003">
        <w:rPr>
          <w:sz w:val="20"/>
          <w:szCs w:val="20"/>
        </w:rPr>
        <w:t xml:space="preserve"> which contains information about the location, geology and history of its name, although none of the key information </w:t>
      </w:r>
      <w:r w:rsidR="000D4003">
        <w:rPr>
          <w:sz w:val="20"/>
          <w:szCs w:val="20"/>
        </w:rPr>
        <w:t>wa</w:t>
      </w:r>
      <w:r w:rsidR="000D4003" w:rsidRPr="000D4003">
        <w:rPr>
          <w:sz w:val="20"/>
          <w:szCs w:val="20"/>
        </w:rPr>
        <w:t xml:space="preserve">s referenced. </w:t>
      </w:r>
    </w:p>
  </w:footnote>
  <w:footnote w:id="22">
    <w:p w14:paraId="1491935F" w14:textId="77777777" w:rsidR="00D367B9" w:rsidRDefault="00D367B9" w:rsidP="00D367B9">
      <w:pPr>
        <w:pStyle w:val="FootnoteText"/>
      </w:pPr>
      <w:r>
        <w:rPr>
          <w:rStyle w:val="FootnoteReference"/>
        </w:rPr>
        <w:footnoteRef/>
      </w:r>
      <w:r>
        <w:t xml:space="preserve"> Judith </w:t>
      </w:r>
      <w:r w:rsidRPr="007D1E4A">
        <w:t xml:space="preserve">Bell and Stephen Waters, </w:t>
      </w:r>
      <w:r w:rsidRPr="007D1E4A">
        <w:rPr>
          <w:i/>
          <w:iCs/>
        </w:rPr>
        <w:t>Doing Your Research Project : a Guide for First-Time Researchers</w:t>
      </w:r>
      <w:r w:rsidRPr="007D1E4A">
        <w:t>, 7th edition. (London: Open University Press, McGraw-Hill Education, 2018)</w:t>
      </w:r>
      <w:r>
        <w:t>, p. 184.</w:t>
      </w:r>
    </w:p>
  </w:footnote>
  <w:footnote w:id="23">
    <w:p w14:paraId="2FCF59D6" w14:textId="77777777" w:rsidR="00D367B9" w:rsidRDefault="00D367B9" w:rsidP="00D367B9">
      <w:pPr>
        <w:pStyle w:val="FootnoteText"/>
      </w:pPr>
      <w:r>
        <w:rPr>
          <w:rStyle w:val="FootnoteReference"/>
        </w:rPr>
        <w:footnoteRef/>
      </w:r>
      <w:r>
        <w:t xml:space="preserve"> Emile </w:t>
      </w:r>
      <w:r w:rsidRPr="00C71712">
        <w:t>Durkheim</w:t>
      </w:r>
      <w:r>
        <w:t>.</w:t>
      </w:r>
      <w:r w:rsidRPr="00C71712">
        <w:t xml:space="preserve"> </w:t>
      </w:r>
      <w:r w:rsidRPr="001338CF">
        <w:rPr>
          <w:i/>
          <w:iCs/>
        </w:rPr>
        <w:t>The Elementary Forms of Religious Life, A new translation by Carol Cosman</w:t>
      </w:r>
      <w:r>
        <w:rPr>
          <w:i/>
          <w:iCs/>
        </w:rPr>
        <w:t xml:space="preserve">. </w:t>
      </w:r>
      <w:r>
        <w:t xml:space="preserve"> (New York: </w:t>
      </w:r>
      <w:r w:rsidRPr="00C71712">
        <w:t>Oxford University Press, 2001</w:t>
      </w:r>
      <w:r>
        <w:t xml:space="preserve"> [1912]</w:t>
      </w:r>
      <w:r w:rsidRPr="00C71712">
        <w:t>). This</w:t>
      </w:r>
      <w:r w:rsidRPr="00C71712">
        <w:rPr>
          <w:i/>
          <w:iCs/>
          <w:lang w:val="en-US"/>
        </w:rPr>
        <w:t xml:space="preserve"> </w:t>
      </w:r>
      <w:r w:rsidRPr="00C71712">
        <w:rPr>
          <w:lang w:val="en-US"/>
        </w:rPr>
        <w:t xml:space="preserve">will be referred to as </w:t>
      </w:r>
      <w:r w:rsidRPr="00C71712">
        <w:rPr>
          <w:i/>
          <w:iCs/>
          <w:lang w:val="en-US"/>
        </w:rPr>
        <w:t>Forms</w:t>
      </w:r>
      <w:r w:rsidRPr="00C71712">
        <w:rPr>
          <w:lang w:val="en-US"/>
        </w:rPr>
        <w:t xml:space="preserve"> from this point onwards.</w:t>
      </w:r>
    </w:p>
  </w:footnote>
  <w:footnote w:id="24">
    <w:p w14:paraId="40B634AB" w14:textId="77777777" w:rsidR="00D367B9" w:rsidRPr="00EE7341" w:rsidRDefault="00D367B9" w:rsidP="00D367B9">
      <w:pPr>
        <w:pStyle w:val="FootnoteText"/>
        <w:rPr>
          <w:color w:val="FF0000"/>
        </w:rPr>
      </w:pPr>
      <w:r>
        <w:rPr>
          <w:rStyle w:val="FootnoteReference"/>
        </w:rPr>
        <w:footnoteRef/>
      </w:r>
      <w:r>
        <w:t xml:space="preserve"> </w:t>
      </w:r>
      <w:bookmarkStart w:id="4" w:name="_Hlk119217969"/>
      <w:r w:rsidRPr="00EE7341">
        <w:rPr>
          <w:color w:val="FF0000"/>
        </w:rPr>
        <w:t xml:space="preserve">Mircea Eliade. </w:t>
      </w:r>
      <w:r w:rsidRPr="00EE7341">
        <w:rPr>
          <w:i/>
          <w:iCs/>
          <w:color w:val="FF0000"/>
        </w:rPr>
        <w:t>The Sacred and the Profane, The Nature of Religion, (</w:t>
      </w:r>
      <w:r w:rsidRPr="00EE7341">
        <w:rPr>
          <w:color w:val="FF0000"/>
        </w:rPr>
        <w:t>New York: Harcourt,1987 [1957])</w:t>
      </w:r>
      <w:bookmarkEnd w:id="4"/>
      <w:r w:rsidRPr="00EE7341">
        <w:rPr>
          <w:color w:val="FF0000"/>
        </w:rPr>
        <w:t>.</w:t>
      </w:r>
    </w:p>
  </w:footnote>
  <w:footnote w:id="25">
    <w:p w14:paraId="71E4659F" w14:textId="77777777" w:rsidR="00E80C53" w:rsidRPr="00C71712" w:rsidRDefault="00E80C53" w:rsidP="00E80C53">
      <w:pPr>
        <w:rPr>
          <w:sz w:val="20"/>
          <w:szCs w:val="20"/>
        </w:rPr>
      </w:pPr>
      <w:r w:rsidRPr="00C71712">
        <w:rPr>
          <w:rStyle w:val="FootnoteReference"/>
        </w:rPr>
        <w:footnoteRef/>
      </w:r>
      <w:r w:rsidRPr="00C71712">
        <w:rPr>
          <w:sz w:val="20"/>
          <w:szCs w:val="20"/>
        </w:rPr>
        <w:t xml:space="preserve"> Eliade, </w:t>
      </w:r>
      <w:r w:rsidRPr="00C71712">
        <w:rPr>
          <w:i/>
          <w:iCs/>
          <w:sz w:val="20"/>
          <w:szCs w:val="20"/>
        </w:rPr>
        <w:t>The Sacred and the Profane,</w:t>
      </w:r>
      <w:r w:rsidRPr="00C71712">
        <w:rPr>
          <w:sz w:val="20"/>
          <w:szCs w:val="20"/>
        </w:rPr>
        <w:t>p. 63</w:t>
      </w:r>
    </w:p>
  </w:footnote>
  <w:footnote w:id="26">
    <w:p w14:paraId="290F5A5E" w14:textId="77777777" w:rsidR="00D367B9" w:rsidRPr="00EE7341" w:rsidRDefault="00D367B9" w:rsidP="00D367B9">
      <w:pPr>
        <w:pStyle w:val="FootnoteText"/>
        <w:rPr>
          <w:color w:val="FF0000"/>
        </w:rPr>
      </w:pPr>
      <w:r w:rsidRPr="00EE7341">
        <w:rPr>
          <w:rStyle w:val="FootnoteReference"/>
          <w:color w:val="FF0000"/>
        </w:rPr>
        <w:footnoteRef/>
      </w:r>
      <w:r w:rsidRPr="00EE7341">
        <w:rPr>
          <w:color w:val="FF0000"/>
        </w:rPr>
        <w:t xml:space="preserve"> Ibid  p. 20.</w:t>
      </w:r>
    </w:p>
  </w:footnote>
  <w:footnote w:id="27">
    <w:p w14:paraId="269A1646" w14:textId="77777777" w:rsidR="00D367B9" w:rsidRPr="00C71712" w:rsidRDefault="00D367B9" w:rsidP="00D367B9">
      <w:pPr>
        <w:rPr>
          <w:sz w:val="20"/>
          <w:szCs w:val="20"/>
        </w:rPr>
      </w:pPr>
      <w:r w:rsidRPr="00EE7341">
        <w:rPr>
          <w:rStyle w:val="FootnoteReference"/>
          <w:color w:val="FF0000"/>
        </w:rPr>
        <w:footnoteRef/>
      </w:r>
      <w:r w:rsidRPr="00EE7341">
        <w:rPr>
          <w:color w:val="FF0000"/>
          <w:sz w:val="20"/>
          <w:szCs w:val="20"/>
        </w:rPr>
        <w:t xml:space="preserve"> Eliade,  </w:t>
      </w:r>
      <w:r w:rsidRPr="00EE7341">
        <w:rPr>
          <w:i/>
          <w:iCs/>
          <w:color w:val="FF0000"/>
          <w:sz w:val="20"/>
          <w:szCs w:val="20"/>
        </w:rPr>
        <w:t>The Sacred and the Profane, (</w:t>
      </w:r>
      <w:r w:rsidRPr="00EE7341">
        <w:rPr>
          <w:color w:val="FF0000"/>
          <w:sz w:val="20"/>
          <w:szCs w:val="20"/>
        </w:rPr>
        <w:t>1987 [1957]). P. 64.</w:t>
      </w:r>
    </w:p>
  </w:footnote>
  <w:footnote w:id="28">
    <w:p w14:paraId="2EBFB1F1" w14:textId="77777777" w:rsidR="00B05ADD" w:rsidRPr="00C71712" w:rsidRDefault="00B05ADD" w:rsidP="00B05ADD">
      <w:pPr>
        <w:rPr>
          <w:sz w:val="20"/>
          <w:szCs w:val="20"/>
        </w:rPr>
      </w:pPr>
      <w:r w:rsidRPr="00C71712">
        <w:rPr>
          <w:rStyle w:val="FootnoteReference"/>
        </w:rPr>
        <w:footnoteRef/>
      </w:r>
      <w:r w:rsidRPr="00C71712">
        <w:rPr>
          <w:sz w:val="20"/>
          <w:szCs w:val="20"/>
        </w:rPr>
        <w:t xml:space="preserve"> Durkheim, </w:t>
      </w:r>
      <w:r w:rsidRPr="00C71712">
        <w:rPr>
          <w:i/>
          <w:iCs/>
          <w:sz w:val="20"/>
          <w:szCs w:val="20"/>
        </w:rPr>
        <w:t xml:space="preserve">The Elementary Forms of Religious Life, </w:t>
      </w:r>
      <w:r w:rsidRPr="00C71712">
        <w:rPr>
          <w:sz w:val="20"/>
          <w:szCs w:val="20"/>
        </w:rPr>
        <w:t xml:space="preserve"> (2001), p. 175. </w:t>
      </w:r>
    </w:p>
  </w:footnote>
  <w:footnote w:id="29">
    <w:p w14:paraId="0B1A284C" w14:textId="77777777" w:rsidR="00B05ADD" w:rsidRDefault="00B05ADD" w:rsidP="00B05ADD">
      <w:pPr>
        <w:pStyle w:val="FootnoteText"/>
      </w:pPr>
      <w:r>
        <w:rPr>
          <w:rStyle w:val="FootnoteReference"/>
        </w:rPr>
        <w:footnoteRef/>
      </w:r>
      <w:r>
        <w:t xml:space="preserve">   Bender, Barbara., </w:t>
      </w:r>
      <w:r w:rsidRPr="009C4349">
        <w:rPr>
          <w:i/>
          <w:iCs/>
        </w:rPr>
        <w:t>Stonehenge : Making Space</w:t>
      </w:r>
      <w:r>
        <w:t xml:space="preserve"> (Oxford: Berg, 1998), p. 131.</w:t>
      </w:r>
    </w:p>
  </w:footnote>
  <w:footnote w:id="30">
    <w:p w14:paraId="60459CD2" w14:textId="77777777" w:rsidR="00D367B9" w:rsidRPr="00D672D0" w:rsidRDefault="00D367B9" w:rsidP="00D367B9">
      <w:pPr>
        <w:spacing w:after="0" w:line="240" w:lineRule="auto"/>
        <w:rPr>
          <w:lang w:val="en-US"/>
        </w:rPr>
      </w:pPr>
      <w:r>
        <w:rPr>
          <w:rStyle w:val="FootnoteReference"/>
        </w:rPr>
        <w:footnoteRef/>
      </w:r>
      <w:r>
        <w:t xml:space="preserve"> </w:t>
      </w:r>
      <w:r w:rsidRPr="00B61693">
        <w:rPr>
          <w:rFonts w:cstheme="minorHAnsi"/>
          <w:sz w:val="20"/>
          <w:szCs w:val="20"/>
        </w:rPr>
        <w:t xml:space="preserve">Edwards S. </w:t>
      </w:r>
      <w:r w:rsidRPr="00E77F29">
        <w:rPr>
          <w:rFonts w:eastAsia="Times New Roman" w:cstheme="minorHAnsi"/>
          <w:sz w:val="20"/>
          <w:szCs w:val="20"/>
          <w:lang w:eastAsia="en-GB"/>
        </w:rPr>
        <w:t>Casey,</w:t>
      </w:r>
      <w:r w:rsidRPr="00B61693">
        <w:rPr>
          <w:rFonts w:eastAsia="Times New Roman" w:cstheme="minorHAnsi"/>
          <w:sz w:val="20"/>
          <w:szCs w:val="20"/>
          <w:lang w:eastAsia="en-GB"/>
        </w:rPr>
        <w:t xml:space="preserve"> </w:t>
      </w:r>
      <w:r w:rsidRPr="00E77F29">
        <w:rPr>
          <w:rFonts w:eastAsia="Times New Roman" w:cstheme="minorHAnsi"/>
          <w:i/>
          <w:iCs/>
          <w:sz w:val="20"/>
          <w:szCs w:val="20"/>
          <w:lang w:eastAsia="en-GB"/>
        </w:rPr>
        <w:t>The Fate of Place: A Philosophical History</w:t>
      </w:r>
      <w:r w:rsidRPr="00E77F29">
        <w:rPr>
          <w:rFonts w:eastAsia="Times New Roman" w:cstheme="minorHAnsi"/>
          <w:sz w:val="20"/>
          <w:szCs w:val="20"/>
          <w:lang w:eastAsia="en-GB"/>
        </w:rPr>
        <w:t>, 1st ed., University of California Press, 1997, p.</w:t>
      </w:r>
      <w:r>
        <w:rPr>
          <w:rFonts w:eastAsia="Times New Roman" w:cstheme="minorHAnsi"/>
          <w:sz w:val="20"/>
          <w:szCs w:val="20"/>
          <w:lang w:eastAsia="en-GB"/>
        </w:rPr>
        <w:t xml:space="preserve"> 70.</w:t>
      </w:r>
      <w:r w:rsidRPr="00E77F29">
        <w:rPr>
          <w:rFonts w:eastAsia="Times New Roman" w:cstheme="minorHAnsi"/>
          <w:sz w:val="20"/>
          <w:szCs w:val="20"/>
          <w:lang w:eastAsia="en-GB"/>
        </w:rPr>
        <w:t xml:space="preserve">  </w:t>
      </w:r>
      <w:r w:rsidRPr="00E77F29">
        <w:rPr>
          <w:rFonts w:eastAsia="Times New Roman" w:cstheme="minorHAnsi"/>
          <w:i/>
          <w:iCs/>
          <w:sz w:val="20"/>
          <w:szCs w:val="20"/>
          <w:lang w:eastAsia="en-GB"/>
        </w:rPr>
        <w:t>JSTOR</w:t>
      </w:r>
      <w:r w:rsidRPr="00E77F29">
        <w:rPr>
          <w:rFonts w:eastAsia="Times New Roman" w:cstheme="minorHAnsi"/>
          <w:sz w:val="20"/>
          <w:szCs w:val="20"/>
          <w:lang w:eastAsia="en-GB"/>
        </w:rPr>
        <w:t>, http://www.jstor.org/stable/10.1525/j.ctt2jcbw8.7.</w:t>
      </w:r>
      <w:r w:rsidRPr="00E77F29">
        <w:rPr>
          <w:rFonts w:ascii="Times New Roman" w:eastAsia="Times New Roman" w:hAnsi="Times New Roman" w:cs="Times New Roman"/>
          <w:sz w:val="24"/>
          <w:szCs w:val="24"/>
          <w:lang w:eastAsia="en-GB"/>
        </w:rPr>
        <w:t xml:space="preserve"> </w:t>
      </w:r>
    </w:p>
  </w:footnote>
  <w:footnote w:id="31">
    <w:p w14:paraId="6F951C3D" w14:textId="77777777" w:rsidR="00D367B9" w:rsidRPr="002431BC" w:rsidRDefault="00D367B9" w:rsidP="00D367B9">
      <w:pPr>
        <w:pStyle w:val="FootnoteText"/>
        <w:rPr>
          <w:lang w:val="en-US"/>
        </w:rPr>
      </w:pPr>
      <w:r>
        <w:rPr>
          <w:rStyle w:val="FootnoteReference"/>
        </w:rPr>
        <w:footnoteRef/>
      </w:r>
      <w:r>
        <w:t xml:space="preserve"> </w:t>
      </w:r>
      <w:hyperlink r:id="rId4" w:history="1">
        <w:r>
          <w:rPr>
            <w:rStyle w:val="Hyperlink"/>
          </w:rPr>
          <w:t>The Internet Classics Archive | Physics by Aristotle (mit.edu)</w:t>
        </w:r>
      </w:hyperlink>
      <w:r>
        <w:t xml:space="preserve"> Book 2, 1</w:t>
      </w:r>
    </w:p>
  </w:footnote>
  <w:footnote w:id="32">
    <w:p w14:paraId="46694772" w14:textId="77777777" w:rsidR="00D367B9" w:rsidRPr="00547E3F" w:rsidRDefault="00D367B9" w:rsidP="00D367B9">
      <w:pPr>
        <w:pStyle w:val="FootnoteText"/>
        <w:rPr>
          <w:lang w:val="en-US"/>
        </w:rPr>
      </w:pPr>
      <w:r>
        <w:rPr>
          <w:rStyle w:val="FootnoteReference"/>
        </w:rPr>
        <w:footnoteRef/>
      </w:r>
      <w:r>
        <w:t xml:space="preserve"> </w:t>
      </w:r>
      <w:bookmarkStart w:id="6" w:name="_Hlk124601974"/>
      <w:r w:rsidRPr="00B61693">
        <w:rPr>
          <w:rFonts w:cstheme="minorHAnsi"/>
        </w:rPr>
        <w:t xml:space="preserve">Edwards S. </w:t>
      </w:r>
      <w:r w:rsidRPr="00E77F29">
        <w:rPr>
          <w:rFonts w:eastAsia="Times New Roman" w:cstheme="minorHAnsi"/>
          <w:lang w:eastAsia="en-GB"/>
        </w:rPr>
        <w:t>Casey,</w:t>
      </w:r>
      <w:r w:rsidRPr="00B61693">
        <w:rPr>
          <w:rFonts w:eastAsia="Times New Roman" w:cstheme="minorHAnsi"/>
          <w:lang w:eastAsia="en-GB"/>
        </w:rPr>
        <w:t xml:space="preserve"> </w:t>
      </w:r>
      <w:r w:rsidRPr="00E77F29">
        <w:rPr>
          <w:rFonts w:eastAsia="Times New Roman" w:cstheme="minorHAnsi"/>
          <w:i/>
          <w:iCs/>
          <w:lang w:eastAsia="en-GB"/>
        </w:rPr>
        <w:t>The Fate of Place: A Philosophical History</w:t>
      </w:r>
      <w:r w:rsidRPr="00E77F29">
        <w:rPr>
          <w:rFonts w:eastAsia="Times New Roman" w:cstheme="minorHAnsi"/>
          <w:lang w:eastAsia="en-GB"/>
        </w:rPr>
        <w:t>, 1st ed., University of California Press, 1997, p</w:t>
      </w:r>
      <w:r>
        <w:rPr>
          <w:rFonts w:eastAsia="Times New Roman" w:cstheme="minorHAnsi"/>
          <w:lang w:eastAsia="en-GB"/>
        </w:rPr>
        <w:t xml:space="preserve">. 58. </w:t>
      </w:r>
      <w:r w:rsidRPr="00E77F29">
        <w:rPr>
          <w:rFonts w:eastAsia="Times New Roman" w:cstheme="minorHAnsi"/>
          <w:lang w:eastAsia="en-GB"/>
        </w:rPr>
        <w:t xml:space="preserve"> </w:t>
      </w:r>
      <w:r w:rsidRPr="00E77F29">
        <w:rPr>
          <w:rFonts w:eastAsia="Times New Roman" w:cstheme="minorHAnsi"/>
          <w:i/>
          <w:iCs/>
          <w:lang w:eastAsia="en-GB"/>
        </w:rPr>
        <w:t>JSTOR</w:t>
      </w:r>
      <w:r w:rsidRPr="00E77F29">
        <w:rPr>
          <w:rFonts w:eastAsia="Times New Roman" w:cstheme="minorHAnsi"/>
          <w:lang w:eastAsia="en-GB"/>
        </w:rPr>
        <w:t>, http://www.jstor.org/stable/10.1525/j.ctt2jcbw8.7.</w:t>
      </w:r>
      <w:bookmarkEnd w:id="6"/>
    </w:p>
  </w:footnote>
  <w:footnote w:id="33">
    <w:p w14:paraId="788C8D3C" w14:textId="77777777" w:rsidR="00D367B9" w:rsidRDefault="00D367B9" w:rsidP="00D367B9">
      <w:pPr>
        <w:pStyle w:val="FootnoteText"/>
      </w:pPr>
      <w:r>
        <w:rPr>
          <w:rStyle w:val="FootnoteReference"/>
        </w:rPr>
        <w:footnoteRef/>
      </w:r>
      <w:r>
        <w:t xml:space="preserve"> Belden C.  Lane,  </w:t>
      </w:r>
      <w:r w:rsidRPr="00A22F6E">
        <w:rPr>
          <w:i/>
          <w:iCs/>
        </w:rPr>
        <w:t>Landscapes of the Sacred : Geography and Narrative in American Spirituality</w:t>
      </w:r>
      <w:r>
        <w:t>, (Baltimore, Md.: Johns Hopkins University Press, 2002), p. 19.</w:t>
      </w:r>
    </w:p>
  </w:footnote>
  <w:footnote w:id="34">
    <w:p w14:paraId="43131EF3" w14:textId="77777777" w:rsidR="00D367B9" w:rsidRDefault="00D367B9" w:rsidP="00D367B9">
      <w:r>
        <w:rPr>
          <w:rStyle w:val="FootnoteReference"/>
        </w:rPr>
        <w:footnoteRef/>
      </w:r>
      <w:r>
        <w:t xml:space="preserve"> </w:t>
      </w:r>
      <w:bookmarkStart w:id="7" w:name="_Hlk124596053"/>
      <w:r w:rsidRPr="00B63DDD">
        <w:rPr>
          <w:sz w:val="20"/>
          <w:szCs w:val="20"/>
        </w:rPr>
        <w:t xml:space="preserve">Edwin </w:t>
      </w:r>
      <w:r w:rsidRPr="00B63DDD">
        <w:rPr>
          <w:rFonts w:ascii="Calibri" w:eastAsia="Times New Roman" w:hAnsi="Calibri" w:cs="Calibri"/>
          <w:sz w:val="20"/>
          <w:szCs w:val="20"/>
          <w:lang w:eastAsia="en-GB"/>
        </w:rPr>
        <w:t xml:space="preserve">Bernbaum, </w:t>
      </w:r>
      <w:r w:rsidRPr="00B63DDD">
        <w:rPr>
          <w:rFonts w:ascii="Calibri" w:eastAsia="Times New Roman" w:hAnsi="Calibri" w:cs="Calibri"/>
          <w:i/>
          <w:iCs/>
          <w:sz w:val="20"/>
          <w:szCs w:val="20"/>
          <w:lang w:eastAsia="en-GB"/>
        </w:rPr>
        <w:t>Sacred Mountains: Themes and Teachings</w:t>
      </w:r>
      <w:r w:rsidRPr="00B63DDD">
        <w:rPr>
          <w:rFonts w:ascii="Calibri" w:eastAsia="Times New Roman" w:hAnsi="Calibri" w:cs="Calibri"/>
          <w:sz w:val="20"/>
          <w:szCs w:val="20"/>
          <w:lang w:eastAsia="en-GB"/>
        </w:rPr>
        <w:t>.</w:t>
      </w:r>
      <w:r>
        <w:rPr>
          <w:rFonts w:ascii="Calibri" w:eastAsia="Times New Roman" w:hAnsi="Calibri" w:cs="Calibri"/>
          <w:sz w:val="20"/>
          <w:szCs w:val="20"/>
          <w:lang w:eastAsia="en-GB"/>
        </w:rPr>
        <w:t xml:space="preserve"> </w:t>
      </w:r>
      <w:r w:rsidRPr="00B63DDD">
        <w:rPr>
          <w:rFonts w:ascii="Calibri" w:eastAsia="Times New Roman" w:hAnsi="Calibri" w:cs="Calibri"/>
          <w:i/>
          <w:iCs/>
          <w:sz w:val="20"/>
          <w:szCs w:val="20"/>
          <w:lang w:eastAsia="en-GB"/>
        </w:rPr>
        <w:t>Mountain Research and Development</w:t>
      </w:r>
      <w:r w:rsidRPr="00B63DDD">
        <w:rPr>
          <w:rFonts w:ascii="Calibri" w:eastAsia="Times New Roman" w:hAnsi="Calibri" w:cs="Calibri"/>
          <w:sz w:val="20"/>
          <w:szCs w:val="20"/>
          <w:lang w:eastAsia="en-GB"/>
        </w:rPr>
        <w:t xml:space="preserve">, vol. 26, no. 4, 2006, pp. 304–09. </w:t>
      </w:r>
      <w:r w:rsidRPr="00B63DDD">
        <w:rPr>
          <w:rFonts w:ascii="Calibri" w:eastAsia="Times New Roman" w:hAnsi="Calibri" w:cs="Calibri"/>
          <w:i/>
          <w:iCs/>
          <w:sz w:val="20"/>
          <w:szCs w:val="20"/>
          <w:lang w:eastAsia="en-GB"/>
        </w:rPr>
        <w:t>JSTOR</w:t>
      </w:r>
      <w:r w:rsidRPr="00B63DDD">
        <w:rPr>
          <w:rFonts w:ascii="Calibri" w:eastAsia="Times New Roman" w:hAnsi="Calibri" w:cs="Calibri"/>
          <w:sz w:val="20"/>
          <w:szCs w:val="20"/>
          <w:lang w:eastAsia="en-GB"/>
        </w:rPr>
        <w:t>, http://www.jstor.org/stable/4540647</w:t>
      </w:r>
      <w:bookmarkEnd w:id="7"/>
      <w:r w:rsidRPr="00B63DDD">
        <w:rPr>
          <w:rFonts w:ascii="Calibri" w:eastAsia="Times New Roman" w:hAnsi="Calibri" w:cs="Calibri"/>
          <w:sz w:val="20"/>
          <w:szCs w:val="20"/>
          <w:lang w:eastAsia="en-GB"/>
        </w:rPr>
        <w:t>.</w:t>
      </w:r>
    </w:p>
  </w:footnote>
  <w:footnote w:id="35">
    <w:p w14:paraId="221014F9" w14:textId="69D4B62C" w:rsidR="004E741F" w:rsidRDefault="004E741F">
      <w:pPr>
        <w:pStyle w:val="FootnoteText"/>
      </w:pPr>
      <w:r>
        <w:rPr>
          <w:rStyle w:val="FootnoteReference"/>
        </w:rPr>
        <w:footnoteRef/>
      </w:r>
      <w:r>
        <w:t xml:space="preserve"> </w:t>
      </w:r>
      <w:r w:rsidRPr="00612A34">
        <w:t>Paul Devereux &amp; Wozencroft, Jon. (2014</w:t>
      </w:r>
      <w:r w:rsidRPr="00612A34">
        <w:rPr>
          <w:i/>
          <w:iCs/>
        </w:rPr>
        <w:t>). Stone Age Eyes and Ears: A Visual and Acoustic Pilot Study of Carn Menyn and Environs, Preseli, Wales</w:t>
      </w:r>
      <w:r w:rsidRPr="00612A34">
        <w:t>. Time and Mind. 7. P. 53. 10.1080/1751696X.2013.860278.</w:t>
      </w:r>
    </w:p>
  </w:footnote>
  <w:footnote w:id="36">
    <w:p w14:paraId="7240B4B6" w14:textId="77777777" w:rsidR="00D367B9" w:rsidRDefault="00D367B9" w:rsidP="00D367B9">
      <w:pPr>
        <w:pStyle w:val="FootnoteText"/>
      </w:pPr>
      <w:r>
        <w:rPr>
          <w:rStyle w:val="FootnoteReference"/>
        </w:rPr>
        <w:footnoteRef/>
      </w:r>
      <w:r>
        <w:t xml:space="preserve"> </w:t>
      </w:r>
      <w:r>
        <w:rPr>
          <w:rFonts w:ascii="Calibri" w:hAnsi="Calibri" w:cs="Calibri"/>
          <w:bCs/>
        </w:rPr>
        <w:t>For example, Bernbaum suggested that personal inspiration, renewal and transformation can be found on sacred mountains.</w:t>
      </w:r>
      <w:bookmarkStart w:id="8" w:name="_Hlk123891402"/>
      <w:r w:rsidRPr="00117C60">
        <w:rPr>
          <w:rFonts w:eastAsia="Times New Roman" w:cstheme="minorHAnsi"/>
          <w:lang w:eastAsia="en-GB"/>
        </w:rPr>
        <w:t xml:space="preserve"> </w:t>
      </w:r>
      <w:r w:rsidRPr="00201F3F">
        <w:rPr>
          <w:rFonts w:eastAsia="Times New Roman" w:cstheme="minorHAnsi"/>
          <w:lang w:eastAsia="en-GB"/>
        </w:rPr>
        <w:t xml:space="preserve">Bernbaum, Edwin. “Sacred Mountains: Themes and Teachings.” </w:t>
      </w:r>
      <w:r w:rsidRPr="00201F3F">
        <w:rPr>
          <w:rFonts w:eastAsia="Times New Roman" w:cstheme="minorHAnsi"/>
          <w:i/>
          <w:iCs/>
          <w:lang w:eastAsia="en-GB"/>
        </w:rPr>
        <w:t>Mountain Research and Development</w:t>
      </w:r>
      <w:r w:rsidRPr="00201F3F">
        <w:rPr>
          <w:rFonts w:eastAsia="Times New Roman" w:cstheme="minorHAnsi"/>
          <w:lang w:eastAsia="en-GB"/>
        </w:rPr>
        <w:t xml:space="preserve">, vol. 26, no. 4, 2006, pp. 304–09. </w:t>
      </w:r>
      <w:r w:rsidRPr="00201F3F">
        <w:rPr>
          <w:rFonts w:eastAsia="Times New Roman" w:cstheme="minorHAnsi"/>
          <w:i/>
          <w:iCs/>
          <w:lang w:eastAsia="en-GB"/>
        </w:rPr>
        <w:t>JSTOR</w:t>
      </w:r>
      <w:r w:rsidRPr="00201F3F">
        <w:rPr>
          <w:rFonts w:eastAsia="Times New Roman" w:cstheme="minorHAnsi"/>
          <w:lang w:eastAsia="en-GB"/>
        </w:rPr>
        <w:t xml:space="preserve">, http://www.jstor.org/stable/4540647. </w:t>
      </w:r>
      <w:r>
        <w:rPr>
          <w:rFonts w:eastAsia="Times New Roman" w:cstheme="minorHAnsi"/>
          <w:lang w:eastAsia="en-GB"/>
        </w:rPr>
        <w:t>p. 305-6</w:t>
      </w:r>
      <w:r w:rsidRPr="00201F3F">
        <w:rPr>
          <w:rFonts w:eastAsia="Times New Roman" w:cstheme="minorHAnsi"/>
          <w:lang w:eastAsia="en-GB"/>
        </w:rPr>
        <w:t>.</w:t>
      </w:r>
      <w:bookmarkEnd w:id="8"/>
    </w:p>
  </w:footnote>
  <w:footnote w:id="37">
    <w:p w14:paraId="3761914B" w14:textId="77777777" w:rsidR="00D367B9" w:rsidRDefault="00D367B9" w:rsidP="00D367B9">
      <w:pPr>
        <w:pStyle w:val="FootnoteText"/>
      </w:pPr>
      <w:r>
        <w:rPr>
          <w:rStyle w:val="FootnoteReference"/>
        </w:rPr>
        <w:footnoteRef/>
      </w:r>
      <w:r>
        <w:t xml:space="preserve"> </w:t>
      </w:r>
      <w:r w:rsidRPr="001D6DC6">
        <w:t xml:space="preserve">Maurice Merleau-Ponty, </w:t>
      </w:r>
      <w:r w:rsidRPr="001D6DC6">
        <w:rPr>
          <w:i/>
          <w:iCs/>
        </w:rPr>
        <w:t>Phenomenology of Perception</w:t>
      </w:r>
      <w:r w:rsidRPr="001D6DC6">
        <w:t xml:space="preserve"> (London: Routledge &amp; Kegan Paul, 1978)</w:t>
      </w:r>
      <w:r>
        <w:t>, p. ix.</w:t>
      </w:r>
    </w:p>
  </w:footnote>
  <w:footnote w:id="38">
    <w:p w14:paraId="350FC8BB" w14:textId="77777777" w:rsidR="00D367B9" w:rsidRDefault="00D367B9" w:rsidP="00D367B9">
      <w:pPr>
        <w:pStyle w:val="FootnoteText"/>
      </w:pPr>
      <w:r>
        <w:rPr>
          <w:rStyle w:val="FootnoteReference"/>
        </w:rPr>
        <w:footnoteRef/>
      </w:r>
      <w:r>
        <w:t xml:space="preserve"> </w:t>
      </w:r>
      <w:r w:rsidRPr="001D6DC6">
        <w:t xml:space="preserve">Maurice Merleau-Ponty, </w:t>
      </w:r>
      <w:r w:rsidRPr="001D6DC6">
        <w:rPr>
          <w:i/>
          <w:iCs/>
        </w:rPr>
        <w:t>Phenomenology of Perception</w:t>
      </w:r>
      <w:r w:rsidRPr="001D6DC6">
        <w:t xml:space="preserve"> (London: Routledge &amp; Kegan Paul, 1978)</w:t>
      </w:r>
      <w:r>
        <w:t>, p. ix.</w:t>
      </w:r>
    </w:p>
  </w:footnote>
  <w:footnote w:id="39">
    <w:p w14:paraId="399489A6" w14:textId="77777777" w:rsidR="00D367B9" w:rsidRDefault="00D367B9" w:rsidP="00D367B9">
      <w:pPr>
        <w:pStyle w:val="FootnoteText"/>
      </w:pPr>
      <w:r>
        <w:rPr>
          <w:rStyle w:val="FootnoteReference"/>
        </w:rPr>
        <w:footnoteRef/>
      </w:r>
      <w:r>
        <w:t xml:space="preserve"> Christopher Y. Tilley, </w:t>
      </w:r>
      <w:r w:rsidRPr="00AD3BD3">
        <w:rPr>
          <w:i/>
          <w:iCs/>
        </w:rPr>
        <w:t>A Phenomenology of Landscape: Places, Paths and Monuments</w:t>
      </w:r>
      <w:r>
        <w:t xml:space="preserve"> (Oxford: Berg, 1994), p.15.</w:t>
      </w:r>
    </w:p>
  </w:footnote>
  <w:footnote w:id="40">
    <w:p w14:paraId="1271655F" w14:textId="77777777" w:rsidR="00D367B9" w:rsidRDefault="00D367B9" w:rsidP="00D367B9">
      <w:pPr>
        <w:pStyle w:val="FootnoteText"/>
      </w:pPr>
      <w:r>
        <w:rPr>
          <w:rStyle w:val="FootnoteReference"/>
        </w:rPr>
        <w:footnoteRef/>
      </w:r>
      <w:r>
        <w:t xml:space="preserve"> Christopher Y. Tilley, </w:t>
      </w:r>
      <w:r w:rsidRPr="00AD3BD3">
        <w:rPr>
          <w:i/>
          <w:iCs/>
        </w:rPr>
        <w:t>A Phenomenology of Landscape: Places, Paths and Monuments</w:t>
      </w:r>
      <w:r>
        <w:t xml:space="preserve"> (Oxford: Berg, 1994), p. 33.</w:t>
      </w:r>
    </w:p>
  </w:footnote>
  <w:footnote w:id="41">
    <w:p w14:paraId="234AAC9A" w14:textId="77777777" w:rsidR="00D367B9" w:rsidRDefault="00D367B9" w:rsidP="00D367B9">
      <w:pPr>
        <w:pStyle w:val="FootnoteText"/>
      </w:pPr>
      <w:r>
        <w:rPr>
          <w:rStyle w:val="FootnoteReference"/>
        </w:rPr>
        <w:footnoteRef/>
      </w:r>
      <w:r>
        <w:t xml:space="preserve">   Darrelyn Gunzburg, and Bernadette Brady, </w:t>
      </w:r>
      <w:r w:rsidRPr="00361C8D">
        <w:rPr>
          <w:i/>
          <w:iCs/>
        </w:rPr>
        <w:t>Space, Place and Religious Landscapes : Living Mountains</w:t>
      </w:r>
      <w:r>
        <w:t>, ed. by Darrelyn Gunzburg and Bernadette Brady, First edition. (London [England: Bloomsbury Academic, 2020), p. 1.</w:t>
      </w:r>
    </w:p>
  </w:footnote>
  <w:footnote w:id="42">
    <w:p w14:paraId="6D06CC83" w14:textId="77777777" w:rsidR="00E355F4" w:rsidRPr="009E2ADF" w:rsidRDefault="00E355F4" w:rsidP="00E355F4">
      <w:pPr>
        <w:pStyle w:val="FootnoteText"/>
      </w:pPr>
      <w:r>
        <w:rPr>
          <w:rStyle w:val="FootnoteReference"/>
        </w:rPr>
        <w:footnoteRef/>
      </w:r>
      <w:r>
        <w:t xml:space="preserve"> Paul Devereux, Stanley Krippner, Robert Tartz, and Adam Fish, ‘</w:t>
      </w:r>
      <w:r w:rsidRPr="009E2ADF">
        <w:rPr>
          <w:i/>
          <w:iCs/>
        </w:rPr>
        <w:t>A Preliminary Study on English and Welsh â</w:t>
      </w:r>
      <w:r w:rsidRPr="009E2ADF">
        <w:rPr>
          <w:rFonts w:ascii="Calibri" w:hAnsi="Calibri" w:cs="Calibri"/>
          <w:i/>
          <w:iCs/>
        </w:rPr>
        <w:t></w:t>
      </w:r>
      <w:r w:rsidRPr="009E2ADF">
        <w:rPr>
          <w:i/>
          <w:iCs/>
        </w:rPr>
        <w:t>Sacred Sites</w:t>
      </w:r>
      <w:r w:rsidRPr="009E2ADF">
        <w:rPr>
          <w:rFonts w:ascii="Calibri" w:hAnsi="Calibri" w:cs="Calibri"/>
          <w:i/>
          <w:iCs/>
        </w:rPr>
        <w:t>â</w:t>
      </w:r>
      <w:r w:rsidRPr="009E2ADF">
        <w:rPr>
          <w:i/>
          <w:iCs/>
        </w:rPr>
        <w:t xml:space="preserve"> and Home Dream Reports</w:t>
      </w:r>
      <w:r>
        <w:rPr>
          <w:rFonts w:ascii="Calibri" w:hAnsi="Calibri" w:cs="Calibri"/>
        </w:rPr>
        <w:t>’</w:t>
      </w:r>
      <w:r>
        <w:t>, Anthropology of Consciousness, 18.2 (2007), p. 3.</w:t>
      </w:r>
    </w:p>
  </w:footnote>
  <w:footnote w:id="43">
    <w:p w14:paraId="38E0A777" w14:textId="77777777" w:rsidR="00E355F4" w:rsidRDefault="00E355F4" w:rsidP="00E355F4">
      <w:pPr>
        <w:pStyle w:val="FootnoteText"/>
      </w:pPr>
      <w:r>
        <w:rPr>
          <w:rStyle w:val="FootnoteReference"/>
        </w:rPr>
        <w:footnoteRef/>
      </w:r>
      <w:r>
        <w:t xml:space="preserve"> Blencathra is not even the highest peak within the Skiddaw Group, of which it is part, as neighbouring Skiddaw Mountain is 931m/3054 feet.</w:t>
      </w:r>
    </w:p>
  </w:footnote>
  <w:footnote w:id="44">
    <w:p w14:paraId="1D854D09" w14:textId="77777777" w:rsidR="00E355F4" w:rsidRPr="007E4713" w:rsidRDefault="00E355F4" w:rsidP="00E355F4">
      <w:pPr>
        <w:pStyle w:val="FootnoteText"/>
        <w:rPr>
          <w:lang w:val="en-US"/>
        </w:rPr>
      </w:pPr>
      <w:r>
        <w:rPr>
          <w:rStyle w:val="FootnoteReference"/>
        </w:rPr>
        <w:footnoteRef/>
      </w:r>
      <w:r>
        <w:t xml:space="preserve"> </w:t>
      </w:r>
      <w:r w:rsidRPr="00B63DDD">
        <w:t xml:space="preserve">Edwin </w:t>
      </w:r>
      <w:r w:rsidRPr="00B63DDD">
        <w:rPr>
          <w:rFonts w:ascii="Calibri" w:eastAsia="Times New Roman" w:hAnsi="Calibri" w:cs="Calibri"/>
          <w:lang w:eastAsia="en-GB"/>
        </w:rPr>
        <w:t xml:space="preserve">Bernbaum, </w:t>
      </w:r>
      <w:r w:rsidRPr="00B63DDD">
        <w:rPr>
          <w:rFonts w:ascii="Calibri" w:eastAsia="Times New Roman" w:hAnsi="Calibri" w:cs="Calibri"/>
          <w:i/>
          <w:iCs/>
          <w:lang w:eastAsia="en-GB"/>
        </w:rPr>
        <w:t>Sacred Mountains: Themes and Teachings</w:t>
      </w:r>
      <w:r w:rsidRPr="00B63DDD">
        <w:rPr>
          <w:rFonts w:ascii="Calibri" w:eastAsia="Times New Roman" w:hAnsi="Calibri" w:cs="Calibri"/>
          <w:lang w:eastAsia="en-GB"/>
        </w:rPr>
        <w:t>.</w:t>
      </w:r>
      <w:r>
        <w:rPr>
          <w:rFonts w:ascii="Calibri" w:eastAsia="Times New Roman" w:hAnsi="Calibri" w:cs="Calibri"/>
          <w:lang w:eastAsia="en-GB"/>
        </w:rPr>
        <w:t xml:space="preserve"> </w:t>
      </w:r>
      <w:r w:rsidRPr="00B63DDD">
        <w:rPr>
          <w:rFonts w:ascii="Calibri" w:eastAsia="Times New Roman" w:hAnsi="Calibri" w:cs="Calibri"/>
          <w:i/>
          <w:iCs/>
          <w:lang w:eastAsia="en-GB"/>
        </w:rPr>
        <w:t>Mountain Research and Development</w:t>
      </w:r>
      <w:r w:rsidRPr="00B63DDD">
        <w:rPr>
          <w:rFonts w:ascii="Calibri" w:eastAsia="Times New Roman" w:hAnsi="Calibri" w:cs="Calibri"/>
          <w:lang w:eastAsia="en-GB"/>
        </w:rPr>
        <w:t xml:space="preserve">, vol. 26, no. 4, 2006, pp. 304–09. </w:t>
      </w:r>
      <w:r w:rsidRPr="00B63DDD">
        <w:rPr>
          <w:rFonts w:ascii="Calibri" w:eastAsia="Times New Roman" w:hAnsi="Calibri" w:cs="Calibri"/>
          <w:i/>
          <w:iCs/>
          <w:lang w:eastAsia="en-GB"/>
        </w:rPr>
        <w:t>JSTOR</w:t>
      </w:r>
      <w:r w:rsidRPr="00B63DDD">
        <w:rPr>
          <w:rFonts w:ascii="Calibri" w:eastAsia="Times New Roman" w:hAnsi="Calibri" w:cs="Calibri"/>
          <w:lang w:eastAsia="en-GB"/>
        </w:rPr>
        <w:t xml:space="preserve">, </w:t>
      </w:r>
      <w:hyperlink r:id="rId5" w:history="1">
        <w:r w:rsidRPr="00C72F3E">
          <w:rPr>
            <w:rStyle w:val="Hyperlink"/>
            <w:rFonts w:ascii="Calibri" w:eastAsia="Times New Roman" w:hAnsi="Calibri" w:cs="Calibri"/>
            <w:lang w:eastAsia="en-GB"/>
          </w:rPr>
          <w:t>http://www.jstor.org/stable/4540647</w:t>
        </w:r>
      </w:hyperlink>
      <w:r>
        <w:rPr>
          <w:rFonts w:ascii="Calibri" w:eastAsia="Times New Roman" w:hAnsi="Calibri" w:cs="Calibri"/>
          <w:lang w:eastAsia="en-GB"/>
        </w:rPr>
        <w:t>, p. 305.</w:t>
      </w:r>
    </w:p>
  </w:footnote>
  <w:footnote w:id="45">
    <w:p w14:paraId="1DE90CB7" w14:textId="77777777" w:rsidR="00E355F4" w:rsidRPr="00FE23D7" w:rsidRDefault="00E355F4" w:rsidP="00E355F4">
      <w:pPr>
        <w:pStyle w:val="FootnoteText"/>
        <w:rPr>
          <w:lang w:val="en-US"/>
        </w:rPr>
      </w:pPr>
      <w:r>
        <w:rPr>
          <w:rStyle w:val="FootnoteReference"/>
        </w:rPr>
        <w:footnoteRef/>
      </w:r>
      <w:r>
        <w:t xml:space="preserve"> Belden C.  Lane,  </w:t>
      </w:r>
      <w:r w:rsidRPr="00A22F6E">
        <w:rPr>
          <w:i/>
          <w:iCs/>
        </w:rPr>
        <w:t>Landscapes of the Sacred : Geography and Narrative in American Spirituality</w:t>
      </w:r>
      <w:r>
        <w:t>, (Baltimore, Md.: Johns Hopkins University Press, 2002), p. 19.</w:t>
      </w:r>
    </w:p>
  </w:footnote>
  <w:footnote w:id="46">
    <w:p w14:paraId="10999609" w14:textId="77777777" w:rsidR="00E355F4" w:rsidRDefault="00E355F4" w:rsidP="00E355F4">
      <w:pPr>
        <w:pStyle w:val="FootnoteText"/>
      </w:pPr>
      <w:r>
        <w:rPr>
          <w:rStyle w:val="FootnoteReference"/>
        </w:rPr>
        <w:footnoteRef/>
      </w:r>
      <w:r>
        <w:t xml:space="preserve"> Terry Abraham</w:t>
      </w:r>
      <w:r w:rsidRPr="004D65AA">
        <w:rPr>
          <w:i/>
          <w:iCs/>
        </w:rPr>
        <w:t>,</w:t>
      </w:r>
      <w:r>
        <w:rPr>
          <w:i/>
          <w:iCs/>
        </w:rPr>
        <w:t xml:space="preserve"> </w:t>
      </w:r>
      <w:r w:rsidRPr="004D65AA">
        <w:rPr>
          <w:i/>
          <w:iCs/>
        </w:rPr>
        <w:t>Life of a Mountain: A Year on Blencathra</w:t>
      </w:r>
      <w:r>
        <w:rPr>
          <w:i/>
          <w:iCs/>
        </w:rPr>
        <w:t xml:space="preserve">, </w:t>
      </w:r>
      <w:r>
        <w:t>BBC, 2017.</w:t>
      </w:r>
    </w:p>
  </w:footnote>
  <w:footnote w:id="47">
    <w:p w14:paraId="6F1D8AAB" w14:textId="77777777" w:rsidR="00E355F4" w:rsidRPr="009B35E8" w:rsidRDefault="00E355F4" w:rsidP="00E355F4">
      <w:pPr>
        <w:pStyle w:val="FootnoteText"/>
        <w:rPr>
          <w:lang w:val="en-US"/>
        </w:rPr>
      </w:pPr>
      <w:r>
        <w:rPr>
          <w:rStyle w:val="FootnoteReference"/>
        </w:rPr>
        <w:footnoteRef/>
      </w:r>
      <w:r>
        <w:t xml:space="preserve"> </w:t>
      </w:r>
      <w:r>
        <w:rPr>
          <w:lang w:val="en-US"/>
        </w:rPr>
        <w:t>Mountain Weather and Information Service for the Lakeland mountains on 8/1/23 warned of winds of 30-45kph, with strong gusts, snow above 600 m, whiteout on the tops, cloud base from 45om and as cold as -12 degrees in the wind. Only a 10% chance of a cloud-free summit.</w:t>
      </w:r>
    </w:p>
  </w:footnote>
  <w:footnote w:id="48">
    <w:p w14:paraId="5B5DB330" w14:textId="77777777" w:rsidR="00E355F4" w:rsidRDefault="00E355F4" w:rsidP="00E355F4">
      <w:pPr>
        <w:pStyle w:val="FootnoteText"/>
      </w:pPr>
      <w:r>
        <w:rPr>
          <w:rStyle w:val="FootnoteReference"/>
        </w:rPr>
        <w:footnoteRef/>
      </w:r>
      <w:r>
        <w:t xml:space="preserve"> Looking East from Keswick the five fells that form Blencathra are: Blease Fell; Gategill Fell; Hall’s Fell; Doddick Fell; and finally, Scales Fell on the eastern-most side. Scales Fell merges into Souter Fell and Bowscale Fell on the Eastern side and Blencathra is separated from Lonscale Fell and Skiddaw by Glenderaterra Beck on the Western side.</w:t>
      </w:r>
    </w:p>
  </w:footnote>
  <w:footnote w:id="49">
    <w:p w14:paraId="34B01606" w14:textId="77777777" w:rsidR="00E355F4" w:rsidRDefault="00E355F4" w:rsidP="00E355F4">
      <w:pPr>
        <w:pStyle w:val="FootnoteText"/>
      </w:pPr>
      <w:r>
        <w:rPr>
          <w:rStyle w:val="FootnoteReference"/>
        </w:rPr>
        <w:footnoteRef/>
      </w:r>
      <w:r>
        <w:t xml:space="preserve"> </w:t>
      </w:r>
      <w:hyperlink r:id="rId6" w:history="1">
        <w:r w:rsidRPr="005B2438">
          <w:rPr>
            <w:rStyle w:val="Hyperlink"/>
          </w:rPr>
          <w:t>https://keswickmrt.org.uk/safety-hotspots</w:t>
        </w:r>
      </w:hyperlink>
      <w:r>
        <w:t xml:space="preserve"> </w:t>
      </w:r>
    </w:p>
  </w:footnote>
  <w:footnote w:id="50">
    <w:p w14:paraId="6249B8FF" w14:textId="77777777" w:rsidR="00E355F4" w:rsidRPr="000356DE" w:rsidRDefault="00E355F4" w:rsidP="00E355F4">
      <w:pPr>
        <w:rPr>
          <w:rFonts w:ascii="Arial" w:hAnsi="Arial" w:cs="Arial"/>
          <w:color w:val="30272E"/>
          <w:sz w:val="21"/>
          <w:szCs w:val="21"/>
        </w:rPr>
      </w:pPr>
      <w:r>
        <w:rPr>
          <w:rStyle w:val="FootnoteReference"/>
        </w:rPr>
        <w:footnoteRef/>
      </w:r>
      <w:r>
        <w:t xml:space="preserve"> Walkinguphills, The Southern face of Blencathra, licensed under CC BY 2.0</w:t>
      </w:r>
    </w:p>
  </w:footnote>
  <w:footnote w:id="51">
    <w:p w14:paraId="414B0027" w14:textId="77777777" w:rsidR="00E355F4" w:rsidRDefault="00E355F4" w:rsidP="00E355F4">
      <w:pPr>
        <w:pStyle w:val="FootnoteText"/>
      </w:pPr>
      <w:r>
        <w:rPr>
          <w:rStyle w:val="FootnoteReference"/>
        </w:rPr>
        <w:footnoteRef/>
      </w:r>
      <w:r>
        <w:t xml:space="preserve"> </w:t>
      </w:r>
      <w:r w:rsidRPr="00EE7341">
        <w:rPr>
          <w:color w:val="FF0000"/>
        </w:rPr>
        <w:t xml:space="preserve">Mircea Eliade. </w:t>
      </w:r>
      <w:r w:rsidRPr="00EE7341">
        <w:rPr>
          <w:i/>
          <w:iCs/>
          <w:color w:val="FF0000"/>
        </w:rPr>
        <w:t>The Sacred and the Profane, The Nature of Religion, (</w:t>
      </w:r>
      <w:r w:rsidRPr="00EE7341">
        <w:rPr>
          <w:color w:val="FF0000"/>
        </w:rPr>
        <w:t>New York: Harcourt,1987 [1957]).</w:t>
      </w:r>
    </w:p>
  </w:footnote>
  <w:footnote w:id="52">
    <w:p w14:paraId="7551B91F" w14:textId="77777777" w:rsidR="00E355F4" w:rsidRPr="00014EC2" w:rsidRDefault="00E355F4" w:rsidP="00E355F4">
      <w:pPr>
        <w:pStyle w:val="FootnoteText"/>
        <w:rPr>
          <w:rFonts w:cstheme="minorHAnsi"/>
        </w:rPr>
      </w:pPr>
      <w:r>
        <w:rPr>
          <w:rStyle w:val="FootnoteReference"/>
        </w:rPr>
        <w:footnoteRef/>
      </w:r>
      <w:r>
        <w:t xml:space="preserve"> </w:t>
      </w:r>
      <w:r w:rsidRPr="00014EC2">
        <w:rPr>
          <w:rFonts w:cstheme="minorHAnsi"/>
        </w:rPr>
        <w:t xml:space="preserve">Far closer, </w:t>
      </w:r>
      <w:r w:rsidRPr="00014EC2">
        <w:rPr>
          <w:rFonts w:cstheme="minorHAnsi"/>
          <w:i/>
          <w:iCs/>
        </w:rPr>
        <w:t>sharp Edge, Blencathra</w:t>
      </w:r>
      <w:r w:rsidRPr="00014EC2">
        <w:rPr>
          <w:rFonts w:cstheme="minorHAnsi"/>
          <w:color w:val="30272E"/>
        </w:rPr>
        <w:t>" licensed under CC BY 2.0.</w:t>
      </w:r>
    </w:p>
  </w:footnote>
  <w:footnote w:id="53">
    <w:p w14:paraId="5B37DC1C" w14:textId="77777777" w:rsidR="00E355F4" w:rsidRPr="00014EC2" w:rsidRDefault="00E355F4" w:rsidP="00E355F4">
      <w:pPr>
        <w:pStyle w:val="FootnoteText"/>
        <w:rPr>
          <w:rFonts w:cstheme="minorHAnsi"/>
        </w:rPr>
      </w:pPr>
      <w:r w:rsidRPr="00014EC2">
        <w:rPr>
          <w:rStyle w:val="FootnoteReference"/>
          <w:rFonts w:cstheme="minorHAnsi"/>
        </w:rPr>
        <w:footnoteRef/>
      </w:r>
      <w:r w:rsidRPr="00014EC2">
        <w:rPr>
          <w:rFonts w:cstheme="minorHAnsi"/>
        </w:rPr>
        <w:t xml:space="preserve"> Barry Marsh, </w:t>
      </w:r>
      <w:r w:rsidRPr="00014EC2">
        <w:rPr>
          <w:rFonts w:cstheme="minorHAnsi"/>
          <w:i/>
          <w:iCs/>
        </w:rPr>
        <w:t xml:space="preserve">Scales Tarn and Sharp Edge, Blencathra, Cumria </w:t>
      </w:r>
      <w:r w:rsidRPr="00014EC2">
        <w:rPr>
          <w:rFonts w:cstheme="minorHAnsi"/>
        </w:rPr>
        <w:t xml:space="preserve"> marked with Public Domain Mark 1.0. </w:t>
      </w:r>
    </w:p>
  </w:footnote>
  <w:footnote w:id="54">
    <w:p w14:paraId="09041623" w14:textId="77777777" w:rsidR="00E355F4" w:rsidRDefault="00E355F4" w:rsidP="00E355F4">
      <w:r w:rsidRPr="00014EC2">
        <w:rPr>
          <w:rStyle w:val="FootnoteReference"/>
          <w:rFonts w:cstheme="minorHAnsi"/>
        </w:rPr>
        <w:footnoteRef/>
      </w:r>
      <w:r w:rsidRPr="00014EC2">
        <w:rPr>
          <w:rFonts w:cstheme="minorHAnsi"/>
          <w:sz w:val="20"/>
          <w:szCs w:val="20"/>
        </w:rPr>
        <w:t xml:space="preserve"> Maurice Merleau-Ponty, </w:t>
      </w:r>
      <w:r w:rsidRPr="00014EC2">
        <w:rPr>
          <w:rFonts w:cstheme="minorHAnsi"/>
          <w:i/>
          <w:iCs/>
          <w:sz w:val="20"/>
          <w:szCs w:val="20"/>
        </w:rPr>
        <w:t>Phenomenology of Perception</w:t>
      </w:r>
      <w:r w:rsidRPr="00014EC2">
        <w:rPr>
          <w:rFonts w:cstheme="minorHAnsi"/>
          <w:sz w:val="20"/>
          <w:szCs w:val="20"/>
        </w:rPr>
        <w:t xml:space="preserve"> (London: Routledge &amp; Kegan Paul, 1978),p. 70</w:t>
      </w:r>
      <w:r w:rsidRPr="00014EC2">
        <w:rPr>
          <w:rFonts w:cstheme="minorHAnsi"/>
          <w:i/>
          <w:iCs/>
          <w:sz w:val="20"/>
          <w:szCs w:val="20"/>
        </w:rPr>
        <w:t>.</w:t>
      </w:r>
    </w:p>
  </w:footnote>
  <w:footnote w:id="55">
    <w:p w14:paraId="7CD1E8C5" w14:textId="77777777" w:rsidR="00E355F4" w:rsidRDefault="00E355F4" w:rsidP="00E355F4">
      <w:pPr>
        <w:pStyle w:val="FootnoteText"/>
      </w:pPr>
      <w:r>
        <w:rPr>
          <w:rStyle w:val="FootnoteReference"/>
        </w:rPr>
        <w:footnoteRef/>
      </w:r>
      <w:r>
        <w:t xml:space="preserve"> </w:t>
      </w:r>
      <w:r w:rsidRPr="00B63DDD">
        <w:t xml:space="preserve">Edwin </w:t>
      </w:r>
      <w:r w:rsidRPr="00B63DDD">
        <w:rPr>
          <w:rFonts w:ascii="Calibri" w:eastAsia="Times New Roman" w:hAnsi="Calibri" w:cs="Calibri"/>
          <w:lang w:eastAsia="en-GB"/>
        </w:rPr>
        <w:t xml:space="preserve">Bernbaum, </w:t>
      </w:r>
      <w:r w:rsidRPr="00B63DDD">
        <w:rPr>
          <w:rFonts w:ascii="Calibri" w:eastAsia="Times New Roman" w:hAnsi="Calibri" w:cs="Calibri"/>
          <w:i/>
          <w:iCs/>
          <w:lang w:eastAsia="en-GB"/>
        </w:rPr>
        <w:t>Sacred Mountains: Themes and Teachings</w:t>
      </w:r>
      <w:r w:rsidRPr="00B63DDD">
        <w:rPr>
          <w:rFonts w:ascii="Calibri" w:eastAsia="Times New Roman" w:hAnsi="Calibri" w:cs="Calibri"/>
          <w:lang w:eastAsia="en-GB"/>
        </w:rPr>
        <w:t>.</w:t>
      </w:r>
      <w:r>
        <w:rPr>
          <w:rFonts w:ascii="Calibri" w:eastAsia="Times New Roman" w:hAnsi="Calibri" w:cs="Calibri"/>
          <w:lang w:eastAsia="en-GB"/>
        </w:rPr>
        <w:t xml:space="preserve"> </w:t>
      </w:r>
      <w:r w:rsidRPr="00B63DDD">
        <w:rPr>
          <w:rFonts w:ascii="Calibri" w:eastAsia="Times New Roman" w:hAnsi="Calibri" w:cs="Calibri"/>
          <w:i/>
          <w:iCs/>
          <w:lang w:eastAsia="en-GB"/>
        </w:rPr>
        <w:t>Mountain Research and Development</w:t>
      </w:r>
      <w:r w:rsidRPr="00B63DDD">
        <w:rPr>
          <w:rFonts w:ascii="Calibri" w:eastAsia="Times New Roman" w:hAnsi="Calibri" w:cs="Calibri"/>
          <w:lang w:eastAsia="en-GB"/>
        </w:rPr>
        <w:t xml:space="preserve">, vol. 26, no. 4, 2006, pp. 304–09. </w:t>
      </w:r>
      <w:r w:rsidRPr="00B63DDD">
        <w:rPr>
          <w:rFonts w:ascii="Calibri" w:eastAsia="Times New Roman" w:hAnsi="Calibri" w:cs="Calibri"/>
          <w:i/>
          <w:iCs/>
          <w:lang w:eastAsia="en-GB"/>
        </w:rPr>
        <w:t>JSTOR</w:t>
      </w:r>
      <w:r w:rsidRPr="00B63DDD">
        <w:rPr>
          <w:rFonts w:ascii="Calibri" w:eastAsia="Times New Roman" w:hAnsi="Calibri" w:cs="Calibri"/>
          <w:lang w:eastAsia="en-GB"/>
        </w:rPr>
        <w:t>, http://www.jstor.org/stable/4540647</w:t>
      </w:r>
    </w:p>
  </w:footnote>
  <w:footnote w:id="56">
    <w:p w14:paraId="1BDBC647" w14:textId="77777777" w:rsidR="00E355F4" w:rsidRDefault="00E355F4" w:rsidP="00E355F4">
      <w:pPr>
        <w:pStyle w:val="FootnoteText"/>
      </w:pPr>
      <w:r>
        <w:rPr>
          <w:rStyle w:val="FootnoteReference"/>
        </w:rPr>
        <w:footnoteRef/>
      </w:r>
      <w:r>
        <w:t xml:space="preserve"> Speaking to my walking friends during the writing of this paper, most of them appear have one mountain that they use as their anchor point, for example, a good friend of mine has Great Gable as his anchor, his point of orientation. </w:t>
      </w:r>
    </w:p>
  </w:footnote>
  <w:footnote w:id="57">
    <w:p w14:paraId="59525D3F" w14:textId="77777777" w:rsidR="00E355F4" w:rsidRPr="004D65AA" w:rsidRDefault="00E355F4" w:rsidP="00E355F4">
      <w:pPr>
        <w:pStyle w:val="FootnoteText"/>
      </w:pPr>
      <w:r>
        <w:rPr>
          <w:rStyle w:val="FootnoteReference"/>
        </w:rPr>
        <w:footnoteRef/>
      </w:r>
      <w:r>
        <w:t xml:space="preserve"> Terry Abraham, </w:t>
      </w:r>
      <w:r w:rsidRPr="004D65AA">
        <w:rPr>
          <w:i/>
          <w:iCs/>
        </w:rPr>
        <w:t>Life of a Mountain: A Year on Blencathra</w:t>
      </w:r>
      <w:r>
        <w:rPr>
          <w:i/>
          <w:iCs/>
        </w:rPr>
        <w:t xml:space="preserve">, </w:t>
      </w:r>
      <w:r>
        <w:t xml:space="preserve">BBC, 2017 </w:t>
      </w:r>
    </w:p>
  </w:footnote>
  <w:footnote w:id="58">
    <w:p w14:paraId="47D0105B" w14:textId="77777777" w:rsidR="00E355F4" w:rsidRDefault="00E355F4" w:rsidP="00E355F4">
      <w:pPr>
        <w:pStyle w:val="FootnoteText"/>
      </w:pPr>
      <w:r>
        <w:rPr>
          <w:rStyle w:val="FootnoteReference"/>
        </w:rPr>
        <w:footnoteRef/>
      </w:r>
      <w:r>
        <w:t xml:space="preserve"> </w:t>
      </w:r>
      <w:r w:rsidRPr="00B63DDD">
        <w:t xml:space="preserve">Edwin </w:t>
      </w:r>
      <w:r w:rsidRPr="00B63DDD">
        <w:rPr>
          <w:rFonts w:ascii="Calibri" w:eastAsia="Times New Roman" w:hAnsi="Calibri" w:cs="Calibri"/>
          <w:lang w:eastAsia="en-GB"/>
        </w:rPr>
        <w:t xml:space="preserve">Bernbaum, </w:t>
      </w:r>
      <w:r w:rsidRPr="00B63DDD">
        <w:rPr>
          <w:rFonts w:ascii="Calibri" w:eastAsia="Times New Roman" w:hAnsi="Calibri" w:cs="Calibri"/>
          <w:i/>
          <w:iCs/>
          <w:lang w:eastAsia="en-GB"/>
        </w:rPr>
        <w:t>Sacred Mountains: Themes and Teachings</w:t>
      </w:r>
      <w:r w:rsidRPr="00B63DDD">
        <w:rPr>
          <w:rFonts w:ascii="Calibri" w:eastAsia="Times New Roman" w:hAnsi="Calibri" w:cs="Calibri"/>
          <w:lang w:eastAsia="en-GB"/>
        </w:rPr>
        <w:t>.</w:t>
      </w:r>
      <w:r>
        <w:rPr>
          <w:rFonts w:ascii="Calibri" w:eastAsia="Times New Roman" w:hAnsi="Calibri" w:cs="Calibri"/>
          <w:lang w:eastAsia="en-GB"/>
        </w:rPr>
        <w:t xml:space="preserve"> </w:t>
      </w:r>
      <w:r w:rsidRPr="00B63DDD">
        <w:rPr>
          <w:rFonts w:ascii="Calibri" w:eastAsia="Times New Roman" w:hAnsi="Calibri" w:cs="Calibri"/>
          <w:i/>
          <w:iCs/>
          <w:lang w:eastAsia="en-GB"/>
        </w:rPr>
        <w:t>Mountain Research and Development</w:t>
      </w:r>
      <w:r w:rsidRPr="00B63DDD">
        <w:rPr>
          <w:rFonts w:ascii="Calibri" w:eastAsia="Times New Roman" w:hAnsi="Calibri" w:cs="Calibri"/>
          <w:lang w:eastAsia="en-GB"/>
        </w:rPr>
        <w:t xml:space="preserve">, vol. 26, no. 4, 2006, pp. 304–09. </w:t>
      </w:r>
      <w:r w:rsidRPr="00B63DDD">
        <w:rPr>
          <w:rFonts w:ascii="Calibri" w:eastAsia="Times New Roman" w:hAnsi="Calibri" w:cs="Calibri"/>
          <w:i/>
          <w:iCs/>
          <w:lang w:eastAsia="en-GB"/>
        </w:rPr>
        <w:t>JSTOR</w:t>
      </w:r>
      <w:r w:rsidRPr="00B63DDD">
        <w:rPr>
          <w:rFonts w:ascii="Calibri" w:eastAsia="Times New Roman" w:hAnsi="Calibri" w:cs="Calibri"/>
          <w:lang w:eastAsia="en-GB"/>
        </w:rPr>
        <w:t xml:space="preserve">, </w:t>
      </w:r>
      <w:hyperlink r:id="rId7" w:history="1">
        <w:r w:rsidRPr="00C72F3E">
          <w:rPr>
            <w:rStyle w:val="Hyperlink"/>
            <w:rFonts w:ascii="Calibri" w:eastAsia="Times New Roman" w:hAnsi="Calibri" w:cs="Calibri"/>
            <w:lang w:eastAsia="en-GB"/>
          </w:rPr>
          <w:t>http://www.jstor.org/stable/4540647</w:t>
        </w:r>
      </w:hyperlink>
      <w:r>
        <w:rPr>
          <w:rFonts w:ascii="Calibri" w:eastAsia="Times New Roman" w:hAnsi="Calibri" w:cs="Calibri"/>
          <w:lang w:eastAsia="en-GB"/>
        </w:rPr>
        <w:t>, p. 305.</w:t>
      </w:r>
    </w:p>
  </w:footnote>
  <w:footnote w:id="59">
    <w:p w14:paraId="14103E11" w14:textId="77777777" w:rsidR="00E355F4" w:rsidRDefault="00E355F4" w:rsidP="00E355F4">
      <w:pPr>
        <w:pStyle w:val="FootnoteText"/>
      </w:pPr>
      <w:r>
        <w:rPr>
          <w:rStyle w:val="FootnoteReference"/>
        </w:rPr>
        <w:footnoteRef/>
      </w:r>
      <w:r>
        <w:t xml:space="preserve"> </w:t>
      </w:r>
      <w:r w:rsidRPr="00BB0BBD">
        <w:rPr>
          <w:color w:val="000000"/>
          <w:shd w:val="clear" w:color="auto" w:fill="FFFFDD"/>
        </w:rPr>
        <w:t>G</w:t>
      </w:r>
      <w:r w:rsidRPr="00BB0BBD">
        <w:rPr>
          <w:color w:val="000000"/>
        </w:rPr>
        <w:t>uide book, A Survey of the Lakes of Cumberland, Westmorland, and Lancashire, written and published by James Clarke, Penrith, Cumberland, and in London etc, 1787; published 1787-93, p.58.</w:t>
      </w:r>
    </w:p>
  </w:footnote>
  <w:footnote w:id="60">
    <w:p w14:paraId="4E29BED5" w14:textId="77777777" w:rsidR="00E355F4" w:rsidRPr="00AB1E74" w:rsidRDefault="00E355F4" w:rsidP="00E355F4">
      <w:pPr>
        <w:pStyle w:val="FootnoteText"/>
      </w:pPr>
      <w:r w:rsidRPr="00AB1E74">
        <w:rPr>
          <w:rStyle w:val="FootnoteReference"/>
        </w:rPr>
        <w:footnoteRef/>
      </w:r>
      <w:r w:rsidRPr="00AB1E74">
        <w:t xml:space="preserve"> Christopher Y. Tilley, </w:t>
      </w:r>
      <w:r w:rsidRPr="00AB1E74">
        <w:rPr>
          <w:i/>
          <w:iCs/>
        </w:rPr>
        <w:t>A Phenomenology of Landscape: Places, Paths and Monuments</w:t>
      </w:r>
      <w:r w:rsidRPr="00AB1E74">
        <w:t xml:space="preserve"> (Oxford: Berg, 1994), p.14. </w:t>
      </w:r>
    </w:p>
  </w:footnote>
  <w:footnote w:id="61">
    <w:p w14:paraId="328AD51C" w14:textId="77777777" w:rsidR="00E355F4" w:rsidRPr="00AB1E74" w:rsidRDefault="00E355F4" w:rsidP="00E355F4">
      <w:pPr>
        <w:pStyle w:val="FootnoteText"/>
      </w:pPr>
      <w:r w:rsidRPr="00AB1E74">
        <w:rPr>
          <w:rStyle w:val="FootnoteReference"/>
        </w:rPr>
        <w:footnoteRef/>
      </w:r>
      <w:r w:rsidRPr="00AB1E74">
        <w:t xml:space="preserve"> Maurice Merleau-Ponty, </w:t>
      </w:r>
      <w:r w:rsidRPr="00AB1E74">
        <w:rPr>
          <w:i/>
          <w:iCs/>
        </w:rPr>
        <w:t>Phenomenology of Perception</w:t>
      </w:r>
      <w:r w:rsidRPr="00AB1E74">
        <w:t xml:space="preserve"> (London: Routledge &amp; Kegan Paul, 1978), p. xxi.</w:t>
      </w:r>
    </w:p>
  </w:footnote>
  <w:footnote w:id="62">
    <w:p w14:paraId="131E63F3" w14:textId="77777777" w:rsidR="00E355F4" w:rsidRDefault="00E355F4" w:rsidP="00E355F4">
      <w:pPr>
        <w:pStyle w:val="FootnoteText"/>
      </w:pPr>
      <w:r>
        <w:rPr>
          <w:rStyle w:val="FootnoteReference"/>
        </w:rPr>
        <w:footnoteRef/>
      </w:r>
      <w:r>
        <w:t xml:space="preserve"> </w:t>
      </w:r>
      <w:r w:rsidRPr="00B61693">
        <w:rPr>
          <w:rFonts w:cstheme="minorHAnsi"/>
        </w:rPr>
        <w:t xml:space="preserve">Edwards S. </w:t>
      </w:r>
      <w:r w:rsidRPr="00E77F29">
        <w:rPr>
          <w:rFonts w:eastAsia="Times New Roman" w:cstheme="minorHAnsi"/>
          <w:lang w:eastAsia="en-GB"/>
        </w:rPr>
        <w:t>Casey,</w:t>
      </w:r>
      <w:r w:rsidRPr="00B61693">
        <w:rPr>
          <w:rFonts w:eastAsia="Times New Roman" w:cstheme="minorHAnsi"/>
          <w:lang w:eastAsia="en-GB"/>
        </w:rPr>
        <w:t xml:space="preserve"> </w:t>
      </w:r>
      <w:r w:rsidRPr="00E77F29">
        <w:rPr>
          <w:rFonts w:eastAsia="Times New Roman" w:cstheme="minorHAnsi"/>
          <w:i/>
          <w:iCs/>
          <w:lang w:eastAsia="en-GB"/>
        </w:rPr>
        <w:t>The Fate of Place: A Philosophical History</w:t>
      </w:r>
      <w:r w:rsidRPr="00E77F29">
        <w:rPr>
          <w:rFonts w:eastAsia="Times New Roman" w:cstheme="minorHAnsi"/>
          <w:lang w:eastAsia="en-GB"/>
        </w:rPr>
        <w:t>, 1st ed., University of California Press, 1997, p</w:t>
      </w:r>
      <w:r>
        <w:rPr>
          <w:rFonts w:eastAsia="Times New Roman" w:cstheme="minorHAnsi"/>
          <w:lang w:eastAsia="en-GB"/>
        </w:rPr>
        <w:t xml:space="preserve">. 58. </w:t>
      </w:r>
      <w:r w:rsidRPr="00E77F29">
        <w:rPr>
          <w:rFonts w:eastAsia="Times New Roman" w:cstheme="minorHAnsi"/>
          <w:lang w:eastAsia="en-GB"/>
        </w:rPr>
        <w:t xml:space="preserve"> </w:t>
      </w:r>
      <w:r w:rsidRPr="00E77F29">
        <w:rPr>
          <w:rFonts w:eastAsia="Times New Roman" w:cstheme="minorHAnsi"/>
          <w:i/>
          <w:iCs/>
          <w:lang w:eastAsia="en-GB"/>
        </w:rPr>
        <w:t>JSTOR</w:t>
      </w:r>
      <w:r w:rsidRPr="00E77F29">
        <w:rPr>
          <w:rFonts w:eastAsia="Times New Roman" w:cstheme="minorHAnsi"/>
          <w:lang w:eastAsia="en-GB"/>
        </w:rPr>
        <w:t>, http://www.jstor.org/stable/10.1525/j.ctt2jcbw8.7.</w:t>
      </w:r>
    </w:p>
  </w:footnote>
  <w:footnote w:id="63">
    <w:p w14:paraId="0FED0D6A" w14:textId="77777777" w:rsidR="00E355F4" w:rsidRPr="00AB1E74" w:rsidRDefault="00E355F4" w:rsidP="00E355F4">
      <w:pPr>
        <w:rPr>
          <w:sz w:val="20"/>
          <w:szCs w:val="20"/>
        </w:rPr>
      </w:pPr>
      <w:r w:rsidRPr="00AB1E74">
        <w:rPr>
          <w:rStyle w:val="FootnoteReference"/>
        </w:rPr>
        <w:footnoteRef/>
      </w:r>
      <w:r w:rsidRPr="00AB1E74">
        <w:rPr>
          <w:sz w:val="20"/>
          <w:szCs w:val="20"/>
        </w:rPr>
        <w:t xml:space="preserve"> </w:t>
      </w:r>
      <w:r w:rsidRPr="00612A34">
        <w:rPr>
          <w:sz w:val="20"/>
          <w:szCs w:val="20"/>
        </w:rPr>
        <w:t xml:space="preserve">For example, the Carreg Samson dolmen stone appears to mirror Stumble Head on the skyline north of the monument </w:t>
      </w:r>
      <w:bookmarkStart w:id="10" w:name="_Hlk124947493"/>
      <w:r w:rsidRPr="00612A34">
        <w:rPr>
          <w:sz w:val="20"/>
          <w:szCs w:val="20"/>
        </w:rPr>
        <w:t>Paul Devereux &amp; Wozencroft, Jon. (2014</w:t>
      </w:r>
      <w:r w:rsidRPr="00612A34">
        <w:rPr>
          <w:i/>
          <w:iCs/>
          <w:sz w:val="20"/>
          <w:szCs w:val="20"/>
        </w:rPr>
        <w:t>). Stone Age Eyes and Ears: A Visual and Acoustic Pilot Study of Carn Menyn and Environs, Preseli, Wales</w:t>
      </w:r>
      <w:r w:rsidRPr="00612A34">
        <w:rPr>
          <w:sz w:val="20"/>
          <w:szCs w:val="20"/>
        </w:rPr>
        <w:t>. Time and Mind. 7. P. 53. 10.1080/1751696X.2013.860278.</w:t>
      </w:r>
      <w:r w:rsidRPr="00AB1E74">
        <w:rPr>
          <w:sz w:val="20"/>
          <w:szCs w:val="20"/>
        </w:rPr>
        <w:t xml:space="preserve"> </w:t>
      </w:r>
      <w:bookmarkEnd w:id="10"/>
    </w:p>
  </w:footnote>
  <w:footnote w:id="64">
    <w:p w14:paraId="14284E76" w14:textId="77777777" w:rsidR="00E355F4" w:rsidRDefault="00E355F4" w:rsidP="00E355F4">
      <w:r>
        <w:rPr>
          <w:rStyle w:val="FootnoteReference"/>
        </w:rPr>
        <w:footnoteRef/>
      </w:r>
      <w:r>
        <w:t xml:space="preserve"> </w:t>
      </w:r>
      <w:r w:rsidRPr="002C3373">
        <w:rPr>
          <w:rFonts w:cstheme="minorHAnsi"/>
          <w:sz w:val="20"/>
          <w:szCs w:val="20"/>
        </w:rPr>
        <w:t>Bulletma9net, Blencathra</w:t>
      </w:r>
      <w:r w:rsidRPr="002C3373">
        <w:rPr>
          <w:rFonts w:cstheme="minorHAnsi"/>
          <w:color w:val="30272E"/>
          <w:sz w:val="20"/>
          <w:szCs w:val="20"/>
        </w:rPr>
        <w:t> is licensed under CC BY-ND 2.0.</w:t>
      </w:r>
    </w:p>
  </w:footnote>
  <w:footnote w:id="65">
    <w:p w14:paraId="6956CC1F" w14:textId="77777777" w:rsidR="00E355F4" w:rsidRPr="002431BC" w:rsidRDefault="00E355F4" w:rsidP="00E355F4">
      <w:pPr>
        <w:pStyle w:val="FootnoteText"/>
        <w:rPr>
          <w:lang w:val="en-US"/>
        </w:rPr>
      </w:pPr>
      <w:r>
        <w:rPr>
          <w:rStyle w:val="FootnoteReference"/>
        </w:rPr>
        <w:footnoteRef/>
      </w:r>
      <w:r>
        <w:t xml:space="preserve"> </w:t>
      </w:r>
      <w:hyperlink r:id="rId8" w:history="1">
        <w:r>
          <w:rPr>
            <w:rStyle w:val="Hyperlink"/>
          </w:rPr>
          <w:t>The Internet Classics Archive | Physics by Aristotle (mit.edu)</w:t>
        </w:r>
      </w:hyperlink>
      <w:r>
        <w:t xml:space="preserve"> Book 2, 1</w:t>
      </w:r>
    </w:p>
  </w:footnote>
  <w:footnote w:id="66">
    <w:p w14:paraId="41E1B780" w14:textId="77777777" w:rsidR="00E355F4" w:rsidRPr="006309A7" w:rsidRDefault="00E355F4" w:rsidP="00E355F4">
      <w:pPr>
        <w:pStyle w:val="FootnoteText"/>
      </w:pPr>
      <w:r>
        <w:rPr>
          <w:rStyle w:val="FootnoteReference"/>
        </w:rPr>
        <w:footnoteRef/>
      </w:r>
      <w:r>
        <w:t xml:space="preserve"> </w:t>
      </w:r>
      <w:r w:rsidRPr="006309A7">
        <w:t xml:space="preserve">The A66 is the main road that runs along the valley floor at the foot of Blencathra, running from the M6 </w:t>
      </w:r>
      <w:r>
        <w:t>m</w:t>
      </w:r>
      <w:r w:rsidRPr="006309A7">
        <w:t>otorway</w:t>
      </w:r>
      <w:r>
        <w:t xml:space="preserve"> through</w:t>
      </w:r>
      <w:r w:rsidRPr="006309A7">
        <w:t xml:space="preserve"> to Keswick.</w:t>
      </w:r>
    </w:p>
  </w:footnote>
  <w:footnote w:id="67">
    <w:p w14:paraId="0B49751B" w14:textId="77777777" w:rsidR="00E355F4" w:rsidRDefault="00E355F4" w:rsidP="00E355F4">
      <w:pPr>
        <w:pStyle w:val="FootnoteText"/>
      </w:pPr>
      <w:r>
        <w:rPr>
          <w:rStyle w:val="FootnoteReference"/>
        </w:rPr>
        <w:footnoteRef/>
      </w:r>
      <w:r>
        <w:t xml:space="preserve"> </w:t>
      </w:r>
      <w:r w:rsidRPr="00201F3F">
        <w:rPr>
          <w:rFonts w:eastAsia="Times New Roman" w:cstheme="minorHAnsi"/>
          <w:lang w:eastAsia="en-GB"/>
        </w:rPr>
        <w:t xml:space="preserve">Bernbaum, Edwin. “Sacred Mountains: Themes and Teachings.” </w:t>
      </w:r>
      <w:r w:rsidRPr="00201F3F">
        <w:rPr>
          <w:rFonts w:eastAsia="Times New Roman" w:cstheme="minorHAnsi"/>
          <w:i/>
          <w:iCs/>
          <w:lang w:eastAsia="en-GB"/>
        </w:rPr>
        <w:t>Mountain Research and Development</w:t>
      </w:r>
      <w:r w:rsidRPr="00201F3F">
        <w:rPr>
          <w:rFonts w:eastAsia="Times New Roman" w:cstheme="minorHAnsi"/>
          <w:lang w:eastAsia="en-GB"/>
        </w:rPr>
        <w:t xml:space="preserve">, vol. 26, no. 4, 2006, pp. 304–09. </w:t>
      </w:r>
      <w:r w:rsidRPr="00201F3F">
        <w:rPr>
          <w:rFonts w:eastAsia="Times New Roman" w:cstheme="minorHAnsi"/>
          <w:i/>
          <w:iCs/>
          <w:lang w:eastAsia="en-GB"/>
        </w:rPr>
        <w:t>JSTOR</w:t>
      </w:r>
      <w:r w:rsidRPr="00201F3F">
        <w:rPr>
          <w:rFonts w:eastAsia="Times New Roman" w:cstheme="minorHAnsi"/>
          <w:lang w:eastAsia="en-GB"/>
        </w:rPr>
        <w:t xml:space="preserve">, http://www.jstor.org/stable/4540647. </w:t>
      </w:r>
      <w:r>
        <w:rPr>
          <w:rFonts w:eastAsia="Times New Roman" w:cstheme="minorHAnsi"/>
          <w:lang w:eastAsia="en-GB"/>
        </w:rPr>
        <w:t>p. 306.</w:t>
      </w:r>
    </w:p>
  </w:footnote>
  <w:footnote w:id="68">
    <w:p w14:paraId="1C1E4ADA" w14:textId="77777777" w:rsidR="00E355F4" w:rsidRDefault="00E355F4" w:rsidP="00E355F4">
      <w:pPr>
        <w:pStyle w:val="FootnoteText"/>
      </w:pPr>
      <w:r>
        <w:rPr>
          <w:rStyle w:val="FootnoteReference"/>
        </w:rPr>
        <w:footnoteRef/>
      </w:r>
      <w:r>
        <w:t xml:space="preserve"> There are several sources of water on Blencathra – there are becks running down the gullies between the spurs; Scales Tarn; Glenderamackin River; and Bowscale tarn at the back (northside) of the mountain.</w:t>
      </w:r>
    </w:p>
  </w:footnote>
  <w:footnote w:id="69">
    <w:p w14:paraId="06AA37C2" w14:textId="77777777" w:rsidR="005735F0" w:rsidRPr="00784EEC" w:rsidRDefault="005735F0" w:rsidP="005735F0">
      <w:pPr>
        <w:rPr>
          <w:sz w:val="20"/>
          <w:szCs w:val="20"/>
        </w:rPr>
      </w:pPr>
      <w:r>
        <w:rPr>
          <w:rStyle w:val="FootnoteReference"/>
        </w:rPr>
        <w:footnoteRef/>
      </w:r>
      <w:r>
        <w:t xml:space="preserve">  </w:t>
      </w:r>
      <w:r w:rsidRPr="00784EEC">
        <w:rPr>
          <w:sz w:val="20"/>
          <w:szCs w:val="20"/>
        </w:rPr>
        <w:t xml:space="preserve">Darrelyn Gunzburg and Bernadette Brady, </w:t>
      </w:r>
      <w:r w:rsidRPr="00784EEC">
        <w:rPr>
          <w:i/>
          <w:iCs/>
          <w:sz w:val="20"/>
          <w:szCs w:val="20"/>
        </w:rPr>
        <w:t xml:space="preserve">Space, Place and Religious Landscapes: Living Mountains, </w:t>
      </w:r>
      <w:r w:rsidRPr="00784EEC">
        <w:rPr>
          <w:sz w:val="20"/>
          <w:szCs w:val="20"/>
        </w:rPr>
        <w:t>ed. by Darrelyn Gunzburg and Bernadette Brady, First edition. (London [England: Bloomsbury Academic, 2020), p. 2.</w:t>
      </w:r>
    </w:p>
  </w:footnote>
  <w:footnote w:id="70">
    <w:p w14:paraId="4B29D21C" w14:textId="77777777" w:rsidR="005735F0" w:rsidRPr="00784EEC" w:rsidRDefault="005735F0" w:rsidP="005735F0">
      <w:pPr>
        <w:pStyle w:val="FootnoteText"/>
      </w:pPr>
      <w:r w:rsidRPr="00784EEC">
        <w:rPr>
          <w:rStyle w:val="FootnoteReference"/>
        </w:rPr>
        <w:footnoteRef/>
      </w:r>
      <w:r w:rsidRPr="00784EEC">
        <w:t xml:space="preserve"> Christopher Y. Tilley, </w:t>
      </w:r>
      <w:r w:rsidRPr="00784EEC">
        <w:rPr>
          <w:i/>
          <w:iCs/>
        </w:rPr>
        <w:t>A Phenomenology of Landscape: Places, Paths and Monuments</w:t>
      </w:r>
      <w:r w:rsidRPr="00784EEC">
        <w:t xml:space="preserve"> (Oxford: Berg, 1994), p. 18.</w:t>
      </w:r>
    </w:p>
  </w:footnote>
  <w:footnote w:id="71">
    <w:p w14:paraId="1E6E64B3" w14:textId="77777777" w:rsidR="005735F0" w:rsidRPr="00784EEC" w:rsidRDefault="005735F0" w:rsidP="005735F0">
      <w:pPr>
        <w:pStyle w:val="FootnoteText"/>
      </w:pPr>
      <w:r w:rsidRPr="00784EEC">
        <w:rPr>
          <w:rStyle w:val="FootnoteReference"/>
        </w:rPr>
        <w:footnoteRef/>
      </w:r>
      <w:r w:rsidRPr="00784EEC">
        <w:t xml:space="preserve"> Terry Abraham, </w:t>
      </w:r>
      <w:r w:rsidRPr="00784EEC">
        <w:rPr>
          <w:i/>
          <w:iCs/>
        </w:rPr>
        <w:t xml:space="preserve">Life of a Mountain: A Year on Blencathra, </w:t>
      </w:r>
      <w:r w:rsidRPr="00784EEC">
        <w:t xml:space="preserve">BBC, 2017 </w:t>
      </w:r>
    </w:p>
  </w:footnote>
  <w:footnote w:id="72">
    <w:p w14:paraId="0C19E96B" w14:textId="77777777" w:rsidR="005735F0" w:rsidRDefault="005735F0" w:rsidP="005735F0">
      <w:pPr>
        <w:pStyle w:val="FootnoteText"/>
      </w:pPr>
      <w:r>
        <w:rPr>
          <w:rStyle w:val="FootnoteReference"/>
        </w:rPr>
        <w:footnoteRef/>
      </w:r>
      <w:r>
        <w:t xml:space="preserve"> Breeze, Andrew, </w:t>
      </w:r>
      <w:r w:rsidRPr="00CD5449">
        <w:rPr>
          <w:i/>
          <w:iCs/>
        </w:rPr>
        <w:t>Three Celtic Toponyms: Setantii, Blencathra, and Pen-y-Ghent</w:t>
      </w:r>
      <w:r>
        <w:t>, Northern History, 43.1 (2006), 161–65</w:t>
      </w:r>
    </w:p>
  </w:footnote>
  <w:footnote w:id="73">
    <w:p w14:paraId="591C5ECC" w14:textId="77777777" w:rsidR="005735F0" w:rsidRPr="00CD5449" w:rsidRDefault="005735F0" w:rsidP="005735F0">
      <w:pPr>
        <w:pStyle w:val="FootnoteText"/>
      </w:pPr>
      <w:r>
        <w:rPr>
          <w:rStyle w:val="FootnoteReference"/>
        </w:rPr>
        <w:footnoteRef/>
      </w:r>
      <w:r>
        <w:t xml:space="preserve"> </w:t>
      </w:r>
      <w:bookmarkStart w:id="11" w:name="_Hlk124698120"/>
      <w:r>
        <w:t xml:space="preserve">David Johnson, </w:t>
      </w:r>
      <w:r>
        <w:rPr>
          <w:i/>
          <w:iCs/>
        </w:rPr>
        <w:t xml:space="preserve">Wainwright on Blencathra, </w:t>
      </w:r>
      <w:r>
        <w:t>Footsteps; The Wainwright Society Magazine, Issue 58 Summer 2017, p. 15.</w:t>
      </w:r>
      <w:bookmarkEnd w:id="11"/>
    </w:p>
  </w:footnote>
  <w:footnote w:id="74">
    <w:p w14:paraId="306DA967" w14:textId="77777777" w:rsidR="005735F0" w:rsidRDefault="005735F0" w:rsidP="005735F0">
      <w:pPr>
        <w:pStyle w:val="FootnoteText"/>
      </w:pPr>
      <w:r>
        <w:rPr>
          <w:rStyle w:val="FootnoteReference"/>
        </w:rPr>
        <w:footnoteRef/>
      </w:r>
      <w:r>
        <w:t xml:space="preserve"> For example, </w:t>
      </w:r>
      <w:r w:rsidRPr="00F47A9C">
        <w:rPr>
          <w:i/>
          <w:iCs/>
        </w:rPr>
        <w:t xml:space="preserve">Lake District and Cumbria, </w:t>
      </w:r>
      <w:r>
        <w:rPr>
          <w:i/>
          <w:iCs/>
        </w:rPr>
        <w:t xml:space="preserve">OS </w:t>
      </w:r>
      <w:r w:rsidRPr="00F47A9C">
        <w:rPr>
          <w:i/>
          <w:iCs/>
        </w:rPr>
        <w:t>Tour Map</w:t>
      </w:r>
      <w:r>
        <w:t>, Ordnance Survey, 2020.</w:t>
      </w:r>
    </w:p>
  </w:footnote>
  <w:footnote w:id="75">
    <w:p w14:paraId="7A08A078" w14:textId="77777777" w:rsidR="005735F0" w:rsidRPr="00784EEC" w:rsidRDefault="005735F0" w:rsidP="005735F0">
      <w:pPr>
        <w:pStyle w:val="FootnoteText"/>
      </w:pPr>
      <w:r w:rsidRPr="00784EEC">
        <w:rPr>
          <w:rStyle w:val="FootnoteReference"/>
        </w:rPr>
        <w:footnoteRef/>
      </w:r>
      <w:r w:rsidRPr="00784EEC">
        <w:t xml:space="preserve"> Christopher Y. Tilley, </w:t>
      </w:r>
      <w:r w:rsidRPr="00784EEC">
        <w:rPr>
          <w:i/>
          <w:iCs/>
        </w:rPr>
        <w:t>A Phenomenology of Landscape: Places, Paths and Monuments</w:t>
      </w:r>
      <w:r w:rsidRPr="00784EEC">
        <w:t xml:space="preserve"> (Oxford: Berg, 1994), p. 18.</w:t>
      </w:r>
    </w:p>
  </w:footnote>
  <w:footnote w:id="76">
    <w:p w14:paraId="38010372" w14:textId="77777777" w:rsidR="005735F0" w:rsidRDefault="005735F0" w:rsidP="005735F0">
      <w:pPr>
        <w:pStyle w:val="FootnoteText"/>
      </w:pPr>
      <w:r>
        <w:rPr>
          <w:rStyle w:val="FootnoteReference"/>
        </w:rPr>
        <w:footnoteRef/>
      </w:r>
      <w:r>
        <w:t xml:space="preserve"> For example, </w:t>
      </w:r>
      <w:hyperlink r:id="rId9" w:history="1">
        <w:r w:rsidRPr="00865B30">
          <w:rPr>
            <w:rStyle w:val="Hyperlink"/>
          </w:rPr>
          <w:t>https://www.embarktravel.co.uk/post/blencathra-the-myth-behind-the-mountain</w:t>
        </w:r>
      </w:hyperlink>
      <w:r>
        <w:t xml:space="preserve"> </w:t>
      </w:r>
    </w:p>
  </w:footnote>
  <w:footnote w:id="77">
    <w:p w14:paraId="19EDFCF7" w14:textId="77777777" w:rsidR="005735F0" w:rsidRDefault="005735F0" w:rsidP="005735F0">
      <w:pPr>
        <w:pStyle w:val="FootnoteText"/>
      </w:pPr>
      <w:r>
        <w:rPr>
          <w:rStyle w:val="FootnoteReference"/>
        </w:rPr>
        <w:footnoteRef/>
      </w:r>
      <w:r>
        <w:t xml:space="preserve"> Breeze, Andrew, </w:t>
      </w:r>
      <w:r w:rsidRPr="00CD5449">
        <w:rPr>
          <w:i/>
          <w:iCs/>
        </w:rPr>
        <w:t>Three Celtic Toponyms: Setantii, Blencathra, and Pen-y-Ghent</w:t>
      </w:r>
      <w:r>
        <w:t>, Northern History, 43.1 (2006), p. 164.</w:t>
      </w:r>
    </w:p>
  </w:footnote>
  <w:footnote w:id="78">
    <w:p w14:paraId="5A0E4D52" w14:textId="77777777" w:rsidR="005735F0" w:rsidRDefault="005735F0" w:rsidP="005735F0">
      <w:pPr>
        <w:pStyle w:val="FootnoteText"/>
      </w:pPr>
      <w:r>
        <w:rPr>
          <w:rStyle w:val="FootnoteReference"/>
        </w:rPr>
        <w:footnoteRef/>
      </w:r>
      <w:r>
        <w:t xml:space="preserve"> Breeze, Andrew, </w:t>
      </w:r>
      <w:r w:rsidRPr="00CD5449">
        <w:rPr>
          <w:i/>
          <w:iCs/>
        </w:rPr>
        <w:t>Three Celtic Toponyms: Setantii, Blencathra, and Pen-y-Ghent</w:t>
      </w:r>
      <w:r>
        <w:t>, Northern History, 43.1 (2006), p. 163.</w:t>
      </w:r>
    </w:p>
  </w:footnote>
  <w:footnote w:id="79">
    <w:p w14:paraId="71B92877" w14:textId="77777777" w:rsidR="005735F0" w:rsidRDefault="005735F0" w:rsidP="005735F0">
      <w:pPr>
        <w:pStyle w:val="FootnoteText"/>
      </w:pPr>
      <w:r>
        <w:rPr>
          <w:rStyle w:val="FootnoteReference"/>
        </w:rPr>
        <w:footnoteRef/>
      </w:r>
      <w:r>
        <w:t xml:space="preserve"> Breeze, Andrew, </w:t>
      </w:r>
      <w:r w:rsidRPr="00CD5449">
        <w:rPr>
          <w:i/>
          <w:iCs/>
        </w:rPr>
        <w:t>Three Celtic Toponyms: Setantii, Blencathra, and Pen-y-Ghent</w:t>
      </w:r>
      <w:r>
        <w:t>, Northern History, 43.1 (2006), p. 164.</w:t>
      </w:r>
    </w:p>
  </w:footnote>
  <w:footnote w:id="80">
    <w:p w14:paraId="675249B9" w14:textId="77777777" w:rsidR="005735F0" w:rsidRDefault="005735F0" w:rsidP="005735F0">
      <w:pPr>
        <w:pStyle w:val="FootnoteText"/>
      </w:pPr>
      <w:r>
        <w:rPr>
          <w:rStyle w:val="FootnoteReference"/>
        </w:rPr>
        <w:footnoteRef/>
      </w:r>
      <w:r>
        <w:t xml:space="preserve"> Breeze, Andrew, </w:t>
      </w:r>
      <w:r w:rsidRPr="00CD5449">
        <w:rPr>
          <w:i/>
          <w:iCs/>
        </w:rPr>
        <w:t>Three Celtic Toponyms: Setantii, Blencathra, and Pen-y-Ghent</w:t>
      </w:r>
      <w:r>
        <w:t>, Northern History, 43.1 (2006), p. 164.</w:t>
      </w:r>
    </w:p>
  </w:footnote>
  <w:footnote w:id="81">
    <w:p w14:paraId="5AE33F02" w14:textId="77777777" w:rsidR="005735F0" w:rsidRDefault="005735F0" w:rsidP="005735F0">
      <w:pPr>
        <w:pStyle w:val="FootnoteText"/>
      </w:pPr>
      <w:r>
        <w:rPr>
          <w:rStyle w:val="FootnoteReference"/>
        </w:rPr>
        <w:footnoteRef/>
      </w:r>
      <w:r>
        <w:t xml:space="preserve"> Breeze, Andrew, </w:t>
      </w:r>
      <w:r w:rsidRPr="00CD5449">
        <w:rPr>
          <w:i/>
          <w:iCs/>
        </w:rPr>
        <w:t>Three Celtic Toponyms: Setantii, Blencathra, and Pen-y-Ghent</w:t>
      </w:r>
      <w:r>
        <w:t>, Northern History, 43.1 (2006), p. 164.</w:t>
      </w:r>
    </w:p>
  </w:footnote>
  <w:footnote w:id="82">
    <w:p w14:paraId="5AF512C8" w14:textId="77777777" w:rsidR="005735F0" w:rsidRDefault="005735F0" w:rsidP="005735F0">
      <w:pPr>
        <w:pStyle w:val="FootnoteText"/>
      </w:pPr>
      <w:r>
        <w:rPr>
          <w:rStyle w:val="FootnoteReference"/>
        </w:rPr>
        <w:footnoteRef/>
      </w:r>
      <w:r>
        <w:t xml:space="preserve"> </w:t>
      </w:r>
      <w:r w:rsidRPr="00784EEC">
        <w:t xml:space="preserve">Darrelyn Gunzburg and Bernadette Brady, </w:t>
      </w:r>
      <w:r w:rsidRPr="00784EEC">
        <w:rPr>
          <w:i/>
          <w:iCs/>
        </w:rPr>
        <w:t xml:space="preserve">Space, Place and Religious Landscapes: Living Mountains, </w:t>
      </w:r>
      <w:r w:rsidRPr="00784EEC">
        <w:t>ed. by Darrelyn Gunzburg and Bernadette Brady, First edition. (London [England: Bloomsbury Academic, 2020), p. 2.</w:t>
      </w:r>
    </w:p>
  </w:footnote>
  <w:footnote w:id="83">
    <w:p w14:paraId="5CAB6245" w14:textId="77777777" w:rsidR="00A30952" w:rsidRDefault="00A30952" w:rsidP="00A30952">
      <w:pPr>
        <w:pStyle w:val="FootnoteText"/>
      </w:pPr>
      <w:r>
        <w:rPr>
          <w:rStyle w:val="FootnoteReference"/>
        </w:rPr>
        <w:footnoteRef/>
      </w:r>
      <w:r>
        <w:t xml:space="preserve"> </w:t>
      </w:r>
      <w:r w:rsidRPr="00201F3F">
        <w:rPr>
          <w:rFonts w:eastAsia="Times New Roman" w:cstheme="minorHAnsi"/>
          <w:lang w:eastAsia="en-GB"/>
        </w:rPr>
        <w:t xml:space="preserve">Bernbaum, Edwin. “Sacred Mountains: Themes and Teachings.” </w:t>
      </w:r>
      <w:r w:rsidRPr="00201F3F">
        <w:rPr>
          <w:rFonts w:eastAsia="Times New Roman" w:cstheme="minorHAnsi"/>
          <w:i/>
          <w:iCs/>
          <w:lang w:eastAsia="en-GB"/>
        </w:rPr>
        <w:t>Mountain Research and Development</w:t>
      </w:r>
      <w:r w:rsidRPr="00201F3F">
        <w:rPr>
          <w:rFonts w:eastAsia="Times New Roman" w:cstheme="minorHAnsi"/>
          <w:lang w:eastAsia="en-GB"/>
        </w:rPr>
        <w:t xml:space="preserve">, vol. 26, no. 4, 2006, pp. 304–09. </w:t>
      </w:r>
      <w:r w:rsidRPr="00201F3F">
        <w:rPr>
          <w:rFonts w:eastAsia="Times New Roman" w:cstheme="minorHAnsi"/>
          <w:i/>
          <w:iCs/>
          <w:lang w:eastAsia="en-GB"/>
        </w:rPr>
        <w:t>JSTOR</w:t>
      </w:r>
      <w:r w:rsidRPr="00201F3F">
        <w:rPr>
          <w:rFonts w:eastAsia="Times New Roman" w:cstheme="minorHAnsi"/>
          <w:lang w:eastAsia="en-GB"/>
        </w:rPr>
        <w:t xml:space="preserve">, http://www.jstor.org/stable/4540647. </w:t>
      </w:r>
      <w:r>
        <w:rPr>
          <w:rFonts w:eastAsia="Times New Roman" w:cstheme="minorHAnsi"/>
          <w:lang w:eastAsia="en-GB"/>
        </w:rPr>
        <w:t>p. 305-6</w:t>
      </w:r>
      <w:r w:rsidRPr="00201F3F">
        <w:rPr>
          <w:rFonts w:eastAsia="Times New Roman" w:cstheme="minorHAnsi"/>
          <w:lang w:eastAsia="en-GB"/>
        </w:rPr>
        <w:t>.</w:t>
      </w:r>
    </w:p>
  </w:footnote>
  <w:footnote w:id="84">
    <w:p w14:paraId="35E5CDE7" w14:textId="77777777" w:rsidR="00A30952" w:rsidRDefault="00A30952" w:rsidP="00A30952">
      <w:pPr>
        <w:pStyle w:val="FootnoteText"/>
      </w:pPr>
      <w:r>
        <w:rPr>
          <w:rStyle w:val="FootnoteReference"/>
        </w:rPr>
        <w:footnoteRef/>
      </w:r>
      <w:r>
        <w:t xml:space="preserve"> Afallach is also known by the names Everling/Eveling (King of the Faeries), Annwf and Annwn.</w:t>
      </w:r>
    </w:p>
  </w:footnote>
  <w:footnote w:id="85">
    <w:p w14:paraId="4C18F2C8" w14:textId="77777777" w:rsidR="00A30952" w:rsidRDefault="00A30952" w:rsidP="00A30952">
      <w:pPr>
        <w:spacing w:line="240" w:lineRule="auto"/>
      </w:pPr>
      <w:r>
        <w:rPr>
          <w:rStyle w:val="FootnoteReference"/>
        </w:rPr>
        <w:footnoteRef/>
      </w:r>
      <w:r>
        <w:t xml:space="preserve"> </w:t>
      </w:r>
      <w:r w:rsidRPr="000F0176">
        <w:rPr>
          <w:sz w:val="20"/>
          <w:szCs w:val="20"/>
        </w:rPr>
        <w:t xml:space="preserve">Andrew Breeze, </w:t>
      </w:r>
      <w:r w:rsidRPr="000F0176">
        <w:rPr>
          <w:i/>
          <w:iCs/>
          <w:sz w:val="20"/>
          <w:szCs w:val="20"/>
        </w:rPr>
        <w:t>Urien Rheged and Battle at Gwen Ystrad</w:t>
      </w:r>
      <w:r w:rsidRPr="000F0176">
        <w:rPr>
          <w:sz w:val="20"/>
          <w:szCs w:val="20"/>
        </w:rPr>
        <w:t xml:space="preserve">, </w:t>
      </w:r>
      <w:r w:rsidRPr="00E92831">
        <w:rPr>
          <w:rFonts w:cstheme="minorHAnsi"/>
          <w:sz w:val="20"/>
          <w:szCs w:val="20"/>
        </w:rPr>
        <w:t xml:space="preserve">Northern History, 52.1 (2015), </w:t>
      </w:r>
      <w:r>
        <w:rPr>
          <w:rFonts w:cstheme="minorHAnsi"/>
          <w:sz w:val="20"/>
          <w:szCs w:val="20"/>
        </w:rPr>
        <w:t>p.9.</w:t>
      </w:r>
    </w:p>
  </w:footnote>
  <w:footnote w:id="86">
    <w:p w14:paraId="7426B0A7" w14:textId="77777777" w:rsidR="00A30952" w:rsidRDefault="00A30952" w:rsidP="00A30952">
      <w:pPr>
        <w:pStyle w:val="FootnoteText"/>
      </w:pPr>
      <w:r>
        <w:rPr>
          <w:rStyle w:val="FootnoteReference"/>
        </w:rPr>
        <w:footnoteRef/>
      </w:r>
      <w:r>
        <w:t xml:space="preserve"> </w:t>
      </w:r>
      <w:bookmarkStart w:id="12" w:name="_Hlk123984911"/>
      <w:r>
        <w:t xml:space="preserve">Taliesin, </w:t>
      </w:r>
      <w:r w:rsidRPr="00B35D85">
        <w:rPr>
          <w:i/>
          <w:iCs/>
          <w:sz w:val="18"/>
          <w:szCs w:val="18"/>
        </w:rPr>
        <w:t>‘</w:t>
      </w:r>
      <w:r w:rsidRPr="00B35D85">
        <w:rPr>
          <w:rFonts w:cstheme="minorHAnsi"/>
          <w:i/>
          <w:iCs/>
        </w:rPr>
        <w:t>Song for Urien Rheged</w:t>
      </w:r>
      <w:r w:rsidRPr="00B35D85">
        <w:rPr>
          <w:rFonts w:cstheme="minorHAnsi"/>
          <w:i/>
          <w:iCs/>
          <w:sz w:val="18"/>
          <w:szCs w:val="18"/>
        </w:rPr>
        <w:t xml:space="preserve">, </w:t>
      </w:r>
      <w:r w:rsidRPr="00B35D85">
        <w:rPr>
          <w:rFonts w:cstheme="minorHAnsi"/>
          <w:i/>
          <w:iCs/>
        </w:rPr>
        <w:t>Book of Taliesin XXXII’</w:t>
      </w:r>
      <w:r w:rsidRPr="00B35D85">
        <w:rPr>
          <w:sz w:val="18"/>
          <w:szCs w:val="18"/>
        </w:rPr>
        <w:t xml:space="preserve"> </w:t>
      </w:r>
      <w:hyperlink r:id="rId10" w:history="1">
        <w:r w:rsidRPr="00A339C6">
          <w:rPr>
            <w:rStyle w:val="Hyperlink"/>
          </w:rPr>
          <w:t>https://www.ancienttexts.org/library/celtic/ctexts/llyfrtaliesin.html</w:t>
        </w:r>
      </w:hyperlink>
      <w:bookmarkEnd w:id="12"/>
      <w:r>
        <w:t xml:space="preserve"> </w:t>
      </w:r>
    </w:p>
  </w:footnote>
  <w:footnote w:id="87">
    <w:p w14:paraId="0B53FA3F" w14:textId="77777777" w:rsidR="00A30952" w:rsidRDefault="00A30952" w:rsidP="00A30952">
      <w:pPr>
        <w:ind w:right="567"/>
      </w:pPr>
      <w:r>
        <w:rPr>
          <w:rStyle w:val="FootnoteReference"/>
        </w:rPr>
        <w:footnoteRef/>
      </w:r>
      <w:r>
        <w:t xml:space="preserve"> </w:t>
      </w:r>
      <w:bookmarkStart w:id="13" w:name="_Hlk123985130"/>
      <w:r w:rsidRPr="00B35D85">
        <w:rPr>
          <w:sz w:val="20"/>
          <w:szCs w:val="20"/>
        </w:rPr>
        <w:t xml:space="preserve">Taliesin, </w:t>
      </w:r>
      <w:r w:rsidRPr="00B35D85">
        <w:rPr>
          <w:rFonts w:cstheme="minorHAnsi"/>
          <w:i/>
          <w:iCs/>
          <w:sz w:val="20"/>
          <w:szCs w:val="20"/>
        </w:rPr>
        <w:t>A Song for Urien Rheged, Book of Taliesin XXXIV</w:t>
      </w:r>
      <w:r w:rsidRPr="00B35D85">
        <w:t xml:space="preserve"> </w:t>
      </w:r>
      <w:hyperlink r:id="rId11" w:history="1">
        <w:r w:rsidRPr="00A339C6">
          <w:rPr>
            <w:rStyle w:val="Hyperlink"/>
            <w:rFonts w:cstheme="minorHAnsi"/>
            <w:i/>
            <w:iCs/>
            <w:sz w:val="20"/>
            <w:szCs w:val="20"/>
          </w:rPr>
          <w:t>https://www.ancienttexts.org/library/celtic/ctexts/llyfrtaliesin.html</w:t>
        </w:r>
      </w:hyperlink>
      <w:r>
        <w:rPr>
          <w:rFonts w:cstheme="minorHAnsi"/>
          <w:i/>
          <w:iCs/>
          <w:sz w:val="20"/>
          <w:szCs w:val="20"/>
        </w:rPr>
        <w:t xml:space="preserve"> </w:t>
      </w:r>
      <w:bookmarkEnd w:id="13"/>
      <w:r>
        <w:t xml:space="preserve"> </w:t>
      </w:r>
    </w:p>
  </w:footnote>
  <w:footnote w:id="88">
    <w:p w14:paraId="2FB3F4DD" w14:textId="77777777" w:rsidR="00A30952" w:rsidRDefault="00A30952" w:rsidP="00A30952">
      <w:pPr>
        <w:pStyle w:val="FootnoteText"/>
      </w:pPr>
      <w:r>
        <w:rPr>
          <w:rStyle w:val="FootnoteReference"/>
        </w:rPr>
        <w:footnoteRef/>
      </w:r>
      <w:r>
        <w:t xml:space="preserve"> James MacKillop, ‘Modron’, A Dictionary of Celtic Mythology (Oxford University Press, 2004)</w:t>
      </w:r>
    </w:p>
  </w:footnote>
  <w:footnote w:id="89">
    <w:p w14:paraId="25C5A20C" w14:textId="77777777" w:rsidR="00A30952" w:rsidRPr="00322279" w:rsidRDefault="00A30952" w:rsidP="00A30952">
      <w:pPr>
        <w:pStyle w:val="FootnoteText"/>
        <w:rPr>
          <w:i/>
          <w:iCs/>
          <w:lang w:val="en-US"/>
        </w:rPr>
      </w:pPr>
      <w:r>
        <w:rPr>
          <w:rStyle w:val="FootnoteReference"/>
        </w:rPr>
        <w:footnoteRef/>
      </w:r>
      <w:r>
        <w:t xml:space="preserve"> Rodney </w:t>
      </w:r>
      <w:r>
        <w:rPr>
          <w:lang w:val="en-US"/>
        </w:rPr>
        <w:t xml:space="preserve">Castleden, </w:t>
      </w:r>
      <w:r>
        <w:rPr>
          <w:i/>
          <w:iCs/>
          <w:lang w:val="en-US"/>
        </w:rPr>
        <w:t>The Element Encyclopedia of the Celts</w:t>
      </w:r>
      <w:r>
        <w:rPr>
          <w:lang w:val="en-US"/>
        </w:rPr>
        <w:t>, (London, Harper Collins, 2013), p. 143.</w:t>
      </w:r>
    </w:p>
    <w:p w14:paraId="29E65F15" w14:textId="77777777" w:rsidR="00A30952" w:rsidRDefault="00A30952" w:rsidP="00A30952">
      <w:pPr>
        <w:pStyle w:val="FootnoteText"/>
      </w:pPr>
    </w:p>
  </w:footnote>
  <w:footnote w:id="90">
    <w:p w14:paraId="05DA6F5D" w14:textId="77777777" w:rsidR="00A30952" w:rsidRDefault="00A30952" w:rsidP="00A30952">
      <w:pPr>
        <w:pStyle w:val="FootnoteText"/>
      </w:pPr>
      <w:r>
        <w:rPr>
          <w:rStyle w:val="FootnoteReference"/>
        </w:rPr>
        <w:footnoteRef/>
      </w:r>
      <w:r>
        <w:t xml:space="preserve"> James MacKillop, ‘Modron’, A Dictionary of Celtic Mythology (Oxford University Press, 2004)</w:t>
      </w:r>
    </w:p>
  </w:footnote>
  <w:footnote w:id="91">
    <w:p w14:paraId="27EF083F" w14:textId="77777777" w:rsidR="00A30952" w:rsidRDefault="00A30952" w:rsidP="00A30952">
      <w:r>
        <w:rPr>
          <w:rStyle w:val="FootnoteReference"/>
        </w:rPr>
        <w:footnoteRef/>
      </w:r>
      <w:r>
        <w:t xml:space="preserve"> </w:t>
      </w:r>
      <w:r w:rsidRPr="00D17477">
        <w:rPr>
          <w:sz w:val="20"/>
          <w:szCs w:val="20"/>
        </w:rPr>
        <w:t>Trioedd Ynys Prydein: The Triads of the Island of Britain, edited by Rachel Bromwich, Kindle Edition, Pen. 47, p.17.</w:t>
      </w:r>
    </w:p>
  </w:footnote>
  <w:footnote w:id="92">
    <w:p w14:paraId="181C1AFA" w14:textId="77777777" w:rsidR="00A30952" w:rsidRDefault="00A30952" w:rsidP="00A30952">
      <w:pPr>
        <w:pStyle w:val="FootnoteText"/>
      </w:pPr>
      <w:r>
        <w:rPr>
          <w:rStyle w:val="FootnoteReference"/>
        </w:rPr>
        <w:footnoteRef/>
      </w:r>
      <w:r>
        <w:t xml:space="preserve"> James MacKillop ‘Annwfn’, A Dictionary of Celtic Mythology (Oxford University Press, 2004). Some accounts place Modron and Afallach in Wales, whereas others place them in Avalon, Glastonbury.</w:t>
      </w:r>
    </w:p>
  </w:footnote>
  <w:footnote w:id="93">
    <w:p w14:paraId="0943A43E" w14:textId="77777777" w:rsidR="00A30952" w:rsidRPr="00322279" w:rsidRDefault="00A30952" w:rsidP="00A30952">
      <w:pPr>
        <w:pStyle w:val="FootnoteText"/>
        <w:rPr>
          <w:lang w:val="en-US"/>
        </w:rPr>
      </w:pPr>
      <w:r>
        <w:rPr>
          <w:rStyle w:val="FootnoteReference"/>
        </w:rPr>
        <w:footnoteRef/>
      </w:r>
      <w:r>
        <w:t xml:space="preserve"> There are other place names local to Blencathra that also resonate with the apple theme of Avalon, for example, Appleby-in-Westmorland in East Cumbria,</w:t>
      </w:r>
    </w:p>
  </w:footnote>
  <w:footnote w:id="94">
    <w:p w14:paraId="03009394" w14:textId="77777777" w:rsidR="00A30952" w:rsidRPr="00322279" w:rsidRDefault="00A30952" w:rsidP="00A30952">
      <w:pPr>
        <w:pStyle w:val="FootnoteText"/>
        <w:rPr>
          <w:i/>
          <w:iCs/>
          <w:lang w:val="en-US"/>
        </w:rPr>
      </w:pPr>
      <w:r>
        <w:rPr>
          <w:rStyle w:val="FootnoteReference"/>
        </w:rPr>
        <w:footnoteRef/>
      </w:r>
      <w:r>
        <w:t xml:space="preserve"> </w:t>
      </w:r>
      <w:r>
        <w:rPr>
          <w:lang w:val="en-US"/>
        </w:rPr>
        <w:t xml:space="preserve">The apple tree is a symbol of immortality in Celtic mythology and, as such, it has strong associations with the Celtic underworld or otherworld. A popular translation of Avalon is  ‘Land of Apples’ or ‘Orchard’. </w:t>
      </w:r>
      <w:bookmarkStart w:id="14" w:name="_Hlk124666567"/>
      <w:r>
        <w:rPr>
          <w:lang w:val="en-US"/>
        </w:rPr>
        <w:t xml:space="preserve">Rodney Castleden, </w:t>
      </w:r>
      <w:r>
        <w:rPr>
          <w:i/>
          <w:iCs/>
          <w:lang w:val="en-US"/>
        </w:rPr>
        <w:t>The Element Encyclopedia of the Celts</w:t>
      </w:r>
      <w:r>
        <w:rPr>
          <w:lang w:val="en-US"/>
        </w:rPr>
        <w:t xml:space="preserve">, (London, Harper Collins, 2013), p. 401.. </w:t>
      </w:r>
    </w:p>
    <w:bookmarkEnd w:id="14"/>
  </w:footnote>
  <w:footnote w:id="95">
    <w:p w14:paraId="482A38F5" w14:textId="77777777" w:rsidR="00A30952" w:rsidRPr="005149F3" w:rsidRDefault="00A30952" w:rsidP="00A30952">
      <w:pPr>
        <w:pStyle w:val="FootnoteText"/>
        <w:rPr>
          <w:lang w:val="en-US"/>
        </w:rPr>
      </w:pPr>
      <w:r>
        <w:rPr>
          <w:rStyle w:val="FootnoteReference"/>
        </w:rPr>
        <w:footnoteRef/>
      </w:r>
      <w:r>
        <w:t xml:space="preserve"> Belden C.  Lane,  </w:t>
      </w:r>
      <w:r w:rsidRPr="00A22F6E">
        <w:rPr>
          <w:i/>
          <w:iCs/>
        </w:rPr>
        <w:t>Landscapes of the Sacred : Geography and Narrative in American Spirituality</w:t>
      </w:r>
      <w:r>
        <w:t>, (Baltimore, Md.: Johns Hopkins University Press, 2002), p. 19.</w:t>
      </w:r>
    </w:p>
  </w:footnote>
  <w:footnote w:id="96">
    <w:p w14:paraId="16D7DE95" w14:textId="77777777" w:rsidR="00A30952" w:rsidRPr="00550FCE" w:rsidRDefault="00A30952" w:rsidP="00A30952">
      <w:pPr>
        <w:pStyle w:val="FootnoteText"/>
      </w:pPr>
      <w:r>
        <w:rPr>
          <w:rStyle w:val="FootnoteReference"/>
        </w:rPr>
        <w:footnoteRef/>
      </w:r>
      <w:r>
        <w:t xml:space="preserve"> Jack Hunter, ‘Greening the Paranormal: Re-wilding and Re-enchantment’, in </w:t>
      </w:r>
      <w:r>
        <w:rPr>
          <w:i/>
          <w:iCs/>
        </w:rPr>
        <w:t>Greening the Paranormal – Exploring the Ecology of Extraordinary Experience,</w:t>
      </w:r>
      <w:r>
        <w:t xml:space="preserve"> ed. Jack Hunter, United States of America and United Kingdom, August Night Press, 2019), p. 13.</w:t>
      </w:r>
    </w:p>
  </w:footnote>
  <w:footnote w:id="97">
    <w:p w14:paraId="7282C0DC" w14:textId="77777777" w:rsidR="00A30952" w:rsidRDefault="00A30952" w:rsidP="00A30952">
      <w:pPr>
        <w:pStyle w:val="FootnoteText"/>
      </w:pPr>
      <w:r>
        <w:rPr>
          <w:rStyle w:val="FootnoteReference"/>
        </w:rPr>
        <w:footnoteRef/>
      </w:r>
      <w:r>
        <w:t xml:space="preserve"> Jack Hunter, ‘Greening the Paranormal: Re-wilding and Re-enchantment’, in </w:t>
      </w:r>
      <w:r>
        <w:rPr>
          <w:i/>
          <w:iCs/>
        </w:rPr>
        <w:t>Greening the Paranormal – Exploring the Ecology of Extraordinary Experience,</w:t>
      </w:r>
      <w:r>
        <w:t xml:space="preserve"> ed. Jack Hunter, United States of America and United Kingdom, August Night Press, 2019),p.13.</w:t>
      </w:r>
    </w:p>
  </w:footnote>
  <w:footnote w:id="98">
    <w:p w14:paraId="1D2DA3BF" w14:textId="77777777" w:rsidR="00A30952" w:rsidRDefault="00A30952" w:rsidP="00A30952">
      <w:pPr>
        <w:pStyle w:val="FootnoteText"/>
      </w:pPr>
      <w:r>
        <w:rPr>
          <w:rStyle w:val="FootnoteReference"/>
        </w:rPr>
        <w:footnoteRef/>
      </w:r>
      <w:r>
        <w:t xml:space="preserve"> </w:t>
      </w:r>
      <w:r w:rsidRPr="00201F3F">
        <w:rPr>
          <w:rFonts w:eastAsia="Times New Roman" w:cstheme="minorHAnsi"/>
          <w:lang w:eastAsia="en-GB"/>
        </w:rPr>
        <w:t xml:space="preserve">Bernbaum, Edwin. “Sacred Mountains: Themes and Teachings.” </w:t>
      </w:r>
      <w:r w:rsidRPr="00201F3F">
        <w:rPr>
          <w:rFonts w:eastAsia="Times New Roman" w:cstheme="minorHAnsi"/>
          <w:i/>
          <w:iCs/>
          <w:lang w:eastAsia="en-GB"/>
        </w:rPr>
        <w:t>Mountain Research and Development</w:t>
      </w:r>
      <w:r w:rsidRPr="00201F3F">
        <w:rPr>
          <w:rFonts w:eastAsia="Times New Roman" w:cstheme="minorHAnsi"/>
          <w:lang w:eastAsia="en-GB"/>
        </w:rPr>
        <w:t xml:space="preserve">, vol. 26, no. 4, 2006, pp. 304–09. </w:t>
      </w:r>
      <w:r w:rsidRPr="00201F3F">
        <w:rPr>
          <w:rFonts w:eastAsia="Times New Roman" w:cstheme="minorHAnsi"/>
          <w:i/>
          <w:iCs/>
          <w:lang w:eastAsia="en-GB"/>
        </w:rPr>
        <w:t>JSTOR</w:t>
      </w:r>
      <w:r w:rsidRPr="00201F3F">
        <w:rPr>
          <w:rFonts w:eastAsia="Times New Roman" w:cstheme="minorHAnsi"/>
          <w:lang w:eastAsia="en-GB"/>
        </w:rPr>
        <w:t xml:space="preserve">, http://www.jstor.org/stable/4540647. </w:t>
      </w:r>
      <w:r>
        <w:rPr>
          <w:rFonts w:eastAsia="Times New Roman" w:cstheme="minorHAnsi"/>
          <w:lang w:eastAsia="en-GB"/>
        </w:rPr>
        <w:t>p. 306.</w:t>
      </w:r>
    </w:p>
  </w:footnote>
  <w:footnote w:id="99">
    <w:p w14:paraId="7AEF988C" w14:textId="77777777" w:rsidR="00A30952" w:rsidRDefault="00A30952" w:rsidP="00A30952">
      <w:pPr>
        <w:pStyle w:val="FootnoteText"/>
      </w:pPr>
      <w:r>
        <w:rPr>
          <w:rStyle w:val="FootnoteReference"/>
        </w:rPr>
        <w:footnoteRef/>
      </w:r>
      <w:r>
        <w:t xml:space="preserve"> Other stories include a silent stream running down the mountain, reflections of stars being seen in Bowscale Tarn during the daytime as well as two immortal fish living in the tarn.</w:t>
      </w:r>
    </w:p>
  </w:footnote>
  <w:footnote w:id="100">
    <w:p w14:paraId="54BC1B9C" w14:textId="77777777" w:rsidR="00A30952" w:rsidRDefault="00A30952" w:rsidP="00A30952">
      <w:pPr>
        <w:pStyle w:val="FootnoteText"/>
      </w:pPr>
      <w:r>
        <w:rPr>
          <w:rStyle w:val="FootnoteReference"/>
        </w:rPr>
        <w:footnoteRef/>
      </w:r>
      <w:r>
        <w:t xml:space="preserve"> </w:t>
      </w:r>
      <w:r w:rsidRPr="00BB0BBD">
        <w:rPr>
          <w:color w:val="000000"/>
        </w:rPr>
        <w:t>, A Survey of the Lakes of Cumberland, Westmorland, and Lancashire, written and published by James Clarke, Penrith, Cumberland, and in London etc, 1787; published 1787-93, p.</w:t>
      </w:r>
      <w:r>
        <w:rPr>
          <w:color w:val="000000"/>
        </w:rPr>
        <w:t xml:space="preserve">56. </w:t>
      </w:r>
      <w:hyperlink r:id="rId12" w:history="1">
        <w:r w:rsidRPr="00216E41">
          <w:rPr>
            <w:rStyle w:val="Hyperlink"/>
          </w:rPr>
          <w:t>https://www.lakesguides.co.uk/html/LakesTxt/cl13p060.htm</w:t>
        </w:r>
      </w:hyperlink>
    </w:p>
  </w:footnote>
  <w:footnote w:id="101">
    <w:p w14:paraId="4F7C071D" w14:textId="77777777" w:rsidR="00A30952" w:rsidRDefault="00A30952" w:rsidP="00A30952">
      <w:pPr>
        <w:pStyle w:val="FootnoteText"/>
      </w:pPr>
      <w:r>
        <w:rPr>
          <w:rStyle w:val="FootnoteReference"/>
        </w:rPr>
        <w:footnoteRef/>
      </w:r>
      <w:r>
        <w:t xml:space="preserve"> Belden C.  Lane,  </w:t>
      </w:r>
      <w:r w:rsidRPr="00A22F6E">
        <w:rPr>
          <w:i/>
          <w:iCs/>
        </w:rPr>
        <w:t>Landscapes of the Sacred : Geography and Narrative in American Spirituality</w:t>
      </w:r>
      <w:r>
        <w:t>, (Baltimore, Md.: Johns Hopkins University Press, 2002), p. 19.</w:t>
      </w:r>
    </w:p>
  </w:footnote>
  <w:footnote w:id="102">
    <w:p w14:paraId="6429BC66" w14:textId="77777777" w:rsidR="00A30952" w:rsidRDefault="00A30952" w:rsidP="00A30952">
      <w:pPr>
        <w:pStyle w:val="FootnoteText"/>
      </w:pPr>
      <w:r>
        <w:rPr>
          <w:rStyle w:val="FootnoteReference"/>
        </w:rPr>
        <w:footnoteRef/>
      </w:r>
      <w:r>
        <w:t xml:space="preserve"> Belden C.  Lane,  </w:t>
      </w:r>
      <w:r w:rsidRPr="00A22F6E">
        <w:rPr>
          <w:i/>
          <w:iCs/>
        </w:rPr>
        <w:t>Landscapes of the Sacred : Geography and Narrative in American Spirituality</w:t>
      </w:r>
      <w:r>
        <w:t>, (Baltimore, Md.: Johns Hopkins University Press, 2002), p. 19.</w:t>
      </w:r>
    </w:p>
  </w:footnote>
  <w:footnote w:id="103">
    <w:p w14:paraId="3E294664" w14:textId="77777777" w:rsidR="00CA67D5" w:rsidRDefault="00CA67D5" w:rsidP="00CA67D5">
      <w:pPr>
        <w:pStyle w:val="FootnoteText"/>
      </w:pPr>
      <w:r>
        <w:rPr>
          <w:rStyle w:val="FootnoteReference"/>
        </w:rPr>
        <w:footnoteRef/>
      </w:r>
      <w:r>
        <w:t xml:space="preserve"> The Blencathra Hunt is also known as The Blencathra Foxhounds and the John Peel Hunt. </w:t>
      </w:r>
    </w:p>
  </w:footnote>
  <w:footnote w:id="104">
    <w:p w14:paraId="507E4A9C" w14:textId="77777777" w:rsidR="00CA67D5" w:rsidRPr="002431BC" w:rsidRDefault="00CA67D5" w:rsidP="00CA67D5">
      <w:pPr>
        <w:pStyle w:val="FootnoteText"/>
        <w:rPr>
          <w:lang w:val="en-US"/>
        </w:rPr>
      </w:pPr>
      <w:r>
        <w:rPr>
          <w:rStyle w:val="FootnoteReference"/>
        </w:rPr>
        <w:footnoteRef/>
      </w:r>
      <w:r>
        <w:t xml:space="preserve"> </w:t>
      </w:r>
      <w:hyperlink r:id="rId13" w:history="1">
        <w:r>
          <w:rPr>
            <w:rStyle w:val="Hyperlink"/>
          </w:rPr>
          <w:t>The Internet Classics Archive | Physics by Aristotle (mit.edu)</w:t>
        </w:r>
      </w:hyperlink>
      <w:r>
        <w:t xml:space="preserve"> Book 2, 1</w:t>
      </w:r>
    </w:p>
  </w:footnote>
  <w:footnote w:id="105">
    <w:p w14:paraId="18012C2C" w14:textId="77777777" w:rsidR="00CA67D5" w:rsidRDefault="00CA67D5" w:rsidP="00CA67D5">
      <w:pPr>
        <w:pStyle w:val="FootnoteText"/>
      </w:pPr>
      <w:r>
        <w:rPr>
          <w:rStyle w:val="FootnoteReference"/>
        </w:rPr>
        <w:footnoteRef/>
      </w:r>
      <w:r>
        <w:t xml:space="preserve"> The Hunt’s area does not just cover Blencathra and the Skiddaw Group – it extends to Caldbeck in the north and Great Gable in the south - </w:t>
      </w:r>
      <w:hyperlink r:id="rId14" w:history="1">
        <w:r w:rsidRPr="008C7382">
          <w:rPr>
            <w:rStyle w:val="Hyperlink"/>
          </w:rPr>
          <w:t>http://www.blencathrafoxhounds.co.uk/Origins.htm</w:t>
        </w:r>
      </w:hyperlink>
      <w:r>
        <w:t xml:space="preserve"> </w:t>
      </w:r>
    </w:p>
  </w:footnote>
  <w:footnote w:id="106">
    <w:p w14:paraId="0008643D" w14:textId="77777777" w:rsidR="00CA67D5" w:rsidRDefault="00CA67D5" w:rsidP="00CA67D5">
      <w:pPr>
        <w:pStyle w:val="FootnoteText"/>
      </w:pPr>
      <w:r>
        <w:rPr>
          <w:rStyle w:val="FootnoteReference"/>
        </w:rPr>
        <w:footnoteRef/>
      </w:r>
      <w:r>
        <w:t xml:space="preserve"> For example,</w:t>
      </w:r>
      <w:r w:rsidRPr="00876B9C">
        <w:t xml:space="preserve"> </w:t>
      </w:r>
      <w:r>
        <w:t>in October 2021, the anti-hunting lobby petitioned Keswick Town Council to ask the Hunt to refrain from attending Keswick on the upcoming Boxing Day.  K</w:t>
      </w:r>
      <w:r w:rsidRPr="009E17EE">
        <w:t>eswickreminder.co.uk/2021/11/08/blencathra-foxhounds-face-fresh-fight-to-save-boxing-day-gathering/</w:t>
      </w:r>
      <w:r>
        <w:t xml:space="preserve"> </w:t>
      </w:r>
    </w:p>
  </w:footnote>
  <w:footnote w:id="107">
    <w:p w14:paraId="5CFA19E0" w14:textId="77777777" w:rsidR="00CA67D5" w:rsidRDefault="00CA67D5" w:rsidP="00CA67D5">
      <w:pPr>
        <w:pStyle w:val="FootnoteText"/>
      </w:pPr>
      <w:r>
        <w:rPr>
          <w:rStyle w:val="FootnoteReference"/>
        </w:rPr>
        <w:footnoteRef/>
      </w:r>
      <w:r>
        <w:t xml:space="preserve"> </w:t>
      </w:r>
      <w:hyperlink r:id="rId15" w:history="1">
        <w:r w:rsidRPr="008C7382">
          <w:rPr>
            <w:rStyle w:val="Hyperlink"/>
          </w:rPr>
          <w:t>https://www.dailymail.co.uk/news/article-5529417/Campaign-buy-Lake-District-mountain-ends-death-threats.html</w:t>
        </w:r>
      </w:hyperlink>
      <w:r>
        <w:t xml:space="preserve"> </w:t>
      </w:r>
    </w:p>
  </w:footnote>
  <w:footnote w:id="108">
    <w:p w14:paraId="01BF9C8B" w14:textId="77777777" w:rsidR="00CA67D5" w:rsidRDefault="00CA67D5" w:rsidP="00CA67D5">
      <w:pPr>
        <w:spacing w:after="0" w:line="240" w:lineRule="auto"/>
      </w:pPr>
      <w:r>
        <w:rPr>
          <w:rStyle w:val="FootnoteReference"/>
        </w:rPr>
        <w:footnoteRef/>
      </w:r>
      <w:r>
        <w:t xml:space="preserve"> Barbara </w:t>
      </w:r>
      <w:r w:rsidRPr="00173EFC">
        <w:rPr>
          <w:rFonts w:eastAsia="Times New Roman" w:cstheme="minorHAnsi"/>
          <w:lang w:eastAsia="en-GB"/>
        </w:rPr>
        <w:t xml:space="preserve">Bender, “Theorising Landscapes, and the Prehistoric Landscapes of Stonehenge.” </w:t>
      </w:r>
      <w:r w:rsidRPr="00173EFC">
        <w:rPr>
          <w:rFonts w:eastAsia="Times New Roman" w:cstheme="minorHAnsi"/>
          <w:i/>
          <w:iCs/>
          <w:lang w:eastAsia="en-GB"/>
        </w:rPr>
        <w:t>Man</w:t>
      </w:r>
      <w:r w:rsidRPr="00173EFC">
        <w:rPr>
          <w:rFonts w:eastAsia="Times New Roman" w:cstheme="minorHAnsi"/>
          <w:lang w:eastAsia="en-GB"/>
        </w:rPr>
        <w:t xml:space="preserve">, vol. 27, no. 4, 1992, p. </w:t>
      </w:r>
      <w:r>
        <w:rPr>
          <w:rFonts w:eastAsia="Times New Roman" w:cstheme="minorHAnsi"/>
          <w:lang w:eastAsia="en-GB"/>
        </w:rPr>
        <w:t>99</w:t>
      </w:r>
      <w:r w:rsidRPr="00173EFC">
        <w:rPr>
          <w:rFonts w:eastAsia="Times New Roman" w:cstheme="minorHAnsi"/>
          <w:lang w:eastAsia="en-GB"/>
        </w:rPr>
        <w:t xml:space="preserve">. </w:t>
      </w:r>
      <w:r w:rsidRPr="00173EFC">
        <w:rPr>
          <w:rFonts w:eastAsia="Times New Roman" w:cstheme="minorHAnsi"/>
          <w:i/>
          <w:iCs/>
          <w:lang w:eastAsia="en-GB"/>
        </w:rPr>
        <w:t>JSTOR</w:t>
      </w:r>
      <w:r w:rsidRPr="00173EFC">
        <w:rPr>
          <w:rFonts w:eastAsia="Times New Roman" w:cstheme="minorHAnsi"/>
          <w:lang w:eastAsia="en-GB"/>
        </w:rPr>
        <w:t>, https://doi.org/10.2307/2804172.</w:t>
      </w:r>
    </w:p>
  </w:footnote>
  <w:footnote w:id="109">
    <w:p w14:paraId="2EE52C68" w14:textId="77777777" w:rsidR="00CA67D5" w:rsidRDefault="00CA67D5" w:rsidP="00CA67D5">
      <w:pPr>
        <w:pStyle w:val="FootnoteText"/>
      </w:pPr>
      <w:r>
        <w:rPr>
          <w:rStyle w:val="FootnoteReference"/>
        </w:rPr>
        <w:footnoteRef/>
      </w:r>
      <w:r>
        <w:t xml:space="preserve"> </w:t>
      </w:r>
      <w:hyperlink r:id="rId16" w:history="1">
        <w:r>
          <w:rPr>
            <w:rStyle w:val="Hyperlink"/>
          </w:rPr>
          <w:t>The Internet Classics Archive | Physics by Aristotle (mit.edu)</w:t>
        </w:r>
      </w:hyperlink>
      <w:r>
        <w:t xml:space="preserve"> Book 2, 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7B9"/>
    <w:rsid w:val="00017A94"/>
    <w:rsid w:val="00024A8B"/>
    <w:rsid w:val="0004386D"/>
    <w:rsid w:val="000D4003"/>
    <w:rsid w:val="000E2A3A"/>
    <w:rsid w:val="000E41DB"/>
    <w:rsid w:val="00106379"/>
    <w:rsid w:val="001246C8"/>
    <w:rsid w:val="0023301F"/>
    <w:rsid w:val="00246AA5"/>
    <w:rsid w:val="00304D51"/>
    <w:rsid w:val="003C23C9"/>
    <w:rsid w:val="003C2A53"/>
    <w:rsid w:val="004C20CD"/>
    <w:rsid w:val="004E741F"/>
    <w:rsid w:val="005735F0"/>
    <w:rsid w:val="005E0AF5"/>
    <w:rsid w:val="00623953"/>
    <w:rsid w:val="00683539"/>
    <w:rsid w:val="006A796A"/>
    <w:rsid w:val="006D3A6F"/>
    <w:rsid w:val="007008BA"/>
    <w:rsid w:val="00723F4D"/>
    <w:rsid w:val="00746027"/>
    <w:rsid w:val="007C3C65"/>
    <w:rsid w:val="00844FA4"/>
    <w:rsid w:val="008E4D96"/>
    <w:rsid w:val="00984D9F"/>
    <w:rsid w:val="009D02D0"/>
    <w:rsid w:val="00A30952"/>
    <w:rsid w:val="00B05ADD"/>
    <w:rsid w:val="00B4045F"/>
    <w:rsid w:val="00B83AC9"/>
    <w:rsid w:val="00BA5577"/>
    <w:rsid w:val="00CA67D5"/>
    <w:rsid w:val="00D367B9"/>
    <w:rsid w:val="00D57B30"/>
    <w:rsid w:val="00D70097"/>
    <w:rsid w:val="00D974D6"/>
    <w:rsid w:val="00E355F4"/>
    <w:rsid w:val="00E37F71"/>
    <w:rsid w:val="00E80C53"/>
    <w:rsid w:val="00F22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9D90AA"/>
  <w15:chartTrackingRefBased/>
  <w15:docId w15:val="{A606F76A-CC92-4190-A892-D8055839A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7B9"/>
  </w:style>
  <w:style w:type="paragraph" w:styleId="Heading1">
    <w:name w:val="heading 1"/>
    <w:basedOn w:val="Normal"/>
    <w:next w:val="Normal"/>
    <w:link w:val="Heading1Char"/>
    <w:uiPriority w:val="9"/>
    <w:qFormat/>
    <w:rsid w:val="00D367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7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67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367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7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67B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367B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367B9"/>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D367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7B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367B9"/>
    <w:rPr>
      <w:color w:val="0563C1" w:themeColor="hyperlink"/>
      <w:u w:val="single"/>
    </w:rPr>
  </w:style>
  <w:style w:type="paragraph" w:styleId="FootnoteText">
    <w:name w:val="footnote text"/>
    <w:basedOn w:val="Normal"/>
    <w:link w:val="FootnoteTextChar"/>
    <w:uiPriority w:val="99"/>
    <w:unhideWhenUsed/>
    <w:rsid w:val="00D367B9"/>
    <w:pPr>
      <w:spacing w:after="0" w:line="240" w:lineRule="auto"/>
    </w:pPr>
    <w:rPr>
      <w:sz w:val="20"/>
      <w:szCs w:val="20"/>
    </w:rPr>
  </w:style>
  <w:style w:type="character" w:customStyle="1" w:styleId="FootnoteTextChar">
    <w:name w:val="Footnote Text Char"/>
    <w:basedOn w:val="DefaultParagraphFont"/>
    <w:link w:val="FootnoteText"/>
    <w:uiPriority w:val="99"/>
    <w:rsid w:val="00D367B9"/>
    <w:rPr>
      <w:sz w:val="20"/>
      <w:szCs w:val="20"/>
    </w:rPr>
  </w:style>
  <w:style w:type="character" w:styleId="FootnoteReference">
    <w:name w:val="footnote reference"/>
    <w:basedOn w:val="DefaultParagraphFont"/>
    <w:uiPriority w:val="99"/>
    <w:unhideWhenUsed/>
    <w:rsid w:val="00D367B9"/>
    <w:rPr>
      <w:vertAlign w:val="superscript"/>
    </w:rPr>
  </w:style>
  <w:style w:type="paragraph" w:styleId="Header">
    <w:name w:val="header"/>
    <w:basedOn w:val="Normal"/>
    <w:link w:val="HeaderChar"/>
    <w:uiPriority w:val="99"/>
    <w:unhideWhenUsed/>
    <w:rsid w:val="006239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953"/>
  </w:style>
  <w:style w:type="paragraph" w:styleId="Footer">
    <w:name w:val="footer"/>
    <w:basedOn w:val="Normal"/>
    <w:link w:val="FooterChar"/>
    <w:uiPriority w:val="99"/>
    <w:unhideWhenUsed/>
    <w:rsid w:val="006239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9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6.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hdphoto" Target="media/hdphoto1.wdp"/><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classics.mit.edu/Aristotle/physics.2.ii.html" TargetMode="External"/><Relationship Id="rId13" Type="http://schemas.openxmlformats.org/officeDocument/2006/relationships/hyperlink" Target="http://classics.mit.edu/Aristotle/physics.2.ii.html" TargetMode="External"/><Relationship Id="rId3" Type="http://schemas.openxmlformats.org/officeDocument/2006/relationships/hyperlink" Target="https://www.herdy.co.uk/did-ewe-know/blencathra-facts-a-wainwright-favourite/" TargetMode="External"/><Relationship Id="rId7" Type="http://schemas.openxmlformats.org/officeDocument/2006/relationships/hyperlink" Target="http://www.jstor.org/stable/4540647" TargetMode="External"/><Relationship Id="rId12" Type="http://schemas.openxmlformats.org/officeDocument/2006/relationships/hyperlink" Target="https://www.lakesguides.co.uk/html/LakesTxt/cl13p060.htm" TargetMode="External"/><Relationship Id="rId2" Type="http://schemas.openxmlformats.org/officeDocument/2006/relationships/hyperlink" Target="http://www.jstor.org/stable/4540647" TargetMode="External"/><Relationship Id="rId16" Type="http://schemas.openxmlformats.org/officeDocument/2006/relationships/hyperlink" Target="http://classics.mit.edu/Aristotle/physics.2.ii.html" TargetMode="External"/><Relationship Id="rId1" Type="http://schemas.openxmlformats.org/officeDocument/2006/relationships/hyperlink" Target="http://www.themountainguide.co.uk" TargetMode="External"/><Relationship Id="rId6" Type="http://schemas.openxmlformats.org/officeDocument/2006/relationships/hyperlink" Target="https://keswickmrt.org.uk/safety-hotspots" TargetMode="External"/><Relationship Id="rId11" Type="http://schemas.openxmlformats.org/officeDocument/2006/relationships/hyperlink" Target="https://www.ancienttexts.org/library/celtic/ctexts/llyfrtaliesin.html" TargetMode="External"/><Relationship Id="rId5" Type="http://schemas.openxmlformats.org/officeDocument/2006/relationships/hyperlink" Target="http://www.jstor.org/stable/4540647" TargetMode="External"/><Relationship Id="rId15" Type="http://schemas.openxmlformats.org/officeDocument/2006/relationships/hyperlink" Target="https://www.dailymail.co.uk/news/article-5529417/Campaign-buy-Lake-District-mountain-ends-death-threats.html" TargetMode="External"/><Relationship Id="rId10" Type="http://schemas.openxmlformats.org/officeDocument/2006/relationships/hyperlink" Target="https://www.ancienttexts.org/library/celtic/ctexts/llyfrtaliesin.html" TargetMode="External"/><Relationship Id="rId4" Type="http://schemas.openxmlformats.org/officeDocument/2006/relationships/hyperlink" Target="http://classics.mit.edu/Aristotle/physics.2.ii.html" TargetMode="External"/><Relationship Id="rId9" Type="http://schemas.openxmlformats.org/officeDocument/2006/relationships/hyperlink" Target="https://www.embarktravel.co.uk/post/blencathra-the-myth-behind-the-mountain" TargetMode="External"/><Relationship Id="rId14" Type="http://schemas.openxmlformats.org/officeDocument/2006/relationships/hyperlink" Target="http://www.blencathrafoxhounds.co.uk/Origin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6DF5C-D98F-49E9-A227-A8245B0D6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20</Pages>
  <Words>7090</Words>
  <Characters>34245</Characters>
  <Application>Microsoft Office Word</Application>
  <DocSecurity>0</DocSecurity>
  <Lines>496</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Allen (2008524)</dc:creator>
  <cp:keywords/>
  <dc:description/>
  <cp:lastModifiedBy>Christine Allen (2008524)</cp:lastModifiedBy>
  <cp:revision>7</cp:revision>
  <dcterms:created xsi:type="dcterms:W3CDTF">2023-01-15T15:06:00Z</dcterms:created>
  <dcterms:modified xsi:type="dcterms:W3CDTF">2023-01-18T20:35:00Z</dcterms:modified>
</cp:coreProperties>
</file>