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57D3B0A">
      <w:pPr>
        <w:spacing w:line="360" w:lineRule="auto"/>
        <w:jc w:val="center"/>
        <w:rPr>
          <w:rFonts w:ascii="Arial" w:hAnsi="Arial" w:eastAsia="Arial" w:cs="Arial"/>
          <w:sz w:val="32"/>
          <w:szCs w:val="32"/>
        </w:rPr>
      </w:pPr>
    </w:p>
    <w:p w14:paraId="5737738E">
      <w:pPr>
        <w:spacing w:line="360" w:lineRule="auto"/>
        <w:jc w:val="center"/>
        <w:rPr>
          <w:rFonts w:ascii="Arial" w:hAnsi="Arial" w:eastAsia="Arial" w:cs="Arial"/>
          <w:sz w:val="32"/>
          <w:szCs w:val="32"/>
        </w:rPr>
      </w:pPr>
    </w:p>
    <w:p w14:paraId="09B8D5B3">
      <w:pPr>
        <w:spacing w:line="360" w:lineRule="auto"/>
        <w:jc w:val="center"/>
        <w:rPr>
          <w:rFonts w:ascii="Arial" w:hAnsi="Arial" w:eastAsia="Arial" w:cs="Arial"/>
          <w:sz w:val="32"/>
          <w:szCs w:val="32"/>
        </w:rPr>
      </w:pPr>
      <w:r>
        <w:rPr>
          <w:rFonts w:ascii="Arial" w:hAnsi="Arial" w:eastAsia="Arial" w:cs="Arial"/>
          <w:sz w:val="32"/>
          <w:szCs w:val="32"/>
        </w:rPr>
        <w:t>Student Name: Osadolor Edenene</w:t>
      </w:r>
    </w:p>
    <w:p w14:paraId="476CCB0C">
      <w:pPr>
        <w:spacing w:line="360" w:lineRule="auto"/>
        <w:jc w:val="center"/>
        <w:rPr>
          <w:rFonts w:ascii="Arial" w:hAnsi="Arial" w:eastAsia="Arial" w:cs="Arial"/>
          <w:sz w:val="32"/>
          <w:szCs w:val="32"/>
        </w:rPr>
      </w:pPr>
      <w:r>
        <w:rPr>
          <w:rFonts w:ascii="Arial" w:hAnsi="Arial" w:eastAsia="Arial" w:cs="Arial"/>
          <w:sz w:val="32"/>
          <w:szCs w:val="32"/>
        </w:rPr>
        <w:t>Student ID Number: 2507561</w:t>
      </w:r>
    </w:p>
    <w:p w14:paraId="28548E30">
      <w:pPr>
        <w:spacing w:line="360" w:lineRule="auto"/>
        <w:jc w:val="center"/>
        <w:rPr>
          <w:rFonts w:ascii="Arial" w:hAnsi="Arial" w:eastAsia="Arial" w:cs="Arial"/>
          <w:sz w:val="32"/>
          <w:szCs w:val="32"/>
        </w:rPr>
      </w:pPr>
      <w:r>
        <w:rPr>
          <w:rFonts w:ascii="Arial" w:hAnsi="Arial" w:eastAsia="Arial" w:cs="Arial"/>
          <w:sz w:val="32"/>
          <w:szCs w:val="32"/>
        </w:rPr>
        <w:t xml:space="preserve">Module: Introduction to Public Health </w:t>
      </w:r>
    </w:p>
    <w:p w14:paraId="2F0F9818">
      <w:pPr>
        <w:spacing w:line="360" w:lineRule="auto"/>
        <w:jc w:val="center"/>
        <w:rPr>
          <w:rFonts w:ascii="Arial" w:hAnsi="Arial" w:eastAsia="Arial" w:cs="Arial"/>
          <w:sz w:val="32"/>
          <w:szCs w:val="32"/>
        </w:rPr>
      </w:pPr>
      <w:r>
        <w:rPr>
          <w:rFonts w:ascii="Arial" w:hAnsi="Arial" w:eastAsia="Arial" w:cs="Arial"/>
          <w:sz w:val="32"/>
          <w:szCs w:val="32"/>
        </w:rPr>
        <w:t>Module Code: LCHS 4008</w:t>
      </w:r>
    </w:p>
    <w:p w14:paraId="2460BB41">
      <w:pPr>
        <w:spacing w:line="360" w:lineRule="auto"/>
        <w:jc w:val="center"/>
        <w:rPr>
          <w:rFonts w:ascii="Arial" w:hAnsi="Arial" w:eastAsia="Arial" w:cs="Arial"/>
          <w:sz w:val="32"/>
          <w:szCs w:val="32"/>
        </w:rPr>
      </w:pPr>
      <w:r>
        <w:rPr>
          <w:rFonts w:ascii="Arial" w:hAnsi="Arial" w:eastAsia="Arial" w:cs="Arial"/>
          <w:sz w:val="32"/>
          <w:szCs w:val="32"/>
        </w:rPr>
        <w:t>Lecturer: Gillian Weaver</w:t>
      </w:r>
    </w:p>
    <w:p w14:paraId="12355C4C">
      <w:pPr>
        <w:spacing w:line="360" w:lineRule="auto"/>
        <w:jc w:val="center"/>
        <w:rPr>
          <w:rFonts w:ascii="Arial" w:hAnsi="Arial" w:eastAsia="Arial" w:cs="Arial"/>
          <w:sz w:val="32"/>
          <w:szCs w:val="32"/>
        </w:rPr>
      </w:pPr>
      <w:r>
        <w:rPr>
          <w:rFonts w:ascii="Arial" w:hAnsi="Arial" w:eastAsia="Arial" w:cs="Arial"/>
          <w:sz w:val="32"/>
          <w:szCs w:val="32"/>
        </w:rPr>
        <w:t xml:space="preserve">Assignment Title: Report on a Health Issue </w:t>
      </w:r>
    </w:p>
    <w:p w14:paraId="20B792C3">
      <w:pPr>
        <w:spacing w:line="360" w:lineRule="auto"/>
        <w:jc w:val="center"/>
        <w:rPr>
          <w:rFonts w:ascii="Arial" w:hAnsi="Arial" w:eastAsia="Arial" w:cs="Arial"/>
          <w:sz w:val="32"/>
          <w:szCs w:val="32"/>
        </w:rPr>
      </w:pPr>
      <w:r>
        <w:rPr>
          <w:rFonts w:ascii="Arial" w:hAnsi="Arial" w:eastAsia="Arial" w:cs="Arial"/>
          <w:sz w:val="32"/>
          <w:szCs w:val="32"/>
        </w:rPr>
        <w:t>Word Count: 1,513 words</w:t>
      </w:r>
    </w:p>
    <w:p w14:paraId="5AAA7456">
      <w:pPr>
        <w:spacing w:line="360" w:lineRule="auto"/>
        <w:rPr>
          <w:rFonts w:ascii="Arial" w:hAnsi="Arial" w:eastAsia="Arial" w:cs="Arial"/>
          <w:sz w:val="24"/>
        </w:rPr>
      </w:pPr>
    </w:p>
    <w:p w14:paraId="4D882313">
      <w:pPr>
        <w:spacing w:line="360" w:lineRule="auto"/>
        <w:rPr>
          <w:rFonts w:ascii="Arial" w:hAnsi="Arial" w:eastAsia="Arial" w:cs="Arial"/>
          <w:sz w:val="24"/>
        </w:rPr>
      </w:pPr>
    </w:p>
    <w:p w14:paraId="5A00D466">
      <w:pPr>
        <w:spacing w:line="360" w:lineRule="auto"/>
        <w:rPr>
          <w:rFonts w:ascii="Arial" w:hAnsi="Arial" w:eastAsia="Arial" w:cs="Arial"/>
          <w:sz w:val="24"/>
        </w:rPr>
      </w:pPr>
    </w:p>
    <w:p w14:paraId="3347AE2D">
      <w:pPr>
        <w:spacing w:line="360" w:lineRule="auto"/>
        <w:rPr>
          <w:rFonts w:ascii="Arial" w:hAnsi="Arial" w:eastAsia="Arial" w:cs="Arial"/>
          <w:sz w:val="24"/>
        </w:rPr>
      </w:pPr>
    </w:p>
    <w:p w14:paraId="04BA4A0D">
      <w:pPr>
        <w:spacing w:line="360" w:lineRule="auto"/>
        <w:rPr>
          <w:rFonts w:ascii="Arial" w:hAnsi="Arial" w:eastAsia="Arial" w:cs="Arial"/>
          <w:sz w:val="24"/>
        </w:rPr>
      </w:pPr>
    </w:p>
    <w:p w14:paraId="7D13210B">
      <w:pPr>
        <w:spacing w:line="360" w:lineRule="auto"/>
        <w:rPr>
          <w:rFonts w:ascii="Arial" w:hAnsi="Arial" w:eastAsia="Arial" w:cs="Arial"/>
          <w:sz w:val="24"/>
        </w:rPr>
      </w:pPr>
    </w:p>
    <w:p w14:paraId="0AC93D41">
      <w:pPr>
        <w:spacing w:line="360" w:lineRule="auto"/>
        <w:rPr>
          <w:rFonts w:ascii="Arial" w:hAnsi="Arial" w:eastAsia="Arial" w:cs="Arial"/>
          <w:sz w:val="24"/>
        </w:rPr>
      </w:pPr>
    </w:p>
    <w:p w14:paraId="6E81BB0B">
      <w:pPr>
        <w:spacing w:line="360" w:lineRule="auto"/>
        <w:rPr>
          <w:rFonts w:ascii="Arial" w:hAnsi="Arial" w:eastAsia="Arial" w:cs="Arial"/>
          <w:sz w:val="24"/>
        </w:rPr>
      </w:pPr>
    </w:p>
    <w:p w14:paraId="392E1619">
      <w:pPr>
        <w:spacing w:line="360" w:lineRule="auto"/>
        <w:rPr>
          <w:rFonts w:ascii="Arial" w:hAnsi="Arial" w:eastAsia="Arial" w:cs="Arial"/>
          <w:sz w:val="24"/>
        </w:rPr>
      </w:pPr>
    </w:p>
    <w:p w14:paraId="4BF6AE8E">
      <w:pPr>
        <w:spacing w:line="360" w:lineRule="auto"/>
        <w:rPr>
          <w:rFonts w:ascii="Arial" w:hAnsi="Arial" w:eastAsia="Arial" w:cs="Arial"/>
          <w:sz w:val="24"/>
        </w:rPr>
      </w:pPr>
    </w:p>
    <w:p w14:paraId="11BDF218">
      <w:pPr>
        <w:widowControl/>
        <w:spacing w:beforeAutospacing="1" w:after="0" w:afterAutospacing="1" w:line="360" w:lineRule="auto"/>
        <w:rPr>
          <w:rFonts w:ascii="Arial" w:hAnsi="Arial" w:eastAsia="Arial" w:cs="Arial"/>
          <w:b/>
          <w:bCs/>
          <w:sz w:val="24"/>
        </w:rPr>
      </w:pPr>
    </w:p>
    <w:p w14:paraId="6550FBF1">
      <w:pPr>
        <w:widowControl/>
        <w:spacing w:beforeAutospacing="1" w:after="0" w:afterAutospacing="1" w:line="360" w:lineRule="auto"/>
        <w:rPr>
          <w:rFonts w:ascii="Arial" w:hAnsi="Arial" w:eastAsia="Arial" w:cs="Arial"/>
          <w:b/>
          <w:bCs/>
          <w:sz w:val="22"/>
          <w:szCs w:val="22"/>
        </w:rPr>
      </w:pPr>
      <w:r>
        <w:rPr>
          <w:rFonts w:ascii="Arial" w:hAnsi="Arial" w:eastAsia="Arial" w:cs="Arial"/>
          <w:b/>
          <w:bCs/>
          <w:sz w:val="22"/>
          <w:szCs w:val="22"/>
        </w:rPr>
        <w:t xml:space="preserve">INTRODUCTION </w:t>
      </w:r>
    </w:p>
    <w:p w14:paraId="656F7FCB">
      <w:pPr>
        <w:widowControl/>
        <w:spacing w:beforeAutospacing="1" w:after="0" w:afterAutospacing="1" w:line="360" w:lineRule="auto"/>
        <w:rPr>
          <w:rFonts w:ascii="Arial" w:hAnsi="Arial" w:eastAsia="Arial" w:cs="Arial"/>
          <w:sz w:val="22"/>
          <w:szCs w:val="22"/>
        </w:rPr>
      </w:pPr>
      <w:r>
        <w:rPr>
          <w:rFonts w:ascii="Arial" w:hAnsi="Arial" w:eastAsia="Arial" w:cs="Arial"/>
          <w:sz w:val="22"/>
          <w:szCs w:val="22"/>
        </w:rPr>
        <w:t xml:space="preserve">Stroke is a severe medical </w:t>
      </w:r>
      <w:r>
        <w:rPr>
          <w:rFonts w:ascii="Arial" w:hAnsi="Arial" w:eastAsia="Arial" w:cs="Arial"/>
          <w:sz w:val="22"/>
          <w:szCs w:val="22"/>
          <w:lang w:val="en-US"/>
        </w:rPr>
        <w:t xml:space="preserve">disorder which occurs </w:t>
      </w:r>
      <w:r>
        <w:rPr>
          <w:rFonts w:ascii="Arial" w:hAnsi="Arial" w:eastAsia="Arial" w:cs="Arial"/>
          <w:sz w:val="22"/>
          <w:szCs w:val="22"/>
        </w:rPr>
        <w:t>when</w:t>
      </w:r>
      <w:r>
        <w:rPr>
          <w:rFonts w:ascii="Arial" w:hAnsi="Arial" w:eastAsia="Arial" w:cs="Arial"/>
          <w:sz w:val="22"/>
          <w:szCs w:val="22"/>
          <w:lang w:val="en-US"/>
        </w:rPr>
        <w:t xml:space="preserve"> the blood flowing to the brain </w:t>
      </w:r>
      <w:r>
        <w:rPr>
          <w:rFonts w:ascii="Arial" w:hAnsi="Arial" w:eastAsia="Arial" w:cs="Arial"/>
          <w:sz w:val="22"/>
          <w:szCs w:val="22"/>
        </w:rPr>
        <w:t>is</w:t>
      </w:r>
      <w:r>
        <w:rPr>
          <w:rFonts w:ascii="Arial" w:hAnsi="Arial" w:eastAsia="Arial" w:cs="Arial"/>
          <w:sz w:val="22"/>
          <w:szCs w:val="22"/>
          <w:lang w:val="en-US"/>
        </w:rPr>
        <w:t xml:space="preserve"> interrupted</w:t>
      </w:r>
      <w:r>
        <w:rPr>
          <w:rFonts w:ascii="Arial" w:hAnsi="Arial" w:eastAsia="Arial" w:cs="Arial"/>
          <w:sz w:val="22"/>
          <w:szCs w:val="22"/>
        </w:rPr>
        <w:t xml:space="preserve">, either by </w:t>
      </w:r>
      <w:r>
        <w:rPr>
          <w:rFonts w:ascii="Arial" w:hAnsi="Arial" w:eastAsia="Arial" w:cs="Arial"/>
          <w:sz w:val="22"/>
          <w:szCs w:val="22"/>
          <w:lang w:val="en-US"/>
        </w:rPr>
        <w:t>obstruction</w:t>
      </w:r>
      <w:r>
        <w:rPr>
          <w:rFonts w:ascii="Arial" w:hAnsi="Arial" w:eastAsia="Arial" w:cs="Arial"/>
          <w:sz w:val="22"/>
          <w:szCs w:val="22"/>
        </w:rPr>
        <w:t> (ischaemic) or rupture (haemorrhagic). This</w:t>
      </w:r>
      <w:r>
        <w:rPr>
          <w:rFonts w:ascii="Arial" w:hAnsi="Arial" w:eastAsia="Arial" w:cs="Arial"/>
          <w:sz w:val="22"/>
          <w:szCs w:val="22"/>
          <w:lang w:val="en-US"/>
        </w:rPr>
        <w:t xml:space="preserve"> shortage </w:t>
      </w:r>
      <w:r>
        <w:rPr>
          <w:rFonts w:ascii="Arial" w:hAnsi="Arial" w:eastAsia="Arial" w:cs="Arial"/>
          <w:sz w:val="22"/>
          <w:szCs w:val="22"/>
        </w:rPr>
        <w:t>of blood supply has the potential to kill brain cells and cause significant public health problems (World Health Organization [WHO], 2025). Strokes are seriously dangerous and must be treated right away. The most common signs and symptoms of stroke include </w:t>
      </w:r>
      <w:r>
        <w:rPr>
          <w:rFonts w:ascii="Arial" w:hAnsi="Arial" w:eastAsia="Arial" w:cs="Arial"/>
          <w:sz w:val="22"/>
          <w:szCs w:val="22"/>
          <w:lang w:val="en-US"/>
        </w:rPr>
        <w:t xml:space="preserve">unexpected </w:t>
      </w:r>
      <w:r>
        <w:rPr>
          <w:rFonts w:ascii="Arial" w:hAnsi="Arial" w:eastAsia="Arial" w:cs="Arial"/>
          <w:sz w:val="22"/>
          <w:szCs w:val="22"/>
        </w:rPr>
        <w:t xml:space="preserve">dizziness; loss of balance or coordination; </w:t>
      </w:r>
      <w:r>
        <w:rPr>
          <w:rFonts w:ascii="Arial" w:hAnsi="Arial" w:eastAsia="Arial" w:cs="Arial"/>
          <w:sz w:val="22"/>
          <w:szCs w:val="22"/>
          <w:lang w:val="en-US"/>
        </w:rPr>
        <w:t xml:space="preserve">unexpected </w:t>
      </w:r>
      <w:r>
        <w:rPr>
          <w:rFonts w:ascii="Arial" w:hAnsi="Arial" w:eastAsia="Arial" w:cs="Arial"/>
          <w:sz w:val="22"/>
          <w:szCs w:val="22"/>
        </w:rPr>
        <w:t xml:space="preserve">vision loss; facial droop; weakness in one or both arms; and slurred or odd speech (WHO, 2025). Stroke was the third largest cause of death and disability in 2021, accounting for an estimated 93.8 million cases worldwide (WHO, 2025). Each year, around 113,000 people in the United Kingdom (UK) experience a stroke every five minutes, and there are currently approximately 1 million stroke survivors (King </w:t>
      </w:r>
      <w:r>
        <w:rPr>
          <w:rFonts w:ascii="Arial" w:hAnsi="Arial" w:eastAsia="Arial" w:cs="Arial"/>
          <w:i/>
          <w:iCs/>
          <w:sz w:val="22"/>
          <w:szCs w:val="22"/>
        </w:rPr>
        <w:t>et al.,</w:t>
      </w:r>
      <w:r>
        <w:rPr>
          <w:rFonts w:ascii="Arial" w:hAnsi="Arial" w:eastAsia="Arial" w:cs="Arial"/>
          <w:sz w:val="22"/>
          <w:szCs w:val="22"/>
        </w:rPr>
        <w:t xml:space="preserve"> 2020). These figures are rising as the population ages and treatments improve, resulting in higher survival rates (King </w:t>
      </w:r>
      <w:r>
        <w:rPr>
          <w:rFonts w:ascii="Arial" w:hAnsi="Arial" w:eastAsia="Arial" w:cs="Arial"/>
          <w:i/>
          <w:iCs/>
          <w:sz w:val="22"/>
          <w:szCs w:val="22"/>
        </w:rPr>
        <w:t>et al.,</w:t>
      </w:r>
      <w:r>
        <w:rPr>
          <w:rFonts w:ascii="Arial" w:hAnsi="Arial" w:eastAsia="Arial" w:cs="Arial"/>
          <w:sz w:val="22"/>
          <w:szCs w:val="22"/>
        </w:rPr>
        <w:t xml:space="preserve"> 2020). Thus, this report aims to cover the different approaches in measuring and monitoring stroke, how it can be controlled and managed, the impact it has on individuals and the community, and the support services provided by health and social care.</w:t>
      </w:r>
    </w:p>
    <w:p w14:paraId="4C3FBBFE">
      <w:pPr>
        <w:widowControl/>
        <w:spacing w:beforeAutospacing="1" w:after="0" w:afterAutospacing="1" w:line="360" w:lineRule="auto"/>
        <w:rPr>
          <w:rFonts w:ascii="Arial" w:hAnsi="Arial" w:eastAsia="Arial" w:cs="Arial"/>
          <w:b/>
          <w:bCs/>
          <w:sz w:val="22"/>
          <w:szCs w:val="22"/>
        </w:rPr>
      </w:pPr>
      <w:r>
        <w:rPr>
          <w:rFonts w:ascii="Arial" w:hAnsi="Arial" w:eastAsia="Arial" w:cs="Arial"/>
          <w:b/>
          <w:bCs/>
          <w:sz w:val="22"/>
          <w:szCs w:val="22"/>
        </w:rPr>
        <w:t>MEASUREMENT AND MONITORING</w:t>
      </w:r>
    </w:p>
    <w:p w14:paraId="7C59CDDF">
      <w:pPr>
        <w:widowControl/>
        <w:spacing w:line="360" w:lineRule="auto"/>
        <w:rPr>
          <w:rFonts w:ascii="Arial" w:hAnsi="Arial" w:eastAsia="Arial" w:cs="Arial"/>
          <w:sz w:val="22"/>
          <w:szCs w:val="22"/>
        </w:rPr>
      </w:pPr>
      <w:r>
        <w:rPr>
          <w:rFonts w:ascii="Arial" w:hAnsi="Arial" w:eastAsia="Arial" w:cs="Arial"/>
          <w:sz w:val="22"/>
          <w:szCs w:val="22"/>
        </w:rPr>
        <w:t xml:space="preserve">Globally, the global burden of stroke is measured by disability-adjusted life years (DALYs). It increased from 137 million in the year 2000 to 160 million in 2021 (WHO, 2025). In UK, different approaches can be used to measure and monitor stroke. Such approaches include blood tests, computed tomography (CT) scans, magnetic resonance imaging (MRI) and stroke rating scales. The blood test is done through a lipid profile by measuring the cholesterol levels to check the risk of getting a stroke (NHS, 2023). </w:t>
      </w:r>
      <w:r>
        <w:rPr>
          <w:rFonts w:ascii="Arial" w:hAnsi="Arial" w:eastAsia="Arial" w:cs="Arial"/>
          <w:sz w:val="22"/>
          <w:szCs w:val="22"/>
          <w:lang w:val="en-US"/>
        </w:rPr>
        <w:t>According to</w:t>
      </w:r>
      <w:r>
        <w:rPr>
          <w:rFonts w:ascii="Arial" w:hAnsi="Arial" w:eastAsia="Arial" w:cs="Arial"/>
          <w:sz w:val="22"/>
          <w:szCs w:val="22"/>
        </w:rPr>
        <w:t xml:space="preserve"> UK National Institute for Health Care and Excellence (NICE) guidelines</w:t>
      </w:r>
      <w:r>
        <w:rPr>
          <w:rFonts w:ascii="Arial" w:hAnsi="Arial" w:eastAsia="Arial" w:cs="Arial"/>
          <w:sz w:val="22"/>
          <w:szCs w:val="22"/>
          <w:lang w:val="en-US"/>
        </w:rPr>
        <w:t xml:space="preserve">, </w:t>
      </w:r>
      <w:r>
        <w:rPr>
          <w:rFonts w:ascii="Arial" w:hAnsi="Arial" w:eastAsia="Arial" w:cs="Arial"/>
          <w:sz w:val="22"/>
          <w:szCs w:val="22"/>
        </w:rPr>
        <w:t>CT</w:t>
      </w:r>
      <w:r>
        <w:rPr>
          <w:rFonts w:ascii="Arial" w:hAnsi="Arial" w:eastAsia="Arial" w:cs="Arial"/>
          <w:sz w:val="22"/>
          <w:szCs w:val="22"/>
          <w:lang w:val="en-US"/>
        </w:rPr>
        <w:t xml:space="preserve"> should be used as the initial diagnostic </w:t>
      </w:r>
      <w:r>
        <w:rPr>
          <w:rFonts w:ascii="Arial" w:hAnsi="Arial" w:eastAsia="Arial" w:cs="Arial"/>
          <w:sz w:val="22"/>
          <w:szCs w:val="22"/>
        </w:rPr>
        <w:t xml:space="preserve">for hyperacute stroke (Kakkar </w:t>
      </w:r>
      <w:r>
        <w:rPr>
          <w:rFonts w:ascii="Arial" w:hAnsi="Arial" w:eastAsia="Arial" w:cs="Arial"/>
          <w:i/>
          <w:iCs/>
          <w:sz w:val="22"/>
          <w:szCs w:val="22"/>
        </w:rPr>
        <w:t>et al.,</w:t>
      </w:r>
      <w:r>
        <w:rPr>
          <w:rFonts w:ascii="Arial" w:hAnsi="Arial" w:eastAsia="Arial" w:cs="Arial"/>
          <w:sz w:val="22"/>
          <w:szCs w:val="22"/>
        </w:rPr>
        <w:t xml:space="preserve"> 2021). This involves using non-contrast CT (NCCT), CT angiography (CTA), and CT perfusion (CTP) to identify thrombectomy candidates and differentiate between ischaemic and haemorrhagic stroke (Kakkar </w:t>
      </w:r>
      <w:r>
        <w:rPr>
          <w:rFonts w:ascii="Arial" w:hAnsi="Arial" w:eastAsia="Arial" w:cs="Arial"/>
          <w:i/>
          <w:iCs/>
          <w:sz w:val="22"/>
          <w:szCs w:val="22"/>
        </w:rPr>
        <w:t>et al.,</w:t>
      </w:r>
      <w:r>
        <w:rPr>
          <w:rFonts w:ascii="Arial" w:hAnsi="Arial" w:eastAsia="Arial" w:cs="Arial"/>
          <w:sz w:val="22"/>
          <w:szCs w:val="22"/>
        </w:rPr>
        <w:t xml:space="preserve"> 2021). MRI, on the other hand, is mostly utilised due to its capacity to produce accurate and detailed </w:t>
      </w:r>
      <w:r>
        <w:rPr>
          <w:rFonts w:ascii="Arial" w:hAnsi="Arial" w:eastAsia="Arial" w:cs="Arial"/>
          <w:sz w:val="22"/>
          <w:szCs w:val="22"/>
          <w:lang w:val="en-US"/>
        </w:rPr>
        <w:t>medical illustrations</w:t>
      </w:r>
      <w:r>
        <w:rPr>
          <w:rFonts w:ascii="Arial" w:hAnsi="Arial" w:eastAsia="Arial" w:cs="Arial"/>
          <w:sz w:val="22"/>
          <w:szCs w:val="22"/>
        </w:rPr>
        <w:t xml:space="preserve"> of the brain. MR-based methods</w:t>
      </w:r>
      <w:r>
        <w:rPr>
          <w:rFonts w:ascii="Arial" w:hAnsi="Arial" w:eastAsia="Arial" w:cs="Arial"/>
          <w:sz w:val="22"/>
          <w:szCs w:val="22"/>
          <w:lang w:val="en-US"/>
        </w:rPr>
        <w:t xml:space="preserve">, which includes </w:t>
      </w:r>
      <w:r>
        <w:rPr>
          <w:rFonts w:ascii="Arial" w:hAnsi="Arial" w:eastAsia="Arial" w:cs="Arial"/>
          <w:sz w:val="22"/>
          <w:szCs w:val="22"/>
        </w:rPr>
        <w:t xml:space="preserve">diffusion-weighted imaging (DWI) and MR angiography (MRA), can produce a clear image of an acute infarction and offer more precise information regarding the position and size of a clot (Kakkar </w:t>
      </w:r>
      <w:r>
        <w:rPr>
          <w:rFonts w:ascii="Arial" w:hAnsi="Arial" w:eastAsia="Arial" w:cs="Arial"/>
          <w:i/>
          <w:iCs/>
          <w:sz w:val="22"/>
          <w:szCs w:val="22"/>
        </w:rPr>
        <w:t>et al.,</w:t>
      </w:r>
      <w:r>
        <w:rPr>
          <w:rFonts w:ascii="Arial" w:hAnsi="Arial" w:eastAsia="Arial" w:cs="Arial"/>
          <w:sz w:val="22"/>
          <w:szCs w:val="22"/>
        </w:rPr>
        <w:t xml:space="preserve"> 2021).  </w:t>
      </w:r>
    </w:p>
    <w:p w14:paraId="32AF8AA5">
      <w:pPr>
        <w:widowControl/>
        <w:spacing w:line="360" w:lineRule="auto"/>
        <w:rPr>
          <w:rFonts w:ascii="Arial" w:hAnsi="Arial" w:eastAsia="Arial" w:cs="Arial"/>
          <w:sz w:val="22"/>
          <w:szCs w:val="22"/>
        </w:rPr>
      </w:pPr>
      <w:r>
        <w:rPr>
          <w:rFonts w:ascii="Arial" w:hAnsi="Arial" w:eastAsia="Arial" w:cs="Arial"/>
          <w:sz w:val="22"/>
          <w:szCs w:val="22"/>
        </w:rPr>
        <w:t xml:space="preserve">For the early detection of stroke and the assessment of stroke </w:t>
      </w:r>
      <w:r>
        <w:rPr>
          <w:rFonts w:ascii="Arial" w:hAnsi="Arial" w:eastAsia="Arial" w:cs="Arial"/>
          <w:sz w:val="22"/>
          <w:szCs w:val="22"/>
          <w:lang w:val="en-US"/>
        </w:rPr>
        <w:t xml:space="preserve">seriousness </w:t>
      </w:r>
      <w:r>
        <w:rPr>
          <w:rFonts w:ascii="Arial" w:hAnsi="Arial" w:eastAsia="Arial" w:cs="Arial"/>
          <w:sz w:val="22"/>
          <w:szCs w:val="22"/>
        </w:rPr>
        <w:t xml:space="preserve">and </w:t>
      </w:r>
      <w:r>
        <w:rPr>
          <w:rFonts w:ascii="Arial" w:hAnsi="Arial" w:eastAsia="Arial" w:cs="Arial"/>
          <w:sz w:val="22"/>
          <w:szCs w:val="22"/>
          <w:lang w:val="en-US"/>
        </w:rPr>
        <w:t>result</w:t>
      </w:r>
      <w:r>
        <w:rPr>
          <w:rFonts w:ascii="Arial" w:hAnsi="Arial" w:eastAsia="Arial" w:cs="Arial"/>
          <w:sz w:val="22"/>
          <w:szCs w:val="22"/>
        </w:rPr>
        <w:t xml:space="preserve">, a number of stroke rating scales are either in use or have been developed (Budiněvić </w:t>
      </w:r>
      <w:r>
        <w:rPr>
          <w:rFonts w:ascii="Arial" w:hAnsi="Arial" w:eastAsia="Arial" w:cs="Arial"/>
          <w:i/>
          <w:iCs/>
          <w:sz w:val="22"/>
          <w:szCs w:val="22"/>
        </w:rPr>
        <w:t>et al.,</w:t>
      </w:r>
      <w:r>
        <w:rPr>
          <w:rFonts w:ascii="Arial" w:hAnsi="Arial" w:eastAsia="Arial" w:cs="Arial"/>
          <w:sz w:val="22"/>
          <w:szCs w:val="22"/>
        </w:rPr>
        <w:t xml:space="preserve"> 2022). The Face, Arms, Speech, Time (FAST) test is the most widely used scale for stroke identification in a prehospital context (emergency services). The Los Angeles Prehospital Stroke Screen offers the best </w:t>
      </w:r>
      <w:r>
        <w:rPr>
          <w:rFonts w:ascii="Arial" w:hAnsi="Arial" w:eastAsia="Arial" w:cs="Arial"/>
          <w:sz w:val="22"/>
          <w:szCs w:val="22"/>
          <w:lang w:val="en-US"/>
        </w:rPr>
        <w:t xml:space="preserve">susceptibility </w:t>
      </w:r>
      <w:r>
        <w:rPr>
          <w:rFonts w:ascii="Arial" w:hAnsi="Arial" w:eastAsia="Arial" w:cs="Arial"/>
          <w:sz w:val="22"/>
          <w:szCs w:val="22"/>
        </w:rPr>
        <w:t xml:space="preserve">and </w:t>
      </w:r>
      <w:r>
        <w:rPr>
          <w:rFonts w:ascii="Arial" w:hAnsi="Arial" w:eastAsia="Arial" w:cs="Arial"/>
          <w:sz w:val="22"/>
          <w:szCs w:val="22"/>
          <w:lang w:val="en-US"/>
        </w:rPr>
        <w:t xml:space="preserve">accuracy </w:t>
      </w:r>
      <w:r>
        <w:rPr>
          <w:rFonts w:ascii="Arial" w:hAnsi="Arial" w:eastAsia="Arial" w:cs="Arial"/>
          <w:sz w:val="22"/>
          <w:szCs w:val="22"/>
        </w:rPr>
        <w:t xml:space="preserve">for verifying a stroke diagnosis among several prehospital stroke scales (Budiněvić </w:t>
      </w:r>
      <w:r>
        <w:rPr>
          <w:rFonts w:ascii="Arial" w:hAnsi="Arial" w:eastAsia="Arial" w:cs="Arial"/>
          <w:i/>
          <w:iCs/>
          <w:sz w:val="22"/>
          <w:szCs w:val="22"/>
        </w:rPr>
        <w:t>et al.,</w:t>
      </w:r>
      <w:r>
        <w:rPr>
          <w:rFonts w:ascii="Arial" w:hAnsi="Arial" w:eastAsia="Arial" w:cs="Arial"/>
          <w:sz w:val="22"/>
          <w:szCs w:val="22"/>
        </w:rPr>
        <w:t xml:space="preserve"> 2022). Additionally, the abbreviated NIHSS for emergency medical services and the modified NIHSS are the two versions of the National Institutes of Health Stroke Scale (NIHSS), which is the most </w:t>
      </w:r>
      <w:r>
        <w:rPr>
          <w:rFonts w:ascii="Arial" w:hAnsi="Arial" w:eastAsia="Arial" w:cs="Arial"/>
          <w:sz w:val="22"/>
          <w:szCs w:val="22"/>
          <w:lang w:val="en-US"/>
        </w:rPr>
        <w:t xml:space="preserve">suggested </w:t>
      </w:r>
      <w:bookmarkStart w:id="0" w:name="_GoBack"/>
      <w:bookmarkEnd w:id="0"/>
      <w:r>
        <w:rPr>
          <w:rFonts w:ascii="Arial" w:hAnsi="Arial" w:eastAsia="Arial" w:cs="Arial"/>
          <w:sz w:val="22"/>
          <w:szCs w:val="22"/>
        </w:rPr>
        <w:t xml:space="preserve">instrument for the monitoring of stroke patients in hospital settings and research (Budiněvić </w:t>
      </w:r>
      <w:r>
        <w:rPr>
          <w:rFonts w:ascii="Arial" w:hAnsi="Arial" w:eastAsia="Arial" w:cs="Arial"/>
          <w:i/>
          <w:iCs/>
          <w:sz w:val="22"/>
          <w:szCs w:val="22"/>
        </w:rPr>
        <w:t>et al.,</w:t>
      </w:r>
      <w:r>
        <w:rPr>
          <w:rFonts w:ascii="Arial" w:hAnsi="Arial" w:eastAsia="Arial" w:cs="Arial"/>
          <w:sz w:val="22"/>
          <w:szCs w:val="22"/>
        </w:rPr>
        <w:t xml:space="preserve"> 2022). Moreover, patients with haemorrhagic stroke or traumatic brain damage benefit greatly from the Glasgow Coma Scale, which is commonly used to evaluate unconscious patients. The Hunt and Hess scale is typically used to assess the outcome of patients with subarachnoid haemorrhages. The modified Rankin scale is a frequently used instrument for measuring stroke outcomes in clinical or hospital settings and research (Budiněvić </w:t>
      </w:r>
      <w:r>
        <w:rPr>
          <w:rFonts w:ascii="Arial" w:hAnsi="Arial" w:eastAsia="Arial" w:cs="Arial"/>
          <w:i/>
          <w:iCs/>
          <w:sz w:val="22"/>
          <w:szCs w:val="22"/>
        </w:rPr>
        <w:t>et al.,</w:t>
      </w:r>
      <w:r>
        <w:rPr>
          <w:rFonts w:ascii="Arial" w:hAnsi="Arial" w:eastAsia="Arial" w:cs="Arial"/>
          <w:sz w:val="22"/>
          <w:szCs w:val="22"/>
        </w:rPr>
        <w:t xml:space="preserve"> 2022).</w:t>
      </w:r>
    </w:p>
    <w:p w14:paraId="1DCDCC04">
      <w:pPr>
        <w:widowControl/>
        <w:spacing w:line="360" w:lineRule="auto"/>
        <w:rPr>
          <w:rFonts w:ascii="Arial" w:hAnsi="Arial" w:eastAsia="Arial" w:cs="Arial"/>
          <w:b/>
          <w:bCs/>
          <w:sz w:val="22"/>
          <w:szCs w:val="22"/>
        </w:rPr>
      </w:pPr>
    </w:p>
    <w:p w14:paraId="52DF29D6">
      <w:pPr>
        <w:widowControl/>
        <w:spacing w:line="360" w:lineRule="auto"/>
        <w:rPr>
          <w:rFonts w:ascii="Arial" w:hAnsi="Arial" w:eastAsia="Arial" w:cs="Arial"/>
          <w:sz w:val="22"/>
          <w:szCs w:val="22"/>
        </w:rPr>
      </w:pPr>
      <w:r>
        <w:rPr>
          <w:rFonts w:ascii="Arial" w:hAnsi="Arial" w:eastAsia="Arial" w:cs="Arial"/>
          <w:b/>
          <w:bCs/>
          <w:sz w:val="22"/>
          <w:szCs w:val="22"/>
        </w:rPr>
        <w:t xml:space="preserve">CONTROL AND MANAGEMENT </w:t>
      </w:r>
    </w:p>
    <w:p w14:paraId="0AD5D1A2">
      <w:pPr>
        <w:widowControl/>
        <w:spacing w:beforeAutospacing="1" w:after="0" w:afterAutospacing="1" w:line="360" w:lineRule="auto"/>
        <w:rPr>
          <w:rFonts w:ascii="Arial" w:hAnsi="Arial" w:eastAsia="Arial" w:cs="Arial"/>
          <w:sz w:val="22"/>
          <w:szCs w:val="22"/>
        </w:rPr>
      </w:pPr>
      <w:r>
        <w:rPr>
          <w:rFonts w:ascii="Arial" w:hAnsi="Arial" w:eastAsia="Arial" w:cs="Arial"/>
          <w:sz w:val="22"/>
          <w:szCs w:val="22"/>
        </w:rPr>
        <w:t xml:space="preserve">Stroke control requires both medical intervention and lifestyle changes. Quick treatments that are frequently administered include medication (thrombolysis) to eliminate blood clots in the brain, surgery (thrombectomy) to remove the clot or drain fluid from the brain, and a procedure to prevent pressure buildup inside the brain or skull (NHS, 2023). Long-term treatments could include blood pressure medications, statins to decrease cholesterol, and anticoagulants to prevent blood clots from developing (NHS, 2023). Changing one's lifestyle has a big impact on stroke management. Individuals are encouraged to practise a healthy lifestyle and take appropriate antihypertensive treatment, reduce tobacco use, and limit exposure to second-hand smoke; adopt a healthy balanced diet by reducing intake of salt, saturated fats, and sugars; engage in regular physical exercise; lessen alcohol consumption; and improve indoor and outdoor air quality (WHO, 2025). These changes aid in controlling risk factors like excessive cholesterol, obesity, and high blood pressure (WHO, 2025). Research indicates that changing one's behaviour greatly lowers the risk of having another stroke (Patel </w:t>
      </w:r>
      <w:r>
        <w:rPr>
          <w:rFonts w:ascii="Arial" w:hAnsi="Arial" w:eastAsia="Arial" w:cs="Arial"/>
          <w:i/>
          <w:iCs/>
          <w:sz w:val="22"/>
          <w:szCs w:val="22"/>
        </w:rPr>
        <w:t>et al.,</w:t>
      </w:r>
      <w:r>
        <w:rPr>
          <w:rFonts w:ascii="Arial" w:hAnsi="Arial" w:eastAsia="Arial" w:cs="Arial"/>
          <w:sz w:val="22"/>
          <w:szCs w:val="22"/>
        </w:rPr>
        <w:t xml:space="preserve"> 2019).</w:t>
      </w:r>
    </w:p>
    <w:p w14:paraId="779901AE">
      <w:pPr>
        <w:widowControl/>
        <w:spacing w:beforeAutospacing="1" w:after="0" w:afterAutospacing="1" w:line="360" w:lineRule="auto"/>
        <w:rPr>
          <w:rFonts w:ascii="Arial" w:hAnsi="Arial" w:eastAsia="Arial" w:cs="Arial"/>
          <w:sz w:val="22"/>
          <w:szCs w:val="22"/>
        </w:rPr>
      </w:pPr>
      <w:r>
        <w:rPr>
          <w:rFonts w:ascii="Arial" w:hAnsi="Arial" w:eastAsia="Arial" w:cs="Arial"/>
          <w:sz w:val="22"/>
          <w:szCs w:val="22"/>
        </w:rPr>
        <w:t>In addition, rehabilitation is an essential part of stroke treatment and recovery. It seeks to maximise independence, enhance quality of life, and assist people in regaining functional capacities. As soon as the patient is medically stable, stroke rehabilitation should start, ideally within the first few days following the stroke (WHO, 2025). A multidisciplinary approach is used in rehabilitation, which includes physiotherapy to improve mobility, muscle strength, balance, and coordination; occupational therapy to help with everyday tasks like bathing, dressing, and cooking; speech and language therapy to address communication, speech, and swallowing issues; neuropsychological and cognitive therapy to support cognitive function, memory, and emotional well-being; and psychological support and counselling such as cognitive behavioural therapy (CBT) to tackle depression, anxiety, and emotional adjustment following a stroke (NHS, 2023; WHO, 2025).</w:t>
      </w:r>
    </w:p>
    <w:p w14:paraId="0E1AC052">
      <w:pPr>
        <w:widowControl/>
        <w:spacing w:beforeAutospacing="1" w:after="0" w:afterAutospacing="1" w:line="360" w:lineRule="auto"/>
        <w:rPr>
          <w:rFonts w:ascii="Arial" w:hAnsi="Arial" w:eastAsia="Arial" w:cs="Arial"/>
          <w:b/>
          <w:bCs/>
          <w:sz w:val="22"/>
          <w:szCs w:val="22"/>
        </w:rPr>
      </w:pPr>
      <w:r>
        <w:rPr>
          <w:rFonts w:ascii="Arial" w:hAnsi="Arial" w:eastAsia="Arial" w:cs="Arial"/>
          <w:b/>
          <w:bCs/>
          <w:sz w:val="22"/>
          <w:szCs w:val="22"/>
        </w:rPr>
        <w:t xml:space="preserve">IMPACT ON INDIVIDUALS AND COMMUNITY </w:t>
      </w:r>
    </w:p>
    <w:p w14:paraId="1D49916B">
      <w:pPr>
        <w:widowControl/>
        <w:spacing w:beforeAutospacing="1" w:after="0" w:afterAutospacing="1" w:line="360" w:lineRule="auto"/>
        <w:rPr>
          <w:rFonts w:ascii="Arial" w:hAnsi="Arial" w:eastAsia="Arial" w:cs="Arial"/>
          <w:sz w:val="22"/>
          <w:szCs w:val="22"/>
        </w:rPr>
      </w:pPr>
      <w:r>
        <w:rPr>
          <w:rFonts w:ascii="Arial" w:hAnsi="Arial" w:eastAsia="Arial" w:cs="Arial"/>
          <w:sz w:val="22"/>
          <w:szCs w:val="22"/>
        </w:rPr>
        <w:t xml:space="preserve">Stroke poses a negative impact both on individuals and the community as a whole. It can affect individuals physically, physiologically, emotionally and socially (Tiwari </w:t>
      </w:r>
      <w:r>
        <w:rPr>
          <w:rFonts w:ascii="Arial" w:hAnsi="Arial" w:eastAsia="Arial" w:cs="Arial"/>
          <w:i/>
          <w:iCs/>
          <w:sz w:val="22"/>
          <w:szCs w:val="22"/>
        </w:rPr>
        <w:t>et al.,</w:t>
      </w:r>
      <w:r>
        <w:rPr>
          <w:rFonts w:ascii="Arial" w:hAnsi="Arial" w:eastAsia="Arial" w:cs="Arial"/>
          <w:sz w:val="22"/>
          <w:szCs w:val="22"/>
        </w:rPr>
        <w:t xml:space="preserve"> 2021). Physically, a stroke has caused a variety of motor impairments by interfering with the body's ability to perform at its best. This makes it difficult for the individual to communicate clearly and carry out daily ordinary activities (Tiwari </w:t>
      </w:r>
      <w:r>
        <w:rPr>
          <w:rFonts w:ascii="Arial" w:hAnsi="Arial" w:eastAsia="Arial" w:cs="Arial"/>
          <w:i/>
          <w:iCs/>
          <w:sz w:val="22"/>
          <w:szCs w:val="22"/>
        </w:rPr>
        <w:t>et al.,</w:t>
      </w:r>
      <w:r>
        <w:rPr>
          <w:rFonts w:ascii="Arial" w:hAnsi="Arial" w:eastAsia="Arial" w:cs="Arial"/>
          <w:sz w:val="22"/>
          <w:szCs w:val="22"/>
        </w:rPr>
        <w:t xml:space="preserve"> 2021). Emotionally, the physical challenge of movement can lead the individual into feelings of depression, anxiety, and frustration (Tiwari </w:t>
      </w:r>
      <w:r>
        <w:rPr>
          <w:rFonts w:ascii="Arial" w:hAnsi="Arial" w:eastAsia="Arial" w:cs="Arial"/>
          <w:i/>
          <w:iCs/>
          <w:sz w:val="22"/>
          <w:szCs w:val="22"/>
        </w:rPr>
        <w:t>et al.,</w:t>
      </w:r>
      <w:r>
        <w:rPr>
          <w:rFonts w:ascii="Arial" w:hAnsi="Arial" w:eastAsia="Arial" w:cs="Arial"/>
          <w:sz w:val="22"/>
          <w:szCs w:val="22"/>
        </w:rPr>
        <w:t xml:space="preserve"> 2021). Socially, the lack of mobility affects social life in a serious way. Individuals find it hard to go out as usual by isolating themselves and interacting socially with people due to cognitive impairment (Tiwari </w:t>
      </w:r>
      <w:r>
        <w:rPr>
          <w:rFonts w:ascii="Arial" w:hAnsi="Arial" w:eastAsia="Arial" w:cs="Arial"/>
          <w:i/>
          <w:iCs/>
          <w:sz w:val="22"/>
          <w:szCs w:val="22"/>
        </w:rPr>
        <w:t>et al.,</w:t>
      </w:r>
      <w:r>
        <w:rPr>
          <w:rFonts w:ascii="Arial" w:hAnsi="Arial" w:eastAsia="Arial" w:cs="Arial"/>
          <w:sz w:val="22"/>
          <w:szCs w:val="22"/>
        </w:rPr>
        <w:t xml:space="preserve"> 2021).</w:t>
      </w:r>
    </w:p>
    <w:p w14:paraId="44EF6144">
      <w:pPr>
        <w:widowControl/>
        <w:spacing w:beforeAutospacing="1" w:after="0" w:afterAutospacing="1" w:line="360" w:lineRule="auto"/>
        <w:rPr>
          <w:rFonts w:ascii="Arial" w:hAnsi="Arial" w:eastAsia="Arial" w:cs="Arial"/>
          <w:sz w:val="22"/>
          <w:szCs w:val="22"/>
        </w:rPr>
      </w:pPr>
      <w:r>
        <w:rPr>
          <w:rFonts w:ascii="Arial" w:hAnsi="Arial" w:eastAsia="Arial" w:cs="Arial"/>
          <w:sz w:val="22"/>
          <w:szCs w:val="22"/>
        </w:rPr>
        <w:t xml:space="preserve">When it comes to community, stroke places a notable burden on healthcare professionals such as the carers. The carers' burden is increased by the additional responsibility of caring for a disabled stroke survivor in addition to changing their own lifestyle with financial concerns, future worries, extended care hours, and stress (Tiwari </w:t>
      </w:r>
      <w:r>
        <w:rPr>
          <w:rFonts w:ascii="Arial" w:hAnsi="Arial" w:eastAsia="Arial" w:cs="Arial"/>
          <w:i/>
          <w:iCs/>
          <w:sz w:val="22"/>
          <w:szCs w:val="22"/>
        </w:rPr>
        <w:t>et al.,</w:t>
      </w:r>
      <w:r>
        <w:rPr>
          <w:rFonts w:ascii="Arial" w:hAnsi="Arial" w:eastAsia="Arial" w:cs="Arial"/>
          <w:sz w:val="22"/>
          <w:szCs w:val="22"/>
        </w:rPr>
        <w:t xml:space="preserve"> 2021). Besides, service users and carers lose faith in treatment and recovery due to the high costs of prescription drugs, physical therapy, and what are thought to be useless medications (Tiwari </w:t>
      </w:r>
      <w:r>
        <w:rPr>
          <w:rFonts w:ascii="Arial" w:hAnsi="Arial" w:eastAsia="Arial" w:cs="Arial"/>
          <w:i/>
          <w:iCs/>
          <w:sz w:val="22"/>
          <w:szCs w:val="22"/>
        </w:rPr>
        <w:t>et al.,</w:t>
      </w:r>
      <w:r>
        <w:rPr>
          <w:rFonts w:ascii="Arial" w:hAnsi="Arial" w:eastAsia="Arial" w:cs="Arial"/>
          <w:sz w:val="22"/>
          <w:szCs w:val="22"/>
        </w:rPr>
        <w:t xml:space="preserve"> 2021). According to research, the cost of stroke-related medical care and social services in the UK is predicted to increase dramatically in the future (King </w:t>
      </w:r>
      <w:r>
        <w:rPr>
          <w:rFonts w:ascii="Arial" w:hAnsi="Arial" w:eastAsia="Arial" w:cs="Arial"/>
          <w:i/>
          <w:iCs/>
          <w:sz w:val="22"/>
          <w:szCs w:val="22"/>
        </w:rPr>
        <w:t>et al.,</w:t>
      </w:r>
      <w:r>
        <w:rPr>
          <w:rFonts w:ascii="Arial" w:hAnsi="Arial" w:eastAsia="Arial" w:cs="Arial"/>
          <w:sz w:val="22"/>
          <w:szCs w:val="22"/>
        </w:rPr>
        <w:t xml:space="preserve"> 2020). Furthermore, stroke affects the economy because it requires continuous care and reduces productivity (Patel </w:t>
      </w:r>
      <w:r>
        <w:rPr>
          <w:rFonts w:ascii="Arial" w:hAnsi="Arial" w:eastAsia="Arial" w:cs="Arial"/>
          <w:i/>
          <w:iCs/>
          <w:sz w:val="22"/>
          <w:szCs w:val="22"/>
        </w:rPr>
        <w:t>et al.,</w:t>
      </w:r>
      <w:r>
        <w:rPr>
          <w:rFonts w:ascii="Arial" w:hAnsi="Arial" w:eastAsia="Arial" w:cs="Arial"/>
          <w:sz w:val="22"/>
          <w:szCs w:val="22"/>
        </w:rPr>
        <w:t xml:space="preserve"> 2019). This shows that stroke impacts both individuals and the community at large.</w:t>
      </w:r>
    </w:p>
    <w:p w14:paraId="0860E8B6">
      <w:pPr>
        <w:widowControl/>
        <w:spacing w:beforeAutospacing="1" w:after="0" w:afterAutospacing="1" w:line="360" w:lineRule="auto"/>
        <w:rPr>
          <w:rFonts w:ascii="Arial" w:hAnsi="Arial" w:eastAsia="Arial" w:cs="Arial"/>
          <w:b/>
          <w:bCs/>
          <w:sz w:val="22"/>
          <w:szCs w:val="22"/>
        </w:rPr>
      </w:pPr>
      <w:r>
        <w:rPr>
          <w:rFonts w:ascii="Arial" w:hAnsi="Arial" w:eastAsia="Arial" w:cs="Arial"/>
          <w:b/>
          <w:bCs/>
          <w:sz w:val="22"/>
          <w:szCs w:val="22"/>
        </w:rPr>
        <w:t xml:space="preserve">HEALTH AND SOCIAL CARE SUPPORT SERVICES </w:t>
      </w:r>
    </w:p>
    <w:p w14:paraId="2F058078">
      <w:pPr>
        <w:widowControl/>
        <w:spacing w:beforeAutospacing="1" w:after="0" w:afterAutospacing="1" w:line="360" w:lineRule="auto"/>
        <w:rPr>
          <w:rFonts w:ascii="Arial" w:hAnsi="Arial" w:eastAsia="Arial" w:cs="Arial"/>
          <w:sz w:val="22"/>
          <w:szCs w:val="22"/>
        </w:rPr>
      </w:pPr>
      <w:r>
        <w:rPr>
          <w:rFonts w:ascii="Arial" w:hAnsi="Arial" w:eastAsia="Arial" w:cs="Arial"/>
          <w:sz w:val="22"/>
          <w:szCs w:val="22"/>
        </w:rPr>
        <w:t xml:space="preserve">Individuals having strokes suffer from mental illness. Talking about their feelings proves to be beneficial. Free talking therapies for depression and anxiety are among the support services provided by the NHS (NHS, 2023). These services can assist people in learning coping mechanisms for stroke. It can be taken online, over the phone, via video, or in person. Charities including Different Strokes, the Stroke Association, and the Brain and Spine Foundation also provide support (NHS, 2023). Several studies have highlighted how crucial social care support is to attaining a great quality of life. Most family members have assumed the role of carers in carrying out the daily activities of stroke survivors. Primary social workers can play a vital part in not only monitoring stroke survivors and offering rehabilitation services but also in raising community awareness about stroke and its associated risk factors through various information, education, and communication (IEC) activities (Tiwari </w:t>
      </w:r>
      <w:r>
        <w:rPr>
          <w:rFonts w:ascii="Arial" w:hAnsi="Arial" w:eastAsia="Arial" w:cs="Arial"/>
          <w:i/>
          <w:iCs/>
          <w:sz w:val="22"/>
          <w:szCs w:val="22"/>
        </w:rPr>
        <w:t>et al.,</w:t>
      </w:r>
      <w:r>
        <w:rPr>
          <w:rFonts w:ascii="Arial" w:hAnsi="Arial" w:eastAsia="Arial" w:cs="Arial"/>
          <w:sz w:val="22"/>
          <w:szCs w:val="22"/>
        </w:rPr>
        <w:t xml:space="preserve"> 2021). Services that are essential to improving the quality of life for both stroke survivors and carers include education, training carers in necessary skills, self-management programmes, and active carer participation (Tiwari </w:t>
      </w:r>
      <w:r>
        <w:rPr>
          <w:rFonts w:ascii="Arial" w:hAnsi="Arial" w:eastAsia="Arial" w:cs="Arial"/>
          <w:i/>
          <w:iCs/>
          <w:sz w:val="22"/>
          <w:szCs w:val="22"/>
        </w:rPr>
        <w:t>et al.,</w:t>
      </w:r>
      <w:r>
        <w:rPr>
          <w:rFonts w:ascii="Arial" w:hAnsi="Arial" w:eastAsia="Arial" w:cs="Arial"/>
          <w:sz w:val="22"/>
          <w:szCs w:val="22"/>
        </w:rPr>
        <w:t xml:space="preserve"> 2021). Integrated care has been shown to enhance stroke patients' quality of life and recovery outcomes (National Institute for Health Research, 2023). This suggests how coordinated treatment is for the management of chronic illnesses like stroke.</w:t>
      </w:r>
    </w:p>
    <w:p w14:paraId="74FBB2FC">
      <w:pPr>
        <w:widowControl/>
        <w:spacing w:beforeAutospacing="1" w:after="0" w:afterAutospacing="1" w:line="360" w:lineRule="auto"/>
        <w:rPr>
          <w:rFonts w:ascii="Arial" w:hAnsi="Arial" w:eastAsia="Arial" w:cs="Arial"/>
          <w:b/>
          <w:bCs/>
          <w:sz w:val="22"/>
          <w:szCs w:val="22"/>
        </w:rPr>
      </w:pPr>
      <w:r>
        <w:rPr>
          <w:rFonts w:ascii="Arial" w:hAnsi="Arial" w:eastAsia="Arial" w:cs="Arial"/>
          <w:b/>
          <w:bCs/>
          <w:sz w:val="22"/>
          <w:szCs w:val="22"/>
        </w:rPr>
        <w:t xml:space="preserve">CONCLUSION </w:t>
      </w:r>
    </w:p>
    <w:p w14:paraId="1CA725FA">
      <w:pPr>
        <w:widowControl/>
        <w:spacing w:beforeAutospacing="1" w:after="0" w:afterAutospacing="1" w:line="360" w:lineRule="auto"/>
        <w:rPr>
          <w:rFonts w:ascii="Arial" w:hAnsi="Arial" w:eastAsia="Arial" w:cs="Arial"/>
          <w:sz w:val="22"/>
          <w:szCs w:val="22"/>
        </w:rPr>
      </w:pPr>
      <w:r>
        <w:rPr>
          <w:rFonts w:ascii="Arial" w:hAnsi="Arial" w:eastAsia="Arial" w:cs="Arial"/>
          <w:sz w:val="22"/>
          <w:szCs w:val="22"/>
        </w:rPr>
        <w:t>To conclude, stroke is a major public health concern that has severe impacts on individuals and the community. Effective measurement and monitoring, such as blood tests, CT scans, MRIs and rating scales, allow for early diagnosis and better treatment outcomes. The control and management of stroke involve medication, lifestyle changes and rehabilitation, which help prevent complications and improve quality of life. Stroke can have physical, emotional and social impacts on individuals, while also placing an increasing burden on healthcare workers such as the carers. Health and social care services play a vital role in supporting recovery and promoting freedom. In general, a coordinated and evidence-based approach is essential to reduce the impact of stroke and improve patient outcomes.</w:t>
      </w:r>
    </w:p>
    <w:p w14:paraId="3A628FF1">
      <w:pPr>
        <w:widowControl/>
        <w:spacing w:beforeAutospacing="1" w:after="0" w:afterAutospacing="1" w:line="360" w:lineRule="auto"/>
        <w:rPr>
          <w:rFonts w:ascii="Arial" w:hAnsi="Arial" w:eastAsia="Arial" w:cs="Arial"/>
          <w:b/>
          <w:bCs/>
          <w:sz w:val="22"/>
          <w:szCs w:val="22"/>
        </w:rPr>
      </w:pPr>
      <w:r>
        <w:rPr>
          <w:rFonts w:ascii="Arial" w:hAnsi="Arial" w:eastAsia="Arial" w:cs="Arial"/>
          <w:b/>
          <w:bCs/>
          <w:sz w:val="22"/>
          <w:szCs w:val="22"/>
        </w:rPr>
        <w:t>REFERENCES</w:t>
      </w:r>
    </w:p>
    <w:p w14:paraId="27074875">
      <w:pPr>
        <w:spacing w:after="200" w:line="360" w:lineRule="auto"/>
        <w:ind w:left="540" w:hanging="540"/>
        <w:rPr>
          <w:rFonts w:ascii="Arial" w:hAnsi="Arial" w:eastAsia="Arial" w:cs="Arial"/>
          <w:sz w:val="22"/>
          <w:szCs w:val="22"/>
        </w:rPr>
      </w:pPr>
      <w:r>
        <w:rPr>
          <w:rFonts w:ascii="Arial" w:hAnsi="Arial" w:eastAsia="Arial" w:cs="Arial"/>
          <w:sz w:val="22"/>
          <w:szCs w:val="22"/>
        </w:rPr>
        <w:t>Budinčević, H., Meštrović, A. and Demarin, V. (2022). Stroke Scales as Assessment Tools in Emergency Settings: A Narrative Review. </w:t>
      </w:r>
      <w:r>
        <w:rPr>
          <w:rFonts w:ascii="Arial" w:hAnsi="Arial" w:eastAsia="Arial" w:cs="Arial"/>
          <w:i/>
          <w:iCs/>
          <w:sz w:val="22"/>
          <w:szCs w:val="22"/>
        </w:rPr>
        <w:t>Medicina (Kaunas, Lithuania)</w:t>
      </w:r>
      <w:r>
        <w:rPr>
          <w:rFonts w:ascii="Arial" w:hAnsi="Arial" w:eastAsia="Arial" w:cs="Arial"/>
          <w:sz w:val="22"/>
          <w:szCs w:val="22"/>
        </w:rPr>
        <w:t xml:space="preserve">, 58(11): 1541. Available at: </w:t>
      </w:r>
      <w:r>
        <w:fldChar w:fldCharType="begin"/>
      </w:r>
      <w:r>
        <w:instrText xml:space="preserve"> HYPERLINK "https://doi.org/10.3390/medicina58111541" </w:instrText>
      </w:r>
      <w:r>
        <w:fldChar w:fldCharType="separate"/>
      </w:r>
      <w:r>
        <w:rPr>
          <w:rStyle w:val="5"/>
          <w:rFonts w:ascii="Arial" w:hAnsi="Arial" w:eastAsia="Arial" w:cs="Arial"/>
          <w:sz w:val="22"/>
          <w:szCs w:val="22"/>
        </w:rPr>
        <w:t>https://doi.org/10.3390/medicina58111541</w:t>
      </w:r>
      <w:r>
        <w:rPr>
          <w:rStyle w:val="5"/>
          <w:rFonts w:ascii="Arial" w:hAnsi="Arial" w:eastAsia="Arial" w:cs="Arial"/>
          <w:sz w:val="22"/>
          <w:szCs w:val="22"/>
        </w:rPr>
        <w:fldChar w:fldCharType="end"/>
      </w:r>
      <w:r>
        <w:rPr>
          <w:rFonts w:ascii="Arial" w:hAnsi="Arial" w:eastAsia="Arial" w:cs="Arial"/>
          <w:sz w:val="22"/>
          <w:szCs w:val="22"/>
        </w:rPr>
        <w:t xml:space="preserve"> (Accessed: 18 March 2026).</w:t>
      </w:r>
    </w:p>
    <w:p w14:paraId="5D7375BC">
      <w:pPr>
        <w:spacing w:after="200" w:line="360" w:lineRule="auto"/>
        <w:ind w:left="540" w:hanging="540"/>
        <w:rPr>
          <w:rFonts w:ascii="Arial" w:hAnsi="Arial" w:eastAsia="Arial" w:cs="Arial"/>
          <w:sz w:val="22"/>
          <w:szCs w:val="22"/>
        </w:rPr>
      </w:pPr>
      <w:r>
        <w:rPr>
          <w:rFonts w:ascii="Arial" w:hAnsi="Arial" w:eastAsia="Arial" w:cs="Arial"/>
          <w:sz w:val="22"/>
          <w:szCs w:val="22"/>
        </w:rPr>
        <w:t>Kakkar, P., Kakkar, T., Patankar, T. and Saha, S. (2021). Current approaches and advances in the imaging of stroke. </w:t>
      </w:r>
      <w:r>
        <w:rPr>
          <w:rFonts w:ascii="Arial" w:hAnsi="Arial" w:eastAsia="Arial" w:cs="Arial"/>
          <w:i/>
          <w:iCs/>
          <w:sz w:val="22"/>
          <w:szCs w:val="22"/>
        </w:rPr>
        <w:t>Disease models &amp; mechanisms</w:t>
      </w:r>
      <w:r>
        <w:rPr>
          <w:rFonts w:ascii="Arial" w:hAnsi="Arial" w:eastAsia="Arial" w:cs="Arial"/>
          <w:sz w:val="22"/>
          <w:szCs w:val="22"/>
        </w:rPr>
        <w:t xml:space="preserve">, 14(12), dmm048785. Available at: </w:t>
      </w:r>
      <w:r>
        <w:fldChar w:fldCharType="begin"/>
      </w:r>
      <w:r>
        <w:instrText xml:space="preserve"> HYPERLINK "https://doi.org/10.1242/dmm.048785" </w:instrText>
      </w:r>
      <w:r>
        <w:fldChar w:fldCharType="separate"/>
      </w:r>
      <w:r>
        <w:rPr>
          <w:rStyle w:val="5"/>
          <w:rFonts w:ascii="Arial" w:hAnsi="Arial" w:eastAsia="Arial" w:cs="Arial"/>
          <w:sz w:val="22"/>
          <w:szCs w:val="22"/>
        </w:rPr>
        <w:t>https://doi.org/10.1242/dmm.048785</w:t>
      </w:r>
      <w:r>
        <w:rPr>
          <w:rStyle w:val="5"/>
          <w:rFonts w:ascii="Arial" w:hAnsi="Arial" w:eastAsia="Arial" w:cs="Arial"/>
          <w:sz w:val="22"/>
          <w:szCs w:val="22"/>
        </w:rPr>
        <w:fldChar w:fldCharType="end"/>
      </w:r>
      <w:r>
        <w:rPr>
          <w:rFonts w:ascii="Arial" w:hAnsi="Arial" w:eastAsia="Arial" w:cs="Arial"/>
          <w:sz w:val="22"/>
          <w:szCs w:val="22"/>
        </w:rPr>
        <w:t xml:space="preserve"> (Accessed: 18 March 2026).</w:t>
      </w:r>
    </w:p>
    <w:p w14:paraId="3178A735">
      <w:pPr>
        <w:spacing w:after="200" w:line="360" w:lineRule="auto"/>
        <w:ind w:left="540" w:hanging="540"/>
        <w:rPr>
          <w:rFonts w:ascii="Arial" w:hAnsi="Arial" w:eastAsia="Arial" w:cs="Arial"/>
          <w:sz w:val="22"/>
          <w:szCs w:val="22"/>
        </w:rPr>
      </w:pPr>
      <w:r>
        <w:rPr>
          <w:rFonts w:ascii="Arial" w:hAnsi="Arial" w:eastAsia="Arial" w:cs="Arial"/>
          <w:sz w:val="22"/>
          <w:szCs w:val="22"/>
        </w:rPr>
        <w:t>King, D., Wittenberg, R., Patel, A., Quayyum, Z., Berdunov, V. and Knapp, M. (2020). The future incidence, prevalence and costs of stroke in the UK. </w:t>
      </w:r>
      <w:r>
        <w:rPr>
          <w:rFonts w:ascii="Arial" w:hAnsi="Arial" w:eastAsia="Arial" w:cs="Arial"/>
          <w:i/>
          <w:iCs/>
          <w:sz w:val="22"/>
          <w:szCs w:val="22"/>
        </w:rPr>
        <w:t>Age and ageing,</w:t>
      </w:r>
      <w:r>
        <w:rPr>
          <w:rFonts w:ascii="Arial" w:hAnsi="Arial" w:eastAsia="Arial" w:cs="Arial"/>
          <w:sz w:val="22"/>
          <w:szCs w:val="22"/>
        </w:rPr>
        <w:t xml:space="preserve"> 49(2): 277–282. Available at: </w:t>
      </w:r>
      <w:r>
        <w:fldChar w:fldCharType="begin"/>
      </w:r>
      <w:r>
        <w:instrText xml:space="preserve"> HYPERLINK "https://doi.org/10.1093/ageing/afz163" </w:instrText>
      </w:r>
      <w:r>
        <w:fldChar w:fldCharType="separate"/>
      </w:r>
      <w:r>
        <w:rPr>
          <w:rStyle w:val="5"/>
          <w:rFonts w:ascii="Arial" w:hAnsi="Arial" w:eastAsia="Arial" w:cs="Arial"/>
          <w:sz w:val="22"/>
          <w:szCs w:val="22"/>
        </w:rPr>
        <w:t>https://doi.org/10.1093/ageing/afz163</w:t>
      </w:r>
      <w:r>
        <w:rPr>
          <w:rStyle w:val="5"/>
          <w:rFonts w:ascii="Arial" w:hAnsi="Arial" w:eastAsia="Arial" w:cs="Arial"/>
          <w:sz w:val="22"/>
          <w:szCs w:val="22"/>
        </w:rPr>
        <w:fldChar w:fldCharType="end"/>
      </w:r>
      <w:r>
        <w:rPr>
          <w:rFonts w:ascii="Arial" w:hAnsi="Arial" w:eastAsia="Arial" w:cs="Arial"/>
          <w:sz w:val="22"/>
          <w:szCs w:val="22"/>
        </w:rPr>
        <w:t xml:space="preserve"> (Accessed: 18 March 2026).</w:t>
      </w:r>
    </w:p>
    <w:p w14:paraId="7CB36408">
      <w:pPr>
        <w:spacing w:after="200" w:line="360" w:lineRule="auto"/>
        <w:ind w:left="540" w:hanging="540"/>
        <w:rPr>
          <w:rFonts w:ascii="Arial" w:hAnsi="Arial" w:eastAsia="Arial" w:cs="Arial"/>
          <w:sz w:val="22"/>
          <w:szCs w:val="22"/>
        </w:rPr>
      </w:pPr>
      <w:r>
        <w:rPr>
          <w:rFonts w:ascii="Arial" w:hAnsi="Arial" w:eastAsia="Arial" w:cs="Arial"/>
          <w:sz w:val="22"/>
          <w:szCs w:val="22"/>
        </w:rPr>
        <w:t>National Institute for Health Research (NIHR) (2023). Improving stroke services: lessons from research.</w:t>
      </w:r>
    </w:p>
    <w:p w14:paraId="09118790">
      <w:pPr>
        <w:spacing w:after="200" w:line="360" w:lineRule="auto"/>
        <w:ind w:left="540" w:hanging="540"/>
        <w:rPr>
          <w:rFonts w:ascii="Arial" w:hAnsi="Arial" w:eastAsia="Arial" w:cs="Arial"/>
          <w:sz w:val="22"/>
          <w:szCs w:val="22"/>
        </w:rPr>
      </w:pPr>
      <w:r>
        <w:rPr>
          <w:rFonts w:ascii="Arial" w:hAnsi="Arial" w:eastAsia="Arial" w:cs="Arial"/>
          <w:sz w:val="22"/>
          <w:szCs w:val="22"/>
        </w:rPr>
        <w:t xml:space="preserve">NHS (2023). Stroke. Available at: </w:t>
      </w:r>
      <w:r>
        <w:fldChar w:fldCharType="begin"/>
      </w:r>
      <w:r>
        <w:instrText xml:space="preserve"> HYPERLINK "https://www.nhs.uk/conditions/stroke/" </w:instrText>
      </w:r>
      <w:r>
        <w:fldChar w:fldCharType="separate"/>
      </w:r>
      <w:r>
        <w:rPr>
          <w:rStyle w:val="5"/>
          <w:rFonts w:ascii="Arial" w:hAnsi="Arial" w:eastAsia="Arial" w:cs="Arial"/>
          <w:sz w:val="22"/>
          <w:szCs w:val="22"/>
        </w:rPr>
        <w:t>https://www.nhs.uk/conditions/stroke/</w:t>
      </w:r>
      <w:r>
        <w:rPr>
          <w:rStyle w:val="5"/>
          <w:rFonts w:ascii="Arial" w:hAnsi="Arial" w:eastAsia="Arial" w:cs="Arial"/>
          <w:sz w:val="22"/>
          <w:szCs w:val="22"/>
        </w:rPr>
        <w:fldChar w:fldCharType="end"/>
      </w:r>
      <w:r>
        <w:rPr>
          <w:rFonts w:ascii="Arial" w:hAnsi="Arial" w:eastAsia="Arial" w:cs="Arial"/>
          <w:sz w:val="22"/>
          <w:szCs w:val="22"/>
        </w:rPr>
        <w:t xml:space="preserve"> (Accessed: 18 March 2026).</w:t>
      </w:r>
    </w:p>
    <w:p w14:paraId="008A4E26">
      <w:pPr>
        <w:spacing w:after="200" w:line="360" w:lineRule="auto"/>
        <w:ind w:left="540" w:hanging="540"/>
        <w:rPr>
          <w:rFonts w:ascii="Arial" w:hAnsi="Arial" w:eastAsia="Arial" w:cs="Arial"/>
          <w:sz w:val="22"/>
          <w:szCs w:val="22"/>
        </w:rPr>
      </w:pPr>
      <w:r>
        <w:rPr>
          <w:rFonts w:ascii="Arial" w:hAnsi="Arial" w:eastAsia="Arial" w:cs="Arial"/>
          <w:sz w:val="22"/>
          <w:szCs w:val="22"/>
        </w:rPr>
        <w:t xml:space="preserve">Patel, A., Berdunov, V. and Quayyum, Z. (2019). Estimated societal costs of stroke in the UK. </w:t>
      </w:r>
      <w:r>
        <w:rPr>
          <w:rFonts w:ascii="Arial" w:hAnsi="Arial" w:eastAsia="Arial" w:cs="Arial"/>
          <w:i/>
          <w:iCs/>
          <w:sz w:val="22"/>
          <w:szCs w:val="22"/>
        </w:rPr>
        <w:t>Age and Ageing</w:t>
      </w:r>
      <w:r>
        <w:rPr>
          <w:rFonts w:ascii="Arial" w:hAnsi="Arial" w:eastAsia="Arial" w:cs="Arial"/>
          <w:sz w:val="22"/>
          <w:szCs w:val="22"/>
        </w:rPr>
        <w:t>, 49(2): 270–276.</w:t>
      </w:r>
    </w:p>
    <w:p w14:paraId="54E4A912">
      <w:pPr>
        <w:spacing w:after="200" w:line="360" w:lineRule="auto"/>
        <w:ind w:left="540" w:hanging="540"/>
        <w:rPr>
          <w:sz w:val="22"/>
          <w:szCs w:val="22"/>
        </w:rPr>
      </w:pPr>
      <w:r>
        <w:rPr>
          <w:rFonts w:ascii="Arial" w:hAnsi="Arial" w:eastAsia="Arial" w:cs="Arial"/>
          <w:sz w:val="22"/>
          <w:szCs w:val="22"/>
        </w:rPr>
        <w:t>Tiwari, S., Joshi, A., Rai, N. and Satpathy, P. (2021). Impact of Stroke on Quality of Life of Stroke Survivors and Their Caregivers: A Qualitative Study from India. </w:t>
      </w:r>
      <w:r>
        <w:rPr>
          <w:rFonts w:ascii="Arial" w:hAnsi="Arial" w:eastAsia="Arial" w:cs="Arial"/>
          <w:i/>
          <w:iCs/>
          <w:sz w:val="22"/>
          <w:szCs w:val="22"/>
        </w:rPr>
        <w:t>Journal of neurosciences in rural practice</w:t>
      </w:r>
      <w:r>
        <w:rPr>
          <w:rFonts w:ascii="Arial" w:hAnsi="Arial" w:eastAsia="Arial" w:cs="Arial"/>
          <w:sz w:val="22"/>
          <w:szCs w:val="22"/>
        </w:rPr>
        <w:t xml:space="preserve">, 12(4): 680–688. Available at: </w:t>
      </w:r>
      <w:r>
        <w:fldChar w:fldCharType="begin"/>
      </w:r>
      <w:r>
        <w:instrText xml:space="preserve"> HYPERLINK "https://doi.org/10.1055/s-0041-1735323" </w:instrText>
      </w:r>
      <w:r>
        <w:fldChar w:fldCharType="separate"/>
      </w:r>
      <w:r>
        <w:rPr>
          <w:rStyle w:val="5"/>
          <w:rFonts w:ascii="Arial" w:hAnsi="Arial" w:eastAsia="Arial" w:cs="Arial"/>
          <w:sz w:val="22"/>
          <w:szCs w:val="22"/>
        </w:rPr>
        <w:t>https://doi.org/10.1055/s-0041-1735323</w:t>
      </w:r>
      <w:r>
        <w:rPr>
          <w:rStyle w:val="5"/>
          <w:rFonts w:ascii="Arial" w:hAnsi="Arial" w:eastAsia="Arial" w:cs="Arial"/>
          <w:sz w:val="22"/>
          <w:szCs w:val="22"/>
        </w:rPr>
        <w:fldChar w:fldCharType="end"/>
      </w:r>
      <w:r>
        <w:rPr>
          <w:rFonts w:ascii="Arial" w:hAnsi="Arial" w:eastAsia="Arial" w:cs="Arial"/>
          <w:sz w:val="22"/>
          <w:szCs w:val="22"/>
        </w:rPr>
        <w:t xml:space="preserve"> (Accessed: 18 March 2026).</w:t>
      </w:r>
    </w:p>
    <w:p w14:paraId="63370A41">
      <w:pPr>
        <w:spacing w:after="200" w:line="360" w:lineRule="auto"/>
        <w:ind w:left="540" w:hanging="540"/>
        <w:rPr>
          <w:rFonts w:ascii="Arial" w:hAnsi="Arial" w:eastAsia="Arial" w:cs="Arial"/>
          <w:sz w:val="22"/>
          <w:szCs w:val="22"/>
        </w:rPr>
      </w:pPr>
      <w:r>
        <w:rPr>
          <w:rFonts w:ascii="Arial" w:hAnsi="Arial" w:eastAsia="Arial" w:cs="Arial"/>
          <w:sz w:val="22"/>
          <w:szCs w:val="22"/>
        </w:rPr>
        <w:t xml:space="preserve">World Health Organization (2025). Stroke fact sheet. Available at: </w:t>
      </w:r>
      <w:r>
        <w:fldChar w:fldCharType="begin"/>
      </w:r>
      <w:r>
        <w:instrText xml:space="preserve"> HYPERLINK "https://www.who.int/news-room/fact-sheets/detail/stroke" </w:instrText>
      </w:r>
      <w:r>
        <w:fldChar w:fldCharType="separate"/>
      </w:r>
      <w:r>
        <w:rPr>
          <w:rStyle w:val="5"/>
          <w:rFonts w:ascii="Arial" w:hAnsi="Arial" w:eastAsia="Arial" w:cs="Arial"/>
          <w:sz w:val="22"/>
          <w:szCs w:val="22"/>
        </w:rPr>
        <w:t>https://www.who.int/news-room/fact-sheets/detail/stroke</w:t>
      </w:r>
      <w:r>
        <w:rPr>
          <w:rStyle w:val="5"/>
          <w:rFonts w:ascii="Arial" w:hAnsi="Arial" w:eastAsia="Arial" w:cs="Arial"/>
          <w:sz w:val="22"/>
          <w:szCs w:val="22"/>
        </w:rPr>
        <w:fldChar w:fldCharType="end"/>
      </w:r>
      <w:r>
        <w:rPr>
          <w:rFonts w:ascii="Arial" w:hAnsi="Arial" w:eastAsia="Arial" w:cs="Arial"/>
          <w:sz w:val="22"/>
          <w:szCs w:val="22"/>
        </w:rPr>
        <w:t xml:space="preserve"> (Accessed: 18 March 2026).</w:t>
      </w:r>
    </w:p>
    <w:p w14:paraId="3A568E1B">
      <w:pPr>
        <w:widowControl/>
        <w:jc w:val="left"/>
        <w:rPr>
          <w:rFonts w:ascii="Roboto Mono Web" w:hAnsi="Roboto Mono Web" w:eastAsia="Roboto Mono Web" w:cs="Roboto Mono Web"/>
          <w:color w:val="1B1B1B"/>
          <w:kern w:val="0"/>
          <w:sz w:val="24"/>
          <w:shd w:val="clear" w:color="auto" w:fill="FFFFFF"/>
          <w:lang w:bidi="ar"/>
        </w:rPr>
      </w:pPr>
    </w:p>
    <w:p w14:paraId="2C7944AF">
      <w:pPr>
        <w:widowControl/>
        <w:jc w:val="left"/>
        <w:rPr>
          <w:rFonts w:ascii="Roboto Mono Web" w:hAnsi="Roboto Mono Web" w:eastAsia="Roboto Mono Web" w:cs="Roboto Mono Web"/>
          <w:color w:val="1B1B1B"/>
          <w:kern w:val="0"/>
          <w:sz w:val="24"/>
          <w:shd w:val="clear" w:color="auto" w:fill="FFFFFF"/>
          <w:lang w:bidi="ar"/>
        </w:rPr>
      </w:pPr>
    </w:p>
    <w:p w14:paraId="577F6903">
      <w:pPr>
        <w:widowControl/>
        <w:jc w:val="left"/>
        <w:rPr>
          <w:rFonts w:ascii="Roboto Mono Web" w:hAnsi="Roboto Mono Web" w:eastAsia="Roboto Mono Web" w:cs="Roboto Mono Web"/>
          <w:color w:val="1B1B1B"/>
          <w:kern w:val="0"/>
          <w:sz w:val="24"/>
          <w:shd w:val="clear" w:color="auto" w:fill="FFFFFF"/>
          <w:lang w:bidi="ar"/>
        </w:rPr>
      </w:pPr>
    </w:p>
    <w:p w14:paraId="335788A8">
      <w:pPr>
        <w:widowControl/>
        <w:spacing w:beforeAutospacing="1" w:after="0" w:afterAutospacing="1" w:line="360" w:lineRule="auto"/>
      </w:pPr>
    </w:p>
    <w:sectPr>
      <w:footerReference r:id="rId3"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imSun">
    <w:altName w:val="宋体"/>
    <w:panose1 w:val="02010600030101010101"/>
    <w:charset w:val="86"/>
    <w:family w:val="auto"/>
    <w:pitch w:val="default"/>
    <w:sig w:usb0="00000000" w:usb1="00000000" w:usb2="00000016" w:usb3="00000000" w:csb0="00040001" w:csb1="00000000"/>
  </w:font>
  <w:font w:name="Roboto Mono Web">
    <w:altName w:val="Arial"/>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3807101"/>
    </w:sdtPr>
    <w:sdtContent>
      <w:p w14:paraId="766CD2A4">
        <w:pPr>
          <w:pStyle w:val="2"/>
          <w:jc w:val="center"/>
        </w:pPr>
        <w:r>
          <w:fldChar w:fldCharType="begin"/>
        </w:r>
        <w:r>
          <w:instrText xml:space="preserve"> PAGE   \* MERGEFORMAT </w:instrText>
        </w:r>
        <w:r>
          <w:fldChar w:fldCharType="separate"/>
        </w:r>
        <w:r>
          <w:t>2</w:t>
        </w:r>
        <w:r>
          <w:fldChar w:fldCharType="end"/>
        </w:r>
      </w:p>
    </w:sdtContent>
  </w:sdt>
  <w:p w14:paraId="7DC90B61">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adjustLineHeightInTable/>
    <w:doNotBreakWrappedTables/>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heme="minorHAnsi" w:hAnsiTheme="minorHAnsi" w:eastAsiaTheme="minorEastAsia" w:cstheme="minorBidi"/>
      <w:kern w:val="2"/>
      <w:sz w:val="21"/>
      <w:szCs w:val="24"/>
      <w:lang w:val="en-GB" w:eastAsia="zh-CN" w:bidi="ar-SA"/>
    </w:rPr>
  </w:style>
  <w:style w:type="character" w:default="1" w:styleId="4">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8"/>
    <w:uiPriority w:val="99"/>
    <w:pPr>
      <w:tabs>
        <w:tab w:val="center" w:pos="4513"/>
        <w:tab w:val="right" w:pos="9026"/>
      </w:tabs>
      <w:spacing w:after="0" w:line="240" w:lineRule="auto"/>
    </w:pPr>
  </w:style>
  <w:style w:type="paragraph" w:styleId="3">
    <w:name w:val="header"/>
    <w:basedOn w:val="1"/>
    <w:link w:val="7"/>
    <w:uiPriority w:val="0"/>
    <w:pPr>
      <w:tabs>
        <w:tab w:val="center" w:pos="4513"/>
        <w:tab w:val="right" w:pos="9026"/>
      </w:tabs>
      <w:spacing w:after="0" w:line="240" w:lineRule="auto"/>
    </w:pPr>
  </w:style>
  <w:style w:type="character" w:styleId="5">
    <w:name w:val="Hyperlink"/>
    <w:basedOn w:val="4"/>
    <w:uiPriority w:val="0"/>
    <w:rPr>
      <w:color w:val="0563C1" w:themeColor="hyperlink"/>
      <w:u w:val="single"/>
      <w14:textFill>
        <w14:solidFill>
          <w14:schemeClr w14:val="hlink"/>
        </w14:solidFill>
      </w14:textFill>
    </w:rPr>
  </w:style>
  <w:style w:type="character" w:customStyle="1" w:styleId="7">
    <w:name w:val="Header Char"/>
    <w:basedOn w:val="4"/>
    <w:link w:val="3"/>
    <w:uiPriority w:val="0"/>
    <w:rPr>
      <w:rFonts w:asciiTheme="minorHAnsi" w:hAnsiTheme="minorHAnsi" w:eastAsiaTheme="minorEastAsia" w:cstheme="minorBidi"/>
      <w:kern w:val="2"/>
      <w:sz w:val="21"/>
      <w:szCs w:val="24"/>
      <w:lang w:val="en-US" w:eastAsia="zh-CN"/>
    </w:rPr>
  </w:style>
  <w:style w:type="character" w:customStyle="1" w:styleId="8">
    <w:name w:val="Footer Char"/>
    <w:basedOn w:val="4"/>
    <w:link w:val="2"/>
    <w:uiPriority w:val="99"/>
    <w:rPr>
      <w:rFonts w:asciiTheme="minorHAnsi" w:hAnsiTheme="minorHAnsi" w:eastAsiaTheme="minorEastAsia" w:cstheme="minorBidi"/>
      <w:kern w:val="2"/>
      <w:sz w:val="21"/>
      <w:szCs w:val="24"/>
      <w:lang w:val="en-US" w:eastAsia="zh-CN"/>
    </w:rPr>
  </w:style>
  <w:style w:type="character" w:customStyle="1" w:styleId="9">
    <w:name w:val="Unresolved Mention"/>
    <w:basedOn w:val="4"/>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1825</Words>
  <Characters>10406</Characters>
  <Lines>86</Lines>
  <Paragraphs>24</Paragraphs>
  <TotalTime>0</TotalTime>
  <ScaleCrop>false</ScaleCrop>
  <LinksUpToDate>false</LinksUpToDate>
  <CharactersWithSpaces>12207</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iPhone</dc:creator>
  <cp:lastModifiedBy>iPhone</cp:lastModifiedBy>
  <dcterms:modified xsi:type="dcterms:W3CDTF">2026-03-23T18:08:37Z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3081-11.37.30</vt:lpwstr>
  </property>
  <property fmtid="{D5CDD505-2E9C-101B-9397-08002B2CF9AE}" pid="3" name="ICV">
    <vt:lpwstr>827AC8010EAF1C4E2C84B9697D1ECE02_33</vt:lpwstr>
  </property>
</Properties>
</file>