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52C14B" w14:textId="77777777" w:rsidR="00826665" w:rsidRDefault="00826665" w:rsidP="00826665"/>
    <w:p w14:paraId="1CCE4253" w14:textId="77777777" w:rsidR="00826665" w:rsidRDefault="00826665" w:rsidP="00826665"/>
    <w:p w14:paraId="2FD32918" w14:textId="77777777" w:rsidR="00826665" w:rsidRDefault="00826665" w:rsidP="00826665"/>
    <w:p w14:paraId="52DC475F" w14:textId="77777777" w:rsidR="00826665" w:rsidRDefault="00826665" w:rsidP="00826665"/>
    <w:p w14:paraId="67AAF68E" w14:textId="77777777" w:rsidR="00826665" w:rsidRDefault="00826665" w:rsidP="00826665"/>
    <w:p w14:paraId="24C186C5" w14:textId="77777777" w:rsidR="00826665" w:rsidRDefault="00826665" w:rsidP="00826665"/>
    <w:p w14:paraId="2F5BFD99" w14:textId="77777777" w:rsidR="00826665" w:rsidRDefault="00826665" w:rsidP="00826665"/>
    <w:p w14:paraId="771C9BBD" w14:textId="77777777" w:rsidR="00826665" w:rsidRDefault="00826665" w:rsidP="00826665"/>
    <w:p w14:paraId="1F8F949A" w14:textId="77777777" w:rsidR="00826665" w:rsidRDefault="00826665" w:rsidP="00826665"/>
    <w:p w14:paraId="6244A3FF" w14:textId="77777777" w:rsidR="00826665" w:rsidRDefault="00826665" w:rsidP="00826665"/>
    <w:p w14:paraId="7E54557C" w14:textId="77777777" w:rsidR="00826665" w:rsidRDefault="00826665" w:rsidP="00826665"/>
    <w:p w14:paraId="04606CD0" w14:textId="77777777" w:rsidR="00826665" w:rsidRDefault="00826665" w:rsidP="00826665"/>
    <w:p w14:paraId="023B174C" w14:textId="77777777" w:rsidR="00826665" w:rsidRDefault="00826665" w:rsidP="00826665"/>
    <w:p w14:paraId="2FF966C6" w14:textId="77777777" w:rsidR="00826665" w:rsidRDefault="00826665" w:rsidP="00826665"/>
    <w:p w14:paraId="0DE87B33" w14:textId="77777777" w:rsidR="00826665" w:rsidRDefault="00826665" w:rsidP="00826665"/>
    <w:p w14:paraId="2ACAFFA9" w14:textId="77777777" w:rsidR="00826665" w:rsidRDefault="00826665" w:rsidP="00826665"/>
    <w:p w14:paraId="48BECFB5" w14:textId="77777777" w:rsidR="00826665" w:rsidRDefault="00826665" w:rsidP="00826665"/>
    <w:p w14:paraId="5B33405F" w14:textId="77777777" w:rsidR="00826665" w:rsidRDefault="00826665" w:rsidP="00826665"/>
    <w:p w14:paraId="583972BF" w14:textId="77777777" w:rsidR="00826665" w:rsidRDefault="00826665" w:rsidP="00826665"/>
    <w:p w14:paraId="2EF3FB5B" w14:textId="77777777" w:rsidR="00826665" w:rsidRDefault="00826665" w:rsidP="00826665"/>
    <w:p w14:paraId="60FE9019" w14:textId="77777777" w:rsidR="00826665" w:rsidRDefault="00826665" w:rsidP="00826665"/>
    <w:p w14:paraId="20EAF835" w14:textId="77777777" w:rsidR="00826665" w:rsidRPr="0075731C" w:rsidRDefault="00826665" w:rsidP="00826665">
      <w:pPr>
        <w:spacing w:line="480" w:lineRule="auto"/>
        <w:jc w:val="center"/>
        <w:rPr>
          <w:sz w:val="28"/>
        </w:rPr>
      </w:pPr>
      <w:r w:rsidRPr="0075731C">
        <w:rPr>
          <w:sz w:val="28"/>
        </w:rPr>
        <w:t xml:space="preserve">Societal reactions and perceptions to the rise of Christianity under Constantine the Great through to the end of the Fourth Century. </w:t>
      </w:r>
    </w:p>
    <w:p w14:paraId="7140DD05" w14:textId="4FA46CBF" w:rsidR="00826665" w:rsidRDefault="00156366" w:rsidP="00826665">
      <w:pPr>
        <w:spacing w:line="480" w:lineRule="auto"/>
        <w:jc w:val="center"/>
      </w:pPr>
      <w:r>
        <w:t xml:space="preserve">Hannah Maria Kozdoj. </w:t>
      </w:r>
    </w:p>
    <w:p w14:paraId="5BD68475" w14:textId="71ECB8F8" w:rsidR="00156366" w:rsidRDefault="00156366" w:rsidP="00826665">
      <w:pPr>
        <w:spacing w:line="480" w:lineRule="auto"/>
        <w:jc w:val="center"/>
      </w:pPr>
      <w:r>
        <w:t xml:space="preserve">Student Number: 1502320. </w:t>
      </w:r>
    </w:p>
    <w:p w14:paraId="606C0BDD" w14:textId="3824B7AB" w:rsidR="00156366" w:rsidRDefault="00826665" w:rsidP="00826665">
      <w:pPr>
        <w:spacing w:line="480" w:lineRule="auto"/>
        <w:jc w:val="center"/>
      </w:pPr>
      <w:r>
        <w:t xml:space="preserve">Word Count: </w:t>
      </w:r>
      <w:r w:rsidR="00F52A9F">
        <w:t xml:space="preserve">9, 020. </w:t>
      </w:r>
    </w:p>
    <w:p w14:paraId="360124C4" w14:textId="77777777" w:rsidR="00156366" w:rsidRPr="00156366" w:rsidRDefault="00156366" w:rsidP="00156366"/>
    <w:p w14:paraId="54F057B9" w14:textId="77777777" w:rsidR="00156366" w:rsidRPr="00156366" w:rsidRDefault="00156366" w:rsidP="00156366"/>
    <w:p w14:paraId="0B05B795" w14:textId="77777777" w:rsidR="00156366" w:rsidRPr="00156366" w:rsidRDefault="00156366" w:rsidP="00156366"/>
    <w:p w14:paraId="148A6E72" w14:textId="77777777" w:rsidR="00156366" w:rsidRPr="00156366" w:rsidRDefault="00156366" w:rsidP="00156366"/>
    <w:p w14:paraId="491AE588" w14:textId="77777777" w:rsidR="00156366" w:rsidRPr="00156366" w:rsidRDefault="00156366" w:rsidP="00156366"/>
    <w:p w14:paraId="00AC437A" w14:textId="77777777" w:rsidR="00156366" w:rsidRPr="00156366" w:rsidRDefault="00156366" w:rsidP="00156366"/>
    <w:p w14:paraId="40CDA920" w14:textId="77777777" w:rsidR="00156366" w:rsidRPr="00156366" w:rsidRDefault="00156366" w:rsidP="00156366"/>
    <w:p w14:paraId="5FB12CF7" w14:textId="77777777" w:rsidR="00156366" w:rsidRPr="00156366" w:rsidRDefault="00156366" w:rsidP="00156366"/>
    <w:p w14:paraId="2B2913B9" w14:textId="77777777" w:rsidR="00156366" w:rsidRPr="00156366" w:rsidRDefault="00156366" w:rsidP="00156366"/>
    <w:p w14:paraId="60C57CF6" w14:textId="77777777" w:rsidR="00156366" w:rsidRPr="00156366" w:rsidRDefault="00156366" w:rsidP="00156366"/>
    <w:p w14:paraId="2D1BA98F" w14:textId="77777777" w:rsidR="00156366" w:rsidRPr="00156366" w:rsidRDefault="00156366" w:rsidP="00156366"/>
    <w:p w14:paraId="79919F77" w14:textId="77777777" w:rsidR="00156366" w:rsidRPr="00156366" w:rsidRDefault="00156366" w:rsidP="00156366"/>
    <w:p w14:paraId="6C8157F2" w14:textId="01F6C8F3" w:rsidR="00156366" w:rsidRDefault="005E0708" w:rsidP="005E0708">
      <w:pPr>
        <w:spacing w:line="480" w:lineRule="auto"/>
        <w:jc w:val="center"/>
      </w:pPr>
      <w:r>
        <w:t>Dissertation submitted in partial fulfilment of a B.A (Hons) in Classical Civilization.</w:t>
      </w:r>
    </w:p>
    <w:p w14:paraId="794C5F73" w14:textId="7387C3A7" w:rsidR="005E0708" w:rsidRDefault="005E0708" w:rsidP="005E0708">
      <w:pPr>
        <w:spacing w:line="480" w:lineRule="auto"/>
        <w:jc w:val="center"/>
      </w:pPr>
      <w:r>
        <w:t xml:space="preserve">University of Wales Trinity Saint David. </w:t>
      </w:r>
    </w:p>
    <w:p w14:paraId="340D96E3" w14:textId="3A69D269" w:rsidR="00826665" w:rsidRPr="00156366" w:rsidRDefault="00156366" w:rsidP="005E0708">
      <w:pPr>
        <w:spacing w:line="480" w:lineRule="auto"/>
        <w:jc w:val="center"/>
        <w:sectPr w:rsidR="00826665" w:rsidRPr="00156366" w:rsidSect="00826665">
          <w:footerReference w:type="even" r:id="rId7"/>
          <w:footerReference w:type="default" r:id="rId8"/>
          <w:pgSz w:w="11900" w:h="16840"/>
          <w:pgMar w:top="1440" w:right="1440" w:bottom="1440" w:left="1440" w:header="720" w:footer="720" w:gutter="0"/>
          <w:pgNumType w:fmt="lowerRoman" w:start="1"/>
          <w:cols w:space="720"/>
          <w:docGrid w:linePitch="360"/>
        </w:sectPr>
      </w:pPr>
      <w:r>
        <w:t xml:space="preserve">May 2018. </w:t>
      </w:r>
      <w:r>
        <w:tab/>
      </w:r>
    </w:p>
    <w:p w14:paraId="2C1011A6" w14:textId="77777777" w:rsidR="00826665" w:rsidRPr="001A6AE0" w:rsidRDefault="00826665" w:rsidP="00826665">
      <w:pPr>
        <w:rPr>
          <w:sz w:val="28"/>
          <w:szCs w:val="28"/>
          <w:u w:val="single"/>
        </w:rPr>
      </w:pPr>
      <w:r w:rsidRPr="001A6AE0">
        <w:rPr>
          <w:sz w:val="28"/>
          <w:szCs w:val="28"/>
          <w:u w:val="single"/>
        </w:rPr>
        <w:lastRenderedPageBreak/>
        <w:t xml:space="preserve">Preface. </w:t>
      </w:r>
    </w:p>
    <w:p w14:paraId="7F81EA83" w14:textId="77777777" w:rsidR="00826665" w:rsidRDefault="00826665" w:rsidP="00826665"/>
    <w:p w14:paraId="02E37021" w14:textId="02E3191C" w:rsidR="004E55D8" w:rsidRDefault="004E55D8" w:rsidP="004E55D8">
      <w:pPr>
        <w:spacing w:line="480" w:lineRule="auto"/>
      </w:pPr>
      <w:r>
        <w:t>Over the last three years, my university career has all culminated to this; my undergraduate dissertation. Over the last year and throughout the writing of this dissertation there were so many people that gave their support,</w:t>
      </w:r>
      <w:r w:rsidR="00B54A6C">
        <w:t xml:space="preserve"> and so some words of thanks</w:t>
      </w:r>
      <w:r>
        <w:t xml:space="preserve"> </w:t>
      </w:r>
      <w:r w:rsidR="00332281">
        <w:t xml:space="preserve">are in order </w:t>
      </w:r>
      <w:r w:rsidR="00B54A6C">
        <w:t>for</w:t>
      </w:r>
      <w:r>
        <w:t xml:space="preserve"> those closest and dearest to me. </w:t>
      </w:r>
    </w:p>
    <w:p w14:paraId="6A51431B" w14:textId="5E51FC34" w:rsidR="004E55D8" w:rsidRDefault="004E55D8" w:rsidP="004E55D8">
      <w:pPr>
        <w:spacing w:line="480" w:lineRule="auto"/>
      </w:pPr>
      <w:r>
        <w:t>Firstly, if it were not for the help of my supervisor, Dr. Ralph Haeüssler then I fear that this dissertation may still be sitting in a folder on the desktop of my computer. Thank you for providing me with the tools and skills</w:t>
      </w:r>
      <w:r w:rsidR="00156366">
        <w:t xml:space="preserve"> necessary</w:t>
      </w:r>
      <w:r>
        <w:t xml:space="preserve"> to be able to write this piece of work, I hope all the fra</w:t>
      </w:r>
      <w:r w:rsidR="00332281">
        <w:t xml:space="preserve">ntic emails have been worth it, </w:t>
      </w:r>
      <w:r w:rsidR="00B54A6C">
        <w:t xml:space="preserve">and to </w:t>
      </w:r>
      <w:r w:rsidR="00824499">
        <w:t>all</w:t>
      </w:r>
      <w:r w:rsidR="00B54A6C">
        <w:t xml:space="preserve"> the lecturers in the Classics Department who made studying fun and kept me engaged, despite my best efforts. </w:t>
      </w:r>
    </w:p>
    <w:p w14:paraId="4A884797" w14:textId="77777777" w:rsidR="004E55D8" w:rsidRDefault="004E55D8" w:rsidP="004E55D8">
      <w:pPr>
        <w:spacing w:line="480" w:lineRule="auto"/>
      </w:pPr>
      <w:r>
        <w:t xml:space="preserve">To my Mum, the woman who has helped me to keep going even on the days it didn’t seem worth it at all, I wouldn’t be the person I am today without her constant guidance and support as I continue forward with my journey. </w:t>
      </w:r>
    </w:p>
    <w:p w14:paraId="692F4219" w14:textId="77777777" w:rsidR="004E55D8" w:rsidRDefault="004E55D8" w:rsidP="004E55D8">
      <w:pPr>
        <w:spacing w:line="480" w:lineRule="auto"/>
      </w:pPr>
      <w:r>
        <w:t xml:space="preserve">My beautiful niece, who has made every day brighter since she arrived and without even knowing encouraged me to be the best I could be, if not for anyone, but for her. </w:t>
      </w:r>
    </w:p>
    <w:p w14:paraId="5507958B" w14:textId="2C42336A" w:rsidR="004E55D8" w:rsidRDefault="004E55D8" w:rsidP="004E55D8">
      <w:pPr>
        <w:spacing w:line="480" w:lineRule="auto"/>
      </w:pPr>
      <w:r>
        <w:t xml:space="preserve">My fantastic housemates, </w:t>
      </w:r>
      <w:r w:rsidR="00B54A6C">
        <w:t xml:space="preserve">Elizabeth, Katie and, Ellie, </w:t>
      </w:r>
      <w:r>
        <w:t>whom I have lived with since first year, were essential in making sure that any of this actually made sense when I couldn’t stand to edit another word.</w:t>
      </w:r>
      <w:r w:rsidR="00B54A6C">
        <w:t xml:space="preserve"> I’m cannot express how happy I am we made it through together. </w:t>
      </w:r>
    </w:p>
    <w:p w14:paraId="1F00D4E2" w14:textId="77777777" w:rsidR="004E55D8" w:rsidRPr="007B0328" w:rsidRDefault="004E55D8" w:rsidP="004E55D8">
      <w:pPr>
        <w:spacing w:line="480" w:lineRule="auto"/>
      </w:pPr>
      <w:r>
        <w:t xml:space="preserve">I cannot thank you all enough, so I hope this will suffice. </w:t>
      </w:r>
    </w:p>
    <w:p w14:paraId="360EA24B" w14:textId="77777777" w:rsidR="00826665" w:rsidRDefault="00826665" w:rsidP="00826665">
      <w:r>
        <w:tab/>
      </w:r>
      <w:r>
        <w:br w:type="page"/>
      </w:r>
    </w:p>
    <w:p w14:paraId="6A74F714" w14:textId="77777777" w:rsidR="00826665" w:rsidRPr="006A5D66" w:rsidRDefault="00826665" w:rsidP="00826665">
      <w:pPr>
        <w:spacing w:line="480" w:lineRule="auto"/>
        <w:rPr>
          <w:color w:val="000000" w:themeColor="text1"/>
        </w:rPr>
        <w:sectPr w:rsidR="00826665" w:rsidRPr="006A5D66" w:rsidSect="00826665">
          <w:pgSz w:w="11900" w:h="16840"/>
          <w:pgMar w:top="1440" w:right="1440" w:bottom="1440" w:left="1440" w:header="720" w:footer="720" w:gutter="0"/>
          <w:pgNumType w:fmt="lowerRoman" w:start="2"/>
          <w:cols w:space="720"/>
          <w:docGrid w:linePitch="360"/>
        </w:sectPr>
      </w:pPr>
    </w:p>
    <w:sdt>
      <w:sdtPr>
        <w:rPr>
          <w:rFonts w:ascii="Times" w:eastAsiaTheme="minorHAnsi" w:hAnsi="Times" w:cstheme="minorBidi"/>
          <w:b w:val="0"/>
          <w:bCs w:val="0"/>
          <w:color w:val="auto"/>
          <w:sz w:val="24"/>
          <w:szCs w:val="20"/>
          <w:lang w:val="en-GB"/>
        </w:rPr>
        <w:id w:val="-819264915"/>
        <w:docPartObj>
          <w:docPartGallery w:val="Table of Contents"/>
          <w:docPartUnique/>
        </w:docPartObj>
      </w:sdtPr>
      <w:sdtEndPr>
        <w:rPr>
          <w:noProof/>
        </w:rPr>
      </w:sdtEndPr>
      <w:sdtContent>
        <w:p w14:paraId="2437A052" w14:textId="77777777" w:rsidR="00826665" w:rsidRPr="006A5D66" w:rsidRDefault="00826665" w:rsidP="00826665">
          <w:pPr>
            <w:pStyle w:val="TOCHeading"/>
            <w:spacing w:line="480" w:lineRule="auto"/>
            <w:rPr>
              <w:rFonts w:ascii="Times" w:hAnsi="Times"/>
              <w:color w:val="000000" w:themeColor="text1"/>
              <w:u w:val="single"/>
            </w:rPr>
          </w:pPr>
          <w:r w:rsidRPr="006A5D66">
            <w:rPr>
              <w:rFonts w:ascii="Times" w:hAnsi="Times"/>
              <w:color w:val="000000" w:themeColor="text1"/>
              <w:u w:val="single"/>
            </w:rPr>
            <w:t>TABLE OF CONTENTS</w:t>
          </w:r>
          <w:r>
            <w:rPr>
              <w:rFonts w:ascii="Times" w:hAnsi="Times"/>
              <w:color w:val="000000" w:themeColor="text1"/>
              <w:u w:val="single"/>
            </w:rPr>
            <w:t>.</w:t>
          </w:r>
        </w:p>
        <w:p w14:paraId="55B7EE75" w14:textId="77777777" w:rsidR="004C7603" w:rsidRDefault="00826665">
          <w:pPr>
            <w:pStyle w:val="TOC1"/>
            <w:rPr>
              <w:rFonts w:eastAsiaTheme="minorEastAsia"/>
              <w:b w:val="0"/>
              <w:bCs w:val="0"/>
              <w:caps w:val="0"/>
              <w:noProof/>
              <w:sz w:val="24"/>
              <w:szCs w:val="24"/>
              <w:lang w:eastAsia="en-GB"/>
            </w:rPr>
          </w:pPr>
          <w:r>
            <w:fldChar w:fldCharType="begin"/>
          </w:r>
          <w:r>
            <w:instrText xml:space="preserve"> TOC \o "1-3" \h \z \u </w:instrText>
          </w:r>
          <w:r>
            <w:fldChar w:fldCharType="separate"/>
          </w:r>
          <w:hyperlink w:anchor="_Toc513746949" w:history="1">
            <w:r w:rsidR="004C7603" w:rsidRPr="009B70F3">
              <w:rPr>
                <w:rStyle w:val="Hyperlink"/>
                <w:rFonts w:ascii="Times" w:hAnsi="Times"/>
                <w:noProof/>
              </w:rPr>
              <w:t>Introduction: The religions of the Roman Empire in the first three centuries.</w:t>
            </w:r>
            <w:r w:rsidR="004C7603">
              <w:rPr>
                <w:noProof/>
                <w:webHidden/>
              </w:rPr>
              <w:tab/>
            </w:r>
            <w:r w:rsidR="004C7603">
              <w:rPr>
                <w:noProof/>
                <w:webHidden/>
              </w:rPr>
              <w:fldChar w:fldCharType="begin"/>
            </w:r>
            <w:r w:rsidR="004C7603">
              <w:rPr>
                <w:noProof/>
                <w:webHidden/>
              </w:rPr>
              <w:instrText xml:space="preserve"> PAGEREF _Toc513746949 \h </w:instrText>
            </w:r>
            <w:r w:rsidR="004C7603">
              <w:rPr>
                <w:noProof/>
                <w:webHidden/>
              </w:rPr>
            </w:r>
            <w:r w:rsidR="004C7603">
              <w:rPr>
                <w:noProof/>
                <w:webHidden/>
              </w:rPr>
              <w:fldChar w:fldCharType="separate"/>
            </w:r>
            <w:r w:rsidR="00236D6C">
              <w:rPr>
                <w:noProof/>
                <w:webHidden/>
              </w:rPr>
              <w:t>1</w:t>
            </w:r>
            <w:r w:rsidR="004C7603">
              <w:rPr>
                <w:noProof/>
                <w:webHidden/>
              </w:rPr>
              <w:fldChar w:fldCharType="end"/>
            </w:r>
          </w:hyperlink>
        </w:p>
        <w:p w14:paraId="0C43D9D8" w14:textId="77777777" w:rsidR="004C7603" w:rsidRDefault="007D177C">
          <w:pPr>
            <w:pStyle w:val="TOC1"/>
            <w:rPr>
              <w:rFonts w:eastAsiaTheme="minorEastAsia"/>
              <w:b w:val="0"/>
              <w:bCs w:val="0"/>
              <w:caps w:val="0"/>
              <w:noProof/>
              <w:sz w:val="24"/>
              <w:szCs w:val="24"/>
              <w:lang w:eastAsia="en-GB"/>
            </w:rPr>
          </w:pPr>
          <w:hyperlink w:anchor="_Toc513746950" w:history="1">
            <w:r w:rsidR="004C7603" w:rsidRPr="009B70F3">
              <w:rPr>
                <w:rStyle w:val="Hyperlink"/>
                <w:rFonts w:ascii="Times" w:hAnsi="Times"/>
                <w:noProof/>
              </w:rPr>
              <w:t>Chapter One: Methodology and Source Analysis.</w:t>
            </w:r>
            <w:r w:rsidR="004C7603">
              <w:rPr>
                <w:noProof/>
                <w:webHidden/>
              </w:rPr>
              <w:tab/>
            </w:r>
            <w:r w:rsidR="004C7603">
              <w:rPr>
                <w:noProof/>
                <w:webHidden/>
              </w:rPr>
              <w:fldChar w:fldCharType="begin"/>
            </w:r>
            <w:r w:rsidR="004C7603">
              <w:rPr>
                <w:noProof/>
                <w:webHidden/>
              </w:rPr>
              <w:instrText xml:space="preserve"> PAGEREF _Toc513746950 \h </w:instrText>
            </w:r>
            <w:r w:rsidR="004C7603">
              <w:rPr>
                <w:noProof/>
                <w:webHidden/>
              </w:rPr>
            </w:r>
            <w:r w:rsidR="004C7603">
              <w:rPr>
                <w:noProof/>
                <w:webHidden/>
              </w:rPr>
              <w:fldChar w:fldCharType="separate"/>
            </w:r>
            <w:r w:rsidR="00236D6C">
              <w:rPr>
                <w:noProof/>
                <w:webHidden/>
              </w:rPr>
              <w:t>6</w:t>
            </w:r>
            <w:r w:rsidR="004C7603">
              <w:rPr>
                <w:noProof/>
                <w:webHidden/>
              </w:rPr>
              <w:fldChar w:fldCharType="end"/>
            </w:r>
          </w:hyperlink>
        </w:p>
        <w:p w14:paraId="2208F70E" w14:textId="77777777" w:rsidR="004C7603" w:rsidRDefault="007D177C">
          <w:pPr>
            <w:pStyle w:val="TOC1"/>
            <w:rPr>
              <w:rFonts w:eastAsiaTheme="minorEastAsia"/>
              <w:b w:val="0"/>
              <w:bCs w:val="0"/>
              <w:caps w:val="0"/>
              <w:noProof/>
              <w:sz w:val="24"/>
              <w:szCs w:val="24"/>
              <w:lang w:eastAsia="en-GB"/>
            </w:rPr>
          </w:pPr>
          <w:hyperlink w:anchor="_Toc513746951" w:history="1">
            <w:r w:rsidR="004C7603" w:rsidRPr="009B70F3">
              <w:rPr>
                <w:rStyle w:val="Hyperlink"/>
                <w:rFonts w:ascii="Times" w:hAnsi="Times"/>
                <w:noProof/>
              </w:rPr>
              <w:t>Chapter Two: The Edict of Toleration and Legalisation of Christianity.</w:t>
            </w:r>
            <w:r w:rsidR="004C7603">
              <w:rPr>
                <w:noProof/>
                <w:webHidden/>
              </w:rPr>
              <w:tab/>
            </w:r>
            <w:r w:rsidR="004C7603">
              <w:rPr>
                <w:noProof/>
                <w:webHidden/>
              </w:rPr>
              <w:fldChar w:fldCharType="begin"/>
            </w:r>
            <w:r w:rsidR="004C7603">
              <w:rPr>
                <w:noProof/>
                <w:webHidden/>
              </w:rPr>
              <w:instrText xml:space="preserve"> PAGEREF _Toc513746951 \h </w:instrText>
            </w:r>
            <w:r w:rsidR="004C7603">
              <w:rPr>
                <w:noProof/>
                <w:webHidden/>
              </w:rPr>
            </w:r>
            <w:r w:rsidR="004C7603">
              <w:rPr>
                <w:noProof/>
                <w:webHidden/>
              </w:rPr>
              <w:fldChar w:fldCharType="separate"/>
            </w:r>
            <w:r w:rsidR="00236D6C">
              <w:rPr>
                <w:noProof/>
                <w:webHidden/>
              </w:rPr>
              <w:t>12</w:t>
            </w:r>
            <w:r w:rsidR="004C7603">
              <w:rPr>
                <w:noProof/>
                <w:webHidden/>
              </w:rPr>
              <w:fldChar w:fldCharType="end"/>
            </w:r>
          </w:hyperlink>
        </w:p>
        <w:p w14:paraId="4CFAA7C8" w14:textId="77777777" w:rsidR="004C7603" w:rsidRDefault="007D177C">
          <w:pPr>
            <w:pStyle w:val="TOC2"/>
            <w:tabs>
              <w:tab w:val="right" w:leader="dot" w:pos="9010"/>
            </w:tabs>
            <w:rPr>
              <w:rFonts w:eastAsiaTheme="minorEastAsia"/>
              <w:smallCaps w:val="0"/>
              <w:noProof/>
              <w:sz w:val="24"/>
              <w:szCs w:val="24"/>
              <w:lang w:eastAsia="en-GB"/>
            </w:rPr>
          </w:pPr>
          <w:hyperlink w:anchor="_Toc513746952" w:history="1">
            <w:r w:rsidR="004C7603" w:rsidRPr="009B70F3">
              <w:rPr>
                <w:rStyle w:val="Hyperlink"/>
                <w:rFonts w:ascii="Times" w:hAnsi="Times"/>
                <w:noProof/>
              </w:rPr>
              <w:t>2.1: The Edict of Toleration.</w:t>
            </w:r>
            <w:r w:rsidR="004C7603">
              <w:rPr>
                <w:noProof/>
                <w:webHidden/>
              </w:rPr>
              <w:tab/>
            </w:r>
            <w:r w:rsidR="004C7603">
              <w:rPr>
                <w:noProof/>
                <w:webHidden/>
              </w:rPr>
              <w:fldChar w:fldCharType="begin"/>
            </w:r>
            <w:r w:rsidR="004C7603">
              <w:rPr>
                <w:noProof/>
                <w:webHidden/>
              </w:rPr>
              <w:instrText xml:space="preserve"> PAGEREF _Toc513746952 \h </w:instrText>
            </w:r>
            <w:r w:rsidR="004C7603">
              <w:rPr>
                <w:noProof/>
                <w:webHidden/>
              </w:rPr>
            </w:r>
            <w:r w:rsidR="004C7603">
              <w:rPr>
                <w:noProof/>
                <w:webHidden/>
              </w:rPr>
              <w:fldChar w:fldCharType="separate"/>
            </w:r>
            <w:r w:rsidR="00236D6C">
              <w:rPr>
                <w:noProof/>
                <w:webHidden/>
              </w:rPr>
              <w:t>13</w:t>
            </w:r>
            <w:r w:rsidR="004C7603">
              <w:rPr>
                <w:noProof/>
                <w:webHidden/>
              </w:rPr>
              <w:fldChar w:fldCharType="end"/>
            </w:r>
          </w:hyperlink>
        </w:p>
        <w:p w14:paraId="47037960" w14:textId="77777777" w:rsidR="004C7603" w:rsidRDefault="007D177C">
          <w:pPr>
            <w:pStyle w:val="TOC2"/>
            <w:tabs>
              <w:tab w:val="right" w:leader="dot" w:pos="9010"/>
            </w:tabs>
            <w:rPr>
              <w:rFonts w:eastAsiaTheme="minorEastAsia"/>
              <w:smallCaps w:val="0"/>
              <w:noProof/>
              <w:sz w:val="24"/>
              <w:szCs w:val="24"/>
              <w:lang w:eastAsia="en-GB"/>
            </w:rPr>
          </w:pPr>
          <w:hyperlink w:anchor="_Toc513746953" w:history="1">
            <w:r w:rsidR="004C7603" w:rsidRPr="009B70F3">
              <w:rPr>
                <w:rStyle w:val="Hyperlink"/>
                <w:rFonts w:ascii="Times" w:hAnsi="Times"/>
                <w:noProof/>
              </w:rPr>
              <w:t>2.2: The Edict of Milan.</w:t>
            </w:r>
            <w:r w:rsidR="004C7603">
              <w:rPr>
                <w:noProof/>
                <w:webHidden/>
              </w:rPr>
              <w:tab/>
            </w:r>
            <w:r w:rsidR="004C7603">
              <w:rPr>
                <w:noProof/>
                <w:webHidden/>
              </w:rPr>
              <w:fldChar w:fldCharType="begin"/>
            </w:r>
            <w:r w:rsidR="004C7603">
              <w:rPr>
                <w:noProof/>
                <w:webHidden/>
              </w:rPr>
              <w:instrText xml:space="preserve"> PAGEREF _Toc513746953 \h </w:instrText>
            </w:r>
            <w:r w:rsidR="004C7603">
              <w:rPr>
                <w:noProof/>
                <w:webHidden/>
              </w:rPr>
            </w:r>
            <w:r w:rsidR="004C7603">
              <w:rPr>
                <w:noProof/>
                <w:webHidden/>
              </w:rPr>
              <w:fldChar w:fldCharType="separate"/>
            </w:r>
            <w:r w:rsidR="00236D6C">
              <w:rPr>
                <w:noProof/>
                <w:webHidden/>
              </w:rPr>
              <w:t>15</w:t>
            </w:r>
            <w:r w:rsidR="004C7603">
              <w:rPr>
                <w:noProof/>
                <w:webHidden/>
              </w:rPr>
              <w:fldChar w:fldCharType="end"/>
            </w:r>
          </w:hyperlink>
        </w:p>
        <w:p w14:paraId="6B5429EB" w14:textId="77777777" w:rsidR="004C7603" w:rsidRDefault="007D177C">
          <w:pPr>
            <w:pStyle w:val="TOC1"/>
            <w:rPr>
              <w:rFonts w:eastAsiaTheme="minorEastAsia"/>
              <w:b w:val="0"/>
              <w:bCs w:val="0"/>
              <w:caps w:val="0"/>
              <w:noProof/>
              <w:sz w:val="24"/>
              <w:szCs w:val="24"/>
              <w:lang w:eastAsia="en-GB"/>
            </w:rPr>
          </w:pPr>
          <w:hyperlink w:anchor="_Toc513746954" w:history="1">
            <w:r w:rsidR="004C7603" w:rsidRPr="009B70F3">
              <w:rPr>
                <w:rStyle w:val="Hyperlink"/>
                <w:rFonts w:ascii="Times" w:hAnsi="Times"/>
                <w:noProof/>
              </w:rPr>
              <w:t>Chapter Three: The Theodosian Code and social tensions in the Fourth Century.</w:t>
            </w:r>
            <w:r w:rsidR="004C7603">
              <w:rPr>
                <w:noProof/>
                <w:webHidden/>
              </w:rPr>
              <w:tab/>
            </w:r>
            <w:r w:rsidR="004C7603">
              <w:rPr>
                <w:noProof/>
                <w:webHidden/>
              </w:rPr>
              <w:fldChar w:fldCharType="begin"/>
            </w:r>
            <w:r w:rsidR="004C7603">
              <w:rPr>
                <w:noProof/>
                <w:webHidden/>
              </w:rPr>
              <w:instrText xml:space="preserve"> PAGEREF _Toc513746954 \h </w:instrText>
            </w:r>
            <w:r w:rsidR="004C7603">
              <w:rPr>
                <w:noProof/>
                <w:webHidden/>
              </w:rPr>
            </w:r>
            <w:r w:rsidR="004C7603">
              <w:rPr>
                <w:noProof/>
                <w:webHidden/>
              </w:rPr>
              <w:fldChar w:fldCharType="separate"/>
            </w:r>
            <w:r w:rsidR="00236D6C">
              <w:rPr>
                <w:noProof/>
                <w:webHidden/>
              </w:rPr>
              <w:t>19</w:t>
            </w:r>
            <w:r w:rsidR="004C7603">
              <w:rPr>
                <w:noProof/>
                <w:webHidden/>
              </w:rPr>
              <w:fldChar w:fldCharType="end"/>
            </w:r>
          </w:hyperlink>
        </w:p>
        <w:p w14:paraId="16D9189B" w14:textId="77777777" w:rsidR="004C7603" w:rsidRDefault="007D177C">
          <w:pPr>
            <w:pStyle w:val="TOC1"/>
            <w:rPr>
              <w:rFonts w:eastAsiaTheme="minorEastAsia"/>
              <w:b w:val="0"/>
              <w:bCs w:val="0"/>
              <w:caps w:val="0"/>
              <w:noProof/>
              <w:sz w:val="24"/>
              <w:szCs w:val="24"/>
              <w:lang w:eastAsia="en-GB"/>
            </w:rPr>
          </w:pPr>
          <w:hyperlink w:anchor="_Toc513746955" w:history="1">
            <w:r w:rsidR="004C7603" w:rsidRPr="009B70F3">
              <w:rPr>
                <w:rStyle w:val="Hyperlink"/>
                <w:rFonts w:ascii="Times" w:hAnsi="Times"/>
                <w:noProof/>
              </w:rPr>
              <w:t>Conclusion: Society at the end of the Fourth Century.</w:t>
            </w:r>
            <w:r w:rsidR="004C7603">
              <w:rPr>
                <w:noProof/>
                <w:webHidden/>
              </w:rPr>
              <w:tab/>
            </w:r>
            <w:r w:rsidR="004C7603">
              <w:rPr>
                <w:noProof/>
                <w:webHidden/>
              </w:rPr>
              <w:fldChar w:fldCharType="begin"/>
            </w:r>
            <w:r w:rsidR="004C7603">
              <w:rPr>
                <w:noProof/>
                <w:webHidden/>
              </w:rPr>
              <w:instrText xml:space="preserve"> PAGEREF _Toc513746955 \h </w:instrText>
            </w:r>
            <w:r w:rsidR="004C7603">
              <w:rPr>
                <w:noProof/>
                <w:webHidden/>
              </w:rPr>
            </w:r>
            <w:r w:rsidR="004C7603">
              <w:rPr>
                <w:noProof/>
                <w:webHidden/>
              </w:rPr>
              <w:fldChar w:fldCharType="separate"/>
            </w:r>
            <w:r w:rsidR="00236D6C">
              <w:rPr>
                <w:noProof/>
                <w:webHidden/>
              </w:rPr>
              <w:t>27</w:t>
            </w:r>
            <w:r w:rsidR="004C7603">
              <w:rPr>
                <w:noProof/>
                <w:webHidden/>
              </w:rPr>
              <w:fldChar w:fldCharType="end"/>
            </w:r>
          </w:hyperlink>
        </w:p>
        <w:p w14:paraId="2191AC15" w14:textId="77777777" w:rsidR="004C7603" w:rsidRDefault="007D177C">
          <w:pPr>
            <w:pStyle w:val="TOC1"/>
            <w:rPr>
              <w:rFonts w:eastAsiaTheme="minorEastAsia"/>
              <w:b w:val="0"/>
              <w:bCs w:val="0"/>
              <w:caps w:val="0"/>
              <w:noProof/>
              <w:sz w:val="24"/>
              <w:szCs w:val="24"/>
              <w:lang w:eastAsia="en-GB"/>
            </w:rPr>
          </w:pPr>
          <w:hyperlink w:anchor="_Toc513746956" w:history="1">
            <w:r w:rsidR="004C7603" w:rsidRPr="009B70F3">
              <w:rPr>
                <w:rStyle w:val="Hyperlink"/>
                <w:rFonts w:ascii="Times" w:hAnsi="Times"/>
                <w:noProof/>
              </w:rPr>
              <w:t>Bibliography.</w:t>
            </w:r>
            <w:r w:rsidR="004C7603">
              <w:rPr>
                <w:noProof/>
                <w:webHidden/>
              </w:rPr>
              <w:tab/>
            </w:r>
            <w:r w:rsidR="004C7603">
              <w:rPr>
                <w:noProof/>
                <w:webHidden/>
              </w:rPr>
              <w:fldChar w:fldCharType="begin"/>
            </w:r>
            <w:r w:rsidR="004C7603">
              <w:rPr>
                <w:noProof/>
                <w:webHidden/>
              </w:rPr>
              <w:instrText xml:space="preserve"> PAGEREF _Toc513746956 \h </w:instrText>
            </w:r>
            <w:r w:rsidR="004C7603">
              <w:rPr>
                <w:noProof/>
                <w:webHidden/>
              </w:rPr>
            </w:r>
            <w:r w:rsidR="004C7603">
              <w:rPr>
                <w:noProof/>
                <w:webHidden/>
              </w:rPr>
              <w:fldChar w:fldCharType="separate"/>
            </w:r>
            <w:r w:rsidR="00236D6C">
              <w:rPr>
                <w:noProof/>
                <w:webHidden/>
              </w:rPr>
              <w:t>31</w:t>
            </w:r>
            <w:r w:rsidR="004C7603">
              <w:rPr>
                <w:noProof/>
                <w:webHidden/>
              </w:rPr>
              <w:fldChar w:fldCharType="end"/>
            </w:r>
          </w:hyperlink>
        </w:p>
        <w:p w14:paraId="6C8356D3" w14:textId="77777777" w:rsidR="004C7603" w:rsidRDefault="007D177C">
          <w:pPr>
            <w:pStyle w:val="TOC2"/>
            <w:tabs>
              <w:tab w:val="right" w:leader="dot" w:pos="9010"/>
            </w:tabs>
            <w:rPr>
              <w:rFonts w:eastAsiaTheme="minorEastAsia"/>
              <w:smallCaps w:val="0"/>
              <w:noProof/>
              <w:sz w:val="24"/>
              <w:szCs w:val="24"/>
              <w:lang w:eastAsia="en-GB"/>
            </w:rPr>
          </w:pPr>
          <w:hyperlink w:anchor="_Toc513746957" w:history="1">
            <w:r w:rsidR="004C7603" w:rsidRPr="009B70F3">
              <w:rPr>
                <w:rStyle w:val="Hyperlink"/>
                <w:rFonts w:ascii="Times" w:hAnsi="Times"/>
                <w:noProof/>
              </w:rPr>
              <w:t>Ancient Sources.</w:t>
            </w:r>
            <w:r w:rsidR="004C7603">
              <w:rPr>
                <w:noProof/>
                <w:webHidden/>
              </w:rPr>
              <w:tab/>
            </w:r>
            <w:r w:rsidR="004C7603">
              <w:rPr>
                <w:noProof/>
                <w:webHidden/>
              </w:rPr>
              <w:fldChar w:fldCharType="begin"/>
            </w:r>
            <w:r w:rsidR="004C7603">
              <w:rPr>
                <w:noProof/>
                <w:webHidden/>
              </w:rPr>
              <w:instrText xml:space="preserve"> PAGEREF _Toc513746957 \h </w:instrText>
            </w:r>
            <w:r w:rsidR="004C7603">
              <w:rPr>
                <w:noProof/>
                <w:webHidden/>
              </w:rPr>
            </w:r>
            <w:r w:rsidR="004C7603">
              <w:rPr>
                <w:noProof/>
                <w:webHidden/>
              </w:rPr>
              <w:fldChar w:fldCharType="separate"/>
            </w:r>
            <w:r w:rsidR="00236D6C">
              <w:rPr>
                <w:noProof/>
                <w:webHidden/>
              </w:rPr>
              <w:t>31</w:t>
            </w:r>
            <w:r w:rsidR="004C7603">
              <w:rPr>
                <w:noProof/>
                <w:webHidden/>
              </w:rPr>
              <w:fldChar w:fldCharType="end"/>
            </w:r>
          </w:hyperlink>
        </w:p>
        <w:p w14:paraId="05A6DB83" w14:textId="77777777" w:rsidR="004C7603" w:rsidRDefault="007D177C">
          <w:pPr>
            <w:pStyle w:val="TOC2"/>
            <w:tabs>
              <w:tab w:val="right" w:leader="dot" w:pos="9010"/>
            </w:tabs>
            <w:rPr>
              <w:rFonts w:eastAsiaTheme="minorEastAsia"/>
              <w:smallCaps w:val="0"/>
              <w:noProof/>
              <w:sz w:val="24"/>
              <w:szCs w:val="24"/>
              <w:lang w:eastAsia="en-GB"/>
            </w:rPr>
          </w:pPr>
          <w:hyperlink w:anchor="_Toc513746958" w:history="1">
            <w:r w:rsidR="004C7603" w:rsidRPr="009B70F3">
              <w:rPr>
                <w:rStyle w:val="Hyperlink"/>
                <w:rFonts w:ascii="Times" w:hAnsi="Times"/>
                <w:noProof/>
              </w:rPr>
              <w:t>Modern Scholarship.</w:t>
            </w:r>
            <w:r w:rsidR="004C7603">
              <w:rPr>
                <w:noProof/>
                <w:webHidden/>
              </w:rPr>
              <w:tab/>
            </w:r>
            <w:r w:rsidR="004C7603">
              <w:rPr>
                <w:noProof/>
                <w:webHidden/>
              </w:rPr>
              <w:fldChar w:fldCharType="begin"/>
            </w:r>
            <w:r w:rsidR="004C7603">
              <w:rPr>
                <w:noProof/>
                <w:webHidden/>
              </w:rPr>
              <w:instrText xml:space="preserve"> PAGEREF _Toc513746958 \h </w:instrText>
            </w:r>
            <w:r w:rsidR="004C7603">
              <w:rPr>
                <w:noProof/>
                <w:webHidden/>
              </w:rPr>
            </w:r>
            <w:r w:rsidR="004C7603">
              <w:rPr>
                <w:noProof/>
                <w:webHidden/>
              </w:rPr>
              <w:fldChar w:fldCharType="separate"/>
            </w:r>
            <w:r w:rsidR="00236D6C">
              <w:rPr>
                <w:noProof/>
                <w:webHidden/>
              </w:rPr>
              <w:t>31</w:t>
            </w:r>
            <w:r w:rsidR="004C7603">
              <w:rPr>
                <w:noProof/>
                <w:webHidden/>
              </w:rPr>
              <w:fldChar w:fldCharType="end"/>
            </w:r>
          </w:hyperlink>
        </w:p>
        <w:p w14:paraId="1CF98445" w14:textId="77777777" w:rsidR="00826665" w:rsidRDefault="00826665" w:rsidP="00826665">
          <w:pPr>
            <w:spacing w:line="480" w:lineRule="auto"/>
          </w:pPr>
          <w:r>
            <w:rPr>
              <w:b/>
              <w:bCs/>
              <w:noProof/>
            </w:rPr>
            <w:fldChar w:fldCharType="end"/>
          </w:r>
        </w:p>
      </w:sdtContent>
    </w:sdt>
    <w:p w14:paraId="2B540C2E" w14:textId="77777777" w:rsidR="00826665" w:rsidRPr="006A5D66" w:rsidRDefault="00826665" w:rsidP="00826665">
      <w:pPr>
        <w:sectPr w:rsidR="00826665" w:rsidRPr="006A5D66" w:rsidSect="00826665">
          <w:pgSz w:w="11900" w:h="16840"/>
          <w:pgMar w:top="1440" w:right="1440" w:bottom="1440" w:left="1440" w:header="720" w:footer="720" w:gutter="0"/>
          <w:pgNumType w:fmt="lowerRoman"/>
          <w:cols w:space="720"/>
          <w:docGrid w:linePitch="360"/>
        </w:sectPr>
      </w:pPr>
    </w:p>
    <w:p w14:paraId="526414A1" w14:textId="77777777" w:rsidR="00826665" w:rsidRPr="00817752" w:rsidRDefault="00826665" w:rsidP="00826665">
      <w:pPr>
        <w:pStyle w:val="Heading1"/>
        <w:rPr>
          <w:rFonts w:ascii="Times" w:hAnsi="Times"/>
          <w:color w:val="000000" w:themeColor="text1"/>
          <w:sz w:val="28"/>
          <w:u w:val="single"/>
        </w:rPr>
      </w:pPr>
      <w:bookmarkStart w:id="0" w:name="_Toc509844265"/>
      <w:bookmarkStart w:id="1" w:name="_Toc513746949"/>
      <w:r w:rsidRPr="007D07EC">
        <w:rPr>
          <w:rFonts w:ascii="Times" w:hAnsi="Times"/>
          <w:color w:val="000000" w:themeColor="text1"/>
          <w:sz w:val="28"/>
          <w:u w:val="single"/>
        </w:rPr>
        <w:lastRenderedPageBreak/>
        <w:t>Introduction</w:t>
      </w:r>
      <w:r w:rsidRPr="00817752">
        <w:rPr>
          <w:rFonts w:ascii="Times" w:hAnsi="Times"/>
          <w:color w:val="000000" w:themeColor="text1"/>
          <w:sz w:val="28"/>
          <w:u w:val="single"/>
        </w:rPr>
        <w:t>: The religions of the Roman Empire in the first three centuries.</w:t>
      </w:r>
      <w:bookmarkEnd w:id="0"/>
      <w:bookmarkEnd w:id="1"/>
      <w:r w:rsidRPr="00817752">
        <w:rPr>
          <w:rFonts w:ascii="Times" w:hAnsi="Times"/>
          <w:color w:val="000000" w:themeColor="text1"/>
          <w:sz w:val="28"/>
          <w:u w:val="single"/>
        </w:rPr>
        <w:t xml:space="preserve"> </w:t>
      </w:r>
    </w:p>
    <w:p w14:paraId="07255121" w14:textId="77777777" w:rsidR="002B7519" w:rsidRDefault="002B7519" w:rsidP="004E55D8">
      <w:pPr>
        <w:spacing w:line="480" w:lineRule="auto"/>
      </w:pPr>
    </w:p>
    <w:p w14:paraId="699877B1" w14:textId="2769B853" w:rsidR="004E55D8" w:rsidRDefault="004E55D8" w:rsidP="004E55D8">
      <w:pPr>
        <w:spacing w:line="480" w:lineRule="auto"/>
      </w:pPr>
      <w:r>
        <w:t>Religion is a topic that never ceases to attract the attention of people from all walks of life, religious identity may be a part of an individual’s life that they can share, largely, without judgement to the world. This however, is a modern phenomenon, as late as eighty years ago religious antipathy was still a very real threat.</w:t>
      </w:r>
      <w:r>
        <w:rPr>
          <w:rStyle w:val="FootnoteReference"/>
        </w:rPr>
        <w:footnoteReference w:id="1"/>
      </w:r>
      <w:r>
        <w:t xml:space="preserve"> Th</w:t>
      </w:r>
      <w:r w:rsidR="00A07553">
        <w:t>is being the case in a</w:t>
      </w:r>
      <w:r>
        <w:t xml:space="preserve"> world</w:t>
      </w:r>
      <w:r w:rsidR="00A07553">
        <w:t xml:space="preserve"> in which </w:t>
      </w:r>
      <w:r w:rsidR="00D24C04">
        <w:t>the variation from the normal, whatever that may be</w:t>
      </w:r>
      <w:r>
        <w:t>,</w:t>
      </w:r>
      <w:r w:rsidR="00A16D37">
        <w:t xml:space="preserve"> is accepted by the general population,</w:t>
      </w:r>
      <w:r>
        <w:t xml:space="preserve"> it is easy to see how religion founded debate, especially when the Roman Empire, in the first century was solidifying her right as such.</w:t>
      </w:r>
      <w:r>
        <w:rPr>
          <w:rStyle w:val="FootnoteReference"/>
        </w:rPr>
        <w:footnoteReference w:id="2"/>
      </w:r>
      <w:r>
        <w:t xml:space="preserve"> Consequently, with the tumultuous society of first century Rome and a quick succession of Emperors, there were instances in which religion bore the brunt of social tensions.</w:t>
      </w:r>
      <w:r>
        <w:rPr>
          <w:rStyle w:val="FootnoteReference"/>
        </w:rPr>
        <w:footnoteReference w:id="3"/>
      </w:r>
      <w:r>
        <w:t xml:space="preserve"> It is only natural that from this that predisposed perceptions would have been prevalent in regards to religious minorities</w:t>
      </w:r>
      <w:r>
        <w:rPr>
          <w:rStyle w:val="FootnoteReference"/>
        </w:rPr>
        <w:footnoteReference w:id="4"/>
      </w:r>
      <w:r>
        <w:t>, which would have had an impact of the perception of other religions than that of the traditional archetype of polytheism.</w:t>
      </w:r>
      <w:r>
        <w:rPr>
          <w:rStyle w:val="FootnoteReference"/>
        </w:rPr>
        <w:footnoteReference w:id="5"/>
      </w:r>
      <w:r>
        <w:t xml:space="preserve"> What is then gained is an understanding of how people of different classes</w:t>
      </w:r>
      <w:r>
        <w:rPr>
          <w:rStyle w:val="FootnoteReference"/>
        </w:rPr>
        <w:footnoteReference w:id="6"/>
      </w:r>
      <w:r w:rsidR="00DA6033">
        <w:t xml:space="preserve"> saw all types of religions and what particular groups reactions were. </w:t>
      </w:r>
    </w:p>
    <w:p w14:paraId="1934B5E4" w14:textId="77777777" w:rsidR="004E55D8" w:rsidRDefault="004E55D8" w:rsidP="004E55D8">
      <w:pPr>
        <w:spacing w:line="480" w:lineRule="auto"/>
      </w:pPr>
    </w:p>
    <w:p w14:paraId="1632B795" w14:textId="1226C9CF" w:rsidR="004E55D8" w:rsidRDefault="004E55D8" w:rsidP="004E55D8">
      <w:pPr>
        <w:spacing w:line="480" w:lineRule="auto"/>
      </w:pPr>
      <w:r>
        <w:t>Understanding these events of the first to third century AD and their consequences are integral to the undertaking of this research in determining what led to the Empire into the hands of Constantine and his so-called ‘Christianisation’.</w:t>
      </w:r>
      <w:r>
        <w:rPr>
          <w:rStyle w:val="FootnoteReference"/>
        </w:rPr>
        <w:footnoteReference w:id="7"/>
      </w:r>
      <w:r>
        <w:t xml:space="preserve"> What this dissertation aims to show, following on from this, at the point of Constantine’s Emperorship, is how he shaped </w:t>
      </w:r>
      <w:r>
        <w:lastRenderedPageBreak/>
        <w:t>the empire through the eyes of the people living in it.</w:t>
      </w:r>
      <w:r>
        <w:rPr>
          <w:rStyle w:val="FootnoteReference"/>
        </w:rPr>
        <w:footnoteReference w:id="8"/>
      </w:r>
      <w:r>
        <w:t xml:space="preserve"> What different laws would have meant for different people, and how this would have shaped reactions to the rise of Christianity, and its eventual implementation as the religion of the Roman Empire in AD 391 under Theodosius I</w:t>
      </w:r>
      <w:r w:rsidR="00264311">
        <w:t xml:space="preserve"> </w:t>
      </w:r>
      <w:r>
        <w:rPr>
          <w:rStyle w:val="FootnoteReference"/>
        </w:rPr>
        <w:footnoteReference w:id="9"/>
      </w:r>
      <w:r w:rsidR="00264311">
        <w:t xml:space="preserve">, aspects of Theodosius’ reign will also be considered in understanding why and how certain reactions would have surfaced. </w:t>
      </w:r>
      <w:r w:rsidR="003867D5">
        <w:t xml:space="preserve">Ultimately, </w:t>
      </w:r>
      <w:r w:rsidR="00FC02AB">
        <w:t xml:space="preserve">this is a study of </w:t>
      </w:r>
      <w:r w:rsidR="00CD6D83">
        <w:t xml:space="preserve">how subjective </w:t>
      </w:r>
      <w:r w:rsidR="003867D5">
        <w:t xml:space="preserve">actions of a person may be and how influential members of elite class can be in attaining and maintaining personal and public religious ideologies, and how this shapes the views of the many. </w:t>
      </w:r>
    </w:p>
    <w:p w14:paraId="32B99B1B" w14:textId="77777777" w:rsidR="004E55D8" w:rsidRDefault="004E55D8" w:rsidP="004E55D8">
      <w:pPr>
        <w:spacing w:line="480" w:lineRule="auto"/>
        <w:rPr>
          <w:i/>
        </w:rPr>
      </w:pPr>
    </w:p>
    <w:p w14:paraId="15803BB2" w14:textId="23C67FE2" w:rsidR="004E55D8" w:rsidRDefault="004E55D8" w:rsidP="004E55D8">
      <w:pPr>
        <w:spacing w:line="480" w:lineRule="auto"/>
      </w:pPr>
      <w:r>
        <w:t>As previously mentioned the overwhelming proportion of the population of the Empire would have fallen under the term polytheistic</w:t>
      </w:r>
      <w:r w:rsidR="009E72A3">
        <w:t>, i</w:t>
      </w:r>
      <w:r>
        <w:t>n this sense the Roman Empire worshipped, as a majority, a number of different gods who performed and related to different tasks, as opposed to one omnipotent God.</w:t>
      </w:r>
      <w:r>
        <w:rPr>
          <w:rStyle w:val="FootnoteReference"/>
        </w:rPr>
        <w:footnoteReference w:id="10"/>
      </w:r>
      <w:r>
        <w:t xml:space="preserve"> Within personal religion there were elements that needed to be considered: </w:t>
      </w:r>
      <w:r>
        <w:rPr>
          <w:i/>
        </w:rPr>
        <w:t xml:space="preserve">Mos maiorum, </w:t>
      </w:r>
      <w:r>
        <w:t>an important concept to Romans, was the practice of the ancestors in regards to social norms; heavily associated with Roman traditionalism.</w:t>
      </w:r>
      <w:r>
        <w:rPr>
          <w:rStyle w:val="FootnoteReference"/>
        </w:rPr>
        <w:footnoteReference w:id="11"/>
      </w:r>
      <w:r>
        <w:t xml:space="preserve"> Notably, a part of this was </w:t>
      </w:r>
      <w:r>
        <w:rPr>
          <w:i/>
        </w:rPr>
        <w:t xml:space="preserve">religio, </w:t>
      </w:r>
      <w:r>
        <w:t>which was imperative to the daily affairs of the people in the Empire;</w:t>
      </w:r>
      <w:r>
        <w:rPr>
          <w:rStyle w:val="FootnoteReference"/>
        </w:rPr>
        <w:footnoteReference w:id="12"/>
      </w:r>
      <w:r>
        <w:t xml:space="preserve"> and included religious practices that would have been imperative to the preservation of the </w:t>
      </w:r>
      <w:r>
        <w:rPr>
          <w:i/>
        </w:rPr>
        <w:t>pax decorum,</w:t>
      </w:r>
      <w:r>
        <w:rPr>
          <w:rStyle w:val="FootnoteReference"/>
          <w:i/>
        </w:rPr>
        <w:footnoteReference w:id="13"/>
      </w:r>
      <w:r>
        <w:rPr>
          <w:i/>
        </w:rPr>
        <w:t xml:space="preserve"> </w:t>
      </w:r>
      <w:r>
        <w:t>and as such was not taken lightly.</w:t>
      </w:r>
      <w:r>
        <w:rPr>
          <w:rStyle w:val="FootnoteReference"/>
        </w:rPr>
        <w:footnoteReference w:id="14"/>
      </w:r>
      <w:r>
        <w:t xml:space="preserve"> In considering the topic of personal religion, was the hierarchal society of the Roman Empire; prominently the </w:t>
      </w:r>
      <w:r>
        <w:lastRenderedPageBreak/>
        <w:t>patron and client culture,</w:t>
      </w:r>
      <w:r>
        <w:rPr>
          <w:rStyle w:val="FootnoteReference"/>
        </w:rPr>
        <w:footnoteReference w:id="15"/>
      </w:r>
      <w:r>
        <w:t xml:space="preserve"> and the </w:t>
      </w:r>
      <w:r>
        <w:rPr>
          <w:i/>
        </w:rPr>
        <w:t xml:space="preserve">pater familias, </w:t>
      </w:r>
      <w:r>
        <w:t>in this case the head of the household would be in charge of the families duty to uphold the model of social order.</w:t>
      </w:r>
      <w:r>
        <w:rPr>
          <w:rStyle w:val="FootnoteReference"/>
        </w:rPr>
        <w:footnoteReference w:id="16"/>
      </w:r>
      <w:r>
        <w:t xml:space="preserve"> In understanding the reactions of different people to a monotheistic approach to faith understanding the hierarchy of the household and city will prove to be useful – not only in determining what appealed to certain classes but what voices were the most important and who was listened to.</w:t>
      </w:r>
    </w:p>
    <w:p w14:paraId="737EC9D1" w14:textId="77777777" w:rsidR="004E55D8" w:rsidRDefault="004E55D8" w:rsidP="004E55D8">
      <w:pPr>
        <w:spacing w:line="480" w:lineRule="auto"/>
      </w:pPr>
    </w:p>
    <w:p w14:paraId="621152EE" w14:textId="76072C87" w:rsidR="004E55D8" w:rsidRDefault="004E55D8" w:rsidP="004E55D8">
      <w:pPr>
        <w:spacing w:line="480" w:lineRule="auto"/>
      </w:pPr>
      <w:r>
        <w:t>Augustus was the Emperor and Pontifex Maximus</w:t>
      </w:r>
      <w:r w:rsidR="004C36C4">
        <w:rPr>
          <w:rStyle w:val="FootnoteReference"/>
        </w:rPr>
        <w:footnoteReference w:id="17"/>
      </w:r>
      <w:r>
        <w:t xml:space="preserve"> of the Empire until his death in AD 14.</w:t>
      </w:r>
      <w:r>
        <w:rPr>
          <w:rStyle w:val="FootnoteReference"/>
        </w:rPr>
        <w:footnoteReference w:id="18"/>
      </w:r>
      <w:r>
        <w:t xml:space="preserve"> During his time as head of state and church, the cult </w:t>
      </w:r>
      <w:r>
        <w:rPr>
          <w:i/>
        </w:rPr>
        <w:t xml:space="preserve">Divus Augustus </w:t>
      </w:r>
      <w:r>
        <w:t>became the state religion and remained that way until Christianity succeeded.</w:t>
      </w:r>
      <w:r>
        <w:rPr>
          <w:rStyle w:val="FootnoteReference"/>
        </w:rPr>
        <w:footnoteReference w:id="19"/>
      </w:r>
      <w:r>
        <w:t xml:space="preserve">  It is estimated that the Christian population grew by app</w:t>
      </w:r>
      <w:r w:rsidR="00B47C3E">
        <w:t xml:space="preserve">roximately forty percent every decade the first four </w:t>
      </w:r>
      <w:r>
        <w:t>centuries.</w:t>
      </w:r>
      <w:r>
        <w:rPr>
          <w:rStyle w:val="FootnoteReference"/>
        </w:rPr>
        <w:footnoteReference w:id="20"/>
      </w:r>
      <w:r>
        <w:t xml:space="preserve"> Of course, with the emergence of a religion for the empire, there came opposition, and from this, persecution.</w:t>
      </w:r>
      <w:r>
        <w:rPr>
          <w:rStyle w:val="FootnoteReference"/>
        </w:rPr>
        <w:footnoteReference w:id="21"/>
      </w:r>
      <w:r>
        <w:t xml:space="preserve"> One of the most prominent examples of this is the persecutions of the Christians</w:t>
      </w:r>
      <w:r w:rsidR="00DA6033">
        <w:t>, who as outsiders gained unwarranted attention</w:t>
      </w:r>
      <w:r>
        <w:t>.</w:t>
      </w:r>
      <w:r>
        <w:rPr>
          <w:rStyle w:val="FootnoteReference"/>
        </w:rPr>
        <w:footnoteReference w:id="22"/>
      </w:r>
      <w:r>
        <w:t xml:space="preserve"> A documented example of this, arises in Tacitus regarding the great fire of Rome in AD 64, it is popular opinion that Nero used Christians as scapegoat of sorts to detract the attention away from himself; this resulted in a mass persecution.</w:t>
      </w:r>
      <w:r>
        <w:rPr>
          <w:rStyle w:val="FootnoteReference"/>
        </w:rPr>
        <w:footnoteReference w:id="23"/>
      </w:r>
      <w:r>
        <w:t xml:space="preserve"> This gives some semblance of the popular opinion of the religion.</w:t>
      </w:r>
      <w:r>
        <w:rPr>
          <w:rStyle w:val="FootnoteReference"/>
        </w:rPr>
        <w:footnoteReference w:id="24"/>
      </w:r>
      <w:r>
        <w:t xml:space="preserve"> </w:t>
      </w:r>
    </w:p>
    <w:p w14:paraId="4DA765FA" w14:textId="77777777" w:rsidR="004E55D8" w:rsidRDefault="004E55D8" w:rsidP="004E55D8">
      <w:pPr>
        <w:spacing w:line="480" w:lineRule="auto"/>
      </w:pPr>
    </w:p>
    <w:p w14:paraId="2A0008C7" w14:textId="4EF8A7E7" w:rsidR="004E55D8" w:rsidRPr="00454F9B" w:rsidRDefault="004E55D8" w:rsidP="004E55D8">
      <w:pPr>
        <w:spacing w:line="480" w:lineRule="auto"/>
      </w:pPr>
      <w:r>
        <w:lastRenderedPageBreak/>
        <w:t>Pliny’s letters to Trajan in AD 111 is paramount in understanding the perceptions of the elite in regards to Christianity.</w:t>
      </w:r>
      <w:r>
        <w:rPr>
          <w:rStyle w:val="FootnoteReference"/>
        </w:rPr>
        <w:footnoteReference w:id="25"/>
      </w:r>
      <w:r>
        <w:t xml:space="preserve"> In Pliny’s correspondence with Trajan, there is the following, ‘I ask them whether they are Christians; if they say yes, then I repeat the question… warning them of the penalties is entails… I order for them to be taken away to prison’.</w:t>
      </w:r>
      <w:r>
        <w:rPr>
          <w:rStyle w:val="FootnoteReference"/>
        </w:rPr>
        <w:footnoteReference w:id="26"/>
      </w:r>
      <w:r>
        <w:t xml:space="preserve"> This is a clear example in which the elite have a clear distaste towards the Christians, further on in the same extract, Pliny also refers to others who had the same ‘mad folly’.</w:t>
      </w:r>
      <w:r>
        <w:rPr>
          <w:rStyle w:val="FootnoteReference"/>
        </w:rPr>
        <w:footnoteReference w:id="27"/>
      </w:r>
      <w:r>
        <w:t xml:space="preserve"> Pliny being an elite member of society shows the attitudes in the second century of the elites towards Christianity. Interesting also, is the response from Trajan, which exemplifies the way in which unwanted opposition was handled, ‘if anyone denies that he is a Christian and makes it clear that he is not, by offering prayer to our deities, then he is to be pardoned…’. </w:t>
      </w:r>
      <w:r>
        <w:rPr>
          <w:rStyle w:val="FootnoteReference"/>
        </w:rPr>
        <w:footnoteReference w:id="28"/>
      </w:r>
      <w:r w:rsidR="00A67943">
        <w:t xml:space="preserve"> </w:t>
      </w:r>
      <w:r>
        <w:t xml:space="preserve">Persecutions for not keeping the peace in this sense, were clearly not unusual. </w:t>
      </w:r>
      <w:r w:rsidR="00A67943">
        <w:rPr>
          <w:rStyle w:val="FootnoteReference"/>
        </w:rPr>
        <w:footnoteReference w:id="29"/>
      </w:r>
    </w:p>
    <w:p w14:paraId="7A9DE664" w14:textId="77777777" w:rsidR="004C36C4" w:rsidRDefault="004C36C4" w:rsidP="004E55D8">
      <w:pPr>
        <w:spacing w:line="480" w:lineRule="auto"/>
      </w:pPr>
    </w:p>
    <w:p w14:paraId="425094BA" w14:textId="301C40B5" w:rsidR="004E55D8" w:rsidRDefault="004E55D8" w:rsidP="004E55D8">
      <w:pPr>
        <w:spacing w:line="480" w:lineRule="auto"/>
        <w:sectPr w:rsidR="004E55D8" w:rsidSect="00826665">
          <w:pgSz w:w="11900" w:h="16840"/>
          <w:pgMar w:top="1440" w:right="1440" w:bottom="1440" w:left="1440" w:header="720" w:footer="720" w:gutter="0"/>
          <w:pgNumType w:start="1"/>
          <w:cols w:space="720"/>
          <w:docGrid w:linePitch="360"/>
        </w:sectPr>
      </w:pPr>
      <w:r>
        <w:t>Despite this evidence, persecutions were not widespread until AD 250;</w:t>
      </w:r>
      <w:r>
        <w:rPr>
          <w:rStyle w:val="FootnoteReference"/>
        </w:rPr>
        <w:footnoteReference w:id="30"/>
      </w:r>
      <w:r>
        <w:t xml:space="preserve"> this implies that perhaps these persecutions were happening in a minority. The last great persecution of the Christians came under Diocletian in AD 303, during the nineteenth year of his reign, this was the direct response to an edict published which demanded strict adherence to the traditional religious practices of Rome.</w:t>
      </w:r>
      <w:r>
        <w:rPr>
          <w:rStyle w:val="FootnoteReference"/>
        </w:rPr>
        <w:footnoteReference w:id="31"/>
      </w:r>
      <w:r>
        <w:t xml:space="preserve"> Eusebius, a Greek historian of the time, writes that it was commanded that all churches should be burnt to the ground, and anyone thought or professed </w:t>
      </w:r>
      <w:r>
        <w:lastRenderedPageBreak/>
        <w:t>to be of Christian denomination would be persecuted.</w:t>
      </w:r>
      <w:r>
        <w:rPr>
          <w:rStyle w:val="FootnoteReference"/>
        </w:rPr>
        <w:footnoteReference w:id="32"/>
      </w:r>
      <w:r>
        <w:t xml:space="preserve"> It was after this, AD 306; Constantine I came to power in the Western Empire.</w:t>
      </w:r>
      <w:r>
        <w:rPr>
          <w:rStyle w:val="FootnoteReference"/>
        </w:rPr>
        <w:footnoteReference w:id="33"/>
      </w:r>
    </w:p>
    <w:p w14:paraId="547DEBBA" w14:textId="631F07C6" w:rsidR="005F4804" w:rsidRDefault="00826665" w:rsidP="004E55D8">
      <w:pPr>
        <w:pStyle w:val="Heading1"/>
        <w:spacing w:line="480" w:lineRule="auto"/>
        <w:rPr>
          <w:rFonts w:ascii="Times" w:hAnsi="Times"/>
          <w:color w:val="000000" w:themeColor="text1"/>
          <w:sz w:val="28"/>
          <w:u w:val="single"/>
        </w:rPr>
      </w:pPr>
      <w:bookmarkStart w:id="2" w:name="_Toc509844266"/>
      <w:bookmarkStart w:id="3" w:name="_Toc513746950"/>
      <w:r w:rsidRPr="007D07EC">
        <w:rPr>
          <w:rFonts w:ascii="Times" w:hAnsi="Times"/>
          <w:color w:val="000000" w:themeColor="text1"/>
          <w:sz w:val="28"/>
          <w:u w:val="single"/>
        </w:rPr>
        <w:lastRenderedPageBreak/>
        <w:t>Chapter One</w:t>
      </w:r>
      <w:r w:rsidRPr="00817752">
        <w:rPr>
          <w:rFonts w:ascii="Times" w:hAnsi="Times"/>
          <w:color w:val="000000" w:themeColor="text1"/>
          <w:sz w:val="28"/>
          <w:u w:val="single"/>
        </w:rPr>
        <w:t xml:space="preserve">: </w:t>
      </w:r>
      <w:bookmarkEnd w:id="2"/>
      <w:r w:rsidR="0069653E">
        <w:rPr>
          <w:rFonts w:ascii="Times" w:hAnsi="Times"/>
          <w:color w:val="000000" w:themeColor="text1"/>
          <w:sz w:val="28"/>
          <w:u w:val="single"/>
        </w:rPr>
        <w:t>Methodology and Source Analysis.</w:t>
      </w:r>
      <w:bookmarkEnd w:id="3"/>
      <w:r w:rsidR="0069653E">
        <w:rPr>
          <w:rFonts w:ascii="Times" w:hAnsi="Times"/>
          <w:color w:val="000000" w:themeColor="text1"/>
          <w:sz w:val="28"/>
          <w:u w:val="single"/>
        </w:rPr>
        <w:t xml:space="preserve"> </w:t>
      </w:r>
    </w:p>
    <w:p w14:paraId="7954F571" w14:textId="77777777" w:rsidR="004E55D8" w:rsidRDefault="004E55D8" w:rsidP="004E55D8">
      <w:pPr>
        <w:spacing w:line="480" w:lineRule="auto"/>
      </w:pPr>
      <w:r>
        <w:t>Before approaching the topic of conversion of Christianity and the reactions of such it was important to consider the key figures in history and scholarship that would provide the formation of the arguments presented. Understandably, given his legacy Constantine is a well adorned figure amongst scholarship, and being hailed as the first Christian Emperor proves to be integral to this dissertation.</w:t>
      </w:r>
      <w:r>
        <w:rPr>
          <w:rStyle w:val="FootnoteReference"/>
        </w:rPr>
        <w:footnoteReference w:id="34"/>
      </w:r>
      <w:r>
        <w:t xml:space="preserve"> Constantine and his reign have been chosen as the starting point for this dissertation as before this point there was no real conflict with the state religion, that being traditional religion,</w:t>
      </w:r>
      <w:r>
        <w:rPr>
          <w:rStyle w:val="FootnoteReference"/>
        </w:rPr>
        <w:footnoteReference w:id="35"/>
      </w:r>
      <w:r>
        <w:t xml:space="preserve"> as well as this, the reaction to Constantine serves as a base reaction at which public opinion can be referred to when looking at examples of conversion at later point throughout the fourth century.</w:t>
      </w:r>
      <w:r>
        <w:rPr>
          <w:rStyle w:val="FootnoteReference"/>
        </w:rPr>
        <w:footnoteReference w:id="36"/>
      </w:r>
      <w:r>
        <w:t xml:space="preserve"> </w:t>
      </w:r>
    </w:p>
    <w:p w14:paraId="4B58DAE6" w14:textId="77777777" w:rsidR="004E55D8" w:rsidRDefault="004E55D8" w:rsidP="004E55D8">
      <w:pPr>
        <w:spacing w:line="480" w:lineRule="auto"/>
      </w:pPr>
    </w:p>
    <w:p w14:paraId="2AD2844B" w14:textId="77777777" w:rsidR="004E55D8" w:rsidRDefault="004E55D8" w:rsidP="004E55D8">
      <w:pPr>
        <w:spacing w:line="480" w:lineRule="auto"/>
      </w:pPr>
      <w:r>
        <w:t>Sources, both ancient and modern, provide a commentary on the life and laws of Constantine throughout his reign and there are many accounts of Constantine which provide differing arguments. One modern source that is particularly favourable is that of Elliot’s publication from 1996.</w:t>
      </w:r>
      <w:r>
        <w:rPr>
          <w:rStyle w:val="FootnoteReference"/>
        </w:rPr>
        <w:footnoteReference w:id="37"/>
      </w:r>
      <w:r>
        <w:t xml:space="preserve"> There are some issues however with this sympathetic view, Drake</w:t>
      </w:r>
      <w:r>
        <w:rPr>
          <w:rStyle w:val="FootnoteReference"/>
        </w:rPr>
        <w:footnoteReference w:id="38"/>
      </w:r>
      <w:r>
        <w:t xml:space="preserve"> and Polshander</w:t>
      </w:r>
      <w:r>
        <w:rPr>
          <w:rStyle w:val="FootnoteReference"/>
        </w:rPr>
        <w:footnoteReference w:id="39"/>
      </w:r>
      <w:r>
        <w:t xml:space="preserve"> generally have unfavourable views on Elliot’s work: in Polshander’s review of the work he argues that there are instances where the arguments Elliot is trying to convey is not as strong as they could be and this is because there are times in which evidence is misinterpreted.</w:t>
      </w:r>
      <w:r>
        <w:rPr>
          <w:rStyle w:val="FootnoteReference"/>
        </w:rPr>
        <w:footnoteReference w:id="40"/>
      </w:r>
      <w:r>
        <w:t xml:space="preserve"> There is also sufficient evidence to suggest that Elliot is arguing purposefully against the majority,</w:t>
      </w:r>
      <w:r>
        <w:rPr>
          <w:rStyle w:val="FootnoteReference"/>
        </w:rPr>
        <w:footnoteReference w:id="41"/>
      </w:r>
      <w:r>
        <w:t xml:space="preserve"> this being the reason it is a useful text, if not for </w:t>
      </w:r>
      <w:r>
        <w:lastRenderedPageBreak/>
        <w:t>criticisms alone.</w:t>
      </w:r>
      <w:r>
        <w:rPr>
          <w:rStyle w:val="FootnoteReference"/>
        </w:rPr>
        <w:footnoteReference w:id="42"/>
      </w:r>
      <w:r>
        <w:t xml:space="preserve"> Elliot argues that Constantine’s mission as an Emperor was Christianisation,</w:t>
      </w:r>
      <w:r>
        <w:rPr>
          <w:rStyle w:val="FootnoteReference"/>
        </w:rPr>
        <w:footnoteReference w:id="43"/>
      </w:r>
      <w:r>
        <w:t xml:space="preserve"> however, as explored with the Edict of Milan, tolerating does not equate to converting the Empire. </w:t>
      </w:r>
    </w:p>
    <w:p w14:paraId="692A09CF" w14:textId="77777777" w:rsidR="004E55D8" w:rsidRDefault="004E55D8" w:rsidP="004E55D8">
      <w:pPr>
        <w:spacing w:line="480" w:lineRule="auto"/>
      </w:pPr>
    </w:p>
    <w:p w14:paraId="0CC73EDE" w14:textId="3C7CDE02" w:rsidR="004E55D8" w:rsidRDefault="004E55D8" w:rsidP="004E55D8">
      <w:pPr>
        <w:spacing w:line="480" w:lineRule="auto"/>
      </w:pPr>
      <w:r>
        <w:t xml:space="preserve">A detailed, albeit problematic, source for Constantine is Eusebius’ </w:t>
      </w:r>
      <w:r>
        <w:rPr>
          <w:i/>
        </w:rPr>
        <w:t xml:space="preserve">Vita Constantini </w:t>
      </w:r>
      <w:r>
        <w:t xml:space="preserve">and </w:t>
      </w:r>
      <w:r>
        <w:rPr>
          <w:i/>
        </w:rPr>
        <w:t>Church History</w:t>
      </w:r>
      <w:r w:rsidRPr="00527805">
        <w:t>.</w:t>
      </w:r>
      <w:r w:rsidRPr="00527805">
        <w:rPr>
          <w:rStyle w:val="FootnoteReference"/>
        </w:rPr>
        <w:footnoteReference w:id="44"/>
      </w:r>
      <w:r w:rsidRPr="00527805">
        <w:t xml:space="preserve"> </w:t>
      </w:r>
      <w:r>
        <w:t>Storch outlines major issues with the author, one that seems of particular interest is the relationship between Constantine and Eusebius, and due to this worked together on the image portrayed of Constantine.</w:t>
      </w:r>
      <w:r>
        <w:rPr>
          <w:rStyle w:val="FootnoteReference"/>
        </w:rPr>
        <w:footnoteReference w:id="45"/>
      </w:r>
      <w:r>
        <w:t xml:space="preserve"> Another recurring theme is the idea of ‘piety’, the piety of Constantine and of his relatives, interestingly when Storch is talking about this is the reference to what was important to Constantine, </w:t>
      </w:r>
      <w:r>
        <w:rPr>
          <w:rStyle w:val="FootnoteReference"/>
        </w:rPr>
        <w:footnoteReference w:id="46"/>
      </w:r>
      <w:r>
        <w:t xml:space="preserve"> implying that perhaps Eusibius as a source is not writing what actually happened but rather what Constantine and Eusebius wanted to happen. Despite the problematic nature of Elliot’s 1996 publication, there is a general agreement with the bias nature of Eusebius.</w:t>
      </w:r>
      <w:r w:rsidR="00B47C3E">
        <w:rPr>
          <w:rStyle w:val="FootnoteReference"/>
        </w:rPr>
        <w:footnoteReference w:id="47"/>
      </w:r>
      <w:r>
        <w:t xml:space="preserve"> </w:t>
      </w:r>
    </w:p>
    <w:p w14:paraId="52C37701" w14:textId="77777777" w:rsidR="004E55D8" w:rsidRDefault="004E55D8" w:rsidP="004E55D8">
      <w:pPr>
        <w:spacing w:line="480" w:lineRule="auto"/>
      </w:pPr>
    </w:p>
    <w:p w14:paraId="2FB94F96" w14:textId="30B3F663" w:rsidR="004E55D8" w:rsidRPr="00D84BFC" w:rsidRDefault="004E55D8" w:rsidP="004E55D8">
      <w:pPr>
        <w:spacing w:line="480" w:lineRule="auto"/>
      </w:pPr>
      <w:r>
        <w:t>Another source detailing the religious policies of Constantine is that of Christian author, Lactantius.</w:t>
      </w:r>
      <w:r>
        <w:rPr>
          <w:rStyle w:val="FootnoteReference"/>
        </w:rPr>
        <w:footnoteReference w:id="48"/>
      </w:r>
      <w:r>
        <w:t xml:space="preserve"> However, similarly to the issues faced with Eusebius there is a question of bias with the working relationship between the two. Lactantius, however, holds the Edict of Milan, in which the catalyst for conversion is held. </w:t>
      </w:r>
      <w:r>
        <w:rPr>
          <w:rStyle w:val="FootnoteReference"/>
        </w:rPr>
        <w:footnoteReference w:id="49"/>
      </w:r>
      <w:r>
        <w:t xml:space="preserve"> Knipfing does offer insight into two </w:t>
      </w:r>
      <w:r>
        <w:lastRenderedPageBreak/>
        <w:t>how the translation also found in Eusebius’ work</w:t>
      </w:r>
      <w:r w:rsidR="00B47C3E">
        <w:t xml:space="preserve"> and how they are different from one another based on the audience they were addressing, Bithynians and Palestinians</w:t>
      </w:r>
      <w:r>
        <w:t>.</w:t>
      </w:r>
      <w:r>
        <w:rPr>
          <w:rStyle w:val="FootnoteReference"/>
        </w:rPr>
        <w:footnoteReference w:id="50"/>
      </w:r>
      <w:r>
        <w:t xml:space="preserve"> These two authors are as well, members of the elite and so the opinions and views shared throughout their work would have been that of the many of their kind. </w:t>
      </w:r>
    </w:p>
    <w:p w14:paraId="204811F3" w14:textId="77777777" w:rsidR="00B47C3E" w:rsidRDefault="00B47C3E" w:rsidP="004E55D8">
      <w:pPr>
        <w:spacing w:line="480" w:lineRule="auto"/>
      </w:pPr>
    </w:p>
    <w:p w14:paraId="6995EEF6" w14:textId="77777777" w:rsidR="004E55D8" w:rsidRDefault="004E55D8" w:rsidP="004E55D8">
      <w:pPr>
        <w:spacing w:line="480" w:lineRule="auto"/>
      </w:pPr>
      <w:r>
        <w:t>Fowden acknowledges that there is an issue with the term Christianisation, especially in regards to Constantine, due to the almost dismissive nature of the rest of the fourth century with Fowden states as ‘suspenseful’.</w:t>
      </w:r>
      <w:r>
        <w:rPr>
          <w:rStyle w:val="FootnoteReference"/>
        </w:rPr>
        <w:footnoteReference w:id="51"/>
      </w:r>
      <w:r>
        <w:t xml:space="preserve"> The term Christianisation is something that throughout scholarship is perhaps littered too liberally, insinuating a blanket term of those converted and those who are not. In any case arguments for the completion of conversion are plentiful, with authors such as MacMullen, looking at how complete conversion was across the Empire.</w:t>
      </w:r>
      <w:r>
        <w:rPr>
          <w:rStyle w:val="FootnoteReference"/>
        </w:rPr>
        <w:footnoteReference w:id="52"/>
      </w:r>
      <w:r>
        <w:t xml:space="preserve"> An argument that arises throughout looking at the conversion to Christianity is the argument of which voice is the most important, in order to determine this effectively the laws passed and what parts of society they effected will be looked at. The result of this indicates expectations compared to the reality of conversion, such as who was ultimately converted and why it happened. </w:t>
      </w:r>
    </w:p>
    <w:p w14:paraId="37FD3AD8" w14:textId="77777777" w:rsidR="004E55D8" w:rsidRDefault="004E55D8" w:rsidP="004E55D8">
      <w:pPr>
        <w:spacing w:line="480" w:lineRule="auto"/>
      </w:pPr>
    </w:p>
    <w:p w14:paraId="0CF4A419" w14:textId="08EE4FF1" w:rsidR="00B47C3E" w:rsidRDefault="00DB313A" w:rsidP="004E55D8">
      <w:pPr>
        <w:spacing w:line="480" w:lineRule="auto"/>
      </w:pPr>
      <w:r>
        <w:t xml:space="preserve">Another important figure in all of the research </w:t>
      </w:r>
      <w:r w:rsidR="00CB732C">
        <w:t xml:space="preserve">is the figure of Theodosius, unlike Constantine </w:t>
      </w:r>
      <w:r w:rsidR="00522759">
        <w:t>his dedication to the Catholic faith is generally less questioned, as Theodosius ‘clearly believes that he has received his power from heaven’.</w:t>
      </w:r>
      <w:r w:rsidR="00522759">
        <w:rPr>
          <w:rStyle w:val="FootnoteReference"/>
        </w:rPr>
        <w:footnoteReference w:id="53"/>
      </w:r>
      <w:r w:rsidR="00950D88">
        <w:t xml:space="preserve"> </w:t>
      </w:r>
      <w:r w:rsidR="000A68A4">
        <w:t xml:space="preserve">King elaborates on this emphasising the link that Theodosius had to the Church that had not previously been seen in any </w:t>
      </w:r>
      <w:r w:rsidR="000A68A4">
        <w:lastRenderedPageBreak/>
        <w:t xml:space="preserve">Emperors. </w:t>
      </w:r>
      <w:r w:rsidR="000A68A4">
        <w:rPr>
          <w:rStyle w:val="FootnoteReference"/>
        </w:rPr>
        <w:footnoteReference w:id="54"/>
      </w:r>
      <w:r w:rsidR="009C05C1">
        <w:t xml:space="preserve"> With this </w:t>
      </w:r>
      <w:r w:rsidR="004E41B1">
        <w:t>information,</w:t>
      </w:r>
      <w:r w:rsidR="009C05C1">
        <w:t xml:space="preserve"> it is perhaps more clear to see why Christianity was advocated during his reign. </w:t>
      </w:r>
      <w:r w:rsidR="004E41B1">
        <w:t xml:space="preserve">Before Theodosius’ implemented laws pertaining to Christianity as a state law it is interesting that King also references Theodosius’ advocacy for orthodox Christianity. </w:t>
      </w:r>
      <w:r w:rsidR="004E41B1">
        <w:rPr>
          <w:rStyle w:val="FootnoteReference"/>
        </w:rPr>
        <w:footnoteReference w:id="55"/>
      </w:r>
      <w:r w:rsidR="004E41B1">
        <w:t xml:space="preserve"> Certainly, this will have bearings upon understanding the reactions from sectors of society, as there is more than just one branch Christianity.</w:t>
      </w:r>
      <w:r w:rsidR="004E41B1">
        <w:rPr>
          <w:rStyle w:val="FootnoteReference"/>
        </w:rPr>
        <w:footnoteReference w:id="56"/>
      </w:r>
      <w:r w:rsidR="004E41B1">
        <w:t xml:space="preserve"> </w:t>
      </w:r>
      <w:r w:rsidR="000423BD">
        <w:t xml:space="preserve">Salzman also </w:t>
      </w:r>
      <w:r w:rsidR="0056142E">
        <w:t>agrees</w:t>
      </w:r>
      <w:r w:rsidR="000423BD">
        <w:t xml:space="preserve"> with the </w:t>
      </w:r>
      <w:r w:rsidR="0056142E">
        <w:t>inference that there was a ‘growing intolerance … towards certain sorts of Christians and Christian converts.</w:t>
      </w:r>
      <w:r w:rsidR="0056142E">
        <w:rPr>
          <w:rStyle w:val="FootnoteReference"/>
        </w:rPr>
        <w:footnoteReference w:id="57"/>
      </w:r>
      <w:r w:rsidR="0056142E">
        <w:t xml:space="preserve"> </w:t>
      </w:r>
      <w:r w:rsidR="004E41B1">
        <w:t>Comparing the figures of Constantine and Theodosius prove to be useful as they show the fundamental differences that can occur between people of the same religion – in understanding this, it also transcends through to the general public in that what may be right for one person will not be for another, despite the apparent similarities in beliefs.</w:t>
      </w:r>
      <w:r w:rsidR="004E41B1">
        <w:rPr>
          <w:rStyle w:val="FootnoteReference"/>
        </w:rPr>
        <w:footnoteReference w:id="58"/>
      </w:r>
    </w:p>
    <w:p w14:paraId="4C5250DA" w14:textId="77777777" w:rsidR="00B47C3E" w:rsidRDefault="00B47C3E" w:rsidP="004E55D8">
      <w:pPr>
        <w:spacing w:line="480" w:lineRule="auto"/>
      </w:pPr>
    </w:p>
    <w:p w14:paraId="178611A8" w14:textId="309D27A2" w:rsidR="00795BF5" w:rsidRDefault="004E55D8" w:rsidP="004E55D8">
      <w:pPr>
        <w:spacing w:line="480" w:lineRule="auto"/>
      </w:pPr>
      <w:r>
        <w:t xml:space="preserve">One of the most important texts that receives mixed opinions throughout scholarship is </w:t>
      </w:r>
      <w:r>
        <w:rPr>
          <w:i/>
        </w:rPr>
        <w:t>The Theodosian Code.</w:t>
      </w:r>
      <w:r>
        <w:rPr>
          <w:rStyle w:val="FootnoteReference"/>
          <w:i/>
        </w:rPr>
        <w:footnoteReference w:id="59"/>
      </w:r>
      <w:r>
        <w:rPr>
          <w:i/>
        </w:rPr>
        <w:t xml:space="preserve"> </w:t>
      </w:r>
      <w:r>
        <w:t>Some scholarship leans towards the view that the code is not relevant or useful in determining any evidence for the reactions of society.</w:t>
      </w:r>
      <w:r>
        <w:rPr>
          <w:rStyle w:val="FootnoteReference"/>
        </w:rPr>
        <w:footnoteReference w:id="60"/>
      </w:r>
      <w:r>
        <w:t xml:space="preserve"> However, there is the alternate view that the code allows unique insights into society, and although it will never be perfect it does give at least an idea of what was supposed to be implemented across society.</w:t>
      </w:r>
      <w:r>
        <w:rPr>
          <w:rStyle w:val="FootnoteReference"/>
        </w:rPr>
        <w:footnoteReference w:id="61"/>
      </w:r>
      <w:r>
        <w:t xml:space="preserve"> Due to the nature of this dissertation and the heavy focus on the societal reactions and </w:t>
      </w:r>
      <w:r>
        <w:lastRenderedPageBreak/>
        <w:t>perceptions to Christianity, the Theodosian Code fulfils that purpose and provides implemented and retracted laws that can give an impartial review of societies reaction.</w:t>
      </w:r>
      <w:r>
        <w:rPr>
          <w:rStyle w:val="FootnoteReference"/>
        </w:rPr>
        <w:footnoteReference w:id="62"/>
      </w:r>
      <w:r>
        <w:t xml:space="preserve"> Although the Theodosian Code and laws implemented are for the benefit of Christianity, ultimately it proves to be more impartial and unbiased than other texts used to understand fourth century society, as the nature of the text is law, so despite the Chapter used focusing on Christian law there is evidence enough to suggest social unrest.</w:t>
      </w:r>
      <w:r>
        <w:rPr>
          <w:rStyle w:val="FootnoteReference"/>
        </w:rPr>
        <w:footnoteReference w:id="63"/>
      </w:r>
      <w:r w:rsidR="009A3E02">
        <w:t xml:space="preserve"> In understanding evidence of coercion Salzman’s work is undeniably important,</w:t>
      </w:r>
      <w:r w:rsidR="009A3E02">
        <w:rPr>
          <w:rStyle w:val="FootnoteReference"/>
        </w:rPr>
        <w:footnoteReference w:id="64"/>
      </w:r>
      <w:r w:rsidR="009A3E02">
        <w:t xml:space="preserve"> by understanding elements of coercion into conversion, both positive and negative aspects of Christianity can be perceived. Also, important is the work done by MacMullen, namely his article</w:t>
      </w:r>
      <w:r w:rsidR="00795BF5">
        <w:t xml:space="preserve"> regarding social mobility, which includes a less positive view of the values of the Code.</w:t>
      </w:r>
      <w:r w:rsidR="00795BF5">
        <w:rPr>
          <w:rStyle w:val="FootnoteReference"/>
        </w:rPr>
        <w:footnoteReference w:id="65"/>
      </w:r>
      <w:r w:rsidR="00795BF5">
        <w:t xml:space="preserve"> In looking at multiple different views of the code, it seems as though Salzman’s generally more positive view of the code and the window into society it holds provides more interesting results it determining social reactions.</w:t>
      </w:r>
      <w:r w:rsidR="00795BF5">
        <w:rPr>
          <w:rStyle w:val="FootnoteReference"/>
        </w:rPr>
        <w:footnoteReference w:id="66"/>
      </w:r>
      <w:r w:rsidR="00795BF5">
        <w:t xml:space="preserve"> </w:t>
      </w:r>
    </w:p>
    <w:p w14:paraId="5F977496" w14:textId="77777777" w:rsidR="004E55D8" w:rsidRDefault="004E55D8" w:rsidP="004E55D8">
      <w:pPr>
        <w:spacing w:line="480" w:lineRule="auto"/>
      </w:pPr>
    </w:p>
    <w:p w14:paraId="50608A8A" w14:textId="663D10B5" w:rsidR="004E55D8" w:rsidRDefault="004E55D8" w:rsidP="004E55D8">
      <w:pPr>
        <w:spacing w:line="480" w:lineRule="auto"/>
      </w:pPr>
      <w:r>
        <w:t>There are with changing attitudes issues with terminology, for example the emergence of the Christian and Pagan split.</w:t>
      </w:r>
      <w:r>
        <w:rPr>
          <w:rStyle w:val="FootnoteReference"/>
        </w:rPr>
        <w:footnoteReference w:id="67"/>
      </w:r>
      <w:r w:rsidR="00824499">
        <w:t xml:space="preserve"> </w:t>
      </w:r>
      <w:r>
        <w:t>MacMullen, an author who was integral, provides multiple references to the conversion to Christianity,</w:t>
      </w:r>
      <w:r w:rsidR="00CD25EB">
        <w:t xml:space="preserve"> provides an argument highlighting how it should not only be looking at the Christian side of things that is important, but the non-Christian side can provide just as many answers.</w:t>
      </w:r>
      <w:r>
        <w:rPr>
          <w:rStyle w:val="FootnoteReference"/>
        </w:rPr>
        <w:footnoteReference w:id="68"/>
      </w:r>
      <w:r>
        <w:t xml:space="preserve"> This is because he argues that they were the ones who </w:t>
      </w:r>
      <w:r>
        <w:lastRenderedPageBreak/>
        <w:t>had the deal with the most change,</w:t>
      </w:r>
      <w:r w:rsidR="00B93D67">
        <w:rPr>
          <w:rStyle w:val="FootnoteReference"/>
        </w:rPr>
        <w:footnoteReference w:id="69"/>
      </w:r>
      <w:r>
        <w:t xml:space="preserve"> however, it would surely prove more useful to look at sources equally to be able to make an informed decision on the overarching position of society at any one given time. </w:t>
      </w:r>
    </w:p>
    <w:p w14:paraId="489ECCA7" w14:textId="2107205A" w:rsidR="00CE29CB" w:rsidRDefault="00CE29CB" w:rsidP="004E55D8">
      <w:pPr>
        <w:spacing w:line="480" w:lineRule="auto"/>
      </w:pPr>
    </w:p>
    <w:p w14:paraId="2970E946" w14:textId="080344F3" w:rsidR="00CE29CB" w:rsidRPr="00806334" w:rsidRDefault="00CE29CB" w:rsidP="004E55D8">
      <w:pPr>
        <w:spacing w:line="480" w:lineRule="auto"/>
      </w:pPr>
      <w:r>
        <w:t xml:space="preserve">Heavily covered in scholarship </w:t>
      </w:r>
      <w:r w:rsidR="00B96049">
        <w:t>is the ambiguity of Christianisation.</w:t>
      </w:r>
      <w:r w:rsidR="00B96049">
        <w:rPr>
          <w:rStyle w:val="FootnoteReference"/>
        </w:rPr>
        <w:footnoteReference w:id="70"/>
      </w:r>
      <w:r w:rsidR="00B96049">
        <w:t xml:space="preserve"> If determining the extent of religious </w:t>
      </w:r>
      <w:r w:rsidR="008103C3">
        <w:t xml:space="preserve">conversion is not simply executed than the perceptions of that cannot </w:t>
      </w:r>
      <w:r w:rsidR="002C7281">
        <w:t xml:space="preserve">be </w:t>
      </w:r>
      <w:r w:rsidR="008103C3">
        <w:t xml:space="preserve">either, </w:t>
      </w:r>
      <w:r w:rsidR="002C7281">
        <w:t xml:space="preserve">and so many deductions or inferences about the perceptions </w:t>
      </w:r>
      <w:r w:rsidR="007C7B2C">
        <w:t xml:space="preserve">are not solely based on one piece of evidence most of the time, but rather a collection of evidence that leads towards a certain perception. </w:t>
      </w:r>
    </w:p>
    <w:p w14:paraId="523C960B" w14:textId="77777777" w:rsidR="004E55D8" w:rsidRPr="004E55D8" w:rsidRDefault="004E55D8" w:rsidP="004E55D8">
      <w:pPr>
        <w:spacing w:line="480" w:lineRule="auto"/>
      </w:pPr>
    </w:p>
    <w:p w14:paraId="72F92500" w14:textId="77777777" w:rsidR="004E55D8" w:rsidRDefault="004E55D8">
      <w:pPr>
        <w:rPr>
          <w:rFonts w:eastAsiaTheme="majorEastAsia" w:cstheme="majorBidi"/>
          <w:color w:val="000000" w:themeColor="text1"/>
          <w:sz w:val="28"/>
          <w:szCs w:val="32"/>
          <w:u w:val="single"/>
        </w:rPr>
      </w:pPr>
      <w:bookmarkStart w:id="4" w:name="_Toc509844267"/>
      <w:r>
        <w:rPr>
          <w:color w:val="000000" w:themeColor="text1"/>
          <w:sz w:val="28"/>
          <w:u w:val="single"/>
        </w:rPr>
        <w:br w:type="page"/>
      </w:r>
    </w:p>
    <w:p w14:paraId="5CE9D990" w14:textId="599CE48F" w:rsidR="00BE489C" w:rsidRDefault="00826665" w:rsidP="004E55D8">
      <w:pPr>
        <w:pStyle w:val="Heading1"/>
        <w:spacing w:line="480" w:lineRule="auto"/>
        <w:rPr>
          <w:rFonts w:ascii="Times" w:hAnsi="Times"/>
          <w:color w:val="000000" w:themeColor="text1"/>
          <w:sz w:val="28"/>
          <w:u w:val="single"/>
        </w:rPr>
      </w:pPr>
      <w:bookmarkStart w:id="5" w:name="_Toc513746951"/>
      <w:r>
        <w:rPr>
          <w:rFonts w:ascii="Times" w:hAnsi="Times"/>
          <w:color w:val="000000" w:themeColor="text1"/>
          <w:sz w:val="28"/>
          <w:u w:val="single"/>
        </w:rPr>
        <w:lastRenderedPageBreak/>
        <w:t>Chapter Two: The Edict of Toleration and Legalisation of Christianity.</w:t>
      </w:r>
      <w:bookmarkEnd w:id="4"/>
      <w:bookmarkEnd w:id="5"/>
    </w:p>
    <w:p w14:paraId="00977D9C" w14:textId="77777777" w:rsidR="004E55D8" w:rsidRDefault="004E55D8" w:rsidP="004E55D8">
      <w:pPr>
        <w:spacing w:line="480" w:lineRule="auto"/>
      </w:pPr>
      <w:bookmarkStart w:id="6" w:name="_Toc509844268"/>
      <w:r>
        <w:t>‘Nothing counted for more than the year 312, which bought Constantine’s conversion, or 313, with the Edict of Milan’.</w:t>
      </w:r>
      <w:r>
        <w:rPr>
          <w:rStyle w:val="FootnoteReference"/>
        </w:rPr>
        <w:footnoteReference w:id="71"/>
      </w:r>
      <w:r>
        <w:t xml:space="preserve"> Elliot argues that Constantine’s intent for the Empire was not to make the Empire Christian, but to make the Empire a safe place for Christians, and that this why the following Edicts were placed into circulation.</w:t>
      </w:r>
      <w:r>
        <w:rPr>
          <w:rStyle w:val="FootnoteReference"/>
        </w:rPr>
        <w:footnoteReference w:id="72"/>
      </w:r>
      <w:r>
        <w:t xml:space="preserve"> Knipfing emphasises that before the Edict of Galerius, from this point onwards referred to as the Edict of Toleration, the intolerance for Christianity evidenced through the persecutions after Diocletian which latest twenty years and were the most violent of all the persecutions.</w:t>
      </w:r>
      <w:r>
        <w:rPr>
          <w:rStyle w:val="FootnoteReference"/>
        </w:rPr>
        <w:footnoteReference w:id="73"/>
      </w:r>
      <w:r>
        <w:t xml:space="preserve"> </w:t>
      </w:r>
    </w:p>
    <w:p w14:paraId="4EBA8B62" w14:textId="77777777" w:rsidR="004E55D8" w:rsidRDefault="004E55D8" w:rsidP="004E55D8">
      <w:pPr>
        <w:spacing w:line="480" w:lineRule="auto"/>
      </w:pPr>
    </w:p>
    <w:p w14:paraId="658213E7" w14:textId="0086D666" w:rsidR="004E55D8" w:rsidRDefault="004E55D8" w:rsidP="004E55D8">
      <w:pPr>
        <w:spacing w:line="480" w:lineRule="auto"/>
        <w:rPr>
          <w:color w:val="000000" w:themeColor="text1"/>
        </w:rPr>
      </w:pPr>
      <w:r>
        <w:t>Prior to these Edicts being circulated Keresztes,</w:t>
      </w:r>
      <w:r>
        <w:rPr>
          <w:rStyle w:val="FootnoteReference"/>
        </w:rPr>
        <w:footnoteReference w:id="74"/>
      </w:r>
      <w:r>
        <w:t xml:space="preserve"> mentions the movements passed beforehand which triggered the events to follow: </w:t>
      </w:r>
      <w:r>
        <w:rPr>
          <w:color w:val="000000" w:themeColor="text1"/>
        </w:rPr>
        <w:t>although it was Galerius who was named as the power behind the Edict of Toleration, he was also a force behind the beginnings of the persecutions from 303 onwards.</w:t>
      </w:r>
      <w:r>
        <w:rPr>
          <w:rStyle w:val="FootnoteReference"/>
          <w:color w:val="000000" w:themeColor="text1"/>
        </w:rPr>
        <w:footnoteReference w:id="75"/>
      </w:r>
      <w:r>
        <w:rPr>
          <w:color w:val="000000" w:themeColor="text1"/>
        </w:rPr>
        <w:t xml:space="preserve"> It was in February of that year that the destruction of the church in Nicomedia, what then followed was the dissolution of the social power that any Christians may have possessed, as Keresztes also states that it was almost certain that Christians during this time would have lost all rights and privileges that they may have one received. </w:t>
      </w:r>
      <w:r>
        <w:rPr>
          <w:rStyle w:val="FootnoteReference"/>
          <w:color w:val="000000" w:themeColor="text1"/>
        </w:rPr>
        <w:footnoteReference w:id="76"/>
      </w:r>
      <w:r>
        <w:rPr>
          <w:color w:val="000000" w:themeColor="text1"/>
        </w:rPr>
        <w:t>Galerius was chiefly behind another set of persecutions that saw the Christians bearing the brunt of persecutions – Keresztes writes of fires in the imperial palace, which saw members of the household being ultimately sacrificed.</w:t>
      </w:r>
      <w:r>
        <w:rPr>
          <w:rStyle w:val="FootnoteReference"/>
          <w:color w:val="000000" w:themeColor="text1"/>
        </w:rPr>
        <w:footnoteReference w:id="77"/>
      </w:r>
      <w:r>
        <w:rPr>
          <w:color w:val="000000" w:themeColor="text1"/>
        </w:rPr>
        <w:t xml:space="preserve"> A point of note arises from the section reading, ‘…the edict prescribed that if they did not, they should be tortured to force them to perform sacrifice’.</w:t>
      </w:r>
      <w:r>
        <w:rPr>
          <w:rStyle w:val="FootnoteReference"/>
          <w:color w:val="000000" w:themeColor="text1"/>
        </w:rPr>
        <w:footnoteReference w:id="78"/>
      </w:r>
      <w:r>
        <w:rPr>
          <w:color w:val="000000" w:themeColor="text1"/>
        </w:rPr>
        <w:t xml:space="preserve"> Clearly there is force being used to attain compliance to </w:t>
      </w:r>
      <w:r>
        <w:rPr>
          <w:color w:val="000000" w:themeColor="text1"/>
        </w:rPr>
        <w:lastRenderedPageBreak/>
        <w:t xml:space="preserve">sacrificial elements which would be aligned to a polytheistic religion, there are parallels to be drawn from this with the coercion for conversion to Christianity as evidenced through the Code. </w:t>
      </w:r>
      <w:r w:rsidR="002A5FD4">
        <w:rPr>
          <w:color w:val="000000" w:themeColor="text1"/>
        </w:rPr>
        <w:t xml:space="preserve">Importantly, these persecutions that happened not long after the turn of the century would have still had the potential to be relevant for people during the time that the Edicts were legislated, this could have varying results, which could programme, for lack of better words, a certain way of thinking about a certain group of people; in this case the derogatory manner in which the Christians were viewed. </w:t>
      </w:r>
    </w:p>
    <w:p w14:paraId="514C6140" w14:textId="77777777" w:rsidR="002A5FD4" w:rsidRDefault="002A5FD4" w:rsidP="004E55D8">
      <w:pPr>
        <w:pStyle w:val="Heading2"/>
        <w:spacing w:line="480" w:lineRule="auto"/>
        <w:rPr>
          <w:rFonts w:ascii="Times" w:hAnsi="Times"/>
          <w:color w:val="000000" w:themeColor="text1"/>
          <w:sz w:val="24"/>
          <w:szCs w:val="24"/>
          <w:u w:val="single"/>
        </w:rPr>
      </w:pPr>
    </w:p>
    <w:p w14:paraId="6EE3ACA6" w14:textId="77777777" w:rsidR="00826665" w:rsidRPr="00964B0A" w:rsidRDefault="00826665" w:rsidP="004E55D8">
      <w:pPr>
        <w:pStyle w:val="Heading2"/>
        <w:spacing w:line="480" w:lineRule="auto"/>
        <w:rPr>
          <w:rFonts w:ascii="Times" w:hAnsi="Times"/>
          <w:color w:val="000000" w:themeColor="text1"/>
          <w:sz w:val="24"/>
          <w:szCs w:val="24"/>
          <w:u w:val="single"/>
        </w:rPr>
      </w:pPr>
      <w:bookmarkStart w:id="7" w:name="_Toc513746952"/>
      <w:r>
        <w:rPr>
          <w:rFonts w:ascii="Times" w:hAnsi="Times"/>
          <w:color w:val="000000" w:themeColor="text1"/>
          <w:sz w:val="24"/>
          <w:szCs w:val="24"/>
          <w:u w:val="single"/>
        </w:rPr>
        <w:t xml:space="preserve">2.1: </w:t>
      </w:r>
      <w:r w:rsidRPr="00964B0A">
        <w:rPr>
          <w:rFonts w:ascii="Times" w:hAnsi="Times"/>
          <w:color w:val="000000" w:themeColor="text1"/>
          <w:sz w:val="24"/>
          <w:szCs w:val="24"/>
          <w:u w:val="single"/>
        </w:rPr>
        <w:t>The Edict of Toleration.</w:t>
      </w:r>
      <w:bookmarkEnd w:id="6"/>
      <w:bookmarkEnd w:id="7"/>
      <w:r w:rsidRPr="00964B0A">
        <w:rPr>
          <w:rFonts w:ascii="Times" w:hAnsi="Times"/>
          <w:color w:val="000000" w:themeColor="text1"/>
          <w:sz w:val="24"/>
          <w:szCs w:val="24"/>
          <w:u w:val="single"/>
        </w:rPr>
        <w:t xml:space="preserve"> </w:t>
      </w:r>
    </w:p>
    <w:p w14:paraId="048A085E" w14:textId="77777777" w:rsidR="004E55D8" w:rsidRDefault="004E55D8" w:rsidP="004E55D8">
      <w:pPr>
        <w:spacing w:line="480" w:lineRule="auto"/>
        <w:rPr>
          <w:color w:val="000000" w:themeColor="text1"/>
        </w:rPr>
      </w:pPr>
      <w:bookmarkStart w:id="8" w:name="_Toc509844269"/>
      <w:r>
        <w:rPr>
          <w:color w:val="000000" w:themeColor="text1"/>
        </w:rPr>
        <w:t xml:space="preserve">The Edict of Toleration was written under Galerius, and is has a written account in </w:t>
      </w:r>
    </w:p>
    <w:p w14:paraId="3E6FAE7A" w14:textId="511C60A2" w:rsidR="004E55D8" w:rsidRDefault="004E55D8" w:rsidP="004E55D8">
      <w:pPr>
        <w:spacing w:line="480" w:lineRule="auto"/>
        <w:rPr>
          <w:color w:val="000000" w:themeColor="text1"/>
        </w:rPr>
      </w:pPr>
      <w:r>
        <w:rPr>
          <w:color w:val="000000" w:themeColor="text1"/>
        </w:rPr>
        <w:t xml:space="preserve">Lactantius’ work. </w:t>
      </w:r>
    </w:p>
    <w:p w14:paraId="5D855E3A" w14:textId="77777777" w:rsidR="004E55D8" w:rsidRDefault="004E55D8" w:rsidP="004E55D8">
      <w:pPr>
        <w:spacing w:line="480" w:lineRule="auto"/>
        <w:rPr>
          <w:color w:val="000000" w:themeColor="text1"/>
        </w:rPr>
      </w:pPr>
    </w:p>
    <w:p w14:paraId="607CC417" w14:textId="77777777" w:rsidR="004E55D8" w:rsidRDefault="004E55D8" w:rsidP="004E55D8">
      <w:pPr>
        <w:spacing w:line="480" w:lineRule="auto"/>
        <w:ind w:left="720"/>
        <w:rPr>
          <w:color w:val="000000" w:themeColor="text1"/>
        </w:rPr>
      </w:pPr>
      <w:r>
        <w:rPr>
          <w:color w:val="000000" w:themeColor="text1"/>
        </w:rPr>
        <w:t>‘Bearing in mind therefore out own most gentle clemency and our perpetual habit of showing indulgent pardon to all men, we have taken the view that in the case of these people too we should extend out speediest indulgence, so that once more they may be Christians and put together their meeting places, provided they do nothing to disturb good order’.</w:t>
      </w:r>
      <w:r>
        <w:rPr>
          <w:rStyle w:val="FootnoteReference"/>
          <w:color w:val="000000" w:themeColor="text1"/>
        </w:rPr>
        <w:footnoteReference w:id="79"/>
      </w:r>
    </w:p>
    <w:p w14:paraId="1CD2D887" w14:textId="77777777" w:rsidR="002A5FD4" w:rsidRDefault="002A5FD4" w:rsidP="004E55D8">
      <w:pPr>
        <w:spacing w:line="480" w:lineRule="auto"/>
        <w:rPr>
          <w:color w:val="000000" w:themeColor="text1"/>
        </w:rPr>
      </w:pPr>
    </w:p>
    <w:p w14:paraId="77985CD2" w14:textId="3C13CECE" w:rsidR="004E55D8" w:rsidRDefault="004E55D8" w:rsidP="004E55D8">
      <w:pPr>
        <w:spacing w:line="480" w:lineRule="auto"/>
        <w:rPr>
          <w:color w:val="000000" w:themeColor="text1"/>
        </w:rPr>
      </w:pPr>
      <w:r>
        <w:rPr>
          <w:color w:val="000000" w:themeColor="text1"/>
        </w:rPr>
        <w:t>According to Knipfing the main feature of the Edict of Toleration is that the Edict allows for Christians to exist and to belong, Galerius ‘added the right to assembly’.</w:t>
      </w:r>
      <w:r>
        <w:rPr>
          <w:rStyle w:val="FootnoteReference"/>
          <w:color w:val="000000" w:themeColor="text1"/>
        </w:rPr>
        <w:footnoteReference w:id="80"/>
      </w:r>
      <w:r w:rsidR="00C70EDF">
        <w:rPr>
          <w:color w:val="000000" w:themeColor="text1"/>
        </w:rPr>
        <w:t xml:space="preserve"> Up</w:t>
      </w:r>
      <w:r>
        <w:rPr>
          <w:color w:val="000000" w:themeColor="text1"/>
        </w:rPr>
        <w:t xml:space="preserve"> until this point, it is highlighted in this interpretation of this text that ‘nothing should be done against the </w:t>
      </w:r>
      <w:r>
        <w:rPr>
          <w:color w:val="000000" w:themeColor="text1"/>
        </w:rPr>
        <w:lastRenderedPageBreak/>
        <w:t>good order’.</w:t>
      </w:r>
      <w:r w:rsidR="00513B57">
        <w:rPr>
          <w:rStyle w:val="FootnoteReference"/>
          <w:color w:val="000000" w:themeColor="text1"/>
        </w:rPr>
        <w:footnoteReference w:id="81"/>
      </w:r>
      <w:r>
        <w:rPr>
          <w:color w:val="000000" w:themeColor="text1"/>
        </w:rPr>
        <w:t xml:space="preserve"> This begins to open up the question about whether those in power were more concerned about religion or authority.</w:t>
      </w:r>
      <w:r w:rsidR="00513B57">
        <w:rPr>
          <w:rStyle w:val="FootnoteReference"/>
          <w:color w:val="000000" w:themeColor="text1"/>
        </w:rPr>
        <w:footnoteReference w:id="82"/>
      </w:r>
      <w:r>
        <w:rPr>
          <w:color w:val="000000" w:themeColor="text1"/>
        </w:rPr>
        <w:t xml:space="preserve"> </w:t>
      </w:r>
    </w:p>
    <w:p w14:paraId="5FC97188" w14:textId="77777777" w:rsidR="002A5FD4" w:rsidRDefault="002A5FD4" w:rsidP="004E55D8">
      <w:pPr>
        <w:spacing w:line="480" w:lineRule="auto"/>
        <w:rPr>
          <w:color w:val="000000" w:themeColor="text1"/>
        </w:rPr>
      </w:pPr>
    </w:p>
    <w:p w14:paraId="7D72B2C6" w14:textId="12D70F53" w:rsidR="00513B57" w:rsidRDefault="004E55D8" w:rsidP="004E55D8">
      <w:pPr>
        <w:spacing w:line="480" w:lineRule="auto"/>
        <w:rPr>
          <w:color w:val="000000" w:themeColor="text1"/>
        </w:rPr>
      </w:pPr>
      <w:r>
        <w:rPr>
          <w:color w:val="000000" w:themeColor="text1"/>
        </w:rPr>
        <w:t>As previously mentioned by Keresztes, Galerius was at the forefront of some of the earlier persecutions of the Christians, and so the opposing view reflected within the Edict of Toleration is one in which the motives are questions amongst scholarship – it could be interpreted that Galerius had seen the error in his ways, and the Edict of Toleration is more of a restorative</w:t>
      </w:r>
      <w:r w:rsidR="00205E90">
        <w:rPr>
          <w:rStyle w:val="FootnoteReference"/>
          <w:color w:val="000000" w:themeColor="text1"/>
        </w:rPr>
        <w:footnoteReference w:id="83"/>
      </w:r>
      <w:r>
        <w:rPr>
          <w:color w:val="000000" w:themeColor="text1"/>
        </w:rPr>
        <w:t xml:space="preserve"> piece in order to return the toleration of the Christians to that which it was in 303</w:t>
      </w:r>
      <w:r>
        <w:rPr>
          <w:rStyle w:val="FootnoteReference"/>
          <w:color w:val="000000" w:themeColor="text1"/>
        </w:rPr>
        <w:footnoteReference w:id="84"/>
      </w:r>
      <w:r>
        <w:rPr>
          <w:color w:val="000000" w:themeColor="text1"/>
        </w:rPr>
        <w:t>, rather than actively perusing Christianity. Another argument put forward in Keresztes is political motivation, and the ‘presence of Licinius … had a decisive influence’.</w:t>
      </w:r>
      <w:r>
        <w:rPr>
          <w:rStyle w:val="FootnoteReference"/>
          <w:color w:val="000000" w:themeColor="text1"/>
        </w:rPr>
        <w:footnoteReference w:id="85"/>
      </w:r>
      <w:r>
        <w:rPr>
          <w:color w:val="000000" w:themeColor="text1"/>
        </w:rPr>
        <w:t xml:space="preserve"> There could be a theological issue with this approach by blurring the line between theology and politics, the true meaning of a religion can be lost. </w:t>
      </w:r>
      <w:r w:rsidR="00513B57">
        <w:rPr>
          <w:color w:val="000000" w:themeColor="text1"/>
        </w:rPr>
        <w:t>Another argument outlined in both Betten and Keresztes is that of the illness of Galerius, and it is this triggered the edict.</w:t>
      </w:r>
      <w:r w:rsidR="00513B57">
        <w:rPr>
          <w:rStyle w:val="FootnoteReference"/>
          <w:color w:val="000000" w:themeColor="text1"/>
        </w:rPr>
        <w:footnoteReference w:id="86"/>
      </w:r>
      <w:r w:rsidR="00513B57">
        <w:rPr>
          <w:color w:val="000000" w:themeColor="text1"/>
        </w:rPr>
        <w:t xml:space="preserve"> An interpretation of this could be the potential for fear of God felt by Galerius, </w:t>
      </w:r>
      <w:r w:rsidR="00513B57">
        <w:rPr>
          <w:rStyle w:val="FootnoteReference"/>
          <w:color w:val="000000" w:themeColor="text1"/>
        </w:rPr>
        <w:footnoteReference w:id="87"/>
      </w:r>
      <w:r w:rsidR="00513B57">
        <w:rPr>
          <w:color w:val="000000" w:themeColor="text1"/>
        </w:rPr>
        <w:t xml:space="preserve"> should this be the case, it could be stretched to infer that perhaps one of the reasons for public opposition to the implementation of Christianity as state religion was the fear of the unknown, and perhaps ultimately, the fear of change. </w:t>
      </w:r>
    </w:p>
    <w:p w14:paraId="03A360C0" w14:textId="77777777" w:rsidR="0081656B" w:rsidRDefault="0081656B" w:rsidP="004E55D8">
      <w:pPr>
        <w:spacing w:line="480" w:lineRule="auto"/>
        <w:rPr>
          <w:color w:val="000000" w:themeColor="text1"/>
        </w:rPr>
      </w:pPr>
    </w:p>
    <w:p w14:paraId="2DC3485E" w14:textId="05E3E961" w:rsidR="0081656B" w:rsidRDefault="0081656B" w:rsidP="004E55D8">
      <w:pPr>
        <w:spacing w:line="480" w:lineRule="auto"/>
        <w:rPr>
          <w:color w:val="000000" w:themeColor="text1"/>
        </w:rPr>
      </w:pPr>
      <w:r>
        <w:rPr>
          <w:color w:val="000000" w:themeColor="text1"/>
        </w:rPr>
        <w:t>Finally, on the topic of the Edict of Milan, as mentioned in the methodology chapter there are two separate versions of the texts found in Eusebius</w:t>
      </w:r>
      <w:r w:rsidR="00A64424">
        <w:rPr>
          <w:rStyle w:val="FootnoteReference"/>
          <w:color w:val="000000" w:themeColor="text1"/>
        </w:rPr>
        <w:footnoteReference w:id="88"/>
      </w:r>
      <w:r>
        <w:rPr>
          <w:color w:val="000000" w:themeColor="text1"/>
        </w:rPr>
        <w:t xml:space="preserve"> </w:t>
      </w:r>
      <w:r w:rsidR="00A64424">
        <w:rPr>
          <w:color w:val="000000" w:themeColor="text1"/>
        </w:rPr>
        <w:t>and Lactantius</w:t>
      </w:r>
      <w:r w:rsidR="00A64424">
        <w:rPr>
          <w:rStyle w:val="FootnoteReference"/>
          <w:color w:val="000000" w:themeColor="text1"/>
        </w:rPr>
        <w:footnoteReference w:id="89"/>
      </w:r>
      <w:r w:rsidR="00A64424">
        <w:rPr>
          <w:color w:val="000000" w:themeColor="text1"/>
        </w:rPr>
        <w:t xml:space="preserve"> – it is the introduction </w:t>
      </w:r>
      <w:r w:rsidR="00A64424">
        <w:rPr>
          <w:color w:val="000000" w:themeColor="text1"/>
        </w:rPr>
        <w:lastRenderedPageBreak/>
        <w:t>of the text seen in Eusebius’ work that promotes conversion, this is because it is a text that is adapted to suit the needs of those who are in the eastern part of the empire.</w:t>
      </w:r>
      <w:r w:rsidR="0086215C">
        <w:rPr>
          <w:rStyle w:val="FootnoteReference"/>
          <w:color w:val="000000" w:themeColor="text1"/>
        </w:rPr>
        <w:footnoteReference w:id="90"/>
      </w:r>
      <w:r w:rsidR="00A64424">
        <w:rPr>
          <w:color w:val="000000" w:themeColor="text1"/>
        </w:rPr>
        <w:t xml:space="preserve"> The fact that there is a new introduction in Eusebius’ text shows that </w:t>
      </w:r>
      <w:r w:rsidR="00F02095">
        <w:rPr>
          <w:color w:val="000000" w:themeColor="text1"/>
        </w:rPr>
        <w:t xml:space="preserve">there is still a different in </w:t>
      </w:r>
      <w:r w:rsidR="00E769C7">
        <w:rPr>
          <w:color w:val="000000" w:themeColor="text1"/>
        </w:rPr>
        <w:t xml:space="preserve">toleration of Christians </w:t>
      </w:r>
      <w:r w:rsidR="0086215C">
        <w:rPr>
          <w:color w:val="000000" w:themeColor="text1"/>
        </w:rPr>
        <w:t>between the Eastern and the Western Empire, and the fact that Knipfing argues is that this solidifies the movement of Christianity being accepted throughout both parts of the Empire.</w:t>
      </w:r>
      <w:r w:rsidR="0086215C">
        <w:rPr>
          <w:rStyle w:val="FootnoteReference"/>
          <w:color w:val="000000" w:themeColor="text1"/>
        </w:rPr>
        <w:footnoteReference w:id="91"/>
      </w:r>
      <w:r w:rsidR="0086215C">
        <w:rPr>
          <w:color w:val="000000" w:themeColor="text1"/>
        </w:rPr>
        <w:t xml:space="preserve"> </w:t>
      </w:r>
    </w:p>
    <w:p w14:paraId="4A3600A7" w14:textId="77777777" w:rsidR="00513B57" w:rsidRDefault="00513B57" w:rsidP="004E55D8">
      <w:pPr>
        <w:spacing w:line="480" w:lineRule="auto"/>
        <w:rPr>
          <w:color w:val="000000" w:themeColor="text1"/>
        </w:rPr>
      </w:pPr>
    </w:p>
    <w:p w14:paraId="118AC68B" w14:textId="34415A67" w:rsidR="004E55D8" w:rsidRPr="00A735FC" w:rsidRDefault="004E55D8" w:rsidP="004E55D8">
      <w:pPr>
        <w:spacing w:line="480" w:lineRule="auto"/>
        <w:rPr>
          <w:color w:val="000000" w:themeColor="text1"/>
        </w:rPr>
      </w:pPr>
      <w:r>
        <w:rPr>
          <w:color w:val="000000" w:themeColor="text1"/>
        </w:rPr>
        <w:t>Despite the Edict of Milan having been covered within greater deal amongst scholarship, with the evidence collated, the argument put forward by Knipfing is one that is entirely reasonable, and that is that juridical aspects have a greater importance than its successor, the Edict of Milan.</w:t>
      </w:r>
      <w:r>
        <w:rPr>
          <w:rStyle w:val="FootnoteReference"/>
          <w:color w:val="000000" w:themeColor="text1"/>
        </w:rPr>
        <w:footnoteReference w:id="92"/>
      </w:r>
    </w:p>
    <w:p w14:paraId="21427BE1" w14:textId="77777777" w:rsidR="00513B57" w:rsidRDefault="00513B57" w:rsidP="004E55D8">
      <w:pPr>
        <w:pStyle w:val="Heading2"/>
        <w:spacing w:line="480" w:lineRule="auto"/>
        <w:rPr>
          <w:rFonts w:ascii="Times" w:hAnsi="Times"/>
          <w:color w:val="000000" w:themeColor="text1"/>
          <w:sz w:val="24"/>
          <w:szCs w:val="24"/>
          <w:u w:val="single"/>
        </w:rPr>
      </w:pPr>
    </w:p>
    <w:p w14:paraId="12A15063" w14:textId="77777777" w:rsidR="00826665" w:rsidRDefault="00826665" w:rsidP="004E55D8">
      <w:pPr>
        <w:pStyle w:val="Heading2"/>
        <w:spacing w:line="480" w:lineRule="auto"/>
        <w:rPr>
          <w:rFonts w:ascii="Times" w:hAnsi="Times"/>
          <w:color w:val="000000" w:themeColor="text1"/>
          <w:sz w:val="24"/>
          <w:szCs w:val="24"/>
          <w:u w:val="single"/>
        </w:rPr>
      </w:pPr>
      <w:bookmarkStart w:id="9" w:name="_Toc513746953"/>
      <w:r>
        <w:rPr>
          <w:rFonts w:ascii="Times" w:hAnsi="Times"/>
          <w:color w:val="000000" w:themeColor="text1"/>
          <w:sz w:val="24"/>
          <w:szCs w:val="24"/>
          <w:u w:val="single"/>
        </w:rPr>
        <w:t xml:space="preserve">2.2: </w:t>
      </w:r>
      <w:r w:rsidRPr="00964B0A">
        <w:rPr>
          <w:rFonts w:ascii="Times" w:hAnsi="Times"/>
          <w:color w:val="000000" w:themeColor="text1"/>
          <w:sz w:val="24"/>
          <w:szCs w:val="24"/>
          <w:u w:val="single"/>
        </w:rPr>
        <w:t>The Edict of Milan.</w:t>
      </w:r>
      <w:bookmarkEnd w:id="8"/>
      <w:bookmarkEnd w:id="9"/>
      <w:r w:rsidRPr="00964B0A">
        <w:rPr>
          <w:rFonts w:ascii="Times" w:hAnsi="Times"/>
          <w:color w:val="000000" w:themeColor="text1"/>
          <w:sz w:val="24"/>
          <w:szCs w:val="24"/>
          <w:u w:val="single"/>
        </w:rPr>
        <w:t xml:space="preserve"> </w:t>
      </w:r>
    </w:p>
    <w:p w14:paraId="4000B024" w14:textId="060F5B31" w:rsidR="00332281" w:rsidRDefault="00332281" w:rsidP="00332281">
      <w:pPr>
        <w:spacing w:line="480" w:lineRule="auto"/>
        <w:rPr>
          <w:color w:val="000000" w:themeColor="text1"/>
        </w:rPr>
      </w:pPr>
      <w:r>
        <w:rPr>
          <w:color w:val="000000" w:themeColor="text1"/>
        </w:rPr>
        <w:t>This is the decree which according to Betten, ‘made Christianity another state religion’.</w:t>
      </w:r>
      <w:r>
        <w:rPr>
          <w:rStyle w:val="FootnoteReference"/>
          <w:color w:val="000000" w:themeColor="text1"/>
        </w:rPr>
        <w:footnoteReference w:id="93"/>
      </w:r>
      <w:r w:rsidR="00720F63">
        <w:rPr>
          <w:color w:val="000000" w:themeColor="text1"/>
        </w:rPr>
        <w:t xml:space="preserve"> </w:t>
      </w:r>
    </w:p>
    <w:p w14:paraId="48B417C5" w14:textId="77777777" w:rsidR="00332281" w:rsidRPr="00332281" w:rsidRDefault="00332281" w:rsidP="00332281"/>
    <w:p w14:paraId="0FD9612C" w14:textId="5AA211BF" w:rsidR="004E55D8" w:rsidRDefault="004E55D8" w:rsidP="004E55D8">
      <w:pPr>
        <w:spacing w:line="480" w:lineRule="auto"/>
        <w:ind w:left="720"/>
        <w:jc w:val="both"/>
      </w:pPr>
      <w:r>
        <w:t>‘Just as the Edict of Galerius of 311 may be said to have concluded the Galerian phase of the Diocletian persecution, so it may be affirmed that the Licinian</w:t>
      </w:r>
      <w:r w:rsidR="007D4325">
        <w:t xml:space="preserve"> - </w:t>
      </w:r>
      <w:r>
        <w:t>Constantinian legislation of the 313 terminated the phase of Maximus Daja.’.</w:t>
      </w:r>
      <w:r>
        <w:rPr>
          <w:rStyle w:val="FootnoteReference"/>
        </w:rPr>
        <w:footnoteReference w:id="94"/>
      </w:r>
      <w:r>
        <w:t xml:space="preserve"> </w:t>
      </w:r>
    </w:p>
    <w:p w14:paraId="217195BA" w14:textId="77777777" w:rsidR="004E55D8" w:rsidRDefault="004E55D8" w:rsidP="004E55D8">
      <w:pPr>
        <w:spacing w:line="480" w:lineRule="auto"/>
        <w:jc w:val="both"/>
      </w:pPr>
    </w:p>
    <w:p w14:paraId="1D89B1A7" w14:textId="75BC6AA3" w:rsidR="004E55D8" w:rsidRDefault="004E55D8" w:rsidP="004E55D8">
      <w:pPr>
        <w:spacing w:line="480" w:lineRule="auto"/>
        <w:jc w:val="both"/>
      </w:pPr>
      <w:r>
        <w:t>Constantine’s role in the formation and deliverance of the Edict of Milan was a hugely important one, it is acknowledged that Licinius and Constantine worked together in changing laws towards Christianity.</w:t>
      </w:r>
      <w:r>
        <w:rPr>
          <w:rStyle w:val="FootnoteReference"/>
        </w:rPr>
        <w:footnoteReference w:id="95"/>
      </w:r>
      <w:r>
        <w:t xml:space="preserve"> There are continuation issues between two versions of the Edict of </w:t>
      </w:r>
      <w:r>
        <w:lastRenderedPageBreak/>
        <w:t xml:space="preserve">Milan found in Lactantius’ </w:t>
      </w:r>
      <w:r>
        <w:rPr>
          <w:i/>
        </w:rPr>
        <w:t>De Mortibus Persecutorum</w:t>
      </w:r>
      <w:r>
        <w:rPr>
          <w:rStyle w:val="FootnoteReference"/>
          <w:i/>
        </w:rPr>
        <w:footnoteReference w:id="96"/>
      </w:r>
      <w:r>
        <w:rPr>
          <w:i/>
        </w:rPr>
        <w:t xml:space="preserve"> </w:t>
      </w:r>
      <w:r>
        <w:t>and Eusebius’</w:t>
      </w:r>
      <w:r w:rsidR="008874C6">
        <w:t xml:space="preserve"> </w:t>
      </w:r>
      <w:r w:rsidR="008874C6">
        <w:rPr>
          <w:i/>
        </w:rPr>
        <w:t xml:space="preserve">Ecclesiastical History </w:t>
      </w:r>
      <w:r>
        <w:rPr>
          <w:rStyle w:val="FootnoteReference"/>
          <w:i/>
        </w:rPr>
        <w:footnoteReference w:id="97"/>
      </w:r>
      <w:r>
        <w:rPr>
          <w:i/>
        </w:rPr>
        <w:t xml:space="preserve"> </w:t>
      </w:r>
      <w:r>
        <w:t xml:space="preserve">- it could be argued that because of the different interpretations of the text through different translations the results yielded may be of conflicting interests. </w:t>
      </w:r>
    </w:p>
    <w:p w14:paraId="4671062B" w14:textId="77777777" w:rsidR="004E55D8" w:rsidRDefault="004E55D8" w:rsidP="004E55D8">
      <w:pPr>
        <w:spacing w:line="480" w:lineRule="auto"/>
        <w:jc w:val="both"/>
      </w:pPr>
    </w:p>
    <w:p w14:paraId="790689CB" w14:textId="77777777" w:rsidR="004E55D8" w:rsidRDefault="004E55D8" w:rsidP="004E55D8">
      <w:pPr>
        <w:spacing w:line="480" w:lineRule="auto"/>
        <w:ind w:left="720"/>
        <w:jc w:val="both"/>
      </w:pPr>
      <w:r>
        <w:t>‘…We thought it therefore that in accordance with salutary and most correct reasoning we ought to follow the policy of regarding this opportunity as one to be denied to anyone at all, whether he wished to give his mind to the observances of the Christians or to that religion which he felt was most fitting to himself…’</w:t>
      </w:r>
      <w:r>
        <w:rPr>
          <w:rStyle w:val="FootnoteReference"/>
        </w:rPr>
        <w:footnoteReference w:id="98"/>
      </w:r>
    </w:p>
    <w:p w14:paraId="0AE11959" w14:textId="77777777" w:rsidR="004E55D8" w:rsidRDefault="004E55D8" w:rsidP="004E55D8">
      <w:pPr>
        <w:spacing w:line="480" w:lineRule="auto"/>
        <w:jc w:val="both"/>
      </w:pPr>
    </w:p>
    <w:p w14:paraId="789634AF" w14:textId="77777777" w:rsidR="004E55D8" w:rsidRDefault="004E55D8" w:rsidP="004E55D8">
      <w:pPr>
        <w:spacing w:line="480" w:lineRule="auto"/>
        <w:jc w:val="both"/>
      </w:pPr>
      <w:r>
        <w:t>Amongst scholarship it is noted that the Edict of Milan was the first instance of Constantine as a Christian Emperor solidifying his religion, however this interpretation is still up for debate.</w:t>
      </w:r>
      <w:r>
        <w:rPr>
          <w:rStyle w:val="FootnoteReference"/>
        </w:rPr>
        <w:footnoteReference w:id="99"/>
      </w:r>
    </w:p>
    <w:p w14:paraId="3570171C" w14:textId="77777777" w:rsidR="004E55D8" w:rsidRDefault="004E55D8" w:rsidP="004E55D8">
      <w:pPr>
        <w:spacing w:line="480" w:lineRule="auto"/>
        <w:jc w:val="both"/>
      </w:pPr>
      <w:r>
        <w:t>Although the conversion to Christianity had begun, MacMullen raises the argument that it wasn’t quite as clear cut as just Christians and Pagans.</w:t>
      </w:r>
      <w:r>
        <w:rPr>
          <w:rStyle w:val="FootnoteReference"/>
        </w:rPr>
        <w:footnoteReference w:id="100"/>
      </w:r>
      <w:r>
        <w:t xml:space="preserve"> Hunt elaborates on this idea by adding the notion that by making an act illegal it does not stop it from existing in the first place.</w:t>
      </w:r>
      <w:r>
        <w:rPr>
          <w:rStyle w:val="FootnoteReference"/>
        </w:rPr>
        <w:footnoteReference w:id="101"/>
      </w:r>
      <w:r>
        <w:t xml:space="preserve"> Betten argues that the decree was simply making, ‘Christianity another state religion’, another point to add from Betten highlights that it wasn’t until this point that a Christian was another member of society and was in a position to feel the benefits of the Empire.</w:t>
      </w:r>
      <w:r>
        <w:rPr>
          <w:rStyle w:val="FootnoteReference"/>
        </w:rPr>
        <w:footnoteReference w:id="102"/>
      </w:r>
      <w:r>
        <w:t xml:space="preserve"> This insinuates that with religion came power, and religion had a direct effect on the standing of an individual in society. Betten also acknowledges that the edict would have had a ‘stunning effect on the adorers of the old gods’.</w:t>
      </w:r>
      <w:r>
        <w:rPr>
          <w:rStyle w:val="FootnoteReference"/>
        </w:rPr>
        <w:footnoteReference w:id="103"/>
      </w:r>
      <w:r>
        <w:t xml:space="preserve">  As Betten highlights there is a huge focus throughout the text on </w:t>
      </w:r>
      <w:r>
        <w:lastRenderedPageBreak/>
        <w:t>the ‘Supreme being’ which could easily be interpreted as an attack on the polytheistic school of thought.</w:t>
      </w:r>
      <w:r>
        <w:rPr>
          <w:rStyle w:val="FootnoteReference"/>
        </w:rPr>
        <w:footnoteReference w:id="104"/>
      </w:r>
    </w:p>
    <w:p w14:paraId="283358A0" w14:textId="77777777" w:rsidR="004E55D8" w:rsidRDefault="004E55D8" w:rsidP="004E55D8">
      <w:pPr>
        <w:spacing w:line="480" w:lineRule="auto"/>
        <w:jc w:val="both"/>
      </w:pPr>
    </w:p>
    <w:p w14:paraId="38C26A50" w14:textId="77777777" w:rsidR="00C70EDF" w:rsidRDefault="004E55D8" w:rsidP="004E55D8">
      <w:pPr>
        <w:spacing w:line="480" w:lineRule="auto"/>
        <w:jc w:val="both"/>
      </w:pPr>
      <w:r>
        <w:t>In Book 10 of Eusibius’ Church History, a chapter entitled ‘The Madness of Licinius’ recounts Licinius’ relationship with Christians.</w:t>
      </w:r>
      <w:r>
        <w:rPr>
          <w:rStyle w:val="FootnoteReference"/>
        </w:rPr>
        <w:footnoteReference w:id="105"/>
      </w:r>
      <w:r>
        <w:t xml:space="preserve"> Something that is prominent for the first time, is the implementation of the word madness, especially in regards to a figure who is actively opposed to the movement of Christianity, surely this expresses the opinion of Christians who saw anything but Christianity as a threat. There is a counteraction to this, in the Edict of Toleration those who were Christians were referred to as ‘the folly had taken over them’.</w:t>
      </w:r>
      <w:r>
        <w:rPr>
          <w:rStyle w:val="FootnoteReference"/>
        </w:rPr>
        <w:footnoteReference w:id="106"/>
      </w:r>
      <w:r>
        <w:t xml:space="preserve"> This being synonymous with madness or a certain foolishness, insinuates that it was the case that whatever was favoured at the time took precedence and the opposition was mad. In any case, the translation of the Edict of Milan in Eusebius’ work has an introduction that is not included in the Latin found in Lactantius,</w:t>
      </w:r>
      <w:r>
        <w:rPr>
          <w:rStyle w:val="FootnoteReference"/>
        </w:rPr>
        <w:footnoteReference w:id="107"/>
      </w:r>
      <w:r w:rsidR="00BB5D93">
        <w:t xml:space="preserve"> </w:t>
      </w:r>
    </w:p>
    <w:p w14:paraId="4E155AFA" w14:textId="77777777" w:rsidR="002A5FD4" w:rsidRDefault="002A5FD4" w:rsidP="004E55D8">
      <w:pPr>
        <w:spacing w:line="480" w:lineRule="auto"/>
        <w:jc w:val="both"/>
      </w:pPr>
    </w:p>
    <w:p w14:paraId="3A9D777B" w14:textId="744ACDC2" w:rsidR="009A15A1" w:rsidRDefault="009A15A1" w:rsidP="004E55D8">
      <w:pPr>
        <w:spacing w:line="480" w:lineRule="auto"/>
        <w:jc w:val="both"/>
      </w:pPr>
      <w:r>
        <w:t xml:space="preserve">Explored within the Edict of Toleration was Galerius’ fear, fear of </w:t>
      </w:r>
      <w:r w:rsidR="00721ECA">
        <w:t xml:space="preserve">God or fear of illness but fear, </w:t>
      </w:r>
      <w:r w:rsidR="00B33E59">
        <w:t xml:space="preserve">so if a fear of </w:t>
      </w:r>
      <w:r w:rsidR="00FF2DCA">
        <w:t>the consequences</w:t>
      </w:r>
      <w:r w:rsidR="00642DEC">
        <w:t xml:space="preserve"> of</w:t>
      </w:r>
      <w:r w:rsidR="00FF2DCA">
        <w:t xml:space="preserve"> </w:t>
      </w:r>
      <w:r w:rsidR="00642DEC">
        <w:t xml:space="preserve">religion </w:t>
      </w:r>
      <w:r w:rsidR="00023BE8">
        <w:t xml:space="preserve">can change an </w:t>
      </w:r>
      <w:r w:rsidR="00642DEC">
        <w:t>individual’s religious identity, it could be inferred that this would have a negative connotation of the religion that would be left on the mind of the individual. Now, placing this same theory onto The Edict of Milan  which although ‘left the legal standing of the old cults intact’</w:t>
      </w:r>
      <w:r w:rsidR="00D06045">
        <w:t xml:space="preserve">, </w:t>
      </w:r>
      <w:r w:rsidR="00642DEC">
        <w:rPr>
          <w:rStyle w:val="FootnoteReference"/>
        </w:rPr>
        <w:footnoteReference w:id="108"/>
      </w:r>
      <w:r w:rsidR="00D06045">
        <w:t xml:space="preserve"> arguably initiated the transcendence into </w:t>
      </w:r>
      <w:r w:rsidR="00CE29CB">
        <w:t>Christianity, s</w:t>
      </w:r>
      <w:r w:rsidR="00D06045">
        <w:t>o t</w:t>
      </w:r>
      <w:r w:rsidR="00642DEC">
        <w:t xml:space="preserve">he fear of </w:t>
      </w:r>
      <w:r w:rsidR="00D06045">
        <w:t xml:space="preserve">a religion being taken away from the masses, could give </w:t>
      </w:r>
      <w:r w:rsidR="00642DEC">
        <w:t xml:space="preserve"> </w:t>
      </w:r>
      <w:r w:rsidR="00D06045">
        <w:t xml:space="preserve">negative connotations to Christianity, which would mean overall that Christianity </w:t>
      </w:r>
      <w:r w:rsidR="00D06045">
        <w:lastRenderedPageBreak/>
        <w:t>wou</w:t>
      </w:r>
      <w:r w:rsidR="00CE29CB">
        <w:t>ld have negative perceptions as</w:t>
      </w:r>
      <w:r w:rsidR="00D06045">
        <w:t xml:space="preserve"> it would be replacing something that was already of huge personal identity. </w:t>
      </w:r>
    </w:p>
    <w:p w14:paraId="24500A3B" w14:textId="77777777" w:rsidR="002A5FD4" w:rsidRDefault="002A5FD4" w:rsidP="00513B57">
      <w:pPr>
        <w:spacing w:line="480" w:lineRule="auto"/>
        <w:jc w:val="both"/>
      </w:pPr>
    </w:p>
    <w:p w14:paraId="0C807076" w14:textId="3B04468C" w:rsidR="00513B57" w:rsidRDefault="00C70EDF" w:rsidP="00513B57">
      <w:pPr>
        <w:spacing w:line="480" w:lineRule="auto"/>
        <w:jc w:val="both"/>
      </w:pPr>
      <w:r>
        <w:t>The occurrence</w:t>
      </w:r>
      <w:r w:rsidR="004E55D8">
        <w:t xml:space="preserve"> of the Edict of Milan is paramount in understanding how this acceptance and toleration of Christianity moved forward towards coercion and co</w:t>
      </w:r>
      <w:r w:rsidR="00015D58">
        <w:t>nversion. It also gives reasons as to why a toleration was needed in the first place which compliments any negativity that might be felt within the church.</w:t>
      </w:r>
      <w:r w:rsidR="00015D58">
        <w:rPr>
          <w:rStyle w:val="FootnoteReference"/>
        </w:rPr>
        <w:footnoteReference w:id="109"/>
      </w:r>
      <w:r w:rsidR="004E55D8">
        <w:t xml:space="preserve"> </w:t>
      </w:r>
    </w:p>
    <w:p w14:paraId="51FC164D" w14:textId="6C1982B5" w:rsidR="004E55D8" w:rsidRDefault="004E55D8" w:rsidP="004E55D8">
      <w:pPr>
        <w:spacing w:line="480" w:lineRule="auto"/>
        <w:jc w:val="both"/>
      </w:pPr>
    </w:p>
    <w:p w14:paraId="4EF058BF" w14:textId="77777777" w:rsidR="004E55D8" w:rsidRDefault="004E55D8" w:rsidP="004E55D8">
      <w:pPr>
        <w:spacing w:line="480" w:lineRule="auto"/>
        <w:jc w:val="both"/>
      </w:pPr>
    </w:p>
    <w:p w14:paraId="44A0F50C" w14:textId="77777777" w:rsidR="00A735FC" w:rsidRPr="00697923" w:rsidRDefault="00A735FC" w:rsidP="004E55D8">
      <w:pPr>
        <w:spacing w:line="480" w:lineRule="auto"/>
        <w:sectPr w:rsidR="00A735FC" w:rsidRPr="00697923" w:rsidSect="00546930">
          <w:pgSz w:w="11900" w:h="16840"/>
          <w:pgMar w:top="1440" w:right="1440" w:bottom="1440" w:left="1440" w:header="720" w:footer="720" w:gutter="0"/>
          <w:cols w:space="720"/>
          <w:docGrid w:linePitch="360"/>
        </w:sectPr>
      </w:pPr>
    </w:p>
    <w:p w14:paraId="3C38E200" w14:textId="75AD8F81" w:rsidR="000F50E1" w:rsidRDefault="00826665" w:rsidP="004E55D8">
      <w:pPr>
        <w:pStyle w:val="Heading1"/>
        <w:spacing w:line="480" w:lineRule="auto"/>
        <w:rPr>
          <w:rFonts w:ascii="Times" w:hAnsi="Times"/>
          <w:color w:val="000000" w:themeColor="text1"/>
          <w:sz w:val="28"/>
          <w:u w:val="single"/>
        </w:rPr>
      </w:pPr>
      <w:bookmarkStart w:id="10" w:name="_Toc509844270"/>
      <w:bookmarkStart w:id="11" w:name="_Toc513746954"/>
      <w:r>
        <w:rPr>
          <w:rFonts w:ascii="Times" w:hAnsi="Times"/>
          <w:color w:val="000000" w:themeColor="text1"/>
          <w:sz w:val="28"/>
          <w:u w:val="single"/>
        </w:rPr>
        <w:lastRenderedPageBreak/>
        <w:t>Cha</w:t>
      </w:r>
      <w:r w:rsidR="000C3E33">
        <w:rPr>
          <w:rFonts w:ascii="Times" w:hAnsi="Times"/>
          <w:color w:val="000000" w:themeColor="text1"/>
          <w:sz w:val="28"/>
          <w:u w:val="single"/>
        </w:rPr>
        <w:t>pter Three: The Theodosian Code and social t</w:t>
      </w:r>
      <w:r>
        <w:rPr>
          <w:rFonts w:ascii="Times" w:hAnsi="Times"/>
          <w:color w:val="000000" w:themeColor="text1"/>
          <w:sz w:val="28"/>
          <w:u w:val="single"/>
        </w:rPr>
        <w:t>ensions in the Fourth Century.</w:t>
      </w:r>
      <w:bookmarkEnd w:id="10"/>
      <w:bookmarkEnd w:id="11"/>
    </w:p>
    <w:p w14:paraId="70A74A5B" w14:textId="77777777" w:rsidR="004E55D8" w:rsidRDefault="004E55D8" w:rsidP="004E55D8">
      <w:pPr>
        <w:spacing w:line="480" w:lineRule="auto"/>
      </w:pPr>
      <w:r>
        <w:t>The hierarchy of social relations in the empire was clearly established and, as previously highlighted, there was a distinct gap between the elites and the plebeians, because of this a question raised is: who was more important? It is at this point; it would be appropriate to consider the argument of the larger voice and the louder voice in society</w:t>
      </w:r>
      <w:r>
        <w:rPr>
          <w:rStyle w:val="FootnoteReference"/>
        </w:rPr>
        <w:footnoteReference w:id="110"/>
      </w:r>
      <w:r>
        <w:t>, and who those in power are aiming to please. Looking at the Theodosian code provides insights into determining how different parts of society were treated. The work itself was a continuum of laws made by Christian Emperors from 312 onwards.</w:t>
      </w:r>
      <w:r>
        <w:rPr>
          <w:rStyle w:val="FootnoteReference"/>
        </w:rPr>
        <w:footnoteReference w:id="111"/>
      </w:r>
      <w:r>
        <w:t xml:space="preserve"> Salzman writes that the </w:t>
      </w:r>
      <w:r>
        <w:rPr>
          <w:i/>
        </w:rPr>
        <w:t xml:space="preserve">Theodosian Code </w:t>
      </w:r>
      <w:r>
        <w:t>reveals changing attitudes to the conversion into Christianity, with special focus in the fourth century.</w:t>
      </w:r>
      <w:r>
        <w:rPr>
          <w:rStyle w:val="FootnoteReference"/>
        </w:rPr>
        <w:footnoteReference w:id="112"/>
      </w:r>
      <w:r>
        <w:t xml:space="preserve"> </w:t>
      </w:r>
    </w:p>
    <w:p w14:paraId="5CDC67F6" w14:textId="77777777" w:rsidR="004E55D8" w:rsidRDefault="004E55D8" w:rsidP="004E55D8">
      <w:pPr>
        <w:spacing w:line="480" w:lineRule="auto"/>
        <w:ind w:left="720"/>
      </w:pPr>
    </w:p>
    <w:p w14:paraId="0E8D3F95" w14:textId="77777777" w:rsidR="004E55D8" w:rsidRPr="00AB4D15" w:rsidRDefault="004E55D8" w:rsidP="004E55D8">
      <w:pPr>
        <w:spacing w:line="480" w:lineRule="auto"/>
        <w:ind w:left="720"/>
      </w:pPr>
      <w:r>
        <w:t xml:space="preserve">‘Analysis of the </w:t>
      </w:r>
      <w:r>
        <w:rPr>
          <w:i/>
        </w:rPr>
        <w:t xml:space="preserve">Theodosian Code </w:t>
      </w:r>
      <w:r>
        <w:t>– like any study of law – can provide unique insights into society, for it reveals how people were expected to act, even if it does not tell us how people actually did act’.</w:t>
      </w:r>
      <w:r>
        <w:rPr>
          <w:rStyle w:val="FootnoteReference"/>
        </w:rPr>
        <w:footnoteReference w:id="113"/>
      </w:r>
      <w:r>
        <w:t xml:space="preserve"> </w:t>
      </w:r>
    </w:p>
    <w:p w14:paraId="5BCCEA3B" w14:textId="77777777" w:rsidR="004E55D8" w:rsidRDefault="004E55D8" w:rsidP="004E55D8">
      <w:pPr>
        <w:spacing w:line="480" w:lineRule="auto"/>
      </w:pPr>
    </w:p>
    <w:p w14:paraId="5F42AEA0" w14:textId="76794E55" w:rsidR="004E55D8" w:rsidRDefault="004E55D8" w:rsidP="004E55D8">
      <w:pPr>
        <w:spacing w:line="480" w:lineRule="auto"/>
      </w:pPr>
      <w:r>
        <w:t>Salzman here indicates an interesting argument in relation to the code, inferred through this is that for the case of seeing reactions to the faith. Hunt within the publication of ‘The Theodosian Code’ holds the view similar to this that although passing the laws does not make an intrinsically Christian society, although ‘it would be perverse to deny that the laws in the Code do at least reflect changes in the public life of the Empire’.</w:t>
      </w:r>
      <w:r>
        <w:rPr>
          <w:rStyle w:val="FootnoteReference"/>
        </w:rPr>
        <w:footnoteReference w:id="114"/>
      </w:r>
      <w:r w:rsidR="00BB5D93">
        <w:t xml:space="preserve"> Another approach taken by Salzman highlights the approach to convers</w:t>
      </w:r>
      <w:r w:rsidR="0056142E">
        <w:t xml:space="preserve">ion that was taken by Emperors – as Salzman </w:t>
      </w:r>
      <w:r w:rsidR="0056142E">
        <w:lastRenderedPageBreak/>
        <w:t>is systematically works through the laws and who they pertain to, clearly there is a hierarchy of who was important and how they were appeased.</w:t>
      </w:r>
      <w:r w:rsidR="0056142E">
        <w:rPr>
          <w:rStyle w:val="FootnoteReference"/>
        </w:rPr>
        <w:footnoteReference w:id="115"/>
      </w:r>
      <w:r w:rsidR="0056142E">
        <w:t xml:space="preserve"> This adds more stability to the notion that those who were of a higher social position were deemed as more important and their opinion held seemingly more value. </w:t>
      </w:r>
    </w:p>
    <w:p w14:paraId="1C321E1F" w14:textId="77777777" w:rsidR="004E55D8" w:rsidRDefault="004E55D8" w:rsidP="004E55D8">
      <w:pPr>
        <w:spacing w:line="480" w:lineRule="auto"/>
      </w:pPr>
    </w:p>
    <w:p w14:paraId="49BA579D" w14:textId="77777777" w:rsidR="004E55D8" w:rsidRDefault="004E55D8" w:rsidP="004E55D8">
      <w:pPr>
        <w:spacing w:line="480" w:lineRule="auto"/>
      </w:pPr>
      <w:r>
        <w:t>A chapter holding specific focus to the treatment of Christians is Chapter Sixteen, which is entitled ‘The Catholic Faith’.</w:t>
      </w:r>
      <w:r>
        <w:rPr>
          <w:rStyle w:val="FootnoteReference"/>
        </w:rPr>
        <w:footnoteReference w:id="116"/>
      </w:r>
      <w:r>
        <w:t xml:space="preserve"> </w:t>
      </w:r>
    </w:p>
    <w:p w14:paraId="0CBFFF66" w14:textId="77777777" w:rsidR="004E55D8" w:rsidRDefault="004E55D8" w:rsidP="004E55D8">
      <w:pPr>
        <w:spacing w:line="480" w:lineRule="auto"/>
        <w:ind w:left="720"/>
      </w:pPr>
    </w:p>
    <w:p w14:paraId="3CB5ABF8" w14:textId="77777777" w:rsidR="004E55D8" w:rsidRDefault="004E55D8" w:rsidP="004E55D8">
      <w:pPr>
        <w:spacing w:line="480" w:lineRule="auto"/>
        <w:ind w:left="720"/>
      </w:pPr>
      <w:r>
        <w:t xml:space="preserve"> ‘We command that these persons who follow this rule shall embrace the name of the Catholic Church. The rest, however, we judge demented and insane, shall sustain the infamy of heretical dogmas. Their meeting places shall not receive the name of churches and they shall be smitten by divine vengeance, and secondly by the retribution of Our own initiative, which We shall assume in accordance with the divine judgement’.</w:t>
      </w:r>
      <w:r>
        <w:rPr>
          <w:rStyle w:val="FootnoteReference"/>
        </w:rPr>
        <w:footnoteReference w:id="117"/>
      </w:r>
      <w:r>
        <w:t xml:space="preserve"> </w:t>
      </w:r>
    </w:p>
    <w:p w14:paraId="2093209D" w14:textId="77777777" w:rsidR="004E55D8" w:rsidRDefault="004E55D8" w:rsidP="004E55D8">
      <w:pPr>
        <w:spacing w:line="480" w:lineRule="auto"/>
        <w:rPr>
          <w:b/>
        </w:rPr>
      </w:pPr>
    </w:p>
    <w:p w14:paraId="32ECA834" w14:textId="7F65A07B" w:rsidR="00D62B95" w:rsidRDefault="004E55D8" w:rsidP="004E55D8">
      <w:pPr>
        <w:spacing w:line="480" w:lineRule="auto"/>
      </w:pPr>
      <w:r>
        <w:t xml:space="preserve">This law passed in 380 detailed that Christianity had become the official religion of the Empire. In the first instance, it is evident that there are cases in which it would be appropriate to say coercion is taking pace, from noting that all people who choose not to partake in the religion of Christianity shall be seen, and treated as, insane. It is an interesting use of the word insane, it would not be desired to be labelled as such; this would cause a public reaction by further associating Pagans and Jews with negative connotations. In 16. 5. 6 there </w:t>
      </w:r>
      <w:r w:rsidR="00D62B95">
        <w:t xml:space="preserve">is again a reference to madness, </w:t>
      </w:r>
      <w:r>
        <w:t xml:space="preserve">clearly there was an attempt to stigmatise those who were not </w:t>
      </w:r>
      <w:r>
        <w:lastRenderedPageBreak/>
        <w:t>following the Christian religion, as this was something that occurred multiple times it would be appropriate to argue that this lends itse</w:t>
      </w:r>
      <w:r w:rsidR="00936FC3">
        <w:t>lf to the argument of coercion.</w:t>
      </w:r>
    </w:p>
    <w:p w14:paraId="4756E081" w14:textId="3BFDA457" w:rsidR="004E55D8" w:rsidRDefault="004E55D8" w:rsidP="004E55D8">
      <w:pPr>
        <w:spacing w:line="480" w:lineRule="auto"/>
      </w:pPr>
      <w:r>
        <w:t>Salzman also argues for this opinion of the law, focusing on promotion of orthodox Christianity.</w:t>
      </w:r>
      <w:r>
        <w:rPr>
          <w:rStyle w:val="FootnoteReference"/>
        </w:rPr>
        <w:footnoteReference w:id="118"/>
      </w:r>
      <w:r>
        <w:t xml:space="preserve"> Although Christianity was made the official religion of the Roman Empire at the end of the fourth century, there were laws put in place that would protect pagans as they were still a large percentage of the community. It wasn’t until the sixth century that there was enforced conversion taking place under Julian.</w:t>
      </w:r>
      <w:r>
        <w:rPr>
          <w:rStyle w:val="FootnoteReference"/>
        </w:rPr>
        <w:footnoteReference w:id="119"/>
      </w:r>
      <w:r>
        <w:t xml:space="preserve"> </w:t>
      </w:r>
    </w:p>
    <w:p w14:paraId="6AEF9AEA" w14:textId="77777777" w:rsidR="004E55D8" w:rsidRDefault="004E55D8" w:rsidP="004E55D8">
      <w:pPr>
        <w:spacing w:line="480" w:lineRule="auto"/>
      </w:pPr>
    </w:p>
    <w:p w14:paraId="0516EBFC" w14:textId="77777777" w:rsidR="004E55D8" w:rsidRDefault="004E55D8" w:rsidP="004E55D8">
      <w:pPr>
        <w:spacing w:line="480" w:lineRule="auto"/>
      </w:pPr>
      <w:r>
        <w:t>As previously mentioned, between the higher and lower classes there is a clear distinction and, as even ‘wealthy plebeians’ could not become clerics of the church.</w:t>
      </w:r>
      <w:r>
        <w:rPr>
          <w:rStyle w:val="FootnoteReference"/>
        </w:rPr>
        <w:footnoteReference w:id="120"/>
      </w:r>
      <w:r>
        <w:t xml:space="preserve"> This would mean that only those who were elites would be able to be the higher members of the church, which adds to the idea that the louder voice of the elites would have been taken more into considerations and then certain laws would be made for them to continue as a higher-class citizen. This could be argued is an example of conversion by coercion, ensuring that elites who converted would be granted the same social standing regardless of religious culture. </w:t>
      </w:r>
    </w:p>
    <w:p w14:paraId="5214B9BF" w14:textId="77777777" w:rsidR="00015D58" w:rsidRDefault="00015D58" w:rsidP="004E55D8">
      <w:pPr>
        <w:spacing w:line="480" w:lineRule="auto"/>
      </w:pPr>
    </w:p>
    <w:p w14:paraId="689785FD" w14:textId="11ACD77B" w:rsidR="00015D58" w:rsidRDefault="00015D58" w:rsidP="004E55D8">
      <w:pPr>
        <w:spacing w:line="480" w:lineRule="auto"/>
      </w:pPr>
      <w:r>
        <w:t>A law outlined in 16. 2. 1. exemplifies that there is protection granted to the those who are part of the order of the church.</w:t>
      </w:r>
      <w:r>
        <w:rPr>
          <w:rStyle w:val="FootnoteReference"/>
        </w:rPr>
        <w:footnoteReference w:id="121"/>
      </w:r>
      <w:r>
        <w:t xml:space="preserve"> Although no outward mention can be seen towards any other religion having a bearing on this law, it can easily be interpreted that clearly there was a reason as to why this law was put in place. This suggests that perhaps the members of the order of the Church were being harassed by members of religious minorities for their beliefs, and so this leads to the notion that Christianity was not received as well as the Emperors would have liked. </w:t>
      </w:r>
    </w:p>
    <w:p w14:paraId="5B67E874" w14:textId="77777777" w:rsidR="004E55D8" w:rsidRDefault="004E55D8" w:rsidP="004E55D8">
      <w:pPr>
        <w:spacing w:line="480" w:lineRule="auto"/>
      </w:pPr>
    </w:p>
    <w:p w14:paraId="3C4D960A" w14:textId="77777777" w:rsidR="004E55D8" w:rsidRDefault="004E55D8" w:rsidP="004E55D8">
      <w:pPr>
        <w:spacing w:line="480" w:lineRule="auto"/>
      </w:pPr>
      <w:r>
        <w:t>Throughout out the chapter there are multiple examples of punishment for disturbing the faith in any way even going as far as offences punishable by death.</w:t>
      </w:r>
      <w:r>
        <w:rPr>
          <w:rStyle w:val="FootnoteReference"/>
        </w:rPr>
        <w:footnoteReference w:id="122"/>
      </w:r>
      <w:r>
        <w:t xml:space="preserve"> With a risk of punishment for not abiding by the Catholic faith this would be a coercion as opposed to a willing conversion. Despite this, it would not necessarily stop the practice of sacrifice in private or in an unofficial setting. It was then made that talking about religion in public was not allowed and could be punished,</w:t>
      </w:r>
      <w:r>
        <w:rPr>
          <w:rStyle w:val="FootnoteReference"/>
        </w:rPr>
        <w:footnoteReference w:id="123"/>
      </w:r>
      <w:r>
        <w:t xml:space="preserve"> so could be seen to be making religion exclusive. Eliminating the risk of those who do not believe being able to sway the opinion of those who do believe. </w:t>
      </w:r>
    </w:p>
    <w:p w14:paraId="0781C6B1" w14:textId="77777777" w:rsidR="004E55D8" w:rsidRDefault="004E55D8" w:rsidP="004E55D8">
      <w:pPr>
        <w:spacing w:line="480" w:lineRule="auto"/>
      </w:pPr>
      <w:r>
        <w:t xml:space="preserve">Multiple examples of clerics not having to partake in public service, this was the case with official religions, so the empire have converted regardless of the people. </w:t>
      </w:r>
    </w:p>
    <w:p w14:paraId="18B02B9A" w14:textId="77777777" w:rsidR="004E55D8" w:rsidRDefault="004E55D8" w:rsidP="004E55D8">
      <w:pPr>
        <w:spacing w:line="480" w:lineRule="auto"/>
      </w:pPr>
    </w:p>
    <w:p w14:paraId="3985685F" w14:textId="77777777" w:rsidR="004E55D8" w:rsidRDefault="004E55D8" w:rsidP="004E55D8">
      <w:pPr>
        <w:spacing w:line="480" w:lineRule="auto"/>
      </w:pPr>
      <w:r>
        <w:t xml:space="preserve">As Salzman argues, studying these laws clearly shows a change in attitudes towards Christianity and undoubtedly the hostility that started to arise for pagans and Jews. </w:t>
      </w:r>
      <w:r>
        <w:rPr>
          <w:rStyle w:val="FootnoteReference"/>
        </w:rPr>
        <w:footnoteReference w:id="124"/>
      </w:r>
    </w:p>
    <w:p w14:paraId="7E348166" w14:textId="3DDD76B9" w:rsidR="00290BB5" w:rsidRDefault="004E55D8" w:rsidP="00290BB5">
      <w:pPr>
        <w:spacing w:line="480" w:lineRule="auto"/>
      </w:pPr>
      <w:r>
        <w:t xml:space="preserve">Clearly, in relation to an idea bought up about the larger and louder voices, there are exceptions made for those of a higher social class, which one would then assume would mean they are more likely to accept the conversion. </w:t>
      </w:r>
      <w:r w:rsidR="00290BB5">
        <w:t>MacMullen states, and rightly so, that it determining the religious change to Christianity it is easiest and most fruitful to focus on the ‘Pagans’ as ‘the latter are already converted’.</w:t>
      </w:r>
      <w:r w:rsidR="00290BB5">
        <w:rPr>
          <w:rStyle w:val="FootnoteReference"/>
        </w:rPr>
        <w:footnoteReference w:id="125"/>
      </w:r>
      <w:r w:rsidR="00290BB5">
        <w:t xml:space="preserve"> Paganism was a term first coined in the fourth century, largely by Christian writers.</w:t>
      </w:r>
      <w:r w:rsidR="00290BB5">
        <w:rPr>
          <w:rStyle w:val="FootnoteReference"/>
        </w:rPr>
        <w:footnoteReference w:id="126"/>
      </w:r>
      <w:r w:rsidR="00290BB5">
        <w:t xml:space="preserve"> Theologically, paganism and polytheism are synonymous; meaning the same, the former being a derogatory term referring to those not of Christian faith.</w:t>
      </w:r>
      <w:r w:rsidR="00290BB5">
        <w:rPr>
          <w:rStyle w:val="FootnoteReference"/>
        </w:rPr>
        <w:footnoteReference w:id="127"/>
      </w:r>
      <w:r w:rsidR="00290BB5">
        <w:t xml:space="preserve"> </w:t>
      </w:r>
      <w:r w:rsidR="00520F3E">
        <w:t xml:space="preserve">In terms of referring to the code and scholarship around the subject area, </w:t>
      </w:r>
      <w:r w:rsidR="00B54A6C">
        <w:lastRenderedPageBreak/>
        <w:t>many</w:t>
      </w:r>
      <w:r w:rsidR="00520F3E">
        <w:t xml:space="preserve"> scholars use the term pagan when referring </w:t>
      </w:r>
      <w:r w:rsidR="00B54A6C">
        <w:t xml:space="preserve">to work around the time of the rise of Christianity, and so with the continuity and reference to social reactions the term pagan is used throughout this work. It can be deduced that through O’ Donnell’s work that the term pagan would have negative connotations itself, </w:t>
      </w:r>
      <w:r w:rsidR="00B54A6C">
        <w:rPr>
          <w:rStyle w:val="FootnoteReference"/>
        </w:rPr>
        <w:footnoteReference w:id="128"/>
      </w:r>
      <w:r w:rsidR="00B54A6C">
        <w:t xml:space="preserve"> and so it could easily translate that the term itself would have caused unrest through the minority. </w:t>
      </w:r>
    </w:p>
    <w:p w14:paraId="4E01CB8B" w14:textId="77777777" w:rsidR="004E55D8" w:rsidRPr="000F50E1" w:rsidRDefault="004E55D8" w:rsidP="004E55D8">
      <w:pPr>
        <w:spacing w:line="480" w:lineRule="auto"/>
      </w:pPr>
    </w:p>
    <w:p w14:paraId="542D6865" w14:textId="1635C0FE" w:rsidR="00795BF5" w:rsidRDefault="004E55D8" w:rsidP="004E55D8">
      <w:pPr>
        <w:spacing w:line="480" w:lineRule="auto"/>
      </w:pPr>
      <w:r>
        <w:t>A particular section of the code that has received attention in scholarship is the law regarding Monks – particularly so for its quick repeal. In 390 a law was issues that Monks would be expected to seek out desolate areas and inhabit them.</w:t>
      </w:r>
      <w:r>
        <w:rPr>
          <w:rStyle w:val="FootnoteReference"/>
        </w:rPr>
        <w:footnoteReference w:id="129"/>
      </w:r>
      <w:r>
        <w:t xml:space="preserve"> However, the law directly following this redacted the former,</w:t>
      </w:r>
      <w:r>
        <w:rPr>
          <w:rStyle w:val="FootnoteReference"/>
        </w:rPr>
        <w:footnoteReference w:id="130"/>
      </w:r>
      <w:r>
        <w:t xml:space="preserve"> which surely highlights the effect that the public voice could have on the government. </w:t>
      </w:r>
      <w:r w:rsidR="003808D5">
        <w:t>As well as the public voice needed to be appeasing, the senatorial voice was of upmost importance, as mentioned only members of a higher class would be allowed to be clerics of the church.</w:t>
      </w:r>
      <w:r w:rsidR="003808D5">
        <w:rPr>
          <w:rStyle w:val="FootnoteReference"/>
        </w:rPr>
        <w:footnoteReference w:id="131"/>
      </w:r>
      <w:r w:rsidR="003808D5">
        <w:t xml:space="preserve"> A law was also made that ensured that those who were clerics of the church would not have to perform any public duties.</w:t>
      </w:r>
      <w:r w:rsidR="003808D5">
        <w:rPr>
          <w:rStyle w:val="FootnoteReference"/>
        </w:rPr>
        <w:footnoteReference w:id="132"/>
      </w:r>
      <w:r w:rsidR="003808D5">
        <w:t xml:space="preserve"> Although this was a standard practice it would back up the previously noted idea that those of a higher class could indeed be swayed, or coerced, into Christianity by having that stability of power remaining.</w:t>
      </w:r>
      <w:r w:rsidR="003808D5">
        <w:rPr>
          <w:rStyle w:val="FootnoteReference"/>
        </w:rPr>
        <w:footnoteReference w:id="133"/>
      </w:r>
      <w:r w:rsidR="00357D66">
        <w:t xml:space="preserve"> Salzman deduces that with this law put in place it would have made it clear that there was a definitive favour towards the Christian religion.</w:t>
      </w:r>
      <w:r w:rsidR="00357D66">
        <w:rPr>
          <w:rStyle w:val="FootnoteReference"/>
        </w:rPr>
        <w:footnoteReference w:id="134"/>
      </w:r>
      <w:r w:rsidR="00357D66">
        <w:t xml:space="preserve"> Salzman here also refers to a law that was ‘unusual – in that of freeing slaves.</w:t>
      </w:r>
      <w:r w:rsidR="00357D66">
        <w:rPr>
          <w:rStyle w:val="FootnoteReference"/>
        </w:rPr>
        <w:footnoteReference w:id="135"/>
      </w:r>
      <w:r w:rsidR="00E73D5B">
        <w:t xml:space="preserve"> </w:t>
      </w:r>
      <w:r w:rsidR="00795BF5">
        <w:t xml:space="preserve">Despite Salzman and MacMullen having different </w:t>
      </w:r>
      <w:r w:rsidR="00795BF5">
        <w:lastRenderedPageBreak/>
        <w:t xml:space="preserve">opinion on the reliability of the Code, there is an </w:t>
      </w:r>
      <w:r w:rsidR="004C7603">
        <w:t>agreement that those who had a higher social standing gained more from the conversion to Christianity.</w:t>
      </w:r>
      <w:r w:rsidR="004C7603">
        <w:rPr>
          <w:rStyle w:val="FootnoteReference"/>
        </w:rPr>
        <w:footnoteReference w:id="136"/>
      </w:r>
    </w:p>
    <w:p w14:paraId="12484077" w14:textId="77777777" w:rsidR="004E55D8" w:rsidRDefault="004E55D8" w:rsidP="004E55D8">
      <w:pPr>
        <w:spacing w:line="480" w:lineRule="auto"/>
      </w:pPr>
    </w:p>
    <w:p w14:paraId="4C5AE228" w14:textId="676B4BB7" w:rsidR="004E55D8" w:rsidRDefault="004E55D8" w:rsidP="004E55D8">
      <w:pPr>
        <w:spacing w:line="480" w:lineRule="auto"/>
      </w:pPr>
      <w:r>
        <w:t>The conversion to Christianity being a conversation based around religion, MacMullen indicates that it was not as clear cut as just religious motives that bought about the change.</w:t>
      </w:r>
      <w:r>
        <w:rPr>
          <w:rStyle w:val="FootnoteReference"/>
        </w:rPr>
        <w:footnoteReference w:id="137"/>
      </w:r>
      <w:r>
        <w:t xml:space="preserve"> It would be naïve to assume that money was not involved in some way. As MacMullen points out, Pagan sacrifices and the running of an organisation as such was expensive, and Christianity did not suffer as much in this respect, thus it would be reasonable to assume that this to some extent fuelled the radicalisation of other cults. It is at this point that it could be argued that despite this change to Christianity, the motivations for such a change where not wholly religious and therefore not justifiabl</w:t>
      </w:r>
      <w:r w:rsidR="0045191A">
        <w:t>e as true Christianity, which could be argued is</w:t>
      </w:r>
      <w:r>
        <w:t xml:space="preserve"> based around selflessness</w:t>
      </w:r>
      <w:r w:rsidR="0045191A">
        <w:t>.</w:t>
      </w:r>
    </w:p>
    <w:p w14:paraId="55A2F55E" w14:textId="77777777" w:rsidR="004E55D8" w:rsidRDefault="004E55D8" w:rsidP="004E55D8">
      <w:pPr>
        <w:spacing w:line="480" w:lineRule="auto"/>
      </w:pPr>
    </w:p>
    <w:p w14:paraId="67ABF302" w14:textId="77777777" w:rsidR="004E55D8" w:rsidRDefault="004E55D8" w:rsidP="004E55D8">
      <w:pPr>
        <w:spacing w:line="480" w:lineRule="auto"/>
      </w:pPr>
      <w:r>
        <w:t>MacMullen sates that social tensions were already frayed towards Christianity,</w:t>
      </w:r>
      <w:r>
        <w:rPr>
          <w:rStyle w:val="FootnoteReference"/>
        </w:rPr>
        <w:footnoteReference w:id="138"/>
      </w:r>
      <w:r>
        <w:t xml:space="preserve"> this is evidenced in a law made which would combat vandalism towards Christian churches and shrines, thus making breaking into a place of worship with the intent to maim a punishable offence.</w:t>
      </w:r>
      <w:r>
        <w:rPr>
          <w:rStyle w:val="FootnoteReference"/>
        </w:rPr>
        <w:footnoteReference w:id="139"/>
      </w:r>
      <w:r>
        <w:t xml:space="preserve"> This law was redacted in 409, which could have more than one explanation, one being that social tensions had begun to reduce and so the law was not needed, or the law was problematic. The following backs up the notion that the law itself received backlash: there were laws within the code which wrought negative responses from the opposing religious identities, as seen within Libanius’ orations</w:t>
      </w:r>
      <w:r>
        <w:rPr>
          <w:rStyle w:val="FootnoteReference"/>
        </w:rPr>
        <w:footnoteReference w:id="140"/>
      </w:r>
      <w:r>
        <w:t xml:space="preserve">, a particularly striking passage which likens </w:t>
      </w:r>
      <w:r>
        <w:lastRenderedPageBreak/>
        <w:t>Christians and Christianity as an executioner.</w:t>
      </w:r>
      <w:r>
        <w:rPr>
          <w:rStyle w:val="FootnoteReference"/>
        </w:rPr>
        <w:footnoteReference w:id="141"/>
      </w:r>
      <w:r>
        <w:t xml:space="preserve"> This passage is in reference to the destruction of pagan temples and places of worship.</w:t>
      </w:r>
      <w:r>
        <w:rPr>
          <w:rStyle w:val="FootnoteReference"/>
        </w:rPr>
        <w:footnoteReference w:id="142"/>
      </w:r>
      <w:r>
        <w:t xml:space="preserve"> A valid reaction of this could be one of hypocrisy, for it seems oxymoronic to hold double standards for one religion than the other, when years before the religious environment was the same of the opposing religion. </w:t>
      </w:r>
    </w:p>
    <w:p w14:paraId="4A968817" w14:textId="77777777" w:rsidR="004E55D8" w:rsidRDefault="004E55D8" w:rsidP="004E55D8">
      <w:pPr>
        <w:spacing w:line="480" w:lineRule="auto"/>
      </w:pPr>
    </w:p>
    <w:p w14:paraId="0A8273D5" w14:textId="77777777" w:rsidR="005C11F9" w:rsidRDefault="004E55D8" w:rsidP="004E55D8">
      <w:pPr>
        <w:spacing w:line="480" w:lineRule="auto"/>
      </w:pPr>
      <w:r>
        <w:t>Libanius also infers that although many people pledge that they are indeed Christians, there is an element of just keeping the peace and they are not truly converted</w:t>
      </w:r>
      <w:r w:rsidR="00383F70">
        <w:t xml:space="preserve">, this is evidenced through the quote, </w:t>
      </w:r>
    </w:p>
    <w:p w14:paraId="0C88763C" w14:textId="77777777" w:rsidR="005C11F9" w:rsidRDefault="005C11F9" w:rsidP="005C11F9"/>
    <w:p w14:paraId="744769F4" w14:textId="77777777" w:rsidR="005C11F9" w:rsidRDefault="00383F70" w:rsidP="005C11F9">
      <w:pPr>
        <w:ind w:left="720"/>
      </w:pPr>
      <w:r>
        <w:t>‘they speak of</w:t>
      </w:r>
      <w:r w:rsidR="005C11F9">
        <w:t xml:space="preserve"> conversions apparent, not real. Their converts have not really been changed – they only say they have. This does not mean that they have exchanged one faith for another – only that this crew has been bamboozled’.</w:t>
      </w:r>
      <w:r w:rsidR="004E55D8">
        <w:rPr>
          <w:rStyle w:val="FootnoteReference"/>
        </w:rPr>
        <w:footnoteReference w:id="143"/>
      </w:r>
      <w:r w:rsidR="004E55D8">
        <w:t xml:space="preserve"> </w:t>
      </w:r>
    </w:p>
    <w:p w14:paraId="6C3A1D71" w14:textId="77777777" w:rsidR="005C11F9" w:rsidRDefault="005C11F9" w:rsidP="004E55D8">
      <w:pPr>
        <w:spacing w:line="480" w:lineRule="auto"/>
      </w:pPr>
    </w:p>
    <w:p w14:paraId="0BEFB792" w14:textId="582F261D" w:rsidR="004E55D8" w:rsidRDefault="004E55D8" w:rsidP="004E55D8">
      <w:pPr>
        <w:spacing w:line="480" w:lineRule="auto"/>
      </w:pPr>
      <w:r>
        <w:t>Agreeing with MacMullen’s theory that in order to gain understanding of the situation of conversion to Christianity, Pagan authors are a valid source that Libanius account proves to be useful in determining how successful c</w:t>
      </w:r>
      <w:bookmarkStart w:id="12" w:name="_GoBack"/>
      <w:bookmarkEnd w:id="12"/>
      <w:r>
        <w:t xml:space="preserve">onversion was. Those who did not have the courage like Libanius to stand up against Christianity, would not have admitted their sins of Paganism in public, only to others who thought the same. </w:t>
      </w:r>
      <w:r w:rsidR="00F97AC5">
        <w:t xml:space="preserve">As well as this being an argument for this being a negative view of Christianity as people </w:t>
      </w:r>
      <w:r w:rsidR="005543C3">
        <w:t xml:space="preserve">did not convert, it could also be seen as the opposite as no active persecutions are taking place. </w:t>
      </w:r>
      <w:r>
        <w:t xml:space="preserve">It is with this view point that Salzman argument that the Code cannot truly be a mirror into society become real. </w:t>
      </w:r>
    </w:p>
    <w:p w14:paraId="1BC567B8" w14:textId="77777777" w:rsidR="000423BD" w:rsidRDefault="000423BD" w:rsidP="004E55D8">
      <w:pPr>
        <w:spacing w:line="480" w:lineRule="auto"/>
      </w:pPr>
    </w:p>
    <w:p w14:paraId="3A6EDE48" w14:textId="727208B8" w:rsidR="006F3F0E" w:rsidRDefault="006F3F0E" w:rsidP="004E55D8">
      <w:pPr>
        <w:spacing w:line="480" w:lineRule="auto"/>
      </w:pPr>
      <w:r>
        <w:t xml:space="preserve">It is easy to assume that looking at the evidence from a modern perspective it seems outrageous, almost, to have such specific and damning laws that relate to a group of people, </w:t>
      </w:r>
      <w:r>
        <w:lastRenderedPageBreak/>
        <w:t>however, Rives makes a comp</w:t>
      </w:r>
      <w:r w:rsidR="000423BD">
        <w:t xml:space="preserve">elling argument that in some ways, the actions of the Christians did </w:t>
      </w:r>
      <w:r>
        <w:t>indeed justify why these negative reactions to the rise of Christianity</w:t>
      </w:r>
      <w:r w:rsidR="000423BD">
        <w:t xml:space="preserve"> were </w:t>
      </w:r>
      <w:r>
        <w:t>bought about, and that lies in the fact that they were outsiders.</w:t>
      </w:r>
      <w:r>
        <w:rPr>
          <w:rStyle w:val="FootnoteReference"/>
        </w:rPr>
        <w:footnoteReference w:id="144"/>
      </w:r>
      <w:r>
        <w:t xml:space="preserve"> Arguably, by not participating in any of the rituals </w:t>
      </w:r>
      <w:r w:rsidR="000423BD">
        <w:t>that took place during with traditional religion, there was always going to be some hostility.</w:t>
      </w:r>
      <w:r w:rsidR="000423BD">
        <w:rPr>
          <w:rStyle w:val="FootnoteReference"/>
        </w:rPr>
        <w:footnoteReference w:id="145"/>
      </w:r>
      <w:r w:rsidR="000423BD">
        <w:t xml:space="preserve"> </w:t>
      </w:r>
    </w:p>
    <w:p w14:paraId="1360FA07" w14:textId="77777777" w:rsidR="00D27A9E" w:rsidRDefault="00D27A9E" w:rsidP="004E55D8">
      <w:pPr>
        <w:spacing w:line="480" w:lineRule="auto"/>
      </w:pPr>
    </w:p>
    <w:p w14:paraId="37B7037A" w14:textId="77777777" w:rsidR="00C77246" w:rsidRPr="00AB4D15" w:rsidRDefault="00C77246" w:rsidP="004E55D8">
      <w:pPr>
        <w:spacing w:line="480" w:lineRule="auto"/>
        <w:sectPr w:rsidR="00C77246" w:rsidRPr="00AB4D15" w:rsidSect="00546930">
          <w:pgSz w:w="11900" w:h="16840"/>
          <w:pgMar w:top="1440" w:right="1440" w:bottom="1440" w:left="1440" w:header="720" w:footer="720" w:gutter="0"/>
          <w:cols w:space="720"/>
          <w:docGrid w:linePitch="360"/>
        </w:sectPr>
      </w:pPr>
    </w:p>
    <w:p w14:paraId="7470CE89" w14:textId="79679A80" w:rsidR="00FE68AB" w:rsidRDefault="00826665" w:rsidP="004E55D8">
      <w:pPr>
        <w:pStyle w:val="Heading1"/>
        <w:spacing w:line="480" w:lineRule="auto"/>
        <w:rPr>
          <w:rFonts w:ascii="Times" w:hAnsi="Times"/>
          <w:color w:val="000000" w:themeColor="text1"/>
          <w:sz w:val="28"/>
          <w:u w:val="single"/>
        </w:rPr>
      </w:pPr>
      <w:bookmarkStart w:id="13" w:name="_Toc509844272"/>
      <w:bookmarkStart w:id="14" w:name="_Toc513746955"/>
      <w:r>
        <w:rPr>
          <w:rFonts w:ascii="Times" w:hAnsi="Times"/>
          <w:color w:val="000000" w:themeColor="text1"/>
          <w:sz w:val="28"/>
          <w:u w:val="single"/>
        </w:rPr>
        <w:lastRenderedPageBreak/>
        <w:t xml:space="preserve">Conclusion: </w:t>
      </w:r>
      <w:bookmarkEnd w:id="13"/>
      <w:r w:rsidR="00011F84">
        <w:rPr>
          <w:rFonts w:ascii="Times" w:hAnsi="Times"/>
          <w:color w:val="000000" w:themeColor="text1"/>
          <w:sz w:val="28"/>
          <w:u w:val="single"/>
        </w:rPr>
        <w:t>Society at the end of the Fourth Century.</w:t>
      </w:r>
      <w:bookmarkEnd w:id="14"/>
      <w:r w:rsidR="00011F84">
        <w:rPr>
          <w:rFonts w:ascii="Times" w:hAnsi="Times"/>
          <w:color w:val="000000" w:themeColor="text1"/>
          <w:sz w:val="28"/>
          <w:u w:val="single"/>
        </w:rPr>
        <w:t xml:space="preserve"> </w:t>
      </w:r>
    </w:p>
    <w:p w14:paraId="156209ED" w14:textId="77777777" w:rsidR="004E55D8" w:rsidRDefault="004E55D8" w:rsidP="004E55D8">
      <w:pPr>
        <w:spacing w:line="480" w:lineRule="auto"/>
      </w:pPr>
      <w:r>
        <w:t xml:space="preserve">Throughout this dissertation there has been evidence to show negative and positive social reactions to the rise of Christianity. An overarching theme that has been discussed is the topic of who was more important in regards to faith, that being, who was the focus set on. It can be deduced that because the elites and those working as public officials were converted before those of average person that regardless of the reaction from the public the conversion was going to happen. The questions left at the end of this are whether the conversion of society was needed in the first place, how successful conversion was, and, the bearing society had on religion and laws. </w:t>
      </w:r>
    </w:p>
    <w:p w14:paraId="6D239226" w14:textId="77777777" w:rsidR="004E55D8" w:rsidRDefault="004E55D8" w:rsidP="004E55D8">
      <w:pPr>
        <w:spacing w:line="480" w:lineRule="auto"/>
      </w:pPr>
    </w:p>
    <w:p w14:paraId="08AABFD5" w14:textId="053102D5" w:rsidR="004E55D8" w:rsidRDefault="004E55D8" w:rsidP="004E55D8">
      <w:pPr>
        <w:spacing w:line="480" w:lineRule="auto"/>
      </w:pPr>
      <w:r>
        <w:t>Quite simply, the strain of conversion to Christianity on society was not something that needed to happen. This does not however infer that society was anywhere near perfect before the conversion to Christianity.</w:t>
      </w:r>
      <w:r>
        <w:rPr>
          <w:rStyle w:val="FootnoteReference"/>
        </w:rPr>
        <w:footnoteReference w:id="146"/>
      </w:r>
      <w:r w:rsidR="001A4FD9">
        <w:t xml:space="preserve"> The term scapegoat</w:t>
      </w:r>
      <w:r>
        <w:t xml:space="preserve"> is one that is used liberally when referring the Christians in the first century.</w:t>
      </w:r>
      <w:r>
        <w:rPr>
          <w:rStyle w:val="FootnoteReference"/>
        </w:rPr>
        <w:footnoteReference w:id="147"/>
      </w:r>
      <w:r>
        <w:t xml:space="preserve"> There is a reason for this, as even now, there always has to be a culprit for the elements of society that cannot be answered to the satisfaction of the majority.</w:t>
      </w:r>
      <w:r w:rsidR="008874C6">
        <w:t xml:space="preserve"> </w:t>
      </w:r>
      <w:r>
        <w:t>Constantine as an Emperor sought to make a legacy and the legacy is clear, ‘the first Christian Emperor’.</w:t>
      </w:r>
      <w:r>
        <w:rPr>
          <w:rStyle w:val="FootnoteReference"/>
        </w:rPr>
        <w:footnoteReference w:id="148"/>
      </w:r>
      <w:r>
        <w:t xml:space="preserve"> It is important to remember that, despite this, it was not under Constantine that that Christianity became the religion of the state, it is only under Constantine that it was accepted or tolerated. The different between the toleration of and the conversion to Christianity is what caused problems, this occurred under Theodosius.</w:t>
      </w:r>
      <w:r>
        <w:rPr>
          <w:rStyle w:val="FootnoteReference"/>
        </w:rPr>
        <w:footnoteReference w:id="149"/>
      </w:r>
      <w:r>
        <w:t xml:space="preserve"> The toleration was undoubtedly needed, however, the conversion to state </w:t>
      </w:r>
      <w:r>
        <w:lastRenderedPageBreak/>
        <w:t>religion was not.</w:t>
      </w:r>
      <w:r>
        <w:rPr>
          <w:rStyle w:val="FootnoteReference"/>
        </w:rPr>
        <w:footnoteReference w:id="150"/>
      </w:r>
      <w:r>
        <w:t xml:space="preserve"> Through the analysis of the code it is fair to deduce that there is reason for social tensions seen during the fourth century, as it is too clear cut to assume that a religion that was once the</w:t>
      </w:r>
      <w:r w:rsidR="001D175F">
        <w:t xml:space="preserve"> scapegoat, would overnight beco</w:t>
      </w:r>
      <w:r>
        <w:t>me state law.</w:t>
      </w:r>
      <w:r>
        <w:rPr>
          <w:rStyle w:val="FootnoteReference"/>
        </w:rPr>
        <w:footnoteReference w:id="151"/>
      </w:r>
      <w:r>
        <w:t xml:space="preserve"> </w:t>
      </w:r>
    </w:p>
    <w:p w14:paraId="198E03F5" w14:textId="77777777" w:rsidR="004E55D8" w:rsidRDefault="004E55D8" w:rsidP="004E55D8">
      <w:pPr>
        <w:spacing w:line="480" w:lineRule="auto"/>
      </w:pPr>
    </w:p>
    <w:p w14:paraId="783A7C9B" w14:textId="61022903" w:rsidR="004E55D8" w:rsidRDefault="004E55D8" w:rsidP="004E55D8">
      <w:pPr>
        <w:spacing w:line="480" w:lineRule="auto"/>
      </w:pPr>
      <w:r>
        <w:t>As with modern society, there will never be a point in which all of society will be happy with the</w:t>
      </w:r>
      <w:r w:rsidR="001D175F">
        <w:t xml:space="preserve"> actions of those in power, to do so</w:t>
      </w:r>
      <w:r>
        <w:t xml:space="preserve"> would diminish the importance of democracy to assume that the conversion to Christianity was as simple as black and white. As with this topic, there is an element with this analysis in which the deductions and inference can simply go no further, for there is no such thing as an impartial source which can answer questions about society than remain unanswered. This is especially relevant in relation to the sources that refer to the so-called Christianisation of Constantine, with Eusebius and Lactantius.</w:t>
      </w:r>
      <w:r>
        <w:rPr>
          <w:rStyle w:val="FootnoteReference"/>
        </w:rPr>
        <w:footnoteReference w:id="152"/>
      </w:r>
      <w:r>
        <w:t xml:space="preserve"> All authors have an agenda, they are either for or against the topic being written about, although an impartial answer cannot be achieved, the following can be divulged: </w:t>
      </w:r>
    </w:p>
    <w:p w14:paraId="76CB45C2" w14:textId="77777777" w:rsidR="004E55D8" w:rsidRDefault="004E55D8" w:rsidP="004E55D8">
      <w:pPr>
        <w:spacing w:line="480" w:lineRule="auto"/>
      </w:pPr>
    </w:p>
    <w:p w14:paraId="6F4022A1" w14:textId="3EDC329A" w:rsidR="004E55D8" w:rsidRDefault="004E55D8" w:rsidP="004E55D8">
      <w:pPr>
        <w:spacing w:line="480" w:lineRule="auto"/>
      </w:pPr>
      <w:r>
        <w:t xml:space="preserve">Despite this dissertation being focused around religion and religious action, it seems as though the main focus on religion in the Roman Empire was ultimately power, rather than the worship of a god. It could be argued that religion was simply the mask that those in power chose to wear so as to not have to answer questions, for it was and remains to be far easier to attribute a belief to a whole religion than to justify the actions of just one person out of many. This again, allows for religion to be blamed for dissatisfaction rather than a person. In this way, social reactions and perception to the rise of Christianity were warped by the actions of those in power. Christianity in the fourth century was control, as the control was begrudged </w:t>
      </w:r>
      <w:r>
        <w:lastRenderedPageBreak/>
        <w:t>so was the religion. Society itself will never hold a definitive answer to whether something is accepted, all too quickly society is turned into a machine rather than a collective of individuals, the accounts that have been used are few and far between the full extent of perceptions of Christianity. With the debate of importance in class systems, logically those of a higher class were more accepting of the change to Christianity as there was some sort of gratification from it, as opposed to the uprooting of the foundation of religion that those who were of lower class would have received. In regards to the success of conversion, it was not and will never be truly successful,</w:t>
      </w:r>
      <w:r w:rsidR="007D4325">
        <w:rPr>
          <w:rStyle w:val="FootnoteReference"/>
        </w:rPr>
        <w:footnoteReference w:id="153"/>
      </w:r>
      <w:r>
        <w:t xml:space="preserve"> as it is much easier to say than to do</w:t>
      </w:r>
      <w:r w:rsidR="00DA6033">
        <w:t>, or for want of not being prosecuted keeping the peace</w:t>
      </w:r>
      <w:r>
        <w:t xml:space="preserve">, acceptance of Christianity is not synonymous with a successful conversion. </w:t>
      </w:r>
    </w:p>
    <w:p w14:paraId="6878D150" w14:textId="77777777" w:rsidR="0060670B" w:rsidRDefault="0060670B" w:rsidP="004E55D8">
      <w:pPr>
        <w:spacing w:line="480" w:lineRule="auto"/>
      </w:pPr>
    </w:p>
    <w:p w14:paraId="7E02E192" w14:textId="5E74C710" w:rsidR="0060670B" w:rsidRDefault="0060670B" w:rsidP="004E55D8">
      <w:pPr>
        <w:spacing w:line="480" w:lineRule="auto"/>
      </w:pPr>
      <w:r>
        <w:t xml:space="preserve">As mentioned </w:t>
      </w:r>
      <w:r w:rsidR="007B10DA">
        <w:t xml:space="preserve">briefly within the second chapter </w:t>
      </w:r>
      <w:r w:rsidR="00437D7C">
        <w:t>the overlap of religion and politics can blur lines in what is religious motivation, and what is political motivation. However, with the Emperor being in charge of implementing state religion,</w:t>
      </w:r>
      <w:r w:rsidR="00437D7C">
        <w:rPr>
          <w:rStyle w:val="FootnoteReference"/>
        </w:rPr>
        <w:footnoteReference w:id="154"/>
      </w:r>
      <w:r w:rsidR="00437D7C">
        <w:t xml:space="preserve"> it could be argued that it impossible to make a definitive boundary between the two, as they are intrinsically linked. Another conclusion that can be made from this is that not all reactions to Christianity were based in actual religious thought, but rather the religious ideals of those who were in charge at the time. This works alongside the notion of fear running perceptions of Christianity in section 2: 2, as should the political environment have been the same with any other religious minority that then became state religion the same result could have occurred. </w:t>
      </w:r>
    </w:p>
    <w:p w14:paraId="0A7D5DC6" w14:textId="77777777" w:rsidR="004E55D8" w:rsidRDefault="004E55D8" w:rsidP="004E55D8">
      <w:pPr>
        <w:spacing w:line="480" w:lineRule="auto"/>
      </w:pPr>
    </w:p>
    <w:p w14:paraId="06831BF9" w14:textId="0C56696D" w:rsidR="004E55D8" w:rsidRDefault="004E55D8" w:rsidP="004E55D8">
      <w:pPr>
        <w:spacing w:line="480" w:lineRule="auto"/>
      </w:pPr>
      <w:r>
        <w:t xml:space="preserve">After looking at the sources, societal reactions be it negative or positive have an impact on the way that religion is received, this is evidence in the Code, as laws retracting or advocating </w:t>
      </w:r>
      <w:r>
        <w:lastRenderedPageBreak/>
        <w:t xml:space="preserve">Christianity or Paganism would not have been put in place. Despite the more important voice being the elites, the larger number of lower class citizens would have had stronger bearings on the laws put in place, as it would be counterintuitive to have large scale riots at any one given time so voices had to be sated to some extent. </w:t>
      </w:r>
      <w:r w:rsidR="00513B57">
        <w:t>Although, largely the divide falls that Christians were accepting of the movement, and ‘Pagans’ were not, there are overlaps which is what makes this topic as diverse in scholarship.</w:t>
      </w:r>
      <w:r w:rsidR="00513B57">
        <w:rPr>
          <w:rStyle w:val="FootnoteReference"/>
        </w:rPr>
        <w:footnoteReference w:id="155"/>
      </w:r>
      <w:r w:rsidR="00513B57">
        <w:t xml:space="preserve"> </w:t>
      </w:r>
      <w:r>
        <w:t xml:space="preserve">Finally, society is ever changing with the population and so the general consensus of opinion would differ from year to year, there was a drastic change socially between the beginning and the end of the fourth century, which is represented throughout literature, there is evidence of both reactions to the rise of Christianity, and it would be unfair to assume that such an upheaval in religion and government could be settled and unanimously accepted within a hundred-year period. </w:t>
      </w:r>
    </w:p>
    <w:p w14:paraId="1B9B888D" w14:textId="77777777" w:rsidR="004633AA" w:rsidRPr="00FE68AB" w:rsidRDefault="004633AA" w:rsidP="004633AA">
      <w:pPr>
        <w:spacing w:line="480" w:lineRule="auto"/>
        <w:sectPr w:rsidR="004633AA" w:rsidRPr="00FE68AB" w:rsidSect="00546930">
          <w:pgSz w:w="11900" w:h="16840"/>
          <w:pgMar w:top="1440" w:right="1440" w:bottom="1440" w:left="1440" w:header="720" w:footer="720" w:gutter="0"/>
          <w:cols w:space="720"/>
          <w:docGrid w:linePitch="360"/>
        </w:sectPr>
      </w:pPr>
    </w:p>
    <w:p w14:paraId="14E6A43B" w14:textId="77777777" w:rsidR="00826665" w:rsidRDefault="00826665" w:rsidP="00826665">
      <w:pPr>
        <w:pStyle w:val="Heading1"/>
        <w:spacing w:line="480" w:lineRule="auto"/>
        <w:rPr>
          <w:rFonts w:ascii="Times" w:hAnsi="Times"/>
          <w:color w:val="000000" w:themeColor="text1"/>
          <w:sz w:val="28"/>
          <w:u w:val="single"/>
        </w:rPr>
      </w:pPr>
      <w:bookmarkStart w:id="15" w:name="_Toc509844273"/>
      <w:bookmarkStart w:id="16" w:name="_Toc513746956"/>
      <w:r>
        <w:rPr>
          <w:rFonts w:ascii="Times" w:hAnsi="Times"/>
          <w:color w:val="000000" w:themeColor="text1"/>
          <w:sz w:val="28"/>
          <w:u w:val="single"/>
        </w:rPr>
        <w:lastRenderedPageBreak/>
        <w:t>Bibliography.</w:t>
      </w:r>
      <w:bookmarkEnd w:id="15"/>
      <w:bookmarkEnd w:id="16"/>
      <w:r>
        <w:rPr>
          <w:rFonts w:ascii="Times" w:hAnsi="Times"/>
          <w:color w:val="000000" w:themeColor="text1"/>
          <w:sz w:val="28"/>
          <w:u w:val="single"/>
        </w:rPr>
        <w:t xml:space="preserve"> </w:t>
      </w:r>
    </w:p>
    <w:p w14:paraId="6F37208E" w14:textId="77777777" w:rsidR="00826665" w:rsidRDefault="00826665" w:rsidP="00826665">
      <w:pPr>
        <w:pStyle w:val="Heading2"/>
        <w:spacing w:line="480" w:lineRule="auto"/>
        <w:rPr>
          <w:rFonts w:ascii="Times" w:hAnsi="Times"/>
          <w:color w:val="000000" w:themeColor="text1"/>
          <w:sz w:val="24"/>
          <w:szCs w:val="24"/>
          <w:u w:val="single"/>
        </w:rPr>
      </w:pPr>
      <w:bookmarkStart w:id="17" w:name="_Toc509844274"/>
      <w:bookmarkStart w:id="18" w:name="_Toc513746957"/>
      <w:r w:rsidRPr="00817752">
        <w:rPr>
          <w:rFonts w:ascii="Times" w:hAnsi="Times"/>
          <w:color w:val="000000" w:themeColor="text1"/>
          <w:sz w:val="24"/>
          <w:szCs w:val="24"/>
          <w:u w:val="single"/>
        </w:rPr>
        <w:t>Ancient Sources.</w:t>
      </w:r>
      <w:bookmarkEnd w:id="17"/>
      <w:bookmarkEnd w:id="18"/>
      <w:r w:rsidRPr="00817752">
        <w:rPr>
          <w:rFonts w:ascii="Times" w:hAnsi="Times"/>
          <w:color w:val="000000" w:themeColor="text1"/>
          <w:sz w:val="24"/>
          <w:szCs w:val="24"/>
          <w:u w:val="single"/>
        </w:rPr>
        <w:t xml:space="preserve"> </w:t>
      </w:r>
    </w:p>
    <w:p w14:paraId="77D610F4" w14:textId="77777777" w:rsidR="00332281" w:rsidRPr="00A920E3" w:rsidRDefault="00332281" w:rsidP="00332281">
      <w:pPr>
        <w:spacing w:line="480" w:lineRule="auto"/>
      </w:pPr>
      <w:r>
        <w:t xml:space="preserve">Augustine, </w:t>
      </w:r>
      <w:r>
        <w:rPr>
          <w:i/>
        </w:rPr>
        <w:t xml:space="preserve">The City of God. </w:t>
      </w:r>
      <w:r>
        <w:t xml:space="preserve">V. J. Borke. (trans.). 1958. New York: Image Books. </w:t>
      </w:r>
    </w:p>
    <w:p w14:paraId="6A554D6F" w14:textId="77777777" w:rsidR="00332281" w:rsidRDefault="00332281" w:rsidP="00332281">
      <w:pPr>
        <w:spacing w:line="480" w:lineRule="auto"/>
      </w:pPr>
      <w:r>
        <w:t xml:space="preserve">Eusibius. </w:t>
      </w:r>
      <w:r>
        <w:rPr>
          <w:i/>
        </w:rPr>
        <w:t xml:space="preserve">The Ecclesiastical History. The Ecclesiastical History and The Martyrs of Palestine. </w:t>
      </w:r>
      <w:r>
        <w:t xml:space="preserve">H. J. Lawtor and J. E. L. Oulton. (trans.). 1954. London: Billing and Sons Ltd. </w:t>
      </w:r>
    </w:p>
    <w:p w14:paraId="658891A2" w14:textId="77777777" w:rsidR="00332281" w:rsidRPr="004E3580" w:rsidRDefault="00332281" w:rsidP="00332281">
      <w:pPr>
        <w:spacing w:line="480" w:lineRule="auto"/>
      </w:pPr>
      <w:r>
        <w:t xml:space="preserve">Eusebius. </w:t>
      </w:r>
      <w:r>
        <w:rPr>
          <w:i/>
        </w:rPr>
        <w:t xml:space="preserve">The Life of Constantine. </w:t>
      </w:r>
      <w:r>
        <w:t xml:space="preserve">A. Cameron and S. G. Hall. (trans.). 1999. Oxford: Clarendon Press. </w:t>
      </w:r>
    </w:p>
    <w:p w14:paraId="4347ECC9" w14:textId="77777777" w:rsidR="00332281" w:rsidRDefault="00332281" w:rsidP="00332281">
      <w:pPr>
        <w:spacing w:line="480" w:lineRule="auto"/>
      </w:pPr>
      <w:r>
        <w:t xml:space="preserve">Lactantius. </w:t>
      </w:r>
      <w:r>
        <w:rPr>
          <w:i/>
        </w:rPr>
        <w:t xml:space="preserve">De Mortibus Persecutorum. </w:t>
      </w:r>
      <w:r>
        <w:t xml:space="preserve">J. L. Creed (trans.). 1984. Oxford: Oxford University Press. </w:t>
      </w:r>
    </w:p>
    <w:p w14:paraId="3953BB4E" w14:textId="77777777" w:rsidR="00332281" w:rsidRDefault="00332281" w:rsidP="00332281">
      <w:pPr>
        <w:spacing w:line="480" w:lineRule="auto"/>
      </w:pPr>
      <w:r>
        <w:t xml:space="preserve">Libanius, </w:t>
      </w:r>
      <w:r>
        <w:rPr>
          <w:i/>
        </w:rPr>
        <w:t xml:space="preserve">Letters. </w:t>
      </w:r>
      <w:r>
        <w:t>A. F. Norman. (trans.). 2014. Cambridge MA: Harvard University Press.</w:t>
      </w:r>
    </w:p>
    <w:p w14:paraId="5C456278" w14:textId="77777777" w:rsidR="00332281" w:rsidRDefault="00332281" w:rsidP="00332281">
      <w:pPr>
        <w:spacing w:line="480" w:lineRule="auto"/>
      </w:pPr>
      <w:r>
        <w:rPr>
          <w:i/>
        </w:rPr>
        <w:t xml:space="preserve">The Theodosian Code and novels and the Sirmondian Constitutions. </w:t>
      </w:r>
      <w:r w:rsidRPr="009A7B55">
        <w:rPr>
          <w:i/>
        </w:rPr>
        <w:t xml:space="preserve"> </w:t>
      </w:r>
      <w:r>
        <w:t xml:space="preserve">C. Pharr. (trans.). 2001. New Jersey: Lawbook Exchange Ltd. </w:t>
      </w:r>
    </w:p>
    <w:p w14:paraId="6CDF8C34" w14:textId="77777777" w:rsidR="00332281" w:rsidRPr="001D175F" w:rsidRDefault="00332281" w:rsidP="00332281">
      <w:pPr>
        <w:spacing w:line="480" w:lineRule="auto"/>
      </w:pPr>
      <w:r>
        <w:t xml:space="preserve">Pliny. </w:t>
      </w:r>
      <w:r>
        <w:rPr>
          <w:i/>
        </w:rPr>
        <w:t xml:space="preserve">Letters. Volume II: Books 8 -10. Panegyricus. </w:t>
      </w:r>
      <w:r>
        <w:t xml:space="preserve">B. Radice. (trans.). 1969. Cambridge, MA: Harvard University Press. </w:t>
      </w:r>
    </w:p>
    <w:p w14:paraId="57129555" w14:textId="77777777" w:rsidR="00332281" w:rsidRDefault="00332281" w:rsidP="00332281">
      <w:pPr>
        <w:spacing w:line="480" w:lineRule="auto"/>
      </w:pPr>
      <w:r>
        <w:t xml:space="preserve">Suetonius. </w:t>
      </w:r>
      <w:r>
        <w:rPr>
          <w:i/>
        </w:rPr>
        <w:t xml:space="preserve">The Lives of the twelve Caesars. </w:t>
      </w:r>
      <w:r>
        <w:t xml:space="preserve">J. E. Reed and A. Thompson. (trans.). 1889. Philadelphia: Gebbie and Co. </w:t>
      </w:r>
    </w:p>
    <w:p w14:paraId="7EF7D430" w14:textId="06DCCEF5" w:rsidR="00332281" w:rsidRDefault="00665AE7" w:rsidP="00332281">
      <w:pPr>
        <w:spacing w:line="480" w:lineRule="auto"/>
      </w:pPr>
      <w:r>
        <w:t>Tacitus</w:t>
      </w:r>
      <w:r w:rsidR="00332281">
        <w:t>.</w:t>
      </w:r>
      <w:r w:rsidR="000F33B0">
        <w:t xml:space="preserve"> </w:t>
      </w:r>
      <w:r w:rsidR="00332281">
        <w:rPr>
          <w:i/>
        </w:rPr>
        <w:t xml:space="preserve">Annals: Books 13 -16. </w:t>
      </w:r>
      <w:r w:rsidR="00332281">
        <w:t xml:space="preserve">J. Jackson (trans.). 1937. Cambridge, MA: Harvard University Press. </w:t>
      </w:r>
    </w:p>
    <w:p w14:paraId="30E8DF79" w14:textId="77777777" w:rsidR="00826665" w:rsidRPr="00817752" w:rsidRDefault="00826665" w:rsidP="00826665">
      <w:pPr>
        <w:spacing w:line="480" w:lineRule="auto"/>
        <w:rPr>
          <w:color w:val="000000" w:themeColor="text1"/>
          <w:u w:val="single"/>
        </w:rPr>
      </w:pPr>
    </w:p>
    <w:p w14:paraId="70D1F068" w14:textId="77777777" w:rsidR="00826665" w:rsidRPr="00817752" w:rsidRDefault="00826665" w:rsidP="00826665">
      <w:pPr>
        <w:pStyle w:val="Heading2"/>
        <w:spacing w:line="480" w:lineRule="auto"/>
        <w:rPr>
          <w:rFonts w:ascii="Times" w:hAnsi="Times"/>
          <w:color w:val="000000" w:themeColor="text1"/>
          <w:sz w:val="24"/>
          <w:szCs w:val="24"/>
          <w:u w:val="single"/>
        </w:rPr>
      </w:pPr>
      <w:bookmarkStart w:id="19" w:name="_Toc509844275"/>
      <w:bookmarkStart w:id="20" w:name="_Toc513746958"/>
      <w:r w:rsidRPr="00817752">
        <w:rPr>
          <w:rFonts w:ascii="Times" w:hAnsi="Times"/>
          <w:color w:val="000000" w:themeColor="text1"/>
          <w:sz w:val="24"/>
          <w:szCs w:val="24"/>
          <w:u w:val="single"/>
        </w:rPr>
        <w:t>Modern Scholarship.</w:t>
      </w:r>
      <w:bookmarkEnd w:id="19"/>
      <w:bookmarkEnd w:id="20"/>
    </w:p>
    <w:p w14:paraId="76F835E6" w14:textId="77777777" w:rsidR="00332281" w:rsidRDefault="00332281" w:rsidP="00332281">
      <w:pPr>
        <w:spacing w:line="480" w:lineRule="auto"/>
      </w:pPr>
      <w:r>
        <w:t xml:space="preserve">Barnes, T. D. 1993. </w:t>
      </w:r>
      <w:r>
        <w:rPr>
          <w:i/>
        </w:rPr>
        <w:t xml:space="preserve">Athanasius and Constantius: theology and politics in the Constantinian empire. </w:t>
      </w:r>
      <w:r>
        <w:t xml:space="preserve">Cambridge MA: Harvard University Press. </w:t>
      </w:r>
    </w:p>
    <w:p w14:paraId="2B38A341" w14:textId="77777777" w:rsidR="00332281" w:rsidRDefault="00332281" w:rsidP="00332281">
      <w:pPr>
        <w:spacing w:line="480" w:lineRule="auto"/>
      </w:pPr>
      <w:r>
        <w:t xml:space="preserve">Blois, L. De and Van der Spek. (trans.), Susan Mellor. 1997. </w:t>
      </w:r>
      <w:r>
        <w:rPr>
          <w:i/>
        </w:rPr>
        <w:t xml:space="preserve">An Introduction to the Ancient World. </w:t>
      </w:r>
      <w:r>
        <w:t xml:space="preserve">London: Routledge. </w:t>
      </w:r>
    </w:p>
    <w:p w14:paraId="36DBC144" w14:textId="77777777" w:rsidR="00332281" w:rsidRDefault="00332281" w:rsidP="00332281">
      <w:pPr>
        <w:spacing w:line="480" w:lineRule="auto"/>
      </w:pPr>
      <w:r>
        <w:lastRenderedPageBreak/>
        <w:t xml:space="preserve">Cameron, A. 2010. </w:t>
      </w:r>
      <w:r>
        <w:rPr>
          <w:i/>
        </w:rPr>
        <w:t xml:space="preserve">The Last Pagans of Rome. </w:t>
      </w:r>
      <w:r>
        <w:t xml:space="preserve">Oxford: Oxford University Press. </w:t>
      </w:r>
    </w:p>
    <w:p w14:paraId="27922093" w14:textId="77777777" w:rsidR="00332281" w:rsidRDefault="00332281" w:rsidP="00332281">
      <w:pPr>
        <w:spacing w:line="480" w:lineRule="auto"/>
      </w:pPr>
      <w:r>
        <w:t xml:space="preserve">Croke, B and Harries, J. 1982. </w:t>
      </w:r>
      <w:r>
        <w:rPr>
          <w:i/>
        </w:rPr>
        <w:t xml:space="preserve">Religious Conflict in Fourth Century Rome. A documentary Study. </w:t>
      </w:r>
      <w:r>
        <w:t xml:space="preserve">London: Sydney University Press. </w:t>
      </w:r>
    </w:p>
    <w:p w14:paraId="2BF87D32" w14:textId="77777777" w:rsidR="00332281" w:rsidRPr="00E64EAA" w:rsidRDefault="00332281" w:rsidP="00332281">
      <w:pPr>
        <w:spacing w:line="480" w:lineRule="auto"/>
      </w:pPr>
      <w:r>
        <w:t xml:space="preserve">Curran J. R. 2000. </w:t>
      </w:r>
      <w:r>
        <w:rPr>
          <w:i/>
        </w:rPr>
        <w:t xml:space="preserve">Pagan City and Christian Capital. Rome in the Fourth Century. </w:t>
      </w:r>
      <w:r>
        <w:t xml:space="preserve">Oxford: Clarendon Press. </w:t>
      </w:r>
    </w:p>
    <w:p w14:paraId="76E7C02D" w14:textId="77777777" w:rsidR="00332281" w:rsidRDefault="00332281" w:rsidP="00332281">
      <w:pPr>
        <w:spacing w:line="480" w:lineRule="auto"/>
      </w:pPr>
      <w:r>
        <w:t xml:space="preserve">Davis, L. D. 1990. </w:t>
      </w:r>
      <w:r>
        <w:rPr>
          <w:i/>
        </w:rPr>
        <w:t xml:space="preserve">The first seven ecumenical councils (325 – 787): their history and theology. </w:t>
      </w:r>
      <w:r>
        <w:t xml:space="preserve">Collegeville, MINN: Liturgical Press. </w:t>
      </w:r>
    </w:p>
    <w:p w14:paraId="33C47675" w14:textId="77777777" w:rsidR="00332281" w:rsidRPr="00B60850" w:rsidRDefault="00332281" w:rsidP="00332281">
      <w:pPr>
        <w:spacing w:line="480" w:lineRule="auto"/>
      </w:pPr>
      <w:r>
        <w:t xml:space="preserve">Digester, E. D. 2000. </w:t>
      </w:r>
      <w:r>
        <w:rPr>
          <w:i/>
        </w:rPr>
        <w:t xml:space="preserve">The making of a Christian Empire. Lactantius and Rome. </w:t>
      </w:r>
      <w:r>
        <w:t xml:space="preserve">London: Cornell University Press. </w:t>
      </w:r>
    </w:p>
    <w:p w14:paraId="130146F1" w14:textId="77777777" w:rsidR="00332281" w:rsidRDefault="00332281" w:rsidP="00332281">
      <w:pPr>
        <w:spacing w:line="480" w:lineRule="auto"/>
      </w:pPr>
      <w:r>
        <w:t xml:space="preserve">Dowden, K. 1992. </w:t>
      </w:r>
      <w:r>
        <w:rPr>
          <w:i/>
        </w:rPr>
        <w:t xml:space="preserve">Religion and The Romans. </w:t>
      </w:r>
      <w:r>
        <w:t xml:space="preserve">London: Bristol Classical Press. </w:t>
      </w:r>
    </w:p>
    <w:p w14:paraId="330B3643" w14:textId="77777777" w:rsidR="00332281" w:rsidRDefault="00332281" w:rsidP="00332281">
      <w:pPr>
        <w:spacing w:line="480" w:lineRule="auto"/>
      </w:pPr>
      <w:r>
        <w:t xml:space="preserve">Drake, H. A. 1995. ‘Review: The Christians and the Roman Empire by Marta Sordi and Annabel Bedini’. </w:t>
      </w:r>
      <w:r>
        <w:rPr>
          <w:i/>
        </w:rPr>
        <w:t xml:space="preserve">The Catholic Historical Review. </w:t>
      </w:r>
      <w:r>
        <w:t xml:space="preserve">81, 3, July, 409 – 411. </w:t>
      </w:r>
    </w:p>
    <w:p w14:paraId="502D7058" w14:textId="77777777" w:rsidR="00332281" w:rsidRDefault="00332281" w:rsidP="00332281">
      <w:pPr>
        <w:spacing w:line="480" w:lineRule="auto"/>
      </w:pPr>
      <w:r>
        <w:t xml:space="preserve">Drake, H. A. 1997. ‘Review: The Christianity of Constantine the Great by T. G. Elliot’. </w:t>
      </w:r>
      <w:r>
        <w:rPr>
          <w:i/>
        </w:rPr>
        <w:t xml:space="preserve">Phoenix. </w:t>
      </w:r>
      <w:r>
        <w:t xml:space="preserve">51, 3 / 4. Autumn – Winter, 427 – 430. </w:t>
      </w:r>
    </w:p>
    <w:p w14:paraId="7A3BCF29" w14:textId="77777777" w:rsidR="00332281" w:rsidRDefault="00332281" w:rsidP="00332281">
      <w:pPr>
        <w:spacing w:line="480" w:lineRule="auto"/>
      </w:pPr>
      <w:r>
        <w:t xml:space="preserve">Du Plessis, P. J. 2012. ‘Review: The Theodosian Code. Studies in the Imperial Law of Late Antiquity. By J. Harries and I. Wood. </w:t>
      </w:r>
      <w:r>
        <w:rPr>
          <w:i/>
        </w:rPr>
        <w:t xml:space="preserve">The Classical Review, New Series. </w:t>
      </w:r>
      <w:r>
        <w:t xml:space="preserve">62, 2, October, 617 – 618. </w:t>
      </w:r>
    </w:p>
    <w:p w14:paraId="63874703" w14:textId="77777777" w:rsidR="00332281" w:rsidRDefault="00332281" w:rsidP="00332281">
      <w:pPr>
        <w:spacing w:line="480" w:lineRule="auto"/>
        <w:rPr>
          <w:i/>
        </w:rPr>
      </w:pPr>
      <w:r>
        <w:t xml:space="preserve">Edwards, E. 2015. </w:t>
      </w:r>
      <w:r>
        <w:rPr>
          <w:i/>
        </w:rPr>
        <w:t>Religions of the Constantinian Empire.</w:t>
      </w:r>
      <w:r>
        <w:t xml:space="preserve"> Oxford: Oxford University Press. </w:t>
      </w:r>
      <w:r>
        <w:rPr>
          <w:i/>
        </w:rPr>
        <w:t xml:space="preserve"> </w:t>
      </w:r>
    </w:p>
    <w:p w14:paraId="57BC2650" w14:textId="77777777" w:rsidR="00332281" w:rsidRDefault="00332281" w:rsidP="00332281">
      <w:pPr>
        <w:spacing w:line="480" w:lineRule="auto"/>
      </w:pPr>
      <w:r>
        <w:t xml:space="preserve">Elliott, T. G. 1996. </w:t>
      </w:r>
      <w:r>
        <w:rPr>
          <w:i/>
        </w:rPr>
        <w:t xml:space="preserve">The Christianity of Constantine the Great. </w:t>
      </w:r>
      <w:r>
        <w:t xml:space="preserve">Scranton, PA: University of Scranton Press. </w:t>
      </w:r>
    </w:p>
    <w:p w14:paraId="6816BE4D" w14:textId="77777777" w:rsidR="00332281" w:rsidRPr="001C4C94" w:rsidRDefault="00332281" w:rsidP="00332281">
      <w:pPr>
        <w:spacing w:line="480" w:lineRule="auto"/>
      </w:pPr>
      <w:r>
        <w:t xml:space="preserve">Errington, R. M. 1988. ‘Constantine and the Pagans’, </w:t>
      </w:r>
      <w:r>
        <w:rPr>
          <w:i/>
        </w:rPr>
        <w:t xml:space="preserve">Greek, Roman and Byzantine Studies, </w:t>
      </w:r>
      <w:r>
        <w:t>29, 3, Fall, 309 – 318.</w:t>
      </w:r>
    </w:p>
    <w:p w14:paraId="4B8F77BF" w14:textId="77777777" w:rsidR="00332281" w:rsidRDefault="00332281" w:rsidP="00332281">
      <w:pPr>
        <w:spacing w:line="480" w:lineRule="auto"/>
      </w:pPr>
      <w:r>
        <w:t xml:space="preserve">Ferguson, J. 1970. </w:t>
      </w:r>
      <w:r>
        <w:rPr>
          <w:i/>
        </w:rPr>
        <w:t xml:space="preserve">The Religions of the Roman Empire. </w:t>
      </w:r>
      <w:r>
        <w:t xml:space="preserve">New York: Cornell University Press. </w:t>
      </w:r>
    </w:p>
    <w:p w14:paraId="59F1CA2E" w14:textId="77777777" w:rsidR="00332281" w:rsidRPr="0089523E" w:rsidRDefault="00332281" w:rsidP="00332281">
      <w:pPr>
        <w:spacing w:line="480" w:lineRule="auto"/>
      </w:pPr>
      <w:r>
        <w:t xml:space="preserve">Fowden, G. 1993. </w:t>
      </w:r>
      <w:r>
        <w:rPr>
          <w:i/>
        </w:rPr>
        <w:t xml:space="preserve">Empire to commonwealth. Consequences of monotheism in late antiquity. </w:t>
      </w:r>
      <w:r>
        <w:t xml:space="preserve">Princeton: Princeton University Press. </w:t>
      </w:r>
    </w:p>
    <w:p w14:paraId="2BE620DA" w14:textId="77777777" w:rsidR="00332281" w:rsidRDefault="00332281" w:rsidP="00332281">
      <w:pPr>
        <w:spacing w:line="480" w:lineRule="auto"/>
      </w:pPr>
      <w:r>
        <w:lastRenderedPageBreak/>
        <w:t xml:space="preserve">Fowler, W. W. 1911. </w:t>
      </w:r>
      <w:r>
        <w:rPr>
          <w:i/>
        </w:rPr>
        <w:t>Religious Experience of the Roman People.</w:t>
      </w:r>
      <w:r>
        <w:t xml:space="preserve"> </w:t>
      </w:r>
      <w:r>
        <w:rPr>
          <w:i/>
        </w:rPr>
        <w:t xml:space="preserve">From the earliest times to the age of Augustus. </w:t>
      </w:r>
      <w:r>
        <w:t xml:space="preserve">New York: Copper Square Publishers, Inc. </w:t>
      </w:r>
    </w:p>
    <w:p w14:paraId="36871261" w14:textId="77777777" w:rsidR="00332281" w:rsidRDefault="00332281" w:rsidP="00332281">
      <w:pPr>
        <w:spacing w:line="480" w:lineRule="auto"/>
      </w:pPr>
      <w:r>
        <w:t xml:space="preserve">Glover, T. R. 1909. </w:t>
      </w:r>
      <w:r>
        <w:rPr>
          <w:i/>
        </w:rPr>
        <w:t xml:space="preserve">The Conflict of Religions in the Early Roman Empire. </w:t>
      </w:r>
      <w:r>
        <w:t xml:space="preserve">London: Methuen &amp; Co. </w:t>
      </w:r>
    </w:p>
    <w:p w14:paraId="76D8DC24" w14:textId="77777777" w:rsidR="00332281" w:rsidRDefault="00332281" w:rsidP="00332281">
      <w:pPr>
        <w:spacing w:line="480" w:lineRule="auto"/>
      </w:pPr>
      <w:r>
        <w:t xml:space="preserve">Hunt, D. 1993. ‘Christianising the Roman Empire: the evidence of the Code’, in  Harries, J and Wood I. (eds.). </w:t>
      </w:r>
      <w:r>
        <w:rPr>
          <w:i/>
        </w:rPr>
        <w:t xml:space="preserve">The Theodosian Code. Studies in the Imperial Law of Late Antiquity. </w:t>
      </w:r>
      <w:r>
        <w:t xml:space="preserve">London: Duckworth. </w:t>
      </w:r>
    </w:p>
    <w:p w14:paraId="78824729" w14:textId="77777777" w:rsidR="00332281" w:rsidRDefault="00332281" w:rsidP="00332281">
      <w:pPr>
        <w:spacing w:line="480" w:lineRule="auto"/>
      </w:pPr>
      <w:r>
        <w:t xml:space="preserve">Hillgarth, J. N. 1986. </w:t>
      </w:r>
      <w:r>
        <w:rPr>
          <w:i/>
        </w:rPr>
        <w:t>Christianity and Paganism, 350 – 750: The conversion of Western Europe.</w:t>
      </w:r>
      <w:r>
        <w:t xml:space="preserve"> Philadelphia, PA: University of Pennsylvania Press. </w:t>
      </w:r>
    </w:p>
    <w:p w14:paraId="666D24C7" w14:textId="2D56D730" w:rsidR="00F15DDA" w:rsidRPr="00F15DDA" w:rsidRDefault="00F15DDA" w:rsidP="00332281">
      <w:pPr>
        <w:spacing w:line="480" w:lineRule="auto"/>
      </w:pPr>
      <w:r>
        <w:t xml:space="preserve">Hölkeskamp, K – J. 2010. </w:t>
      </w:r>
      <w:r>
        <w:rPr>
          <w:i/>
        </w:rPr>
        <w:t xml:space="preserve">Reconstructing the Roman Republic. Ancient Political Culture and Modern Research. </w:t>
      </w:r>
      <w:r>
        <w:t xml:space="preserve">Princeton: Princeton University Press. </w:t>
      </w:r>
    </w:p>
    <w:p w14:paraId="38F0FA4A" w14:textId="77777777" w:rsidR="00332281" w:rsidRDefault="00332281" w:rsidP="00332281">
      <w:pPr>
        <w:spacing w:line="480" w:lineRule="auto"/>
      </w:pPr>
      <w:r>
        <w:t xml:space="preserve">Holloway, R. R. 2004. </w:t>
      </w:r>
      <w:r>
        <w:rPr>
          <w:i/>
        </w:rPr>
        <w:t xml:space="preserve">Constantine and Rome. </w:t>
      </w:r>
      <w:r>
        <w:t xml:space="preserve">London: Yale University Press. </w:t>
      </w:r>
    </w:p>
    <w:p w14:paraId="0FBEAF3E" w14:textId="77777777" w:rsidR="00332281" w:rsidRDefault="00332281" w:rsidP="00332281">
      <w:pPr>
        <w:spacing w:line="480" w:lineRule="auto"/>
      </w:pPr>
      <w:r>
        <w:t xml:space="preserve">Hyde, W. W. 1970. </w:t>
      </w:r>
      <w:r>
        <w:rPr>
          <w:i/>
        </w:rPr>
        <w:t xml:space="preserve">Paganism to Christianity in the Roman Empire. </w:t>
      </w:r>
      <w:r>
        <w:t xml:space="preserve">New York: Octogan Books. </w:t>
      </w:r>
    </w:p>
    <w:p w14:paraId="2155A681" w14:textId="77777777" w:rsidR="00332281" w:rsidRDefault="00332281" w:rsidP="00332281">
      <w:pPr>
        <w:spacing w:line="480" w:lineRule="auto"/>
      </w:pPr>
      <w:r>
        <w:t xml:space="preserve">Keresztes, P. 1983. ‘From the Great Persecution to the Peace of Galerius’, </w:t>
      </w:r>
      <w:r>
        <w:rPr>
          <w:i/>
        </w:rPr>
        <w:t xml:space="preserve">Vigilae Christianae, </w:t>
      </w:r>
      <w:r>
        <w:t xml:space="preserve">37, 4, Dec, 379 – 399. </w:t>
      </w:r>
    </w:p>
    <w:p w14:paraId="156261AA" w14:textId="4C89971E" w:rsidR="00522759" w:rsidRPr="00522759" w:rsidRDefault="00522759" w:rsidP="00332281">
      <w:pPr>
        <w:spacing w:line="480" w:lineRule="auto"/>
      </w:pPr>
      <w:r>
        <w:t xml:space="preserve">King, N. Q. 1961. </w:t>
      </w:r>
      <w:r>
        <w:rPr>
          <w:i/>
        </w:rPr>
        <w:t xml:space="preserve">The Emperor Theodosius and the establishment of Christianity. </w:t>
      </w:r>
      <w:r>
        <w:t xml:space="preserve">London: SCM Press Ltd. </w:t>
      </w:r>
    </w:p>
    <w:p w14:paraId="6DE1798E" w14:textId="77777777" w:rsidR="00332281" w:rsidRPr="00B60850" w:rsidRDefault="00332281" w:rsidP="00332281">
      <w:pPr>
        <w:spacing w:line="480" w:lineRule="auto"/>
      </w:pPr>
      <w:r>
        <w:t xml:space="preserve">Knipfing, J. R. 1925. ‘Religious Intolerance during the Early Part of the Reign of Constantine the Great (306 – 313), </w:t>
      </w:r>
      <w:r>
        <w:rPr>
          <w:i/>
        </w:rPr>
        <w:t xml:space="preserve">The Catholic Historical Review. </w:t>
      </w:r>
      <w:r>
        <w:t xml:space="preserve">10, 4, Jan, 483 – 503. </w:t>
      </w:r>
    </w:p>
    <w:p w14:paraId="7E011C7E" w14:textId="77777777" w:rsidR="00332281" w:rsidRDefault="00332281" w:rsidP="00332281">
      <w:pPr>
        <w:spacing w:line="480" w:lineRule="auto"/>
      </w:pPr>
      <w:r>
        <w:t xml:space="preserve">MacCulloch, D. 2009. </w:t>
      </w:r>
      <w:r>
        <w:rPr>
          <w:i/>
        </w:rPr>
        <w:t xml:space="preserve">A History of Christianity. The First Three Thousand Years. </w:t>
      </w:r>
      <w:r>
        <w:t xml:space="preserve">London: Penguin Books Ltd. </w:t>
      </w:r>
    </w:p>
    <w:p w14:paraId="28B5E9FA" w14:textId="4FEF6B7B" w:rsidR="003503BA" w:rsidRPr="003503BA" w:rsidRDefault="003503BA" w:rsidP="00332281">
      <w:pPr>
        <w:spacing w:line="480" w:lineRule="auto"/>
      </w:pPr>
      <w:r>
        <w:t xml:space="preserve">MacMullen, R. 1964. ‘Social Mobility and the Theodosian Code’. </w:t>
      </w:r>
      <w:r>
        <w:rPr>
          <w:i/>
        </w:rPr>
        <w:t xml:space="preserve">The Journal of Roman Studies. </w:t>
      </w:r>
      <w:r>
        <w:t xml:space="preserve">54, 1 and 2, 59 - 53. </w:t>
      </w:r>
    </w:p>
    <w:p w14:paraId="0BAEFACC" w14:textId="77777777" w:rsidR="00332281" w:rsidRDefault="00332281" w:rsidP="00332281">
      <w:pPr>
        <w:spacing w:line="480" w:lineRule="auto"/>
      </w:pPr>
      <w:r>
        <w:t xml:space="preserve">MacMullen, R. 1981. </w:t>
      </w:r>
      <w:r>
        <w:rPr>
          <w:i/>
        </w:rPr>
        <w:t xml:space="preserve">Paganism in the Roman Empire. </w:t>
      </w:r>
      <w:r>
        <w:t xml:space="preserve">London: Yale University Press. </w:t>
      </w:r>
    </w:p>
    <w:p w14:paraId="52D822AC" w14:textId="77777777" w:rsidR="00332281" w:rsidRDefault="00332281" w:rsidP="00332281">
      <w:pPr>
        <w:spacing w:line="480" w:lineRule="auto"/>
      </w:pPr>
      <w:r>
        <w:lastRenderedPageBreak/>
        <w:t xml:space="preserve">MacMullen, R and Lane, E. N. 1992. </w:t>
      </w:r>
      <w:r>
        <w:rPr>
          <w:i/>
        </w:rPr>
        <w:t xml:space="preserve">Paganism and Christianity 100 – 425 C. E. A Sourcebook. </w:t>
      </w:r>
      <w:r>
        <w:t xml:space="preserve">Minneapolis: Fortress Press. </w:t>
      </w:r>
    </w:p>
    <w:p w14:paraId="48B71406" w14:textId="77777777" w:rsidR="00332281" w:rsidRPr="00B60850" w:rsidRDefault="00332281" w:rsidP="00332281">
      <w:pPr>
        <w:spacing w:line="480" w:lineRule="auto"/>
      </w:pPr>
      <w:r>
        <w:t xml:space="preserve">MacMullen, R. 1984. </w:t>
      </w:r>
      <w:r>
        <w:rPr>
          <w:i/>
        </w:rPr>
        <w:t xml:space="preserve">Christianizing the Roman Empire. (A. D. 100 – 400). </w:t>
      </w:r>
      <w:r>
        <w:t xml:space="preserve">London: Yale University Press. </w:t>
      </w:r>
    </w:p>
    <w:p w14:paraId="32880777" w14:textId="77777777" w:rsidR="00332281" w:rsidRDefault="00332281" w:rsidP="00332281">
      <w:pPr>
        <w:spacing w:line="480" w:lineRule="auto"/>
      </w:pPr>
      <w:r>
        <w:t xml:space="preserve">MacMullen, R. 2014. ‘Religious Toleration around the year 313’, </w:t>
      </w:r>
      <w:r>
        <w:rPr>
          <w:i/>
        </w:rPr>
        <w:t xml:space="preserve">Journal of Early Christian Studies. </w:t>
      </w:r>
      <w:r>
        <w:t xml:space="preserve">22, 4, Winter, 499 – 517. </w:t>
      </w:r>
    </w:p>
    <w:p w14:paraId="27933F8B" w14:textId="77777777" w:rsidR="00332281" w:rsidRDefault="00332281" w:rsidP="00332281">
      <w:pPr>
        <w:spacing w:line="480" w:lineRule="auto"/>
      </w:pPr>
      <w:r>
        <w:t xml:space="preserve">Mattingly, H. 1942. ‘The Later Paganism’, </w:t>
      </w:r>
      <w:r>
        <w:rPr>
          <w:i/>
        </w:rPr>
        <w:t xml:space="preserve">The Harvard Theological Review. </w:t>
      </w:r>
      <w:r>
        <w:t xml:space="preserve">35, 3, Jul, 171 – 179. </w:t>
      </w:r>
    </w:p>
    <w:p w14:paraId="56F96CC5" w14:textId="77777777" w:rsidR="00332281" w:rsidRPr="00056ACF" w:rsidRDefault="00332281" w:rsidP="00332281">
      <w:pPr>
        <w:spacing w:line="480" w:lineRule="auto"/>
      </w:pPr>
      <w:r>
        <w:t xml:space="preserve">O’ Donnell, J. J. 1977. ‘Paganus’, </w:t>
      </w:r>
      <w:r>
        <w:rPr>
          <w:i/>
        </w:rPr>
        <w:t xml:space="preserve">Classical Folia, </w:t>
      </w:r>
      <w:r>
        <w:t>31, 16</w:t>
      </w:r>
    </w:p>
    <w:p w14:paraId="39CEA107" w14:textId="77777777" w:rsidR="00332281" w:rsidRPr="00B60850" w:rsidRDefault="00332281" w:rsidP="00332281">
      <w:pPr>
        <w:spacing w:line="480" w:lineRule="auto"/>
      </w:pPr>
      <w:r>
        <w:t xml:space="preserve">Payne, R. 1967. </w:t>
      </w:r>
      <w:r>
        <w:rPr>
          <w:i/>
        </w:rPr>
        <w:t xml:space="preserve">The Christian Centuries. From Christ to Dante. </w:t>
      </w:r>
      <w:r>
        <w:t xml:space="preserve">London: W. H. Allen. </w:t>
      </w:r>
    </w:p>
    <w:p w14:paraId="47044CC1" w14:textId="77777777" w:rsidR="00332281" w:rsidRDefault="00332281" w:rsidP="00332281">
      <w:pPr>
        <w:spacing w:line="480" w:lineRule="auto"/>
      </w:pPr>
      <w:r>
        <w:t xml:space="preserve">Pohlsander, H. A. 1998. ‘Review: The Christianity of Constantine the Great by T. G. Elliot’. </w:t>
      </w:r>
      <w:r>
        <w:rPr>
          <w:i/>
        </w:rPr>
        <w:t xml:space="preserve">The Catholic Historic review. </w:t>
      </w:r>
      <w:r>
        <w:t xml:space="preserve">84, 3, July, 526 – 528. </w:t>
      </w:r>
    </w:p>
    <w:p w14:paraId="0B015F55" w14:textId="77777777" w:rsidR="00332281" w:rsidRDefault="00332281" w:rsidP="00332281">
      <w:pPr>
        <w:spacing w:line="480" w:lineRule="auto"/>
      </w:pPr>
      <w:r>
        <w:t xml:space="preserve">Rives, B. J. 2007. </w:t>
      </w:r>
      <w:r>
        <w:rPr>
          <w:i/>
        </w:rPr>
        <w:t xml:space="preserve">Religion in the Roman Empire. </w:t>
      </w:r>
      <w:r>
        <w:t xml:space="preserve">Oxford: Blackwell Publishing. </w:t>
      </w:r>
    </w:p>
    <w:p w14:paraId="4EB303D7" w14:textId="77777777" w:rsidR="00332281" w:rsidRDefault="00332281" w:rsidP="00332281">
      <w:pPr>
        <w:spacing w:line="480" w:lineRule="auto"/>
      </w:pPr>
      <w:r>
        <w:t xml:space="preserve">Rose, H. J. 1948. </w:t>
      </w:r>
      <w:r>
        <w:rPr>
          <w:i/>
        </w:rPr>
        <w:t xml:space="preserve">Ancient Roman Religion. </w:t>
      </w:r>
      <w:r>
        <w:t xml:space="preserve">Cheltenham and London: Cheltenham Press Ltd. </w:t>
      </w:r>
    </w:p>
    <w:p w14:paraId="44A71F47" w14:textId="77777777" w:rsidR="00332281" w:rsidRDefault="00332281" w:rsidP="00332281">
      <w:pPr>
        <w:spacing w:line="480" w:lineRule="auto"/>
      </w:pPr>
      <w:r>
        <w:t xml:space="preserve">Rowe. C and Schofield, M. 2005. </w:t>
      </w:r>
      <w:r>
        <w:rPr>
          <w:i/>
        </w:rPr>
        <w:t xml:space="preserve">The Cambridge history of Greek and Roman political thought. </w:t>
      </w:r>
      <w:r>
        <w:t xml:space="preserve">Cambridge MA: Cambridge University Press. </w:t>
      </w:r>
    </w:p>
    <w:p w14:paraId="5A67CE45" w14:textId="77777777" w:rsidR="00332281" w:rsidRDefault="00332281" w:rsidP="00332281">
      <w:pPr>
        <w:spacing w:line="480" w:lineRule="auto"/>
      </w:pPr>
      <w:r>
        <w:t xml:space="preserve">Salzman, M, R, 1993. ‘Evidence for the conversion of the Roman Empire to Christianity in Book 16 of the ‘Theodosian Code’. </w:t>
      </w:r>
      <w:r w:rsidRPr="00300CB7">
        <w:rPr>
          <w:i/>
        </w:rPr>
        <w:t>Historia: Zeitschrift für Alte Geschichte</w:t>
      </w:r>
      <w:r>
        <w:t xml:space="preserve">, 42, 3, 362 – 378. </w:t>
      </w:r>
    </w:p>
    <w:p w14:paraId="5B6100FC" w14:textId="77777777" w:rsidR="00332281" w:rsidRDefault="00332281" w:rsidP="00332281">
      <w:pPr>
        <w:spacing w:line="480" w:lineRule="auto"/>
      </w:pPr>
      <w:r>
        <w:t xml:space="preserve">Stark, R. 1996. </w:t>
      </w:r>
      <w:r>
        <w:rPr>
          <w:i/>
        </w:rPr>
        <w:t xml:space="preserve">The Rise of Christianity. How the obscure, marginal Jesus movement became the dominant religious force in the Western world in the few centuries. </w:t>
      </w:r>
      <w:r>
        <w:t xml:space="preserve">Princeton: Princeton University Press. </w:t>
      </w:r>
    </w:p>
    <w:p w14:paraId="336FAE2C" w14:textId="77777777" w:rsidR="00332281" w:rsidRPr="00300CB7" w:rsidRDefault="00332281" w:rsidP="00332281">
      <w:pPr>
        <w:spacing w:line="480" w:lineRule="auto"/>
      </w:pPr>
      <w:r>
        <w:t xml:space="preserve">Storch, R. H. 1971. ‘The “Eusebian Constantine’. </w:t>
      </w:r>
      <w:r>
        <w:rPr>
          <w:i/>
        </w:rPr>
        <w:t xml:space="preserve">Church History, </w:t>
      </w:r>
      <w:r>
        <w:t xml:space="preserve">40, 2, Jun, 145 – 155. </w:t>
      </w:r>
    </w:p>
    <w:p w14:paraId="5E7993AB" w14:textId="77777777" w:rsidR="00332281" w:rsidRPr="000C5605" w:rsidRDefault="00332281" w:rsidP="00332281">
      <w:pPr>
        <w:spacing w:line="480" w:lineRule="auto"/>
      </w:pPr>
      <w:r>
        <w:t xml:space="preserve">Vaage, L. F. (ed.). 2008. </w:t>
      </w:r>
      <w:r>
        <w:rPr>
          <w:i/>
        </w:rPr>
        <w:t xml:space="preserve">Religious Rivalries in the Early Roman Empire and the Rise of Christianity. </w:t>
      </w:r>
      <w:r>
        <w:t xml:space="preserve">Canada: Canadian Corporation for Studies in Religion. </w:t>
      </w:r>
    </w:p>
    <w:p w14:paraId="3B711A3C" w14:textId="08B9D08D" w:rsidR="00196727" w:rsidRDefault="00332281" w:rsidP="005E0708">
      <w:pPr>
        <w:spacing w:line="480" w:lineRule="auto"/>
      </w:pPr>
      <w:r>
        <w:lastRenderedPageBreak/>
        <w:t xml:space="preserve">Várhelyi, Z. 2010. </w:t>
      </w:r>
      <w:r>
        <w:rPr>
          <w:i/>
        </w:rPr>
        <w:t xml:space="preserve">The Religion of the Senators in the Roman Empire. Power and Beyond. </w:t>
      </w:r>
      <w:r>
        <w:t>Cambridge: Cambridge University Press.</w:t>
      </w:r>
    </w:p>
    <w:sectPr w:rsidR="00196727" w:rsidSect="005469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0AFF95" w14:textId="77777777" w:rsidR="007D177C" w:rsidRDefault="007D177C" w:rsidP="00826665">
      <w:r>
        <w:separator/>
      </w:r>
    </w:p>
  </w:endnote>
  <w:endnote w:type="continuationSeparator" w:id="0">
    <w:p w14:paraId="09A8C7F2" w14:textId="77777777" w:rsidR="007D177C" w:rsidRDefault="007D177C" w:rsidP="00826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DC9BF7" w14:textId="77777777" w:rsidR="003A5255" w:rsidRDefault="003A5255" w:rsidP="008266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581EEF" w14:textId="77777777" w:rsidR="003A5255" w:rsidRDefault="003A5255" w:rsidP="001967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D60D67" w14:textId="7C9400CC" w:rsidR="003A5255" w:rsidRDefault="003A5255" w:rsidP="0019672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6D6C">
      <w:rPr>
        <w:rStyle w:val="PageNumber"/>
        <w:noProof/>
      </w:rPr>
      <w:t>25</w:t>
    </w:r>
    <w:r>
      <w:rPr>
        <w:rStyle w:val="PageNumber"/>
      </w:rPr>
      <w:fldChar w:fldCharType="end"/>
    </w:r>
  </w:p>
  <w:p w14:paraId="6BCD258C" w14:textId="77777777" w:rsidR="003A5255" w:rsidRDefault="003A5255" w:rsidP="0019672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7F5B85" w14:textId="77777777" w:rsidR="007D177C" w:rsidRDefault="007D177C" w:rsidP="00826665">
      <w:r>
        <w:separator/>
      </w:r>
    </w:p>
  </w:footnote>
  <w:footnote w:type="continuationSeparator" w:id="0">
    <w:p w14:paraId="65DBCB12" w14:textId="77777777" w:rsidR="007D177C" w:rsidRDefault="007D177C" w:rsidP="00826665">
      <w:r>
        <w:continuationSeparator/>
      </w:r>
    </w:p>
  </w:footnote>
  <w:footnote w:id="1">
    <w:p w14:paraId="28666E9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Between 1939 and 1945 one of the deadliest wars in recent times was arguably based in religious antipathy, particularly Hitler and his hatred towards Jewish people. </w:t>
      </w:r>
    </w:p>
  </w:footnote>
  <w:footnote w:id="2">
    <w:p w14:paraId="7CACD06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Roman Empire was founded in 27 BC, up until this point the Roman Republic existed, and so in the first century would have been an important time. </w:t>
      </w:r>
    </w:p>
  </w:footnote>
  <w:footnote w:id="3">
    <w:p w14:paraId="0CC4A2F8" w14:textId="2A23A0C5" w:rsidR="003A5255" w:rsidRPr="00B93D67" w:rsidRDefault="003A5255" w:rsidP="004E55D8">
      <w:pPr>
        <w:pStyle w:val="FootnoteText"/>
        <w:rPr>
          <w:sz w:val="20"/>
        </w:rPr>
      </w:pPr>
      <w:r w:rsidRPr="00B93D67">
        <w:rPr>
          <w:rStyle w:val="FootnoteReference"/>
          <w:sz w:val="20"/>
        </w:rPr>
        <w:footnoteRef/>
      </w:r>
      <w:r w:rsidRPr="00B93D67">
        <w:rPr>
          <w:sz w:val="20"/>
        </w:rPr>
        <w:t xml:space="preserve">  Examples highlighted include evidence from Tac. </w:t>
      </w:r>
      <w:r w:rsidRPr="00B93D67">
        <w:rPr>
          <w:i/>
          <w:sz w:val="20"/>
        </w:rPr>
        <w:t xml:space="preserve">Ann. </w:t>
      </w:r>
      <w:r w:rsidR="00491D8A" w:rsidRPr="00B93D67">
        <w:rPr>
          <w:sz w:val="20"/>
        </w:rPr>
        <w:t xml:space="preserve">Also, it is easier to pass the blame onto something that is not fully understood. </w:t>
      </w:r>
    </w:p>
  </w:footnote>
  <w:footnote w:id="4">
    <w:p w14:paraId="6EACAE93" w14:textId="01CE42D8" w:rsidR="003A5255" w:rsidRPr="00B93D67" w:rsidRDefault="003A5255" w:rsidP="004E55D8">
      <w:pPr>
        <w:pStyle w:val="FootnoteText"/>
        <w:rPr>
          <w:sz w:val="20"/>
        </w:rPr>
      </w:pPr>
      <w:r w:rsidRPr="00B93D67">
        <w:rPr>
          <w:rStyle w:val="FootnoteReference"/>
          <w:sz w:val="20"/>
        </w:rPr>
        <w:footnoteRef/>
      </w:r>
      <w:r w:rsidRPr="00B93D67">
        <w:rPr>
          <w:sz w:val="20"/>
        </w:rPr>
        <w:t xml:space="preserve"> Polythe</w:t>
      </w:r>
      <w:r w:rsidR="00491D8A" w:rsidRPr="00B93D67">
        <w:rPr>
          <w:sz w:val="20"/>
        </w:rPr>
        <w:t xml:space="preserve">ism was at this point </w:t>
      </w:r>
      <w:r w:rsidRPr="00B93D67">
        <w:rPr>
          <w:sz w:val="20"/>
        </w:rPr>
        <w:t xml:space="preserve">a large percentage and so the majority of the Empire’s religion, in this case Christianity would have been the minority. </w:t>
      </w:r>
    </w:p>
  </w:footnote>
  <w:footnote w:id="5">
    <w:p w14:paraId="71B23D3A" w14:textId="60E70533"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Pr="00B93D67">
        <w:rPr>
          <w:i/>
          <w:sz w:val="20"/>
        </w:rPr>
        <w:t xml:space="preserve">Mos Maiorum </w:t>
      </w:r>
      <w:r w:rsidR="00491D8A" w:rsidRPr="00B93D67">
        <w:rPr>
          <w:sz w:val="20"/>
        </w:rPr>
        <w:t xml:space="preserve">is </w:t>
      </w:r>
      <w:r w:rsidRPr="00B93D67">
        <w:rPr>
          <w:sz w:val="20"/>
        </w:rPr>
        <w:t xml:space="preserve">cited as being the beginnings of traditional religion in the Empire. </w:t>
      </w:r>
    </w:p>
  </w:footnote>
  <w:footnote w:id="6">
    <w:p w14:paraId="5DE3D5C7" w14:textId="19BF603B"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00491D8A" w:rsidRPr="00B93D67">
        <w:rPr>
          <w:sz w:val="20"/>
        </w:rPr>
        <w:t xml:space="preserve">The difference is classes being: </w:t>
      </w:r>
      <w:r w:rsidRPr="00B93D67">
        <w:rPr>
          <w:sz w:val="20"/>
        </w:rPr>
        <w:t xml:space="preserve">Elite, Sub-elite and plebeians. </w:t>
      </w:r>
    </w:p>
  </w:footnote>
  <w:footnote w:id="7">
    <w:p w14:paraId="088D08F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 98. </w:t>
      </w:r>
    </w:p>
  </w:footnote>
  <w:footnote w:id="8">
    <w:p w14:paraId="259CAA45" w14:textId="5DDB74B9" w:rsidR="003A5255" w:rsidRPr="00B93D67" w:rsidRDefault="003A5255" w:rsidP="004E55D8">
      <w:pPr>
        <w:pStyle w:val="FootnoteText"/>
        <w:rPr>
          <w:sz w:val="20"/>
        </w:rPr>
      </w:pPr>
      <w:r w:rsidRPr="00B93D67">
        <w:rPr>
          <w:rStyle w:val="FootnoteReference"/>
          <w:sz w:val="20"/>
        </w:rPr>
        <w:footnoteRef/>
      </w:r>
      <w:r w:rsidRPr="00B93D67">
        <w:rPr>
          <w:sz w:val="20"/>
        </w:rPr>
        <w:t xml:space="preserve"> This will be achieved by looking at the events that led on from important events Constantine was a part of, for example, the Edict of Milan</w:t>
      </w:r>
      <w:r w:rsidR="00491D8A" w:rsidRPr="00B93D67">
        <w:rPr>
          <w:sz w:val="20"/>
        </w:rPr>
        <w:t xml:space="preserve"> in 313</w:t>
      </w:r>
      <w:r w:rsidRPr="00B93D67">
        <w:rPr>
          <w:sz w:val="20"/>
        </w:rPr>
        <w:t xml:space="preserve">, as will be looked at through Chapter Two allows for Christianity to be explored and to grow. </w:t>
      </w:r>
    </w:p>
  </w:footnote>
  <w:footnote w:id="9">
    <w:p w14:paraId="063CCCB2"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1. 1. </w:t>
      </w:r>
    </w:p>
  </w:footnote>
  <w:footnote w:id="10">
    <w:p w14:paraId="4DD598C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Hyde 1970: 9, 21 Many of these gods have been founded from the gods seen in Ancient Greek culture, and adapted to suit the needs of those in the Republic. </w:t>
      </w:r>
    </w:p>
  </w:footnote>
  <w:footnote w:id="11">
    <w:p w14:paraId="165372B9" w14:textId="1331FF2F"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00877467" w:rsidRPr="00B93D67">
        <w:rPr>
          <w:sz w:val="20"/>
        </w:rPr>
        <w:t>Hölkeskamp</w:t>
      </w:r>
      <w:r w:rsidR="00F15DDA" w:rsidRPr="00B93D67">
        <w:rPr>
          <w:sz w:val="20"/>
        </w:rPr>
        <w:t xml:space="preserve"> 2010</w:t>
      </w:r>
      <w:r w:rsidR="00877467" w:rsidRPr="00B93D67">
        <w:rPr>
          <w:sz w:val="20"/>
        </w:rPr>
        <w:t>:</w:t>
      </w:r>
      <w:r w:rsidR="00F15DDA" w:rsidRPr="00B93D67">
        <w:rPr>
          <w:sz w:val="20"/>
        </w:rPr>
        <w:t xml:space="preserve">17; </w:t>
      </w:r>
      <w:r w:rsidRPr="00B93D67">
        <w:rPr>
          <w:sz w:val="20"/>
        </w:rPr>
        <w:t xml:space="preserve">Knipfing 1925: 491. </w:t>
      </w:r>
    </w:p>
  </w:footnote>
  <w:footnote w:id="12">
    <w:p w14:paraId="1A64E7EB" w14:textId="103D381D"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00CA5748" w:rsidRPr="00B93D67">
        <w:rPr>
          <w:sz w:val="20"/>
        </w:rPr>
        <w:t xml:space="preserve">Hyde 1970: 14. </w:t>
      </w:r>
    </w:p>
  </w:footnote>
  <w:footnote w:id="13">
    <w:p w14:paraId="2C21EB81" w14:textId="2838DC88" w:rsidR="003A5255" w:rsidRPr="00B93D67" w:rsidRDefault="003A5255" w:rsidP="004E55D8">
      <w:pPr>
        <w:pStyle w:val="FootnoteText"/>
        <w:rPr>
          <w:sz w:val="20"/>
        </w:rPr>
      </w:pPr>
      <w:r w:rsidRPr="00B93D67">
        <w:rPr>
          <w:rStyle w:val="FootnoteReference"/>
          <w:sz w:val="20"/>
        </w:rPr>
        <w:footnoteRef/>
      </w:r>
      <w:r w:rsidRPr="00B93D67">
        <w:rPr>
          <w:sz w:val="20"/>
        </w:rPr>
        <w:t xml:space="preserve"> Curran 2000: 170. </w:t>
      </w:r>
    </w:p>
  </w:footnote>
  <w:footnote w:id="14">
    <w:p w14:paraId="2C54722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Mattingly 1942: 174. </w:t>
      </w:r>
    </w:p>
  </w:footnote>
  <w:footnote w:id="15">
    <w:p w14:paraId="3EAB33A8" w14:textId="30799EEE" w:rsidR="003A5255" w:rsidRPr="00B93D67" w:rsidRDefault="003A5255" w:rsidP="004E55D8">
      <w:pPr>
        <w:pStyle w:val="FootnoteText"/>
        <w:rPr>
          <w:sz w:val="20"/>
        </w:rPr>
      </w:pPr>
      <w:r w:rsidRPr="00B93D67">
        <w:rPr>
          <w:rStyle w:val="FootnoteReference"/>
          <w:sz w:val="20"/>
        </w:rPr>
        <w:footnoteRef/>
      </w:r>
      <w:r w:rsidR="009E72A3" w:rsidRPr="00B93D67">
        <w:rPr>
          <w:sz w:val="20"/>
        </w:rPr>
        <w:t xml:space="preserve"> Interestingly, there could be an</w:t>
      </w:r>
      <w:r w:rsidRPr="00B93D67">
        <w:rPr>
          <w:sz w:val="20"/>
        </w:rPr>
        <w:t xml:space="preserve"> argument to suggest that the patron and client relationship, refers directly to social classes, with Patricians (elite) being the patron and clients being of a lower social class. </w:t>
      </w:r>
      <w:r w:rsidR="00491D8A" w:rsidRPr="00B93D67">
        <w:rPr>
          <w:sz w:val="20"/>
        </w:rPr>
        <w:t xml:space="preserve">This will not be explored throughout this dissertation as it is not entirely relevant however, it could be an interesting part of religion to explore. </w:t>
      </w:r>
    </w:p>
  </w:footnote>
  <w:footnote w:id="16">
    <w:p w14:paraId="48E97B70" w14:textId="179E60CB"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00CA5748" w:rsidRPr="00B93D67">
        <w:rPr>
          <w:sz w:val="20"/>
        </w:rPr>
        <w:t xml:space="preserve">Hyde 1970: 15. </w:t>
      </w:r>
    </w:p>
  </w:footnote>
  <w:footnote w:id="17">
    <w:p w14:paraId="3CA493A9" w14:textId="4C8C82F7" w:rsidR="003A5255" w:rsidRPr="00B93D67" w:rsidRDefault="003A5255">
      <w:pPr>
        <w:pStyle w:val="FootnoteText"/>
        <w:rPr>
          <w:sz w:val="20"/>
        </w:rPr>
      </w:pPr>
      <w:r w:rsidRPr="00B93D67">
        <w:rPr>
          <w:rStyle w:val="FootnoteReference"/>
          <w:sz w:val="20"/>
        </w:rPr>
        <w:footnoteRef/>
      </w:r>
      <w:r w:rsidRPr="00B93D67">
        <w:rPr>
          <w:sz w:val="20"/>
        </w:rPr>
        <w:t xml:space="preserve"> Curran 2000: 171. </w:t>
      </w:r>
    </w:p>
  </w:footnote>
  <w:footnote w:id="18">
    <w:p w14:paraId="4031557F" w14:textId="276086F0" w:rsidR="003A5255" w:rsidRPr="00B93D67" w:rsidRDefault="003A5255" w:rsidP="004E55D8">
      <w:pPr>
        <w:pStyle w:val="FootnoteText"/>
        <w:rPr>
          <w:sz w:val="20"/>
        </w:rPr>
      </w:pPr>
      <w:r w:rsidRPr="00B93D67">
        <w:rPr>
          <w:rStyle w:val="FootnoteReference"/>
          <w:sz w:val="20"/>
        </w:rPr>
        <w:footnoteRef/>
      </w:r>
      <w:r w:rsidRPr="00B93D67">
        <w:rPr>
          <w:sz w:val="20"/>
        </w:rPr>
        <w:t xml:space="preserve"> Hyde 1970: 37, Augustus was deified after his death, and new games were implemented by AD 15. </w:t>
      </w:r>
    </w:p>
  </w:footnote>
  <w:footnote w:id="19">
    <w:p w14:paraId="3FA9D2DC"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Hyde 1970: 37. </w:t>
      </w:r>
    </w:p>
  </w:footnote>
  <w:footnote w:id="20">
    <w:p w14:paraId="710B2713" w14:textId="5A98CABF" w:rsidR="003A5255" w:rsidRPr="00B93D67" w:rsidRDefault="003A5255" w:rsidP="004E55D8">
      <w:pPr>
        <w:pStyle w:val="FootnoteText"/>
        <w:rPr>
          <w:sz w:val="20"/>
        </w:rPr>
      </w:pPr>
      <w:r w:rsidRPr="00B93D67">
        <w:rPr>
          <w:rStyle w:val="FootnoteReference"/>
          <w:sz w:val="20"/>
        </w:rPr>
        <w:footnoteRef/>
      </w:r>
      <w:r w:rsidRPr="00B93D67">
        <w:rPr>
          <w:sz w:val="20"/>
        </w:rPr>
        <w:t xml:space="preserve"> Stark 1996: 6 -7. </w:t>
      </w:r>
    </w:p>
  </w:footnote>
  <w:footnote w:id="21">
    <w:p w14:paraId="53E6E5FC"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and Lane 1992: 218, provides and in detail timeline on the persecutions seen throughout for first three centuries. </w:t>
      </w:r>
    </w:p>
  </w:footnote>
  <w:footnote w:id="22">
    <w:p w14:paraId="5C11C58B" w14:textId="7054C3D3" w:rsidR="003A5255" w:rsidRPr="00B93D67" w:rsidRDefault="003A5255" w:rsidP="004E55D8">
      <w:pPr>
        <w:pStyle w:val="FootnoteText"/>
        <w:rPr>
          <w:sz w:val="20"/>
        </w:rPr>
      </w:pPr>
      <w:r w:rsidRPr="00B93D67">
        <w:rPr>
          <w:rStyle w:val="FootnoteReference"/>
          <w:sz w:val="20"/>
        </w:rPr>
        <w:footnoteRef/>
      </w:r>
      <w:r w:rsidRPr="00B93D67">
        <w:rPr>
          <w:sz w:val="20"/>
        </w:rPr>
        <w:t xml:space="preserve"> Tac. </w:t>
      </w:r>
      <w:r w:rsidRPr="00B93D67">
        <w:rPr>
          <w:i/>
          <w:sz w:val="20"/>
        </w:rPr>
        <w:t xml:space="preserve">Ann. </w:t>
      </w:r>
      <w:r w:rsidR="00DA6033" w:rsidRPr="00B93D67">
        <w:rPr>
          <w:sz w:val="20"/>
        </w:rPr>
        <w:t xml:space="preserve">15, 44 -47; Rives 2007: 198; At the end of chapter three a closer analysis of this will take place. </w:t>
      </w:r>
    </w:p>
  </w:footnote>
  <w:footnote w:id="23">
    <w:p w14:paraId="30D44CE6" w14:textId="717BA55A" w:rsidR="003A5255" w:rsidRPr="00B93D67" w:rsidRDefault="003A5255" w:rsidP="004E55D8">
      <w:pPr>
        <w:pStyle w:val="FootnoteText"/>
        <w:rPr>
          <w:sz w:val="20"/>
        </w:rPr>
      </w:pPr>
      <w:r w:rsidRPr="00B93D67">
        <w:rPr>
          <w:rStyle w:val="FootnoteReference"/>
          <w:sz w:val="20"/>
        </w:rPr>
        <w:footnoteRef/>
      </w:r>
      <w:r w:rsidRPr="00B93D67">
        <w:rPr>
          <w:sz w:val="20"/>
        </w:rPr>
        <w:t xml:space="preserve"> Tac. </w:t>
      </w:r>
      <w:r w:rsidRPr="00B93D67">
        <w:rPr>
          <w:i/>
          <w:sz w:val="20"/>
        </w:rPr>
        <w:t xml:space="preserve">Ann. </w:t>
      </w:r>
      <w:r w:rsidRPr="00B93D67">
        <w:rPr>
          <w:sz w:val="20"/>
        </w:rPr>
        <w:t xml:space="preserve">15. 33 – 47; Hyde 1970: 119. </w:t>
      </w:r>
    </w:p>
  </w:footnote>
  <w:footnote w:id="24">
    <w:p w14:paraId="5B96E081" w14:textId="66D2E76A" w:rsidR="003A5255" w:rsidRPr="00B93D67" w:rsidRDefault="003A5255" w:rsidP="004E55D8">
      <w:pPr>
        <w:pStyle w:val="FootnoteText"/>
        <w:rPr>
          <w:sz w:val="20"/>
        </w:rPr>
      </w:pPr>
      <w:r w:rsidRPr="00B93D67">
        <w:rPr>
          <w:rStyle w:val="FootnoteReference"/>
          <w:sz w:val="20"/>
        </w:rPr>
        <w:footnoteRef/>
      </w:r>
      <w:r w:rsidRPr="00B93D67">
        <w:rPr>
          <w:sz w:val="20"/>
        </w:rPr>
        <w:t xml:space="preserve"> This is important because it provides a background to the attitudes of elites </w:t>
      </w:r>
      <w:r w:rsidR="00491D8A" w:rsidRPr="00B93D67">
        <w:rPr>
          <w:sz w:val="20"/>
        </w:rPr>
        <w:t xml:space="preserve">earlier than the fourth century when the majority of change was taking place. </w:t>
      </w:r>
      <w:r w:rsidRPr="00B93D67">
        <w:rPr>
          <w:sz w:val="20"/>
        </w:rPr>
        <w:t xml:space="preserve"> </w:t>
      </w:r>
    </w:p>
  </w:footnote>
  <w:footnote w:id="25">
    <w:p w14:paraId="462FA39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Pliny, </w:t>
      </w:r>
      <w:r w:rsidRPr="00B93D67">
        <w:rPr>
          <w:i/>
          <w:sz w:val="20"/>
        </w:rPr>
        <w:t>Letters.</w:t>
      </w:r>
      <w:r w:rsidRPr="00B93D67">
        <w:rPr>
          <w:sz w:val="20"/>
        </w:rPr>
        <w:t xml:space="preserve"> 10. 98 – 99;</w:t>
      </w:r>
      <w:r w:rsidRPr="00B93D67">
        <w:rPr>
          <w:i/>
          <w:sz w:val="20"/>
        </w:rPr>
        <w:t xml:space="preserve"> </w:t>
      </w:r>
      <w:r w:rsidRPr="00B93D67">
        <w:rPr>
          <w:sz w:val="20"/>
        </w:rPr>
        <w:t xml:space="preserve">MacMullen and Lane 1992: 164, this source is particularly interesting as it is one of the earliest written accounts written about Christianity outside the bible. Pliny is also a ‘special high Commissioner to the provinces Bithynia and Pontus’.  </w:t>
      </w:r>
    </w:p>
  </w:footnote>
  <w:footnote w:id="26">
    <w:p w14:paraId="2CA45CF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Pliny. </w:t>
      </w:r>
      <w:r w:rsidRPr="00B93D67">
        <w:rPr>
          <w:i/>
          <w:sz w:val="20"/>
        </w:rPr>
        <w:t xml:space="preserve">Letters. </w:t>
      </w:r>
      <w:r w:rsidRPr="00B93D67">
        <w:rPr>
          <w:sz w:val="20"/>
        </w:rPr>
        <w:t xml:space="preserve">10. 98. 99; MacMullen and Lane 1992: 164 -5. </w:t>
      </w:r>
    </w:p>
  </w:footnote>
  <w:footnote w:id="27">
    <w:p w14:paraId="388FE3B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Pliny. </w:t>
      </w:r>
      <w:r w:rsidRPr="00B93D67">
        <w:rPr>
          <w:i/>
          <w:sz w:val="20"/>
        </w:rPr>
        <w:t xml:space="preserve">Letters. </w:t>
      </w:r>
      <w:r w:rsidRPr="00B93D67">
        <w:rPr>
          <w:sz w:val="20"/>
        </w:rPr>
        <w:t xml:space="preserve">10. 98. 99; MacMullen and Lane 1992: 165. It is interesting to note that there is a use of the word ‘mad’, similarly this is bought up in both Chapter Two Three regarding the term ‘madness’ in church writings and the code, and the connotations of this. </w:t>
      </w:r>
    </w:p>
  </w:footnote>
  <w:footnote w:id="28">
    <w:p w14:paraId="031F0DB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Pliny. </w:t>
      </w:r>
      <w:r w:rsidRPr="00B93D67">
        <w:rPr>
          <w:i/>
          <w:sz w:val="20"/>
        </w:rPr>
        <w:t xml:space="preserve">Letters. </w:t>
      </w:r>
      <w:r w:rsidRPr="00B93D67">
        <w:rPr>
          <w:sz w:val="20"/>
        </w:rPr>
        <w:t>10. 98. 99; MacMullen and Lane 1992: 165</w:t>
      </w:r>
    </w:p>
  </w:footnote>
  <w:footnote w:id="29">
    <w:p w14:paraId="344E1E43" w14:textId="2C24106E" w:rsidR="00A67943" w:rsidRPr="00B93D67" w:rsidRDefault="00A67943">
      <w:pPr>
        <w:pStyle w:val="FootnoteText"/>
        <w:rPr>
          <w:sz w:val="20"/>
        </w:rPr>
      </w:pPr>
      <w:r w:rsidRPr="00B93D67">
        <w:rPr>
          <w:rStyle w:val="FootnoteReference"/>
          <w:sz w:val="20"/>
        </w:rPr>
        <w:footnoteRef/>
      </w:r>
      <w:r w:rsidRPr="00B93D67">
        <w:rPr>
          <w:sz w:val="20"/>
        </w:rPr>
        <w:t xml:space="preserve"> Lib. </w:t>
      </w:r>
      <w:r w:rsidRPr="00B93D67">
        <w:rPr>
          <w:i/>
          <w:sz w:val="20"/>
        </w:rPr>
        <w:t xml:space="preserve">Or. </w:t>
      </w:r>
      <w:r w:rsidRPr="00B93D67">
        <w:rPr>
          <w:sz w:val="20"/>
        </w:rPr>
        <w:t>30. 28. This idea of the alternative of keeping the peace is explored in Chapter Three of this dissertation.</w:t>
      </w:r>
    </w:p>
  </w:footnote>
  <w:footnote w:id="30">
    <w:p w14:paraId="595CF399"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484. </w:t>
      </w:r>
    </w:p>
  </w:footnote>
  <w:footnote w:id="31">
    <w:p w14:paraId="5DFA2C8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Eus. </w:t>
      </w:r>
      <w:r w:rsidRPr="00B93D67">
        <w:rPr>
          <w:i/>
          <w:sz w:val="20"/>
        </w:rPr>
        <w:t>EH</w:t>
      </w:r>
      <w:r w:rsidRPr="00B93D67">
        <w:rPr>
          <w:sz w:val="20"/>
        </w:rPr>
        <w:t xml:space="preserve">. 8. 2. 4; Keresztes 1983: 382, these edicts and persecutions will be explored in more detail in Chapter Two detailing the events which led to the Edict of Toleration. </w:t>
      </w:r>
    </w:p>
  </w:footnote>
  <w:footnote w:id="32">
    <w:p w14:paraId="618BB9E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Eus. </w:t>
      </w:r>
      <w:r w:rsidRPr="00B93D67">
        <w:rPr>
          <w:i/>
          <w:sz w:val="20"/>
        </w:rPr>
        <w:t>EH</w:t>
      </w:r>
      <w:r w:rsidRPr="00B93D67">
        <w:rPr>
          <w:sz w:val="20"/>
        </w:rPr>
        <w:t xml:space="preserve">. 8. 2. 4. </w:t>
      </w:r>
    </w:p>
  </w:footnote>
  <w:footnote w:id="33">
    <w:p w14:paraId="48685C0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 41. </w:t>
      </w:r>
    </w:p>
  </w:footnote>
  <w:footnote w:id="34">
    <w:p w14:paraId="22AFA720" w14:textId="55705D59"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w:t>
      </w:r>
      <w:r w:rsidR="00CA5748" w:rsidRPr="00B93D67">
        <w:rPr>
          <w:sz w:val="20"/>
        </w:rPr>
        <w:t xml:space="preserve">: 27; MacMullen 1984: 50. </w:t>
      </w:r>
    </w:p>
  </w:footnote>
  <w:footnote w:id="35">
    <w:p w14:paraId="47AB4C0B" w14:textId="0585C59D" w:rsidR="003A5255" w:rsidRPr="00B93D67" w:rsidRDefault="003A5255" w:rsidP="004E55D8">
      <w:pPr>
        <w:pStyle w:val="FootnoteText"/>
        <w:rPr>
          <w:i/>
          <w:sz w:val="20"/>
        </w:rPr>
      </w:pPr>
      <w:r w:rsidRPr="00B93D67">
        <w:rPr>
          <w:rStyle w:val="FootnoteReference"/>
          <w:sz w:val="20"/>
        </w:rPr>
        <w:footnoteRef/>
      </w:r>
      <w:r w:rsidRPr="00B93D67">
        <w:rPr>
          <w:sz w:val="20"/>
        </w:rPr>
        <w:t xml:space="preserve"> </w:t>
      </w:r>
      <w:r w:rsidR="00F15DDA" w:rsidRPr="00B93D67">
        <w:rPr>
          <w:sz w:val="20"/>
        </w:rPr>
        <w:t xml:space="preserve">Hölkeskamp 2010: 17, </w:t>
      </w:r>
      <w:r w:rsidR="00491D8A" w:rsidRPr="00B93D67">
        <w:rPr>
          <w:sz w:val="20"/>
        </w:rPr>
        <w:t>t</w:t>
      </w:r>
      <w:r w:rsidRPr="00B93D67">
        <w:rPr>
          <w:sz w:val="20"/>
        </w:rPr>
        <w:t xml:space="preserve">raditional religion was as mentioned during the introduction the idea of </w:t>
      </w:r>
      <w:r w:rsidRPr="00B93D67">
        <w:rPr>
          <w:i/>
          <w:sz w:val="20"/>
        </w:rPr>
        <w:t xml:space="preserve">mos maiorum. </w:t>
      </w:r>
    </w:p>
  </w:footnote>
  <w:footnote w:id="36">
    <w:p w14:paraId="11911E89" w14:textId="65075C4F" w:rsidR="003A5255" w:rsidRPr="00B93D67" w:rsidRDefault="003A5255" w:rsidP="004E55D8">
      <w:pPr>
        <w:pStyle w:val="FootnoteText"/>
        <w:rPr>
          <w:sz w:val="20"/>
        </w:rPr>
      </w:pPr>
      <w:r w:rsidRPr="00B93D67">
        <w:rPr>
          <w:rStyle w:val="FootnoteReference"/>
          <w:sz w:val="20"/>
        </w:rPr>
        <w:footnoteRef/>
      </w:r>
      <w:r w:rsidRPr="00B93D67">
        <w:rPr>
          <w:sz w:val="20"/>
        </w:rPr>
        <w:t xml:space="preserve"> Constantine pushed Christianity for the first time, and so be gauging reactions from this can illuminate changing attitudes throughout the century. </w:t>
      </w:r>
      <w:r w:rsidR="009E72A3" w:rsidRPr="00B93D67">
        <w:rPr>
          <w:sz w:val="20"/>
        </w:rPr>
        <w:t xml:space="preserve">From this </w:t>
      </w:r>
      <w:r w:rsidR="00F15DDA" w:rsidRPr="00B93D67">
        <w:rPr>
          <w:sz w:val="20"/>
        </w:rPr>
        <w:t>point,</w:t>
      </w:r>
      <w:r w:rsidR="009E72A3" w:rsidRPr="00B93D67">
        <w:rPr>
          <w:sz w:val="20"/>
        </w:rPr>
        <w:t xml:space="preserve"> onwards unless otherwise stated all dates are in AD. </w:t>
      </w:r>
    </w:p>
  </w:footnote>
  <w:footnote w:id="37">
    <w:p w14:paraId="074D2DC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 </w:t>
      </w:r>
    </w:p>
  </w:footnote>
  <w:footnote w:id="38">
    <w:p w14:paraId="36E149F6"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Drake 1997. </w:t>
      </w:r>
    </w:p>
  </w:footnote>
  <w:footnote w:id="39">
    <w:p w14:paraId="7BDF3E1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Pohlsander 1998. </w:t>
      </w:r>
    </w:p>
  </w:footnote>
  <w:footnote w:id="40">
    <w:p w14:paraId="3E5D6BB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Pohlsander 1998: 527. </w:t>
      </w:r>
    </w:p>
  </w:footnote>
  <w:footnote w:id="41">
    <w:p w14:paraId="20F94AD5"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Both Drake 1997 and Polshander 1998 hold this view. </w:t>
      </w:r>
    </w:p>
  </w:footnote>
  <w:footnote w:id="42">
    <w:p w14:paraId="16B88594" w14:textId="651E1B64" w:rsidR="003A5255" w:rsidRPr="00B93D67" w:rsidRDefault="003A5255" w:rsidP="004E55D8">
      <w:pPr>
        <w:pStyle w:val="FootnoteText"/>
        <w:rPr>
          <w:sz w:val="20"/>
        </w:rPr>
      </w:pPr>
      <w:r w:rsidRPr="00B93D67">
        <w:rPr>
          <w:rStyle w:val="FootnoteReference"/>
          <w:sz w:val="20"/>
        </w:rPr>
        <w:footnoteRef/>
      </w:r>
      <w:r w:rsidRPr="00B93D67">
        <w:rPr>
          <w:sz w:val="20"/>
        </w:rPr>
        <w:t xml:space="preserve"> Drake 1997: 430, Drake quotes Elli</w:t>
      </w:r>
      <w:r w:rsidR="009E72A3" w:rsidRPr="00B93D67">
        <w:rPr>
          <w:sz w:val="20"/>
        </w:rPr>
        <w:t>ot’s work as being stimulating</w:t>
      </w:r>
      <w:r w:rsidR="00491D8A" w:rsidRPr="00B93D67">
        <w:rPr>
          <w:sz w:val="20"/>
        </w:rPr>
        <w:t>, which there is no doubt of</w:t>
      </w:r>
      <w:r w:rsidR="009E72A3" w:rsidRPr="00B93D67">
        <w:rPr>
          <w:sz w:val="20"/>
        </w:rPr>
        <w:t>; there are certainty elements of Elliot’s book which provide interesting analysis, however given that multiple scholars actively disagree, Elliot is mostly used in order to show p</w:t>
      </w:r>
      <w:r w:rsidR="00B93D67">
        <w:rPr>
          <w:sz w:val="20"/>
        </w:rPr>
        <w:t xml:space="preserve">ositive aspects of Constantine along with the works of Eusebius. </w:t>
      </w:r>
    </w:p>
  </w:footnote>
  <w:footnote w:id="43">
    <w:p w14:paraId="3FE93B15" w14:textId="5E9699F7" w:rsidR="003A5255" w:rsidRPr="00B93D67" w:rsidRDefault="003A5255" w:rsidP="004E55D8">
      <w:pPr>
        <w:pStyle w:val="FootnoteText"/>
        <w:rPr>
          <w:sz w:val="20"/>
        </w:rPr>
      </w:pPr>
      <w:r w:rsidRPr="00B93D67">
        <w:rPr>
          <w:rStyle w:val="FootnoteReference"/>
          <w:sz w:val="20"/>
        </w:rPr>
        <w:footnoteRef/>
      </w:r>
      <w:r w:rsidR="00B93D67">
        <w:rPr>
          <w:sz w:val="20"/>
        </w:rPr>
        <w:t xml:space="preserve"> Elliot 1990: </w:t>
      </w:r>
      <w:r w:rsidR="00E937AC" w:rsidRPr="00B93D67">
        <w:rPr>
          <w:sz w:val="20"/>
        </w:rPr>
        <w:t xml:space="preserve">50; </w:t>
      </w:r>
      <w:r w:rsidRPr="00B93D67">
        <w:rPr>
          <w:sz w:val="20"/>
        </w:rPr>
        <w:t xml:space="preserve">Eus. </w:t>
      </w:r>
      <w:r w:rsidRPr="00B93D67">
        <w:rPr>
          <w:i/>
          <w:sz w:val="20"/>
        </w:rPr>
        <w:t xml:space="preserve">EH. </w:t>
      </w:r>
      <w:r w:rsidRPr="00B93D67">
        <w:rPr>
          <w:sz w:val="20"/>
        </w:rPr>
        <w:t xml:space="preserve">and Eus. </w:t>
      </w:r>
      <w:r w:rsidRPr="00B93D67">
        <w:rPr>
          <w:i/>
          <w:sz w:val="20"/>
        </w:rPr>
        <w:t xml:space="preserve">VC. </w:t>
      </w:r>
      <w:r w:rsidRPr="00B93D67">
        <w:rPr>
          <w:sz w:val="20"/>
        </w:rPr>
        <w:t xml:space="preserve"> </w:t>
      </w:r>
    </w:p>
  </w:footnote>
  <w:footnote w:id="44">
    <w:p w14:paraId="718C76EF" w14:textId="25396FEA" w:rsidR="003A5255" w:rsidRPr="00B93D67" w:rsidRDefault="003A5255" w:rsidP="004E55D8">
      <w:pPr>
        <w:pStyle w:val="FootnoteText"/>
        <w:rPr>
          <w:sz w:val="20"/>
        </w:rPr>
      </w:pPr>
      <w:r w:rsidRPr="00B93D67">
        <w:rPr>
          <w:rStyle w:val="FootnoteReference"/>
          <w:sz w:val="20"/>
        </w:rPr>
        <w:footnoteRef/>
      </w:r>
      <w:r w:rsidR="00491D8A" w:rsidRPr="00B93D67">
        <w:rPr>
          <w:sz w:val="20"/>
        </w:rPr>
        <w:t xml:space="preserve"> Storch 1971: 145.</w:t>
      </w:r>
    </w:p>
  </w:footnote>
  <w:footnote w:id="45">
    <w:p w14:paraId="34BB94A7" w14:textId="653833B6" w:rsidR="003A5255" w:rsidRPr="00B93D67" w:rsidRDefault="003A5255" w:rsidP="004E55D8">
      <w:pPr>
        <w:pStyle w:val="FootnoteText"/>
        <w:rPr>
          <w:sz w:val="20"/>
        </w:rPr>
      </w:pPr>
      <w:r w:rsidRPr="00B93D67">
        <w:rPr>
          <w:rStyle w:val="FootnoteReference"/>
          <w:sz w:val="20"/>
        </w:rPr>
        <w:footnoteRef/>
      </w:r>
      <w:r w:rsidRPr="00B93D67">
        <w:rPr>
          <w:sz w:val="20"/>
        </w:rPr>
        <w:t xml:space="preserve"> Storch 1971: 146; Storch 1971: 153, also refers to Eus</w:t>
      </w:r>
      <w:r w:rsidR="00491D8A" w:rsidRPr="00B93D67">
        <w:rPr>
          <w:sz w:val="20"/>
        </w:rPr>
        <w:t>ebius as Constantine’s admirer</w:t>
      </w:r>
      <w:r w:rsidR="00B93D67">
        <w:rPr>
          <w:sz w:val="20"/>
        </w:rPr>
        <w:t xml:space="preserve">, clearly the view held by Elliot </w:t>
      </w:r>
      <w:r w:rsidR="00F52A9F">
        <w:rPr>
          <w:sz w:val="20"/>
        </w:rPr>
        <w:t xml:space="preserve">in his publication inferring that Eusebius would have considered Constantine a Christian regardless of his actions – Elliot 1996: 24 -26. </w:t>
      </w:r>
    </w:p>
  </w:footnote>
  <w:footnote w:id="46">
    <w:p w14:paraId="1B429ED1" w14:textId="0D9D07F4" w:rsidR="003A5255" w:rsidRPr="00B93D67" w:rsidRDefault="003A5255" w:rsidP="004E55D8">
      <w:pPr>
        <w:pStyle w:val="FootnoteText"/>
        <w:rPr>
          <w:sz w:val="20"/>
        </w:rPr>
      </w:pPr>
      <w:r w:rsidRPr="00B93D67">
        <w:rPr>
          <w:rStyle w:val="FootnoteReference"/>
          <w:sz w:val="20"/>
        </w:rPr>
        <w:footnoteRef/>
      </w:r>
      <w:r w:rsidR="00491D8A" w:rsidRPr="00B93D67">
        <w:rPr>
          <w:sz w:val="20"/>
        </w:rPr>
        <w:t xml:space="preserve"> Storch 1971: 147</w:t>
      </w:r>
    </w:p>
  </w:footnote>
  <w:footnote w:id="47">
    <w:p w14:paraId="1D5DBEA2" w14:textId="32E43CB8" w:rsidR="003A5255" w:rsidRPr="00B93D67" w:rsidRDefault="003A5255">
      <w:pPr>
        <w:pStyle w:val="FootnoteText"/>
        <w:rPr>
          <w:sz w:val="20"/>
        </w:rPr>
      </w:pPr>
      <w:r w:rsidRPr="00B93D67">
        <w:rPr>
          <w:rStyle w:val="FootnoteReference"/>
          <w:sz w:val="20"/>
        </w:rPr>
        <w:footnoteRef/>
      </w:r>
      <w:r w:rsidRPr="00B93D67">
        <w:rPr>
          <w:sz w:val="20"/>
        </w:rPr>
        <w:t xml:space="preserve"> Elliot 1996: 3. </w:t>
      </w:r>
    </w:p>
  </w:footnote>
  <w:footnote w:id="48">
    <w:p w14:paraId="65D36ABA"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Lac. </w:t>
      </w:r>
      <w:r w:rsidRPr="00B93D67">
        <w:rPr>
          <w:i/>
          <w:sz w:val="20"/>
        </w:rPr>
        <w:t xml:space="preserve">De Mort. Pers. </w:t>
      </w:r>
    </w:p>
  </w:footnote>
  <w:footnote w:id="49">
    <w:p w14:paraId="7AB24140" w14:textId="65399029"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498 – 499, translations of the Edict of Milan are found in both Lactantius and Eusebius, as Knipfing highlights Lactantius published the original edict within in his works and it was copied within Eusebius’ work</w:t>
      </w:r>
      <w:r w:rsidR="00E937AC" w:rsidRPr="00B93D67">
        <w:rPr>
          <w:sz w:val="20"/>
        </w:rPr>
        <w:t xml:space="preserve">. </w:t>
      </w:r>
    </w:p>
  </w:footnote>
  <w:footnote w:id="50">
    <w:p w14:paraId="237E32B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499. </w:t>
      </w:r>
    </w:p>
  </w:footnote>
  <w:footnote w:id="51">
    <w:p w14:paraId="3B6CFACA" w14:textId="60D9140D" w:rsidR="003A5255" w:rsidRPr="00B93D67" w:rsidRDefault="003A5255" w:rsidP="004E55D8">
      <w:pPr>
        <w:pStyle w:val="FootnoteText"/>
        <w:rPr>
          <w:sz w:val="20"/>
        </w:rPr>
      </w:pPr>
      <w:r w:rsidRPr="00B93D67">
        <w:rPr>
          <w:rStyle w:val="FootnoteReference"/>
          <w:sz w:val="20"/>
        </w:rPr>
        <w:footnoteRef/>
      </w:r>
      <w:r w:rsidRPr="00B93D67">
        <w:rPr>
          <w:sz w:val="20"/>
        </w:rPr>
        <w:t xml:space="preserve"> Fowden 1993: 85</w:t>
      </w:r>
    </w:p>
  </w:footnote>
  <w:footnote w:id="52">
    <w:p w14:paraId="5EDDDC77" w14:textId="68DA2BFA"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w:t>
      </w:r>
      <w:r w:rsidR="00FD2908" w:rsidRPr="00B93D67">
        <w:rPr>
          <w:sz w:val="20"/>
        </w:rPr>
        <w:t xml:space="preserve"> 74 –</w:t>
      </w:r>
      <w:r w:rsidR="00E8644F" w:rsidRPr="00B93D67">
        <w:rPr>
          <w:sz w:val="20"/>
        </w:rPr>
        <w:t xml:space="preserve"> 85</w:t>
      </w:r>
      <w:r w:rsidR="009E72A3" w:rsidRPr="00B93D67">
        <w:rPr>
          <w:sz w:val="20"/>
        </w:rPr>
        <w:t>; Christia</w:t>
      </w:r>
      <w:r w:rsidR="00720F63" w:rsidRPr="00B93D67">
        <w:rPr>
          <w:sz w:val="20"/>
        </w:rPr>
        <w:t>nisation also is a blanket term</w:t>
      </w:r>
      <w:r w:rsidR="009E72A3" w:rsidRPr="00B93D67">
        <w:rPr>
          <w:sz w:val="20"/>
        </w:rPr>
        <w:t xml:space="preserve"> for the entirety of Christianity, however there are many different branches of Christianity as opposed to orthodox Christianity which is implemented under Theodosius – C. Th, 16. 1. 1. </w:t>
      </w:r>
    </w:p>
  </w:footnote>
  <w:footnote w:id="53">
    <w:p w14:paraId="7C1F220D" w14:textId="7E68CBE1" w:rsidR="003A5255" w:rsidRPr="00B93D67" w:rsidRDefault="003A5255">
      <w:pPr>
        <w:pStyle w:val="FootnoteText"/>
        <w:rPr>
          <w:sz w:val="20"/>
        </w:rPr>
      </w:pPr>
      <w:r w:rsidRPr="00B93D67">
        <w:rPr>
          <w:rStyle w:val="FootnoteReference"/>
          <w:sz w:val="20"/>
        </w:rPr>
        <w:footnoteRef/>
      </w:r>
      <w:r w:rsidRPr="00B93D67">
        <w:rPr>
          <w:sz w:val="20"/>
        </w:rPr>
        <w:t xml:space="preserve"> King 1961: 29. </w:t>
      </w:r>
    </w:p>
  </w:footnote>
  <w:footnote w:id="54">
    <w:p w14:paraId="37BE0AD7" w14:textId="33E01BE6" w:rsidR="003A5255" w:rsidRPr="00B93D67" w:rsidRDefault="003A5255">
      <w:pPr>
        <w:pStyle w:val="FootnoteText"/>
        <w:rPr>
          <w:sz w:val="20"/>
        </w:rPr>
      </w:pPr>
      <w:r w:rsidRPr="00B93D67">
        <w:rPr>
          <w:rStyle w:val="FootnoteReference"/>
          <w:sz w:val="20"/>
        </w:rPr>
        <w:footnoteRef/>
      </w:r>
      <w:r w:rsidRPr="00B93D67">
        <w:rPr>
          <w:sz w:val="20"/>
        </w:rPr>
        <w:t xml:space="preserve"> King 1961: 30. </w:t>
      </w:r>
    </w:p>
  </w:footnote>
  <w:footnote w:id="55">
    <w:p w14:paraId="26C6715D" w14:textId="743E01FD" w:rsidR="003A5255" w:rsidRPr="00B93D67" w:rsidRDefault="003A5255">
      <w:pPr>
        <w:pStyle w:val="FootnoteText"/>
        <w:rPr>
          <w:sz w:val="20"/>
        </w:rPr>
      </w:pPr>
      <w:r w:rsidRPr="00B93D67">
        <w:rPr>
          <w:rStyle w:val="FootnoteReference"/>
          <w:sz w:val="20"/>
        </w:rPr>
        <w:footnoteRef/>
      </w:r>
      <w:r w:rsidRPr="00B93D67">
        <w:rPr>
          <w:sz w:val="20"/>
        </w:rPr>
        <w:t xml:space="preserve"> King 1961: 50. </w:t>
      </w:r>
    </w:p>
  </w:footnote>
  <w:footnote w:id="56">
    <w:p w14:paraId="46415619" w14:textId="62A47FF1" w:rsidR="003A5255" w:rsidRPr="00B93D67" w:rsidRDefault="003A5255">
      <w:pPr>
        <w:pStyle w:val="FootnoteText"/>
        <w:rPr>
          <w:sz w:val="20"/>
        </w:rPr>
      </w:pPr>
      <w:r w:rsidRPr="00B93D67">
        <w:rPr>
          <w:rStyle w:val="FootnoteReference"/>
          <w:sz w:val="20"/>
        </w:rPr>
        <w:footnoteRef/>
      </w:r>
      <w:r w:rsidRPr="00B93D67">
        <w:rPr>
          <w:sz w:val="20"/>
        </w:rPr>
        <w:t xml:space="preserve"> King 1961: 50, Theodosius’ viewed that all Christians who did not follow orthodox or </w:t>
      </w:r>
      <w:r w:rsidR="003370FC" w:rsidRPr="00B93D67">
        <w:rPr>
          <w:sz w:val="20"/>
        </w:rPr>
        <w:t>Nicene</w:t>
      </w:r>
      <w:r w:rsidRPr="00B93D67">
        <w:rPr>
          <w:sz w:val="20"/>
        </w:rPr>
        <w:t xml:space="preserve"> </w:t>
      </w:r>
      <w:r w:rsidR="00491D8A" w:rsidRPr="00B93D67">
        <w:rPr>
          <w:sz w:val="20"/>
        </w:rPr>
        <w:t xml:space="preserve">Christianity would be punished, surely this is somewhat hypocritical of the faith itself to </w:t>
      </w:r>
      <w:r w:rsidR="003370FC" w:rsidRPr="00B93D67">
        <w:rPr>
          <w:sz w:val="20"/>
        </w:rPr>
        <w:t>be understanding of others.</w:t>
      </w:r>
    </w:p>
  </w:footnote>
  <w:footnote w:id="57">
    <w:p w14:paraId="397D94A9" w14:textId="681DED1E" w:rsidR="003A5255" w:rsidRPr="00B93D67" w:rsidRDefault="003A5255">
      <w:pPr>
        <w:pStyle w:val="FootnoteText"/>
        <w:rPr>
          <w:sz w:val="20"/>
        </w:rPr>
      </w:pPr>
      <w:r w:rsidRPr="00B93D67">
        <w:rPr>
          <w:rStyle w:val="FootnoteReference"/>
          <w:sz w:val="20"/>
        </w:rPr>
        <w:footnoteRef/>
      </w:r>
      <w:r w:rsidRPr="00B93D67">
        <w:rPr>
          <w:sz w:val="20"/>
        </w:rPr>
        <w:t xml:space="preserve"> Salzman 1993: 363 – 364, this does not seem to make sense with the larger argument of convers</w:t>
      </w:r>
      <w:r w:rsidR="003370FC" w:rsidRPr="00B93D67">
        <w:rPr>
          <w:sz w:val="20"/>
        </w:rPr>
        <w:t>ion to Christianity if there were</w:t>
      </w:r>
      <w:r w:rsidRPr="00B93D67">
        <w:rPr>
          <w:sz w:val="20"/>
        </w:rPr>
        <w:t xml:space="preserve"> heightened tensions with those that had converted regardless of how that decision may have been achieved. </w:t>
      </w:r>
    </w:p>
  </w:footnote>
  <w:footnote w:id="58">
    <w:p w14:paraId="49F630C7" w14:textId="0A7E7158" w:rsidR="003A5255" w:rsidRPr="00B93D67" w:rsidRDefault="003A5255">
      <w:pPr>
        <w:pStyle w:val="FootnoteText"/>
        <w:rPr>
          <w:sz w:val="20"/>
        </w:rPr>
      </w:pPr>
      <w:r w:rsidRPr="00B93D67">
        <w:rPr>
          <w:rStyle w:val="FootnoteReference"/>
          <w:sz w:val="20"/>
        </w:rPr>
        <w:footnoteRef/>
      </w:r>
      <w:r w:rsidRPr="00B93D67">
        <w:rPr>
          <w:sz w:val="20"/>
        </w:rPr>
        <w:t xml:space="preserve"> This reflection further deepens and complicates the matter of trying to attain a true understanding of societal reactions to the rise of Christianity. </w:t>
      </w:r>
    </w:p>
  </w:footnote>
  <w:footnote w:id="59">
    <w:p w14:paraId="005FAD35" w14:textId="3E961C73" w:rsidR="003A5255" w:rsidRPr="00B93D67" w:rsidRDefault="003A5255" w:rsidP="004E55D8">
      <w:pPr>
        <w:pStyle w:val="FootnoteText"/>
        <w:rPr>
          <w:sz w:val="20"/>
        </w:rPr>
      </w:pPr>
      <w:r w:rsidRPr="00B93D67">
        <w:rPr>
          <w:rStyle w:val="FootnoteReference"/>
          <w:sz w:val="20"/>
        </w:rPr>
        <w:footnoteRef/>
      </w:r>
      <w:r w:rsidRPr="00B93D67">
        <w:rPr>
          <w:sz w:val="20"/>
        </w:rPr>
        <w:t xml:space="preserve"> C. Th. 16. </w:t>
      </w:r>
    </w:p>
  </w:footnote>
  <w:footnote w:id="60">
    <w:p w14:paraId="718473E9" w14:textId="2FBE9D29" w:rsidR="003A5255" w:rsidRPr="00B93D67" w:rsidRDefault="003A5255" w:rsidP="004E55D8">
      <w:pPr>
        <w:pStyle w:val="FootnoteText"/>
        <w:rPr>
          <w:sz w:val="20"/>
        </w:rPr>
      </w:pPr>
      <w:r w:rsidRPr="00B93D67">
        <w:rPr>
          <w:rStyle w:val="FootnoteReference"/>
          <w:sz w:val="20"/>
        </w:rPr>
        <w:footnoteRef/>
      </w:r>
      <w:r w:rsidR="00E8644F" w:rsidRPr="00B93D67">
        <w:rPr>
          <w:sz w:val="20"/>
        </w:rPr>
        <w:t xml:space="preserve"> MacMullen 1964: 49, ‘There is no excuse, however, for taking the code at face value’</w:t>
      </w:r>
      <w:r w:rsidR="003370FC" w:rsidRPr="00B93D67">
        <w:rPr>
          <w:sz w:val="20"/>
        </w:rPr>
        <w:t xml:space="preserve">, although this dissertation endeavours not to do this and looks further into why laws would have been implemented, there are some instances in which it benefits the argument to do so. </w:t>
      </w:r>
    </w:p>
  </w:footnote>
  <w:footnote w:id="61">
    <w:p w14:paraId="015FB18E" w14:textId="1D80736E"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w:t>
      </w:r>
      <w:r w:rsidR="005479D4" w:rsidRPr="00B93D67">
        <w:rPr>
          <w:sz w:val="20"/>
        </w:rPr>
        <w:t xml:space="preserve">362. </w:t>
      </w:r>
    </w:p>
  </w:footnote>
  <w:footnote w:id="62">
    <w:p w14:paraId="4F2B327B" w14:textId="2CA95A0E" w:rsidR="003A5255" w:rsidRPr="00B93D67" w:rsidRDefault="003A5255" w:rsidP="004E55D8">
      <w:pPr>
        <w:pStyle w:val="FootnoteText"/>
        <w:rPr>
          <w:sz w:val="20"/>
        </w:rPr>
      </w:pPr>
      <w:r w:rsidRPr="00B93D67">
        <w:rPr>
          <w:rStyle w:val="FootnoteReference"/>
          <w:sz w:val="20"/>
        </w:rPr>
        <w:footnoteRef/>
      </w:r>
      <w:r w:rsidR="005479D4" w:rsidRPr="00B93D67">
        <w:rPr>
          <w:sz w:val="20"/>
        </w:rPr>
        <w:t xml:space="preserve"> C. Th. 16.</w:t>
      </w:r>
      <w:r w:rsidR="006C29A5" w:rsidRPr="00B93D67">
        <w:rPr>
          <w:sz w:val="20"/>
        </w:rPr>
        <w:t xml:space="preserve"> 3. 1 – 2</w:t>
      </w:r>
      <w:r w:rsidRPr="00B93D67">
        <w:rPr>
          <w:sz w:val="20"/>
        </w:rPr>
        <w:t>,</w:t>
      </w:r>
      <w:r w:rsidR="006C29A5" w:rsidRPr="00B93D67">
        <w:rPr>
          <w:sz w:val="20"/>
        </w:rPr>
        <w:t xml:space="preserve"> </w:t>
      </w:r>
      <w:r w:rsidRPr="00B93D67">
        <w:rPr>
          <w:sz w:val="20"/>
        </w:rPr>
        <w:t xml:space="preserve">backs up this notion by Salzman.  </w:t>
      </w:r>
    </w:p>
  </w:footnote>
  <w:footnote w:id="63">
    <w:p w14:paraId="473C84BB" w14:textId="48C24F59" w:rsidR="003A5255" w:rsidRPr="00B93D67" w:rsidRDefault="003A5255" w:rsidP="004E55D8">
      <w:pPr>
        <w:pStyle w:val="FootnoteText"/>
        <w:rPr>
          <w:sz w:val="20"/>
        </w:rPr>
      </w:pPr>
      <w:r w:rsidRPr="00B93D67">
        <w:rPr>
          <w:rStyle w:val="FootnoteReference"/>
          <w:sz w:val="20"/>
        </w:rPr>
        <w:footnoteRef/>
      </w:r>
      <w:r w:rsidRPr="00B93D67">
        <w:rPr>
          <w:sz w:val="20"/>
        </w:rPr>
        <w:t xml:space="preserve"> Although Chapter 16 focuses on Christianity, unrest can be inferred throughout various laws put in place. </w:t>
      </w:r>
    </w:p>
  </w:footnote>
  <w:footnote w:id="64">
    <w:p w14:paraId="597436E1" w14:textId="656FAFB7" w:rsidR="003A5255" w:rsidRPr="00B93D67" w:rsidRDefault="003A5255">
      <w:pPr>
        <w:pStyle w:val="FootnoteText"/>
        <w:rPr>
          <w:sz w:val="20"/>
        </w:rPr>
      </w:pPr>
      <w:r w:rsidRPr="00B93D67">
        <w:rPr>
          <w:rStyle w:val="FootnoteReference"/>
          <w:sz w:val="20"/>
        </w:rPr>
        <w:footnoteRef/>
      </w:r>
      <w:r w:rsidR="006C29A5" w:rsidRPr="00B93D67">
        <w:rPr>
          <w:sz w:val="20"/>
        </w:rPr>
        <w:t xml:space="preserve"> Salzman 1993.</w:t>
      </w:r>
    </w:p>
  </w:footnote>
  <w:footnote w:id="65">
    <w:p w14:paraId="54EF7338" w14:textId="093200C4" w:rsidR="003A5255" w:rsidRPr="00B93D67" w:rsidRDefault="003A5255">
      <w:pPr>
        <w:pStyle w:val="FootnoteText"/>
        <w:rPr>
          <w:sz w:val="20"/>
        </w:rPr>
      </w:pPr>
      <w:r w:rsidRPr="00B93D67">
        <w:rPr>
          <w:rStyle w:val="FootnoteReference"/>
          <w:sz w:val="20"/>
        </w:rPr>
        <w:footnoteRef/>
      </w:r>
      <w:r w:rsidRPr="00B93D67">
        <w:rPr>
          <w:sz w:val="20"/>
        </w:rPr>
        <w:t xml:space="preserve"> MacMullen 1964: 49. </w:t>
      </w:r>
    </w:p>
  </w:footnote>
  <w:footnote w:id="66">
    <w:p w14:paraId="180634FD" w14:textId="63D8F430" w:rsidR="003A5255" w:rsidRPr="00B93D67" w:rsidRDefault="003A5255">
      <w:pPr>
        <w:pStyle w:val="FootnoteText"/>
        <w:rPr>
          <w:sz w:val="20"/>
        </w:rPr>
      </w:pPr>
      <w:r w:rsidRPr="00B93D67">
        <w:rPr>
          <w:rStyle w:val="FootnoteReference"/>
          <w:sz w:val="20"/>
        </w:rPr>
        <w:footnoteRef/>
      </w:r>
      <w:r w:rsidRPr="00B93D67">
        <w:rPr>
          <w:sz w:val="20"/>
        </w:rPr>
        <w:t xml:space="preserve"> Salzman 1993: </w:t>
      </w:r>
      <w:r w:rsidR="005479D4" w:rsidRPr="00B93D67">
        <w:rPr>
          <w:sz w:val="20"/>
        </w:rPr>
        <w:t xml:space="preserve">362. </w:t>
      </w:r>
    </w:p>
  </w:footnote>
  <w:footnote w:id="67">
    <w:p w14:paraId="77BCDC63" w14:textId="489349A0" w:rsidR="003A5255" w:rsidRPr="00B93D67" w:rsidRDefault="003A5255" w:rsidP="004E55D8">
      <w:pPr>
        <w:pStyle w:val="FootnoteText"/>
        <w:rPr>
          <w:sz w:val="20"/>
        </w:rPr>
      </w:pPr>
      <w:r w:rsidRPr="00B93D67">
        <w:rPr>
          <w:rStyle w:val="FootnoteReference"/>
          <w:sz w:val="20"/>
        </w:rPr>
        <w:footnoteRef/>
      </w:r>
      <w:r w:rsidRPr="00B93D67">
        <w:rPr>
          <w:sz w:val="20"/>
        </w:rPr>
        <w:t xml:space="preserve"> O’ Donnell 1977: As will be covered in the third chapter, O’ Donnell mentions the emergence of the term Pagan became more prominent after Christianity became state religion, which happens in 391, dated in the Code. C. </w:t>
      </w:r>
      <w:r w:rsidRPr="00B93D67">
        <w:rPr>
          <w:i/>
          <w:sz w:val="20"/>
        </w:rPr>
        <w:t>Th</w:t>
      </w:r>
      <w:r w:rsidRPr="00B93D67">
        <w:rPr>
          <w:sz w:val="20"/>
        </w:rPr>
        <w:t xml:space="preserve">. 16. 1. 1. </w:t>
      </w:r>
    </w:p>
  </w:footnote>
  <w:footnote w:id="68">
    <w:p w14:paraId="235FB5BB" w14:textId="46A53E42"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w:t>
      </w:r>
      <w:proofErr w:type="gramStart"/>
      <w:r w:rsidRPr="00B93D67">
        <w:rPr>
          <w:sz w:val="20"/>
        </w:rPr>
        <w:t>: ,</w:t>
      </w:r>
      <w:proofErr w:type="gramEnd"/>
      <w:r w:rsidRPr="00B93D67">
        <w:rPr>
          <w:sz w:val="20"/>
        </w:rPr>
        <w:t xml:space="preserve"> over the research for this study MacMullen has contributed or written in six books/articles, each one provides new insights into the study of Christianity in the Roman Empire. </w:t>
      </w:r>
    </w:p>
  </w:footnote>
  <w:footnote w:id="69">
    <w:p w14:paraId="4FB6DD39" w14:textId="5A36EA47" w:rsidR="00B93D67" w:rsidRPr="00B93D67" w:rsidRDefault="00B93D67">
      <w:pPr>
        <w:pStyle w:val="FootnoteText"/>
        <w:rPr>
          <w:sz w:val="20"/>
        </w:rPr>
      </w:pPr>
      <w:r w:rsidRPr="00B93D67">
        <w:rPr>
          <w:rStyle w:val="FootnoteReference"/>
          <w:sz w:val="20"/>
        </w:rPr>
        <w:footnoteRef/>
      </w:r>
      <w:r w:rsidRPr="00B93D67">
        <w:rPr>
          <w:sz w:val="20"/>
        </w:rPr>
        <w:t xml:space="preserve"> MacMullen 1984: 75, on non-Christianity, ‘In other words, ritual gives authority to belief and Christianity must not be seen to need anything of the sort from the pagan past’. This highlights how the boundaries of the between Paganism and Christianity are defined and the change Pagans have to go through.</w:t>
      </w:r>
    </w:p>
  </w:footnote>
  <w:footnote w:id="70">
    <w:p w14:paraId="1AA6FEA5" w14:textId="1003B7DA" w:rsidR="003A5255" w:rsidRPr="00B93D67" w:rsidRDefault="003A5255">
      <w:pPr>
        <w:pStyle w:val="FootnoteText"/>
        <w:rPr>
          <w:sz w:val="20"/>
        </w:rPr>
      </w:pPr>
      <w:r w:rsidRPr="00B93D67">
        <w:rPr>
          <w:rStyle w:val="FootnoteReference"/>
          <w:sz w:val="20"/>
        </w:rPr>
        <w:footnoteRef/>
      </w:r>
      <w:r w:rsidRPr="00B93D67">
        <w:rPr>
          <w:sz w:val="20"/>
        </w:rPr>
        <w:t xml:space="preserve"> </w:t>
      </w:r>
      <w:r w:rsidR="00675A85" w:rsidRPr="00B93D67">
        <w:rPr>
          <w:sz w:val="20"/>
        </w:rPr>
        <w:t xml:space="preserve">MacMullen 1984: </w:t>
      </w:r>
      <w:r w:rsidR="00CD25EB" w:rsidRPr="00B93D67">
        <w:rPr>
          <w:sz w:val="20"/>
        </w:rPr>
        <w:t xml:space="preserve">74. </w:t>
      </w:r>
    </w:p>
  </w:footnote>
  <w:footnote w:id="71">
    <w:p w14:paraId="4A428066"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 102.</w:t>
      </w:r>
    </w:p>
  </w:footnote>
  <w:footnote w:id="72">
    <w:p w14:paraId="7444B014" w14:textId="55073186"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 </w:t>
      </w:r>
      <w:r w:rsidR="00CD25EB" w:rsidRPr="00B93D67">
        <w:rPr>
          <w:sz w:val="20"/>
        </w:rPr>
        <w:t>98.</w:t>
      </w:r>
    </w:p>
  </w:footnote>
  <w:footnote w:id="73">
    <w:p w14:paraId="0A23E61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484. </w:t>
      </w:r>
    </w:p>
  </w:footnote>
  <w:footnote w:id="74">
    <w:p w14:paraId="1E3F5095" w14:textId="2C9565D2"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w:t>
      </w:r>
    </w:p>
  </w:footnote>
  <w:footnote w:id="75">
    <w:p w14:paraId="7E03357F"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381 refers to Galerius as ‘certainly a pagan religious fanatic’. </w:t>
      </w:r>
    </w:p>
  </w:footnote>
  <w:footnote w:id="76">
    <w:p w14:paraId="5C28536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382. </w:t>
      </w:r>
    </w:p>
  </w:footnote>
  <w:footnote w:id="77">
    <w:p w14:paraId="12138F07"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382. </w:t>
      </w:r>
    </w:p>
  </w:footnote>
  <w:footnote w:id="78">
    <w:p w14:paraId="1362AA68"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382. </w:t>
      </w:r>
    </w:p>
  </w:footnote>
  <w:footnote w:id="79">
    <w:p w14:paraId="66A16B3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Lac. </w:t>
      </w:r>
      <w:r w:rsidRPr="00B93D67">
        <w:rPr>
          <w:i/>
          <w:sz w:val="20"/>
        </w:rPr>
        <w:t>De Mort Pers.</w:t>
      </w:r>
      <w:r w:rsidRPr="00B93D67">
        <w:rPr>
          <w:sz w:val="20"/>
        </w:rPr>
        <w:t xml:space="preserve"> 34. 4. </w:t>
      </w:r>
    </w:p>
  </w:footnote>
  <w:footnote w:id="80">
    <w:p w14:paraId="599A8826" w14:textId="5658D74F" w:rsidR="003A5255" w:rsidRPr="00B93D67" w:rsidRDefault="003A5255" w:rsidP="004E55D8">
      <w:pPr>
        <w:pStyle w:val="FootnoteText"/>
        <w:rPr>
          <w:sz w:val="20"/>
        </w:rPr>
      </w:pPr>
      <w:r w:rsidRPr="00B93D67">
        <w:rPr>
          <w:rStyle w:val="FootnoteReference"/>
          <w:sz w:val="20"/>
        </w:rPr>
        <w:footnoteRef/>
      </w:r>
      <w:r w:rsidR="0045191A" w:rsidRPr="00B93D67">
        <w:rPr>
          <w:sz w:val="20"/>
        </w:rPr>
        <w:t xml:space="preserve"> Knipf</w:t>
      </w:r>
      <w:r w:rsidRPr="00B93D67">
        <w:rPr>
          <w:sz w:val="20"/>
        </w:rPr>
        <w:t xml:space="preserve">ing 1935: 492. </w:t>
      </w:r>
    </w:p>
  </w:footnote>
  <w:footnote w:id="81">
    <w:p w14:paraId="6AC821F6" w14:textId="7389AFA4" w:rsidR="003A5255" w:rsidRPr="00B93D67" w:rsidRDefault="003A5255">
      <w:pPr>
        <w:pStyle w:val="FootnoteText"/>
        <w:rPr>
          <w:i/>
          <w:sz w:val="20"/>
        </w:rPr>
      </w:pPr>
      <w:r w:rsidRPr="00B93D67">
        <w:rPr>
          <w:rStyle w:val="FootnoteReference"/>
          <w:sz w:val="20"/>
        </w:rPr>
        <w:footnoteRef/>
      </w:r>
      <w:r w:rsidRPr="00B93D67">
        <w:rPr>
          <w:sz w:val="20"/>
        </w:rPr>
        <w:t xml:space="preserve"> </w:t>
      </w:r>
      <w:r w:rsidR="00AA3182" w:rsidRPr="00B93D67">
        <w:rPr>
          <w:sz w:val="20"/>
        </w:rPr>
        <w:t xml:space="preserve">Lac. </w:t>
      </w:r>
      <w:r w:rsidR="00AA3182" w:rsidRPr="00B93D67">
        <w:rPr>
          <w:i/>
          <w:sz w:val="20"/>
        </w:rPr>
        <w:t xml:space="preserve">De Mort Pers. </w:t>
      </w:r>
    </w:p>
  </w:footnote>
  <w:footnote w:id="82">
    <w:p w14:paraId="3FF47BE9" w14:textId="77777777" w:rsidR="003A5255" w:rsidRPr="00B93D67" w:rsidRDefault="003A5255" w:rsidP="00513B57">
      <w:pPr>
        <w:pStyle w:val="FootnoteText"/>
        <w:rPr>
          <w:sz w:val="20"/>
        </w:rPr>
      </w:pPr>
      <w:r w:rsidRPr="00B93D67">
        <w:rPr>
          <w:rStyle w:val="FootnoteReference"/>
          <w:sz w:val="20"/>
        </w:rPr>
        <w:footnoteRef/>
      </w:r>
      <w:r w:rsidRPr="00B93D67">
        <w:rPr>
          <w:sz w:val="20"/>
        </w:rPr>
        <w:t xml:space="preserve"> Given the evidence within the code of the concept of punishment of those who do not conform, it would not be outrageous to assume that this is indeed the case, this will be explored more in the next chapter. </w:t>
      </w:r>
    </w:p>
    <w:p w14:paraId="5EF178A5" w14:textId="0CE88494" w:rsidR="003A5255" w:rsidRPr="00B93D67" w:rsidRDefault="003A5255">
      <w:pPr>
        <w:pStyle w:val="FootnoteText"/>
        <w:rPr>
          <w:sz w:val="20"/>
        </w:rPr>
      </w:pPr>
    </w:p>
  </w:footnote>
  <w:footnote w:id="83">
    <w:p w14:paraId="5F738B9D" w14:textId="0F0AF4E5" w:rsidR="00205E90" w:rsidRPr="00B93D67" w:rsidRDefault="00205E90">
      <w:pPr>
        <w:pStyle w:val="FootnoteText"/>
        <w:rPr>
          <w:sz w:val="20"/>
        </w:rPr>
      </w:pPr>
      <w:r w:rsidRPr="00B93D67">
        <w:rPr>
          <w:rStyle w:val="FootnoteReference"/>
          <w:sz w:val="20"/>
        </w:rPr>
        <w:footnoteRef/>
      </w:r>
      <w:r w:rsidRPr="00B93D67">
        <w:rPr>
          <w:sz w:val="20"/>
        </w:rPr>
        <w:t xml:space="preserve"> Knipfing 1925: 502. A potentially opposing view of this is one that the Edict was </w:t>
      </w:r>
      <w:proofErr w:type="spellStart"/>
      <w:r w:rsidRPr="00B93D67">
        <w:rPr>
          <w:sz w:val="20"/>
        </w:rPr>
        <w:t>infact</w:t>
      </w:r>
      <w:proofErr w:type="spellEnd"/>
      <w:r w:rsidRPr="00B93D67">
        <w:rPr>
          <w:sz w:val="20"/>
        </w:rPr>
        <w:t xml:space="preserve"> a ‘religious liberty’. </w:t>
      </w:r>
    </w:p>
  </w:footnote>
  <w:footnote w:id="84">
    <w:p w14:paraId="186606FA"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1925: 392. </w:t>
      </w:r>
    </w:p>
  </w:footnote>
  <w:footnote w:id="85">
    <w:p w14:paraId="1D267140"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1925: 391. </w:t>
      </w:r>
    </w:p>
  </w:footnote>
  <w:footnote w:id="86">
    <w:p w14:paraId="69E56D1E" w14:textId="4B62E94D" w:rsidR="003A5255" w:rsidRPr="00B93D67" w:rsidRDefault="003A5255" w:rsidP="00513B57">
      <w:pPr>
        <w:pStyle w:val="FootnoteText"/>
        <w:rPr>
          <w:sz w:val="20"/>
        </w:rPr>
      </w:pPr>
      <w:r w:rsidRPr="00B93D67">
        <w:rPr>
          <w:rStyle w:val="FootnoteReference"/>
          <w:sz w:val="20"/>
        </w:rPr>
        <w:footnoteRef/>
      </w:r>
      <w:r w:rsidRPr="00B93D67">
        <w:rPr>
          <w:sz w:val="20"/>
        </w:rPr>
        <w:t xml:space="preserve"> </w:t>
      </w:r>
      <w:r w:rsidR="0045191A" w:rsidRPr="00B93D67">
        <w:rPr>
          <w:sz w:val="20"/>
        </w:rPr>
        <w:t>Knipfing 1983: 490.</w:t>
      </w:r>
    </w:p>
  </w:footnote>
  <w:footnote w:id="87">
    <w:p w14:paraId="21980419" w14:textId="1CE9ED67" w:rsidR="003A5255" w:rsidRPr="00B93D67" w:rsidRDefault="003A5255" w:rsidP="00513B57">
      <w:pPr>
        <w:pStyle w:val="FootnoteText"/>
        <w:rPr>
          <w:sz w:val="20"/>
        </w:rPr>
      </w:pPr>
      <w:r w:rsidRPr="00B93D67">
        <w:rPr>
          <w:rStyle w:val="FootnoteReference"/>
          <w:sz w:val="20"/>
        </w:rPr>
        <w:footnoteRef/>
      </w:r>
      <w:r w:rsidRPr="00B93D67">
        <w:rPr>
          <w:sz w:val="20"/>
        </w:rPr>
        <w:t xml:space="preserve"> </w:t>
      </w:r>
      <w:r w:rsidR="004C7603" w:rsidRPr="00B93D67">
        <w:rPr>
          <w:sz w:val="20"/>
        </w:rPr>
        <w:t xml:space="preserve">Keresztes 1925: 391. </w:t>
      </w:r>
    </w:p>
  </w:footnote>
  <w:footnote w:id="88">
    <w:p w14:paraId="7AABDE8B" w14:textId="1B9E34AE" w:rsidR="00A64424" w:rsidRPr="00B93D67" w:rsidRDefault="00A64424">
      <w:pPr>
        <w:pStyle w:val="FootnoteText"/>
        <w:rPr>
          <w:sz w:val="20"/>
        </w:rPr>
      </w:pPr>
      <w:r w:rsidRPr="00B93D67">
        <w:rPr>
          <w:rStyle w:val="FootnoteReference"/>
          <w:sz w:val="20"/>
        </w:rPr>
        <w:footnoteRef/>
      </w:r>
      <w:r w:rsidRPr="00B93D67">
        <w:rPr>
          <w:sz w:val="20"/>
        </w:rPr>
        <w:t xml:space="preserve"> Eus. </w:t>
      </w:r>
      <w:r w:rsidRPr="00B93D67">
        <w:rPr>
          <w:i/>
          <w:sz w:val="20"/>
        </w:rPr>
        <w:t xml:space="preserve">EH. </w:t>
      </w:r>
      <w:r w:rsidRPr="00B93D67">
        <w:rPr>
          <w:sz w:val="20"/>
        </w:rPr>
        <w:t xml:space="preserve">5. 1. </w:t>
      </w:r>
    </w:p>
  </w:footnote>
  <w:footnote w:id="89">
    <w:p w14:paraId="05DC3E55" w14:textId="78E6F311" w:rsidR="00A64424" w:rsidRPr="00B93D67" w:rsidRDefault="00A64424">
      <w:pPr>
        <w:pStyle w:val="FootnoteText"/>
        <w:rPr>
          <w:sz w:val="20"/>
        </w:rPr>
      </w:pPr>
      <w:r w:rsidRPr="00B93D67">
        <w:rPr>
          <w:rStyle w:val="FootnoteReference"/>
          <w:sz w:val="20"/>
        </w:rPr>
        <w:footnoteRef/>
      </w:r>
      <w:r w:rsidRPr="00B93D67">
        <w:rPr>
          <w:sz w:val="20"/>
        </w:rPr>
        <w:t xml:space="preserve"> Lac. </w:t>
      </w:r>
      <w:r w:rsidRPr="00B93D67">
        <w:rPr>
          <w:i/>
          <w:sz w:val="20"/>
        </w:rPr>
        <w:t xml:space="preserve">De Mort Pers. </w:t>
      </w:r>
      <w:r w:rsidRPr="00B93D67">
        <w:rPr>
          <w:sz w:val="20"/>
        </w:rPr>
        <w:t xml:space="preserve">48. </w:t>
      </w:r>
    </w:p>
  </w:footnote>
  <w:footnote w:id="90">
    <w:p w14:paraId="137CD20F" w14:textId="268BE2D6" w:rsidR="0086215C" w:rsidRPr="00B93D67" w:rsidRDefault="0086215C">
      <w:pPr>
        <w:pStyle w:val="FootnoteText"/>
        <w:rPr>
          <w:sz w:val="20"/>
        </w:rPr>
      </w:pPr>
      <w:r w:rsidRPr="00B93D67">
        <w:rPr>
          <w:rStyle w:val="FootnoteReference"/>
          <w:sz w:val="20"/>
        </w:rPr>
        <w:footnoteRef/>
      </w:r>
      <w:r w:rsidRPr="00B93D67">
        <w:rPr>
          <w:sz w:val="20"/>
        </w:rPr>
        <w:t xml:space="preserve"> Knipfing 1925: 499. </w:t>
      </w:r>
    </w:p>
  </w:footnote>
  <w:footnote w:id="91">
    <w:p w14:paraId="337A0F6C" w14:textId="63A0AFFA" w:rsidR="0086215C" w:rsidRPr="00B93D67" w:rsidRDefault="0086215C">
      <w:pPr>
        <w:pStyle w:val="FootnoteText"/>
        <w:rPr>
          <w:sz w:val="20"/>
        </w:rPr>
      </w:pPr>
      <w:r w:rsidRPr="00B93D67">
        <w:rPr>
          <w:rStyle w:val="FootnoteReference"/>
          <w:sz w:val="20"/>
        </w:rPr>
        <w:footnoteRef/>
      </w:r>
      <w:r w:rsidRPr="00B93D67">
        <w:rPr>
          <w:sz w:val="20"/>
        </w:rPr>
        <w:t xml:space="preserve"> Knipfing 1925: 499. </w:t>
      </w:r>
    </w:p>
  </w:footnote>
  <w:footnote w:id="92">
    <w:p w14:paraId="66D36237"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493. </w:t>
      </w:r>
    </w:p>
  </w:footnote>
  <w:footnote w:id="93">
    <w:p w14:paraId="75722B2B" w14:textId="250AF183" w:rsidR="003A5255" w:rsidRPr="00B93D67" w:rsidRDefault="003A5255" w:rsidP="00332281">
      <w:pPr>
        <w:pStyle w:val="FootnoteText"/>
        <w:rPr>
          <w:sz w:val="20"/>
        </w:rPr>
      </w:pPr>
      <w:r w:rsidRPr="00B93D67">
        <w:rPr>
          <w:rStyle w:val="FootnoteReference"/>
          <w:sz w:val="20"/>
        </w:rPr>
        <w:footnoteRef/>
      </w:r>
      <w:r w:rsidRPr="00B93D67">
        <w:rPr>
          <w:sz w:val="20"/>
        </w:rPr>
        <w:t xml:space="preserve"> Betten 1925: 194, it is important here that the word ‘also’ is used, as opposed to ‘sole’. </w:t>
      </w:r>
    </w:p>
  </w:footnote>
  <w:footnote w:id="94">
    <w:p w14:paraId="7CA7BC20"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Knipfing 1925: 494. </w:t>
      </w:r>
    </w:p>
  </w:footnote>
  <w:footnote w:id="95">
    <w:p w14:paraId="49E90DDD" w14:textId="3F826336" w:rsidR="003A5255" w:rsidRPr="00B93D67" w:rsidRDefault="003A5255" w:rsidP="004E55D8">
      <w:pPr>
        <w:pStyle w:val="FootnoteText"/>
        <w:rPr>
          <w:sz w:val="20"/>
        </w:rPr>
      </w:pPr>
      <w:r w:rsidRPr="00B93D67">
        <w:rPr>
          <w:rStyle w:val="FootnoteReference"/>
          <w:sz w:val="20"/>
        </w:rPr>
        <w:footnoteRef/>
      </w:r>
      <w:r w:rsidRPr="00B93D67">
        <w:rPr>
          <w:sz w:val="20"/>
        </w:rPr>
        <w:t xml:space="preserve"> Betten 1922: 191; Knipfing 1925: 494. </w:t>
      </w:r>
    </w:p>
  </w:footnote>
  <w:footnote w:id="96">
    <w:p w14:paraId="0CC5A30B" w14:textId="6F7E1215" w:rsidR="003A5255" w:rsidRPr="00B93D67" w:rsidRDefault="003A5255" w:rsidP="004E55D8">
      <w:pPr>
        <w:pStyle w:val="FootnoteText"/>
        <w:rPr>
          <w:i/>
          <w:sz w:val="20"/>
        </w:rPr>
      </w:pPr>
      <w:r w:rsidRPr="00B93D67">
        <w:rPr>
          <w:rStyle w:val="FootnoteReference"/>
          <w:sz w:val="20"/>
        </w:rPr>
        <w:footnoteRef/>
      </w:r>
      <w:r w:rsidRPr="00B93D67">
        <w:rPr>
          <w:sz w:val="20"/>
        </w:rPr>
        <w:t xml:space="preserve"> Lac. </w:t>
      </w:r>
      <w:r w:rsidRPr="00B93D67">
        <w:rPr>
          <w:i/>
          <w:sz w:val="20"/>
        </w:rPr>
        <w:t xml:space="preserve">De Mort Pers. </w:t>
      </w:r>
    </w:p>
  </w:footnote>
  <w:footnote w:id="97">
    <w:p w14:paraId="150C829D" w14:textId="27D1C3AD" w:rsidR="003A5255" w:rsidRPr="00B93D67" w:rsidRDefault="003A5255" w:rsidP="004E55D8">
      <w:pPr>
        <w:pStyle w:val="FootnoteText"/>
        <w:rPr>
          <w:i/>
          <w:sz w:val="20"/>
        </w:rPr>
      </w:pPr>
      <w:r w:rsidRPr="00B93D67">
        <w:rPr>
          <w:rStyle w:val="FootnoteReference"/>
          <w:sz w:val="20"/>
        </w:rPr>
        <w:footnoteRef/>
      </w:r>
      <w:r w:rsidRPr="00B93D67">
        <w:rPr>
          <w:sz w:val="20"/>
        </w:rPr>
        <w:t xml:space="preserve"> Eus. </w:t>
      </w:r>
      <w:r w:rsidRPr="00B93D67">
        <w:rPr>
          <w:i/>
          <w:sz w:val="20"/>
        </w:rPr>
        <w:t xml:space="preserve">EH. </w:t>
      </w:r>
    </w:p>
  </w:footnote>
  <w:footnote w:id="98">
    <w:p w14:paraId="1BFB7B8F"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Lac. </w:t>
      </w:r>
      <w:r w:rsidRPr="00B93D67">
        <w:rPr>
          <w:i/>
          <w:sz w:val="20"/>
        </w:rPr>
        <w:t xml:space="preserve">De Mort Pers. </w:t>
      </w:r>
      <w:r w:rsidRPr="00B93D67">
        <w:rPr>
          <w:sz w:val="20"/>
        </w:rPr>
        <w:t xml:space="preserve">48. 3. </w:t>
      </w:r>
    </w:p>
  </w:footnote>
  <w:footnote w:id="99">
    <w:p w14:paraId="19BFCB1C" w14:textId="1A35AB08" w:rsidR="003A5255" w:rsidRPr="00B93D67" w:rsidRDefault="003A5255" w:rsidP="004E55D8">
      <w:pPr>
        <w:pStyle w:val="FootnoteText"/>
        <w:tabs>
          <w:tab w:val="left" w:pos="1116"/>
        </w:tabs>
        <w:rPr>
          <w:sz w:val="20"/>
        </w:rPr>
      </w:pPr>
      <w:r w:rsidRPr="00B93D67">
        <w:rPr>
          <w:rStyle w:val="FootnoteReference"/>
          <w:sz w:val="20"/>
        </w:rPr>
        <w:footnoteRef/>
      </w:r>
      <w:r w:rsidRPr="00B93D67">
        <w:rPr>
          <w:sz w:val="20"/>
        </w:rPr>
        <w:t xml:space="preserve"> </w:t>
      </w:r>
      <w:r w:rsidR="007D4325" w:rsidRPr="00B93D67">
        <w:rPr>
          <w:sz w:val="20"/>
        </w:rPr>
        <w:t xml:space="preserve">MacMullen 1984: 50. </w:t>
      </w:r>
      <w:r w:rsidRPr="00B93D67">
        <w:rPr>
          <w:sz w:val="20"/>
        </w:rPr>
        <w:tab/>
      </w:r>
    </w:p>
  </w:footnote>
  <w:footnote w:id="100">
    <w:p w14:paraId="6DDFA07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 74. </w:t>
      </w:r>
    </w:p>
  </w:footnote>
  <w:footnote w:id="101">
    <w:p w14:paraId="371B4D38"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Hunt 1994: 143 – 144. </w:t>
      </w:r>
    </w:p>
  </w:footnote>
  <w:footnote w:id="102">
    <w:p w14:paraId="2D6E377C" w14:textId="020B43C1" w:rsidR="003A5255" w:rsidRPr="00B93D67" w:rsidRDefault="003A5255" w:rsidP="004E55D8">
      <w:pPr>
        <w:pStyle w:val="FootnoteText"/>
        <w:rPr>
          <w:sz w:val="20"/>
        </w:rPr>
      </w:pPr>
      <w:r w:rsidRPr="00B93D67">
        <w:rPr>
          <w:rStyle w:val="FootnoteReference"/>
          <w:sz w:val="20"/>
        </w:rPr>
        <w:footnoteRef/>
      </w:r>
      <w:r w:rsidRPr="00B93D67">
        <w:rPr>
          <w:sz w:val="20"/>
        </w:rPr>
        <w:t xml:space="preserve"> Betten 1922: </w:t>
      </w:r>
      <w:r w:rsidR="007904B0" w:rsidRPr="00B93D67">
        <w:rPr>
          <w:sz w:val="20"/>
        </w:rPr>
        <w:t xml:space="preserve">194. </w:t>
      </w:r>
    </w:p>
  </w:footnote>
  <w:footnote w:id="103">
    <w:p w14:paraId="7853573A"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Betten 1922: 194. </w:t>
      </w:r>
    </w:p>
  </w:footnote>
  <w:footnote w:id="104">
    <w:p w14:paraId="30463B57"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Betten 1922: 194 -5. </w:t>
      </w:r>
    </w:p>
  </w:footnote>
  <w:footnote w:id="105">
    <w:p w14:paraId="115F4868"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Eus. EH. 10. 8. </w:t>
      </w:r>
    </w:p>
  </w:footnote>
  <w:footnote w:id="106">
    <w:p w14:paraId="0F69826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Lac. </w:t>
      </w:r>
      <w:r w:rsidRPr="00B93D67">
        <w:rPr>
          <w:i/>
          <w:sz w:val="20"/>
        </w:rPr>
        <w:t xml:space="preserve">De Mort Pers. </w:t>
      </w:r>
      <w:r w:rsidRPr="00B93D67">
        <w:rPr>
          <w:sz w:val="20"/>
        </w:rPr>
        <w:t xml:space="preserve">34. 2. </w:t>
      </w:r>
    </w:p>
  </w:footnote>
  <w:footnote w:id="107">
    <w:p w14:paraId="5DBD0508"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Eus. EH. 10. 5. 2 – 4, Knipfing 1925: 496. </w:t>
      </w:r>
    </w:p>
  </w:footnote>
  <w:footnote w:id="108">
    <w:p w14:paraId="6E688796" w14:textId="2909CD37" w:rsidR="003A5255" w:rsidRPr="00B93D67" w:rsidRDefault="003A5255">
      <w:pPr>
        <w:pStyle w:val="FootnoteText"/>
        <w:rPr>
          <w:sz w:val="20"/>
        </w:rPr>
      </w:pPr>
      <w:r w:rsidRPr="00B93D67">
        <w:rPr>
          <w:rStyle w:val="FootnoteReference"/>
          <w:sz w:val="20"/>
        </w:rPr>
        <w:footnoteRef/>
      </w:r>
      <w:r w:rsidRPr="00B93D67">
        <w:rPr>
          <w:sz w:val="20"/>
        </w:rPr>
        <w:t xml:space="preserve"> Curran 2000: 171. </w:t>
      </w:r>
    </w:p>
  </w:footnote>
  <w:footnote w:id="109">
    <w:p w14:paraId="2E133357" w14:textId="573619EE" w:rsidR="00015D58" w:rsidRPr="00B93D67" w:rsidRDefault="00015D58">
      <w:pPr>
        <w:pStyle w:val="FootnoteText"/>
        <w:rPr>
          <w:sz w:val="20"/>
        </w:rPr>
      </w:pPr>
      <w:r w:rsidRPr="00B93D67">
        <w:rPr>
          <w:rStyle w:val="FootnoteReference"/>
          <w:sz w:val="20"/>
        </w:rPr>
        <w:footnoteRef/>
      </w:r>
      <w:r w:rsidRPr="00B93D67">
        <w:rPr>
          <w:sz w:val="20"/>
        </w:rPr>
        <w:t xml:space="preserve"> The Edicts were given because the Christians were being persecuted and it got to a stage where it was needed that laws were put in place to give them a social standing, these feelings of hate and persecution could have carried over which would exemplify examples which </w:t>
      </w:r>
      <w:r w:rsidR="00F8325E" w:rsidRPr="00B93D67">
        <w:rPr>
          <w:sz w:val="20"/>
        </w:rPr>
        <w:t xml:space="preserve">necessitate hatred towards Christians. </w:t>
      </w:r>
    </w:p>
  </w:footnote>
  <w:footnote w:id="110">
    <w:p w14:paraId="06620E05"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The larger voice, by mass, being the plebeians, and the louder voice being that of the elites whose opinions were considered over the lower classes. </w:t>
      </w:r>
    </w:p>
  </w:footnote>
  <w:footnote w:id="111">
    <w:p w14:paraId="7AC08F35"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363.</w:t>
      </w:r>
    </w:p>
  </w:footnote>
  <w:footnote w:id="112">
    <w:p w14:paraId="4842E9B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363. </w:t>
      </w:r>
    </w:p>
  </w:footnote>
  <w:footnote w:id="113">
    <w:p w14:paraId="4A0C6533" w14:textId="249D3A8E"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362, this is a similar</w:t>
      </w:r>
      <w:r w:rsidR="007D4325" w:rsidRPr="00B93D67">
        <w:rPr>
          <w:sz w:val="20"/>
        </w:rPr>
        <w:t xml:space="preserve"> opinion held by other scholars;</w:t>
      </w:r>
      <w:r w:rsidRPr="00B93D67">
        <w:rPr>
          <w:sz w:val="20"/>
        </w:rPr>
        <w:t xml:space="preserve"> MacMullen 1984; and Hunt 1993. </w:t>
      </w:r>
    </w:p>
  </w:footnote>
  <w:footnote w:id="114">
    <w:p w14:paraId="589321F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Hunt 1992: 143 – 144. </w:t>
      </w:r>
    </w:p>
  </w:footnote>
  <w:footnote w:id="115">
    <w:p w14:paraId="759D4D4C" w14:textId="565E8C1B" w:rsidR="003A5255" w:rsidRPr="00B93D67" w:rsidRDefault="003A5255">
      <w:pPr>
        <w:pStyle w:val="FootnoteText"/>
        <w:rPr>
          <w:sz w:val="20"/>
        </w:rPr>
      </w:pPr>
      <w:r w:rsidRPr="00B93D67">
        <w:rPr>
          <w:rStyle w:val="FootnoteReference"/>
          <w:sz w:val="20"/>
        </w:rPr>
        <w:footnoteRef/>
      </w:r>
      <w:r w:rsidRPr="00B93D67">
        <w:rPr>
          <w:sz w:val="20"/>
        </w:rPr>
        <w:t xml:space="preserve"> Salzman 1993: 363, the three sections seemingly focus on elite, sub-elite and plebeians.</w:t>
      </w:r>
    </w:p>
  </w:footnote>
  <w:footnote w:id="116">
    <w:p w14:paraId="1F8A71F9"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Th. 16. </w:t>
      </w:r>
    </w:p>
  </w:footnote>
  <w:footnote w:id="117">
    <w:p w14:paraId="1D431941"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Pr="00B93D67">
        <w:rPr>
          <w:i/>
          <w:sz w:val="20"/>
        </w:rPr>
        <w:t xml:space="preserve">C. Th. </w:t>
      </w:r>
      <w:r w:rsidRPr="00B93D67">
        <w:rPr>
          <w:sz w:val="20"/>
        </w:rPr>
        <w:t xml:space="preserve">16. 1. 2. 1. </w:t>
      </w:r>
    </w:p>
  </w:footnote>
  <w:footnote w:id="118">
    <w:p w14:paraId="322C842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365.</w:t>
      </w:r>
    </w:p>
  </w:footnote>
  <w:footnote w:id="119">
    <w:p w14:paraId="70D63563"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364. </w:t>
      </w:r>
    </w:p>
  </w:footnote>
  <w:footnote w:id="120">
    <w:p w14:paraId="64CB0EC6"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w:t>
      </w:r>
      <w:r w:rsidRPr="00B93D67">
        <w:rPr>
          <w:i/>
          <w:sz w:val="20"/>
        </w:rPr>
        <w:t xml:space="preserve">C. Th. </w:t>
      </w:r>
      <w:r w:rsidRPr="00B93D67">
        <w:rPr>
          <w:sz w:val="20"/>
        </w:rPr>
        <w:t xml:space="preserve">16. 2. 17. </w:t>
      </w:r>
    </w:p>
  </w:footnote>
  <w:footnote w:id="121">
    <w:p w14:paraId="3838ACF4" w14:textId="22682880" w:rsidR="00015D58" w:rsidRPr="00B93D67" w:rsidRDefault="00015D58">
      <w:pPr>
        <w:pStyle w:val="FootnoteText"/>
        <w:rPr>
          <w:sz w:val="20"/>
        </w:rPr>
      </w:pPr>
      <w:r w:rsidRPr="00B93D67">
        <w:rPr>
          <w:rStyle w:val="FootnoteReference"/>
          <w:sz w:val="20"/>
        </w:rPr>
        <w:footnoteRef/>
      </w:r>
      <w:r w:rsidRPr="00B93D67">
        <w:rPr>
          <w:sz w:val="20"/>
        </w:rPr>
        <w:t xml:space="preserve"> C. </w:t>
      </w:r>
      <w:r w:rsidRPr="00B93D67">
        <w:rPr>
          <w:i/>
          <w:sz w:val="20"/>
        </w:rPr>
        <w:t xml:space="preserve">Th. </w:t>
      </w:r>
      <w:r w:rsidRPr="00B93D67">
        <w:rPr>
          <w:sz w:val="20"/>
        </w:rPr>
        <w:t>16. 2. 1.</w:t>
      </w:r>
    </w:p>
  </w:footnote>
  <w:footnote w:id="122">
    <w:p w14:paraId="5D02ACDA"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10. 6. </w:t>
      </w:r>
    </w:p>
  </w:footnote>
  <w:footnote w:id="123">
    <w:p w14:paraId="4AAE08C0"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4. 2. </w:t>
      </w:r>
    </w:p>
  </w:footnote>
  <w:footnote w:id="124">
    <w:p w14:paraId="11929AA0"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Salzman 1993: 363 – 4. </w:t>
      </w:r>
    </w:p>
  </w:footnote>
  <w:footnote w:id="125">
    <w:p w14:paraId="3F553073" w14:textId="45481CA1" w:rsidR="003A5255" w:rsidRPr="00B93D67" w:rsidRDefault="003A5255" w:rsidP="00290BB5">
      <w:pPr>
        <w:pStyle w:val="FootnoteText"/>
        <w:rPr>
          <w:sz w:val="20"/>
        </w:rPr>
      </w:pPr>
      <w:r w:rsidRPr="00B93D67">
        <w:rPr>
          <w:rStyle w:val="FootnoteReference"/>
          <w:sz w:val="20"/>
        </w:rPr>
        <w:footnoteRef/>
      </w:r>
      <w:r w:rsidR="00DA6033" w:rsidRPr="00B93D67">
        <w:rPr>
          <w:sz w:val="20"/>
        </w:rPr>
        <w:t xml:space="preserve"> MacMullen 1984: 10; this does however raise some issues as noted by King 1961: 50, there were also repercussions for those who did not follow a specific following of Christianity. </w:t>
      </w:r>
    </w:p>
  </w:footnote>
  <w:footnote w:id="126">
    <w:p w14:paraId="42307223" w14:textId="676CDBBB" w:rsidR="003A5255" w:rsidRPr="00B93D67" w:rsidRDefault="003A5255" w:rsidP="00290BB5">
      <w:pPr>
        <w:pStyle w:val="FootnoteText"/>
        <w:rPr>
          <w:sz w:val="20"/>
        </w:rPr>
      </w:pPr>
      <w:r w:rsidRPr="00B93D67">
        <w:rPr>
          <w:rStyle w:val="FootnoteReference"/>
          <w:sz w:val="20"/>
        </w:rPr>
        <w:footnoteRef/>
      </w:r>
      <w:r w:rsidRPr="00B93D67">
        <w:rPr>
          <w:sz w:val="20"/>
        </w:rPr>
        <w:t xml:space="preserve"> O’Donnell 1977: 163, Pagan was a term used by Christian writers in order show a fundamental difference between those who were followers and those who were not. </w:t>
      </w:r>
    </w:p>
  </w:footnote>
  <w:footnote w:id="127">
    <w:p w14:paraId="579771B2" w14:textId="280B81E4" w:rsidR="003A5255" w:rsidRPr="00B93D67" w:rsidRDefault="003A5255" w:rsidP="00290BB5">
      <w:pPr>
        <w:pStyle w:val="FootnoteText"/>
        <w:rPr>
          <w:sz w:val="20"/>
        </w:rPr>
      </w:pPr>
      <w:r w:rsidRPr="00B93D67">
        <w:rPr>
          <w:rStyle w:val="FootnoteReference"/>
          <w:sz w:val="20"/>
        </w:rPr>
        <w:footnoteRef/>
      </w:r>
      <w:r w:rsidRPr="00B93D67">
        <w:rPr>
          <w:sz w:val="20"/>
        </w:rPr>
        <w:t xml:space="preserve"> O’Donnell 1977: 163 – 4.</w:t>
      </w:r>
    </w:p>
  </w:footnote>
  <w:footnote w:id="128">
    <w:p w14:paraId="5CE66826" w14:textId="027EFAA2" w:rsidR="003A5255" w:rsidRPr="00B93D67" w:rsidRDefault="003A5255">
      <w:pPr>
        <w:pStyle w:val="FootnoteText"/>
        <w:rPr>
          <w:sz w:val="20"/>
        </w:rPr>
      </w:pPr>
      <w:r w:rsidRPr="00B93D67">
        <w:rPr>
          <w:rStyle w:val="FootnoteReference"/>
          <w:sz w:val="20"/>
        </w:rPr>
        <w:footnoteRef/>
      </w:r>
      <w:r w:rsidRPr="00B93D67">
        <w:rPr>
          <w:sz w:val="20"/>
        </w:rPr>
        <w:t xml:space="preserve"> O’Donnell 1977: 163 – 167. </w:t>
      </w:r>
    </w:p>
  </w:footnote>
  <w:footnote w:id="129">
    <w:p w14:paraId="40429CAE"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3. 1. </w:t>
      </w:r>
    </w:p>
  </w:footnote>
  <w:footnote w:id="130">
    <w:p w14:paraId="56818DA9"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3. 2. </w:t>
      </w:r>
    </w:p>
  </w:footnote>
  <w:footnote w:id="131">
    <w:p w14:paraId="74885366" w14:textId="40FA21E0" w:rsidR="003A5255" w:rsidRPr="00B93D67" w:rsidRDefault="003A5255" w:rsidP="003808D5">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2. 2. </w:t>
      </w:r>
    </w:p>
  </w:footnote>
  <w:footnote w:id="132">
    <w:p w14:paraId="1FA072CB" w14:textId="56F252A2" w:rsidR="003A5255" w:rsidRPr="00B93D67" w:rsidRDefault="003A5255" w:rsidP="003808D5">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2. 2. </w:t>
      </w:r>
    </w:p>
  </w:footnote>
  <w:footnote w:id="133">
    <w:p w14:paraId="696086D2" w14:textId="1F66B949" w:rsidR="003A5255" w:rsidRPr="00B93D67" w:rsidRDefault="003A5255" w:rsidP="003808D5">
      <w:pPr>
        <w:pStyle w:val="FootnoteText"/>
        <w:rPr>
          <w:sz w:val="20"/>
        </w:rPr>
      </w:pPr>
      <w:r w:rsidRPr="00B93D67">
        <w:rPr>
          <w:rStyle w:val="FootnoteReference"/>
          <w:sz w:val="20"/>
        </w:rPr>
        <w:footnoteRef/>
      </w:r>
      <w:r w:rsidRPr="00B93D67">
        <w:rPr>
          <w:sz w:val="20"/>
        </w:rPr>
        <w:t xml:space="preserve"> This aligns with the argument seen throughout Salzman work looking at the way conversion was approached throughout the public.</w:t>
      </w:r>
    </w:p>
  </w:footnote>
  <w:footnote w:id="134">
    <w:p w14:paraId="78FCA435" w14:textId="1AF11A88" w:rsidR="003A5255" w:rsidRPr="00B93D67" w:rsidRDefault="003A5255">
      <w:pPr>
        <w:pStyle w:val="FootnoteText"/>
        <w:rPr>
          <w:sz w:val="20"/>
        </w:rPr>
      </w:pPr>
      <w:r w:rsidRPr="00B93D67">
        <w:rPr>
          <w:rStyle w:val="FootnoteReference"/>
          <w:sz w:val="20"/>
        </w:rPr>
        <w:footnoteRef/>
      </w:r>
      <w:r w:rsidRPr="00B93D67">
        <w:rPr>
          <w:sz w:val="20"/>
        </w:rPr>
        <w:t xml:space="preserve"> Salzman 1993: 365. </w:t>
      </w:r>
    </w:p>
  </w:footnote>
  <w:footnote w:id="135">
    <w:p w14:paraId="718C4E89" w14:textId="3B5BBAA0" w:rsidR="003A5255" w:rsidRPr="00B93D67" w:rsidRDefault="003A5255">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4. 7. 1; Salzman  1993: 365. </w:t>
      </w:r>
    </w:p>
  </w:footnote>
  <w:footnote w:id="136">
    <w:p w14:paraId="2739888C" w14:textId="4A80F610" w:rsidR="004C7603" w:rsidRPr="00B93D67" w:rsidRDefault="004C7603">
      <w:pPr>
        <w:pStyle w:val="FootnoteText"/>
        <w:rPr>
          <w:sz w:val="20"/>
        </w:rPr>
      </w:pPr>
      <w:r w:rsidRPr="00B93D67">
        <w:rPr>
          <w:rStyle w:val="FootnoteReference"/>
          <w:sz w:val="20"/>
        </w:rPr>
        <w:footnoteRef/>
      </w:r>
      <w:r w:rsidRPr="00B93D67">
        <w:rPr>
          <w:sz w:val="20"/>
        </w:rPr>
        <w:t xml:space="preserve"> MacMullen 1984: 68; Salzman 1933: 363. </w:t>
      </w:r>
    </w:p>
  </w:footnote>
  <w:footnote w:id="137">
    <w:p w14:paraId="76DA7842"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 52. </w:t>
      </w:r>
    </w:p>
  </w:footnote>
  <w:footnote w:id="138">
    <w:p w14:paraId="7AFE123B"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1984: 90. </w:t>
      </w:r>
    </w:p>
  </w:footnote>
  <w:footnote w:id="139">
    <w:p w14:paraId="000E6C3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2. 31. </w:t>
      </w:r>
    </w:p>
  </w:footnote>
  <w:footnote w:id="140">
    <w:p w14:paraId="4459C9A7"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MacMullen and Lane 1982: 281, Libanius himself was a pagan who ‘had the courage to protest’; Lib. </w:t>
      </w:r>
      <w:r w:rsidRPr="00B93D67">
        <w:rPr>
          <w:i/>
          <w:sz w:val="20"/>
        </w:rPr>
        <w:t xml:space="preserve">Or. </w:t>
      </w:r>
      <w:r w:rsidRPr="00B93D67">
        <w:rPr>
          <w:sz w:val="20"/>
        </w:rPr>
        <w:t xml:space="preserve">30. 26 – 29. </w:t>
      </w:r>
    </w:p>
  </w:footnote>
  <w:footnote w:id="141">
    <w:p w14:paraId="4399DF70"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Lib. </w:t>
      </w:r>
      <w:r w:rsidRPr="00B93D67">
        <w:rPr>
          <w:i/>
          <w:sz w:val="20"/>
        </w:rPr>
        <w:t xml:space="preserve">Or. </w:t>
      </w:r>
      <w:r w:rsidRPr="00B93D67">
        <w:rPr>
          <w:sz w:val="20"/>
        </w:rPr>
        <w:t xml:space="preserve">30. 26. </w:t>
      </w:r>
    </w:p>
  </w:footnote>
  <w:footnote w:id="142">
    <w:p w14:paraId="011DB604"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10. 16. </w:t>
      </w:r>
    </w:p>
  </w:footnote>
  <w:footnote w:id="143">
    <w:p w14:paraId="50921E3F" w14:textId="68AFE49E" w:rsidR="00F97AC5" w:rsidRPr="00B93D67" w:rsidRDefault="003A5255" w:rsidP="004E55D8">
      <w:pPr>
        <w:pStyle w:val="FootnoteText"/>
        <w:rPr>
          <w:sz w:val="20"/>
        </w:rPr>
      </w:pPr>
      <w:r w:rsidRPr="00B93D67">
        <w:rPr>
          <w:rStyle w:val="FootnoteReference"/>
          <w:sz w:val="20"/>
        </w:rPr>
        <w:footnoteRef/>
      </w:r>
      <w:r w:rsidRPr="00B93D67">
        <w:rPr>
          <w:sz w:val="20"/>
        </w:rPr>
        <w:t xml:space="preserve"> Lib. </w:t>
      </w:r>
      <w:r w:rsidRPr="00B93D67">
        <w:rPr>
          <w:i/>
          <w:sz w:val="20"/>
        </w:rPr>
        <w:t>Or.</w:t>
      </w:r>
      <w:r w:rsidR="00383F70" w:rsidRPr="00B93D67">
        <w:rPr>
          <w:sz w:val="20"/>
        </w:rPr>
        <w:t xml:space="preserve"> 30. 28</w:t>
      </w:r>
      <w:r w:rsidR="00204625" w:rsidRPr="00B93D67">
        <w:rPr>
          <w:sz w:val="20"/>
        </w:rPr>
        <w:t xml:space="preserve">; Lee 2000: 124; another quote that </w:t>
      </w:r>
      <w:r w:rsidR="00F97AC5" w:rsidRPr="00B93D67">
        <w:rPr>
          <w:sz w:val="20"/>
        </w:rPr>
        <w:t xml:space="preserve">stands out regarding the conversion of Christianity is as follows, ‘In plays, the actor who takes the part of the tyrant is not a tyrant, but just the same as he was before putting on the mask: so here, everyone keeps himself unchanged but lets them think he has been changed’. Lib. </w:t>
      </w:r>
      <w:r w:rsidR="00F97AC5" w:rsidRPr="00B93D67">
        <w:rPr>
          <w:i/>
          <w:sz w:val="20"/>
        </w:rPr>
        <w:t xml:space="preserve">Or. </w:t>
      </w:r>
      <w:r w:rsidR="00F97AC5" w:rsidRPr="00B93D67">
        <w:rPr>
          <w:sz w:val="20"/>
        </w:rPr>
        <w:t xml:space="preserve">30. 28. </w:t>
      </w:r>
    </w:p>
  </w:footnote>
  <w:footnote w:id="144">
    <w:p w14:paraId="6A762452" w14:textId="7F28BA02" w:rsidR="003A5255" w:rsidRPr="00B93D67" w:rsidRDefault="003A5255">
      <w:pPr>
        <w:pStyle w:val="FootnoteText"/>
        <w:rPr>
          <w:sz w:val="20"/>
        </w:rPr>
      </w:pPr>
      <w:r w:rsidRPr="00B93D67">
        <w:rPr>
          <w:rStyle w:val="FootnoteReference"/>
          <w:sz w:val="20"/>
        </w:rPr>
        <w:footnoteRef/>
      </w:r>
      <w:r w:rsidRPr="00B93D67">
        <w:rPr>
          <w:sz w:val="20"/>
        </w:rPr>
        <w:t xml:space="preserve"> Rives 2007: 98.</w:t>
      </w:r>
    </w:p>
  </w:footnote>
  <w:footnote w:id="145">
    <w:p w14:paraId="7DBA2D55" w14:textId="7CB005CD" w:rsidR="003A5255" w:rsidRPr="00B93D67" w:rsidRDefault="003A5255">
      <w:pPr>
        <w:pStyle w:val="FootnoteText"/>
        <w:rPr>
          <w:sz w:val="20"/>
        </w:rPr>
      </w:pPr>
      <w:r w:rsidRPr="00B93D67">
        <w:rPr>
          <w:rStyle w:val="FootnoteReference"/>
          <w:sz w:val="20"/>
        </w:rPr>
        <w:footnoteRef/>
      </w:r>
      <w:r w:rsidRPr="00B93D67">
        <w:rPr>
          <w:sz w:val="20"/>
        </w:rPr>
        <w:t xml:space="preserve"> Rives 2007: 98; Although not related, it does not seem to make sense that in the Christians treated the Pagans in the same manner in which they would have been. Surely, that goes against the basic principles of the faith to actively seek out and hurt those who have altering views, to the point in which talking about religion in a public setting was not acceptable. All religions in a situation such as this one are at fault as clearly nothing was learnt from the earlier persecutions and so the actions had no choice but to be repeated.  </w:t>
      </w:r>
    </w:p>
  </w:footnote>
  <w:footnote w:id="146">
    <w:p w14:paraId="739364AD" w14:textId="0A201036" w:rsidR="003A5255" w:rsidRPr="00B93D67" w:rsidRDefault="003A5255" w:rsidP="004E55D8">
      <w:pPr>
        <w:pStyle w:val="FootnoteText"/>
        <w:rPr>
          <w:sz w:val="20"/>
        </w:rPr>
      </w:pPr>
      <w:r w:rsidRPr="00B93D67">
        <w:rPr>
          <w:rStyle w:val="FootnoteReference"/>
          <w:sz w:val="20"/>
        </w:rPr>
        <w:footnoteRef/>
      </w:r>
      <w:r w:rsidRPr="00B93D67">
        <w:rPr>
          <w:sz w:val="20"/>
        </w:rPr>
        <w:t xml:space="preserve"> Take for example the widespread persecution of Christians from 250 onwards, </w:t>
      </w:r>
      <w:r w:rsidR="00F21049" w:rsidRPr="00B93D67">
        <w:rPr>
          <w:sz w:val="20"/>
        </w:rPr>
        <w:t xml:space="preserve">as mentioned in Knipfing 1925: 484. </w:t>
      </w:r>
    </w:p>
  </w:footnote>
  <w:footnote w:id="147">
    <w:p w14:paraId="788A440B" w14:textId="40075BC6" w:rsidR="003A5255" w:rsidRPr="00B93D67" w:rsidRDefault="003A5255" w:rsidP="004E55D8">
      <w:pPr>
        <w:pStyle w:val="FootnoteText"/>
        <w:rPr>
          <w:sz w:val="20"/>
        </w:rPr>
      </w:pPr>
      <w:r w:rsidRPr="00B93D67">
        <w:rPr>
          <w:rStyle w:val="FootnoteReference"/>
          <w:sz w:val="20"/>
        </w:rPr>
        <w:footnoteRef/>
      </w:r>
      <w:r w:rsidRPr="00B93D67">
        <w:rPr>
          <w:sz w:val="20"/>
        </w:rPr>
        <w:t xml:space="preserve"> Hyde 1970: 119. </w:t>
      </w:r>
    </w:p>
  </w:footnote>
  <w:footnote w:id="148">
    <w:p w14:paraId="111EA4A8" w14:textId="4587486A" w:rsidR="003A5255" w:rsidRPr="00B93D67" w:rsidRDefault="003A5255" w:rsidP="004E55D8">
      <w:pPr>
        <w:pStyle w:val="FootnoteText"/>
        <w:rPr>
          <w:sz w:val="20"/>
        </w:rPr>
      </w:pPr>
      <w:r w:rsidRPr="00B93D67">
        <w:rPr>
          <w:rStyle w:val="FootnoteReference"/>
          <w:sz w:val="20"/>
        </w:rPr>
        <w:footnoteRef/>
      </w:r>
      <w:r w:rsidRPr="00B93D67">
        <w:rPr>
          <w:sz w:val="20"/>
        </w:rPr>
        <w:t xml:space="preserve"> Elliot 1996: </w:t>
      </w:r>
      <w:r w:rsidR="00CA5748" w:rsidRPr="00B93D67">
        <w:rPr>
          <w:sz w:val="20"/>
        </w:rPr>
        <w:t xml:space="preserve">3; MacMullen 1984: 50. </w:t>
      </w:r>
    </w:p>
  </w:footnote>
  <w:footnote w:id="149">
    <w:p w14:paraId="5F9F7ACD" w14:textId="75D75A7B" w:rsidR="003A5255" w:rsidRPr="00B93D67" w:rsidRDefault="003A5255" w:rsidP="004E55D8">
      <w:pPr>
        <w:pStyle w:val="FootnoteText"/>
        <w:rPr>
          <w:sz w:val="20"/>
        </w:rPr>
      </w:pPr>
      <w:r w:rsidRPr="00B93D67">
        <w:rPr>
          <w:rStyle w:val="FootnoteReference"/>
          <w:sz w:val="20"/>
        </w:rPr>
        <w:footnoteRef/>
      </w:r>
      <w:r w:rsidRPr="00B93D67">
        <w:rPr>
          <w:sz w:val="20"/>
        </w:rPr>
        <w:t xml:space="preserve"> C. </w:t>
      </w:r>
      <w:r w:rsidRPr="00B93D67">
        <w:rPr>
          <w:i/>
          <w:sz w:val="20"/>
        </w:rPr>
        <w:t>Th.</w:t>
      </w:r>
      <w:r w:rsidRPr="00B93D67">
        <w:rPr>
          <w:sz w:val="20"/>
        </w:rPr>
        <w:t xml:space="preserve"> 16. 1. 1. </w:t>
      </w:r>
    </w:p>
  </w:footnote>
  <w:footnote w:id="150">
    <w:p w14:paraId="0436E60A" w14:textId="77777777" w:rsidR="003A5255" w:rsidRPr="00B93D67" w:rsidRDefault="003A5255" w:rsidP="004E55D8">
      <w:pPr>
        <w:pStyle w:val="FootnoteText"/>
        <w:rPr>
          <w:sz w:val="20"/>
        </w:rPr>
      </w:pPr>
      <w:r w:rsidRPr="00B93D67">
        <w:rPr>
          <w:rStyle w:val="FootnoteReference"/>
          <w:sz w:val="20"/>
        </w:rPr>
        <w:footnoteRef/>
      </w:r>
      <w:r w:rsidRPr="00B93D67">
        <w:rPr>
          <w:sz w:val="20"/>
        </w:rPr>
        <w:t xml:space="preserve"> Keresztes 1983: 392, the persecutions that took place between 303 were some of the most violent. </w:t>
      </w:r>
    </w:p>
  </w:footnote>
  <w:footnote w:id="151">
    <w:p w14:paraId="4923BFC2" w14:textId="3EC9E766" w:rsidR="003A5255" w:rsidRPr="00B93D67" w:rsidRDefault="003A5255" w:rsidP="004E55D8">
      <w:pPr>
        <w:pStyle w:val="FootnoteText"/>
        <w:rPr>
          <w:sz w:val="20"/>
        </w:rPr>
      </w:pPr>
      <w:r w:rsidRPr="00B93D67">
        <w:rPr>
          <w:rStyle w:val="FootnoteReference"/>
          <w:sz w:val="20"/>
        </w:rPr>
        <w:footnoteRef/>
      </w:r>
      <w:r w:rsidRPr="00B93D67">
        <w:rPr>
          <w:sz w:val="20"/>
        </w:rPr>
        <w:t xml:space="preserve"> Mentioned previously has been the blame that was passed on by figures such as Nero, at the beginning of that century they were clearly frowned upon, in comparison to the implementation of Christianity as the official religion of the Empire. </w:t>
      </w:r>
    </w:p>
  </w:footnote>
  <w:footnote w:id="152">
    <w:p w14:paraId="7B80632B" w14:textId="28AFEC01" w:rsidR="003A5255" w:rsidRPr="00B93D67" w:rsidRDefault="003A5255" w:rsidP="004E55D8">
      <w:pPr>
        <w:pStyle w:val="FootnoteText"/>
        <w:rPr>
          <w:i/>
          <w:sz w:val="20"/>
        </w:rPr>
      </w:pPr>
      <w:r w:rsidRPr="00B93D67">
        <w:rPr>
          <w:rStyle w:val="FootnoteReference"/>
          <w:sz w:val="20"/>
        </w:rPr>
        <w:footnoteRef/>
      </w:r>
      <w:r w:rsidRPr="00B93D67">
        <w:rPr>
          <w:sz w:val="20"/>
        </w:rPr>
        <w:t xml:space="preserve"> Eus. </w:t>
      </w:r>
      <w:r w:rsidRPr="00B93D67">
        <w:rPr>
          <w:i/>
          <w:sz w:val="20"/>
        </w:rPr>
        <w:t xml:space="preserve">EH </w:t>
      </w:r>
      <w:r w:rsidRPr="00B93D67">
        <w:rPr>
          <w:sz w:val="20"/>
        </w:rPr>
        <w:t xml:space="preserve">and Lac. </w:t>
      </w:r>
      <w:r w:rsidRPr="00B93D67">
        <w:rPr>
          <w:i/>
          <w:sz w:val="20"/>
        </w:rPr>
        <w:t xml:space="preserve">De Mort Pers. </w:t>
      </w:r>
    </w:p>
  </w:footnote>
  <w:footnote w:id="153">
    <w:p w14:paraId="208E0FB2" w14:textId="736FCFC0" w:rsidR="007D4325" w:rsidRPr="00B93D67" w:rsidRDefault="007D4325">
      <w:pPr>
        <w:pStyle w:val="FootnoteText"/>
        <w:rPr>
          <w:sz w:val="20"/>
        </w:rPr>
      </w:pPr>
      <w:r w:rsidRPr="00B93D67">
        <w:rPr>
          <w:rStyle w:val="FootnoteReference"/>
          <w:sz w:val="20"/>
        </w:rPr>
        <w:footnoteRef/>
      </w:r>
      <w:r w:rsidRPr="00B93D67">
        <w:rPr>
          <w:sz w:val="20"/>
        </w:rPr>
        <w:t xml:space="preserve"> This is also exemplified by the fact that </w:t>
      </w:r>
      <w:r w:rsidR="0045191A" w:rsidRPr="00B93D67">
        <w:rPr>
          <w:sz w:val="20"/>
        </w:rPr>
        <w:t xml:space="preserve">orthodox Christianity was preferred by Emperor </w:t>
      </w:r>
      <w:r w:rsidR="004C7603" w:rsidRPr="00B93D67">
        <w:rPr>
          <w:sz w:val="20"/>
        </w:rPr>
        <w:t>Theodosius</w:t>
      </w:r>
      <w:r w:rsidR="0045191A" w:rsidRPr="00B93D67">
        <w:rPr>
          <w:sz w:val="20"/>
        </w:rPr>
        <w:t>, King 1961: 50.</w:t>
      </w:r>
    </w:p>
  </w:footnote>
  <w:footnote w:id="154">
    <w:p w14:paraId="6DC2BCEF" w14:textId="653AB83E" w:rsidR="00437D7C" w:rsidRPr="00B93D67" w:rsidRDefault="00437D7C">
      <w:pPr>
        <w:pStyle w:val="FootnoteText"/>
        <w:rPr>
          <w:i/>
          <w:sz w:val="20"/>
        </w:rPr>
      </w:pPr>
      <w:r w:rsidRPr="00B93D67">
        <w:rPr>
          <w:rStyle w:val="FootnoteReference"/>
          <w:sz w:val="20"/>
        </w:rPr>
        <w:footnoteRef/>
      </w:r>
      <w:r w:rsidRPr="00B93D67">
        <w:rPr>
          <w:sz w:val="20"/>
        </w:rPr>
        <w:t xml:space="preserve"> C. </w:t>
      </w:r>
      <w:r w:rsidRPr="00B93D67">
        <w:rPr>
          <w:i/>
          <w:sz w:val="20"/>
        </w:rPr>
        <w:t xml:space="preserve">Th. 16. </w:t>
      </w:r>
    </w:p>
  </w:footnote>
  <w:footnote w:id="155">
    <w:p w14:paraId="6A17283A" w14:textId="143D5C06" w:rsidR="003A5255" w:rsidRPr="00B93D67" w:rsidRDefault="003A5255" w:rsidP="00513B57">
      <w:pPr>
        <w:pStyle w:val="FootnoteText"/>
        <w:rPr>
          <w:sz w:val="20"/>
        </w:rPr>
      </w:pPr>
      <w:r w:rsidRPr="00B93D67">
        <w:rPr>
          <w:rStyle w:val="FootnoteReference"/>
          <w:sz w:val="20"/>
        </w:rPr>
        <w:footnoteRef/>
      </w:r>
      <w:r w:rsidRPr="00B93D67">
        <w:rPr>
          <w:sz w:val="20"/>
        </w:rPr>
        <w:t xml:space="preserve"> Betten 1925:</w:t>
      </w:r>
      <w:r w:rsidR="00E73D5B" w:rsidRPr="00B93D67">
        <w:rPr>
          <w:sz w:val="20"/>
        </w:rPr>
        <w:t xml:space="preserve"> 194</w:t>
      </w:r>
      <w:r w:rsidRPr="00B93D67">
        <w:rPr>
          <w:sz w:val="20"/>
        </w:rPr>
        <w:t>, this argument is one t</w:t>
      </w:r>
      <w:r w:rsidR="0045191A" w:rsidRPr="00B93D67">
        <w:rPr>
          <w:sz w:val="20"/>
        </w:rPr>
        <w:t>hat stands out as it provides a</w:t>
      </w:r>
      <w:r w:rsidRPr="00B93D67">
        <w:rPr>
          <w:sz w:val="20"/>
        </w:rPr>
        <w:t xml:space="preserve"> gateway to see how Christianity and those who follow may not have always been accepting of the rise of Christianity as the focus was not always with correct intent.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665"/>
    <w:rsid w:val="00000693"/>
    <w:rsid w:val="00001EF5"/>
    <w:rsid w:val="00011F84"/>
    <w:rsid w:val="00015D58"/>
    <w:rsid w:val="00023BE8"/>
    <w:rsid w:val="0002419A"/>
    <w:rsid w:val="00034A3A"/>
    <w:rsid w:val="00035B84"/>
    <w:rsid w:val="000423BD"/>
    <w:rsid w:val="00056ACF"/>
    <w:rsid w:val="000574FC"/>
    <w:rsid w:val="00077D24"/>
    <w:rsid w:val="00096604"/>
    <w:rsid w:val="000A02DC"/>
    <w:rsid w:val="000A1439"/>
    <w:rsid w:val="000A68A4"/>
    <w:rsid w:val="000A68F2"/>
    <w:rsid w:val="000B2C31"/>
    <w:rsid w:val="000C3E33"/>
    <w:rsid w:val="000E6AC3"/>
    <w:rsid w:val="000F33B0"/>
    <w:rsid w:val="000F50E1"/>
    <w:rsid w:val="00104DB9"/>
    <w:rsid w:val="00117F64"/>
    <w:rsid w:val="00120C15"/>
    <w:rsid w:val="00126FB1"/>
    <w:rsid w:val="0012784A"/>
    <w:rsid w:val="00156366"/>
    <w:rsid w:val="00182122"/>
    <w:rsid w:val="00183EA0"/>
    <w:rsid w:val="00196727"/>
    <w:rsid w:val="001A469D"/>
    <w:rsid w:val="001A4FD9"/>
    <w:rsid w:val="001A6AE0"/>
    <w:rsid w:val="001D175F"/>
    <w:rsid w:val="00204625"/>
    <w:rsid w:val="00205E90"/>
    <w:rsid w:val="00212D4E"/>
    <w:rsid w:val="002169D4"/>
    <w:rsid w:val="00217DF3"/>
    <w:rsid w:val="00232D5D"/>
    <w:rsid w:val="00236D6C"/>
    <w:rsid w:val="0024719F"/>
    <w:rsid w:val="002474ED"/>
    <w:rsid w:val="00257515"/>
    <w:rsid w:val="00264311"/>
    <w:rsid w:val="002738D7"/>
    <w:rsid w:val="00290BB5"/>
    <w:rsid w:val="002963C5"/>
    <w:rsid w:val="002A5FD4"/>
    <w:rsid w:val="002B0649"/>
    <w:rsid w:val="002B7519"/>
    <w:rsid w:val="002C7281"/>
    <w:rsid w:val="002D75F6"/>
    <w:rsid w:val="002F1F7A"/>
    <w:rsid w:val="003040F2"/>
    <w:rsid w:val="0031519C"/>
    <w:rsid w:val="0032185D"/>
    <w:rsid w:val="00322E3B"/>
    <w:rsid w:val="0032631A"/>
    <w:rsid w:val="00332281"/>
    <w:rsid w:val="00333154"/>
    <w:rsid w:val="003370FC"/>
    <w:rsid w:val="0034617F"/>
    <w:rsid w:val="003503BA"/>
    <w:rsid w:val="0035411A"/>
    <w:rsid w:val="00357564"/>
    <w:rsid w:val="00357D66"/>
    <w:rsid w:val="00366F79"/>
    <w:rsid w:val="003737E8"/>
    <w:rsid w:val="003748EE"/>
    <w:rsid w:val="003808D5"/>
    <w:rsid w:val="00383F70"/>
    <w:rsid w:val="003867D5"/>
    <w:rsid w:val="003A5255"/>
    <w:rsid w:val="003B2458"/>
    <w:rsid w:val="003D6CB2"/>
    <w:rsid w:val="00420069"/>
    <w:rsid w:val="00423828"/>
    <w:rsid w:val="004244B3"/>
    <w:rsid w:val="00426B40"/>
    <w:rsid w:val="00433789"/>
    <w:rsid w:val="00437B22"/>
    <w:rsid w:val="00437D7C"/>
    <w:rsid w:val="004409E2"/>
    <w:rsid w:val="0045191A"/>
    <w:rsid w:val="0045199A"/>
    <w:rsid w:val="00454F9B"/>
    <w:rsid w:val="00457E28"/>
    <w:rsid w:val="0046016E"/>
    <w:rsid w:val="00460BAE"/>
    <w:rsid w:val="004633AA"/>
    <w:rsid w:val="00491D8A"/>
    <w:rsid w:val="004B50E7"/>
    <w:rsid w:val="004C36C4"/>
    <w:rsid w:val="004C7603"/>
    <w:rsid w:val="004D7891"/>
    <w:rsid w:val="004E31E4"/>
    <w:rsid w:val="004E41B1"/>
    <w:rsid w:val="004E55D8"/>
    <w:rsid w:val="004F5ACD"/>
    <w:rsid w:val="00500E02"/>
    <w:rsid w:val="00505D17"/>
    <w:rsid w:val="00513B57"/>
    <w:rsid w:val="00520F3E"/>
    <w:rsid w:val="00522759"/>
    <w:rsid w:val="005259D3"/>
    <w:rsid w:val="00546930"/>
    <w:rsid w:val="005479D4"/>
    <w:rsid w:val="00547CBE"/>
    <w:rsid w:val="005543C3"/>
    <w:rsid w:val="0056142E"/>
    <w:rsid w:val="00570E09"/>
    <w:rsid w:val="00574B84"/>
    <w:rsid w:val="00574D10"/>
    <w:rsid w:val="00596C90"/>
    <w:rsid w:val="005A102E"/>
    <w:rsid w:val="005C11F9"/>
    <w:rsid w:val="005E0708"/>
    <w:rsid w:val="005E335E"/>
    <w:rsid w:val="005F15FB"/>
    <w:rsid w:val="005F2AE8"/>
    <w:rsid w:val="005F2D93"/>
    <w:rsid w:val="005F4804"/>
    <w:rsid w:val="005F7303"/>
    <w:rsid w:val="0060670B"/>
    <w:rsid w:val="00633E21"/>
    <w:rsid w:val="00642DEC"/>
    <w:rsid w:val="00644EC4"/>
    <w:rsid w:val="00651CD6"/>
    <w:rsid w:val="00662ED5"/>
    <w:rsid w:val="00665AE7"/>
    <w:rsid w:val="00673F57"/>
    <w:rsid w:val="00675A85"/>
    <w:rsid w:val="0069653E"/>
    <w:rsid w:val="00697923"/>
    <w:rsid w:val="006A1D21"/>
    <w:rsid w:val="006C0AA2"/>
    <w:rsid w:val="006C29A5"/>
    <w:rsid w:val="006C71F2"/>
    <w:rsid w:val="006E49A0"/>
    <w:rsid w:val="006F3F0E"/>
    <w:rsid w:val="006F69D4"/>
    <w:rsid w:val="00710C88"/>
    <w:rsid w:val="00720F63"/>
    <w:rsid w:val="00721ECA"/>
    <w:rsid w:val="0073560E"/>
    <w:rsid w:val="0075735E"/>
    <w:rsid w:val="007826A8"/>
    <w:rsid w:val="00787029"/>
    <w:rsid w:val="007904B0"/>
    <w:rsid w:val="00795BF5"/>
    <w:rsid w:val="007A0F9D"/>
    <w:rsid w:val="007A273D"/>
    <w:rsid w:val="007A4147"/>
    <w:rsid w:val="007B10DA"/>
    <w:rsid w:val="007B211A"/>
    <w:rsid w:val="007B3C9B"/>
    <w:rsid w:val="007B7CFB"/>
    <w:rsid w:val="007C278E"/>
    <w:rsid w:val="007C7B2C"/>
    <w:rsid w:val="007D07EC"/>
    <w:rsid w:val="007D177C"/>
    <w:rsid w:val="007D4325"/>
    <w:rsid w:val="007E6542"/>
    <w:rsid w:val="00801A8F"/>
    <w:rsid w:val="00801F6A"/>
    <w:rsid w:val="008103C3"/>
    <w:rsid w:val="0081656B"/>
    <w:rsid w:val="00824499"/>
    <w:rsid w:val="00826665"/>
    <w:rsid w:val="00836A69"/>
    <w:rsid w:val="0084580C"/>
    <w:rsid w:val="00856AD1"/>
    <w:rsid w:val="0086215C"/>
    <w:rsid w:val="00877467"/>
    <w:rsid w:val="008874C6"/>
    <w:rsid w:val="00895A96"/>
    <w:rsid w:val="008A60A7"/>
    <w:rsid w:val="008A721F"/>
    <w:rsid w:val="008B3BD7"/>
    <w:rsid w:val="008C324E"/>
    <w:rsid w:val="008E7CB1"/>
    <w:rsid w:val="008F0816"/>
    <w:rsid w:val="00936FC3"/>
    <w:rsid w:val="00950D88"/>
    <w:rsid w:val="00963A22"/>
    <w:rsid w:val="00963B32"/>
    <w:rsid w:val="0097451F"/>
    <w:rsid w:val="00975310"/>
    <w:rsid w:val="00993D59"/>
    <w:rsid w:val="009A15A1"/>
    <w:rsid w:val="009A3E02"/>
    <w:rsid w:val="009B4F5B"/>
    <w:rsid w:val="009C05C1"/>
    <w:rsid w:val="009C1D9F"/>
    <w:rsid w:val="009C26CD"/>
    <w:rsid w:val="009C5D17"/>
    <w:rsid w:val="009E3517"/>
    <w:rsid w:val="009E49C8"/>
    <w:rsid w:val="009E4C96"/>
    <w:rsid w:val="009E72A3"/>
    <w:rsid w:val="009E7581"/>
    <w:rsid w:val="00A07553"/>
    <w:rsid w:val="00A16D37"/>
    <w:rsid w:val="00A23435"/>
    <w:rsid w:val="00A3341A"/>
    <w:rsid w:val="00A54470"/>
    <w:rsid w:val="00A56DD4"/>
    <w:rsid w:val="00A61E5D"/>
    <w:rsid w:val="00A63BF8"/>
    <w:rsid w:val="00A64424"/>
    <w:rsid w:val="00A67943"/>
    <w:rsid w:val="00A7068D"/>
    <w:rsid w:val="00A735FC"/>
    <w:rsid w:val="00AA3182"/>
    <w:rsid w:val="00AB4D15"/>
    <w:rsid w:val="00AC3F15"/>
    <w:rsid w:val="00AF01D6"/>
    <w:rsid w:val="00AF5ECB"/>
    <w:rsid w:val="00B33E59"/>
    <w:rsid w:val="00B34EDF"/>
    <w:rsid w:val="00B47C3E"/>
    <w:rsid w:val="00B54A6C"/>
    <w:rsid w:val="00B5582D"/>
    <w:rsid w:val="00B56979"/>
    <w:rsid w:val="00B60850"/>
    <w:rsid w:val="00B760A1"/>
    <w:rsid w:val="00B841BF"/>
    <w:rsid w:val="00B92ADD"/>
    <w:rsid w:val="00B93D67"/>
    <w:rsid w:val="00B96049"/>
    <w:rsid w:val="00BB5D93"/>
    <w:rsid w:val="00BC1168"/>
    <w:rsid w:val="00BC40C4"/>
    <w:rsid w:val="00BD0EF2"/>
    <w:rsid w:val="00BE489C"/>
    <w:rsid w:val="00BF5564"/>
    <w:rsid w:val="00C3230D"/>
    <w:rsid w:val="00C527A4"/>
    <w:rsid w:val="00C61CB5"/>
    <w:rsid w:val="00C6623A"/>
    <w:rsid w:val="00C70EDF"/>
    <w:rsid w:val="00C77246"/>
    <w:rsid w:val="00C879A4"/>
    <w:rsid w:val="00C97DE5"/>
    <w:rsid w:val="00CA5748"/>
    <w:rsid w:val="00CA578F"/>
    <w:rsid w:val="00CB665A"/>
    <w:rsid w:val="00CB732C"/>
    <w:rsid w:val="00CD23B2"/>
    <w:rsid w:val="00CD25EB"/>
    <w:rsid w:val="00CD6D83"/>
    <w:rsid w:val="00CE29CB"/>
    <w:rsid w:val="00CF2135"/>
    <w:rsid w:val="00D06045"/>
    <w:rsid w:val="00D21B51"/>
    <w:rsid w:val="00D24C04"/>
    <w:rsid w:val="00D27A9E"/>
    <w:rsid w:val="00D57565"/>
    <w:rsid w:val="00D62B95"/>
    <w:rsid w:val="00D6468D"/>
    <w:rsid w:val="00D64F1E"/>
    <w:rsid w:val="00D73134"/>
    <w:rsid w:val="00D82FF1"/>
    <w:rsid w:val="00D857BB"/>
    <w:rsid w:val="00D86B8A"/>
    <w:rsid w:val="00DA6033"/>
    <w:rsid w:val="00DB313A"/>
    <w:rsid w:val="00DC3767"/>
    <w:rsid w:val="00E05BEE"/>
    <w:rsid w:val="00E24A1A"/>
    <w:rsid w:val="00E64EAA"/>
    <w:rsid w:val="00E733BB"/>
    <w:rsid w:val="00E73D5B"/>
    <w:rsid w:val="00E769C7"/>
    <w:rsid w:val="00E847D2"/>
    <w:rsid w:val="00E8644F"/>
    <w:rsid w:val="00E9359E"/>
    <w:rsid w:val="00E937AC"/>
    <w:rsid w:val="00EB3F2C"/>
    <w:rsid w:val="00EC5BDB"/>
    <w:rsid w:val="00ED1A2E"/>
    <w:rsid w:val="00ED3A6A"/>
    <w:rsid w:val="00ED61BE"/>
    <w:rsid w:val="00F02095"/>
    <w:rsid w:val="00F1176E"/>
    <w:rsid w:val="00F15DDA"/>
    <w:rsid w:val="00F21049"/>
    <w:rsid w:val="00F400A2"/>
    <w:rsid w:val="00F52A9F"/>
    <w:rsid w:val="00F57A56"/>
    <w:rsid w:val="00F57D19"/>
    <w:rsid w:val="00F6124E"/>
    <w:rsid w:val="00F8325E"/>
    <w:rsid w:val="00F85B18"/>
    <w:rsid w:val="00F862D4"/>
    <w:rsid w:val="00F97AC5"/>
    <w:rsid w:val="00FA0C8F"/>
    <w:rsid w:val="00FA32BA"/>
    <w:rsid w:val="00FA5E4D"/>
    <w:rsid w:val="00FB626F"/>
    <w:rsid w:val="00FC02AB"/>
    <w:rsid w:val="00FD2908"/>
    <w:rsid w:val="00FD2DE5"/>
    <w:rsid w:val="00FE40E7"/>
    <w:rsid w:val="00FE68AB"/>
    <w:rsid w:val="00FF2DC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CA9B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w:eastAsiaTheme="minorHAnsi" w:hAnsi="Times" w:cstheme="minorBidi"/>
        <w:sz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6665"/>
  </w:style>
  <w:style w:type="paragraph" w:styleId="Heading1">
    <w:name w:val="heading 1"/>
    <w:basedOn w:val="Normal"/>
    <w:next w:val="Normal"/>
    <w:link w:val="Heading1Char"/>
    <w:uiPriority w:val="9"/>
    <w:qFormat/>
    <w:rsid w:val="008266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6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6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6665"/>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unhideWhenUsed/>
    <w:rsid w:val="00826665"/>
  </w:style>
  <w:style w:type="character" w:customStyle="1" w:styleId="FootnoteTextChar">
    <w:name w:val="Footnote Text Char"/>
    <w:basedOn w:val="DefaultParagraphFont"/>
    <w:link w:val="FootnoteText"/>
    <w:uiPriority w:val="99"/>
    <w:rsid w:val="00826665"/>
  </w:style>
  <w:style w:type="character" w:styleId="FootnoteReference">
    <w:name w:val="footnote reference"/>
    <w:basedOn w:val="DefaultParagraphFont"/>
    <w:uiPriority w:val="99"/>
    <w:unhideWhenUsed/>
    <w:rsid w:val="00826665"/>
    <w:rPr>
      <w:vertAlign w:val="superscript"/>
    </w:rPr>
  </w:style>
  <w:style w:type="paragraph" w:styleId="TOCHeading">
    <w:name w:val="TOC Heading"/>
    <w:basedOn w:val="Heading1"/>
    <w:next w:val="Normal"/>
    <w:uiPriority w:val="39"/>
    <w:unhideWhenUsed/>
    <w:qFormat/>
    <w:rsid w:val="0082666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26665"/>
    <w:pPr>
      <w:tabs>
        <w:tab w:val="right" w:leader="dot" w:pos="9010"/>
      </w:tabs>
      <w:spacing w:before="120" w:line="480" w:lineRule="auto"/>
    </w:pPr>
    <w:rPr>
      <w:rFonts w:asciiTheme="minorHAnsi" w:hAnsiTheme="minorHAnsi"/>
      <w:b/>
      <w:bCs/>
      <w:caps/>
      <w:sz w:val="22"/>
      <w:szCs w:val="22"/>
    </w:rPr>
  </w:style>
  <w:style w:type="paragraph" w:styleId="TOC2">
    <w:name w:val="toc 2"/>
    <w:basedOn w:val="Normal"/>
    <w:next w:val="Normal"/>
    <w:autoRedefine/>
    <w:uiPriority w:val="39"/>
    <w:unhideWhenUsed/>
    <w:rsid w:val="00826665"/>
    <w:pPr>
      <w:ind w:left="240"/>
    </w:pPr>
    <w:rPr>
      <w:rFonts w:asciiTheme="minorHAnsi" w:hAnsiTheme="minorHAnsi"/>
      <w:smallCaps/>
      <w:sz w:val="22"/>
      <w:szCs w:val="22"/>
    </w:rPr>
  </w:style>
  <w:style w:type="character" w:styleId="Hyperlink">
    <w:name w:val="Hyperlink"/>
    <w:basedOn w:val="DefaultParagraphFont"/>
    <w:uiPriority w:val="99"/>
    <w:unhideWhenUsed/>
    <w:rsid w:val="00826665"/>
    <w:rPr>
      <w:color w:val="0563C1" w:themeColor="hyperlink"/>
      <w:u w:val="single"/>
    </w:rPr>
  </w:style>
  <w:style w:type="paragraph" w:styleId="Footer">
    <w:name w:val="footer"/>
    <w:basedOn w:val="Normal"/>
    <w:link w:val="FooterChar"/>
    <w:uiPriority w:val="99"/>
    <w:unhideWhenUsed/>
    <w:rsid w:val="00826665"/>
    <w:pPr>
      <w:tabs>
        <w:tab w:val="center" w:pos="4513"/>
        <w:tab w:val="right" w:pos="9026"/>
      </w:tabs>
    </w:pPr>
  </w:style>
  <w:style w:type="character" w:customStyle="1" w:styleId="FooterChar">
    <w:name w:val="Footer Char"/>
    <w:basedOn w:val="DefaultParagraphFont"/>
    <w:link w:val="Footer"/>
    <w:uiPriority w:val="99"/>
    <w:rsid w:val="00826665"/>
  </w:style>
  <w:style w:type="character" w:styleId="PageNumber">
    <w:name w:val="page number"/>
    <w:basedOn w:val="DefaultParagraphFont"/>
    <w:uiPriority w:val="99"/>
    <w:semiHidden/>
    <w:unhideWhenUsed/>
    <w:rsid w:val="00826665"/>
  </w:style>
  <w:style w:type="paragraph" w:styleId="Header">
    <w:name w:val="header"/>
    <w:basedOn w:val="Normal"/>
    <w:link w:val="HeaderChar"/>
    <w:uiPriority w:val="99"/>
    <w:unhideWhenUsed/>
    <w:rsid w:val="00826665"/>
    <w:pPr>
      <w:tabs>
        <w:tab w:val="center" w:pos="4513"/>
        <w:tab w:val="right" w:pos="9026"/>
      </w:tabs>
    </w:pPr>
  </w:style>
  <w:style w:type="character" w:customStyle="1" w:styleId="HeaderChar">
    <w:name w:val="Header Char"/>
    <w:basedOn w:val="DefaultParagraphFont"/>
    <w:link w:val="Header"/>
    <w:uiPriority w:val="99"/>
    <w:rsid w:val="00826665"/>
  </w:style>
  <w:style w:type="character" w:styleId="FollowedHyperlink">
    <w:name w:val="FollowedHyperlink"/>
    <w:basedOn w:val="DefaultParagraphFont"/>
    <w:uiPriority w:val="99"/>
    <w:semiHidden/>
    <w:unhideWhenUsed/>
    <w:rsid w:val="009E4C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4336077F-5C01-A847-8934-4A849786A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38</Pages>
  <Words>8530</Words>
  <Characters>43507</Characters>
  <Application>Microsoft Macintosh Word</Application>
  <DocSecurity>0</DocSecurity>
  <Lines>763</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 (1502320)</dc:creator>
  <cp:keywords/>
  <dc:description/>
  <cp:lastModifiedBy>Hannah Kozdoj</cp:lastModifiedBy>
  <cp:revision>60</cp:revision>
  <dcterms:created xsi:type="dcterms:W3CDTF">2018-05-10T11:09:00Z</dcterms:created>
  <dcterms:modified xsi:type="dcterms:W3CDTF">2018-05-10T21:37:00Z</dcterms:modified>
</cp:coreProperties>
</file>