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25289CD" w14:textId="11AE7081" w:rsidR="325D5AA0" w:rsidRDefault="325D5AA0" w:rsidP="2F8C7A27">
      <w:pPr>
        <w:spacing w:before="154" w:after="0" w:line="216" w:lineRule="auto"/>
        <w:rPr>
          <w:rFonts w:ascii="Arial" w:eastAsia="Arial" w:hAnsi="Arial" w:cs="Arial"/>
          <w:sz w:val="64"/>
          <w:szCs w:val="64"/>
        </w:rPr>
      </w:pPr>
    </w:p>
    <w:p w14:paraId="4188C7B0" w14:textId="5DDBF5C0" w:rsidR="2F8C7A27" w:rsidRDefault="2F8C7A27" w:rsidP="2F8C7A27">
      <w:pPr>
        <w:spacing w:before="154" w:after="0" w:line="216" w:lineRule="auto"/>
        <w:ind w:left="547" w:hanging="547"/>
        <w:rPr>
          <w:rFonts w:ascii="Aptos" w:eastAsia="Aptos" w:hAnsi="Aptos" w:cs="Aptos"/>
          <w:color w:val="000000" w:themeColor="text1"/>
          <w:sz w:val="64"/>
          <w:szCs w:val="64"/>
        </w:rPr>
      </w:pPr>
    </w:p>
    <w:p w14:paraId="338BB5ED" w14:textId="20812122" w:rsidR="2F8C7A27" w:rsidRDefault="2F8C7A27"/>
    <w:p w14:paraId="2C426D66" w14:textId="0B33E752" w:rsidR="2F8C7A27" w:rsidRDefault="2F8C7A27"/>
    <w:p w14:paraId="5B5342E8" w14:textId="4B484A97" w:rsidR="2F8C7A27" w:rsidRDefault="2F8C7A27"/>
    <w:p w14:paraId="75DD78A6" w14:textId="3E3CECD1" w:rsidR="2A4F4B71" w:rsidRPr="00FC6E19" w:rsidRDefault="2A4F4B71" w:rsidP="00352150">
      <w:pPr>
        <w:jc w:val="center"/>
        <w:rPr>
          <w:rFonts w:ascii="Arial" w:hAnsi="Arial" w:cs="Arial"/>
          <w:sz w:val="48"/>
          <w:szCs w:val="48"/>
        </w:rPr>
      </w:pPr>
      <w:r w:rsidRPr="00FC6E19">
        <w:rPr>
          <w:rFonts w:ascii="Arial" w:hAnsi="Arial" w:cs="Arial"/>
          <w:sz w:val="48"/>
          <w:szCs w:val="48"/>
        </w:rPr>
        <w:t>Name: Sharmin Begum</w:t>
      </w:r>
    </w:p>
    <w:p w14:paraId="7DB9BFA1" w14:textId="28066DF3" w:rsidR="2A4F4B71" w:rsidRPr="00FC6E19" w:rsidRDefault="2A4F4B71" w:rsidP="00352150">
      <w:pPr>
        <w:jc w:val="center"/>
        <w:rPr>
          <w:rFonts w:ascii="Arial" w:hAnsi="Arial" w:cs="Arial"/>
          <w:sz w:val="48"/>
          <w:szCs w:val="48"/>
        </w:rPr>
      </w:pPr>
      <w:r w:rsidRPr="00FC6E19">
        <w:rPr>
          <w:rFonts w:ascii="Arial" w:hAnsi="Arial" w:cs="Arial"/>
          <w:sz w:val="48"/>
          <w:szCs w:val="48"/>
        </w:rPr>
        <w:t>Student number: 2227513</w:t>
      </w:r>
    </w:p>
    <w:p w14:paraId="46BA2BA5" w14:textId="6BAAF4F4" w:rsidR="2A4F4B71" w:rsidRPr="00FC6E19" w:rsidRDefault="2A4F4B71" w:rsidP="00352150">
      <w:pPr>
        <w:jc w:val="center"/>
        <w:rPr>
          <w:rFonts w:ascii="Arial" w:hAnsi="Arial" w:cs="Arial"/>
          <w:sz w:val="48"/>
          <w:szCs w:val="48"/>
        </w:rPr>
      </w:pPr>
      <w:r w:rsidRPr="00FC6E19">
        <w:rPr>
          <w:rFonts w:ascii="Arial" w:hAnsi="Arial" w:cs="Arial"/>
          <w:sz w:val="48"/>
          <w:szCs w:val="48"/>
        </w:rPr>
        <w:t>Module code:</w:t>
      </w:r>
      <w:r w:rsidR="00DC0734">
        <w:rPr>
          <w:rFonts w:ascii="Arial" w:hAnsi="Arial" w:cs="Arial"/>
          <w:sz w:val="48"/>
          <w:szCs w:val="48"/>
        </w:rPr>
        <w:t xml:space="preserve"> BMHP6030</w:t>
      </w:r>
    </w:p>
    <w:p w14:paraId="2C18C48F" w14:textId="62208307" w:rsidR="2A4F4B71" w:rsidRPr="00FC6E19" w:rsidRDefault="2A4F4B71" w:rsidP="00352150">
      <w:pPr>
        <w:jc w:val="center"/>
        <w:rPr>
          <w:rFonts w:ascii="Arial" w:hAnsi="Arial" w:cs="Arial"/>
          <w:sz w:val="48"/>
          <w:szCs w:val="48"/>
        </w:rPr>
      </w:pPr>
      <w:r w:rsidRPr="00FC6E19">
        <w:rPr>
          <w:rFonts w:ascii="Arial" w:hAnsi="Arial" w:cs="Arial"/>
          <w:sz w:val="48"/>
          <w:szCs w:val="48"/>
        </w:rPr>
        <w:t>Module title:</w:t>
      </w:r>
      <w:r w:rsidR="00DC0734">
        <w:rPr>
          <w:rFonts w:ascii="Arial" w:hAnsi="Arial" w:cs="Arial"/>
          <w:sz w:val="48"/>
          <w:szCs w:val="48"/>
        </w:rPr>
        <w:t xml:space="preserve"> </w:t>
      </w:r>
      <w:r w:rsidR="00DE0247">
        <w:rPr>
          <w:rFonts w:ascii="Arial" w:hAnsi="Arial" w:cs="Arial"/>
          <w:sz w:val="48"/>
          <w:szCs w:val="48"/>
        </w:rPr>
        <w:t>Health, Wellbeing and Sustainable Development</w:t>
      </w:r>
    </w:p>
    <w:p w14:paraId="3C9668CF" w14:textId="4AB9C88F" w:rsidR="2A4F4B71" w:rsidRPr="00FC6E19" w:rsidRDefault="2A4F4B71" w:rsidP="00352150">
      <w:pPr>
        <w:jc w:val="center"/>
        <w:rPr>
          <w:rFonts w:ascii="Arial" w:hAnsi="Arial" w:cs="Arial"/>
          <w:sz w:val="48"/>
          <w:szCs w:val="48"/>
        </w:rPr>
      </w:pPr>
      <w:r w:rsidRPr="00FC6E19">
        <w:rPr>
          <w:rFonts w:ascii="Arial" w:hAnsi="Arial" w:cs="Arial"/>
          <w:sz w:val="48"/>
          <w:szCs w:val="48"/>
        </w:rPr>
        <w:t>Lecturer name: Parese Ahmed</w:t>
      </w:r>
    </w:p>
    <w:p w14:paraId="0579BF05" w14:textId="1168258D" w:rsidR="721D7190" w:rsidRDefault="721D7190"/>
    <w:p w14:paraId="74387F3A" w14:textId="1CC40570" w:rsidR="721D7190" w:rsidRDefault="721D7190"/>
    <w:p w14:paraId="09BF34B1" w14:textId="0C9E2B5D" w:rsidR="721D7190" w:rsidRDefault="721D7190"/>
    <w:p w14:paraId="68267FB8" w14:textId="4D18F05E" w:rsidR="721D7190" w:rsidRDefault="721D7190"/>
    <w:p w14:paraId="38017B6C" w14:textId="3939CFB0" w:rsidR="721D7190" w:rsidRDefault="721D7190"/>
    <w:p w14:paraId="69EDE156" w14:textId="77777777" w:rsidR="00FC6E19" w:rsidRDefault="00FC6E19" w:rsidP="721D7190">
      <w:pPr>
        <w:pStyle w:val="Heading1"/>
      </w:pPr>
    </w:p>
    <w:p w14:paraId="70B9A26A" w14:textId="77777777" w:rsidR="00FC6E19" w:rsidRDefault="00FC6E19" w:rsidP="00FC6E19"/>
    <w:p w14:paraId="27D7A31C" w14:textId="77777777" w:rsidR="00FC6E19" w:rsidRPr="00FC6E19" w:rsidRDefault="00FC6E19" w:rsidP="00FC6E19"/>
    <w:p w14:paraId="03E8678E" w14:textId="123081BD" w:rsidR="2A4F4B71" w:rsidRDefault="2A4F4B71" w:rsidP="721D7190">
      <w:pPr>
        <w:pStyle w:val="Heading1"/>
      </w:pPr>
      <w:r>
        <w:t xml:space="preserve">Introduction </w:t>
      </w:r>
    </w:p>
    <w:p w14:paraId="146F44C2" w14:textId="61BC9A97" w:rsidR="020A189B" w:rsidRDefault="020A189B" w:rsidP="721D7190">
      <w:pPr>
        <w:spacing w:before="240" w:after="240" w:line="360" w:lineRule="auto"/>
        <w:rPr>
          <w:rFonts w:ascii="Arial" w:eastAsia="Arial" w:hAnsi="Arial" w:cs="Arial"/>
          <w:sz w:val="22"/>
          <w:szCs w:val="22"/>
        </w:rPr>
      </w:pPr>
      <w:r w:rsidRPr="721D7190">
        <w:rPr>
          <w:rFonts w:ascii="Arial" w:eastAsia="Arial" w:hAnsi="Arial" w:cs="Arial"/>
          <w:sz w:val="22"/>
          <w:szCs w:val="22"/>
        </w:rPr>
        <w:t>The Sustainable Development Goals (SDGs), adopted by the United Nations in 2015, provide a universal framework for addressing interconnected global challenges. SDG 3 aims to ensure healthy lives and promote wellbeing for all, while SDG 10 seeks to reduce inequality within and among countries (WHO, 202</w:t>
      </w:r>
      <w:r w:rsidR="4F9A556F" w:rsidRPr="721D7190">
        <w:rPr>
          <w:rFonts w:ascii="Arial" w:eastAsia="Arial" w:hAnsi="Arial" w:cs="Arial"/>
          <w:sz w:val="22"/>
          <w:szCs w:val="22"/>
        </w:rPr>
        <w:t>2</w:t>
      </w:r>
      <w:r w:rsidR="7E7C221D" w:rsidRPr="721D7190">
        <w:rPr>
          <w:rFonts w:ascii="Arial" w:eastAsia="Arial" w:hAnsi="Arial" w:cs="Arial"/>
          <w:sz w:val="22"/>
          <w:szCs w:val="22"/>
        </w:rPr>
        <w:t>a</w:t>
      </w:r>
      <w:r w:rsidRPr="721D7190">
        <w:rPr>
          <w:rFonts w:ascii="Arial" w:eastAsia="Arial" w:hAnsi="Arial" w:cs="Arial"/>
          <w:sz w:val="22"/>
          <w:szCs w:val="22"/>
        </w:rPr>
        <w:t>; UNDP, 2022). These goals are intrinsically linked: health disparities often reflect broader socioeconomic inequalities, and equitable access to healthcare is essential for sustainable wellbeing (UNICEF, 2023).</w:t>
      </w:r>
    </w:p>
    <w:p w14:paraId="0913743E" w14:textId="58DA98A8" w:rsidR="0DE01E4E" w:rsidRDefault="0DE01E4E" w:rsidP="721D7190">
      <w:pPr>
        <w:spacing w:before="240" w:after="240" w:line="360" w:lineRule="auto"/>
        <w:rPr>
          <w:rFonts w:ascii="Arial" w:eastAsia="Arial" w:hAnsi="Arial" w:cs="Arial"/>
          <w:sz w:val="22"/>
          <w:szCs w:val="22"/>
        </w:rPr>
      </w:pPr>
      <w:r w:rsidRPr="721D7190">
        <w:rPr>
          <w:rStyle w:val="Heading2Char"/>
          <w:rFonts w:ascii="Arial" w:eastAsia="Arial" w:hAnsi="Arial" w:cs="Arial"/>
          <w:b/>
          <w:bCs/>
          <w:sz w:val="22"/>
          <w:szCs w:val="22"/>
        </w:rPr>
        <w:t>Key aims:</w:t>
      </w:r>
      <w:r w:rsidRPr="721D7190">
        <w:rPr>
          <w:rFonts w:ascii="Arial" w:eastAsia="Arial" w:hAnsi="Arial" w:cs="Arial"/>
          <w:b/>
          <w:bCs/>
          <w:sz w:val="22"/>
          <w:szCs w:val="22"/>
        </w:rPr>
        <w:t xml:space="preserve"> </w:t>
      </w:r>
      <w:r w:rsidR="020A189B" w:rsidRPr="721D7190">
        <w:rPr>
          <w:rFonts w:ascii="Arial" w:eastAsia="Arial" w:hAnsi="Arial" w:cs="Arial"/>
          <w:sz w:val="22"/>
          <w:szCs w:val="22"/>
        </w:rPr>
        <w:t>This report aims to critically evaluate the effectiveness, coherence, and equity of current health and inequality-related policies and initiatives across three levels: global, national (UK), and local (e.g., Birmingham). It will assess how these policies align with SDG targets, address structural determinants of health, and promote inclusive, sustainable development. Key themes include universal health coverage, mental health, migrant and minority health equity, and the integration of wellbeing into social policy frameworks.</w:t>
      </w:r>
    </w:p>
    <w:p w14:paraId="733E81DC" w14:textId="77777777" w:rsidR="007543EE" w:rsidRPr="00CF0D8D" w:rsidRDefault="33EE2B54" w:rsidP="007543EE">
      <w:pPr>
        <w:spacing w:before="240" w:after="240" w:line="360" w:lineRule="auto"/>
        <w:rPr>
          <w:rFonts w:ascii="Arial" w:eastAsia="Arial" w:hAnsi="Arial" w:cs="Arial"/>
          <w:sz w:val="22"/>
          <w:szCs w:val="22"/>
          <w:lang w:val="en-GB"/>
        </w:rPr>
      </w:pPr>
      <w:r w:rsidRPr="721D7190">
        <w:rPr>
          <w:rStyle w:val="Heading2Char"/>
          <w:rFonts w:ascii="Arial" w:eastAsia="Arial" w:hAnsi="Arial" w:cs="Arial"/>
          <w:b/>
          <w:bCs/>
          <w:sz w:val="22"/>
          <w:szCs w:val="22"/>
        </w:rPr>
        <w:t>Structure:</w:t>
      </w:r>
      <w:r w:rsidRPr="721D7190">
        <w:rPr>
          <w:rFonts w:ascii="Arial" w:eastAsia="Arial" w:hAnsi="Arial" w:cs="Arial"/>
          <w:b/>
          <w:bCs/>
          <w:sz w:val="22"/>
          <w:szCs w:val="22"/>
        </w:rPr>
        <w:t xml:space="preserve"> </w:t>
      </w:r>
      <w:r w:rsidR="007543EE" w:rsidRPr="00CF0D8D">
        <w:rPr>
          <w:rFonts w:ascii="Arial" w:eastAsia="Arial" w:hAnsi="Arial" w:cs="Arial"/>
          <w:sz w:val="22"/>
          <w:szCs w:val="22"/>
          <w:lang w:val="en-GB"/>
        </w:rPr>
        <w:t>The report is organized into two main sections: Section 1 examines Sustainable Development Goal (SDG) 3, centered on Good Health and Wellbeing, analyzing policies, frameworks, and strategies, and presenting evidence-informed recommendations. Section 2 focuses on SDG 10, which targets inequality, detailing global initiatives, national and local examples, theoretical applications, critical assessments, and evidence-based recommendations. The conclusion integrates findings from both sections, highlighting connections between SDGs and broader implications.</w:t>
      </w:r>
    </w:p>
    <w:p w14:paraId="458F101E" w14:textId="4008C504" w:rsidR="33EE2B54" w:rsidRDefault="33EE2B54" w:rsidP="721D7190">
      <w:pPr>
        <w:spacing w:before="240" w:after="240" w:line="360" w:lineRule="auto"/>
        <w:rPr>
          <w:rFonts w:ascii="Arial" w:eastAsia="Arial" w:hAnsi="Arial" w:cs="Arial"/>
          <w:sz w:val="22"/>
          <w:szCs w:val="22"/>
        </w:rPr>
      </w:pPr>
    </w:p>
    <w:p w14:paraId="7FDD20B8" w14:textId="61747AA8" w:rsidR="721D7190" w:rsidRDefault="721D7190" w:rsidP="721D7190">
      <w:pPr>
        <w:spacing w:before="240" w:after="240" w:line="360" w:lineRule="auto"/>
        <w:rPr>
          <w:rFonts w:ascii="Arial" w:eastAsia="Arial" w:hAnsi="Arial" w:cs="Arial"/>
          <w:sz w:val="22"/>
          <w:szCs w:val="22"/>
        </w:rPr>
      </w:pPr>
    </w:p>
    <w:p w14:paraId="067C947B" w14:textId="77777777" w:rsidR="0098708E" w:rsidRDefault="081990F3" w:rsidP="00525241">
      <w:pPr>
        <w:spacing w:before="240" w:after="240" w:line="360" w:lineRule="auto"/>
        <w:rPr>
          <w:rFonts w:ascii="Arial" w:eastAsia="Arial" w:hAnsi="Arial" w:cs="Arial"/>
          <w:sz w:val="22"/>
          <w:szCs w:val="22"/>
        </w:rPr>
      </w:pPr>
      <w:r w:rsidRPr="721D7190">
        <w:rPr>
          <w:rFonts w:ascii="Arial" w:eastAsia="Arial" w:hAnsi="Arial" w:cs="Arial"/>
          <w:sz w:val="22"/>
          <w:szCs w:val="22"/>
        </w:rPr>
        <w:t xml:space="preserve"> </w:t>
      </w:r>
    </w:p>
    <w:p w14:paraId="11F85F44" w14:textId="77777777" w:rsidR="0098708E" w:rsidRDefault="0098708E" w:rsidP="00525241">
      <w:pPr>
        <w:spacing w:before="240" w:after="240" w:line="360" w:lineRule="auto"/>
        <w:rPr>
          <w:rFonts w:ascii="Arial" w:eastAsia="Arial" w:hAnsi="Arial" w:cs="Arial"/>
          <w:sz w:val="22"/>
          <w:szCs w:val="22"/>
        </w:rPr>
      </w:pPr>
    </w:p>
    <w:p w14:paraId="36C07A96" w14:textId="77777777" w:rsidR="0098708E" w:rsidRDefault="0098708E" w:rsidP="00525241">
      <w:pPr>
        <w:spacing w:before="240" w:after="240" w:line="360" w:lineRule="auto"/>
        <w:rPr>
          <w:rFonts w:ascii="Arial" w:eastAsia="Arial" w:hAnsi="Arial" w:cs="Arial"/>
          <w:sz w:val="22"/>
          <w:szCs w:val="22"/>
        </w:rPr>
      </w:pPr>
    </w:p>
    <w:p w14:paraId="513A37CB" w14:textId="77777777" w:rsidR="0098708E" w:rsidRDefault="0098708E" w:rsidP="00525241">
      <w:pPr>
        <w:spacing w:before="240" w:after="240" w:line="360" w:lineRule="auto"/>
        <w:rPr>
          <w:rFonts w:ascii="Arial" w:eastAsia="Arial" w:hAnsi="Arial" w:cs="Arial"/>
          <w:sz w:val="22"/>
          <w:szCs w:val="22"/>
        </w:rPr>
      </w:pPr>
    </w:p>
    <w:p w14:paraId="2FBFF3CC" w14:textId="77777777" w:rsidR="0098708E" w:rsidRDefault="0098708E" w:rsidP="00525241">
      <w:pPr>
        <w:spacing w:before="240" w:after="240" w:line="360" w:lineRule="auto"/>
        <w:rPr>
          <w:rFonts w:ascii="Arial" w:eastAsia="Arial" w:hAnsi="Arial" w:cs="Arial"/>
          <w:sz w:val="22"/>
          <w:szCs w:val="22"/>
        </w:rPr>
      </w:pPr>
    </w:p>
    <w:p w14:paraId="1C92C38F" w14:textId="417B3C2A" w:rsidR="00525241" w:rsidRDefault="081990F3" w:rsidP="00525241">
      <w:pPr>
        <w:spacing w:before="240" w:after="240" w:line="360" w:lineRule="auto"/>
        <w:rPr>
          <w:rFonts w:ascii="Arial" w:eastAsia="Arial" w:hAnsi="Arial" w:cs="Arial"/>
          <w:sz w:val="22"/>
          <w:szCs w:val="22"/>
        </w:rPr>
      </w:pPr>
      <w:r w:rsidRPr="721D7190">
        <w:rPr>
          <w:rStyle w:val="Heading1Char"/>
        </w:rPr>
        <w:t>Section 1: SDG 3 - Good Health and Wellbeing</w:t>
      </w:r>
      <w:r w:rsidRPr="721D7190">
        <w:rPr>
          <w:rFonts w:ascii="Arial" w:eastAsia="Arial" w:hAnsi="Arial" w:cs="Arial"/>
          <w:sz w:val="22"/>
          <w:szCs w:val="22"/>
        </w:rPr>
        <w:t xml:space="preserve"> </w:t>
      </w:r>
    </w:p>
    <w:p w14:paraId="22AC6FF0" w14:textId="4BDDF1D1" w:rsidR="081990F3" w:rsidRPr="0098708E" w:rsidRDefault="081990F3" w:rsidP="0098708E">
      <w:pPr>
        <w:pStyle w:val="Heading2"/>
      </w:pPr>
      <w:r w:rsidRPr="0098708E">
        <w:t>Overview of SDG 3</w:t>
      </w:r>
    </w:p>
    <w:p w14:paraId="4436472F" w14:textId="74EF2D0C" w:rsidR="2063B346" w:rsidRDefault="2063B346" w:rsidP="721D7190">
      <w:pPr>
        <w:spacing w:line="360" w:lineRule="auto"/>
        <w:rPr>
          <w:rFonts w:ascii="Arial" w:eastAsia="Arial" w:hAnsi="Arial" w:cs="Arial"/>
          <w:sz w:val="22"/>
          <w:szCs w:val="22"/>
        </w:rPr>
      </w:pPr>
      <w:r w:rsidRPr="721D7190">
        <w:rPr>
          <w:rFonts w:ascii="Arial" w:eastAsia="Arial" w:hAnsi="Arial" w:cs="Arial"/>
          <w:sz w:val="22"/>
          <w:szCs w:val="22"/>
        </w:rPr>
        <w:t xml:space="preserve">Sustainable Development Goal (SDG) 3, "Good Health and Wellbeing," aims to ensure healthy lives and promote wellbeing for all at all ages </w:t>
      </w:r>
      <w:r w:rsidR="6DE3BC68" w:rsidRPr="721D7190">
        <w:rPr>
          <w:rFonts w:ascii="Arial" w:eastAsia="Arial" w:hAnsi="Arial" w:cs="Arial"/>
          <w:sz w:val="22"/>
          <w:szCs w:val="22"/>
        </w:rPr>
        <w:t>(U</w:t>
      </w:r>
      <w:r w:rsidR="00B93154">
        <w:rPr>
          <w:rFonts w:ascii="Arial" w:eastAsia="Arial" w:hAnsi="Arial" w:cs="Arial"/>
          <w:sz w:val="22"/>
          <w:szCs w:val="22"/>
        </w:rPr>
        <w:t>N</w:t>
      </w:r>
      <w:r w:rsidR="6DE3BC68" w:rsidRPr="721D7190">
        <w:rPr>
          <w:rFonts w:ascii="Arial" w:eastAsia="Arial" w:hAnsi="Arial" w:cs="Arial"/>
          <w:sz w:val="22"/>
          <w:szCs w:val="22"/>
        </w:rPr>
        <w:t xml:space="preserve">, 2023). </w:t>
      </w:r>
      <w:r w:rsidRPr="721D7190">
        <w:rPr>
          <w:rFonts w:ascii="Arial" w:eastAsia="Arial" w:hAnsi="Arial" w:cs="Arial"/>
          <w:sz w:val="22"/>
          <w:szCs w:val="22"/>
        </w:rPr>
        <w:t xml:space="preserve">This goal addresses major health priorities, including reducing maternal mortality, ending preventable deaths of newborns and children under five, combating communicable diseases like HIV/AIDS, tuberculosis, malaria, and neglected tropical diseases, and tackling non-communicable diseases such as cardiovascular diseases, cancer, diabetes, and chronic respiratory diseases </w:t>
      </w:r>
      <w:r w:rsidR="221E3FBE" w:rsidRPr="721D7190">
        <w:rPr>
          <w:rFonts w:ascii="Arial" w:eastAsia="Arial" w:hAnsi="Arial" w:cs="Arial"/>
          <w:sz w:val="22"/>
          <w:szCs w:val="22"/>
        </w:rPr>
        <w:t xml:space="preserve">(WHO, 2022b). </w:t>
      </w:r>
      <w:r w:rsidRPr="721D7190">
        <w:rPr>
          <w:rFonts w:ascii="Arial" w:eastAsia="Arial" w:hAnsi="Arial" w:cs="Arial"/>
          <w:sz w:val="22"/>
          <w:szCs w:val="22"/>
        </w:rPr>
        <w:t>SDG 3 also focuses on achieving universal health coverage (UHC), ensuring access to essential medicines and vaccines, and addressing social and environmental determinants of health</w:t>
      </w:r>
      <w:r w:rsidR="6EEF524D" w:rsidRPr="721D7190">
        <w:rPr>
          <w:rFonts w:ascii="Arial" w:eastAsia="Arial" w:hAnsi="Arial" w:cs="Arial"/>
          <w:sz w:val="22"/>
          <w:szCs w:val="22"/>
        </w:rPr>
        <w:t xml:space="preserve"> (WHO, 2022c). </w:t>
      </w:r>
    </w:p>
    <w:p w14:paraId="32FC3C25" w14:textId="6B1FED61" w:rsidR="081990F3" w:rsidRDefault="081990F3" w:rsidP="721D7190">
      <w:pPr>
        <w:pStyle w:val="Heading2"/>
      </w:pPr>
      <w:r w:rsidRPr="721D7190">
        <w:t>Global policies and initiatives</w:t>
      </w:r>
    </w:p>
    <w:p w14:paraId="2C92D243" w14:textId="3BC94300" w:rsidR="3B22B8F0" w:rsidRDefault="3B22B8F0" w:rsidP="721D7190">
      <w:pPr>
        <w:spacing w:line="360" w:lineRule="auto"/>
        <w:rPr>
          <w:rFonts w:ascii="Arial" w:eastAsia="Arial" w:hAnsi="Arial" w:cs="Arial"/>
          <w:sz w:val="22"/>
          <w:szCs w:val="22"/>
        </w:rPr>
      </w:pPr>
      <w:r w:rsidRPr="721D7190">
        <w:rPr>
          <w:rFonts w:ascii="Arial" w:eastAsia="Arial" w:hAnsi="Arial" w:cs="Arial"/>
          <w:sz w:val="22"/>
          <w:szCs w:val="22"/>
        </w:rPr>
        <w:t>Globally, SDG 3 is promoted through UN/WHO mechanisms, disease-specific partnerships, and health-systems initiatives. The UN SDG framework provides targets and tracking metrics while WHO advocates system strengthening and HiAP (Health in All Policies) approaches to address social determinants (UN, 2015; WHO, 201</w:t>
      </w:r>
      <w:r w:rsidR="69FBB84F" w:rsidRPr="721D7190">
        <w:rPr>
          <w:rFonts w:ascii="Arial" w:eastAsia="Arial" w:hAnsi="Arial" w:cs="Arial"/>
          <w:sz w:val="22"/>
          <w:szCs w:val="22"/>
        </w:rPr>
        <w:t>8</w:t>
      </w:r>
      <w:r w:rsidR="6337AE9F" w:rsidRPr="721D7190">
        <w:rPr>
          <w:rFonts w:ascii="Arial" w:eastAsia="Arial" w:hAnsi="Arial" w:cs="Arial"/>
          <w:sz w:val="22"/>
          <w:szCs w:val="22"/>
        </w:rPr>
        <w:t>a</w:t>
      </w:r>
      <w:r w:rsidRPr="721D7190">
        <w:rPr>
          <w:rFonts w:ascii="Arial" w:eastAsia="Arial" w:hAnsi="Arial" w:cs="Arial"/>
          <w:sz w:val="22"/>
          <w:szCs w:val="22"/>
        </w:rPr>
        <w:t>). Major global initiatives that materially support SDG 3 include efforts to accelerate UHC (WHO advocacy and country support), immunisation partnerships (Gavi), disease funds (Global Fund) and climate–health monitoring such as the Lancet Countdown, which links climate risks to health outcomes and service resilience (Watts et al., 2019). Despite progress in some areas (e.g. reductions in under-5 mortality), global monitoring reports show stagnation: service coverage gains have slowed since 2015 and the world is off track to meet UHC by 2030, with catastrophic out-of-pocket spending rising in many regions (WHO, 2025). COVID-19 exposed and exacerbated these fragilities by disrupting essential services and reversing some gains in coverage.</w:t>
      </w:r>
    </w:p>
    <w:p w14:paraId="6D118332" w14:textId="6966B413" w:rsidR="721D7190" w:rsidRDefault="721D7190" w:rsidP="721D7190"/>
    <w:p w14:paraId="10F73300" w14:textId="69163290" w:rsidR="081990F3" w:rsidRDefault="081990F3" w:rsidP="721D7190">
      <w:pPr>
        <w:pStyle w:val="Heading2"/>
      </w:pPr>
      <w:r w:rsidRPr="721D7190">
        <w:t>National and local examples</w:t>
      </w:r>
    </w:p>
    <w:p w14:paraId="35CB88B2" w14:textId="7798A0AA" w:rsidR="0AA6692F" w:rsidRDefault="0AA6692F" w:rsidP="721D7190">
      <w:pPr>
        <w:pStyle w:val="Heading3"/>
      </w:pPr>
      <w:r w:rsidRPr="721D7190">
        <w:t xml:space="preserve">National </w:t>
      </w:r>
      <w:r w:rsidR="00714709">
        <w:t>I</w:t>
      </w:r>
      <w:r w:rsidR="005F2451">
        <w:t>nitiatives</w:t>
      </w:r>
      <w:r w:rsidR="00714709">
        <w:t xml:space="preserve"> </w:t>
      </w:r>
    </w:p>
    <w:p w14:paraId="46A253CF" w14:textId="79F32E39" w:rsidR="06A96CF1" w:rsidRDefault="06A96CF1" w:rsidP="721D7190">
      <w:pPr>
        <w:spacing w:line="360" w:lineRule="auto"/>
        <w:rPr>
          <w:rFonts w:ascii="Arial" w:eastAsia="Arial" w:hAnsi="Arial" w:cs="Arial"/>
          <w:sz w:val="22"/>
          <w:szCs w:val="22"/>
        </w:rPr>
      </w:pPr>
      <w:r w:rsidRPr="721D7190">
        <w:rPr>
          <w:rFonts w:ascii="Arial" w:eastAsia="Arial" w:hAnsi="Arial" w:cs="Arial"/>
          <w:sz w:val="22"/>
          <w:szCs w:val="22"/>
        </w:rPr>
        <w:t>In England, SDG-aligned action is operationalised through the NHS Long Term Plan (2019), which emphasises prevention, integrated community care, and digital transformation — all relevant to SDG 3 targets (</w:t>
      </w:r>
      <w:r w:rsidR="7E03751F" w:rsidRPr="721D7190">
        <w:rPr>
          <w:rFonts w:ascii="Arial" w:eastAsia="Arial" w:hAnsi="Arial" w:cs="Arial"/>
          <w:sz w:val="22"/>
          <w:szCs w:val="22"/>
        </w:rPr>
        <w:t>D</w:t>
      </w:r>
      <w:r w:rsidR="3B876781" w:rsidRPr="721D7190">
        <w:rPr>
          <w:rFonts w:ascii="Arial" w:eastAsia="Arial" w:hAnsi="Arial" w:cs="Arial"/>
          <w:sz w:val="22"/>
          <w:szCs w:val="22"/>
        </w:rPr>
        <w:t>epartment of Health and</w:t>
      </w:r>
      <w:r w:rsidR="7B42E1AE" w:rsidRPr="721D7190">
        <w:rPr>
          <w:rFonts w:ascii="Arial" w:eastAsia="Arial" w:hAnsi="Arial" w:cs="Arial"/>
          <w:sz w:val="22"/>
          <w:szCs w:val="22"/>
        </w:rPr>
        <w:t xml:space="preserve"> Social</w:t>
      </w:r>
      <w:r w:rsidR="3B876781" w:rsidRPr="721D7190">
        <w:rPr>
          <w:rFonts w:ascii="Arial" w:eastAsia="Arial" w:hAnsi="Arial" w:cs="Arial"/>
          <w:sz w:val="22"/>
          <w:szCs w:val="22"/>
        </w:rPr>
        <w:t xml:space="preserve"> </w:t>
      </w:r>
      <w:r w:rsidR="68ACD944" w:rsidRPr="721D7190">
        <w:rPr>
          <w:rFonts w:ascii="Arial" w:eastAsia="Arial" w:hAnsi="Arial" w:cs="Arial"/>
          <w:sz w:val="22"/>
          <w:szCs w:val="22"/>
        </w:rPr>
        <w:t>Care,</w:t>
      </w:r>
      <w:r w:rsidRPr="721D7190">
        <w:rPr>
          <w:rFonts w:ascii="Arial" w:eastAsia="Arial" w:hAnsi="Arial" w:cs="Arial"/>
          <w:sz w:val="22"/>
          <w:szCs w:val="22"/>
        </w:rPr>
        <w:t xml:space="preserve"> 20</w:t>
      </w:r>
      <w:r w:rsidR="360A14EE" w:rsidRPr="721D7190">
        <w:rPr>
          <w:rFonts w:ascii="Arial" w:eastAsia="Arial" w:hAnsi="Arial" w:cs="Arial"/>
          <w:sz w:val="22"/>
          <w:szCs w:val="22"/>
        </w:rPr>
        <w:t>25</w:t>
      </w:r>
      <w:r w:rsidRPr="721D7190">
        <w:rPr>
          <w:rFonts w:ascii="Arial" w:eastAsia="Arial" w:hAnsi="Arial" w:cs="Arial"/>
          <w:sz w:val="22"/>
          <w:szCs w:val="22"/>
        </w:rPr>
        <w:t xml:space="preserve">). Structural reforms in the Health and Care Act 2022 created Integrated Care Systems (ICSs) that are intended to pool NHS, local authority and community resources for place-based, preventative care (Health and Care Act, 2022). </w:t>
      </w:r>
    </w:p>
    <w:p w14:paraId="24F41A69" w14:textId="7C5F26FD" w:rsidR="00565D17" w:rsidRDefault="00565D17" w:rsidP="721D7190">
      <w:pPr>
        <w:spacing w:line="360" w:lineRule="auto"/>
        <w:rPr>
          <w:rFonts w:ascii="Arial" w:eastAsia="Arial" w:hAnsi="Arial" w:cs="Arial"/>
          <w:sz w:val="22"/>
          <w:szCs w:val="22"/>
        </w:rPr>
      </w:pPr>
      <w:r w:rsidRPr="721D7190">
        <w:rPr>
          <w:rFonts w:ascii="Arial" w:eastAsia="Arial" w:hAnsi="Arial" w:cs="Arial"/>
          <w:sz w:val="22"/>
          <w:szCs w:val="22"/>
        </w:rPr>
        <w:t xml:space="preserve">A concrete example is the national </w:t>
      </w:r>
      <w:r w:rsidRPr="721D7190">
        <w:rPr>
          <w:rFonts w:ascii="Arial" w:eastAsia="Arial" w:hAnsi="Arial" w:cs="Arial"/>
          <w:b/>
          <w:bCs/>
          <w:sz w:val="22"/>
          <w:szCs w:val="22"/>
        </w:rPr>
        <w:t>NHS Diabetes Prevention Programme (DPP)</w:t>
      </w:r>
      <w:r w:rsidRPr="721D7190">
        <w:rPr>
          <w:rFonts w:ascii="Arial" w:eastAsia="Arial" w:hAnsi="Arial" w:cs="Arial"/>
          <w:sz w:val="22"/>
          <w:szCs w:val="22"/>
        </w:rPr>
        <w:t xml:space="preserve"> which aims to prevent progression to type 2 diabetes via evidence-based lifestyle interventions delivered at scale (NHS England, </w:t>
      </w:r>
      <w:r w:rsidRPr="0A73B40A">
        <w:rPr>
          <w:rFonts w:ascii="Arial" w:eastAsia="Arial" w:hAnsi="Arial" w:cs="Arial"/>
          <w:sz w:val="22"/>
          <w:szCs w:val="22"/>
        </w:rPr>
        <w:t>20</w:t>
      </w:r>
      <w:r w:rsidR="22228C3D" w:rsidRPr="0A73B40A">
        <w:rPr>
          <w:rFonts w:ascii="Arial" w:eastAsia="Arial" w:hAnsi="Arial" w:cs="Arial"/>
          <w:sz w:val="22"/>
          <w:szCs w:val="22"/>
        </w:rPr>
        <w:t>23</w:t>
      </w:r>
      <w:r w:rsidRPr="721D7190">
        <w:rPr>
          <w:rFonts w:ascii="Arial" w:eastAsia="Arial" w:hAnsi="Arial" w:cs="Arial"/>
          <w:sz w:val="22"/>
          <w:szCs w:val="22"/>
        </w:rPr>
        <w:t xml:space="preserve">; Valabhji et al., 2019/2020). Evaluations show clinically meaningful reductions in weight and HbA1c among completers, demonstrating that prevention programmes can advance SDG3 while potentially saving future health system costs (Valabhji et al., 2019; NHS England, </w:t>
      </w:r>
      <w:r w:rsidRPr="7D0F4FA7">
        <w:rPr>
          <w:rFonts w:ascii="Arial" w:eastAsia="Arial" w:hAnsi="Arial" w:cs="Arial"/>
          <w:sz w:val="22"/>
          <w:szCs w:val="22"/>
        </w:rPr>
        <w:t>20</w:t>
      </w:r>
      <w:r w:rsidR="649A90DC" w:rsidRPr="7D0F4FA7">
        <w:rPr>
          <w:rFonts w:ascii="Arial" w:eastAsia="Arial" w:hAnsi="Arial" w:cs="Arial"/>
          <w:sz w:val="22"/>
          <w:szCs w:val="22"/>
        </w:rPr>
        <w:t>23</w:t>
      </w:r>
      <w:r w:rsidRPr="721D7190">
        <w:rPr>
          <w:rFonts w:ascii="Arial" w:eastAsia="Arial" w:hAnsi="Arial" w:cs="Arial"/>
          <w:sz w:val="22"/>
          <w:szCs w:val="22"/>
        </w:rPr>
        <w:t xml:space="preserve">). </w:t>
      </w:r>
    </w:p>
    <w:p w14:paraId="0CBFEB5D" w14:textId="5C388DCA" w:rsidR="6E035C38" w:rsidRDefault="6E035C38" w:rsidP="721D7190">
      <w:pPr>
        <w:pStyle w:val="Heading3"/>
      </w:pPr>
      <w:r w:rsidRPr="721D7190">
        <w:t>Local Initiatives</w:t>
      </w:r>
    </w:p>
    <w:p w14:paraId="7727661E" w14:textId="033B645B" w:rsidR="6E035C38" w:rsidRPr="002F0D8E" w:rsidRDefault="6E035C38" w:rsidP="00322A41">
      <w:pPr>
        <w:spacing w:line="360" w:lineRule="auto"/>
        <w:rPr>
          <w:rFonts w:ascii="Arial" w:hAnsi="Arial" w:cs="Arial"/>
          <w:sz w:val="22"/>
          <w:szCs w:val="22"/>
        </w:rPr>
      </w:pPr>
      <w:r w:rsidRPr="002F0D8E">
        <w:rPr>
          <w:rFonts w:ascii="Arial" w:eastAsia="Aptos" w:hAnsi="Arial" w:cs="Arial"/>
          <w:sz w:val="22"/>
          <w:szCs w:val="22"/>
        </w:rPr>
        <w:t xml:space="preserve">Birmingham has adopted several initiatives aligned with SDG 3 to tackle health inequalities and promote wellbeing. The </w:t>
      </w:r>
      <w:r w:rsidRPr="002F0D8E">
        <w:rPr>
          <w:rFonts w:ascii="Arial" w:eastAsia="Aptos" w:hAnsi="Arial" w:cs="Arial"/>
          <w:b/>
          <w:bCs/>
          <w:sz w:val="22"/>
          <w:szCs w:val="22"/>
        </w:rPr>
        <w:t>Health and Wellbeing Strategy 2022–2030</w:t>
      </w:r>
      <w:r w:rsidRPr="002F0D8E">
        <w:rPr>
          <w:rFonts w:ascii="Arial" w:eastAsia="Aptos" w:hAnsi="Arial" w:cs="Arial"/>
          <w:sz w:val="22"/>
          <w:szCs w:val="22"/>
        </w:rPr>
        <w:t>, Creating a Bolder, Healthier City, sets out priorities across the life course, including “starting well, living well, and ageing well,” with a strong focus on reducing health disparities exacerbated by COVID</w:t>
      </w:r>
      <w:r w:rsidRPr="002F0D8E">
        <w:rPr>
          <w:rFonts w:ascii="Cambria Math" w:eastAsia="Aptos" w:hAnsi="Cambria Math" w:cs="Cambria Math"/>
          <w:sz w:val="22"/>
          <w:szCs w:val="22"/>
        </w:rPr>
        <w:t>‑</w:t>
      </w:r>
      <w:r w:rsidRPr="002F0D8E">
        <w:rPr>
          <w:rFonts w:ascii="Arial" w:eastAsia="Aptos" w:hAnsi="Arial" w:cs="Arial"/>
          <w:sz w:val="22"/>
          <w:szCs w:val="22"/>
        </w:rPr>
        <w:t>19 (Birmingham City Council, 2022</w:t>
      </w:r>
      <w:r w:rsidR="00E067CC">
        <w:rPr>
          <w:rFonts w:ascii="Arial" w:eastAsia="Aptos" w:hAnsi="Arial" w:cs="Arial"/>
          <w:sz w:val="22"/>
          <w:szCs w:val="22"/>
        </w:rPr>
        <w:t>a</w:t>
      </w:r>
      <w:r w:rsidRPr="002F0D8E">
        <w:rPr>
          <w:rFonts w:ascii="Arial" w:eastAsia="Aptos" w:hAnsi="Arial" w:cs="Arial"/>
          <w:sz w:val="22"/>
          <w:szCs w:val="22"/>
        </w:rPr>
        <w:t>). The strategy emphasises healthy environments, inclusive growth, and mental wellbeing, reflecting the wider determinants of health</w:t>
      </w:r>
      <w:r w:rsidR="4B2C3EA9" w:rsidRPr="002F0D8E">
        <w:rPr>
          <w:rFonts w:ascii="Arial" w:eastAsia="Aptos" w:hAnsi="Arial" w:cs="Arial"/>
          <w:sz w:val="22"/>
          <w:szCs w:val="22"/>
        </w:rPr>
        <w:t xml:space="preserve"> (</w:t>
      </w:r>
      <w:r w:rsidR="4B2C3EA9" w:rsidRPr="002F0D8E">
        <w:rPr>
          <w:rFonts w:ascii="Arial" w:eastAsia="Times New Roman" w:hAnsi="Arial" w:cs="Arial"/>
          <w:sz w:val="22"/>
          <w:szCs w:val="22"/>
        </w:rPr>
        <w:t>Birmingham City Council, 2022</w:t>
      </w:r>
      <w:r w:rsidR="00E067CC">
        <w:rPr>
          <w:rFonts w:ascii="Arial" w:eastAsia="Times New Roman" w:hAnsi="Arial" w:cs="Arial"/>
          <w:sz w:val="22"/>
          <w:szCs w:val="22"/>
        </w:rPr>
        <w:t>b</w:t>
      </w:r>
      <w:r w:rsidR="4B2C3EA9" w:rsidRPr="002F0D8E">
        <w:rPr>
          <w:rFonts w:ascii="Arial" w:eastAsia="Times New Roman" w:hAnsi="Arial" w:cs="Arial"/>
          <w:sz w:val="22"/>
          <w:szCs w:val="22"/>
        </w:rPr>
        <w:t>)</w:t>
      </w:r>
      <w:r w:rsidR="53EAA258" w:rsidRPr="002F0D8E">
        <w:rPr>
          <w:rFonts w:ascii="Arial" w:eastAsia="Aptos" w:hAnsi="Arial" w:cs="Arial"/>
          <w:sz w:val="22"/>
          <w:szCs w:val="22"/>
        </w:rPr>
        <w:t>.</w:t>
      </w:r>
    </w:p>
    <w:p w14:paraId="6C28BC3C" w14:textId="0F5D6242" w:rsidR="721D7190" w:rsidRDefault="721D7190" w:rsidP="721D7190">
      <w:pPr>
        <w:spacing w:line="360" w:lineRule="auto"/>
        <w:rPr>
          <w:rFonts w:ascii="Arial" w:eastAsia="Arial" w:hAnsi="Arial" w:cs="Arial"/>
          <w:sz w:val="22"/>
          <w:szCs w:val="22"/>
          <w:highlight w:val="yellow"/>
        </w:rPr>
      </w:pPr>
    </w:p>
    <w:p w14:paraId="1D0E81DF" w14:textId="0051B3C8" w:rsidR="081990F3" w:rsidRDefault="081990F3" w:rsidP="721D7190">
      <w:pPr>
        <w:pStyle w:val="Heading2"/>
      </w:pPr>
      <w:r w:rsidRPr="721D7190">
        <w:t>Use of theories/models.</w:t>
      </w:r>
    </w:p>
    <w:p w14:paraId="5A0C539B" w14:textId="5C9A3FFB" w:rsidR="6B53C46E" w:rsidRDefault="6B53C46E" w:rsidP="721D7190">
      <w:pPr>
        <w:spacing w:before="240" w:after="240" w:line="360" w:lineRule="auto"/>
        <w:rPr>
          <w:rFonts w:ascii="Arial" w:eastAsia="Arial" w:hAnsi="Arial" w:cs="Arial"/>
          <w:sz w:val="22"/>
          <w:szCs w:val="22"/>
        </w:rPr>
      </w:pPr>
      <w:r w:rsidRPr="721D7190">
        <w:rPr>
          <w:rFonts w:ascii="Arial" w:eastAsia="Arial" w:hAnsi="Arial" w:cs="Arial"/>
          <w:sz w:val="22"/>
          <w:szCs w:val="22"/>
        </w:rPr>
        <w:t xml:space="preserve">Several theories and models help in understanding and addressing the complexities of SDG 3. </w:t>
      </w:r>
      <w:r w:rsidRPr="721D7190">
        <w:rPr>
          <w:rFonts w:ascii="Arial" w:eastAsia="Arial" w:hAnsi="Arial" w:cs="Arial"/>
          <w:b/>
          <w:bCs/>
          <w:sz w:val="22"/>
          <w:szCs w:val="22"/>
        </w:rPr>
        <w:t>The Social-Ecological Model</w:t>
      </w:r>
      <w:r w:rsidRPr="721D7190">
        <w:rPr>
          <w:rFonts w:ascii="Arial" w:eastAsia="Arial" w:hAnsi="Arial" w:cs="Arial"/>
          <w:sz w:val="22"/>
          <w:szCs w:val="22"/>
        </w:rPr>
        <w:t xml:space="preserve"> emphasizes </w:t>
      </w:r>
      <w:r w:rsidR="003513F5" w:rsidRPr="721D7190">
        <w:rPr>
          <w:rFonts w:ascii="Arial" w:eastAsia="Arial" w:hAnsi="Arial" w:cs="Arial"/>
          <w:sz w:val="22"/>
          <w:szCs w:val="22"/>
        </w:rPr>
        <w:t>multiple</w:t>
      </w:r>
      <w:r w:rsidRPr="721D7190">
        <w:rPr>
          <w:rFonts w:ascii="Arial" w:eastAsia="Arial" w:hAnsi="Arial" w:cs="Arial"/>
          <w:sz w:val="22"/>
          <w:szCs w:val="22"/>
        </w:rPr>
        <w:t xml:space="preserve"> levels of influence on health, including individual, interpersonal, organizational, community, and policy levels </w:t>
      </w:r>
      <w:r w:rsidR="4DA8C31F" w:rsidRPr="721D7190">
        <w:rPr>
          <w:rFonts w:ascii="Arial" w:eastAsia="Arial" w:hAnsi="Arial" w:cs="Arial"/>
          <w:sz w:val="22"/>
          <w:szCs w:val="22"/>
        </w:rPr>
        <w:t>(Community Development and Health Network, 2014).</w:t>
      </w:r>
      <w:r w:rsidRPr="721D7190">
        <w:rPr>
          <w:rFonts w:ascii="Arial" w:eastAsia="Arial" w:hAnsi="Arial" w:cs="Arial"/>
          <w:sz w:val="22"/>
          <w:szCs w:val="22"/>
        </w:rPr>
        <w:t xml:space="preserve"> This model highlights the importance of addressing social determinants of health, such as poverty, education, and access to resources. </w:t>
      </w:r>
    </w:p>
    <w:p w14:paraId="2E3D7966" w14:textId="16EFE740" w:rsidR="6B53C46E" w:rsidRDefault="6B53C46E" w:rsidP="721D7190">
      <w:pPr>
        <w:spacing w:before="240" w:after="240" w:line="360" w:lineRule="auto"/>
        <w:rPr>
          <w:rFonts w:ascii="Arial" w:eastAsia="Arial" w:hAnsi="Arial" w:cs="Arial"/>
          <w:sz w:val="22"/>
          <w:szCs w:val="22"/>
        </w:rPr>
      </w:pPr>
      <w:r w:rsidRPr="721D7190">
        <w:rPr>
          <w:rFonts w:ascii="Arial" w:eastAsia="Arial" w:hAnsi="Arial" w:cs="Arial"/>
          <w:b/>
          <w:bCs/>
          <w:sz w:val="22"/>
          <w:szCs w:val="22"/>
        </w:rPr>
        <w:t xml:space="preserve">The Health Belief Model </w:t>
      </w:r>
      <w:r w:rsidRPr="721D7190">
        <w:rPr>
          <w:rFonts w:ascii="Arial" w:eastAsia="Arial" w:hAnsi="Arial" w:cs="Arial"/>
          <w:sz w:val="22"/>
          <w:szCs w:val="22"/>
        </w:rPr>
        <w:t xml:space="preserve">helps explain and predict health behaviors, focusing on individuals' perceptions of </w:t>
      </w:r>
      <w:r w:rsidR="5F3A5793" w:rsidRPr="721D7190">
        <w:rPr>
          <w:rFonts w:ascii="Arial" w:eastAsia="Arial" w:hAnsi="Arial" w:cs="Arial"/>
          <w:sz w:val="22"/>
          <w:szCs w:val="22"/>
        </w:rPr>
        <w:t>severity</w:t>
      </w:r>
      <w:r w:rsidRPr="721D7190">
        <w:rPr>
          <w:rFonts w:ascii="Arial" w:eastAsia="Arial" w:hAnsi="Arial" w:cs="Arial"/>
          <w:sz w:val="22"/>
          <w:szCs w:val="22"/>
        </w:rPr>
        <w:t xml:space="preserve"> and susceptibility to health threats, as well as the perceived benefits and barriers to </w:t>
      </w:r>
      <w:r w:rsidR="7A386C37" w:rsidRPr="721D7190">
        <w:rPr>
          <w:rFonts w:ascii="Arial" w:eastAsia="Arial" w:hAnsi="Arial" w:cs="Arial"/>
          <w:sz w:val="22"/>
          <w:szCs w:val="22"/>
        </w:rPr>
        <w:t>acting</w:t>
      </w:r>
      <w:r w:rsidRPr="721D7190">
        <w:rPr>
          <w:rFonts w:ascii="Arial" w:eastAsia="Arial" w:hAnsi="Arial" w:cs="Arial"/>
          <w:sz w:val="22"/>
          <w:szCs w:val="22"/>
        </w:rPr>
        <w:t xml:space="preserve"> </w:t>
      </w:r>
      <w:r w:rsidR="782CCAAB" w:rsidRPr="721D7190">
        <w:rPr>
          <w:rFonts w:ascii="Arial" w:eastAsia="Arial" w:hAnsi="Arial" w:cs="Arial"/>
          <w:sz w:val="22"/>
          <w:szCs w:val="22"/>
        </w:rPr>
        <w:t>(Alyafei and Carr</w:t>
      </w:r>
      <w:r w:rsidR="0C8FE386" w:rsidRPr="721D7190">
        <w:rPr>
          <w:rFonts w:ascii="Arial" w:eastAsia="Arial" w:hAnsi="Arial" w:cs="Arial"/>
          <w:sz w:val="22"/>
          <w:szCs w:val="22"/>
        </w:rPr>
        <w:t>u</w:t>
      </w:r>
      <w:r w:rsidR="782CCAAB" w:rsidRPr="721D7190">
        <w:rPr>
          <w:rFonts w:ascii="Arial" w:eastAsia="Arial" w:hAnsi="Arial" w:cs="Arial"/>
          <w:sz w:val="22"/>
          <w:szCs w:val="22"/>
        </w:rPr>
        <w:t>, 2024).</w:t>
      </w:r>
      <w:r w:rsidR="71D1C9F9" w:rsidRPr="721D7190">
        <w:rPr>
          <w:rFonts w:ascii="Arial" w:eastAsia="Arial" w:hAnsi="Arial" w:cs="Arial"/>
          <w:sz w:val="22"/>
          <w:szCs w:val="22"/>
        </w:rPr>
        <w:t xml:space="preserve"> </w:t>
      </w:r>
    </w:p>
    <w:p w14:paraId="253444B6" w14:textId="165AD2D5" w:rsidR="26C017DA" w:rsidRDefault="26C017DA" w:rsidP="721D7190">
      <w:pPr>
        <w:spacing w:line="360" w:lineRule="auto"/>
        <w:rPr>
          <w:rFonts w:ascii="Arial" w:eastAsia="Arial" w:hAnsi="Arial" w:cs="Arial"/>
          <w:sz w:val="22"/>
          <w:szCs w:val="22"/>
        </w:rPr>
      </w:pPr>
      <w:r w:rsidRPr="721D7190">
        <w:rPr>
          <w:rFonts w:ascii="Arial" w:eastAsia="Arial" w:hAnsi="Arial" w:cs="Arial"/>
          <w:color w:val="000000" w:themeColor="text1"/>
          <w:sz w:val="22"/>
          <w:szCs w:val="22"/>
        </w:rPr>
        <w:t xml:space="preserve">For example, </w:t>
      </w:r>
      <w:r w:rsidR="10AB7EB9" w:rsidRPr="721D7190">
        <w:rPr>
          <w:rFonts w:ascii="Arial" w:eastAsia="Arial" w:hAnsi="Arial" w:cs="Arial"/>
          <w:color w:val="000000" w:themeColor="text1"/>
          <w:sz w:val="22"/>
          <w:szCs w:val="22"/>
        </w:rPr>
        <w:t>examining</w:t>
      </w:r>
      <w:r w:rsidRPr="721D7190">
        <w:rPr>
          <w:rFonts w:ascii="Arial" w:eastAsia="Arial" w:hAnsi="Arial" w:cs="Arial"/>
          <w:color w:val="000000" w:themeColor="text1"/>
          <w:sz w:val="22"/>
          <w:szCs w:val="22"/>
        </w:rPr>
        <w:t xml:space="preserve"> real-world applications of the Health Belief Model (HBM) in diabetes reveals that individuals' opinions and assumptions significantly influence their self-care behaviors, potentially reducing disease complications globally. The HBM can be illustrated through: </w:t>
      </w:r>
      <w:r w:rsidR="545774E5" w:rsidRPr="721D7190">
        <w:rPr>
          <w:rFonts w:ascii="Arial" w:eastAsia="Arial" w:hAnsi="Arial" w:cs="Arial"/>
          <w:color w:val="000000" w:themeColor="text1"/>
          <w:sz w:val="22"/>
          <w:szCs w:val="22"/>
        </w:rPr>
        <w:t>Risk of</w:t>
      </w:r>
      <w:r w:rsidRPr="721D7190">
        <w:rPr>
          <w:rFonts w:ascii="Arial" w:eastAsia="Arial" w:hAnsi="Arial" w:cs="Arial"/>
          <w:color w:val="000000" w:themeColor="text1"/>
          <w:sz w:val="22"/>
          <w:szCs w:val="22"/>
        </w:rPr>
        <w:t xml:space="preserve"> susceptibility, Severity, and Cues to action</w:t>
      </w:r>
      <w:r w:rsidR="26A6E1BA" w:rsidRPr="721D7190">
        <w:rPr>
          <w:rFonts w:ascii="Arial" w:eastAsia="Arial" w:hAnsi="Arial" w:cs="Arial"/>
          <w:b/>
          <w:bCs/>
          <w:color w:val="000000" w:themeColor="text1"/>
          <w:sz w:val="22"/>
          <w:szCs w:val="22"/>
        </w:rPr>
        <w:t xml:space="preserve"> (</w:t>
      </w:r>
      <w:r w:rsidR="26A6E1BA" w:rsidRPr="721D7190">
        <w:rPr>
          <w:rFonts w:ascii="Arial" w:eastAsia="Arial" w:hAnsi="Arial" w:cs="Arial"/>
          <w:sz w:val="22"/>
          <w:szCs w:val="22"/>
        </w:rPr>
        <w:t>Dehghani et al., 2015)</w:t>
      </w:r>
      <w:r w:rsidRPr="721D7190">
        <w:rPr>
          <w:rFonts w:ascii="Arial" w:eastAsia="Arial" w:hAnsi="Arial" w:cs="Arial"/>
          <w:color w:val="000000" w:themeColor="text1"/>
          <w:sz w:val="22"/>
          <w:szCs w:val="22"/>
        </w:rPr>
        <w:t>.</w:t>
      </w:r>
    </w:p>
    <w:p w14:paraId="3F95EC2A" w14:textId="27659941" w:rsidR="081990F3" w:rsidRDefault="081990F3" w:rsidP="721D7190">
      <w:pPr>
        <w:pStyle w:val="Heading2"/>
      </w:pPr>
      <w:r w:rsidRPr="721D7190">
        <w:t>Critical evaluation</w:t>
      </w:r>
    </w:p>
    <w:p w14:paraId="6A7C3C10" w14:textId="575F8727" w:rsidR="087495A4" w:rsidRPr="006B0D43" w:rsidRDefault="087495A4" w:rsidP="006B0D43">
      <w:pPr>
        <w:spacing w:before="240" w:after="240" w:line="360" w:lineRule="auto"/>
        <w:rPr>
          <w:rFonts w:ascii="Arial" w:eastAsia="Aptos" w:hAnsi="Arial" w:cs="Arial"/>
          <w:sz w:val="22"/>
          <w:szCs w:val="22"/>
        </w:rPr>
      </w:pPr>
      <w:r w:rsidRPr="006B0D43">
        <w:rPr>
          <w:rFonts w:ascii="Arial" w:eastAsia="Aptos" w:hAnsi="Arial" w:cs="Arial"/>
          <w:sz w:val="22"/>
          <w:szCs w:val="22"/>
        </w:rPr>
        <w:t>SDG 3 has been instrumental in prioritising universal health coverage, maternal and child health, and the prevention of communicable and non</w:t>
      </w:r>
      <w:r w:rsidRPr="006B0D43">
        <w:rPr>
          <w:rFonts w:ascii="Cambria Math" w:eastAsia="Aptos" w:hAnsi="Cambria Math" w:cs="Cambria Math"/>
          <w:sz w:val="22"/>
          <w:szCs w:val="22"/>
        </w:rPr>
        <w:t>‑</w:t>
      </w:r>
      <w:r w:rsidRPr="006B0D43">
        <w:rPr>
          <w:rFonts w:ascii="Arial" w:eastAsia="Aptos" w:hAnsi="Arial" w:cs="Arial"/>
          <w:sz w:val="22"/>
          <w:szCs w:val="22"/>
        </w:rPr>
        <w:t>communicable diseases globally (WHO, 2023). However, progress has been uneven, with the COVID</w:t>
      </w:r>
      <w:r w:rsidRPr="006B0D43">
        <w:rPr>
          <w:rFonts w:ascii="Cambria Math" w:eastAsia="Aptos" w:hAnsi="Cambria Math" w:cs="Cambria Math"/>
          <w:sz w:val="22"/>
          <w:szCs w:val="22"/>
        </w:rPr>
        <w:t>‑</w:t>
      </w:r>
      <w:r w:rsidRPr="006B0D43">
        <w:rPr>
          <w:rFonts w:ascii="Arial" w:eastAsia="Aptos" w:hAnsi="Arial" w:cs="Arial"/>
          <w:sz w:val="22"/>
          <w:szCs w:val="22"/>
        </w:rPr>
        <w:t>19 pandemic reversing gains in immunisation and exposing weaknesses in health system resilience, particularly in low</w:t>
      </w:r>
      <w:r w:rsidRPr="006B0D43">
        <w:rPr>
          <w:rFonts w:ascii="Cambria Math" w:eastAsia="Aptos" w:hAnsi="Cambria Math" w:cs="Cambria Math"/>
          <w:sz w:val="22"/>
          <w:szCs w:val="22"/>
        </w:rPr>
        <w:t>‑</w:t>
      </w:r>
      <w:r w:rsidRPr="006B0D43">
        <w:rPr>
          <w:rFonts w:ascii="Arial" w:eastAsia="Aptos" w:hAnsi="Arial" w:cs="Arial"/>
          <w:sz w:val="22"/>
          <w:szCs w:val="22"/>
        </w:rPr>
        <w:t xml:space="preserve"> and middle</w:t>
      </w:r>
      <w:r w:rsidRPr="006B0D43">
        <w:rPr>
          <w:rFonts w:ascii="Cambria Math" w:eastAsia="Aptos" w:hAnsi="Cambria Math" w:cs="Cambria Math"/>
          <w:sz w:val="22"/>
          <w:szCs w:val="22"/>
        </w:rPr>
        <w:t>‑</w:t>
      </w:r>
      <w:r w:rsidRPr="006B0D43">
        <w:rPr>
          <w:rFonts w:ascii="Arial" w:eastAsia="Aptos" w:hAnsi="Arial" w:cs="Arial"/>
          <w:sz w:val="22"/>
          <w:szCs w:val="22"/>
        </w:rPr>
        <w:t>income countries (World Bank, 2023).</w:t>
      </w:r>
    </w:p>
    <w:p w14:paraId="15E980C6" w14:textId="0ECAAC60" w:rsidR="1FEB432D" w:rsidRPr="006B0D43" w:rsidRDefault="1FEB432D" w:rsidP="006B0D43">
      <w:pPr>
        <w:spacing w:before="240" w:after="240" w:line="360" w:lineRule="auto"/>
        <w:rPr>
          <w:rFonts w:ascii="Arial" w:hAnsi="Arial" w:cs="Arial"/>
          <w:sz w:val="22"/>
          <w:szCs w:val="22"/>
        </w:rPr>
      </w:pPr>
      <w:r w:rsidRPr="006B0D43">
        <w:rPr>
          <w:rFonts w:ascii="Arial" w:eastAsia="Aptos" w:hAnsi="Arial" w:cs="Arial"/>
          <w:sz w:val="22"/>
          <w:szCs w:val="22"/>
        </w:rPr>
        <w:t xml:space="preserve">In the UK, the NHS Long Term Plan and Core20PLUS5 framework demonstrate alignment with SDG 3 by focusing on prevention, mental health, and tackling inequalities (NHS England, </w:t>
      </w:r>
      <w:r w:rsidRPr="0EC8A541">
        <w:rPr>
          <w:rFonts w:ascii="Arial" w:eastAsia="Aptos" w:hAnsi="Arial" w:cs="Arial"/>
          <w:sz w:val="22"/>
          <w:szCs w:val="22"/>
        </w:rPr>
        <w:t>20</w:t>
      </w:r>
      <w:r w:rsidR="20DD562F" w:rsidRPr="0EC8A541">
        <w:rPr>
          <w:rFonts w:ascii="Arial" w:eastAsia="Aptos" w:hAnsi="Arial" w:cs="Arial"/>
          <w:sz w:val="22"/>
          <w:szCs w:val="22"/>
        </w:rPr>
        <w:t>19</w:t>
      </w:r>
      <w:r w:rsidRPr="006B0D43">
        <w:rPr>
          <w:rFonts w:ascii="Arial" w:eastAsia="Aptos" w:hAnsi="Arial" w:cs="Arial"/>
          <w:sz w:val="22"/>
          <w:szCs w:val="22"/>
        </w:rPr>
        <w:t>;  2022). Yet persistent regional and ethnic disparities in life expectancy, compounded by austerity</w:t>
      </w:r>
      <w:r w:rsidRPr="006B0D43">
        <w:rPr>
          <w:rFonts w:ascii="Cambria Math" w:eastAsia="Aptos" w:hAnsi="Cambria Math" w:cs="Cambria Math"/>
          <w:sz w:val="22"/>
          <w:szCs w:val="22"/>
        </w:rPr>
        <w:t>‑</w:t>
      </w:r>
      <w:r w:rsidRPr="006B0D43">
        <w:rPr>
          <w:rFonts w:ascii="Arial" w:eastAsia="Aptos" w:hAnsi="Arial" w:cs="Arial"/>
          <w:sz w:val="22"/>
          <w:szCs w:val="22"/>
        </w:rPr>
        <w:t xml:space="preserve">era cuts and workforce shortages, limit effectiveness (Marmot et al., 2020; The King’s Fund, 2022). </w:t>
      </w:r>
    </w:p>
    <w:p w14:paraId="631655BF" w14:textId="6655423F" w:rsidR="004F323D" w:rsidRPr="00633C50" w:rsidRDefault="00633C50" w:rsidP="004F323D">
      <w:pPr>
        <w:spacing w:before="240" w:after="240" w:line="360" w:lineRule="auto"/>
        <w:rPr>
          <w:rFonts w:ascii="Arial" w:eastAsia="Aptos" w:hAnsi="Arial" w:cs="Arial"/>
          <w:sz w:val="22"/>
          <w:szCs w:val="22"/>
          <w:lang w:val="en-GB"/>
        </w:rPr>
      </w:pPr>
      <w:r>
        <w:rPr>
          <w:rFonts w:ascii="Arial" w:eastAsia="Aptos" w:hAnsi="Arial" w:cs="Arial"/>
          <w:sz w:val="22"/>
          <w:szCs w:val="22"/>
          <w:lang w:val="en-GB"/>
        </w:rPr>
        <w:t>Locally,</w:t>
      </w:r>
      <w:r w:rsidRPr="00633C50">
        <w:rPr>
          <w:rFonts w:ascii="Arial" w:eastAsia="Aptos" w:hAnsi="Arial" w:cs="Arial"/>
          <w:sz w:val="22"/>
          <w:szCs w:val="22"/>
          <w:lang w:val="en-GB"/>
        </w:rPr>
        <w:t>Birmingham’s Health and Wellbeing Strategy aims to improve mental wellbeing and create healthy environments through community programs and policies supported by ICS investments. However, the city faces challenges such as high deprivation, poor air quality, and financial constraints that limit the sustainability of these efforts. Without stable funding and community engagement, there is a danger of achieving only short-term results and inconsistent implementation</w:t>
      </w:r>
      <w:r w:rsidR="19624A91" w:rsidRPr="006B0D43">
        <w:rPr>
          <w:rFonts w:ascii="Arial" w:eastAsia="Aptos" w:hAnsi="Arial" w:cs="Arial"/>
          <w:sz w:val="22"/>
          <w:szCs w:val="22"/>
        </w:rPr>
        <w:t xml:space="preserve"> (Birmingham City Council, </w:t>
      </w:r>
      <w:r w:rsidR="14229A79" w:rsidRPr="006B0D43">
        <w:rPr>
          <w:rFonts w:ascii="Arial" w:eastAsia="Aptos" w:hAnsi="Arial" w:cs="Arial"/>
          <w:sz w:val="22"/>
          <w:szCs w:val="22"/>
        </w:rPr>
        <w:t>2022).</w:t>
      </w:r>
    </w:p>
    <w:p w14:paraId="2BD7D86D" w14:textId="58A6DCA0" w:rsidR="00EC6ABF" w:rsidRPr="00EC6ABF" w:rsidRDefault="081990F3" w:rsidP="00EC6ABF">
      <w:pPr>
        <w:pStyle w:val="Heading2"/>
      </w:pPr>
      <w:r w:rsidRPr="721D7190">
        <w:t>Recommendations</w:t>
      </w:r>
    </w:p>
    <w:p w14:paraId="6671CFBB" w14:textId="566A8A85" w:rsidR="00F55159" w:rsidRPr="00356E6E" w:rsidRDefault="00AE1CC7" w:rsidP="00356E6E">
      <w:pPr>
        <w:spacing w:line="360" w:lineRule="auto"/>
        <w:rPr>
          <w:rFonts w:ascii="Arial" w:hAnsi="Arial" w:cs="Arial"/>
          <w:sz w:val="22"/>
          <w:szCs w:val="22"/>
          <w:lang w:val="en-GB"/>
        </w:rPr>
      </w:pPr>
      <w:r w:rsidRPr="00AE1CC7">
        <w:rPr>
          <w:rFonts w:ascii="Arial" w:hAnsi="Arial" w:cs="Arial"/>
          <w:sz w:val="22"/>
          <w:szCs w:val="22"/>
          <w:lang w:val="en-GB"/>
        </w:rPr>
        <w:t>To achieve SDG 3, key recommendations include strengthening Universal Health Coverage (UHC) by expanding access to affordable, quality healthcare, especially for marginalized groups in the UK, which involves resolving NHS workforce shortages and enhancing primary and mental health care access. Globally, UHC is pivotal for SDG 3 and necessitates investment in resilient health systems</w:t>
      </w:r>
      <w:r w:rsidR="00980A7C">
        <w:rPr>
          <w:rFonts w:ascii="Arial" w:hAnsi="Arial" w:cs="Arial"/>
          <w:sz w:val="22"/>
          <w:szCs w:val="22"/>
          <w:lang w:val="en-GB"/>
        </w:rPr>
        <w:t xml:space="preserve"> </w:t>
      </w:r>
      <w:r w:rsidR="00980A7C" w:rsidRPr="00980A7C">
        <w:rPr>
          <w:rFonts w:ascii="Arial" w:hAnsi="Arial" w:cs="Arial"/>
          <w:sz w:val="22"/>
          <w:szCs w:val="22"/>
          <w:lang w:val="en-GB"/>
        </w:rPr>
        <w:t>(NHS England, 2019; The King’s Fund, 2022)</w:t>
      </w:r>
      <w:r w:rsidRPr="00AE1CC7">
        <w:rPr>
          <w:rFonts w:ascii="Arial" w:hAnsi="Arial" w:cs="Arial"/>
          <w:sz w:val="22"/>
          <w:szCs w:val="22"/>
          <w:lang w:val="en-GB"/>
        </w:rPr>
        <w:t>. Additionally, Health in All Policies (HiAP) should be operationalized at the Integrated Care Systems (ICS) level, requiring statutory mandates and resources to effectively align housing, transport, and planning with health objectives, along with maintaining public health capacity and cross-sector governance</w:t>
      </w:r>
      <w:r w:rsidR="00B17B0E">
        <w:rPr>
          <w:rFonts w:ascii="Arial" w:hAnsi="Arial" w:cs="Arial"/>
          <w:sz w:val="22"/>
          <w:szCs w:val="22"/>
          <w:lang w:val="en-GB"/>
        </w:rPr>
        <w:t xml:space="preserve"> (WHO, 2014)</w:t>
      </w:r>
      <w:r w:rsidRPr="00AE1CC7">
        <w:rPr>
          <w:rFonts w:ascii="Arial" w:hAnsi="Arial" w:cs="Arial"/>
          <w:sz w:val="22"/>
          <w:szCs w:val="22"/>
          <w:lang w:val="en-GB"/>
        </w:rPr>
        <w:t>.</w:t>
      </w:r>
    </w:p>
    <w:p w14:paraId="3E69A334" w14:textId="2DF40075" w:rsidR="081990F3" w:rsidRDefault="081990F3" w:rsidP="721D7190">
      <w:pPr>
        <w:pStyle w:val="Heading1"/>
      </w:pPr>
      <w:r w:rsidRPr="721D7190">
        <w:t>Section 2</w:t>
      </w:r>
      <w:r w:rsidR="00447880" w:rsidRPr="721D7190">
        <w:t>: SDG</w:t>
      </w:r>
      <w:r w:rsidR="7AB3F064" w:rsidRPr="721D7190">
        <w:t xml:space="preserve"> 10- Reduced inequality</w:t>
      </w:r>
      <w:r w:rsidRPr="721D7190">
        <w:t xml:space="preserve"> </w:t>
      </w:r>
    </w:p>
    <w:p w14:paraId="56154BF2" w14:textId="77777777" w:rsidR="00356E6E" w:rsidRPr="00356E6E" w:rsidRDefault="00356E6E" w:rsidP="00356E6E"/>
    <w:p w14:paraId="44F8AA54" w14:textId="36B5A4B7" w:rsidR="081990F3" w:rsidRDefault="081990F3" w:rsidP="721D7190">
      <w:pPr>
        <w:pStyle w:val="Heading2"/>
      </w:pPr>
      <w:r w:rsidRPr="721D7190">
        <w:t xml:space="preserve">Overview of </w:t>
      </w:r>
      <w:r w:rsidR="1E72094B" w:rsidRPr="721D7190">
        <w:t>SDG 10</w:t>
      </w:r>
    </w:p>
    <w:p w14:paraId="4B1153C1" w14:textId="77777777" w:rsidR="00356E6E" w:rsidRPr="00356E6E" w:rsidRDefault="00356E6E" w:rsidP="00356E6E"/>
    <w:p w14:paraId="6B40DA13" w14:textId="7092AB8A" w:rsidR="1323BF9A" w:rsidRDefault="1323BF9A" w:rsidP="721D7190">
      <w:pPr>
        <w:spacing w:line="360" w:lineRule="auto"/>
        <w:rPr>
          <w:rFonts w:ascii="Arial" w:eastAsia="Arial" w:hAnsi="Arial" w:cs="Arial"/>
          <w:sz w:val="22"/>
          <w:szCs w:val="22"/>
        </w:rPr>
      </w:pPr>
      <w:r w:rsidRPr="721D7190">
        <w:rPr>
          <w:rFonts w:ascii="Arial" w:eastAsia="Arial" w:hAnsi="Arial" w:cs="Arial"/>
          <w:sz w:val="22"/>
          <w:szCs w:val="22"/>
        </w:rPr>
        <w:t>Sustainable Development Goal 10 (SDG 10), adopted in 2015, aims to “reduce inequality within and among countries” by 2030. It targets income disparities, social exclusion, discriminatory laws, and unequal access to resources and opportunities. Key indicators include income growth of the bottom 40%, social inclusion, migration policies, and representation in decision-making. SDG 10 is pivotal for achieving other goals, particularly SDG 3 (Good Health and Wellbeing), as inequality undermines health outcomes, education, and economic stability (Bond, 2023).</w:t>
      </w:r>
    </w:p>
    <w:p w14:paraId="32E5B9D6" w14:textId="77777777" w:rsidR="00356E6E" w:rsidRDefault="00356E6E" w:rsidP="721D7190">
      <w:pPr>
        <w:spacing w:line="360" w:lineRule="auto"/>
        <w:rPr>
          <w:rFonts w:ascii="Arial" w:eastAsia="Arial" w:hAnsi="Arial" w:cs="Arial"/>
          <w:sz w:val="22"/>
          <w:szCs w:val="22"/>
        </w:rPr>
      </w:pPr>
    </w:p>
    <w:p w14:paraId="69E38A0D" w14:textId="77777777" w:rsidR="00697B09" w:rsidRDefault="081990F3" w:rsidP="00697B09">
      <w:pPr>
        <w:pStyle w:val="Heading2"/>
      </w:pPr>
      <w:r w:rsidRPr="721D7190">
        <w:t>Global policies and initiatives</w:t>
      </w:r>
    </w:p>
    <w:p w14:paraId="2355A2D2" w14:textId="77777777" w:rsidR="00C6268E" w:rsidRPr="00C6268E" w:rsidRDefault="00C6268E" w:rsidP="00C6268E"/>
    <w:p w14:paraId="6172AE51" w14:textId="53073387" w:rsidR="1D24B3D8" w:rsidRPr="00697B09" w:rsidRDefault="00697B09" w:rsidP="007723A1">
      <w:pPr>
        <w:spacing w:line="360" w:lineRule="auto"/>
        <w:rPr>
          <w:rFonts w:asciiTheme="majorHAnsi" w:hAnsiTheme="majorHAnsi" w:cstheme="majorBidi"/>
          <w:sz w:val="32"/>
          <w:szCs w:val="32"/>
        </w:rPr>
      </w:pPr>
      <w:r w:rsidRPr="007723A1">
        <w:rPr>
          <w:rFonts w:ascii="Arial" w:eastAsia="Aptos" w:hAnsi="Arial" w:cs="Arial"/>
          <w:sz w:val="22"/>
          <w:szCs w:val="22"/>
          <w:lang w:val="en-GB"/>
        </w:rPr>
        <w:t xml:space="preserve">Globally SDG-10 is backed by frameworks like the Global Compact for Migration and the UN Human Rights Council’s Guiding Principles, which advocate for inclusive governance, equitable resource access, and the protection of vulnerable populations. The World Bank’s Shared Prosperity Initiative tracks income growth for the poorest 40% and promotes inclusive economic </w:t>
      </w:r>
      <w:r w:rsidR="00B901B9" w:rsidRPr="007723A1">
        <w:rPr>
          <w:rFonts w:ascii="Arial" w:eastAsia="Aptos" w:hAnsi="Arial" w:cs="Arial"/>
          <w:sz w:val="22"/>
          <w:szCs w:val="22"/>
          <w:lang w:val="en-GB"/>
        </w:rPr>
        <w:t>policies</w:t>
      </w:r>
      <w:r w:rsidR="00B901B9" w:rsidRPr="00443EBC">
        <w:rPr>
          <w:rFonts w:eastAsia="Aptos"/>
        </w:rPr>
        <w:t xml:space="preserve"> (</w:t>
      </w:r>
      <w:r w:rsidR="1D24B3D8" w:rsidRPr="00443EBC">
        <w:rPr>
          <w:rFonts w:eastAsia="Aptos"/>
        </w:rPr>
        <w:t>World Bank, 2021).</w:t>
      </w:r>
    </w:p>
    <w:p w14:paraId="331EC863" w14:textId="4C341582" w:rsidR="1F1F7A9F" w:rsidRPr="00443EBC" w:rsidRDefault="1F1F7A9F" w:rsidP="00443EBC">
      <w:pPr>
        <w:spacing w:before="240" w:after="240" w:line="360" w:lineRule="auto"/>
        <w:rPr>
          <w:rFonts w:ascii="Arial" w:eastAsia="Aptos" w:hAnsi="Arial" w:cs="Arial"/>
          <w:sz w:val="22"/>
          <w:szCs w:val="22"/>
        </w:rPr>
      </w:pPr>
      <w:r w:rsidRPr="00443EBC">
        <w:rPr>
          <w:rFonts w:ascii="Arial" w:eastAsia="Aptos" w:hAnsi="Arial" w:cs="Arial"/>
          <w:sz w:val="22"/>
          <w:szCs w:val="22"/>
        </w:rPr>
        <w:t>A UN Department of Economic and Social Affairs (DESA) policy brief emphasi</w:t>
      </w:r>
      <w:r w:rsidR="00A847F3" w:rsidRPr="00443EBC">
        <w:rPr>
          <w:rFonts w:ascii="Arial" w:eastAsia="Aptos" w:hAnsi="Arial" w:cs="Arial"/>
          <w:sz w:val="22"/>
          <w:szCs w:val="22"/>
        </w:rPr>
        <w:t>s</w:t>
      </w:r>
      <w:r w:rsidRPr="00443EBC">
        <w:rPr>
          <w:rFonts w:ascii="Arial" w:eastAsia="Aptos" w:hAnsi="Arial" w:cs="Arial"/>
          <w:sz w:val="22"/>
          <w:szCs w:val="22"/>
        </w:rPr>
        <w:t>es integrated policies: adopting progressive taxation, social protection, inclusive public services, and strengthening representation of developing countries in global financial governance</w:t>
      </w:r>
      <w:r w:rsidR="5E9C1A9E" w:rsidRPr="00443EBC">
        <w:rPr>
          <w:rFonts w:ascii="Arial" w:eastAsia="Aptos" w:hAnsi="Arial" w:cs="Arial"/>
          <w:sz w:val="22"/>
          <w:szCs w:val="22"/>
        </w:rPr>
        <w:t xml:space="preserve"> (SDG Knowledge Hub, 2023)</w:t>
      </w:r>
      <w:r w:rsidR="555CFAC9" w:rsidRPr="00443EBC">
        <w:rPr>
          <w:rFonts w:ascii="Arial" w:eastAsia="Aptos" w:hAnsi="Arial" w:cs="Arial"/>
          <w:sz w:val="22"/>
          <w:szCs w:val="22"/>
        </w:rPr>
        <w:t>.</w:t>
      </w:r>
    </w:p>
    <w:p w14:paraId="13BB439E" w14:textId="3D53B62B" w:rsidR="1F1F7A9F" w:rsidRPr="00443EBC" w:rsidRDefault="1F1F7A9F" w:rsidP="00443EBC">
      <w:pPr>
        <w:spacing w:before="240" w:after="240" w:line="360" w:lineRule="auto"/>
        <w:rPr>
          <w:rFonts w:ascii="Arial" w:eastAsia="Aptos" w:hAnsi="Arial" w:cs="Arial"/>
          <w:sz w:val="22"/>
          <w:szCs w:val="22"/>
        </w:rPr>
      </w:pPr>
      <w:r w:rsidRPr="00443EBC">
        <w:rPr>
          <w:rFonts w:ascii="Arial" w:eastAsia="Aptos" w:hAnsi="Arial" w:cs="Arial"/>
          <w:sz w:val="22"/>
          <w:szCs w:val="22"/>
        </w:rPr>
        <w:t>The UN argues that reducing inequality is not only a national issue but also a global one, calling for reforms in financial flows, migration systems, and global governance to ensure no one is left behind</w:t>
      </w:r>
      <w:r w:rsidR="04E70F4E" w:rsidRPr="00443EBC">
        <w:rPr>
          <w:rFonts w:ascii="Arial" w:eastAsia="Aptos" w:hAnsi="Arial" w:cs="Arial"/>
          <w:sz w:val="22"/>
          <w:szCs w:val="22"/>
        </w:rPr>
        <w:t xml:space="preserve"> (UN, 2015).</w:t>
      </w:r>
    </w:p>
    <w:p w14:paraId="16420B2C" w14:textId="4AAE4910" w:rsidR="721D7190" w:rsidRDefault="721D7190" w:rsidP="721D7190">
      <w:pPr>
        <w:rPr>
          <w:rFonts w:ascii="Aptos" w:eastAsia="Aptos" w:hAnsi="Aptos" w:cs="Aptos"/>
        </w:rPr>
      </w:pPr>
    </w:p>
    <w:p w14:paraId="6412277D" w14:textId="18A22818" w:rsidR="081990F3" w:rsidRDefault="081990F3" w:rsidP="721D7190">
      <w:pPr>
        <w:pStyle w:val="Heading2"/>
      </w:pPr>
      <w:r w:rsidRPr="721D7190">
        <w:t>National and local examples</w:t>
      </w:r>
    </w:p>
    <w:p w14:paraId="274FA3EB" w14:textId="5EB311C4" w:rsidR="394A53EB" w:rsidRDefault="394A53EB" w:rsidP="721D7190">
      <w:pPr>
        <w:pStyle w:val="Heading3"/>
      </w:pPr>
      <w:r w:rsidRPr="721D7190">
        <w:t>National initiatives</w:t>
      </w:r>
    </w:p>
    <w:p w14:paraId="07504315" w14:textId="04823D2B" w:rsidR="394A53EB" w:rsidRPr="00684D70" w:rsidRDefault="00684D70" w:rsidP="00443EBC">
      <w:pPr>
        <w:spacing w:line="360" w:lineRule="auto"/>
        <w:rPr>
          <w:rFonts w:ascii="Arial" w:eastAsia="Aptos" w:hAnsi="Arial" w:cs="Arial"/>
          <w:sz w:val="22"/>
          <w:szCs w:val="22"/>
          <w:lang w:val="en-GB"/>
        </w:rPr>
      </w:pPr>
      <w:r w:rsidRPr="00684D70">
        <w:rPr>
          <w:rFonts w:ascii="Arial" w:eastAsia="Aptos" w:hAnsi="Arial" w:cs="Arial"/>
          <w:sz w:val="22"/>
          <w:szCs w:val="22"/>
          <w:lang w:val="en-GB"/>
        </w:rPr>
        <w:t>In the UK, Sustainable Development Goal (SDG) 10 aligns with established equality measures and recent localized strategies. The Equality Act 2010 provides legal protections against discrimination and mandates public-sector equality efforts. The Levelling-Up White Paper outlines twelve initiatives to mitigate regional disparities. In healthcare, NHS England's Core20PLUS5 framework focuses on the most deprived 20% of the population and vulnerable groups, identifying five clinical priorities for addressing health inequalities. Additionally, the creation of Integrated Care Systems (ICSs) fosters collaboration among NHS, local governments, and communities to promote equitable health outcomes</w:t>
      </w:r>
      <w:r w:rsidR="394A53EB" w:rsidRPr="00443EBC">
        <w:rPr>
          <w:rFonts w:ascii="Arial" w:eastAsia="Aptos" w:hAnsi="Arial" w:cs="Arial"/>
          <w:sz w:val="22"/>
          <w:szCs w:val="22"/>
        </w:rPr>
        <w:t xml:space="preserve"> (</w:t>
      </w:r>
      <w:r w:rsidR="00B86E26">
        <w:rPr>
          <w:rFonts w:ascii="Arial" w:eastAsia="Aptos" w:hAnsi="Arial" w:cs="Arial"/>
          <w:sz w:val="22"/>
          <w:szCs w:val="22"/>
        </w:rPr>
        <w:t>HM Gover</w:t>
      </w:r>
      <w:r w:rsidR="00FB6051">
        <w:rPr>
          <w:rFonts w:ascii="Arial" w:eastAsia="Aptos" w:hAnsi="Arial" w:cs="Arial"/>
          <w:sz w:val="22"/>
          <w:szCs w:val="22"/>
        </w:rPr>
        <w:t xml:space="preserve">nment, 2022; </w:t>
      </w:r>
      <w:r w:rsidR="394A53EB" w:rsidRPr="00443EBC">
        <w:rPr>
          <w:rFonts w:ascii="Arial" w:eastAsia="Aptos" w:hAnsi="Arial" w:cs="Arial"/>
          <w:sz w:val="22"/>
          <w:szCs w:val="22"/>
        </w:rPr>
        <w:t>NHS England, 2021; guidance updated 2024)</w:t>
      </w:r>
    </w:p>
    <w:p w14:paraId="3B5A77F8" w14:textId="0DE3B718" w:rsidR="394A53EB" w:rsidRDefault="394A53EB" w:rsidP="721D7190">
      <w:pPr>
        <w:pStyle w:val="Heading3"/>
        <w:rPr>
          <w:rFonts w:ascii="Arial" w:eastAsia="Arial" w:hAnsi="Arial" w:cs="Arial"/>
          <w:color w:val="000000" w:themeColor="text1"/>
          <w:sz w:val="22"/>
          <w:szCs w:val="22"/>
        </w:rPr>
      </w:pPr>
      <w:r w:rsidRPr="721D7190">
        <w:t>Local Initiatives</w:t>
      </w:r>
    </w:p>
    <w:p w14:paraId="7F74A82D" w14:textId="6C666CD2" w:rsidR="00433D9E" w:rsidRPr="00433D9E" w:rsidRDefault="00433D9E" w:rsidP="00D52F67">
      <w:pPr>
        <w:spacing w:line="360" w:lineRule="auto"/>
        <w:rPr>
          <w:rFonts w:ascii="Arial" w:eastAsia="Aptos" w:hAnsi="Arial" w:cs="Arial"/>
          <w:sz w:val="22"/>
          <w:szCs w:val="22"/>
          <w:lang w:val="en-GB"/>
        </w:rPr>
      </w:pPr>
      <w:r w:rsidRPr="00433D9E">
        <w:rPr>
          <w:rFonts w:ascii="Arial" w:eastAsia="Aptos" w:hAnsi="Arial" w:cs="Arial"/>
          <w:sz w:val="22"/>
          <w:szCs w:val="22"/>
          <w:lang w:val="en-GB"/>
        </w:rPr>
        <w:t xml:space="preserve">Birmingham is the UK’s most diverse city outside London, with the Council adopting equality objectives under the Public Sector Equality Duty aimed at eliminating discrimination and fostering community relations. Their Health and Wellbeing Strategy 2022–2030 aligns with SDG 10, prioritizing the reduction of health outcome disparities between affluent and deprived areas, particularly </w:t>
      </w:r>
      <w:r w:rsidR="008F5D2F" w:rsidRPr="00D52F67">
        <w:rPr>
          <w:rFonts w:ascii="Arial" w:eastAsia="Aptos" w:hAnsi="Arial" w:cs="Arial"/>
          <w:sz w:val="22"/>
          <w:szCs w:val="22"/>
          <w:lang w:val="en-GB"/>
        </w:rPr>
        <w:t>considering</w:t>
      </w:r>
      <w:r w:rsidRPr="00433D9E">
        <w:rPr>
          <w:rFonts w:ascii="Arial" w:eastAsia="Aptos" w:hAnsi="Arial" w:cs="Arial"/>
          <w:sz w:val="22"/>
          <w:szCs w:val="22"/>
          <w:lang w:val="en-GB"/>
        </w:rPr>
        <w:t xml:space="preserve"> COVID-19</w:t>
      </w:r>
      <w:r w:rsidR="008F5D2F" w:rsidRPr="00D52F67">
        <w:rPr>
          <w:rFonts w:ascii="Arial" w:eastAsia="Aptos" w:hAnsi="Arial" w:cs="Arial"/>
          <w:sz w:val="22"/>
          <w:szCs w:val="22"/>
          <w:lang w:val="en-GB"/>
        </w:rPr>
        <w:t xml:space="preserve"> (Birmingham City Council</w:t>
      </w:r>
      <w:r w:rsidR="002C5A49" w:rsidRPr="00D52F67">
        <w:rPr>
          <w:rFonts w:ascii="Arial" w:eastAsia="Aptos" w:hAnsi="Arial" w:cs="Arial"/>
          <w:sz w:val="22"/>
          <w:szCs w:val="22"/>
          <w:lang w:val="en-GB"/>
        </w:rPr>
        <w:t xml:space="preserve">, </w:t>
      </w:r>
      <w:r w:rsidR="002C5A49" w:rsidRPr="4CA08056">
        <w:rPr>
          <w:rFonts w:ascii="Arial" w:eastAsia="Aptos" w:hAnsi="Arial" w:cs="Arial"/>
          <w:sz w:val="22"/>
          <w:szCs w:val="22"/>
          <w:lang w:val="en-GB"/>
        </w:rPr>
        <w:t>2022</w:t>
      </w:r>
      <w:r w:rsidR="1ED9A7B3" w:rsidRPr="4CA08056">
        <w:rPr>
          <w:rFonts w:ascii="Arial" w:eastAsia="Aptos" w:hAnsi="Arial" w:cs="Arial"/>
          <w:sz w:val="22"/>
          <w:szCs w:val="22"/>
          <w:lang w:val="en-GB"/>
        </w:rPr>
        <w:t>c</w:t>
      </w:r>
      <w:r w:rsidR="002C5A49" w:rsidRPr="00D52F67">
        <w:rPr>
          <w:rFonts w:ascii="Arial" w:eastAsia="Aptos" w:hAnsi="Arial" w:cs="Arial"/>
          <w:sz w:val="22"/>
          <w:szCs w:val="22"/>
          <w:lang w:val="en-GB"/>
        </w:rPr>
        <w:t>; 2023)</w:t>
      </w:r>
      <w:r w:rsidRPr="00433D9E">
        <w:rPr>
          <w:rFonts w:ascii="Arial" w:eastAsia="Aptos" w:hAnsi="Arial" w:cs="Arial"/>
          <w:sz w:val="22"/>
          <w:szCs w:val="22"/>
          <w:lang w:val="en-GB"/>
        </w:rPr>
        <w:t>.</w:t>
      </w:r>
    </w:p>
    <w:p w14:paraId="0472C8F3" w14:textId="54699479" w:rsidR="721D7190" w:rsidRDefault="721D7190" w:rsidP="721D7190"/>
    <w:p w14:paraId="664AA4D5" w14:textId="61922817" w:rsidR="081990F3" w:rsidRDefault="081990F3" w:rsidP="721D7190">
      <w:pPr>
        <w:pStyle w:val="Heading2"/>
      </w:pPr>
      <w:r w:rsidRPr="721D7190">
        <w:t>Use of theories/models.</w:t>
      </w:r>
    </w:p>
    <w:p w14:paraId="48FE827D" w14:textId="77777777" w:rsidR="007723A1" w:rsidRPr="007723A1" w:rsidRDefault="007723A1" w:rsidP="007723A1"/>
    <w:p w14:paraId="2F396946" w14:textId="708E72C6" w:rsidR="67C860BF" w:rsidRPr="00AF084A" w:rsidRDefault="67C860BF" w:rsidP="00AF084A">
      <w:pPr>
        <w:spacing w:line="360" w:lineRule="auto"/>
        <w:rPr>
          <w:rFonts w:ascii="Arial" w:hAnsi="Arial" w:cs="Arial"/>
          <w:sz w:val="22"/>
          <w:szCs w:val="22"/>
        </w:rPr>
      </w:pPr>
      <w:r w:rsidRPr="00AF084A">
        <w:rPr>
          <w:rFonts w:ascii="Arial" w:eastAsia="Aptos" w:hAnsi="Arial" w:cs="Arial"/>
          <w:sz w:val="22"/>
          <w:szCs w:val="22"/>
        </w:rPr>
        <w:t>Several theoretical models underpin SDG 10 and inform policy design:</w:t>
      </w:r>
    </w:p>
    <w:p w14:paraId="3C3D6889" w14:textId="0647E40C" w:rsidR="67C860BF" w:rsidRPr="00AF084A" w:rsidRDefault="67C860BF" w:rsidP="00AF084A">
      <w:pPr>
        <w:spacing w:line="360" w:lineRule="auto"/>
        <w:rPr>
          <w:rFonts w:ascii="Arial" w:hAnsi="Arial" w:cs="Arial"/>
          <w:sz w:val="22"/>
          <w:szCs w:val="22"/>
        </w:rPr>
      </w:pPr>
      <w:r w:rsidRPr="00AF084A">
        <w:rPr>
          <w:rFonts w:ascii="Arial" w:hAnsi="Arial" w:cs="Arial"/>
          <w:sz w:val="22"/>
          <w:szCs w:val="22"/>
        </w:rPr>
        <w:t xml:space="preserve">The </w:t>
      </w:r>
      <w:r w:rsidRPr="00AF084A">
        <w:rPr>
          <w:rFonts w:ascii="Arial" w:hAnsi="Arial" w:cs="Arial"/>
          <w:b/>
          <w:bCs/>
          <w:sz w:val="22"/>
          <w:szCs w:val="22"/>
        </w:rPr>
        <w:t>social determinants of health</w:t>
      </w:r>
      <w:r w:rsidRPr="00AF084A">
        <w:rPr>
          <w:rFonts w:ascii="Arial" w:hAnsi="Arial" w:cs="Arial"/>
          <w:sz w:val="22"/>
          <w:szCs w:val="22"/>
        </w:rPr>
        <w:t xml:space="preserve"> framework </w:t>
      </w:r>
      <w:r w:rsidR="7DAF1369" w:rsidRPr="00AF084A">
        <w:rPr>
          <w:rFonts w:ascii="Arial" w:hAnsi="Arial" w:cs="Arial"/>
          <w:sz w:val="22"/>
          <w:szCs w:val="22"/>
        </w:rPr>
        <w:t>underpin</w:t>
      </w:r>
      <w:r w:rsidRPr="00AF084A">
        <w:rPr>
          <w:rFonts w:ascii="Arial" w:hAnsi="Arial" w:cs="Arial"/>
          <w:sz w:val="22"/>
          <w:szCs w:val="22"/>
        </w:rPr>
        <w:t xml:space="preserve"> UK approaches: unequal distribution of money, power and resources produces health gradients, so actions on early years, housing, employment and education are essential (Marmot</w:t>
      </w:r>
      <w:r w:rsidR="3B09B2E9" w:rsidRPr="00AF084A">
        <w:rPr>
          <w:rFonts w:ascii="Arial" w:hAnsi="Arial" w:cs="Arial"/>
          <w:sz w:val="22"/>
          <w:szCs w:val="22"/>
        </w:rPr>
        <w:t xml:space="preserve"> et.al</w:t>
      </w:r>
      <w:r w:rsidRPr="00AF084A">
        <w:rPr>
          <w:rFonts w:ascii="Arial" w:hAnsi="Arial" w:cs="Arial"/>
          <w:sz w:val="22"/>
          <w:szCs w:val="22"/>
        </w:rPr>
        <w:t>, 2020).</w:t>
      </w:r>
    </w:p>
    <w:p w14:paraId="51D8E7CE" w14:textId="0D86BEDA" w:rsidR="1601060B" w:rsidRPr="00563779" w:rsidRDefault="007E486B" w:rsidP="00AF084A">
      <w:pPr>
        <w:spacing w:line="360" w:lineRule="auto"/>
        <w:rPr>
          <w:rFonts w:ascii="Arial" w:eastAsia="Aptos" w:hAnsi="Arial" w:cs="Arial"/>
          <w:sz w:val="22"/>
          <w:szCs w:val="22"/>
          <w:lang w:val="en-GB"/>
        </w:rPr>
      </w:pPr>
      <w:r w:rsidRPr="007E486B">
        <w:rPr>
          <w:rFonts w:ascii="Arial" w:eastAsia="Aptos" w:hAnsi="Arial" w:cs="Arial"/>
          <w:b/>
          <w:bCs/>
          <w:sz w:val="22"/>
          <w:szCs w:val="22"/>
          <w:lang w:val="en-GB"/>
        </w:rPr>
        <w:t>Belbin’s Team Role</w:t>
      </w:r>
      <w:r w:rsidRPr="007E486B">
        <w:rPr>
          <w:rFonts w:ascii="Arial" w:eastAsia="Aptos" w:hAnsi="Arial" w:cs="Arial"/>
          <w:sz w:val="22"/>
          <w:szCs w:val="22"/>
          <w:lang w:val="en-GB"/>
        </w:rPr>
        <w:t xml:space="preserve"> </w:t>
      </w:r>
      <w:r w:rsidR="00563779">
        <w:rPr>
          <w:rFonts w:ascii="Arial" w:eastAsia="Aptos" w:hAnsi="Arial" w:cs="Arial"/>
          <w:sz w:val="22"/>
          <w:szCs w:val="22"/>
          <w:lang w:val="en-GB"/>
        </w:rPr>
        <w:t>t</w:t>
      </w:r>
      <w:r w:rsidRPr="007E486B">
        <w:rPr>
          <w:rFonts w:ascii="Arial" w:eastAsia="Aptos" w:hAnsi="Arial" w:cs="Arial"/>
          <w:sz w:val="22"/>
          <w:szCs w:val="22"/>
          <w:lang w:val="en-GB"/>
        </w:rPr>
        <w:t>heory identifies nine roles—Coordinator, Implementer, Plant, Resource Investigator, and Teamwork—essential for effective collaboration through diverse and balanced contributions. This theory applies to SDG-10 (Reduced Inequalities), where inclusive teamwork is vital for tackling inequalities based on socioeconomic, ethnic, and gender factors. The Teamwork role specifically advocates for collaboration and amplifying marginalized voices</w:t>
      </w:r>
      <w:r w:rsidR="00563779">
        <w:rPr>
          <w:rFonts w:ascii="Arial" w:eastAsia="Aptos" w:hAnsi="Arial" w:cs="Arial"/>
          <w:sz w:val="22"/>
          <w:szCs w:val="22"/>
          <w:lang w:val="en-GB"/>
        </w:rPr>
        <w:t xml:space="preserve"> </w:t>
      </w:r>
      <w:r w:rsidR="735D76F4" w:rsidRPr="00AF084A">
        <w:rPr>
          <w:rFonts w:ascii="Arial" w:eastAsia="Aptos" w:hAnsi="Arial" w:cs="Arial"/>
          <w:sz w:val="22"/>
          <w:szCs w:val="22"/>
        </w:rPr>
        <w:t>(</w:t>
      </w:r>
      <w:r w:rsidR="670CBC7E" w:rsidRPr="00AF084A">
        <w:rPr>
          <w:rFonts w:ascii="Arial" w:eastAsia="Times New Roman" w:hAnsi="Arial" w:cs="Arial"/>
          <w:sz w:val="22"/>
          <w:szCs w:val="22"/>
        </w:rPr>
        <w:t>MacDonnell, 2014</w:t>
      </w:r>
      <w:r w:rsidR="735D76F4" w:rsidRPr="00AF084A">
        <w:rPr>
          <w:rFonts w:ascii="Arial" w:eastAsia="Aptos" w:hAnsi="Arial" w:cs="Arial"/>
          <w:sz w:val="22"/>
          <w:szCs w:val="22"/>
        </w:rPr>
        <w:t>; UN, 202</w:t>
      </w:r>
      <w:r w:rsidR="6212CC83" w:rsidRPr="00AF084A">
        <w:rPr>
          <w:rFonts w:ascii="Arial" w:eastAsia="Aptos" w:hAnsi="Arial" w:cs="Arial"/>
          <w:sz w:val="22"/>
          <w:szCs w:val="22"/>
        </w:rPr>
        <w:t>5</w:t>
      </w:r>
      <w:r w:rsidR="735D76F4" w:rsidRPr="00AF084A">
        <w:rPr>
          <w:rFonts w:ascii="Arial" w:eastAsia="Aptos" w:hAnsi="Arial" w:cs="Arial"/>
          <w:sz w:val="22"/>
          <w:szCs w:val="22"/>
        </w:rPr>
        <w:t>)</w:t>
      </w:r>
      <w:r w:rsidR="44546EA1" w:rsidRPr="00AF084A">
        <w:rPr>
          <w:rFonts w:ascii="Arial" w:eastAsia="Aptos" w:hAnsi="Arial" w:cs="Arial"/>
          <w:sz w:val="22"/>
          <w:szCs w:val="22"/>
        </w:rPr>
        <w:t>.</w:t>
      </w:r>
      <w:r w:rsidR="20A17FA8" w:rsidRPr="00AF084A">
        <w:rPr>
          <w:rFonts w:ascii="Arial" w:eastAsia="Aptos" w:hAnsi="Arial" w:cs="Arial"/>
          <w:sz w:val="22"/>
          <w:szCs w:val="22"/>
        </w:rPr>
        <w:t xml:space="preserve"> This aligns with UK equality frameworks such as the </w:t>
      </w:r>
      <w:r w:rsidR="20A17FA8" w:rsidRPr="00AF084A">
        <w:rPr>
          <w:rFonts w:ascii="Arial" w:eastAsia="Aptos" w:hAnsi="Arial" w:cs="Arial"/>
          <w:b/>
          <w:bCs/>
          <w:sz w:val="22"/>
          <w:szCs w:val="22"/>
        </w:rPr>
        <w:t>Equality Act 2010 and the Equality and Human Rights Commission’s</w:t>
      </w:r>
      <w:r w:rsidR="20A17FA8" w:rsidRPr="00AF084A">
        <w:rPr>
          <w:rFonts w:ascii="Arial" w:eastAsia="Aptos" w:hAnsi="Arial" w:cs="Arial"/>
          <w:b/>
          <w:bCs/>
          <w:i/>
          <w:iCs/>
          <w:sz w:val="22"/>
          <w:szCs w:val="22"/>
        </w:rPr>
        <w:t xml:space="preserve"> </w:t>
      </w:r>
      <w:r w:rsidR="20A17FA8" w:rsidRPr="28F312C4">
        <w:rPr>
          <w:rFonts w:ascii="Arial" w:eastAsia="Aptos" w:hAnsi="Arial" w:cs="Arial"/>
          <w:b/>
          <w:bCs/>
          <w:sz w:val="22"/>
          <w:szCs w:val="22"/>
        </w:rPr>
        <w:t>Monitor</w:t>
      </w:r>
      <w:r w:rsidR="20A17FA8" w:rsidRPr="00AF084A">
        <w:rPr>
          <w:rFonts w:ascii="Arial" w:eastAsia="Aptos" w:hAnsi="Arial" w:cs="Arial"/>
          <w:i/>
          <w:iCs/>
          <w:sz w:val="22"/>
          <w:szCs w:val="22"/>
        </w:rPr>
        <w:t xml:space="preserve"> (</w:t>
      </w:r>
      <w:r w:rsidR="20A17FA8" w:rsidRPr="36A7AD0D">
        <w:rPr>
          <w:rFonts w:ascii="Arial" w:eastAsia="Aptos" w:hAnsi="Arial" w:cs="Arial"/>
          <w:sz w:val="22"/>
          <w:szCs w:val="22"/>
        </w:rPr>
        <w:t>2022</w:t>
      </w:r>
      <w:r w:rsidR="20A17FA8" w:rsidRPr="00AF084A">
        <w:rPr>
          <w:rFonts w:ascii="Arial" w:eastAsia="Aptos" w:hAnsi="Arial" w:cs="Arial"/>
          <w:i/>
          <w:iCs/>
          <w:sz w:val="22"/>
          <w:szCs w:val="22"/>
        </w:rPr>
        <w:t>)</w:t>
      </w:r>
      <w:r w:rsidR="20A17FA8" w:rsidRPr="00AF084A">
        <w:rPr>
          <w:rFonts w:ascii="Arial" w:eastAsia="Aptos" w:hAnsi="Arial" w:cs="Arial"/>
          <w:sz w:val="22"/>
          <w:szCs w:val="22"/>
        </w:rPr>
        <w:t>, which emphasise representation and fairness (EHRC, 2022).</w:t>
      </w:r>
    </w:p>
    <w:p w14:paraId="3BC862B7" w14:textId="2AB1575A" w:rsidR="6A55CA1B" w:rsidRPr="00AF084A" w:rsidRDefault="6A55CA1B" w:rsidP="00AF084A">
      <w:pPr>
        <w:spacing w:line="360" w:lineRule="auto"/>
        <w:rPr>
          <w:rFonts w:ascii="Arial" w:hAnsi="Arial" w:cs="Arial"/>
          <w:sz w:val="22"/>
          <w:szCs w:val="22"/>
        </w:rPr>
      </w:pPr>
      <w:r w:rsidRPr="00AF084A">
        <w:rPr>
          <w:rFonts w:ascii="Arial" w:eastAsia="Aptos" w:hAnsi="Arial" w:cs="Arial"/>
          <w:sz w:val="22"/>
          <w:szCs w:val="22"/>
        </w:rPr>
        <w:t xml:space="preserve">For example, Birmingham City Council’s </w:t>
      </w:r>
      <w:r w:rsidRPr="00AF084A">
        <w:rPr>
          <w:rFonts w:ascii="Arial" w:eastAsia="Aptos" w:hAnsi="Arial" w:cs="Arial"/>
          <w:b/>
          <w:bCs/>
          <w:sz w:val="22"/>
          <w:szCs w:val="22"/>
        </w:rPr>
        <w:t>Everyone’s Battle, Everyone’s Business</w:t>
      </w:r>
      <w:r w:rsidRPr="00AF084A">
        <w:rPr>
          <w:rFonts w:ascii="Arial" w:eastAsia="Aptos" w:hAnsi="Arial" w:cs="Arial"/>
          <w:sz w:val="22"/>
          <w:szCs w:val="22"/>
        </w:rPr>
        <w:t xml:space="preserve"> programme and </w:t>
      </w:r>
      <w:r w:rsidRPr="00AF084A">
        <w:rPr>
          <w:rFonts w:ascii="Arial" w:eastAsia="Aptos" w:hAnsi="Arial" w:cs="Arial"/>
          <w:b/>
          <w:bCs/>
          <w:sz w:val="22"/>
          <w:szCs w:val="22"/>
        </w:rPr>
        <w:t>Equality Objectives 2024–2027</w:t>
      </w:r>
      <w:r w:rsidRPr="00AF084A">
        <w:rPr>
          <w:rFonts w:ascii="Arial" w:eastAsia="Aptos" w:hAnsi="Arial" w:cs="Arial"/>
          <w:sz w:val="22"/>
          <w:szCs w:val="22"/>
        </w:rPr>
        <w:t xml:space="preserve"> embed equality impact assessments across services. These initiatives reflect Belbin’s </w:t>
      </w:r>
      <w:r w:rsidRPr="0492A511">
        <w:rPr>
          <w:rFonts w:ascii="Arial" w:eastAsia="Aptos" w:hAnsi="Arial" w:cs="Arial"/>
          <w:sz w:val="22"/>
          <w:szCs w:val="22"/>
        </w:rPr>
        <w:t>Implementer</w:t>
      </w:r>
      <w:r w:rsidRPr="00AF084A">
        <w:rPr>
          <w:rFonts w:ascii="Arial" w:eastAsia="Aptos" w:hAnsi="Arial" w:cs="Arial"/>
          <w:sz w:val="22"/>
          <w:szCs w:val="22"/>
        </w:rPr>
        <w:t xml:space="preserve"> and </w:t>
      </w:r>
      <w:r w:rsidRPr="0492A511">
        <w:rPr>
          <w:rFonts w:ascii="Arial" w:eastAsia="Aptos" w:hAnsi="Arial" w:cs="Arial"/>
          <w:sz w:val="22"/>
          <w:szCs w:val="22"/>
        </w:rPr>
        <w:t>Resource Investigator</w:t>
      </w:r>
      <w:r w:rsidRPr="00AF084A">
        <w:rPr>
          <w:rFonts w:ascii="Arial" w:eastAsia="Aptos" w:hAnsi="Arial" w:cs="Arial"/>
          <w:sz w:val="22"/>
          <w:szCs w:val="22"/>
        </w:rPr>
        <w:t xml:space="preserve"> roles, where councils operationalise strategies and community organisations explore innovative ways to reduce inequalities (Birmingham City Council, </w:t>
      </w:r>
      <w:r w:rsidRPr="4A5B2629">
        <w:rPr>
          <w:rFonts w:ascii="Arial" w:eastAsia="Aptos" w:hAnsi="Arial" w:cs="Arial"/>
          <w:sz w:val="22"/>
          <w:szCs w:val="22"/>
        </w:rPr>
        <w:t>202</w:t>
      </w:r>
      <w:r w:rsidR="3EBBA053" w:rsidRPr="4A5B2629">
        <w:rPr>
          <w:rFonts w:ascii="Arial" w:eastAsia="Aptos" w:hAnsi="Arial" w:cs="Arial"/>
          <w:sz w:val="22"/>
          <w:szCs w:val="22"/>
        </w:rPr>
        <w:t>2</w:t>
      </w:r>
      <w:r w:rsidR="2F52C30F" w:rsidRPr="4A5B2629">
        <w:rPr>
          <w:rFonts w:ascii="Arial" w:eastAsia="Aptos" w:hAnsi="Arial" w:cs="Arial"/>
          <w:sz w:val="22"/>
          <w:szCs w:val="22"/>
        </w:rPr>
        <w:t>d</w:t>
      </w:r>
      <w:r w:rsidRPr="00AF084A">
        <w:rPr>
          <w:rFonts w:ascii="Arial" w:eastAsia="Aptos" w:hAnsi="Arial" w:cs="Arial"/>
          <w:sz w:val="22"/>
          <w:szCs w:val="22"/>
        </w:rPr>
        <w:t>; 202</w:t>
      </w:r>
      <w:r w:rsidR="6AF38F61" w:rsidRPr="00AF084A">
        <w:rPr>
          <w:rFonts w:ascii="Arial" w:eastAsia="Aptos" w:hAnsi="Arial" w:cs="Arial"/>
          <w:sz w:val="22"/>
          <w:szCs w:val="22"/>
        </w:rPr>
        <w:t>3</w:t>
      </w:r>
      <w:r w:rsidRPr="00AF084A">
        <w:rPr>
          <w:rFonts w:ascii="Arial" w:eastAsia="Aptos" w:hAnsi="Arial" w:cs="Arial"/>
          <w:sz w:val="22"/>
          <w:szCs w:val="22"/>
        </w:rPr>
        <w:t>).</w:t>
      </w:r>
    </w:p>
    <w:p w14:paraId="28099727" w14:textId="1BF8B88D" w:rsidR="721D7190" w:rsidRDefault="721D7190" w:rsidP="721D7190">
      <w:pPr>
        <w:spacing w:after="240" w:line="360" w:lineRule="auto"/>
        <w:rPr>
          <w:rFonts w:ascii="Times New Roman" w:eastAsia="Times New Roman" w:hAnsi="Times New Roman" w:cs="Times New Roman"/>
        </w:rPr>
      </w:pPr>
    </w:p>
    <w:p w14:paraId="577CCEC3" w14:textId="6E045745" w:rsidR="081990F3" w:rsidRDefault="081990F3" w:rsidP="721D7190">
      <w:pPr>
        <w:pStyle w:val="Heading2"/>
      </w:pPr>
      <w:r w:rsidRPr="721D7190">
        <w:t>Critical evaluation</w:t>
      </w:r>
    </w:p>
    <w:p w14:paraId="3FCBC2F0" w14:textId="77777777" w:rsidR="00987987" w:rsidRPr="00987987" w:rsidRDefault="00987987" w:rsidP="00987987"/>
    <w:p w14:paraId="247384A4" w14:textId="1BC0737B" w:rsidR="34EDB493" w:rsidRPr="00987987" w:rsidRDefault="00187FF9" w:rsidP="00AF084A">
      <w:pPr>
        <w:spacing w:line="360" w:lineRule="auto"/>
        <w:rPr>
          <w:rFonts w:ascii="Arial" w:eastAsia="Aptos" w:hAnsi="Arial" w:cs="Arial"/>
          <w:sz w:val="22"/>
          <w:szCs w:val="22"/>
          <w:lang w:val="en-GB"/>
        </w:rPr>
      </w:pPr>
      <w:r w:rsidRPr="00187FF9">
        <w:rPr>
          <w:rFonts w:ascii="Arial" w:eastAsia="Aptos" w:hAnsi="Arial" w:cs="Arial"/>
          <w:sz w:val="22"/>
          <w:szCs w:val="22"/>
          <w:lang w:val="en-GB"/>
        </w:rPr>
        <w:t>SDG 10 seeks to reduce global inequality by tackling income disparities and social exclusion, yet progress is inconsistent. The COVID-19 pandemic exacerbated these issues, particularly impacting marginalized groups. International initiatives have advocated for inclusion, but existing global trade and financial structures still favor wealthier countries, hindering meaningful change</w:t>
      </w:r>
      <w:r w:rsidR="34EDB493" w:rsidRPr="00AF084A">
        <w:rPr>
          <w:rFonts w:ascii="Arial" w:eastAsia="Aptos" w:hAnsi="Arial" w:cs="Arial"/>
          <w:sz w:val="22"/>
          <w:szCs w:val="22"/>
        </w:rPr>
        <w:t xml:space="preserve"> (</w:t>
      </w:r>
      <w:r w:rsidR="00987987">
        <w:rPr>
          <w:rFonts w:ascii="Arial" w:eastAsia="Aptos" w:hAnsi="Arial" w:cs="Arial"/>
          <w:sz w:val="22"/>
          <w:szCs w:val="22"/>
        </w:rPr>
        <w:t xml:space="preserve">UN, 2023; UNDP, 2022; </w:t>
      </w:r>
      <w:r w:rsidR="34EDB493" w:rsidRPr="00AF084A">
        <w:rPr>
          <w:rFonts w:ascii="Arial" w:eastAsia="Times New Roman" w:hAnsi="Arial" w:cs="Arial"/>
          <w:sz w:val="22"/>
          <w:szCs w:val="22"/>
        </w:rPr>
        <w:t>Mariotti, 2019).</w:t>
      </w:r>
    </w:p>
    <w:p w14:paraId="7EC13BAC" w14:textId="223F5943" w:rsidR="18EB17CA" w:rsidRDefault="18EB17CA" w:rsidP="721D7190">
      <w:pPr>
        <w:spacing w:before="240" w:after="240" w:line="360" w:lineRule="auto"/>
        <w:rPr>
          <w:rFonts w:ascii="Arial" w:eastAsia="Arial" w:hAnsi="Arial" w:cs="Arial"/>
          <w:sz w:val="22"/>
          <w:szCs w:val="22"/>
        </w:rPr>
      </w:pPr>
      <w:r w:rsidRPr="721D7190">
        <w:rPr>
          <w:rFonts w:ascii="Arial" w:eastAsia="Arial" w:hAnsi="Arial" w:cs="Arial"/>
          <w:sz w:val="22"/>
          <w:szCs w:val="22"/>
        </w:rPr>
        <w:t xml:space="preserve">In the UK, the </w:t>
      </w:r>
      <w:r w:rsidRPr="721D7190">
        <w:rPr>
          <w:rFonts w:ascii="Arial" w:eastAsia="Arial" w:hAnsi="Arial" w:cs="Arial"/>
          <w:b/>
          <w:bCs/>
          <w:sz w:val="22"/>
          <w:szCs w:val="22"/>
        </w:rPr>
        <w:t>Equality Act 2010</w:t>
      </w:r>
      <w:r w:rsidRPr="721D7190">
        <w:rPr>
          <w:rFonts w:ascii="Arial" w:eastAsia="Arial" w:hAnsi="Arial" w:cs="Arial"/>
          <w:sz w:val="22"/>
          <w:szCs w:val="22"/>
        </w:rPr>
        <w:t xml:space="preserve"> remains the cornerstone of anti‑discrimination policy, yet enforcement gaps persist, with unequal outcomes across employment, housing, and health (EHRC, 2022). The </w:t>
      </w:r>
      <w:r w:rsidRPr="721D7190">
        <w:rPr>
          <w:rFonts w:ascii="Arial" w:eastAsia="Arial" w:hAnsi="Arial" w:cs="Arial"/>
          <w:b/>
          <w:bCs/>
          <w:sz w:val="22"/>
          <w:szCs w:val="22"/>
        </w:rPr>
        <w:t>Levelling Up White Paper (2022)</w:t>
      </w:r>
      <w:r w:rsidRPr="721D7190">
        <w:rPr>
          <w:rFonts w:ascii="Arial" w:eastAsia="Arial" w:hAnsi="Arial" w:cs="Arial"/>
          <w:sz w:val="22"/>
          <w:szCs w:val="22"/>
        </w:rPr>
        <w:t xml:space="preserve"> sought to reduce regional disparities, but its effectiveness has been questioned due to limited funding, unclear accountability, and weak metrics (TUC, 2023). Welfare reforms such as </w:t>
      </w:r>
      <w:r w:rsidRPr="721D7190">
        <w:rPr>
          <w:rFonts w:ascii="Arial" w:eastAsia="Arial" w:hAnsi="Arial" w:cs="Arial"/>
          <w:b/>
          <w:bCs/>
          <w:sz w:val="22"/>
          <w:szCs w:val="22"/>
        </w:rPr>
        <w:t>Universal Credit</w:t>
      </w:r>
      <w:r w:rsidRPr="721D7190">
        <w:rPr>
          <w:rFonts w:ascii="Arial" w:eastAsia="Arial" w:hAnsi="Arial" w:cs="Arial"/>
          <w:sz w:val="22"/>
          <w:szCs w:val="22"/>
        </w:rPr>
        <w:t xml:space="preserve"> have been criticised for exacerbating poverty and insecurity among low‑income households (J</w:t>
      </w:r>
      <w:r w:rsidR="2B56A818" w:rsidRPr="721D7190">
        <w:rPr>
          <w:rFonts w:ascii="Arial" w:eastAsia="Arial" w:hAnsi="Arial" w:cs="Arial"/>
          <w:sz w:val="22"/>
          <w:szCs w:val="22"/>
        </w:rPr>
        <w:t>oseph</w:t>
      </w:r>
      <w:r w:rsidRPr="721D7190">
        <w:rPr>
          <w:rFonts w:ascii="Arial" w:eastAsia="Arial" w:hAnsi="Arial" w:cs="Arial"/>
          <w:sz w:val="22"/>
          <w:szCs w:val="22"/>
        </w:rPr>
        <w:t xml:space="preserve">, 2021). Meanwhile, the </w:t>
      </w:r>
      <w:r w:rsidRPr="721D7190">
        <w:rPr>
          <w:rFonts w:ascii="Arial" w:eastAsia="Arial" w:hAnsi="Arial" w:cs="Arial"/>
          <w:b/>
          <w:bCs/>
          <w:sz w:val="22"/>
          <w:szCs w:val="22"/>
        </w:rPr>
        <w:t>Social Mobility Commission (2022)</w:t>
      </w:r>
      <w:r w:rsidRPr="721D7190">
        <w:rPr>
          <w:rFonts w:ascii="Arial" w:eastAsia="Arial" w:hAnsi="Arial" w:cs="Arial"/>
          <w:sz w:val="22"/>
          <w:szCs w:val="22"/>
        </w:rPr>
        <w:t xml:space="preserve"> reported persistent gaps in education and employment opportunities, </w:t>
      </w:r>
      <w:r w:rsidR="2FD9A137" w:rsidRPr="721D7190">
        <w:rPr>
          <w:rFonts w:ascii="Arial" w:eastAsia="Arial" w:hAnsi="Arial" w:cs="Arial"/>
          <w:sz w:val="22"/>
          <w:szCs w:val="22"/>
        </w:rPr>
        <w:t>particularly</w:t>
      </w:r>
      <w:r w:rsidRPr="721D7190">
        <w:rPr>
          <w:rFonts w:ascii="Arial" w:eastAsia="Arial" w:hAnsi="Arial" w:cs="Arial"/>
          <w:sz w:val="22"/>
          <w:szCs w:val="22"/>
        </w:rPr>
        <w:t xml:space="preserve"> disadvantaged groups.</w:t>
      </w:r>
    </w:p>
    <w:p w14:paraId="71C84267" w14:textId="2CB888A5" w:rsidR="02AE8179" w:rsidRDefault="02AE8179" w:rsidP="721D7190">
      <w:pPr>
        <w:spacing w:before="240" w:after="240" w:line="360" w:lineRule="auto"/>
        <w:rPr>
          <w:rFonts w:ascii="Arial" w:eastAsia="Arial" w:hAnsi="Arial" w:cs="Arial"/>
          <w:sz w:val="22"/>
          <w:szCs w:val="22"/>
        </w:rPr>
      </w:pPr>
      <w:r w:rsidRPr="721D7190">
        <w:rPr>
          <w:rFonts w:ascii="Arial" w:eastAsia="Arial" w:hAnsi="Arial" w:cs="Arial"/>
          <w:sz w:val="22"/>
          <w:szCs w:val="22"/>
        </w:rPr>
        <w:t xml:space="preserve">At the local level, </w:t>
      </w:r>
      <w:r w:rsidR="40D13CC7" w:rsidRPr="721D7190">
        <w:rPr>
          <w:rFonts w:ascii="Arial" w:eastAsia="Arial" w:hAnsi="Arial" w:cs="Arial"/>
          <w:sz w:val="22"/>
          <w:szCs w:val="22"/>
        </w:rPr>
        <w:t xml:space="preserve">Birmingham City Council has implemented equality objectives, notably through initiatives like </w:t>
      </w:r>
      <w:r w:rsidR="40D13CC7" w:rsidRPr="721D7190">
        <w:rPr>
          <w:rFonts w:ascii="Arial" w:eastAsia="Arial" w:hAnsi="Arial" w:cs="Arial"/>
          <w:b/>
          <w:bCs/>
          <w:sz w:val="22"/>
          <w:szCs w:val="22"/>
        </w:rPr>
        <w:t>Everyone’s Battle, Everyone’s Business</w:t>
      </w:r>
      <w:r w:rsidR="40D13CC7" w:rsidRPr="721D7190">
        <w:rPr>
          <w:rFonts w:ascii="Arial" w:eastAsia="Arial" w:hAnsi="Arial" w:cs="Arial"/>
          <w:sz w:val="22"/>
          <w:szCs w:val="22"/>
        </w:rPr>
        <w:t xml:space="preserve"> and </w:t>
      </w:r>
      <w:r w:rsidR="40D13CC7" w:rsidRPr="721D7190">
        <w:rPr>
          <w:rFonts w:ascii="Arial" w:eastAsia="Arial" w:hAnsi="Arial" w:cs="Arial"/>
          <w:b/>
          <w:bCs/>
          <w:sz w:val="22"/>
          <w:szCs w:val="22"/>
        </w:rPr>
        <w:t>Equality Objectives 2024–2027,</w:t>
      </w:r>
      <w:r w:rsidR="40D13CC7" w:rsidRPr="721D7190">
        <w:rPr>
          <w:rFonts w:ascii="Arial" w:eastAsia="Arial" w:hAnsi="Arial" w:cs="Arial"/>
          <w:sz w:val="22"/>
          <w:szCs w:val="22"/>
        </w:rPr>
        <w:t xml:space="preserve"> which align with SDG 10 principles. Despite targeting issues like deprivation and digital exclusion, these programs encounter challenges such as limited resources, high deprivation rates, and restricted local authority over structural factors like taxation and welfare</w:t>
      </w:r>
      <w:r w:rsidR="77BC4FA0" w:rsidRPr="721D7190">
        <w:rPr>
          <w:rFonts w:ascii="Arial" w:eastAsia="Arial" w:hAnsi="Arial" w:cs="Arial"/>
          <w:sz w:val="22"/>
          <w:szCs w:val="22"/>
        </w:rPr>
        <w:t xml:space="preserve"> (Bond, 2022)</w:t>
      </w:r>
      <w:r w:rsidR="40D13CC7" w:rsidRPr="721D7190">
        <w:rPr>
          <w:rFonts w:ascii="Arial" w:eastAsia="Arial" w:hAnsi="Arial" w:cs="Arial"/>
          <w:sz w:val="22"/>
          <w:szCs w:val="22"/>
        </w:rPr>
        <w:t>.</w:t>
      </w:r>
    </w:p>
    <w:p w14:paraId="4AD0FA37" w14:textId="20EB3A33" w:rsidR="721D7190" w:rsidRDefault="721D7190" w:rsidP="721D7190"/>
    <w:p w14:paraId="31DF9208" w14:textId="002781D4" w:rsidR="005F3BBE" w:rsidRPr="005F3BBE" w:rsidRDefault="081990F3" w:rsidP="00C6268E">
      <w:pPr>
        <w:pStyle w:val="Heading2"/>
      </w:pPr>
      <w:r w:rsidRPr="721D7190">
        <w:t xml:space="preserve">Recommendations </w:t>
      </w:r>
    </w:p>
    <w:p w14:paraId="7D39CFC8" w14:textId="6641070C" w:rsidR="721D7190" w:rsidRPr="00C6268E" w:rsidRDefault="00F43005" w:rsidP="00727056">
      <w:pPr>
        <w:spacing w:line="360" w:lineRule="auto"/>
        <w:rPr>
          <w:rFonts w:ascii="Arial" w:hAnsi="Arial" w:cs="Arial"/>
          <w:sz w:val="22"/>
          <w:szCs w:val="22"/>
          <w:lang w:val="en-GB"/>
        </w:rPr>
      </w:pPr>
      <w:r w:rsidRPr="00F43005">
        <w:rPr>
          <w:rFonts w:ascii="Arial" w:hAnsi="Arial" w:cs="Arial"/>
          <w:sz w:val="22"/>
          <w:szCs w:val="22"/>
          <w:lang w:val="en-GB"/>
        </w:rPr>
        <w:t>To address structural determinants of inequality, investment guided by proportionate universalism is recommended, emphasizing housing, education, and employment services tailored to needs. Policy coherence is essential, aligning trade, migration, welfare, and devolution with Sustainable Development Goal 10 and promoting multi-year, needs-based funding for local equity strategies. Enhancements in equity data collection are necessary, including mandated disaggregated reporting and distributional impact evaluations. Furthermore, devolution of powers with safeguards is advised to allow fiscal flexibility for councils while supporting community wealth building and inclusive procurement to secure local benefits</w:t>
      </w:r>
      <w:r w:rsidR="00057EFA">
        <w:rPr>
          <w:rFonts w:ascii="Arial" w:hAnsi="Arial" w:cs="Arial"/>
          <w:sz w:val="22"/>
          <w:szCs w:val="22"/>
          <w:lang w:val="en-GB"/>
        </w:rPr>
        <w:t xml:space="preserve"> (Bond, 2022)</w:t>
      </w:r>
      <w:r w:rsidRPr="00F43005">
        <w:rPr>
          <w:rFonts w:ascii="Arial" w:hAnsi="Arial" w:cs="Arial"/>
          <w:sz w:val="22"/>
          <w:szCs w:val="22"/>
          <w:lang w:val="en-GB"/>
        </w:rPr>
        <w:t>.</w:t>
      </w:r>
    </w:p>
    <w:p w14:paraId="3C0D7DFE" w14:textId="67B839B3" w:rsidR="081990F3" w:rsidRDefault="081990F3" w:rsidP="721D7190">
      <w:pPr>
        <w:pStyle w:val="Heading1"/>
      </w:pPr>
      <w:r w:rsidRPr="721D7190">
        <w:t>Conclusion</w:t>
      </w:r>
    </w:p>
    <w:p w14:paraId="314D54B1" w14:textId="5C637EEB" w:rsidR="74A1A77F" w:rsidRDefault="74A1A77F" w:rsidP="721D7190">
      <w:pPr>
        <w:spacing w:before="240" w:after="240" w:line="360" w:lineRule="auto"/>
        <w:rPr>
          <w:rFonts w:ascii="Arial" w:eastAsia="Arial" w:hAnsi="Arial" w:cs="Arial"/>
          <w:sz w:val="22"/>
          <w:szCs w:val="22"/>
        </w:rPr>
      </w:pPr>
      <w:r w:rsidRPr="721D7190">
        <w:rPr>
          <w:rFonts w:ascii="Arial" w:eastAsia="Arial" w:hAnsi="Arial" w:cs="Arial"/>
          <w:sz w:val="22"/>
          <w:szCs w:val="22"/>
        </w:rPr>
        <w:t xml:space="preserve">Over the past decade, UK policy developments have highlighted the interconnectedness of </w:t>
      </w:r>
      <w:r w:rsidRPr="721D7190">
        <w:rPr>
          <w:rFonts w:ascii="Arial" w:eastAsia="Arial" w:hAnsi="Arial" w:cs="Arial"/>
          <w:b/>
          <w:bCs/>
          <w:sz w:val="22"/>
          <w:szCs w:val="22"/>
        </w:rPr>
        <w:t>SDG 3 (Good Health and Wellbeing)</w:t>
      </w:r>
      <w:r w:rsidRPr="721D7190">
        <w:rPr>
          <w:rFonts w:ascii="Arial" w:eastAsia="Arial" w:hAnsi="Arial" w:cs="Arial"/>
          <w:sz w:val="22"/>
          <w:szCs w:val="22"/>
        </w:rPr>
        <w:t xml:space="preserve"> and </w:t>
      </w:r>
      <w:r w:rsidRPr="721D7190">
        <w:rPr>
          <w:rFonts w:ascii="Arial" w:eastAsia="Arial" w:hAnsi="Arial" w:cs="Arial"/>
          <w:b/>
          <w:bCs/>
          <w:sz w:val="22"/>
          <w:szCs w:val="22"/>
        </w:rPr>
        <w:t>SDG 10 (Reduced Inequalities)</w:t>
      </w:r>
      <w:r w:rsidRPr="721D7190">
        <w:rPr>
          <w:rFonts w:ascii="Arial" w:eastAsia="Arial" w:hAnsi="Arial" w:cs="Arial"/>
          <w:sz w:val="22"/>
          <w:szCs w:val="22"/>
        </w:rPr>
        <w:t>. Evidence shows that health outcomes are inseparable from social and economic inequalities</w:t>
      </w:r>
      <w:r w:rsidRPr="00330ADB">
        <w:rPr>
          <w:rFonts w:ascii="Arial" w:eastAsia="Arial" w:hAnsi="Arial" w:cs="Arial"/>
          <w:sz w:val="22"/>
          <w:szCs w:val="22"/>
        </w:rPr>
        <w:t>. The Marmot Review 10 Years On</w:t>
      </w:r>
      <w:r w:rsidRPr="721D7190">
        <w:rPr>
          <w:rFonts w:ascii="Arial" w:eastAsia="Arial" w:hAnsi="Arial" w:cs="Arial"/>
          <w:sz w:val="22"/>
          <w:szCs w:val="22"/>
        </w:rPr>
        <w:t xml:space="preserve"> (2020) revealed widening gaps in life expectancy and health between affluent and deprived areas, underscoring the need for proportionate universalism (Marmot et al., 2020). Similarly, the COVID‑19 pandemic exposed systemic inequities, with ethnic minorities and low‑income groups disproportionately affected, reinforcing the link between inequality and health resilience (The King’s Fund, 2022).</w:t>
      </w:r>
    </w:p>
    <w:p w14:paraId="6C5B03DA" w14:textId="36168E6F" w:rsidR="74A1A77F" w:rsidRDefault="74A1A77F" w:rsidP="721D7190">
      <w:pPr>
        <w:spacing w:before="240" w:after="240" w:line="360" w:lineRule="auto"/>
        <w:rPr>
          <w:rFonts w:ascii="Arial" w:eastAsia="Arial" w:hAnsi="Arial" w:cs="Arial"/>
          <w:sz w:val="22"/>
          <w:szCs w:val="22"/>
        </w:rPr>
      </w:pPr>
      <w:r w:rsidRPr="721D7190">
        <w:rPr>
          <w:rFonts w:ascii="Arial" w:eastAsia="Arial" w:hAnsi="Arial" w:cs="Arial"/>
          <w:sz w:val="22"/>
          <w:szCs w:val="22"/>
        </w:rPr>
        <w:t>National initiatives such as the</w:t>
      </w:r>
      <w:r w:rsidRPr="756943EC">
        <w:rPr>
          <w:rFonts w:ascii="Arial" w:eastAsia="Arial" w:hAnsi="Arial" w:cs="Arial"/>
          <w:sz w:val="22"/>
          <w:szCs w:val="22"/>
        </w:rPr>
        <w:t xml:space="preserve"> NHS Long Term Plan (2019) and Core20PLUS5 framework </w:t>
      </w:r>
      <w:r w:rsidRPr="721D7190">
        <w:rPr>
          <w:rFonts w:ascii="Arial" w:eastAsia="Arial" w:hAnsi="Arial" w:cs="Arial"/>
          <w:sz w:val="22"/>
          <w:szCs w:val="22"/>
        </w:rPr>
        <w:t>(2021) have sought to embed equity into healthcare delivery, while the</w:t>
      </w:r>
      <w:r w:rsidRPr="31BFF937">
        <w:rPr>
          <w:rFonts w:ascii="Arial" w:eastAsia="Arial" w:hAnsi="Arial" w:cs="Arial"/>
          <w:sz w:val="22"/>
          <w:szCs w:val="22"/>
        </w:rPr>
        <w:t xml:space="preserve"> Levelling Up White Paper </w:t>
      </w:r>
      <w:r w:rsidRPr="721D7190">
        <w:rPr>
          <w:rFonts w:ascii="Arial" w:eastAsia="Arial" w:hAnsi="Arial" w:cs="Arial"/>
          <w:sz w:val="22"/>
          <w:szCs w:val="22"/>
        </w:rPr>
        <w:t xml:space="preserve">(2022) aimed to tackle regional disparities. Yet critiques highlight limited funding, fragmented accountability, and persistent structural barriers (JRF, 2021). Locally, Birmingham City Council’s equality strategies and health initiatives demonstrate alignment with SDGs but remain constrained by resource pressures (Birmingham City Council, </w:t>
      </w:r>
      <w:r w:rsidRPr="67E7C7B3">
        <w:rPr>
          <w:rFonts w:ascii="Arial" w:eastAsia="Arial" w:hAnsi="Arial" w:cs="Arial"/>
          <w:sz w:val="22"/>
          <w:szCs w:val="22"/>
        </w:rPr>
        <w:t>2022</w:t>
      </w:r>
      <w:r w:rsidR="25FAD1E5" w:rsidRPr="67E7C7B3">
        <w:rPr>
          <w:rFonts w:ascii="Arial" w:eastAsia="Arial" w:hAnsi="Arial" w:cs="Arial"/>
          <w:sz w:val="22"/>
          <w:szCs w:val="22"/>
        </w:rPr>
        <w:t>e</w:t>
      </w:r>
      <w:r w:rsidRPr="721D7190">
        <w:rPr>
          <w:rFonts w:ascii="Arial" w:eastAsia="Arial" w:hAnsi="Arial" w:cs="Arial"/>
          <w:sz w:val="22"/>
          <w:szCs w:val="22"/>
        </w:rPr>
        <w:t>; 202</w:t>
      </w:r>
      <w:r w:rsidR="4AF7616D" w:rsidRPr="721D7190">
        <w:rPr>
          <w:rFonts w:ascii="Arial" w:eastAsia="Arial" w:hAnsi="Arial" w:cs="Arial"/>
          <w:sz w:val="22"/>
          <w:szCs w:val="22"/>
        </w:rPr>
        <w:t>3</w:t>
      </w:r>
      <w:r w:rsidRPr="721D7190">
        <w:rPr>
          <w:rFonts w:ascii="Arial" w:eastAsia="Arial" w:hAnsi="Arial" w:cs="Arial"/>
          <w:sz w:val="22"/>
          <w:szCs w:val="22"/>
        </w:rPr>
        <w:t>).</w:t>
      </w:r>
    </w:p>
    <w:p w14:paraId="67740BAA" w14:textId="651B1DCC" w:rsidR="00590CBA" w:rsidRPr="007723A1" w:rsidRDefault="74A1A77F" w:rsidP="007723A1">
      <w:pPr>
        <w:spacing w:before="240" w:after="240" w:line="360" w:lineRule="auto"/>
        <w:rPr>
          <w:rFonts w:ascii="Arial" w:eastAsia="Arial" w:hAnsi="Arial" w:cs="Arial"/>
          <w:sz w:val="22"/>
          <w:szCs w:val="22"/>
        </w:rPr>
      </w:pPr>
      <w:r w:rsidRPr="721D7190">
        <w:rPr>
          <w:rFonts w:ascii="Arial" w:eastAsia="Arial" w:hAnsi="Arial" w:cs="Arial"/>
          <w:sz w:val="22"/>
          <w:szCs w:val="22"/>
        </w:rPr>
        <w:t>The wider implication is clear: achieving SDG 3 depends on progress in SDG 10. Without tackling poverty, discrimination, and regional inequality, health improvements will stall. A coherent, equity‑driven approach across health, welfare, and local governance is essential to deliver sustainable progress.</w:t>
      </w:r>
    </w:p>
    <w:p w14:paraId="4A418273" w14:textId="55A1E9E7" w:rsidR="00A14DF1" w:rsidRPr="00AD01DE" w:rsidRDefault="578AB729" w:rsidP="00AD01DE">
      <w:pPr>
        <w:pStyle w:val="Heading1"/>
        <w:rPr>
          <w:rFonts w:ascii="Arial" w:eastAsia="Arial" w:hAnsi="Arial" w:cs="Arial"/>
          <w:sz w:val="22"/>
          <w:szCs w:val="22"/>
        </w:rPr>
      </w:pPr>
      <w:r w:rsidRPr="721D7190">
        <w:t xml:space="preserve">References </w:t>
      </w:r>
    </w:p>
    <w:p w14:paraId="4E366066" w14:textId="77777777" w:rsidR="00A14DF1" w:rsidRPr="00AD01DE" w:rsidRDefault="00A14DF1" w:rsidP="721D7190">
      <w:pPr>
        <w:spacing w:after="240" w:line="360" w:lineRule="auto"/>
        <w:rPr>
          <w:rFonts w:ascii="Arial" w:hAnsi="Arial" w:cs="Arial"/>
          <w:sz w:val="22"/>
          <w:szCs w:val="22"/>
        </w:rPr>
      </w:pPr>
      <w:r w:rsidRPr="00AD01DE">
        <w:rPr>
          <w:rFonts w:ascii="Arial" w:eastAsia="Times New Roman" w:hAnsi="Arial" w:cs="Arial"/>
          <w:sz w:val="22"/>
          <w:szCs w:val="22"/>
        </w:rPr>
        <w:t xml:space="preserve">Alyafei, A. and Carr, R.E., (2024) </w:t>
      </w:r>
      <w:r w:rsidRPr="00AD01DE">
        <w:rPr>
          <w:rFonts w:ascii="Arial" w:eastAsia="Times New Roman" w:hAnsi="Arial" w:cs="Arial"/>
          <w:i/>
          <w:iCs/>
          <w:sz w:val="22"/>
          <w:szCs w:val="22"/>
        </w:rPr>
        <w:t>The Health Belief Model of Behavior Change</w:t>
      </w:r>
      <w:r w:rsidRPr="00AD01DE">
        <w:rPr>
          <w:rFonts w:ascii="Arial" w:eastAsia="Times New Roman" w:hAnsi="Arial" w:cs="Arial"/>
          <w:sz w:val="22"/>
          <w:szCs w:val="22"/>
        </w:rPr>
        <w:t xml:space="preserve">. National Library of Medicine. Available at: </w:t>
      </w:r>
      <w:hyperlink r:id="rId5">
        <w:r w:rsidRPr="00AD01DE">
          <w:rPr>
            <w:rStyle w:val="Hyperlink"/>
            <w:rFonts w:ascii="Arial" w:eastAsia="Times New Roman" w:hAnsi="Arial" w:cs="Arial"/>
            <w:sz w:val="22"/>
            <w:szCs w:val="22"/>
          </w:rPr>
          <w:t>https://www.ncbi.nlm.nih.gov/books/NBK606120/</w:t>
        </w:r>
      </w:hyperlink>
      <w:r w:rsidRPr="00AD01DE">
        <w:rPr>
          <w:rFonts w:ascii="Arial" w:eastAsia="Times New Roman" w:hAnsi="Arial" w:cs="Arial"/>
          <w:sz w:val="22"/>
          <w:szCs w:val="22"/>
        </w:rPr>
        <w:t>.(Accessed: 03 Novemver 2025).</w:t>
      </w:r>
    </w:p>
    <w:p w14:paraId="171D151B" w14:textId="502B0A2D" w:rsidR="00A14DF1" w:rsidRPr="00AD01DE" w:rsidRDefault="00A14DF1" w:rsidP="721D7190">
      <w:pPr>
        <w:spacing w:before="240" w:after="240"/>
        <w:rPr>
          <w:rFonts w:ascii="Arial" w:eastAsia="Times New Roman" w:hAnsi="Arial" w:cs="Arial"/>
          <w:sz w:val="22"/>
          <w:szCs w:val="22"/>
        </w:rPr>
      </w:pPr>
      <w:r w:rsidRPr="00AD01DE">
        <w:rPr>
          <w:rFonts w:ascii="Arial" w:eastAsia="Times New Roman" w:hAnsi="Arial" w:cs="Arial"/>
          <w:sz w:val="22"/>
          <w:szCs w:val="22"/>
        </w:rPr>
        <w:t>Birmingham City Council (</w:t>
      </w:r>
      <w:r w:rsidRPr="14359AEE">
        <w:rPr>
          <w:rFonts w:ascii="Arial" w:eastAsia="Times New Roman" w:hAnsi="Arial" w:cs="Arial"/>
          <w:sz w:val="22"/>
          <w:szCs w:val="22"/>
        </w:rPr>
        <w:t>2022</w:t>
      </w:r>
      <w:r w:rsidR="38EE343C" w:rsidRPr="14359AEE">
        <w:rPr>
          <w:rFonts w:ascii="Arial" w:eastAsia="Times New Roman" w:hAnsi="Arial" w:cs="Arial"/>
          <w:sz w:val="22"/>
          <w:szCs w:val="22"/>
        </w:rPr>
        <w:t>d</w:t>
      </w:r>
      <w:r w:rsidRPr="00AD01DE">
        <w:rPr>
          <w:rFonts w:ascii="Arial" w:eastAsia="Times New Roman" w:hAnsi="Arial" w:cs="Arial"/>
          <w:sz w:val="22"/>
          <w:szCs w:val="22"/>
        </w:rPr>
        <w:t xml:space="preserve">) </w:t>
      </w:r>
      <w:r w:rsidRPr="00AD01DE">
        <w:rPr>
          <w:rFonts w:ascii="Arial" w:eastAsia="Times New Roman" w:hAnsi="Arial" w:cs="Arial"/>
          <w:i/>
          <w:iCs/>
          <w:sz w:val="22"/>
          <w:szCs w:val="22"/>
        </w:rPr>
        <w:t xml:space="preserve">Everyone’s Battle, Everyone’s Business action plan approved by Cabinet. </w:t>
      </w:r>
      <w:r w:rsidRPr="00AD01DE">
        <w:rPr>
          <w:rFonts w:ascii="Arial" w:eastAsia="Times New Roman" w:hAnsi="Arial" w:cs="Arial"/>
          <w:sz w:val="22"/>
          <w:szCs w:val="22"/>
        </w:rPr>
        <w:t xml:space="preserve">Available at: </w:t>
      </w:r>
      <w:hyperlink r:id="rId6">
        <w:r w:rsidRPr="00AD01DE">
          <w:rPr>
            <w:rStyle w:val="Hyperlink"/>
            <w:rFonts w:ascii="Arial" w:eastAsia="Times New Roman" w:hAnsi="Arial" w:cs="Arial"/>
            <w:sz w:val="22"/>
            <w:szCs w:val="22"/>
          </w:rPr>
          <w:t>https://www.birmingham.gov.uk/news/article/1186/everyones_battle_everyones_business_action_plan_approved_by_cabinet</w:t>
        </w:r>
      </w:hyperlink>
      <w:r w:rsidRPr="00AD01DE">
        <w:rPr>
          <w:rFonts w:ascii="Arial" w:eastAsia="Times New Roman" w:hAnsi="Arial" w:cs="Arial"/>
          <w:sz w:val="22"/>
          <w:szCs w:val="22"/>
        </w:rPr>
        <w:t xml:space="preserve"> (Accessed: 10 November 2025). </w:t>
      </w:r>
    </w:p>
    <w:p w14:paraId="51BF5D70" w14:textId="4B2677E3" w:rsidR="00A14DF1" w:rsidRPr="00AD01DE" w:rsidRDefault="00A14DF1" w:rsidP="721D7190">
      <w:pPr>
        <w:spacing w:after="240" w:line="360" w:lineRule="auto"/>
        <w:rPr>
          <w:rFonts w:ascii="Arial" w:eastAsia="Times New Roman" w:hAnsi="Arial" w:cs="Arial"/>
          <w:sz w:val="22"/>
          <w:szCs w:val="22"/>
        </w:rPr>
      </w:pPr>
      <w:r w:rsidRPr="00AD01DE">
        <w:rPr>
          <w:rFonts w:ascii="Arial" w:eastAsia="Times New Roman" w:hAnsi="Arial" w:cs="Arial"/>
          <w:sz w:val="22"/>
          <w:szCs w:val="22"/>
        </w:rPr>
        <w:t>Birmingham City Council (2022</w:t>
      </w:r>
      <w:r w:rsidR="006224A2">
        <w:rPr>
          <w:rFonts w:ascii="Arial" w:eastAsia="Times New Roman" w:hAnsi="Arial" w:cs="Arial"/>
          <w:sz w:val="22"/>
          <w:szCs w:val="22"/>
        </w:rPr>
        <w:t>a</w:t>
      </w:r>
      <w:r w:rsidR="00004A03">
        <w:rPr>
          <w:rFonts w:ascii="Arial" w:eastAsia="Times New Roman" w:hAnsi="Arial" w:cs="Arial"/>
          <w:sz w:val="22"/>
          <w:szCs w:val="22"/>
        </w:rPr>
        <w:t>,</w:t>
      </w:r>
      <w:r w:rsidR="51750A2A" w:rsidRPr="426D0FC3">
        <w:rPr>
          <w:rFonts w:ascii="Arial" w:eastAsia="Times New Roman" w:hAnsi="Arial" w:cs="Arial"/>
          <w:sz w:val="22"/>
          <w:szCs w:val="22"/>
        </w:rPr>
        <w:t xml:space="preserve"> </w:t>
      </w:r>
      <w:r w:rsidR="00E067CC">
        <w:rPr>
          <w:rFonts w:ascii="Arial" w:eastAsia="Times New Roman" w:hAnsi="Arial" w:cs="Arial"/>
          <w:sz w:val="22"/>
          <w:szCs w:val="22"/>
        </w:rPr>
        <w:t>b</w:t>
      </w:r>
      <w:r w:rsidR="51750A2A" w:rsidRPr="6B230F3B">
        <w:rPr>
          <w:rFonts w:ascii="Arial" w:eastAsia="Times New Roman" w:hAnsi="Arial" w:cs="Arial"/>
          <w:sz w:val="22"/>
          <w:szCs w:val="22"/>
        </w:rPr>
        <w:t>,</w:t>
      </w:r>
      <w:r w:rsidR="51750A2A" w:rsidRPr="4B670538">
        <w:rPr>
          <w:rFonts w:ascii="Arial" w:eastAsia="Times New Roman" w:hAnsi="Arial" w:cs="Arial"/>
          <w:sz w:val="22"/>
          <w:szCs w:val="22"/>
        </w:rPr>
        <w:t xml:space="preserve"> </w:t>
      </w:r>
      <w:r w:rsidR="51750A2A" w:rsidRPr="6B230F3B">
        <w:rPr>
          <w:rFonts w:ascii="Arial" w:eastAsia="Times New Roman" w:hAnsi="Arial" w:cs="Arial"/>
          <w:sz w:val="22"/>
          <w:szCs w:val="22"/>
        </w:rPr>
        <w:t>c</w:t>
      </w:r>
      <w:r w:rsidR="0A283470" w:rsidRPr="25F027E2">
        <w:rPr>
          <w:rFonts w:ascii="Arial" w:eastAsia="Times New Roman" w:hAnsi="Arial" w:cs="Arial"/>
          <w:sz w:val="22"/>
          <w:szCs w:val="22"/>
        </w:rPr>
        <w:t xml:space="preserve">, </w:t>
      </w:r>
      <w:r w:rsidR="0A283470" w:rsidRPr="71CB099A">
        <w:rPr>
          <w:rFonts w:ascii="Arial" w:eastAsia="Times New Roman" w:hAnsi="Arial" w:cs="Arial"/>
          <w:sz w:val="22"/>
          <w:szCs w:val="22"/>
        </w:rPr>
        <w:t>e</w:t>
      </w:r>
      <w:r w:rsidRPr="25F027E2">
        <w:rPr>
          <w:rFonts w:ascii="Arial" w:eastAsia="Times New Roman" w:hAnsi="Arial" w:cs="Arial"/>
          <w:sz w:val="22"/>
          <w:szCs w:val="22"/>
        </w:rPr>
        <w:t>).</w:t>
      </w:r>
      <w:r w:rsidRPr="00AD01DE">
        <w:rPr>
          <w:rFonts w:ascii="Arial" w:eastAsia="Times New Roman" w:hAnsi="Arial" w:cs="Arial"/>
          <w:sz w:val="22"/>
          <w:szCs w:val="22"/>
        </w:rPr>
        <w:t xml:space="preserve"> </w:t>
      </w:r>
      <w:r w:rsidRPr="00AD01DE">
        <w:rPr>
          <w:rFonts w:ascii="Arial" w:eastAsia="Times New Roman" w:hAnsi="Arial" w:cs="Arial"/>
          <w:i/>
          <w:iCs/>
          <w:sz w:val="22"/>
          <w:szCs w:val="22"/>
        </w:rPr>
        <w:t>Creating a Bolder, Healthier City (2022 to 2030) | Birmingham City Council</w:t>
      </w:r>
      <w:r w:rsidRPr="00AD01DE">
        <w:rPr>
          <w:rFonts w:ascii="Arial" w:eastAsia="Times New Roman" w:hAnsi="Arial" w:cs="Arial"/>
          <w:sz w:val="22"/>
          <w:szCs w:val="22"/>
        </w:rPr>
        <w:t xml:space="preserve">. Available at: </w:t>
      </w:r>
      <w:hyperlink r:id="rId7">
        <w:r w:rsidRPr="00AD01DE">
          <w:rPr>
            <w:rStyle w:val="Hyperlink"/>
            <w:rFonts w:ascii="Arial" w:eastAsia="Times New Roman" w:hAnsi="Arial" w:cs="Arial"/>
            <w:sz w:val="22"/>
            <w:szCs w:val="22"/>
          </w:rPr>
          <w:t>https://www.birmingham.gov.uk/downloads/file/23756/creating_a_bolder_healthier_city_2022_to_2030</w:t>
        </w:r>
      </w:hyperlink>
      <w:r w:rsidRPr="00AD01DE">
        <w:rPr>
          <w:rFonts w:ascii="Arial" w:eastAsia="Times New Roman" w:hAnsi="Arial" w:cs="Arial"/>
          <w:sz w:val="22"/>
          <w:szCs w:val="22"/>
        </w:rPr>
        <w:t>. (Accessed: 12 November 2025).</w:t>
      </w:r>
    </w:p>
    <w:p w14:paraId="3570671B" w14:textId="77777777" w:rsidR="00A14DF1" w:rsidRPr="00AD01DE" w:rsidRDefault="00A14DF1" w:rsidP="721D7190">
      <w:pPr>
        <w:spacing w:before="240" w:after="240"/>
        <w:rPr>
          <w:rFonts w:ascii="Arial" w:hAnsi="Arial" w:cs="Arial"/>
          <w:sz w:val="22"/>
          <w:szCs w:val="22"/>
        </w:rPr>
      </w:pPr>
      <w:r w:rsidRPr="00AD01DE">
        <w:rPr>
          <w:rFonts w:ascii="Arial" w:eastAsia="Times New Roman" w:hAnsi="Arial" w:cs="Arial"/>
          <w:sz w:val="22"/>
          <w:szCs w:val="22"/>
        </w:rPr>
        <w:t xml:space="preserve">Birmingham City Council, (2023) </w:t>
      </w:r>
      <w:r w:rsidRPr="00AD01DE">
        <w:rPr>
          <w:rFonts w:ascii="Arial" w:eastAsia="Times New Roman" w:hAnsi="Arial" w:cs="Arial"/>
          <w:i/>
          <w:iCs/>
          <w:sz w:val="22"/>
          <w:szCs w:val="22"/>
        </w:rPr>
        <w:t>Equality Objectives 2024–2027</w:t>
      </w:r>
      <w:r w:rsidRPr="00AD01DE">
        <w:rPr>
          <w:rFonts w:ascii="Arial" w:eastAsia="Times New Roman" w:hAnsi="Arial" w:cs="Arial"/>
          <w:sz w:val="22"/>
          <w:szCs w:val="22"/>
        </w:rPr>
        <w:t xml:space="preserve">. Available at: </w:t>
      </w:r>
      <w:hyperlink r:id="rId8">
        <w:r w:rsidRPr="00AD01DE">
          <w:rPr>
            <w:rStyle w:val="Hyperlink"/>
            <w:rFonts w:ascii="Arial" w:eastAsia="Times New Roman" w:hAnsi="Arial" w:cs="Arial"/>
            <w:sz w:val="22"/>
            <w:szCs w:val="22"/>
          </w:rPr>
          <w:t>https://www.birmingham.gov.uk/info/20218/equality_and_diversity/646/equality_objectives</w:t>
        </w:r>
      </w:hyperlink>
      <w:r w:rsidRPr="00AD01DE">
        <w:rPr>
          <w:rFonts w:ascii="Arial" w:eastAsia="Times New Roman" w:hAnsi="Arial" w:cs="Arial"/>
          <w:sz w:val="22"/>
          <w:szCs w:val="22"/>
        </w:rPr>
        <w:t xml:space="preserve"> (Accessed: 12 November 2025).</w:t>
      </w:r>
    </w:p>
    <w:p w14:paraId="34305359" w14:textId="77777777" w:rsidR="00A14DF1" w:rsidRPr="00AD01DE" w:rsidRDefault="00A14DF1" w:rsidP="721D7190">
      <w:pPr>
        <w:spacing w:after="240" w:line="360" w:lineRule="auto"/>
        <w:rPr>
          <w:rFonts w:ascii="Arial" w:hAnsi="Arial" w:cs="Arial"/>
          <w:sz w:val="22"/>
          <w:szCs w:val="22"/>
        </w:rPr>
      </w:pPr>
      <w:r w:rsidRPr="00AD01DE">
        <w:rPr>
          <w:rFonts w:ascii="Arial" w:eastAsia="Times New Roman" w:hAnsi="Arial" w:cs="Arial"/>
          <w:sz w:val="22"/>
          <w:szCs w:val="22"/>
        </w:rPr>
        <w:t xml:space="preserve">Bond, (2022) </w:t>
      </w:r>
      <w:r w:rsidRPr="00AD01DE">
        <w:rPr>
          <w:rFonts w:ascii="Arial" w:eastAsia="Times New Roman" w:hAnsi="Arial" w:cs="Arial"/>
          <w:i/>
          <w:iCs/>
          <w:sz w:val="22"/>
          <w:szCs w:val="22"/>
        </w:rPr>
        <w:t>SDG 10: Progress, gaps and recommendations for the UK</w:t>
      </w:r>
      <w:r w:rsidRPr="00AD01DE">
        <w:rPr>
          <w:rFonts w:ascii="Arial" w:eastAsia="Times New Roman" w:hAnsi="Arial" w:cs="Arial"/>
          <w:sz w:val="22"/>
          <w:szCs w:val="22"/>
        </w:rPr>
        <w:t xml:space="preserve">. London: Bond. Available at: </w:t>
      </w:r>
      <w:hyperlink r:id="rId9">
        <w:r w:rsidRPr="00AD01DE">
          <w:rPr>
            <w:rStyle w:val="Hyperlink"/>
            <w:rFonts w:ascii="Arial" w:eastAsia="Times New Roman" w:hAnsi="Arial" w:cs="Arial"/>
            <w:sz w:val="22"/>
            <w:szCs w:val="22"/>
          </w:rPr>
          <w:t>https://bond.org.uk/wp-content/uploads/2022/09/sdg10.pdf</w:t>
        </w:r>
      </w:hyperlink>
      <w:r w:rsidRPr="00AD01DE">
        <w:rPr>
          <w:rFonts w:ascii="Arial" w:eastAsia="Times New Roman" w:hAnsi="Arial" w:cs="Arial"/>
          <w:sz w:val="22"/>
          <w:szCs w:val="22"/>
        </w:rPr>
        <w:t xml:space="preserve">  (Accessed: 15 November 2025).</w:t>
      </w:r>
    </w:p>
    <w:p w14:paraId="670F5146" w14:textId="77777777" w:rsidR="00A14DF1" w:rsidRPr="00AD01DE" w:rsidRDefault="00A14DF1" w:rsidP="721D7190">
      <w:pPr>
        <w:spacing w:after="240" w:line="360" w:lineRule="auto"/>
        <w:rPr>
          <w:rFonts w:ascii="Arial" w:hAnsi="Arial" w:cs="Arial"/>
          <w:sz w:val="22"/>
          <w:szCs w:val="22"/>
        </w:rPr>
      </w:pPr>
      <w:r w:rsidRPr="00AD01DE">
        <w:rPr>
          <w:rFonts w:ascii="Arial" w:eastAsia="Times New Roman" w:hAnsi="Arial" w:cs="Arial"/>
          <w:sz w:val="22"/>
          <w:szCs w:val="22"/>
        </w:rPr>
        <w:t xml:space="preserve">Community Development and Health Network (2014). </w:t>
      </w:r>
      <w:r w:rsidRPr="00AD01DE">
        <w:rPr>
          <w:rFonts w:ascii="Arial" w:eastAsia="Times New Roman" w:hAnsi="Arial" w:cs="Arial"/>
          <w:i/>
          <w:iCs/>
          <w:sz w:val="22"/>
          <w:szCs w:val="22"/>
        </w:rPr>
        <w:t>Models of health</w:t>
      </w:r>
      <w:r w:rsidRPr="00AD01DE">
        <w:rPr>
          <w:rFonts w:ascii="Arial" w:eastAsia="Times New Roman" w:hAnsi="Arial" w:cs="Arial"/>
          <w:sz w:val="22"/>
          <w:szCs w:val="22"/>
        </w:rPr>
        <w:t xml:space="preserve">. Available at: </w:t>
      </w:r>
      <w:hyperlink r:id="rId10">
        <w:r w:rsidRPr="00AD01DE">
          <w:rPr>
            <w:rStyle w:val="Hyperlink"/>
            <w:rFonts w:ascii="Arial" w:eastAsia="Times New Roman" w:hAnsi="Arial" w:cs="Arial"/>
            <w:sz w:val="22"/>
            <w:szCs w:val="22"/>
          </w:rPr>
          <w:t>https://www.cdhn.org/sites/default/files/oldwebsite/FACTSHEETS%201_Screen%20View(1).pdf</w:t>
        </w:r>
      </w:hyperlink>
      <w:r w:rsidRPr="00AD01DE">
        <w:rPr>
          <w:rFonts w:ascii="Arial" w:eastAsia="Times New Roman" w:hAnsi="Arial" w:cs="Arial"/>
          <w:sz w:val="22"/>
          <w:szCs w:val="22"/>
        </w:rPr>
        <w:t xml:space="preserve">. (Accessed: 03 November 2025). </w:t>
      </w:r>
    </w:p>
    <w:p w14:paraId="51ADC624" w14:textId="77777777" w:rsidR="00A14DF1" w:rsidRPr="00AD01DE" w:rsidRDefault="00A14DF1" w:rsidP="721D7190">
      <w:pPr>
        <w:spacing w:after="240" w:line="360" w:lineRule="auto"/>
        <w:rPr>
          <w:rFonts w:ascii="Arial" w:hAnsi="Arial" w:cs="Arial"/>
          <w:sz w:val="22"/>
          <w:szCs w:val="22"/>
        </w:rPr>
      </w:pPr>
      <w:r w:rsidRPr="00AD01DE">
        <w:rPr>
          <w:rFonts w:ascii="Arial" w:eastAsia="Times New Roman" w:hAnsi="Arial" w:cs="Arial"/>
          <w:sz w:val="22"/>
          <w:szCs w:val="22"/>
        </w:rPr>
        <w:t xml:space="preserve">Dehghani-Tafti, A., Mazloomy Mahmoodabad, S.S., Morowatisharifabad, M.A., Afkhami Ardakani, M., Rezaeipandari, H. and Lotfi, M.H. (2015). Determinants of Self-Care in Diabetic Patients Based on Health Belief Model. </w:t>
      </w:r>
      <w:r w:rsidRPr="00AD01DE">
        <w:rPr>
          <w:rFonts w:ascii="Arial" w:eastAsia="Times New Roman" w:hAnsi="Arial" w:cs="Arial"/>
          <w:i/>
          <w:iCs/>
          <w:sz w:val="22"/>
          <w:szCs w:val="22"/>
        </w:rPr>
        <w:t>Global Journal of Health Science</w:t>
      </w:r>
      <w:r w:rsidRPr="00AD01DE">
        <w:rPr>
          <w:rFonts w:ascii="Arial" w:eastAsia="Times New Roman" w:hAnsi="Arial" w:cs="Arial"/>
          <w:sz w:val="22"/>
          <w:szCs w:val="22"/>
        </w:rPr>
        <w:t>, 7(5). doi:https://doi.org/10.5539/gjhs.v7n5p33.</w:t>
      </w:r>
    </w:p>
    <w:p w14:paraId="12973982" w14:textId="77777777" w:rsidR="00A14DF1" w:rsidRPr="00AD01DE" w:rsidRDefault="00A14DF1" w:rsidP="721D7190">
      <w:pPr>
        <w:spacing w:after="240" w:line="360" w:lineRule="auto"/>
        <w:rPr>
          <w:rFonts w:ascii="Arial" w:hAnsi="Arial" w:cs="Arial"/>
          <w:sz w:val="22"/>
          <w:szCs w:val="22"/>
        </w:rPr>
      </w:pPr>
      <w:r w:rsidRPr="00AD01DE">
        <w:rPr>
          <w:rFonts w:ascii="Arial" w:eastAsia="Times New Roman" w:hAnsi="Arial" w:cs="Arial"/>
          <w:sz w:val="22"/>
          <w:szCs w:val="22"/>
        </w:rPr>
        <w:t xml:space="preserve">Department of Health and Social Care (2025). </w:t>
      </w:r>
      <w:r w:rsidRPr="00AD01DE">
        <w:rPr>
          <w:rFonts w:ascii="Arial" w:eastAsia="Times New Roman" w:hAnsi="Arial" w:cs="Arial"/>
          <w:i/>
          <w:iCs/>
          <w:sz w:val="22"/>
          <w:szCs w:val="22"/>
        </w:rPr>
        <w:t>Fit for the future: 10 Year Health Plan for England - Executive Summary</w:t>
      </w:r>
      <w:r w:rsidRPr="00AD01DE">
        <w:rPr>
          <w:rFonts w:ascii="Arial" w:eastAsia="Times New Roman" w:hAnsi="Arial" w:cs="Arial"/>
          <w:sz w:val="22"/>
          <w:szCs w:val="22"/>
        </w:rPr>
        <w:t xml:space="preserve">. Available at: </w:t>
      </w:r>
      <w:hyperlink r:id="rId11">
        <w:r w:rsidRPr="00AD01DE">
          <w:rPr>
            <w:rStyle w:val="Hyperlink"/>
            <w:rFonts w:ascii="Arial" w:eastAsia="Times New Roman" w:hAnsi="Arial" w:cs="Arial"/>
            <w:sz w:val="22"/>
            <w:szCs w:val="22"/>
          </w:rPr>
          <w:t>https://www.gov.uk/government/publications/10-year-health-plan-for-england-fit-for-the-future/fit-for-the-future-10-year-health-plan-for-england-executive-summary</w:t>
        </w:r>
      </w:hyperlink>
      <w:r w:rsidRPr="00AD01DE">
        <w:rPr>
          <w:rFonts w:ascii="Arial" w:eastAsia="Times New Roman" w:hAnsi="Arial" w:cs="Arial"/>
          <w:sz w:val="22"/>
          <w:szCs w:val="22"/>
        </w:rPr>
        <w:t>. (Accessed: 02 November 2025).</w:t>
      </w:r>
    </w:p>
    <w:p w14:paraId="033ACE05" w14:textId="0F212822" w:rsidR="00A14DF1" w:rsidRPr="00AD01DE" w:rsidRDefault="00A14DF1" w:rsidP="721D7190">
      <w:pPr>
        <w:spacing w:after="240" w:line="360" w:lineRule="auto"/>
        <w:rPr>
          <w:rFonts w:ascii="Arial" w:eastAsia="Times New Roman" w:hAnsi="Arial" w:cs="Arial"/>
          <w:sz w:val="22"/>
          <w:szCs w:val="22"/>
        </w:rPr>
      </w:pPr>
      <w:bookmarkStart w:id="0" w:name="_Int_D52Kj95h"/>
      <w:r w:rsidRPr="00AD01DE">
        <w:rPr>
          <w:rFonts w:ascii="Arial" w:eastAsia="Times New Roman" w:hAnsi="Arial" w:cs="Arial"/>
          <w:sz w:val="22"/>
          <w:szCs w:val="22"/>
        </w:rPr>
        <w:t>EHRC, (</w:t>
      </w:r>
      <w:bookmarkEnd w:id="0"/>
      <w:r w:rsidRPr="00F08DD4">
        <w:rPr>
          <w:rFonts w:ascii="Arial" w:eastAsia="Times New Roman" w:hAnsi="Arial" w:cs="Arial"/>
          <w:sz w:val="22"/>
          <w:szCs w:val="22"/>
        </w:rPr>
        <w:t>202</w:t>
      </w:r>
      <w:r w:rsidR="38216F1D" w:rsidRPr="00F08DD4">
        <w:rPr>
          <w:rFonts w:ascii="Arial" w:eastAsia="Times New Roman" w:hAnsi="Arial" w:cs="Arial"/>
          <w:sz w:val="22"/>
          <w:szCs w:val="22"/>
        </w:rPr>
        <w:t>2</w:t>
      </w:r>
      <w:r w:rsidRPr="00AD01DE">
        <w:rPr>
          <w:rFonts w:ascii="Arial" w:eastAsia="Times New Roman" w:hAnsi="Arial" w:cs="Arial"/>
          <w:sz w:val="22"/>
          <w:szCs w:val="22"/>
        </w:rPr>
        <w:t xml:space="preserve">) Equality and Human Rights Monitor. Available at:  </w:t>
      </w:r>
      <w:hyperlink r:id="rId12">
        <w:r w:rsidRPr="00AD01DE">
          <w:rPr>
            <w:rStyle w:val="Hyperlink"/>
            <w:rFonts w:ascii="Arial" w:eastAsia="Times New Roman" w:hAnsi="Arial" w:cs="Arial"/>
            <w:sz w:val="22"/>
            <w:szCs w:val="22"/>
          </w:rPr>
          <w:t>https://www.equalityhumanrights.com/sites/default/files/2023/Great%20Britain%20Equality%20and%20Human%20Rights%20Monitor%20large%20print-%20accessible%20PDF.pdf</w:t>
        </w:r>
      </w:hyperlink>
      <w:r w:rsidRPr="00AD01DE">
        <w:rPr>
          <w:rFonts w:ascii="Arial" w:eastAsia="Times New Roman" w:hAnsi="Arial" w:cs="Arial"/>
          <w:sz w:val="22"/>
          <w:szCs w:val="22"/>
        </w:rPr>
        <w:t xml:space="preserve"> (Accessed: </w:t>
      </w:r>
      <w:r w:rsidRPr="2C6BB3C4">
        <w:rPr>
          <w:rFonts w:ascii="Arial" w:eastAsia="Times New Roman" w:hAnsi="Arial" w:cs="Arial"/>
          <w:sz w:val="22"/>
          <w:szCs w:val="22"/>
        </w:rPr>
        <w:t>1</w:t>
      </w:r>
      <w:r w:rsidR="33C3EB18" w:rsidRPr="2C6BB3C4">
        <w:rPr>
          <w:rFonts w:ascii="Arial" w:eastAsia="Times New Roman" w:hAnsi="Arial" w:cs="Arial"/>
          <w:sz w:val="22"/>
          <w:szCs w:val="22"/>
        </w:rPr>
        <w:t>1</w:t>
      </w:r>
      <w:r w:rsidRPr="00AD01DE">
        <w:rPr>
          <w:rFonts w:ascii="Arial" w:eastAsia="Times New Roman" w:hAnsi="Arial" w:cs="Arial"/>
          <w:sz w:val="22"/>
          <w:szCs w:val="22"/>
        </w:rPr>
        <w:t xml:space="preserve"> November 2025). </w:t>
      </w:r>
    </w:p>
    <w:p w14:paraId="01FE5642" w14:textId="77777777" w:rsidR="00A14DF1" w:rsidRPr="00AD01DE" w:rsidRDefault="00A14DF1" w:rsidP="721D7190">
      <w:pPr>
        <w:spacing w:after="240" w:line="360" w:lineRule="auto"/>
        <w:rPr>
          <w:rFonts w:ascii="Arial" w:hAnsi="Arial" w:cs="Arial"/>
          <w:sz w:val="22"/>
          <w:szCs w:val="22"/>
        </w:rPr>
      </w:pPr>
      <w:r w:rsidRPr="00AD01DE">
        <w:rPr>
          <w:rFonts w:ascii="Arial" w:eastAsia="Times New Roman" w:hAnsi="Arial" w:cs="Arial"/>
          <w:sz w:val="22"/>
          <w:szCs w:val="22"/>
        </w:rPr>
        <w:t xml:space="preserve">GOV.UK (2010). </w:t>
      </w:r>
      <w:r w:rsidRPr="00AD01DE">
        <w:rPr>
          <w:rFonts w:ascii="Arial" w:eastAsia="Times New Roman" w:hAnsi="Arial" w:cs="Arial"/>
          <w:i/>
          <w:iCs/>
          <w:sz w:val="22"/>
          <w:szCs w:val="22"/>
        </w:rPr>
        <w:t>Equality Act 2010</w:t>
      </w:r>
      <w:r w:rsidRPr="00AD01DE">
        <w:rPr>
          <w:rFonts w:ascii="Arial" w:eastAsia="Times New Roman" w:hAnsi="Arial" w:cs="Arial"/>
          <w:sz w:val="22"/>
          <w:szCs w:val="22"/>
        </w:rPr>
        <w:t xml:space="preserve">. Legislation.gov.uk. Available at: </w:t>
      </w:r>
      <w:hyperlink r:id="rId13">
        <w:r w:rsidRPr="00AD01DE">
          <w:rPr>
            <w:rStyle w:val="Hyperlink"/>
            <w:rFonts w:ascii="Arial" w:eastAsia="Times New Roman" w:hAnsi="Arial" w:cs="Arial"/>
            <w:sz w:val="22"/>
            <w:szCs w:val="22"/>
          </w:rPr>
          <w:t>https://www.legislation.gov.uk/ukpga/2010/15/contents</w:t>
        </w:r>
      </w:hyperlink>
      <w:r w:rsidRPr="00AD01DE">
        <w:rPr>
          <w:rFonts w:ascii="Arial" w:eastAsia="Times New Roman" w:hAnsi="Arial" w:cs="Arial"/>
          <w:sz w:val="22"/>
          <w:szCs w:val="22"/>
        </w:rPr>
        <w:t xml:space="preserve">. (Accessed: 06 November 2025). </w:t>
      </w:r>
    </w:p>
    <w:p w14:paraId="153FDD8D" w14:textId="77777777" w:rsidR="00A14DF1" w:rsidRPr="00AD01DE" w:rsidRDefault="00A14DF1" w:rsidP="721D7190">
      <w:pPr>
        <w:spacing w:before="240" w:after="240"/>
        <w:rPr>
          <w:rFonts w:ascii="Arial" w:hAnsi="Arial" w:cs="Arial"/>
          <w:sz w:val="22"/>
          <w:szCs w:val="22"/>
        </w:rPr>
      </w:pPr>
      <w:r w:rsidRPr="00AD01DE">
        <w:rPr>
          <w:rFonts w:ascii="Arial" w:eastAsia="Times New Roman" w:hAnsi="Arial" w:cs="Arial"/>
          <w:sz w:val="22"/>
          <w:szCs w:val="22"/>
        </w:rPr>
        <w:t xml:space="preserve">Health and Care Act (2022) </w:t>
      </w:r>
      <w:r w:rsidRPr="00AD01DE">
        <w:rPr>
          <w:rFonts w:ascii="Arial" w:eastAsia="Times New Roman" w:hAnsi="Arial" w:cs="Arial"/>
          <w:i/>
          <w:iCs/>
          <w:sz w:val="22"/>
          <w:szCs w:val="22"/>
        </w:rPr>
        <w:t>Legislation.gov.uk</w:t>
      </w:r>
      <w:r w:rsidRPr="00AD01DE">
        <w:rPr>
          <w:rFonts w:ascii="Arial" w:eastAsia="Times New Roman" w:hAnsi="Arial" w:cs="Arial"/>
          <w:sz w:val="22"/>
          <w:szCs w:val="22"/>
        </w:rPr>
        <w:t xml:space="preserve">. Available at: </w:t>
      </w:r>
      <w:hyperlink r:id="rId14">
        <w:r w:rsidRPr="00AD01DE">
          <w:rPr>
            <w:rStyle w:val="Hyperlink"/>
            <w:rFonts w:ascii="Arial" w:eastAsia="Times New Roman" w:hAnsi="Arial" w:cs="Arial"/>
            <w:sz w:val="22"/>
            <w:szCs w:val="22"/>
          </w:rPr>
          <w:t>https://www.legislation.gov.uk/id/ukpga/2022/31</w:t>
        </w:r>
      </w:hyperlink>
      <w:r w:rsidRPr="00AD01DE">
        <w:rPr>
          <w:rFonts w:ascii="Arial" w:eastAsia="Times New Roman" w:hAnsi="Arial" w:cs="Arial"/>
          <w:sz w:val="22"/>
          <w:szCs w:val="22"/>
        </w:rPr>
        <w:t xml:space="preserve"> (Accessed: 10 November 2025).</w:t>
      </w:r>
    </w:p>
    <w:p w14:paraId="4E231DD8" w14:textId="77777777" w:rsidR="00A14DF1" w:rsidRPr="00AD01DE" w:rsidRDefault="00A14DF1" w:rsidP="721D7190">
      <w:pPr>
        <w:spacing w:after="240" w:line="360" w:lineRule="auto"/>
        <w:rPr>
          <w:rFonts w:ascii="Arial" w:hAnsi="Arial" w:cs="Arial"/>
          <w:sz w:val="22"/>
          <w:szCs w:val="22"/>
        </w:rPr>
      </w:pPr>
      <w:r w:rsidRPr="00AD01DE">
        <w:rPr>
          <w:rFonts w:ascii="Arial" w:eastAsia="Times New Roman" w:hAnsi="Arial" w:cs="Arial"/>
          <w:sz w:val="22"/>
          <w:szCs w:val="22"/>
        </w:rPr>
        <w:t xml:space="preserve">Joseph Rowntree Foundation, (2021). </w:t>
      </w:r>
      <w:r w:rsidRPr="00AD01DE">
        <w:rPr>
          <w:rFonts w:ascii="Arial" w:eastAsia="Times New Roman" w:hAnsi="Arial" w:cs="Arial"/>
          <w:i/>
          <w:iCs/>
          <w:sz w:val="22"/>
          <w:szCs w:val="22"/>
        </w:rPr>
        <w:t>UK Poverty 2020/21.</w:t>
      </w:r>
      <w:r w:rsidRPr="00AD01DE">
        <w:rPr>
          <w:rFonts w:ascii="Arial" w:eastAsia="Times New Roman" w:hAnsi="Arial" w:cs="Arial"/>
          <w:sz w:val="22"/>
          <w:szCs w:val="22"/>
        </w:rPr>
        <w:t xml:space="preserve"> Available at: </w:t>
      </w:r>
      <w:hyperlink r:id="rId15">
        <w:r w:rsidRPr="00AD01DE">
          <w:rPr>
            <w:rStyle w:val="Hyperlink"/>
            <w:rFonts w:ascii="Arial" w:eastAsia="Times New Roman" w:hAnsi="Arial" w:cs="Arial"/>
            <w:sz w:val="22"/>
            <w:szCs w:val="22"/>
          </w:rPr>
          <w:t>https://www.jrf.org.uk/uk-poverty-2020-21</w:t>
        </w:r>
      </w:hyperlink>
      <w:r w:rsidRPr="00AD01DE">
        <w:rPr>
          <w:rFonts w:ascii="Arial" w:eastAsia="Times New Roman" w:hAnsi="Arial" w:cs="Arial"/>
          <w:sz w:val="22"/>
          <w:szCs w:val="22"/>
        </w:rPr>
        <w:t>. (Accessed: 15 November 2025).</w:t>
      </w:r>
    </w:p>
    <w:p w14:paraId="1989A08E" w14:textId="77777777" w:rsidR="00A14DF1" w:rsidRPr="00AD01DE" w:rsidRDefault="00A14DF1" w:rsidP="721D7190">
      <w:pPr>
        <w:spacing w:after="240" w:line="360" w:lineRule="auto"/>
        <w:rPr>
          <w:rFonts w:ascii="Arial" w:hAnsi="Arial" w:cs="Arial"/>
          <w:sz w:val="22"/>
          <w:szCs w:val="22"/>
        </w:rPr>
      </w:pPr>
      <w:r w:rsidRPr="00AD01DE">
        <w:rPr>
          <w:rFonts w:ascii="Arial" w:eastAsia="Times New Roman" w:hAnsi="Arial" w:cs="Arial"/>
          <w:sz w:val="22"/>
          <w:szCs w:val="22"/>
        </w:rPr>
        <w:t xml:space="preserve">MacDonnell J., (2014) </w:t>
      </w:r>
      <w:r w:rsidRPr="00AD01DE">
        <w:rPr>
          <w:rFonts w:ascii="Arial" w:eastAsia="Times New Roman" w:hAnsi="Arial" w:cs="Arial"/>
          <w:i/>
          <w:iCs/>
          <w:sz w:val="22"/>
          <w:szCs w:val="22"/>
        </w:rPr>
        <w:t>Using the Belbin Team-Role Self Perception-Inventory to Form Groups and Assign Roles for Media Production Assessment</w:t>
      </w:r>
      <w:r w:rsidRPr="00AD01DE">
        <w:rPr>
          <w:rFonts w:ascii="Arial" w:eastAsia="Times New Roman" w:hAnsi="Arial" w:cs="Arial"/>
          <w:sz w:val="22"/>
          <w:szCs w:val="22"/>
        </w:rPr>
        <w:t xml:space="preserve">. Available at: </w:t>
      </w:r>
      <w:hyperlink r:id="rId16">
        <w:r w:rsidRPr="00AD01DE">
          <w:rPr>
            <w:rStyle w:val="Hyperlink"/>
            <w:rFonts w:ascii="Arial" w:eastAsia="Times New Roman" w:hAnsi="Arial" w:cs="Arial"/>
            <w:sz w:val="22"/>
            <w:szCs w:val="22"/>
          </w:rPr>
          <w:t>https://cris.brighton.ac.uk/ws/files/322731/Jo%20MacDonnell%20MERJ%20article%20May%202012%20(1).pdf</w:t>
        </w:r>
      </w:hyperlink>
      <w:r w:rsidRPr="00AD01DE">
        <w:rPr>
          <w:rFonts w:ascii="Arial" w:eastAsia="Times New Roman" w:hAnsi="Arial" w:cs="Arial"/>
          <w:sz w:val="22"/>
          <w:szCs w:val="22"/>
        </w:rPr>
        <w:t>. (Accessed: 10 November 2025).</w:t>
      </w:r>
    </w:p>
    <w:p w14:paraId="4FE13224" w14:textId="77777777" w:rsidR="00A14DF1" w:rsidRPr="00AD01DE" w:rsidRDefault="00A14DF1" w:rsidP="721D7190">
      <w:pPr>
        <w:spacing w:after="240" w:line="360" w:lineRule="auto"/>
        <w:rPr>
          <w:rFonts w:ascii="Arial" w:eastAsia="Times New Roman" w:hAnsi="Arial" w:cs="Arial"/>
          <w:sz w:val="22"/>
          <w:szCs w:val="22"/>
        </w:rPr>
      </w:pPr>
      <w:r w:rsidRPr="00AD01DE">
        <w:rPr>
          <w:rFonts w:ascii="Arial" w:eastAsia="Times New Roman" w:hAnsi="Arial" w:cs="Arial"/>
          <w:sz w:val="22"/>
          <w:szCs w:val="22"/>
        </w:rPr>
        <w:t xml:space="preserve">Mariotti, C. (2019) </w:t>
      </w:r>
      <w:r w:rsidRPr="00AD01DE">
        <w:rPr>
          <w:rFonts w:ascii="Arial" w:eastAsia="Times New Roman" w:hAnsi="Arial" w:cs="Arial"/>
          <w:i/>
          <w:iCs/>
          <w:sz w:val="22"/>
          <w:szCs w:val="22"/>
        </w:rPr>
        <w:t>The Role of the UK in Tackling Global Inequality: Contributions to achieving SDG 10.</w:t>
      </w:r>
      <w:r w:rsidRPr="00AD01DE">
        <w:rPr>
          <w:rFonts w:ascii="Arial" w:eastAsia="Times New Roman" w:hAnsi="Arial" w:cs="Arial"/>
          <w:sz w:val="22"/>
          <w:szCs w:val="22"/>
        </w:rPr>
        <w:t xml:space="preserve"> Available at: </w:t>
      </w:r>
      <w:hyperlink r:id="rId17">
        <w:r w:rsidRPr="00AD01DE">
          <w:rPr>
            <w:rStyle w:val="Hyperlink"/>
            <w:rFonts w:ascii="Arial" w:eastAsia="Times New Roman" w:hAnsi="Arial" w:cs="Arial"/>
            <w:sz w:val="22"/>
            <w:szCs w:val="22"/>
          </w:rPr>
          <w:t>https://oxfamilibrary.openrepository.com/bitstream/handle/10546/620821/bn-uk-aid-inequality-sdg-10-260619-en.pdf?sequence=1</w:t>
        </w:r>
      </w:hyperlink>
      <w:r w:rsidRPr="00AD01DE">
        <w:rPr>
          <w:rFonts w:ascii="Arial" w:eastAsia="Times New Roman" w:hAnsi="Arial" w:cs="Arial"/>
          <w:sz w:val="22"/>
          <w:szCs w:val="22"/>
        </w:rPr>
        <w:t xml:space="preserve"> (Accessed: 14 November 2025). </w:t>
      </w:r>
    </w:p>
    <w:p w14:paraId="0D4D5EA8" w14:textId="77777777" w:rsidR="00A14DF1" w:rsidRPr="00AD01DE" w:rsidRDefault="00A14DF1" w:rsidP="721D7190">
      <w:pPr>
        <w:spacing w:after="240" w:line="360" w:lineRule="auto"/>
        <w:rPr>
          <w:rFonts w:ascii="Arial" w:hAnsi="Arial" w:cs="Arial"/>
          <w:sz w:val="22"/>
          <w:szCs w:val="22"/>
        </w:rPr>
      </w:pPr>
      <w:r w:rsidRPr="00AD01DE">
        <w:rPr>
          <w:rFonts w:ascii="Arial" w:eastAsia="Times New Roman" w:hAnsi="Arial" w:cs="Arial"/>
          <w:sz w:val="22"/>
          <w:szCs w:val="22"/>
        </w:rPr>
        <w:t xml:space="preserve">Marmot, M., Allen, J., Boyce, T., Goldblatt, P. and Morrison, J. (2020). </w:t>
      </w:r>
      <w:r w:rsidRPr="00AD01DE">
        <w:rPr>
          <w:rFonts w:ascii="Arial" w:eastAsia="Times New Roman" w:hAnsi="Arial" w:cs="Arial"/>
          <w:i/>
          <w:iCs/>
          <w:sz w:val="22"/>
          <w:szCs w:val="22"/>
        </w:rPr>
        <w:t>Marmot Review 10 Years on - Institute of Health Equity</w:t>
      </w:r>
      <w:r w:rsidRPr="00AD01DE">
        <w:rPr>
          <w:rFonts w:ascii="Arial" w:eastAsia="Times New Roman" w:hAnsi="Arial" w:cs="Arial"/>
          <w:sz w:val="22"/>
          <w:szCs w:val="22"/>
        </w:rPr>
        <w:t xml:space="preserve">. Available at: </w:t>
      </w:r>
      <w:hyperlink r:id="rId18">
        <w:r w:rsidRPr="00AD01DE">
          <w:rPr>
            <w:rStyle w:val="Hyperlink"/>
            <w:rFonts w:ascii="Arial" w:eastAsia="Times New Roman" w:hAnsi="Arial" w:cs="Arial"/>
            <w:sz w:val="22"/>
            <w:szCs w:val="22"/>
          </w:rPr>
          <w:t>https://www.instituteofhealthequity.org/resources-reports/marmot-review-10-years-on</w:t>
        </w:r>
      </w:hyperlink>
      <w:r w:rsidRPr="00AD01DE">
        <w:rPr>
          <w:rFonts w:ascii="Arial" w:eastAsia="Times New Roman" w:hAnsi="Arial" w:cs="Arial"/>
          <w:sz w:val="22"/>
          <w:szCs w:val="22"/>
        </w:rPr>
        <w:t>. (Accessed: 07 November 2025).</w:t>
      </w:r>
    </w:p>
    <w:p w14:paraId="0E9E4C69" w14:textId="4C0BC830" w:rsidR="648B98E2" w:rsidRDefault="648B98E2" w:rsidP="64DF867F">
      <w:pPr>
        <w:spacing w:after="240" w:line="360" w:lineRule="auto"/>
        <w:rPr>
          <w:rFonts w:ascii="Arial" w:eastAsia="Arial" w:hAnsi="Arial" w:cs="Arial"/>
          <w:sz w:val="22"/>
          <w:szCs w:val="22"/>
        </w:rPr>
      </w:pPr>
      <w:r w:rsidRPr="03848260">
        <w:rPr>
          <w:rFonts w:ascii="Arial" w:eastAsia="Arial" w:hAnsi="Arial" w:cs="Arial"/>
          <w:sz w:val="22"/>
          <w:szCs w:val="22"/>
        </w:rPr>
        <w:t xml:space="preserve">NHS England (2019). </w:t>
      </w:r>
      <w:r w:rsidRPr="03848260">
        <w:rPr>
          <w:rFonts w:ascii="Arial" w:eastAsia="Arial" w:hAnsi="Arial" w:cs="Arial"/>
          <w:i/>
          <w:iCs/>
          <w:sz w:val="22"/>
          <w:szCs w:val="22"/>
        </w:rPr>
        <w:t>NHS Long Term Plan</w:t>
      </w:r>
      <w:r w:rsidRPr="03848260">
        <w:rPr>
          <w:rFonts w:ascii="Arial" w:eastAsia="Arial" w:hAnsi="Arial" w:cs="Arial"/>
          <w:sz w:val="22"/>
          <w:szCs w:val="22"/>
        </w:rPr>
        <w:t xml:space="preserve">. Available at: </w:t>
      </w:r>
      <w:hyperlink r:id="rId19">
        <w:r w:rsidRPr="03848260">
          <w:rPr>
            <w:rStyle w:val="Hyperlink"/>
            <w:rFonts w:ascii="Arial" w:eastAsia="Arial" w:hAnsi="Arial" w:cs="Arial"/>
            <w:sz w:val="22"/>
            <w:szCs w:val="22"/>
          </w:rPr>
          <w:t>https://www.england.nhs.uk/long-term-plan/</w:t>
        </w:r>
      </w:hyperlink>
      <w:r w:rsidRPr="03848260">
        <w:rPr>
          <w:rFonts w:ascii="Arial" w:eastAsia="Arial" w:hAnsi="Arial" w:cs="Arial"/>
          <w:sz w:val="22"/>
          <w:szCs w:val="22"/>
        </w:rPr>
        <w:t xml:space="preserve">. (Accessed: 10 November 2025). </w:t>
      </w:r>
    </w:p>
    <w:p w14:paraId="0DE609CF" w14:textId="14498EC3" w:rsidR="6E1A6F2A" w:rsidRDefault="6E1A6F2A" w:rsidP="6E1A6F2A">
      <w:pPr>
        <w:spacing w:after="240" w:line="360" w:lineRule="auto"/>
        <w:rPr>
          <w:rFonts w:ascii="Arial" w:eastAsia="Times New Roman" w:hAnsi="Arial" w:cs="Arial"/>
          <w:sz w:val="22"/>
          <w:szCs w:val="22"/>
        </w:rPr>
      </w:pPr>
    </w:p>
    <w:p w14:paraId="687185E2" w14:textId="5AC7599C" w:rsidR="4AEA4D6B" w:rsidRDefault="4AEA4D6B" w:rsidP="489EA06A">
      <w:pPr>
        <w:spacing w:after="240" w:line="360" w:lineRule="auto"/>
        <w:rPr>
          <w:rFonts w:ascii="Arial" w:eastAsia="Arial" w:hAnsi="Arial" w:cs="Arial"/>
          <w:sz w:val="22"/>
          <w:szCs w:val="22"/>
        </w:rPr>
      </w:pPr>
      <w:r w:rsidRPr="4ED695BE">
        <w:rPr>
          <w:rFonts w:ascii="Arial" w:eastAsia="Arial" w:hAnsi="Arial" w:cs="Arial"/>
          <w:sz w:val="22"/>
          <w:szCs w:val="22"/>
        </w:rPr>
        <w:t xml:space="preserve">NHS England, (2023). </w:t>
      </w:r>
      <w:r w:rsidRPr="4ED695BE">
        <w:rPr>
          <w:rFonts w:ascii="Arial" w:eastAsia="Arial" w:hAnsi="Arial" w:cs="Arial"/>
          <w:i/>
          <w:iCs/>
          <w:sz w:val="22"/>
          <w:szCs w:val="22"/>
        </w:rPr>
        <w:t>NHS Diabetes Prevention Programme.</w:t>
      </w:r>
      <w:r w:rsidRPr="4ED695BE">
        <w:rPr>
          <w:rFonts w:ascii="Arial" w:eastAsia="Arial" w:hAnsi="Arial" w:cs="Arial"/>
          <w:sz w:val="22"/>
          <w:szCs w:val="22"/>
        </w:rPr>
        <w:t xml:space="preserve"> Available at: </w:t>
      </w:r>
      <w:hyperlink r:id="rId20">
        <w:r w:rsidRPr="4ED695BE">
          <w:rPr>
            <w:rStyle w:val="Hyperlink"/>
            <w:rFonts w:ascii="Arial" w:eastAsia="Arial" w:hAnsi="Arial" w:cs="Arial"/>
            <w:sz w:val="22"/>
            <w:szCs w:val="22"/>
          </w:rPr>
          <w:t>https://www.england.nhs.uk/diabetes/diabetes-prevention/</w:t>
        </w:r>
      </w:hyperlink>
      <w:r w:rsidRPr="4ED695BE">
        <w:rPr>
          <w:rFonts w:ascii="Arial" w:eastAsia="Arial" w:hAnsi="Arial" w:cs="Arial"/>
          <w:sz w:val="22"/>
          <w:szCs w:val="22"/>
        </w:rPr>
        <w:t xml:space="preserve">. (Accessed: 06 November 2025). </w:t>
      </w:r>
    </w:p>
    <w:p w14:paraId="3BC7C16B" w14:textId="48C931A8" w:rsidR="3817F242" w:rsidRDefault="3817F242" w:rsidP="3817F242">
      <w:pPr>
        <w:spacing w:after="240" w:line="360" w:lineRule="auto"/>
        <w:rPr>
          <w:rFonts w:ascii="Arial" w:eastAsia="Times New Roman" w:hAnsi="Arial" w:cs="Arial"/>
          <w:sz w:val="22"/>
          <w:szCs w:val="22"/>
        </w:rPr>
      </w:pPr>
    </w:p>
    <w:p w14:paraId="6C3502C2" w14:textId="77777777" w:rsidR="00A14DF1" w:rsidRPr="00AD01DE" w:rsidRDefault="00A14DF1" w:rsidP="721D7190">
      <w:pPr>
        <w:spacing w:after="240" w:line="360" w:lineRule="auto"/>
        <w:rPr>
          <w:rFonts w:ascii="Arial" w:hAnsi="Arial" w:cs="Arial"/>
          <w:sz w:val="22"/>
          <w:szCs w:val="22"/>
        </w:rPr>
      </w:pPr>
      <w:r w:rsidRPr="00AD01DE">
        <w:rPr>
          <w:rFonts w:ascii="Arial" w:eastAsia="Times New Roman" w:hAnsi="Arial" w:cs="Arial"/>
          <w:sz w:val="22"/>
          <w:szCs w:val="22"/>
        </w:rPr>
        <w:t xml:space="preserve">NHS England, (2022). </w:t>
      </w:r>
      <w:r w:rsidRPr="00AD01DE">
        <w:rPr>
          <w:rFonts w:ascii="Arial" w:eastAsia="Times New Roman" w:hAnsi="Arial" w:cs="Arial"/>
          <w:i/>
          <w:iCs/>
          <w:sz w:val="22"/>
          <w:szCs w:val="22"/>
        </w:rPr>
        <w:t>NHS England» Core20PLUS5 – An approach to reducing health inequalities for children and young people</w:t>
      </w:r>
      <w:r w:rsidRPr="00AD01DE">
        <w:rPr>
          <w:rFonts w:ascii="Arial" w:eastAsia="Times New Roman" w:hAnsi="Arial" w:cs="Arial"/>
          <w:sz w:val="22"/>
          <w:szCs w:val="22"/>
        </w:rPr>
        <w:t xml:space="preserve">. Available at: </w:t>
      </w:r>
      <w:hyperlink r:id="rId21">
        <w:r w:rsidRPr="00AD01DE">
          <w:rPr>
            <w:rStyle w:val="Hyperlink"/>
            <w:rFonts w:ascii="Arial" w:eastAsia="Times New Roman" w:hAnsi="Arial" w:cs="Arial"/>
            <w:sz w:val="22"/>
            <w:szCs w:val="22"/>
          </w:rPr>
          <w:t>https://www.england.nhs.uk/about/equality/equality-hub/national-healthcare-inequalities-improvement-programme/coe20plus5/core20plus5-cyp/</w:t>
        </w:r>
      </w:hyperlink>
      <w:r w:rsidRPr="00AD01DE">
        <w:rPr>
          <w:rFonts w:ascii="Arial" w:eastAsia="Times New Roman" w:hAnsi="Arial" w:cs="Arial"/>
          <w:sz w:val="22"/>
          <w:szCs w:val="22"/>
        </w:rPr>
        <w:t>. (Accessed: 04 November 2025).</w:t>
      </w:r>
    </w:p>
    <w:p w14:paraId="48B7C15D" w14:textId="77777777" w:rsidR="00A14DF1" w:rsidRPr="00AD01DE" w:rsidRDefault="00A14DF1" w:rsidP="721D7190">
      <w:pPr>
        <w:spacing w:after="240" w:line="360" w:lineRule="auto"/>
        <w:rPr>
          <w:rFonts w:ascii="Arial" w:hAnsi="Arial" w:cs="Arial"/>
          <w:sz w:val="22"/>
          <w:szCs w:val="22"/>
        </w:rPr>
      </w:pPr>
      <w:r w:rsidRPr="00AD01DE">
        <w:rPr>
          <w:rFonts w:ascii="Arial" w:eastAsia="Times New Roman" w:hAnsi="Arial" w:cs="Arial"/>
          <w:sz w:val="22"/>
          <w:szCs w:val="22"/>
        </w:rPr>
        <w:t>NHS England, (2024)</w:t>
      </w:r>
      <w:r w:rsidRPr="00AD01DE">
        <w:rPr>
          <w:rFonts w:ascii="Arial" w:eastAsia="Times New Roman" w:hAnsi="Arial" w:cs="Arial"/>
          <w:i/>
          <w:iCs/>
          <w:sz w:val="22"/>
          <w:szCs w:val="22"/>
        </w:rPr>
        <w:t xml:space="preserve"> Integrated Care Systems: Guidance</w:t>
      </w:r>
      <w:r w:rsidRPr="00AD01DE">
        <w:rPr>
          <w:rFonts w:ascii="Arial" w:eastAsia="Times New Roman" w:hAnsi="Arial" w:cs="Arial"/>
          <w:sz w:val="22"/>
          <w:szCs w:val="22"/>
        </w:rPr>
        <w:t xml:space="preserve">. Available at: </w:t>
      </w:r>
      <w:hyperlink r:id="rId22">
        <w:r w:rsidRPr="00AD01DE">
          <w:rPr>
            <w:rStyle w:val="Hyperlink"/>
            <w:rFonts w:ascii="Arial" w:eastAsia="Times New Roman" w:hAnsi="Arial" w:cs="Arial"/>
            <w:sz w:val="22"/>
            <w:szCs w:val="22"/>
          </w:rPr>
          <w:t>https://www.england.nhs.uk/publication/integrated-care-systems-guidance/</w:t>
        </w:r>
      </w:hyperlink>
      <w:r w:rsidRPr="00AD01DE">
        <w:rPr>
          <w:rFonts w:ascii="Arial" w:eastAsia="Times New Roman" w:hAnsi="Arial" w:cs="Arial"/>
          <w:sz w:val="22"/>
          <w:szCs w:val="22"/>
        </w:rPr>
        <w:t>. (Accessed: o7 November 2025).</w:t>
      </w:r>
    </w:p>
    <w:p w14:paraId="4C81F469" w14:textId="77777777" w:rsidR="00A14DF1" w:rsidRPr="00AD01DE" w:rsidRDefault="00A14DF1" w:rsidP="721D7190">
      <w:pPr>
        <w:spacing w:after="240" w:line="360" w:lineRule="auto"/>
        <w:rPr>
          <w:rFonts w:ascii="Arial" w:eastAsia="Times New Roman" w:hAnsi="Arial" w:cs="Arial"/>
          <w:sz w:val="22"/>
          <w:szCs w:val="22"/>
        </w:rPr>
      </w:pPr>
      <w:r w:rsidRPr="00AD01DE">
        <w:rPr>
          <w:rFonts w:ascii="Arial" w:eastAsia="Times New Roman" w:hAnsi="Arial" w:cs="Arial"/>
          <w:sz w:val="22"/>
          <w:szCs w:val="22"/>
        </w:rPr>
        <w:t>SDG Knowledge Hub, (2023)</w:t>
      </w:r>
      <w:r w:rsidRPr="00AD01DE">
        <w:rPr>
          <w:rFonts w:ascii="Arial" w:eastAsia="Times New Roman" w:hAnsi="Arial" w:cs="Arial"/>
          <w:i/>
          <w:iCs/>
          <w:sz w:val="22"/>
          <w:szCs w:val="22"/>
        </w:rPr>
        <w:t xml:space="preserve"> Integrated Policies Can Reduce Inequality, End Poverty and the War on Nature. </w:t>
      </w:r>
      <w:r w:rsidRPr="00AD01DE">
        <w:rPr>
          <w:rFonts w:ascii="Arial" w:eastAsia="Times New Roman" w:hAnsi="Arial" w:cs="Arial"/>
          <w:sz w:val="22"/>
          <w:szCs w:val="22"/>
        </w:rPr>
        <w:t xml:space="preserve">Available at;’ </w:t>
      </w:r>
      <w:hyperlink r:id="rId23">
        <w:r w:rsidRPr="00AD01DE">
          <w:rPr>
            <w:rStyle w:val="Hyperlink"/>
            <w:rFonts w:ascii="Arial" w:eastAsia="Times New Roman" w:hAnsi="Arial" w:cs="Arial"/>
            <w:sz w:val="22"/>
            <w:szCs w:val="22"/>
          </w:rPr>
          <w:t>https://sdg.iisd.org/commentary/guest-articles/integrated-policies-can-reduce-inequality-end-poverty-and-the-war-on-nature/</w:t>
        </w:r>
      </w:hyperlink>
      <w:r w:rsidRPr="00AD01DE">
        <w:rPr>
          <w:rFonts w:ascii="Arial" w:eastAsia="Times New Roman" w:hAnsi="Arial" w:cs="Arial"/>
          <w:sz w:val="22"/>
          <w:szCs w:val="22"/>
        </w:rPr>
        <w:t xml:space="preserve"> (Accessed: 12 November 2025). </w:t>
      </w:r>
    </w:p>
    <w:p w14:paraId="308A4201" w14:textId="77777777" w:rsidR="00A14DF1" w:rsidRPr="00AD01DE" w:rsidRDefault="00A14DF1" w:rsidP="721D7190">
      <w:pPr>
        <w:spacing w:after="240" w:line="360" w:lineRule="auto"/>
        <w:rPr>
          <w:rFonts w:ascii="Arial" w:hAnsi="Arial" w:cs="Arial"/>
          <w:sz w:val="22"/>
          <w:szCs w:val="22"/>
        </w:rPr>
      </w:pPr>
      <w:r w:rsidRPr="00AD01DE">
        <w:rPr>
          <w:rFonts w:ascii="Arial" w:eastAsia="Times New Roman" w:hAnsi="Arial" w:cs="Arial"/>
          <w:sz w:val="22"/>
          <w:szCs w:val="22"/>
        </w:rPr>
        <w:t xml:space="preserve">Social Mobility Commission, (2022) </w:t>
      </w:r>
      <w:r w:rsidRPr="00AD01DE">
        <w:rPr>
          <w:rFonts w:ascii="Arial" w:eastAsia="Times New Roman" w:hAnsi="Arial" w:cs="Arial"/>
          <w:i/>
          <w:iCs/>
          <w:sz w:val="22"/>
          <w:szCs w:val="22"/>
        </w:rPr>
        <w:t>State of the Nation 2022: A fresh approach to social mobility</w:t>
      </w:r>
      <w:r w:rsidRPr="00AD01DE">
        <w:rPr>
          <w:rFonts w:ascii="Arial" w:eastAsia="Times New Roman" w:hAnsi="Arial" w:cs="Arial"/>
          <w:sz w:val="22"/>
          <w:szCs w:val="22"/>
        </w:rPr>
        <w:t xml:space="preserve">. Available at: </w:t>
      </w:r>
      <w:hyperlink r:id="rId24">
        <w:r w:rsidRPr="00AD01DE">
          <w:rPr>
            <w:rStyle w:val="Hyperlink"/>
            <w:rFonts w:ascii="Arial" w:eastAsia="Times New Roman" w:hAnsi="Arial" w:cs="Arial"/>
            <w:sz w:val="22"/>
            <w:szCs w:val="22"/>
          </w:rPr>
          <w:t>https://assets.publishing.service.gov.uk/media/62b2e45b8fa8f5357a677f29/State_of_the_Nation_2022_A_fresh_approach_to_social_mobility.pdf</w:t>
        </w:r>
      </w:hyperlink>
      <w:r w:rsidRPr="00AD01DE">
        <w:rPr>
          <w:rFonts w:ascii="Arial" w:eastAsia="Times New Roman" w:hAnsi="Arial" w:cs="Arial"/>
          <w:sz w:val="22"/>
          <w:szCs w:val="22"/>
        </w:rPr>
        <w:t xml:space="preserve">. (Accessed: 14 November 2025). </w:t>
      </w:r>
    </w:p>
    <w:p w14:paraId="459D6209" w14:textId="20857D85" w:rsidR="00A14DF1" w:rsidRPr="00AD01DE" w:rsidRDefault="00A14DF1" w:rsidP="721D7190">
      <w:pPr>
        <w:spacing w:after="240" w:line="360" w:lineRule="auto"/>
        <w:rPr>
          <w:rFonts w:ascii="Arial" w:hAnsi="Arial" w:cs="Arial"/>
          <w:sz w:val="22"/>
          <w:szCs w:val="22"/>
        </w:rPr>
      </w:pPr>
      <w:r w:rsidRPr="00AD01DE">
        <w:rPr>
          <w:rFonts w:ascii="Arial" w:eastAsia="Times New Roman" w:hAnsi="Arial" w:cs="Arial"/>
          <w:sz w:val="22"/>
          <w:szCs w:val="22"/>
        </w:rPr>
        <w:t>The King’s Fund, (</w:t>
      </w:r>
      <w:r w:rsidRPr="35373A6A">
        <w:rPr>
          <w:rFonts w:ascii="Arial" w:eastAsia="Times New Roman" w:hAnsi="Arial" w:cs="Arial"/>
          <w:sz w:val="22"/>
          <w:szCs w:val="22"/>
        </w:rPr>
        <w:t>202</w:t>
      </w:r>
      <w:r w:rsidR="36B790D5" w:rsidRPr="35373A6A">
        <w:rPr>
          <w:rFonts w:ascii="Arial" w:eastAsia="Times New Roman" w:hAnsi="Arial" w:cs="Arial"/>
          <w:sz w:val="22"/>
          <w:szCs w:val="22"/>
        </w:rPr>
        <w:t>2</w:t>
      </w:r>
      <w:r w:rsidRPr="00AD01DE">
        <w:rPr>
          <w:rFonts w:ascii="Arial" w:eastAsia="Times New Roman" w:hAnsi="Arial" w:cs="Arial"/>
          <w:sz w:val="22"/>
          <w:szCs w:val="22"/>
        </w:rPr>
        <w:t xml:space="preserve">) </w:t>
      </w:r>
      <w:r w:rsidRPr="00AD01DE">
        <w:rPr>
          <w:rFonts w:ascii="Arial" w:eastAsia="Times New Roman" w:hAnsi="Arial" w:cs="Arial"/>
          <w:i/>
          <w:iCs/>
          <w:sz w:val="22"/>
          <w:szCs w:val="22"/>
        </w:rPr>
        <w:t>Health inequalities in a nutshell</w:t>
      </w:r>
      <w:r w:rsidRPr="00AD01DE">
        <w:rPr>
          <w:rFonts w:ascii="Arial" w:eastAsia="Times New Roman" w:hAnsi="Arial" w:cs="Arial"/>
          <w:sz w:val="22"/>
          <w:szCs w:val="22"/>
        </w:rPr>
        <w:t xml:space="preserve">. Available at: </w:t>
      </w:r>
      <w:hyperlink r:id="rId25" w:anchor="the-effect-of-covid-19">
        <w:r w:rsidRPr="00AD01DE">
          <w:rPr>
            <w:rStyle w:val="Hyperlink"/>
            <w:rFonts w:ascii="Arial" w:eastAsia="Times New Roman" w:hAnsi="Arial" w:cs="Arial"/>
            <w:sz w:val="22"/>
            <w:szCs w:val="22"/>
          </w:rPr>
          <w:t>https://www.kingsfund.org.uk/insight-and-analysis/data-and-charts/health-inequalities-nutshell#the-effect-of-covid-19</w:t>
        </w:r>
      </w:hyperlink>
      <w:r w:rsidRPr="00AD01DE">
        <w:rPr>
          <w:rFonts w:ascii="Arial" w:eastAsia="Times New Roman" w:hAnsi="Arial" w:cs="Arial"/>
          <w:sz w:val="22"/>
          <w:szCs w:val="22"/>
        </w:rPr>
        <w:t xml:space="preserve">. (Accessed:15 November 2025). </w:t>
      </w:r>
    </w:p>
    <w:p w14:paraId="41C6C338" w14:textId="77777777" w:rsidR="00A14DF1" w:rsidRPr="00AD01DE" w:rsidRDefault="00A14DF1" w:rsidP="721D7190">
      <w:pPr>
        <w:spacing w:before="240" w:after="240" w:line="360" w:lineRule="auto"/>
        <w:rPr>
          <w:rFonts w:ascii="Arial" w:hAnsi="Arial" w:cs="Arial"/>
          <w:sz w:val="22"/>
          <w:szCs w:val="22"/>
        </w:rPr>
      </w:pPr>
      <w:r w:rsidRPr="00AD01DE">
        <w:rPr>
          <w:rFonts w:ascii="Arial" w:eastAsia="Arial" w:hAnsi="Arial" w:cs="Arial"/>
          <w:sz w:val="22"/>
          <w:szCs w:val="22"/>
        </w:rPr>
        <w:t xml:space="preserve">UNDP (2022) </w:t>
      </w:r>
      <w:r w:rsidRPr="00AD01DE">
        <w:rPr>
          <w:rFonts w:ascii="Arial" w:eastAsia="Arial" w:hAnsi="Arial" w:cs="Arial"/>
          <w:i/>
          <w:iCs/>
          <w:sz w:val="22"/>
          <w:szCs w:val="22"/>
        </w:rPr>
        <w:t>SDG 10: Reduced Inequalities</w:t>
      </w:r>
      <w:r w:rsidRPr="00AD01DE">
        <w:rPr>
          <w:rFonts w:ascii="Arial" w:eastAsia="Arial" w:hAnsi="Arial" w:cs="Arial"/>
          <w:sz w:val="22"/>
          <w:szCs w:val="22"/>
        </w:rPr>
        <w:t xml:space="preserve">. Available at: </w:t>
      </w:r>
      <w:hyperlink r:id="rId26">
        <w:r w:rsidRPr="00AD01DE">
          <w:rPr>
            <w:rStyle w:val="Hyperlink"/>
            <w:rFonts w:ascii="Arial" w:eastAsia="Arial" w:hAnsi="Arial" w:cs="Arial"/>
            <w:sz w:val="22"/>
            <w:szCs w:val="22"/>
          </w:rPr>
          <w:t>https://www.undp.org/sustainable-development-goals/reduced-inequalities</w:t>
        </w:r>
      </w:hyperlink>
      <w:r w:rsidRPr="00AD01DE">
        <w:rPr>
          <w:rFonts w:ascii="Arial" w:eastAsia="Arial" w:hAnsi="Arial" w:cs="Arial"/>
          <w:sz w:val="22"/>
          <w:szCs w:val="22"/>
        </w:rPr>
        <w:t xml:space="preserve">  (Accessed: 01 November 2025).</w:t>
      </w:r>
    </w:p>
    <w:p w14:paraId="013C0DEB" w14:textId="77777777" w:rsidR="00A14DF1" w:rsidRPr="00AD01DE" w:rsidRDefault="00A14DF1" w:rsidP="721D7190">
      <w:pPr>
        <w:spacing w:after="240" w:line="360" w:lineRule="auto"/>
        <w:rPr>
          <w:rFonts w:ascii="Arial" w:hAnsi="Arial" w:cs="Arial"/>
          <w:sz w:val="22"/>
          <w:szCs w:val="22"/>
        </w:rPr>
      </w:pPr>
      <w:r w:rsidRPr="00AD01DE">
        <w:rPr>
          <w:rFonts w:ascii="Arial" w:eastAsia="Times New Roman" w:hAnsi="Arial" w:cs="Arial"/>
          <w:sz w:val="22"/>
          <w:szCs w:val="22"/>
        </w:rPr>
        <w:t xml:space="preserve">UNDP (2022). </w:t>
      </w:r>
      <w:r w:rsidRPr="00AD01DE">
        <w:rPr>
          <w:rFonts w:ascii="Arial" w:eastAsia="Times New Roman" w:hAnsi="Arial" w:cs="Arial"/>
          <w:i/>
          <w:iCs/>
          <w:sz w:val="22"/>
          <w:szCs w:val="22"/>
        </w:rPr>
        <w:t>Human Development Report 2021-22</w:t>
      </w:r>
      <w:r w:rsidRPr="00AD01DE">
        <w:rPr>
          <w:rFonts w:ascii="Arial" w:eastAsia="Times New Roman" w:hAnsi="Arial" w:cs="Arial"/>
          <w:sz w:val="22"/>
          <w:szCs w:val="22"/>
        </w:rPr>
        <w:t xml:space="preserve">. Available at: </w:t>
      </w:r>
      <w:hyperlink r:id="rId27">
        <w:r w:rsidRPr="00AD01DE">
          <w:rPr>
            <w:rStyle w:val="Hyperlink"/>
            <w:rFonts w:ascii="Arial" w:eastAsia="Times New Roman" w:hAnsi="Arial" w:cs="Arial"/>
            <w:sz w:val="22"/>
            <w:szCs w:val="22"/>
          </w:rPr>
          <w:t>https://hdr.undp.org/content/human-development-report-2021-22</w:t>
        </w:r>
      </w:hyperlink>
      <w:r w:rsidRPr="00AD01DE">
        <w:rPr>
          <w:rFonts w:ascii="Arial" w:eastAsia="Times New Roman" w:hAnsi="Arial" w:cs="Arial"/>
          <w:sz w:val="22"/>
          <w:szCs w:val="22"/>
        </w:rPr>
        <w:t>. (Accessed: 14 November 2025).</w:t>
      </w:r>
    </w:p>
    <w:p w14:paraId="77EEAA4A" w14:textId="77777777" w:rsidR="00A14DF1" w:rsidRPr="00AD01DE" w:rsidRDefault="00A14DF1" w:rsidP="721D7190">
      <w:pPr>
        <w:spacing w:before="240" w:after="240"/>
        <w:rPr>
          <w:rFonts w:ascii="Arial" w:hAnsi="Arial" w:cs="Arial"/>
          <w:sz w:val="22"/>
          <w:szCs w:val="22"/>
        </w:rPr>
      </w:pPr>
      <w:r w:rsidRPr="00AD01DE">
        <w:rPr>
          <w:rFonts w:ascii="Arial" w:eastAsia="Arial" w:hAnsi="Arial" w:cs="Arial"/>
          <w:sz w:val="22"/>
          <w:szCs w:val="22"/>
        </w:rPr>
        <w:t xml:space="preserve">UNICEF (2023) </w:t>
      </w:r>
      <w:r w:rsidRPr="00AD01DE">
        <w:rPr>
          <w:rFonts w:ascii="Arial" w:eastAsia="Arial" w:hAnsi="Arial" w:cs="Arial"/>
          <w:i/>
          <w:iCs/>
          <w:sz w:val="22"/>
          <w:szCs w:val="22"/>
        </w:rPr>
        <w:t>SDG Goal 3: Good Health and Well-being</w:t>
      </w:r>
      <w:r w:rsidRPr="00AD01DE">
        <w:rPr>
          <w:rFonts w:ascii="Arial" w:eastAsia="Arial" w:hAnsi="Arial" w:cs="Arial"/>
          <w:sz w:val="22"/>
          <w:szCs w:val="22"/>
        </w:rPr>
        <w:t xml:space="preserve">. Available at: </w:t>
      </w:r>
      <w:hyperlink r:id="rId28">
        <w:r w:rsidRPr="00AD01DE">
          <w:rPr>
            <w:rStyle w:val="Hyperlink"/>
            <w:rFonts w:ascii="Arial" w:eastAsia="Arial" w:hAnsi="Arial" w:cs="Arial"/>
            <w:sz w:val="22"/>
            <w:szCs w:val="22"/>
          </w:rPr>
          <w:t>https://data.unicef.org/sdgs/goal-3-good-health-wellbeing/</w:t>
        </w:r>
      </w:hyperlink>
      <w:r w:rsidRPr="00AD01DE">
        <w:rPr>
          <w:rFonts w:ascii="Arial" w:eastAsia="Arial" w:hAnsi="Arial" w:cs="Arial"/>
          <w:sz w:val="22"/>
          <w:szCs w:val="22"/>
        </w:rPr>
        <w:t xml:space="preserve"> (Accessed: 01 November 2025).</w:t>
      </w:r>
    </w:p>
    <w:p w14:paraId="1A07C263" w14:textId="77777777" w:rsidR="00A14DF1" w:rsidRPr="00AD01DE" w:rsidRDefault="00A14DF1" w:rsidP="721D7190">
      <w:pPr>
        <w:spacing w:after="240" w:line="360" w:lineRule="auto"/>
        <w:rPr>
          <w:rFonts w:ascii="Arial" w:hAnsi="Arial" w:cs="Arial"/>
          <w:sz w:val="22"/>
          <w:szCs w:val="22"/>
        </w:rPr>
      </w:pPr>
      <w:r w:rsidRPr="00AD01DE">
        <w:rPr>
          <w:rFonts w:ascii="Arial" w:eastAsia="Times New Roman" w:hAnsi="Arial" w:cs="Arial"/>
          <w:sz w:val="22"/>
          <w:szCs w:val="22"/>
        </w:rPr>
        <w:t xml:space="preserve">United Nation, (2015a). </w:t>
      </w:r>
      <w:r w:rsidRPr="00AD01DE">
        <w:rPr>
          <w:rFonts w:ascii="Arial" w:eastAsia="Times New Roman" w:hAnsi="Arial" w:cs="Arial"/>
          <w:i/>
          <w:iCs/>
          <w:sz w:val="22"/>
          <w:szCs w:val="22"/>
        </w:rPr>
        <w:t xml:space="preserve">Goal 10—Why Addressing Inequality Matters. Available at: </w:t>
      </w:r>
      <w:hyperlink r:id="rId29">
        <w:r w:rsidRPr="00AD01DE">
          <w:rPr>
            <w:rStyle w:val="Hyperlink"/>
            <w:rFonts w:ascii="Arial" w:eastAsia="Times New Roman" w:hAnsi="Arial" w:cs="Arial"/>
            <w:sz w:val="22"/>
            <w:szCs w:val="22"/>
          </w:rPr>
          <w:t>https://www.un.org/en/chronicle/article/goal-10-why-addressing-inequality-matters</w:t>
        </w:r>
      </w:hyperlink>
      <w:r w:rsidRPr="00AD01DE">
        <w:rPr>
          <w:rFonts w:ascii="Arial" w:eastAsia="Times New Roman" w:hAnsi="Arial" w:cs="Arial"/>
          <w:sz w:val="22"/>
          <w:szCs w:val="22"/>
        </w:rPr>
        <w:t>? (Accessed 15 November 2025).</w:t>
      </w:r>
    </w:p>
    <w:p w14:paraId="36B90564" w14:textId="77777777" w:rsidR="00A14DF1" w:rsidRPr="00AD01DE" w:rsidRDefault="00A14DF1" w:rsidP="721D7190">
      <w:pPr>
        <w:spacing w:after="240" w:line="360" w:lineRule="auto"/>
        <w:rPr>
          <w:rFonts w:ascii="Arial" w:eastAsia="Times New Roman" w:hAnsi="Arial" w:cs="Arial"/>
          <w:sz w:val="22"/>
          <w:szCs w:val="22"/>
        </w:rPr>
      </w:pPr>
      <w:r w:rsidRPr="00AD01DE">
        <w:rPr>
          <w:rFonts w:ascii="Arial" w:eastAsia="Times New Roman" w:hAnsi="Arial" w:cs="Arial"/>
          <w:sz w:val="22"/>
          <w:szCs w:val="22"/>
        </w:rPr>
        <w:t xml:space="preserve">United Nations (2015). </w:t>
      </w:r>
      <w:r w:rsidRPr="00AD01DE">
        <w:rPr>
          <w:rFonts w:ascii="Arial" w:eastAsia="Times New Roman" w:hAnsi="Arial" w:cs="Arial"/>
          <w:i/>
          <w:iCs/>
          <w:sz w:val="22"/>
          <w:szCs w:val="22"/>
        </w:rPr>
        <w:t>Transforming our world: The 2030 Agenda for Sustainable Development</w:t>
      </w:r>
      <w:r w:rsidRPr="00AD01DE">
        <w:rPr>
          <w:rFonts w:ascii="Arial" w:eastAsia="Times New Roman" w:hAnsi="Arial" w:cs="Arial"/>
          <w:sz w:val="22"/>
          <w:szCs w:val="22"/>
        </w:rPr>
        <w:t xml:space="preserve">. Available at: </w:t>
      </w:r>
      <w:hyperlink r:id="rId30">
        <w:r w:rsidRPr="00AD01DE">
          <w:rPr>
            <w:rStyle w:val="Hyperlink"/>
            <w:rFonts w:ascii="Arial" w:eastAsia="Times New Roman" w:hAnsi="Arial" w:cs="Arial"/>
            <w:sz w:val="22"/>
            <w:szCs w:val="22"/>
          </w:rPr>
          <w:t>https://sdgs.un.org/2030agenda.</w:t>
        </w:r>
      </w:hyperlink>
      <w:r w:rsidRPr="00AD01DE">
        <w:rPr>
          <w:rFonts w:ascii="Arial" w:eastAsia="Times New Roman" w:hAnsi="Arial" w:cs="Arial"/>
          <w:sz w:val="22"/>
          <w:szCs w:val="22"/>
        </w:rPr>
        <w:t xml:space="preserve"> (Accessed: 02 November 2025). </w:t>
      </w:r>
    </w:p>
    <w:p w14:paraId="7310945B" w14:textId="77777777" w:rsidR="00A14DF1" w:rsidRPr="00AD01DE" w:rsidRDefault="00A14DF1" w:rsidP="721D7190">
      <w:pPr>
        <w:spacing w:after="240" w:line="360" w:lineRule="auto"/>
        <w:rPr>
          <w:rFonts w:ascii="Arial" w:hAnsi="Arial" w:cs="Arial"/>
          <w:sz w:val="22"/>
          <w:szCs w:val="22"/>
        </w:rPr>
      </w:pPr>
      <w:r w:rsidRPr="00AD01DE">
        <w:rPr>
          <w:rFonts w:ascii="Arial" w:eastAsia="Times New Roman" w:hAnsi="Arial" w:cs="Arial"/>
          <w:sz w:val="22"/>
          <w:szCs w:val="22"/>
        </w:rPr>
        <w:t xml:space="preserve">United Nations (2023). </w:t>
      </w:r>
      <w:r w:rsidRPr="00AD01DE">
        <w:rPr>
          <w:rFonts w:ascii="Arial" w:eastAsia="Times New Roman" w:hAnsi="Arial" w:cs="Arial"/>
          <w:i/>
          <w:iCs/>
          <w:sz w:val="22"/>
          <w:szCs w:val="22"/>
        </w:rPr>
        <w:t>Goal 3: Ensure healthy lives and promote well-being for all at all ages</w:t>
      </w:r>
      <w:r w:rsidRPr="00AD01DE">
        <w:rPr>
          <w:rFonts w:ascii="Arial" w:eastAsia="Times New Roman" w:hAnsi="Arial" w:cs="Arial"/>
          <w:sz w:val="22"/>
          <w:szCs w:val="22"/>
        </w:rPr>
        <w:t xml:space="preserve">. [online] United Nations Sustainable Development Goals. Available at: </w:t>
      </w:r>
      <w:hyperlink r:id="rId31">
        <w:r w:rsidRPr="00AD01DE">
          <w:rPr>
            <w:rStyle w:val="Hyperlink"/>
            <w:rFonts w:ascii="Arial" w:eastAsia="Times New Roman" w:hAnsi="Arial" w:cs="Arial"/>
            <w:sz w:val="22"/>
            <w:szCs w:val="22"/>
          </w:rPr>
          <w:t>https://www.un.org/sustainabledevelopment/health/</w:t>
        </w:r>
      </w:hyperlink>
      <w:r w:rsidRPr="00AD01DE">
        <w:rPr>
          <w:rFonts w:ascii="Arial" w:eastAsia="Times New Roman" w:hAnsi="Arial" w:cs="Arial"/>
          <w:sz w:val="22"/>
          <w:szCs w:val="22"/>
        </w:rPr>
        <w:t>.</w:t>
      </w:r>
    </w:p>
    <w:p w14:paraId="5E186EC1" w14:textId="77777777" w:rsidR="00A14DF1" w:rsidRPr="00AD01DE" w:rsidRDefault="00A14DF1" w:rsidP="721D7190">
      <w:pPr>
        <w:spacing w:after="240" w:line="360" w:lineRule="auto"/>
        <w:rPr>
          <w:rFonts w:ascii="Arial" w:hAnsi="Arial" w:cs="Arial"/>
          <w:sz w:val="22"/>
          <w:szCs w:val="22"/>
        </w:rPr>
      </w:pPr>
      <w:r w:rsidRPr="00AD01DE">
        <w:rPr>
          <w:rFonts w:ascii="Arial" w:eastAsia="Times New Roman" w:hAnsi="Arial" w:cs="Arial"/>
          <w:sz w:val="22"/>
          <w:szCs w:val="22"/>
        </w:rPr>
        <w:t xml:space="preserve">United Nations (2025a). </w:t>
      </w:r>
      <w:r w:rsidRPr="00AD01DE">
        <w:rPr>
          <w:rFonts w:ascii="Arial" w:eastAsia="Times New Roman" w:hAnsi="Arial" w:cs="Arial"/>
          <w:i/>
          <w:iCs/>
          <w:sz w:val="22"/>
          <w:szCs w:val="22"/>
        </w:rPr>
        <w:t>Goal 10: Reduce Inequality within and among Countries</w:t>
      </w:r>
      <w:r w:rsidRPr="00AD01DE">
        <w:rPr>
          <w:rFonts w:ascii="Arial" w:eastAsia="Times New Roman" w:hAnsi="Arial" w:cs="Arial"/>
          <w:sz w:val="22"/>
          <w:szCs w:val="22"/>
        </w:rPr>
        <w:t xml:space="preserve">. United Nations Sustainable Development. Available at: </w:t>
      </w:r>
      <w:hyperlink r:id="rId32">
        <w:r w:rsidRPr="00AD01DE">
          <w:rPr>
            <w:rStyle w:val="Hyperlink"/>
            <w:rFonts w:ascii="Arial" w:eastAsia="Times New Roman" w:hAnsi="Arial" w:cs="Arial"/>
            <w:sz w:val="22"/>
            <w:szCs w:val="22"/>
          </w:rPr>
          <w:t>https://www.un.org/sustainabledevelopment/inequality/</w:t>
        </w:r>
      </w:hyperlink>
      <w:r w:rsidRPr="00AD01DE">
        <w:rPr>
          <w:rFonts w:ascii="Arial" w:eastAsia="Times New Roman" w:hAnsi="Arial" w:cs="Arial"/>
          <w:sz w:val="22"/>
          <w:szCs w:val="22"/>
        </w:rPr>
        <w:t xml:space="preserve">. (Accessed: 10 November 2025). </w:t>
      </w:r>
    </w:p>
    <w:p w14:paraId="6A5DBA27" w14:textId="77777777" w:rsidR="00A14DF1" w:rsidRPr="00AD01DE" w:rsidRDefault="00A14DF1" w:rsidP="721D7190">
      <w:pPr>
        <w:spacing w:after="240" w:line="360" w:lineRule="auto"/>
        <w:rPr>
          <w:rFonts w:ascii="Arial" w:hAnsi="Arial" w:cs="Arial"/>
          <w:sz w:val="22"/>
          <w:szCs w:val="22"/>
        </w:rPr>
      </w:pPr>
      <w:r w:rsidRPr="00AD01DE">
        <w:rPr>
          <w:rFonts w:ascii="Arial" w:eastAsia="Times New Roman" w:hAnsi="Arial" w:cs="Arial"/>
          <w:sz w:val="22"/>
          <w:szCs w:val="22"/>
        </w:rPr>
        <w:t xml:space="preserve">United Nations, (2025) </w:t>
      </w:r>
      <w:r w:rsidRPr="00AD01DE">
        <w:rPr>
          <w:rFonts w:ascii="Arial" w:eastAsia="Times New Roman" w:hAnsi="Arial" w:cs="Arial"/>
          <w:i/>
          <w:iCs/>
          <w:sz w:val="22"/>
          <w:szCs w:val="22"/>
        </w:rPr>
        <w:t>The Sustainable Development Goals Report 2025</w:t>
      </w:r>
      <w:r w:rsidRPr="00AD01DE">
        <w:rPr>
          <w:rFonts w:ascii="Arial" w:eastAsia="Times New Roman" w:hAnsi="Arial" w:cs="Arial"/>
          <w:sz w:val="22"/>
          <w:szCs w:val="22"/>
        </w:rPr>
        <w:t xml:space="preserve">. Available at: </w:t>
      </w:r>
      <w:hyperlink r:id="rId33">
        <w:r w:rsidRPr="00AD01DE">
          <w:rPr>
            <w:rStyle w:val="Hyperlink"/>
            <w:rFonts w:ascii="Arial" w:eastAsia="Times New Roman" w:hAnsi="Arial" w:cs="Arial"/>
            <w:sz w:val="22"/>
            <w:szCs w:val="22"/>
          </w:rPr>
          <w:t>https://unstats.un.org/sdgs/report/2025/The-Sustainable-Development-Goals-Report-2025.pdf</w:t>
        </w:r>
      </w:hyperlink>
      <w:r w:rsidRPr="00AD01DE">
        <w:rPr>
          <w:rFonts w:ascii="Arial" w:eastAsia="Times New Roman" w:hAnsi="Arial" w:cs="Arial"/>
          <w:sz w:val="22"/>
          <w:szCs w:val="22"/>
        </w:rPr>
        <w:t>.</w:t>
      </w:r>
      <w:r w:rsidRPr="00AD01DE">
        <w:rPr>
          <w:rFonts w:ascii="Arial" w:eastAsia="Arial" w:hAnsi="Arial" w:cs="Arial"/>
          <w:sz w:val="22"/>
          <w:szCs w:val="22"/>
        </w:rPr>
        <w:t xml:space="preserve"> (Accessed: 06 November 2025).</w:t>
      </w:r>
    </w:p>
    <w:p w14:paraId="28BB546B" w14:textId="77777777" w:rsidR="00A14DF1" w:rsidRPr="00AD01DE" w:rsidRDefault="00A14DF1" w:rsidP="721D7190">
      <w:pPr>
        <w:spacing w:after="240" w:line="360" w:lineRule="auto"/>
        <w:rPr>
          <w:rFonts w:ascii="Arial" w:hAnsi="Arial" w:cs="Arial"/>
          <w:sz w:val="22"/>
          <w:szCs w:val="22"/>
        </w:rPr>
      </w:pPr>
      <w:r w:rsidRPr="00AD01DE">
        <w:rPr>
          <w:rFonts w:ascii="Arial" w:eastAsia="Times New Roman" w:hAnsi="Arial" w:cs="Arial"/>
          <w:sz w:val="22"/>
          <w:szCs w:val="22"/>
        </w:rPr>
        <w:t xml:space="preserve">Watts, N., Amann, M., Arnell, N., Ayeb-Karlsson, S., Belesova, K., Boykoff, M., Byass, P., Cai, W., Campbell-Lendrum, D., Capstick, S., Chambers, J., Dalin, C., Daly, M., Dasandi, N., Davies, M., Drummond, P., Dubrow, R., Ebi, K.L., Eckelman, M. and Ekins, P. (2019). The 2019 report of The Lancet Countdown on health and climate change: ensuring that the health of a child born today is not defined by a changing climate. </w:t>
      </w:r>
      <w:r w:rsidRPr="00AD01DE">
        <w:rPr>
          <w:rFonts w:ascii="Arial" w:eastAsia="Times New Roman" w:hAnsi="Arial" w:cs="Arial"/>
          <w:i/>
          <w:iCs/>
          <w:sz w:val="22"/>
          <w:szCs w:val="22"/>
        </w:rPr>
        <w:t>The Lancet</w:t>
      </w:r>
      <w:r w:rsidRPr="00AD01DE">
        <w:rPr>
          <w:rFonts w:ascii="Arial" w:eastAsia="Times New Roman" w:hAnsi="Arial" w:cs="Arial"/>
          <w:sz w:val="22"/>
          <w:szCs w:val="22"/>
        </w:rPr>
        <w:t xml:space="preserve">, 394(10211), pp.1836–1878. doi:https://doi.org/10.1016/s0140-6736(19)32596-6. </w:t>
      </w:r>
    </w:p>
    <w:p w14:paraId="35A25614" w14:textId="77777777" w:rsidR="00A14DF1" w:rsidRPr="00AD01DE" w:rsidRDefault="00A14DF1" w:rsidP="721D7190">
      <w:pPr>
        <w:spacing w:after="240" w:line="360" w:lineRule="auto"/>
        <w:rPr>
          <w:rFonts w:ascii="Arial" w:hAnsi="Arial" w:cs="Arial"/>
          <w:sz w:val="22"/>
          <w:szCs w:val="22"/>
        </w:rPr>
      </w:pPr>
      <w:r w:rsidRPr="00AD01DE">
        <w:rPr>
          <w:rFonts w:ascii="Arial" w:eastAsia="Times New Roman" w:hAnsi="Arial" w:cs="Arial"/>
          <w:sz w:val="22"/>
          <w:szCs w:val="22"/>
        </w:rPr>
        <w:t xml:space="preserve">WHO (2014). </w:t>
      </w:r>
      <w:r w:rsidRPr="00AD01DE">
        <w:rPr>
          <w:rFonts w:ascii="Arial" w:eastAsia="Times New Roman" w:hAnsi="Arial" w:cs="Arial"/>
          <w:i/>
          <w:iCs/>
          <w:sz w:val="22"/>
          <w:szCs w:val="22"/>
        </w:rPr>
        <w:t>Framework for Country Action</w:t>
      </w:r>
      <w:r w:rsidRPr="00AD01DE">
        <w:rPr>
          <w:rFonts w:ascii="Arial" w:eastAsia="Times New Roman" w:hAnsi="Arial" w:cs="Arial"/>
          <w:sz w:val="22"/>
          <w:szCs w:val="22"/>
        </w:rPr>
        <w:t xml:space="preserve">. Available at: </w:t>
      </w:r>
      <w:hyperlink r:id="rId34">
        <w:r w:rsidRPr="00AD01DE">
          <w:rPr>
            <w:rStyle w:val="Hyperlink"/>
            <w:rFonts w:ascii="Arial" w:eastAsia="Times New Roman" w:hAnsi="Arial" w:cs="Arial"/>
            <w:sz w:val="22"/>
            <w:szCs w:val="22"/>
          </w:rPr>
          <w:t>https://www.afro.who.int/sites/default/files/2017-06/140120HPRHiAPFramework.pdf</w:t>
        </w:r>
      </w:hyperlink>
      <w:r w:rsidRPr="00AD01DE">
        <w:rPr>
          <w:rFonts w:ascii="Arial" w:eastAsia="Times New Roman" w:hAnsi="Arial" w:cs="Arial"/>
          <w:sz w:val="22"/>
          <w:szCs w:val="22"/>
        </w:rPr>
        <w:t>. (Accessed: 05 November 2025).</w:t>
      </w:r>
    </w:p>
    <w:p w14:paraId="2FCD0280" w14:textId="77777777" w:rsidR="00A14DF1" w:rsidRPr="00AD01DE" w:rsidRDefault="00A14DF1" w:rsidP="721D7190">
      <w:pPr>
        <w:spacing w:after="240" w:line="360" w:lineRule="auto"/>
        <w:rPr>
          <w:rFonts w:ascii="Arial" w:hAnsi="Arial" w:cs="Arial"/>
          <w:sz w:val="22"/>
          <w:szCs w:val="22"/>
        </w:rPr>
      </w:pPr>
      <w:r w:rsidRPr="00AD01DE">
        <w:rPr>
          <w:rFonts w:ascii="Arial" w:eastAsia="Times New Roman" w:hAnsi="Arial" w:cs="Arial"/>
          <w:sz w:val="22"/>
          <w:szCs w:val="22"/>
        </w:rPr>
        <w:t xml:space="preserve">WHO (2018a,b). </w:t>
      </w:r>
      <w:r w:rsidRPr="00AD01DE">
        <w:rPr>
          <w:rFonts w:ascii="Arial" w:eastAsia="Times New Roman" w:hAnsi="Arial" w:cs="Arial"/>
          <w:i/>
          <w:iCs/>
          <w:sz w:val="22"/>
          <w:szCs w:val="22"/>
        </w:rPr>
        <w:t>Promoting Health in All Policies and intersectoral action capacities</w:t>
      </w:r>
      <w:r w:rsidRPr="00AD01DE">
        <w:rPr>
          <w:rFonts w:ascii="Arial" w:eastAsia="Times New Roman" w:hAnsi="Arial" w:cs="Arial"/>
          <w:sz w:val="22"/>
          <w:szCs w:val="22"/>
        </w:rPr>
        <w:t xml:space="preserve">. Available at: </w:t>
      </w:r>
      <w:hyperlink r:id="rId35">
        <w:r w:rsidRPr="00AD01DE">
          <w:rPr>
            <w:rStyle w:val="Hyperlink"/>
            <w:rFonts w:ascii="Arial" w:eastAsia="Times New Roman" w:hAnsi="Arial" w:cs="Arial"/>
            <w:sz w:val="22"/>
            <w:szCs w:val="22"/>
          </w:rPr>
          <w:t>https://www.who.int/activities/promoting-health-in-all-policies-and-intersectoral-action-capacities</w:t>
        </w:r>
      </w:hyperlink>
      <w:r w:rsidRPr="00AD01DE">
        <w:rPr>
          <w:rFonts w:ascii="Arial" w:eastAsia="Times New Roman" w:hAnsi="Arial" w:cs="Arial"/>
          <w:sz w:val="22"/>
          <w:szCs w:val="22"/>
        </w:rPr>
        <w:t xml:space="preserve">. (Accessed: 02 November 2025). </w:t>
      </w:r>
    </w:p>
    <w:p w14:paraId="66E5BC0B" w14:textId="77777777" w:rsidR="00A14DF1" w:rsidRPr="00AD01DE" w:rsidRDefault="00A14DF1" w:rsidP="721D7190">
      <w:pPr>
        <w:spacing w:before="240" w:after="240"/>
        <w:rPr>
          <w:rFonts w:ascii="Arial" w:hAnsi="Arial" w:cs="Arial"/>
          <w:sz w:val="22"/>
          <w:szCs w:val="22"/>
        </w:rPr>
      </w:pPr>
      <w:r w:rsidRPr="00AD01DE">
        <w:rPr>
          <w:rFonts w:ascii="Arial" w:eastAsia="Aptos" w:hAnsi="Arial" w:cs="Arial"/>
          <w:sz w:val="22"/>
          <w:szCs w:val="22"/>
        </w:rPr>
        <w:t xml:space="preserve">WHO (2023) </w:t>
      </w:r>
      <w:r w:rsidRPr="00AD01DE">
        <w:rPr>
          <w:rFonts w:ascii="Arial" w:eastAsia="Aptos" w:hAnsi="Arial" w:cs="Arial"/>
          <w:i/>
          <w:iCs/>
          <w:sz w:val="22"/>
          <w:szCs w:val="22"/>
        </w:rPr>
        <w:t>Targets of Sustainable Development Goal 3</w:t>
      </w:r>
      <w:r w:rsidRPr="00AD01DE">
        <w:rPr>
          <w:rFonts w:ascii="Arial" w:eastAsia="Aptos" w:hAnsi="Arial" w:cs="Arial"/>
          <w:sz w:val="22"/>
          <w:szCs w:val="22"/>
        </w:rPr>
        <w:t xml:space="preserve">. Available at: </w:t>
      </w:r>
      <w:hyperlink r:id="rId36">
        <w:r w:rsidRPr="00AD01DE">
          <w:rPr>
            <w:rStyle w:val="Hyperlink"/>
            <w:rFonts w:ascii="Arial" w:eastAsia="Aptos" w:hAnsi="Arial" w:cs="Arial"/>
            <w:sz w:val="22"/>
            <w:szCs w:val="22"/>
          </w:rPr>
          <w:t>https://www.who.int/europe/about-us/our-work/sustainable-development-goals/targets-of-sustainable-development-goal-3</w:t>
        </w:r>
      </w:hyperlink>
      <w:r w:rsidRPr="00AD01DE">
        <w:rPr>
          <w:rFonts w:ascii="Arial" w:eastAsia="Aptos" w:hAnsi="Arial" w:cs="Arial"/>
          <w:sz w:val="22"/>
          <w:szCs w:val="22"/>
        </w:rPr>
        <w:t xml:space="preserve"> (Accessed: 14 November 2025).</w:t>
      </w:r>
    </w:p>
    <w:p w14:paraId="166BE025" w14:textId="77777777" w:rsidR="00A14DF1" w:rsidRPr="00AD01DE" w:rsidRDefault="00A14DF1" w:rsidP="721D7190">
      <w:pPr>
        <w:rPr>
          <w:rFonts w:ascii="Arial" w:hAnsi="Arial" w:cs="Arial"/>
          <w:sz w:val="22"/>
          <w:szCs w:val="22"/>
        </w:rPr>
      </w:pPr>
      <w:r w:rsidRPr="00AD01DE">
        <w:rPr>
          <w:rFonts w:ascii="Arial" w:hAnsi="Arial" w:cs="Arial"/>
          <w:sz w:val="22"/>
          <w:szCs w:val="22"/>
        </w:rPr>
        <w:t xml:space="preserve">WHO, (2025) </w:t>
      </w:r>
      <w:r w:rsidRPr="00AD01DE">
        <w:rPr>
          <w:rFonts w:ascii="Arial" w:hAnsi="Arial" w:cs="Arial"/>
          <w:i/>
          <w:iCs/>
          <w:sz w:val="22"/>
          <w:szCs w:val="22"/>
        </w:rPr>
        <w:t>Global Strategy on Digital Health 2020-2025</w:t>
      </w:r>
      <w:r w:rsidRPr="00AD01DE">
        <w:rPr>
          <w:rFonts w:ascii="Arial" w:hAnsi="Arial" w:cs="Arial"/>
          <w:sz w:val="22"/>
          <w:szCs w:val="22"/>
        </w:rPr>
        <w:t xml:space="preserve">. Available at: </w:t>
      </w:r>
      <w:hyperlink r:id="rId37">
        <w:r w:rsidRPr="00AD01DE">
          <w:rPr>
            <w:rStyle w:val="Hyperlink"/>
            <w:rFonts w:ascii="Arial" w:hAnsi="Arial" w:cs="Arial"/>
            <w:sz w:val="22"/>
            <w:szCs w:val="22"/>
          </w:rPr>
          <w:t>https://iris.who.int/server/api/core/bitstreams/1f4d4a08-b20d-4c36-9148-a59429ac3477/content</w:t>
        </w:r>
      </w:hyperlink>
      <w:r w:rsidRPr="00AD01DE">
        <w:rPr>
          <w:rFonts w:ascii="Arial" w:hAnsi="Arial" w:cs="Arial"/>
          <w:sz w:val="22"/>
          <w:szCs w:val="22"/>
        </w:rPr>
        <w:t xml:space="preserve"> (Accessed: 05 November 2025).</w:t>
      </w:r>
    </w:p>
    <w:p w14:paraId="0528AE45" w14:textId="77777777" w:rsidR="00A14DF1" w:rsidRPr="00AD01DE" w:rsidRDefault="00A14DF1" w:rsidP="721D7190">
      <w:pPr>
        <w:spacing w:after="240" w:line="360" w:lineRule="auto"/>
        <w:rPr>
          <w:rFonts w:ascii="Arial" w:hAnsi="Arial" w:cs="Arial"/>
          <w:sz w:val="22"/>
          <w:szCs w:val="22"/>
        </w:rPr>
      </w:pPr>
      <w:r w:rsidRPr="00AD01DE">
        <w:rPr>
          <w:rFonts w:ascii="Arial" w:eastAsia="Times New Roman" w:hAnsi="Arial" w:cs="Arial"/>
          <w:sz w:val="22"/>
          <w:szCs w:val="22"/>
        </w:rPr>
        <w:t xml:space="preserve">World (2025). </w:t>
      </w:r>
      <w:r w:rsidRPr="00AD01DE">
        <w:rPr>
          <w:rFonts w:ascii="Arial" w:eastAsia="Times New Roman" w:hAnsi="Arial" w:cs="Arial"/>
          <w:i/>
          <w:iCs/>
          <w:sz w:val="22"/>
          <w:szCs w:val="22"/>
        </w:rPr>
        <w:t>Universal health coverage (UHC)</w:t>
      </w:r>
      <w:r w:rsidRPr="00AD01DE">
        <w:rPr>
          <w:rFonts w:ascii="Arial" w:eastAsia="Times New Roman" w:hAnsi="Arial" w:cs="Arial"/>
          <w:sz w:val="22"/>
          <w:szCs w:val="22"/>
        </w:rPr>
        <w:t xml:space="preserve">. Available at: </w:t>
      </w:r>
      <w:hyperlink r:id="rId38">
        <w:r w:rsidRPr="00AD01DE">
          <w:rPr>
            <w:rStyle w:val="Hyperlink"/>
            <w:rFonts w:ascii="Arial" w:eastAsia="Times New Roman" w:hAnsi="Arial" w:cs="Arial"/>
            <w:sz w:val="22"/>
            <w:szCs w:val="22"/>
          </w:rPr>
          <w:t>https://www.who.int/news-room/fact-sheets/detail/universal-health-coverage-%28uhc%29</w:t>
        </w:r>
      </w:hyperlink>
      <w:r w:rsidRPr="00AD01DE">
        <w:rPr>
          <w:rFonts w:ascii="Arial" w:eastAsia="Times New Roman" w:hAnsi="Arial" w:cs="Arial"/>
          <w:sz w:val="22"/>
          <w:szCs w:val="22"/>
        </w:rPr>
        <w:t xml:space="preserve">?. (Accessed: 02 November 2025). </w:t>
      </w:r>
    </w:p>
    <w:p w14:paraId="04B24DBC" w14:textId="77777777" w:rsidR="00A14DF1" w:rsidRPr="00AD01DE" w:rsidRDefault="00A14DF1" w:rsidP="721D7190">
      <w:pPr>
        <w:spacing w:before="240" w:after="240"/>
        <w:rPr>
          <w:rFonts w:ascii="Arial" w:hAnsi="Arial" w:cs="Arial"/>
          <w:sz w:val="22"/>
          <w:szCs w:val="22"/>
        </w:rPr>
      </w:pPr>
      <w:r w:rsidRPr="00AD01DE">
        <w:rPr>
          <w:rFonts w:ascii="Arial" w:eastAsia="Aptos" w:hAnsi="Arial" w:cs="Arial"/>
          <w:sz w:val="22"/>
          <w:szCs w:val="22"/>
        </w:rPr>
        <w:t xml:space="preserve">World Bank group, (2023) </w:t>
      </w:r>
      <w:r w:rsidRPr="00AD01DE">
        <w:rPr>
          <w:rFonts w:ascii="Arial" w:eastAsia="Aptos" w:hAnsi="Arial" w:cs="Arial"/>
          <w:i/>
          <w:iCs/>
          <w:sz w:val="22"/>
          <w:szCs w:val="22"/>
        </w:rPr>
        <w:t>SDG 3: Good Health and Well</w:t>
      </w:r>
      <w:r w:rsidRPr="00AD01DE">
        <w:rPr>
          <w:rFonts w:ascii="Cambria Math" w:eastAsia="Aptos" w:hAnsi="Cambria Math" w:cs="Cambria Math"/>
          <w:i/>
          <w:iCs/>
          <w:sz w:val="22"/>
          <w:szCs w:val="22"/>
        </w:rPr>
        <w:t>‑</w:t>
      </w:r>
      <w:r w:rsidRPr="00AD01DE">
        <w:rPr>
          <w:rFonts w:ascii="Arial" w:eastAsia="Aptos" w:hAnsi="Arial" w:cs="Arial"/>
          <w:i/>
          <w:iCs/>
          <w:sz w:val="22"/>
          <w:szCs w:val="22"/>
        </w:rPr>
        <w:t xml:space="preserve">Being. </w:t>
      </w:r>
      <w:r w:rsidRPr="00AD01DE">
        <w:rPr>
          <w:rFonts w:ascii="Arial" w:eastAsia="Aptos" w:hAnsi="Arial" w:cs="Arial"/>
          <w:sz w:val="22"/>
          <w:szCs w:val="22"/>
        </w:rPr>
        <w:t xml:space="preserve"> Available at: </w:t>
      </w:r>
      <w:hyperlink r:id="rId39">
        <w:r w:rsidRPr="00AD01DE">
          <w:rPr>
            <w:rStyle w:val="Hyperlink"/>
            <w:rFonts w:ascii="Arial" w:eastAsia="Aptos" w:hAnsi="Arial" w:cs="Arial"/>
            <w:sz w:val="22"/>
            <w:szCs w:val="22"/>
          </w:rPr>
          <w:t>https://datatopics.worldbank.org/sdgatlas/goal-3-good-health-and-well-being</w:t>
        </w:r>
      </w:hyperlink>
      <w:r w:rsidRPr="00AD01DE">
        <w:rPr>
          <w:rFonts w:ascii="Arial" w:eastAsia="Aptos" w:hAnsi="Arial" w:cs="Arial"/>
          <w:sz w:val="22"/>
          <w:szCs w:val="22"/>
        </w:rPr>
        <w:t xml:space="preserve"> (Accessed: 14 November 2025).</w:t>
      </w:r>
    </w:p>
    <w:p w14:paraId="475CCF68" w14:textId="77777777" w:rsidR="00A14DF1" w:rsidRPr="00AD01DE" w:rsidRDefault="00A14DF1" w:rsidP="721D7190">
      <w:pPr>
        <w:spacing w:after="240" w:line="360" w:lineRule="auto"/>
        <w:rPr>
          <w:rFonts w:ascii="Arial" w:hAnsi="Arial" w:cs="Arial"/>
          <w:sz w:val="22"/>
          <w:szCs w:val="22"/>
        </w:rPr>
      </w:pPr>
      <w:r w:rsidRPr="00AD01DE">
        <w:rPr>
          <w:rFonts w:ascii="Arial" w:eastAsia="Times New Roman" w:hAnsi="Arial" w:cs="Arial"/>
          <w:sz w:val="22"/>
          <w:szCs w:val="22"/>
        </w:rPr>
        <w:t xml:space="preserve">World Health Organisation (2025). </w:t>
      </w:r>
      <w:r w:rsidRPr="00AD01DE">
        <w:rPr>
          <w:rFonts w:ascii="Arial" w:eastAsia="Times New Roman" w:hAnsi="Arial" w:cs="Arial"/>
          <w:i/>
          <w:iCs/>
          <w:sz w:val="22"/>
          <w:szCs w:val="22"/>
        </w:rPr>
        <w:t>World Report on Social Determinants of Health Equity</w:t>
      </w:r>
      <w:r w:rsidRPr="00AD01DE">
        <w:rPr>
          <w:rFonts w:ascii="Arial" w:eastAsia="Times New Roman" w:hAnsi="Arial" w:cs="Arial"/>
          <w:sz w:val="22"/>
          <w:szCs w:val="22"/>
        </w:rPr>
        <w:t xml:space="preserve">. Available at: </w:t>
      </w:r>
      <w:hyperlink r:id="rId40">
        <w:r w:rsidRPr="00AD01DE">
          <w:rPr>
            <w:rStyle w:val="Hyperlink"/>
            <w:rFonts w:ascii="Arial" w:eastAsia="Times New Roman" w:hAnsi="Arial" w:cs="Arial"/>
            <w:sz w:val="22"/>
            <w:szCs w:val="22"/>
          </w:rPr>
          <w:t>https://www.who.int/teams/social-determinants-of-health/equity-and-health/world-report-on-social-determinants-of-health-equity</w:t>
        </w:r>
      </w:hyperlink>
      <w:r w:rsidRPr="00AD01DE">
        <w:rPr>
          <w:rFonts w:ascii="Arial" w:eastAsia="Times New Roman" w:hAnsi="Arial" w:cs="Arial"/>
          <w:sz w:val="22"/>
          <w:szCs w:val="22"/>
        </w:rPr>
        <w:t xml:space="preserve">. (Accessed: 05 November 2025). </w:t>
      </w:r>
    </w:p>
    <w:p w14:paraId="4E8DA5C4" w14:textId="77777777" w:rsidR="00A14DF1" w:rsidRPr="00AD01DE" w:rsidRDefault="00A14DF1" w:rsidP="721D7190">
      <w:pPr>
        <w:spacing w:after="240" w:line="360" w:lineRule="auto"/>
        <w:rPr>
          <w:rFonts w:ascii="Arial" w:hAnsi="Arial" w:cs="Arial"/>
          <w:sz w:val="22"/>
          <w:szCs w:val="22"/>
        </w:rPr>
      </w:pPr>
      <w:r w:rsidRPr="00AD01DE">
        <w:rPr>
          <w:rFonts w:ascii="Arial" w:eastAsia="Times New Roman" w:hAnsi="Arial" w:cs="Arial"/>
          <w:sz w:val="22"/>
          <w:szCs w:val="22"/>
        </w:rPr>
        <w:t xml:space="preserve">World Health Organization (2022a) </w:t>
      </w:r>
      <w:r w:rsidRPr="00AD01DE">
        <w:rPr>
          <w:rFonts w:ascii="Arial" w:eastAsia="Times New Roman" w:hAnsi="Arial" w:cs="Arial"/>
          <w:i/>
          <w:iCs/>
          <w:sz w:val="22"/>
          <w:szCs w:val="22"/>
        </w:rPr>
        <w:t>Sustainable Development Goals</w:t>
      </w:r>
      <w:r w:rsidRPr="00AD01DE">
        <w:rPr>
          <w:rFonts w:ascii="Arial" w:eastAsia="Times New Roman" w:hAnsi="Arial" w:cs="Arial"/>
          <w:sz w:val="22"/>
          <w:szCs w:val="22"/>
        </w:rPr>
        <w:t xml:space="preserve">. World Health Organization. Available at: </w:t>
      </w:r>
      <w:hyperlink r:id="rId41">
        <w:r w:rsidRPr="00AD01DE">
          <w:rPr>
            <w:rStyle w:val="Hyperlink"/>
            <w:rFonts w:ascii="Arial" w:eastAsia="Times New Roman" w:hAnsi="Arial" w:cs="Arial"/>
            <w:sz w:val="22"/>
            <w:szCs w:val="22"/>
          </w:rPr>
          <w:t>https://www.who.int/europe/about-us/our-work/sustainable-development-goals</w:t>
        </w:r>
      </w:hyperlink>
      <w:r w:rsidRPr="00AD01DE">
        <w:rPr>
          <w:rFonts w:ascii="Arial" w:eastAsia="Times New Roman" w:hAnsi="Arial" w:cs="Arial"/>
          <w:sz w:val="22"/>
          <w:szCs w:val="22"/>
        </w:rPr>
        <w:t>. (Accessed: 01 November 2025).</w:t>
      </w:r>
    </w:p>
    <w:p w14:paraId="2B1D3A01" w14:textId="77777777" w:rsidR="00A14DF1" w:rsidRPr="00AD01DE" w:rsidRDefault="00A14DF1" w:rsidP="721D7190">
      <w:pPr>
        <w:spacing w:after="240" w:line="360" w:lineRule="auto"/>
        <w:rPr>
          <w:rFonts w:ascii="Arial" w:hAnsi="Arial" w:cs="Arial"/>
          <w:sz w:val="22"/>
          <w:szCs w:val="22"/>
        </w:rPr>
      </w:pPr>
      <w:r w:rsidRPr="00AD01DE">
        <w:rPr>
          <w:rFonts w:ascii="Arial" w:eastAsia="Times New Roman" w:hAnsi="Arial" w:cs="Arial"/>
          <w:sz w:val="22"/>
          <w:szCs w:val="22"/>
        </w:rPr>
        <w:t xml:space="preserve">World Health Organization (2022b,c) </w:t>
      </w:r>
      <w:r w:rsidRPr="00AD01DE">
        <w:rPr>
          <w:rFonts w:ascii="Arial" w:eastAsia="Times New Roman" w:hAnsi="Arial" w:cs="Arial"/>
          <w:i/>
          <w:iCs/>
          <w:sz w:val="22"/>
          <w:szCs w:val="22"/>
        </w:rPr>
        <w:t>World Health Statistics</w:t>
      </w:r>
      <w:r w:rsidRPr="00AD01DE">
        <w:rPr>
          <w:rFonts w:ascii="Arial" w:eastAsia="Times New Roman" w:hAnsi="Arial" w:cs="Arial"/>
          <w:sz w:val="22"/>
          <w:szCs w:val="22"/>
        </w:rPr>
        <w:t xml:space="preserve">. Available at: </w:t>
      </w:r>
      <w:hyperlink r:id="rId42">
        <w:r w:rsidRPr="00AD01DE">
          <w:rPr>
            <w:rStyle w:val="Hyperlink"/>
            <w:rFonts w:ascii="Arial" w:eastAsia="Times New Roman" w:hAnsi="Arial" w:cs="Arial"/>
            <w:sz w:val="22"/>
            <w:szCs w:val="22"/>
          </w:rPr>
          <w:t>https://www.who.int/data/gho/data/themes/world-health-statistics</w:t>
        </w:r>
      </w:hyperlink>
      <w:r w:rsidRPr="00AD01DE">
        <w:rPr>
          <w:rFonts w:ascii="Arial" w:eastAsia="Times New Roman" w:hAnsi="Arial" w:cs="Arial"/>
          <w:sz w:val="22"/>
          <w:szCs w:val="22"/>
        </w:rPr>
        <w:t xml:space="preserve">. (Accessed: 02 November 2025). </w:t>
      </w:r>
    </w:p>
    <w:p w14:paraId="6156BA41" w14:textId="06189E7E" w:rsidR="721D7190" w:rsidRPr="00AD01DE" w:rsidRDefault="721D7190" w:rsidP="721D7190">
      <w:pPr>
        <w:spacing w:before="240" w:after="240" w:line="360" w:lineRule="auto"/>
        <w:rPr>
          <w:rFonts w:ascii="Arial" w:eastAsia="Arial" w:hAnsi="Arial" w:cs="Arial"/>
          <w:sz w:val="22"/>
          <w:szCs w:val="22"/>
        </w:rPr>
      </w:pPr>
    </w:p>
    <w:sectPr w:rsidR="721D7190" w:rsidRPr="00AD01DE">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0000000000000000000"/>
    <w:charset w:val="00"/>
    <w:family w:val="roman"/>
    <w:notTrueType/>
    <w:pitch w:val="default"/>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A78A45"/>
    <w:multiLevelType w:val="hybridMultilevel"/>
    <w:tmpl w:val="9FC03900"/>
    <w:lvl w:ilvl="0" w:tplc="314ECE0A">
      <w:start w:val="1"/>
      <w:numFmt w:val="bullet"/>
      <w:lvlText w:val=""/>
      <w:lvlJc w:val="left"/>
      <w:pPr>
        <w:ind w:left="720" w:hanging="360"/>
      </w:pPr>
      <w:rPr>
        <w:rFonts w:ascii="Symbol" w:hAnsi="Symbol" w:hint="default"/>
      </w:rPr>
    </w:lvl>
    <w:lvl w:ilvl="1" w:tplc="DFC41B5E">
      <w:start w:val="1"/>
      <w:numFmt w:val="bullet"/>
      <w:lvlText w:val="o"/>
      <w:lvlJc w:val="left"/>
      <w:pPr>
        <w:ind w:left="1440" w:hanging="360"/>
      </w:pPr>
      <w:rPr>
        <w:rFonts w:ascii="Courier New" w:hAnsi="Courier New" w:hint="default"/>
      </w:rPr>
    </w:lvl>
    <w:lvl w:ilvl="2" w:tplc="405EEAA8">
      <w:start w:val="1"/>
      <w:numFmt w:val="bullet"/>
      <w:lvlText w:val=""/>
      <w:lvlJc w:val="left"/>
      <w:pPr>
        <w:ind w:left="2160" w:hanging="360"/>
      </w:pPr>
      <w:rPr>
        <w:rFonts w:ascii="Wingdings" w:hAnsi="Wingdings" w:hint="default"/>
      </w:rPr>
    </w:lvl>
    <w:lvl w:ilvl="3" w:tplc="DAEABEFC">
      <w:start w:val="1"/>
      <w:numFmt w:val="bullet"/>
      <w:lvlText w:val=""/>
      <w:lvlJc w:val="left"/>
      <w:pPr>
        <w:ind w:left="2880" w:hanging="360"/>
      </w:pPr>
      <w:rPr>
        <w:rFonts w:ascii="Symbol" w:hAnsi="Symbol" w:hint="default"/>
      </w:rPr>
    </w:lvl>
    <w:lvl w:ilvl="4" w:tplc="4770258C">
      <w:start w:val="1"/>
      <w:numFmt w:val="bullet"/>
      <w:lvlText w:val="o"/>
      <w:lvlJc w:val="left"/>
      <w:pPr>
        <w:ind w:left="3600" w:hanging="360"/>
      </w:pPr>
      <w:rPr>
        <w:rFonts w:ascii="Courier New" w:hAnsi="Courier New" w:hint="default"/>
      </w:rPr>
    </w:lvl>
    <w:lvl w:ilvl="5" w:tplc="BEF06E6E">
      <w:start w:val="1"/>
      <w:numFmt w:val="bullet"/>
      <w:lvlText w:val=""/>
      <w:lvlJc w:val="left"/>
      <w:pPr>
        <w:ind w:left="4320" w:hanging="360"/>
      </w:pPr>
      <w:rPr>
        <w:rFonts w:ascii="Wingdings" w:hAnsi="Wingdings" w:hint="default"/>
      </w:rPr>
    </w:lvl>
    <w:lvl w:ilvl="6" w:tplc="0D0036A6">
      <w:start w:val="1"/>
      <w:numFmt w:val="bullet"/>
      <w:lvlText w:val=""/>
      <w:lvlJc w:val="left"/>
      <w:pPr>
        <w:ind w:left="5040" w:hanging="360"/>
      </w:pPr>
      <w:rPr>
        <w:rFonts w:ascii="Symbol" w:hAnsi="Symbol" w:hint="default"/>
      </w:rPr>
    </w:lvl>
    <w:lvl w:ilvl="7" w:tplc="E5CC42FC">
      <w:start w:val="1"/>
      <w:numFmt w:val="bullet"/>
      <w:lvlText w:val="o"/>
      <w:lvlJc w:val="left"/>
      <w:pPr>
        <w:ind w:left="5760" w:hanging="360"/>
      </w:pPr>
      <w:rPr>
        <w:rFonts w:ascii="Courier New" w:hAnsi="Courier New" w:hint="default"/>
      </w:rPr>
    </w:lvl>
    <w:lvl w:ilvl="8" w:tplc="1702E6EC">
      <w:start w:val="1"/>
      <w:numFmt w:val="bullet"/>
      <w:lvlText w:val=""/>
      <w:lvlJc w:val="left"/>
      <w:pPr>
        <w:ind w:left="6480" w:hanging="360"/>
      </w:pPr>
      <w:rPr>
        <w:rFonts w:ascii="Wingdings" w:hAnsi="Wingdings" w:hint="default"/>
      </w:rPr>
    </w:lvl>
  </w:abstractNum>
  <w:abstractNum w:abstractNumId="1" w15:restartNumberingAfterBreak="0">
    <w:nsid w:val="093E83A0"/>
    <w:multiLevelType w:val="hybridMultilevel"/>
    <w:tmpl w:val="12523D62"/>
    <w:lvl w:ilvl="0" w:tplc="293C6424">
      <w:start w:val="1"/>
      <w:numFmt w:val="bullet"/>
      <w:lvlText w:val=""/>
      <w:lvlJc w:val="left"/>
      <w:pPr>
        <w:ind w:left="720" w:hanging="360"/>
      </w:pPr>
      <w:rPr>
        <w:rFonts w:ascii="Symbol" w:hAnsi="Symbol" w:hint="default"/>
      </w:rPr>
    </w:lvl>
    <w:lvl w:ilvl="1" w:tplc="40E4C482">
      <w:start w:val="1"/>
      <w:numFmt w:val="bullet"/>
      <w:lvlText w:val="o"/>
      <w:lvlJc w:val="left"/>
      <w:pPr>
        <w:ind w:left="1440" w:hanging="360"/>
      </w:pPr>
      <w:rPr>
        <w:rFonts w:ascii="Courier New" w:hAnsi="Courier New" w:hint="default"/>
      </w:rPr>
    </w:lvl>
    <w:lvl w:ilvl="2" w:tplc="323C6D40">
      <w:start w:val="1"/>
      <w:numFmt w:val="bullet"/>
      <w:lvlText w:val=""/>
      <w:lvlJc w:val="left"/>
      <w:pPr>
        <w:ind w:left="2160" w:hanging="360"/>
      </w:pPr>
      <w:rPr>
        <w:rFonts w:ascii="Wingdings" w:hAnsi="Wingdings" w:hint="default"/>
      </w:rPr>
    </w:lvl>
    <w:lvl w:ilvl="3" w:tplc="9BA21F12">
      <w:start w:val="1"/>
      <w:numFmt w:val="bullet"/>
      <w:lvlText w:val=""/>
      <w:lvlJc w:val="left"/>
      <w:pPr>
        <w:ind w:left="2880" w:hanging="360"/>
      </w:pPr>
      <w:rPr>
        <w:rFonts w:ascii="Symbol" w:hAnsi="Symbol" w:hint="default"/>
      </w:rPr>
    </w:lvl>
    <w:lvl w:ilvl="4" w:tplc="44F4D534">
      <w:start w:val="1"/>
      <w:numFmt w:val="bullet"/>
      <w:lvlText w:val="o"/>
      <w:lvlJc w:val="left"/>
      <w:pPr>
        <w:ind w:left="3600" w:hanging="360"/>
      </w:pPr>
      <w:rPr>
        <w:rFonts w:ascii="Courier New" w:hAnsi="Courier New" w:hint="default"/>
      </w:rPr>
    </w:lvl>
    <w:lvl w:ilvl="5" w:tplc="AD041210">
      <w:start w:val="1"/>
      <w:numFmt w:val="bullet"/>
      <w:lvlText w:val=""/>
      <w:lvlJc w:val="left"/>
      <w:pPr>
        <w:ind w:left="4320" w:hanging="360"/>
      </w:pPr>
      <w:rPr>
        <w:rFonts w:ascii="Wingdings" w:hAnsi="Wingdings" w:hint="default"/>
      </w:rPr>
    </w:lvl>
    <w:lvl w:ilvl="6" w:tplc="6986BE6C">
      <w:start w:val="1"/>
      <w:numFmt w:val="bullet"/>
      <w:lvlText w:val=""/>
      <w:lvlJc w:val="left"/>
      <w:pPr>
        <w:ind w:left="5040" w:hanging="360"/>
      </w:pPr>
      <w:rPr>
        <w:rFonts w:ascii="Symbol" w:hAnsi="Symbol" w:hint="default"/>
      </w:rPr>
    </w:lvl>
    <w:lvl w:ilvl="7" w:tplc="C7CC5954">
      <w:start w:val="1"/>
      <w:numFmt w:val="bullet"/>
      <w:lvlText w:val="o"/>
      <w:lvlJc w:val="left"/>
      <w:pPr>
        <w:ind w:left="5760" w:hanging="360"/>
      </w:pPr>
      <w:rPr>
        <w:rFonts w:ascii="Courier New" w:hAnsi="Courier New" w:hint="default"/>
      </w:rPr>
    </w:lvl>
    <w:lvl w:ilvl="8" w:tplc="5B9CCC26">
      <w:start w:val="1"/>
      <w:numFmt w:val="bullet"/>
      <w:lvlText w:val=""/>
      <w:lvlJc w:val="left"/>
      <w:pPr>
        <w:ind w:left="6480" w:hanging="360"/>
      </w:pPr>
      <w:rPr>
        <w:rFonts w:ascii="Wingdings" w:hAnsi="Wingdings" w:hint="default"/>
      </w:rPr>
    </w:lvl>
  </w:abstractNum>
  <w:abstractNum w:abstractNumId="2" w15:restartNumberingAfterBreak="0">
    <w:nsid w:val="386723D3"/>
    <w:multiLevelType w:val="hybridMultilevel"/>
    <w:tmpl w:val="B4525F58"/>
    <w:lvl w:ilvl="0" w:tplc="3D0EA20A">
      <w:start w:val="1"/>
      <w:numFmt w:val="bullet"/>
      <w:lvlText w:val=""/>
      <w:lvlJc w:val="left"/>
      <w:pPr>
        <w:ind w:left="720" w:hanging="360"/>
      </w:pPr>
      <w:rPr>
        <w:rFonts w:ascii="Symbol" w:hAnsi="Symbol" w:hint="default"/>
      </w:rPr>
    </w:lvl>
    <w:lvl w:ilvl="1" w:tplc="D0AE5F2C">
      <w:start w:val="1"/>
      <w:numFmt w:val="bullet"/>
      <w:lvlText w:val="o"/>
      <w:lvlJc w:val="left"/>
      <w:pPr>
        <w:ind w:left="1440" w:hanging="360"/>
      </w:pPr>
      <w:rPr>
        <w:rFonts w:ascii="Courier New" w:hAnsi="Courier New" w:hint="default"/>
      </w:rPr>
    </w:lvl>
    <w:lvl w:ilvl="2" w:tplc="8CBC69EA">
      <w:start w:val="1"/>
      <w:numFmt w:val="bullet"/>
      <w:lvlText w:val=""/>
      <w:lvlJc w:val="left"/>
      <w:pPr>
        <w:ind w:left="2160" w:hanging="360"/>
      </w:pPr>
      <w:rPr>
        <w:rFonts w:ascii="Wingdings" w:hAnsi="Wingdings" w:hint="default"/>
      </w:rPr>
    </w:lvl>
    <w:lvl w:ilvl="3" w:tplc="A84E2546">
      <w:start w:val="1"/>
      <w:numFmt w:val="bullet"/>
      <w:lvlText w:val=""/>
      <w:lvlJc w:val="left"/>
      <w:pPr>
        <w:ind w:left="2880" w:hanging="360"/>
      </w:pPr>
      <w:rPr>
        <w:rFonts w:ascii="Symbol" w:hAnsi="Symbol" w:hint="default"/>
      </w:rPr>
    </w:lvl>
    <w:lvl w:ilvl="4" w:tplc="47D8B0AE">
      <w:start w:val="1"/>
      <w:numFmt w:val="bullet"/>
      <w:lvlText w:val="o"/>
      <w:lvlJc w:val="left"/>
      <w:pPr>
        <w:ind w:left="3600" w:hanging="360"/>
      </w:pPr>
      <w:rPr>
        <w:rFonts w:ascii="Courier New" w:hAnsi="Courier New" w:hint="default"/>
      </w:rPr>
    </w:lvl>
    <w:lvl w:ilvl="5" w:tplc="7F762E70">
      <w:start w:val="1"/>
      <w:numFmt w:val="bullet"/>
      <w:lvlText w:val=""/>
      <w:lvlJc w:val="left"/>
      <w:pPr>
        <w:ind w:left="4320" w:hanging="360"/>
      </w:pPr>
      <w:rPr>
        <w:rFonts w:ascii="Wingdings" w:hAnsi="Wingdings" w:hint="default"/>
      </w:rPr>
    </w:lvl>
    <w:lvl w:ilvl="6" w:tplc="D446328E">
      <w:start w:val="1"/>
      <w:numFmt w:val="bullet"/>
      <w:lvlText w:val=""/>
      <w:lvlJc w:val="left"/>
      <w:pPr>
        <w:ind w:left="5040" w:hanging="360"/>
      </w:pPr>
      <w:rPr>
        <w:rFonts w:ascii="Symbol" w:hAnsi="Symbol" w:hint="default"/>
      </w:rPr>
    </w:lvl>
    <w:lvl w:ilvl="7" w:tplc="B7BC3D90">
      <w:start w:val="1"/>
      <w:numFmt w:val="bullet"/>
      <w:lvlText w:val="o"/>
      <w:lvlJc w:val="left"/>
      <w:pPr>
        <w:ind w:left="5760" w:hanging="360"/>
      </w:pPr>
      <w:rPr>
        <w:rFonts w:ascii="Courier New" w:hAnsi="Courier New" w:hint="default"/>
      </w:rPr>
    </w:lvl>
    <w:lvl w:ilvl="8" w:tplc="4A1EB49C">
      <w:start w:val="1"/>
      <w:numFmt w:val="bullet"/>
      <w:lvlText w:val=""/>
      <w:lvlJc w:val="left"/>
      <w:pPr>
        <w:ind w:left="6480" w:hanging="360"/>
      </w:pPr>
      <w:rPr>
        <w:rFonts w:ascii="Wingdings" w:hAnsi="Wingdings" w:hint="default"/>
      </w:rPr>
    </w:lvl>
  </w:abstractNum>
  <w:abstractNum w:abstractNumId="3" w15:restartNumberingAfterBreak="0">
    <w:nsid w:val="4A11546A"/>
    <w:multiLevelType w:val="hybridMultilevel"/>
    <w:tmpl w:val="0422C7AC"/>
    <w:lvl w:ilvl="0" w:tplc="9A869F24">
      <w:start w:val="1"/>
      <w:numFmt w:val="bullet"/>
      <w:lvlText w:val=""/>
      <w:lvlJc w:val="left"/>
      <w:pPr>
        <w:ind w:left="720" w:hanging="360"/>
      </w:pPr>
      <w:rPr>
        <w:rFonts w:ascii="Symbol" w:hAnsi="Symbol" w:hint="default"/>
      </w:rPr>
    </w:lvl>
    <w:lvl w:ilvl="1" w:tplc="CD502F1A">
      <w:start w:val="1"/>
      <w:numFmt w:val="bullet"/>
      <w:lvlText w:val="o"/>
      <w:lvlJc w:val="left"/>
      <w:pPr>
        <w:ind w:left="1440" w:hanging="360"/>
      </w:pPr>
      <w:rPr>
        <w:rFonts w:ascii="Courier New" w:hAnsi="Courier New" w:hint="default"/>
      </w:rPr>
    </w:lvl>
    <w:lvl w:ilvl="2" w:tplc="4C0016AA">
      <w:start w:val="1"/>
      <w:numFmt w:val="bullet"/>
      <w:lvlText w:val=""/>
      <w:lvlJc w:val="left"/>
      <w:pPr>
        <w:ind w:left="2160" w:hanging="360"/>
      </w:pPr>
      <w:rPr>
        <w:rFonts w:ascii="Wingdings" w:hAnsi="Wingdings" w:hint="default"/>
      </w:rPr>
    </w:lvl>
    <w:lvl w:ilvl="3" w:tplc="EC9EFEB6">
      <w:start w:val="1"/>
      <w:numFmt w:val="bullet"/>
      <w:lvlText w:val=""/>
      <w:lvlJc w:val="left"/>
      <w:pPr>
        <w:ind w:left="2880" w:hanging="360"/>
      </w:pPr>
      <w:rPr>
        <w:rFonts w:ascii="Symbol" w:hAnsi="Symbol" w:hint="default"/>
      </w:rPr>
    </w:lvl>
    <w:lvl w:ilvl="4" w:tplc="12D2494A">
      <w:start w:val="1"/>
      <w:numFmt w:val="bullet"/>
      <w:lvlText w:val="o"/>
      <w:lvlJc w:val="left"/>
      <w:pPr>
        <w:ind w:left="3600" w:hanging="360"/>
      </w:pPr>
      <w:rPr>
        <w:rFonts w:ascii="Courier New" w:hAnsi="Courier New" w:hint="default"/>
      </w:rPr>
    </w:lvl>
    <w:lvl w:ilvl="5" w:tplc="29620986">
      <w:start w:val="1"/>
      <w:numFmt w:val="bullet"/>
      <w:lvlText w:val=""/>
      <w:lvlJc w:val="left"/>
      <w:pPr>
        <w:ind w:left="4320" w:hanging="360"/>
      </w:pPr>
      <w:rPr>
        <w:rFonts w:ascii="Wingdings" w:hAnsi="Wingdings" w:hint="default"/>
      </w:rPr>
    </w:lvl>
    <w:lvl w:ilvl="6" w:tplc="BEF66BCA">
      <w:start w:val="1"/>
      <w:numFmt w:val="bullet"/>
      <w:lvlText w:val=""/>
      <w:lvlJc w:val="left"/>
      <w:pPr>
        <w:ind w:left="5040" w:hanging="360"/>
      </w:pPr>
      <w:rPr>
        <w:rFonts w:ascii="Symbol" w:hAnsi="Symbol" w:hint="default"/>
      </w:rPr>
    </w:lvl>
    <w:lvl w:ilvl="7" w:tplc="C21086B0">
      <w:start w:val="1"/>
      <w:numFmt w:val="bullet"/>
      <w:lvlText w:val="o"/>
      <w:lvlJc w:val="left"/>
      <w:pPr>
        <w:ind w:left="5760" w:hanging="360"/>
      </w:pPr>
      <w:rPr>
        <w:rFonts w:ascii="Courier New" w:hAnsi="Courier New" w:hint="default"/>
      </w:rPr>
    </w:lvl>
    <w:lvl w:ilvl="8" w:tplc="B3A8BF40">
      <w:start w:val="1"/>
      <w:numFmt w:val="bullet"/>
      <w:lvlText w:val=""/>
      <w:lvlJc w:val="left"/>
      <w:pPr>
        <w:ind w:left="6480" w:hanging="360"/>
      </w:pPr>
      <w:rPr>
        <w:rFonts w:ascii="Wingdings" w:hAnsi="Wingdings" w:hint="default"/>
      </w:rPr>
    </w:lvl>
  </w:abstractNum>
  <w:abstractNum w:abstractNumId="4" w15:restartNumberingAfterBreak="0">
    <w:nsid w:val="70F04EF4"/>
    <w:multiLevelType w:val="hybridMultilevel"/>
    <w:tmpl w:val="7BB41D8C"/>
    <w:lvl w:ilvl="0" w:tplc="C9B26E10">
      <w:start w:val="1"/>
      <w:numFmt w:val="bullet"/>
      <w:lvlText w:val=""/>
      <w:lvlJc w:val="left"/>
      <w:pPr>
        <w:ind w:left="720" w:hanging="360"/>
      </w:pPr>
      <w:rPr>
        <w:rFonts w:ascii="Symbol" w:hAnsi="Symbol" w:hint="default"/>
      </w:rPr>
    </w:lvl>
    <w:lvl w:ilvl="1" w:tplc="E3642994">
      <w:start w:val="1"/>
      <w:numFmt w:val="bullet"/>
      <w:lvlText w:val="o"/>
      <w:lvlJc w:val="left"/>
      <w:pPr>
        <w:ind w:left="1440" w:hanging="360"/>
      </w:pPr>
      <w:rPr>
        <w:rFonts w:ascii="Courier New" w:hAnsi="Courier New" w:hint="default"/>
      </w:rPr>
    </w:lvl>
    <w:lvl w:ilvl="2" w:tplc="7E8EAF68">
      <w:start w:val="1"/>
      <w:numFmt w:val="bullet"/>
      <w:lvlText w:val=""/>
      <w:lvlJc w:val="left"/>
      <w:pPr>
        <w:ind w:left="2160" w:hanging="360"/>
      </w:pPr>
      <w:rPr>
        <w:rFonts w:ascii="Wingdings" w:hAnsi="Wingdings" w:hint="default"/>
      </w:rPr>
    </w:lvl>
    <w:lvl w:ilvl="3" w:tplc="B7165B78">
      <w:start w:val="1"/>
      <w:numFmt w:val="bullet"/>
      <w:lvlText w:val=""/>
      <w:lvlJc w:val="left"/>
      <w:pPr>
        <w:ind w:left="2880" w:hanging="360"/>
      </w:pPr>
      <w:rPr>
        <w:rFonts w:ascii="Symbol" w:hAnsi="Symbol" w:hint="default"/>
      </w:rPr>
    </w:lvl>
    <w:lvl w:ilvl="4" w:tplc="7A7083D6">
      <w:start w:val="1"/>
      <w:numFmt w:val="bullet"/>
      <w:lvlText w:val="o"/>
      <w:lvlJc w:val="left"/>
      <w:pPr>
        <w:ind w:left="3600" w:hanging="360"/>
      </w:pPr>
      <w:rPr>
        <w:rFonts w:ascii="Courier New" w:hAnsi="Courier New" w:hint="default"/>
      </w:rPr>
    </w:lvl>
    <w:lvl w:ilvl="5" w:tplc="35C42CEC">
      <w:start w:val="1"/>
      <w:numFmt w:val="bullet"/>
      <w:lvlText w:val=""/>
      <w:lvlJc w:val="left"/>
      <w:pPr>
        <w:ind w:left="4320" w:hanging="360"/>
      </w:pPr>
      <w:rPr>
        <w:rFonts w:ascii="Wingdings" w:hAnsi="Wingdings" w:hint="default"/>
      </w:rPr>
    </w:lvl>
    <w:lvl w:ilvl="6" w:tplc="B574CEBA">
      <w:start w:val="1"/>
      <w:numFmt w:val="bullet"/>
      <w:lvlText w:val=""/>
      <w:lvlJc w:val="left"/>
      <w:pPr>
        <w:ind w:left="5040" w:hanging="360"/>
      </w:pPr>
      <w:rPr>
        <w:rFonts w:ascii="Symbol" w:hAnsi="Symbol" w:hint="default"/>
      </w:rPr>
    </w:lvl>
    <w:lvl w:ilvl="7" w:tplc="4F98D490">
      <w:start w:val="1"/>
      <w:numFmt w:val="bullet"/>
      <w:lvlText w:val="o"/>
      <w:lvlJc w:val="left"/>
      <w:pPr>
        <w:ind w:left="5760" w:hanging="360"/>
      </w:pPr>
      <w:rPr>
        <w:rFonts w:ascii="Courier New" w:hAnsi="Courier New" w:hint="default"/>
      </w:rPr>
    </w:lvl>
    <w:lvl w:ilvl="8" w:tplc="204E99E0">
      <w:start w:val="1"/>
      <w:numFmt w:val="bullet"/>
      <w:lvlText w:val=""/>
      <w:lvlJc w:val="left"/>
      <w:pPr>
        <w:ind w:left="6480" w:hanging="360"/>
      </w:pPr>
      <w:rPr>
        <w:rFonts w:ascii="Wingdings" w:hAnsi="Wingdings" w:hint="default"/>
      </w:rPr>
    </w:lvl>
  </w:abstractNum>
  <w:num w:numId="1" w16cid:durableId="1187788761">
    <w:abstractNumId w:val="1"/>
  </w:num>
  <w:num w:numId="2" w16cid:durableId="1929774350">
    <w:abstractNumId w:val="3"/>
  </w:num>
  <w:num w:numId="3" w16cid:durableId="246615147">
    <w:abstractNumId w:val="2"/>
  </w:num>
  <w:num w:numId="4" w16cid:durableId="656036475">
    <w:abstractNumId w:val="0"/>
  </w:num>
  <w:num w:numId="5" w16cid:durableId="860605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6116C0B"/>
    <w:rsid w:val="00004A03"/>
    <w:rsid w:val="00044A67"/>
    <w:rsid w:val="00057EFA"/>
    <w:rsid w:val="00084DD7"/>
    <w:rsid w:val="000C56DA"/>
    <w:rsid w:val="000E53E3"/>
    <w:rsid w:val="001021F6"/>
    <w:rsid w:val="00104C07"/>
    <w:rsid w:val="0012055F"/>
    <w:rsid w:val="001521CD"/>
    <w:rsid w:val="001646A1"/>
    <w:rsid w:val="00165F20"/>
    <w:rsid w:val="0018624D"/>
    <w:rsid w:val="00187FF9"/>
    <w:rsid w:val="00193FB6"/>
    <w:rsid w:val="001B202E"/>
    <w:rsid w:val="00221952"/>
    <w:rsid w:val="002466AB"/>
    <w:rsid w:val="002A017B"/>
    <w:rsid w:val="002B0B7E"/>
    <w:rsid w:val="002C5A49"/>
    <w:rsid w:val="002F0D8E"/>
    <w:rsid w:val="00303F23"/>
    <w:rsid w:val="00307262"/>
    <w:rsid w:val="003130A0"/>
    <w:rsid w:val="00322A41"/>
    <w:rsid w:val="00330ADB"/>
    <w:rsid w:val="003513F5"/>
    <w:rsid w:val="00352150"/>
    <w:rsid w:val="00356E6E"/>
    <w:rsid w:val="00383075"/>
    <w:rsid w:val="003834D9"/>
    <w:rsid w:val="00390592"/>
    <w:rsid w:val="00397984"/>
    <w:rsid w:val="003A113E"/>
    <w:rsid w:val="003A2FC6"/>
    <w:rsid w:val="003D74D3"/>
    <w:rsid w:val="00433D9E"/>
    <w:rsid w:val="00434159"/>
    <w:rsid w:val="00443EBC"/>
    <w:rsid w:val="00447880"/>
    <w:rsid w:val="0045584E"/>
    <w:rsid w:val="00483ADD"/>
    <w:rsid w:val="00484204"/>
    <w:rsid w:val="004D7962"/>
    <w:rsid w:val="004E0F8F"/>
    <w:rsid w:val="004E5B16"/>
    <w:rsid w:val="004F323D"/>
    <w:rsid w:val="00501B09"/>
    <w:rsid w:val="0051470D"/>
    <w:rsid w:val="00525241"/>
    <w:rsid w:val="00533505"/>
    <w:rsid w:val="00563779"/>
    <w:rsid w:val="00565D17"/>
    <w:rsid w:val="0056612F"/>
    <w:rsid w:val="00570000"/>
    <w:rsid w:val="0058485E"/>
    <w:rsid w:val="0058689C"/>
    <w:rsid w:val="00590CBA"/>
    <w:rsid w:val="005A3E21"/>
    <w:rsid w:val="005B465F"/>
    <w:rsid w:val="005F2451"/>
    <w:rsid w:val="005F2525"/>
    <w:rsid w:val="005F342C"/>
    <w:rsid w:val="005F3BBE"/>
    <w:rsid w:val="006064E2"/>
    <w:rsid w:val="006224A2"/>
    <w:rsid w:val="00633C50"/>
    <w:rsid w:val="00684D70"/>
    <w:rsid w:val="00684E5A"/>
    <w:rsid w:val="00697B09"/>
    <w:rsid w:val="006B0D43"/>
    <w:rsid w:val="006D5E5E"/>
    <w:rsid w:val="006E4EE1"/>
    <w:rsid w:val="006F05A9"/>
    <w:rsid w:val="00714709"/>
    <w:rsid w:val="0071C126"/>
    <w:rsid w:val="00727056"/>
    <w:rsid w:val="0074689B"/>
    <w:rsid w:val="007543EE"/>
    <w:rsid w:val="007723A1"/>
    <w:rsid w:val="00775E44"/>
    <w:rsid w:val="00786C87"/>
    <w:rsid w:val="007E486B"/>
    <w:rsid w:val="008612B6"/>
    <w:rsid w:val="008745C0"/>
    <w:rsid w:val="008B6AEB"/>
    <w:rsid w:val="008D02A0"/>
    <w:rsid w:val="008DA991"/>
    <w:rsid w:val="008F5D2F"/>
    <w:rsid w:val="009060CB"/>
    <w:rsid w:val="00925A2F"/>
    <w:rsid w:val="009407C7"/>
    <w:rsid w:val="00975DF1"/>
    <w:rsid w:val="00980A7C"/>
    <w:rsid w:val="0098708E"/>
    <w:rsid w:val="00987987"/>
    <w:rsid w:val="009A38D4"/>
    <w:rsid w:val="009B15A1"/>
    <w:rsid w:val="009B675B"/>
    <w:rsid w:val="009C7CE2"/>
    <w:rsid w:val="009F5810"/>
    <w:rsid w:val="009F6E2A"/>
    <w:rsid w:val="009F7957"/>
    <w:rsid w:val="00A14DF1"/>
    <w:rsid w:val="00A15F94"/>
    <w:rsid w:val="00A664DA"/>
    <w:rsid w:val="00A7204D"/>
    <w:rsid w:val="00A847F3"/>
    <w:rsid w:val="00AC16F8"/>
    <w:rsid w:val="00AD01DE"/>
    <w:rsid w:val="00AD1C6C"/>
    <w:rsid w:val="00AE1CC7"/>
    <w:rsid w:val="00AF084A"/>
    <w:rsid w:val="00AF1EBB"/>
    <w:rsid w:val="00B15932"/>
    <w:rsid w:val="00B17B0E"/>
    <w:rsid w:val="00B41D08"/>
    <w:rsid w:val="00B46EEF"/>
    <w:rsid w:val="00B66390"/>
    <w:rsid w:val="00B85C69"/>
    <w:rsid w:val="00B86E26"/>
    <w:rsid w:val="00B901B9"/>
    <w:rsid w:val="00B93154"/>
    <w:rsid w:val="00BB6692"/>
    <w:rsid w:val="00BC0132"/>
    <w:rsid w:val="00C00A64"/>
    <w:rsid w:val="00C02FBB"/>
    <w:rsid w:val="00C61890"/>
    <w:rsid w:val="00C6268E"/>
    <w:rsid w:val="00C7686E"/>
    <w:rsid w:val="00C93CF2"/>
    <w:rsid w:val="00CA218E"/>
    <w:rsid w:val="00CF0D8D"/>
    <w:rsid w:val="00D17F62"/>
    <w:rsid w:val="00D20248"/>
    <w:rsid w:val="00D52F67"/>
    <w:rsid w:val="00DA665D"/>
    <w:rsid w:val="00DC0734"/>
    <w:rsid w:val="00DC2DBB"/>
    <w:rsid w:val="00DE0247"/>
    <w:rsid w:val="00E00186"/>
    <w:rsid w:val="00E067CC"/>
    <w:rsid w:val="00E2207D"/>
    <w:rsid w:val="00E24D0F"/>
    <w:rsid w:val="00E25811"/>
    <w:rsid w:val="00E511CB"/>
    <w:rsid w:val="00E51A03"/>
    <w:rsid w:val="00E6641A"/>
    <w:rsid w:val="00EC6ABF"/>
    <w:rsid w:val="00ED13CC"/>
    <w:rsid w:val="00F08DD4"/>
    <w:rsid w:val="00F4170B"/>
    <w:rsid w:val="00F43005"/>
    <w:rsid w:val="00F55159"/>
    <w:rsid w:val="00F55C34"/>
    <w:rsid w:val="00F82C97"/>
    <w:rsid w:val="00F959F5"/>
    <w:rsid w:val="00FB6051"/>
    <w:rsid w:val="00FC6E19"/>
    <w:rsid w:val="01C3B6CA"/>
    <w:rsid w:val="01EF15D8"/>
    <w:rsid w:val="020A189B"/>
    <w:rsid w:val="02AE8179"/>
    <w:rsid w:val="0307552C"/>
    <w:rsid w:val="031852E5"/>
    <w:rsid w:val="03400875"/>
    <w:rsid w:val="0368F4FA"/>
    <w:rsid w:val="03848260"/>
    <w:rsid w:val="03DC1898"/>
    <w:rsid w:val="04913A73"/>
    <w:rsid w:val="0492A511"/>
    <w:rsid w:val="04AA1B8D"/>
    <w:rsid w:val="04B9F31E"/>
    <w:rsid w:val="04E70F4E"/>
    <w:rsid w:val="04FB83C5"/>
    <w:rsid w:val="053CFB37"/>
    <w:rsid w:val="0554403C"/>
    <w:rsid w:val="056B9BE6"/>
    <w:rsid w:val="0581C752"/>
    <w:rsid w:val="05E43D8B"/>
    <w:rsid w:val="0634ACEB"/>
    <w:rsid w:val="06561A22"/>
    <w:rsid w:val="065DCAEC"/>
    <w:rsid w:val="0689F502"/>
    <w:rsid w:val="068BE3FE"/>
    <w:rsid w:val="06A96CF1"/>
    <w:rsid w:val="06B409C8"/>
    <w:rsid w:val="06BDB727"/>
    <w:rsid w:val="070A0FBD"/>
    <w:rsid w:val="075F469C"/>
    <w:rsid w:val="07939149"/>
    <w:rsid w:val="07B73BAB"/>
    <w:rsid w:val="07DAD177"/>
    <w:rsid w:val="08041698"/>
    <w:rsid w:val="081990F3"/>
    <w:rsid w:val="08290E57"/>
    <w:rsid w:val="087495A4"/>
    <w:rsid w:val="08C24F72"/>
    <w:rsid w:val="08CF03A3"/>
    <w:rsid w:val="08DCDFC9"/>
    <w:rsid w:val="08F9ECDA"/>
    <w:rsid w:val="09347595"/>
    <w:rsid w:val="096038EE"/>
    <w:rsid w:val="09C76EFD"/>
    <w:rsid w:val="09D7249C"/>
    <w:rsid w:val="09E134AE"/>
    <w:rsid w:val="09E51633"/>
    <w:rsid w:val="0A283470"/>
    <w:rsid w:val="0A73B40A"/>
    <w:rsid w:val="0AA6692F"/>
    <w:rsid w:val="0B2E7981"/>
    <w:rsid w:val="0B80B030"/>
    <w:rsid w:val="0B8C84C6"/>
    <w:rsid w:val="0C1710A9"/>
    <w:rsid w:val="0C44AE32"/>
    <w:rsid w:val="0C8FE386"/>
    <w:rsid w:val="0CF95AA9"/>
    <w:rsid w:val="0D22B815"/>
    <w:rsid w:val="0D687A8F"/>
    <w:rsid w:val="0DE01E4E"/>
    <w:rsid w:val="0E45496A"/>
    <w:rsid w:val="0E5E24CD"/>
    <w:rsid w:val="0E6EEB85"/>
    <w:rsid w:val="0E8F6764"/>
    <w:rsid w:val="0EA41EE5"/>
    <w:rsid w:val="0EC8A541"/>
    <w:rsid w:val="0EF98EEE"/>
    <w:rsid w:val="1045DA80"/>
    <w:rsid w:val="10680738"/>
    <w:rsid w:val="10AB7EB9"/>
    <w:rsid w:val="10C3992C"/>
    <w:rsid w:val="10CAC372"/>
    <w:rsid w:val="10D39F0C"/>
    <w:rsid w:val="10FB206B"/>
    <w:rsid w:val="112CBEFD"/>
    <w:rsid w:val="118F253F"/>
    <w:rsid w:val="11A5954C"/>
    <w:rsid w:val="11B152B3"/>
    <w:rsid w:val="123D2CA7"/>
    <w:rsid w:val="1246B0DE"/>
    <w:rsid w:val="126ED6E7"/>
    <w:rsid w:val="128E61EE"/>
    <w:rsid w:val="12A69672"/>
    <w:rsid w:val="12CD474A"/>
    <w:rsid w:val="12F3BCCD"/>
    <w:rsid w:val="12FF4F1D"/>
    <w:rsid w:val="131263A9"/>
    <w:rsid w:val="13169B12"/>
    <w:rsid w:val="1323BF9A"/>
    <w:rsid w:val="132592B5"/>
    <w:rsid w:val="1331886C"/>
    <w:rsid w:val="14229A79"/>
    <w:rsid w:val="14359AEE"/>
    <w:rsid w:val="14DBB986"/>
    <w:rsid w:val="152117D2"/>
    <w:rsid w:val="154518CF"/>
    <w:rsid w:val="1566C617"/>
    <w:rsid w:val="15AF432A"/>
    <w:rsid w:val="15C2CEB6"/>
    <w:rsid w:val="15C9128F"/>
    <w:rsid w:val="15F6734E"/>
    <w:rsid w:val="1601060B"/>
    <w:rsid w:val="16A99F27"/>
    <w:rsid w:val="16B23F02"/>
    <w:rsid w:val="16BAEB64"/>
    <w:rsid w:val="171822D5"/>
    <w:rsid w:val="1753FB08"/>
    <w:rsid w:val="177BAD32"/>
    <w:rsid w:val="177DE6E8"/>
    <w:rsid w:val="17CCB2FE"/>
    <w:rsid w:val="186BCCEC"/>
    <w:rsid w:val="189547E0"/>
    <w:rsid w:val="18A53575"/>
    <w:rsid w:val="18ADBA2B"/>
    <w:rsid w:val="18EB17CA"/>
    <w:rsid w:val="18EB9397"/>
    <w:rsid w:val="1913DA38"/>
    <w:rsid w:val="19615251"/>
    <w:rsid w:val="19624A91"/>
    <w:rsid w:val="19CE0F9F"/>
    <w:rsid w:val="19DBB61A"/>
    <w:rsid w:val="1A4E321B"/>
    <w:rsid w:val="1AD835F6"/>
    <w:rsid w:val="1B8C3B2E"/>
    <w:rsid w:val="1BC98582"/>
    <w:rsid w:val="1BD46552"/>
    <w:rsid w:val="1C49994F"/>
    <w:rsid w:val="1CA259DF"/>
    <w:rsid w:val="1D24B3D8"/>
    <w:rsid w:val="1D5E5B23"/>
    <w:rsid w:val="1D7D5906"/>
    <w:rsid w:val="1DC12D54"/>
    <w:rsid w:val="1DEB9916"/>
    <w:rsid w:val="1E4B649D"/>
    <w:rsid w:val="1E671AFE"/>
    <w:rsid w:val="1E72094B"/>
    <w:rsid w:val="1E9AB840"/>
    <w:rsid w:val="1ED9A7B3"/>
    <w:rsid w:val="1EF74381"/>
    <w:rsid w:val="1F0069A4"/>
    <w:rsid w:val="1F1F7A9F"/>
    <w:rsid w:val="1F5405BC"/>
    <w:rsid w:val="1F946110"/>
    <w:rsid w:val="1FA33F64"/>
    <w:rsid w:val="1FEB432D"/>
    <w:rsid w:val="2063B346"/>
    <w:rsid w:val="20A17FA8"/>
    <w:rsid w:val="20DD562F"/>
    <w:rsid w:val="212C4504"/>
    <w:rsid w:val="216AF1F7"/>
    <w:rsid w:val="21F9D96C"/>
    <w:rsid w:val="221E3FBE"/>
    <w:rsid w:val="22228C3D"/>
    <w:rsid w:val="22A6E32F"/>
    <w:rsid w:val="230DB042"/>
    <w:rsid w:val="23738019"/>
    <w:rsid w:val="239EF072"/>
    <w:rsid w:val="23E3325C"/>
    <w:rsid w:val="23F4D2F8"/>
    <w:rsid w:val="242F6D47"/>
    <w:rsid w:val="242FBA1A"/>
    <w:rsid w:val="2437B7DE"/>
    <w:rsid w:val="24880174"/>
    <w:rsid w:val="24BE3A30"/>
    <w:rsid w:val="24CD9F7E"/>
    <w:rsid w:val="25103F10"/>
    <w:rsid w:val="25671434"/>
    <w:rsid w:val="259FE24A"/>
    <w:rsid w:val="25D7662C"/>
    <w:rsid w:val="25F027E2"/>
    <w:rsid w:val="25FAD1E5"/>
    <w:rsid w:val="2601056F"/>
    <w:rsid w:val="265952BF"/>
    <w:rsid w:val="26A6E1BA"/>
    <w:rsid w:val="26C017DA"/>
    <w:rsid w:val="26E9F5B3"/>
    <w:rsid w:val="27CB6823"/>
    <w:rsid w:val="2801DCFD"/>
    <w:rsid w:val="2808D49E"/>
    <w:rsid w:val="28506A0D"/>
    <w:rsid w:val="28DDA918"/>
    <w:rsid w:val="28F312C4"/>
    <w:rsid w:val="2914721D"/>
    <w:rsid w:val="29699196"/>
    <w:rsid w:val="297AA707"/>
    <w:rsid w:val="29BED70D"/>
    <w:rsid w:val="29CA6EC7"/>
    <w:rsid w:val="2A29377B"/>
    <w:rsid w:val="2A4F4B71"/>
    <w:rsid w:val="2A5522DA"/>
    <w:rsid w:val="2A85ABED"/>
    <w:rsid w:val="2B2EEC76"/>
    <w:rsid w:val="2B404DD5"/>
    <w:rsid w:val="2B56A818"/>
    <w:rsid w:val="2B610D04"/>
    <w:rsid w:val="2C2FDFCD"/>
    <w:rsid w:val="2C6BB3C4"/>
    <w:rsid w:val="2C7B9580"/>
    <w:rsid w:val="2C87724F"/>
    <w:rsid w:val="2D1C71E4"/>
    <w:rsid w:val="2D2BB525"/>
    <w:rsid w:val="2D58265C"/>
    <w:rsid w:val="2DBDF88F"/>
    <w:rsid w:val="2DDD3DBC"/>
    <w:rsid w:val="2E139E55"/>
    <w:rsid w:val="2E19EDF5"/>
    <w:rsid w:val="2E352D16"/>
    <w:rsid w:val="2E3941E9"/>
    <w:rsid w:val="2E4A83AF"/>
    <w:rsid w:val="2E5BE5C3"/>
    <w:rsid w:val="2EBBC49F"/>
    <w:rsid w:val="2EFD38BE"/>
    <w:rsid w:val="2F34FE16"/>
    <w:rsid w:val="2F36D391"/>
    <w:rsid w:val="2F52C30F"/>
    <w:rsid w:val="2F8C7A27"/>
    <w:rsid w:val="2FC7081B"/>
    <w:rsid w:val="2FD9A137"/>
    <w:rsid w:val="2FF21065"/>
    <w:rsid w:val="30007114"/>
    <w:rsid w:val="30ACA205"/>
    <w:rsid w:val="30BBF303"/>
    <w:rsid w:val="30BEF538"/>
    <w:rsid w:val="30E9B091"/>
    <w:rsid w:val="31734B69"/>
    <w:rsid w:val="31753B4C"/>
    <w:rsid w:val="31BFF937"/>
    <w:rsid w:val="3222F27F"/>
    <w:rsid w:val="3239D40E"/>
    <w:rsid w:val="325D5AA0"/>
    <w:rsid w:val="3265128A"/>
    <w:rsid w:val="32E7871F"/>
    <w:rsid w:val="3343FB1D"/>
    <w:rsid w:val="33C3EB18"/>
    <w:rsid w:val="33E9CC85"/>
    <w:rsid w:val="33EE2B54"/>
    <w:rsid w:val="34C12E9D"/>
    <w:rsid w:val="34EDB493"/>
    <w:rsid w:val="34F36A89"/>
    <w:rsid w:val="3523D557"/>
    <w:rsid w:val="35373A6A"/>
    <w:rsid w:val="360A14EE"/>
    <w:rsid w:val="36214D0C"/>
    <w:rsid w:val="3637BC71"/>
    <w:rsid w:val="365C5D68"/>
    <w:rsid w:val="367E3B3F"/>
    <w:rsid w:val="36A7AD0D"/>
    <w:rsid w:val="36A7F8C8"/>
    <w:rsid w:val="36B790D5"/>
    <w:rsid w:val="36CB5447"/>
    <w:rsid w:val="36D6DE98"/>
    <w:rsid w:val="372E7755"/>
    <w:rsid w:val="37F19A23"/>
    <w:rsid w:val="3817F242"/>
    <w:rsid w:val="381B93F4"/>
    <w:rsid w:val="38216F1D"/>
    <w:rsid w:val="385F6FC9"/>
    <w:rsid w:val="386AA655"/>
    <w:rsid w:val="38E0AC0D"/>
    <w:rsid w:val="38EE343C"/>
    <w:rsid w:val="391A9F49"/>
    <w:rsid w:val="3932C0CE"/>
    <w:rsid w:val="394A1F68"/>
    <w:rsid w:val="394A53EB"/>
    <w:rsid w:val="39831BDA"/>
    <w:rsid w:val="39C7406F"/>
    <w:rsid w:val="3AC05939"/>
    <w:rsid w:val="3ACC2E40"/>
    <w:rsid w:val="3B09B2E9"/>
    <w:rsid w:val="3B22B8F0"/>
    <w:rsid w:val="3B876781"/>
    <w:rsid w:val="3C31D57B"/>
    <w:rsid w:val="3C484C66"/>
    <w:rsid w:val="3CF139A0"/>
    <w:rsid w:val="3D2AC79A"/>
    <w:rsid w:val="3D981587"/>
    <w:rsid w:val="3DBECA92"/>
    <w:rsid w:val="3DD89F60"/>
    <w:rsid w:val="3E303B7E"/>
    <w:rsid w:val="3E347F74"/>
    <w:rsid w:val="3EBBA053"/>
    <w:rsid w:val="3EBDFB10"/>
    <w:rsid w:val="3EEAF7B6"/>
    <w:rsid w:val="3EFCBF5C"/>
    <w:rsid w:val="3F072138"/>
    <w:rsid w:val="3F48CC2E"/>
    <w:rsid w:val="3FDA1F91"/>
    <w:rsid w:val="408C1849"/>
    <w:rsid w:val="408D97F0"/>
    <w:rsid w:val="40D13CC7"/>
    <w:rsid w:val="40D90285"/>
    <w:rsid w:val="411B6111"/>
    <w:rsid w:val="416B7C82"/>
    <w:rsid w:val="41B6D298"/>
    <w:rsid w:val="41C18B24"/>
    <w:rsid w:val="42506658"/>
    <w:rsid w:val="42525750"/>
    <w:rsid w:val="426D0FC3"/>
    <w:rsid w:val="42A56ED5"/>
    <w:rsid w:val="4391FBE5"/>
    <w:rsid w:val="439B92EA"/>
    <w:rsid w:val="44043D82"/>
    <w:rsid w:val="4451E6DD"/>
    <w:rsid w:val="44546EA1"/>
    <w:rsid w:val="4515A4CC"/>
    <w:rsid w:val="454501FD"/>
    <w:rsid w:val="45803351"/>
    <w:rsid w:val="45A19C6B"/>
    <w:rsid w:val="464F1F4B"/>
    <w:rsid w:val="46F2DC96"/>
    <w:rsid w:val="471A8020"/>
    <w:rsid w:val="472C0BB4"/>
    <w:rsid w:val="4779DC89"/>
    <w:rsid w:val="477C9C6F"/>
    <w:rsid w:val="47864381"/>
    <w:rsid w:val="479E342D"/>
    <w:rsid w:val="480067E3"/>
    <w:rsid w:val="4848EB06"/>
    <w:rsid w:val="489C9C1C"/>
    <w:rsid w:val="489EA06A"/>
    <w:rsid w:val="48DC568C"/>
    <w:rsid w:val="48F8ED14"/>
    <w:rsid w:val="498A4C62"/>
    <w:rsid w:val="49A3ED5D"/>
    <w:rsid w:val="49A76B76"/>
    <w:rsid w:val="49BDDB50"/>
    <w:rsid w:val="49BE9AB0"/>
    <w:rsid w:val="4A2B2334"/>
    <w:rsid w:val="4A34A82D"/>
    <w:rsid w:val="4A5B2629"/>
    <w:rsid w:val="4A610B2B"/>
    <w:rsid w:val="4A6ACD7F"/>
    <w:rsid w:val="4AA5B695"/>
    <w:rsid w:val="4AD18C43"/>
    <w:rsid w:val="4AEA4D6B"/>
    <w:rsid w:val="4AF7616D"/>
    <w:rsid w:val="4B2C3EA9"/>
    <w:rsid w:val="4B670538"/>
    <w:rsid w:val="4BBA6414"/>
    <w:rsid w:val="4BBB9145"/>
    <w:rsid w:val="4BCB5DE9"/>
    <w:rsid w:val="4C223CB3"/>
    <w:rsid w:val="4C5D1023"/>
    <w:rsid w:val="4CA08056"/>
    <w:rsid w:val="4CAB54CB"/>
    <w:rsid w:val="4CD21EA7"/>
    <w:rsid w:val="4DA8C31F"/>
    <w:rsid w:val="4E408F6C"/>
    <w:rsid w:val="4E54A1D9"/>
    <w:rsid w:val="4ED695BE"/>
    <w:rsid w:val="4F20D48B"/>
    <w:rsid w:val="4F2BB567"/>
    <w:rsid w:val="4F5B182E"/>
    <w:rsid w:val="4F702165"/>
    <w:rsid w:val="4F9A556F"/>
    <w:rsid w:val="4FA87872"/>
    <w:rsid w:val="4FB6F8F6"/>
    <w:rsid w:val="4FE7D69E"/>
    <w:rsid w:val="4FF5D270"/>
    <w:rsid w:val="50A9A72F"/>
    <w:rsid w:val="5132F283"/>
    <w:rsid w:val="51750A2A"/>
    <w:rsid w:val="52091DF8"/>
    <w:rsid w:val="52324797"/>
    <w:rsid w:val="52EA0D98"/>
    <w:rsid w:val="535F67A7"/>
    <w:rsid w:val="53B41F15"/>
    <w:rsid w:val="53EAA258"/>
    <w:rsid w:val="54032837"/>
    <w:rsid w:val="545774E5"/>
    <w:rsid w:val="54BF5C5E"/>
    <w:rsid w:val="553D1AE9"/>
    <w:rsid w:val="555CFAC9"/>
    <w:rsid w:val="556C1ED0"/>
    <w:rsid w:val="55794AAC"/>
    <w:rsid w:val="55A7B872"/>
    <w:rsid w:val="55C61A48"/>
    <w:rsid w:val="55F97D32"/>
    <w:rsid w:val="55FC130A"/>
    <w:rsid w:val="560E0022"/>
    <w:rsid w:val="561C6CDD"/>
    <w:rsid w:val="56909B01"/>
    <w:rsid w:val="56A92EB5"/>
    <w:rsid w:val="56BD389C"/>
    <w:rsid w:val="56C43616"/>
    <w:rsid w:val="56FFB810"/>
    <w:rsid w:val="576FF7AA"/>
    <w:rsid w:val="578AB729"/>
    <w:rsid w:val="58246A27"/>
    <w:rsid w:val="587C651B"/>
    <w:rsid w:val="59032C1A"/>
    <w:rsid w:val="595D26CC"/>
    <w:rsid w:val="59778CE6"/>
    <w:rsid w:val="5A1BCD57"/>
    <w:rsid w:val="5A2F08F3"/>
    <w:rsid w:val="5A583734"/>
    <w:rsid w:val="5A5E53EB"/>
    <w:rsid w:val="5AA7ED71"/>
    <w:rsid w:val="5AC9AD0F"/>
    <w:rsid w:val="5ADFCF49"/>
    <w:rsid w:val="5C50AEC7"/>
    <w:rsid w:val="5C7DF09D"/>
    <w:rsid w:val="5CA2382B"/>
    <w:rsid w:val="5D12B5C7"/>
    <w:rsid w:val="5D711D79"/>
    <w:rsid w:val="5E0CD4B1"/>
    <w:rsid w:val="5E9C1A9E"/>
    <w:rsid w:val="5EFBF864"/>
    <w:rsid w:val="5F3A5793"/>
    <w:rsid w:val="5F3F5A0C"/>
    <w:rsid w:val="5FE2B0DC"/>
    <w:rsid w:val="5FE3A868"/>
    <w:rsid w:val="5FE77AE2"/>
    <w:rsid w:val="5FEF7747"/>
    <w:rsid w:val="602776A2"/>
    <w:rsid w:val="605AD64B"/>
    <w:rsid w:val="6086F916"/>
    <w:rsid w:val="60924C33"/>
    <w:rsid w:val="6092E21A"/>
    <w:rsid w:val="60E2AE56"/>
    <w:rsid w:val="60E4D92B"/>
    <w:rsid w:val="60E85C70"/>
    <w:rsid w:val="613FF942"/>
    <w:rsid w:val="615AE142"/>
    <w:rsid w:val="61F7FEFC"/>
    <w:rsid w:val="6212CC83"/>
    <w:rsid w:val="6242711D"/>
    <w:rsid w:val="6337AE9F"/>
    <w:rsid w:val="63A05FF0"/>
    <w:rsid w:val="63D6BCF4"/>
    <w:rsid w:val="63F7382F"/>
    <w:rsid w:val="647965F1"/>
    <w:rsid w:val="648B98E2"/>
    <w:rsid w:val="6492B4E6"/>
    <w:rsid w:val="6498D8D1"/>
    <w:rsid w:val="649A90DC"/>
    <w:rsid w:val="64DF867F"/>
    <w:rsid w:val="65E6FFBB"/>
    <w:rsid w:val="65FDFD20"/>
    <w:rsid w:val="66A8402E"/>
    <w:rsid w:val="670CBC7E"/>
    <w:rsid w:val="6720BAE8"/>
    <w:rsid w:val="676CC2CD"/>
    <w:rsid w:val="679B261B"/>
    <w:rsid w:val="67BE22EA"/>
    <w:rsid w:val="67C860BF"/>
    <w:rsid w:val="67E7C7B3"/>
    <w:rsid w:val="67F9316B"/>
    <w:rsid w:val="6811D1A1"/>
    <w:rsid w:val="6815378A"/>
    <w:rsid w:val="68ACD944"/>
    <w:rsid w:val="691B5956"/>
    <w:rsid w:val="695178D7"/>
    <w:rsid w:val="695D2471"/>
    <w:rsid w:val="695FD35C"/>
    <w:rsid w:val="69C3865F"/>
    <w:rsid w:val="69FBB84F"/>
    <w:rsid w:val="6A55CA1B"/>
    <w:rsid w:val="6ACCD5A4"/>
    <w:rsid w:val="6AF38F61"/>
    <w:rsid w:val="6B230F3B"/>
    <w:rsid w:val="6B53C46E"/>
    <w:rsid w:val="6C19FCAB"/>
    <w:rsid w:val="6C798E08"/>
    <w:rsid w:val="6C99A313"/>
    <w:rsid w:val="6CC5F237"/>
    <w:rsid w:val="6CEAE64F"/>
    <w:rsid w:val="6DD19FC8"/>
    <w:rsid w:val="6DE3BC68"/>
    <w:rsid w:val="6E035C38"/>
    <w:rsid w:val="6E04EBB4"/>
    <w:rsid w:val="6E126826"/>
    <w:rsid w:val="6E1A6F2A"/>
    <w:rsid w:val="6E2A43C0"/>
    <w:rsid w:val="6EBF654F"/>
    <w:rsid w:val="6ED37F3D"/>
    <w:rsid w:val="6EEF524D"/>
    <w:rsid w:val="6EF5B844"/>
    <w:rsid w:val="6F254AB9"/>
    <w:rsid w:val="6F5C46EB"/>
    <w:rsid w:val="6F6F6394"/>
    <w:rsid w:val="6FF7065A"/>
    <w:rsid w:val="703381AF"/>
    <w:rsid w:val="70AE2FE5"/>
    <w:rsid w:val="70D2639D"/>
    <w:rsid w:val="71192D3C"/>
    <w:rsid w:val="711B9AFB"/>
    <w:rsid w:val="71CB099A"/>
    <w:rsid w:val="71D1C9F9"/>
    <w:rsid w:val="721D7190"/>
    <w:rsid w:val="72830E6A"/>
    <w:rsid w:val="7284C14F"/>
    <w:rsid w:val="72BB8072"/>
    <w:rsid w:val="72ECFCA3"/>
    <w:rsid w:val="734DD4F9"/>
    <w:rsid w:val="7352AB81"/>
    <w:rsid w:val="735D76F4"/>
    <w:rsid w:val="73D627DD"/>
    <w:rsid w:val="7465F803"/>
    <w:rsid w:val="7487E6F5"/>
    <w:rsid w:val="74A01404"/>
    <w:rsid w:val="74A1A77F"/>
    <w:rsid w:val="74AE49F1"/>
    <w:rsid w:val="75235566"/>
    <w:rsid w:val="756943EC"/>
    <w:rsid w:val="7577DA53"/>
    <w:rsid w:val="75DF2AA9"/>
    <w:rsid w:val="76116C0B"/>
    <w:rsid w:val="76B391E8"/>
    <w:rsid w:val="77086DB1"/>
    <w:rsid w:val="77668F62"/>
    <w:rsid w:val="77BC4FA0"/>
    <w:rsid w:val="77F87AF4"/>
    <w:rsid w:val="78273AC2"/>
    <w:rsid w:val="782CCAAB"/>
    <w:rsid w:val="784E581B"/>
    <w:rsid w:val="78766F4E"/>
    <w:rsid w:val="792C8957"/>
    <w:rsid w:val="7941234C"/>
    <w:rsid w:val="796C7EDE"/>
    <w:rsid w:val="7976C84B"/>
    <w:rsid w:val="79DFC1FA"/>
    <w:rsid w:val="7A1B8CC8"/>
    <w:rsid w:val="7A386C37"/>
    <w:rsid w:val="7AB3F064"/>
    <w:rsid w:val="7AEE938D"/>
    <w:rsid w:val="7B42E1AE"/>
    <w:rsid w:val="7B47041E"/>
    <w:rsid w:val="7B9E4297"/>
    <w:rsid w:val="7C09CCA8"/>
    <w:rsid w:val="7C37C074"/>
    <w:rsid w:val="7C3BDBF1"/>
    <w:rsid w:val="7CB15D2F"/>
    <w:rsid w:val="7CC4A722"/>
    <w:rsid w:val="7CE668D2"/>
    <w:rsid w:val="7D0F4FA7"/>
    <w:rsid w:val="7D9E6318"/>
    <w:rsid w:val="7DAF1369"/>
    <w:rsid w:val="7DC9FADE"/>
    <w:rsid w:val="7DD3960F"/>
    <w:rsid w:val="7E03751F"/>
    <w:rsid w:val="7E297B19"/>
    <w:rsid w:val="7E7C221D"/>
    <w:rsid w:val="7EA57A3F"/>
    <w:rsid w:val="7EB693CA"/>
    <w:rsid w:val="7F6F0FC0"/>
    <w:rsid w:val="7F9C733B"/>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76116C0B"/>
  <w15:chartTrackingRefBased/>
  <w15:docId w15:val="{B75CCFAB-455D-440D-AF09-291A18CCB2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name w:val="Hyperlink"/>
    <w:basedOn w:val="DefaultParagraphFont"/>
    <w:uiPriority w:val="99"/>
    <w:unhideWhenUsed/>
    <w:rsid w:val="2F8C7A27"/>
    <w:rPr>
      <w:color w:val="467886"/>
      <w:u w:val="single"/>
    </w:rPr>
  </w:style>
  <w:style w:type="paragraph" w:styleId="ListParagraph">
    <w:name w:val="List Paragraph"/>
    <w:basedOn w:val="Normal"/>
    <w:uiPriority w:val="34"/>
    <w:qFormat/>
    <w:rsid w:val="721D7190"/>
    <w:pPr>
      <w:ind w:left="720"/>
      <w:contextualSpacing/>
    </w:pPr>
  </w:style>
  <w:style w:type="character" w:styleId="FollowedHyperlink">
    <w:name w:val="FollowedHyperlink"/>
    <w:basedOn w:val="DefaultParagraphFont"/>
    <w:uiPriority w:val="99"/>
    <w:semiHidden/>
    <w:unhideWhenUsed/>
    <w:rsid w:val="00004A03"/>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legislation.gov.uk/ukpga/2010/15/contents" TargetMode="External"/><Relationship Id="rId18" Type="http://schemas.openxmlformats.org/officeDocument/2006/relationships/hyperlink" Target="https://www.instituteofhealthequity.org/resources-reports/marmot-review-10-years-on" TargetMode="External"/><Relationship Id="rId26" Type="http://schemas.openxmlformats.org/officeDocument/2006/relationships/hyperlink" Target="https://www.undp.org/sustainable-development-goals/reduced-inequalities" TargetMode="External"/><Relationship Id="rId39" Type="http://schemas.openxmlformats.org/officeDocument/2006/relationships/hyperlink" Target="https://datatopics.worldbank.org/sdgatlas/goal-3-good-health-and-well-being" TargetMode="External"/><Relationship Id="rId21" Type="http://schemas.openxmlformats.org/officeDocument/2006/relationships/hyperlink" Target="https://www.england.nhs.uk/about/equality/equality-hub/national-healthcare-inequalities-improvement-programme/core20plus5/core20plus5-cyp/" TargetMode="External"/><Relationship Id="rId34" Type="http://schemas.openxmlformats.org/officeDocument/2006/relationships/hyperlink" Target="https://www.afro.who.int/sites/default/files/2017-06/140120HPRHiAPFramework.pdf" TargetMode="External"/><Relationship Id="rId42" Type="http://schemas.openxmlformats.org/officeDocument/2006/relationships/hyperlink" Target="https://www.who.int/data/gho/data/themes/world-health-statistics" TargetMode="External"/><Relationship Id="rId7" Type="http://schemas.openxmlformats.org/officeDocument/2006/relationships/hyperlink" Target="https://www.birmingham.gov.uk/downloads/file/23756/creating_a_bolder_healthier_city_2022_to_2030" TargetMode="External"/><Relationship Id="rId2" Type="http://schemas.openxmlformats.org/officeDocument/2006/relationships/styles" Target="styles.xml"/><Relationship Id="rId16" Type="http://schemas.openxmlformats.org/officeDocument/2006/relationships/hyperlink" Target="https://cris.brighton.ac.uk/ws/files/322731/Jo%20MacDonnell%20MERJ%20article%20May%202012%20(1).pdf" TargetMode="External"/><Relationship Id="rId20" Type="http://schemas.openxmlformats.org/officeDocument/2006/relationships/hyperlink" Target="https://www.england.nhs.uk/diabetes/diabetes-prevention/" TargetMode="External"/><Relationship Id="rId29" Type="http://schemas.openxmlformats.org/officeDocument/2006/relationships/hyperlink" Target="https://www.un.org/en/chronicle/article/goal-10-why-addressing-inequality-matters" TargetMode="External"/><Relationship Id="rId41" Type="http://schemas.openxmlformats.org/officeDocument/2006/relationships/hyperlink" Target="https://www.who.int/europe/about-us/our-work/sustainable-development-goals" TargetMode="External"/><Relationship Id="rId1" Type="http://schemas.openxmlformats.org/officeDocument/2006/relationships/numbering" Target="numbering.xml"/><Relationship Id="rId6" Type="http://schemas.openxmlformats.org/officeDocument/2006/relationships/hyperlink" Target="https://www.birmingham.gov.uk/news/article/1186/everyones_battle_everyones_business_action_plan_approved_by_cabinet" TargetMode="External"/><Relationship Id="rId11" Type="http://schemas.openxmlformats.org/officeDocument/2006/relationships/hyperlink" Target="https://www.gov.uk/government/publications/10-year-health-plan-for-england-fit-for-the-future/fit-for-the-future-10-year-health-plan-for-england-executive-summary" TargetMode="External"/><Relationship Id="rId24" Type="http://schemas.openxmlformats.org/officeDocument/2006/relationships/hyperlink" Target="https://assets.publishing.service.gov.uk/media/62b2e45b8fa8f5357a677f29/State_of_the_Nation_2022_A_fresh_approach_to_social_mobility.pdf" TargetMode="External"/><Relationship Id="rId32" Type="http://schemas.openxmlformats.org/officeDocument/2006/relationships/hyperlink" Target="https://www.un.org/sustainabledevelopment/inequality/" TargetMode="External"/><Relationship Id="rId37" Type="http://schemas.openxmlformats.org/officeDocument/2006/relationships/hyperlink" Target="https://iris.who.int/server/api/core/bitstreams/1f4d4a08-b20d-4c36-9148-a59429ac3477/content" TargetMode="External"/><Relationship Id="rId40" Type="http://schemas.openxmlformats.org/officeDocument/2006/relationships/hyperlink" Target="https://www.who.int/teams/social-determinants-of-health/equity-and-health/world-report-on-social-determinants-of-health-equity" TargetMode="External"/><Relationship Id="rId5" Type="http://schemas.openxmlformats.org/officeDocument/2006/relationships/hyperlink" Target="https://www.ncbi.nlm.nih.gov/books/NBK606120/" TargetMode="External"/><Relationship Id="rId15" Type="http://schemas.openxmlformats.org/officeDocument/2006/relationships/hyperlink" Target="https://www.jrf.org.uk/uk-poverty-2020-21" TargetMode="External"/><Relationship Id="rId23" Type="http://schemas.openxmlformats.org/officeDocument/2006/relationships/hyperlink" Target="https://sdg.iisd.org/commentary/guest-articles/integrated-policies-can-reduce-inequality-end-poverty-and-the-war-on-nature/" TargetMode="External"/><Relationship Id="rId28" Type="http://schemas.openxmlformats.org/officeDocument/2006/relationships/hyperlink" Target="https://data.unicef.org/sdgs/goal-3-good-health-wellbeing/" TargetMode="External"/><Relationship Id="rId36" Type="http://schemas.openxmlformats.org/officeDocument/2006/relationships/hyperlink" Target="https://www.who.int/europe/about-us/our-work/sustainable-development-goals/targets-of-sustainable-development-goal-3" TargetMode="External"/><Relationship Id="rId10" Type="http://schemas.openxmlformats.org/officeDocument/2006/relationships/hyperlink" Target="https://www.cdhn.org/sites/default/files/oldwebsite/FACTSHEETS%201_Screen%20View(1).pdf" TargetMode="External"/><Relationship Id="rId19" Type="http://schemas.openxmlformats.org/officeDocument/2006/relationships/hyperlink" Target="https://www.england.nhs.uk/long-term-plan/" TargetMode="External"/><Relationship Id="rId31" Type="http://schemas.openxmlformats.org/officeDocument/2006/relationships/hyperlink" Target="https://www.un.org/sustainabledevelopment/health/" TargetMode="External"/><Relationship Id="rId44"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bond.org.uk/wp-content/uploads/2022/09/sdg10.pdf" TargetMode="External"/><Relationship Id="rId14" Type="http://schemas.openxmlformats.org/officeDocument/2006/relationships/hyperlink" Target="https://www.legislation.gov.uk/id/ukpga/2022/31?utm_source=chatgpt.com" TargetMode="External"/><Relationship Id="rId22" Type="http://schemas.openxmlformats.org/officeDocument/2006/relationships/hyperlink" Target="https://www.england.nhs.uk/publication/integrated-care-systems-guidance/" TargetMode="External"/><Relationship Id="rId27" Type="http://schemas.openxmlformats.org/officeDocument/2006/relationships/hyperlink" Target="https://hdr.undp.org/content/human-development-report-2021-22" TargetMode="External"/><Relationship Id="rId30" Type="http://schemas.openxmlformats.org/officeDocument/2006/relationships/hyperlink" Target="https://sdgs.un.org/2030agenda." TargetMode="External"/><Relationship Id="rId35" Type="http://schemas.openxmlformats.org/officeDocument/2006/relationships/hyperlink" Target="https://www.who.int/activities/promoting-health-in-all-policies-and-intersectoral-action-capacities" TargetMode="External"/><Relationship Id="rId43" Type="http://schemas.openxmlformats.org/officeDocument/2006/relationships/fontTable" Target="fontTable.xml"/><Relationship Id="rId8" Type="http://schemas.openxmlformats.org/officeDocument/2006/relationships/hyperlink" Target="https://www.birmingham.gov.uk/info/20218/equality_and_diversity/646/equality_objectives" TargetMode="External"/><Relationship Id="rId3" Type="http://schemas.openxmlformats.org/officeDocument/2006/relationships/settings" Target="settings.xml"/><Relationship Id="rId12" Type="http://schemas.openxmlformats.org/officeDocument/2006/relationships/hyperlink" Target="https://www.equalityhumanrights.com/sites/default/files/2023/Great%20Britain%20Equality%20and%20Human%20Rights%20Monitor%20large%20print-%20accessible%20PDF.pdf" TargetMode="External"/><Relationship Id="rId17" Type="http://schemas.openxmlformats.org/officeDocument/2006/relationships/hyperlink" Target="https://oxfamilibrary.openrepository.com/bitstream/handle/10546/620821/bn-uk-aid-inequality-sdg-10-260619-en.pdf?sequence=1" TargetMode="External"/><Relationship Id="rId25" Type="http://schemas.openxmlformats.org/officeDocument/2006/relationships/hyperlink" Target="https://www.kingsfund.org.uk/insight-and-analysis/data-and-charts/health-inequalities-nutshell" TargetMode="External"/><Relationship Id="rId33" Type="http://schemas.openxmlformats.org/officeDocument/2006/relationships/hyperlink" Target="https://unstats.un.org/sdgs/report/2025/The-Sustainable-Development-Goals-Report-2025.pdf" TargetMode="External"/><Relationship Id="rId38" Type="http://schemas.openxmlformats.org/officeDocument/2006/relationships/hyperlink" Target="https://www.who.int/news-room/fact-sheets/detail/universal-health-coverage-%28uhc%2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86</TotalTime>
  <Pages>0</Pages>
  <Words>0</Words>
  <Characters>0</Characters>
  <Application>Microsoft Office Word</Application>
  <DocSecurity>4</DocSecurity>
  <Lines>0</Lines>
  <Paragraphs>0</Paragraphs>
  <ScaleCrop>false</ScaleCrop>
  <Company/>
  <LinksUpToDate>false</LinksUpToDate>
  <CharactersWithSpaces>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Sharmin Begum (2227513)</dc:creator>
  <cp:keywords/>
  <dc:description/>
  <cp:lastModifiedBy>Sharmin Begum (2227513)</cp:lastModifiedBy>
  <cp:revision>74</cp:revision>
  <dcterms:created xsi:type="dcterms:W3CDTF">2025-10-01T10:44:00Z</dcterms:created>
  <dcterms:modified xsi:type="dcterms:W3CDTF">2025-11-16T13:56:00Z</dcterms:modified>
</cp:coreProperties>
</file>