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114300</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tabs>
          <w:tab w:val="left" w:leader="none" w:pos="6540"/>
        </w:tabs>
        <w:spacing w:after="160" w:line="360" w:lineRule="auto"/>
        <w:rPr>
          <w:sz w:val="28"/>
          <w:szCs w:val="28"/>
        </w:rPr>
      </w:pPr>
      <w:r w:rsidDel="00000000" w:rsidR="00000000" w:rsidRPr="00000000">
        <w:rPr>
          <w:b w:val="1"/>
          <w:bCs w:val="1"/>
          <w:sz w:val="28"/>
          <w:szCs w:val="28"/>
          <w:rtl w:val="0"/>
        </w:rPr>
        <w:t xml:space="preserve">Student name</w:t>
      </w:r>
      <w:r w:rsidDel="00000000" w:rsidR="00000000" w:rsidRPr="00000000">
        <w:rPr>
          <w:sz w:val="28"/>
          <w:szCs w:val="28"/>
          <w:rtl w:val="0"/>
        </w:rPr>
        <w:t xml:space="preserve">: Adriana Ilona Rana Ryng </w:t>
      </w:r>
    </w:p>
    <w:p w:rsidR="00000000" w:rsidDel="00000000" w:rsidP="00000000" w:rsidRDefault="00000000" w:rsidRPr="00000000" w14:paraId="00000004">
      <w:pPr>
        <w:tabs>
          <w:tab w:val="left" w:leader="none" w:pos="6540"/>
        </w:tabs>
        <w:spacing w:after="160" w:line="360" w:lineRule="auto"/>
        <w:rPr>
          <w:sz w:val="28"/>
          <w:szCs w:val="28"/>
        </w:rPr>
      </w:pPr>
      <w:r w:rsidDel="00000000" w:rsidR="00000000" w:rsidRPr="00000000">
        <w:rPr>
          <w:b w:val="1"/>
          <w:bCs w:val="1"/>
          <w:sz w:val="28"/>
          <w:szCs w:val="28"/>
          <w:rtl w:val="0"/>
        </w:rPr>
        <w:t xml:space="preserve">Student ID</w:t>
      </w:r>
      <w:r w:rsidDel="00000000" w:rsidR="00000000" w:rsidRPr="00000000">
        <w:rPr>
          <w:sz w:val="28"/>
          <w:szCs w:val="28"/>
          <w:rtl w:val="0"/>
        </w:rPr>
        <w:t xml:space="preserve">: 2430426</w:t>
      </w:r>
    </w:p>
    <w:p w:rsidR="00000000" w:rsidDel="00000000" w:rsidP="00000000" w:rsidRDefault="00000000" w:rsidRPr="00000000" w14:paraId="00000005">
      <w:pPr>
        <w:tabs>
          <w:tab w:val="left" w:leader="none" w:pos="6540"/>
        </w:tabs>
        <w:spacing w:after="160" w:line="360" w:lineRule="auto"/>
        <w:rPr>
          <w:sz w:val="28"/>
          <w:szCs w:val="28"/>
        </w:rPr>
      </w:pPr>
      <w:r w:rsidDel="00000000" w:rsidR="00000000" w:rsidRPr="00000000">
        <w:rPr>
          <w:b w:val="1"/>
          <w:bCs w:val="1"/>
          <w:sz w:val="28"/>
          <w:szCs w:val="28"/>
          <w:rtl w:val="0"/>
        </w:rPr>
        <w:t xml:space="preserve">Module name</w:t>
      </w:r>
      <w:r w:rsidDel="00000000" w:rsidR="00000000" w:rsidRPr="00000000">
        <w:rPr>
          <w:sz w:val="28"/>
          <w:szCs w:val="28"/>
          <w:rtl w:val="0"/>
        </w:rPr>
        <w:t xml:space="preserve">: Principles of Health and Social Care Practice </w:t>
      </w:r>
    </w:p>
    <w:p w:rsidR="00000000" w:rsidDel="00000000" w:rsidP="00000000" w:rsidRDefault="00000000" w:rsidRPr="00000000" w14:paraId="00000006">
      <w:pPr>
        <w:tabs>
          <w:tab w:val="left" w:leader="none" w:pos="6540"/>
        </w:tabs>
        <w:spacing w:after="160" w:line="360" w:lineRule="auto"/>
        <w:rPr>
          <w:sz w:val="28"/>
          <w:szCs w:val="28"/>
        </w:rPr>
      </w:pPr>
      <w:r w:rsidDel="00000000" w:rsidR="00000000" w:rsidRPr="00000000">
        <w:rPr>
          <w:b w:val="1"/>
          <w:bCs w:val="1"/>
          <w:sz w:val="28"/>
          <w:szCs w:val="28"/>
          <w:rtl w:val="0"/>
        </w:rPr>
        <w:t xml:space="preserve">Module code</w:t>
      </w:r>
      <w:r w:rsidDel="00000000" w:rsidR="00000000" w:rsidRPr="00000000">
        <w:rPr>
          <w:sz w:val="28"/>
          <w:szCs w:val="28"/>
          <w:rtl w:val="0"/>
        </w:rPr>
        <w:t xml:space="preserve">: BMHP 5016_LON</w:t>
      </w:r>
    </w:p>
    <w:p w:rsidR="00000000" w:rsidDel="00000000" w:rsidP="00000000" w:rsidRDefault="00000000" w:rsidRPr="00000000" w14:paraId="00000007">
      <w:pPr>
        <w:tabs>
          <w:tab w:val="left" w:leader="none" w:pos="6540"/>
        </w:tabs>
        <w:spacing w:after="160" w:line="360" w:lineRule="auto"/>
        <w:rPr>
          <w:sz w:val="28"/>
          <w:szCs w:val="28"/>
        </w:rPr>
      </w:pPr>
      <w:r w:rsidDel="00000000" w:rsidR="00000000" w:rsidRPr="00000000">
        <w:rPr>
          <w:b w:val="1"/>
          <w:bCs w:val="1"/>
          <w:sz w:val="28"/>
          <w:szCs w:val="28"/>
          <w:rtl w:val="0"/>
        </w:rPr>
        <w:t xml:space="preserve">Lecturer name</w:t>
      </w:r>
      <w:r w:rsidDel="00000000" w:rsidR="00000000" w:rsidRPr="00000000">
        <w:rPr>
          <w:sz w:val="28"/>
          <w:szCs w:val="28"/>
          <w:rtl w:val="0"/>
        </w:rPr>
        <w:t xml:space="preserve">: Mark Kane.</w:t>
      </w:r>
    </w:p>
    <w:p w:rsidR="00000000" w:rsidDel="00000000" w:rsidP="00000000" w:rsidRDefault="00000000" w:rsidRPr="00000000" w14:paraId="00000008">
      <w:pPr>
        <w:tabs>
          <w:tab w:val="left" w:leader="none" w:pos="6540"/>
        </w:tabs>
        <w:spacing w:after="160" w:line="360" w:lineRule="auto"/>
        <w:rPr>
          <w:b w:val="1"/>
          <w:bCs w:val="1"/>
          <w:sz w:val="28"/>
          <w:szCs w:val="28"/>
        </w:rPr>
      </w:pPr>
      <w:r w:rsidDel="00000000" w:rsidR="00000000" w:rsidRPr="00000000">
        <w:rPr>
          <w:rtl w:val="0"/>
        </w:rPr>
      </w:r>
    </w:p>
    <w:p w:rsidR="00000000" w:rsidDel="00000000" w:rsidP="00000000" w:rsidRDefault="00000000" w:rsidRPr="00000000" w14:paraId="00000009">
      <w:pPr>
        <w:tabs>
          <w:tab w:val="left" w:leader="none" w:pos="6540"/>
        </w:tabs>
        <w:spacing w:after="160" w:line="360" w:lineRule="auto"/>
        <w:rPr>
          <w:b w:val="1"/>
          <w:bCs w:val="1"/>
          <w:sz w:val="30"/>
          <w:szCs w:val="30"/>
        </w:rPr>
      </w:pPr>
      <w:r w:rsidDel="00000000" w:rsidR="00000000" w:rsidRPr="00000000">
        <w:rPr>
          <w:b w:val="1"/>
          <w:bCs w:val="1"/>
          <w:sz w:val="30"/>
          <w:szCs w:val="30"/>
          <w:rtl w:val="0"/>
        </w:rPr>
        <w:t xml:space="preserve">Assessment: Component 2: </w:t>
      </w:r>
    </w:p>
    <w:p w:rsidR="00000000" w:rsidDel="00000000" w:rsidP="00000000" w:rsidRDefault="00000000" w:rsidRPr="00000000" w14:paraId="0000000A">
      <w:pPr>
        <w:spacing w:line="360" w:lineRule="auto"/>
        <w:rPr>
          <w:b w:val="1"/>
          <w:bCs w:val="1"/>
          <w:sz w:val="30"/>
          <w:szCs w:val="30"/>
        </w:rPr>
      </w:pPr>
      <w:r w:rsidDel="00000000" w:rsidR="00000000" w:rsidRPr="00000000">
        <w:rPr>
          <w:b w:val="1"/>
          <w:bCs w:val="1"/>
          <w:sz w:val="30"/>
          <w:szCs w:val="30"/>
          <w:rtl w:val="0"/>
        </w:rPr>
        <w:t xml:space="preserve">Reflective Report (2,000 words)</w:t>
      </w:r>
    </w:p>
    <w:p w:rsidR="00000000" w:rsidDel="00000000" w:rsidP="00000000" w:rsidRDefault="00000000" w:rsidRPr="00000000" w14:paraId="0000000B">
      <w:pPr>
        <w:rPr>
          <w:sz w:val="26"/>
          <w:szCs w:val="26"/>
        </w:rPr>
      </w:pPr>
      <w:r w:rsidDel="00000000" w:rsidR="00000000" w:rsidRPr="00000000">
        <w:rPr>
          <w:rtl w:val="0"/>
        </w:rPr>
      </w:r>
    </w:p>
    <w:p w:rsidR="00000000" w:rsidDel="00000000" w:rsidP="00000000" w:rsidRDefault="00000000" w:rsidRPr="00000000" w14:paraId="0000000C">
      <w:pPr>
        <w:rPr>
          <w:sz w:val="26"/>
          <w:szCs w:val="26"/>
        </w:rPr>
      </w:pPr>
      <w:r w:rsidDel="00000000" w:rsidR="00000000" w:rsidRPr="00000000">
        <w:rPr>
          <w:rtl w:val="0"/>
        </w:rPr>
      </w:r>
    </w:p>
    <w:p w:rsidR="00000000" w:rsidDel="00000000" w:rsidP="00000000" w:rsidRDefault="00000000" w:rsidRPr="00000000" w14:paraId="0000000D">
      <w:pPr>
        <w:rPr>
          <w:sz w:val="26"/>
          <w:szCs w:val="26"/>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b w:val="1"/>
          <w:bCs w:val="1"/>
          <w:sz w:val="26"/>
          <w:szCs w:val="26"/>
        </w:rPr>
      </w:pPr>
      <w:r w:rsidDel="00000000" w:rsidR="00000000" w:rsidRPr="00000000">
        <w:rPr>
          <w:b w:val="1"/>
          <w:bCs w:val="1"/>
          <w:sz w:val="26"/>
          <w:szCs w:val="26"/>
          <w:rtl w:val="0"/>
        </w:rPr>
        <w:t xml:space="preserve">Introduction and Definition, Systemic Context, Relationship to Person-Centered Care, and Essay Objectives.</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b w:val="1"/>
          <w:bCs w:val="1"/>
          <w:sz w:val="26"/>
          <w:szCs w:val="26"/>
        </w:rPr>
      </w:pPr>
      <w:r w:rsidDel="00000000" w:rsidR="00000000" w:rsidRPr="00000000">
        <w:rPr>
          <w:b w:val="1"/>
          <w:bCs w:val="1"/>
          <w:sz w:val="26"/>
          <w:szCs w:val="26"/>
          <w:rtl w:val="0"/>
        </w:rPr>
        <w:t xml:space="preserve">1. Introduction Global Care Chains (GCC) – Key Aspects.</w:t>
      </w:r>
    </w:p>
    <w:p w:rsidR="00000000" w:rsidDel="00000000" w:rsidP="00000000" w:rsidRDefault="00000000" w:rsidRPr="00000000" w14:paraId="00000014">
      <w:pPr>
        <w:rPr>
          <w:b w:val="1"/>
          <w:bCs w:val="1"/>
          <w:sz w:val="26"/>
          <w:szCs w:val="26"/>
        </w:rPr>
      </w:pPr>
      <w:r w:rsidDel="00000000" w:rsidR="00000000" w:rsidRPr="00000000">
        <w:rPr>
          <w:rtl w:val="0"/>
        </w:rPr>
      </w:r>
    </w:p>
    <w:p w:rsidR="00000000" w:rsidDel="00000000" w:rsidP="00000000" w:rsidRDefault="00000000" w:rsidRPr="00000000" w14:paraId="00000015">
      <w:pPr>
        <w:rPr>
          <w:b w:val="1"/>
          <w:bCs w:val="1"/>
        </w:rPr>
      </w:pPr>
      <w:r w:rsidDel="00000000" w:rsidR="00000000" w:rsidRPr="00000000">
        <w:rPr>
          <w:b w:val="1"/>
          <w:bCs w:val="1"/>
          <w:rtl w:val="0"/>
        </w:rPr>
        <w:t xml:space="preserve">1). Definition and Mechanism</w:t>
      </w:r>
    </w:p>
    <w:p w:rsidR="00000000" w:rsidDel="00000000" w:rsidP="00000000" w:rsidRDefault="00000000" w:rsidRPr="00000000" w14:paraId="00000016">
      <w:pPr>
        <w:rPr>
          <w:b w:val="1"/>
          <w:bCs w:val="1"/>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Global Care Chains (Hochschild, 2000) are based on a network of care services that transfer from poorer to richer countries. The mechanism is a migrant (e.g., from the Philippines to the USA or from Ukraine to Poland) who travels abroad for work, while her children remain in the care of family or less expensive caregivers.</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b w:val="1"/>
          <w:bCs w:val="1"/>
        </w:rPr>
      </w:pPr>
      <w:r w:rsidDel="00000000" w:rsidR="00000000" w:rsidRPr="00000000">
        <w:rPr>
          <w:b w:val="1"/>
          <w:bCs w:val="1"/>
          <w:rtl w:val="0"/>
        </w:rPr>
        <w:t xml:space="preserve">2). Foundations and Directions</w:t>
      </w:r>
    </w:p>
    <w:p w:rsidR="00000000" w:rsidDel="00000000" w:rsidP="00000000" w:rsidRDefault="00000000" w:rsidRPr="00000000" w14:paraId="0000001B">
      <w:pPr>
        <w:rPr>
          <w:b w:val="1"/>
          <w:bCs w:val="1"/>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The system is based on economic and geographic inequalities and restrictive migration policies (Yeates, 2009). This phenomenon is currently visible in Europe, including along the lines of:</w:t>
      </w:r>
    </w:p>
    <w:p w:rsidR="00000000" w:rsidDel="00000000" w:rsidP="00000000" w:rsidRDefault="00000000" w:rsidRPr="00000000" w14:paraId="0000001D">
      <w:pPr>
        <w:numPr>
          <w:ilvl w:val="0"/>
          <w:numId w:val="4"/>
        </w:numPr>
        <w:ind w:left="720" w:hanging="360"/>
        <w:rPr>
          <w:u w:val="none"/>
        </w:rPr>
      </w:pPr>
      <w:r w:rsidDel="00000000" w:rsidR="00000000" w:rsidRPr="00000000">
        <w:rPr>
          <w:rtl w:val="0"/>
        </w:rPr>
        <w:t xml:space="preserve">Ukraine to Poland</w:t>
      </w:r>
      <w:r w:rsidDel="00000000" w:rsidR="00000000" w:rsidRPr="00000000">
        <w:rPr>
          <w:rtl w:val="0"/>
        </w:rPr>
      </w:r>
    </w:p>
    <w:p w:rsidR="00000000" w:rsidDel="00000000" w:rsidP="00000000" w:rsidRDefault="00000000" w:rsidRPr="00000000" w14:paraId="0000001E">
      <w:pPr>
        <w:numPr>
          <w:ilvl w:val="0"/>
          <w:numId w:val="4"/>
        </w:numPr>
        <w:ind w:left="720" w:hanging="360"/>
        <w:rPr>
          <w:u w:val="none"/>
        </w:rPr>
      </w:pPr>
      <w:r w:rsidDel="00000000" w:rsidR="00000000" w:rsidRPr="00000000">
        <w:rPr>
          <w:rtl w:val="0"/>
        </w:rPr>
        <w:t xml:space="preserve">Romania / Bulgaria / Slovakia to Germany</w:t>
      </w: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Social impacts of This mechanism as a hierarchical "Care Ladder."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 Link:</w:t>
      </w:r>
    </w:p>
    <w:p w:rsidR="00000000" w:rsidDel="00000000" w:rsidP="00000000" w:rsidRDefault="00000000" w:rsidRPr="00000000" w14:paraId="00000023">
      <w:pPr>
        <w:numPr>
          <w:ilvl w:val="0"/>
          <w:numId w:val="3"/>
        </w:numPr>
        <w:ind w:left="720" w:hanging="360"/>
        <w:rPr>
          <w:u w:val="none"/>
        </w:rPr>
      </w:pPr>
      <w:r w:rsidDel="00000000" w:rsidR="00000000" w:rsidRPr="00000000">
        <w:rPr>
          <w:rtl w:val="0"/>
        </w:rPr>
        <w:t xml:space="preserve"> A migrant/caregiver from a less affluent country takes on a position with a ward from a wealthy country.</w:t>
      </w:r>
      <w:r w:rsidDel="00000000" w:rsidR="00000000" w:rsidRPr="00000000">
        <w:rPr>
          <w:rtl w:val="0"/>
        </w:rPr>
      </w:r>
    </w:p>
    <w:p w:rsidR="00000000" w:rsidDel="00000000" w:rsidP="00000000" w:rsidRDefault="00000000" w:rsidRPr="00000000" w14:paraId="00000024">
      <w:pPr>
        <w:numPr>
          <w:ilvl w:val="0"/>
          <w:numId w:val="3"/>
        </w:numPr>
        <w:ind w:left="720" w:hanging="360"/>
        <w:rPr>
          <w:u w:val="none"/>
        </w:rPr>
      </w:pPr>
      <w:r w:rsidDel="00000000" w:rsidR="00000000" w:rsidRPr="00000000">
        <w:rPr>
          <w:rtl w:val="0"/>
        </w:rPr>
        <w:t xml:space="preserve">Children in the caregiver's home country remain under the care of family or relatives.</w:t>
      </w:r>
      <w:r w:rsidDel="00000000" w:rsidR="00000000" w:rsidRPr="00000000">
        <w:rPr>
          <w:rtl w:val="0"/>
        </w:rPr>
      </w:r>
    </w:p>
    <w:p w:rsidR="00000000" w:rsidDel="00000000" w:rsidP="00000000" w:rsidRDefault="00000000" w:rsidRPr="00000000" w14:paraId="00000025">
      <w:pPr>
        <w:numPr>
          <w:ilvl w:val="0"/>
          <w:numId w:val="3"/>
        </w:numPr>
        <w:ind w:left="720" w:hanging="360"/>
        <w:rPr>
          <w:u w:val="none"/>
        </w:rPr>
      </w:pPr>
      <w:r w:rsidDel="00000000" w:rsidR="00000000" w:rsidRPr="00000000">
        <w:rPr>
          <w:rtl w:val="0"/>
        </w:rPr>
        <w:t xml:space="preserve">A family or migrant hires a caregiver from a poor province to care for the home and children.</w:t>
      </w:r>
      <w:r w:rsidDel="00000000" w:rsidR="00000000" w:rsidRPr="00000000">
        <w:rPr>
          <w:rtl w:val="0"/>
        </w:rPr>
      </w:r>
    </w:p>
    <w:p w:rsidR="00000000" w:rsidDel="00000000" w:rsidP="00000000" w:rsidRDefault="00000000" w:rsidRPr="00000000" w14:paraId="00000026">
      <w:pPr>
        <w:numPr>
          <w:ilvl w:val="0"/>
          <w:numId w:val="3"/>
        </w:numPr>
        <w:ind w:left="720" w:hanging="360"/>
        <w:rPr/>
      </w:pPr>
      <w:r w:rsidDel="00000000" w:rsidR="00000000" w:rsidRPr="00000000">
        <w:rPr>
          <w:rtl w:val="0"/>
        </w:rPr>
        <w:t xml:space="preserve">Conflict between labor law and the child's right to parental care.</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Thesis: Analyzing the structure of GCCs reveals the contradiction between the logic of the global labor market and the ethics of care, revealing the practice and limitations of implementing authentic person-centered care (PCC).</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This essay provides a critical analysis of the emergence of Global  Care Chains, the development critique of the GCC concept, along with assessments and applications in Health and Social Care practice and policy. Recommendations for policy and practice are provided at the end of the essay.</w:t>
      </w:r>
    </w:p>
    <w:p w:rsidR="00000000" w:rsidDel="00000000" w:rsidP="00000000" w:rsidRDefault="00000000" w:rsidRPr="00000000" w14:paraId="0000002B">
      <w:pPr>
        <w:rPr>
          <w:b w:val="1"/>
          <w:bCs w:val="1"/>
          <w:sz w:val="26"/>
          <w:szCs w:val="26"/>
        </w:rPr>
      </w:pPr>
      <w:r w:rsidDel="00000000" w:rsidR="00000000" w:rsidRPr="00000000">
        <w:rPr>
          <w:rtl w:val="0"/>
        </w:rPr>
      </w:r>
    </w:p>
    <w:p w:rsidR="00000000" w:rsidDel="00000000" w:rsidP="00000000" w:rsidRDefault="00000000" w:rsidRPr="00000000" w14:paraId="0000002C">
      <w:pPr>
        <w:rPr>
          <w:b w:val="1"/>
          <w:bCs w:val="1"/>
          <w:sz w:val="26"/>
          <w:szCs w:val="26"/>
        </w:rPr>
      </w:pPr>
      <w:r w:rsidDel="00000000" w:rsidR="00000000" w:rsidRPr="00000000">
        <w:rPr>
          <w:b w:val="1"/>
          <w:bCs w:val="1"/>
          <w:sz w:val="26"/>
          <w:szCs w:val="26"/>
          <w:rtl w:val="0"/>
        </w:rPr>
        <w:t xml:space="preserve">2. The Contemporary Systemic Context: From Metaphor to Systematic Analysis.</w:t>
      </w:r>
    </w:p>
    <w:p w:rsidR="00000000" w:rsidDel="00000000" w:rsidP="00000000" w:rsidRDefault="00000000" w:rsidRPr="00000000" w14:paraId="0000002D">
      <w:pPr>
        <w:rPr>
          <w:b w:val="1"/>
          <w:bCs w:val="1"/>
          <w:sz w:val="26"/>
          <w:szCs w:val="26"/>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The evolution of the Global Care Chains (GCC) concept by contemporary researchers has transformed the context of a simple metaphor into a flexible and multi-structural analytical tool in three ambitious stages defining the current perspective on the global reproduction of inequality:</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1. The Emotional Stage (Hochschild, 2000): This began on a micro-scale, illustrating women's migration and the transfer of "heart capital." Arlie Hochschild defined the care system as a commodity transferred into concentrated capital, generating emotional deficits in home countries. A contemporary extension of the concept by Parreñas (2012) reveals the depth of the psychological costs of migration and the hidden traumas associated with family separation.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2. Structural-Political Stage (Yeates, 2009, 2012): BCC moved to the macro level, where Nicola Yeates shifted the theoretical framework from private homes, extending the analysis to include hospitals, nursing homes, and the public sector. She argued that chains are a "heartbeat," but they are also a vast sector of the economy regulated by state migration policies and market mechanisms. Therefore, GCC is currently used as a critical assessment of labor market regulation.</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3. Critical and Intersectional Stage (Bastia, Kilkey, Palenga-Möllenbeck): Finally, GCC is a multifaceted analysis where:</w:t>
      </w:r>
    </w:p>
    <w:p w:rsidR="00000000" w:rsidDel="00000000" w:rsidP="00000000" w:rsidRDefault="00000000" w:rsidRPr="00000000" w14:paraId="00000035">
      <w:pPr>
        <w:numPr>
          <w:ilvl w:val="0"/>
          <w:numId w:val="5"/>
        </w:numPr>
        <w:ind w:left="720" w:hanging="360"/>
        <w:rPr>
          <w:u w:val="none"/>
        </w:rPr>
      </w:pPr>
      <w:r w:rsidDel="00000000" w:rsidR="00000000" w:rsidRPr="00000000">
        <w:rPr>
          <w:rtl w:val="0"/>
        </w:rPr>
        <w:t xml:space="preserve">Implementation of intersectionality (Bastia, 2014): it considers the intersections of gender, race, class, and the legal status of migrants. </w:t>
      </w:r>
    </w:p>
    <w:p w:rsidR="00000000" w:rsidDel="00000000" w:rsidP="00000000" w:rsidRDefault="00000000" w:rsidRPr="00000000" w14:paraId="00000036">
      <w:pPr>
        <w:numPr>
          <w:ilvl w:val="0"/>
          <w:numId w:val="5"/>
        </w:numPr>
        <w:ind w:left="720" w:hanging="360"/>
        <w:rPr>
          <w:u w:val="none"/>
        </w:rPr>
      </w:pPr>
      <w:r w:rsidDel="00000000" w:rsidR="00000000" w:rsidRPr="00000000">
        <w:rPr>
          <w:rtl w:val="0"/>
        </w:rPr>
        <w:t xml:space="preserve"> Incorporates a male perspective (Kilkey and Palenga-Möllenbeck, 2016; King-Dejardin, 2019): It ceases to define care as a women's domain, allowing for an analysis of men's role in the medical and home sectors.  </w:t>
      </w:r>
    </w:p>
    <w:p w:rsidR="00000000" w:rsidDel="00000000" w:rsidP="00000000" w:rsidRDefault="00000000" w:rsidRPr="00000000" w14:paraId="00000037">
      <w:pPr>
        <w:numPr>
          <w:ilvl w:val="0"/>
          <w:numId w:val="5"/>
        </w:numPr>
        <w:ind w:left="720" w:hanging="360"/>
        <w:rPr>
          <w:u w:val="none"/>
        </w:rPr>
      </w:pPr>
      <w:r w:rsidDel="00000000" w:rsidR="00000000" w:rsidRPr="00000000">
        <w:rPr>
          <w:rtl w:val="0"/>
        </w:rPr>
        <w:t xml:space="preserve">Analysis of systemic resilience (OECD, 2020): Global crises (e.g., the COVID-19 pandemic) point to the weakness and paralysis of Western health systems without the support of "cheap labor" from care chains.</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Conclusion: Today's GCC is a global machine in which the structural staffing shortages of the wealthy North are filled at the expense of the Global South, cementing international inequalities in access to care (Yeates, 2012).</w:t>
      </w:r>
    </w:p>
    <w:p w:rsidR="00000000" w:rsidDel="00000000" w:rsidP="00000000" w:rsidRDefault="00000000" w:rsidRPr="00000000" w14:paraId="0000003A">
      <w:pPr>
        <w:rPr>
          <w:sz w:val="26"/>
          <w:szCs w:val="26"/>
        </w:rPr>
      </w:pPr>
      <w:r w:rsidDel="00000000" w:rsidR="00000000" w:rsidRPr="00000000">
        <w:rPr>
          <w:rtl w:val="0"/>
        </w:rPr>
      </w:r>
    </w:p>
    <w:p w:rsidR="00000000" w:rsidDel="00000000" w:rsidP="00000000" w:rsidRDefault="00000000" w:rsidRPr="00000000" w14:paraId="0000003B">
      <w:pPr>
        <w:rPr>
          <w:b w:val="1"/>
          <w:bCs w:val="1"/>
          <w:sz w:val="26"/>
          <w:szCs w:val="26"/>
        </w:rPr>
      </w:pPr>
      <w:r w:rsidDel="00000000" w:rsidR="00000000" w:rsidRPr="00000000">
        <w:rPr>
          <w:b w:val="1"/>
          <w:bCs w:val="1"/>
          <w:sz w:val="26"/>
          <w:szCs w:val="26"/>
          <w:rtl w:val="0"/>
        </w:rPr>
        <w:t xml:space="preserve">2.1. Origins and Mechanisms and emergence (GCC)</w:t>
      </w:r>
    </w:p>
    <w:p w:rsidR="00000000" w:rsidDel="00000000" w:rsidP="00000000" w:rsidRDefault="00000000" w:rsidRPr="00000000" w14:paraId="0000003C">
      <w:pPr>
        <w:rPr>
          <w:sz w:val="26"/>
          <w:szCs w:val="26"/>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The emergence of the GCC was the result of a confluence of demographic and political-economic factors:</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1). In the Northern crisis of caregiving : Aging populations and underfunding of public systems forced to increase women's participation in the Labor market, creating a care gap. In the United Kingdom or Germany, migrant women became the backbone of support systems (Lutz, 2011; Anderson, 2013).</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2). Strategies of sending countries: Countries such as the Philippines and Mexico made migration a development strategy. Through remittances and training of personnel to meet global demand, they created a structure described by Rhacel Parreñas (2001) as the "global division of care labor."</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3). Mercantilization (Yeates, 2012): Staff shortages in the public sector led to a shift in the burden of care to the private market. This results in the commercialization of services and the search for cheaper labor from abroad, which ultimately cements systemic interdependencies between countries.</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b w:val="1"/>
          <w:bCs w:val="1"/>
          <w:sz w:val="26"/>
          <w:szCs w:val="26"/>
        </w:rPr>
      </w:pPr>
      <w:r w:rsidDel="00000000" w:rsidR="00000000" w:rsidRPr="00000000">
        <w:rPr>
          <w:b w:val="1"/>
          <w:bCs w:val="1"/>
          <w:sz w:val="26"/>
          <w:szCs w:val="26"/>
          <w:rtl w:val="0"/>
        </w:rPr>
        <w:t xml:space="preserve">2.2. The Mechanism of GCC Operations</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The concept highlights the structural interdependence between countries and social strata. GCCs highlight the structure where women in the Global South are taken to work as caregivers for a children's or seniors in wealthy countries, leaving their children in  countries in the care of family or paid poor caregivers (Parreñas, 2001). This shifts the economic ladder of caregiving downward, distorting ethics and damaging family ties at the expense of a decent family life and others, and causing care drain in developing countries.</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b w:val="1"/>
          <w:bCs w:val="1"/>
        </w:rPr>
      </w:pPr>
      <w:r w:rsidDel="00000000" w:rsidR="00000000" w:rsidRPr="00000000">
        <w:rPr>
          <w:b w:val="1"/>
          <w:bCs w:val="1"/>
          <w:sz w:val="26"/>
          <w:szCs w:val="26"/>
          <w:rtl w:val="0"/>
        </w:rPr>
        <w:t xml:space="preserve">2.3. Development of the Problem with the Evolution of the Point by Nicola Yeates (2009</w:t>
      </w:r>
      <w:r w:rsidDel="00000000" w:rsidR="00000000" w:rsidRPr="00000000">
        <w:rPr>
          <w:sz w:val="26"/>
          <w:szCs w:val="26"/>
          <w:rtl w:val="0"/>
        </w:rPr>
        <w:t xml:space="preserve">, </w:t>
      </w:r>
      <w:r w:rsidDel="00000000" w:rsidR="00000000" w:rsidRPr="00000000">
        <w:rPr>
          <w:b w:val="1"/>
          <w:bCs w:val="1"/>
          <w:sz w:val="26"/>
          <w:szCs w:val="26"/>
          <w:rtl w:val="0"/>
        </w:rPr>
        <w:t xml:space="preserve">2012) clarified Hochschild's first concept.</w:t>
      </w:r>
      <w:r w:rsidDel="00000000" w:rsidR="00000000" w:rsidRPr="00000000">
        <w:rPr>
          <w:b w:val="1"/>
          <w:bCs w:val="1"/>
          <w:rtl w:val="0"/>
        </w:rPr>
        <w:t xml:space="preserve"> </w:t>
      </w:r>
    </w:p>
    <w:p w:rsidR="00000000" w:rsidDel="00000000" w:rsidP="00000000" w:rsidRDefault="00000000" w:rsidRPr="00000000" w14:paraId="0000004A">
      <w:pPr>
        <w:rPr>
          <w:b w:val="1"/>
          <w:bCs w:val="1"/>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She pointed out that the GCC encompasses not only the domestic or informal sphere, but also:</w:t>
      </w:r>
    </w:p>
    <w:p w:rsidR="00000000" w:rsidDel="00000000" w:rsidP="00000000" w:rsidRDefault="00000000" w:rsidRPr="00000000" w14:paraId="0000004C">
      <w:pPr>
        <w:numPr>
          <w:ilvl w:val="0"/>
          <w:numId w:val="2"/>
        </w:numPr>
        <w:ind w:left="720" w:hanging="360"/>
        <w:rPr>
          <w:u w:val="none"/>
        </w:rPr>
      </w:pPr>
      <w:r w:rsidDel="00000000" w:rsidR="00000000" w:rsidRPr="00000000">
        <w:rPr>
          <w:rtl w:val="0"/>
        </w:rPr>
        <w:t xml:space="preserve">institutional sectors such as hospitals, nursing homes, and nursing homes,</w:t>
      </w:r>
      <w:r w:rsidDel="00000000" w:rsidR="00000000" w:rsidRPr="00000000">
        <w:rPr>
          <w:rtl w:val="0"/>
        </w:rPr>
      </w:r>
    </w:p>
    <w:p w:rsidR="00000000" w:rsidDel="00000000" w:rsidP="00000000" w:rsidRDefault="00000000" w:rsidRPr="00000000" w14:paraId="0000004D">
      <w:pPr>
        <w:numPr>
          <w:ilvl w:val="0"/>
          <w:numId w:val="2"/>
        </w:numPr>
        <w:ind w:left="720" w:hanging="360"/>
        <w:rPr>
          <w:u w:val="none"/>
        </w:rPr>
      </w:pPr>
      <w:r w:rsidDel="00000000" w:rsidR="00000000" w:rsidRPr="00000000">
        <w:rPr>
          <w:rtl w:val="0"/>
        </w:rPr>
        <w:t xml:space="preserve">professional social services and nursing.</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Yeates drew attention to the broader issue of how "global care economies" influence the transfer of labor, money, and emotions, which are regulated and managed by migration policies, the labor market, and cultural norms.</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b w:val="1"/>
          <w:bCs w:val="1"/>
          <w:sz w:val="26"/>
          <w:szCs w:val="26"/>
        </w:rPr>
      </w:pPr>
      <w:r w:rsidDel="00000000" w:rsidR="00000000" w:rsidRPr="00000000">
        <w:rPr>
          <w:b w:val="1"/>
          <w:bCs w:val="1"/>
          <w:sz w:val="26"/>
          <w:szCs w:val="26"/>
          <w:rtl w:val="0"/>
        </w:rPr>
        <w:t xml:space="preserve">2.4. New Directions in Research</w:t>
      </w:r>
      <w:r w:rsidDel="00000000" w:rsidR="00000000" w:rsidRPr="00000000">
        <w:rPr>
          <w:sz w:val="26"/>
          <w:szCs w:val="26"/>
          <w:rtl w:val="0"/>
        </w:rPr>
        <w:t xml:space="preserve"> </w:t>
      </w:r>
      <w:r w:rsidDel="00000000" w:rsidR="00000000" w:rsidRPr="00000000">
        <w:rPr>
          <w:b w:val="1"/>
          <w:bCs w:val="1"/>
          <w:sz w:val="26"/>
          <w:szCs w:val="26"/>
          <w:rtl w:val="0"/>
        </w:rPr>
        <w:t xml:space="preserve">and </w:t>
      </w:r>
      <w:r w:rsidDel="00000000" w:rsidR="00000000" w:rsidRPr="00000000">
        <w:rPr>
          <w:sz w:val="26"/>
          <w:szCs w:val="26"/>
          <w:rtl w:val="0"/>
        </w:rPr>
        <w:t xml:space="preserve"> </w:t>
      </w:r>
      <w:r w:rsidDel="00000000" w:rsidR="00000000" w:rsidRPr="00000000">
        <w:rPr>
          <w:b w:val="1"/>
          <w:bCs w:val="1"/>
          <w:sz w:val="26"/>
          <w:szCs w:val="26"/>
          <w:rtl w:val="0"/>
        </w:rPr>
        <w:t xml:space="preserve">Initiation and Development of GCC.</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The original framework now encompasses new contexts for research on the issue.</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Intersectionality: </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An analysis of how gender, race, and class, along with legal status, combine to shape migrants' perceptions and competencies ( Bastia, 2014).</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1). Masculinization of caregiving: </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Analyzing the importance of men in the care sector and how it transforms stereotypical representations of GCC as a female-dominated phenomenon (Kilkey &amp; Palenga-Möllenbeck, 2016).</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2). Ethics and Politics: </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International organizations (ILO, WHO) incorporate GCC data into their ethical recruitment benchmark (King-Dejardin, 2019).</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3). Global crises: </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The COVID-19 pandemic has undermined the stability of care supply chains and the safety of sectors, systems, and workers (OECD, 2020).</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In summary, the Hochschild GCC concept, which originated from a simple life description of domestic relations, has evolved into a structured theory of global inequalities and an analytical tool where global organizations can further observe transnational processes and how they influence the quality of care, working conditions, as well as social and health policies worldwide.</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4). The establishment of Agenda 10 aims to eliminate these inequalities by 2030 through a campaign encompassing 17 published goals.</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drawing>
          <wp:inline distB="114300" distT="114300" distL="114300" distR="114300">
            <wp:extent cx="5731200" cy="3822700"/>
            <wp:effectExtent b="0" l="0" r="0" t="0"/>
            <wp:docPr id="2"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5731200" cy="3822700"/>
                    </a:xfrm>
                    <a:prstGeom prst="rect"/>
                    <a:ln/>
                  </pic:spPr>
                </pic:pic>
              </a:graphicData>
            </a:graphic>
          </wp:inline>
        </w:drawing>
      </w: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Figure 1.reducing inequalities in the GCC.</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b w:val="1"/>
          <w:bCs w:val="1"/>
          <w:sz w:val="26"/>
          <w:szCs w:val="26"/>
        </w:rPr>
      </w:pPr>
      <w:r w:rsidDel="00000000" w:rsidR="00000000" w:rsidRPr="00000000">
        <w:rPr>
          <w:b w:val="1"/>
          <w:bCs w:val="1"/>
          <w:sz w:val="26"/>
          <w:szCs w:val="26"/>
          <w:rtl w:val="0"/>
        </w:rPr>
        <w:t xml:space="preserve">2.5. Poland in Global Care Chains.</w:t>
      </w:r>
    </w:p>
    <w:p w:rsidR="00000000" w:rsidDel="00000000" w:rsidP="00000000" w:rsidRDefault="00000000" w:rsidRPr="00000000" w14:paraId="0000006E">
      <w:pPr>
        <w:rPr>
          <w:b w:val="1"/>
          <w:bCs w:val="1"/>
          <w:sz w:val="26"/>
          <w:szCs w:val="26"/>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Poland as a semi- peripheral country plays</w:t>
      </w:r>
      <w:r w:rsidDel="00000000" w:rsidR="00000000" w:rsidRPr="00000000">
        <w:rPr>
          <w:rtl w:val="0"/>
        </w:rPr>
        <w:t xml:space="preserve"> a dual role in the GCC (Slany and Matysiak, 2005).They emphasize the structure and changes in European migration dynamics. As a :</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numPr>
          <w:ilvl w:val="0"/>
          <w:numId w:val="1"/>
        </w:numPr>
        <w:ind w:left="720" w:hanging="360"/>
        <w:rPr>
          <w:u w:val="none"/>
        </w:rPr>
      </w:pPr>
      <w:r w:rsidDel="00000000" w:rsidR="00000000" w:rsidRPr="00000000">
        <w:rPr>
          <w:rtl w:val="0"/>
        </w:rPr>
        <w:t xml:space="preserve">sending link :  it has dominated the German market thanks to its rotational work model. Geographical proximity and modern communication allow Polish caregivers to maintain permanent ties with their families, distinguishing this model from the classic "care drain" described by Hochschild. </w:t>
      </w:r>
    </w:p>
    <w:p w:rsidR="00000000" w:rsidDel="00000000" w:rsidP="00000000" w:rsidRDefault="00000000" w:rsidRPr="00000000" w14:paraId="00000072">
      <w:pPr>
        <w:numPr>
          <w:ilvl w:val="0"/>
          <w:numId w:val="1"/>
        </w:numPr>
        <w:ind w:left="720" w:hanging="360"/>
        <w:rPr>
          <w:u w:val="none"/>
        </w:rPr>
      </w:pPr>
      <w:r w:rsidDel="00000000" w:rsidR="00000000" w:rsidRPr="00000000">
        <w:rPr>
          <w:rtl w:val="0"/>
        </w:rPr>
        <w:t xml:space="preserve">receiving link: for migrants from the East and Asia. This mechanism creates a system of "mutual complementarity": Polish mothers, working near the border, finance care in the country, which is increasingly provided by migrants from        Ukraine or the Philippines. </w:t>
      </w:r>
    </w:p>
    <w:p w:rsidR="00000000" w:rsidDel="00000000" w:rsidP="00000000" w:rsidRDefault="00000000" w:rsidRPr="00000000" w14:paraId="00000073">
      <w:pPr>
        <w:numPr>
          <w:ilvl w:val="0"/>
          <w:numId w:val="1"/>
        </w:numPr>
        <w:ind w:left="720" w:hanging="360"/>
        <w:rPr>
          <w:u w:val="none"/>
        </w:rPr>
      </w:pPr>
      <w:r w:rsidDel="00000000" w:rsidR="00000000" w:rsidRPr="00000000">
        <w:rPr>
          <w:rtl w:val="0"/>
        </w:rPr>
        <w:t xml:space="preserve">Poland is therefore becoming a dynamic “transfer centre” where employee status (migrant vs. refugee) and flexible employment conditions are shaping new market standards (Yeates, 2012) in the developed core of Western Europe and its periphery, exchanging welfare capital and posing challenges to state social policy and employment ethics in the domestic sphere.</w:t>
      </w: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b w:val="1"/>
          <w:bCs w:val="1"/>
        </w:rPr>
      </w:pPr>
      <w:r w:rsidDel="00000000" w:rsidR="00000000" w:rsidRPr="00000000">
        <w:rPr>
          <w:b w:val="1"/>
          <w:bCs w:val="1"/>
          <w:rtl w:val="0"/>
        </w:rPr>
        <w:t xml:space="preserve">The "double drain" mechanism.</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The Polish family model in the GCC operates in two directions:</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When a mother travels abroad to care for children, she either transfers her earnings to her family, and the family cares for the children, or hires a Ukrainian caregiver. </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Currently, the legal status of these working women has changed following the outbreak of the Ukrainian-Russian war, transforming them from migrants into refugees.</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This situation is confirmed by Yeates's thesis about complex systems of "welfare economies," where the determination of migrant status reflects their position in the global economic structure.</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b w:val="1"/>
          <w:bCs w:val="1"/>
          <w:sz w:val="26"/>
          <w:szCs w:val="26"/>
        </w:rPr>
      </w:pPr>
      <w:r w:rsidDel="00000000" w:rsidR="00000000" w:rsidRPr="00000000">
        <w:rPr>
          <w:b w:val="1"/>
          <w:bCs w:val="1"/>
          <w:sz w:val="26"/>
          <w:szCs w:val="26"/>
          <w:rtl w:val="0"/>
        </w:rPr>
        <w:t xml:space="preserve">3. Global Care Chains (GCC) Concepts and Criticisms.</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Despite its pioneering role in explaining the concept of care migration, it has encountered criticism and objections regarding its theoretical assumptions, including:</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b w:val="1"/>
          <w:bCs w:val="1"/>
          <w:sz w:val="26"/>
          <w:szCs w:val="26"/>
        </w:rPr>
      </w:pPr>
      <w:r w:rsidDel="00000000" w:rsidR="00000000" w:rsidRPr="00000000">
        <w:rPr>
          <w:b w:val="1"/>
          <w:bCs w:val="1"/>
          <w:sz w:val="26"/>
          <w:szCs w:val="26"/>
          <w:rtl w:val="0"/>
        </w:rPr>
        <w:t xml:space="preserve">3.1. Overemphasis on Women and the Feminization of Care.</w:t>
      </w:r>
    </w:p>
    <w:p w:rsidR="00000000" w:rsidDel="00000000" w:rsidP="00000000" w:rsidRDefault="00000000" w:rsidRPr="00000000" w14:paraId="00000084">
      <w:pPr>
        <w:rPr>
          <w:sz w:val="26"/>
          <w:szCs w:val="26"/>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Critics (e.g., Kilkey &amp; Palenga-Möllenbeck, 2016) argue that GCCs perpetuate gender stereotypical approaches. By focusing on women's contributions to caregiving, where the concept ignores the importance of men work in the care sector. This lacks recognition of changing gender roles in the sending and receiving societies.</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b w:val="1"/>
          <w:bCs w:val="1"/>
        </w:rPr>
      </w:pPr>
      <w:r w:rsidDel="00000000" w:rsidR="00000000" w:rsidRPr="00000000">
        <w:rPr>
          <w:b w:val="1"/>
          <w:bCs w:val="1"/>
          <w:sz w:val="26"/>
          <w:szCs w:val="26"/>
          <w:rtl w:val="0"/>
        </w:rPr>
        <w:t xml:space="preserve">3.2. Simplifications and Commodifications in Caregiving Relationships</w:t>
      </w:r>
      <w:r w:rsidDel="00000000" w:rsidR="00000000" w:rsidRPr="00000000">
        <w:rPr>
          <w:b w:val="1"/>
          <w:bCs w:val="1"/>
          <w:rtl w:val="0"/>
        </w:rPr>
        <w:t xml:space="preserve">. </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Boris and Parreñas (2010) demonstrate how the GCC model reduces caregiving to pure money politics, which fails to capture the emotional complexities of the relationship between caregiver and care recipient, along with the bonds that form.</w:t>
      </w:r>
    </w:p>
    <w:p w:rsidR="00000000" w:rsidDel="00000000" w:rsidP="00000000" w:rsidRDefault="00000000" w:rsidRPr="00000000" w14:paraId="0000008A">
      <w:pPr>
        <w:rPr/>
      </w:pPr>
      <w:r w:rsidDel="00000000" w:rsidR="00000000" w:rsidRPr="00000000">
        <w:rPr>
          <w:rtl w:val="0"/>
        </w:rPr>
        <w:t xml:space="preserve">Ignore the immaterial spiritual dimension of "heartwork."</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b w:val="1"/>
          <w:bCs w:val="1"/>
        </w:rPr>
      </w:pPr>
      <w:r w:rsidDel="00000000" w:rsidR="00000000" w:rsidRPr="00000000">
        <w:rPr>
          <w:b w:val="1"/>
          <w:bCs w:val="1"/>
          <w:sz w:val="26"/>
          <w:szCs w:val="26"/>
          <w:rtl w:val="0"/>
        </w:rPr>
        <w:t xml:space="preserve">3.3. Lack of an Intersectional Vision and Perspective</w:t>
      </w:r>
      <w:r w:rsidDel="00000000" w:rsidR="00000000" w:rsidRPr="00000000">
        <w:rPr>
          <w:b w:val="1"/>
          <w:bCs w:val="1"/>
          <w:rtl w:val="0"/>
        </w:rPr>
        <w:t xml:space="preserve">.</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Evelyn Nakano Glenn (2012) and other researchers point out that the GCC typically fails to capture the interplay of diverse repressive systems. Analysis should consider:</w:t>
      </w:r>
    </w:p>
    <w:p w:rsidR="00000000" w:rsidDel="00000000" w:rsidP="00000000" w:rsidRDefault="00000000" w:rsidRPr="00000000" w14:paraId="0000008F">
      <w:pPr>
        <w:rPr/>
      </w:pPr>
      <w:r w:rsidDel="00000000" w:rsidR="00000000" w:rsidRPr="00000000">
        <w:rPr>
          <w:rtl w:val="0"/>
        </w:rPr>
        <w:t xml:space="preserve">1). Race and ethnicity, which determine migrant hierarchies in the labor market.</w:t>
      </w:r>
    </w:p>
    <w:p w:rsidR="00000000" w:rsidDel="00000000" w:rsidP="00000000" w:rsidRDefault="00000000" w:rsidRPr="00000000" w14:paraId="00000090">
      <w:pPr>
        <w:rPr/>
      </w:pPr>
      <w:r w:rsidDel="00000000" w:rsidR="00000000" w:rsidRPr="00000000">
        <w:rPr>
          <w:rtl w:val="0"/>
        </w:rPr>
        <w:t xml:space="preserve">2). Social class, along with specific legal/migration status, which allows for the separation of professional activity from employee experience.</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b w:val="1"/>
          <w:bCs w:val="1"/>
        </w:rPr>
      </w:pPr>
      <w:r w:rsidDel="00000000" w:rsidR="00000000" w:rsidRPr="00000000">
        <w:rPr>
          <w:b w:val="1"/>
          <w:bCs w:val="1"/>
          <w:sz w:val="26"/>
          <w:szCs w:val="26"/>
          <w:rtl w:val="0"/>
        </w:rPr>
        <w:t xml:space="preserve">3.4. Oversimplification.</w:t>
      </w:r>
      <w:r w:rsidDel="00000000" w:rsidR="00000000" w:rsidRPr="00000000">
        <w:rPr>
          <w:b w:val="1"/>
          <w:bCs w:val="1"/>
          <w:rtl w:val="0"/>
        </w:rPr>
        <w:t xml:space="preserve"> </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Anderson (2013) found the concept to be abstract and overly general, which compromises descriptive accuracy in contexts involving national characteristics and local legal realities, as well as the distinctiveness of states' political and social systems.</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b w:val="1"/>
          <w:bCs w:val="1"/>
          <w:sz w:val="26"/>
          <w:szCs w:val="26"/>
        </w:rPr>
      </w:pPr>
      <w:r w:rsidDel="00000000" w:rsidR="00000000" w:rsidRPr="00000000">
        <w:rPr>
          <w:b w:val="1"/>
          <w:bCs w:val="1"/>
          <w:sz w:val="26"/>
          <w:szCs w:val="26"/>
          <w:rtl w:val="0"/>
        </w:rPr>
        <w:t xml:space="preserve">3.5 Debate and key conclusions from the polemic.</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t xml:space="preserve">Statistics and dynamics: In the first concept, the critics identified a simplified model of "a southern woman traveling to a northern woman." The polemics focused on a picture of factorial dependence, where new research encompasses a network of connections between pragmatism, emotions, and gender.</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The critique assumptions of GCC in a political argument </w:t>
      </w:r>
    </w:p>
    <w:p w:rsidR="00000000" w:rsidDel="00000000" w:rsidP="00000000" w:rsidRDefault="00000000" w:rsidRPr="00000000" w14:paraId="0000009C">
      <w:pPr>
        <w:rPr/>
      </w:pPr>
      <w:r w:rsidDel="00000000" w:rsidR="00000000" w:rsidRPr="00000000">
        <w:rPr>
          <w:rtl w:val="0"/>
        </w:rPr>
        <w:t xml:space="preserve">helped transform Cheins from a sociological description into a controversial argument for states regarding how to construct migration law.</w:t>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b w:val="1"/>
          <w:bCs w:val="1"/>
          <w:sz w:val="26"/>
          <w:szCs w:val="26"/>
        </w:rPr>
      </w:pPr>
      <w:r w:rsidDel="00000000" w:rsidR="00000000" w:rsidRPr="00000000">
        <w:rPr>
          <w:b w:val="1"/>
          <w:bCs w:val="1"/>
          <w:sz w:val="26"/>
          <w:szCs w:val="26"/>
          <w:rtl w:val="0"/>
        </w:rPr>
        <w:t xml:space="preserve">4. Introducing the GCC Concept into Health and Social Care Policy and Practice.</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b w:val="1"/>
          <w:bCs w:val="1"/>
          <w:sz w:val="26"/>
          <w:szCs w:val="26"/>
        </w:rPr>
      </w:pPr>
      <w:r w:rsidDel="00000000" w:rsidR="00000000" w:rsidRPr="00000000">
        <w:rPr>
          <w:b w:val="1"/>
          <w:bCs w:val="1"/>
          <w:sz w:val="26"/>
          <w:szCs w:val="26"/>
          <w:rtl w:val="0"/>
        </w:rPr>
        <w:t xml:space="preserve">4.1 Care system and Migration Policy and the Significant Impact of the GCC on It.</w:t>
      </w:r>
    </w:p>
    <w:p w:rsidR="00000000" w:rsidDel="00000000" w:rsidP="00000000" w:rsidRDefault="00000000" w:rsidRPr="00000000" w14:paraId="000000A1">
      <w:pPr>
        <w:rPr>
          <w:b w:val="1"/>
          <w:bCs w:val="1"/>
          <w:sz w:val="26"/>
          <w:szCs w:val="26"/>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t xml:space="preserve">In the Global North and countries like the UK, Germany, and Canada, migrants have entered the care sector (OECD, 2020), where labor hierarchies created by migration policies limit their rights (Anderson, 2013), while sending countries and their care systems, like the Philippines and Nigeria, experience care drain, exacerbating inequalities (Parreñas, 2001).</w:t>
      </w:r>
    </w:p>
    <w:p w:rsidR="00000000" w:rsidDel="00000000" w:rsidP="00000000" w:rsidRDefault="00000000" w:rsidRPr="00000000" w14:paraId="000000A3">
      <w:pPr>
        <w:rPr/>
      </w:pPr>
      <w:r w:rsidDel="00000000" w:rsidR="00000000" w:rsidRPr="00000000">
        <w:rPr>
          <w:rtl w:val="0"/>
        </w:rPr>
        <w:t xml:space="preserve">The United Kingdom and the Greater London-based Community Care (GCC):</w:t>
      </w:r>
    </w:p>
    <w:p w:rsidR="00000000" w:rsidDel="00000000" w:rsidP="00000000" w:rsidRDefault="00000000" w:rsidRPr="00000000" w14:paraId="000000A4">
      <w:pPr>
        <w:rPr/>
      </w:pPr>
      <w:r w:rsidDel="00000000" w:rsidR="00000000" w:rsidRPr="00000000">
        <w:rPr>
          <w:rtl w:val="0"/>
        </w:rPr>
        <w:t xml:space="preserve">In the NHS and social care sectors, ok 19-21% workers/migranci (Skills for Care, 2023), where their well-being is ignored in international recruitment policies (Bach, 2020).</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b w:val="1"/>
          <w:bCs w:val="1"/>
          <w:sz w:val="26"/>
          <w:szCs w:val="26"/>
        </w:rPr>
      </w:pPr>
      <w:r w:rsidDel="00000000" w:rsidR="00000000" w:rsidRPr="00000000">
        <w:rPr>
          <w:b w:val="1"/>
          <w:bCs w:val="1"/>
          <w:sz w:val="26"/>
          <w:szCs w:val="26"/>
          <w:rtl w:val="0"/>
        </w:rPr>
        <w:t xml:space="preserve">4.2 Person-Centered Care Practice</w:t>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GCC demonstrates relation between a practical theory of person-centered and reality of care where GCC is based on rotation and precarious work (e.g. the "live-in" system in Poland/Germany) and PCC requires continuity of relationships: </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t xml:space="preserve">1). The quality of care depends on the overload of migrants, therapeutic relationships are complicated by linguistic and cultural barriers between caregivers and care recipients, constant staff turnover, and employment instability negatively impact the care system (Cangiano &amp; Walsh, 2014). </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2). Migrant caregivers possess intercultural skills and a high level of empathy in care, which enhances the system's value (Boris &amp; Parreñas, 2010).</w:t>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t xml:space="preserve">Thesis: Systemic care cannot be based on emotional instability, caregiver exhaustion or lack of contact with the family, as this results in a disruption of empathy and emotional bond with the patient, which undermines the foundation of PCC.</w:t>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b w:val="1"/>
          <w:bCs w:val="1"/>
          <w:sz w:val="26"/>
          <w:szCs w:val="26"/>
        </w:rPr>
      </w:pPr>
      <w:r w:rsidDel="00000000" w:rsidR="00000000" w:rsidRPr="00000000">
        <w:rPr>
          <w:b w:val="1"/>
          <w:bCs w:val="1"/>
          <w:sz w:val="26"/>
          <w:szCs w:val="26"/>
          <w:rtl w:val="0"/>
        </w:rPr>
        <w:t xml:space="preserve">5. Political and Practical Recommendations</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b w:val="1"/>
          <w:bCs w:val="1"/>
          <w:sz w:val="26"/>
          <w:szCs w:val="26"/>
        </w:rPr>
      </w:pPr>
      <w:r w:rsidDel="00000000" w:rsidR="00000000" w:rsidRPr="00000000">
        <w:rPr>
          <w:b w:val="1"/>
          <w:bCs w:val="1"/>
          <w:sz w:val="26"/>
          <w:szCs w:val="26"/>
          <w:rtl w:val="0"/>
        </w:rPr>
        <w:t xml:space="preserve">5.1 Migration Policy Recommendations</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t xml:space="preserve">1). Intensifying employee rights through open training and stable contracts. </w:t>
      </w:r>
    </w:p>
    <w:p w:rsidR="00000000" w:rsidDel="00000000" w:rsidP="00000000" w:rsidRDefault="00000000" w:rsidRPr="00000000" w14:paraId="000000B5">
      <w:pPr>
        <w:rPr/>
      </w:pPr>
      <w:r w:rsidDel="00000000" w:rsidR="00000000" w:rsidRPr="00000000">
        <w:rPr>
          <w:rtl w:val="0"/>
        </w:rPr>
        <w:t xml:space="preserve">2). Reducing the dependence of workers on cheaper labor will be supported by better financing policies in the public care system, applying ethical standards in international recruitment (WHO, 2010). 3). Reducing care derision through support and development of care policies in sending countries.</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b w:val="1"/>
          <w:bCs w:val="1"/>
          <w:sz w:val="26"/>
          <w:szCs w:val="26"/>
        </w:rPr>
      </w:pPr>
      <w:r w:rsidDel="00000000" w:rsidR="00000000" w:rsidRPr="00000000">
        <w:rPr>
          <w:b w:val="1"/>
          <w:bCs w:val="1"/>
          <w:sz w:val="26"/>
          <w:szCs w:val="26"/>
          <w:rtl w:val="0"/>
        </w:rPr>
        <w:t xml:space="preserve">5.2 Recommendations for Practice.</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t xml:space="preserve">1). Training in Caregiving Team Communication and Cultural Competencies</w:t>
      </w:r>
    </w:p>
    <w:p w:rsidR="00000000" w:rsidDel="00000000" w:rsidP="00000000" w:rsidRDefault="00000000" w:rsidRPr="00000000" w14:paraId="000000BA">
      <w:pPr>
        <w:rPr/>
      </w:pPr>
      <w:r w:rsidDel="00000000" w:rsidR="00000000" w:rsidRPr="00000000">
        <w:rPr>
          <w:rtl w:val="0"/>
        </w:rPr>
        <w:t xml:space="preserve">2). Psychological and Professional Support for Migrant Workers.</w:t>
      </w:r>
    </w:p>
    <w:p w:rsidR="00000000" w:rsidDel="00000000" w:rsidP="00000000" w:rsidRDefault="00000000" w:rsidRPr="00000000" w14:paraId="000000BB">
      <w:pPr>
        <w:rPr/>
      </w:pPr>
      <w:r w:rsidDel="00000000" w:rsidR="00000000" w:rsidRPr="00000000">
        <w:rPr>
          <w:rtl w:val="0"/>
        </w:rPr>
        <w:t xml:space="preserve">3). Improving employment continuity by maintaining stability within care teams.</w:t>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t xml:space="preserve">Involving migrants in the co-design of services (co-production).</w:t>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b w:val="1"/>
          <w:bCs w:val="1"/>
          <w:sz w:val="26"/>
          <w:szCs w:val="26"/>
        </w:rPr>
      </w:pPr>
      <w:r w:rsidDel="00000000" w:rsidR="00000000" w:rsidRPr="00000000">
        <w:rPr>
          <w:b w:val="1"/>
          <w:bCs w:val="1"/>
          <w:sz w:val="26"/>
          <w:szCs w:val="26"/>
          <w:rtl w:val="0"/>
        </w:rPr>
        <w:t xml:space="preserve">5.3 Possible benefits include.</w:t>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Increasing staff stability, improving care quality, improving user experience, and reducing structural inequalities.</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b w:val="1"/>
          <w:bCs w:val="1"/>
          <w:sz w:val="26"/>
          <w:szCs w:val="26"/>
        </w:rPr>
      </w:pPr>
      <w:r w:rsidDel="00000000" w:rsidR="00000000" w:rsidRPr="00000000">
        <w:rPr>
          <w:b w:val="1"/>
          <w:bCs w:val="1"/>
          <w:sz w:val="26"/>
          <w:szCs w:val="26"/>
          <w:rtl w:val="0"/>
        </w:rPr>
        <w:t xml:space="preserve">5.4 Possible Limitations.</w:t>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t xml:space="preserve">Implementation costs, political reluctance to reform migration, political difference between sender and receiver country, along with the risks involved, and incremental steps of insubstantial/petty change.</w:t>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b w:val="1"/>
          <w:bCs w:val="1"/>
          <w:sz w:val="26"/>
          <w:szCs w:val="26"/>
        </w:rPr>
      </w:pPr>
      <w:r w:rsidDel="00000000" w:rsidR="00000000" w:rsidRPr="00000000">
        <w:rPr>
          <w:b w:val="1"/>
          <w:bCs w:val="1"/>
          <w:sz w:val="26"/>
          <w:szCs w:val="26"/>
          <w:rtl w:val="0"/>
        </w:rPr>
        <w:t xml:space="preserve">6. Conclusions</w:t>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t xml:space="preserve">The GCC concept as an analytical tool for addressing structural inequalities in the healthcare and social care system reveals valuable interdependencies in person-centered care between the quality of care and the caregiver-user relationship, as well as global economic, migration, and political processes. Despite criticism, the GCC is a key analytical framework that supports the equitable and ethical role of care systems.</w:t>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spacing w:after="240" w:before="240" w:lineRule="auto"/>
        <w:rPr/>
      </w:pPr>
      <w:r w:rsidDel="00000000" w:rsidR="00000000" w:rsidRPr="00000000">
        <w:rPr>
          <w:rtl w:val="0"/>
        </w:rPr>
        <w:t xml:space="preserve">References (Harvard Style)</w:t>
      </w:r>
    </w:p>
    <w:p w:rsidR="00000000" w:rsidDel="00000000" w:rsidP="00000000" w:rsidRDefault="00000000" w:rsidRPr="00000000" w14:paraId="000000CC">
      <w:pPr>
        <w:spacing w:after="240" w:before="240" w:lineRule="auto"/>
        <w:rPr/>
      </w:pPr>
      <w:r w:rsidDel="00000000" w:rsidR="00000000" w:rsidRPr="00000000">
        <w:rPr>
          <w:rtl w:val="0"/>
        </w:rPr>
        <w:t xml:space="preserve">Anderson, B. (2013) Us and Them? The Dangerous Politics of Immigration Control. Oxford: Oxford University Press.</w:t>
      </w:r>
    </w:p>
    <w:p w:rsidR="00000000" w:rsidDel="00000000" w:rsidP="00000000" w:rsidRDefault="00000000" w:rsidRPr="00000000" w14:paraId="000000CD">
      <w:pPr>
        <w:spacing w:after="240" w:before="240" w:lineRule="auto"/>
        <w:rPr/>
      </w:pPr>
      <w:r w:rsidDel="00000000" w:rsidR="00000000" w:rsidRPr="00000000">
        <w:rPr>
          <w:rtl w:val="0"/>
        </w:rPr>
        <w:t xml:space="preserve">Bach, S. (2020) ‘International recruitment of health workers: issues and challenges’, Health Policy, 124(12), pp. 1297–1304.</w:t>
      </w:r>
    </w:p>
    <w:p w:rsidR="00000000" w:rsidDel="00000000" w:rsidP="00000000" w:rsidRDefault="00000000" w:rsidRPr="00000000" w14:paraId="000000CE">
      <w:pPr>
        <w:spacing w:after="240" w:before="240" w:lineRule="auto"/>
        <w:rPr/>
      </w:pPr>
      <w:r w:rsidDel="00000000" w:rsidR="00000000" w:rsidRPr="00000000">
        <w:rPr>
          <w:rtl w:val="0"/>
        </w:rPr>
        <w:t xml:space="preserve">Bastia, T. (2014) ‘Intersectionality, migration and development’, Progress in Development Studies, 14(3), pp. 237–248.</w:t>
      </w:r>
    </w:p>
    <w:p w:rsidR="00000000" w:rsidDel="00000000" w:rsidP="00000000" w:rsidRDefault="00000000" w:rsidRPr="00000000" w14:paraId="000000CF">
      <w:pPr>
        <w:spacing w:after="240" w:before="240" w:lineRule="auto"/>
        <w:rPr/>
      </w:pPr>
      <w:r w:rsidDel="00000000" w:rsidR="00000000" w:rsidRPr="00000000">
        <w:rPr>
          <w:rtl w:val="0"/>
        </w:rPr>
        <w:t xml:space="preserve">Boris, E. and Parreñas, R. (2010) Intimate Labors. Stanford: Stanford University Press.</w:t>
      </w:r>
    </w:p>
    <w:p w:rsidR="00000000" w:rsidDel="00000000" w:rsidP="00000000" w:rsidRDefault="00000000" w:rsidRPr="00000000" w14:paraId="000000D0">
      <w:pPr>
        <w:spacing w:after="240" w:before="240" w:lineRule="auto"/>
        <w:rPr/>
      </w:pPr>
      <w:r w:rsidDel="00000000" w:rsidR="00000000" w:rsidRPr="00000000">
        <w:rPr>
          <w:rtl w:val="0"/>
        </w:rPr>
        <w:t xml:space="preserve">Cangiano, A. and Walsh, K. (2014) ‘Recruitment and labour mobility in the UK care sector’, Journal of Ethnic and Migration Studies, 40(11), pp. 1905–1923.</w:t>
      </w:r>
    </w:p>
    <w:p w:rsidR="00000000" w:rsidDel="00000000" w:rsidP="00000000" w:rsidRDefault="00000000" w:rsidRPr="00000000" w14:paraId="000000D1">
      <w:pPr>
        <w:spacing w:after="240" w:before="240" w:lineRule="auto"/>
        <w:rPr/>
      </w:pPr>
      <w:r w:rsidDel="00000000" w:rsidR="00000000" w:rsidRPr="00000000">
        <w:rPr>
          <w:rtl w:val="0"/>
        </w:rPr>
        <w:t xml:space="preserve">Coulter, A. and Oldham, J. (2016) ‘Person‑centred care’, Future Hospital Journal, 3(2), pp. 114–116.</w:t>
      </w:r>
    </w:p>
    <w:p w:rsidR="00000000" w:rsidDel="00000000" w:rsidP="00000000" w:rsidRDefault="00000000" w:rsidRPr="00000000" w14:paraId="000000D2">
      <w:pPr>
        <w:spacing w:after="240" w:before="240" w:lineRule="auto"/>
        <w:rPr/>
      </w:pPr>
      <w:r w:rsidDel="00000000" w:rsidR="00000000" w:rsidRPr="00000000">
        <w:rPr>
          <w:rtl w:val="0"/>
        </w:rPr>
        <w:t xml:space="preserve">Ekman, I. et al. (2011) ‘Person‑centred care—ready for prime time’, European Journal of Cardiovascular Nursing, 10(4), pp. 248–251.</w:t>
      </w:r>
    </w:p>
    <w:p w:rsidR="00000000" w:rsidDel="00000000" w:rsidP="00000000" w:rsidRDefault="00000000" w:rsidRPr="00000000" w14:paraId="000000D3">
      <w:pPr>
        <w:spacing w:after="240" w:before="240" w:lineRule="auto"/>
        <w:rPr/>
      </w:pPr>
      <w:r w:rsidDel="00000000" w:rsidR="00000000" w:rsidRPr="00000000">
        <w:rPr>
          <w:rtl w:val="0"/>
        </w:rPr>
        <w:t xml:space="preserve">Glenn, E. (2012) Forced to Care. Cambridge, MA: Harvard University Press.</w:t>
      </w:r>
    </w:p>
    <w:p w:rsidR="00000000" w:rsidDel="00000000" w:rsidP="00000000" w:rsidRDefault="00000000" w:rsidRPr="00000000" w14:paraId="000000D4">
      <w:pPr>
        <w:spacing w:after="240" w:before="240" w:lineRule="auto"/>
        <w:rPr/>
      </w:pPr>
      <w:r w:rsidDel="00000000" w:rsidR="00000000" w:rsidRPr="00000000">
        <w:rPr>
          <w:rtl w:val="0"/>
        </w:rPr>
        <w:t xml:space="preserve">Hochschild, A. (2000) ‘Global care chains’, in Hutton, W. and Giddens, A. (eds.) On the Edge. London: Jonathan Cape.</w:t>
      </w:r>
    </w:p>
    <w:p w:rsidR="00000000" w:rsidDel="00000000" w:rsidP="00000000" w:rsidRDefault="00000000" w:rsidRPr="00000000" w14:paraId="000000D5">
      <w:pPr>
        <w:spacing w:after="240" w:before="240" w:lineRule="auto"/>
        <w:rPr/>
      </w:pPr>
      <w:r w:rsidDel="00000000" w:rsidR="00000000" w:rsidRPr="00000000">
        <w:rPr>
          <w:rtl w:val="0"/>
        </w:rPr>
        <w:t xml:space="preserve">ILO (2019) The Social Construction of Migrant Care Work. Geneva: ILO.</w:t>
      </w:r>
    </w:p>
    <w:p w:rsidR="00000000" w:rsidDel="00000000" w:rsidP="00000000" w:rsidRDefault="00000000" w:rsidRPr="00000000" w14:paraId="000000D6">
      <w:pPr>
        <w:spacing w:after="240" w:before="240" w:lineRule="auto"/>
        <w:rPr/>
      </w:pPr>
      <w:r w:rsidDel="00000000" w:rsidR="00000000" w:rsidRPr="00000000">
        <w:rPr>
          <w:rtl w:val="0"/>
        </w:rPr>
        <w:t xml:space="preserve">Kilkey, M. and Palenga‑Möllenbeck, E. (2016) ‘Family life in times of migration’, Journal of Family Studies, 22(1), pp. 1–14.</w:t>
      </w:r>
    </w:p>
    <w:p w:rsidR="00000000" w:rsidDel="00000000" w:rsidP="00000000" w:rsidRDefault="00000000" w:rsidRPr="00000000" w14:paraId="000000D7">
      <w:pPr>
        <w:spacing w:after="240" w:before="240" w:lineRule="auto"/>
        <w:rPr/>
      </w:pPr>
      <w:r w:rsidDel="00000000" w:rsidR="00000000" w:rsidRPr="00000000">
        <w:rPr>
          <w:rtl w:val="0"/>
        </w:rPr>
        <w:t xml:space="preserve">King‑Dejardin, A. (2019) The Social Construction of Migrant Care Work. Geneva: ILO.</w:t>
      </w:r>
    </w:p>
    <w:p w:rsidR="00000000" w:rsidDel="00000000" w:rsidP="00000000" w:rsidRDefault="00000000" w:rsidRPr="00000000" w14:paraId="000000D8">
      <w:pPr>
        <w:spacing w:after="240" w:before="240" w:lineRule="auto"/>
        <w:rPr/>
      </w:pPr>
      <w:r w:rsidDel="00000000" w:rsidR="00000000" w:rsidRPr="00000000">
        <w:rPr>
          <w:rtl w:val="0"/>
        </w:rPr>
        <w:t xml:space="preserve">Lutz, H. (2011) The New Maids. London: Zed Books.</w:t>
      </w:r>
    </w:p>
    <w:p w:rsidR="00000000" w:rsidDel="00000000" w:rsidP="00000000" w:rsidRDefault="00000000" w:rsidRPr="00000000" w14:paraId="000000D9">
      <w:pPr>
        <w:spacing w:after="240" w:before="240" w:lineRule="auto"/>
        <w:rPr/>
      </w:pPr>
      <w:r w:rsidDel="00000000" w:rsidR="00000000" w:rsidRPr="00000000">
        <w:rPr>
          <w:rtl w:val="0"/>
        </w:rPr>
        <w:t xml:space="preserve">OECD (2020) International Migration Outlook. Paris: OECD.</w:t>
      </w:r>
    </w:p>
    <w:p w:rsidR="00000000" w:rsidDel="00000000" w:rsidP="00000000" w:rsidRDefault="00000000" w:rsidRPr="00000000" w14:paraId="000000DA">
      <w:pPr>
        <w:spacing w:after="240" w:before="240" w:lineRule="auto"/>
        <w:rPr/>
      </w:pPr>
      <w:r w:rsidDel="00000000" w:rsidR="00000000" w:rsidRPr="00000000">
        <w:rPr>
          <w:rtl w:val="0"/>
        </w:rPr>
        <w:t xml:space="preserve">Parreñas, R. (2001) Servants of Globalization. Stanford: Stanford University Press.</w:t>
      </w:r>
    </w:p>
    <w:p w:rsidR="00000000" w:rsidDel="00000000" w:rsidP="00000000" w:rsidRDefault="00000000" w:rsidRPr="00000000" w14:paraId="000000DB">
      <w:pPr>
        <w:spacing w:after="240" w:before="240" w:lineRule="auto"/>
        <w:rPr/>
      </w:pPr>
      <w:r w:rsidDel="00000000" w:rsidR="00000000" w:rsidRPr="00000000">
        <w:rPr>
          <w:rtl w:val="0"/>
        </w:rPr>
        <w:t xml:space="preserve">Parreñas, R. (2012) ‘The emotional labour of migrant workers’, Gender &amp; Society, 26(6), pp. 890–912.</w:t>
      </w:r>
    </w:p>
    <w:p w:rsidR="00000000" w:rsidDel="00000000" w:rsidP="00000000" w:rsidRDefault="00000000" w:rsidRPr="00000000" w14:paraId="000000DC">
      <w:pPr>
        <w:spacing w:after="240" w:before="240" w:lineRule="auto"/>
        <w:rPr/>
      </w:pPr>
      <w:r w:rsidDel="00000000" w:rsidR="00000000" w:rsidRPr="00000000">
        <w:rPr>
          <w:rtl w:val="0"/>
        </w:rPr>
        <w:t xml:space="preserve">Skills for Care (2023) The State of the Adult Social Care Sector and Workforce in England. Leeds: Skills for Care.</w:t>
      </w:r>
    </w:p>
    <w:p w:rsidR="00000000" w:rsidDel="00000000" w:rsidP="00000000" w:rsidRDefault="00000000" w:rsidRPr="00000000" w14:paraId="000000DD">
      <w:pPr>
        <w:spacing w:after="240" w:before="240" w:lineRule="auto"/>
        <w:rPr/>
      </w:pPr>
      <w:r w:rsidDel="00000000" w:rsidR="00000000" w:rsidRPr="00000000">
        <w:rPr>
          <w:rtl w:val="0"/>
        </w:rPr>
        <w:t xml:space="preserve">Slany, K. and Małek, A. (2005) 'Female Migration from Poland to an Enlarged European Union', in Spaan, E., Hillmann, F. and van </w:t>
      </w:r>
    </w:p>
    <w:p w:rsidR="00000000" w:rsidDel="00000000" w:rsidP="00000000" w:rsidRDefault="00000000" w:rsidRPr="00000000" w14:paraId="000000DE">
      <w:pPr>
        <w:spacing w:after="240" w:before="240" w:lineRule="auto"/>
        <w:rPr/>
      </w:pPr>
      <w:r w:rsidDel="00000000" w:rsidR="00000000" w:rsidRPr="00000000">
        <w:rPr>
          <w:rtl w:val="0"/>
        </w:rPr>
        <w:t xml:space="preserve">Naerssen, T. (eds.) Asian Migrants and European Labour Markets. London: Routledge.</w:t>
      </w:r>
    </w:p>
    <w:p w:rsidR="00000000" w:rsidDel="00000000" w:rsidP="00000000" w:rsidRDefault="00000000" w:rsidRPr="00000000" w14:paraId="000000DF">
      <w:pPr>
        <w:spacing w:after="240" w:before="240" w:lineRule="auto"/>
        <w:rPr/>
      </w:pPr>
      <w:r w:rsidDel="00000000" w:rsidR="00000000" w:rsidRPr="00000000">
        <w:rPr>
          <w:rtl w:val="0"/>
        </w:rPr>
        <w:t xml:space="preserve">WHO (2010) Global Code of Practice on the International Recruitment of Health Personnel. Geneva: WHO.</w:t>
      </w:r>
    </w:p>
    <w:p w:rsidR="00000000" w:rsidDel="00000000" w:rsidP="00000000" w:rsidRDefault="00000000" w:rsidRPr="00000000" w14:paraId="000000E0">
      <w:pPr>
        <w:spacing w:after="240" w:before="240" w:lineRule="auto"/>
        <w:rPr/>
      </w:pPr>
      <w:r w:rsidDel="00000000" w:rsidR="00000000" w:rsidRPr="00000000">
        <w:rPr>
          <w:rtl w:val="0"/>
        </w:rPr>
        <w:t xml:space="preserve">Yeates, N. (2009) Globalizing Care Economies and Migrant Workers. Basingstoke: Palgrave Macmillan.</w:t>
      </w:r>
    </w:p>
    <w:p w:rsidR="00000000" w:rsidDel="00000000" w:rsidP="00000000" w:rsidRDefault="00000000" w:rsidRPr="00000000" w14:paraId="000000E1">
      <w:pPr>
        <w:spacing w:after="240" w:before="240" w:lineRule="auto"/>
        <w:rPr/>
      </w:pPr>
      <w:r w:rsidDel="00000000" w:rsidR="00000000" w:rsidRPr="00000000">
        <w:rPr>
          <w:rtl w:val="0"/>
        </w:rPr>
        <w:t xml:space="preserve">Yeates, N. (2012) ‘Global care chains: a state‑of‑the‑art review’, Global Networks, 12(2), pp. 135–154.</w:t>
      </w:r>
    </w:p>
    <w:p w:rsidR="00000000" w:rsidDel="00000000" w:rsidP="00000000" w:rsidRDefault="00000000" w:rsidRPr="00000000" w14:paraId="000000E2">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