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296E6EA3"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E511DE">
              <w:rPr>
                <w:rFonts w:ascii="Times New Roman" w:hAnsi="Times New Roman" w:cs="Times New Roman"/>
                <w:b/>
                <w:color w:val="auto"/>
                <w:sz w:val="48"/>
              </w:rPr>
              <w:t>Laura Button</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0E3EAC13"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hyperlink r:id="rId11" w:history="1">
              <w:r w:rsidR="00E511DE" w:rsidRPr="00E511DE">
                <w:rPr>
                  <w:rStyle w:val="Hyperlink"/>
                  <w:rFonts w:ascii="Times New Roman" w:hAnsi="Times New Roman" w:cs="Times New Roman"/>
                  <w:b/>
                  <w:color w:val="000000" w:themeColor="text1"/>
                  <w:sz w:val="48"/>
                  <w:u w:val="none"/>
                </w:rPr>
                <w:t>l.button@npt.gov.uk</w:t>
              </w:r>
            </w:hyperlink>
            <w:r w:rsidR="00E511DE" w:rsidRPr="00E511DE">
              <w:rPr>
                <w:rFonts w:ascii="Times New Roman" w:hAnsi="Times New Roman" w:cs="Times New Roman"/>
                <w:b/>
                <w:color w:val="000000" w:themeColor="text1"/>
                <w:sz w:val="48"/>
              </w:rPr>
              <w:t xml:space="preserve"> </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2FB77C2B" w14:textId="77777777" w:rsidR="00E511DE"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E511DE">
              <w:rPr>
                <w:rFonts w:ascii="Times New Roman" w:hAnsi="Times New Roman" w:cs="Times New Roman"/>
                <w:b/>
                <w:color w:val="auto"/>
                <w:sz w:val="48"/>
              </w:rPr>
              <w:t xml:space="preserve"> </w:t>
            </w:r>
          </w:p>
          <w:p w14:paraId="0DE696B2" w14:textId="2D444929" w:rsidR="00F927A1" w:rsidRPr="005D3F07" w:rsidRDefault="00E511DE" w:rsidP="005D3F07">
            <w:pPr>
              <w:overflowPunct/>
              <w:autoSpaceDE/>
              <w:autoSpaceDN/>
              <w:adjustRightInd/>
              <w:ind w:right="-957"/>
              <w:textAlignment w:val="auto"/>
              <w:rPr>
                <w:rFonts w:ascii="Times New Roman" w:hAnsi="Times New Roman" w:cs="Times New Roman"/>
                <w:b/>
                <w:color w:val="auto"/>
                <w:sz w:val="48"/>
              </w:rPr>
            </w:pPr>
            <w:r w:rsidRPr="00F31CB4">
              <w:rPr>
                <w:rFonts w:ascii="Times New Roman" w:hAnsi="Times New Roman" w:cs="Times New Roman"/>
                <w:b/>
                <w:sz w:val="48"/>
              </w:rPr>
              <w:t>2521894</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4756DF6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49374F">
              <w:rPr>
                <w:rFonts w:ascii="Times New Roman" w:hAnsi="Times New Roman" w:cs="Times New Roman"/>
                <w:b/>
                <w:color w:val="auto"/>
                <w:sz w:val="48"/>
              </w:rPr>
              <w:t>21</w:t>
            </w:r>
            <w:r w:rsidR="00AE6231">
              <w:rPr>
                <w:rFonts w:ascii="Times New Roman" w:hAnsi="Times New Roman" w:cs="Times New Roman"/>
                <w:b/>
                <w:color w:val="auto"/>
                <w:sz w:val="48"/>
              </w:rPr>
              <w:t>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0EF984DF" w14:textId="02707E04" w:rsidR="000D0BB6" w:rsidRPr="00EE5BC3" w:rsidRDefault="00337FEF" w:rsidP="00EE5BC3">
      <w:pPr>
        <w:jc w:val="center"/>
        <w:rPr>
          <w:b/>
          <w:sz w:val="28"/>
          <w:szCs w:val="28"/>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17A49383" w14:textId="77777777" w:rsidR="008B28E7" w:rsidRDefault="00BB7FD2" w:rsidP="00FF7EBB">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1FBBCFA0" w14:textId="77777777" w:rsidR="006108C9" w:rsidRPr="00C41E9D" w:rsidRDefault="006108C9" w:rsidP="00C41E9D">
            <w:pPr>
              <w:spacing w:line="360" w:lineRule="auto"/>
              <w:jc w:val="both"/>
              <w:rPr>
                <w:sz w:val="24"/>
                <w:szCs w:val="24"/>
              </w:rPr>
            </w:pPr>
          </w:p>
          <w:p w14:paraId="757FB2BD" w14:textId="59AEF43A" w:rsidR="00A7064B" w:rsidRPr="00C41E9D" w:rsidRDefault="00A7064B" w:rsidP="00C41E9D">
            <w:pPr>
              <w:spacing w:line="360" w:lineRule="auto"/>
              <w:rPr>
                <w:sz w:val="24"/>
                <w:szCs w:val="24"/>
              </w:rPr>
            </w:pPr>
            <w:r w:rsidRPr="00C41E9D">
              <w:rPr>
                <w:sz w:val="24"/>
                <w:szCs w:val="24"/>
              </w:rPr>
              <w:t>The primary legislation for safeguarding adults in Wales is the Social Services and Well-being (Wales) Act 2014</w:t>
            </w:r>
            <w:r w:rsidR="00F414D6">
              <w:rPr>
                <w:sz w:val="24"/>
                <w:szCs w:val="24"/>
              </w:rPr>
              <w:t xml:space="preserve"> (</w:t>
            </w:r>
            <w:r w:rsidR="00F414D6" w:rsidRPr="00F414D6">
              <w:rPr>
                <w:sz w:val="24"/>
                <w:szCs w:val="24"/>
              </w:rPr>
              <w:t>SSWB</w:t>
            </w:r>
            <w:r w:rsidR="00F414D6">
              <w:rPr>
                <w:sz w:val="24"/>
                <w:szCs w:val="24"/>
              </w:rPr>
              <w:t>(W)</w:t>
            </w:r>
            <w:r w:rsidR="00F414D6" w:rsidRPr="00F414D6">
              <w:rPr>
                <w:sz w:val="24"/>
                <w:szCs w:val="24"/>
              </w:rPr>
              <w:t>A 2014)</w:t>
            </w:r>
            <w:r w:rsidR="00F414D6">
              <w:rPr>
                <w:sz w:val="24"/>
                <w:szCs w:val="24"/>
              </w:rPr>
              <w:t>.</w:t>
            </w:r>
            <w:r w:rsidR="00F414D6" w:rsidRPr="00C41E9D">
              <w:rPr>
                <w:sz w:val="24"/>
                <w:szCs w:val="24"/>
              </w:rPr>
              <w:t xml:space="preserve"> The</w:t>
            </w:r>
            <w:r w:rsidRPr="00C41E9D">
              <w:rPr>
                <w:sz w:val="24"/>
                <w:szCs w:val="24"/>
              </w:rPr>
              <w:t xml:space="preserve"> Act promotes the well-being of individuals and places a duty on local authorities to protect adults who may be at risk of abuse or neglect. </w:t>
            </w:r>
            <w:r w:rsidR="00CD3103" w:rsidRPr="00CD3103">
              <w:rPr>
                <w:sz w:val="24"/>
                <w:szCs w:val="24"/>
              </w:rPr>
              <w:t>Part 7 of the Social Services and Well-being (Wales) Act 2014 identifies an adult at risk as a person whose care and support needs limit their ability to safeguard themselves from actual or potential abuse or neglect</w:t>
            </w:r>
            <w:r w:rsidRPr="00C41E9D">
              <w:rPr>
                <w:sz w:val="24"/>
                <w:szCs w:val="24"/>
              </w:rPr>
              <w:t xml:space="preserve">. The Act requires local authorities to make enquiries where there is reasonable cause to suspect an adult is at risk and to take appropriate action to safeguard them. </w:t>
            </w:r>
            <w:r w:rsidR="00F414D6">
              <w:rPr>
                <w:sz w:val="24"/>
                <w:szCs w:val="24"/>
              </w:rPr>
              <w:t xml:space="preserve">(SSWB(W)A </w:t>
            </w:r>
            <w:r w:rsidRPr="00C41E9D">
              <w:rPr>
                <w:sz w:val="24"/>
                <w:szCs w:val="24"/>
              </w:rPr>
              <w:t>2014</w:t>
            </w:r>
            <w:r w:rsidR="00F414D6">
              <w:rPr>
                <w:sz w:val="24"/>
                <w:szCs w:val="24"/>
              </w:rPr>
              <w:t xml:space="preserve">) </w:t>
            </w:r>
            <w:r w:rsidRPr="00C41E9D">
              <w:rPr>
                <w:sz w:val="24"/>
                <w:szCs w:val="24"/>
              </w:rPr>
              <w:t xml:space="preserve">promotes a person-centred approach to care and support by ensuring that individuals are actively involved in decisions that affect their lives. The legislation focuses on improving well-being, supporting independence, and providing early intervention to prevent needs from escalating. </w:t>
            </w:r>
          </w:p>
          <w:p w14:paraId="7A14378A" w14:textId="77777777" w:rsidR="00993DB6" w:rsidRPr="00C41E9D" w:rsidRDefault="00993DB6" w:rsidP="00C41E9D">
            <w:pPr>
              <w:spacing w:line="360" w:lineRule="auto"/>
              <w:rPr>
                <w:sz w:val="24"/>
                <w:szCs w:val="24"/>
              </w:rPr>
            </w:pPr>
          </w:p>
          <w:p w14:paraId="3EF8F419" w14:textId="7E618C37" w:rsidR="00A7064B" w:rsidRPr="00C41E9D" w:rsidRDefault="00A7064B" w:rsidP="00C41E9D">
            <w:pPr>
              <w:spacing w:after="160" w:line="360" w:lineRule="auto"/>
              <w:rPr>
                <w:sz w:val="24"/>
                <w:szCs w:val="24"/>
              </w:rPr>
            </w:pPr>
            <w:r w:rsidRPr="00C41E9D">
              <w:rPr>
                <w:sz w:val="24"/>
                <w:szCs w:val="24"/>
              </w:rPr>
              <w:t>At a local level, safeguarding practice is guided by the Wales Safeguarding Procedures, which provide practitioners with a consistent framework for identifying, reporting, and responding to concerns about abuse and neglect. The procedures are supported by Working Together to Safeguard People: Volume 6 - Handling Individual Cases to Protect Adults at Risk, statutory guidance issued by the Welsh Government to support the safeguarding duties contained within Part 7 of the Social Services and Well-being (Wales) Act 2014</w:t>
            </w:r>
            <w:r w:rsidR="00F414D6">
              <w:rPr>
                <w:sz w:val="24"/>
                <w:szCs w:val="24"/>
              </w:rPr>
              <w:t xml:space="preserve"> (UK Government, 2014)</w:t>
            </w:r>
            <w:r w:rsidRPr="00C41E9D">
              <w:rPr>
                <w:sz w:val="24"/>
                <w:szCs w:val="24"/>
              </w:rPr>
              <w:t xml:space="preserve">. Together, these frameworks outline the responsibilities of professionals </w:t>
            </w:r>
            <w:r w:rsidRPr="00C41E9D">
              <w:rPr>
                <w:sz w:val="24"/>
                <w:szCs w:val="24"/>
              </w:rPr>
              <w:lastRenderedPageBreak/>
              <w:t>and agencies when safeguarding concerns arise and promote a person-centred approach that places the adult's views, wishes, and desired outcomes at the centre of decision-making. They provide clear guidance on recognising indicators of abuse and neglect, making safeguarding referrals, undertaking enquiries, sharing information appropriately, and working collaboratively with partner agencies such as health services and the police. The procedures also establish referral pathways, timescales for action, and expectations for multi-agency working, helping to ensure a consistent and effective safeguarding response across Wales</w:t>
            </w:r>
          </w:p>
          <w:p w14:paraId="6FB92B3C" w14:textId="0F12977B" w:rsidR="00A7064B" w:rsidRPr="00C41E9D" w:rsidRDefault="00A7064B" w:rsidP="00C41E9D">
            <w:pPr>
              <w:spacing w:line="360" w:lineRule="auto"/>
              <w:rPr>
                <w:sz w:val="24"/>
                <w:szCs w:val="24"/>
              </w:rPr>
            </w:pPr>
            <w:r w:rsidRPr="00C41E9D">
              <w:rPr>
                <w:sz w:val="24"/>
                <w:szCs w:val="24"/>
              </w:rPr>
              <w:t xml:space="preserve">The Mental Capacity Act (2005) </w:t>
            </w:r>
            <w:r w:rsidR="00F414D6">
              <w:rPr>
                <w:sz w:val="24"/>
                <w:szCs w:val="24"/>
              </w:rPr>
              <w:t xml:space="preserve">(MCA) </w:t>
            </w:r>
            <w:r w:rsidRPr="00C41E9D">
              <w:rPr>
                <w:sz w:val="24"/>
                <w:szCs w:val="24"/>
              </w:rPr>
              <w:t>provides a framework for supporting adults who may lack the capacity to make specific decisions. The five key principles of the MCA include assuming capacity unless proven otherwise, supporting individuals to make their own decisions, recognising the right to make unwise decisions, acting in a person's best interests, and using the least restrictive option. The MCA is specifically significant when safeguarding concerns surface and there are questions about an individual's ability to understand risks and make informed decisions.</w:t>
            </w:r>
          </w:p>
          <w:p w14:paraId="505F27AA" w14:textId="77777777" w:rsidR="00B803E3" w:rsidRPr="00C41E9D" w:rsidRDefault="00B803E3" w:rsidP="00C41E9D">
            <w:pPr>
              <w:spacing w:line="360" w:lineRule="auto"/>
              <w:rPr>
                <w:sz w:val="24"/>
                <w:szCs w:val="24"/>
              </w:rPr>
            </w:pPr>
          </w:p>
          <w:p w14:paraId="38860125" w14:textId="77777777" w:rsidR="00993DB6" w:rsidRPr="00C41E9D" w:rsidRDefault="00A7064B" w:rsidP="00C41E9D">
            <w:pPr>
              <w:spacing w:after="160" w:line="360" w:lineRule="auto"/>
              <w:rPr>
                <w:sz w:val="24"/>
                <w:szCs w:val="24"/>
              </w:rPr>
            </w:pPr>
            <w:r w:rsidRPr="00C41E9D">
              <w:rPr>
                <w:sz w:val="24"/>
                <w:szCs w:val="24"/>
              </w:rPr>
              <w:t xml:space="preserve">The Human Rights Act 1998 is also crucial to safeguarding practice. </w:t>
            </w:r>
            <w:r w:rsidR="00993DB6" w:rsidRPr="00C41E9D">
              <w:rPr>
                <w:sz w:val="24"/>
                <w:szCs w:val="24"/>
              </w:rPr>
              <w:t>Local Authorities</w:t>
            </w:r>
            <w:r w:rsidRPr="00C41E9D">
              <w:rPr>
                <w:sz w:val="24"/>
                <w:szCs w:val="24"/>
              </w:rPr>
              <w:t xml:space="preserve"> must ensure that their actions are consistent with the Rights. Safeguarding interventions should balance an individual's right to autonomy and family life with the need to protect them from harm. </w:t>
            </w:r>
          </w:p>
          <w:p w14:paraId="4FF8EBF3" w14:textId="097A6BCB" w:rsidR="005A545C" w:rsidRDefault="005414F4" w:rsidP="00993DB6">
            <w:pPr>
              <w:spacing w:after="160" w:line="259" w:lineRule="auto"/>
              <w:rPr>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r w:rsidR="007A628F">
              <w:rPr>
                <w:sz w:val="24"/>
                <w:szCs w:val="24"/>
              </w:rPr>
              <w:t>.</w:t>
            </w:r>
          </w:p>
          <w:p w14:paraId="591B7296" w14:textId="137162D1" w:rsidR="00C71416" w:rsidRPr="00993DB6" w:rsidRDefault="00C71416" w:rsidP="00993DB6">
            <w:pPr>
              <w:spacing w:after="160" w:line="259" w:lineRule="auto"/>
            </w:pPr>
            <w:r>
              <w:rPr>
                <w:sz w:val="24"/>
                <w:szCs w:val="24"/>
              </w:rPr>
              <w:t>4</w:t>
            </w:r>
            <w:r w:rsidR="00A12C81">
              <w:rPr>
                <w:sz w:val="24"/>
                <w:szCs w:val="24"/>
              </w:rPr>
              <w:t>47</w:t>
            </w:r>
            <w:r>
              <w:rPr>
                <w:sz w:val="24"/>
                <w:szCs w:val="24"/>
              </w:rPr>
              <w:t xml:space="preserve"> words </w:t>
            </w:r>
          </w:p>
          <w:p w14:paraId="03BD6D93" w14:textId="56AD433A" w:rsidR="007A628F" w:rsidRPr="008B28E7" w:rsidRDefault="007A628F" w:rsidP="00FF7EBB">
            <w:pPr>
              <w:jc w:val="both"/>
              <w:rPr>
                <w:b/>
                <w:sz w:val="24"/>
                <w:szCs w:val="24"/>
              </w:rPr>
            </w:pP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2ADF1EC3" w14:textId="58E4B8DE"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7774760B" w14:textId="77777777" w:rsidR="0095745F" w:rsidRDefault="0095745F" w:rsidP="00FC0334">
            <w:pPr>
              <w:jc w:val="both"/>
              <w:rPr>
                <w:sz w:val="24"/>
                <w:szCs w:val="24"/>
              </w:rPr>
            </w:pPr>
          </w:p>
          <w:p w14:paraId="664B8519" w14:textId="77777777" w:rsidR="00A12C81" w:rsidRPr="00A12C81" w:rsidRDefault="00A12C81" w:rsidP="00A12C81">
            <w:pPr>
              <w:spacing w:after="160" w:line="360" w:lineRule="auto"/>
              <w:rPr>
                <w:sz w:val="24"/>
                <w:szCs w:val="24"/>
              </w:rPr>
            </w:pPr>
            <w:r w:rsidRPr="00A12C81">
              <w:rPr>
                <w:sz w:val="24"/>
                <w:szCs w:val="24"/>
              </w:rPr>
              <w:t>Although safeguarding in adult and children's services aims to protect individuals from abuse, neglect and harm, there are differences in the legal and ethical principles underpinning practice. The key difference relates to the balance between protection and autonomy.</w:t>
            </w:r>
          </w:p>
          <w:p w14:paraId="7A3E039E" w14:textId="77777777" w:rsidR="00A12C81" w:rsidRPr="00A12C81" w:rsidRDefault="00A12C81" w:rsidP="00A12C81">
            <w:pPr>
              <w:spacing w:after="160" w:line="360" w:lineRule="auto"/>
              <w:rPr>
                <w:sz w:val="24"/>
                <w:szCs w:val="24"/>
              </w:rPr>
            </w:pPr>
            <w:r w:rsidRPr="00A12C81">
              <w:rPr>
                <w:sz w:val="24"/>
                <w:szCs w:val="24"/>
              </w:rPr>
              <w:lastRenderedPageBreak/>
              <w:t>In Wales, safeguarding children is underpinned by the Social Services and Well-being (Wales) Act 2014, which promotes wellbeing and protection from abuse, neglect and harm. The Act recognises the importance of children having a voice in decisions. However, professionals must prioritise safety when concerns about significant harm arise. Consequently, intervention may be necessary regardless of a child's wishes.</w:t>
            </w:r>
          </w:p>
          <w:p w14:paraId="381DC80C" w14:textId="77777777" w:rsidR="00A12C81" w:rsidRPr="00A12C81" w:rsidRDefault="00A12C81" w:rsidP="00A12C81">
            <w:pPr>
              <w:spacing w:after="160" w:line="360" w:lineRule="auto"/>
              <w:rPr>
                <w:sz w:val="24"/>
                <w:szCs w:val="24"/>
              </w:rPr>
            </w:pPr>
            <w:r w:rsidRPr="00A12C81">
              <w:rPr>
                <w:sz w:val="24"/>
                <w:szCs w:val="24"/>
              </w:rPr>
              <w:t>Children's safeguarding is also supported by the Children Act 1989, which places a duty on local authorities to safeguard and promote children's safety. Section 47 enables local authorities to undertake enquiries when concerns arise regarding a child's safety. This duty supports the identification of risk and informs decisions about the level of protection required.</w:t>
            </w:r>
          </w:p>
          <w:p w14:paraId="699053BE" w14:textId="77777777" w:rsidR="00A12C81" w:rsidRPr="00A12C81" w:rsidRDefault="00A12C81" w:rsidP="00A12C81">
            <w:pPr>
              <w:spacing w:after="160" w:line="360" w:lineRule="auto"/>
              <w:rPr>
                <w:sz w:val="24"/>
                <w:szCs w:val="24"/>
              </w:rPr>
            </w:pPr>
            <w:r w:rsidRPr="00A12C81">
              <w:rPr>
                <w:sz w:val="24"/>
                <w:szCs w:val="24"/>
              </w:rPr>
              <w:t>The Act also provides the legal framework for care orders, enabling local authorities to intervene where a child's safety or welfare cannot be adequately protected within the family home. While the concept of Gillick competence recognises that some children may have sufficient maturity and understanding to make certain decisions independently, professionals must still act in the child's best interests and take protective measures where significant harm is identified (NSPCC Learning, 2022).</w:t>
            </w:r>
          </w:p>
          <w:p w14:paraId="60E982A1" w14:textId="5CCADC0D" w:rsidR="00A12C81" w:rsidRPr="00A12C81" w:rsidRDefault="00A12C81" w:rsidP="00A12C81">
            <w:pPr>
              <w:spacing w:after="160" w:line="360" w:lineRule="auto"/>
              <w:rPr>
                <w:sz w:val="24"/>
                <w:szCs w:val="24"/>
              </w:rPr>
            </w:pPr>
            <w:r w:rsidRPr="00A12C81">
              <w:rPr>
                <w:sz w:val="24"/>
                <w:szCs w:val="24"/>
              </w:rPr>
              <w:t xml:space="preserve">Alternatively, safeguarding adults under the SSWB(W)A 2014 is founded on wellbeing, voice, control and personal outcomes. A key principle of adult safeguarding is respect for individual autonomy and self-determination. The Mental Capacity Act </w:t>
            </w:r>
            <w:r>
              <w:rPr>
                <w:sz w:val="24"/>
                <w:szCs w:val="24"/>
              </w:rPr>
              <w:t xml:space="preserve">(MCA) </w:t>
            </w:r>
            <w:r w:rsidRPr="00A12C81">
              <w:rPr>
                <w:sz w:val="24"/>
                <w:szCs w:val="24"/>
              </w:rPr>
              <w:t>2005 requires practitioners to presume capacity unless established otherwise and recognises that decisions perceived as risky or unwise do not, in themselves, indicate a lack of capacity (M</w:t>
            </w:r>
            <w:r>
              <w:rPr>
                <w:sz w:val="24"/>
                <w:szCs w:val="24"/>
              </w:rPr>
              <w:t>CA</w:t>
            </w:r>
            <w:r w:rsidRPr="00A12C81">
              <w:rPr>
                <w:sz w:val="24"/>
                <w:szCs w:val="24"/>
              </w:rPr>
              <w:t>, 2005). Therefore, safeguarding adults often involves managing rather than eliminating risk.</w:t>
            </w:r>
          </w:p>
          <w:p w14:paraId="794535D3" w14:textId="77777777" w:rsidR="00A12C81" w:rsidRPr="00A12C81" w:rsidRDefault="00A12C81" w:rsidP="00A12C81">
            <w:pPr>
              <w:spacing w:after="160" w:line="360" w:lineRule="auto"/>
              <w:rPr>
                <w:sz w:val="24"/>
                <w:szCs w:val="24"/>
              </w:rPr>
            </w:pPr>
            <w:r w:rsidRPr="00A12C81">
              <w:rPr>
                <w:sz w:val="24"/>
                <w:szCs w:val="24"/>
              </w:rPr>
              <w:t>Unlike children's services, where intervention is justified when a child is at risk of harm, adults with capacity can choose not to engage with support or safeguarding processes. Practitioners must therefore balance an individual's right to self-determination with their duty of care. This requires consideration of consent, information sharing and circumstances where safeguarding action may be required despite an adult's reluctance to engage.</w:t>
            </w:r>
          </w:p>
          <w:p w14:paraId="6F2EC999" w14:textId="2D690F8F" w:rsidR="00A12C81" w:rsidRPr="00A12C81" w:rsidRDefault="00A12C81" w:rsidP="00A12C81">
            <w:pPr>
              <w:spacing w:after="160" w:line="360" w:lineRule="auto"/>
              <w:rPr>
                <w:sz w:val="24"/>
                <w:szCs w:val="24"/>
              </w:rPr>
            </w:pPr>
            <w:r w:rsidRPr="00A12C81">
              <w:rPr>
                <w:sz w:val="24"/>
                <w:szCs w:val="24"/>
              </w:rPr>
              <w:t xml:space="preserve">Overall, this comparison highlights the importance of professional judgement. Whilst both adult and children's safeguarding seek to protect individuals from harm, children's </w:t>
            </w:r>
            <w:r w:rsidRPr="00A12C81">
              <w:rPr>
                <w:sz w:val="24"/>
                <w:szCs w:val="24"/>
              </w:rPr>
              <w:lastRenderedPageBreak/>
              <w:t xml:space="preserve">safeguarding places greater emphasis on protection and welfare, whereas adult safeguarding balances protection with autonomy, choice and self-determination. This is supported by the Human Rights Act 1998, particularly Article </w:t>
            </w:r>
            <w:r w:rsidRPr="00A12C81">
              <w:rPr>
                <w:sz w:val="24"/>
                <w:szCs w:val="24"/>
              </w:rPr>
              <w:t>8, protects</w:t>
            </w:r>
            <w:r w:rsidRPr="00A12C81">
              <w:rPr>
                <w:sz w:val="24"/>
                <w:szCs w:val="24"/>
              </w:rPr>
              <w:t xml:space="preserve"> the right to private and family life and requires</w:t>
            </w:r>
            <w:r>
              <w:rPr>
                <w:sz w:val="24"/>
                <w:szCs w:val="24"/>
              </w:rPr>
              <w:t xml:space="preserve"> lawful</w:t>
            </w:r>
            <w:r w:rsidRPr="00A12C81">
              <w:rPr>
                <w:sz w:val="24"/>
                <w:szCs w:val="24"/>
              </w:rPr>
              <w:t xml:space="preserve"> interventions</w:t>
            </w:r>
            <w:r>
              <w:rPr>
                <w:sz w:val="24"/>
                <w:szCs w:val="24"/>
              </w:rPr>
              <w:t xml:space="preserve"> to be</w:t>
            </w:r>
            <w:r w:rsidRPr="00A12C81">
              <w:rPr>
                <w:sz w:val="24"/>
                <w:szCs w:val="24"/>
              </w:rPr>
              <w:t>, proportionate. Understanding these differences is essential for social work and ensures safeguarding responses remain person-centred</w:t>
            </w:r>
            <w:r>
              <w:rPr>
                <w:sz w:val="24"/>
                <w:szCs w:val="24"/>
              </w:rPr>
              <w:t xml:space="preserve"> </w:t>
            </w:r>
            <w:r w:rsidRPr="00A12C81">
              <w:rPr>
                <w:sz w:val="24"/>
                <w:szCs w:val="24"/>
              </w:rPr>
              <w:t>and proportionate.</w:t>
            </w:r>
          </w:p>
          <w:p w14:paraId="326E5697" w14:textId="733C8BD0" w:rsidR="00B01614" w:rsidRPr="00B01614" w:rsidRDefault="00B01614" w:rsidP="00B01614">
            <w:pPr>
              <w:spacing w:after="160" w:line="360" w:lineRule="auto"/>
              <w:rPr>
                <w:sz w:val="24"/>
                <w:szCs w:val="24"/>
              </w:rPr>
            </w:pPr>
          </w:p>
          <w:p w14:paraId="685AAFB9" w14:textId="77777777" w:rsidR="0095745F" w:rsidRDefault="0095745F" w:rsidP="00FC0334">
            <w:pPr>
              <w:jc w:val="both"/>
              <w:rPr>
                <w:sz w:val="24"/>
                <w:szCs w:val="24"/>
              </w:rPr>
            </w:pPr>
          </w:p>
          <w:p w14:paraId="2C4B73C5" w14:textId="77777777" w:rsidR="00737B89" w:rsidRDefault="00737B89" w:rsidP="00FC0334">
            <w:pPr>
              <w:jc w:val="both"/>
              <w:rPr>
                <w:sz w:val="24"/>
                <w:szCs w:val="24"/>
              </w:rPr>
            </w:pPr>
          </w:p>
          <w:p w14:paraId="6BA3DD84" w14:textId="0013357A" w:rsidR="00FC0334" w:rsidRDefault="00FC0334" w:rsidP="00FC0334">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sidR="007A628F">
              <w:rPr>
                <w:i/>
                <w:sz w:val="24"/>
                <w:szCs w:val="24"/>
              </w:rPr>
              <w:t>.</w:t>
            </w:r>
          </w:p>
          <w:p w14:paraId="78E79D35" w14:textId="77777777" w:rsidR="008375BD" w:rsidRDefault="008375BD" w:rsidP="00FC0334">
            <w:pPr>
              <w:jc w:val="both"/>
              <w:rPr>
                <w:i/>
                <w:sz w:val="24"/>
                <w:szCs w:val="24"/>
              </w:rPr>
            </w:pPr>
          </w:p>
          <w:p w14:paraId="66D4B875" w14:textId="7665214B" w:rsidR="008375BD" w:rsidRPr="008375BD" w:rsidRDefault="008375BD" w:rsidP="00FC0334">
            <w:pPr>
              <w:jc w:val="both"/>
              <w:rPr>
                <w:iCs/>
                <w:sz w:val="24"/>
                <w:szCs w:val="24"/>
              </w:rPr>
            </w:pPr>
            <w:r>
              <w:rPr>
                <w:iCs/>
                <w:sz w:val="24"/>
                <w:szCs w:val="24"/>
              </w:rPr>
              <w:t xml:space="preserve"> </w:t>
            </w:r>
            <w:r w:rsidR="00C41E9D">
              <w:rPr>
                <w:iCs/>
                <w:sz w:val="24"/>
                <w:szCs w:val="24"/>
              </w:rPr>
              <w:t>4</w:t>
            </w:r>
            <w:r w:rsidR="00A12C81">
              <w:rPr>
                <w:iCs/>
                <w:sz w:val="24"/>
                <w:szCs w:val="24"/>
              </w:rPr>
              <w:t xml:space="preserve">40 </w:t>
            </w:r>
            <w:r>
              <w:rPr>
                <w:iCs/>
                <w:sz w:val="24"/>
                <w:szCs w:val="24"/>
              </w:rPr>
              <w:t xml:space="preserve">Words </w:t>
            </w:r>
          </w:p>
          <w:p w14:paraId="08760B3D" w14:textId="77777777" w:rsidR="00FC0334" w:rsidRPr="006108C9" w:rsidRDefault="00FC0334" w:rsidP="00FC0334">
            <w:pPr>
              <w:jc w:val="both"/>
              <w:rPr>
                <w:sz w:val="24"/>
                <w:szCs w:val="24"/>
              </w:rPr>
            </w:pPr>
          </w:p>
        </w:tc>
      </w:tr>
    </w:tbl>
    <w:p w14:paraId="76FCF233" w14:textId="77777777" w:rsidR="00FC0334" w:rsidRDefault="00FC0334" w:rsidP="00FC0334">
      <w:pPr>
        <w:rPr>
          <w:sz w:val="24"/>
          <w:szCs w:val="24"/>
        </w:rPr>
      </w:pPr>
    </w:p>
    <w:sectPr w:rsidR="00FC0334" w:rsidSect="00F15354">
      <w:headerReference w:type="default" r:id="rId12"/>
      <w:footerReference w:type="default" r:id="rId1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631960" w14:textId="77777777" w:rsidR="00742B98" w:rsidRDefault="00742B98">
      <w:r>
        <w:separator/>
      </w:r>
    </w:p>
  </w:endnote>
  <w:endnote w:type="continuationSeparator" w:id="0">
    <w:p w14:paraId="021CF182" w14:textId="77777777" w:rsidR="00742B98" w:rsidRDefault="00742B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C6B4B0" w14:textId="77777777" w:rsidR="00742B98" w:rsidRDefault="00742B98">
      <w:r>
        <w:separator/>
      </w:r>
    </w:p>
  </w:footnote>
  <w:footnote w:type="continuationSeparator" w:id="0">
    <w:p w14:paraId="37A073D6" w14:textId="77777777" w:rsidR="00742B98" w:rsidRDefault="00742B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2CB4"/>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B733A"/>
    <w:rsid w:val="000C378F"/>
    <w:rsid w:val="000C6892"/>
    <w:rsid w:val="000C6FFE"/>
    <w:rsid w:val="000D0BB6"/>
    <w:rsid w:val="000D2ED2"/>
    <w:rsid w:val="000D6653"/>
    <w:rsid w:val="000E0D51"/>
    <w:rsid w:val="000E0E79"/>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23D8"/>
    <w:rsid w:val="001A59BB"/>
    <w:rsid w:val="001A607E"/>
    <w:rsid w:val="001A6A51"/>
    <w:rsid w:val="001A79C4"/>
    <w:rsid w:val="001B331A"/>
    <w:rsid w:val="001C0237"/>
    <w:rsid w:val="001C0E74"/>
    <w:rsid w:val="001C266D"/>
    <w:rsid w:val="001C4DB8"/>
    <w:rsid w:val="001C50B8"/>
    <w:rsid w:val="001D229F"/>
    <w:rsid w:val="001D5369"/>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41E83"/>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03C8"/>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45C6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374F"/>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382"/>
    <w:rsid w:val="00513C7D"/>
    <w:rsid w:val="00521123"/>
    <w:rsid w:val="00521221"/>
    <w:rsid w:val="0052250B"/>
    <w:rsid w:val="005305C6"/>
    <w:rsid w:val="00540EEC"/>
    <w:rsid w:val="005414F4"/>
    <w:rsid w:val="00546187"/>
    <w:rsid w:val="00547B11"/>
    <w:rsid w:val="0055793E"/>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A6FAB"/>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37B89"/>
    <w:rsid w:val="007406E1"/>
    <w:rsid w:val="00742B98"/>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4E45"/>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375BD"/>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4003"/>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5745F"/>
    <w:rsid w:val="00964CC6"/>
    <w:rsid w:val="00967BFA"/>
    <w:rsid w:val="0098262C"/>
    <w:rsid w:val="0098427C"/>
    <w:rsid w:val="00986B43"/>
    <w:rsid w:val="00986C0B"/>
    <w:rsid w:val="00986D46"/>
    <w:rsid w:val="00991FDA"/>
    <w:rsid w:val="00992ACA"/>
    <w:rsid w:val="00993DB6"/>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C81"/>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064B"/>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1614"/>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03E3"/>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1E9D"/>
    <w:rsid w:val="00C42005"/>
    <w:rsid w:val="00C45F61"/>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1416"/>
    <w:rsid w:val="00C75883"/>
    <w:rsid w:val="00C76432"/>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B7897"/>
    <w:rsid w:val="00CC02F1"/>
    <w:rsid w:val="00CC1122"/>
    <w:rsid w:val="00CC11A6"/>
    <w:rsid w:val="00CC135E"/>
    <w:rsid w:val="00CC7226"/>
    <w:rsid w:val="00CD0735"/>
    <w:rsid w:val="00CD3103"/>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24651"/>
    <w:rsid w:val="00D3203C"/>
    <w:rsid w:val="00D33491"/>
    <w:rsid w:val="00D3442D"/>
    <w:rsid w:val="00D365F1"/>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1DE"/>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4D6"/>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0497"/>
    <w:rsid w:val="00FA23BD"/>
    <w:rsid w:val="00FA3764"/>
    <w:rsid w:val="00FA41C7"/>
    <w:rsid w:val="00FA4A79"/>
    <w:rsid w:val="00FA56ED"/>
    <w:rsid w:val="00FB05DD"/>
    <w:rsid w:val="00FB0F7C"/>
    <w:rsid w:val="00FB24EA"/>
    <w:rsid w:val="00FB5FA6"/>
    <w:rsid w:val="00FC0334"/>
    <w:rsid w:val="00FC1310"/>
    <w:rsid w:val="00FC1EA1"/>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UnresolvedMention">
    <w:name w:val="Unresolved Mention"/>
    <w:basedOn w:val="DefaultParagraphFont"/>
    <w:uiPriority w:val="99"/>
    <w:semiHidden/>
    <w:unhideWhenUsed/>
    <w:rsid w:val="00E511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l.button@npt.gov.uk"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5</Pages>
  <Words>1136</Words>
  <Characters>6477</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Laura Button</cp:lastModifiedBy>
  <cp:revision>5</cp:revision>
  <cp:lastPrinted>2020-02-11T19:20:00Z</cp:lastPrinted>
  <dcterms:created xsi:type="dcterms:W3CDTF">2026-09-30T09:05:00Z</dcterms:created>
  <dcterms:modified xsi:type="dcterms:W3CDTF">2026-10-06T22:26:00Z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