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E8D95" w14:textId="77777777" w:rsidR="00D30059" w:rsidRDefault="00D30059" w:rsidP="00DB58CB">
      <w:pPr>
        <w:spacing w:line="600" w:lineRule="auto"/>
        <w:jc w:val="both"/>
        <w:rPr>
          <w:rFonts w:ascii="Times New Roman" w:eastAsia="Times New Roman" w:hAnsi="Times New Roman" w:cs="Times New Roman"/>
          <w:b/>
          <w:bCs/>
        </w:rPr>
      </w:pPr>
    </w:p>
    <w:p w14:paraId="5FE682ED" w14:textId="77777777" w:rsidR="00D30059" w:rsidRDefault="00D30059" w:rsidP="00DB58CB">
      <w:pPr>
        <w:spacing w:line="600" w:lineRule="auto"/>
        <w:jc w:val="both"/>
        <w:rPr>
          <w:rFonts w:ascii="Times New Roman" w:eastAsia="Times New Roman" w:hAnsi="Times New Roman" w:cs="Times New Roman"/>
          <w:b/>
          <w:bCs/>
        </w:rPr>
      </w:pPr>
    </w:p>
    <w:p w14:paraId="726684B3" w14:textId="77777777" w:rsidR="00BB57D9" w:rsidRDefault="00BB57D9" w:rsidP="00DB58CB">
      <w:pPr>
        <w:spacing w:line="600" w:lineRule="auto"/>
        <w:jc w:val="both"/>
        <w:rPr>
          <w:rFonts w:ascii="Times New Roman" w:eastAsia="Times New Roman" w:hAnsi="Times New Roman" w:cs="Times New Roman"/>
          <w:b/>
          <w:bCs/>
        </w:rPr>
      </w:pPr>
    </w:p>
    <w:p w14:paraId="465B7693" w14:textId="5074BA88" w:rsidR="00BB57D9" w:rsidRPr="00BA2DE2" w:rsidRDefault="00BB57D9" w:rsidP="00451816">
      <w:pPr>
        <w:pStyle w:val="Header"/>
        <w:spacing w:line="600" w:lineRule="auto"/>
        <w:jc w:val="center"/>
        <w:rPr>
          <w:rFonts w:ascii="Times New Roman" w:eastAsia="Times New Roman" w:hAnsi="Times New Roman" w:cs="Times New Roman"/>
        </w:rPr>
      </w:pPr>
      <w:r w:rsidRPr="179405E9">
        <w:rPr>
          <w:rFonts w:ascii="Times New Roman" w:eastAsia="Times New Roman" w:hAnsi="Times New Roman" w:cs="Times New Roman"/>
          <w:b/>
          <w:bCs/>
        </w:rPr>
        <w:t>Name</w:t>
      </w:r>
      <w:r w:rsidRPr="179405E9">
        <w:rPr>
          <w:rFonts w:ascii="Times New Roman" w:eastAsia="Times New Roman" w:hAnsi="Times New Roman" w:cs="Times New Roman"/>
        </w:rPr>
        <w:t>: Nia Milcoy</w:t>
      </w:r>
    </w:p>
    <w:p w14:paraId="3DE0C370" w14:textId="77777777" w:rsidR="00BB57D9" w:rsidRPr="00BA2DE2" w:rsidRDefault="00BB57D9" w:rsidP="00451816">
      <w:pPr>
        <w:pStyle w:val="Header"/>
        <w:spacing w:line="600" w:lineRule="auto"/>
        <w:jc w:val="center"/>
        <w:rPr>
          <w:rFonts w:ascii="Times New Roman" w:eastAsia="Times New Roman" w:hAnsi="Times New Roman" w:cs="Times New Roman"/>
        </w:rPr>
      </w:pPr>
      <w:r w:rsidRPr="179405E9">
        <w:rPr>
          <w:rFonts w:ascii="Times New Roman" w:eastAsia="Times New Roman" w:hAnsi="Times New Roman" w:cs="Times New Roman"/>
          <w:b/>
          <w:bCs/>
        </w:rPr>
        <w:t>Student Number</w:t>
      </w:r>
      <w:r w:rsidRPr="179405E9">
        <w:rPr>
          <w:rFonts w:ascii="Times New Roman" w:eastAsia="Times New Roman" w:hAnsi="Times New Roman" w:cs="Times New Roman"/>
        </w:rPr>
        <w:t>: 0600733</w:t>
      </w:r>
    </w:p>
    <w:p w14:paraId="72B677F3" w14:textId="77777777" w:rsidR="00BB57D9" w:rsidRPr="00BA2DE2" w:rsidRDefault="00BB57D9" w:rsidP="00451816">
      <w:pPr>
        <w:pStyle w:val="Header"/>
        <w:spacing w:line="600" w:lineRule="auto"/>
        <w:jc w:val="center"/>
        <w:rPr>
          <w:rFonts w:ascii="Times New Roman" w:eastAsia="Times New Roman" w:hAnsi="Times New Roman" w:cs="Times New Roman"/>
        </w:rPr>
      </w:pPr>
      <w:r w:rsidRPr="179405E9">
        <w:rPr>
          <w:rFonts w:ascii="Times New Roman" w:eastAsia="Times New Roman" w:hAnsi="Times New Roman" w:cs="Times New Roman"/>
          <w:b/>
          <w:bCs/>
        </w:rPr>
        <w:t>Module Code</w:t>
      </w:r>
      <w:r w:rsidRPr="179405E9">
        <w:rPr>
          <w:rFonts w:ascii="Times New Roman" w:eastAsia="Times New Roman" w:hAnsi="Times New Roman" w:cs="Times New Roman"/>
        </w:rPr>
        <w:t>: BMHR7019</w:t>
      </w:r>
    </w:p>
    <w:p w14:paraId="5D24A46E" w14:textId="2924E0E1" w:rsidR="00BB57D9" w:rsidRPr="00BA2DE2" w:rsidRDefault="00BB57D9" w:rsidP="00451816">
      <w:pPr>
        <w:pStyle w:val="Header"/>
        <w:spacing w:line="600" w:lineRule="auto"/>
        <w:jc w:val="center"/>
        <w:rPr>
          <w:rFonts w:ascii="Times New Roman" w:eastAsia="Times New Roman" w:hAnsi="Times New Roman" w:cs="Times New Roman"/>
        </w:rPr>
      </w:pPr>
      <w:r w:rsidRPr="179405E9">
        <w:rPr>
          <w:rFonts w:ascii="Times New Roman" w:eastAsia="Times New Roman" w:hAnsi="Times New Roman" w:cs="Times New Roman"/>
          <w:b/>
          <w:bCs/>
        </w:rPr>
        <w:t>Assignment Title</w:t>
      </w:r>
      <w:r w:rsidRPr="179405E9">
        <w:rPr>
          <w:rFonts w:ascii="Times New Roman" w:eastAsia="Times New Roman" w:hAnsi="Times New Roman" w:cs="Times New Roman"/>
        </w:rPr>
        <w:t>: Provide appropriate advice to the UK management teams at two UK based organisations</w:t>
      </w:r>
    </w:p>
    <w:p w14:paraId="69E7B4AA" w14:textId="4CB3E557" w:rsidR="00BA2DE2" w:rsidRDefault="00BA2DE2" w:rsidP="00451816">
      <w:pPr>
        <w:spacing w:line="600" w:lineRule="auto"/>
        <w:jc w:val="center"/>
        <w:rPr>
          <w:rFonts w:ascii="Times New Roman" w:eastAsia="Times New Roman" w:hAnsi="Times New Roman" w:cs="Times New Roman"/>
        </w:rPr>
      </w:pPr>
      <w:r w:rsidRPr="179405E9">
        <w:rPr>
          <w:rFonts w:ascii="Times New Roman" w:eastAsia="Times New Roman" w:hAnsi="Times New Roman" w:cs="Times New Roman"/>
          <w:b/>
          <w:bCs/>
        </w:rPr>
        <w:t>Lecturer</w:t>
      </w:r>
      <w:r w:rsidRPr="179405E9">
        <w:rPr>
          <w:rFonts w:ascii="Times New Roman" w:eastAsia="Times New Roman" w:hAnsi="Times New Roman" w:cs="Times New Roman"/>
        </w:rPr>
        <w:t xml:space="preserve">: </w:t>
      </w:r>
      <w:r w:rsidR="00D527E4" w:rsidRPr="179405E9">
        <w:rPr>
          <w:rFonts w:ascii="Times New Roman" w:eastAsia="Times New Roman" w:hAnsi="Times New Roman" w:cs="Times New Roman"/>
        </w:rPr>
        <w:t>Rebecca Francies-Davies</w:t>
      </w:r>
    </w:p>
    <w:p w14:paraId="32ADCF7B" w14:textId="77777777" w:rsidR="005519E1" w:rsidRDefault="00D557F6" w:rsidP="00451816">
      <w:pPr>
        <w:spacing w:line="600" w:lineRule="auto"/>
        <w:jc w:val="center"/>
        <w:rPr>
          <w:rFonts w:ascii="Times New Roman" w:eastAsia="Times New Roman" w:hAnsi="Times New Roman" w:cs="Times New Roman"/>
        </w:rPr>
      </w:pPr>
      <w:r w:rsidRPr="179405E9">
        <w:rPr>
          <w:rFonts w:ascii="Times New Roman" w:eastAsia="Times New Roman" w:hAnsi="Times New Roman" w:cs="Times New Roman"/>
          <w:b/>
          <w:bCs/>
        </w:rPr>
        <w:t>Submission Deadline:</w:t>
      </w:r>
      <w:r w:rsidRPr="179405E9">
        <w:rPr>
          <w:rFonts w:ascii="Times New Roman" w:eastAsia="Times New Roman" w:hAnsi="Times New Roman" w:cs="Times New Roman"/>
        </w:rPr>
        <w:t xml:space="preserve"> </w:t>
      </w:r>
      <w:r w:rsidR="005519E1">
        <w:rPr>
          <w:rFonts w:ascii="Times New Roman" w:eastAsia="Times New Roman" w:hAnsi="Times New Roman" w:cs="Times New Roman"/>
        </w:rPr>
        <w:t>19</w:t>
      </w:r>
      <w:r w:rsidRPr="179405E9">
        <w:rPr>
          <w:rFonts w:ascii="Times New Roman" w:eastAsia="Times New Roman" w:hAnsi="Times New Roman" w:cs="Times New Roman"/>
          <w:vertAlign w:val="superscript"/>
        </w:rPr>
        <w:t>th</w:t>
      </w:r>
      <w:r w:rsidRPr="179405E9">
        <w:rPr>
          <w:rFonts w:ascii="Times New Roman" w:eastAsia="Times New Roman" w:hAnsi="Times New Roman" w:cs="Times New Roman"/>
        </w:rPr>
        <w:t xml:space="preserve"> May 2025</w:t>
      </w:r>
    </w:p>
    <w:p w14:paraId="74564A8F" w14:textId="6676BFB6" w:rsidR="00024673" w:rsidRPr="00BA2DE2" w:rsidRDefault="00024673" w:rsidP="00451816">
      <w:pPr>
        <w:spacing w:line="600" w:lineRule="auto"/>
        <w:jc w:val="center"/>
        <w:rPr>
          <w:rFonts w:ascii="Times New Roman" w:eastAsia="Times New Roman" w:hAnsi="Times New Roman" w:cs="Times New Roman"/>
          <w:b/>
          <w:bCs/>
        </w:rPr>
      </w:pPr>
      <w:r w:rsidRPr="179405E9">
        <w:rPr>
          <w:rFonts w:ascii="Times New Roman" w:eastAsia="Times New Roman" w:hAnsi="Times New Roman" w:cs="Times New Roman"/>
          <w:b/>
          <w:bCs/>
        </w:rPr>
        <w:t>Word count:</w:t>
      </w:r>
      <w:r w:rsidRPr="179405E9">
        <w:rPr>
          <w:rFonts w:ascii="Times New Roman" w:eastAsia="Times New Roman" w:hAnsi="Times New Roman" w:cs="Times New Roman"/>
        </w:rPr>
        <w:t xml:space="preserve"> </w:t>
      </w:r>
      <w:r w:rsidR="00EB0D62" w:rsidRPr="179405E9">
        <w:rPr>
          <w:rFonts w:ascii="Times New Roman" w:eastAsia="Times New Roman" w:hAnsi="Times New Roman" w:cs="Times New Roman"/>
        </w:rPr>
        <w:t>3,</w:t>
      </w:r>
      <w:r w:rsidR="00B166FC">
        <w:rPr>
          <w:rFonts w:ascii="Times New Roman" w:eastAsia="Times New Roman" w:hAnsi="Times New Roman" w:cs="Times New Roman"/>
        </w:rPr>
        <w:t>2</w:t>
      </w:r>
      <w:r w:rsidR="00E61F8B">
        <w:rPr>
          <w:rFonts w:ascii="Times New Roman" w:eastAsia="Times New Roman" w:hAnsi="Times New Roman" w:cs="Times New Roman"/>
        </w:rPr>
        <w:t>74</w:t>
      </w:r>
    </w:p>
    <w:p w14:paraId="5B9ED902" w14:textId="77777777" w:rsidR="00BB57D9" w:rsidRDefault="00BB57D9" w:rsidP="00DB58CB">
      <w:pPr>
        <w:spacing w:line="600" w:lineRule="auto"/>
        <w:jc w:val="both"/>
        <w:rPr>
          <w:rFonts w:ascii="Times New Roman" w:eastAsia="Times New Roman" w:hAnsi="Times New Roman" w:cs="Times New Roman"/>
          <w:b/>
          <w:bCs/>
        </w:rPr>
      </w:pPr>
    </w:p>
    <w:p w14:paraId="401892E0" w14:textId="77777777" w:rsidR="00EB0D62" w:rsidRDefault="00EB0D62" w:rsidP="00DB58CB">
      <w:pPr>
        <w:spacing w:line="600" w:lineRule="auto"/>
        <w:jc w:val="both"/>
        <w:rPr>
          <w:rFonts w:ascii="Times New Roman" w:eastAsia="Times New Roman" w:hAnsi="Times New Roman" w:cs="Times New Roman"/>
          <w:b/>
          <w:bCs/>
        </w:rPr>
      </w:pPr>
    </w:p>
    <w:p w14:paraId="45AEBC38" w14:textId="77777777" w:rsidR="00EB0D62" w:rsidRDefault="00EB0D62" w:rsidP="00DB58CB">
      <w:pPr>
        <w:spacing w:line="600" w:lineRule="auto"/>
        <w:jc w:val="both"/>
        <w:rPr>
          <w:rFonts w:ascii="Times New Roman" w:eastAsia="Times New Roman" w:hAnsi="Times New Roman" w:cs="Times New Roman"/>
          <w:b/>
          <w:bCs/>
        </w:rPr>
      </w:pPr>
    </w:p>
    <w:p w14:paraId="1413FDB7" w14:textId="77777777" w:rsidR="00EB0D62" w:rsidRDefault="00EB0D62" w:rsidP="00DB58CB">
      <w:pPr>
        <w:spacing w:line="600" w:lineRule="auto"/>
        <w:jc w:val="both"/>
        <w:rPr>
          <w:rFonts w:ascii="Times New Roman" w:eastAsia="Times New Roman" w:hAnsi="Times New Roman" w:cs="Times New Roman"/>
          <w:b/>
          <w:bCs/>
        </w:rPr>
      </w:pPr>
    </w:p>
    <w:p w14:paraId="5A3C628C" w14:textId="77777777" w:rsidR="00E646F6" w:rsidRDefault="00E646F6" w:rsidP="00DB58CB">
      <w:pPr>
        <w:spacing w:line="600" w:lineRule="auto"/>
        <w:jc w:val="both"/>
        <w:rPr>
          <w:rFonts w:ascii="Times New Roman" w:eastAsia="Times New Roman" w:hAnsi="Times New Roman" w:cs="Times New Roman"/>
          <w:b/>
          <w:bCs/>
          <w:u w:val="single"/>
        </w:rPr>
      </w:pPr>
    </w:p>
    <w:p w14:paraId="421580C8" w14:textId="77777777" w:rsidR="000C704B" w:rsidRDefault="000C704B" w:rsidP="00DB58CB">
      <w:pPr>
        <w:spacing w:line="600" w:lineRule="auto"/>
        <w:jc w:val="both"/>
        <w:rPr>
          <w:rFonts w:ascii="Times New Roman" w:eastAsia="Times New Roman" w:hAnsi="Times New Roman" w:cs="Times New Roman"/>
          <w:b/>
          <w:bCs/>
          <w:u w:val="single"/>
        </w:rPr>
      </w:pPr>
    </w:p>
    <w:p w14:paraId="700560CE" w14:textId="77777777" w:rsidR="000C704B" w:rsidRDefault="000C704B" w:rsidP="00DB58CB">
      <w:pPr>
        <w:spacing w:line="600" w:lineRule="auto"/>
        <w:jc w:val="both"/>
        <w:rPr>
          <w:rFonts w:ascii="Times New Roman" w:eastAsia="Times New Roman" w:hAnsi="Times New Roman" w:cs="Times New Roman"/>
          <w:b/>
          <w:bCs/>
          <w:u w:val="single"/>
        </w:rPr>
      </w:pPr>
    </w:p>
    <w:sdt>
      <w:sdtPr>
        <w:rPr>
          <w:rFonts w:asciiTheme="minorHAnsi" w:eastAsiaTheme="minorHAnsi" w:hAnsiTheme="minorHAnsi" w:cstheme="minorBidi"/>
          <w:color w:val="auto"/>
          <w:kern w:val="2"/>
          <w:sz w:val="24"/>
          <w:szCs w:val="24"/>
          <w:lang w:val="en-GB"/>
          <w14:ligatures w14:val="standardContextual"/>
        </w:rPr>
        <w:id w:val="-1316640096"/>
        <w:docPartObj>
          <w:docPartGallery w:val="Table of Contents"/>
          <w:docPartUnique/>
        </w:docPartObj>
      </w:sdtPr>
      <w:sdtEndPr>
        <w:rPr>
          <w:b/>
          <w:bCs/>
        </w:rPr>
      </w:sdtEndPr>
      <w:sdtContent>
        <w:p w14:paraId="37981B45" w14:textId="464178C7" w:rsidR="001F302F" w:rsidRPr="002837E9" w:rsidRDefault="001F302F" w:rsidP="00DB58CB">
          <w:pPr>
            <w:pStyle w:val="TOCHeading"/>
            <w:jc w:val="both"/>
            <w:rPr>
              <w:color w:val="auto"/>
            </w:rPr>
          </w:pPr>
          <w:r w:rsidRPr="002837E9">
            <w:rPr>
              <w:color w:val="auto"/>
              <w:lang w:val="en-GB"/>
            </w:rPr>
            <w:t>Contents</w:t>
          </w:r>
        </w:p>
        <w:p w14:paraId="62DB806D" w14:textId="0EE36FB6" w:rsidR="006702DD" w:rsidRDefault="001F302F">
          <w:pPr>
            <w:pStyle w:val="TOC2"/>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98558238" w:history="1">
            <w:r w:rsidR="006702DD" w:rsidRPr="00345663">
              <w:rPr>
                <w:rStyle w:val="Hyperlink"/>
                <w:rFonts w:ascii="Times New Roman" w:hAnsi="Times New Roman" w:cs="Times New Roman"/>
                <w:noProof/>
              </w:rPr>
              <w:t>Question 1</w:t>
            </w:r>
            <w:r w:rsidR="006702DD">
              <w:rPr>
                <w:noProof/>
                <w:webHidden/>
              </w:rPr>
              <w:tab/>
            </w:r>
            <w:r w:rsidR="006702DD">
              <w:rPr>
                <w:noProof/>
                <w:webHidden/>
              </w:rPr>
              <w:fldChar w:fldCharType="begin"/>
            </w:r>
            <w:r w:rsidR="006702DD">
              <w:rPr>
                <w:noProof/>
                <w:webHidden/>
              </w:rPr>
              <w:instrText xml:space="preserve"> PAGEREF _Toc198558238 \h </w:instrText>
            </w:r>
            <w:r w:rsidR="006702DD">
              <w:rPr>
                <w:noProof/>
                <w:webHidden/>
              </w:rPr>
            </w:r>
            <w:r w:rsidR="006702DD">
              <w:rPr>
                <w:noProof/>
                <w:webHidden/>
              </w:rPr>
              <w:fldChar w:fldCharType="separate"/>
            </w:r>
            <w:r w:rsidR="006702DD">
              <w:rPr>
                <w:noProof/>
                <w:webHidden/>
              </w:rPr>
              <w:t>2</w:t>
            </w:r>
            <w:r w:rsidR="006702DD">
              <w:rPr>
                <w:noProof/>
                <w:webHidden/>
              </w:rPr>
              <w:fldChar w:fldCharType="end"/>
            </w:r>
          </w:hyperlink>
        </w:p>
        <w:p w14:paraId="19DAB6C8" w14:textId="059200B3" w:rsidR="006702DD" w:rsidRDefault="006702DD">
          <w:pPr>
            <w:pStyle w:val="TOC3"/>
            <w:tabs>
              <w:tab w:val="left" w:pos="960"/>
              <w:tab w:val="right" w:leader="dot" w:pos="9016"/>
            </w:tabs>
            <w:rPr>
              <w:rFonts w:eastAsiaTheme="minorEastAsia"/>
              <w:noProof/>
              <w:lang w:eastAsia="zh-CN"/>
            </w:rPr>
          </w:pPr>
          <w:hyperlink w:anchor="_Toc198558239" w:history="1">
            <w:r w:rsidRPr="00345663">
              <w:rPr>
                <w:rStyle w:val="Hyperlink"/>
                <w:rFonts w:ascii="Times New Roman" w:hAnsi="Times New Roman" w:cs="Times New Roman"/>
                <w:noProof/>
              </w:rPr>
              <w:t>1.</w:t>
            </w:r>
            <w:r>
              <w:rPr>
                <w:rFonts w:eastAsiaTheme="minorEastAsia"/>
                <w:noProof/>
                <w:lang w:eastAsia="zh-CN"/>
              </w:rPr>
              <w:tab/>
            </w:r>
            <w:r w:rsidRPr="00345663">
              <w:rPr>
                <w:rStyle w:val="Hyperlink"/>
                <w:rFonts w:ascii="Times New Roman" w:hAnsi="Times New Roman" w:cs="Times New Roman"/>
                <w:noProof/>
              </w:rPr>
              <w:t>Internal Memorandum</w:t>
            </w:r>
            <w:r>
              <w:rPr>
                <w:noProof/>
                <w:webHidden/>
              </w:rPr>
              <w:tab/>
            </w:r>
            <w:r>
              <w:rPr>
                <w:noProof/>
                <w:webHidden/>
              </w:rPr>
              <w:fldChar w:fldCharType="begin"/>
            </w:r>
            <w:r>
              <w:rPr>
                <w:noProof/>
                <w:webHidden/>
              </w:rPr>
              <w:instrText xml:space="preserve"> PAGEREF _Toc198558239 \h </w:instrText>
            </w:r>
            <w:r>
              <w:rPr>
                <w:noProof/>
                <w:webHidden/>
              </w:rPr>
            </w:r>
            <w:r>
              <w:rPr>
                <w:noProof/>
                <w:webHidden/>
              </w:rPr>
              <w:fldChar w:fldCharType="separate"/>
            </w:r>
            <w:r>
              <w:rPr>
                <w:noProof/>
                <w:webHidden/>
              </w:rPr>
              <w:t>3</w:t>
            </w:r>
            <w:r>
              <w:rPr>
                <w:noProof/>
                <w:webHidden/>
              </w:rPr>
              <w:fldChar w:fldCharType="end"/>
            </w:r>
          </w:hyperlink>
        </w:p>
        <w:p w14:paraId="76A2E0AF" w14:textId="37DD5289" w:rsidR="006702DD" w:rsidRDefault="006702DD">
          <w:pPr>
            <w:pStyle w:val="TOC3"/>
            <w:tabs>
              <w:tab w:val="right" w:leader="dot" w:pos="9016"/>
            </w:tabs>
            <w:rPr>
              <w:rFonts w:eastAsiaTheme="minorEastAsia"/>
              <w:noProof/>
              <w:lang w:eastAsia="zh-CN"/>
            </w:rPr>
          </w:pPr>
          <w:hyperlink w:anchor="_Toc198558240" w:history="1">
            <w:r w:rsidRPr="00345663">
              <w:rPr>
                <w:rStyle w:val="Hyperlink"/>
                <w:rFonts w:ascii="Times New Roman" w:hAnsi="Times New Roman" w:cs="Times New Roman"/>
                <w:noProof/>
              </w:rPr>
              <w:t>1.2 Suspension and Investigation Process</w:t>
            </w:r>
            <w:r>
              <w:rPr>
                <w:noProof/>
                <w:webHidden/>
              </w:rPr>
              <w:tab/>
            </w:r>
            <w:r>
              <w:rPr>
                <w:noProof/>
                <w:webHidden/>
              </w:rPr>
              <w:fldChar w:fldCharType="begin"/>
            </w:r>
            <w:r>
              <w:rPr>
                <w:noProof/>
                <w:webHidden/>
              </w:rPr>
              <w:instrText xml:space="preserve"> PAGEREF _Toc198558240 \h </w:instrText>
            </w:r>
            <w:r>
              <w:rPr>
                <w:noProof/>
                <w:webHidden/>
              </w:rPr>
            </w:r>
            <w:r>
              <w:rPr>
                <w:noProof/>
                <w:webHidden/>
              </w:rPr>
              <w:fldChar w:fldCharType="separate"/>
            </w:r>
            <w:r>
              <w:rPr>
                <w:noProof/>
                <w:webHidden/>
              </w:rPr>
              <w:t>3</w:t>
            </w:r>
            <w:r>
              <w:rPr>
                <w:noProof/>
                <w:webHidden/>
              </w:rPr>
              <w:fldChar w:fldCharType="end"/>
            </w:r>
          </w:hyperlink>
        </w:p>
        <w:p w14:paraId="61928518" w14:textId="2B68635B" w:rsidR="006702DD" w:rsidRDefault="006702DD">
          <w:pPr>
            <w:pStyle w:val="TOC3"/>
            <w:tabs>
              <w:tab w:val="right" w:leader="dot" w:pos="9016"/>
            </w:tabs>
            <w:rPr>
              <w:rFonts w:eastAsiaTheme="minorEastAsia"/>
              <w:noProof/>
              <w:lang w:eastAsia="zh-CN"/>
            </w:rPr>
          </w:pPr>
          <w:hyperlink w:anchor="_Toc198558241" w:history="1">
            <w:r w:rsidRPr="00345663">
              <w:rPr>
                <w:rStyle w:val="Hyperlink"/>
                <w:rFonts w:ascii="Times New Roman" w:hAnsi="Times New Roman" w:cs="Times New Roman"/>
                <w:noProof/>
              </w:rPr>
              <w:t>1.3 Health Considerations and Reasonable Adjustments</w:t>
            </w:r>
            <w:r>
              <w:rPr>
                <w:noProof/>
                <w:webHidden/>
              </w:rPr>
              <w:tab/>
            </w:r>
            <w:r>
              <w:rPr>
                <w:noProof/>
                <w:webHidden/>
              </w:rPr>
              <w:fldChar w:fldCharType="begin"/>
            </w:r>
            <w:r>
              <w:rPr>
                <w:noProof/>
                <w:webHidden/>
              </w:rPr>
              <w:instrText xml:space="preserve"> PAGEREF _Toc198558241 \h </w:instrText>
            </w:r>
            <w:r>
              <w:rPr>
                <w:noProof/>
                <w:webHidden/>
              </w:rPr>
            </w:r>
            <w:r>
              <w:rPr>
                <w:noProof/>
                <w:webHidden/>
              </w:rPr>
              <w:fldChar w:fldCharType="separate"/>
            </w:r>
            <w:r>
              <w:rPr>
                <w:noProof/>
                <w:webHidden/>
              </w:rPr>
              <w:t>5</w:t>
            </w:r>
            <w:r>
              <w:rPr>
                <w:noProof/>
                <w:webHidden/>
              </w:rPr>
              <w:fldChar w:fldCharType="end"/>
            </w:r>
          </w:hyperlink>
        </w:p>
        <w:p w14:paraId="4D08DCBC" w14:textId="66DD458C" w:rsidR="006702DD" w:rsidRDefault="006702DD">
          <w:pPr>
            <w:pStyle w:val="TOC3"/>
            <w:tabs>
              <w:tab w:val="right" w:leader="dot" w:pos="9016"/>
            </w:tabs>
            <w:rPr>
              <w:rFonts w:eastAsiaTheme="minorEastAsia"/>
              <w:noProof/>
              <w:lang w:eastAsia="zh-CN"/>
            </w:rPr>
          </w:pPr>
          <w:hyperlink w:anchor="_Toc198558242" w:history="1">
            <w:r w:rsidRPr="00345663">
              <w:rPr>
                <w:rStyle w:val="Hyperlink"/>
                <w:rFonts w:ascii="Times New Roman" w:hAnsi="Times New Roman" w:cs="Times New Roman"/>
                <w:noProof/>
              </w:rPr>
              <w:t>1.4 Whistleblowing Allegations and Associated Risks</w:t>
            </w:r>
            <w:r>
              <w:rPr>
                <w:noProof/>
                <w:webHidden/>
              </w:rPr>
              <w:tab/>
            </w:r>
            <w:r>
              <w:rPr>
                <w:noProof/>
                <w:webHidden/>
              </w:rPr>
              <w:fldChar w:fldCharType="begin"/>
            </w:r>
            <w:r>
              <w:rPr>
                <w:noProof/>
                <w:webHidden/>
              </w:rPr>
              <w:instrText xml:space="preserve"> PAGEREF _Toc198558242 \h </w:instrText>
            </w:r>
            <w:r>
              <w:rPr>
                <w:noProof/>
                <w:webHidden/>
              </w:rPr>
            </w:r>
            <w:r>
              <w:rPr>
                <w:noProof/>
                <w:webHidden/>
              </w:rPr>
              <w:fldChar w:fldCharType="separate"/>
            </w:r>
            <w:r>
              <w:rPr>
                <w:noProof/>
                <w:webHidden/>
              </w:rPr>
              <w:t>6</w:t>
            </w:r>
            <w:r>
              <w:rPr>
                <w:noProof/>
                <w:webHidden/>
              </w:rPr>
              <w:fldChar w:fldCharType="end"/>
            </w:r>
          </w:hyperlink>
        </w:p>
        <w:p w14:paraId="6808EB2A" w14:textId="287017D9" w:rsidR="006702DD" w:rsidRDefault="006702DD">
          <w:pPr>
            <w:pStyle w:val="TOC3"/>
            <w:tabs>
              <w:tab w:val="right" w:leader="dot" w:pos="9016"/>
            </w:tabs>
            <w:rPr>
              <w:rFonts w:eastAsiaTheme="minorEastAsia"/>
              <w:noProof/>
              <w:lang w:eastAsia="zh-CN"/>
            </w:rPr>
          </w:pPr>
          <w:hyperlink w:anchor="_Toc198558243" w:history="1">
            <w:r w:rsidRPr="00345663">
              <w:rPr>
                <w:rStyle w:val="Hyperlink"/>
                <w:rFonts w:ascii="Times New Roman" w:hAnsi="Times New Roman" w:cs="Times New Roman"/>
                <w:noProof/>
              </w:rPr>
              <w:t>1.5 Disciplinary Procedure and Legal Safeguards</w:t>
            </w:r>
            <w:r>
              <w:rPr>
                <w:noProof/>
                <w:webHidden/>
              </w:rPr>
              <w:tab/>
            </w:r>
            <w:r>
              <w:rPr>
                <w:noProof/>
                <w:webHidden/>
              </w:rPr>
              <w:fldChar w:fldCharType="begin"/>
            </w:r>
            <w:r>
              <w:rPr>
                <w:noProof/>
                <w:webHidden/>
              </w:rPr>
              <w:instrText xml:space="preserve"> PAGEREF _Toc198558243 \h </w:instrText>
            </w:r>
            <w:r>
              <w:rPr>
                <w:noProof/>
                <w:webHidden/>
              </w:rPr>
            </w:r>
            <w:r>
              <w:rPr>
                <w:noProof/>
                <w:webHidden/>
              </w:rPr>
              <w:fldChar w:fldCharType="separate"/>
            </w:r>
            <w:r>
              <w:rPr>
                <w:noProof/>
                <w:webHidden/>
              </w:rPr>
              <w:t>7</w:t>
            </w:r>
            <w:r>
              <w:rPr>
                <w:noProof/>
                <w:webHidden/>
              </w:rPr>
              <w:fldChar w:fldCharType="end"/>
            </w:r>
          </w:hyperlink>
        </w:p>
        <w:p w14:paraId="3932A66A" w14:textId="24B7D820" w:rsidR="006702DD" w:rsidRDefault="006702DD">
          <w:pPr>
            <w:pStyle w:val="TOC3"/>
            <w:tabs>
              <w:tab w:val="right" w:leader="dot" w:pos="9016"/>
            </w:tabs>
            <w:rPr>
              <w:rFonts w:eastAsiaTheme="minorEastAsia"/>
              <w:noProof/>
              <w:lang w:eastAsia="zh-CN"/>
            </w:rPr>
          </w:pPr>
          <w:hyperlink w:anchor="_Toc198558244" w:history="1">
            <w:r w:rsidRPr="00345663">
              <w:rPr>
                <w:rStyle w:val="Hyperlink"/>
                <w:rFonts w:ascii="Times New Roman" w:hAnsi="Times New Roman" w:cs="Times New Roman"/>
                <w:noProof/>
              </w:rPr>
              <w:t>1.6 Recommendations and Conclusion</w:t>
            </w:r>
            <w:r>
              <w:rPr>
                <w:noProof/>
                <w:webHidden/>
              </w:rPr>
              <w:tab/>
            </w:r>
            <w:r>
              <w:rPr>
                <w:noProof/>
                <w:webHidden/>
              </w:rPr>
              <w:fldChar w:fldCharType="begin"/>
            </w:r>
            <w:r>
              <w:rPr>
                <w:noProof/>
                <w:webHidden/>
              </w:rPr>
              <w:instrText xml:space="preserve"> PAGEREF _Toc198558244 \h </w:instrText>
            </w:r>
            <w:r>
              <w:rPr>
                <w:noProof/>
                <w:webHidden/>
              </w:rPr>
            </w:r>
            <w:r>
              <w:rPr>
                <w:noProof/>
                <w:webHidden/>
              </w:rPr>
              <w:fldChar w:fldCharType="separate"/>
            </w:r>
            <w:r>
              <w:rPr>
                <w:noProof/>
                <w:webHidden/>
              </w:rPr>
              <w:t>7</w:t>
            </w:r>
            <w:r>
              <w:rPr>
                <w:noProof/>
                <w:webHidden/>
              </w:rPr>
              <w:fldChar w:fldCharType="end"/>
            </w:r>
          </w:hyperlink>
        </w:p>
        <w:p w14:paraId="67270985" w14:textId="0A939038" w:rsidR="006702DD" w:rsidRDefault="006702DD">
          <w:pPr>
            <w:pStyle w:val="TOC2"/>
            <w:tabs>
              <w:tab w:val="right" w:leader="dot" w:pos="9016"/>
            </w:tabs>
            <w:rPr>
              <w:rFonts w:eastAsiaTheme="minorEastAsia"/>
              <w:noProof/>
              <w:lang w:eastAsia="zh-CN"/>
            </w:rPr>
          </w:pPr>
          <w:hyperlink w:anchor="_Toc198558245" w:history="1">
            <w:r w:rsidRPr="00345663">
              <w:rPr>
                <w:rStyle w:val="Hyperlink"/>
                <w:rFonts w:ascii="Times New Roman" w:hAnsi="Times New Roman" w:cs="Times New Roman"/>
                <w:noProof/>
              </w:rPr>
              <w:t>Question 2</w:t>
            </w:r>
            <w:r>
              <w:rPr>
                <w:noProof/>
                <w:webHidden/>
              </w:rPr>
              <w:tab/>
            </w:r>
            <w:r>
              <w:rPr>
                <w:noProof/>
                <w:webHidden/>
              </w:rPr>
              <w:fldChar w:fldCharType="begin"/>
            </w:r>
            <w:r>
              <w:rPr>
                <w:noProof/>
                <w:webHidden/>
              </w:rPr>
              <w:instrText xml:space="preserve"> PAGEREF _Toc198558245 \h </w:instrText>
            </w:r>
            <w:r>
              <w:rPr>
                <w:noProof/>
                <w:webHidden/>
              </w:rPr>
            </w:r>
            <w:r>
              <w:rPr>
                <w:noProof/>
                <w:webHidden/>
              </w:rPr>
              <w:fldChar w:fldCharType="separate"/>
            </w:r>
            <w:r>
              <w:rPr>
                <w:noProof/>
                <w:webHidden/>
              </w:rPr>
              <w:t>9</w:t>
            </w:r>
            <w:r>
              <w:rPr>
                <w:noProof/>
                <w:webHidden/>
              </w:rPr>
              <w:fldChar w:fldCharType="end"/>
            </w:r>
          </w:hyperlink>
        </w:p>
        <w:p w14:paraId="5FA52B6D" w14:textId="03BE3B53" w:rsidR="006702DD" w:rsidRDefault="006702DD">
          <w:pPr>
            <w:pStyle w:val="TOC3"/>
            <w:tabs>
              <w:tab w:val="right" w:leader="dot" w:pos="9016"/>
            </w:tabs>
            <w:rPr>
              <w:rFonts w:eastAsiaTheme="minorEastAsia"/>
              <w:noProof/>
              <w:lang w:eastAsia="zh-CN"/>
            </w:rPr>
          </w:pPr>
          <w:hyperlink w:anchor="_Toc198558246" w:history="1">
            <w:r w:rsidRPr="00345663">
              <w:rPr>
                <w:rStyle w:val="Hyperlink"/>
                <w:rFonts w:ascii="Times New Roman" w:hAnsi="Times New Roman" w:cs="Times New Roman"/>
                <w:noProof/>
              </w:rPr>
              <w:t>2. Introduction</w:t>
            </w:r>
            <w:r>
              <w:rPr>
                <w:noProof/>
                <w:webHidden/>
              </w:rPr>
              <w:tab/>
            </w:r>
            <w:r>
              <w:rPr>
                <w:noProof/>
                <w:webHidden/>
              </w:rPr>
              <w:fldChar w:fldCharType="begin"/>
            </w:r>
            <w:r>
              <w:rPr>
                <w:noProof/>
                <w:webHidden/>
              </w:rPr>
              <w:instrText xml:space="preserve"> PAGEREF _Toc198558246 \h </w:instrText>
            </w:r>
            <w:r>
              <w:rPr>
                <w:noProof/>
                <w:webHidden/>
              </w:rPr>
            </w:r>
            <w:r>
              <w:rPr>
                <w:noProof/>
                <w:webHidden/>
              </w:rPr>
              <w:fldChar w:fldCharType="separate"/>
            </w:r>
            <w:r>
              <w:rPr>
                <w:noProof/>
                <w:webHidden/>
              </w:rPr>
              <w:t>9</w:t>
            </w:r>
            <w:r>
              <w:rPr>
                <w:noProof/>
                <w:webHidden/>
              </w:rPr>
              <w:fldChar w:fldCharType="end"/>
            </w:r>
          </w:hyperlink>
        </w:p>
        <w:p w14:paraId="5E7FD4F4" w14:textId="68B0100E" w:rsidR="006702DD" w:rsidRDefault="006702DD">
          <w:pPr>
            <w:pStyle w:val="TOC3"/>
            <w:tabs>
              <w:tab w:val="right" w:leader="dot" w:pos="9016"/>
            </w:tabs>
            <w:rPr>
              <w:rFonts w:eastAsiaTheme="minorEastAsia"/>
              <w:noProof/>
              <w:lang w:eastAsia="zh-CN"/>
            </w:rPr>
          </w:pPr>
          <w:hyperlink w:anchor="_Toc198558247" w:history="1">
            <w:r w:rsidRPr="00345663">
              <w:rPr>
                <w:rStyle w:val="Hyperlink"/>
                <w:rFonts w:ascii="Times New Roman" w:hAnsi="Times New Roman" w:cs="Times New Roman"/>
                <w:noProof/>
              </w:rPr>
              <w:t>2.1 Redundancy Procedure and Legal Framework</w:t>
            </w:r>
            <w:r>
              <w:rPr>
                <w:noProof/>
                <w:webHidden/>
              </w:rPr>
              <w:tab/>
            </w:r>
            <w:r>
              <w:rPr>
                <w:noProof/>
                <w:webHidden/>
              </w:rPr>
              <w:fldChar w:fldCharType="begin"/>
            </w:r>
            <w:r>
              <w:rPr>
                <w:noProof/>
                <w:webHidden/>
              </w:rPr>
              <w:instrText xml:space="preserve"> PAGEREF _Toc198558247 \h </w:instrText>
            </w:r>
            <w:r>
              <w:rPr>
                <w:noProof/>
                <w:webHidden/>
              </w:rPr>
            </w:r>
            <w:r>
              <w:rPr>
                <w:noProof/>
                <w:webHidden/>
              </w:rPr>
              <w:fldChar w:fldCharType="separate"/>
            </w:r>
            <w:r>
              <w:rPr>
                <w:noProof/>
                <w:webHidden/>
              </w:rPr>
              <w:t>9</w:t>
            </w:r>
            <w:r>
              <w:rPr>
                <w:noProof/>
                <w:webHidden/>
              </w:rPr>
              <w:fldChar w:fldCharType="end"/>
            </w:r>
          </w:hyperlink>
        </w:p>
        <w:p w14:paraId="6919851B" w14:textId="68A449BF" w:rsidR="006702DD" w:rsidRDefault="006702DD">
          <w:pPr>
            <w:pStyle w:val="TOC3"/>
            <w:tabs>
              <w:tab w:val="right" w:leader="dot" w:pos="9016"/>
            </w:tabs>
            <w:rPr>
              <w:rFonts w:eastAsiaTheme="minorEastAsia"/>
              <w:noProof/>
              <w:lang w:eastAsia="zh-CN"/>
            </w:rPr>
          </w:pPr>
          <w:hyperlink w:anchor="_Toc198558248" w:history="1">
            <w:r w:rsidRPr="00345663">
              <w:rPr>
                <w:rStyle w:val="Hyperlink"/>
                <w:rFonts w:ascii="Times New Roman" w:hAnsi="Times New Roman" w:cs="Times New Roman"/>
                <w:noProof/>
              </w:rPr>
              <w:t>2.3 Concerns with the Board's Suggested Approach</w:t>
            </w:r>
            <w:r>
              <w:rPr>
                <w:noProof/>
                <w:webHidden/>
              </w:rPr>
              <w:tab/>
            </w:r>
            <w:r>
              <w:rPr>
                <w:noProof/>
                <w:webHidden/>
              </w:rPr>
              <w:fldChar w:fldCharType="begin"/>
            </w:r>
            <w:r>
              <w:rPr>
                <w:noProof/>
                <w:webHidden/>
              </w:rPr>
              <w:instrText xml:space="preserve"> PAGEREF _Toc198558248 \h </w:instrText>
            </w:r>
            <w:r>
              <w:rPr>
                <w:noProof/>
                <w:webHidden/>
              </w:rPr>
            </w:r>
            <w:r>
              <w:rPr>
                <w:noProof/>
                <w:webHidden/>
              </w:rPr>
              <w:fldChar w:fldCharType="separate"/>
            </w:r>
            <w:r>
              <w:rPr>
                <w:noProof/>
                <w:webHidden/>
              </w:rPr>
              <w:t>10</w:t>
            </w:r>
            <w:r>
              <w:rPr>
                <w:noProof/>
                <w:webHidden/>
              </w:rPr>
              <w:fldChar w:fldCharType="end"/>
            </w:r>
          </w:hyperlink>
        </w:p>
        <w:p w14:paraId="13144F4D" w14:textId="3BEFE448" w:rsidR="006702DD" w:rsidRDefault="006702DD">
          <w:pPr>
            <w:pStyle w:val="TOC3"/>
            <w:tabs>
              <w:tab w:val="right" w:leader="dot" w:pos="9016"/>
            </w:tabs>
            <w:rPr>
              <w:rFonts w:eastAsiaTheme="minorEastAsia"/>
              <w:noProof/>
              <w:lang w:eastAsia="zh-CN"/>
            </w:rPr>
          </w:pPr>
          <w:hyperlink w:anchor="_Toc198558249" w:history="1">
            <w:r w:rsidRPr="00345663">
              <w:rPr>
                <w:rStyle w:val="Hyperlink"/>
                <w:rFonts w:ascii="Times New Roman" w:hAnsi="Times New Roman" w:cs="Times New Roman"/>
                <w:noProof/>
              </w:rPr>
              <w:t>2.4 Selection Process and Equality Considerations</w:t>
            </w:r>
            <w:r>
              <w:rPr>
                <w:noProof/>
                <w:webHidden/>
              </w:rPr>
              <w:tab/>
            </w:r>
            <w:r>
              <w:rPr>
                <w:noProof/>
                <w:webHidden/>
              </w:rPr>
              <w:fldChar w:fldCharType="begin"/>
            </w:r>
            <w:r>
              <w:rPr>
                <w:noProof/>
                <w:webHidden/>
              </w:rPr>
              <w:instrText xml:space="preserve"> PAGEREF _Toc198558249 \h </w:instrText>
            </w:r>
            <w:r>
              <w:rPr>
                <w:noProof/>
                <w:webHidden/>
              </w:rPr>
            </w:r>
            <w:r>
              <w:rPr>
                <w:noProof/>
                <w:webHidden/>
              </w:rPr>
              <w:fldChar w:fldCharType="separate"/>
            </w:r>
            <w:r>
              <w:rPr>
                <w:noProof/>
                <w:webHidden/>
              </w:rPr>
              <w:t>11</w:t>
            </w:r>
            <w:r>
              <w:rPr>
                <w:noProof/>
                <w:webHidden/>
              </w:rPr>
              <w:fldChar w:fldCharType="end"/>
            </w:r>
          </w:hyperlink>
        </w:p>
        <w:p w14:paraId="0D33056F" w14:textId="4C8D06A3" w:rsidR="006702DD" w:rsidRDefault="006702DD">
          <w:pPr>
            <w:pStyle w:val="TOC3"/>
            <w:tabs>
              <w:tab w:val="right" w:leader="dot" w:pos="9016"/>
            </w:tabs>
            <w:rPr>
              <w:rFonts w:eastAsiaTheme="minorEastAsia"/>
              <w:noProof/>
              <w:lang w:eastAsia="zh-CN"/>
            </w:rPr>
          </w:pPr>
          <w:hyperlink w:anchor="_Toc198558250" w:history="1">
            <w:r w:rsidRPr="00345663">
              <w:rPr>
                <w:rStyle w:val="Hyperlink"/>
                <w:rFonts w:ascii="Times New Roman" w:hAnsi="Times New Roman" w:cs="Times New Roman"/>
                <w:noProof/>
              </w:rPr>
              <w:t>2.5 Special Protection for Pregnant Employees</w:t>
            </w:r>
            <w:r>
              <w:rPr>
                <w:noProof/>
                <w:webHidden/>
              </w:rPr>
              <w:tab/>
            </w:r>
            <w:r>
              <w:rPr>
                <w:noProof/>
                <w:webHidden/>
              </w:rPr>
              <w:fldChar w:fldCharType="begin"/>
            </w:r>
            <w:r>
              <w:rPr>
                <w:noProof/>
                <w:webHidden/>
              </w:rPr>
              <w:instrText xml:space="preserve"> PAGEREF _Toc198558250 \h </w:instrText>
            </w:r>
            <w:r>
              <w:rPr>
                <w:noProof/>
                <w:webHidden/>
              </w:rPr>
            </w:r>
            <w:r>
              <w:rPr>
                <w:noProof/>
                <w:webHidden/>
              </w:rPr>
              <w:fldChar w:fldCharType="separate"/>
            </w:r>
            <w:r>
              <w:rPr>
                <w:noProof/>
                <w:webHidden/>
              </w:rPr>
              <w:t>12</w:t>
            </w:r>
            <w:r>
              <w:rPr>
                <w:noProof/>
                <w:webHidden/>
              </w:rPr>
              <w:fldChar w:fldCharType="end"/>
            </w:r>
          </w:hyperlink>
        </w:p>
        <w:p w14:paraId="7964193C" w14:textId="4DCFADD0" w:rsidR="006702DD" w:rsidRDefault="006702DD">
          <w:pPr>
            <w:pStyle w:val="TOC3"/>
            <w:tabs>
              <w:tab w:val="right" w:leader="dot" w:pos="9016"/>
            </w:tabs>
            <w:rPr>
              <w:rFonts w:eastAsiaTheme="minorEastAsia"/>
              <w:noProof/>
              <w:lang w:eastAsia="zh-CN"/>
            </w:rPr>
          </w:pPr>
          <w:hyperlink w:anchor="_Toc198558251" w:history="1">
            <w:r w:rsidRPr="00345663">
              <w:rPr>
                <w:rStyle w:val="Hyperlink"/>
                <w:rFonts w:ascii="Times New Roman" w:hAnsi="Times New Roman" w:cs="Times New Roman"/>
                <w:noProof/>
              </w:rPr>
              <w:t>2.6 Redeployment Opportunities in the Restaurant</w:t>
            </w:r>
            <w:r>
              <w:rPr>
                <w:noProof/>
                <w:webHidden/>
              </w:rPr>
              <w:tab/>
            </w:r>
            <w:r>
              <w:rPr>
                <w:noProof/>
                <w:webHidden/>
              </w:rPr>
              <w:fldChar w:fldCharType="begin"/>
            </w:r>
            <w:r>
              <w:rPr>
                <w:noProof/>
                <w:webHidden/>
              </w:rPr>
              <w:instrText xml:space="preserve"> PAGEREF _Toc198558251 \h </w:instrText>
            </w:r>
            <w:r>
              <w:rPr>
                <w:noProof/>
                <w:webHidden/>
              </w:rPr>
            </w:r>
            <w:r>
              <w:rPr>
                <w:noProof/>
                <w:webHidden/>
              </w:rPr>
              <w:fldChar w:fldCharType="separate"/>
            </w:r>
            <w:r>
              <w:rPr>
                <w:noProof/>
                <w:webHidden/>
              </w:rPr>
              <w:t>12</w:t>
            </w:r>
            <w:r>
              <w:rPr>
                <w:noProof/>
                <w:webHidden/>
              </w:rPr>
              <w:fldChar w:fldCharType="end"/>
            </w:r>
          </w:hyperlink>
        </w:p>
        <w:p w14:paraId="10290F8E" w14:textId="0F4C1878" w:rsidR="006702DD" w:rsidRDefault="006702DD">
          <w:pPr>
            <w:pStyle w:val="TOC3"/>
            <w:tabs>
              <w:tab w:val="right" w:leader="dot" w:pos="9016"/>
            </w:tabs>
            <w:rPr>
              <w:rFonts w:eastAsiaTheme="minorEastAsia"/>
              <w:noProof/>
              <w:lang w:eastAsia="zh-CN"/>
            </w:rPr>
          </w:pPr>
          <w:hyperlink w:anchor="_Toc198558252" w:history="1">
            <w:r w:rsidRPr="00345663">
              <w:rPr>
                <w:rStyle w:val="Hyperlink"/>
                <w:rFonts w:ascii="Times New Roman" w:hAnsi="Times New Roman" w:cs="Times New Roman"/>
                <w:noProof/>
              </w:rPr>
              <w:t>2.7 Statutory Redundancy and Notice Pay (Effective March 2025)</w:t>
            </w:r>
            <w:r>
              <w:rPr>
                <w:noProof/>
                <w:webHidden/>
              </w:rPr>
              <w:tab/>
            </w:r>
            <w:r>
              <w:rPr>
                <w:noProof/>
                <w:webHidden/>
              </w:rPr>
              <w:fldChar w:fldCharType="begin"/>
            </w:r>
            <w:r>
              <w:rPr>
                <w:noProof/>
                <w:webHidden/>
              </w:rPr>
              <w:instrText xml:space="preserve"> PAGEREF _Toc198558252 \h </w:instrText>
            </w:r>
            <w:r>
              <w:rPr>
                <w:noProof/>
                <w:webHidden/>
              </w:rPr>
            </w:r>
            <w:r>
              <w:rPr>
                <w:noProof/>
                <w:webHidden/>
              </w:rPr>
              <w:fldChar w:fldCharType="separate"/>
            </w:r>
            <w:r>
              <w:rPr>
                <w:noProof/>
                <w:webHidden/>
              </w:rPr>
              <w:t>13</w:t>
            </w:r>
            <w:r>
              <w:rPr>
                <w:noProof/>
                <w:webHidden/>
              </w:rPr>
              <w:fldChar w:fldCharType="end"/>
            </w:r>
          </w:hyperlink>
        </w:p>
        <w:p w14:paraId="12467EB3" w14:textId="7BED87DC" w:rsidR="006702DD" w:rsidRDefault="006702DD">
          <w:pPr>
            <w:pStyle w:val="TOC3"/>
            <w:tabs>
              <w:tab w:val="right" w:leader="dot" w:pos="9016"/>
            </w:tabs>
            <w:rPr>
              <w:rFonts w:eastAsiaTheme="minorEastAsia"/>
              <w:noProof/>
              <w:lang w:eastAsia="zh-CN"/>
            </w:rPr>
          </w:pPr>
          <w:hyperlink w:anchor="_Toc198558253" w:history="1">
            <w:r w:rsidRPr="00345663">
              <w:rPr>
                <w:rStyle w:val="Hyperlink"/>
                <w:rFonts w:ascii="Times New Roman" w:hAnsi="Times New Roman" w:cs="Times New Roman"/>
                <w:noProof/>
              </w:rPr>
              <w:t>2.8 Risks of Non-Compliance</w:t>
            </w:r>
            <w:r>
              <w:rPr>
                <w:noProof/>
                <w:webHidden/>
              </w:rPr>
              <w:tab/>
            </w:r>
            <w:r>
              <w:rPr>
                <w:noProof/>
                <w:webHidden/>
              </w:rPr>
              <w:fldChar w:fldCharType="begin"/>
            </w:r>
            <w:r>
              <w:rPr>
                <w:noProof/>
                <w:webHidden/>
              </w:rPr>
              <w:instrText xml:space="preserve"> PAGEREF _Toc198558253 \h </w:instrText>
            </w:r>
            <w:r>
              <w:rPr>
                <w:noProof/>
                <w:webHidden/>
              </w:rPr>
            </w:r>
            <w:r>
              <w:rPr>
                <w:noProof/>
                <w:webHidden/>
              </w:rPr>
              <w:fldChar w:fldCharType="separate"/>
            </w:r>
            <w:r>
              <w:rPr>
                <w:noProof/>
                <w:webHidden/>
              </w:rPr>
              <w:t>15</w:t>
            </w:r>
            <w:r>
              <w:rPr>
                <w:noProof/>
                <w:webHidden/>
              </w:rPr>
              <w:fldChar w:fldCharType="end"/>
            </w:r>
          </w:hyperlink>
        </w:p>
        <w:p w14:paraId="357750C6" w14:textId="643BF238" w:rsidR="006702DD" w:rsidRDefault="006702DD">
          <w:pPr>
            <w:pStyle w:val="TOC3"/>
            <w:tabs>
              <w:tab w:val="right" w:leader="dot" w:pos="9016"/>
            </w:tabs>
            <w:rPr>
              <w:rFonts w:eastAsiaTheme="minorEastAsia"/>
              <w:noProof/>
              <w:lang w:eastAsia="zh-CN"/>
            </w:rPr>
          </w:pPr>
          <w:hyperlink w:anchor="_Toc198558254" w:history="1">
            <w:r w:rsidRPr="00345663">
              <w:rPr>
                <w:rStyle w:val="Hyperlink"/>
                <w:rFonts w:ascii="Times New Roman" w:hAnsi="Times New Roman" w:cs="Times New Roman"/>
                <w:noProof/>
              </w:rPr>
              <w:t>2.9 Recommended Timeline</w:t>
            </w:r>
            <w:r>
              <w:rPr>
                <w:noProof/>
                <w:webHidden/>
              </w:rPr>
              <w:tab/>
            </w:r>
            <w:r>
              <w:rPr>
                <w:noProof/>
                <w:webHidden/>
              </w:rPr>
              <w:fldChar w:fldCharType="begin"/>
            </w:r>
            <w:r>
              <w:rPr>
                <w:noProof/>
                <w:webHidden/>
              </w:rPr>
              <w:instrText xml:space="preserve"> PAGEREF _Toc198558254 \h </w:instrText>
            </w:r>
            <w:r>
              <w:rPr>
                <w:noProof/>
                <w:webHidden/>
              </w:rPr>
            </w:r>
            <w:r>
              <w:rPr>
                <w:noProof/>
                <w:webHidden/>
              </w:rPr>
              <w:fldChar w:fldCharType="separate"/>
            </w:r>
            <w:r>
              <w:rPr>
                <w:noProof/>
                <w:webHidden/>
              </w:rPr>
              <w:t>15</w:t>
            </w:r>
            <w:r>
              <w:rPr>
                <w:noProof/>
                <w:webHidden/>
              </w:rPr>
              <w:fldChar w:fldCharType="end"/>
            </w:r>
          </w:hyperlink>
        </w:p>
        <w:p w14:paraId="3D629B2A" w14:textId="25149731" w:rsidR="006702DD" w:rsidRDefault="006702DD">
          <w:pPr>
            <w:pStyle w:val="TOC3"/>
            <w:tabs>
              <w:tab w:val="right" w:leader="dot" w:pos="9016"/>
            </w:tabs>
            <w:rPr>
              <w:rFonts w:eastAsiaTheme="minorEastAsia"/>
              <w:noProof/>
              <w:lang w:eastAsia="zh-CN"/>
            </w:rPr>
          </w:pPr>
          <w:hyperlink w:anchor="_Toc198558255" w:history="1">
            <w:r w:rsidRPr="00345663">
              <w:rPr>
                <w:rStyle w:val="Hyperlink"/>
                <w:rFonts w:ascii="Times New Roman" w:hAnsi="Times New Roman" w:cs="Times New Roman"/>
                <w:noProof/>
              </w:rPr>
              <w:t>2.10 Final Recommendation</w:t>
            </w:r>
            <w:r>
              <w:rPr>
                <w:noProof/>
                <w:webHidden/>
              </w:rPr>
              <w:tab/>
            </w:r>
            <w:r>
              <w:rPr>
                <w:noProof/>
                <w:webHidden/>
              </w:rPr>
              <w:fldChar w:fldCharType="begin"/>
            </w:r>
            <w:r>
              <w:rPr>
                <w:noProof/>
                <w:webHidden/>
              </w:rPr>
              <w:instrText xml:space="preserve"> PAGEREF _Toc198558255 \h </w:instrText>
            </w:r>
            <w:r>
              <w:rPr>
                <w:noProof/>
                <w:webHidden/>
              </w:rPr>
            </w:r>
            <w:r>
              <w:rPr>
                <w:noProof/>
                <w:webHidden/>
              </w:rPr>
              <w:fldChar w:fldCharType="separate"/>
            </w:r>
            <w:r>
              <w:rPr>
                <w:noProof/>
                <w:webHidden/>
              </w:rPr>
              <w:t>16</w:t>
            </w:r>
            <w:r>
              <w:rPr>
                <w:noProof/>
                <w:webHidden/>
              </w:rPr>
              <w:fldChar w:fldCharType="end"/>
            </w:r>
          </w:hyperlink>
        </w:p>
        <w:p w14:paraId="0AE76EEE" w14:textId="2296D4A0" w:rsidR="006702DD" w:rsidRDefault="006702DD">
          <w:pPr>
            <w:pStyle w:val="TOC2"/>
            <w:tabs>
              <w:tab w:val="right" w:leader="dot" w:pos="9016"/>
            </w:tabs>
            <w:rPr>
              <w:rFonts w:eastAsiaTheme="minorEastAsia"/>
              <w:noProof/>
              <w:lang w:eastAsia="zh-CN"/>
            </w:rPr>
          </w:pPr>
          <w:hyperlink w:anchor="_Toc198558256" w:history="1">
            <w:r w:rsidRPr="00345663">
              <w:rPr>
                <w:rStyle w:val="Hyperlink"/>
                <w:noProof/>
              </w:rPr>
              <w:t>Question 3</w:t>
            </w:r>
            <w:r>
              <w:rPr>
                <w:noProof/>
                <w:webHidden/>
              </w:rPr>
              <w:tab/>
            </w:r>
            <w:r>
              <w:rPr>
                <w:noProof/>
                <w:webHidden/>
              </w:rPr>
              <w:fldChar w:fldCharType="begin"/>
            </w:r>
            <w:r>
              <w:rPr>
                <w:noProof/>
                <w:webHidden/>
              </w:rPr>
              <w:instrText xml:space="preserve"> PAGEREF _Toc198558256 \h </w:instrText>
            </w:r>
            <w:r>
              <w:rPr>
                <w:noProof/>
                <w:webHidden/>
              </w:rPr>
            </w:r>
            <w:r>
              <w:rPr>
                <w:noProof/>
                <w:webHidden/>
              </w:rPr>
              <w:fldChar w:fldCharType="separate"/>
            </w:r>
            <w:r>
              <w:rPr>
                <w:noProof/>
                <w:webHidden/>
              </w:rPr>
              <w:t>17</w:t>
            </w:r>
            <w:r>
              <w:rPr>
                <w:noProof/>
                <w:webHidden/>
              </w:rPr>
              <w:fldChar w:fldCharType="end"/>
            </w:r>
          </w:hyperlink>
        </w:p>
        <w:p w14:paraId="6B975DAD" w14:textId="6614BEAC" w:rsidR="006702DD" w:rsidRDefault="006702DD">
          <w:pPr>
            <w:pStyle w:val="TOC3"/>
            <w:tabs>
              <w:tab w:val="right" w:leader="dot" w:pos="9016"/>
            </w:tabs>
            <w:rPr>
              <w:rFonts w:eastAsiaTheme="minorEastAsia"/>
              <w:noProof/>
              <w:lang w:eastAsia="zh-CN"/>
            </w:rPr>
          </w:pPr>
          <w:hyperlink w:anchor="_Toc198558257" w:history="1">
            <w:r w:rsidRPr="00345663">
              <w:rPr>
                <w:rStyle w:val="Hyperlink"/>
                <w:rFonts w:ascii="Times New Roman" w:hAnsi="Times New Roman" w:cs="Times New Roman"/>
                <w:noProof/>
              </w:rPr>
              <w:t>3. TUPE Compliance Report: Swansea Hotel Acquisition</w:t>
            </w:r>
            <w:r>
              <w:rPr>
                <w:noProof/>
                <w:webHidden/>
              </w:rPr>
              <w:tab/>
            </w:r>
            <w:r>
              <w:rPr>
                <w:noProof/>
                <w:webHidden/>
              </w:rPr>
              <w:fldChar w:fldCharType="begin"/>
            </w:r>
            <w:r>
              <w:rPr>
                <w:noProof/>
                <w:webHidden/>
              </w:rPr>
              <w:instrText xml:space="preserve"> PAGEREF _Toc198558257 \h </w:instrText>
            </w:r>
            <w:r>
              <w:rPr>
                <w:noProof/>
                <w:webHidden/>
              </w:rPr>
            </w:r>
            <w:r>
              <w:rPr>
                <w:noProof/>
                <w:webHidden/>
              </w:rPr>
              <w:fldChar w:fldCharType="separate"/>
            </w:r>
            <w:r>
              <w:rPr>
                <w:noProof/>
                <w:webHidden/>
              </w:rPr>
              <w:t>17</w:t>
            </w:r>
            <w:r>
              <w:rPr>
                <w:noProof/>
                <w:webHidden/>
              </w:rPr>
              <w:fldChar w:fldCharType="end"/>
            </w:r>
          </w:hyperlink>
        </w:p>
        <w:p w14:paraId="28F19F0C" w14:textId="54160362" w:rsidR="006702DD" w:rsidRDefault="006702DD">
          <w:pPr>
            <w:pStyle w:val="TOC3"/>
            <w:tabs>
              <w:tab w:val="right" w:leader="dot" w:pos="9016"/>
            </w:tabs>
            <w:rPr>
              <w:rFonts w:eastAsiaTheme="minorEastAsia"/>
              <w:noProof/>
              <w:lang w:eastAsia="zh-CN"/>
            </w:rPr>
          </w:pPr>
          <w:hyperlink w:anchor="_Toc198558258" w:history="1">
            <w:r w:rsidRPr="00345663">
              <w:rPr>
                <w:rStyle w:val="Hyperlink"/>
                <w:rFonts w:ascii="Times New Roman" w:hAnsi="Times New Roman" w:cs="Times New Roman"/>
                <w:noProof/>
              </w:rPr>
              <w:t>3.1 Legal Obligations under TUPE</w:t>
            </w:r>
            <w:r>
              <w:rPr>
                <w:noProof/>
                <w:webHidden/>
              </w:rPr>
              <w:tab/>
            </w:r>
            <w:r>
              <w:rPr>
                <w:noProof/>
                <w:webHidden/>
              </w:rPr>
              <w:fldChar w:fldCharType="begin"/>
            </w:r>
            <w:r>
              <w:rPr>
                <w:noProof/>
                <w:webHidden/>
              </w:rPr>
              <w:instrText xml:space="preserve"> PAGEREF _Toc198558258 \h </w:instrText>
            </w:r>
            <w:r>
              <w:rPr>
                <w:noProof/>
                <w:webHidden/>
              </w:rPr>
            </w:r>
            <w:r>
              <w:rPr>
                <w:noProof/>
                <w:webHidden/>
              </w:rPr>
              <w:fldChar w:fldCharType="separate"/>
            </w:r>
            <w:r>
              <w:rPr>
                <w:noProof/>
                <w:webHidden/>
              </w:rPr>
              <w:t>17</w:t>
            </w:r>
            <w:r>
              <w:rPr>
                <w:noProof/>
                <w:webHidden/>
              </w:rPr>
              <w:fldChar w:fldCharType="end"/>
            </w:r>
          </w:hyperlink>
        </w:p>
        <w:p w14:paraId="586F6A19" w14:textId="0E6A4B22" w:rsidR="006702DD" w:rsidRDefault="006702DD">
          <w:pPr>
            <w:pStyle w:val="TOC3"/>
            <w:tabs>
              <w:tab w:val="right" w:leader="dot" w:pos="9016"/>
            </w:tabs>
            <w:rPr>
              <w:rFonts w:eastAsiaTheme="minorEastAsia"/>
              <w:noProof/>
              <w:lang w:eastAsia="zh-CN"/>
            </w:rPr>
          </w:pPr>
          <w:hyperlink w:anchor="_Toc198558259" w:history="1">
            <w:r w:rsidRPr="00345663">
              <w:rPr>
                <w:rStyle w:val="Hyperlink"/>
                <w:rFonts w:ascii="Times New Roman" w:hAnsi="Times New Roman" w:cs="Times New Roman"/>
                <w:noProof/>
              </w:rPr>
              <w:t>3.2 Due Diligence Requirements</w:t>
            </w:r>
            <w:r>
              <w:rPr>
                <w:noProof/>
                <w:webHidden/>
              </w:rPr>
              <w:tab/>
            </w:r>
            <w:r>
              <w:rPr>
                <w:noProof/>
                <w:webHidden/>
              </w:rPr>
              <w:fldChar w:fldCharType="begin"/>
            </w:r>
            <w:r>
              <w:rPr>
                <w:noProof/>
                <w:webHidden/>
              </w:rPr>
              <w:instrText xml:space="preserve"> PAGEREF _Toc198558259 \h </w:instrText>
            </w:r>
            <w:r>
              <w:rPr>
                <w:noProof/>
                <w:webHidden/>
              </w:rPr>
            </w:r>
            <w:r>
              <w:rPr>
                <w:noProof/>
                <w:webHidden/>
              </w:rPr>
              <w:fldChar w:fldCharType="separate"/>
            </w:r>
            <w:r>
              <w:rPr>
                <w:noProof/>
                <w:webHidden/>
              </w:rPr>
              <w:t>18</w:t>
            </w:r>
            <w:r>
              <w:rPr>
                <w:noProof/>
                <w:webHidden/>
              </w:rPr>
              <w:fldChar w:fldCharType="end"/>
            </w:r>
          </w:hyperlink>
        </w:p>
        <w:p w14:paraId="454619A6" w14:textId="0F0E8DD1" w:rsidR="006702DD" w:rsidRDefault="006702DD">
          <w:pPr>
            <w:pStyle w:val="TOC3"/>
            <w:tabs>
              <w:tab w:val="right" w:leader="dot" w:pos="9016"/>
            </w:tabs>
            <w:rPr>
              <w:rFonts w:eastAsiaTheme="minorEastAsia"/>
              <w:noProof/>
              <w:lang w:eastAsia="zh-CN"/>
            </w:rPr>
          </w:pPr>
          <w:hyperlink w:anchor="_Toc198558260" w:history="1">
            <w:r w:rsidRPr="00345663">
              <w:rPr>
                <w:rStyle w:val="Hyperlink"/>
                <w:rFonts w:ascii="Times New Roman" w:hAnsi="Times New Roman" w:cs="Times New Roman"/>
                <w:noProof/>
              </w:rPr>
              <w:t>3.3 Consultation and Communication Duties</w:t>
            </w:r>
            <w:r>
              <w:rPr>
                <w:noProof/>
                <w:webHidden/>
              </w:rPr>
              <w:tab/>
            </w:r>
            <w:r>
              <w:rPr>
                <w:noProof/>
                <w:webHidden/>
              </w:rPr>
              <w:fldChar w:fldCharType="begin"/>
            </w:r>
            <w:r>
              <w:rPr>
                <w:noProof/>
                <w:webHidden/>
              </w:rPr>
              <w:instrText xml:space="preserve"> PAGEREF _Toc198558260 \h </w:instrText>
            </w:r>
            <w:r>
              <w:rPr>
                <w:noProof/>
                <w:webHidden/>
              </w:rPr>
            </w:r>
            <w:r>
              <w:rPr>
                <w:noProof/>
                <w:webHidden/>
              </w:rPr>
              <w:fldChar w:fldCharType="separate"/>
            </w:r>
            <w:r>
              <w:rPr>
                <w:noProof/>
                <w:webHidden/>
              </w:rPr>
              <w:t>19</w:t>
            </w:r>
            <w:r>
              <w:rPr>
                <w:noProof/>
                <w:webHidden/>
              </w:rPr>
              <w:fldChar w:fldCharType="end"/>
            </w:r>
          </w:hyperlink>
        </w:p>
        <w:p w14:paraId="2D52C39B" w14:textId="33AF6822" w:rsidR="006702DD" w:rsidRDefault="006702DD">
          <w:pPr>
            <w:pStyle w:val="TOC3"/>
            <w:tabs>
              <w:tab w:val="right" w:leader="dot" w:pos="9016"/>
            </w:tabs>
            <w:rPr>
              <w:rFonts w:eastAsiaTheme="minorEastAsia"/>
              <w:noProof/>
              <w:lang w:eastAsia="zh-CN"/>
            </w:rPr>
          </w:pPr>
          <w:hyperlink w:anchor="_Toc198558261" w:history="1">
            <w:r w:rsidRPr="00345663">
              <w:rPr>
                <w:rStyle w:val="Hyperlink"/>
                <w:rFonts w:ascii="Times New Roman" w:hAnsi="Times New Roman" w:cs="Times New Roman"/>
                <w:noProof/>
              </w:rPr>
              <w:t>3.4 Preservation of Terms and Conditions</w:t>
            </w:r>
            <w:r>
              <w:rPr>
                <w:noProof/>
                <w:webHidden/>
              </w:rPr>
              <w:tab/>
            </w:r>
            <w:r>
              <w:rPr>
                <w:noProof/>
                <w:webHidden/>
              </w:rPr>
              <w:fldChar w:fldCharType="begin"/>
            </w:r>
            <w:r>
              <w:rPr>
                <w:noProof/>
                <w:webHidden/>
              </w:rPr>
              <w:instrText xml:space="preserve"> PAGEREF _Toc198558261 \h </w:instrText>
            </w:r>
            <w:r>
              <w:rPr>
                <w:noProof/>
                <w:webHidden/>
              </w:rPr>
            </w:r>
            <w:r>
              <w:rPr>
                <w:noProof/>
                <w:webHidden/>
              </w:rPr>
              <w:fldChar w:fldCharType="separate"/>
            </w:r>
            <w:r>
              <w:rPr>
                <w:noProof/>
                <w:webHidden/>
              </w:rPr>
              <w:t>19</w:t>
            </w:r>
            <w:r>
              <w:rPr>
                <w:noProof/>
                <w:webHidden/>
              </w:rPr>
              <w:fldChar w:fldCharType="end"/>
            </w:r>
          </w:hyperlink>
        </w:p>
        <w:p w14:paraId="5B26E407" w14:textId="67EB8C3C" w:rsidR="006702DD" w:rsidRDefault="006702DD">
          <w:pPr>
            <w:pStyle w:val="TOC3"/>
            <w:tabs>
              <w:tab w:val="right" w:leader="dot" w:pos="9016"/>
            </w:tabs>
            <w:rPr>
              <w:rFonts w:eastAsiaTheme="minorEastAsia"/>
              <w:noProof/>
              <w:lang w:eastAsia="zh-CN"/>
            </w:rPr>
          </w:pPr>
          <w:hyperlink w:anchor="_Toc198558262" w:history="1">
            <w:r w:rsidRPr="00345663">
              <w:rPr>
                <w:rStyle w:val="Hyperlink"/>
                <w:rFonts w:ascii="Times New Roman" w:hAnsi="Times New Roman" w:cs="Times New Roman"/>
                <w:noProof/>
              </w:rPr>
              <w:t>3.5 Managing Redundancies</w:t>
            </w:r>
            <w:r>
              <w:rPr>
                <w:noProof/>
                <w:webHidden/>
              </w:rPr>
              <w:tab/>
            </w:r>
            <w:r>
              <w:rPr>
                <w:noProof/>
                <w:webHidden/>
              </w:rPr>
              <w:fldChar w:fldCharType="begin"/>
            </w:r>
            <w:r>
              <w:rPr>
                <w:noProof/>
                <w:webHidden/>
              </w:rPr>
              <w:instrText xml:space="preserve"> PAGEREF _Toc198558262 \h </w:instrText>
            </w:r>
            <w:r>
              <w:rPr>
                <w:noProof/>
                <w:webHidden/>
              </w:rPr>
            </w:r>
            <w:r>
              <w:rPr>
                <w:noProof/>
                <w:webHidden/>
              </w:rPr>
              <w:fldChar w:fldCharType="separate"/>
            </w:r>
            <w:r>
              <w:rPr>
                <w:noProof/>
                <w:webHidden/>
              </w:rPr>
              <w:t>20</w:t>
            </w:r>
            <w:r>
              <w:rPr>
                <w:noProof/>
                <w:webHidden/>
              </w:rPr>
              <w:fldChar w:fldCharType="end"/>
            </w:r>
          </w:hyperlink>
        </w:p>
        <w:p w14:paraId="7E06CEC2" w14:textId="78D292CB" w:rsidR="006702DD" w:rsidRDefault="006702DD">
          <w:pPr>
            <w:pStyle w:val="TOC3"/>
            <w:tabs>
              <w:tab w:val="right" w:leader="dot" w:pos="9016"/>
            </w:tabs>
            <w:rPr>
              <w:rFonts w:eastAsiaTheme="minorEastAsia"/>
              <w:noProof/>
              <w:lang w:eastAsia="zh-CN"/>
            </w:rPr>
          </w:pPr>
          <w:hyperlink w:anchor="_Toc198558263" w:history="1">
            <w:r w:rsidRPr="00345663">
              <w:rPr>
                <w:rStyle w:val="Hyperlink"/>
                <w:rFonts w:ascii="Times New Roman" w:hAnsi="Times New Roman" w:cs="Times New Roman"/>
                <w:noProof/>
              </w:rPr>
              <w:t>3.6 Risks of Non-Compliance</w:t>
            </w:r>
            <w:r>
              <w:rPr>
                <w:noProof/>
                <w:webHidden/>
              </w:rPr>
              <w:tab/>
            </w:r>
            <w:r>
              <w:rPr>
                <w:noProof/>
                <w:webHidden/>
              </w:rPr>
              <w:fldChar w:fldCharType="begin"/>
            </w:r>
            <w:r>
              <w:rPr>
                <w:noProof/>
                <w:webHidden/>
              </w:rPr>
              <w:instrText xml:space="preserve"> PAGEREF _Toc198558263 \h </w:instrText>
            </w:r>
            <w:r>
              <w:rPr>
                <w:noProof/>
                <w:webHidden/>
              </w:rPr>
            </w:r>
            <w:r>
              <w:rPr>
                <w:noProof/>
                <w:webHidden/>
              </w:rPr>
              <w:fldChar w:fldCharType="separate"/>
            </w:r>
            <w:r>
              <w:rPr>
                <w:noProof/>
                <w:webHidden/>
              </w:rPr>
              <w:t>20</w:t>
            </w:r>
            <w:r>
              <w:rPr>
                <w:noProof/>
                <w:webHidden/>
              </w:rPr>
              <w:fldChar w:fldCharType="end"/>
            </w:r>
          </w:hyperlink>
        </w:p>
        <w:p w14:paraId="6636F018" w14:textId="5E9A9E19" w:rsidR="006702DD" w:rsidRDefault="006702DD">
          <w:pPr>
            <w:pStyle w:val="TOC3"/>
            <w:tabs>
              <w:tab w:val="right" w:leader="dot" w:pos="9016"/>
            </w:tabs>
            <w:rPr>
              <w:rFonts w:eastAsiaTheme="minorEastAsia"/>
              <w:noProof/>
              <w:lang w:eastAsia="zh-CN"/>
            </w:rPr>
          </w:pPr>
          <w:hyperlink w:anchor="_Toc198558264" w:history="1">
            <w:r w:rsidRPr="00345663">
              <w:rPr>
                <w:rStyle w:val="Hyperlink"/>
                <w:rFonts w:ascii="Times New Roman" w:hAnsi="Times New Roman" w:cs="Times New Roman"/>
                <w:noProof/>
              </w:rPr>
              <w:t>3.7 Conclusion and Recommendations</w:t>
            </w:r>
            <w:r>
              <w:rPr>
                <w:noProof/>
                <w:webHidden/>
              </w:rPr>
              <w:tab/>
            </w:r>
            <w:r>
              <w:rPr>
                <w:noProof/>
                <w:webHidden/>
              </w:rPr>
              <w:fldChar w:fldCharType="begin"/>
            </w:r>
            <w:r>
              <w:rPr>
                <w:noProof/>
                <w:webHidden/>
              </w:rPr>
              <w:instrText xml:space="preserve"> PAGEREF _Toc198558264 \h </w:instrText>
            </w:r>
            <w:r>
              <w:rPr>
                <w:noProof/>
                <w:webHidden/>
              </w:rPr>
            </w:r>
            <w:r>
              <w:rPr>
                <w:noProof/>
                <w:webHidden/>
              </w:rPr>
              <w:fldChar w:fldCharType="separate"/>
            </w:r>
            <w:r>
              <w:rPr>
                <w:noProof/>
                <w:webHidden/>
              </w:rPr>
              <w:t>21</w:t>
            </w:r>
            <w:r>
              <w:rPr>
                <w:noProof/>
                <w:webHidden/>
              </w:rPr>
              <w:fldChar w:fldCharType="end"/>
            </w:r>
          </w:hyperlink>
        </w:p>
        <w:p w14:paraId="64A5C03A" w14:textId="45D8C3F4" w:rsidR="006702DD" w:rsidRDefault="006702DD">
          <w:pPr>
            <w:pStyle w:val="TOC2"/>
            <w:tabs>
              <w:tab w:val="right" w:leader="dot" w:pos="9016"/>
            </w:tabs>
            <w:rPr>
              <w:rFonts w:eastAsiaTheme="minorEastAsia"/>
              <w:noProof/>
              <w:lang w:eastAsia="zh-CN"/>
            </w:rPr>
          </w:pPr>
          <w:hyperlink w:anchor="_Toc198558265" w:history="1">
            <w:r w:rsidRPr="0034566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_Toc198558265 \h </w:instrText>
            </w:r>
            <w:r>
              <w:rPr>
                <w:noProof/>
                <w:webHidden/>
              </w:rPr>
            </w:r>
            <w:r>
              <w:rPr>
                <w:noProof/>
                <w:webHidden/>
              </w:rPr>
              <w:fldChar w:fldCharType="separate"/>
            </w:r>
            <w:r>
              <w:rPr>
                <w:noProof/>
                <w:webHidden/>
              </w:rPr>
              <w:t>22</w:t>
            </w:r>
            <w:r>
              <w:rPr>
                <w:noProof/>
                <w:webHidden/>
              </w:rPr>
              <w:fldChar w:fldCharType="end"/>
            </w:r>
          </w:hyperlink>
        </w:p>
        <w:p w14:paraId="5C5C79EE" w14:textId="45CC6668" w:rsidR="00DC4105" w:rsidRPr="003E64A7" w:rsidRDefault="001F302F" w:rsidP="00DB58CB">
          <w:pPr>
            <w:jc w:val="both"/>
          </w:pPr>
          <w:r>
            <w:rPr>
              <w:b/>
              <w:bCs/>
            </w:rPr>
            <w:fldChar w:fldCharType="end"/>
          </w:r>
        </w:p>
      </w:sdtContent>
    </w:sdt>
    <w:p w14:paraId="50ECE579" w14:textId="5BAE10D0" w:rsidR="00D310AA" w:rsidRPr="002837E9" w:rsidRDefault="00D310AA" w:rsidP="00DB58CB">
      <w:pPr>
        <w:pStyle w:val="Heading2"/>
        <w:jc w:val="both"/>
        <w:rPr>
          <w:rFonts w:ascii="Times New Roman" w:hAnsi="Times New Roman" w:cs="Times New Roman"/>
          <w:color w:val="auto"/>
          <w:sz w:val="40"/>
          <w:szCs w:val="40"/>
        </w:rPr>
      </w:pPr>
      <w:bookmarkStart w:id="0" w:name="_Toc198558238"/>
      <w:r w:rsidRPr="002837E9">
        <w:rPr>
          <w:rFonts w:ascii="Times New Roman" w:hAnsi="Times New Roman" w:cs="Times New Roman"/>
          <w:color w:val="auto"/>
          <w:sz w:val="40"/>
          <w:szCs w:val="40"/>
        </w:rPr>
        <w:t>Question 1</w:t>
      </w:r>
      <w:bookmarkEnd w:id="0"/>
    </w:p>
    <w:p w14:paraId="729FC1C2" w14:textId="77777777" w:rsidR="00220405" w:rsidRDefault="00220405" w:rsidP="00220405">
      <w:pPr>
        <w:rPr>
          <w:b/>
          <w:bCs/>
        </w:rPr>
      </w:pPr>
    </w:p>
    <w:p w14:paraId="677FBB07" w14:textId="77777777" w:rsidR="00220405" w:rsidRPr="00A46ABB" w:rsidRDefault="00220405" w:rsidP="00030E8F">
      <w:pPr>
        <w:spacing w:line="600" w:lineRule="auto"/>
        <w:rPr>
          <w:rFonts w:ascii="Times New Roman" w:hAnsi="Times New Roman" w:cs="Times New Roman"/>
        </w:rPr>
      </w:pPr>
      <w:r w:rsidRPr="00A46ABB">
        <w:rPr>
          <w:rFonts w:ascii="Times New Roman" w:hAnsi="Times New Roman" w:cs="Times New Roman"/>
          <w:b/>
          <w:bCs/>
        </w:rPr>
        <w:t>To:</w:t>
      </w:r>
      <w:r w:rsidRPr="00A46ABB">
        <w:rPr>
          <w:rFonts w:ascii="Times New Roman" w:hAnsi="Times New Roman" w:cs="Times New Roman"/>
        </w:rPr>
        <w:t xml:space="preserve"> Bob, Deputy General Manager</w:t>
      </w:r>
      <w:r w:rsidRPr="00A46ABB">
        <w:rPr>
          <w:rFonts w:ascii="Times New Roman" w:hAnsi="Times New Roman" w:cs="Times New Roman"/>
        </w:rPr>
        <w:br/>
      </w:r>
      <w:r w:rsidRPr="00A46ABB">
        <w:rPr>
          <w:rFonts w:ascii="Times New Roman" w:hAnsi="Times New Roman" w:cs="Times New Roman"/>
          <w:b/>
          <w:bCs/>
        </w:rPr>
        <w:t>From:</w:t>
      </w:r>
      <w:r w:rsidRPr="00A46ABB">
        <w:rPr>
          <w:rFonts w:ascii="Times New Roman" w:hAnsi="Times New Roman" w:cs="Times New Roman"/>
        </w:rPr>
        <w:t xml:space="preserve"> Nia Milcoy, HR Advisor</w:t>
      </w:r>
      <w:r w:rsidRPr="00A46ABB">
        <w:rPr>
          <w:rFonts w:ascii="Times New Roman" w:hAnsi="Times New Roman" w:cs="Times New Roman"/>
        </w:rPr>
        <w:br/>
      </w:r>
      <w:r w:rsidRPr="00A46ABB">
        <w:rPr>
          <w:rFonts w:ascii="Times New Roman" w:hAnsi="Times New Roman" w:cs="Times New Roman"/>
          <w:b/>
          <w:bCs/>
        </w:rPr>
        <w:t>Date:</w:t>
      </w:r>
      <w:r w:rsidRPr="00A46ABB">
        <w:rPr>
          <w:rFonts w:ascii="Times New Roman" w:hAnsi="Times New Roman" w:cs="Times New Roman"/>
        </w:rPr>
        <w:t xml:space="preserve"> 25 April 2025</w:t>
      </w:r>
      <w:r w:rsidRPr="00A46ABB">
        <w:rPr>
          <w:rFonts w:ascii="Times New Roman" w:hAnsi="Times New Roman" w:cs="Times New Roman"/>
        </w:rPr>
        <w:br/>
      </w:r>
      <w:r w:rsidRPr="00A46ABB">
        <w:rPr>
          <w:rFonts w:ascii="Times New Roman" w:hAnsi="Times New Roman" w:cs="Times New Roman"/>
          <w:b/>
          <w:bCs/>
        </w:rPr>
        <w:t>Subject:</w:t>
      </w:r>
      <w:r w:rsidRPr="00A46ABB">
        <w:rPr>
          <w:rFonts w:ascii="Times New Roman" w:hAnsi="Times New Roman" w:cs="Times New Roman"/>
        </w:rPr>
        <w:t xml:space="preserve"> Suspension and Investigation – Sethu (Head Housekeeper)</w:t>
      </w:r>
    </w:p>
    <w:p w14:paraId="64AB9150" w14:textId="77777777" w:rsidR="00220405" w:rsidRPr="002837E9" w:rsidRDefault="00220405" w:rsidP="00157481">
      <w:pPr>
        <w:pStyle w:val="Heading3"/>
        <w:numPr>
          <w:ilvl w:val="0"/>
          <w:numId w:val="1"/>
        </w:numPr>
        <w:spacing w:line="600" w:lineRule="auto"/>
        <w:rPr>
          <w:rFonts w:ascii="Times New Roman" w:hAnsi="Times New Roman" w:cs="Times New Roman"/>
          <w:color w:val="auto"/>
          <w:sz w:val="24"/>
          <w:szCs w:val="24"/>
        </w:rPr>
      </w:pPr>
      <w:bookmarkStart w:id="1" w:name="_Toc198558239"/>
      <w:r w:rsidRPr="002837E9">
        <w:rPr>
          <w:rFonts w:ascii="Times New Roman" w:hAnsi="Times New Roman" w:cs="Times New Roman"/>
          <w:color w:val="auto"/>
          <w:sz w:val="24"/>
          <w:szCs w:val="24"/>
        </w:rPr>
        <w:t>Internal Memorandum</w:t>
      </w:r>
      <w:bookmarkEnd w:id="1"/>
    </w:p>
    <w:p w14:paraId="4EB030B2"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This memorandum provides detailed HR guidance on the suspension and investigation concerning Sethu, the Head Housekeeper, following the discovery of Bluetooth speakers in her locker and her subsequent health-related absence. It also addresses her whistleblowing claim regarding food safety practices. The Hotel must ensure a procedurally fair, impartial, and legally compliant approach, aligned with employment law and best practice, while safeguarding employee wellbeing and upholding workplace standards (ACAS, 2024; Deakin et al., 2018).</w:t>
      </w:r>
    </w:p>
    <w:p w14:paraId="0533615D" w14:textId="3C3CA225" w:rsidR="00220405" w:rsidRPr="002837E9" w:rsidRDefault="00220405" w:rsidP="00030E8F">
      <w:pPr>
        <w:pStyle w:val="Heading3"/>
        <w:spacing w:line="600" w:lineRule="auto"/>
        <w:rPr>
          <w:rFonts w:ascii="Times New Roman" w:hAnsi="Times New Roman" w:cs="Times New Roman"/>
          <w:color w:val="auto"/>
          <w:sz w:val="24"/>
          <w:szCs w:val="24"/>
        </w:rPr>
      </w:pPr>
      <w:bookmarkStart w:id="2" w:name="_Toc198558240"/>
      <w:r w:rsidRPr="002837E9">
        <w:rPr>
          <w:rFonts w:ascii="Times New Roman" w:hAnsi="Times New Roman" w:cs="Times New Roman"/>
          <w:color w:val="auto"/>
          <w:sz w:val="24"/>
          <w:szCs w:val="24"/>
        </w:rPr>
        <w:t>1</w:t>
      </w:r>
      <w:r w:rsidR="00D81261" w:rsidRPr="002837E9">
        <w:rPr>
          <w:rFonts w:ascii="Times New Roman" w:hAnsi="Times New Roman" w:cs="Times New Roman"/>
          <w:color w:val="auto"/>
          <w:sz w:val="24"/>
          <w:szCs w:val="24"/>
        </w:rPr>
        <w:t>.2</w:t>
      </w:r>
      <w:r w:rsidRPr="002837E9">
        <w:rPr>
          <w:rFonts w:ascii="Times New Roman" w:hAnsi="Times New Roman" w:cs="Times New Roman"/>
          <w:color w:val="auto"/>
          <w:sz w:val="24"/>
          <w:szCs w:val="24"/>
        </w:rPr>
        <w:t xml:space="preserve"> Suspension and Investigation Process</w:t>
      </w:r>
      <w:bookmarkEnd w:id="2"/>
    </w:p>
    <w:p w14:paraId="1F2AD76C"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 xml:space="preserve">Suspension should always be a neutral and last-resort measure, implemented only when necessary to facilitate an investigation or to protect workplace safety (ACAS, 2024). It must not imply guilt or be used as a punitive measure. Consistent with the ACAS Code of Practice and reinforced by legal principles established in </w:t>
      </w:r>
      <w:r w:rsidRPr="00A46ABB">
        <w:rPr>
          <w:rFonts w:ascii="Times New Roman" w:hAnsi="Times New Roman" w:cs="Times New Roman"/>
          <w:i/>
          <w:iCs/>
        </w:rPr>
        <w:t>Mezey v South West London and St George’s NHS Trust</w:t>
      </w:r>
      <w:r w:rsidRPr="00A46ABB">
        <w:rPr>
          <w:rFonts w:ascii="Times New Roman" w:hAnsi="Times New Roman" w:cs="Times New Roman"/>
        </w:rPr>
        <w:t xml:space="preserve"> [2007] EWCA Civ 106, suspensions must be regularly reviewed to avoid breaching the implied term of trust and confidence. Employers should first consider alternatives such as temporary redeployment or restriction of duties, to minimise disruption and stress for the employee (Bainbridge &amp; Hardy, 2020).</w:t>
      </w:r>
    </w:p>
    <w:p w14:paraId="49970B46"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Given the circumstances, Bob should ensure that the investigation is conducted by a neutral and independent officer to maintain impartiality, as emphasised by Daniels (2022). A written letter to Sethu must clarify that the meeting is for fact-finding, not disciplinary, in line with best practice outlined in Collins (2021). This is critical to uphold procedural fairness and reduce the risk of claims related to unfair suspension or breach of contract (Gogay v Hertfordshire County Council [2000]).</w:t>
      </w:r>
    </w:p>
    <w:p w14:paraId="42984962"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The investigation should be comprehensive, gathering all relevant evidence including Sethu’s cleaning rota, any available CCTV footage, statements from the Head Chef John and other staff, and the guest complaint form (CIPD, 2024). Evidence must be recorded meticulously to ensure transparency and avoid accusations of bias or incomplete fact-finding (McCarthy &amp; Wright, 2018).</w:t>
      </w:r>
    </w:p>
    <w:p w14:paraId="6743FCFB"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 xml:space="preserve">Failure to adhere to these procedural safeguards risks claims of unfair dismissal, breach of contract, or discrimination. Courts have reiterated, particularly in </w:t>
      </w:r>
      <w:r w:rsidRPr="00A46ABB">
        <w:rPr>
          <w:rFonts w:ascii="Times New Roman" w:hAnsi="Times New Roman" w:cs="Times New Roman"/>
          <w:i/>
          <w:iCs/>
        </w:rPr>
        <w:t>British Home Stores Ltd v Burchell</w:t>
      </w:r>
      <w:r w:rsidRPr="00A46ABB">
        <w:rPr>
          <w:rFonts w:ascii="Times New Roman" w:hAnsi="Times New Roman" w:cs="Times New Roman"/>
        </w:rPr>
        <w:t xml:space="preserve"> [1978], that employers must have a genuine belief based on reasonable grounds before any disciplinary action. The cost of failing to comply with such standards can be substantial, not only financially but also reputationally (Lewis et al., 2023).</w:t>
      </w:r>
    </w:p>
    <w:p w14:paraId="4625F012" w14:textId="256BBF62" w:rsidR="00220405" w:rsidRPr="002837E9" w:rsidRDefault="00220405" w:rsidP="00030E8F">
      <w:pPr>
        <w:pStyle w:val="Heading3"/>
        <w:spacing w:line="600" w:lineRule="auto"/>
        <w:rPr>
          <w:rFonts w:ascii="Times New Roman" w:hAnsi="Times New Roman" w:cs="Times New Roman"/>
          <w:color w:val="auto"/>
          <w:sz w:val="24"/>
          <w:szCs w:val="24"/>
        </w:rPr>
      </w:pPr>
      <w:bookmarkStart w:id="3" w:name="_Toc198558241"/>
      <w:r w:rsidRPr="002837E9">
        <w:rPr>
          <w:rFonts w:ascii="Times New Roman" w:hAnsi="Times New Roman" w:cs="Times New Roman"/>
          <w:color w:val="auto"/>
          <w:sz w:val="24"/>
          <w:szCs w:val="24"/>
        </w:rPr>
        <w:t>1.</w:t>
      </w:r>
      <w:r w:rsidR="00D81261" w:rsidRPr="002837E9">
        <w:rPr>
          <w:rFonts w:ascii="Times New Roman" w:hAnsi="Times New Roman" w:cs="Times New Roman"/>
          <w:color w:val="auto"/>
          <w:sz w:val="24"/>
          <w:szCs w:val="24"/>
        </w:rPr>
        <w:t>3</w:t>
      </w:r>
      <w:r w:rsidRPr="002837E9">
        <w:rPr>
          <w:rFonts w:ascii="Times New Roman" w:hAnsi="Times New Roman" w:cs="Times New Roman"/>
          <w:color w:val="auto"/>
          <w:sz w:val="24"/>
          <w:szCs w:val="24"/>
        </w:rPr>
        <w:t xml:space="preserve"> Health Considerations and Reasonable Adjustments</w:t>
      </w:r>
      <w:bookmarkEnd w:id="3"/>
    </w:p>
    <w:p w14:paraId="61A9F2BE" w14:textId="77777777" w:rsidR="00CA36CD" w:rsidRPr="00CA36CD" w:rsidRDefault="00CA36CD" w:rsidP="00CA36CD">
      <w:pPr>
        <w:spacing w:line="600" w:lineRule="auto"/>
        <w:jc w:val="both"/>
        <w:rPr>
          <w:rFonts w:ascii="Times New Roman" w:hAnsi="Times New Roman" w:cs="Times New Roman"/>
        </w:rPr>
      </w:pPr>
      <w:r w:rsidRPr="00CA36CD">
        <w:rPr>
          <w:rFonts w:ascii="Times New Roman" w:hAnsi="Times New Roman" w:cs="Times New Roman"/>
        </w:rPr>
        <w:t>Given that Sethu has disclosed that the stress resulting from her suspension is negatively impacting her ability to manage her diabetes, the Hotel must consider its legal obligations under the Equality Act 2010, which defines disability broadly to include chronic conditions such as diabetes (Equality Act 2010). Employers are legally required to make reasonable adjustments to accommodate such conditions (Bainbridge &amp; Hardy, 2020; Smith &amp; Rouch, 2019). These adjustments could include facilitating remote investigatory meetings via Microsoft Teams, modifying the scheduling or format of meetings, offering temporary changes to duties or location, providing paid transport to alleviate travel-related anxiety, or offering flexible working hours.</w:t>
      </w:r>
    </w:p>
    <w:p w14:paraId="4FD24614" w14:textId="77777777" w:rsidR="00CA36CD" w:rsidRPr="00CA36CD" w:rsidRDefault="00CA36CD" w:rsidP="00CA36CD">
      <w:pPr>
        <w:spacing w:line="600" w:lineRule="auto"/>
        <w:jc w:val="both"/>
        <w:rPr>
          <w:rFonts w:ascii="Times New Roman" w:hAnsi="Times New Roman" w:cs="Times New Roman"/>
        </w:rPr>
      </w:pPr>
      <w:r w:rsidRPr="00CA36CD">
        <w:rPr>
          <w:rFonts w:ascii="Times New Roman" w:hAnsi="Times New Roman" w:cs="Times New Roman"/>
        </w:rPr>
        <w:t xml:space="preserve">Failure to make such adjustments could constitute disability discrimination under s.20 of the Equality Act 2010. This is reinforced by the case of </w:t>
      </w:r>
      <w:r w:rsidRPr="00CA36CD">
        <w:rPr>
          <w:rFonts w:ascii="Times New Roman" w:hAnsi="Times New Roman" w:cs="Times New Roman"/>
          <w:i/>
          <w:iCs/>
        </w:rPr>
        <w:t>Croft Vets Ltd v Butcher</w:t>
      </w:r>
      <w:r w:rsidRPr="00CA36CD">
        <w:rPr>
          <w:rFonts w:ascii="Times New Roman" w:hAnsi="Times New Roman" w:cs="Times New Roman"/>
        </w:rPr>
        <w:t xml:space="preserve"> [2013] IRLR 178 (EAT), where the Employment Appeal Tribunal found that an employer’s failure to support an employee with mental health conditions during suspension amounted to discrimination. While stress itself is not typically classified as a mental health condition, it is closely linked and can significantly worsen existing conditions such as diabetes (Mind, 2025).</w:t>
      </w:r>
    </w:p>
    <w:p w14:paraId="50D74C0D" w14:textId="77777777" w:rsidR="00CA36CD" w:rsidRPr="00CA36CD" w:rsidRDefault="00CA36CD" w:rsidP="00CA36CD">
      <w:pPr>
        <w:spacing w:line="600" w:lineRule="auto"/>
        <w:jc w:val="both"/>
        <w:rPr>
          <w:rFonts w:ascii="Times New Roman" w:hAnsi="Times New Roman" w:cs="Times New Roman"/>
        </w:rPr>
      </w:pPr>
      <w:r w:rsidRPr="00CA36CD">
        <w:rPr>
          <w:rFonts w:ascii="Times New Roman" w:hAnsi="Times New Roman" w:cs="Times New Roman"/>
        </w:rPr>
        <w:t xml:space="preserve">In addition to the Equality Act, there are human rights considerations. Under Article 8 of the European Convention on Human Rights, individuals are entitled to respect for their private life, which includes the protection of their dignity and reputation during employment investigations. In </w:t>
      </w:r>
      <w:r w:rsidRPr="00CA36CD">
        <w:rPr>
          <w:rFonts w:ascii="Times New Roman" w:hAnsi="Times New Roman" w:cs="Times New Roman"/>
          <w:i/>
          <w:iCs/>
        </w:rPr>
        <w:t>Gogay v Hertfordshire County Council</w:t>
      </w:r>
      <w:r w:rsidRPr="00CA36CD">
        <w:rPr>
          <w:rFonts w:ascii="Times New Roman" w:hAnsi="Times New Roman" w:cs="Times New Roman"/>
        </w:rPr>
        <w:t xml:space="preserve"> [2000] IRLR 703, suspension without appropriate justification was found to breach these rights (Collins, 2020). Thus, any action taken during the disciplinary process must be necessary, proportionate, and sensitive to Sethu’s health and privacy.</w:t>
      </w:r>
    </w:p>
    <w:p w14:paraId="6E8D5FF1" w14:textId="77777777" w:rsidR="00CA36CD" w:rsidRPr="00CA36CD" w:rsidRDefault="00CA36CD" w:rsidP="00CA36CD">
      <w:pPr>
        <w:spacing w:line="600" w:lineRule="auto"/>
        <w:jc w:val="both"/>
        <w:rPr>
          <w:rFonts w:ascii="Times New Roman" w:hAnsi="Times New Roman" w:cs="Times New Roman"/>
        </w:rPr>
      </w:pPr>
      <w:r w:rsidRPr="00CA36CD">
        <w:rPr>
          <w:rFonts w:ascii="Times New Roman" w:hAnsi="Times New Roman" w:cs="Times New Roman"/>
        </w:rPr>
        <w:t>Furthermore, the Health and Safety Executive highlights the employer's responsibility to manage workplace stress as part of its duty to protect both mental and physical health (HSE, 2021). Proactively addressing the impact of stress by adjusting investigation procedures not only fulfils legal requirements but also promotes empathy and good employee relations, thereby reducing the risk of litigation (Olsen, 2022).</w:t>
      </w:r>
    </w:p>
    <w:p w14:paraId="40A69CDB" w14:textId="77777777" w:rsidR="00CA36CD" w:rsidRPr="00CA36CD" w:rsidRDefault="00CA36CD" w:rsidP="00CA36CD">
      <w:pPr>
        <w:spacing w:line="600" w:lineRule="auto"/>
        <w:jc w:val="both"/>
        <w:rPr>
          <w:rFonts w:ascii="Times New Roman" w:hAnsi="Times New Roman" w:cs="Times New Roman"/>
        </w:rPr>
      </w:pPr>
      <w:r w:rsidRPr="00CA36CD">
        <w:rPr>
          <w:rFonts w:ascii="Times New Roman" w:hAnsi="Times New Roman" w:cs="Times New Roman"/>
        </w:rPr>
        <w:t xml:space="preserve">Accordingly, Bob must engage directly with Sethu to identify and document any specific adjustments she may require. Taking a </w:t>
      </w:r>
      <w:r w:rsidRPr="00CA36CD">
        <w:rPr>
          <w:rFonts w:ascii="Times New Roman" w:hAnsi="Times New Roman" w:cs="Times New Roman"/>
          <w:b/>
          <w:bCs/>
        </w:rPr>
        <w:t>collaborative and flexible approach</w:t>
      </w:r>
      <w:r w:rsidRPr="00CA36CD">
        <w:rPr>
          <w:rFonts w:ascii="Times New Roman" w:hAnsi="Times New Roman" w:cs="Times New Roman"/>
        </w:rPr>
        <w:t xml:space="preserve"> is consistent with modern HR best practices and ensures the investigation is conducted in a manner that is both fair and legally compliant (Smith &amp; Rouch, 2019).</w:t>
      </w:r>
    </w:p>
    <w:p w14:paraId="5335D897" w14:textId="02435F61" w:rsidR="00220405" w:rsidRPr="00454A88" w:rsidRDefault="00220405" w:rsidP="00030E8F">
      <w:pPr>
        <w:pStyle w:val="Heading3"/>
        <w:spacing w:line="600" w:lineRule="auto"/>
        <w:rPr>
          <w:rFonts w:ascii="Times New Roman" w:hAnsi="Times New Roman" w:cs="Times New Roman"/>
          <w:color w:val="auto"/>
          <w:sz w:val="24"/>
          <w:szCs w:val="24"/>
        </w:rPr>
      </w:pPr>
      <w:bookmarkStart w:id="4" w:name="_Toc198558242"/>
      <w:r w:rsidRPr="00454A88">
        <w:rPr>
          <w:rFonts w:ascii="Times New Roman" w:hAnsi="Times New Roman" w:cs="Times New Roman"/>
          <w:color w:val="auto"/>
          <w:sz w:val="24"/>
          <w:szCs w:val="24"/>
        </w:rPr>
        <w:t>1.</w:t>
      </w:r>
      <w:r w:rsidR="00D81261" w:rsidRPr="00454A88">
        <w:rPr>
          <w:rFonts w:ascii="Times New Roman" w:hAnsi="Times New Roman" w:cs="Times New Roman"/>
          <w:color w:val="auto"/>
          <w:sz w:val="24"/>
          <w:szCs w:val="24"/>
        </w:rPr>
        <w:t>4</w:t>
      </w:r>
      <w:r w:rsidRPr="00454A88">
        <w:rPr>
          <w:rFonts w:ascii="Times New Roman" w:hAnsi="Times New Roman" w:cs="Times New Roman"/>
          <w:color w:val="auto"/>
          <w:sz w:val="24"/>
          <w:szCs w:val="24"/>
        </w:rPr>
        <w:t xml:space="preserve"> Whistleblowing Allegations and Associated Risks</w:t>
      </w:r>
      <w:bookmarkEnd w:id="4"/>
    </w:p>
    <w:p w14:paraId="53C30A99"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Sethu’s disclosure about John’s removal of date labels on chicken potentially constitutes a protected disclosure under the Public Interest Disclosure Act 1998 (PIDA), which safeguards whistleblowers from dismissal or detrimental treatment when reporting wrongdoing in good faith (Onyeka, 2021). This adds a complex dimension to the investigation, requiring a sensitive and legally compliant response.</w:t>
      </w:r>
    </w:p>
    <w:p w14:paraId="7C7A5F14"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It is imperative that Bob ensures the Hotel investigates the whistleblowing claim thoroughly, verifying when and how Sethu reported her concerns and whether appropriate action was taken (Transparency International UK, 2022). Any evidence of retaliatory behaviour from John, including his alleged comments, could amount to victimisation, which is unlawful under the Equality Act 2010 (Kong v Gulf International Bank (UK) Ltd [2022]). Failure to address such conduct exposes the Hotel to significant legal risk, including claims of harassment and constructive dismissal (Lewis et al., 2023).</w:t>
      </w:r>
    </w:p>
    <w:p w14:paraId="7D9E77C0"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The ACAS Code (2024) advises employers to handle whistleblowing disclosures with confidentiality, impartiality, and clear communication, fostering a workplace culture that encourages ethical behaviour and transparency (McCarthy &amp; Wright, 2018). Bob must ensure that Sethu feels protected from victimisation during and after the investigation, with clear channels for raising concerns and support mechanisms in place.</w:t>
      </w:r>
    </w:p>
    <w:p w14:paraId="13CE6ECE" w14:textId="638D8632" w:rsidR="00220405" w:rsidRPr="00454A88" w:rsidRDefault="00220405" w:rsidP="00030E8F">
      <w:pPr>
        <w:pStyle w:val="Heading3"/>
        <w:spacing w:line="600" w:lineRule="auto"/>
        <w:rPr>
          <w:rFonts w:ascii="Times New Roman" w:hAnsi="Times New Roman" w:cs="Times New Roman"/>
          <w:color w:val="auto"/>
          <w:sz w:val="24"/>
          <w:szCs w:val="24"/>
        </w:rPr>
      </w:pPr>
      <w:bookmarkStart w:id="5" w:name="_Toc198558243"/>
      <w:r w:rsidRPr="00454A88">
        <w:rPr>
          <w:rFonts w:ascii="Times New Roman" w:hAnsi="Times New Roman" w:cs="Times New Roman"/>
          <w:color w:val="auto"/>
          <w:sz w:val="24"/>
          <w:szCs w:val="24"/>
        </w:rPr>
        <w:t>1.</w:t>
      </w:r>
      <w:r w:rsidR="00D81261" w:rsidRPr="00454A88">
        <w:rPr>
          <w:rFonts w:ascii="Times New Roman" w:hAnsi="Times New Roman" w:cs="Times New Roman"/>
          <w:color w:val="auto"/>
          <w:sz w:val="24"/>
          <w:szCs w:val="24"/>
        </w:rPr>
        <w:t>5</w:t>
      </w:r>
      <w:r w:rsidRPr="00454A88">
        <w:rPr>
          <w:rFonts w:ascii="Times New Roman" w:hAnsi="Times New Roman" w:cs="Times New Roman"/>
          <w:color w:val="auto"/>
          <w:sz w:val="24"/>
          <w:szCs w:val="24"/>
        </w:rPr>
        <w:t xml:space="preserve"> Disciplinary Procedure and Legal Safeguards</w:t>
      </w:r>
      <w:bookmarkEnd w:id="5"/>
    </w:p>
    <w:p w14:paraId="717D9AD1"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 xml:space="preserve">Should the investigation find grounds for disciplinary action, the Hotel must adhere strictly to the ACAS Code of Practice (2024) to avoid claims of unfair treatment. This involves separating investigation and decision-making roles to ensure impartiality, a principle reinforced in </w:t>
      </w:r>
      <w:r w:rsidRPr="00A46ABB">
        <w:rPr>
          <w:rFonts w:ascii="Times New Roman" w:hAnsi="Times New Roman" w:cs="Times New Roman"/>
          <w:i/>
          <w:iCs/>
        </w:rPr>
        <w:t>De Freitas v IBM</w:t>
      </w:r>
      <w:r w:rsidRPr="00A46ABB">
        <w:rPr>
          <w:rFonts w:ascii="Times New Roman" w:hAnsi="Times New Roman" w:cs="Times New Roman"/>
        </w:rPr>
        <w:t xml:space="preserve"> [2015]. Bob must provide Sethu with a clear written notification of the disciplinary hearing, including details of allegations, evidence, and her right to be accompanied (Employment Rights Act 1996).</w:t>
      </w:r>
    </w:p>
    <w:p w14:paraId="7AA936CA"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 xml:space="preserve">The disciplinary hearing itself must be chaired by an impartial manager, allowing Sethu full opportunity to respond and present mitigating factors such as her long service, health conditions, and whistleblowing history (Collins, 2022). Following the hearing, the decision-maker should take time to deliberate before communicating a written outcome, including appeal rights as recommended by </w:t>
      </w:r>
      <w:r w:rsidRPr="00A46ABB">
        <w:rPr>
          <w:rFonts w:ascii="Times New Roman" w:hAnsi="Times New Roman" w:cs="Times New Roman"/>
          <w:i/>
          <w:iCs/>
        </w:rPr>
        <w:t>Sefton Borough Council v Wainwright</w:t>
      </w:r>
      <w:r w:rsidRPr="00A46ABB">
        <w:rPr>
          <w:rFonts w:ascii="Times New Roman" w:hAnsi="Times New Roman" w:cs="Times New Roman"/>
        </w:rPr>
        <w:t xml:space="preserve"> [2014].</w:t>
      </w:r>
    </w:p>
    <w:p w14:paraId="48A7CEC1"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The thorough observance of these procedural safeguards is vital to mitigate risks of unfair dismissal claims and to uphold the Hotel’s ethical standards (Polkey v A E Dayton Services Ltd [1987]).</w:t>
      </w:r>
    </w:p>
    <w:p w14:paraId="4F21DDEA" w14:textId="1B053291" w:rsidR="00220405" w:rsidRPr="00EC733D" w:rsidRDefault="00030E8F" w:rsidP="00030E8F">
      <w:pPr>
        <w:pStyle w:val="Heading3"/>
        <w:spacing w:line="600" w:lineRule="auto"/>
        <w:rPr>
          <w:rFonts w:ascii="Times New Roman" w:hAnsi="Times New Roman" w:cs="Times New Roman"/>
          <w:color w:val="auto"/>
          <w:sz w:val="24"/>
          <w:szCs w:val="24"/>
        </w:rPr>
      </w:pPr>
      <w:bookmarkStart w:id="6" w:name="_Toc198558244"/>
      <w:r w:rsidRPr="00EC733D">
        <w:rPr>
          <w:rFonts w:ascii="Times New Roman" w:hAnsi="Times New Roman" w:cs="Times New Roman"/>
          <w:color w:val="auto"/>
          <w:sz w:val="24"/>
          <w:szCs w:val="24"/>
        </w:rPr>
        <w:t>1.</w:t>
      </w:r>
      <w:r w:rsidR="00D81261" w:rsidRPr="00EC733D">
        <w:rPr>
          <w:rFonts w:ascii="Times New Roman" w:hAnsi="Times New Roman" w:cs="Times New Roman"/>
          <w:color w:val="auto"/>
          <w:sz w:val="24"/>
          <w:szCs w:val="24"/>
        </w:rPr>
        <w:t>6</w:t>
      </w:r>
      <w:r w:rsidRPr="00EC733D">
        <w:rPr>
          <w:rFonts w:ascii="Times New Roman" w:hAnsi="Times New Roman" w:cs="Times New Roman"/>
          <w:color w:val="auto"/>
          <w:sz w:val="24"/>
          <w:szCs w:val="24"/>
        </w:rPr>
        <w:t xml:space="preserve"> </w:t>
      </w:r>
      <w:r w:rsidR="00220405" w:rsidRPr="00EC733D">
        <w:rPr>
          <w:rFonts w:ascii="Times New Roman" w:hAnsi="Times New Roman" w:cs="Times New Roman"/>
          <w:color w:val="auto"/>
          <w:sz w:val="24"/>
          <w:szCs w:val="24"/>
        </w:rPr>
        <w:t>Recommendations and Conclusion</w:t>
      </w:r>
      <w:bookmarkEnd w:id="6"/>
    </w:p>
    <w:p w14:paraId="614B2F0D"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In summary, Bob should proceed with appointing a neutral investigator to explore both the missing Bluetooth speakers and the food safety disclosure. All investigatory interviews must be adapted to meet Sethu’s diabetes-related needs, consistent with the Equality Act 2010 and HSE guidelines. Throughout the process, Bob must maintain impartiality, avoid presumption of guilt, and follow ACAS Code procedures meticulously, ensuring clear and respectful communication with Sethu.</w:t>
      </w:r>
    </w:p>
    <w:p w14:paraId="1C58E5C9"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All steps taken should be thoroughly documented to provide an audit trail and to support the Hotel’s position should any claims arise. A review of the Hotel’s policies on whistleblowing, disability accommodations, and disciplinary procedures is also recommended to ensure ongoing legal compliance and to reinforce a positive organisational culture.</w:t>
      </w:r>
    </w:p>
    <w:p w14:paraId="1973FE41" w14:textId="77777777" w:rsidR="00220405" w:rsidRPr="00A46ABB" w:rsidRDefault="00220405" w:rsidP="003E72C5">
      <w:pPr>
        <w:spacing w:line="600" w:lineRule="auto"/>
        <w:jc w:val="both"/>
        <w:rPr>
          <w:rFonts w:ascii="Times New Roman" w:hAnsi="Times New Roman" w:cs="Times New Roman"/>
        </w:rPr>
      </w:pPr>
      <w:r w:rsidRPr="00A46ABB">
        <w:rPr>
          <w:rFonts w:ascii="Times New Roman" w:hAnsi="Times New Roman" w:cs="Times New Roman"/>
        </w:rPr>
        <w:t>By adopting this balanced and legally informed approach, Sunny Side Hotel will mitigate litigation risks, support employee wellbeing, and protect its reputation while ensuring fairness and transparency in managing this complex case (Bainbridge &amp; Hardy, 2020; Transparency International UK, 2022).</w:t>
      </w:r>
    </w:p>
    <w:p w14:paraId="5AB99E3A" w14:textId="77777777" w:rsidR="00220405" w:rsidRDefault="00220405" w:rsidP="00220405"/>
    <w:p w14:paraId="6DBA951D" w14:textId="77777777" w:rsidR="00DB2D72" w:rsidRDefault="00DB2D72" w:rsidP="00DB2D72">
      <w:pPr>
        <w:tabs>
          <w:tab w:val="left" w:pos="1572"/>
        </w:tabs>
      </w:pPr>
    </w:p>
    <w:p w14:paraId="7B73A76D" w14:textId="77777777" w:rsidR="00DB2D72" w:rsidRDefault="00DB2D72" w:rsidP="00DB2D72">
      <w:pPr>
        <w:tabs>
          <w:tab w:val="left" w:pos="1572"/>
        </w:tabs>
      </w:pPr>
    </w:p>
    <w:p w14:paraId="35460FC8" w14:textId="77777777" w:rsidR="00DB2D72" w:rsidRDefault="00DB2D72" w:rsidP="00DB2D72">
      <w:pPr>
        <w:tabs>
          <w:tab w:val="left" w:pos="1572"/>
        </w:tabs>
      </w:pPr>
    </w:p>
    <w:p w14:paraId="0E9C3C9A" w14:textId="77777777" w:rsidR="00DB2D72" w:rsidRDefault="00DB2D72" w:rsidP="00DB2D72">
      <w:pPr>
        <w:tabs>
          <w:tab w:val="left" w:pos="1572"/>
        </w:tabs>
      </w:pPr>
    </w:p>
    <w:p w14:paraId="5D9A3104" w14:textId="77777777" w:rsidR="00DB2D72" w:rsidRDefault="00DB2D72" w:rsidP="00DB2D72">
      <w:pPr>
        <w:tabs>
          <w:tab w:val="left" w:pos="1572"/>
        </w:tabs>
      </w:pPr>
    </w:p>
    <w:p w14:paraId="5124F099" w14:textId="77777777" w:rsidR="00DB2D72" w:rsidRDefault="00DB2D72" w:rsidP="00DB2D72">
      <w:pPr>
        <w:tabs>
          <w:tab w:val="left" w:pos="1572"/>
        </w:tabs>
      </w:pPr>
    </w:p>
    <w:p w14:paraId="6F3FD251" w14:textId="77777777" w:rsidR="00D81261" w:rsidRDefault="00D81261" w:rsidP="00220405"/>
    <w:p w14:paraId="542E44C5" w14:textId="77777777" w:rsidR="00D81261" w:rsidRDefault="00D81261" w:rsidP="00220405"/>
    <w:p w14:paraId="37FE2EF8" w14:textId="77777777" w:rsidR="00D81261" w:rsidRDefault="00D81261" w:rsidP="00220405"/>
    <w:p w14:paraId="571E0FBA" w14:textId="77777777" w:rsidR="009068AB" w:rsidRPr="00220405" w:rsidRDefault="009068AB" w:rsidP="00220405"/>
    <w:p w14:paraId="50E61205" w14:textId="122FA20B" w:rsidR="0044482F" w:rsidRDefault="00DE1499" w:rsidP="00DB58CB">
      <w:pPr>
        <w:pStyle w:val="Heading2"/>
        <w:jc w:val="both"/>
        <w:rPr>
          <w:rFonts w:ascii="Times New Roman" w:hAnsi="Times New Roman" w:cs="Times New Roman"/>
          <w:sz w:val="40"/>
          <w:szCs w:val="40"/>
        </w:rPr>
      </w:pPr>
      <w:bookmarkStart w:id="7" w:name="_Toc198558245"/>
      <w:r w:rsidRPr="005C3DDD">
        <w:rPr>
          <w:rFonts w:ascii="Times New Roman" w:hAnsi="Times New Roman" w:cs="Times New Roman"/>
          <w:sz w:val="40"/>
          <w:szCs w:val="40"/>
        </w:rPr>
        <w:t>Question 2</w:t>
      </w:r>
      <w:bookmarkEnd w:id="7"/>
    </w:p>
    <w:p w14:paraId="77E205AA" w14:textId="77777777" w:rsidR="00157481" w:rsidRDefault="00157481" w:rsidP="00157481">
      <w:pPr>
        <w:spacing w:line="600" w:lineRule="auto"/>
        <w:rPr>
          <w:rFonts w:ascii="Times New Roman" w:hAnsi="Times New Roman" w:cs="Times New Roman"/>
          <w:b/>
          <w:bCs/>
        </w:rPr>
      </w:pPr>
    </w:p>
    <w:p w14:paraId="11A044BA" w14:textId="4908F669" w:rsidR="00157481" w:rsidRPr="003126ED" w:rsidRDefault="00157481" w:rsidP="00157481">
      <w:pPr>
        <w:spacing w:line="600" w:lineRule="auto"/>
        <w:rPr>
          <w:rFonts w:ascii="Times New Roman" w:hAnsi="Times New Roman" w:cs="Times New Roman"/>
        </w:rPr>
      </w:pPr>
      <w:r w:rsidRPr="003126ED">
        <w:rPr>
          <w:rFonts w:ascii="Times New Roman" w:hAnsi="Times New Roman" w:cs="Times New Roman"/>
          <w:b/>
          <w:bCs/>
        </w:rPr>
        <w:t>To: The Board of Sunny Side Hotel</w:t>
      </w:r>
      <w:r w:rsidRPr="003126ED">
        <w:rPr>
          <w:rFonts w:ascii="Times New Roman" w:hAnsi="Times New Roman" w:cs="Times New Roman"/>
        </w:rPr>
        <w:br/>
      </w:r>
      <w:r w:rsidRPr="003126ED">
        <w:rPr>
          <w:rFonts w:ascii="Times New Roman" w:hAnsi="Times New Roman" w:cs="Times New Roman"/>
          <w:b/>
          <w:bCs/>
        </w:rPr>
        <w:t>From: HR Advisor</w:t>
      </w:r>
      <w:r w:rsidRPr="003126ED">
        <w:rPr>
          <w:rFonts w:ascii="Times New Roman" w:hAnsi="Times New Roman" w:cs="Times New Roman"/>
        </w:rPr>
        <w:br/>
      </w:r>
      <w:r w:rsidRPr="003126ED">
        <w:rPr>
          <w:rFonts w:ascii="Times New Roman" w:hAnsi="Times New Roman" w:cs="Times New Roman"/>
          <w:b/>
          <w:bCs/>
        </w:rPr>
        <w:t xml:space="preserve">Date: </w:t>
      </w:r>
      <w:r>
        <w:rPr>
          <w:rFonts w:ascii="Times New Roman" w:hAnsi="Times New Roman" w:cs="Times New Roman"/>
          <w:b/>
          <w:bCs/>
        </w:rPr>
        <w:t>25</w:t>
      </w:r>
      <w:r w:rsidRPr="00157481">
        <w:rPr>
          <w:rFonts w:ascii="Times New Roman" w:hAnsi="Times New Roman" w:cs="Times New Roman"/>
          <w:b/>
          <w:bCs/>
          <w:vertAlign w:val="superscript"/>
        </w:rPr>
        <w:t>th</w:t>
      </w:r>
      <w:r>
        <w:rPr>
          <w:rFonts w:ascii="Times New Roman" w:hAnsi="Times New Roman" w:cs="Times New Roman"/>
          <w:b/>
          <w:bCs/>
        </w:rPr>
        <w:t xml:space="preserve"> April 2025 </w:t>
      </w:r>
      <w:r w:rsidRPr="003126ED">
        <w:rPr>
          <w:rFonts w:ascii="Times New Roman" w:hAnsi="Times New Roman" w:cs="Times New Roman"/>
        </w:rPr>
        <w:br/>
      </w:r>
      <w:r w:rsidRPr="003126ED">
        <w:rPr>
          <w:rFonts w:ascii="Times New Roman" w:hAnsi="Times New Roman" w:cs="Times New Roman"/>
          <w:b/>
          <w:bCs/>
        </w:rPr>
        <w:t>Subject: Legal Advice on Proposed Redundancies</w:t>
      </w:r>
    </w:p>
    <w:p w14:paraId="06C5E162" w14:textId="3B6B2E81" w:rsidR="00A4362A" w:rsidRPr="00FF540D" w:rsidRDefault="00157481" w:rsidP="00157481">
      <w:pPr>
        <w:pStyle w:val="Heading3"/>
        <w:rPr>
          <w:rFonts w:ascii="Times New Roman" w:hAnsi="Times New Roman" w:cs="Times New Roman"/>
          <w:color w:val="auto"/>
        </w:rPr>
      </w:pPr>
      <w:bookmarkStart w:id="8" w:name="_Toc198558246"/>
      <w:r w:rsidRPr="00FF540D">
        <w:rPr>
          <w:rFonts w:ascii="Times New Roman" w:hAnsi="Times New Roman" w:cs="Times New Roman"/>
          <w:color w:val="auto"/>
        </w:rPr>
        <w:t>2.</w:t>
      </w:r>
      <w:r w:rsidR="00A4362A" w:rsidRPr="00FF540D">
        <w:rPr>
          <w:rFonts w:ascii="Times New Roman" w:hAnsi="Times New Roman" w:cs="Times New Roman"/>
          <w:color w:val="auto"/>
        </w:rPr>
        <w:t xml:space="preserve"> Introduction</w:t>
      </w:r>
      <w:bookmarkEnd w:id="8"/>
    </w:p>
    <w:p w14:paraId="439BE88C" w14:textId="77777777" w:rsidR="00157481" w:rsidRPr="00157481" w:rsidRDefault="00157481" w:rsidP="00157481"/>
    <w:p w14:paraId="70641AD4" w14:textId="77777777" w:rsidR="00A4362A" w:rsidRPr="003126ED" w:rsidRDefault="00A4362A" w:rsidP="00FF540D">
      <w:pPr>
        <w:spacing w:line="600" w:lineRule="auto"/>
        <w:jc w:val="both"/>
        <w:rPr>
          <w:rFonts w:ascii="Times New Roman" w:hAnsi="Times New Roman" w:cs="Times New Roman"/>
        </w:rPr>
      </w:pPr>
      <w:r w:rsidRPr="003126ED">
        <w:rPr>
          <w:rFonts w:ascii="Times New Roman" w:hAnsi="Times New Roman" w:cs="Times New Roman"/>
        </w:rPr>
        <w:t>Thank you for requesting my guidance on the proposed redundancy exercise at Sunny Side Hotel, following the recent downturn in overnight stays and conference bookings.</w:t>
      </w:r>
    </w:p>
    <w:p w14:paraId="4B6639FD" w14:textId="77777777" w:rsidR="00A4362A" w:rsidRPr="003126ED" w:rsidRDefault="00A4362A" w:rsidP="00FF540D">
      <w:pPr>
        <w:spacing w:line="600" w:lineRule="auto"/>
        <w:jc w:val="both"/>
        <w:rPr>
          <w:rFonts w:ascii="Times New Roman" w:hAnsi="Times New Roman" w:cs="Times New Roman"/>
        </w:rPr>
      </w:pPr>
      <w:r w:rsidRPr="003126ED">
        <w:rPr>
          <w:rFonts w:ascii="Times New Roman" w:hAnsi="Times New Roman" w:cs="Times New Roman"/>
        </w:rPr>
        <w:t>As your HR Advisor, I have reviewed the current situation in light of relevant employment legislation and good practice. This report outlines the lawful redundancy process, identifies procedural concerns with the proposed timeline, quantifies redundancy and notice pay liabilities, considers redeployment into restaurant roles, and highlights legal and operational risks. I conclude with a firm recommendation to ensure full legal compliance and business continuity.</w:t>
      </w:r>
    </w:p>
    <w:p w14:paraId="3ACF8DCC" w14:textId="049477E7" w:rsidR="00A4362A" w:rsidRPr="00FF540D" w:rsidRDefault="00A4362A" w:rsidP="00157481">
      <w:pPr>
        <w:pStyle w:val="Heading3"/>
        <w:spacing w:line="600" w:lineRule="auto"/>
        <w:rPr>
          <w:rFonts w:ascii="Times New Roman" w:hAnsi="Times New Roman" w:cs="Times New Roman"/>
          <w:color w:val="auto"/>
          <w:sz w:val="24"/>
          <w:szCs w:val="24"/>
        </w:rPr>
      </w:pPr>
      <w:bookmarkStart w:id="9" w:name="_Toc198558247"/>
      <w:r w:rsidRPr="00FF540D">
        <w:rPr>
          <w:rFonts w:ascii="Times New Roman" w:hAnsi="Times New Roman" w:cs="Times New Roman"/>
          <w:color w:val="auto"/>
          <w:sz w:val="24"/>
          <w:szCs w:val="24"/>
        </w:rPr>
        <w:t>2</w:t>
      </w:r>
      <w:r w:rsidR="00157481" w:rsidRPr="00FF540D">
        <w:rPr>
          <w:rFonts w:ascii="Times New Roman" w:hAnsi="Times New Roman" w:cs="Times New Roman"/>
          <w:color w:val="auto"/>
          <w:sz w:val="24"/>
          <w:szCs w:val="24"/>
        </w:rPr>
        <w:t>.1</w:t>
      </w:r>
      <w:r w:rsidRPr="00FF540D">
        <w:rPr>
          <w:rFonts w:ascii="Times New Roman" w:hAnsi="Times New Roman" w:cs="Times New Roman"/>
          <w:color w:val="auto"/>
          <w:sz w:val="24"/>
          <w:szCs w:val="24"/>
        </w:rPr>
        <w:t xml:space="preserve"> Redundancy Procedure and Legal Framework</w:t>
      </w:r>
      <w:bookmarkEnd w:id="9"/>
    </w:p>
    <w:p w14:paraId="477FA732"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Redundancy is a potentially fair reason for dismissal under Section 98(2)(c) of the Employment Rights Act 1996 (ERA 1996), where the employer’s need for work of a particular kind has ceased or diminished. Section 139 ERA 1996 further defines the circumstances constituting redundancy.</w:t>
      </w:r>
    </w:p>
    <w:p w14:paraId="073E0C13"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 xml:space="preserve">To be legally fair, the redundancy process must include the following steps (see </w:t>
      </w:r>
      <w:r w:rsidRPr="003126ED">
        <w:rPr>
          <w:rFonts w:ascii="Times New Roman" w:hAnsi="Times New Roman" w:cs="Times New Roman"/>
          <w:i/>
          <w:iCs/>
        </w:rPr>
        <w:t>Polkey v AE Dayton Services Ltd [1987]</w:t>
      </w:r>
      <w:r w:rsidRPr="003126ED">
        <w:rPr>
          <w:rFonts w:ascii="Times New Roman" w:hAnsi="Times New Roman" w:cs="Times New Roman"/>
        </w:rPr>
        <w:t xml:space="preserve"> and </w:t>
      </w:r>
      <w:r w:rsidRPr="003126ED">
        <w:rPr>
          <w:rFonts w:ascii="Times New Roman" w:hAnsi="Times New Roman" w:cs="Times New Roman"/>
          <w:i/>
          <w:iCs/>
        </w:rPr>
        <w:t>Williams v Compair Maxam Ltd [1982]</w:t>
      </w:r>
      <w:r w:rsidRPr="003126ED">
        <w:rPr>
          <w:rFonts w:ascii="Times New Roman" w:hAnsi="Times New Roman" w:cs="Times New Roman"/>
        </w:rPr>
        <w:t>):</w:t>
      </w:r>
    </w:p>
    <w:p w14:paraId="7261DF62" w14:textId="77777777" w:rsidR="00A4362A" w:rsidRPr="003126ED" w:rsidRDefault="00A4362A" w:rsidP="00157481">
      <w:pPr>
        <w:numPr>
          <w:ilvl w:val="0"/>
          <w:numId w:val="2"/>
        </w:numPr>
        <w:spacing w:line="600" w:lineRule="auto"/>
        <w:rPr>
          <w:rFonts w:ascii="Times New Roman" w:hAnsi="Times New Roman" w:cs="Times New Roman"/>
        </w:rPr>
      </w:pPr>
      <w:r w:rsidRPr="003126ED">
        <w:rPr>
          <w:rFonts w:ascii="Times New Roman" w:hAnsi="Times New Roman" w:cs="Times New Roman"/>
        </w:rPr>
        <w:t>A genuine redundancy situation</w:t>
      </w:r>
    </w:p>
    <w:p w14:paraId="2FC3B26E" w14:textId="77777777" w:rsidR="00A4362A" w:rsidRPr="003126ED" w:rsidRDefault="00A4362A" w:rsidP="00157481">
      <w:pPr>
        <w:numPr>
          <w:ilvl w:val="0"/>
          <w:numId w:val="2"/>
        </w:numPr>
        <w:spacing w:line="600" w:lineRule="auto"/>
        <w:rPr>
          <w:rFonts w:ascii="Times New Roman" w:hAnsi="Times New Roman" w:cs="Times New Roman"/>
        </w:rPr>
      </w:pPr>
      <w:r w:rsidRPr="003126ED">
        <w:rPr>
          <w:rFonts w:ascii="Times New Roman" w:hAnsi="Times New Roman" w:cs="Times New Roman"/>
        </w:rPr>
        <w:t>Identification of a fair selection pool</w:t>
      </w:r>
    </w:p>
    <w:p w14:paraId="01A0FB4F" w14:textId="77777777" w:rsidR="00A4362A" w:rsidRPr="003126ED" w:rsidRDefault="00A4362A" w:rsidP="00157481">
      <w:pPr>
        <w:numPr>
          <w:ilvl w:val="0"/>
          <w:numId w:val="2"/>
        </w:numPr>
        <w:spacing w:line="600" w:lineRule="auto"/>
        <w:rPr>
          <w:rFonts w:ascii="Times New Roman" w:hAnsi="Times New Roman" w:cs="Times New Roman"/>
        </w:rPr>
      </w:pPr>
      <w:r w:rsidRPr="003126ED">
        <w:rPr>
          <w:rFonts w:ascii="Times New Roman" w:hAnsi="Times New Roman" w:cs="Times New Roman"/>
        </w:rPr>
        <w:t>Application of objective selection criteria</w:t>
      </w:r>
    </w:p>
    <w:p w14:paraId="17D5B4E8" w14:textId="77777777" w:rsidR="00A4362A" w:rsidRPr="003126ED" w:rsidRDefault="00A4362A" w:rsidP="00157481">
      <w:pPr>
        <w:numPr>
          <w:ilvl w:val="0"/>
          <w:numId w:val="2"/>
        </w:numPr>
        <w:spacing w:line="600" w:lineRule="auto"/>
        <w:rPr>
          <w:rFonts w:ascii="Times New Roman" w:hAnsi="Times New Roman" w:cs="Times New Roman"/>
        </w:rPr>
      </w:pPr>
      <w:r w:rsidRPr="003126ED">
        <w:rPr>
          <w:rFonts w:ascii="Times New Roman" w:hAnsi="Times New Roman" w:cs="Times New Roman"/>
        </w:rPr>
        <w:t>Meaningful individual consultation</w:t>
      </w:r>
    </w:p>
    <w:p w14:paraId="7C89EC64" w14:textId="77777777" w:rsidR="00A4362A" w:rsidRPr="003126ED" w:rsidRDefault="00A4362A" w:rsidP="00157481">
      <w:pPr>
        <w:numPr>
          <w:ilvl w:val="0"/>
          <w:numId w:val="2"/>
        </w:numPr>
        <w:spacing w:line="600" w:lineRule="auto"/>
        <w:rPr>
          <w:rFonts w:ascii="Times New Roman" w:hAnsi="Times New Roman" w:cs="Times New Roman"/>
        </w:rPr>
      </w:pPr>
      <w:r w:rsidRPr="003126ED">
        <w:rPr>
          <w:rFonts w:ascii="Times New Roman" w:hAnsi="Times New Roman" w:cs="Times New Roman"/>
        </w:rPr>
        <w:t>Consideration of suitable alternative employment</w:t>
      </w:r>
    </w:p>
    <w:p w14:paraId="523EA1F0" w14:textId="77777777" w:rsidR="00A4362A" w:rsidRPr="003126ED" w:rsidRDefault="00A4362A" w:rsidP="00157481">
      <w:pPr>
        <w:numPr>
          <w:ilvl w:val="0"/>
          <w:numId w:val="2"/>
        </w:numPr>
        <w:spacing w:line="600" w:lineRule="auto"/>
        <w:rPr>
          <w:rFonts w:ascii="Times New Roman" w:hAnsi="Times New Roman" w:cs="Times New Roman"/>
        </w:rPr>
      </w:pPr>
      <w:r w:rsidRPr="003126ED">
        <w:rPr>
          <w:rFonts w:ascii="Times New Roman" w:hAnsi="Times New Roman" w:cs="Times New Roman"/>
        </w:rPr>
        <w:t>The right of appeal</w:t>
      </w:r>
    </w:p>
    <w:p w14:paraId="47D7621B"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Where 20 or more employees are to be made redundant within 90 days, collective consultation obligations under Section 188 of the Trade Union and Labour Relations (Consolidation) Act 1992 (TULRCA) would arise. While this threshold is not met here, individual consultation remains mandatory.</w:t>
      </w:r>
    </w:p>
    <w:p w14:paraId="7E6BD610" w14:textId="25E66DAE" w:rsidR="00A4362A" w:rsidRPr="00C02E52" w:rsidRDefault="0029635B" w:rsidP="00157481">
      <w:pPr>
        <w:pStyle w:val="Heading3"/>
        <w:spacing w:line="600" w:lineRule="auto"/>
        <w:rPr>
          <w:rFonts w:ascii="Times New Roman" w:hAnsi="Times New Roman" w:cs="Times New Roman"/>
          <w:color w:val="auto"/>
          <w:sz w:val="24"/>
          <w:szCs w:val="24"/>
        </w:rPr>
      </w:pPr>
      <w:bookmarkStart w:id="10" w:name="_Toc198558248"/>
      <w:r w:rsidRPr="00C02E52">
        <w:rPr>
          <w:rFonts w:ascii="Times New Roman" w:hAnsi="Times New Roman" w:cs="Times New Roman"/>
          <w:color w:val="auto"/>
          <w:sz w:val="24"/>
          <w:szCs w:val="24"/>
        </w:rPr>
        <w:t>2.</w:t>
      </w:r>
      <w:r w:rsidR="00A4362A" w:rsidRPr="00C02E52">
        <w:rPr>
          <w:rFonts w:ascii="Times New Roman" w:hAnsi="Times New Roman" w:cs="Times New Roman"/>
          <w:color w:val="auto"/>
          <w:sz w:val="24"/>
          <w:szCs w:val="24"/>
        </w:rPr>
        <w:t>3 Concerns with the Board's Suggested Approach</w:t>
      </w:r>
      <w:bookmarkEnd w:id="10"/>
    </w:p>
    <w:p w14:paraId="0A003015"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The Board’s proposal to complete the redundancy process within two weeks presents serious legal risks:</w:t>
      </w:r>
    </w:p>
    <w:p w14:paraId="44414A4E" w14:textId="77777777" w:rsidR="00A4362A" w:rsidRPr="003126ED" w:rsidRDefault="00A4362A" w:rsidP="00C02E52">
      <w:pPr>
        <w:numPr>
          <w:ilvl w:val="0"/>
          <w:numId w:val="3"/>
        </w:numPr>
        <w:spacing w:line="600" w:lineRule="auto"/>
        <w:jc w:val="both"/>
        <w:rPr>
          <w:rFonts w:ascii="Times New Roman" w:hAnsi="Times New Roman" w:cs="Times New Roman"/>
        </w:rPr>
      </w:pPr>
      <w:r w:rsidRPr="003126ED">
        <w:rPr>
          <w:rFonts w:ascii="Times New Roman" w:hAnsi="Times New Roman" w:cs="Times New Roman"/>
        </w:rPr>
        <w:t>Insufficient consultation time could invalidate the fairness of the process, as consultation must be genuine and not predetermined (</w:t>
      </w:r>
      <w:r w:rsidRPr="003126ED">
        <w:rPr>
          <w:rFonts w:ascii="Times New Roman" w:hAnsi="Times New Roman" w:cs="Times New Roman"/>
          <w:i/>
          <w:iCs/>
        </w:rPr>
        <w:t>Compair Maxam</w:t>
      </w:r>
      <w:r w:rsidRPr="003126ED">
        <w:rPr>
          <w:rFonts w:ascii="Times New Roman" w:hAnsi="Times New Roman" w:cs="Times New Roman"/>
        </w:rPr>
        <w:t>).</w:t>
      </w:r>
    </w:p>
    <w:p w14:paraId="17CC606A" w14:textId="77777777" w:rsidR="00A4362A" w:rsidRPr="003126ED" w:rsidRDefault="00A4362A" w:rsidP="00C02E52">
      <w:pPr>
        <w:numPr>
          <w:ilvl w:val="0"/>
          <w:numId w:val="3"/>
        </w:numPr>
        <w:spacing w:line="600" w:lineRule="auto"/>
        <w:jc w:val="both"/>
        <w:rPr>
          <w:rFonts w:ascii="Times New Roman" w:hAnsi="Times New Roman" w:cs="Times New Roman"/>
        </w:rPr>
      </w:pPr>
      <w:r w:rsidRPr="003126ED">
        <w:rPr>
          <w:rFonts w:ascii="Times New Roman" w:hAnsi="Times New Roman" w:cs="Times New Roman"/>
        </w:rPr>
        <w:t>Pre-selection of individuals undermines fairness and opens the business to claims of unfair dismissal and discrimination. A selection pool based solely on named individuals is risky unless their roles are unique or the entire department is closing.</w:t>
      </w:r>
    </w:p>
    <w:p w14:paraId="169B8054" w14:textId="77777777" w:rsidR="00A4362A" w:rsidRPr="003126ED" w:rsidRDefault="00A4362A" w:rsidP="00C02E52">
      <w:pPr>
        <w:numPr>
          <w:ilvl w:val="0"/>
          <w:numId w:val="3"/>
        </w:numPr>
        <w:spacing w:line="600" w:lineRule="auto"/>
        <w:jc w:val="both"/>
        <w:rPr>
          <w:rFonts w:ascii="Times New Roman" w:hAnsi="Times New Roman" w:cs="Times New Roman"/>
        </w:rPr>
      </w:pPr>
      <w:r w:rsidRPr="003126ED">
        <w:rPr>
          <w:rFonts w:ascii="Times New Roman" w:hAnsi="Times New Roman" w:cs="Times New Roman"/>
        </w:rPr>
        <w:t>The failure to assess redeployment opportunities could result in unlawful dismissal and loss of statutory redundancy pay entitlements for affected employees (ERA 1996, s.141).</w:t>
      </w:r>
    </w:p>
    <w:p w14:paraId="40F850A5" w14:textId="71301E08" w:rsidR="00A4362A" w:rsidRPr="00C02E52" w:rsidRDefault="0029635B" w:rsidP="00157481">
      <w:pPr>
        <w:pStyle w:val="Heading3"/>
        <w:spacing w:line="600" w:lineRule="auto"/>
        <w:rPr>
          <w:rFonts w:ascii="Times New Roman" w:hAnsi="Times New Roman" w:cs="Times New Roman"/>
          <w:color w:val="auto"/>
          <w:sz w:val="24"/>
          <w:szCs w:val="24"/>
        </w:rPr>
      </w:pPr>
      <w:bookmarkStart w:id="11" w:name="_Toc198558249"/>
      <w:r w:rsidRPr="00C02E52">
        <w:rPr>
          <w:rFonts w:ascii="Times New Roman" w:hAnsi="Times New Roman" w:cs="Times New Roman"/>
          <w:color w:val="auto"/>
          <w:sz w:val="24"/>
          <w:szCs w:val="24"/>
        </w:rPr>
        <w:t>2.</w:t>
      </w:r>
      <w:r w:rsidR="00A4362A" w:rsidRPr="00C02E52">
        <w:rPr>
          <w:rFonts w:ascii="Times New Roman" w:hAnsi="Times New Roman" w:cs="Times New Roman"/>
          <w:color w:val="auto"/>
          <w:sz w:val="24"/>
          <w:szCs w:val="24"/>
        </w:rPr>
        <w:t>4 Selection Process and Equality Considerations</w:t>
      </w:r>
      <w:bookmarkEnd w:id="11"/>
    </w:p>
    <w:p w14:paraId="113AA582"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A transparent and objective selection process is critical. Objective criteria such as performance, attendance, skills, and disciplinary record should be agreed upon and fairly scored across all staff within the selection pool. Subjective assessments or outdated appraisals increase the risk of bias or discrimination (</w:t>
      </w:r>
      <w:r w:rsidRPr="003126ED">
        <w:rPr>
          <w:rFonts w:ascii="Times New Roman" w:hAnsi="Times New Roman" w:cs="Times New Roman"/>
          <w:i/>
          <w:iCs/>
        </w:rPr>
        <w:t>Mugford v Midland Bank [1997]</w:t>
      </w:r>
      <w:r w:rsidRPr="003126ED">
        <w:rPr>
          <w:rFonts w:ascii="Times New Roman" w:hAnsi="Times New Roman" w:cs="Times New Roman"/>
        </w:rPr>
        <w:t>).</w:t>
      </w:r>
    </w:p>
    <w:p w14:paraId="11EC1E5B" w14:textId="77777777" w:rsidR="00A4362A" w:rsidRPr="00C02E52" w:rsidRDefault="00A4362A" w:rsidP="00C02E52">
      <w:pPr>
        <w:spacing w:line="600" w:lineRule="auto"/>
        <w:jc w:val="both"/>
        <w:rPr>
          <w:rFonts w:ascii="Times New Roman" w:hAnsi="Times New Roman" w:cs="Times New Roman"/>
        </w:rPr>
      </w:pPr>
      <w:r w:rsidRPr="00C02E52">
        <w:rPr>
          <w:rFonts w:ascii="Times New Roman" w:hAnsi="Times New Roman" w:cs="Times New Roman"/>
        </w:rPr>
        <w:t>An Equality Impact Assessment (EIA) should be conducted to ensure that protected groups are not disproportionately affected, in accordance with the Equality Act 2010. For example, selecting an employee for redundancy based on age or pregnancy status would constitute direct discrimination or automatic unfair dismissal (</w:t>
      </w:r>
      <w:r w:rsidRPr="00C02E52">
        <w:rPr>
          <w:rFonts w:ascii="Times New Roman" w:hAnsi="Times New Roman" w:cs="Times New Roman"/>
          <w:i/>
          <w:iCs/>
        </w:rPr>
        <w:t>Sefton Borough Council v Wainwright [2014]</w:t>
      </w:r>
      <w:r w:rsidRPr="00C02E52">
        <w:rPr>
          <w:rFonts w:ascii="Times New Roman" w:hAnsi="Times New Roman" w:cs="Times New Roman"/>
        </w:rPr>
        <w:t>).</w:t>
      </w:r>
    </w:p>
    <w:p w14:paraId="2A555064" w14:textId="769CAD33" w:rsidR="00A4362A" w:rsidRPr="003126ED" w:rsidRDefault="00A4362A" w:rsidP="00157481">
      <w:pPr>
        <w:spacing w:line="600" w:lineRule="auto"/>
        <w:rPr>
          <w:rFonts w:ascii="Times New Roman" w:hAnsi="Times New Roman" w:cs="Times New Roman"/>
        </w:rPr>
      </w:pPr>
    </w:p>
    <w:p w14:paraId="25F9E32C" w14:textId="4D15D469" w:rsidR="00A4362A" w:rsidRPr="00C02E52" w:rsidRDefault="0029635B" w:rsidP="00157481">
      <w:pPr>
        <w:pStyle w:val="Heading3"/>
        <w:spacing w:line="600" w:lineRule="auto"/>
        <w:rPr>
          <w:rFonts w:ascii="Times New Roman" w:hAnsi="Times New Roman" w:cs="Times New Roman"/>
          <w:color w:val="auto"/>
          <w:sz w:val="24"/>
          <w:szCs w:val="24"/>
        </w:rPr>
      </w:pPr>
      <w:bookmarkStart w:id="12" w:name="_Toc198558250"/>
      <w:r w:rsidRPr="00C02E52">
        <w:rPr>
          <w:rFonts w:ascii="Times New Roman" w:hAnsi="Times New Roman" w:cs="Times New Roman"/>
          <w:color w:val="auto"/>
          <w:sz w:val="24"/>
          <w:szCs w:val="24"/>
        </w:rPr>
        <w:t>2.</w:t>
      </w:r>
      <w:r w:rsidR="00A4362A" w:rsidRPr="00C02E52">
        <w:rPr>
          <w:rFonts w:ascii="Times New Roman" w:hAnsi="Times New Roman" w:cs="Times New Roman"/>
          <w:color w:val="auto"/>
          <w:sz w:val="24"/>
          <w:szCs w:val="24"/>
        </w:rPr>
        <w:t>5 Special Protection for Pregnant Employees</w:t>
      </w:r>
      <w:bookmarkEnd w:id="12"/>
    </w:p>
    <w:p w14:paraId="7E8CD676"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Lily, who has disclosed her pregnancy, benefits from enhanced protection under the Protection from Redundancy (Pregnancy and Family Leave) Act 2023. This protection applies from the point of pregnancy notification until 18 months after the expected week of childbirth.</w:t>
      </w:r>
    </w:p>
    <w:p w14:paraId="7C0C7801"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She must be given priority access to any suitable alternative employment before any redundancy takes effect. Failing to do so could lead to automatic unfair dismissal and pregnancy discrimination claims, regardless of the redundancy’s legitimacy.</w:t>
      </w:r>
    </w:p>
    <w:p w14:paraId="06B5BDFE" w14:textId="2C6D45C7" w:rsidR="00A4362A" w:rsidRPr="00C02E52" w:rsidRDefault="0029635B" w:rsidP="00157481">
      <w:pPr>
        <w:pStyle w:val="Heading3"/>
        <w:spacing w:line="600" w:lineRule="auto"/>
        <w:rPr>
          <w:rFonts w:ascii="Times New Roman" w:hAnsi="Times New Roman" w:cs="Times New Roman"/>
          <w:color w:val="auto"/>
          <w:sz w:val="24"/>
          <w:szCs w:val="24"/>
        </w:rPr>
      </w:pPr>
      <w:bookmarkStart w:id="13" w:name="_Toc198558251"/>
      <w:r w:rsidRPr="00C02E52">
        <w:rPr>
          <w:rFonts w:ascii="Times New Roman" w:hAnsi="Times New Roman" w:cs="Times New Roman"/>
          <w:color w:val="auto"/>
          <w:sz w:val="24"/>
          <w:szCs w:val="24"/>
        </w:rPr>
        <w:t>2.</w:t>
      </w:r>
      <w:r w:rsidR="00A4362A" w:rsidRPr="00C02E52">
        <w:rPr>
          <w:rFonts w:ascii="Times New Roman" w:hAnsi="Times New Roman" w:cs="Times New Roman"/>
          <w:color w:val="auto"/>
          <w:sz w:val="24"/>
          <w:szCs w:val="24"/>
        </w:rPr>
        <w:t>6 Redeployment Opportunities in the Restaurant</w:t>
      </w:r>
      <w:bookmarkEnd w:id="13"/>
    </w:p>
    <w:p w14:paraId="05467452" w14:textId="77777777" w:rsidR="00A4362A" w:rsidRPr="00C02E52" w:rsidRDefault="00A4362A" w:rsidP="00157481">
      <w:pPr>
        <w:spacing w:line="600" w:lineRule="auto"/>
        <w:rPr>
          <w:rFonts w:ascii="Times New Roman" w:hAnsi="Times New Roman" w:cs="Times New Roman"/>
        </w:rPr>
      </w:pPr>
      <w:r w:rsidRPr="00C02E52">
        <w:rPr>
          <w:rFonts w:ascii="Times New Roman" w:hAnsi="Times New Roman" w:cs="Times New Roman"/>
        </w:rPr>
        <w:t>The Board has identified that the hotel’s restaurant operations are growing, with vacancies for Food and Beverage Assistants. These roles may be suitable for one or more of the five at-risk employees.</w:t>
      </w:r>
    </w:p>
    <w:p w14:paraId="7AE9265B" w14:textId="77777777" w:rsidR="00A4362A" w:rsidRPr="00C02E52" w:rsidRDefault="00A4362A" w:rsidP="00157481">
      <w:pPr>
        <w:spacing w:line="600" w:lineRule="auto"/>
        <w:rPr>
          <w:rFonts w:ascii="Times New Roman" w:hAnsi="Times New Roman" w:cs="Times New Roman"/>
        </w:rPr>
      </w:pPr>
      <w:r w:rsidRPr="00C02E52">
        <w:rPr>
          <w:rFonts w:ascii="Times New Roman" w:hAnsi="Times New Roman" w:cs="Times New Roman"/>
        </w:rPr>
        <w:t>Under ERA 1996, s.141, the employer has a duty to consider suitable alternative roles before finalising any redundancies. It is recommended that:</w:t>
      </w:r>
    </w:p>
    <w:p w14:paraId="5D717694" w14:textId="77777777" w:rsidR="00A4362A" w:rsidRPr="003126ED" w:rsidRDefault="00A4362A" w:rsidP="00C02E52">
      <w:pPr>
        <w:numPr>
          <w:ilvl w:val="0"/>
          <w:numId w:val="4"/>
        </w:numPr>
        <w:spacing w:line="600" w:lineRule="auto"/>
        <w:jc w:val="both"/>
        <w:rPr>
          <w:rFonts w:ascii="Times New Roman" w:hAnsi="Times New Roman" w:cs="Times New Roman"/>
        </w:rPr>
      </w:pPr>
      <w:r w:rsidRPr="003126ED">
        <w:rPr>
          <w:rFonts w:ascii="Times New Roman" w:hAnsi="Times New Roman" w:cs="Times New Roman"/>
        </w:rPr>
        <w:t>Each affected employee be offered a redeployment discussion.</w:t>
      </w:r>
    </w:p>
    <w:p w14:paraId="64DEFFFA" w14:textId="77777777" w:rsidR="00A4362A" w:rsidRPr="003126ED" w:rsidRDefault="00A4362A" w:rsidP="00C02E52">
      <w:pPr>
        <w:numPr>
          <w:ilvl w:val="0"/>
          <w:numId w:val="4"/>
        </w:numPr>
        <w:spacing w:line="600" w:lineRule="auto"/>
        <w:jc w:val="both"/>
        <w:rPr>
          <w:rFonts w:ascii="Times New Roman" w:hAnsi="Times New Roman" w:cs="Times New Roman"/>
        </w:rPr>
      </w:pPr>
      <w:r w:rsidRPr="003126ED">
        <w:rPr>
          <w:rFonts w:ascii="Times New Roman" w:hAnsi="Times New Roman" w:cs="Times New Roman"/>
        </w:rPr>
        <w:t>Interest and suitability for the vacant roles be assessed fairly and promptly.</w:t>
      </w:r>
    </w:p>
    <w:p w14:paraId="5A0F0F75" w14:textId="77777777" w:rsidR="00A4362A" w:rsidRPr="003126ED" w:rsidRDefault="00A4362A" w:rsidP="00C02E52">
      <w:pPr>
        <w:numPr>
          <w:ilvl w:val="0"/>
          <w:numId w:val="4"/>
        </w:numPr>
        <w:spacing w:line="600" w:lineRule="auto"/>
        <w:jc w:val="both"/>
        <w:rPr>
          <w:rFonts w:ascii="Times New Roman" w:hAnsi="Times New Roman" w:cs="Times New Roman"/>
        </w:rPr>
      </w:pPr>
      <w:r w:rsidRPr="003126ED">
        <w:rPr>
          <w:rFonts w:ascii="Times New Roman" w:hAnsi="Times New Roman" w:cs="Times New Roman"/>
        </w:rPr>
        <w:t>If an employee expresses interest and meets the basic requirements, they should be offered the role before any dismissal is issued.</w:t>
      </w:r>
    </w:p>
    <w:p w14:paraId="0ED0DC17" w14:textId="77777777" w:rsidR="00A4362A" w:rsidRPr="003126ED" w:rsidRDefault="00A4362A" w:rsidP="00C02E52">
      <w:pPr>
        <w:numPr>
          <w:ilvl w:val="0"/>
          <w:numId w:val="4"/>
        </w:numPr>
        <w:spacing w:line="600" w:lineRule="auto"/>
        <w:jc w:val="both"/>
        <w:rPr>
          <w:rFonts w:ascii="Times New Roman" w:hAnsi="Times New Roman" w:cs="Times New Roman"/>
        </w:rPr>
      </w:pPr>
      <w:r w:rsidRPr="003126ED">
        <w:rPr>
          <w:rFonts w:ascii="Times New Roman" w:hAnsi="Times New Roman" w:cs="Times New Roman"/>
        </w:rPr>
        <w:t>In Lily’s case, she must be prioritised for any suitable role due to her protected status.</w:t>
      </w:r>
    </w:p>
    <w:p w14:paraId="7D9816FF"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Failure to explore and offer these alternatives will increase the risk of unfair dismissal claims and potential liability for lost redundancy payments.</w:t>
      </w:r>
    </w:p>
    <w:p w14:paraId="674A58A4" w14:textId="36C73586" w:rsidR="00A4362A" w:rsidRPr="00C02E52" w:rsidRDefault="0029635B" w:rsidP="00157481">
      <w:pPr>
        <w:pStyle w:val="Heading3"/>
        <w:spacing w:line="600" w:lineRule="auto"/>
        <w:rPr>
          <w:rFonts w:ascii="Times New Roman" w:hAnsi="Times New Roman" w:cs="Times New Roman"/>
          <w:color w:val="auto"/>
          <w:sz w:val="24"/>
          <w:szCs w:val="24"/>
        </w:rPr>
      </w:pPr>
      <w:bookmarkStart w:id="14" w:name="_Toc198558252"/>
      <w:r w:rsidRPr="00C02E52">
        <w:rPr>
          <w:rFonts w:ascii="Times New Roman" w:hAnsi="Times New Roman" w:cs="Times New Roman"/>
          <w:color w:val="auto"/>
          <w:sz w:val="24"/>
          <w:szCs w:val="24"/>
        </w:rPr>
        <w:t>2.</w:t>
      </w:r>
      <w:r w:rsidR="00A4362A" w:rsidRPr="00C02E52">
        <w:rPr>
          <w:rFonts w:ascii="Times New Roman" w:hAnsi="Times New Roman" w:cs="Times New Roman"/>
          <w:color w:val="auto"/>
          <w:sz w:val="24"/>
          <w:szCs w:val="24"/>
        </w:rPr>
        <w:t>7 Statutory Redundancy and Notice Pay (Effective March 2025)</w:t>
      </w:r>
      <w:bookmarkEnd w:id="14"/>
    </w:p>
    <w:p w14:paraId="2A377AA0" w14:textId="77777777" w:rsidR="00A4362A" w:rsidRPr="003126ED" w:rsidRDefault="00A4362A" w:rsidP="00C02E52">
      <w:pPr>
        <w:spacing w:line="600" w:lineRule="auto"/>
        <w:jc w:val="both"/>
        <w:rPr>
          <w:rFonts w:ascii="Times New Roman" w:hAnsi="Times New Roman" w:cs="Times New Roman"/>
        </w:rPr>
      </w:pPr>
      <w:r w:rsidRPr="003126ED">
        <w:rPr>
          <w:rFonts w:ascii="Times New Roman" w:hAnsi="Times New Roman" w:cs="Times New Roman"/>
        </w:rPr>
        <w:t>Redundancy pay is calculated under ERA 1996, s.162 as follows:</w:t>
      </w:r>
    </w:p>
    <w:p w14:paraId="2D6806F2" w14:textId="77777777" w:rsidR="00A4362A" w:rsidRPr="003126ED" w:rsidRDefault="00A4362A" w:rsidP="00C02E52">
      <w:pPr>
        <w:numPr>
          <w:ilvl w:val="0"/>
          <w:numId w:val="5"/>
        </w:numPr>
        <w:spacing w:line="600" w:lineRule="auto"/>
        <w:jc w:val="both"/>
        <w:rPr>
          <w:rFonts w:ascii="Times New Roman" w:hAnsi="Times New Roman" w:cs="Times New Roman"/>
        </w:rPr>
      </w:pPr>
      <w:r w:rsidRPr="003126ED">
        <w:rPr>
          <w:rFonts w:ascii="Times New Roman" w:hAnsi="Times New Roman" w:cs="Times New Roman"/>
        </w:rPr>
        <w:t>0.5 week’s pay per full year under age 22</w:t>
      </w:r>
    </w:p>
    <w:p w14:paraId="0ADF3BF2" w14:textId="77777777" w:rsidR="00A4362A" w:rsidRPr="003126ED" w:rsidRDefault="00A4362A" w:rsidP="00C02E52">
      <w:pPr>
        <w:numPr>
          <w:ilvl w:val="0"/>
          <w:numId w:val="5"/>
        </w:numPr>
        <w:spacing w:line="600" w:lineRule="auto"/>
        <w:jc w:val="both"/>
        <w:rPr>
          <w:rFonts w:ascii="Times New Roman" w:hAnsi="Times New Roman" w:cs="Times New Roman"/>
        </w:rPr>
      </w:pPr>
      <w:r w:rsidRPr="003126ED">
        <w:rPr>
          <w:rFonts w:ascii="Times New Roman" w:hAnsi="Times New Roman" w:cs="Times New Roman"/>
        </w:rPr>
        <w:t>1 week’s pay per full year aged 22–40</w:t>
      </w:r>
    </w:p>
    <w:p w14:paraId="310B7813" w14:textId="77777777" w:rsidR="00A4362A" w:rsidRPr="003126ED" w:rsidRDefault="00A4362A" w:rsidP="00C02E52">
      <w:pPr>
        <w:numPr>
          <w:ilvl w:val="0"/>
          <w:numId w:val="5"/>
        </w:numPr>
        <w:spacing w:line="600" w:lineRule="auto"/>
        <w:jc w:val="both"/>
        <w:rPr>
          <w:rFonts w:ascii="Times New Roman" w:hAnsi="Times New Roman" w:cs="Times New Roman"/>
        </w:rPr>
      </w:pPr>
      <w:r w:rsidRPr="003126ED">
        <w:rPr>
          <w:rFonts w:ascii="Times New Roman" w:hAnsi="Times New Roman" w:cs="Times New Roman"/>
        </w:rPr>
        <w:t>1.5 weeks’ pay per full year aged 41+</w:t>
      </w:r>
    </w:p>
    <w:p w14:paraId="200A3D7B" w14:textId="77777777" w:rsidR="00A4362A" w:rsidRPr="003126ED" w:rsidRDefault="00A4362A" w:rsidP="00C02E52">
      <w:pPr>
        <w:numPr>
          <w:ilvl w:val="0"/>
          <w:numId w:val="5"/>
        </w:numPr>
        <w:spacing w:line="600" w:lineRule="auto"/>
        <w:jc w:val="both"/>
        <w:rPr>
          <w:rFonts w:ascii="Times New Roman" w:hAnsi="Times New Roman" w:cs="Times New Roman"/>
        </w:rPr>
      </w:pPr>
      <w:r w:rsidRPr="003126ED">
        <w:rPr>
          <w:rFonts w:ascii="Times New Roman" w:hAnsi="Times New Roman" w:cs="Times New Roman"/>
        </w:rPr>
        <w:t>Maximum of 20 years’ service</w:t>
      </w:r>
    </w:p>
    <w:p w14:paraId="43E56396" w14:textId="77777777" w:rsidR="00A4362A" w:rsidRPr="003126ED" w:rsidRDefault="00A4362A" w:rsidP="00C02E52">
      <w:pPr>
        <w:numPr>
          <w:ilvl w:val="0"/>
          <w:numId w:val="5"/>
        </w:numPr>
        <w:spacing w:line="600" w:lineRule="auto"/>
        <w:jc w:val="both"/>
        <w:rPr>
          <w:rFonts w:ascii="Times New Roman" w:hAnsi="Times New Roman" w:cs="Times New Roman"/>
        </w:rPr>
      </w:pPr>
      <w:r w:rsidRPr="003126ED">
        <w:rPr>
          <w:rFonts w:ascii="Times New Roman" w:hAnsi="Times New Roman" w:cs="Times New Roman"/>
        </w:rPr>
        <w:t xml:space="preserve">Weekly pay capped at </w:t>
      </w:r>
      <w:r w:rsidRPr="003126ED">
        <w:rPr>
          <w:rFonts w:ascii="Times New Roman" w:hAnsi="Times New Roman" w:cs="Times New Roman"/>
          <w:b/>
          <w:bCs/>
        </w:rPr>
        <w:t>£700 (March 2025 cap)</w:t>
      </w:r>
    </w:p>
    <w:p w14:paraId="522A4B68"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Notice pay</w:t>
      </w:r>
      <w:r w:rsidRPr="003126ED">
        <w:rPr>
          <w:rFonts w:ascii="Times New Roman" w:hAnsi="Times New Roman" w:cs="Times New Roman"/>
        </w:rPr>
        <w:t xml:space="preserve"> under </w:t>
      </w:r>
      <w:r w:rsidRPr="003126ED">
        <w:rPr>
          <w:rFonts w:ascii="Times New Roman" w:hAnsi="Times New Roman" w:cs="Times New Roman"/>
          <w:b/>
          <w:bCs/>
        </w:rPr>
        <w:t>s.86 ERA 1996</w:t>
      </w:r>
      <w:r w:rsidRPr="003126ED">
        <w:rPr>
          <w:rFonts w:ascii="Times New Roman" w:hAnsi="Times New Roman" w:cs="Times New Roman"/>
        </w:rPr>
        <w:t>:</w:t>
      </w:r>
    </w:p>
    <w:p w14:paraId="3B9BAD6C" w14:textId="77777777" w:rsidR="00A4362A" w:rsidRPr="003126ED" w:rsidRDefault="00A4362A" w:rsidP="00157481">
      <w:pPr>
        <w:numPr>
          <w:ilvl w:val="0"/>
          <w:numId w:val="6"/>
        </w:numPr>
        <w:spacing w:line="600" w:lineRule="auto"/>
        <w:rPr>
          <w:rFonts w:ascii="Times New Roman" w:hAnsi="Times New Roman" w:cs="Times New Roman"/>
        </w:rPr>
      </w:pPr>
      <w:r w:rsidRPr="003126ED">
        <w:rPr>
          <w:rFonts w:ascii="Times New Roman" w:hAnsi="Times New Roman" w:cs="Times New Roman"/>
        </w:rPr>
        <w:t>1 week for 1–2 years’ service</w:t>
      </w:r>
    </w:p>
    <w:p w14:paraId="5E58DD80" w14:textId="77777777" w:rsidR="00A4362A" w:rsidRPr="003126ED" w:rsidRDefault="00A4362A" w:rsidP="00157481">
      <w:pPr>
        <w:numPr>
          <w:ilvl w:val="0"/>
          <w:numId w:val="6"/>
        </w:numPr>
        <w:spacing w:line="600" w:lineRule="auto"/>
        <w:rPr>
          <w:rFonts w:ascii="Times New Roman" w:hAnsi="Times New Roman" w:cs="Times New Roman"/>
        </w:rPr>
      </w:pPr>
      <w:r w:rsidRPr="003126ED">
        <w:rPr>
          <w:rFonts w:ascii="Times New Roman" w:hAnsi="Times New Roman" w:cs="Times New Roman"/>
        </w:rPr>
        <w:t>1 week per full year of service (up to 12 weeks)</w:t>
      </w:r>
    </w:p>
    <w:p w14:paraId="12366C77" w14:textId="77777777" w:rsidR="00A4362A" w:rsidRPr="003126ED" w:rsidRDefault="00A4362A" w:rsidP="00157481">
      <w:pPr>
        <w:numPr>
          <w:ilvl w:val="0"/>
          <w:numId w:val="6"/>
        </w:numPr>
        <w:spacing w:line="600" w:lineRule="auto"/>
        <w:rPr>
          <w:rFonts w:ascii="Times New Roman" w:hAnsi="Times New Roman" w:cs="Times New Roman"/>
        </w:rPr>
      </w:pPr>
      <w:r w:rsidRPr="003126ED">
        <w:rPr>
          <w:rFonts w:ascii="Times New Roman" w:hAnsi="Times New Roman" w:cs="Times New Roman"/>
        </w:rPr>
        <w:t>May be worked or paid in lieu (PILON)</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2"/>
        <w:gridCol w:w="480"/>
        <w:gridCol w:w="1027"/>
        <w:gridCol w:w="1698"/>
        <w:gridCol w:w="977"/>
        <w:gridCol w:w="2426"/>
        <w:gridCol w:w="1226"/>
      </w:tblGrid>
      <w:tr w:rsidR="00A4362A" w:rsidRPr="003126ED" w14:paraId="7A7146F3" w14:textId="77777777">
        <w:trPr>
          <w:tblHeader/>
          <w:tblCellSpacing w:w="15" w:type="dxa"/>
        </w:trPr>
        <w:tc>
          <w:tcPr>
            <w:tcW w:w="0" w:type="auto"/>
            <w:vAlign w:val="center"/>
            <w:hideMark/>
          </w:tcPr>
          <w:p w14:paraId="4CEBD976"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Employee</w:t>
            </w:r>
          </w:p>
        </w:tc>
        <w:tc>
          <w:tcPr>
            <w:tcW w:w="0" w:type="auto"/>
            <w:vAlign w:val="center"/>
            <w:hideMark/>
          </w:tcPr>
          <w:p w14:paraId="0F02619B"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Age</w:t>
            </w:r>
          </w:p>
        </w:tc>
        <w:tc>
          <w:tcPr>
            <w:tcW w:w="0" w:type="auto"/>
            <w:vAlign w:val="center"/>
            <w:hideMark/>
          </w:tcPr>
          <w:p w14:paraId="696733B3"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Years’ Service</w:t>
            </w:r>
          </w:p>
        </w:tc>
        <w:tc>
          <w:tcPr>
            <w:tcW w:w="0" w:type="auto"/>
            <w:vAlign w:val="center"/>
            <w:hideMark/>
          </w:tcPr>
          <w:p w14:paraId="3737434D"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Role</w:t>
            </w:r>
          </w:p>
        </w:tc>
        <w:tc>
          <w:tcPr>
            <w:tcW w:w="0" w:type="auto"/>
            <w:vAlign w:val="center"/>
            <w:hideMark/>
          </w:tcPr>
          <w:p w14:paraId="5E1DC2AD"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Salary</w:t>
            </w:r>
          </w:p>
        </w:tc>
        <w:tc>
          <w:tcPr>
            <w:tcW w:w="0" w:type="auto"/>
            <w:vAlign w:val="center"/>
            <w:hideMark/>
          </w:tcPr>
          <w:p w14:paraId="36C261A8"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Redundancy Pay</w:t>
            </w:r>
          </w:p>
        </w:tc>
        <w:tc>
          <w:tcPr>
            <w:tcW w:w="0" w:type="auto"/>
            <w:vAlign w:val="center"/>
            <w:hideMark/>
          </w:tcPr>
          <w:p w14:paraId="5A2938B4" w14:textId="77777777" w:rsidR="00A4362A" w:rsidRPr="003126ED" w:rsidRDefault="00A4362A" w:rsidP="00157481">
            <w:pPr>
              <w:spacing w:line="600" w:lineRule="auto"/>
              <w:rPr>
                <w:rFonts w:ascii="Times New Roman" w:hAnsi="Times New Roman" w:cs="Times New Roman"/>
                <w:b/>
                <w:bCs/>
              </w:rPr>
            </w:pPr>
            <w:r w:rsidRPr="003126ED">
              <w:rPr>
                <w:rFonts w:ascii="Times New Roman" w:hAnsi="Times New Roman" w:cs="Times New Roman"/>
                <w:b/>
                <w:bCs/>
              </w:rPr>
              <w:t>Notice Pay</w:t>
            </w:r>
          </w:p>
        </w:tc>
      </w:tr>
      <w:tr w:rsidR="00A4362A" w:rsidRPr="003126ED" w14:paraId="4E77DDE0" w14:textId="77777777">
        <w:trPr>
          <w:tblCellSpacing w:w="15" w:type="dxa"/>
        </w:trPr>
        <w:tc>
          <w:tcPr>
            <w:tcW w:w="0" w:type="auto"/>
            <w:vAlign w:val="center"/>
            <w:hideMark/>
          </w:tcPr>
          <w:p w14:paraId="66BBD841"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Graham</w:t>
            </w:r>
          </w:p>
        </w:tc>
        <w:tc>
          <w:tcPr>
            <w:tcW w:w="0" w:type="auto"/>
            <w:vAlign w:val="center"/>
            <w:hideMark/>
          </w:tcPr>
          <w:p w14:paraId="4F6418BE"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59</w:t>
            </w:r>
          </w:p>
        </w:tc>
        <w:tc>
          <w:tcPr>
            <w:tcW w:w="0" w:type="auto"/>
            <w:vAlign w:val="center"/>
            <w:hideMark/>
          </w:tcPr>
          <w:p w14:paraId="4E1616C7"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6</w:t>
            </w:r>
          </w:p>
        </w:tc>
        <w:tc>
          <w:tcPr>
            <w:tcW w:w="0" w:type="auto"/>
            <w:vAlign w:val="center"/>
            <w:hideMark/>
          </w:tcPr>
          <w:p w14:paraId="40749D65"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Front of House Supervisor</w:t>
            </w:r>
          </w:p>
        </w:tc>
        <w:tc>
          <w:tcPr>
            <w:tcW w:w="0" w:type="auto"/>
            <w:vAlign w:val="center"/>
            <w:hideMark/>
          </w:tcPr>
          <w:p w14:paraId="54C70202"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£25,500 p.a.</w:t>
            </w:r>
          </w:p>
        </w:tc>
        <w:tc>
          <w:tcPr>
            <w:tcW w:w="0" w:type="auto"/>
            <w:vAlign w:val="center"/>
            <w:hideMark/>
          </w:tcPr>
          <w:p w14:paraId="71A4EA27"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6 years × 1.5 = 9 weeks × £700 = £6,300</w:t>
            </w:r>
          </w:p>
        </w:tc>
        <w:tc>
          <w:tcPr>
            <w:tcW w:w="0" w:type="auto"/>
            <w:vAlign w:val="center"/>
            <w:hideMark/>
          </w:tcPr>
          <w:p w14:paraId="5EB7DBCB"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6 weeks or PILON</w:t>
            </w:r>
          </w:p>
        </w:tc>
      </w:tr>
      <w:tr w:rsidR="00A4362A" w:rsidRPr="003126ED" w14:paraId="41EB55B1" w14:textId="77777777">
        <w:trPr>
          <w:tblCellSpacing w:w="15" w:type="dxa"/>
        </w:trPr>
        <w:tc>
          <w:tcPr>
            <w:tcW w:w="0" w:type="auto"/>
            <w:vAlign w:val="center"/>
            <w:hideMark/>
          </w:tcPr>
          <w:p w14:paraId="6787C020"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Poppy</w:t>
            </w:r>
          </w:p>
        </w:tc>
        <w:tc>
          <w:tcPr>
            <w:tcW w:w="0" w:type="auto"/>
            <w:vAlign w:val="center"/>
            <w:hideMark/>
          </w:tcPr>
          <w:p w14:paraId="5DE27F17"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17</w:t>
            </w:r>
          </w:p>
        </w:tc>
        <w:tc>
          <w:tcPr>
            <w:tcW w:w="0" w:type="auto"/>
            <w:vAlign w:val="center"/>
            <w:hideMark/>
          </w:tcPr>
          <w:p w14:paraId="55326BAC"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w:t>
            </w:r>
          </w:p>
        </w:tc>
        <w:tc>
          <w:tcPr>
            <w:tcW w:w="0" w:type="auto"/>
            <w:vAlign w:val="center"/>
            <w:hideMark/>
          </w:tcPr>
          <w:p w14:paraId="0A5988EB"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Conference Assistant</w:t>
            </w:r>
          </w:p>
        </w:tc>
        <w:tc>
          <w:tcPr>
            <w:tcW w:w="0" w:type="auto"/>
            <w:vAlign w:val="center"/>
            <w:hideMark/>
          </w:tcPr>
          <w:p w14:paraId="27E65446"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£18,000 p.a.</w:t>
            </w:r>
          </w:p>
        </w:tc>
        <w:tc>
          <w:tcPr>
            <w:tcW w:w="0" w:type="auto"/>
            <w:vAlign w:val="center"/>
            <w:hideMark/>
          </w:tcPr>
          <w:p w14:paraId="4A3BBE0C"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0.5 week × £346.15 = £173.08</w:t>
            </w:r>
          </w:p>
        </w:tc>
        <w:tc>
          <w:tcPr>
            <w:tcW w:w="0" w:type="auto"/>
            <w:vAlign w:val="center"/>
            <w:hideMark/>
          </w:tcPr>
          <w:p w14:paraId="70F6AA2C"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 week</w:t>
            </w:r>
          </w:p>
        </w:tc>
      </w:tr>
      <w:tr w:rsidR="00A4362A" w:rsidRPr="003126ED" w14:paraId="3633BD5F" w14:textId="77777777">
        <w:trPr>
          <w:tblCellSpacing w:w="15" w:type="dxa"/>
        </w:trPr>
        <w:tc>
          <w:tcPr>
            <w:tcW w:w="0" w:type="auto"/>
            <w:vAlign w:val="center"/>
            <w:hideMark/>
          </w:tcPr>
          <w:p w14:paraId="7C433CF1"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Lily</w:t>
            </w:r>
          </w:p>
        </w:tc>
        <w:tc>
          <w:tcPr>
            <w:tcW w:w="0" w:type="auto"/>
            <w:vAlign w:val="center"/>
            <w:hideMark/>
          </w:tcPr>
          <w:p w14:paraId="3A85DAFE"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25</w:t>
            </w:r>
          </w:p>
        </w:tc>
        <w:tc>
          <w:tcPr>
            <w:tcW w:w="0" w:type="auto"/>
            <w:vAlign w:val="center"/>
            <w:hideMark/>
          </w:tcPr>
          <w:p w14:paraId="3C2F1C6A"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w:t>
            </w:r>
          </w:p>
        </w:tc>
        <w:tc>
          <w:tcPr>
            <w:tcW w:w="0" w:type="auto"/>
            <w:vAlign w:val="center"/>
            <w:hideMark/>
          </w:tcPr>
          <w:p w14:paraId="7661D5B0"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Conference Assistant</w:t>
            </w:r>
          </w:p>
        </w:tc>
        <w:tc>
          <w:tcPr>
            <w:tcW w:w="0" w:type="auto"/>
            <w:vAlign w:val="center"/>
            <w:hideMark/>
          </w:tcPr>
          <w:p w14:paraId="224FB035"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£19,000 p.a.</w:t>
            </w:r>
          </w:p>
        </w:tc>
        <w:tc>
          <w:tcPr>
            <w:tcW w:w="0" w:type="auto"/>
            <w:vAlign w:val="center"/>
            <w:hideMark/>
          </w:tcPr>
          <w:p w14:paraId="6627B10D"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Protected</w:t>
            </w:r>
            <w:r w:rsidRPr="003126ED">
              <w:rPr>
                <w:rFonts w:ascii="Times New Roman" w:hAnsi="Times New Roman" w:cs="Times New Roman"/>
              </w:rPr>
              <w:t xml:space="preserve"> – must be offered alternative</w:t>
            </w:r>
          </w:p>
        </w:tc>
        <w:tc>
          <w:tcPr>
            <w:tcW w:w="0" w:type="auto"/>
            <w:vAlign w:val="center"/>
            <w:hideMark/>
          </w:tcPr>
          <w:p w14:paraId="1BC02AB9"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 week (only if lawful)</w:t>
            </w:r>
          </w:p>
        </w:tc>
      </w:tr>
      <w:tr w:rsidR="00A4362A" w:rsidRPr="003126ED" w14:paraId="7B4C7BC3" w14:textId="77777777">
        <w:trPr>
          <w:tblCellSpacing w:w="15" w:type="dxa"/>
        </w:trPr>
        <w:tc>
          <w:tcPr>
            <w:tcW w:w="0" w:type="auto"/>
            <w:vAlign w:val="center"/>
            <w:hideMark/>
          </w:tcPr>
          <w:p w14:paraId="79F4A7E5"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Pamela</w:t>
            </w:r>
          </w:p>
        </w:tc>
        <w:tc>
          <w:tcPr>
            <w:tcW w:w="0" w:type="auto"/>
            <w:vAlign w:val="center"/>
            <w:hideMark/>
          </w:tcPr>
          <w:p w14:paraId="39D9F9D9"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67</w:t>
            </w:r>
          </w:p>
        </w:tc>
        <w:tc>
          <w:tcPr>
            <w:tcW w:w="0" w:type="auto"/>
            <w:vAlign w:val="center"/>
            <w:hideMark/>
          </w:tcPr>
          <w:p w14:paraId="7A52C4D5"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30</w:t>
            </w:r>
          </w:p>
        </w:tc>
        <w:tc>
          <w:tcPr>
            <w:tcW w:w="0" w:type="auto"/>
            <w:vAlign w:val="center"/>
            <w:hideMark/>
          </w:tcPr>
          <w:p w14:paraId="545618C3"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Reservations</w:t>
            </w:r>
          </w:p>
        </w:tc>
        <w:tc>
          <w:tcPr>
            <w:tcW w:w="0" w:type="auto"/>
            <w:vAlign w:val="center"/>
            <w:hideMark/>
          </w:tcPr>
          <w:p w14:paraId="0600D493"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£35,000 p.a.</w:t>
            </w:r>
          </w:p>
        </w:tc>
        <w:tc>
          <w:tcPr>
            <w:tcW w:w="0" w:type="auto"/>
            <w:vAlign w:val="center"/>
            <w:hideMark/>
          </w:tcPr>
          <w:p w14:paraId="68E7B5CF"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 xml:space="preserve">20 years × 1.5 = 30 weeks × £700 = </w:t>
            </w:r>
            <w:r w:rsidRPr="003126ED">
              <w:rPr>
                <w:rFonts w:ascii="Times New Roman" w:hAnsi="Times New Roman" w:cs="Times New Roman"/>
                <w:b/>
                <w:bCs/>
              </w:rPr>
              <w:t>£21,000 (max)</w:t>
            </w:r>
          </w:p>
        </w:tc>
        <w:tc>
          <w:tcPr>
            <w:tcW w:w="0" w:type="auto"/>
            <w:vAlign w:val="center"/>
            <w:hideMark/>
          </w:tcPr>
          <w:p w14:paraId="1C36BF10"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12 weeks</w:t>
            </w:r>
          </w:p>
        </w:tc>
      </w:tr>
      <w:tr w:rsidR="00A4362A" w:rsidRPr="003126ED" w14:paraId="7E4AB666" w14:textId="77777777">
        <w:trPr>
          <w:tblCellSpacing w:w="15" w:type="dxa"/>
        </w:trPr>
        <w:tc>
          <w:tcPr>
            <w:tcW w:w="0" w:type="auto"/>
            <w:vAlign w:val="center"/>
            <w:hideMark/>
          </w:tcPr>
          <w:p w14:paraId="4034D576"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b/>
                <w:bCs/>
              </w:rPr>
              <w:t>Mahaboob</w:t>
            </w:r>
          </w:p>
        </w:tc>
        <w:tc>
          <w:tcPr>
            <w:tcW w:w="0" w:type="auto"/>
            <w:vAlign w:val="center"/>
            <w:hideMark/>
          </w:tcPr>
          <w:p w14:paraId="45EDDFD1"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27</w:t>
            </w:r>
          </w:p>
        </w:tc>
        <w:tc>
          <w:tcPr>
            <w:tcW w:w="0" w:type="auto"/>
            <w:vAlign w:val="center"/>
            <w:hideMark/>
          </w:tcPr>
          <w:p w14:paraId="51B0277F"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3</w:t>
            </w:r>
          </w:p>
        </w:tc>
        <w:tc>
          <w:tcPr>
            <w:tcW w:w="0" w:type="auto"/>
            <w:vAlign w:val="center"/>
            <w:hideMark/>
          </w:tcPr>
          <w:p w14:paraId="6DE8136B"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Night Porter</w:t>
            </w:r>
          </w:p>
        </w:tc>
        <w:tc>
          <w:tcPr>
            <w:tcW w:w="0" w:type="auto"/>
            <w:vAlign w:val="center"/>
            <w:hideMark/>
          </w:tcPr>
          <w:p w14:paraId="7B3DD95E"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£20,000 p.a.</w:t>
            </w:r>
          </w:p>
        </w:tc>
        <w:tc>
          <w:tcPr>
            <w:tcW w:w="0" w:type="auto"/>
            <w:vAlign w:val="center"/>
            <w:hideMark/>
          </w:tcPr>
          <w:p w14:paraId="0EC8E1C3"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3 years × 1 week = 3 weeks × £384.62 = £1,153.86</w:t>
            </w:r>
          </w:p>
        </w:tc>
        <w:tc>
          <w:tcPr>
            <w:tcW w:w="0" w:type="auto"/>
            <w:vAlign w:val="center"/>
            <w:hideMark/>
          </w:tcPr>
          <w:p w14:paraId="4B89BDFF" w14:textId="77777777" w:rsidR="00A4362A" w:rsidRPr="003126ED" w:rsidRDefault="00A4362A" w:rsidP="00157481">
            <w:pPr>
              <w:spacing w:line="600" w:lineRule="auto"/>
              <w:rPr>
                <w:rFonts w:ascii="Times New Roman" w:hAnsi="Times New Roman" w:cs="Times New Roman"/>
              </w:rPr>
            </w:pPr>
            <w:r w:rsidRPr="003126ED">
              <w:rPr>
                <w:rFonts w:ascii="Times New Roman" w:hAnsi="Times New Roman" w:cs="Times New Roman"/>
              </w:rPr>
              <w:t>3 weeks</w:t>
            </w:r>
          </w:p>
        </w:tc>
      </w:tr>
    </w:tbl>
    <w:p w14:paraId="1344744C" w14:textId="733FF269" w:rsidR="00A4362A" w:rsidRPr="003126ED" w:rsidRDefault="00A4362A" w:rsidP="00157481">
      <w:pPr>
        <w:spacing w:line="600" w:lineRule="auto"/>
        <w:rPr>
          <w:rFonts w:ascii="Times New Roman" w:hAnsi="Times New Roman" w:cs="Times New Roman"/>
        </w:rPr>
      </w:pPr>
    </w:p>
    <w:p w14:paraId="442E4A38" w14:textId="7B1AA6EB" w:rsidR="00A4362A" w:rsidRPr="007912F0" w:rsidRDefault="0029635B" w:rsidP="00157481">
      <w:pPr>
        <w:pStyle w:val="Heading3"/>
        <w:spacing w:line="600" w:lineRule="auto"/>
        <w:rPr>
          <w:rFonts w:ascii="Times New Roman" w:hAnsi="Times New Roman" w:cs="Times New Roman"/>
          <w:color w:val="auto"/>
          <w:sz w:val="24"/>
          <w:szCs w:val="24"/>
        </w:rPr>
      </w:pPr>
      <w:bookmarkStart w:id="15" w:name="_Toc198558253"/>
      <w:r w:rsidRPr="007912F0">
        <w:rPr>
          <w:rFonts w:ascii="Times New Roman" w:hAnsi="Times New Roman" w:cs="Times New Roman"/>
          <w:color w:val="auto"/>
          <w:sz w:val="24"/>
          <w:szCs w:val="24"/>
        </w:rPr>
        <w:t>2.</w:t>
      </w:r>
      <w:r w:rsidR="00A4362A" w:rsidRPr="007912F0">
        <w:rPr>
          <w:rFonts w:ascii="Times New Roman" w:hAnsi="Times New Roman" w:cs="Times New Roman"/>
          <w:color w:val="auto"/>
          <w:sz w:val="24"/>
          <w:szCs w:val="24"/>
        </w:rPr>
        <w:t>8 Risks of Non-Compliance</w:t>
      </w:r>
      <w:bookmarkEnd w:id="15"/>
    </w:p>
    <w:p w14:paraId="3EE2328A" w14:textId="77777777" w:rsidR="00A4362A" w:rsidRPr="003126ED" w:rsidRDefault="00A4362A" w:rsidP="007912F0">
      <w:pPr>
        <w:spacing w:line="600" w:lineRule="auto"/>
        <w:jc w:val="both"/>
        <w:rPr>
          <w:rFonts w:ascii="Times New Roman" w:hAnsi="Times New Roman" w:cs="Times New Roman"/>
        </w:rPr>
      </w:pPr>
      <w:r w:rsidRPr="003126ED">
        <w:rPr>
          <w:rFonts w:ascii="Times New Roman" w:hAnsi="Times New Roman" w:cs="Times New Roman"/>
        </w:rPr>
        <w:t>Proceeding with a rushed or predetermined process exposes the Hotel to significant legal and operational risks, including:</w:t>
      </w:r>
    </w:p>
    <w:p w14:paraId="06B9BD11" w14:textId="77777777" w:rsidR="00A4362A" w:rsidRPr="003126ED" w:rsidRDefault="00A4362A" w:rsidP="007912F0">
      <w:pPr>
        <w:numPr>
          <w:ilvl w:val="0"/>
          <w:numId w:val="7"/>
        </w:numPr>
        <w:spacing w:line="600" w:lineRule="auto"/>
        <w:jc w:val="both"/>
        <w:rPr>
          <w:rFonts w:ascii="Times New Roman" w:hAnsi="Times New Roman" w:cs="Times New Roman"/>
        </w:rPr>
      </w:pPr>
      <w:r w:rsidRPr="003126ED">
        <w:rPr>
          <w:rFonts w:ascii="Times New Roman" w:hAnsi="Times New Roman" w:cs="Times New Roman"/>
        </w:rPr>
        <w:t>Unfair dismissal claims, even in genuine redundancy cases, if due process is not followed</w:t>
      </w:r>
    </w:p>
    <w:p w14:paraId="1E96DBFE" w14:textId="77777777" w:rsidR="00A4362A" w:rsidRPr="003126ED" w:rsidRDefault="00A4362A" w:rsidP="007912F0">
      <w:pPr>
        <w:numPr>
          <w:ilvl w:val="0"/>
          <w:numId w:val="7"/>
        </w:numPr>
        <w:spacing w:line="600" w:lineRule="auto"/>
        <w:jc w:val="both"/>
        <w:rPr>
          <w:rFonts w:ascii="Times New Roman" w:hAnsi="Times New Roman" w:cs="Times New Roman"/>
        </w:rPr>
      </w:pPr>
      <w:r w:rsidRPr="003126ED">
        <w:rPr>
          <w:rFonts w:ascii="Times New Roman" w:hAnsi="Times New Roman" w:cs="Times New Roman"/>
        </w:rPr>
        <w:t>Automatic unfair dismissal and discrimination claims for failing to protect Lily’s rights</w:t>
      </w:r>
    </w:p>
    <w:p w14:paraId="1C825633" w14:textId="6CFC3411" w:rsidR="00A4362A" w:rsidRPr="003126ED" w:rsidRDefault="00A4362A" w:rsidP="007912F0">
      <w:pPr>
        <w:numPr>
          <w:ilvl w:val="0"/>
          <w:numId w:val="7"/>
        </w:numPr>
        <w:spacing w:line="600" w:lineRule="auto"/>
        <w:jc w:val="both"/>
        <w:rPr>
          <w:rFonts w:ascii="Times New Roman" w:hAnsi="Times New Roman" w:cs="Times New Roman"/>
        </w:rPr>
      </w:pPr>
      <w:r w:rsidRPr="003126ED">
        <w:rPr>
          <w:rFonts w:ascii="Times New Roman" w:hAnsi="Times New Roman" w:cs="Times New Roman"/>
        </w:rPr>
        <w:t xml:space="preserve">Loss of morale and reputational damage, as highlighted in Rousseau’s (1995) </w:t>
      </w:r>
      <w:r w:rsidR="007912F0">
        <w:rPr>
          <w:rFonts w:ascii="Times New Roman" w:hAnsi="Times New Roman" w:cs="Times New Roman"/>
        </w:rPr>
        <w:t>T</w:t>
      </w:r>
      <w:r w:rsidRPr="003126ED">
        <w:rPr>
          <w:rFonts w:ascii="Times New Roman" w:hAnsi="Times New Roman" w:cs="Times New Roman"/>
        </w:rPr>
        <w:t xml:space="preserve">heory of </w:t>
      </w:r>
      <w:r w:rsidR="007912F0">
        <w:rPr>
          <w:rFonts w:ascii="Times New Roman" w:hAnsi="Times New Roman" w:cs="Times New Roman"/>
        </w:rPr>
        <w:t>P</w:t>
      </w:r>
      <w:r w:rsidRPr="003126ED">
        <w:rPr>
          <w:rFonts w:ascii="Times New Roman" w:hAnsi="Times New Roman" w:cs="Times New Roman"/>
        </w:rPr>
        <w:t xml:space="preserve">sychological </w:t>
      </w:r>
      <w:r w:rsidR="007912F0">
        <w:rPr>
          <w:rFonts w:ascii="Times New Roman" w:hAnsi="Times New Roman" w:cs="Times New Roman"/>
        </w:rPr>
        <w:t>C</w:t>
      </w:r>
      <w:r w:rsidRPr="003126ED">
        <w:rPr>
          <w:rFonts w:ascii="Times New Roman" w:hAnsi="Times New Roman" w:cs="Times New Roman"/>
        </w:rPr>
        <w:t>ontracts</w:t>
      </w:r>
    </w:p>
    <w:p w14:paraId="4F319B79" w14:textId="77777777" w:rsidR="00A4362A" w:rsidRPr="003126ED" w:rsidRDefault="00A4362A" w:rsidP="007912F0">
      <w:pPr>
        <w:numPr>
          <w:ilvl w:val="0"/>
          <w:numId w:val="7"/>
        </w:numPr>
        <w:spacing w:line="600" w:lineRule="auto"/>
        <w:jc w:val="both"/>
        <w:rPr>
          <w:rFonts w:ascii="Times New Roman" w:hAnsi="Times New Roman" w:cs="Times New Roman"/>
        </w:rPr>
      </w:pPr>
      <w:r w:rsidRPr="003126ED">
        <w:rPr>
          <w:rFonts w:ascii="Times New Roman" w:hAnsi="Times New Roman" w:cs="Times New Roman"/>
        </w:rPr>
        <w:t>Financial costs due to tribunal awards, settlement payouts, or reinstatement orders</w:t>
      </w:r>
    </w:p>
    <w:p w14:paraId="015542AE" w14:textId="6B3B9A56" w:rsidR="00A4362A" w:rsidRPr="007912F0" w:rsidRDefault="0029635B" w:rsidP="00157481">
      <w:pPr>
        <w:pStyle w:val="Heading3"/>
        <w:spacing w:line="600" w:lineRule="auto"/>
        <w:rPr>
          <w:rFonts w:ascii="Times New Roman" w:hAnsi="Times New Roman" w:cs="Times New Roman"/>
          <w:color w:val="auto"/>
          <w:sz w:val="24"/>
          <w:szCs w:val="24"/>
        </w:rPr>
      </w:pPr>
      <w:bookmarkStart w:id="16" w:name="_Toc198558254"/>
      <w:r w:rsidRPr="007912F0">
        <w:rPr>
          <w:rFonts w:ascii="Times New Roman" w:hAnsi="Times New Roman" w:cs="Times New Roman"/>
          <w:color w:val="auto"/>
          <w:sz w:val="24"/>
          <w:szCs w:val="24"/>
        </w:rPr>
        <w:t>2.</w:t>
      </w:r>
      <w:r w:rsidR="00A4362A" w:rsidRPr="007912F0">
        <w:rPr>
          <w:rFonts w:ascii="Times New Roman" w:hAnsi="Times New Roman" w:cs="Times New Roman"/>
          <w:color w:val="auto"/>
          <w:sz w:val="24"/>
          <w:szCs w:val="24"/>
        </w:rPr>
        <w:t>9 Recommended Timeline</w:t>
      </w:r>
      <w:bookmarkEnd w:id="16"/>
    </w:p>
    <w:p w14:paraId="3EEBD06C" w14:textId="77777777" w:rsidR="00A4362A" w:rsidRPr="003126ED" w:rsidRDefault="00A4362A" w:rsidP="007912F0">
      <w:pPr>
        <w:spacing w:line="600" w:lineRule="auto"/>
        <w:jc w:val="both"/>
        <w:rPr>
          <w:rFonts w:ascii="Times New Roman" w:hAnsi="Times New Roman" w:cs="Times New Roman"/>
        </w:rPr>
      </w:pPr>
      <w:r w:rsidRPr="003126ED">
        <w:rPr>
          <w:rFonts w:ascii="Times New Roman" w:hAnsi="Times New Roman" w:cs="Times New Roman"/>
        </w:rPr>
        <w:t>To ensure fairness and legal compliance, I recommend the following three-week redundancy timeline:</w:t>
      </w:r>
    </w:p>
    <w:p w14:paraId="77A79673" w14:textId="77777777" w:rsidR="00A4362A" w:rsidRPr="003126ED" w:rsidRDefault="00A4362A" w:rsidP="007912F0">
      <w:pPr>
        <w:numPr>
          <w:ilvl w:val="0"/>
          <w:numId w:val="8"/>
        </w:numPr>
        <w:spacing w:line="600" w:lineRule="auto"/>
        <w:jc w:val="both"/>
        <w:rPr>
          <w:rFonts w:ascii="Times New Roman" w:hAnsi="Times New Roman" w:cs="Times New Roman"/>
        </w:rPr>
      </w:pPr>
      <w:r w:rsidRPr="003126ED">
        <w:rPr>
          <w:rFonts w:ascii="Times New Roman" w:hAnsi="Times New Roman" w:cs="Times New Roman"/>
          <w:b/>
          <w:bCs/>
        </w:rPr>
        <w:t>Days 1–3</w:t>
      </w:r>
      <w:r w:rsidRPr="003126ED">
        <w:rPr>
          <w:rFonts w:ascii="Times New Roman" w:hAnsi="Times New Roman" w:cs="Times New Roman"/>
        </w:rPr>
        <w:t>: Identify roles at risk, define selection pool, agree objective criteria</w:t>
      </w:r>
    </w:p>
    <w:p w14:paraId="7343AF90" w14:textId="77777777" w:rsidR="00A4362A" w:rsidRPr="003126ED" w:rsidRDefault="00A4362A" w:rsidP="007912F0">
      <w:pPr>
        <w:numPr>
          <w:ilvl w:val="0"/>
          <w:numId w:val="8"/>
        </w:numPr>
        <w:spacing w:line="600" w:lineRule="auto"/>
        <w:jc w:val="both"/>
        <w:rPr>
          <w:rFonts w:ascii="Times New Roman" w:hAnsi="Times New Roman" w:cs="Times New Roman"/>
        </w:rPr>
      </w:pPr>
      <w:r w:rsidRPr="003126ED">
        <w:rPr>
          <w:rFonts w:ascii="Times New Roman" w:hAnsi="Times New Roman" w:cs="Times New Roman"/>
          <w:b/>
          <w:bCs/>
        </w:rPr>
        <w:t>Days 4–6</w:t>
      </w:r>
      <w:r w:rsidRPr="003126ED">
        <w:rPr>
          <w:rFonts w:ascii="Times New Roman" w:hAnsi="Times New Roman" w:cs="Times New Roman"/>
        </w:rPr>
        <w:t>: Notify affected employees and commence consultation</w:t>
      </w:r>
    </w:p>
    <w:p w14:paraId="06B315D6" w14:textId="77777777" w:rsidR="00A4362A" w:rsidRPr="003126ED" w:rsidRDefault="00A4362A" w:rsidP="007912F0">
      <w:pPr>
        <w:numPr>
          <w:ilvl w:val="0"/>
          <w:numId w:val="8"/>
        </w:numPr>
        <w:spacing w:line="600" w:lineRule="auto"/>
        <w:jc w:val="both"/>
        <w:rPr>
          <w:rFonts w:ascii="Times New Roman" w:hAnsi="Times New Roman" w:cs="Times New Roman"/>
        </w:rPr>
      </w:pPr>
      <w:r w:rsidRPr="003126ED">
        <w:rPr>
          <w:rFonts w:ascii="Times New Roman" w:hAnsi="Times New Roman" w:cs="Times New Roman"/>
          <w:b/>
          <w:bCs/>
        </w:rPr>
        <w:t>Days 7–12</w:t>
      </w:r>
      <w:r w:rsidRPr="003126ED">
        <w:rPr>
          <w:rFonts w:ascii="Times New Roman" w:hAnsi="Times New Roman" w:cs="Times New Roman"/>
        </w:rPr>
        <w:t>: Continue consultation, assess redeployment options</w:t>
      </w:r>
    </w:p>
    <w:p w14:paraId="1F596339" w14:textId="77777777" w:rsidR="00A4362A" w:rsidRPr="003126ED" w:rsidRDefault="00A4362A" w:rsidP="007912F0">
      <w:pPr>
        <w:numPr>
          <w:ilvl w:val="0"/>
          <w:numId w:val="8"/>
        </w:numPr>
        <w:spacing w:line="600" w:lineRule="auto"/>
        <w:jc w:val="both"/>
        <w:rPr>
          <w:rFonts w:ascii="Times New Roman" w:hAnsi="Times New Roman" w:cs="Times New Roman"/>
        </w:rPr>
      </w:pPr>
      <w:r w:rsidRPr="003126ED">
        <w:rPr>
          <w:rFonts w:ascii="Times New Roman" w:hAnsi="Times New Roman" w:cs="Times New Roman"/>
          <w:b/>
          <w:bCs/>
        </w:rPr>
        <w:t>Days 13–14</w:t>
      </w:r>
      <w:r w:rsidRPr="003126ED">
        <w:rPr>
          <w:rFonts w:ascii="Times New Roman" w:hAnsi="Times New Roman" w:cs="Times New Roman"/>
        </w:rPr>
        <w:t>: Finalise scoring, communicate decisions, and offer right to appeal</w:t>
      </w:r>
    </w:p>
    <w:p w14:paraId="43404930" w14:textId="77777777" w:rsidR="00A4362A" w:rsidRPr="003126ED" w:rsidRDefault="00A4362A" w:rsidP="007912F0">
      <w:pPr>
        <w:numPr>
          <w:ilvl w:val="0"/>
          <w:numId w:val="8"/>
        </w:numPr>
        <w:spacing w:line="600" w:lineRule="auto"/>
        <w:jc w:val="both"/>
        <w:rPr>
          <w:rFonts w:ascii="Times New Roman" w:hAnsi="Times New Roman" w:cs="Times New Roman"/>
        </w:rPr>
      </w:pPr>
      <w:r w:rsidRPr="003126ED">
        <w:rPr>
          <w:rFonts w:ascii="Times New Roman" w:hAnsi="Times New Roman" w:cs="Times New Roman"/>
          <w:b/>
          <w:bCs/>
        </w:rPr>
        <w:t>Days 15–21</w:t>
      </w:r>
      <w:r w:rsidRPr="003126ED">
        <w:rPr>
          <w:rFonts w:ascii="Times New Roman" w:hAnsi="Times New Roman" w:cs="Times New Roman"/>
        </w:rPr>
        <w:t>: Hear appeals, confirm redundancies, issue notice or PILON</w:t>
      </w:r>
    </w:p>
    <w:p w14:paraId="14449B38" w14:textId="77777777" w:rsidR="00A4362A" w:rsidRPr="003126ED" w:rsidRDefault="00A4362A" w:rsidP="007912F0">
      <w:pPr>
        <w:spacing w:line="600" w:lineRule="auto"/>
        <w:jc w:val="both"/>
        <w:rPr>
          <w:rFonts w:ascii="Times New Roman" w:hAnsi="Times New Roman" w:cs="Times New Roman"/>
        </w:rPr>
      </w:pPr>
      <w:r w:rsidRPr="003126ED">
        <w:rPr>
          <w:rFonts w:ascii="Times New Roman" w:hAnsi="Times New Roman" w:cs="Times New Roman"/>
        </w:rPr>
        <w:t>This approach aligns with ACAS guidelines and ensures that employee rights are respected.</w:t>
      </w:r>
    </w:p>
    <w:p w14:paraId="4A4FA3A8" w14:textId="17492444" w:rsidR="00A4362A" w:rsidRPr="007912F0" w:rsidRDefault="0029635B" w:rsidP="00157481">
      <w:pPr>
        <w:pStyle w:val="Heading3"/>
        <w:spacing w:line="600" w:lineRule="auto"/>
        <w:rPr>
          <w:rFonts w:ascii="Times New Roman" w:hAnsi="Times New Roman" w:cs="Times New Roman"/>
          <w:color w:val="auto"/>
          <w:sz w:val="24"/>
          <w:szCs w:val="24"/>
        </w:rPr>
      </w:pPr>
      <w:bookmarkStart w:id="17" w:name="_Toc198558255"/>
      <w:r w:rsidRPr="007912F0">
        <w:rPr>
          <w:rFonts w:ascii="Times New Roman" w:hAnsi="Times New Roman" w:cs="Times New Roman"/>
          <w:color w:val="auto"/>
          <w:sz w:val="24"/>
          <w:szCs w:val="24"/>
        </w:rPr>
        <w:t>2.10</w:t>
      </w:r>
      <w:r w:rsidR="00A4362A" w:rsidRPr="007912F0">
        <w:rPr>
          <w:rFonts w:ascii="Times New Roman" w:hAnsi="Times New Roman" w:cs="Times New Roman"/>
          <w:color w:val="auto"/>
          <w:sz w:val="24"/>
          <w:szCs w:val="24"/>
        </w:rPr>
        <w:t xml:space="preserve"> Final Recommendation</w:t>
      </w:r>
      <w:bookmarkEnd w:id="17"/>
    </w:p>
    <w:p w14:paraId="6C464297" w14:textId="77777777" w:rsidR="00A4362A" w:rsidRPr="003126ED" w:rsidRDefault="00A4362A" w:rsidP="007912F0">
      <w:pPr>
        <w:spacing w:line="600" w:lineRule="auto"/>
        <w:jc w:val="both"/>
        <w:rPr>
          <w:rFonts w:ascii="Times New Roman" w:hAnsi="Times New Roman" w:cs="Times New Roman"/>
        </w:rPr>
      </w:pPr>
      <w:r w:rsidRPr="003126ED">
        <w:rPr>
          <w:rFonts w:ascii="Times New Roman" w:hAnsi="Times New Roman" w:cs="Times New Roman"/>
        </w:rPr>
        <w:t>I strongly advise the Board to extend the redundancy process to at</w:t>
      </w:r>
      <w:r w:rsidRPr="003126ED">
        <w:rPr>
          <w:rFonts w:ascii="Times New Roman" w:hAnsi="Times New Roman" w:cs="Times New Roman"/>
          <w:b/>
          <w:bCs/>
        </w:rPr>
        <w:t xml:space="preserve"> least three weeks</w:t>
      </w:r>
      <w:r w:rsidRPr="003126ED">
        <w:rPr>
          <w:rFonts w:ascii="Times New Roman" w:hAnsi="Times New Roman" w:cs="Times New Roman"/>
        </w:rPr>
        <w:t xml:space="preserve"> and abandon the proposed two-week timeframe. This will allow for meaningful consultation, lawful selection, and proper consideration of alternative employment. Employees must be treated fairly and transparently, especially those with protected characteristics. In particular, Lily’s maternity protection and the opportunity to redeploy staff into restaurant roles must be handled with care.</w:t>
      </w:r>
    </w:p>
    <w:p w14:paraId="5E757D89" w14:textId="77777777" w:rsidR="00A4362A" w:rsidRPr="003126ED" w:rsidRDefault="00A4362A" w:rsidP="007912F0">
      <w:pPr>
        <w:spacing w:line="600" w:lineRule="auto"/>
        <w:jc w:val="both"/>
        <w:rPr>
          <w:rFonts w:ascii="Times New Roman" w:hAnsi="Times New Roman" w:cs="Times New Roman"/>
        </w:rPr>
      </w:pPr>
      <w:r w:rsidRPr="003126ED">
        <w:rPr>
          <w:rFonts w:ascii="Times New Roman" w:hAnsi="Times New Roman" w:cs="Times New Roman"/>
        </w:rPr>
        <w:t>A failure to follow the correct process risks not only legal liability but also long-term damage to the Hotel’s reputation, employee trust, and operational stability.</w:t>
      </w:r>
    </w:p>
    <w:p w14:paraId="5C5DD326" w14:textId="77777777" w:rsidR="00A4362A" w:rsidRPr="003126ED" w:rsidRDefault="00A4362A" w:rsidP="007912F0">
      <w:pPr>
        <w:spacing w:line="600" w:lineRule="auto"/>
        <w:jc w:val="both"/>
        <w:rPr>
          <w:rFonts w:ascii="Times New Roman" w:hAnsi="Times New Roman" w:cs="Times New Roman"/>
        </w:rPr>
      </w:pPr>
      <w:r w:rsidRPr="003126ED">
        <w:rPr>
          <w:rFonts w:ascii="Times New Roman" w:hAnsi="Times New Roman" w:cs="Times New Roman"/>
        </w:rPr>
        <w:t>I am available to assist with drafting consultation letters, selection criteria, Equality Impact Assessments, and communication materials to support this process.</w:t>
      </w:r>
    </w:p>
    <w:p w14:paraId="7A94BA18" w14:textId="77777777" w:rsidR="003B2EB2" w:rsidRPr="00157481" w:rsidRDefault="003B2EB2" w:rsidP="00157481">
      <w:pPr>
        <w:spacing w:line="600" w:lineRule="auto"/>
        <w:rPr>
          <w:rFonts w:ascii="Times New Roman" w:hAnsi="Times New Roman" w:cs="Times New Roman"/>
        </w:rPr>
      </w:pPr>
    </w:p>
    <w:p w14:paraId="3A945DD3" w14:textId="77777777" w:rsidR="003B2EB2" w:rsidRPr="00157481" w:rsidRDefault="003B2EB2" w:rsidP="00157481">
      <w:pPr>
        <w:spacing w:line="600" w:lineRule="auto"/>
        <w:rPr>
          <w:rFonts w:ascii="Times New Roman" w:hAnsi="Times New Roman" w:cs="Times New Roman"/>
        </w:rPr>
      </w:pPr>
    </w:p>
    <w:p w14:paraId="7D547AEB" w14:textId="77777777" w:rsidR="003B2EB2" w:rsidRDefault="003B2EB2" w:rsidP="003B28E0">
      <w:pPr>
        <w:spacing w:line="600" w:lineRule="auto"/>
      </w:pPr>
    </w:p>
    <w:p w14:paraId="6D6D92A2" w14:textId="77777777" w:rsidR="003B2EB2" w:rsidRDefault="003B2EB2" w:rsidP="003B28E0">
      <w:pPr>
        <w:spacing w:line="600" w:lineRule="auto"/>
      </w:pPr>
    </w:p>
    <w:p w14:paraId="3E59F362" w14:textId="77777777" w:rsidR="003B2EB2" w:rsidRDefault="003B2EB2" w:rsidP="003B28E0">
      <w:pPr>
        <w:spacing w:line="600" w:lineRule="auto"/>
      </w:pPr>
    </w:p>
    <w:p w14:paraId="32228BC1" w14:textId="77777777" w:rsidR="003B2EB2" w:rsidRDefault="003B2EB2" w:rsidP="003B28E0">
      <w:pPr>
        <w:spacing w:line="600" w:lineRule="auto"/>
      </w:pPr>
    </w:p>
    <w:p w14:paraId="72582F72" w14:textId="77777777" w:rsidR="003B2EB2" w:rsidRPr="007912F0" w:rsidRDefault="003B2EB2" w:rsidP="003B2EB2">
      <w:pPr>
        <w:pStyle w:val="Heading2"/>
        <w:jc w:val="both"/>
        <w:rPr>
          <w:color w:val="auto"/>
          <w:sz w:val="40"/>
          <w:szCs w:val="40"/>
        </w:rPr>
      </w:pPr>
      <w:bookmarkStart w:id="18" w:name="_Toc198558256"/>
      <w:r w:rsidRPr="007912F0">
        <w:rPr>
          <w:color w:val="auto"/>
          <w:sz w:val="40"/>
          <w:szCs w:val="40"/>
        </w:rPr>
        <w:t>Question 3</w:t>
      </w:r>
      <w:bookmarkEnd w:id="18"/>
    </w:p>
    <w:p w14:paraId="3C211B6E" w14:textId="77777777" w:rsidR="003B2EB2" w:rsidRPr="00B069A5" w:rsidRDefault="003B2EB2" w:rsidP="003B2EB2">
      <w:pPr>
        <w:jc w:val="both"/>
      </w:pPr>
    </w:p>
    <w:p w14:paraId="45EAFEA2" w14:textId="28488766" w:rsidR="0044482F" w:rsidRPr="0029635B" w:rsidRDefault="003B2EB2" w:rsidP="0029635B">
      <w:pPr>
        <w:spacing w:line="600" w:lineRule="auto"/>
        <w:rPr>
          <w:rFonts w:ascii="Times New Roman" w:hAnsi="Times New Roman" w:cs="Times New Roman"/>
        </w:rPr>
      </w:pPr>
      <w:r w:rsidRPr="0029635B">
        <w:rPr>
          <w:rFonts w:ascii="Times New Roman" w:eastAsia="Times New Roman" w:hAnsi="Times New Roman" w:cs="Times New Roman"/>
          <w:b/>
          <w:bCs/>
        </w:rPr>
        <w:t>Title:</w:t>
      </w:r>
      <w:r w:rsidRPr="0029635B">
        <w:rPr>
          <w:rFonts w:ascii="Times New Roman" w:eastAsia="Times New Roman" w:hAnsi="Times New Roman" w:cs="Times New Roman"/>
        </w:rPr>
        <w:t xml:space="preserve"> Legal Advice Regarding the Acquisition of Swansea Hotel and Compliance with TUPE Regulations</w:t>
      </w:r>
      <w:r w:rsidRPr="0029635B">
        <w:rPr>
          <w:rFonts w:ascii="Times New Roman" w:hAnsi="Times New Roman" w:cs="Times New Roman"/>
        </w:rPr>
        <w:br/>
      </w:r>
      <w:r w:rsidRPr="0029635B">
        <w:rPr>
          <w:rFonts w:ascii="Times New Roman" w:eastAsia="Times New Roman" w:hAnsi="Times New Roman" w:cs="Times New Roman"/>
          <w:b/>
          <w:bCs/>
        </w:rPr>
        <w:t>Prepared by:</w:t>
      </w:r>
      <w:r w:rsidRPr="0029635B">
        <w:rPr>
          <w:rFonts w:ascii="Times New Roman" w:eastAsia="Times New Roman" w:hAnsi="Times New Roman" w:cs="Times New Roman"/>
        </w:rPr>
        <w:t xml:space="preserve"> Nia Milcoy, HR BP </w:t>
      </w:r>
      <w:r w:rsidRPr="0029635B">
        <w:rPr>
          <w:rFonts w:ascii="Times New Roman" w:hAnsi="Times New Roman" w:cs="Times New Roman"/>
        </w:rPr>
        <w:br/>
      </w:r>
      <w:r w:rsidRPr="0029635B">
        <w:rPr>
          <w:rFonts w:ascii="Times New Roman" w:eastAsia="Times New Roman" w:hAnsi="Times New Roman" w:cs="Times New Roman"/>
          <w:b/>
          <w:bCs/>
        </w:rPr>
        <w:t>Document Type:</w:t>
      </w:r>
      <w:r w:rsidRPr="0029635B">
        <w:rPr>
          <w:rFonts w:ascii="Times New Roman" w:eastAsia="Times New Roman" w:hAnsi="Times New Roman" w:cs="Times New Roman"/>
        </w:rPr>
        <w:t xml:space="preserve"> Report </w:t>
      </w:r>
      <w:r w:rsidRPr="003126ED">
        <w:rPr>
          <w:rFonts w:ascii="Times New Roman" w:hAnsi="Times New Roman" w:cs="Times New Roman"/>
          <w:b/>
          <w:bCs/>
        </w:rPr>
        <w:t>To: The Board of Sunny Side Hotel</w:t>
      </w:r>
      <w:r w:rsidRPr="003126ED">
        <w:rPr>
          <w:rFonts w:ascii="Times New Roman" w:hAnsi="Times New Roman" w:cs="Times New Roman"/>
        </w:rPr>
        <w:br/>
      </w:r>
      <w:r w:rsidRPr="003126ED">
        <w:rPr>
          <w:rFonts w:ascii="Times New Roman" w:hAnsi="Times New Roman" w:cs="Times New Roman"/>
          <w:b/>
          <w:bCs/>
        </w:rPr>
        <w:t>From: HR Advisor</w:t>
      </w:r>
      <w:r w:rsidRPr="003126ED">
        <w:rPr>
          <w:rFonts w:ascii="Times New Roman" w:hAnsi="Times New Roman" w:cs="Times New Roman"/>
        </w:rPr>
        <w:br/>
      </w:r>
      <w:r w:rsidRPr="003126ED">
        <w:rPr>
          <w:rFonts w:ascii="Times New Roman" w:hAnsi="Times New Roman" w:cs="Times New Roman"/>
          <w:b/>
          <w:bCs/>
        </w:rPr>
        <w:t xml:space="preserve">Date: </w:t>
      </w:r>
      <w:r w:rsidRPr="0029635B">
        <w:rPr>
          <w:rFonts w:ascii="Times New Roman" w:hAnsi="Times New Roman" w:cs="Times New Roman"/>
          <w:b/>
          <w:bCs/>
        </w:rPr>
        <w:t>25</w:t>
      </w:r>
      <w:r w:rsidRPr="0029635B">
        <w:rPr>
          <w:rFonts w:ascii="Times New Roman" w:hAnsi="Times New Roman" w:cs="Times New Roman"/>
          <w:b/>
          <w:bCs/>
          <w:vertAlign w:val="superscript"/>
        </w:rPr>
        <w:t>th</w:t>
      </w:r>
      <w:r w:rsidRPr="0029635B">
        <w:rPr>
          <w:rFonts w:ascii="Times New Roman" w:hAnsi="Times New Roman" w:cs="Times New Roman"/>
          <w:b/>
          <w:bCs/>
        </w:rPr>
        <w:t xml:space="preserve"> April 2025</w:t>
      </w:r>
      <w:r w:rsidRPr="003126ED">
        <w:rPr>
          <w:rFonts w:ascii="Times New Roman" w:hAnsi="Times New Roman" w:cs="Times New Roman"/>
        </w:rPr>
        <w:br/>
      </w:r>
      <w:r w:rsidRPr="003126ED">
        <w:rPr>
          <w:rFonts w:ascii="Times New Roman" w:hAnsi="Times New Roman" w:cs="Times New Roman"/>
          <w:b/>
          <w:bCs/>
        </w:rPr>
        <w:t>Subject: Legal Advice on Proposed Redundancies</w:t>
      </w:r>
    </w:p>
    <w:p w14:paraId="50BBD419" w14:textId="26CE7000" w:rsidR="00990684" w:rsidRPr="007912F0" w:rsidRDefault="00514978" w:rsidP="00B166FC">
      <w:pPr>
        <w:pStyle w:val="Heading3"/>
        <w:spacing w:line="600" w:lineRule="auto"/>
        <w:jc w:val="both"/>
        <w:rPr>
          <w:rFonts w:ascii="Times New Roman" w:hAnsi="Times New Roman" w:cs="Times New Roman"/>
          <w:color w:val="auto"/>
          <w:sz w:val="24"/>
          <w:szCs w:val="24"/>
        </w:rPr>
      </w:pPr>
      <w:bookmarkStart w:id="19" w:name="_Toc198558257"/>
      <w:r w:rsidRPr="007912F0">
        <w:rPr>
          <w:rFonts w:ascii="Times New Roman" w:hAnsi="Times New Roman" w:cs="Times New Roman"/>
          <w:color w:val="auto"/>
          <w:sz w:val="24"/>
          <w:szCs w:val="24"/>
        </w:rPr>
        <w:t>3</w:t>
      </w:r>
      <w:r w:rsidR="0044655F" w:rsidRPr="007912F0">
        <w:rPr>
          <w:rFonts w:ascii="Times New Roman" w:hAnsi="Times New Roman" w:cs="Times New Roman"/>
          <w:color w:val="auto"/>
          <w:sz w:val="24"/>
          <w:szCs w:val="24"/>
        </w:rPr>
        <w:t xml:space="preserve">. </w:t>
      </w:r>
      <w:r w:rsidR="00990684" w:rsidRPr="007912F0">
        <w:rPr>
          <w:rFonts w:ascii="Times New Roman" w:hAnsi="Times New Roman" w:cs="Times New Roman"/>
          <w:color w:val="auto"/>
          <w:sz w:val="24"/>
          <w:szCs w:val="24"/>
        </w:rPr>
        <w:t>TUPE Compliance Report: Swansea Hotel Acquisition</w:t>
      </w:r>
      <w:bookmarkEnd w:id="19"/>
    </w:p>
    <w:p w14:paraId="50C4A9F5" w14:textId="77777777" w:rsidR="00990684" w:rsidRPr="00990684" w:rsidRDefault="00990684" w:rsidP="007912F0">
      <w:pPr>
        <w:spacing w:line="600" w:lineRule="auto"/>
        <w:jc w:val="both"/>
        <w:rPr>
          <w:rFonts w:ascii="Times New Roman" w:hAnsi="Times New Roman" w:cs="Times New Roman"/>
        </w:rPr>
      </w:pPr>
      <w:r w:rsidRPr="00990684">
        <w:rPr>
          <w:rFonts w:ascii="Times New Roman" w:hAnsi="Times New Roman" w:cs="Times New Roman"/>
        </w:rPr>
        <w:t>This report advises the Board on its statutory obligations under the Transfer of Undertakings (Protection of Employment) Regulations 2006 (TUPE) in relation to the acquisition of the Swansea hotel as a going concern. As this is the Board’s first venture into hotel acquisition, full compliance with TUPE is essential to uphold employee rights and avoid potential legal and reputational consequences. The decision to retain 75 out of 100 current staff triggers key obligations under TUPE, which aims to protect employment continuity during business transfers (Wynn-Evans, 2023).</w:t>
      </w:r>
    </w:p>
    <w:p w14:paraId="23B904E8" w14:textId="77777777" w:rsidR="00990684" w:rsidRPr="007912F0" w:rsidRDefault="00990684" w:rsidP="00B166FC">
      <w:pPr>
        <w:pStyle w:val="Heading3"/>
        <w:spacing w:line="600" w:lineRule="auto"/>
        <w:rPr>
          <w:rFonts w:ascii="Times New Roman" w:hAnsi="Times New Roman" w:cs="Times New Roman"/>
          <w:color w:val="auto"/>
          <w:sz w:val="24"/>
          <w:szCs w:val="24"/>
        </w:rPr>
      </w:pPr>
      <w:bookmarkStart w:id="20" w:name="_Toc198558258"/>
      <w:r w:rsidRPr="007912F0">
        <w:rPr>
          <w:rFonts w:ascii="Times New Roman" w:hAnsi="Times New Roman" w:cs="Times New Roman"/>
          <w:color w:val="auto"/>
          <w:sz w:val="24"/>
          <w:szCs w:val="24"/>
        </w:rPr>
        <w:t>3.1 Legal Obligations under TUPE</w:t>
      </w:r>
      <w:bookmarkEnd w:id="20"/>
    </w:p>
    <w:p w14:paraId="0BFDF726" w14:textId="77777777" w:rsidR="00990684" w:rsidRPr="00990684" w:rsidRDefault="00990684" w:rsidP="007912F0">
      <w:pPr>
        <w:spacing w:line="600" w:lineRule="auto"/>
        <w:jc w:val="both"/>
        <w:rPr>
          <w:rFonts w:ascii="Times New Roman" w:hAnsi="Times New Roman" w:cs="Times New Roman"/>
        </w:rPr>
      </w:pPr>
      <w:r w:rsidRPr="00990684">
        <w:rPr>
          <w:rFonts w:ascii="Times New Roman" w:hAnsi="Times New Roman" w:cs="Times New Roman"/>
        </w:rPr>
        <w:t xml:space="preserve">TUPE ensures that affected employees retain their existing terms and conditions of employment upon transfer, with dismissals directly linked to the transfer rendered automatically unfair unless justified by an economic, technical or organisational (ETO) reason (UK Government, n.d.; Marsden, 2021). The principle that contractual changes due to the transfer are void is well established in UK and EU law, notably in the case of </w:t>
      </w:r>
      <w:r w:rsidRPr="00990684">
        <w:rPr>
          <w:rFonts w:ascii="Times New Roman" w:hAnsi="Times New Roman" w:cs="Times New Roman"/>
          <w:i/>
          <w:iCs/>
        </w:rPr>
        <w:t>Daddy’s Dance Hall</w:t>
      </w:r>
      <w:r w:rsidRPr="00990684">
        <w:rPr>
          <w:rFonts w:ascii="Times New Roman" w:hAnsi="Times New Roman" w:cs="Times New Roman"/>
        </w:rPr>
        <w:t xml:space="preserve"> (Case 324/86), which held that rights under Directive 2001/23/EC are non-waivable.</w:t>
      </w:r>
    </w:p>
    <w:p w14:paraId="28FF2F7E" w14:textId="77777777" w:rsidR="00990684" w:rsidRPr="00990684" w:rsidRDefault="00990684" w:rsidP="007F55A9">
      <w:pPr>
        <w:spacing w:line="600" w:lineRule="auto"/>
        <w:jc w:val="both"/>
        <w:rPr>
          <w:rFonts w:ascii="Times New Roman" w:hAnsi="Times New Roman" w:cs="Times New Roman"/>
        </w:rPr>
      </w:pPr>
      <w:r w:rsidRPr="00990684">
        <w:rPr>
          <w:rFonts w:ascii="Times New Roman" w:hAnsi="Times New Roman" w:cs="Times New Roman"/>
        </w:rPr>
        <w:t xml:space="preserve">Regulation 4(4) prohibits changes to terms solely because of the transfer. Post-2014 amendments clarified that changes connected—but not caused—by the transfer may be valid (SI 2014/16). The case of </w:t>
      </w:r>
      <w:r w:rsidRPr="00990684">
        <w:rPr>
          <w:rFonts w:ascii="Times New Roman" w:hAnsi="Times New Roman" w:cs="Times New Roman"/>
          <w:i/>
          <w:iCs/>
        </w:rPr>
        <w:t>Ferguson v Astrea Asset Management Ltd</w:t>
      </w:r>
      <w:r w:rsidRPr="00990684">
        <w:rPr>
          <w:rFonts w:ascii="Times New Roman" w:hAnsi="Times New Roman" w:cs="Times New Roman"/>
        </w:rPr>
        <w:t xml:space="preserve"> (UKEAT/0139/19) reaffirmed this narrow approach by invalidating even beneficial changes made in anticipation of a TUPE transfer. This highlights the need for legal caution when considering any post-transfer variations.</w:t>
      </w:r>
    </w:p>
    <w:p w14:paraId="60CDC193" w14:textId="77777777" w:rsidR="00990684" w:rsidRPr="007F55A9" w:rsidRDefault="00990684" w:rsidP="00B166FC">
      <w:pPr>
        <w:pStyle w:val="Heading3"/>
        <w:spacing w:line="600" w:lineRule="auto"/>
        <w:rPr>
          <w:rFonts w:ascii="Times New Roman" w:hAnsi="Times New Roman" w:cs="Times New Roman"/>
          <w:color w:val="auto"/>
          <w:sz w:val="24"/>
          <w:szCs w:val="24"/>
        </w:rPr>
      </w:pPr>
      <w:bookmarkStart w:id="21" w:name="_Toc198558259"/>
      <w:r w:rsidRPr="007F55A9">
        <w:rPr>
          <w:rFonts w:ascii="Times New Roman" w:hAnsi="Times New Roman" w:cs="Times New Roman"/>
          <w:color w:val="auto"/>
          <w:sz w:val="24"/>
          <w:szCs w:val="24"/>
        </w:rPr>
        <w:t>3.2 Due Diligence Requirements</w:t>
      </w:r>
      <w:bookmarkEnd w:id="21"/>
    </w:p>
    <w:p w14:paraId="50880536" w14:textId="77777777" w:rsidR="00990684" w:rsidRPr="00990684" w:rsidRDefault="00990684" w:rsidP="007F55A9">
      <w:pPr>
        <w:spacing w:line="600" w:lineRule="auto"/>
        <w:jc w:val="both"/>
        <w:rPr>
          <w:rFonts w:ascii="Times New Roman" w:hAnsi="Times New Roman" w:cs="Times New Roman"/>
        </w:rPr>
      </w:pPr>
      <w:r w:rsidRPr="00990684">
        <w:rPr>
          <w:rFonts w:ascii="Times New Roman" w:hAnsi="Times New Roman" w:cs="Times New Roman"/>
        </w:rPr>
        <w:t>Prior to completion, the Board must carry out thorough due diligence, particularly around employment contracts, collective agreements, pensions, grievances, and litigation risk (DavidsonMorris, 2024). This will clarify obligations the Board will inherit under Regulation 4. Employees who are “assigned” to the business at the time of transfer automatically become employees of the new employer. However, the scope of "assignment" must be carefully assessed, especially for staff with shared or temporary roles (Wynn-Evans, 2020).</w:t>
      </w:r>
    </w:p>
    <w:p w14:paraId="0D3CB62C" w14:textId="77777777" w:rsidR="00990684" w:rsidRPr="007F55A9" w:rsidRDefault="00990684" w:rsidP="00B166FC">
      <w:pPr>
        <w:pStyle w:val="Heading3"/>
        <w:spacing w:line="600" w:lineRule="auto"/>
        <w:rPr>
          <w:rFonts w:ascii="Times New Roman" w:hAnsi="Times New Roman" w:cs="Times New Roman"/>
          <w:color w:val="auto"/>
          <w:sz w:val="24"/>
          <w:szCs w:val="24"/>
        </w:rPr>
      </w:pPr>
      <w:bookmarkStart w:id="22" w:name="_Toc198558260"/>
      <w:r w:rsidRPr="007F55A9">
        <w:rPr>
          <w:rFonts w:ascii="Times New Roman" w:hAnsi="Times New Roman" w:cs="Times New Roman"/>
          <w:color w:val="auto"/>
          <w:sz w:val="24"/>
          <w:szCs w:val="24"/>
        </w:rPr>
        <w:t>3.3 Consultation and Communication Duties</w:t>
      </w:r>
      <w:bookmarkEnd w:id="22"/>
    </w:p>
    <w:p w14:paraId="6D256962" w14:textId="77777777" w:rsidR="00990684" w:rsidRPr="00990684" w:rsidRDefault="00990684" w:rsidP="007F55A9">
      <w:pPr>
        <w:spacing w:line="600" w:lineRule="auto"/>
        <w:jc w:val="both"/>
        <w:rPr>
          <w:rFonts w:ascii="Times New Roman" w:hAnsi="Times New Roman" w:cs="Times New Roman"/>
        </w:rPr>
      </w:pPr>
      <w:r w:rsidRPr="00990684">
        <w:rPr>
          <w:rFonts w:ascii="Times New Roman" w:hAnsi="Times New Roman" w:cs="Times New Roman"/>
        </w:rPr>
        <w:t>TUPE imposes a statutory duty on both the outgoing and incoming employers to inform, and where appropriate, consult with employees or their representatives regarding the transfer. Regulation 13 requires the provision of information on the reasons for the transfer, its legal, economic and social implications, and any measures being proposed (Bowers, 2015). Failure to consult can lead to protective awards of up to 90 days' gross pay per affected employee (ACAS, 2024).</w:t>
      </w:r>
    </w:p>
    <w:p w14:paraId="4F48C5AB" w14:textId="77777777" w:rsidR="00990684" w:rsidRPr="00990684" w:rsidRDefault="00990684" w:rsidP="007F55A9">
      <w:pPr>
        <w:spacing w:line="600" w:lineRule="auto"/>
        <w:jc w:val="both"/>
        <w:rPr>
          <w:rFonts w:ascii="Times New Roman" w:hAnsi="Times New Roman" w:cs="Times New Roman"/>
        </w:rPr>
      </w:pPr>
      <w:r w:rsidRPr="00990684">
        <w:rPr>
          <w:rFonts w:ascii="Times New Roman" w:hAnsi="Times New Roman" w:cs="Times New Roman"/>
        </w:rPr>
        <w:t>As the acquiring employer, the Board must ensure close collaboration with the seller to meet these obligations. If redundancies or restructuring are anticipated, early, meaningful consultation is legally essential and morally prudent. Timely engagement demonstrates compliance and helps reduce workforce anxiety and disruption (CIPD, 2023).</w:t>
      </w:r>
    </w:p>
    <w:p w14:paraId="35D40EB5" w14:textId="77777777" w:rsidR="00990684" w:rsidRPr="007F55A9" w:rsidRDefault="00990684" w:rsidP="001D7841">
      <w:pPr>
        <w:pStyle w:val="Heading3"/>
        <w:spacing w:line="600" w:lineRule="auto"/>
        <w:rPr>
          <w:rFonts w:ascii="Times New Roman" w:hAnsi="Times New Roman" w:cs="Times New Roman"/>
          <w:color w:val="auto"/>
          <w:sz w:val="24"/>
          <w:szCs w:val="24"/>
        </w:rPr>
      </w:pPr>
      <w:bookmarkStart w:id="23" w:name="_Toc198558261"/>
      <w:r w:rsidRPr="007F55A9">
        <w:rPr>
          <w:rFonts w:ascii="Times New Roman" w:hAnsi="Times New Roman" w:cs="Times New Roman"/>
          <w:color w:val="auto"/>
          <w:sz w:val="24"/>
          <w:szCs w:val="24"/>
        </w:rPr>
        <w:t>3.4 Preservation of Terms and Conditions</w:t>
      </w:r>
      <w:bookmarkEnd w:id="23"/>
    </w:p>
    <w:p w14:paraId="23450A93" w14:textId="77777777" w:rsidR="00990684" w:rsidRPr="00990684" w:rsidRDefault="00990684" w:rsidP="007F55A9">
      <w:pPr>
        <w:spacing w:line="600" w:lineRule="auto"/>
        <w:jc w:val="both"/>
        <w:rPr>
          <w:rFonts w:ascii="Times New Roman" w:hAnsi="Times New Roman" w:cs="Times New Roman"/>
        </w:rPr>
      </w:pPr>
      <w:r w:rsidRPr="00990684">
        <w:rPr>
          <w:rFonts w:ascii="Times New Roman" w:hAnsi="Times New Roman" w:cs="Times New Roman"/>
        </w:rPr>
        <w:t>Under Regulation 4, the transferee must preserve the transferring employees’ existing terms and conditions, including pay, holiday, working hours and benefits (TUPE 2006; Wynn-Evans, 2020). Attempting to harmonise or alter these terms post-transfer risks breaching TUPE unless changes are unconnected to the transfer and agreed with employees following consultation.</w:t>
      </w:r>
    </w:p>
    <w:p w14:paraId="2AB3748F" w14:textId="77777777" w:rsidR="00990684" w:rsidRPr="00990684" w:rsidRDefault="00990684" w:rsidP="007F55A9">
      <w:pPr>
        <w:spacing w:line="600" w:lineRule="auto"/>
        <w:jc w:val="both"/>
        <w:rPr>
          <w:rFonts w:ascii="Times New Roman" w:hAnsi="Times New Roman" w:cs="Times New Roman"/>
        </w:rPr>
      </w:pPr>
      <w:r w:rsidRPr="00990684">
        <w:rPr>
          <w:rFonts w:ascii="Times New Roman" w:hAnsi="Times New Roman" w:cs="Times New Roman"/>
        </w:rPr>
        <w:t>Even where changes are business-driven, employers must be able to demonstrate that they stem from an ETO reason and follow a fair process. Failure to do so could expose the Board to claims of constructive dismissal, unlawful detriment, or breach of contract.</w:t>
      </w:r>
    </w:p>
    <w:p w14:paraId="418B4C8B" w14:textId="77777777" w:rsidR="00990684" w:rsidRPr="007F55A9" w:rsidRDefault="00990684" w:rsidP="001D7841">
      <w:pPr>
        <w:pStyle w:val="Heading3"/>
        <w:spacing w:line="600" w:lineRule="auto"/>
        <w:rPr>
          <w:rFonts w:ascii="Times New Roman" w:hAnsi="Times New Roman" w:cs="Times New Roman"/>
          <w:color w:val="auto"/>
          <w:sz w:val="24"/>
          <w:szCs w:val="24"/>
        </w:rPr>
      </w:pPr>
      <w:bookmarkStart w:id="24" w:name="_Toc198558262"/>
      <w:r w:rsidRPr="007F55A9">
        <w:rPr>
          <w:rFonts w:ascii="Times New Roman" w:hAnsi="Times New Roman" w:cs="Times New Roman"/>
          <w:color w:val="auto"/>
          <w:sz w:val="24"/>
          <w:szCs w:val="24"/>
        </w:rPr>
        <w:t>3.5 Managing Redundancies</w:t>
      </w:r>
      <w:bookmarkEnd w:id="24"/>
    </w:p>
    <w:p w14:paraId="18044BFC" w14:textId="77777777" w:rsidR="00990684" w:rsidRPr="00990684" w:rsidRDefault="00990684" w:rsidP="005C7947">
      <w:pPr>
        <w:spacing w:line="600" w:lineRule="auto"/>
        <w:jc w:val="both"/>
        <w:rPr>
          <w:rFonts w:ascii="Times New Roman" w:hAnsi="Times New Roman" w:cs="Times New Roman"/>
        </w:rPr>
      </w:pPr>
      <w:r w:rsidRPr="00990684">
        <w:rPr>
          <w:rFonts w:ascii="Times New Roman" w:hAnsi="Times New Roman" w:cs="Times New Roman"/>
        </w:rPr>
        <w:t xml:space="preserve">The proposed retention of 75 out of 100 employees suggests that redundancies may follow the transfer. Dismissals made </w:t>
      </w:r>
      <w:r w:rsidRPr="00990684">
        <w:rPr>
          <w:rFonts w:ascii="Times New Roman" w:hAnsi="Times New Roman" w:cs="Times New Roman"/>
          <w:i/>
          <w:iCs/>
        </w:rPr>
        <w:t>because of</w:t>
      </w:r>
      <w:r w:rsidRPr="00990684">
        <w:rPr>
          <w:rFonts w:ascii="Times New Roman" w:hAnsi="Times New Roman" w:cs="Times New Roman"/>
        </w:rPr>
        <w:t xml:space="preserve"> the transfer are automatically unfair unless justified by an ETO reason and follow a fair selection and consultation process (Stevens &amp; Hannibal, 2023). To lawfully proceed, the Board must establish objective redundancy criteria, ensure non-discriminatory selection, and consult appropriately, in line with the Equality Act 2010 and ACAS guidance (ACAS, n.d.; Business Disability Forum, n.d.).</w:t>
      </w:r>
    </w:p>
    <w:p w14:paraId="77E3D411" w14:textId="77777777" w:rsidR="00990684" w:rsidRPr="001D7841" w:rsidRDefault="00990684" w:rsidP="005C7947">
      <w:pPr>
        <w:spacing w:line="600" w:lineRule="auto"/>
        <w:jc w:val="both"/>
        <w:rPr>
          <w:rFonts w:ascii="Times New Roman" w:hAnsi="Times New Roman" w:cs="Times New Roman"/>
        </w:rPr>
      </w:pPr>
      <w:r w:rsidRPr="001D7841">
        <w:rPr>
          <w:rFonts w:ascii="Times New Roman" w:hAnsi="Times New Roman" w:cs="Times New Roman"/>
        </w:rPr>
        <w:t>Research cautions against over-reliance on redundancy as a cost-saving tool. Studies show it can harm morale, reduce productivity, and damage brand reputation (Gandolfi &amp; Hansson, 2011; Cascio, 2013). While financial considerations may justify some redundancies, the Board should also assess alternatives, such as redeployment or voluntary exit schemes.</w:t>
      </w:r>
    </w:p>
    <w:p w14:paraId="43DB82AD" w14:textId="77777777" w:rsidR="001D7841" w:rsidRPr="00D932AB" w:rsidRDefault="001D7841" w:rsidP="001D7841">
      <w:pPr>
        <w:pStyle w:val="Heading3"/>
        <w:spacing w:line="600" w:lineRule="auto"/>
        <w:rPr>
          <w:rFonts w:ascii="Times New Roman" w:hAnsi="Times New Roman" w:cs="Times New Roman"/>
          <w:color w:val="auto"/>
          <w:sz w:val="24"/>
          <w:szCs w:val="24"/>
        </w:rPr>
      </w:pPr>
      <w:bookmarkStart w:id="25" w:name="_Toc198558263"/>
      <w:r w:rsidRPr="00D932AB">
        <w:rPr>
          <w:rFonts w:ascii="Times New Roman" w:hAnsi="Times New Roman" w:cs="Times New Roman"/>
          <w:color w:val="auto"/>
          <w:sz w:val="24"/>
          <w:szCs w:val="24"/>
        </w:rPr>
        <w:t>3.6 Risks of Non-Compliance</w:t>
      </w:r>
      <w:bookmarkEnd w:id="25"/>
    </w:p>
    <w:p w14:paraId="5730FE83" w14:textId="77777777" w:rsidR="001D7841" w:rsidRPr="001D7841" w:rsidRDefault="001D7841" w:rsidP="00D932AB">
      <w:pPr>
        <w:spacing w:line="600" w:lineRule="auto"/>
        <w:jc w:val="both"/>
        <w:rPr>
          <w:rFonts w:ascii="Times New Roman" w:hAnsi="Times New Roman" w:cs="Times New Roman"/>
        </w:rPr>
      </w:pPr>
      <w:r w:rsidRPr="001D7841">
        <w:rPr>
          <w:rFonts w:ascii="Times New Roman" w:hAnsi="Times New Roman" w:cs="Times New Roman"/>
        </w:rPr>
        <w:t>Failure to comply with TUPE obligations can result in serious legal and financial consequences. Dismissals resulting solely from the transfer, without a valid economic, technical, or organisational (ETO) reason, are likely to be deemed automatically unfair (Stevens &amp; Hannibal, 2023). This exposes the Board to tribunal claims, compensation awards, and reputational damage.</w:t>
      </w:r>
    </w:p>
    <w:p w14:paraId="0DA0D55D" w14:textId="77777777" w:rsidR="001D7841" w:rsidRPr="001D7841" w:rsidRDefault="001D7841" w:rsidP="0069732D">
      <w:pPr>
        <w:spacing w:line="600" w:lineRule="auto"/>
        <w:jc w:val="both"/>
        <w:rPr>
          <w:rFonts w:ascii="Times New Roman" w:hAnsi="Times New Roman" w:cs="Times New Roman"/>
        </w:rPr>
      </w:pPr>
      <w:r w:rsidRPr="001D7841">
        <w:rPr>
          <w:rFonts w:ascii="Times New Roman" w:hAnsi="Times New Roman" w:cs="Times New Roman"/>
        </w:rPr>
        <w:t>Additionally, failure to inform and consult with employees or their representatives can lead to protective awards of up to 90 days’ gross pay per affected employee (ACAS, 2024). Even where changes to employment terms are intended to benefit staff, they are likely to be void if made solely due to the transfer (Ferguson v Astrea Asset Management Ltd).</w:t>
      </w:r>
    </w:p>
    <w:p w14:paraId="6E26083B" w14:textId="77777777" w:rsidR="001D7841" w:rsidRPr="001D7841" w:rsidRDefault="001D7841" w:rsidP="0069732D">
      <w:pPr>
        <w:spacing w:line="600" w:lineRule="auto"/>
        <w:jc w:val="both"/>
        <w:rPr>
          <w:rFonts w:ascii="Times New Roman" w:hAnsi="Times New Roman" w:cs="Times New Roman"/>
        </w:rPr>
      </w:pPr>
      <w:r w:rsidRPr="001D7841">
        <w:rPr>
          <w:rFonts w:ascii="Times New Roman" w:hAnsi="Times New Roman" w:cs="Times New Roman"/>
        </w:rPr>
        <w:t>There is also a risk of breaching the Equality Act 2010 if redundancy criteria disproportionately impact protected groups. For example, using absence records without considering underlying medical conditions could amount to indirect discrimination (Business Disability Forum, n.d.).</w:t>
      </w:r>
    </w:p>
    <w:p w14:paraId="4416A928" w14:textId="77777777" w:rsidR="001D7841" w:rsidRPr="001D7841" w:rsidRDefault="001D7841" w:rsidP="0069732D">
      <w:pPr>
        <w:spacing w:line="600" w:lineRule="auto"/>
        <w:jc w:val="both"/>
        <w:rPr>
          <w:rFonts w:ascii="Times New Roman" w:hAnsi="Times New Roman" w:cs="Times New Roman"/>
        </w:rPr>
      </w:pPr>
      <w:r w:rsidRPr="001D7841">
        <w:rPr>
          <w:rFonts w:ascii="Times New Roman" w:hAnsi="Times New Roman" w:cs="Times New Roman"/>
        </w:rPr>
        <w:t>Beyond legal exposure, mishandling the transfer can damage morale, increase staff turnover, and harm the organisation’s reputation. In a competitive sector, these consequences can hinder recruitment and undermine the long-term success of the acquisition.</w:t>
      </w:r>
    </w:p>
    <w:p w14:paraId="346448C3" w14:textId="77777777" w:rsidR="001D7841" w:rsidRPr="0069732D" w:rsidRDefault="001D7841" w:rsidP="001D7841">
      <w:pPr>
        <w:pStyle w:val="Heading3"/>
        <w:spacing w:line="600" w:lineRule="auto"/>
        <w:rPr>
          <w:rFonts w:ascii="Times New Roman" w:hAnsi="Times New Roman" w:cs="Times New Roman"/>
          <w:color w:val="auto"/>
          <w:sz w:val="24"/>
          <w:szCs w:val="24"/>
        </w:rPr>
      </w:pPr>
      <w:bookmarkStart w:id="26" w:name="_Toc198558264"/>
      <w:r w:rsidRPr="0069732D">
        <w:rPr>
          <w:rFonts w:ascii="Times New Roman" w:hAnsi="Times New Roman" w:cs="Times New Roman"/>
          <w:color w:val="auto"/>
          <w:sz w:val="24"/>
          <w:szCs w:val="24"/>
        </w:rPr>
        <w:t>3.7 Conclusion and Recommendations</w:t>
      </w:r>
      <w:bookmarkEnd w:id="26"/>
    </w:p>
    <w:p w14:paraId="06482388" w14:textId="77777777" w:rsidR="001D7841" w:rsidRPr="001D7841" w:rsidRDefault="001D7841" w:rsidP="0069732D">
      <w:pPr>
        <w:spacing w:line="600" w:lineRule="auto"/>
        <w:jc w:val="both"/>
        <w:rPr>
          <w:rFonts w:ascii="Times New Roman" w:hAnsi="Times New Roman" w:cs="Times New Roman"/>
        </w:rPr>
      </w:pPr>
      <w:r w:rsidRPr="001D7841">
        <w:rPr>
          <w:rFonts w:ascii="Times New Roman" w:hAnsi="Times New Roman" w:cs="Times New Roman"/>
        </w:rPr>
        <w:t>The Board must approach the Swansea hotel acquisition with careful adherence to TUPE obligations. This includes carrying out due diligence, preserving terms and conditions, consulting affected staff, and ensuring any redundancies are fair and legally justified.</w:t>
      </w:r>
    </w:p>
    <w:p w14:paraId="1887BED9" w14:textId="77777777" w:rsidR="001D7841" w:rsidRPr="001D7841" w:rsidRDefault="001D7841" w:rsidP="0069732D">
      <w:pPr>
        <w:spacing w:line="600" w:lineRule="auto"/>
        <w:jc w:val="both"/>
        <w:rPr>
          <w:rFonts w:ascii="Times New Roman" w:hAnsi="Times New Roman" w:cs="Times New Roman"/>
        </w:rPr>
      </w:pPr>
      <w:r w:rsidRPr="001D7841">
        <w:rPr>
          <w:rFonts w:ascii="Times New Roman" w:hAnsi="Times New Roman" w:cs="Times New Roman"/>
        </w:rPr>
        <w:t>To mitigate risk, the Board should engage experienced employment law and HR professionals to guide the transfer process. This support will help ensure lawful consultation, appropriate ETO reasoning, and defensible redundancy decisions.</w:t>
      </w:r>
    </w:p>
    <w:p w14:paraId="2AB14547" w14:textId="77777777" w:rsidR="001D7841" w:rsidRPr="001D7841" w:rsidRDefault="001D7841" w:rsidP="0069732D">
      <w:pPr>
        <w:spacing w:line="600" w:lineRule="auto"/>
        <w:jc w:val="both"/>
        <w:rPr>
          <w:rFonts w:ascii="Times New Roman" w:hAnsi="Times New Roman" w:cs="Times New Roman"/>
        </w:rPr>
      </w:pPr>
      <w:r w:rsidRPr="001D7841">
        <w:rPr>
          <w:rFonts w:ascii="Times New Roman" w:hAnsi="Times New Roman" w:cs="Times New Roman"/>
        </w:rPr>
        <w:t>Ultimately, TUPE compliance is not just a legal necessity but a reflection of principled leadership. By aligning business decisions with fair and ethical employment practices, the Board can safeguard both legal interests and long-term workforce stability.</w:t>
      </w:r>
    </w:p>
    <w:p w14:paraId="408A3556" w14:textId="77777777" w:rsidR="0029635B" w:rsidRPr="00B166FC" w:rsidRDefault="0029635B" w:rsidP="00B166FC">
      <w:pPr>
        <w:spacing w:line="600" w:lineRule="auto"/>
        <w:rPr>
          <w:rFonts w:ascii="Times New Roman" w:hAnsi="Times New Roman" w:cs="Times New Roman"/>
        </w:rPr>
      </w:pPr>
    </w:p>
    <w:p w14:paraId="17F1D816" w14:textId="4229565E" w:rsidR="455878F7" w:rsidRPr="0069732D" w:rsidRDefault="455878F7" w:rsidP="00DB58CB">
      <w:pPr>
        <w:pStyle w:val="Heading2"/>
        <w:jc w:val="both"/>
        <w:rPr>
          <w:rFonts w:ascii="Times New Roman" w:hAnsi="Times New Roman" w:cs="Times New Roman"/>
          <w:color w:val="auto"/>
          <w:sz w:val="40"/>
          <w:szCs w:val="40"/>
        </w:rPr>
      </w:pPr>
      <w:bookmarkStart w:id="27" w:name="_Toc198558265"/>
      <w:r w:rsidRPr="0069732D">
        <w:rPr>
          <w:rFonts w:ascii="Times New Roman" w:hAnsi="Times New Roman" w:cs="Times New Roman"/>
          <w:color w:val="auto"/>
          <w:sz w:val="40"/>
          <w:szCs w:val="40"/>
        </w:rPr>
        <w:t>References</w:t>
      </w:r>
      <w:bookmarkEnd w:id="27"/>
    </w:p>
    <w:p w14:paraId="6178275C" w14:textId="036A24D4" w:rsidR="455878F7" w:rsidRDefault="455878F7" w:rsidP="00DB58CB">
      <w:pPr>
        <w:spacing w:before="240" w:after="240"/>
        <w:jc w:val="both"/>
      </w:pPr>
      <w:r w:rsidRPr="179405E9">
        <w:rPr>
          <w:rFonts w:ascii="Times New Roman" w:eastAsia="Times New Roman" w:hAnsi="Times New Roman" w:cs="Times New Roman"/>
        </w:rPr>
        <w:t>A</w:t>
      </w:r>
      <w:r w:rsidR="001268BD">
        <w:rPr>
          <w:rFonts w:ascii="Times New Roman" w:eastAsia="Times New Roman" w:hAnsi="Times New Roman" w:cs="Times New Roman"/>
        </w:rPr>
        <w:t>CAS</w:t>
      </w:r>
      <w:r w:rsidRPr="179405E9">
        <w:rPr>
          <w:rFonts w:ascii="Times New Roman" w:eastAsia="Times New Roman" w:hAnsi="Times New Roman" w:cs="Times New Roman"/>
        </w:rPr>
        <w:t xml:space="preserve">, (2015) </w:t>
      </w:r>
      <w:r w:rsidRPr="179405E9">
        <w:rPr>
          <w:rFonts w:ascii="Times New Roman" w:eastAsia="Times New Roman" w:hAnsi="Times New Roman" w:cs="Times New Roman"/>
          <w:i/>
          <w:iCs/>
        </w:rPr>
        <w:t>Disciplinary and grievance procedures</w:t>
      </w:r>
      <w:r w:rsidR="001268BD">
        <w:t xml:space="preserve"> </w:t>
      </w:r>
      <w:r w:rsidRPr="179405E9">
        <w:rPr>
          <w:rFonts w:ascii="Times New Roman" w:eastAsia="Times New Roman" w:hAnsi="Times New Roman" w:cs="Times New Roman"/>
        </w:rPr>
        <w:t xml:space="preserve">Available at: </w:t>
      </w:r>
      <w:hyperlink r:id="rId11">
        <w:r w:rsidRPr="179405E9">
          <w:rPr>
            <w:rStyle w:val="Hyperlink"/>
            <w:rFonts w:ascii="Times New Roman" w:eastAsia="Times New Roman" w:hAnsi="Times New Roman" w:cs="Times New Roman"/>
          </w:rPr>
          <w:t>https://www.acas.org.uk/disciplinary-and-grievance-procedures</w:t>
        </w:r>
      </w:hyperlink>
      <w:r w:rsidRPr="179405E9">
        <w:rPr>
          <w:rFonts w:ascii="Times New Roman" w:eastAsia="Times New Roman" w:hAnsi="Times New Roman" w:cs="Times New Roman"/>
        </w:rPr>
        <w:t xml:space="preserve"> (Accessed: 8 May 2025)</w:t>
      </w:r>
    </w:p>
    <w:p w14:paraId="15C83E15" w14:textId="2C22FBE1" w:rsidR="455878F7" w:rsidRDefault="455878F7" w:rsidP="00DB58CB">
      <w:pPr>
        <w:spacing w:before="240" w:after="240"/>
        <w:jc w:val="both"/>
      </w:pPr>
      <w:r w:rsidRPr="179405E9">
        <w:rPr>
          <w:rFonts w:ascii="Times New Roman" w:eastAsia="Times New Roman" w:hAnsi="Times New Roman" w:cs="Times New Roman"/>
        </w:rPr>
        <w:t>A</w:t>
      </w:r>
      <w:r w:rsidR="001268BD">
        <w:rPr>
          <w:rFonts w:ascii="Times New Roman" w:eastAsia="Times New Roman" w:hAnsi="Times New Roman" w:cs="Times New Roman"/>
        </w:rPr>
        <w:t>CAS</w:t>
      </w:r>
      <w:r w:rsidRPr="179405E9">
        <w:rPr>
          <w:rFonts w:ascii="Times New Roman" w:eastAsia="Times New Roman" w:hAnsi="Times New Roman" w:cs="Times New Roman"/>
        </w:rPr>
        <w:t xml:space="preserve">, (2022) </w:t>
      </w:r>
      <w:r w:rsidRPr="179405E9">
        <w:rPr>
          <w:rFonts w:ascii="Times New Roman" w:eastAsia="Times New Roman" w:hAnsi="Times New Roman" w:cs="Times New Roman"/>
          <w:i/>
          <w:iCs/>
        </w:rPr>
        <w:t>Handling TUPE transfers</w:t>
      </w:r>
      <w:r w:rsidRPr="179405E9">
        <w:rPr>
          <w:rFonts w:ascii="Times New Roman" w:eastAsia="Times New Roman" w:hAnsi="Times New Roman" w:cs="Times New Roman"/>
        </w:rPr>
        <w:t xml:space="preserve"> [online]</w:t>
      </w:r>
      <w:r w:rsidR="001268BD">
        <w:t xml:space="preserve"> </w:t>
      </w:r>
      <w:r w:rsidRPr="179405E9">
        <w:rPr>
          <w:rFonts w:ascii="Times New Roman" w:eastAsia="Times New Roman" w:hAnsi="Times New Roman" w:cs="Times New Roman"/>
        </w:rPr>
        <w:t xml:space="preserve">Available at: </w:t>
      </w:r>
      <w:hyperlink r:id="rId12">
        <w:r w:rsidRPr="179405E9">
          <w:rPr>
            <w:rStyle w:val="Hyperlink"/>
            <w:rFonts w:ascii="Times New Roman" w:eastAsia="Times New Roman" w:hAnsi="Times New Roman" w:cs="Times New Roman"/>
          </w:rPr>
          <w:t>https://www.acas.org.uk/handling-employee-transfers-tupe</w:t>
        </w:r>
      </w:hyperlink>
      <w:r w:rsidRPr="179405E9">
        <w:rPr>
          <w:rFonts w:ascii="Times New Roman" w:eastAsia="Times New Roman" w:hAnsi="Times New Roman" w:cs="Times New Roman"/>
        </w:rPr>
        <w:t xml:space="preserve"> (Accessed: 24 April 2025)</w:t>
      </w:r>
    </w:p>
    <w:p w14:paraId="50CFDDE7" w14:textId="0EC28D71" w:rsidR="455878F7" w:rsidRDefault="455878F7" w:rsidP="00DB58CB">
      <w:pPr>
        <w:spacing w:before="240" w:after="240"/>
        <w:jc w:val="both"/>
      </w:pPr>
      <w:r w:rsidRPr="179405E9">
        <w:rPr>
          <w:rFonts w:ascii="Times New Roman" w:eastAsia="Times New Roman" w:hAnsi="Times New Roman" w:cs="Times New Roman"/>
        </w:rPr>
        <w:t>A</w:t>
      </w:r>
      <w:r w:rsidR="001268BD">
        <w:rPr>
          <w:rFonts w:ascii="Times New Roman" w:eastAsia="Times New Roman" w:hAnsi="Times New Roman" w:cs="Times New Roman"/>
        </w:rPr>
        <w:t>CAS</w:t>
      </w:r>
      <w:r w:rsidRPr="179405E9">
        <w:rPr>
          <w:rFonts w:ascii="Times New Roman" w:eastAsia="Times New Roman" w:hAnsi="Times New Roman" w:cs="Times New Roman"/>
        </w:rPr>
        <w:t xml:space="preserve">, (2022) </w:t>
      </w:r>
      <w:r w:rsidRPr="179405E9">
        <w:rPr>
          <w:rFonts w:ascii="Times New Roman" w:eastAsia="Times New Roman" w:hAnsi="Times New Roman" w:cs="Times New Roman"/>
          <w:i/>
          <w:iCs/>
        </w:rPr>
        <w:t>Managing redundancy</w:t>
      </w:r>
      <w:r w:rsidRPr="179405E9">
        <w:rPr>
          <w:rFonts w:ascii="Times New Roman" w:eastAsia="Times New Roman" w:hAnsi="Times New Roman" w:cs="Times New Roman"/>
        </w:rPr>
        <w:t xml:space="preserve"> [online]</w:t>
      </w:r>
      <w:r w:rsidR="001268BD">
        <w:t xml:space="preserve"> </w:t>
      </w:r>
      <w:r w:rsidRPr="179405E9">
        <w:rPr>
          <w:rFonts w:ascii="Times New Roman" w:eastAsia="Times New Roman" w:hAnsi="Times New Roman" w:cs="Times New Roman"/>
        </w:rPr>
        <w:t xml:space="preserve">Available at: </w:t>
      </w:r>
      <w:hyperlink r:id="rId13">
        <w:r w:rsidRPr="179405E9">
          <w:rPr>
            <w:rStyle w:val="Hyperlink"/>
            <w:rFonts w:ascii="Times New Roman" w:eastAsia="Times New Roman" w:hAnsi="Times New Roman" w:cs="Times New Roman"/>
          </w:rPr>
          <w:t>https://www.acas.org.uk/managing-redundancy</w:t>
        </w:r>
      </w:hyperlink>
      <w:r w:rsidRPr="179405E9">
        <w:rPr>
          <w:rFonts w:ascii="Times New Roman" w:eastAsia="Times New Roman" w:hAnsi="Times New Roman" w:cs="Times New Roman"/>
        </w:rPr>
        <w:t xml:space="preserve"> (Accessed: 11 May 2025)</w:t>
      </w:r>
    </w:p>
    <w:p w14:paraId="536869E9" w14:textId="48B44E5B" w:rsidR="455878F7" w:rsidRDefault="455878F7" w:rsidP="00DB58CB">
      <w:pPr>
        <w:spacing w:before="240" w:after="240"/>
        <w:jc w:val="both"/>
      </w:pPr>
      <w:r w:rsidRPr="179405E9">
        <w:rPr>
          <w:rFonts w:ascii="Times New Roman" w:eastAsia="Times New Roman" w:hAnsi="Times New Roman" w:cs="Times New Roman"/>
        </w:rPr>
        <w:t>A</w:t>
      </w:r>
      <w:r w:rsidR="001268BD">
        <w:rPr>
          <w:rFonts w:ascii="Times New Roman" w:eastAsia="Times New Roman" w:hAnsi="Times New Roman" w:cs="Times New Roman"/>
        </w:rPr>
        <w:t>CAS</w:t>
      </w:r>
      <w:r w:rsidRPr="179405E9">
        <w:rPr>
          <w:rFonts w:ascii="Times New Roman" w:eastAsia="Times New Roman" w:hAnsi="Times New Roman" w:cs="Times New Roman"/>
        </w:rPr>
        <w:t xml:space="preserve">, (2022) </w:t>
      </w:r>
      <w:r w:rsidRPr="179405E9">
        <w:rPr>
          <w:rFonts w:ascii="Times New Roman" w:eastAsia="Times New Roman" w:hAnsi="Times New Roman" w:cs="Times New Roman"/>
          <w:i/>
          <w:iCs/>
        </w:rPr>
        <w:t>Suspension: out of sight, out of mind?</w:t>
      </w:r>
      <w:r w:rsidR="001268BD">
        <w:t xml:space="preserve"> </w:t>
      </w:r>
      <w:r w:rsidRPr="179405E9">
        <w:rPr>
          <w:rFonts w:ascii="Times New Roman" w:eastAsia="Times New Roman" w:hAnsi="Times New Roman" w:cs="Times New Roman"/>
        </w:rPr>
        <w:t xml:space="preserve">Available at: </w:t>
      </w:r>
      <w:hyperlink r:id="rId14">
        <w:r w:rsidRPr="179405E9">
          <w:rPr>
            <w:rStyle w:val="Hyperlink"/>
            <w:rFonts w:ascii="Times New Roman" w:eastAsia="Times New Roman" w:hAnsi="Times New Roman" w:cs="Times New Roman"/>
          </w:rPr>
          <w:t>https://www.acas.org.uk/suspension-out-of-sight-out-of-mind</w:t>
        </w:r>
      </w:hyperlink>
      <w:r w:rsidRPr="179405E9">
        <w:rPr>
          <w:rFonts w:ascii="Times New Roman" w:eastAsia="Times New Roman" w:hAnsi="Times New Roman" w:cs="Times New Roman"/>
        </w:rPr>
        <w:t xml:space="preserve"> (Accessed: 8 May 2025)</w:t>
      </w:r>
    </w:p>
    <w:p w14:paraId="61CF3081" w14:textId="3077F1CD" w:rsidR="455878F7" w:rsidRDefault="455878F7" w:rsidP="00DB58CB">
      <w:pPr>
        <w:spacing w:before="240" w:after="240"/>
        <w:jc w:val="both"/>
      </w:pPr>
      <w:r w:rsidRPr="179405E9">
        <w:rPr>
          <w:rFonts w:ascii="Times New Roman" w:eastAsia="Times New Roman" w:hAnsi="Times New Roman" w:cs="Times New Roman"/>
        </w:rPr>
        <w:t>A</w:t>
      </w:r>
      <w:r w:rsidR="00E646F6">
        <w:rPr>
          <w:rFonts w:ascii="Times New Roman" w:eastAsia="Times New Roman" w:hAnsi="Times New Roman" w:cs="Times New Roman"/>
        </w:rPr>
        <w:t>CAS</w:t>
      </w:r>
      <w:r w:rsidRPr="179405E9">
        <w:rPr>
          <w:rFonts w:ascii="Times New Roman" w:eastAsia="Times New Roman" w:hAnsi="Times New Roman" w:cs="Times New Roman"/>
        </w:rPr>
        <w:t xml:space="preserve">, (2024) </w:t>
      </w:r>
      <w:r w:rsidRPr="179405E9">
        <w:rPr>
          <w:rFonts w:ascii="Times New Roman" w:eastAsia="Times New Roman" w:hAnsi="Times New Roman" w:cs="Times New Roman"/>
          <w:i/>
          <w:iCs/>
        </w:rPr>
        <w:t>What to inform and consult about – TUPE</w:t>
      </w:r>
      <w:r w:rsidR="001268BD">
        <w:t xml:space="preserve"> </w:t>
      </w:r>
      <w:r w:rsidRPr="179405E9">
        <w:rPr>
          <w:rFonts w:ascii="Times New Roman" w:eastAsia="Times New Roman" w:hAnsi="Times New Roman" w:cs="Times New Roman"/>
        </w:rPr>
        <w:t xml:space="preserve">Available at: </w:t>
      </w:r>
      <w:hyperlink r:id="rId15">
        <w:r w:rsidRPr="179405E9">
          <w:rPr>
            <w:rStyle w:val="Hyperlink"/>
            <w:rFonts w:ascii="Times New Roman" w:eastAsia="Times New Roman" w:hAnsi="Times New Roman" w:cs="Times New Roman"/>
          </w:rPr>
          <w:t>https://www.acas.org.uk/inform-and-consult-staff-in-a-tupe-transfer/what-you-must-inform-and-consult-about</w:t>
        </w:r>
      </w:hyperlink>
      <w:r w:rsidRPr="179405E9">
        <w:rPr>
          <w:rFonts w:ascii="Times New Roman" w:eastAsia="Times New Roman" w:hAnsi="Times New Roman" w:cs="Times New Roman"/>
        </w:rPr>
        <w:t xml:space="preserve"> (Accessed: 13 May 2025)</w:t>
      </w:r>
    </w:p>
    <w:p w14:paraId="17582884" w14:textId="4716C113" w:rsidR="455878F7" w:rsidRDefault="455878F7" w:rsidP="00DB58CB">
      <w:pPr>
        <w:spacing w:before="240" w:after="240"/>
        <w:jc w:val="both"/>
      </w:pPr>
      <w:r w:rsidRPr="179405E9">
        <w:rPr>
          <w:rFonts w:ascii="Times New Roman" w:eastAsia="Times New Roman" w:hAnsi="Times New Roman" w:cs="Times New Roman"/>
        </w:rPr>
        <w:t>A</w:t>
      </w:r>
      <w:r w:rsidR="001268BD">
        <w:rPr>
          <w:rFonts w:ascii="Times New Roman" w:eastAsia="Times New Roman" w:hAnsi="Times New Roman" w:cs="Times New Roman"/>
        </w:rPr>
        <w:t>CAS</w:t>
      </w:r>
      <w:r w:rsidRPr="179405E9">
        <w:rPr>
          <w:rFonts w:ascii="Times New Roman" w:eastAsia="Times New Roman" w:hAnsi="Times New Roman" w:cs="Times New Roman"/>
        </w:rPr>
        <w:t xml:space="preserve">, (n.d.) </w:t>
      </w:r>
      <w:r w:rsidRPr="179405E9">
        <w:rPr>
          <w:rFonts w:ascii="Times New Roman" w:eastAsia="Times New Roman" w:hAnsi="Times New Roman" w:cs="Times New Roman"/>
          <w:i/>
          <w:iCs/>
        </w:rPr>
        <w:t>Managing redundancy</w:t>
      </w:r>
      <w:r w:rsidR="001268BD">
        <w:t xml:space="preserve"> </w:t>
      </w:r>
      <w:r w:rsidRPr="179405E9">
        <w:rPr>
          <w:rFonts w:ascii="Times New Roman" w:eastAsia="Times New Roman" w:hAnsi="Times New Roman" w:cs="Times New Roman"/>
        </w:rPr>
        <w:t xml:space="preserve">Available at: </w:t>
      </w:r>
      <w:hyperlink r:id="rId16">
        <w:r w:rsidRPr="179405E9">
          <w:rPr>
            <w:rStyle w:val="Hyperlink"/>
            <w:rFonts w:ascii="Times New Roman" w:eastAsia="Times New Roman" w:hAnsi="Times New Roman" w:cs="Times New Roman"/>
          </w:rPr>
          <w:t>https://www.acas.org.uk/managing-redundancy</w:t>
        </w:r>
      </w:hyperlink>
      <w:r w:rsidRPr="179405E9">
        <w:rPr>
          <w:rFonts w:ascii="Times New Roman" w:eastAsia="Times New Roman" w:hAnsi="Times New Roman" w:cs="Times New Roman"/>
        </w:rPr>
        <w:t xml:space="preserve"> (Accessed: 13 May 2025)</w:t>
      </w:r>
    </w:p>
    <w:p w14:paraId="739EEB24" w14:textId="70A553CD" w:rsidR="455878F7" w:rsidRDefault="455878F7" w:rsidP="00DB58CB">
      <w:pPr>
        <w:spacing w:before="240" w:after="240"/>
        <w:jc w:val="both"/>
      </w:pPr>
      <w:r w:rsidRPr="179405E9">
        <w:rPr>
          <w:rFonts w:ascii="Times New Roman" w:eastAsia="Times New Roman" w:hAnsi="Times New Roman" w:cs="Times New Roman"/>
        </w:rPr>
        <w:t xml:space="preserve">Business Disability Forum, (n.d.) </w:t>
      </w:r>
      <w:r w:rsidRPr="179405E9">
        <w:rPr>
          <w:rFonts w:ascii="Times New Roman" w:eastAsia="Times New Roman" w:hAnsi="Times New Roman" w:cs="Times New Roman"/>
          <w:i/>
          <w:iCs/>
        </w:rPr>
        <w:t>Disability and redundancy</w:t>
      </w:r>
      <w:r w:rsidR="001268BD">
        <w:t xml:space="preserve"> </w:t>
      </w:r>
      <w:r w:rsidRPr="179405E9">
        <w:rPr>
          <w:rFonts w:ascii="Times New Roman" w:eastAsia="Times New Roman" w:hAnsi="Times New Roman" w:cs="Times New Roman"/>
        </w:rPr>
        <w:t xml:space="preserve">Available at: </w:t>
      </w:r>
      <w:hyperlink r:id="rId17">
        <w:r w:rsidRPr="179405E9">
          <w:rPr>
            <w:rStyle w:val="Hyperlink"/>
            <w:rFonts w:ascii="Times New Roman" w:eastAsia="Times New Roman" w:hAnsi="Times New Roman" w:cs="Times New Roman"/>
          </w:rPr>
          <w:t>https://businessdisabilityforum.org.uk</w:t>
        </w:r>
      </w:hyperlink>
      <w:r w:rsidRPr="179405E9">
        <w:rPr>
          <w:rFonts w:ascii="Times New Roman" w:eastAsia="Times New Roman" w:hAnsi="Times New Roman" w:cs="Times New Roman"/>
        </w:rPr>
        <w:t xml:space="preserve"> (Accessed: 13 May 2025)</w:t>
      </w:r>
    </w:p>
    <w:p w14:paraId="783FB7F2" w14:textId="0DAB1381" w:rsidR="455878F7" w:rsidRDefault="455878F7" w:rsidP="00DB58CB">
      <w:pPr>
        <w:spacing w:before="240" w:after="240"/>
        <w:jc w:val="both"/>
      </w:pPr>
      <w:r w:rsidRPr="179405E9">
        <w:rPr>
          <w:rFonts w:ascii="Times New Roman" w:eastAsia="Times New Roman" w:hAnsi="Times New Roman" w:cs="Times New Roman"/>
        </w:rPr>
        <w:t xml:space="preserve">Business Disability Forum, (n.d.) </w:t>
      </w:r>
      <w:r w:rsidRPr="179405E9">
        <w:rPr>
          <w:rFonts w:ascii="Times New Roman" w:eastAsia="Times New Roman" w:hAnsi="Times New Roman" w:cs="Times New Roman"/>
          <w:i/>
          <w:iCs/>
        </w:rPr>
        <w:t>Redundancy and redeployment toolkit</w:t>
      </w:r>
      <w:r w:rsidR="001268BD">
        <w:t xml:space="preserve"> </w:t>
      </w:r>
      <w:r w:rsidRPr="179405E9">
        <w:rPr>
          <w:rFonts w:ascii="Times New Roman" w:eastAsia="Times New Roman" w:hAnsi="Times New Roman" w:cs="Times New Roman"/>
        </w:rPr>
        <w:t xml:space="preserve">Available at: </w:t>
      </w:r>
      <w:hyperlink r:id="rId18">
        <w:r w:rsidRPr="179405E9">
          <w:rPr>
            <w:rStyle w:val="Hyperlink"/>
            <w:rFonts w:ascii="Times New Roman" w:eastAsia="Times New Roman" w:hAnsi="Times New Roman" w:cs="Times New Roman"/>
          </w:rPr>
          <w:t>https://businessdisabilityforum.org.uk/resource/redundancy-and-redeployment-toolkit/selection-criteria-for-redundancy-ensuring-procedures-are-fair-and-non-discriminatory/?utm_source=chatgpt.com</w:t>
        </w:r>
      </w:hyperlink>
      <w:r w:rsidRPr="179405E9">
        <w:rPr>
          <w:rFonts w:ascii="Times New Roman" w:eastAsia="Times New Roman" w:hAnsi="Times New Roman" w:cs="Times New Roman"/>
        </w:rPr>
        <w:t xml:space="preserve"> (Accessed: 13 May 2025)</w:t>
      </w:r>
    </w:p>
    <w:p w14:paraId="42902F0C" w14:textId="42811712" w:rsidR="455878F7" w:rsidRDefault="455878F7" w:rsidP="00DB58CB">
      <w:pPr>
        <w:spacing w:before="240" w:after="240"/>
        <w:jc w:val="both"/>
      </w:pPr>
      <w:r w:rsidRPr="179405E9">
        <w:rPr>
          <w:rFonts w:ascii="Times New Roman" w:eastAsia="Times New Roman" w:hAnsi="Times New Roman" w:cs="Times New Roman"/>
        </w:rPr>
        <w:t xml:space="preserve">CIPD, (2023) </w:t>
      </w:r>
      <w:r w:rsidRPr="179405E9">
        <w:rPr>
          <w:rFonts w:ascii="Times New Roman" w:eastAsia="Times New Roman" w:hAnsi="Times New Roman" w:cs="Times New Roman"/>
          <w:i/>
          <w:iCs/>
        </w:rPr>
        <w:t>Planning and managing redundancy</w:t>
      </w:r>
      <w:r w:rsidRPr="179405E9">
        <w:rPr>
          <w:rFonts w:ascii="Times New Roman" w:eastAsia="Times New Roman" w:hAnsi="Times New Roman" w:cs="Times New Roman"/>
        </w:rPr>
        <w:t xml:space="preserve"> [online]</w:t>
      </w:r>
      <w:r w:rsidR="001268BD">
        <w:t xml:space="preserve"> </w:t>
      </w:r>
      <w:r w:rsidRPr="179405E9">
        <w:rPr>
          <w:rFonts w:ascii="Times New Roman" w:eastAsia="Times New Roman" w:hAnsi="Times New Roman" w:cs="Times New Roman"/>
        </w:rPr>
        <w:t xml:space="preserve">Available at: </w:t>
      </w:r>
      <w:hyperlink r:id="rId19">
        <w:r w:rsidRPr="179405E9">
          <w:rPr>
            <w:rStyle w:val="Hyperlink"/>
            <w:rFonts w:ascii="Times New Roman" w:eastAsia="Times New Roman" w:hAnsi="Times New Roman" w:cs="Times New Roman"/>
          </w:rPr>
          <w:t>https://www.cipd.org/uk/knowledge/factsheets/planning-managing-redundancy</w:t>
        </w:r>
      </w:hyperlink>
      <w:r w:rsidRPr="179405E9">
        <w:rPr>
          <w:rFonts w:ascii="Times New Roman" w:eastAsia="Times New Roman" w:hAnsi="Times New Roman" w:cs="Times New Roman"/>
        </w:rPr>
        <w:t xml:space="preserve"> (Accessed: 11 May 2025)</w:t>
      </w:r>
    </w:p>
    <w:p w14:paraId="1255CFC0" w14:textId="45CD6F2B" w:rsidR="455878F7" w:rsidRDefault="455878F7" w:rsidP="00DB58CB">
      <w:pPr>
        <w:spacing w:before="240" w:after="240"/>
        <w:jc w:val="both"/>
      </w:pPr>
      <w:r w:rsidRPr="179405E9">
        <w:rPr>
          <w:rFonts w:ascii="Times New Roman" w:eastAsia="Times New Roman" w:hAnsi="Times New Roman" w:cs="Times New Roman"/>
        </w:rPr>
        <w:t xml:space="preserve">CIPD, (2024) </w:t>
      </w:r>
      <w:r w:rsidRPr="179405E9">
        <w:rPr>
          <w:rFonts w:ascii="Times New Roman" w:eastAsia="Times New Roman" w:hAnsi="Times New Roman" w:cs="Times New Roman"/>
          <w:i/>
          <w:iCs/>
        </w:rPr>
        <w:t>Conducting workplace investigations</w:t>
      </w:r>
      <w:r w:rsidR="001268BD">
        <w:t xml:space="preserve"> </w:t>
      </w:r>
      <w:r w:rsidRPr="179405E9">
        <w:rPr>
          <w:rFonts w:ascii="Times New Roman" w:eastAsia="Times New Roman" w:hAnsi="Times New Roman" w:cs="Times New Roman"/>
        </w:rPr>
        <w:t xml:space="preserve">Available at: </w:t>
      </w:r>
      <w:hyperlink r:id="rId20">
        <w:r w:rsidRPr="179405E9">
          <w:rPr>
            <w:rStyle w:val="Hyperlink"/>
            <w:rFonts w:ascii="Times New Roman" w:eastAsia="Times New Roman" w:hAnsi="Times New Roman" w:cs="Times New Roman"/>
          </w:rPr>
          <w:t>https://www.cipd.org/uk/knowledge/factsheets/conducting-workplace-investigations-factsheet</w:t>
        </w:r>
      </w:hyperlink>
      <w:r w:rsidRPr="179405E9">
        <w:rPr>
          <w:rFonts w:ascii="Times New Roman" w:eastAsia="Times New Roman" w:hAnsi="Times New Roman" w:cs="Times New Roman"/>
        </w:rPr>
        <w:t xml:space="preserve"> (Accessed: 8 May 2025)</w:t>
      </w:r>
    </w:p>
    <w:p w14:paraId="0D97A7A7" w14:textId="117891F4" w:rsidR="455878F7" w:rsidRDefault="455878F7" w:rsidP="00DB58CB">
      <w:pPr>
        <w:spacing w:before="240" w:after="240"/>
        <w:jc w:val="both"/>
      </w:pPr>
      <w:r w:rsidRPr="179405E9">
        <w:rPr>
          <w:rFonts w:ascii="Times New Roman" w:eastAsia="Times New Roman" w:hAnsi="Times New Roman" w:cs="Times New Roman"/>
        </w:rPr>
        <w:t xml:space="preserve">Collins, H., (2021) ‘An emerging human right to protection against unjustified dismissal’, </w:t>
      </w:r>
      <w:r w:rsidRPr="179405E9">
        <w:rPr>
          <w:rFonts w:ascii="Times New Roman" w:eastAsia="Times New Roman" w:hAnsi="Times New Roman" w:cs="Times New Roman"/>
          <w:i/>
          <w:iCs/>
        </w:rPr>
        <w:t>Industrial Law Journal</w:t>
      </w:r>
      <w:r w:rsidRPr="179405E9">
        <w:rPr>
          <w:rFonts w:ascii="Times New Roman" w:eastAsia="Times New Roman" w:hAnsi="Times New Roman" w:cs="Times New Roman"/>
        </w:rPr>
        <w:t>, 50(1), pp. 36–69</w:t>
      </w:r>
      <w:r w:rsidR="001268BD">
        <w:t xml:space="preserve"> </w:t>
      </w:r>
      <w:r w:rsidRPr="179405E9">
        <w:rPr>
          <w:rFonts w:ascii="Times New Roman" w:eastAsia="Times New Roman" w:hAnsi="Times New Roman" w:cs="Times New Roman"/>
        </w:rPr>
        <w:t xml:space="preserve">Available at: </w:t>
      </w:r>
      <w:hyperlink r:id="rId21">
        <w:r w:rsidRPr="179405E9">
          <w:rPr>
            <w:rStyle w:val="Hyperlink"/>
            <w:rFonts w:ascii="Times New Roman" w:eastAsia="Times New Roman" w:hAnsi="Times New Roman" w:cs="Times New Roman"/>
          </w:rPr>
          <w:t>https://academic.oup.com/ilj/article/50/1/36/6168195</w:t>
        </w:r>
      </w:hyperlink>
      <w:r w:rsidRPr="179405E9">
        <w:rPr>
          <w:rFonts w:ascii="Times New Roman" w:eastAsia="Times New Roman" w:hAnsi="Times New Roman" w:cs="Times New Roman"/>
        </w:rPr>
        <w:t xml:space="preserve"> (Accessed: 12 May 2025)</w:t>
      </w:r>
    </w:p>
    <w:p w14:paraId="10062F9D" w14:textId="0B6945B9" w:rsidR="455878F7" w:rsidRDefault="455878F7" w:rsidP="00DB58CB">
      <w:pPr>
        <w:spacing w:before="240" w:after="240"/>
        <w:jc w:val="both"/>
      </w:pPr>
      <w:r w:rsidRPr="179405E9">
        <w:rPr>
          <w:rFonts w:ascii="Times New Roman" w:eastAsia="Times New Roman" w:hAnsi="Times New Roman" w:cs="Times New Roman"/>
        </w:rPr>
        <w:t xml:space="preserve">Collins, P.M., (2022) ‘Finding fault in the law of unfair dismissal’, </w:t>
      </w:r>
      <w:r w:rsidRPr="179405E9">
        <w:rPr>
          <w:rFonts w:ascii="Times New Roman" w:eastAsia="Times New Roman" w:hAnsi="Times New Roman" w:cs="Times New Roman"/>
          <w:i/>
          <w:iCs/>
        </w:rPr>
        <w:t>Industrial Law Journal</w:t>
      </w:r>
      <w:r w:rsidRPr="179405E9">
        <w:rPr>
          <w:rFonts w:ascii="Times New Roman" w:eastAsia="Times New Roman" w:hAnsi="Times New Roman" w:cs="Times New Roman"/>
        </w:rPr>
        <w:t>, 51(3), pp. 598–625</w:t>
      </w:r>
      <w:r w:rsidR="00E646F6">
        <w:rPr>
          <w:rFonts w:ascii="Times New Roman" w:eastAsia="Times New Roman" w:hAnsi="Times New Roman" w:cs="Times New Roman"/>
        </w:rPr>
        <w:t xml:space="preserve"> </w:t>
      </w:r>
      <w:hyperlink r:id="rId22" w:history="1">
        <w:r w:rsidR="00E646F6" w:rsidRPr="00CA0D36">
          <w:rPr>
            <w:rStyle w:val="Hyperlink"/>
            <w:rFonts w:ascii="Times New Roman" w:eastAsia="Times New Roman" w:hAnsi="Times New Roman" w:cs="Times New Roman"/>
          </w:rPr>
          <w:t>https://doi.org/10.1093/indlaw/dwab018</w:t>
        </w:r>
      </w:hyperlink>
      <w:r w:rsidR="00E646F6">
        <w:rPr>
          <w:rFonts w:ascii="Times New Roman" w:eastAsia="Times New Roman" w:hAnsi="Times New Roman" w:cs="Times New Roman"/>
        </w:rPr>
        <w:t xml:space="preserve"> </w:t>
      </w:r>
    </w:p>
    <w:p w14:paraId="773F77AB" w14:textId="73B8AB74" w:rsidR="455878F7" w:rsidRDefault="455878F7" w:rsidP="00DB58CB">
      <w:pPr>
        <w:spacing w:before="240" w:after="240"/>
        <w:jc w:val="both"/>
      </w:pPr>
      <w:r w:rsidRPr="179405E9">
        <w:rPr>
          <w:rFonts w:ascii="Times New Roman" w:eastAsia="Times New Roman" w:hAnsi="Times New Roman" w:cs="Times New Roman"/>
        </w:rPr>
        <w:t>Council Directive 2001/23/EC of 12 March 2001 on the approximation of the laws of the Member States relating to the safeguarding of employees’ rights in the event of transfers of undertakings, or parts of undertakings or businesses [2001] OJ L82/16</w:t>
      </w:r>
    </w:p>
    <w:p w14:paraId="7E9D6E8C" w14:textId="66DF2ED2" w:rsidR="455878F7" w:rsidRDefault="455878F7" w:rsidP="00DB58CB">
      <w:pPr>
        <w:spacing w:before="240" w:after="240"/>
        <w:jc w:val="both"/>
      </w:pPr>
      <w:r w:rsidRPr="179405E9">
        <w:rPr>
          <w:rFonts w:ascii="Times New Roman" w:eastAsia="Times New Roman" w:hAnsi="Times New Roman" w:cs="Times New Roman"/>
        </w:rPr>
        <w:t>Croft Vets Ltd v Butcher [2013] IRLR 178 (EAT)</w:t>
      </w:r>
    </w:p>
    <w:p w14:paraId="55C11184" w14:textId="61B7E8B4" w:rsidR="455878F7" w:rsidRDefault="455878F7" w:rsidP="00DB58CB">
      <w:pPr>
        <w:spacing w:before="240" w:after="240"/>
        <w:jc w:val="both"/>
      </w:pPr>
      <w:r w:rsidRPr="179405E9">
        <w:rPr>
          <w:rFonts w:ascii="Times New Roman" w:eastAsia="Times New Roman" w:hAnsi="Times New Roman" w:cs="Times New Roman"/>
        </w:rPr>
        <w:t xml:space="preserve">Culiberg, B. and Mihelič, K.K., (2017) ‘The evolution of whistleblowing studies: a critical review and research agenda’, </w:t>
      </w:r>
      <w:r w:rsidRPr="179405E9">
        <w:rPr>
          <w:rFonts w:ascii="Times New Roman" w:eastAsia="Times New Roman" w:hAnsi="Times New Roman" w:cs="Times New Roman"/>
          <w:i/>
          <w:iCs/>
        </w:rPr>
        <w:t>Journal of Business Ethics</w:t>
      </w:r>
      <w:r w:rsidRPr="179405E9">
        <w:rPr>
          <w:rFonts w:ascii="Times New Roman" w:eastAsia="Times New Roman" w:hAnsi="Times New Roman" w:cs="Times New Roman"/>
        </w:rPr>
        <w:t>, 146, pp. 787–803</w:t>
      </w:r>
      <w:r w:rsidR="001268BD">
        <w:t xml:space="preserve"> </w:t>
      </w:r>
      <w:hyperlink r:id="rId23" w:history="1">
        <w:r w:rsidR="001268BD" w:rsidRPr="00CA0D36">
          <w:rPr>
            <w:rStyle w:val="Hyperlink"/>
            <w:rFonts w:ascii="Times New Roman" w:eastAsia="Times New Roman" w:hAnsi="Times New Roman" w:cs="Times New Roman"/>
          </w:rPr>
          <w:t>https://doi.org/10.1007/s10551-016-3237-0</w:t>
        </w:r>
      </w:hyperlink>
    </w:p>
    <w:p w14:paraId="3F6C36E3" w14:textId="77198DE2" w:rsidR="455878F7" w:rsidRDefault="455878F7" w:rsidP="00DB58CB">
      <w:pPr>
        <w:spacing w:before="240" w:after="240"/>
        <w:jc w:val="both"/>
      </w:pPr>
      <w:r w:rsidRPr="179405E9">
        <w:rPr>
          <w:rFonts w:ascii="Times New Roman" w:eastAsia="Times New Roman" w:hAnsi="Times New Roman" w:cs="Times New Roman"/>
        </w:rPr>
        <w:t xml:space="preserve">Daniels, K., (2022) </w:t>
      </w:r>
      <w:r w:rsidRPr="179405E9">
        <w:rPr>
          <w:rFonts w:ascii="Times New Roman" w:eastAsia="Times New Roman" w:hAnsi="Times New Roman" w:cs="Times New Roman"/>
          <w:i/>
          <w:iCs/>
        </w:rPr>
        <w:t>Introduction to employment law: fundamentals for HR and business students</w:t>
      </w:r>
      <w:r w:rsidRPr="179405E9">
        <w:rPr>
          <w:rFonts w:ascii="Times New Roman" w:eastAsia="Times New Roman" w:hAnsi="Times New Roman" w:cs="Times New Roman"/>
        </w:rPr>
        <w:t xml:space="preserve"> 6th edn. Kogan Page Limited</w:t>
      </w:r>
    </w:p>
    <w:p w14:paraId="39023EC4" w14:textId="6F2E527A" w:rsidR="455878F7" w:rsidRDefault="455878F7" w:rsidP="00DB58CB">
      <w:pPr>
        <w:spacing w:before="240" w:after="240"/>
        <w:jc w:val="both"/>
      </w:pPr>
      <w:r w:rsidRPr="179405E9">
        <w:rPr>
          <w:rFonts w:ascii="Times New Roman" w:eastAsia="Times New Roman" w:hAnsi="Times New Roman" w:cs="Times New Roman"/>
        </w:rPr>
        <w:t xml:space="preserve">DavidsonMorris, (2024) </w:t>
      </w:r>
      <w:r w:rsidRPr="179405E9">
        <w:rPr>
          <w:rFonts w:ascii="Times New Roman" w:eastAsia="Times New Roman" w:hAnsi="Times New Roman" w:cs="Times New Roman"/>
          <w:i/>
          <w:iCs/>
        </w:rPr>
        <w:t>Employee liability information &amp; TUPE</w:t>
      </w:r>
      <w:r w:rsidR="001268BD">
        <w:t xml:space="preserve"> </w:t>
      </w:r>
      <w:r w:rsidRPr="179405E9">
        <w:rPr>
          <w:rFonts w:ascii="Times New Roman" w:eastAsia="Times New Roman" w:hAnsi="Times New Roman" w:cs="Times New Roman"/>
        </w:rPr>
        <w:t xml:space="preserve">Available at: </w:t>
      </w:r>
      <w:hyperlink r:id="rId24">
        <w:r w:rsidRPr="179405E9">
          <w:rPr>
            <w:rStyle w:val="Hyperlink"/>
            <w:rFonts w:ascii="Times New Roman" w:eastAsia="Times New Roman" w:hAnsi="Times New Roman" w:cs="Times New Roman"/>
          </w:rPr>
          <w:t>https://www.davidsonmorris.com/employee-liability-information-tupe</w:t>
        </w:r>
      </w:hyperlink>
      <w:r w:rsidRPr="179405E9">
        <w:rPr>
          <w:rFonts w:ascii="Times New Roman" w:eastAsia="Times New Roman" w:hAnsi="Times New Roman" w:cs="Times New Roman"/>
        </w:rPr>
        <w:t xml:space="preserve"> (Accessed: 13 May 2025)</w:t>
      </w:r>
    </w:p>
    <w:p w14:paraId="2F54FB84" w14:textId="1ED4D8B3" w:rsidR="455878F7" w:rsidRDefault="455878F7" w:rsidP="00DB58CB">
      <w:pPr>
        <w:spacing w:before="240" w:after="240"/>
        <w:jc w:val="both"/>
      </w:pPr>
      <w:r w:rsidRPr="179405E9">
        <w:rPr>
          <w:rFonts w:ascii="Times New Roman" w:eastAsia="Times New Roman" w:hAnsi="Times New Roman" w:cs="Times New Roman"/>
        </w:rPr>
        <w:t xml:space="preserve">DavidsonMorris, (n.d.) </w:t>
      </w:r>
      <w:r w:rsidRPr="179405E9">
        <w:rPr>
          <w:rFonts w:ascii="Times New Roman" w:eastAsia="Times New Roman" w:hAnsi="Times New Roman" w:cs="Times New Roman"/>
          <w:i/>
          <w:iCs/>
        </w:rPr>
        <w:t>Redundancy selection criteria</w:t>
      </w:r>
      <w:r w:rsidR="001268BD">
        <w:t xml:space="preserve"> </w:t>
      </w:r>
      <w:r w:rsidRPr="179405E9">
        <w:rPr>
          <w:rFonts w:ascii="Times New Roman" w:eastAsia="Times New Roman" w:hAnsi="Times New Roman" w:cs="Times New Roman"/>
        </w:rPr>
        <w:t xml:space="preserve">Available at: </w:t>
      </w:r>
      <w:hyperlink r:id="rId25">
        <w:r w:rsidRPr="179405E9">
          <w:rPr>
            <w:rStyle w:val="Hyperlink"/>
            <w:rFonts w:ascii="Times New Roman" w:eastAsia="Times New Roman" w:hAnsi="Times New Roman" w:cs="Times New Roman"/>
          </w:rPr>
          <w:t>https://www.davidsonmorris.com/redundancy-selection-criteria</w:t>
        </w:r>
      </w:hyperlink>
      <w:r w:rsidRPr="179405E9">
        <w:rPr>
          <w:rFonts w:ascii="Times New Roman" w:eastAsia="Times New Roman" w:hAnsi="Times New Roman" w:cs="Times New Roman"/>
        </w:rPr>
        <w:t xml:space="preserve"> (Accessed: 13 May 2025)</w:t>
      </w:r>
    </w:p>
    <w:p w14:paraId="5BC478C5" w14:textId="08D90346" w:rsidR="455878F7" w:rsidRDefault="455878F7" w:rsidP="00DB58CB">
      <w:pPr>
        <w:spacing w:before="240" w:after="240"/>
        <w:jc w:val="both"/>
      </w:pPr>
      <w:r w:rsidRPr="179405E9">
        <w:rPr>
          <w:rFonts w:ascii="Times New Roman" w:eastAsia="Times New Roman" w:hAnsi="Times New Roman" w:cs="Times New Roman"/>
        </w:rPr>
        <w:t xml:space="preserve">Department for Business Innovation and Skills, (2014) </w:t>
      </w:r>
      <w:r w:rsidRPr="179405E9">
        <w:rPr>
          <w:rFonts w:ascii="Times New Roman" w:eastAsia="Times New Roman" w:hAnsi="Times New Roman" w:cs="Times New Roman"/>
          <w:i/>
          <w:iCs/>
        </w:rPr>
        <w:t>A guide to the 2006 TUPE Regulations (as amended by the Collective Redundancies and Transfer of Undertakings (Protection of Employment) (Amendment) Regulations 2014) for employees, employers and representatives</w:t>
      </w:r>
      <w:r w:rsidR="00795B0E">
        <w:t xml:space="preserve"> </w:t>
      </w:r>
      <w:r w:rsidRPr="179405E9">
        <w:rPr>
          <w:rFonts w:ascii="Times New Roman" w:eastAsia="Times New Roman" w:hAnsi="Times New Roman" w:cs="Times New Roman"/>
        </w:rPr>
        <w:t xml:space="preserve">Available at: </w:t>
      </w:r>
      <w:hyperlink r:id="rId26" w:history="1">
        <w:r w:rsidR="00795B0E" w:rsidRPr="00CA0D36">
          <w:rPr>
            <w:rStyle w:val="Hyperlink"/>
            <w:rFonts w:ascii="Times New Roman" w:eastAsia="Times New Roman" w:hAnsi="Times New Roman" w:cs="Times New Roman"/>
          </w:rPr>
          <w:t>https://assets.publishing.service.gov.uk/media/5a7ca7e8ed915d7c983bc171/bis-14-502-employment-rights-on-the-transfer-of-an-undertaking.pdf</w:t>
        </w:r>
      </w:hyperlink>
      <w:r w:rsidRPr="179405E9">
        <w:rPr>
          <w:rFonts w:ascii="Times New Roman" w:eastAsia="Times New Roman" w:hAnsi="Times New Roman" w:cs="Times New Roman"/>
        </w:rPr>
        <w:t xml:space="preserve"> (Accessed: 14 May 2025)</w:t>
      </w:r>
    </w:p>
    <w:p w14:paraId="56F2612A" w14:textId="1C16089F" w:rsidR="455878F7" w:rsidRDefault="455878F7" w:rsidP="00DB58CB">
      <w:pPr>
        <w:spacing w:before="240" w:after="240"/>
        <w:jc w:val="both"/>
      </w:pPr>
      <w:r w:rsidRPr="179405E9">
        <w:rPr>
          <w:rFonts w:ascii="Times New Roman" w:eastAsia="Times New Roman" w:hAnsi="Times New Roman" w:cs="Times New Roman"/>
        </w:rPr>
        <w:t>Devon County Council v Clegg (2006) IRLR 552</w:t>
      </w:r>
      <w:r w:rsidR="00795B0E">
        <w:rPr>
          <w:rFonts w:ascii="Times New Roman" w:eastAsia="Times New Roman" w:hAnsi="Times New Roman" w:cs="Times New Roman"/>
        </w:rPr>
        <w:t xml:space="preserve"> </w:t>
      </w:r>
      <w:r w:rsidRPr="179405E9">
        <w:rPr>
          <w:rFonts w:ascii="Times New Roman" w:eastAsia="Times New Roman" w:hAnsi="Times New Roman" w:cs="Times New Roman"/>
        </w:rPr>
        <w:t>Employment Rights Act 1996, c. 18</w:t>
      </w:r>
      <w:r w:rsidR="00795B0E">
        <w:rPr>
          <w:rFonts w:ascii="Times New Roman" w:eastAsia="Times New Roman" w:hAnsi="Times New Roman" w:cs="Times New Roman"/>
        </w:rPr>
        <w:t xml:space="preserve"> </w:t>
      </w:r>
      <w:r w:rsidRPr="179405E9">
        <w:rPr>
          <w:rFonts w:ascii="Times New Roman" w:eastAsia="Times New Roman" w:hAnsi="Times New Roman" w:cs="Times New Roman"/>
        </w:rPr>
        <w:t xml:space="preserve">Available at: </w:t>
      </w:r>
      <w:hyperlink r:id="rId27">
        <w:r w:rsidRPr="179405E9">
          <w:rPr>
            <w:rStyle w:val="Hyperlink"/>
            <w:rFonts w:ascii="Times New Roman" w:eastAsia="Times New Roman" w:hAnsi="Times New Roman" w:cs="Times New Roman"/>
          </w:rPr>
          <w:t>https://www.legislation.gov.uk/ukpga/1996/18/contents</w:t>
        </w:r>
      </w:hyperlink>
      <w:r w:rsidRPr="179405E9">
        <w:rPr>
          <w:rFonts w:ascii="Times New Roman" w:eastAsia="Times New Roman" w:hAnsi="Times New Roman" w:cs="Times New Roman"/>
        </w:rPr>
        <w:t xml:space="preserve"> (Accessed: 8 May 2025)</w:t>
      </w:r>
    </w:p>
    <w:p w14:paraId="525A3954" w14:textId="2E96618F" w:rsidR="455878F7" w:rsidRDefault="455878F7" w:rsidP="00DB58CB">
      <w:pPr>
        <w:spacing w:before="240" w:after="240"/>
        <w:jc w:val="both"/>
      </w:pPr>
      <w:r w:rsidRPr="179405E9">
        <w:rPr>
          <w:rFonts w:ascii="Times New Roman" w:eastAsia="Times New Roman" w:hAnsi="Times New Roman" w:cs="Times New Roman"/>
        </w:rPr>
        <w:t xml:space="preserve">Equality Act </w:t>
      </w:r>
      <w:r w:rsidR="000C4CAD">
        <w:rPr>
          <w:rFonts w:ascii="Times New Roman" w:eastAsia="Times New Roman" w:hAnsi="Times New Roman" w:cs="Times New Roman"/>
        </w:rPr>
        <w:t>(</w:t>
      </w:r>
      <w:r w:rsidRPr="179405E9">
        <w:rPr>
          <w:rFonts w:ascii="Times New Roman" w:eastAsia="Times New Roman" w:hAnsi="Times New Roman" w:cs="Times New Roman"/>
        </w:rPr>
        <w:t>2010</w:t>
      </w:r>
      <w:r w:rsidR="000C4CAD">
        <w:rPr>
          <w:rFonts w:ascii="Times New Roman" w:eastAsia="Times New Roman" w:hAnsi="Times New Roman" w:cs="Times New Roman"/>
        </w:rPr>
        <w:t>)</w:t>
      </w:r>
      <w:r w:rsidRPr="179405E9">
        <w:rPr>
          <w:rFonts w:ascii="Times New Roman" w:eastAsia="Times New Roman" w:hAnsi="Times New Roman" w:cs="Times New Roman"/>
        </w:rPr>
        <w:t>, c. 15</w:t>
      </w:r>
      <w:r w:rsidR="00795B0E">
        <w:rPr>
          <w:rFonts w:ascii="Times New Roman" w:eastAsia="Times New Roman" w:hAnsi="Times New Roman" w:cs="Times New Roman"/>
        </w:rPr>
        <w:t xml:space="preserve"> </w:t>
      </w:r>
      <w:r w:rsidRPr="179405E9">
        <w:rPr>
          <w:rFonts w:ascii="Times New Roman" w:eastAsia="Times New Roman" w:hAnsi="Times New Roman" w:cs="Times New Roman"/>
        </w:rPr>
        <w:t xml:space="preserve">Available at: </w:t>
      </w:r>
      <w:hyperlink r:id="rId28">
        <w:r w:rsidRPr="179405E9">
          <w:rPr>
            <w:rStyle w:val="Hyperlink"/>
            <w:rFonts w:ascii="Times New Roman" w:eastAsia="Times New Roman" w:hAnsi="Times New Roman" w:cs="Times New Roman"/>
          </w:rPr>
          <w:t>https://www.legislation.gov.uk/ukpga/2010/15/contents</w:t>
        </w:r>
      </w:hyperlink>
      <w:r w:rsidRPr="179405E9">
        <w:rPr>
          <w:rFonts w:ascii="Times New Roman" w:eastAsia="Times New Roman" w:hAnsi="Times New Roman" w:cs="Times New Roman"/>
        </w:rPr>
        <w:t xml:space="preserve"> (Accessed: 8 May 2025)</w:t>
      </w:r>
    </w:p>
    <w:p w14:paraId="26EA1B68" w14:textId="6D02C525" w:rsidR="455878F7" w:rsidRDefault="455878F7" w:rsidP="00DB58CB">
      <w:pPr>
        <w:spacing w:before="240" w:after="240"/>
        <w:jc w:val="both"/>
      </w:pPr>
      <w:r w:rsidRPr="179405E9">
        <w:rPr>
          <w:rFonts w:ascii="Times New Roman" w:eastAsia="Times New Roman" w:hAnsi="Times New Roman" w:cs="Times New Roman"/>
        </w:rPr>
        <w:t>Fecitt v NHS Manchester [2011] EWCA Civ 1190</w:t>
      </w:r>
    </w:p>
    <w:p w14:paraId="0AC71CD6" w14:textId="7A3D8D5C" w:rsidR="455878F7" w:rsidRDefault="455878F7" w:rsidP="00DB58CB">
      <w:pPr>
        <w:spacing w:before="240" w:after="240"/>
        <w:jc w:val="both"/>
      </w:pPr>
      <w:r w:rsidRPr="179405E9">
        <w:rPr>
          <w:rFonts w:ascii="Times New Roman" w:eastAsia="Times New Roman" w:hAnsi="Times New Roman" w:cs="Times New Roman"/>
        </w:rPr>
        <w:t>Ferguson and others v Astrea Asset Management Ltd UKEAT/0139/19</w:t>
      </w:r>
    </w:p>
    <w:p w14:paraId="278F8AB1" w14:textId="0EC593C9" w:rsidR="455878F7" w:rsidRDefault="455878F7" w:rsidP="00DB58CB">
      <w:pPr>
        <w:spacing w:before="240" w:after="240"/>
        <w:jc w:val="both"/>
      </w:pPr>
      <w:r w:rsidRPr="179405E9">
        <w:rPr>
          <w:rFonts w:ascii="Times New Roman" w:eastAsia="Times New Roman" w:hAnsi="Times New Roman" w:cs="Times New Roman"/>
        </w:rPr>
        <w:t xml:space="preserve">Food Standards Agency, (2023) </w:t>
      </w:r>
      <w:r w:rsidRPr="179405E9">
        <w:rPr>
          <w:rFonts w:ascii="Times New Roman" w:eastAsia="Times New Roman" w:hAnsi="Times New Roman" w:cs="Times New Roman"/>
          <w:i/>
          <w:iCs/>
        </w:rPr>
        <w:t>Food safety and hygiene</w:t>
      </w:r>
      <w:r w:rsidR="00795B0E">
        <w:t xml:space="preserve"> </w:t>
      </w:r>
      <w:r w:rsidRPr="179405E9">
        <w:rPr>
          <w:rFonts w:ascii="Times New Roman" w:eastAsia="Times New Roman" w:hAnsi="Times New Roman" w:cs="Times New Roman"/>
        </w:rPr>
        <w:t xml:space="preserve">Available at: </w:t>
      </w:r>
      <w:hyperlink r:id="rId29">
        <w:r w:rsidRPr="179405E9">
          <w:rPr>
            <w:rStyle w:val="Hyperlink"/>
            <w:rFonts w:ascii="Times New Roman" w:eastAsia="Times New Roman" w:hAnsi="Times New Roman" w:cs="Times New Roman"/>
          </w:rPr>
          <w:t>https://www.food.gov.uk/safety-hygiene</w:t>
        </w:r>
      </w:hyperlink>
      <w:r w:rsidRPr="179405E9">
        <w:rPr>
          <w:rFonts w:ascii="Times New Roman" w:eastAsia="Times New Roman" w:hAnsi="Times New Roman" w:cs="Times New Roman"/>
        </w:rPr>
        <w:t xml:space="preserve"> (Accessed: 14 May 2025)</w:t>
      </w:r>
    </w:p>
    <w:p w14:paraId="3F766553" w14:textId="668F25C0" w:rsidR="455878F7" w:rsidRDefault="455878F7" w:rsidP="00DB58CB">
      <w:pPr>
        <w:spacing w:before="240" w:after="240"/>
        <w:jc w:val="both"/>
      </w:pPr>
      <w:r w:rsidRPr="179405E9">
        <w:rPr>
          <w:rFonts w:ascii="Times New Roman" w:eastAsia="Times New Roman" w:hAnsi="Times New Roman" w:cs="Times New Roman"/>
        </w:rPr>
        <w:t xml:space="preserve">Gov.uk, (2023) </w:t>
      </w:r>
      <w:r w:rsidRPr="179405E9">
        <w:rPr>
          <w:rFonts w:ascii="Times New Roman" w:eastAsia="Times New Roman" w:hAnsi="Times New Roman" w:cs="Times New Roman"/>
          <w:i/>
          <w:iCs/>
        </w:rPr>
        <w:t>Redundancy: your rights</w:t>
      </w:r>
      <w:r w:rsidRPr="179405E9">
        <w:rPr>
          <w:rFonts w:ascii="Times New Roman" w:eastAsia="Times New Roman" w:hAnsi="Times New Roman" w:cs="Times New Roman"/>
        </w:rPr>
        <w:t xml:space="preserve"> [online]</w:t>
      </w:r>
      <w:r w:rsidR="00795B0E">
        <w:t xml:space="preserve"> </w:t>
      </w:r>
      <w:r w:rsidRPr="179405E9">
        <w:rPr>
          <w:rFonts w:ascii="Times New Roman" w:eastAsia="Times New Roman" w:hAnsi="Times New Roman" w:cs="Times New Roman"/>
        </w:rPr>
        <w:t xml:space="preserve">Available at: </w:t>
      </w:r>
      <w:hyperlink r:id="rId30">
        <w:r w:rsidRPr="179405E9">
          <w:rPr>
            <w:rStyle w:val="Hyperlink"/>
            <w:rFonts w:ascii="Times New Roman" w:eastAsia="Times New Roman" w:hAnsi="Times New Roman" w:cs="Times New Roman"/>
          </w:rPr>
          <w:t>https://www.gov.uk/redundancy-your-rights</w:t>
        </w:r>
      </w:hyperlink>
      <w:r w:rsidRPr="179405E9">
        <w:rPr>
          <w:rFonts w:ascii="Times New Roman" w:eastAsia="Times New Roman" w:hAnsi="Times New Roman" w:cs="Times New Roman"/>
        </w:rPr>
        <w:t xml:space="preserve"> (Accessed: 11 May 2025)</w:t>
      </w:r>
    </w:p>
    <w:p w14:paraId="0731A2C4" w14:textId="1EAA97AD" w:rsidR="455878F7" w:rsidRDefault="455878F7" w:rsidP="00DB58CB">
      <w:pPr>
        <w:spacing w:before="240" w:after="240"/>
        <w:jc w:val="both"/>
      </w:pPr>
      <w:r w:rsidRPr="179405E9">
        <w:rPr>
          <w:rFonts w:ascii="Times New Roman" w:eastAsia="Times New Roman" w:hAnsi="Times New Roman" w:cs="Times New Roman"/>
        </w:rPr>
        <w:t xml:space="preserve">Gov.uk, (n.d.) </w:t>
      </w:r>
      <w:r w:rsidRPr="179405E9">
        <w:rPr>
          <w:rFonts w:ascii="Times New Roman" w:eastAsia="Times New Roman" w:hAnsi="Times New Roman" w:cs="Times New Roman"/>
          <w:i/>
          <w:iCs/>
        </w:rPr>
        <w:t>Dismissing staff: dismissals for conduct or performance reasons</w:t>
      </w:r>
      <w:r w:rsidR="00795B0E">
        <w:t xml:space="preserve"> </w:t>
      </w:r>
      <w:r w:rsidRPr="179405E9">
        <w:rPr>
          <w:rFonts w:ascii="Times New Roman" w:eastAsia="Times New Roman" w:hAnsi="Times New Roman" w:cs="Times New Roman"/>
        </w:rPr>
        <w:t xml:space="preserve">Available at: </w:t>
      </w:r>
      <w:hyperlink r:id="rId31">
        <w:r w:rsidRPr="179405E9">
          <w:rPr>
            <w:rStyle w:val="Hyperlink"/>
            <w:rFonts w:ascii="Times New Roman" w:eastAsia="Times New Roman" w:hAnsi="Times New Roman" w:cs="Times New Roman"/>
          </w:rPr>
          <w:t>https://www.gov.uk/dismiss-staff</w:t>
        </w:r>
      </w:hyperlink>
      <w:r w:rsidRPr="179405E9">
        <w:rPr>
          <w:rFonts w:ascii="Times New Roman" w:eastAsia="Times New Roman" w:hAnsi="Times New Roman" w:cs="Times New Roman"/>
        </w:rPr>
        <w:t xml:space="preserve"> (Accessed: 14 May 2025)</w:t>
      </w:r>
    </w:p>
    <w:p w14:paraId="1C03966C" w14:textId="158A9F8F" w:rsidR="455878F7" w:rsidRDefault="455878F7" w:rsidP="00DB58CB">
      <w:pPr>
        <w:spacing w:before="240" w:after="240"/>
        <w:jc w:val="both"/>
      </w:pPr>
      <w:r w:rsidRPr="179405E9">
        <w:rPr>
          <w:rFonts w:ascii="Times New Roman" w:eastAsia="Times New Roman" w:hAnsi="Times New Roman" w:cs="Times New Roman"/>
        </w:rPr>
        <w:t>Kong v Gulf International Bank (UK) Ltd [2022] EWCA Civ 941</w:t>
      </w:r>
    </w:p>
    <w:p w14:paraId="3810AFBC" w14:textId="4876B8C3" w:rsidR="455878F7" w:rsidRDefault="455878F7" w:rsidP="00DB58CB">
      <w:pPr>
        <w:spacing w:before="240" w:after="240"/>
        <w:jc w:val="both"/>
      </w:pPr>
      <w:r w:rsidRPr="179405E9">
        <w:rPr>
          <w:rFonts w:ascii="Times New Roman" w:eastAsia="Times New Roman" w:hAnsi="Times New Roman" w:cs="Times New Roman"/>
        </w:rPr>
        <w:t xml:space="preserve">Lee, S.H. (Jenna) and Lee, J., (2021) ‘Cases of employee theft in the hospitality industry’, </w:t>
      </w:r>
      <w:r w:rsidRPr="179405E9">
        <w:rPr>
          <w:rFonts w:ascii="Times New Roman" w:eastAsia="Times New Roman" w:hAnsi="Times New Roman" w:cs="Times New Roman"/>
          <w:i/>
          <w:iCs/>
        </w:rPr>
        <w:t>Journal of Hospitality &amp; Tourism Cases</w:t>
      </w:r>
      <w:r w:rsidRPr="179405E9">
        <w:rPr>
          <w:rFonts w:ascii="Times New Roman" w:eastAsia="Times New Roman" w:hAnsi="Times New Roman" w:cs="Times New Roman"/>
        </w:rPr>
        <w:t>, 9(2), pp. 50–59</w:t>
      </w:r>
      <w:r w:rsidR="000C4CAD">
        <w:rPr>
          <w:rFonts w:ascii="Times New Roman" w:eastAsia="Times New Roman" w:hAnsi="Times New Roman" w:cs="Times New Roman"/>
        </w:rPr>
        <w:t xml:space="preserve"> </w:t>
      </w:r>
      <w:hyperlink r:id="rId32" w:history="1">
        <w:r w:rsidR="000C4CAD" w:rsidRPr="00C84591">
          <w:rPr>
            <w:rStyle w:val="Hyperlink"/>
            <w:rFonts w:ascii="Times New Roman" w:eastAsia="Times New Roman" w:hAnsi="Times New Roman" w:cs="Times New Roman"/>
          </w:rPr>
          <w:t>https://doi.org/10.1177/216499872100900212</w:t>
        </w:r>
      </w:hyperlink>
    </w:p>
    <w:p w14:paraId="1D8517E0" w14:textId="0148C3FE" w:rsidR="455878F7" w:rsidRDefault="455878F7" w:rsidP="00DB58CB">
      <w:pPr>
        <w:spacing w:before="240" w:after="240"/>
        <w:jc w:val="both"/>
      </w:pPr>
      <w:r w:rsidRPr="179405E9">
        <w:rPr>
          <w:rFonts w:ascii="Times New Roman" w:eastAsia="Times New Roman" w:hAnsi="Times New Roman" w:cs="Times New Roman"/>
        </w:rPr>
        <w:t xml:space="preserve">Lestari, R.W.P., Santoso, I.B. and Setiady, T., (2025) ‘Legal protection of outsourcing workers against employers' arbitrary actions in termination of employment relationships in Indonesia based on the Job Creation Law’, </w:t>
      </w:r>
      <w:r w:rsidRPr="179405E9">
        <w:rPr>
          <w:rFonts w:ascii="Times New Roman" w:eastAsia="Times New Roman" w:hAnsi="Times New Roman" w:cs="Times New Roman"/>
          <w:i/>
          <w:iCs/>
        </w:rPr>
        <w:t>Jurnal Ilmiah Advokasi</w:t>
      </w:r>
      <w:r w:rsidRPr="179405E9">
        <w:rPr>
          <w:rFonts w:ascii="Times New Roman" w:eastAsia="Times New Roman" w:hAnsi="Times New Roman" w:cs="Times New Roman"/>
        </w:rPr>
        <w:t>, 13(1), pp. 152–172</w:t>
      </w:r>
      <w:r w:rsidR="00B80145">
        <w:rPr>
          <w:rFonts w:ascii="Times New Roman" w:eastAsia="Times New Roman" w:hAnsi="Times New Roman" w:cs="Times New Roman"/>
        </w:rPr>
        <w:t xml:space="preserve"> </w:t>
      </w:r>
      <w:r w:rsidR="00B80145" w:rsidRPr="00B80145">
        <w:rPr>
          <w:rFonts w:ascii="Times New Roman" w:eastAsia="Times New Roman" w:hAnsi="Times New Roman" w:cs="Times New Roman"/>
        </w:rPr>
        <w:t>DOI:</w:t>
      </w:r>
      <w:hyperlink r:id="rId33" w:tgtFrame="_blank" w:history="1">
        <w:r w:rsidR="00B80145" w:rsidRPr="00B80145">
          <w:rPr>
            <w:rStyle w:val="Hyperlink"/>
            <w:rFonts w:ascii="Times New Roman" w:eastAsia="Times New Roman" w:hAnsi="Times New Roman" w:cs="Times New Roman"/>
          </w:rPr>
          <w:t>10.36987/jiad.v13i1.6078</w:t>
        </w:r>
      </w:hyperlink>
    </w:p>
    <w:p w14:paraId="0EF1734A" w14:textId="1AA1BE07" w:rsidR="455878F7" w:rsidRDefault="455878F7" w:rsidP="00DB58CB">
      <w:pPr>
        <w:spacing w:before="240" w:after="240"/>
        <w:jc w:val="both"/>
      </w:pPr>
      <w:r w:rsidRPr="179405E9">
        <w:rPr>
          <w:rFonts w:ascii="Times New Roman" w:eastAsia="Times New Roman" w:hAnsi="Times New Roman" w:cs="Times New Roman"/>
        </w:rPr>
        <w:t xml:space="preserve">Lewis, D., Sargeant, M., Schwab, B. and Chartered Institute of Personnel and Development, (2023) </w:t>
      </w:r>
      <w:r w:rsidRPr="179405E9">
        <w:rPr>
          <w:rFonts w:ascii="Times New Roman" w:eastAsia="Times New Roman" w:hAnsi="Times New Roman" w:cs="Times New Roman"/>
          <w:i/>
          <w:iCs/>
        </w:rPr>
        <w:t>Employment law: the essentials</w:t>
      </w:r>
      <w:r w:rsidRPr="179405E9">
        <w:rPr>
          <w:rFonts w:ascii="Times New Roman" w:eastAsia="Times New Roman" w:hAnsi="Times New Roman" w:cs="Times New Roman"/>
        </w:rPr>
        <w:t xml:space="preserve"> 16th edn. Kogan Page</w:t>
      </w:r>
    </w:p>
    <w:p w14:paraId="15AFCD7E" w14:textId="6C0601F1" w:rsidR="455878F7" w:rsidRDefault="455878F7" w:rsidP="00DB58CB">
      <w:pPr>
        <w:spacing w:before="240" w:after="240"/>
        <w:jc w:val="both"/>
      </w:pPr>
      <w:r w:rsidRPr="179405E9">
        <w:rPr>
          <w:rFonts w:ascii="Times New Roman" w:eastAsia="Times New Roman" w:hAnsi="Times New Roman" w:cs="Times New Roman"/>
        </w:rPr>
        <w:t xml:space="preserve">Marsden, D., (2021) ‘Patterns of organizational ownership and employee well‐being in Britain’, </w:t>
      </w:r>
      <w:r w:rsidRPr="179405E9">
        <w:rPr>
          <w:rFonts w:ascii="Times New Roman" w:eastAsia="Times New Roman" w:hAnsi="Times New Roman" w:cs="Times New Roman"/>
          <w:i/>
          <w:iCs/>
        </w:rPr>
        <w:t>British Journal of Industrial Relations</w:t>
      </w:r>
      <w:r w:rsidRPr="179405E9">
        <w:rPr>
          <w:rFonts w:ascii="Times New Roman" w:eastAsia="Times New Roman" w:hAnsi="Times New Roman" w:cs="Times New Roman"/>
        </w:rPr>
        <w:t>, 59(4), pp. 988–1019</w:t>
      </w:r>
      <w:r w:rsidR="00795B0E">
        <w:t xml:space="preserve"> </w:t>
      </w:r>
      <w:hyperlink r:id="rId34" w:history="1">
        <w:r w:rsidR="00795B0E" w:rsidRPr="00CA0D36">
          <w:rPr>
            <w:rStyle w:val="Hyperlink"/>
            <w:rFonts w:ascii="Times New Roman" w:eastAsia="Times New Roman" w:hAnsi="Times New Roman" w:cs="Times New Roman"/>
          </w:rPr>
          <w:t>https://doi.org/10.1111/bjir.12605</w:t>
        </w:r>
      </w:hyperlink>
    </w:p>
    <w:p w14:paraId="2D82E103" w14:textId="5FD365EF" w:rsidR="455878F7" w:rsidRDefault="455878F7" w:rsidP="00DB58CB">
      <w:pPr>
        <w:spacing w:before="240" w:after="240"/>
        <w:jc w:val="both"/>
      </w:pPr>
      <w:r w:rsidRPr="179405E9">
        <w:rPr>
          <w:rFonts w:ascii="Times New Roman" w:eastAsia="Times New Roman" w:hAnsi="Times New Roman" w:cs="Times New Roman"/>
        </w:rPr>
        <w:t>Maternity and Parental Leave etc. Regulations 1999, SI 1999/3312</w:t>
      </w:r>
    </w:p>
    <w:p w14:paraId="4FE804F0" w14:textId="368C9452" w:rsidR="455878F7" w:rsidRDefault="455878F7" w:rsidP="00DB58CB">
      <w:pPr>
        <w:spacing w:before="240" w:after="240"/>
        <w:jc w:val="both"/>
      </w:pPr>
      <w:r w:rsidRPr="179405E9">
        <w:rPr>
          <w:rFonts w:ascii="Times New Roman" w:eastAsia="Times New Roman" w:hAnsi="Times New Roman" w:cs="Times New Roman"/>
        </w:rPr>
        <w:t>Mezey v South West London and St George’s Mental Health NHS Trust [2007] EWCA Civ 106</w:t>
      </w:r>
    </w:p>
    <w:p w14:paraId="451F30E3" w14:textId="504CE3F7" w:rsidR="455878F7" w:rsidRDefault="455878F7" w:rsidP="00DB58CB">
      <w:pPr>
        <w:spacing w:before="240" w:after="240"/>
        <w:jc w:val="both"/>
      </w:pPr>
      <w:r w:rsidRPr="179405E9">
        <w:rPr>
          <w:rFonts w:ascii="Times New Roman" w:eastAsia="Times New Roman" w:hAnsi="Times New Roman" w:cs="Times New Roman"/>
        </w:rPr>
        <w:t xml:space="preserve">Mind, (n.d.) </w:t>
      </w:r>
      <w:r w:rsidRPr="179405E9">
        <w:rPr>
          <w:rFonts w:ascii="Times New Roman" w:eastAsia="Times New Roman" w:hAnsi="Times New Roman" w:cs="Times New Roman"/>
          <w:i/>
          <w:iCs/>
        </w:rPr>
        <w:t xml:space="preserve">Types of mental health problems | What is </w:t>
      </w:r>
      <w:r w:rsidR="0010331F" w:rsidRPr="179405E9">
        <w:rPr>
          <w:rFonts w:ascii="Times New Roman" w:eastAsia="Times New Roman" w:hAnsi="Times New Roman" w:cs="Times New Roman"/>
          <w:i/>
          <w:iCs/>
        </w:rPr>
        <w:t>stress?</w:t>
      </w:r>
      <w:r w:rsidR="0010331F" w:rsidRPr="179405E9">
        <w:rPr>
          <w:rFonts w:ascii="Times New Roman" w:eastAsia="Times New Roman" w:hAnsi="Times New Roman" w:cs="Times New Roman"/>
        </w:rPr>
        <w:t xml:space="preserve"> Available</w:t>
      </w:r>
      <w:r w:rsidRPr="179405E9">
        <w:rPr>
          <w:rFonts w:ascii="Times New Roman" w:eastAsia="Times New Roman" w:hAnsi="Times New Roman" w:cs="Times New Roman"/>
        </w:rPr>
        <w:t xml:space="preserve"> at: </w:t>
      </w:r>
      <w:hyperlink r:id="rId35">
        <w:r w:rsidRPr="179405E9">
          <w:rPr>
            <w:rStyle w:val="Hyperlink"/>
            <w:rFonts w:ascii="Times New Roman" w:eastAsia="Times New Roman" w:hAnsi="Times New Roman" w:cs="Times New Roman"/>
          </w:rPr>
          <w:t>https://www.mind.org.uk/information-support/types-of-mental-health-problems/stress</w:t>
        </w:r>
      </w:hyperlink>
      <w:r w:rsidRPr="179405E9">
        <w:rPr>
          <w:rFonts w:ascii="Times New Roman" w:eastAsia="Times New Roman" w:hAnsi="Times New Roman" w:cs="Times New Roman"/>
        </w:rPr>
        <w:t xml:space="preserve"> (Accessed: 14 May 2025)</w:t>
      </w:r>
    </w:p>
    <w:p w14:paraId="2380D474" w14:textId="5F966D6F" w:rsidR="455878F7" w:rsidRDefault="455878F7" w:rsidP="00DB58CB">
      <w:pPr>
        <w:spacing w:before="240" w:after="240"/>
        <w:jc w:val="both"/>
      </w:pPr>
      <w:r w:rsidRPr="179405E9">
        <w:rPr>
          <w:rFonts w:ascii="Times New Roman" w:eastAsia="Times New Roman" w:hAnsi="Times New Roman" w:cs="Times New Roman"/>
        </w:rPr>
        <w:t>Mugford v Midland Bank plc (1997) IRLR 208</w:t>
      </w:r>
    </w:p>
    <w:p w14:paraId="4A61F98C" w14:textId="04DF90A5" w:rsidR="455878F7" w:rsidRDefault="455878F7" w:rsidP="00DB58CB">
      <w:pPr>
        <w:spacing w:before="240" w:after="240"/>
        <w:jc w:val="both"/>
      </w:pPr>
      <w:r w:rsidRPr="179405E9">
        <w:rPr>
          <w:rFonts w:ascii="Times New Roman" w:eastAsia="Times New Roman" w:hAnsi="Times New Roman" w:cs="Times New Roman"/>
        </w:rPr>
        <w:t xml:space="preserve">Onyeka, N., (2021) ‘Whistleblower protection in the UK: a case for reform’, </w:t>
      </w:r>
      <w:r w:rsidRPr="179405E9">
        <w:rPr>
          <w:rFonts w:ascii="Times New Roman" w:eastAsia="Times New Roman" w:hAnsi="Times New Roman" w:cs="Times New Roman"/>
          <w:i/>
          <w:iCs/>
        </w:rPr>
        <w:t>Business Law Review</w:t>
      </w:r>
      <w:r w:rsidRPr="179405E9">
        <w:rPr>
          <w:rFonts w:ascii="Times New Roman" w:eastAsia="Times New Roman" w:hAnsi="Times New Roman" w:cs="Times New Roman"/>
        </w:rPr>
        <w:t xml:space="preserve">, 42(5), pp. 240–251Available at: </w:t>
      </w:r>
      <w:hyperlink r:id="rId36">
        <w:r w:rsidRPr="179405E9">
          <w:rPr>
            <w:rStyle w:val="Hyperlink"/>
            <w:rFonts w:ascii="Times New Roman" w:eastAsia="Times New Roman" w:hAnsi="Times New Roman" w:cs="Times New Roman"/>
          </w:rPr>
          <w:t>https://kluwerlawonline.com/journalarticle/Business+Law+Review/42.5/BULA2021034</w:t>
        </w:r>
      </w:hyperlink>
      <w:r w:rsidRPr="179405E9">
        <w:rPr>
          <w:rFonts w:ascii="Times New Roman" w:eastAsia="Times New Roman" w:hAnsi="Times New Roman" w:cs="Times New Roman"/>
        </w:rPr>
        <w:t xml:space="preserve"> (Accessed: 14 May 2025)</w:t>
      </w:r>
    </w:p>
    <w:p w14:paraId="7109361D" w14:textId="0427737C" w:rsidR="455878F7" w:rsidRDefault="455878F7" w:rsidP="00DB58CB">
      <w:pPr>
        <w:spacing w:before="240" w:after="240"/>
        <w:jc w:val="both"/>
      </w:pPr>
      <w:r w:rsidRPr="179405E9">
        <w:rPr>
          <w:rFonts w:ascii="Times New Roman" w:eastAsia="Times New Roman" w:hAnsi="Times New Roman" w:cs="Times New Roman"/>
        </w:rPr>
        <w:t xml:space="preserve">Olsen, J., (2022) ‘Employers: influencing disabled people’s employment through responses to reasonable adjustments’, </w:t>
      </w:r>
      <w:r w:rsidRPr="179405E9">
        <w:rPr>
          <w:rFonts w:ascii="Times New Roman" w:eastAsia="Times New Roman" w:hAnsi="Times New Roman" w:cs="Times New Roman"/>
          <w:i/>
          <w:iCs/>
        </w:rPr>
        <w:t>Disability &amp; Society</w:t>
      </w:r>
      <w:r w:rsidRPr="179405E9">
        <w:rPr>
          <w:rFonts w:ascii="Times New Roman" w:eastAsia="Times New Roman" w:hAnsi="Times New Roman" w:cs="Times New Roman"/>
        </w:rPr>
        <w:t>, 39(3), pp. 791–810</w:t>
      </w:r>
      <w:r w:rsidR="001A0ACB">
        <w:t xml:space="preserve"> </w:t>
      </w:r>
      <w:hyperlink r:id="rId37" w:history="1">
        <w:r w:rsidR="001F0E56" w:rsidRPr="00CA0D36">
          <w:rPr>
            <w:rStyle w:val="Hyperlink"/>
            <w:rFonts w:ascii="Times New Roman" w:eastAsia="Times New Roman" w:hAnsi="Times New Roman" w:cs="Times New Roman"/>
          </w:rPr>
          <w:t>https://doi.org/10.1080/09687599.2022.2099251</w:t>
        </w:r>
      </w:hyperlink>
    </w:p>
    <w:p w14:paraId="7E4494FB" w14:textId="1B0D0E17" w:rsidR="455878F7" w:rsidRDefault="455878F7" w:rsidP="00DB58CB">
      <w:pPr>
        <w:spacing w:before="240" w:after="240"/>
        <w:jc w:val="both"/>
      </w:pPr>
      <w:r w:rsidRPr="179405E9">
        <w:rPr>
          <w:rFonts w:ascii="Times New Roman" w:eastAsia="Times New Roman" w:hAnsi="Times New Roman" w:cs="Times New Roman"/>
        </w:rPr>
        <w:t>Polkey v A E Dayton Services Ltd (1987) UKHL 8</w:t>
      </w:r>
    </w:p>
    <w:p w14:paraId="2E8267C2" w14:textId="0D3B7A08" w:rsidR="455878F7" w:rsidRDefault="455878F7" w:rsidP="00DB58CB">
      <w:pPr>
        <w:spacing w:before="240" w:after="240"/>
        <w:jc w:val="both"/>
      </w:pPr>
      <w:r w:rsidRPr="179405E9">
        <w:rPr>
          <w:rFonts w:ascii="Times New Roman" w:eastAsia="Times New Roman" w:hAnsi="Times New Roman" w:cs="Times New Roman"/>
        </w:rPr>
        <w:t>Protection from Redundancy (Pregnancy and Family Leave) Act 2023, c. 10</w:t>
      </w:r>
    </w:p>
    <w:p w14:paraId="1B402E6C" w14:textId="7C348109" w:rsidR="455878F7" w:rsidRDefault="455878F7" w:rsidP="00DB58CB">
      <w:pPr>
        <w:spacing w:before="240" w:after="240"/>
        <w:jc w:val="both"/>
      </w:pPr>
      <w:r w:rsidRPr="179405E9">
        <w:rPr>
          <w:rFonts w:ascii="Times New Roman" w:eastAsia="Times New Roman" w:hAnsi="Times New Roman" w:cs="Times New Roman"/>
        </w:rPr>
        <w:t>Public Interest Disclosure Act 1998, c. 23</w:t>
      </w:r>
      <w:r w:rsidR="001F0E56">
        <w:t xml:space="preserve"> </w:t>
      </w:r>
      <w:r w:rsidRPr="179405E9">
        <w:rPr>
          <w:rFonts w:ascii="Times New Roman" w:eastAsia="Times New Roman" w:hAnsi="Times New Roman" w:cs="Times New Roman"/>
        </w:rPr>
        <w:t xml:space="preserve">Available at: </w:t>
      </w:r>
      <w:hyperlink r:id="rId38">
        <w:r w:rsidRPr="179405E9">
          <w:rPr>
            <w:rStyle w:val="Hyperlink"/>
            <w:rFonts w:ascii="Times New Roman" w:eastAsia="Times New Roman" w:hAnsi="Times New Roman" w:cs="Times New Roman"/>
          </w:rPr>
          <w:t>https://www.legislation.gov.uk/ukpga/1998/23/contents</w:t>
        </w:r>
      </w:hyperlink>
      <w:r w:rsidRPr="179405E9">
        <w:rPr>
          <w:rFonts w:ascii="Times New Roman" w:eastAsia="Times New Roman" w:hAnsi="Times New Roman" w:cs="Times New Roman"/>
        </w:rPr>
        <w:t xml:space="preserve"> (Accessed: 8 May 2025)</w:t>
      </w:r>
    </w:p>
    <w:p w14:paraId="4354A55F" w14:textId="65FAFF94" w:rsidR="455878F7" w:rsidRDefault="455878F7" w:rsidP="00DB58CB">
      <w:pPr>
        <w:spacing w:before="240" w:after="240"/>
        <w:jc w:val="both"/>
      </w:pPr>
      <w:r w:rsidRPr="179405E9">
        <w:rPr>
          <w:rFonts w:ascii="Times New Roman" w:eastAsia="Times New Roman" w:hAnsi="Times New Roman" w:cs="Times New Roman"/>
        </w:rPr>
        <w:t xml:space="preserve">Rousseau, D.M., (1995) </w:t>
      </w:r>
      <w:r w:rsidRPr="179405E9">
        <w:rPr>
          <w:rFonts w:ascii="Times New Roman" w:eastAsia="Times New Roman" w:hAnsi="Times New Roman" w:cs="Times New Roman"/>
          <w:i/>
          <w:iCs/>
        </w:rPr>
        <w:t>Psychological contracts in organizations</w:t>
      </w:r>
      <w:r w:rsidRPr="179405E9">
        <w:rPr>
          <w:rFonts w:ascii="Times New Roman" w:eastAsia="Times New Roman" w:hAnsi="Times New Roman" w:cs="Times New Roman"/>
        </w:rPr>
        <w:t xml:space="preserve"> Sage Publications</w:t>
      </w:r>
    </w:p>
    <w:p w14:paraId="75231848" w14:textId="1C984028" w:rsidR="455878F7" w:rsidRDefault="455878F7" w:rsidP="00DB58CB">
      <w:pPr>
        <w:spacing w:before="240" w:after="240"/>
        <w:jc w:val="both"/>
      </w:pPr>
      <w:r w:rsidRPr="179405E9">
        <w:rPr>
          <w:rFonts w:ascii="Times New Roman" w:eastAsia="Times New Roman" w:hAnsi="Times New Roman" w:cs="Times New Roman"/>
        </w:rPr>
        <w:t>Sefton Borough Council v Wainwright (2014) EWCA Civ 1187</w:t>
      </w:r>
    </w:p>
    <w:p w14:paraId="75CA9AFA" w14:textId="7D0BAA72" w:rsidR="455878F7" w:rsidRDefault="455878F7" w:rsidP="00DB58CB">
      <w:pPr>
        <w:spacing w:before="240" w:after="240"/>
        <w:jc w:val="both"/>
      </w:pPr>
      <w:r w:rsidRPr="179405E9">
        <w:rPr>
          <w:rFonts w:ascii="Times New Roman" w:eastAsia="Times New Roman" w:hAnsi="Times New Roman" w:cs="Times New Roman"/>
        </w:rPr>
        <w:t xml:space="preserve">Smith, J., (2020) </w:t>
      </w:r>
      <w:r w:rsidRPr="179405E9">
        <w:rPr>
          <w:rFonts w:ascii="Times New Roman" w:eastAsia="Times New Roman" w:hAnsi="Times New Roman" w:cs="Times New Roman"/>
          <w:i/>
          <w:iCs/>
        </w:rPr>
        <w:t>Understanding TUPE: legal frameworks and compliance strategies</w:t>
      </w:r>
      <w:r w:rsidRPr="179405E9">
        <w:rPr>
          <w:rFonts w:ascii="Times New Roman" w:eastAsia="Times New Roman" w:hAnsi="Times New Roman" w:cs="Times New Roman"/>
        </w:rPr>
        <w:t xml:space="preserve"> London: Legal Press</w:t>
      </w:r>
    </w:p>
    <w:p w14:paraId="779FBA83" w14:textId="24740871" w:rsidR="455878F7" w:rsidRDefault="455878F7" w:rsidP="00DB58CB">
      <w:pPr>
        <w:spacing w:before="240" w:after="240"/>
        <w:jc w:val="both"/>
      </w:pPr>
      <w:r w:rsidRPr="179405E9">
        <w:rPr>
          <w:rFonts w:ascii="Times New Roman" w:eastAsia="Times New Roman" w:hAnsi="Times New Roman" w:cs="Times New Roman"/>
        </w:rPr>
        <w:t xml:space="preserve">Stevens, M. and Hannibal, C., (2023) </w:t>
      </w:r>
      <w:r w:rsidRPr="179405E9">
        <w:rPr>
          <w:rFonts w:ascii="Times New Roman" w:eastAsia="Times New Roman" w:hAnsi="Times New Roman" w:cs="Times New Roman"/>
          <w:i/>
          <w:iCs/>
        </w:rPr>
        <w:t>The impact of redundancies in modern HR practice</w:t>
      </w:r>
      <w:r w:rsidRPr="179405E9">
        <w:rPr>
          <w:rFonts w:ascii="Times New Roman" w:eastAsia="Times New Roman" w:hAnsi="Times New Roman" w:cs="Times New Roman"/>
        </w:rPr>
        <w:t xml:space="preserve"> Routledge</w:t>
      </w:r>
    </w:p>
    <w:p w14:paraId="4AC691B8" w14:textId="043EB522" w:rsidR="455878F7" w:rsidRDefault="455878F7" w:rsidP="00DB58CB">
      <w:pPr>
        <w:spacing w:before="240" w:after="240"/>
        <w:jc w:val="both"/>
      </w:pPr>
      <w:r w:rsidRPr="179405E9">
        <w:rPr>
          <w:rFonts w:ascii="Times New Roman" w:eastAsia="Times New Roman" w:hAnsi="Times New Roman" w:cs="Times New Roman"/>
        </w:rPr>
        <w:t xml:space="preserve">Stevens, M. and Hannibal, C., (2023) ‘The smiling assassin?: Reconceptualising redundancy envoys as quasi-dirty workers’, </w:t>
      </w:r>
      <w:r w:rsidRPr="179405E9">
        <w:rPr>
          <w:rFonts w:ascii="Times New Roman" w:eastAsia="Times New Roman" w:hAnsi="Times New Roman" w:cs="Times New Roman"/>
          <w:i/>
          <w:iCs/>
        </w:rPr>
        <w:t>International Journal of Human Resource Management</w:t>
      </w:r>
      <w:r w:rsidRPr="179405E9">
        <w:rPr>
          <w:rFonts w:ascii="Times New Roman" w:eastAsia="Times New Roman" w:hAnsi="Times New Roman" w:cs="Times New Roman"/>
        </w:rPr>
        <w:t>, 34(5), pp. 879–911</w:t>
      </w:r>
      <w:r w:rsidR="001F0E56">
        <w:t xml:space="preserve"> </w:t>
      </w:r>
      <w:hyperlink r:id="rId39" w:history="1">
        <w:r w:rsidR="001F0E56" w:rsidRPr="00CA0D36">
          <w:rPr>
            <w:rStyle w:val="Hyperlink"/>
            <w:rFonts w:ascii="Times New Roman" w:eastAsia="Times New Roman" w:hAnsi="Times New Roman" w:cs="Times New Roman"/>
          </w:rPr>
          <w:t>https://doi.org/10.1080/09585192.2021.1976246</w:t>
        </w:r>
      </w:hyperlink>
    </w:p>
    <w:p w14:paraId="7373FC00" w14:textId="0BE5B4CC" w:rsidR="455878F7" w:rsidRDefault="455878F7" w:rsidP="00DB58CB">
      <w:pPr>
        <w:spacing w:before="240" w:after="240"/>
        <w:jc w:val="both"/>
      </w:pPr>
      <w:r w:rsidRPr="179405E9">
        <w:rPr>
          <w:rFonts w:ascii="Times New Roman" w:eastAsia="Times New Roman" w:hAnsi="Times New Roman" w:cs="Times New Roman"/>
        </w:rPr>
        <w:t>Trade Union and Labour Relations (Consolidation) Act 1992, c. 52</w:t>
      </w:r>
    </w:p>
    <w:p w14:paraId="420BE8C4" w14:textId="34B19C3F" w:rsidR="455878F7" w:rsidRDefault="455878F7" w:rsidP="00DB58CB">
      <w:pPr>
        <w:spacing w:before="240" w:after="240"/>
        <w:jc w:val="both"/>
      </w:pPr>
      <w:r w:rsidRPr="179405E9">
        <w:rPr>
          <w:rFonts w:ascii="Times New Roman" w:eastAsia="Times New Roman" w:hAnsi="Times New Roman" w:cs="Times New Roman"/>
        </w:rPr>
        <w:t>Transfer of Undertakings (Protection of Employment) Regulations 2006, SI 2006/246</w:t>
      </w:r>
    </w:p>
    <w:p w14:paraId="6DB24606" w14:textId="5E11F7F9" w:rsidR="455878F7" w:rsidRDefault="455878F7" w:rsidP="00DB58CB">
      <w:pPr>
        <w:spacing w:before="240" w:after="240"/>
        <w:jc w:val="both"/>
      </w:pPr>
      <w:r w:rsidRPr="179405E9">
        <w:rPr>
          <w:rFonts w:ascii="Times New Roman" w:eastAsia="Times New Roman" w:hAnsi="Times New Roman" w:cs="Times New Roman"/>
        </w:rPr>
        <w:t xml:space="preserve">UK Government, (n.d.) </w:t>
      </w:r>
      <w:r w:rsidRPr="179405E9">
        <w:rPr>
          <w:rFonts w:ascii="Times New Roman" w:eastAsia="Times New Roman" w:hAnsi="Times New Roman" w:cs="Times New Roman"/>
          <w:i/>
          <w:iCs/>
        </w:rPr>
        <w:t>Business transfers, takeovers and TUPE: Transfers of employment contracts</w:t>
      </w:r>
      <w:r w:rsidR="001F0E56">
        <w:t xml:space="preserve"> </w:t>
      </w:r>
      <w:r w:rsidRPr="179405E9">
        <w:rPr>
          <w:rFonts w:ascii="Times New Roman" w:eastAsia="Times New Roman" w:hAnsi="Times New Roman" w:cs="Times New Roman"/>
        </w:rPr>
        <w:t xml:space="preserve">Available at: </w:t>
      </w:r>
      <w:hyperlink r:id="rId40">
        <w:r w:rsidRPr="179405E9">
          <w:rPr>
            <w:rStyle w:val="Hyperlink"/>
            <w:rFonts w:ascii="Times New Roman" w:eastAsia="Times New Roman" w:hAnsi="Times New Roman" w:cs="Times New Roman"/>
          </w:rPr>
          <w:t>https://www.gov.uk/business-transfers-takeovers</w:t>
        </w:r>
      </w:hyperlink>
      <w:r w:rsidRPr="179405E9">
        <w:rPr>
          <w:rFonts w:ascii="Times New Roman" w:eastAsia="Times New Roman" w:hAnsi="Times New Roman" w:cs="Times New Roman"/>
        </w:rPr>
        <w:t xml:space="preserve"> (Accessed: 14 May 2025)</w:t>
      </w:r>
    </w:p>
    <w:p w14:paraId="6BEB1B9F" w14:textId="019436DA" w:rsidR="455878F7" w:rsidRDefault="455878F7" w:rsidP="00DB58CB">
      <w:pPr>
        <w:spacing w:before="240" w:after="240"/>
        <w:jc w:val="both"/>
      </w:pPr>
      <w:r w:rsidRPr="179405E9">
        <w:rPr>
          <w:rFonts w:ascii="Times New Roman" w:eastAsia="Times New Roman" w:hAnsi="Times New Roman" w:cs="Times New Roman"/>
        </w:rPr>
        <w:t>Williams v Compair Maxam Ltd (1982) ICR 156</w:t>
      </w:r>
    </w:p>
    <w:p w14:paraId="1630D449" w14:textId="72B5AC89" w:rsidR="455878F7" w:rsidRDefault="455878F7" w:rsidP="00DB58CB">
      <w:pPr>
        <w:spacing w:before="240" w:after="240"/>
        <w:jc w:val="both"/>
      </w:pPr>
      <w:r w:rsidRPr="179405E9">
        <w:rPr>
          <w:rFonts w:ascii="Times New Roman" w:eastAsia="Times New Roman" w:hAnsi="Times New Roman" w:cs="Times New Roman"/>
        </w:rPr>
        <w:t xml:space="preserve">Witan Solicitors, (n.d.) </w:t>
      </w:r>
      <w:r w:rsidRPr="179405E9">
        <w:rPr>
          <w:rFonts w:ascii="Times New Roman" w:eastAsia="Times New Roman" w:hAnsi="Times New Roman" w:cs="Times New Roman"/>
          <w:i/>
          <w:iCs/>
        </w:rPr>
        <w:t xml:space="preserve">Employee rights when accused of theft in the workplace </w:t>
      </w:r>
      <w:r w:rsidR="001F0E56">
        <w:rPr>
          <w:rFonts w:ascii="Times New Roman" w:eastAsia="Times New Roman" w:hAnsi="Times New Roman" w:cs="Times New Roman"/>
          <w:i/>
          <w:iCs/>
        </w:rPr>
        <w:t>–</w:t>
      </w:r>
      <w:r w:rsidRPr="179405E9">
        <w:rPr>
          <w:rFonts w:ascii="Times New Roman" w:eastAsia="Times New Roman" w:hAnsi="Times New Roman" w:cs="Times New Roman"/>
          <w:i/>
          <w:iCs/>
        </w:rPr>
        <w:t xml:space="preserve"> guide</w:t>
      </w:r>
      <w:r w:rsidR="001F0E56">
        <w:t xml:space="preserve"> </w:t>
      </w:r>
      <w:r w:rsidRPr="179405E9">
        <w:rPr>
          <w:rFonts w:ascii="Times New Roman" w:eastAsia="Times New Roman" w:hAnsi="Times New Roman" w:cs="Times New Roman"/>
        </w:rPr>
        <w:t xml:space="preserve">Available at: </w:t>
      </w:r>
      <w:hyperlink r:id="rId41">
        <w:r w:rsidRPr="179405E9">
          <w:rPr>
            <w:rStyle w:val="Hyperlink"/>
            <w:rFonts w:ascii="Times New Roman" w:eastAsia="Times New Roman" w:hAnsi="Times New Roman" w:cs="Times New Roman"/>
          </w:rPr>
          <w:t>https://www.witansolicitors.co.uk/employee-rights-theft-guide</w:t>
        </w:r>
      </w:hyperlink>
      <w:r w:rsidRPr="179405E9">
        <w:rPr>
          <w:rFonts w:ascii="Times New Roman" w:eastAsia="Times New Roman" w:hAnsi="Times New Roman" w:cs="Times New Roman"/>
        </w:rPr>
        <w:t xml:space="preserve"> (Accessed: 14 May 2025)</w:t>
      </w:r>
    </w:p>
    <w:p w14:paraId="1248B192" w14:textId="77D8CE1C" w:rsidR="455878F7" w:rsidRDefault="455878F7" w:rsidP="00DB58CB">
      <w:pPr>
        <w:spacing w:before="240" w:after="240"/>
        <w:jc w:val="both"/>
      </w:pPr>
      <w:r w:rsidRPr="179405E9">
        <w:rPr>
          <w:rFonts w:ascii="Times New Roman" w:eastAsia="Times New Roman" w:hAnsi="Times New Roman" w:cs="Times New Roman"/>
        </w:rPr>
        <w:t xml:space="preserve">Wynn-Evans, C., (2010) ‘TUPE, collective agreements and the static–dynamic debate’, </w:t>
      </w:r>
      <w:r w:rsidRPr="179405E9">
        <w:rPr>
          <w:rFonts w:ascii="Times New Roman" w:eastAsia="Times New Roman" w:hAnsi="Times New Roman" w:cs="Times New Roman"/>
          <w:i/>
          <w:iCs/>
        </w:rPr>
        <w:t>Industrial Law Journal</w:t>
      </w:r>
      <w:r w:rsidRPr="179405E9">
        <w:rPr>
          <w:rFonts w:ascii="Times New Roman" w:eastAsia="Times New Roman" w:hAnsi="Times New Roman" w:cs="Times New Roman"/>
        </w:rPr>
        <w:t>, 39(3), pp. 275–279</w:t>
      </w:r>
      <w:r w:rsidR="0094311A">
        <w:rPr>
          <w:rFonts w:ascii="Times New Roman" w:eastAsia="Times New Roman" w:hAnsi="Times New Roman" w:cs="Times New Roman"/>
        </w:rPr>
        <w:t xml:space="preserve"> </w:t>
      </w:r>
      <w:hyperlink r:id="rId42">
        <w:r w:rsidRPr="179405E9">
          <w:rPr>
            <w:rStyle w:val="Hyperlink"/>
            <w:rFonts w:ascii="Times New Roman" w:eastAsia="Times New Roman" w:hAnsi="Times New Roman" w:cs="Times New Roman"/>
          </w:rPr>
          <w:t>https://doi.org/10.1093/indlaw/dwp035</w:t>
        </w:r>
      </w:hyperlink>
      <w:r w:rsidRPr="179405E9">
        <w:rPr>
          <w:rFonts w:ascii="Times New Roman" w:eastAsia="Times New Roman" w:hAnsi="Times New Roman" w:cs="Times New Roman"/>
        </w:rPr>
        <w:t xml:space="preserve"> (Accessed: 13 May 2025)</w:t>
      </w:r>
    </w:p>
    <w:p w14:paraId="0B2098B0" w14:textId="11B695BC" w:rsidR="455878F7" w:rsidRDefault="455878F7" w:rsidP="00DB58CB">
      <w:pPr>
        <w:spacing w:before="240" w:after="240"/>
        <w:jc w:val="both"/>
      </w:pPr>
      <w:r w:rsidRPr="179405E9">
        <w:rPr>
          <w:rFonts w:ascii="Times New Roman" w:eastAsia="Times New Roman" w:hAnsi="Times New Roman" w:cs="Times New Roman"/>
        </w:rPr>
        <w:t xml:space="preserve">Wynn-Evans, C., (2020) ‘The use and abuse of TUPE’, </w:t>
      </w:r>
      <w:r w:rsidRPr="179405E9">
        <w:rPr>
          <w:rFonts w:ascii="Times New Roman" w:eastAsia="Times New Roman" w:hAnsi="Times New Roman" w:cs="Times New Roman"/>
          <w:i/>
          <w:iCs/>
        </w:rPr>
        <w:t>Industrial Law Journal</w:t>
      </w:r>
      <w:r w:rsidRPr="179405E9">
        <w:rPr>
          <w:rFonts w:ascii="Times New Roman" w:eastAsia="Times New Roman" w:hAnsi="Times New Roman" w:cs="Times New Roman"/>
        </w:rPr>
        <w:t>, 49(3), pp. 459–476</w:t>
      </w:r>
      <w:hyperlink r:id="rId43">
        <w:r w:rsidRPr="179405E9">
          <w:rPr>
            <w:rStyle w:val="Hyperlink"/>
            <w:rFonts w:ascii="Times New Roman" w:eastAsia="Times New Roman" w:hAnsi="Times New Roman" w:cs="Times New Roman"/>
          </w:rPr>
          <w:t>https://doi.org/10.1093/indlaw/dwaa014</w:t>
        </w:r>
      </w:hyperlink>
      <w:r w:rsidRPr="179405E9">
        <w:rPr>
          <w:rFonts w:ascii="Times New Roman" w:eastAsia="Times New Roman" w:hAnsi="Times New Roman" w:cs="Times New Roman"/>
        </w:rPr>
        <w:t xml:space="preserve"> (Accessed: 13 May 2025)</w:t>
      </w:r>
    </w:p>
    <w:p w14:paraId="1C94C061" w14:textId="3E7B885D" w:rsidR="455878F7" w:rsidRDefault="455878F7" w:rsidP="00DB58CB">
      <w:pPr>
        <w:spacing w:before="240" w:after="240"/>
        <w:jc w:val="both"/>
      </w:pPr>
      <w:r w:rsidRPr="179405E9">
        <w:rPr>
          <w:rFonts w:ascii="Times New Roman" w:eastAsia="Times New Roman" w:hAnsi="Times New Roman" w:cs="Times New Roman"/>
        </w:rPr>
        <w:t xml:space="preserve">Wynn-Evans, C., (2023) </w:t>
      </w:r>
      <w:r w:rsidRPr="179405E9">
        <w:rPr>
          <w:rFonts w:ascii="Times New Roman" w:eastAsia="Times New Roman" w:hAnsi="Times New Roman" w:cs="Times New Roman"/>
          <w:i/>
          <w:iCs/>
        </w:rPr>
        <w:t>The law of TUPE transfers</w:t>
      </w:r>
      <w:r w:rsidRPr="179405E9">
        <w:rPr>
          <w:rFonts w:ascii="Times New Roman" w:eastAsia="Times New Roman" w:hAnsi="Times New Roman" w:cs="Times New Roman"/>
        </w:rPr>
        <w:t xml:space="preserve"> 4th edn. Oxford: Oxford University Press</w:t>
      </w:r>
    </w:p>
    <w:p w14:paraId="70275A60" w14:textId="440A74D3" w:rsidR="179405E9" w:rsidRDefault="179405E9" w:rsidP="00DB58CB">
      <w:pPr>
        <w:spacing w:line="600" w:lineRule="auto"/>
        <w:jc w:val="both"/>
        <w:rPr>
          <w:rFonts w:ascii="Times New Roman" w:eastAsia="Times New Roman" w:hAnsi="Times New Roman" w:cs="Times New Roman"/>
        </w:rPr>
      </w:pPr>
    </w:p>
    <w:sectPr w:rsidR="179405E9" w:rsidSect="00DC4105">
      <w:headerReference w:type="default" r:id="rId44"/>
      <w:footerReference w:type="default" r:id="rId4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D7DA5" w14:textId="77777777" w:rsidR="00ED5A19" w:rsidRDefault="00ED5A19" w:rsidP="00D30059">
      <w:pPr>
        <w:spacing w:after="0" w:line="240" w:lineRule="auto"/>
      </w:pPr>
      <w:r>
        <w:separator/>
      </w:r>
    </w:p>
  </w:endnote>
  <w:endnote w:type="continuationSeparator" w:id="0">
    <w:p w14:paraId="01D9F820" w14:textId="77777777" w:rsidR="00ED5A19" w:rsidRDefault="00ED5A19" w:rsidP="00D30059">
      <w:pPr>
        <w:spacing w:after="0" w:line="240" w:lineRule="auto"/>
      </w:pPr>
      <w:r>
        <w:continuationSeparator/>
      </w:r>
    </w:p>
  </w:endnote>
  <w:endnote w:type="continuationNotice" w:id="1">
    <w:p w14:paraId="73561D09" w14:textId="77777777" w:rsidR="00ED5A19" w:rsidRDefault="00ED5A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F2D6" w14:textId="77777777" w:rsidR="00BB57D9" w:rsidRDefault="00BB57D9">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4027B55C" w14:textId="77777777" w:rsidR="005E7CD0" w:rsidRDefault="005E7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FBE00" w14:textId="77777777" w:rsidR="00ED5A19" w:rsidRDefault="00ED5A19" w:rsidP="00D30059">
      <w:pPr>
        <w:spacing w:after="0" w:line="240" w:lineRule="auto"/>
      </w:pPr>
      <w:r>
        <w:separator/>
      </w:r>
    </w:p>
  </w:footnote>
  <w:footnote w:type="continuationSeparator" w:id="0">
    <w:p w14:paraId="0039C642" w14:textId="77777777" w:rsidR="00ED5A19" w:rsidRDefault="00ED5A19" w:rsidP="00D30059">
      <w:pPr>
        <w:spacing w:after="0" w:line="240" w:lineRule="auto"/>
      </w:pPr>
      <w:r>
        <w:continuationSeparator/>
      </w:r>
    </w:p>
  </w:footnote>
  <w:footnote w:type="continuationNotice" w:id="1">
    <w:p w14:paraId="5C24DADB" w14:textId="77777777" w:rsidR="00ED5A19" w:rsidRDefault="00ED5A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237" w14:textId="7C4012CC" w:rsidR="005E7CD0" w:rsidRPr="00E33A70" w:rsidRDefault="005E7CD0" w:rsidP="005E7CD0">
    <w:pPr>
      <w:pStyle w:val="Header"/>
      <w:rPr>
        <w:rFonts w:ascii="Times New Roman" w:hAnsi="Times New Roman" w:cs="Times New Roman"/>
      </w:rPr>
    </w:pPr>
    <w:r w:rsidRPr="00E33A70">
      <w:rPr>
        <w:rFonts w:ascii="Times New Roman" w:hAnsi="Times New Roman" w:cs="Times New Roman"/>
      </w:rPr>
      <w:t xml:space="preserve"> </w:t>
    </w:r>
    <w:r w:rsidR="00BB57D9" w:rsidRPr="00E33A70">
      <w:rPr>
        <w:rFonts w:ascii="Times New Roman" w:hAnsi="Times New Roman" w:cs="Times New Roman"/>
      </w:rPr>
      <w:t xml:space="preserve">Advance Application of Employment Law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E4AE7"/>
    <w:multiLevelType w:val="multilevel"/>
    <w:tmpl w:val="A9D4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EE74D5"/>
    <w:multiLevelType w:val="multilevel"/>
    <w:tmpl w:val="E588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B14E06"/>
    <w:multiLevelType w:val="multilevel"/>
    <w:tmpl w:val="F566F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B0695D"/>
    <w:multiLevelType w:val="multilevel"/>
    <w:tmpl w:val="B960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4221EB"/>
    <w:multiLevelType w:val="multilevel"/>
    <w:tmpl w:val="F952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A258D3"/>
    <w:multiLevelType w:val="multilevel"/>
    <w:tmpl w:val="C99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273A7"/>
    <w:multiLevelType w:val="multilevel"/>
    <w:tmpl w:val="43D0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D70D76"/>
    <w:multiLevelType w:val="multilevel"/>
    <w:tmpl w:val="432C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43573B"/>
    <w:multiLevelType w:val="multilevel"/>
    <w:tmpl w:val="8434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CD2C8C"/>
    <w:multiLevelType w:val="hybridMultilevel"/>
    <w:tmpl w:val="17AC7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950650">
    <w:abstractNumId w:val="9"/>
  </w:num>
  <w:num w:numId="2" w16cid:durableId="351683990">
    <w:abstractNumId w:val="8"/>
  </w:num>
  <w:num w:numId="3" w16cid:durableId="1479347128">
    <w:abstractNumId w:val="4"/>
  </w:num>
  <w:num w:numId="4" w16cid:durableId="2137943886">
    <w:abstractNumId w:val="3"/>
  </w:num>
  <w:num w:numId="5" w16cid:durableId="1284187627">
    <w:abstractNumId w:val="6"/>
  </w:num>
  <w:num w:numId="6" w16cid:durableId="1000353634">
    <w:abstractNumId w:val="7"/>
  </w:num>
  <w:num w:numId="7" w16cid:durableId="1660498200">
    <w:abstractNumId w:val="5"/>
  </w:num>
  <w:num w:numId="8" w16cid:durableId="1174415088">
    <w:abstractNumId w:val="1"/>
  </w:num>
  <w:num w:numId="9" w16cid:durableId="962855062">
    <w:abstractNumId w:val="0"/>
  </w:num>
  <w:num w:numId="10" w16cid:durableId="86351835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E61"/>
    <w:rsid w:val="000167B7"/>
    <w:rsid w:val="00024673"/>
    <w:rsid w:val="00030E8F"/>
    <w:rsid w:val="00032E4A"/>
    <w:rsid w:val="00052FED"/>
    <w:rsid w:val="00064A53"/>
    <w:rsid w:val="00065390"/>
    <w:rsid w:val="00073748"/>
    <w:rsid w:val="000A459D"/>
    <w:rsid w:val="000B7618"/>
    <w:rsid w:val="000C4CAD"/>
    <w:rsid w:val="000C5B3F"/>
    <w:rsid w:val="000C704B"/>
    <w:rsid w:val="000D0103"/>
    <w:rsid w:val="000D0340"/>
    <w:rsid w:val="000E7225"/>
    <w:rsid w:val="000F1C31"/>
    <w:rsid w:val="00102C96"/>
    <w:rsid w:val="0010331F"/>
    <w:rsid w:val="001061C2"/>
    <w:rsid w:val="00107FDF"/>
    <w:rsid w:val="001268BD"/>
    <w:rsid w:val="00127AEF"/>
    <w:rsid w:val="00140ACF"/>
    <w:rsid w:val="00156B69"/>
    <w:rsid w:val="00157481"/>
    <w:rsid w:val="00157DEA"/>
    <w:rsid w:val="00176B36"/>
    <w:rsid w:val="00181C9A"/>
    <w:rsid w:val="0018284A"/>
    <w:rsid w:val="00183078"/>
    <w:rsid w:val="0019191A"/>
    <w:rsid w:val="00194D0E"/>
    <w:rsid w:val="001A0ACB"/>
    <w:rsid w:val="001B2FF8"/>
    <w:rsid w:val="001C2469"/>
    <w:rsid w:val="001D1245"/>
    <w:rsid w:val="001D7841"/>
    <w:rsid w:val="001E3E6F"/>
    <w:rsid w:val="001E566C"/>
    <w:rsid w:val="001F0E56"/>
    <w:rsid w:val="001F302F"/>
    <w:rsid w:val="001F558A"/>
    <w:rsid w:val="00213F29"/>
    <w:rsid w:val="00220405"/>
    <w:rsid w:val="002204B3"/>
    <w:rsid w:val="00227DE1"/>
    <w:rsid w:val="00253FAC"/>
    <w:rsid w:val="00256696"/>
    <w:rsid w:val="0026021E"/>
    <w:rsid w:val="00261CE0"/>
    <w:rsid w:val="00263E63"/>
    <w:rsid w:val="002641DD"/>
    <w:rsid w:val="002837E9"/>
    <w:rsid w:val="0029365B"/>
    <w:rsid w:val="0029635B"/>
    <w:rsid w:val="002A78B4"/>
    <w:rsid w:val="002B7005"/>
    <w:rsid w:val="002D5CC6"/>
    <w:rsid w:val="002D7006"/>
    <w:rsid w:val="002E3F57"/>
    <w:rsid w:val="003154E2"/>
    <w:rsid w:val="003170F5"/>
    <w:rsid w:val="00321373"/>
    <w:rsid w:val="003348B9"/>
    <w:rsid w:val="00385B6E"/>
    <w:rsid w:val="003B28E0"/>
    <w:rsid w:val="003B2EB2"/>
    <w:rsid w:val="003B58F7"/>
    <w:rsid w:val="003C3E22"/>
    <w:rsid w:val="003D3AF0"/>
    <w:rsid w:val="003E64A7"/>
    <w:rsid w:val="003E72C5"/>
    <w:rsid w:val="00401460"/>
    <w:rsid w:val="004025E2"/>
    <w:rsid w:val="004036CC"/>
    <w:rsid w:val="00422F74"/>
    <w:rsid w:val="004278D7"/>
    <w:rsid w:val="0044482F"/>
    <w:rsid w:val="0044655F"/>
    <w:rsid w:val="00451816"/>
    <w:rsid w:val="00454A88"/>
    <w:rsid w:val="0047600E"/>
    <w:rsid w:val="004A0E91"/>
    <w:rsid w:val="004A5DA6"/>
    <w:rsid w:val="004D2DAD"/>
    <w:rsid w:val="004D73D6"/>
    <w:rsid w:val="004F43CB"/>
    <w:rsid w:val="004F69AA"/>
    <w:rsid w:val="00506646"/>
    <w:rsid w:val="0050766C"/>
    <w:rsid w:val="00514978"/>
    <w:rsid w:val="00523EA3"/>
    <w:rsid w:val="0052518A"/>
    <w:rsid w:val="00532EEA"/>
    <w:rsid w:val="00532F8D"/>
    <w:rsid w:val="00541639"/>
    <w:rsid w:val="005519E1"/>
    <w:rsid w:val="00573E78"/>
    <w:rsid w:val="0058014A"/>
    <w:rsid w:val="00587110"/>
    <w:rsid w:val="00592C12"/>
    <w:rsid w:val="005A04C9"/>
    <w:rsid w:val="005C2C1B"/>
    <w:rsid w:val="005C3DDD"/>
    <w:rsid w:val="005C5989"/>
    <w:rsid w:val="005C7947"/>
    <w:rsid w:val="005E7CD0"/>
    <w:rsid w:val="00606B01"/>
    <w:rsid w:val="00616394"/>
    <w:rsid w:val="006169D3"/>
    <w:rsid w:val="00624D44"/>
    <w:rsid w:val="00631691"/>
    <w:rsid w:val="00636965"/>
    <w:rsid w:val="00644085"/>
    <w:rsid w:val="0064432B"/>
    <w:rsid w:val="00655558"/>
    <w:rsid w:val="006702DD"/>
    <w:rsid w:val="00671855"/>
    <w:rsid w:val="00672205"/>
    <w:rsid w:val="006764E8"/>
    <w:rsid w:val="00685067"/>
    <w:rsid w:val="0069732D"/>
    <w:rsid w:val="006D0E68"/>
    <w:rsid w:val="006E0054"/>
    <w:rsid w:val="006E27C6"/>
    <w:rsid w:val="006E560C"/>
    <w:rsid w:val="00722E61"/>
    <w:rsid w:val="00724CE3"/>
    <w:rsid w:val="00743F89"/>
    <w:rsid w:val="0074755B"/>
    <w:rsid w:val="00760D12"/>
    <w:rsid w:val="007702A7"/>
    <w:rsid w:val="00790C4F"/>
    <w:rsid w:val="00790F6D"/>
    <w:rsid w:val="007912F0"/>
    <w:rsid w:val="00795B0E"/>
    <w:rsid w:val="007A6795"/>
    <w:rsid w:val="007B7F43"/>
    <w:rsid w:val="007C0DE5"/>
    <w:rsid w:val="007E6B15"/>
    <w:rsid w:val="007E6E7E"/>
    <w:rsid w:val="007F1B82"/>
    <w:rsid w:val="007F55A9"/>
    <w:rsid w:val="00806676"/>
    <w:rsid w:val="00814EB8"/>
    <w:rsid w:val="00847165"/>
    <w:rsid w:val="00861C0C"/>
    <w:rsid w:val="0086725C"/>
    <w:rsid w:val="008672E2"/>
    <w:rsid w:val="008743DA"/>
    <w:rsid w:val="0089349E"/>
    <w:rsid w:val="00894997"/>
    <w:rsid w:val="0089669E"/>
    <w:rsid w:val="008B1C7C"/>
    <w:rsid w:val="008B4A94"/>
    <w:rsid w:val="008C1EC6"/>
    <w:rsid w:val="008E54EB"/>
    <w:rsid w:val="008E7403"/>
    <w:rsid w:val="009068AB"/>
    <w:rsid w:val="009070F7"/>
    <w:rsid w:val="00912131"/>
    <w:rsid w:val="009128A0"/>
    <w:rsid w:val="00915A7D"/>
    <w:rsid w:val="0094311A"/>
    <w:rsid w:val="00947579"/>
    <w:rsid w:val="009565B4"/>
    <w:rsid w:val="0096088A"/>
    <w:rsid w:val="00972C01"/>
    <w:rsid w:val="00974A2C"/>
    <w:rsid w:val="009829F2"/>
    <w:rsid w:val="00983FA6"/>
    <w:rsid w:val="00985CD5"/>
    <w:rsid w:val="00990684"/>
    <w:rsid w:val="00993229"/>
    <w:rsid w:val="00995178"/>
    <w:rsid w:val="009A5B19"/>
    <w:rsid w:val="009C07E1"/>
    <w:rsid w:val="009C408A"/>
    <w:rsid w:val="00A04005"/>
    <w:rsid w:val="00A220EB"/>
    <w:rsid w:val="00A4362A"/>
    <w:rsid w:val="00A44A5F"/>
    <w:rsid w:val="00A460EF"/>
    <w:rsid w:val="00A560DE"/>
    <w:rsid w:val="00A60502"/>
    <w:rsid w:val="00A64267"/>
    <w:rsid w:val="00A67609"/>
    <w:rsid w:val="00A73A65"/>
    <w:rsid w:val="00A7779A"/>
    <w:rsid w:val="00A91F49"/>
    <w:rsid w:val="00A951D2"/>
    <w:rsid w:val="00AA4828"/>
    <w:rsid w:val="00AA6360"/>
    <w:rsid w:val="00AB5058"/>
    <w:rsid w:val="00AC35F6"/>
    <w:rsid w:val="00AD23A1"/>
    <w:rsid w:val="00AF7271"/>
    <w:rsid w:val="00B069A5"/>
    <w:rsid w:val="00B07434"/>
    <w:rsid w:val="00B106FD"/>
    <w:rsid w:val="00B123E8"/>
    <w:rsid w:val="00B166FC"/>
    <w:rsid w:val="00B24645"/>
    <w:rsid w:val="00B31CEC"/>
    <w:rsid w:val="00B80145"/>
    <w:rsid w:val="00BA2DE2"/>
    <w:rsid w:val="00BA5A08"/>
    <w:rsid w:val="00BB57D9"/>
    <w:rsid w:val="00BD685F"/>
    <w:rsid w:val="00BE5DD4"/>
    <w:rsid w:val="00C02E52"/>
    <w:rsid w:val="00C047F7"/>
    <w:rsid w:val="00C049C9"/>
    <w:rsid w:val="00C14AB9"/>
    <w:rsid w:val="00C231A5"/>
    <w:rsid w:val="00C65DBE"/>
    <w:rsid w:val="00C802F8"/>
    <w:rsid w:val="00C931F4"/>
    <w:rsid w:val="00CA267E"/>
    <w:rsid w:val="00CA36CD"/>
    <w:rsid w:val="00CD2652"/>
    <w:rsid w:val="00CE3505"/>
    <w:rsid w:val="00CE44EE"/>
    <w:rsid w:val="00CE7BEB"/>
    <w:rsid w:val="00CF0970"/>
    <w:rsid w:val="00D06719"/>
    <w:rsid w:val="00D30059"/>
    <w:rsid w:val="00D310AA"/>
    <w:rsid w:val="00D338A1"/>
    <w:rsid w:val="00D34C12"/>
    <w:rsid w:val="00D527E4"/>
    <w:rsid w:val="00D557F6"/>
    <w:rsid w:val="00D81261"/>
    <w:rsid w:val="00D862DE"/>
    <w:rsid w:val="00D932AB"/>
    <w:rsid w:val="00D97197"/>
    <w:rsid w:val="00DB2D72"/>
    <w:rsid w:val="00DB4688"/>
    <w:rsid w:val="00DB58CB"/>
    <w:rsid w:val="00DC4105"/>
    <w:rsid w:val="00DE1499"/>
    <w:rsid w:val="00DE18E9"/>
    <w:rsid w:val="00DF1713"/>
    <w:rsid w:val="00DF5152"/>
    <w:rsid w:val="00E16198"/>
    <w:rsid w:val="00E20410"/>
    <w:rsid w:val="00E33A70"/>
    <w:rsid w:val="00E346EA"/>
    <w:rsid w:val="00E35A28"/>
    <w:rsid w:val="00E44E35"/>
    <w:rsid w:val="00E47CDF"/>
    <w:rsid w:val="00E54EF8"/>
    <w:rsid w:val="00E61F8B"/>
    <w:rsid w:val="00E646F6"/>
    <w:rsid w:val="00E95506"/>
    <w:rsid w:val="00E96DAC"/>
    <w:rsid w:val="00EA7F07"/>
    <w:rsid w:val="00EB095F"/>
    <w:rsid w:val="00EB0D62"/>
    <w:rsid w:val="00EB1C0F"/>
    <w:rsid w:val="00EC2063"/>
    <w:rsid w:val="00EC733D"/>
    <w:rsid w:val="00ED0A83"/>
    <w:rsid w:val="00ED5A19"/>
    <w:rsid w:val="00ED7F4E"/>
    <w:rsid w:val="00EF02E8"/>
    <w:rsid w:val="00F106A1"/>
    <w:rsid w:val="00F61C90"/>
    <w:rsid w:val="00F716CD"/>
    <w:rsid w:val="00F8139E"/>
    <w:rsid w:val="00F828AD"/>
    <w:rsid w:val="00FB049C"/>
    <w:rsid w:val="00FD0C85"/>
    <w:rsid w:val="00FD5192"/>
    <w:rsid w:val="00FD5399"/>
    <w:rsid w:val="00FE02AE"/>
    <w:rsid w:val="00FF540D"/>
    <w:rsid w:val="00FF7E1A"/>
    <w:rsid w:val="0FF09518"/>
    <w:rsid w:val="12D6AC7F"/>
    <w:rsid w:val="179405E9"/>
    <w:rsid w:val="181D49ED"/>
    <w:rsid w:val="1C6BED93"/>
    <w:rsid w:val="280E4357"/>
    <w:rsid w:val="2FEB2467"/>
    <w:rsid w:val="345DB42B"/>
    <w:rsid w:val="3BAFF05C"/>
    <w:rsid w:val="455878F7"/>
    <w:rsid w:val="50022541"/>
    <w:rsid w:val="63DC8713"/>
    <w:rsid w:val="678CD4D0"/>
    <w:rsid w:val="6883CE7C"/>
    <w:rsid w:val="6BAC9EB9"/>
    <w:rsid w:val="6DA4CF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BA67C"/>
  <w15:chartTrackingRefBased/>
  <w15:docId w15:val="{BF7C74FE-7071-4BF7-8122-EC8A1E21F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E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2E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2E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22E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22E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E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E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E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E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E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2E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2E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22E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22E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E61"/>
    <w:rPr>
      <w:rFonts w:eastAsiaTheme="majorEastAsia" w:cstheme="majorBidi"/>
      <w:color w:val="272727" w:themeColor="text1" w:themeTint="D8"/>
    </w:rPr>
  </w:style>
  <w:style w:type="paragraph" w:styleId="Title">
    <w:name w:val="Title"/>
    <w:basedOn w:val="Normal"/>
    <w:next w:val="Normal"/>
    <w:link w:val="TitleChar"/>
    <w:uiPriority w:val="10"/>
    <w:qFormat/>
    <w:rsid w:val="00722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E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E61"/>
    <w:pPr>
      <w:spacing w:before="160"/>
      <w:jc w:val="center"/>
    </w:pPr>
    <w:rPr>
      <w:i/>
      <w:iCs/>
      <w:color w:val="404040" w:themeColor="text1" w:themeTint="BF"/>
    </w:rPr>
  </w:style>
  <w:style w:type="character" w:customStyle="1" w:styleId="QuoteChar">
    <w:name w:val="Quote Char"/>
    <w:basedOn w:val="DefaultParagraphFont"/>
    <w:link w:val="Quote"/>
    <w:uiPriority w:val="29"/>
    <w:rsid w:val="00722E61"/>
    <w:rPr>
      <w:i/>
      <w:iCs/>
      <w:color w:val="404040" w:themeColor="text1" w:themeTint="BF"/>
    </w:rPr>
  </w:style>
  <w:style w:type="paragraph" w:styleId="ListParagraph">
    <w:name w:val="List Paragraph"/>
    <w:basedOn w:val="Normal"/>
    <w:uiPriority w:val="34"/>
    <w:qFormat/>
    <w:rsid w:val="00722E61"/>
    <w:pPr>
      <w:ind w:left="720"/>
      <w:contextualSpacing/>
    </w:pPr>
  </w:style>
  <w:style w:type="character" w:styleId="IntenseEmphasis">
    <w:name w:val="Intense Emphasis"/>
    <w:basedOn w:val="DefaultParagraphFont"/>
    <w:uiPriority w:val="21"/>
    <w:qFormat/>
    <w:rsid w:val="00722E61"/>
    <w:rPr>
      <w:i/>
      <w:iCs/>
      <w:color w:val="0F4761" w:themeColor="accent1" w:themeShade="BF"/>
    </w:rPr>
  </w:style>
  <w:style w:type="paragraph" w:styleId="IntenseQuote">
    <w:name w:val="Intense Quote"/>
    <w:basedOn w:val="Normal"/>
    <w:next w:val="Normal"/>
    <w:link w:val="IntenseQuoteChar"/>
    <w:uiPriority w:val="30"/>
    <w:qFormat/>
    <w:rsid w:val="00722E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E61"/>
    <w:rPr>
      <w:i/>
      <w:iCs/>
      <w:color w:val="0F4761" w:themeColor="accent1" w:themeShade="BF"/>
    </w:rPr>
  </w:style>
  <w:style w:type="character" w:styleId="IntenseReference">
    <w:name w:val="Intense Reference"/>
    <w:basedOn w:val="DefaultParagraphFont"/>
    <w:uiPriority w:val="32"/>
    <w:qFormat/>
    <w:rsid w:val="00722E61"/>
    <w:rPr>
      <w:b/>
      <w:bCs/>
      <w:smallCaps/>
      <w:color w:val="0F4761" w:themeColor="accent1" w:themeShade="BF"/>
      <w:spacing w:val="5"/>
    </w:rPr>
  </w:style>
  <w:style w:type="character" w:styleId="Hyperlink">
    <w:name w:val="Hyperlink"/>
    <w:basedOn w:val="DefaultParagraphFont"/>
    <w:uiPriority w:val="99"/>
    <w:unhideWhenUsed/>
    <w:rsid w:val="00722E61"/>
    <w:rPr>
      <w:color w:val="467886" w:themeColor="hyperlink"/>
      <w:u w:val="single"/>
    </w:rPr>
  </w:style>
  <w:style w:type="character" w:styleId="UnresolvedMention">
    <w:name w:val="Unresolved Mention"/>
    <w:basedOn w:val="DefaultParagraphFont"/>
    <w:uiPriority w:val="99"/>
    <w:semiHidden/>
    <w:unhideWhenUsed/>
    <w:rsid w:val="00722E61"/>
    <w:rPr>
      <w:color w:val="605E5C"/>
      <w:shd w:val="clear" w:color="auto" w:fill="E1DFDD"/>
    </w:rPr>
  </w:style>
  <w:style w:type="paragraph" w:styleId="Header">
    <w:name w:val="header"/>
    <w:basedOn w:val="Normal"/>
    <w:link w:val="HeaderChar"/>
    <w:uiPriority w:val="99"/>
    <w:unhideWhenUsed/>
    <w:rsid w:val="00D30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059"/>
  </w:style>
  <w:style w:type="paragraph" w:styleId="Footer">
    <w:name w:val="footer"/>
    <w:basedOn w:val="Normal"/>
    <w:link w:val="FooterChar"/>
    <w:uiPriority w:val="99"/>
    <w:unhideWhenUsed/>
    <w:rsid w:val="00D30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059"/>
  </w:style>
  <w:style w:type="character" w:styleId="FollowedHyperlink">
    <w:name w:val="FollowedHyperlink"/>
    <w:basedOn w:val="DefaultParagraphFont"/>
    <w:uiPriority w:val="99"/>
    <w:semiHidden/>
    <w:unhideWhenUsed/>
    <w:rsid w:val="00E646F6"/>
    <w:rPr>
      <w:color w:val="96607D" w:themeColor="followedHyperlink"/>
      <w:u w:val="single"/>
    </w:rPr>
  </w:style>
  <w:style w:type="paragraph" w:styleId="TOCHeading">
    <w:name w:val="TOC Heading"/>
    <w:basedOn w:val="Heading1"/>
    <w:next w:val="Normal"/>
    <w:uiPriority w:val="39"/>
    <w:unhideWhenUsed/>
    <w:qFormat/>
    <w:rsid w:val="00D310AA"/>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D310AA"/>
    <w:pPr>
      <w:spacing w:after="100"/>
      <w:ind w:left="480"/>
    </w:pPr>
  </w:style>
  <w:style w:type="paragraph" w:styleId="TOC2">
    <w:name w:val="toc 2"/>
    <w:basedOn w:val="Normal"/>
    <w:next w:val="Normal"/>
    <w:autoRedefine/>
    <w:uiPriority w:val="39"/>
    <w:unhideWhenUsed/>
    <w:rsid w:val="00912131"/>
    <w:pPr>
      <w:spacing w:after="100"/>
      <w:ind w:left="240"/>
    </w:pPr>
  </w:style>
  <w:style w:type="paragraph" w:styleId="NormalWeb">
    <w:name w:val="Normal (Web)"/>
    <w:basedOn w:val="Normal"/>
    <w:uiPriority w:val="99"/>
    <w:semiHidden/>
    <w:unhideWhenUsed/>
    <w:rsid w:val="00CA36C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46536">
      <w:bodyDiv w:val="1"/>
      <w:marLeft w:val="0"/>
      <w:marRight w:val="0"/>
      <w:marTop w:val="0"/>
      <w:marBottom w:val="0"/>
      <w:divBdr>
        <w:top w:val="none" w:sz="0" w:space="0" w:color="auto"/>
        <w:left w:val="none" w:sz="0" w:space="0" w:color="auto"/>
        <w:bottom w:val="none" w:sz="0" w:space="0" w:color="auto"/>
        <w:right w:val="none" w:sz="0" w:space="0" w:color="auto"/>
      </w:divBdr>
    </w:div>
    <w:div w:id="105584877">
      <w:bodyDiv w:val="1"/>
      <w:marLeft w:val="0"/>
      <w:marRight w:val="0"/>
      <w:marTop w:val="0"/>
      <w:marBottom w:val="0"/>
      <w:divBdr>
        <w:top w:val="none" w:sz="0" w:space="0" w:color="auto"/>
        <w:left w:val="none" w:sz="0" w:space="0" w:color="auto"/>
        <w:bottom w:val="none" w:sz="0" w:space="0" w:color="auto"/>
        <w:right w:val="none" w:sz="0" w:space="0" w:color="auto"/>
      </w:divBdr>
    </w:div>
    <w:div w:id="105737056">
      <w:bodyDiv w:val="1"/>
      <w:marLeft w:val="0"/>
      <w:marRight w:val="0"/>
      <w:marTop w:val="0"/>
      <w:marBottom w:val="0"/>
      <w:divBdr>
        <w:top w:val="none" w:sz="0" w:space="0" w:color="auto"/>
        <w:left w:val="none" w:sz="0" w:space="0" w:color="auto"/>
        <w:bottom w:val="none" w:sz="0" w:space="0" w:color="auto"/>
        <w:right w:val="none" w:sz="0" w:space="0" w:color="auto"/>
      </w:divBdr>
    </w:div>
    <w:div w:id="150223691">
      <w:bodyDiv w:val="1"/>
      <w:marLeft w:val="0"/>
      <w:marRight w:val="0"/>
      <w:marTop w:val="0"/>
      <w:marBottom w:val="0"/>
      <w:divBdr>
        <w:top w:val="none" w:sz="0" w:space="0" w:color="auto"/>
        <w:left w:val="none" w:sz="0" w:space="0" w:color="auto"/>
        <w:bottom w:val="none" w:sz="0" w:space="0" w:color="auto"/>
        <w:right w:val="none" w:sz="0" w:space="0" w:color="auto"/>
      </w:divBdr>
    </w:div>
    <w:div w:id="194003294">
      <w:bodyDiv w:val="1"/>
      <w:marLeft w:val="0"/>
      <w:marRight w:val="0"/>
      <w:marTop w:val="0"/>
      <w:marBottom w:val="0"/>
      <w:divBdr>
        <w:top w:val="none" w:sz="0" w:space="0" w:color="auto"/>
        <w:left w:val="none" w:sz="0" w:space="0" w:color="auto"/>
        <w:bottom w:val="none" w:sz="0" w:space="0" w:color="auto"/>
        <w:right w:val="none" w:sz="0" w:space="0" w:color="auto"/>
      </w:divBdr>
    </w:div>
    <w:div w:id="330111260">
      <w:bodyDiv w:val="1"/>
      <w:marLeft w:val="0"/>
      <w:marRight w:val="0"/>
      <w:marTop w:val="0"/>
      <w:marBottom w:val="0"/>
      <w:divBdr>
        <w:top w:val="none" w:sz="0" w:space="0" w:color="auto"/>
        <w:left w:val="none" w:sz="0" w:space="0" w:color="auto"/>
        <w:bottom w:val="none" w:sz="0" w:space="0" w:color="auto"/>
        <w:right w:val="none" w:sz="0" w:space="0" w:color="auto"/>
      </w:divBdr>
    </w:div>
    <w:div w:id="432408279">
      <w:bodyDiv w:val="1"/>
      <w:marLeft w:val="0"/>
      <w:marRight w:val="0"/>
      <w:marTop w:val="0"/>
      <w:marBottom w:val="0"/>
      <w:divBdr>
        <w:top w:val="none" w:sz="0" w:space="0" w:color="auto"/>
        <w:left w:val="none" w:sz="0" w:space="0" w:color="auto"/>
        <w:bottom w:val="none" w:sz="0" w:space="0" w:color="auto"/>
        <w:right w:val="none" w:sz="0" w:space="0" w:color="auto"/>
      </w:divBdr>
    </w:div>
    <w:div w:id="465899359">
      <w:bodyDiv w:val="1"/>
      <w:marLeft w:val="0"/>
      <w:marRight w:val="0"/>
      <w:marTop w:val="0"/>
      <w:marBottom w:val="0"/>
      <w:divBdr>
        <w:top w:val="none" w:sz="0" w:space="0" w:color="auto"/>
        <w:left w:val="none" w:sz="0" w:space="0" w:color="auto"/>
        <w:bottom w:val="none" w:sz="0" w:space="0" w:color="auto"/>
        <w:right w:val="none" w:sz="0" w:space="0" w:color="auto"/>
      </w:divBdr>
    </w:div>
    <w:div w:id="474371251">
      <w:bodyDiv w:val="1"/>
      <w:marLeft w:val="0"/>
      <w:marRight w:val="0"/>
      <w:marTop w:val="0"/>
      <w:marBottom w:val="0"/>
      <w:divBdr>
        <w:top w:val="none" w:sz="0" w:space="0" w:color="auto"/>
        <w:left w:val="none" w:sz="0" w:space="0" w:color="auto"/>
        <w:bottom w:val="none" w:sz="0" w:space="0" w:color="auto"/>
        <w:right w:val="none" w:sz="0" w:space="0" w:color="auto"/>
      </w:divBdr>
    </w:div>
    <w:div w:id="532613733">
      <w:bodyDiv w:val="1"/>
      <w:marLeft w:val="0"/>
      <w:marRight w:val="0"/>
      <w:marTop w:val="0"/>
      <w:marBottom w:val="0"/>
      <w:divBdr>
        <w:top w:val="none" w:sz="0" w:space="0" w:color="auto"/>
        <w:left w:val="none" w:sz="0" w:space="0" w:color="auto"/>
        <w:bottom w:val="none" w:sz="0" w:space="0" w:color="auto"/>
        <w:right w:val="none" w:sz="0" w:space="0" w:color="auto"/>
      </w:divBdr>
    </w:div>
    <w:div w:id="537159570">
      <w:bodyDiv w:val="1"/>
      <w:marLeft w:val="0"/>
      <w:marRight w:val="0"/>
      <w:marTop w:val="0"/>
      <w:marBottom w:val="0"/>
      <w:divBdr>
        <w:top w:val="none" w:sz="0" w:space="0" w:color="auto"/>
        <w:left w:val="none" w:sz="0" w:space="0" w:color="auto"/>
        <w:bottom w:val="none" w:sz="0" w:space="0" w:color="auto"/>
        <w:right w:val="none" w:sz="0" w:space="0" w:color="auto"/>
      </w:divBdr>
    </w:div>
    <w:div w:id="553657557">
      <w:bodyDiv w:val="1"/>
      <w:marLeft w:val="0"/>
      <w:marRight w:val="0"/>
      <w:marTop w:val="0"/>
      <w:marBottom w:val="0"/>
      <w:divBdr>
        <w:top w:val="none" w:sz="0" w:space="0" w:color="auto"/>
        <w:left w:val="none" w:sz="0" w:space="0" w:color="auto"/>
        <w:bottom w:val="none" w:sz="0" w:space="0" w:color="auto"/>
        <w:right w:val="none" w:sz="0" w:space="0" w:color="auto"/>
      </w:divBdr>
    </w:div>
    <w:div w:id="570432346">
      <w:bodyDiv w:val="1"/>
      <w:marLeft w:val="0"/>
      <w:marRight w:val="0"/>
      <w:marTop w:val="0"/>
      <w:marBottom w:val="0"/>
      <w:divBdr>
        <w:top w:val="none" w:sz="0" w:space="0" w:color="auto"/>
        <w:left w:val="none" w:sz="0" w:space="0" w:color="auto"/>
        <w:bottom w:val="none" w:sz="0" w:space="0" w:color="auto"/>
        <w:right w:val="none" w:sz="0" w:space="0" w:color="auto"/>
      </w:divBdr>
    </w:div>
    <w:div w:id="580679984">
      <w:bodyDiv w:val="1"/>
      <w:marLeft w:val="0"/>
      <w:marRight w:val="0"/>
      <w:marTop w:val="0"/>
      <w:marBottom w:val="0"/>
      <w:divBdr>
        <w:top w:val="none" w:sz="0" w:space="0" w:color="auto"/>
        <w:left w:val="none" w:sz="0" w:space="0" w:color="auto"/>
        <w:bottom w:val="none" w:sz="0" w:space="0" w:color="auto"/>
        <w:right w:val="none" w:sz="0" w:space="0" w:color="auto"/>
      </w:divBdr>
    </w:div>
    <w:div w:id="613630944">
      <w:bodyDiv w:val="1"/>
      <w:marLeft w:val="0"/>
      <w:marRight w:val="0"/>
      <w:marTop w:val="0"/>
      <w:marBottom w:val="0"/>
      <w:divBdr>
        <w:top w:val="none" w:sz="0" w:space="0" w:color="auto"/>
        <w:left w:val="none" w:sz="0" w:space="0" w:color="auto"/>
        <w:bottom w:val="none" w:sz="0" w:space="0" w:color="auto"/>
        <w:right w:val="none" w:sz="0" w:space="0" w:color="auto"/>
      </w:divBdr>
      <w:divsChild>
        <w:div w:id="71973491">
          <w:marLeft w:val="0"/>
          <w:marRight w:val="0"/>
          <w:marTop w:val="0"/>
          <w:marBottom w:val="0"/>
          <w:divBdr>
            <w:top w:val="none" w:sz="0" w:space="0" w:color="auto"/>
            <w:left w:val="none" w:sz="0" w:space="0" w:color="auto"/>
            <w:bottom w:val="none" w:sz="0" w:space="0" w:color="auto"/>
            <w:right w:val="none" w:sz="0" w:space="0" w:color="auto"/>
          </w:divBdr>
        </w:div>
        <w:div w:id="162863306">
          <w:marLeft w:val="0"/>
          <w:marRight w:val="0"/>
          <w:marTop w:val="0"/>
          <w:marBottom w:val="0"/>
          <w:divBdr>
            <w:top w:val="none" w:sz="0" w:space="0" w:color="auto"/>
            <w:left w:val="none" w:sz="0" w:space="0" w:color="auto"/>
            <w:bottom w:val="none" w:sz="0" w:space="0" w:color="auto"/>
            <w:right w:val="none" w:sz="0" w:space="0" w:color="auto"/>
          </w:divBdr>
        </w:div>
        <w:div w:id="205677019">
          <w:marLeft w:val="0"/>
          <w:marRight w:val="0"/>
          <w:marTop w:val="0"/>
          <w:marBottom w:val="0"/>
          <w:divBdr>
            <w:top w:val="none" w:sz="0" w:space="0" w:color="auto"/>
            <w:left w:val="none" w:sz="0" w:space="0" w:color="auto"/>
            <w:bottom w:val="none" w:sz="0" w:space="0" w:color="auto"/>
            <w:right w:val="none" w:sz="0" w:space="0" w:color="auto"/>
          </w:divBdr>
        </w:div>
        <w:div w:id="211238318">
          <w:marLeft w:val="0"/>
          <w:marRight w:val="0"/>
          <w:marTop w:val="0"/>
          <w:marBottom w:val="0"/>
          <w:divBdr>
            <w:top w:val="none" w:sz="0" w:space="0" w:color="auto"/>
            <w:left w:val="none" w:sz="0" w:space="0" w:color="auto"/>
            <w:bottom w:val="none" w:sz="0" w:space="0" w:color="auto"/>
            <w:right w:val="none" w:sz="0" w:space="0" w:color="auto"/>
          </w:divBdr>
        </w:div>
        <w:div w:id="222259644">
          <w:marLeft w:val="0"/>
          <w:marRight w:val="0"/>
          <w:marTop w:val="0"/>
          <w:marBottom w:val="0"/>
          <w:divBdr>
            <w:top w:val="none" w:sz="0" w:space="0" w:color="auto"/>
            <w:left w:val="none" w:sz="0" w:space="0" w:color="auto"/>
            <w:bottom w:val="none" w:sz="0" w:space="0" w:color="auto"/>
            <w:right w:val="none" w:sz="0" w:space="0" w:color="auto"/>
          </w:divBdr>
        </w:div>
        <w:div w:id="297951228">
          <w:marLeft w:val="0"/>
          <w:marRight w:val="0"/>
          <w:marTop w:val="0"/>
          <w:marBottom w:val="0"/>
          <w:divBdr>
            <w:top w:val="none" w:sz="0" w:space="0" w:color="auto"/>
            <w:left w:val="none" w:sz="0" w:space="0" w:color="auto"/>
            <w:bottom w:val="none" w:sz="0" w:space="0" w:color="auto"/>
            <w:right w:val="none" w:sz="0" w:space="0" w:color="auto"/>
          </w:divBdr>
        </w:div>
        <w:div w:id="357393927">
          <w:marLeft w:val="0"/>
          <w:marRight w:val="0"/>
          <w:marTop w:val="0"/>
          <w:marBottom w:val="0"/>
          <w:divBdr>
            <w:top w:val="none" w:sz="0" w:space="0" w:color="auto"/>
            <w:left w:val="none" w:sz="0" w:space="0" w:color="auto"/>
            <w:bottom w:val="none" w:sz="0" w:space="0" w:color="auto"/>
            <w:right w:val="none" w:sz="0" w:space="0" w:color="auto"/>
          </w:divBdr>
        </w:div>
        <w:div w:id="411660533">
          <w:marLeft w:val="0"/>
          <w:marRight w:val="0"/>
          <w:marTop w:val="0"/>
          <w:marBottom w:val="0"/>
          <w:divBdr>
            <w:top w:val="none" w:sz="0" w:space="0" w:color="auto"/>
            <w:left w:val="none" w:sz="0" w:space="0" w:color="auto"/>
            <w:bottom w:val="none" w:sz="0" w:space="0" w:color="auto"/>
            <w:right w:val="none" w:sz="0" w:space="0" w:color="auto"/>
          </w:divBdr>
          <w:divsChild>
            <w:div w:id="52896606">
              <w:marLeft w:val="0"/>
              <w:marRight w:val="0"/>
              <w:marTop w:val="0"/>
              <w:marBottom w:val="0"/>
              <w:divBdr>
                <w:top w:val="none" w:sz="0" w:space="0" w:color="auto"/>
                <w:left w:val="none" w:sz="0" w:space="0" w:color="auto"/>
                <w:bottom w:val="none" w:sz="0" w:space="0" w:color="auto"/>
                <w:right w:val="none" w:sz="0" w:space="0" w:color="auto"/>
              </w:divBdr>
            </w:div>
            <w:div w:id="74012285">
              <w:marLeft w:val="0"/>
              <w:marRight w:val="0"/>
              <w:marTop w:val="0"/>
              <w:marBottom w:val="0"/>
              <w:divBdr>
                <w:top w:val="none" w:sz="0" w:space="0" w:color="auto"/>
                <w:left w:val="none" w:sz="0" w:space="0" w:color="auto"/>
                <w:bottom w:val="none" w:sz="0" w:space="0" w:color="auto"/>
                <w:right w:val="none" w:sz="0" w:space="0" w:color="auto"/>
              </w:divBdr>
            </w:div>
            <w:div w:id="154535851">
              <w:marLeft w:val="0"/>
              <w:marRight w:val="0"/>
              <w:marTop w:val="0"/>
              <w:marBottom w:val="0"/>
              <w:divBdr>
                <w:top w:val="none" w:sz="0" w:space="0" w:color="auto"/>
                <w:left w:val="none" w:sz="0" w:space="0" w:color="auto"/>
                <w:bottom w:val="none" w:sz="0" w:space="0" w:color="auto"/>
                <w:right w:val="none" w:sz="0" w:space="0" w:color="auto"/>
              </w:divBdr>
            </w:div>
            <w:div w:id="176891110">
              <w:marLeft w:val="0"/>
              <w:marRight w:val="0"/>
              <w:marTop w:val="0"/>
              <w:marBottom w:val="0"/>
              <w:divBdr>
                <w:top w:val="none" w:sz="0" w:space="0" w:color="auto"/>
                <w:left w:val="none" w:sz="0" w:space="0" w:color="auto"/>
                <w:bottom w:val="none" w:sz="0" w:space="0" w:color="auto"/>
                <w:right w:val="none" w:sz="0" w:space="0" w:color="auto"/>
              </w:divBdr>
            </w:div>
            <w:div w:id="184484353">
              <w:marLeft w:val="0"/>
              <w:marRight w:val="0"/>
              <w:marTop w:val="0"/>
              <w:marBottom w:val="0"/>
              <w:divBdr>
                <w:top w:val="none" w:sz="0" w:space="0" w:color="auto"/>
                <w:left w:val="none" w:sz="0" w:space="0" w:color="auto"/>
                <w:bottom w:val="none" w:sz="0" w:space="0" w:color="auto"/>
                <w:right w:val="none" w:sz="0" w:space="0" w:color="auto"/>
              </w:divBdr>
            </w:div>
            <w:div w:id="206726588">
              <w:marLeft w:val="0"/>
              <w:marRight w:val="0"/>
              <w:marTop w:val="0"/>
              <w:marBottom w:val="0"/>
              <w:divBdr>
                <w:top w:val="none" w:sz="0" w:space="0" w:color="auto"/>
                <w:left w:val="none" w:sz="0" w:space="0" w:color="auto"/>
                <w:bottom w:val="none" w:sz="0" w:space="0" w:color="auto"/>
                <w:right w:val="none" w:sz="0" w:space="0" w:color="auto"/>
              </w:divBdr>
            </w:div>
            <w:div w:id="414787462">
              <w:marLeft w:val="0"/>
              <w:marRight w:val="0"/>
              <w:marTop w:val="0"/>
              <w:marBottom w:val="0"/>
              <w:divBdr>
                <w:top w:val="none" w:sz="0" w:space="0" w:color="auto"/>
                <w:left w:val="none" w:sz="0" w:space="0" w:color="auto"/>
                <w:bottom w:val="none" w:sz="0" w:space="0" w:color="auto"/>
                <w:right w:val="none" w:sz="0" w:space="0" w:color="auto"/>
              </w:divBdr>
            </w:div>
            <w:div w:id="598413482">
              <w:marLeft w:val="0"/>
              <w:marRight w:val="0"/>
              <w:marTop w:val="0"/>
              <w:marBottom w:val="0"/>
              <w:divBdr>
                <w:top w:val="none" w:sz="0" w:space="0" w:color="auto"/>
                <w:left w:val="none" w:sz="0" w:space="0" w:color="auto"/>
                <w:bottom w:val="none" w:sz="0" w:space="0" w:color="auto"/>
                <w:right w:val="none" w:sz="0" w:space="0" w:color="auto"/>
              </w:divBdr>
            </w:div>
            <w:div w:id="784613325">
              <w:marLeft w:val="0"/>
              <w:marRight w:val="0"/>
              <w:marTop w:val="0"/>
              <w:marBottom w:val="0"/>
              <w:divBdr>
                <w:top w:val="none" w:sz="0" w:space="0" w:color="auto"/>
                <w:left w:val="none" w:sz="0" w:space="0" w:color="auto"/>
                <w:bottom w:val="none" w:sz="0" w:space="0" w:color="auto"/>
                <w:right w:val="none" w:sz="0" w:space="0" w:color="auto"/>
              </w:divBdr>
            </w:div>
            <w:div w:id="868956057">
              <w:marLeft w:val="0"/>
              <w:marRight w:val="0"/>
              <w:marTop w:val="0"/>
              <w:marBottom w:val="0"/>
              <w:divBdr>
                <w:top w:val="none" w:sz="0" w:space="0" w:color="auto"/>
                <w:left w:val="none" w:sz="0" w:space="0" w:color="auto"/>
                <w:bottom w:val="none" w:sz="0" w:space="0" w:color="auto"/>
                <w:right w:val="none" w:sz="0" w:space="0" w:color="auto"/>
              </w:divBdr>
            </w:div>
            <w:div w:id="881751896">
              <w:marLeft w:val="0"/>
              <w:marRight w:val="0"/>
              <w:marTop w:val="0"/>
              <w:marBottom w:val="0"/>
              <w:divBdr>
                <w:top w:val="none" w:sz="0" w:space="0" w:color="auto"/>
                <w:left w:val="none" w:sz="0" w:space="0" w:color="auto"/>
                <w:bottom w:val="none" w:sz="0" w:space="0" w:color="auto"/>
                <w:right w:val="none" w:sz="0" w:space="0" w:color="auto"/>
              </w:divBdr>
            </w:div>
            <w:div w:id="1067725420">
              <w:marLeft w:val="0"/>
              <w:marRight w:val="0"/>
              <w:marTop w:val="0"/>
              <w:marBottom w:val="0"/>
              <w:divBdr>
                <w:top w:val="none" w:sz="0" w:space="0" w:color="auto"/>
                <w:left w:val="none" w:sz="0" w:space="0" w:color="auto"/>
                <w:bottom w:val="none" w:sz="0" w:space="0" w:color="auto"/>
                <w:right w:val="none" w:sz="0" w:space="0" w:color="auto"/>
              </w:divBdr>
            </w:div>
            <w:div w:id="1197616233">
              <w:marLeft w:val="0"/>
              <w:marRight w:val="0"/>
              <w:marTop w:val="0"/>
              <w:marBottom w:val="0"/>
              <w:divBdr>
                <w:top w:val="none" w:sz="0" w:space="0" w:color="auto"/>
                <w:left w:val="none" w:sz="0" w:space="0" w:color="auto"/>
                <w:bottom w:val="none" w:sz="0" w:space="0" w:color="auto"/>
                <w:right w:val="none" w:sz="0" w:space="0" w:color="auto"/>
              </w:divBdr>
            </w:div>
            <w:div w:id="1406880814">
              <w:marLeft w:val="0"/>
              <w:marRight w:val="0"/>
              <w:marTop w:val="0"/>
              <w:marBottom w:val="0"/>
              <w:divBdr>
                <w:top w:val="none" w:sz="0" w:space="0" w:color="auto"/>
                <w:left w:val="none" w:sz="0" w:space="0" w:color="auto"/>
                <w:bottom w:val="none" w:sz="0" w:space="0" w:color="auto"/>
                <w:right w:val="none" w:sz="0" w:space="0" w:color="auto"/>
              </w:divBdr>
            </w:div>
            <w:div w:id="1439451377">
              <w:marLeft w:val="0"/>
              <w:marRight w:val="0"/>
              <w:marTop w:val="0"/>
              <w:marBottom w:val="0"/>
              <w:divBdr>
                <w:top w:val="none" w:sz="0" w:space="0" w:color="auto"/>
                <w:left w:val="none" w:sz="0" w:space="0" w:color="auto"/>
                <w:bottom w:val="none" w:sz="0" w:space="0" w:color="auto"/>
                <w:right w:val="none" w:sz="0" w:space="0" w:color="auto"/>
              </w:divBdr>
            </w:div>
            <w:div w:id="1491823891">
              <w:marLeft w:val="0"/>
              <w:marRight w:val="0"/>
              <w:marTop w:val="0"/>
              <w:marBottom w:val="0"/>
              <w:divBdr>
                <w:top w:val="none" w:sz="0" w:space="0" w:color="auto"/>
                <w:left w:val="none" w:sz="0" w:space="0" w:color="auto"/>
                <w:bottom w:val="none" w:sz="0" w:space="0" w:color="auto"/>
                <w:right w:val="none" w:sz="0" w:space="0" w:color="auto"/>
              </w:divBdr>
            </w:div>
            <w:div w:id="1534611442">
              <w:marLeft w:val="0"/>
              <w:marRight w:val="0"/>
              <w:marTop w:val="0"/>
              <w:marBottom w:val="0"/>
              <w:divBdr>
                <w:top w:val="none" w:sz="0" w:space="0" w:color="auto"/>
                <w:left w:val="none" w:sz="0" w:space="0" w:color="auto"/>
                <w:bottom w:val="none" w:sz="0" w:space="0" w:color="auto"/>
                <w:right w:val="none" w:sz="0" w:space="0" w:color="auto"/>
              </w:divBdr>
            </w:div>
            <w:div w:id="1574461742">
              <w:marLeft w:val="0"/>
              <w:marRight w:val="0"/>
              <w:marTop w:val="0"/>
              <w:marBottom w:val="0"/>
              <w:divBdr>
                <w:top w:val="none" w:sz="0" w:space="0" w:color="auto"/>
                <w:left w:val="none" w:sz="0" w:space="0" w:color="auto"/>
                <w:bottom w:val="none" w:sz="0" w:space="0" w:color="auto"/>
                <w:right w:val="none" w:sz="0" w:space="0" w:color="auto"/>
              </w:divBdr>
            </w:div>
            <w:div w:id="1660502505">
              <w:marLeft w:val="0"/>
              <w:marRight w:val="0"/>
              <w:marTop w:val="0"/>
              <w:marBottom w:val="0"/>
              <w:divBdr>
                <w:top w:val="none" w:sz="0" w:space="0" w:color="auto"/>
                <w:left w:val="none" w:sz="0" w:space="0" w:color="auto"/>
                <w:bottom w:val="none" w:sz="0" w:space="0" w:color="auto"/>
                <w:right w:val="none" w:sz="0" w:space="0" w:color="auto"/>
              </w:divBdr>
            </w:div>
            <w:div w:id="1791052246">
              <w:marLeft w:val="0"/>
              <w:marRight w:val="0"/>
              <w:marTop w:val="0"/>
              <w:marBottom w:val="0"/>
              <w:divBdr>
                <w:top w:val="none" w:sz="0" w:space="0" w:color="auto"/>
                <w:left w:val="none" w:sz="0" w:space="0" w:color="auto"/>
                <w:bottom w:val="none" w:sz="0" w:space="0" w:color="auto"/>
                <w:right w:val="none" w:sz="0" w:space="0" w:color="auto"/>
              </w:divBdr>
            </w:div>
          </w:divsChild>
        </w:div>
        <w:div w:id="453595766">
          <w:marLeft w:val="0"/>
          <w:marRight w:val="0"/>
          <w:marTop w:val="0"/>
          <w:marBottom w:val="0"/>
          <w:divBdr>
            <w:top w:val="none" w:sz="0" w:space="0" w:color="auto"/>
            <w:left w:val="none" w:sz="0" w:space="0" w:color="auto"/>
            <w:bottom w:val="none" w:sz="0" w:space="0" w:color="auto"/>
            <w:right w:val="none" w:sz="0" w:space="0" w:color="auto"/>
          </w:divBdr>
        </w:div>
        <w:div w:id="460080197">
          <w:marLeft w:val="0"/>
          <w:marRight w:val="0"/>
          <w:marTop w:val="0"/>
          <w:marBottom w:val="0"/>
          <w:divBdr>
            <w:top w:val="none" w:sz="0" w:space="0" w:color="auto"/>
            <w:left w:val="none" w:sz="0" w:space="0" w:color="auto"/>
            <w:bottom w:val="none" w:sz="0" w:space="0" w:color="auto"/>
            <w:right w:val="none" w:sz="0" w:space="0" w:color="auto"/>
          </w:divBdr>
        </w:div>
        <w:div w:id="477722125">
          <w:marLeft w:val="0"/>
          <w:marRight w:val="0"/>
          <w:marTop w:val="0"/>
          <w:marBottom w:val="0"/>
          <w:divBdr>
            <w:top w:val="none" w:sz="0" w:space="0" w:color="auto"/>
            <w:left w:val="none" w:sz="0" w:space="0" w:color="auto"/>
            <w:bottom w:val="none" w:sz="0" w:space="0" w:color="auto"/>
            <w:right w:val="none" w:sz="0" w:space="0" w:color="auto"/>
          </w:divBdr>
        </w:div>
        <w:div w:id="488912176">
          <w:marLeft w:val="0"/>
          <w:marRight w:val="0"/>
          <w:marTop w:val="0"/>
          <w:marBottom w:val="0"/>
          <w:divBdr>
            <w:top w:val="none" w:sz="0" w:space="0" w:color="auto"/>
            <w:left w:val="none" w:sz="0" w:space="0" w:color="auto"/>
            <w:bottom w:val="none" w:sz="0" w:space="0" w:color="auto"/>
            <w:right w:val="none" w:sz="0" w:space="0" w:color="auto"/>
          </w:divBdr>
        </w:div>
        <w:div w:id="530730755">
          <w:marLeft w:val="0"/>
          <w:marRight w:val="0"/>
          <w:marTop w:val="0"/>
          <w:marBottom w:val="0"/>
          <w:divBdr>
            <w:top w:val="none" w:sz="0" w:space="0" w:color="auto"/>
            <w:left w:val="none" w:sz="0" w:space="0" w:color="auto"/>
            <w:bottom w:val="none" w:sz="0" w:space="0" w:color="auto"/>
            <w:right w:val="none" w:sz="0" w:space="0" w:color="auto"/>
          </w:divBdr>
        </w:div>
        <w:div w:id="531580081">
          <w:marLeft w:val="0"/>
          <w:marRight w:val="0"/>
          <w:marTop w:val="0"/>
          <w:marBottom w:val="0"/>
          <w:divBdr>
            <w:top w:val="none" w:sz="0" w:space="0" w:color="auto"/>
            <w:left w:val="none" w:sz="0" w:space="0" w:color="auto"/>
            <w:bottom w:val="none" w:sz="0" w:space="0" w:color="auto"/>
            <w:right w:val="none" w:sz="0" w:space="0" w:color="auto"/>
          </w:divBdr>
        </w:div>
        <w:div w:id="539243012">
          <w:marLeft w:val="0"/>
          <w:marRight w:val="0"/>
          <w:marTop w:val="0"/>
          <w:marBottom w:val="0"/>
          <w:divBdr>
            <w:top w:val="none" w:sz="0" w:space="0" w:color="auto"/>
            <w:left w:val="none" w:sz="0" w:space="0" w:color="auto"/>
            <w:bottom w:val="none" w:sz="0" w:space="0" w:color="auto"/>
            <w:right w:val="none" w:sz="0" w:space="0" w:color="auto"/>
          </w:divBdr>
        </w:div>
        <w:div w:id="546798732">
          <w:marLeft w:val="0"/>
          <w:marRight w:val="0"/>
          <w:marTop w:val="0"/>
          <w:marBottom w:val="0"/>
          <w:divBdr>
            <w:top w:val="none" w:sz="0" w:space="0" w:color="auto"/>
            <w:left w:val="none" w:sz="0" w:space="0" w:color="auto"/>
            <w:bottom w:val="none" w:sz="0" w:space="0" w:color="auto"/>
            <w:right w:val="none" w:sz="0" w:space="0" w:color="auto"/>
          </w:divBdr>
        </w:div>
        <w:div w:id="556823655">
          <w:marLeft w:val="0"/>
          <w:marRight w:val="0"/>
          <w:marTop w:val="0"/>
          <w:marBottom w:val="0"/>
          <w:divBdr>
            <w:top w:val="none" w:sz="0" w:space="0" w:color="auto"/>
            <w:left w:val="none" w:sz="0" w:space="0" w:color="auto"/>
            <w:bottom w:val="none" w:sz="0" w:space="0" w:color="auto"/>
            <w:right w:val="none" w:sz="0" w:space="0" w:color="auto"/>
          </w:divBdr>
        </w:div>
        <w:div w:id="595946012">
          <w:marLeft w:val="0"/>
          <w:marRight w:val="0"/>
          <w:marTop w:val="0"/>
          <w:marBottom w:val="0"/>
          <w:divBdr>
            <w:top w:val="none" w:sz="0" w:space="0" w:color="auto"/>
            <w:left w:val="none" w:sz="0" w:space="0" w:color="auto"/>
            <w:bottom w:val="none" w:sz="0" w:space="0" w:color="auto"/>
            <w:right w:val="none" w:sz="0" w:space="0" w:color="auto"/>
          </w:divBdr>
        </w:div>
        <w:div w:id="638727654">
          <w:marLeft w:val="0"/>
          <w:marRight w:val="0"/>
          <w:marTop w:val="0"/>
          <w:marBottom w:val="0"/>
          <w:divBdr>
            <w:top w:val="none" w:sz="0" w:space="0" w:color="auto"/>
            <w:left w:val="none" w:sz="0" w:space="0" w:color="auto"/>
            <w:bottom w:val="none" w:sz="0" w:space="0" w:color="auto"/>
            <w:right w:val="none" w:sz="0" w:space="0" w:color="auto"/>
          </w:divBdr>
        </w:div>
        <w:div w:id="646130114">
          <w:marLeft w:val="0"/>
          <w:marRight w:val="0"/>
          <w:marTop w:val="0"/>
          <w:marBottom w:val="0"/>
          <w:divBdr>
            <w:top w:val="none" w:sz="0" w:space="0" w:color="auto"/>
            <w:left w:val="none" w:sz="0" w:space="0" w:color="auto"/>
            <w:bottom w:val="none" w:sz="0" w:space="0" w:color="auto"/>
            <w:right w:val="none" w:sz="0" w:space="0" w:color="auto"/>
          </w:divBdr>
        </w:div>
        <w:div w:id="675839072">
          <w:marLeft w:val="0"/>
          <w:marRight w:val="0"/>
          <w:marTop w:val="0"/>
          <w:marBottom w:val="0"/>
          <w:divBdr>
            <w:top w:val="none" w:sz="0" w:space="0" w:color="auto"/>
            <w:left w:val="none" w:sz="0" w:space="0" w:color="auto"/>
            <w:bottom w:val="none" w:sz="0" w:space="0" w:color="auto"/>
            <w:right w:val="none" w:sz="0" w:space="0" w:color="auto"/>
          </w:divBdr>
        </w:div>
        <w:div w:id="680084082">
          <w:marLeft w:val="0"/>
          <w:marRight w:val="0"/>
          <w:marTop w:val="0"/>
          <w:marBottom w:val="0"/>
          <w:divBdr>
            <w:top w:val="none" w:sz="0" w:space="0" w:color="auto"/>
            <w:left w:val="none" w:sz="0" w:space="0" w:color="auto"/>
            <w:bottom w:val="none" w:sz="0" w:space="0" w:color="auto"/>
            <w:right w:val="none" w:sz="0" w:space="0" w:color="auto"/>
          </w:divBdr>
        </w:div>
        <w:div w:id="720983852">
          <w:marLeft w:val="0"/>
          <w:marRight w:val="0"/>
          <w:marTop w:val="0"/>
          <w:marBottom w:val="0"/>
          <w:divBdr>
            <w:top w:val="none" w:sz="0" w:space="0" w:color="auto"/>
            <w:left w:val="none" w:sz="0" w:space="0" w:color="auto"/>
            <w:bottom w:val="none" w:sz="0" w:space="0" w:color="auto"/>
            <w:right w:val="none" w:sz="0" w:space="0" w:color="auto"/>
          </w:divBdr>
        </w:div>
        <w:div w:id="772241420">
          <w:marLeft w:val="0"/>
          <w:marRight w:val="0"/>
          <w:marTop w:val="0"/>
          <w:marBottom w:val="0"/>
          <w:divBdr>
            <w:top w:val="none" w:sz="0" w:space="0" w:color="auto"/>
            <w:left w:val="none" w:sz="0" w:space="0" w:color="auto"/>
            <w:bottom w:val="none" w:sz="0" w:space="0" w:color="auto"/>
            <w:right w:val="none" w:sz="0" w:space="0" w:color="auto"/>
          </w:divBdr>
        </w:div>
        <w:div w:id="813182351">
          <w:marLeft w:val="0"/>
          <w:marRight w:val="0"/>
          <w:marTop w:val="0"/>
          <w:marBottom w:val="0"/>
          <w:divBdr>
            <w:top w:val="none" w:sz="0" w:space="0" w:color="auto"/>
            <w:left w:val="none" w:sz="0" w:space="0" w:color="auto"/>
            <w:bottom w:val="none" w:sz="0" w:space="0" w:color="auto"/>
            <w:right w:val="none" w:sz="0" w:space="0" w:color="auto"/>
          </w:divBdr>
        </w:div>
        <w:div w:id="826822304">
          <w:marLeft w:val="0"/>
          <w:marRight w:val="0"/>
          <w:marTop w:val="0"/>
          <w:marBottom w:val="0"/>
          <w:divBdr>
            <w:top w:val="none" w:sz="0" w:space="0" w:color="auto"/>
            <w:left w:val="none" w:sz="0" w:space="0" w:color="auto"/>
            <w:bottom w:val="none" w:sz="0" w:space="0" w:color="auto"/>
            <w:right w:val="none" w:sz="0" w:space="0" w:color="auto"/>
          </w:divBdr>
        </w:div>
        <w:div w:id="838617022">
          <w:marLeft w:val="0"/>
          <w:marRight w:val="0"/>
          <w:marTop w:val="0"/>
          <w:marBottom w:val="0"/>
          <w:divBdr>
            <w:top w:val="none" w:sz="0" w:space="0" w:color="auto"/>
            <w:left w:val="none" w:sz="0" w:space="0" w:color="auto"/>
            <w:bottom w:val="none" w:sz="0" w:space="0" w:color="auto"/>
            <w:right w:val="none" w:sz="0" w:space="0" w:color="auto"/>
          </w:divBdr>
        </w:div>
        <w:div w:id="900672748">
          <w:marLeft w:val="0"/>
          <w:marRight w:val="0"/>
          <w:marTop w:val="0"/>
          <w:marBottom w:val="0"/>
          <w:divBdr>
            <w:top w:val="none" w:sz="0" w:space="0" w:color="auto"/>
            <w:left w:val="none" w:sz="0" w:space="0" w:color="auto"/>
            <w:bottom w:val="none" w:sz="0" w:space="0" w:color="auto"/>
            <w:right w:val="none" w:sz="0" w:space="0" w:color="auto"/>
          </w:divBdr>
        </w:div>
        <w:div w:id="962536561">
          <w:marLeft w:val="0"/>
          <w:marRight w:val="0"/>
          <w:marTop w:val="0"/>
          <w:marBottom w:val="0"/>
          <w:divBdr>
            <w:top w:val="none" w:sz="0" w:space="0" w:color="auto"/>
            <w:left w:val="none" w:sz="0" w:space="0" w:color="auto"/>
            <w:bottom w:val="none" w:sz="0" w:space="0" w:color="auto"/>
            <w:right w:val="none" w:sz="0" w:space="0" w:color="auto"/>
          </w:divBdr>
        </w:div>
        <w:div w:id="971400271">
          <w:marLeft w:val="0"/>
          <w:marRight w:val="0"/>
          <w:marTop w:val="0"/>
          <w:marBottom w:val="0"/>
          <w:divBdr>
            <w:top w:val="none" w:sz="0" w:space="0" w:color="auto"/>
            <w:left w:val="none" w:sz="0" w:space="0" w:color="auto"/>
            <w:bottom w:val="none" w:sz="0" w:space="0" w:color="auto"/>
            <w:right w:val="none" w:sz="0" w:space="0" w:color="auto"/>
          </w:divBdr>
        </w:div>
        <w:div w:id="992022931">
          <w:marLeft w:val="0"/>
          <w:marRight w:val="0"/>
          <w:marTop w:val="0"/>
          <w:marBottom w:val="0"/>
          <w:divBdr>
            <w:top w:val="none" w:sz="0" w:space="0" w:color="auto"/>
            <w:left w:val="none" w:sz="0" w:space="0" w:color="auto"/>
            <w:bottom w:val="none" w:sz="0" w:space="0" w:color="auto"/>
            <w:right w:val="none" w:sz="0" w:space="0" w:color="auto"/>
          </w:divBdr>
        </w:div>
        <w:div w:id="1032070052">
          <w:marLeft w:val="0"/>
          <w:marRight w:val="0"/>
          <w:marTop w:val="0"/>
          <w:marBottom w:val="0"/>
          <w:divBdr>
            <w:top w:val="none" w:sz="0" w:space="0" w:color="auto"/>
            <w:left w:val="none" w:sz="0" w:space="0" w:color="auto"/>
            <w:bottom w:val="none" w:sz="0" w:space="0" w:color="auto"/>
            <w:right w:val="none" w:sz="0" w:space="0" w:color="auto"/>
          </w:divBdr>
        </w:div>
        <w:div w:id="1060320903">
          <w:marLeft w:val="0"/>
          <w:marRight w:val="0"/>
          <w:marTop w:val="0"/>
          <w:marBottom w:val="0"/>
          <w:divBdr>
            <w:top w:val="none" w:sz="0" w:space="0" w:color="auto"/>
            <w:left w:val="none" w:sz="0" w:space="0" w:color="auto"/>
            <w:bottom w:val="none" w:sz="0" w:space="0" w:color="auto"/>
            <w:right w:val="none" w:sz="0" w:space="0" w:color="auto"/>
          </w:divBdr>
        </w:div>
        <w:div w:id="1087266976">
          <w:marLeft w:val="0"/>
          <w:marRight w:val="0"/>
          <w:marTop w:val="0"/>
          <w:marBottom w:val="0"/>
          <w:divBdr>
            <w:top w:val="none" w:sz="0" w:space="0" w:color="auto"/>
            <w:left w:val="none" w:sz="0" w:space="0" w:color="auto"/>
            <w:bottom w:val="none" w:sz="0" w:space="0" w:color="auto"/>
            <w:right w:val="none" w:sz="0" w:space="0" w:color="auto"/>
          </w:divBdr>
          <w:divsChild>
            <w:div w:id="68427309">
              <w:marLeft w:val="0"/>
              <w:marRight w:val="0"/>
              <w:marTop w:val="0"/>
              <w:marBottom w:val="0"/>
              <w:divBdr>
                <w:top w:val="none" w:sz="0" w:space="0" w:color="auto"/>
                <w:left w:val="none" w:sz="0" w:space="0" w:color="auto"/>
                <w:bottom w:val="none" w:sz="0" w:space="0" w:color="auto"/>
                <w:right w:val="none" w:sz="0" w:space="0" w:color="auto"/>
              </w:divBdr>
            </w:div>
            <w:div w:id="255285471">
              <w:marLeft w:val="0"/>
              <w:marRight w:val="0"/>
              <w:marTop w:val="0"/>
              <w:marBottom w:val="0"/>
              <w:divBdr>
                <w:top w:val="none" w:sz="0" w:space="0" w:color="auto"/>
                <w:left w:val="none" w:sz="0" w:space="0" w:color="auto"/>
                <w:bottom w:val="none" w:sz="0" w:space="0" w:color="auto"/>
                <w:right w:val="none" w:sz="0" w:space="0" w:color="auto"/>
              </w:divBdr>
            </w:div>
            <w:div w:id="408112246">
              <w:marLeft w:val="0"/>
              <w:marRight w:val="0"/>
              <w:marTop w:val="0"/>
              <w:marBottom w:val="0"/>
              <w:divBdr>
                <w:top w:val="none" w:sz="0" w:space="0" w:color="auto"/>
                <w:left w:val="none" w:sz="0" w:space="0" w:color="auto"/>
                <w:bottom w:val="none" w:sz="0" w:space="0" w:color="auto"/>
                <w:right w:val="none" w:sz="0" w:space="0" w:color="auto"/>
              </w:divBdr>
            </w:div>
            <w:div w:id="412972958">
              <w:marLeft w:val="0"/>
              <w:marRight w:val="0"/>
              <w:marTop w:val="0"/>
              <w:marBottom w:val="0"/>
              <w:divBdr>
                <w:top w:val="none" w:sz="0" w:space="0" w:color="auto"/>
                <w:left w:val="none" w:sz="0" w:space="0" w:color="auto"/>
                <w:bottom w:val="none" w:sz="0" w:space="0" w:color="auto"/>
                <w:right w:val="none" w:sz="0" w:space="0" w:color="auto"/>
              </w:divBdr>
            </w:div>
            <w:div w:id="448358758">
              <w:marLeft w:val="0"/>
              <w:marRight w:val="0"/>
              <w:marTop w:val="0"/>
              <w:marBottom w:val="0"/>
              <w:divBdr>
                <w:top w:val="none" w:sz="0" w:space="0" w:color="auto"/>
                <w:left w:val="none" w:sz="0" w:space="0" w:color="auto"/>
                <w:bottom w:val="none" w:sz="0" w:space="0" w:color="auto"/>
                <w:right w:val="none" w:sz="0" w:space="0" w:color="auto"/>
              </w:divBdr>
            </w:div>
            <w:div w:id="473913784">
              <w:marLeft w:val="0"/>
              <w:marRight w:val="0"/>
              <w:marTop w:val="0"/>
              <w:marBottom w:val="0"/>
              <w:divBdr>
                <w:top w:val="none" w:sz="0" w:space="0" w:color="auto"/>
                <w:left w:val="none" w:sz="0" w:space="0" w:color="auto"/>
                <w:bottom w:val="none" w:sz="0" w:space="0" w:color="auto"/>
                <w:right w:val="none" w:sz="0" w:space="0" w:color="auto"/>
              </w:divBdr>
            </w:div>
            <w:div w:id="503860097">
              <w:marLeft w:val="0"/>
              <w:marRight w:val="0"/>
              <w:marTop w:val="0"/>
              <w:marBottom w:val="0"/>
              <w:divBdr>
                <w:top w:val="none" w:sz="0" w:space="0" w:color="auto"/>
                <w:left w:val="none" w:sz="0" w:space="0" w:color="auto"/>
                <w:bottom w:val="none" w:sz="0" w:space="0" w:color="auto"/>
                <w:right w:val="none" w:sz="0" w:space="0" w:color="auto"/>
              </w:divBdr>
            </w:div>
            <w:div w:id="1222640756">
              <w:marLeft w:val="0"/>
              <w:marRight w:val="0"/>
              <w:marTop w:val="0"/>
              <w:marBottom w:val="0"/>
              <w:divBdr>
                <w:top w:val="none" w:sz="0" w:space="0" w:color="auto"/>
                <w:left w:val="none" w:sz="0" w:space="0" w:color="auto"/>
                <w:bottom w:val="none" w:sz="0" w:space="0" w:color="auto"/>
                <w:right w:val="none" w:sz="0" w:space="0" w:color="auto"/>
              </w:divBdr>
            </w:div>
            <w:div w:id="1329791836">
              <w:marLeft w:val="0"/>
              <w:marRight w:val="0"/>
              <w:marTop w:val="0"/>
              <w:marBottom w:val="0"/>
              <w:divBdr>
                <w:top w:val="none" w:sz="0" w:space="0" w:color="auto"/>
                <w:left w:val="none" w:sz="0" w:space="0" w:color="auto"/>
                <w:bottom w:val="none" w:sz="0" w:space="0" w:color="auto"/>
                <w:right w:val="none" w:sz="0" w:space="0" w:color="auto"/>
              </w:divBdr>
            </w:div>
            <w:div w:id="1362629787">
              <w:marLeft w:val="0"/>
              <w:marRight w:val="0"/>
              <w:marTop w:val="0"/>
              <w:marBottom w:val="0"/>
              <w:divBdr>
                <w:top w:val="none" w:sz="0" w:space="0" w:color="auto"/>
                <w:left w:val="none" w:sz="0" w:space="0" w:color="auto"/>
                <w:bottom w:val="none" w:sz="0" w:space="0" w:color="auto"/>
                <w:right w:val="none" w:sz="0" w:space="0" w:color="auto"/>
              </w:divBdr>
            </w:div>
            <w:div w:id="1561749036">
              <w:marLeft w:val="0"/>
              <w:marRight w:val="0"/>
              <w:marTop w:val="0"/>
              <w:marBottom w:val="0"/>
              <w:divBdr>
                <w:top w:val="none" w:sz="0" w:space="0" w:color="auto"/>
                <w:left w:val="none" w:sz="0" w:space="0" w:color="auto"/>
                <w:bottom w:val="none" w:sz="0" w:space="0" w:color="auto"/>
                <w:right w:val="none" w:sz="0" w:space="0" w:color="auto"/>
              </w:divBdr>
            </w:div>
            <w:div w:id="1649480895">
              <w:marLeft w:val="0"/>
              <w:marRight w:val="0"/>
              <w:marTop w:val="0"/>
              <w:marBottom w:val="0"/>
              <w:divBdr>
                <w:top w:val="none" w:sz="0" w:space="0" w:color="auto"/>
                <w:left w:val="none" w:sz="0" w:space="0" w:color="auto"/>
                <w:bottom w:val="none" w:sz="0" w:space="0" w:color="auto"/>
                <w:right w:val="none" w:sz="0" w:space="0" w:color="auto"/>
              </w:divBdr>
            </w:div>
            <w:div w:id="1697002803">
              <w:marLeft w:val="0"/>
              <w:marRight w:val="0"/>
              <w:marTop w:val="0"/>
              <w:marBottom w:val="0"/>
              <w:divBdr>
                <w:top w:val="none" w:sz="0" w:space="0" w:color="auto"/>
                <w:left w:val="none" w:sz="0" w:space="0" w:color="auto"/>
                <w:bottom w:val="none" w:sz="0" w:space="0" w:color="auto"/>
                <w:right w:val="none" w:sz="0" w:space="0" w:color="auto"/>
              </w:divBdr>
            </w:div>
            <w:div w:id="1708529957">
              <w:marLeft w:val="0"/>
              <w:marRight w:val="0"/>
              <w:marTop w:val="0"/>
              <w:marBottom w:val="0"/>
              <w:divBdr>
                <w:top w:val="none" w:sz="0" w:space="0" w:color="auto"/>
                <w:left w:val="none" w:sz="0" w:space="0" w:color="auto"/>
                <w:bottom w:val="none" w:sz="0" w:space="0" w:color="auto"/>
                <w:right w:val="none" w:sz="0" w:space="0" w:color="auto"/>
              </w:divBdr>
            </w:div>
            <w:div w:id="1779521274">
              <w:marLeft w:val="0"/>
              <w:marRight w:val="0"/>
              <w:marTop w:val="0"/>
              <w:marBottom w:val="0"/>
              <w:divBdr>
                <w:top w:val="none" w:sz="0" w:space="0" w:color="auto"/>
                <w:left w:val="none" w:sz="0" w:space="0" w:color="auto"/>
                <w:bottom w:val="none" w:sz="0" w:space="0" w:color="auto"/>
                <w:right w:val="none" w:sz="0" w:space="0" w:color="auto"/>
              </w:divBdr>
            </w:div>
            <w:div w:id="1811089976">
              <w:marLeft w:val="0"/>
              <w:marRight w:val="0"/>
              <w:marTop w:val="0"/>
              <w:marBottom w:val="0"/>
              <w:divBdr>
                <w:top w:val="none" w:sz="0" w:space="0" w:color="auto"/>
                <w:left w:val="none" w:sz="0" w:space="0" w:color="auto"/>
                <w:bottom w:val="none" w:sz="0" w:space="0" w:color="auto"/>
                <w:right w:val="none" w:sz="0" w:space="0" w:color="auto"/>
              </w:divBdr>
            </w:div>
            <w:div w:id="1859079015">
              <w:marLeft w:val="0"/>
              <w:marRight w:val="0"/>
              <w:marTop w:val="0"/>
              <w:marBottom w:val="0"/>
              <w:divBdr>
                <w:top w:val="none" w:sz="0" w:space="0" w:color="auto"/>
                <w:left w:val="none" w:sz="0" w:space="0" w:color="auto"/>
                <w:bottom w:val="none" w:sz="0" w:space="0" w:color="auto"/>
                <w:right w:val="none" w:sz="0" w:space="0" w:color="auto"/>
              </w:divBdr>
            </w:div>
            <w:div w:id="1952323561">
              <w:marLeft w:val="0"/>
              <w:marRight w:val="0"/>
              <w:marTop w:val="0"/>
              <w:marBottom w:val="0"/>
              <w:divBdr>
                <w:top w:val="none" w:sz="0" w:space="0" w:color="auto"/>
                <w:left w:val="none" w:sz="0" w:space="0" w:color="auto"/>
                <w:bottom w:val="none" w:sz="0" w:space="0" w:color="auto"/>
                <w:right w:val="none" w:sz="0" w:space="0" w:color="auto"/>
              </w:divBdr>
            </w:div>
            <w:div w:id="2004236366">
              <w:marLeft w:val="0"/>
              <w:marRight w:val="0"/>
              <w:marTop w:val="0"/>
              <w:marBottom w:val="0"/>
              <w:divBdr>
                <w:top w:val="none" w:sz="0" w:space="0" w:color="auto"/>
                <w:left w:val="none" w:sz="0" w:space="0" w:color="auto"/>
                <w:bottom w:val="none" w:sz="0" w:space="0" w:color="auto"/>
                <w:right w:val="none" w:sz="0" w:space="0" w:color="auto"/>
              </w:divBdr>
            </w:div>
            <w:div w:id="2014212914">
              <w:marLeft w:val="0"/>
              <w:marRight w:val="0"/>
              <w:marTop w:val="0"/>
              <w:marBottom w:val="0"/>
              <w:divBdr>
                <w:top w:val="none" w:sz="0" w:space="0" w:color="auto"/>
                <w:left w:val="none" w:sz="0" w:space="0" w:color="auto"/>
                <w:bottom w:val="none" w:sz="0" w:space="0" w:color="auto"/>
                <w:right w:val="none" w:sz="0" w:space="0" w:color="auto"/>
              </w:divBdr>
            </w:div>
          </w:divsChild>
        </w:div>
        <w:div w:id="1092820878">
          <w:marLeft w:val="0"/>
          <w:marRight w:val="0"/>
          <w:marTop w:val="0"/>
          <w:marBottom w:val="0"/>
          <w:divBdr>
            <w:top w:val="none" w:sz="0" w:space="0" w:color="auto"/>
            <w:left w:val="none" w:sz="0" w:space="0" w:color="auto"/>
            <w:bottom w:val="none" w:sz="0" w:space="0" w:color="auto"/>
            <w:right w:val="none" w:sz="0" w:space="0" w:color="auto"/>
          </w:divBdr>
        </w:div>
        <w:div w:id="1102342033">
          <w:marLeft w:val="0"/>
          <w:marRight w:val="0"/>
          <w:marTop w:val="0"/>
          <w:marBottom w:val="0"/>
          <w:divBdr>
            <w:top w:val="none" w:sz="0" w:space="0" w:color="auto"/>
            <w:left w:val="none" w:sz="0" w:space="0" w:color="auto"/>
            <w:bottom w:val="none" w:sz="0" w:space="0" w:color="auto"/>
            <w:right w:val="none" w:sz="0" w:space="0" w:color="auto"/>
          </w:divBdr>
        </w:div>
        <w:div w:id="1142045054">
          <w:marLeft w:val="0"/>
          <w:marRight w:val="0"/>
          <w:marTop w:val="0"/>
          <w:marBottom w:val="0"/>
          <w:divBdr>
            <w:top w:val="none" w:sz="0" w:space="0" w:color="auto"/>
            <w:left w:val="none" w:sz="0" w:space="0" w:color="auto"/>
            <w:bottom w:val="none" w:sz="0" w:space="0" w:color="auto"/>
            <w:right w:val="none" w:sz="0" w:space="0" w:color="auto"/>
          </w:divBdr>
        </w:div>
        <w:div w:id="1145852655">
          <w:marLeft w:val="0"/>
          <w:marRight w:val="0"/>
          <w:marTop w:val="0"/>
          <w:marBottom w:val="0"/>
          <w:divBdr>
            <w:top w:val="none" w:sz="0" w:space="0" w:color="auto"/>
            <w:left w:val="none" w:sz="0" w:space="0" w:color="auto"/>
            <w:bottom w:val="none" w:sz="0" w:space="0" w:color="auto"/>
            <w:right w:val="none" w:sz="0" w:space="0" w:color="auto"/>
          </w:divBdr>
        </w:div>
        <w:div w:id="1151753313">
          <w:marLeft w:val="0"/>
          <w:marRight w:val="0"/>
          <w:marTop w:val="0"/>
          <w:marBottom w:val="0"/>
          <w:divBdr>
            <w:top w:val="none" w:sz="0" w:space="0" w:color="auto"/>
            <w:left w:val="none" w:sz="0" w:space="0" w:color="auto"/>
            <w:bottom w:val="none" w:sz="0" w:space="0" w:color="auto"/>
            <w:right w:val="none" w:sz="0" w:space="0" w:color="auto"/>
          </w:divBdr>
        </w:div>
        <w:div w:id="1168129750">
          <w:marLeft w:val="0"/>
          <w:marRight w:val="0"/>
          <w:marTop w:val="0"/>
          <w:marBottom w:val="0"/>
          <w:divBdr>
            <w:top w:val="none" w:sz="0" w:space="0" w:color="auto"/>
            <w:left w:val="none" w:sz="0" w:space="0" w:color="auto"/>
            <w:bottom w:val="none" w:sz="0" w:space="0" w:color="auto"/>
            <w:right w:val="none" w:sz="0" w:space="0" w:color="auto"/>
          </w:divBdr>
        </w:div>
        <w:div w:id="1184173890">
          <w:marLeft w:val="0"/>
          <w:marRight w:val="0"/>
          <w:marTop w:val="0"/>
          <w:marBottom w:val="0"/>
          <w:divBdr>
            <w:top w:val="none" w:sz="0" w:space="0" w:color="auto"/>
            <w:left w:val="none" w:sz="0" w:space="0" w:color="auto"/>
            <w:bottom w:val="none" w:sz="0" w:space="0" w:color="auto"/>
            <w:right w:val="none" w:sz="0" w:space="0" w:color="auto"/>
          </w:divBdr>
        </w:div>
        <w:div w:id="1199200436">
          <w:marLeft w:val="0"/>
          <w:marRight w:val="0"/>
          <w:marTop w:val="0"/>
          <w:marBottom w:val="0"/>
          <w:divBdr>
            <w:top w:val="none" w:sz="0" w:space="0" w:color="auto"/>
            <w:left w:val="none" w:sz="0" w:space="0" w:color="auto"/>
            <w:bottom w:val="none" w:sz="0" w:space="0" w:color="auto"/>
            <w:right w:val="none" w:sz="0" w:space="0" w:color="auto"/>
          </w:divBdr>
        </w:div>
        <w:div w:id="1203519473">
          <w:marLeft w:val="0"/>
          <w:marRight w:val="0"/>
          <w:marTop w:val="0"/>
          <w:marBottom w:val="0"/>
          <w:divBdr>
            <w:top w:val="none" w:sz="0" w:space="0" w:color="auto"/>
            <w:left w:val="none" w:sz="0" w:space="0" w:color="auto"/>
            <w:bottom w:val="none" w:sz="0" w:space="0" w:color="auto"/>
            <w:right w:val="none" w:sz="0" w:space="0" w:color="auto"/>
          </w:divBdr>
        </w:div>
        <w:div w:id="1240403048">
          <w:marLeft w:val="0"/>
          <w:marRight w:val="0"/>
          <w:marTop w:val="0"/>
          <w:marBottom w:val="0"/>
          <w:divBdr>
            <w:top w:val="none" w:sz="0" w:space="0" w:color="auto"/>
            <w:left w:val="none" w:sz="0" w:space="0" w:color="auto"/>
            <w:bottom w:val="none" w:sz="0" w:space="0" w:color="auto"/>
            <w:right w:val="none" w:sz="0" w:space="0" w:color="auto"/>
          </w:divBdr>
        </w:div>
        <w:div w:id="1251156786">
          <w:marLeft w:val="0"/>
          <w:marRight w:val="0"/>
          <w:marTop w:val="0"/>
          <w:marBottom w:val="0"/>
          <w:divBdr>
            <w:top w:val="none" w:sz="0" w:space="0" w:color="auto"/>
            <w:left w:val="none" w:sz="0" w:space="0" w:color="auto"/>
            <w:bottom w:val="none" w:sz="0" w:space="0" w:color="auto"/>
            <w:right w:val="none" w:sz="0" w:space="0" w:color="auto"/>
          </w:divBdr>
        </w:div>
        <w:div w:id="1310552840">
          <w:marLeft w:val="0"/>
          <w:marRight w:val="0"/>
          <w:marTop w:val="0"/>
          <w:marBottom w:val="0"/>
          <w:divBdr>
            <w:top w:val="none" w:sz="0" w:space="0" w:color="auto"/>
            <w:left w:val="none" w:sz="0" w:space="0" w:color="auto"/>
            <w:bottom w:val="none" w:sz="0" w:space="0" w:color="auto"/>
            <w:right w:val="none" w:sz="0" w:space="0" w:color="auto"/>
          </w:divBdr>
        </w:div>
        <w:div w:id="1349605404">
          <w:marLeft w:val="0"/>
          <w:marRight w:val="0"/>
          <w:marTop w:val="0"/>
          <w:marBottom w:val="0"/>
          <w:divBdr>
            <w:top w:val="none" w:sz="0" w:space="0" w:color="auto"/>
            <w:left w:val="none" w:sz="0" w:space="0" w:color="auto"/>
            <w:bottom w:val="none" w:sz="0" w:space="0" w:color="auto"/>
            <w:right w:val="none" w:sz="0" w:space="0" w:color="auto"/>
          </w:divBdr>
        </w:div>
        <w:div w:id="1366833655">
          <w:marLeft w:val="0"/>
          <w:marRight w:val="0"/>
          <w:marTop w:val="0"/>
          <w:marBottom w:val="0"/>
          <w:divBdr>
            <w:top w:val="none" w:sz="0" w:space="0" w:color="auto"/>
            <w:left w:val="none" w:sz="0" w:space="0" w:color="auto"/>
            <w:bottom w:val="none" w:sz="0" w:space="0" w:color="auto"/>
            <w:right w:val="none" w:sz="0" w:space="0" w:color="auto"/>
          </w:divBdr>
        </w:div>
        <w:div w:id="1384476907">
          <w:marLeft w:val="0"/>
          <w:marRight w:val="0"/>
          <w:marTop w:val="0"/>
          <w:marBottom w:val="0"/>
          <w:divBdr>
            <w:top w:val="none" w:sz="0" w:space="0" w:color="auto"/>
            <w:left w:val="none" w:sz="0" w:space="0" w:color="auto"/>
            <w:bottom w:val="none" w:sz="0" w:space="0" w:color="auto"/>
            <w:right w:val="none" w:sz="0" w:space="0" w:color="auto"/>
          </w:divBdr>
        </w:div>
        <w:div w:id="1400204127">
          <w:marLeft w:val="0"/>
          <w:marRight w:val="0"/>
          <w:marTop w:val="0"/>
          <w:marBottom w:val="0"/>
          <w:divBdr>
            <w:top w:val="none" w:sz="0" w:space="0" w:color="auto"/>
            <w:left w:val="none" w:sz="0" w:space="0" w:color="auto"/>
            <w:bottom w:val="none" w:sz="0" w:space="0" w:color="auto"/>
            <w:right w:val="none" w:sz="0" w:space="0" w:color="auto"/>
          </w:divBdr>
        </w:div>
        <w:div w:id="1403798521">
          <w:marLeft w:val="0"/>
          <w:marRight w:val="0"/>
          <w:marTop w:val="0"/>
          <w:marBottom w:val="0"/>
          <w:divBdr>
            <w:top w:val="none" w:sz="0" w:space="0" w:color="auto"/>
            <w:left w:val="none" w:sz="0" w:space="0" w:color="auto"/>
            <w:bottom w:val="none" w:sz="0" w:space="0" w:color="auto"/>
            <w:right w:val="none" w:sz="0" w:space="0" w:color="auto"/>
          </w:divBdr>
        </w:div>
        <w:div w:id="1441412176">
          <w:marLeft w:val="0"/>
          <w:marRight w:val="0"/>
          <w:marTop w:val="0"/>
          <w:marBottom w:val="0"/>
          <w:divBdr>
            <w:top w:val="none" w:sz="0" w:space="0" w:color="auto"/>
            <w:left w:val="none" w:sz="0" w:space="0" w:color="auto"/>
            <w:bottom w:val="none" w:sz="0" w:space="0" w:color="auto"/>
            <w:right w:val="none" w:sz="0" w:space="0" w:color="auto"/>
          </w:divBdr>
        </w:div>
        <w:div w:id="1445347466">
          <w:marLeft w:val="0"/>
          <w:marRight w:val="0"/>
          <w:marTop w:val="0"/>
          <w:marBottom w:val="0"/>
          <w:divBdr>
            <w:top w:val="none" w:sz="0" w:space="0" w:color="auto"/>
            <w:left w:val="none" w:sz="0" w:space="0" w:color="auto"/>
            <w:bottom w:val="none" w:sz="0" w:space="0" w:color="auto"/>
            <w:right w:val="none" w:sz="0" w:space="0" w:color="auto"/>
          </w:divBdr>
        </w:div>
        <w:div w:id="1447967255">
          <w:marLeft w:val="0"/>
          <w:marRight w:val="0"/>
          <w:marTop w:val="0"/>
          <w:marBottom w:val="0"/>
          <w:divBdr>
            <w:top w:val="none" w:sz="0" w:space="0" w:color="auto"/>
            <w:left w:val="none" w:sz="0" w:space="0" w:color="auto"/>
            <w:bottom w:val="none" w:sz="0" w:space="0" w:color="auto"/>
            <w:right w:val="none" w:sz="0" w:space="0" w:color="auto"/>
          </w:divBdr>
        </w:div>
        <w:div w:id="1458252542">
          <w:marLeft w:val="0"/>
          <w:marRight w:val="0"/>
          <w:marTop w:val="0"/>
          <w:marBottom w:val="0"/>
          <w:divBdr>
            <w:top w:val="none" w:sz="0" w:space="0" w:color="auto"/>
            <w:left w:val="none" w:sz="0" w:space="0" w:color="auto"/>
            <w:bottom w:val="none" w:sz="0" w:space="0" w:color="auto"/>
            <w:right w:val="none" w:sz="0" w:space="0" w:color="auto"/>
          </w:divBdr>
        </w:div>
        <w:div w:id="1463039584">
          <w:marLeft w:val="0"/>
          <w:marRight w:val="0"/>
          <w:marTop w:val="0"/>
          <w:marBottom w:val="0"/>
          <w:divBdr>
            <w:top w:val="none" w:sz="0" w:space="0" w:color="auto"/>
            <w:left w:val="none" w:sz="0" w:space="0" w:color="auto"/>
            <w:bottom w:val="none" w:sz="0" w:space="0" w:color="auto"/>
            <w:right w:val="none" w:sz="0" w:space="0" w:color="auto"/>
          </w:divBdr>
        </w:div>
        <w:div w:id="1470509928">
          <w:marLeft w:val="0"/>
          <w:marRight w:val="0"/>
          <w:marTop w:val="0"/>
          <w:marBottom w:val="0"/>
          <w:divBdr>
            <w:top w:val="none" w:sz="0" w:space="0" w:color="auto"/>
            <w:left w:val="none" w:sz="0" w:space="0" w:color="auto"/>
            <w:bottom w:val="none" w:sz="0" w:space="0" w:color="auto"/>
            <w:right w:val="none" w:sz="0" w:space="0" w:color="auto"/>
          </w:divBdr>
        </w:div>
        <w:div w:id="1566643036">
          <w:marLeft w:val="0"/>
          <w:marRight w:val="0"/>
          <w:marTop w:val="0"/>
          <w:marBottom w:val="0"/>
          <w:divBdr>
            <w:top w:val="none" w:sz="0" w:space="0" w:color="auto"/>
            <w:left w:val="none" w:sz="0" w:space="0" w:color="auto"/>
            <w:bottom w:val="none" w:sz="0" w:space="0" w:color="auto"/>
            <w:right w:val="none" w:sz="0" w:space="0" w:color="auto"/>
          </w:divBdr>
        </w:div>
        <w:div w:id="1582371237">
          <w:marLeft w:val="0"/>
          <w:marRight w:val="0"/>
          <w:marTop w:val="0"/>
          <w:marBottom w:val="0"/>
          <w:divBdr>
            <w:top w:val="none" w:sz="0" w:space="0" w:color="auto"/>
            <w:left w:val="none" w:sz="0" w:space="0" w:color="auto"/>
            <w:bottom w:val="none" w:sz="0" w:space="0" w:color="auto"/>
            <w:right w:val="none" w:sz="0" w:space="0" w:color="auto"/>
          </w:divBdr>
        </w:div>
        <w:div w:id="1594625081">
          <w:marLeft w:val="0"/>
          <w:marRight w:val="0"/>
          <w:marTop w:val="0"/>
          <w:marBottom w:val="0"/>
          <w:divBdr>
            <w:top w:val="none" w:sz="0" w:space="0" w:color="auto"/>
            <w:left w:val="none" w:sz="0" w:space="0" w:color="auto"/>
            <w:bottom w:val="none" w:sz="0" w:space="0" w:color="auto"/>
            <w:right w:val="none" w:sz="0" w:space="0" w:color="auto"/>
          </w:divBdr>
        </w:div>
        <w:div w:id="1700936540">
          <w:marLeft w:val="0"/>
          <w:marRight w:val="0"/>
          <w:marTop w:val="0"/>
          <w:marBottom w:val="0"/>
          <w:divBdr>
            <w:top w:val="none" w:sz="0" w:space="0" w:color="auto"/>
            <w:left w:val="none" w:sz="0" w:space="0" w:color="auto"/>
            <w:bottom w:val="none" w:sz="0" w:space="0" w:color="auto"/>
            <w:right w:val="none" w:sz="0" w:space="0" w:color="auto"/>
          </w:divBdr>
        </w:div>
        <w:div w:id="1715158076">
          <w:marLeft w:val="0"/>
          <w:marRight w:val="0"/>
          <w:marTop w:val="0"/>
          <w:marBottom w:val="0"/>
          <w:divBdr>
            <w:top w:val="none" w:sz="0" w:space="0" w:color="auto"/>
            <w:left w:val="none" w:sz="0" w:space="0" w:color="auto"/>
            <w:bottom w:val="none" w:sz="0" w:space="0" w:color="auto"/>
            <w:right w:val="none" w:sz="0" w:space="0" w:color="auto"/>
          </w:divBdr>
        </w:div>
        <w:div w:id="1754428566">
          <w:marLeft w:val="0"/>
          <w:marRight w:val="0"/>
          <w:marTop w:val="0"/>
          <w:marBottom w:val="0"/>
          <w:divBdr>
            <w:top w:val="none" w:sz="0" w:space="0" w:color="auto"/>
            <w:left w:val="none" w:sz="0" w:space="0" w:color="auto"/>
            <w:bottom w:val="none" w:sz="0" w:space="0" w:color="auto"/>
            <w:right w:val="none" w:sz="0" w:space="0" w:color="auto"/>
          </w:divBdr>
        </w:div>
        <w:div w:id="1757046623">
          <w:marLeft w:val="0"/>
          <w:marRight w:val="0"/>
          <w:marTop w:val="0"/>
          <w:marBottom w:val="0"/>
          <w:divBdr>
            <w:top w:val="none" w:sz="0" w:space="0" w:color="auto"/>
            <w:left w:val="none" w:sz="0" w:space="0" w:color="auto"/>
            <w:bottom w:val="none" w:sz="0" w:space="0" w:color="auto"/>
            <w:right w:val="none" w:sz="0" w:space="0" w:color="auto"/>
          </w:divBdr>
        </w:div>
        <w:div w:id="1790735006">
          <w:marLeft w:val="0"/>
          <w:marRight w:val="0"/>
          <w:marTop w:val="0"/>
          <w:marBottom w:val="0"/>
          <w:divBdr>
            <w:top w:val="none" w:sz="0" w:space="0" w:color="auto"/>
            <w:left w:val="none" w:sz="0" w:space="0" w:color="auto"/>
            <w:bottom w:val="none" w:sz="0" w:space="0" w:color="auto"/>
            <w:right w:val="none" w:sz="0" w:space="0" w:color="auto"/>
          </w:divBdr>
        </w:div>
        <w:div w:id="1791821281">
          <w:marLeft w:val="0"/>
          <w:marRight w:val="0"/>
          <w:marTop w:val="0"/>
          <w:marBottom w:val="0"/>
          <w:divBdr>
            <w:top w:val="none" w:sz="0" w:space="0" w:color="auto"/>
            <w:left w:val="none" w:sz="0" w:space="0" w:color="auto"/>
            <w:bottom w:val="none" w:sz="0" w:space="0" w:color="auto"/>
            <w:right w:val="none" w:sz="0" w:space="0" w:color="auto"/>
          </w:divBdr>
          <w:divsChild>
            <w:div w:id="131990586">
              <w:marLeft w:val="0"/>
              <w:marRight w:val="0"/>
              <w:marTop w:val="0"/>
              <w:marBottom w:val="0"/>
              <w:divBdr>
                <w:top w:val="none" w:sz="0" w:space="0" w:color="auto"/>
                <w:left w:val="none" w:sz="0" w:space="0" w:color="auto"/>
                <w:bottom w:val="none" w:sz="0" w:space="0" w:color="auto"/>
                <w:right w:val="none" w:sz="0" w:space="0" w:color="auto"/>
              </w:divBdr>
            </w:div>
            <w:div w:id="483858583">
              <w:marLeft w:val="0"/>
              <w:marRight w:val="0"/>
              <w:marTop w:val="0"/>
              <w:marBottom w:val="0"/>
              <w:divBdr>
                <w:top w:val="none" w:sz="0" w:space="0" w:color="auto"/>
                <w:left w:val="none" w:sz="0" w:space="0" w:color="auto"/>
                <w:bottom w:val="none" w:sz="0" w:space="0" w:color="auto"/>
                <w:right w:val="none" w:sz="0" w:space="0" w:color="auto"/>
              </w:divBdr>
            </w:div>
            <w:div w:id="542519025">
              <w:marLeft w:val="0"/>
              <w:marRight w:val="0"/>
              <w:marTop w:val="0"/>
              <w:marBottom w:val="0"/>
              <w:divBdr>
                <w:top w:val="none" w:sz="0" w:space="0" w:color="auto"/>
                <w:left w:val="none" w:sz="0" w:space="0" w:color="auto"/>
                <w:bottom w:val="none" w:sz="0" w:space="0" w:color="auto"/>
                <w:right w:val="none" w:sz="0" w:space="0" w:color="auto"/>
              </w:divBdr>
            </w:div>
            <w:div w:id="560092913">
              <w:marLeft w:val="0"/>
              <w:marRight w:val="0"/>
              <w:marTop w:val="0"/>
              <w:marBottom w:val="0"/>
              <w:divBdr>
                <w:top w:val="none" w:sz="0" w:space="0" w:color="auto"/>
                <w:left w:val="none" w:sz="0" w:space="0" w:color="auto"/>
                <w:bottom w:val="none" w:sz="0" w:space="0" w:color="auto"/>
                <w:right w:val="none" w:sz="0" w:space="0" w:color="auto"/>
              </w:divBdr>
            </w:div>
            <w:div w:id="699359165">
              <w:marLeft w:val="0"/>
              <w:marRight w:val="0"/>
              <w:marTop w:val="0"/>
              <w:marBottom w:val="0"/>
              <w:divBdr>
                <w:top w:val="none" w:sz="0" w:space="0" w:color="auto"/>
                <w:left w:val="none" w:sz="0" w:space="0" w:color="auto"/>
                <w:bottom w:val="none" w:sz="0" w:space="0" w:color="auto"/>
                <w:right w:val="none" w:sz="0" w:space="0" w:color="auto"/>
              </w:divBdr>
            </w:div>
            <w:div w:id="709956502">
              <w:marLeft w:val="0"/>
              <w:marRight w:val="0"/>
              <w:marTop w:val="0"/>
              <w:marBottom w:val="0"/>
              <w:divBdr>
                <w:top w:val="none" w:sz="0" w:space="0" w:color="auto"/>
                <w:left w:val="none" w:sz="0" w:space="0" w:color="auto"/>
                <w:bottom w:val="none" w:sz="0" w:space="0" w:color="auto"/>
                <w:right w:val="none" w:sz="0" w:space="0" w:color="auto"/>
              </w:divBdr>
            </w:div>
            <w:div w:id="755441601">
              <w:marLeft w:val="0"/>
              <w:marRight w:val="0"/>
              <w:marTop w:val="0"/>
              <w:marBottom w:val="0"/>
              <w:divBdr>
                <w:top w:val="none" w:sz="0" w:space="0" w:color="auto"/>
                <w:left w:val="none" w:sz="0" w:space="0" w:color="auto"/>
                <w:bottom w:val="none" w:sz="0" w:space="0" w:color="auto"/>
                <w:right w:val="none" w:sz="0" w:space="0" w:color="auto"/>
              </w:divBdr>
            </w:div>
            <w:div w:id="969288299">
              <w:marLeft w:val="0"/>
              <w:marRight w:val="0"/>
              <w:marTop w:val="0"/>
              <w:marBottom w:val="0"/>
              <w:divBdr>
                <w:top w:val="none" w:sz="0" w:space="0" w:color="auto"/>
                <w:left w:val="none" w:sz="0" w:space="0" w:color="auto"/>
                <w:bottom w:val="none" w:sz="0" w:space="0" w:color="auto"/>
                <w:right w:val="none" w:sz="0" w:space="0" w:color="auto"/>
              </w:divBdr>
            </w:div>
            <w:div w:id="1319067394">
              <w:marLeft w:val="0"/>
              <w:marRight w:val="0"/>
              <w:marTop w:val="0"/>
              <w:marBottom w:val="0"/>
              <w:divBdr>
                <w:top w:val="none" w:sz="0" w:space="0" w:color="auto"/>
                <w:left w:val="none" w:sz="0" w:space="0" w:color="auto"/>
                <w:bottom w:val="none" w:sz="0" w:space="0" w:color="auto"/>
                <w:right w:val="none" w:sz="0" w:space="0" w:color="auto"/>
              </w:divBdr>
            </w:div>
            <w:div w:id="1367952998">
              <w:marLeft w:val="0"/>
              <w:marRight w:val="0"/>
              <w:marTop w:val="0"/>
              <w:marBottom w:val="0"/>
              <w:divBdr>
                <w:top w:val="none" w:sz="0" w:space="0" w:color="auto"/>
                <w:left w:val="none" w:sz="0" w:space="0" w:color="auto"/>
                <w:bottom w:val="none" w:sz="0" w:space="0" w:color="auto"/>
                <w:right w:val="none" w:sz="0" w:space="0" w:color="auto"/>
              </w:divBdr>
            </w:div>
            <w:div w:id="1392582644">
              <w:marLeft w:val="0"/>
              <w:marRight w:val="0"/>
              <w:marTop w:val="0"/>
              <w:marBottom w:val="0"/>
              <w:divBdr>
                <w:top w:val="none" w:sz="0" w:space="0" w:color="auto"/>
                <w:left w:val="none" w:sz="0" w:space="0" w:color="auto"/>
                <w:bottom w:val="none" w:sz="0" w:space="0" w:color="auto"/>
                <w:right w:val="none" w:sz="0" w:space="0" w:color="auto"/>
              </w:divBdr>
            </w:div>
            <w:div w:id="1424253846">
              <w:marLeft w:val="0"/>
              <w:marRight w:val="0"/>
              <w:marTop w:val="0"/>
              <w:marBottom w:val="0"/>
              <w:divBdr>
                <w:top w:val="none" w:sz="0" w:space="0" w:color="auto"/>
                <w:left w:val="none" w:sz="0" w:space="0" w:color="auto"/>
                <w:bottom w:val="none" w:sz="0" w:space="0" w:color="auto"/>
                <w:right w:val="none" w:sz="0" w:space="0" w:color="auto"/>
              </w:divBdr>
            </w:div>
            <w:div w:id="1486121108">
              <w:marLeft w:val="0"/>
              <w:marRight w:val="0"/>
              <w:marTop w:val="0"/>
              <w:marBottom w:val="0"/>
              <w:divBdr>
                <w:top w:val="none" w:sz="0" w:space="0" w:color="auto"/>
                <w:left w:val="none" w:sz="0" w:space="0" w:color="auto"/>
                <w:bottom w:val="none" w:sz="0" w:space="0" w:color="auto"/>
                <w:right w:val="none" w:sz="0" w:space="0" w:color="auto"/>
              </w:divBdr>
            </w:div>
            <w:div w:id="1742026063">
              <w:marLeft w:val="0"/>
              <w:marRight w:val="0"/>
              <w:marTop w:val="0"/>
              <w:marBottom w:val="0"/>
              <w:divBdr>
                <w:top w:val="none" w:sz="0" w:space="0" w:color="auto"/>
                <w:left w:val="none" w:sz="0" w:space="0" w:color="auto"/>
                <w:bottom w:val="none" w:sz="0" w:space="0" w:color="auto"/>
                <w:right w:val="none" w:sz="0" w:space="0" w:color="auto"/>
              </w:divBdr>
            </w:div>
            <w:div w:id="1768042489">
              <w:marLeft w:val="0"/>
              <w:marRight w:val="0"/>
              <w:marTop w:val="0"/>
              <w:marBottom w:val="0"/>
              <w:divBdr>
                <w:top w:val="none" w:sz="0" w:space="0" w:color="auto"/>
                <w:left w:val="none" w:sz="0" w:space="0" w:color="auto"/>
                <w:bottom w:val="none" w:sz="0" w:space="0" w:color="auto"/>
                <w:right w:val="none" w:sz="0" w:space="0" w:color="auto"/>
              </w:divBdr>
            </w:div>
            <w:div w:id="1789230175">
              <w:marLeft w:val="0"/>
              <w:marRight w:val="0"/>
              <w:marTop w:val="0"/>
              <w:marBottom w:val="0"/>
              <w:divBdr>
                <w:top w:val="none" w:sz="0" w:space="0" w:color="auto"/>
                <w:left w:val="none" w:sz="0" w:space="0" w:color="auto"/>
                <w:bottom w:val="none" w:sz="0" w:space="0" w:color="auto"/>
                <w:right w:val="none" w:sz="0" w:space="0" w:color="auto"/>
              </w:divBdr>
            </w:div>
            <w:div w:id="1865318351">
              <w:marLeft w:val="0"/>
              <w:marRight w:val="0"/>
              <w:marTop w:val="0"/>
              <w:marBottom w:val="0"/>
              <w:divBdr>
                <w:top w:val="none" w:sz="0" w:space="0" w:color="auto"/>
                <w:left w:val="none" w:sz="0" w:space="0" w:color="auto"/>
                <w:bottom w:val="none" w:sz="0" w:space="0" w:color="auto"/>
                <w:right w:val="none" w:sz="0" w:space="0" w:color="auto"/>
              </w:divBdr>
            </w:div>
            <w:div w:id="1884100293">
              <w:marLeft w:val="0"/>
              <w:marRight w:val="0"/>
              <w:marTop w:val="0"/>
              <w:marBottom w:val="0"/>
              <w:divBdr>
                <w:top w:val="none" w:sz="0" w:space="0" w:color="auto"/>
                <w:left w:val="none" w:sz="0" w:space="0" w:color="auto"/>
                <w:bottom w:val="none" w:sz="0" w:space="0" w:color="auto"/>
                <w:right w:val="none" w:sz="0" w:space="0" w:color="auto"/>
              </w:divBdr>
            </w:div>
            <w:div w:id="1932464763">
              <w:marLeft w:val="0"/>
              <w:marRight w:val="0"/>
              <w:marTop w:val="0"/>
              <w:marBottom w:val="0"/>
              <w:divBdr>
                <w:top w:val="none" w:sz="0" w:space="0" w:color="auto"/>
                <w:left w:val="none" w:sz="0" w:space="0" w:color="auto"/>
                <w:bottom w:val="none" w:sz="0" w:space="0" w:color="auto"/>
                <w:right w:val="none" w:sz="0" w:space="0" w:color="auto"/>
              </w:divBdr>
            </w:div>
            <w:div w:id="1987658734">
              <w:marLeft w:val="0"/>
              <w:marRight w:val="0"/>
              <w:marTop w:val="0"/>
              <w:marBottom w:val="0"/>
              <w:divBdr>
                <w:top w:val="none" w:sz="0" w:space="0" w:color="auto"/>
                <w:left w:val="none" w:sz="0" w:space="0" w:color="auto"/>
                <w:bottom w:val="none" w:sz="0" w:space="0" w:color="auto"/>
                <w:right w:val="none" w:sz="0" w:space="0" w:color="auto"/>
              </w:divBdr>
            </w:div>
          </w:divsChild>
        </w:div>
        <w:div w:id="1800221190">
          <w:marLeft w:val="0"/>
          <w:marRight w:val="0"/>
          <w:marTop w:val="0"/>
          <w:marBottom w:val="0"/>
          <w:divBdr>
            <w:top w:val="none" w:sz="0" w:space="0" w:color="auto"/>
            <w:left w:val="none" w:sz="0" w:space="0" w:color="auto"/>
            <w:bottom w:val="none" w:sz="0" w:space="0" w:color="auto"/>
            <w:right w:val="none" w:sz="0" w:space="0" w:color="auto"/>
          </w:divBdr>
        </w:div>
        <w:div w:id="1805080605">
          <w:marLeft w:val="0"/>
          <w:marRight w:val="0"/>
          <w:marTop w:val="0"/>
          <w:marBottom w:val="0"/>
          <w:divBdr>
            <w:top w:val="none" w:sz="0" w:space="0" w:color="auto"/>
            <w:left w:val="none" w:sz="0" w:space="0" w:color="auto"/>
            <w:bottom w:val="none" w:sz="0" w:space="0" w:color="auto"/>
            <w:right w:val="none" w:sz="0" w:space="0" w:color="auto"/>
          </w:divBdr>
        </w:div>
        <w:div w:id="1816676362">
          <w:marLeft w:val="0"/>
          <w:marRight w:val="0"/>
          <w:marTop w:val="0"/>
          <w:marBottom w:val="0"/>
          <w:divBdr>
            <w:top w:val="none" w:sz="0" w:space="0" w:color="auto"/>
            <w:left w:val="none" w:sz="0" w:space="0" w:color="auto"/>
            <w:bottom w:val="none" w:sz="0" w:space="0" w:color="auto"/>
            <w:right w:val="none" w:sz="0" w:space="0" w:color="auto"/>
          </w:divBdr>
        </w:div>
        <w:div w:id="1828935771">
          <w:marLeft w:val="0"/>
          <w:marRight w:val="0"/>
          <w:marTop w:val="0"/>
          <w:marBottom w:val="0"/>
          <w:divBdr>
            <w:top w:val="none" w:sz="0" w:space="0" w:color="auto"/>
            <w:left w:val="none" w:sz="0" w:space="0" w:color="auto"/>
            <w:bottom w:val="none" w:sz="0" w:space="0" w:color="auto"/>
            <w:right w:val="none" w:sz="0" w:space="0" w:color="auto"/>
          </w:divBdr>
        </w:div>
        <w:div w:id="1846819593">
          <w:marLeft w:val="0"/>
          <w:marRight w:val="0"/>
          <w:marTop w:val="0"/>
          <w:marBottom w:val="0"/>
          <w:divBdr>
            <w:top w:val="none" w:sz="0" w:space="0" w:color="auto"/>
            <w:left w:val="none" w:sz="0" w:space="0" w:color="auto"/>
            <w:bottom w:val="none" w:sz="0" w:space="0" w:color="auto"/>
            <w:right w:val="none" w:sz="0" w:space="0" w:color="auto"/>
          </w:divBdr>
        </w:div>
        <w:div w:id="1853839000">
          <w:marLeft w:val="0"/>
          <w:marRight w:val="0"/>
          <w:marTop w:val="0"/>
          <w:marBottom w:val="0"/>
          <w:divBdr>
            <w:top w:val="none" w:sz="0" w:space="0" w:color="auto"/>
            <w:left w:val="none" w:sz="0" w:space="0" w:color="auto"/>
            <w:bottom w:val="none" w:sz="0" w:space="0" w:color="auto"/>
            <w:right w:val="none" w:sz="0" w:space="0" w:color="auto"/>
          </w:divBdr>
        </w:div>
        <w:div w:id="1859660030">
          <w:marLeft w:val="0"/>
          <w:marRight w:val="0"/>
          <w:marTop w:val="0"/>
          <w:marBottom w:val="0"/>
          <w:divBdr>
            <w:top w:val="none" w:sz="0" w:space="0" w:color="auto"/>
            <w:left w:val="none" w:sz="0" w:space="0" w:color="auto"/>
            <w:bottom w:val="none" w:sz="0" w:space="0" w:color="auto"/>
            <w:right w:val="none" w:sz="0" w:space="0" w:color="auto"/>
          </w:divBdr>
        </w:div>
        <w:div w:id="1876577991">
          <w:marLeft w:val="0"/>
          <w:marRight w:val="0"/>
          <w:marTop w:val="0"/>
          <w:marBottom w:val="0"/>
          <w:divBdr>
            <w:top w:val="none" w:sz="0" w:space="0" w:color="auto"/>
            <w:left w:val="none" w:sz="0" w:space="0" w:color="auto"/>
            <w:bottom w:val="none" w:sz="0" w:space="0" w:color="auto"/>
            <w:right w:val="none" w:sz="0" w:space="0" w:color="auto"/>
          </w:divBdr>
        </w:div>
        <w:div w:id="1956600808">
          <w:marLeft w:val="0"/>
          <w:marRight w:val="0"/>
          <w:marTop w:val="0"/>
          <w:marBottom w:val="0"/>
          <w:divBdr>
            <w:top w:val="none" w:sz="0" w:space="0" w:color="auto"/>
            <w:left w:val="none" w:sz="0" w:space="0" w:color="auto"/>
            <w:bottom w:val="none" w:sz="0" w:space="0" w:color="auto"/>
            <w:right w:val="none" w:sz="0" w:space="0" w:color="auto"/>
          </w:divBdr>
        </w:div>
        <w:div w:id="1964001021">
          <w:marLeft w:val="0"/>
          <w:marRight w:val="0"/>
          <w:marTop w:val="0"/>
          <w:marBottom w:val="0"/>
          <w:divBdr>
            <w:top w:val="none" w:sz="0" w:space="0" w:color="auto"/>
            <w:left w:val="none" w:sz="0" w:space="0" w:color="auto"/>
            <w:bottom w:val="none" w:sz="0" w:space="0" w:color="auto"/>
            <w:right w:val="none" w:sz="0" w:space="0" w:color="auto"/>
          </w:divBdr>
        </w:div>
        <w:div w:id="2031447455">
          <w:marLeft w:val="0"/>
          <w:marRight w:val="0"/>
          <w:marTop w:val="0"/>
          <w:marBottom w:val="0"/>
          <w:divBdr>
            <w:top w:val="none" w:sz="0" w:space="0" w:color="auto"/>
            <w:left w:val="none" w:sz="0" w:space="0" w:color="auto"/>
            <w:bottom w:val="none" w:sz="0" w:space="0" w:color="auto"/>
            <w:right w:val="none" w:sz="0" w:space="0" w:color="auto"/>
          </w:divBdr>
        </w:div>
        <w:div w:id="2082680410">
          <w:marLeft w:val="0"/>
          <w:marRight w:val="0"/>
          <w:marTop w:val="0"/>
          <w:marBottom w:val="0"/>
          <w:divBdr>
            <w:top w:val="none" w:sz="0" w:space="0" w:color="auto"/>
            <w:left w:val="none" w:sz="0" w:space="0" w:color="auto"/>
            <w:bottom w:val="none" w:sz="0" w:space="0" w:color="auto"/>
            <w:right w:val="none" w:sz="0" w:space="0" w:color="auto"/>
          </w:divBdr>
        </w:div>
        <w:div w:id="2095197933">
          <w:marLeft w:val="0"/>
          <w:marRight w:val="0"/>
          <w:marTop w:val="0"/>
          <w:marBottom w:val="0"/>
          <w:divBdr>
            <w:top w:val="none" w:sz="0" w:space="0" w:color="auto"/>
            <w:left w:val="none" w:sz="0" w:space="0" w:color="auto"/>
            <w:bottom w:val="none" w:sz="0" w:space="0" w:color="auto"/>
            <w:right w:val="none" w:sz="0" w:space="0" w:color="auto"/>
          </w:divBdr>
        </w:div>
        <w:div w:id="2116750262">
          <w:marLeft w:val="0"/>
          <w:marRight w:val="0"/>
          <w:marTop w:val="0"/>
          <w:marBottom w:val="0"/>
          <w:divBdr>
            <w:top w:val="none" w:sz="0" w:space="0" w:color="auto"/>
            <w:left w:val="none" w:sz="0" w:space="0" w:color="auto"/>
            <w:bottom w:val="none" w:sz="0" w:space="0" w:color="auto"/>
            <w:right w:val="none" w:sz="0" w:space="0" w:color="auto"/>
          </w:divBdr>
        </w:div>
      </w:divsChild>
    </w:div>
    <w:div w:id="634482468">
      <w:bodyDiv w:val="1"/>
      <w:marLeft w:val="0"/>
      <w:marRight w:val="0"/>
      <w:marTop w:val="0"/>
      <w:marBottom w:val="0"/>
      <w:divBdr>
        <w:top w:val="none" w:sz="0" w:space="0" w:color="auto"/>
        <w:left w:val="none" w:sz="0" w:space="0" w:color="auto"/>
        <w:bottom w:val="none" w:sz="0" w:space="0" w:color="auto"/>
        <w:right w:val="none" w:sz="0" w:space="0" w:color="auto"/>
      </w:divBdr>
      <w:divsChild>
        <w:div w:id="527302894">
          <w:marLeft w:val="30"/>
          <w:marRight w:val="30"/>
          <w:marTop w:val="0"/>
          <w:marBottom w:val="0"/>
          <w:divBdr>
            <w:top w:val="none" w:sz="0" w:space="0" w:color="auto"/>
            <w:left w:val="none" w:sz="0" w:space="0" w:color="auto"/>
            <w:bottom w:val="none" w:sz="0" w:space="0" w:color="auto"/>
            <w:right w:val="none" w:sz="0" w:space="0" w:color="auto"/>
          </w:divBdr>
          <w:divsChild>
            <w:div w:id="414715996">
              <w:marLeft w:val="0"/>
              <w:marRight w:val="0"/>
              <w:marTop w:val="30"/>
              <w:marBottom w:val="30"/>
              <w:divBdr>
                <w:top w:val="none" w:sz="0" w:space="0" w:color="auto"/>
                <w:left w:val="none" w:sz="0" w:space="0" w:color="auto"/>
                <w:bottom w:val="none" w:sz="0" w:space="0" w:color="auto"/>
                <w:right w:val="none" w:sz="0" w:space="0" w:color="auto"/>
              </w:divBdr>
              <w:divsChild>
                <w:div w:id="692003102">
                  <w:marLeft w:val="0"/>
                  <w:marRight w:val="0"/>
                  <w:marTop w:val="0"/>
                  <w:marBottom w:val="0"/>
                  <w:divBdr>
                    <w:top w:val="none" w:sz="0" w:space="0" w:color="auto"/>
                    <w:left w:val="none" w:sz="0" w:space="0" w:color="auto"/>
                    <w:bottom w:val="none" w:sz="0" w:space="0" w:color="auto"/>
                    <w:right w:val="none" w:sz="0" w:space="0" w:color="auto"/>
                  </w:divBdr>
                  <w:divsChild>
                    <w:div w:id="149831475">
                      <w:marLeft w:val="0"/>
                      <w:marRight w:val="0"/>
                      <w:marTop w:val="0"/>
                      <w:marBottom w:val="0"/>
                      <w:divBdr>
                        <w:top w:val="none" w:sz="0" w:space="0" w:color="auto"/>
                        <w:left w:val="none" w:sz="0" w:space="0" w:color="auto"/>
                        <w:bottom w:val="none" w:sz="0" w:space="0" w:color="auto"/>
                        <w:right w:val="none" w:sz="0" w:space="0" w:color="auto"/>
                      </w:divBdr>
                      <w:divsChild>
                        <w:div w:id="972368262">
                          <w:marLeft w:val="0"/>
                          <w:marRight w:val="0"/>
                          <w:marTop w:val="0"/>
                          <w:marBottom w:val="0"/>
                          <w:divBdr>
                            <w:top w:val="none" w:sz="0" w:space="0" w:color="auto"/>
                            <w:left w:val="none" w:sz="0" w:space="0" w:color="auto"/>
                            <w:bottom w:val="none" w:sz="0" w:space="0" w:color="auto"/>
                            <w:right w:val="none" w:sz="0" w:space="0" w:color="auto"/>
                          </w:divBdr>
                          <w:divsChild>
                            <w:div w:id="5460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068035">
              <w:marLeft w:val="60"/>
              <w:marRight w:val="60"/>
              <w:marTop w:val="0"/>
              <w:marBottom w:val="0"/>
              <w:divBdr>
                <w:top w:val="none" w:sz="0" w:space="0" w:color="auto"/>
                <w:left w:val="none" w:sz="0" w:space="0" w:color="auto"/>
                <w:bottom w:val="none" w:sz="0" w:space="0" w:color="auto"/>
                <w:right w:val="none" w:sz="0" w:space="0" w:color="auto"/>
              </w:divBdr>
              <w:divsChild>
                <w:div w:id="143548862">
                  <w:marLeft w:val="0"/>
                  <w:marRight w:val="0"/>
                  <w:marTop w:val="0"/>
                  <w:marBottom w:val="0"/>
                  <w:divBdr>
                    <w:top w:val="none" w:sz="0" w:space="0" w:color="auto"/>
                    <w:left w:val="none" w:sz="0" w:space="0" w:color="auto"/>
                    <w:bottom w:val="none" w:sz="0" w:space="0" w:color="auto"/>
                    <w:right w:val="none" w:sz="0" w:space="0" w:color="auto"/>
                  </w:divBdr>
                  <w:divsChild>
                    <w:div w:id="1929118330">
                      <w:marLeft w:val="0"/>
                      <w:marRight w:val="0"/>
                      <w:marTop w:val="30"/>
                      <w:marBottom w:val="15"/>
                      <w:divBdr>
                        <w:top w:val="none" w:sz="0" w:space="0" w:color="auto"/>
                        <w:left w:val="none" w:sz="0" w:space="0" w:color="auto"/>
                        <w:bottom w:val="none" w:sz="0" w:space="0" w:color="auto"/>
                        <w:right w:val="none" w:sz="0" w:space="0" w:color="auto"/>
                      </w:divBdr>
                    </w:div>
                  </w:divsChild>
                </w:div>
                <w:div w:id="1937322514">
                  <w:marLeft w:val="0"/>
                  <w:marRight w:val="120"/>
                  <w:marTop w:val="0"/>
                  <w:marBottom w:val="0"/>
                  <w:divBdr>
                    <w:top w:val="none" w:sz="0" w:space="0" w:color="auto"/>
                    <w:left w:val="none" w:sz="0" w:space="0" w:color="auto"/>
                    <w:bottom w:val="none" w:sz="0" w:space="0" w:color="auto"/>
                    <w:right w:val="none" w:sz="0" w:space="0" w:color="auto"/>
                  </w:divBdr>
                  <w:divsChild>
                    <w:div w:id="128671213">
                      <w:marLeft w:val="0"/>
                      <w:marRight w:val="0"/>
                      <w:marTop w:val="0"/>
                      <w:marBottom w:val="0"/>
                      <w:divBdr>
                        <w:top w:val="none" w:sz="0" w:space="0" w:color="auto"/>
                        <w:left w:val="none" w:sz="0" w:space="0" w:color="auto"/>
                        <w:bottom w:val="none" w:sz="0" w:space="0" w:color="auto"/>
                        <w:right w:val="none" w:sz="0" w:space="0" w:color="auto"/>
                      </w:divBdr>
                      <w:divsChild>
                        <w:div w:id="192290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516329">
          <w:marLeft w:val="30"/>
          <w:marRight w:val="30"/>
          <w:marTop w:val="0"/>
          <w:marBottom w:val="0"/>
          <w:divBdr>
            <w:top w:val="none" w:sz="0" w:space="0" w:color="auto"/>
            <w:left w:val="none" w:sz="0" w:space="0" w:color="auto"/>
            <w:bottom w:val="none" w:sz="0" w:space="0" w:color="auto"/>
            <w:right w:val="none" w:sz="0" w:space="0" w:color="auto"/>
          </w:divBdr>
          <w:divsChild>
            <w:div w:id="1058942710">
              <w:marLeft w:val="0"/>
              <w:marRight w:val="0"/>
              <w:marTop w:val="30"/>
              <w:marBottom w:val="30"/>
              <w:divBdr>
                <w:top w:val="none" w:sz="0" w:space="0" w:color="auto"/>
                <w:left w:val="none" w:sz="0" w:space="0" w:color="auto"/>
                <w:bottom w:val="none" w:sz="0" w:space="0" w:color="auto"/>
                <w:right w:val="none" w:sz="0" w:space="0" w:color="auto"/>
              </w:divBdr>
              <w:divsChild>
                <w:div w:id="827212719">
                  <w:marLeft w:val="60"/>
                  <w:marRight w:val="0"/>
                  <w:marTop w:val="0"/>
                  <w:marBottom w:val="0"/>
                  <w:divBdr>
                    <w:top w:val="none" w:sz="0" w:space="0" w:color="auto"/>
                    <w:left w:val="none" w:sz="0" w:space="0" w:color="auto"/>
                    <w:bottom w:val="none" w:sz="0" w:space="0" w:color="auto"/>
                    <w:right w:val="none" w:sz="0" w:space="0" w:color="auto"/>
                  </w:divBdr>
                </w:div>
                <w:div w:id="872310525">
                  <w:marLeft w:val="0"/>
                  <w:marRight w:val="0"/>
                  <w:marTop w:val="0"/>
                  <w:marBottom w:val="0"/>
                  <w:divBdr>
                    <w:top w:val="none" w:sz="0" w:space="0" w:color="auto"/>
                    <w:left w:val="none" w:sz="0" w:space="0" w:color="auto"/>
                    <w:bottom w:val="none" w:sz="0" w:space="0" w:color="auto"/>
                    <w:right w:val="none" w:sz="0" w:space="0" w:color="auto"/>
                  </w:divBdr>
                  <w:divsChild>
                    <w:div w:id="1536111494">
                      <w:marLeft w:val="0"/>
                      <w:marRight w:val="0"/>
                      <w:marTop w:val="0"/>
                      <w:marBottom w:val="0"/>
                      <w:divBdr>
                        <w:top w:val="none" w:sz="0" w:space="0" w:color="auto"/>
                        <w:left w:val="none" w:sz="0" w:space="0" w:color="auto"/>
                        <w:bottom w:val="none" w:sz="0" w:space="0" w:color="auto"/>
                        <w:right w:val="none" w:sz="0" w:space="0" w:color="auto"/>
                      </w:divBdr>
                      <w:divsChild>
                        <w:div w:id="91829044">
                          <w:marLeft w:val="0"/>
                          <w:marRight w:val="0"/>
                          <w:marTop w:val="0"/>
                          <w:marBottom w:val="0"/>
                          <w:divBdr>
                            <w:top w:val="none" w:sz="0" w:space="0" w:color="auto"/>
                            <w:left w:val="none" w:sz="0" w:space="0" w:color="auto"/>
                            <w:bottom w:val="none" w:sz="0" w:space="0" w:color="auto"/>
                            <w:right w:val="none" w:sz="0" w:space="0" w:color="auto"/>
                          </w:divBdr>
                          <w:divsChild>
                            <w:div w:id="2376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185651">
      <w:bodyDiv w:val="1"/>
      <w:marLeft w:val="0"/>
      <w:marRight w:val="0"/>
      <w:marTop w:val="0"/>
      <w:marBottom w:val="0"/>
      <w:divBdr>
        <w:top w:val="none" w:sz="0" w:space="0" w:color="auto"/>
        <w:left w:val="none" w:sz="0" w:space="0" w:color="auto"/>
        <w:bottom w:val="none" w:sz="0" w:space="0" w:color="auto"/>
        <w:right w:val="none" w:sz="0" w:space="0" w:color="auto"/>
      </w:divBdr>
    </w:div>
    <w:div w:id="684602110">
      <w:bodyDiv w:val="1"/>
      <w:marLeft w:val="0"/>
      <w:marRight w:val="0"/>
      <w:marTop w:val="0"/>
      <w:marBottom w:val="0"/>
      <w:divBdr>
        <w:top w:val="none" w:sz="0" w:space="0" w:color="auto"/>
        <w:left w:val="none" w:sz="0" w:space="0" w:color="auto"/>
        <w:bottom w:val="none" w:sz="0" w:space="0" w:color="auto"/>
        <w:right w:val="none" w:sz="0" w:space="0" w:color="auto"/>
      </w:divBdr>
      <w:divsChild>
        <w:div w:id="582960343">
          <w:marLeft w:val="30"/>
          <w:marRight w:val="30"/>
          <w:marTop w:val="0"/>
          <w:marBottom w:val="0"/>
          <w:divBdr>
            <w:top w:val="none" w:sz="0" w:space="0" w:color="auto"/>
            <w:left w:val="none" w:sz="0" w:space="0" w:color="auto"/>
            <w:bottom w:val="none" w:sz="0" w:space="0" w:color="auto"/>
            <w:right w:val="none" w:sz="0" w:space="0" w:color="auto"/>
          </w:divBdr>
          <w:divsChild>
            <w:div w:id="1819687327">
              <w:marLeft w:val="0"/>
              <w:marRight w:val="0"/>
              <w:marTop w:val="30"/>
              <w:marBottom w:val="30"/>
              <w:divBdr>
                <w:top w:val="none" w:sz="0" w:space="0" w:color="auto"/>
                <w:left w:val="none" w:sz="0" w:space="0" w:color="auto"/>
                <w:bottom w:val="none" w:sz="0" w:space="0" w:color="auto"/>
                <w:right w:val="none" w:sz="0" w:space="0" w:color="auto"/>
              </w:divBdr>
              <w:divsChild>
                <w:div w:id="393434738">
                  <w:marLeft w:val="60"/>
                  <w:marRight w:val="0"/>
                  <w:marTop w:val="0"/>
                  <w:marBottom w:val="0"/>
                  <w:divBdr>
                    <w:top w:val="none" w:sz="0" w:space="0" w:color="auto"/>
                    <w:left w:val="none" w:sz="0" w:space="0" w:color="auto"/>
                    <w:bottom w:val="none" w:sz="0" w:space="0" w:color="auto"/>
                    <w:right w:val="none" w:sz="0" w:space="0" w:color="auto"/>
                  </w:divBdr>
                </w:div>
                <w:div w:id="1885823834">
                  <w:marLeft w:val="0"/>
                  <w:marRight w:val="0"/>
                  <w:marTop w:val="0"/>
                  <w:marBottom w:val="0"/>
                  <w:divBdr>
                    <w:top w:val="none" w:sz="0" w:space="0" w:color="auto"/>
                    <w:left w:val="none" w:sz="0" w:space="0" w:color="auto"/>
                    <w:bottom w:val="none" w:sz="0" w:space="0" w:color="auto"/>
                    <w:right w:val="none" w:sz="0" w:space="0" w:color="auto"/>
                  </w:divBdr>
                  <w:divsChild>
                    <w:div w:id="977497212">
                      <w:marLeft w:val="0"/>
                      <w:marRight w:val="0"/>
                      <w:marTop w:val="0"/>
                      <w:marBottom w:val="0"/>
                      <w:divBdr>
                        <w:top w:val="none" w:sz="0" w:space="0" w:color="auto"/>
                        <w:left w:val="none" w:sz="0" w:space="0" w:color="auto"/>
                        <w:bottom w:val="none" w:sz="0" w:space="0" w:color="auto"/>
                        <w:right w:val="none" w:sz="0" w:space="0" w:color="auto"/>
                      </w:divBdr>
                      <w:divsChild>
                        <w:div w:id="1936012847">
                          <w:marLeft w:val="0"/>
                          <w:marRight w:val="0"/>
                          <w:marTop w:val="0"/>
                          <w:marBottom w:val="0"/>
                          <w:divBdr>
                            <w:top w:val="none" w:sz="0" w:space="0" w:color="auto"/>
                            <w:left w:val="none" w:sz="0" w:space="0" w:color="auto"/>
                            <w:bottom w:val="none" w:sz="0" w:space="0" w:color="auto"/>
                            <w:right w:val="none" w:sz="0" w:space="0" w:color="auto"/>
                          </w:divBdr>
                          <w:divsChild>
                            <w:div w:id="20913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013506">
          <w:marLeft w:val="30"/>
          <w:marRight w:val="30"/>
          <w:marTop w:val="0"/>
          <w:marBottom w:val="0"/>
          <w:divBdr>
            <w:top w:val="none" w:sz="0" w:space="0" w:color="auto"/>
            <w:left w:val="none" w:sz="0" w:space="0" w:color="auto"/>
            <w:bottom w:val="none" w:sz="0" w:space="0" w:color="auto"/>
            <w:right w:val="none" w:sz="0" w:space="0" w:color="auto"/>
          </w:divBdr>
          <w:divsChild>
            <w:div w:id="392702289">
              <w:marLeft w:val="60"/>
              <w:marRight w:val="60"/>
              <w:marTop w:val="0"/>
              <w:marBottom w:val="0"/>
              <w:divBdr>
                <w:top w:val="none" w:sz="0" w:space="0" w:color="auto"/>
                <w:left w:val="none" w:sz="0" w:space="0" w:color="auto"/>
                <w:bottom w:val="none" w:sz="0" w:space="0" w:color="auto"/>
                <w:right w:val="none" w:sz="0" w:space="0" w:color="auto"/>
              </w:divBdr>
              <w:divsChild>
                <w:div w:id="117644924">
                  <w:marLeft w:val="0"/>
                  <w:marRight w:val="120"/>
                  <w:marTop w:val="0"/>
                  <w:marBottom w:val="0"/>
                  <w:divBdr>
                    <w:top w:val="none" w:sz="0" w:space="0" w:color="auto"/>
                    <w:left w:val="none" w:sz="0" w:space="0" w:color="auto"/>
                    <w:bottom w:val="none" w:sz="0" w:space="0" w:color="auto"/>
                    <w:right w:val="none" w:sz="0" w:space="0" w:color="auto"/>
                  </w:divBdr>
                  <w:divsChild>
                    <w:div w:id="162277796">
                      <w:marLeft w:val="0"/>
                      <w:marRight w:val="0"/>
                      <w:marTop w:val="0"/>
                      <w:marBottom w:val="0"/>
                      <w:divBdr>
                        <w:top w:val="none" w:sz="0" w:space="0" w:color="auto"/>
                        <w:left w:val="none" w:sz="0" w:space="0" w:color="auto"/>
                        <w:bottom w:val="none" w:sz="0" w:space="0" w:color="auto"/>
                        <w:right w:val="none" w:sz="0" w:space="0" w:color="auto"/>
                      </w:divBdr>
                      <w:divsChild>
                        <w:div w:id="203063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9876">
                  <w:marLeft w:val="0"/>
                  <w:marRight w:val="0"/>
                  <w:marTop w:val="0"/>
                  <w:marBottom w:val="0"/>
                  <w:divBdr>
                    <w:top w:val="none" w:sz="0" w:space="0" w:color="auto"/>
                    <w:left w:val="none" w:sz="0" w:space="0" w:color="auto"/>
                    <w:bottom w:val="none" w:sz="0" w:space="0" w:color="auto"/>
                    <w:right w:val="none" w:sz="0" w:space="0" w:color="auto"/>
                  </w:divBdr>
                  <w:divsChild>
                    <w:div w:id="105128344">
                      <w:marLeft w:val="0"/>
                      <w:marRight w:val="0"/>
                      <w:marTop w:val="30"/>
                      <w:marBottom w:val="15"/>
                      <w:divBdr>
                        <w:top w:val="none" w:sz="0" w:space="0" w:color="auto"/>
                        <w:left w:val="none" w:sz="0" w:space="0" w:color="auto"/>
                        <w:bottom w:val="none" w:sz="0" w:space="0" w:color="auto"/>
                        <w:right w:val="none" w:sz="0" w:space="0" w:color="auto"/>
                      </w:divBdr>
                    </w:div>
                  </w:divsChild>
                </w:div>
              </w:divsChild>
            </w:div>
            <w:div w:id="398284752">
              <w:marLeft w:val="0"/>
              <w:marRight w:val="0"/>
              <w:marTop w:val="30"/>
              <w:marBottom w:val="30"/>
              <w:divBdr>
                <w:top w:val="none" w:sz="0" w:space="0" w:color="auto"/>
                <w:left w:val="none" w:sz="0" w:space="0" w:color="auto"/>
                <w:bottom w:val="none" w:sz="0" w:space="0" w:color="auto"/>
                <w:right w:val="none" w:sz="0" w:space="0" w:color="auto"/>
              </w:divBdr>
              <w:divsChild>
                <w:div w:id="2143382249">
                  <w:marLeft w:val="0"/>
                  <w:marRight w:val="0"/>
                  <w:marTop w:val="0"/>
                  <w:marBottom w:val="0"/>
                  <w:divBdr>
                    <w:top w:val="none" w:sz="0" w:space="0" w:color="auto"/>
                    <w:left w:val="none" w:sz="0" w:space="0" w:color="auto"/>
                    <w:bottom w:val="none" w:sz="0" w:space="0" w:color="auto"/>
                    <w:right w:val="none" w:sz="0" w:space="0" w:color="auto"/>
                  </w:divBdr>
                  <w:divsChild>
                    <w:div w:id="226886870">
                      <w:marLeft w:val="0"/>
                      <w:marRight w:val="0"/>
                      <w:marTop w:val="0"/>
                      <w:marBottom w:val="0"/>
                      <w:divBdr>
                        <w:top w:val="none" w:sz="0" w:space="0" w:color="auto"/>
                        <w:left w:val="none" w:sz="0" w:space="0" w:color="auto"/>
                        <w:bottom w:val="none" w:sz="0" w:space="0" w:color="auto"/>
                        <w:right w:val="none" w:sz="0" w:space="0" w:color="auto"/>
                      </w:divBdr>
                      <w:divsChild>
                        <w:div w:id="1855997267">
                          <w:marLeft w:val="0"/>
                          <w:marRight w:val="0"/>
                          <w:marTop w:val="0"/>
                          <w:marBottom w:val="0"/>
                          <w:divBdr>
                            <w:top w:val="none" w:sz="0" w:space="0" w:color="auto"/>
                            <w:left w:val="none" w:sz="0" w:space="0" w:color="auto"/>
                            <w:bottom w:val="none" w:sz="0" w:space="0" w:color="auto"/>
                            <w:right w:val="none" w:sz="0" w:space="0" w:color="auto"/>
                          </w:divBdr>
                          <w:divsChild>
                            <w:div w:id="71993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6861">
      <w:bodyDiv w:val="1"/>
      <w:marLeft w:val="0"/>
      <w:marRight w:val="0"/>
      <w:marTop w:val="0"/>
      <w:marBottom w:val="0"/>
      <w:divBdr>
        <w:top w:val="none" w:sz="0" w:space="0" w:color="auto"/>
        <w:left w:val="none" w:sz="0" w:space="0" w:color="auto"/>
        <w:bottom w:val="none" w:sz="0" w:space="0" w:color="auto"/>
        <w:right w:val="none" w:sz="0" w:space="0" w:color="auto"/>
      </w:divBdr>
    </w:div>
    <w:div w:id="856962831">
      <w:bodyDiv w:val="1"/>
      <w:marLeft w:val="0"/>
      <w:marRight w:val="0"/>
      <w:marTop w:val="0"/>
      <w:marBottom w:val="0"/>
      <w:divBdr>
        <w:top w:val="none" w:sz="0" w:space="0" w:color="auto"/>
        <w:left w:val="none" w:sz="0" w:space="0" w:color="auto"/>
        <w:bottom w:val="none" w:sz="0" w:space="0" w:color="auto"/>
        <w:right w:val="none" w:sz="0" w:space="0" w:color="auto"/>
      </w:divBdr>
    </w:div>
    <w:div w:id="884874266">
      <w:bodyDiv w:val="1"/>
      <w:marLeft w:val="0"/>
      <w:marRight w:val="0"/>
      <w:marTop w:val="0"/>
      <w:marBottom w:val="0"/>
      <w:divBdr>
        <w:top w:val="none" w:sz="0" w:space="0" w:color="auto"/>
        <w:left w:val="none" w:sz="0" w:space="0" w:color="auto"/>
        <w:bottom w:val="none" w:sz="0" w:space="0" w:color="auto"/>
        <w:right w:val="none" w:sz="0" w:space="0" w:color="auto"/>
      </w:divBdr>
      <w:divsChild>
        <w:div w:id="120727699">
          <w:marLeft w:val="0"/>
          <w:marRight w:val="0"/>
          <w:marTop w:val="0"/>
          <w:marBottom w:val="0"/>
          <w:divBdr>
            <w:top w:val="none" w:sz="0" w:space="0" w:color="auto"/>
            <w:left w:val="none" w:sz="0" w:space="0" w:color="auto"/>
            <w:bottom w:val="none" w:sz="0" w:space="0" w:color="auto"/>
            <w:right w:val="none" w:sz="0" w:space="0" w:color="auto"/>
          </w:divBdr>
          <w:divsChild>
            <w:div w:id="61760155">
              <w:marLeft w:val="0"/>
              <w:marRight w:val="0"/>
              <w:marTop w:val="0"/>
              <w:marBottom w:val="0"/>
              <w:divBdr>
                <w:top w:val="none" w:sz="0" w:space="0" w:color="auto"/>
                <w:left w:val="none" w:sz="0" w:space="0" w:color="auto"/>
                <w:bottom w:val="none" w:sz="0" w:space="0" w:color="auto"/>
                <w:right w:val="none" w:sz="0" w:space="0" w:color="auto"/>
              </w:divBdr>
              <w:divsChild>
                <w:div w:id="693729822">
                  <w:marLeft w:val="0"/>
                  <w:marRight w:val="0"/>
                  <w:marTop w:val="0"/>
                  <w:marBottom w:val="0"/>
                  <w:divBdr>
                    <w:top w:val="none" w:sz="0" w:space="0" w:color="auto"/>
                    <w:left w:val="none" w:sz="0" w:space="0" w:color="auto"/>
                    <w:bottom w:val="none" w:sz="0" w:space="0" w:color="auto"/>
                    <w:right w:val="none" w:sz="0" w:space="0" w:color="auto"/>
                  </w:divBdr>
                  <w:divsChild>
                    <w:div w:id="1977685581">
                      <w:marLeft w:val="0"/>
                      <w:marRight w:val="0"/>
                      <w:marTop w:val="0"/>
                      <w:marBottom w:val="0"/>
                      <w:divBdr>
                        <w:top w:val="none" w:sz="0" w:space="0" w:color="auto"/>
                        <w:left w:val="none" w:sz="0" w:space="0" w:color="auto"/>
                        <w:bottom w:val="none" w:sz="0" w:space="0" w:color="auto"/>
                        <w:right w:val="none" w:sz="0" w:space="0" w:color="auto"/>
                      </w:divBdr>
                      <w:divsChild>
                        <w:div w:id="54473121">
                          <w:marLeft w:val="0"/>
                          <w:marRight w:val="0"/>
                          <w:marTop w:val="0"/>
                          <w:marBottom w:val="0"/>
                          <w:divBdr>
                            <w:top w:val="none" w:sz="0" w:space="0" w:color="auto"/>
                            <w:left w:val="none" w:sz="0" w:space="0" w:color="auto"/>
                            <w:bottom w:val="none" w:sz="0" w:space="0" w:color="auto"/>
                            <w:right w:val="none" w:sz="0" w:space="0" w:color="auto"/>
                          </w:divBdr>
                          <w:divsChild>
                            <w:div w:id="797988827">
                              <w:marLeft w:val="0"/>
                              <w:marRight w:val="0"/>
                              <w:marTop w:val="0"/>
                              <w:marBottom w:val="0"/>
                              <w:divBdr>
                                <w:top w:val="none" w:sz="0" w:space="0" w:color="auto"/>
                                <w:left w:val="none" w:sz="0" w:space="0" w:color="auto"/>
                                <w:bottom w:val="none" w:sz="0" w:space="0" w:color="auto"/>
                                <w:right w:val="none" w:sz="0" w:space="0" w:color="auto"/>
                              </w:divBdr>
                              <w:divsChild>
                                <w:div w:id="2074504040">
                                  <w:marLeft w:val="0"/>
                                  <w:marRight w:val="0"/>
                                  <w:marTop w:val="0"/>
                                  <w:marBottom w:val="0"/>
                                  <w:divBdr>
                                    <w:top w:val="none" w:sz="0" w:space="0" w:color="auto"/>
                                    <w:left w:val="none" w:sz="0" w:space="0" w:color="auto"/>
                                    <w:bottom w:val="none" w:sz="0" w:space="0" w:color="auto"/>
                                    <w:right w:val="none" w:sz="0" w:space="0" w:color="auto"/>
                                  </w:divBdr>
                                  <w:divsChild>
                                    <w:div w:id="16568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7447766">
          <w:marLeft w:val="0"/>
          <w:marRight w:val="0"/>
          <w:marTop w:val="0"/>
          <w:marBottom w:val="0"/>
          <w:divBdr>
            <w:top w:val="none" w:sz="0" w:space="0" w:color="auto"/>
            <w:left w:val="none" w:sz="0" w:space="0" w:color="auto"/>
            <w:bottom w:val="none" w:sz="0" w:space="0" w:color="auto"/>
            <w:right w:val="none" w:sz="0" w:space="0" w:color="auto"/>
          </w:divBdr>
          <w:divsChild>
            <w:div w:id="1616136495">
              <w:marLeft w:val="0"/>
              <w:marRight w:val="0"/>
              <w:marTop w:val="0"/>
              <w:marBottom w:val="0"/>
              <w:divBdr>
                <w:top w:val="none" w:sz="0" w:space="0" w:color="auto"/>
                <w:left w:val="none" w:sz="0" w:space="0" w:color="auto"/>
                <w:bottom w:val="none" w:sz="0" w:space="0" w:color="auto"/>
                <w:right w:val="none" w:sz="0" w:space="0" w:color="auto"/>
              </w:divBdr>
              <w:divsChild>
                <w:div w:id="2004510436">
                  <w:marLeft w:val="0"/>
                  <w:marRight w:val="0"/>
                  <w:marTop w:val="0"/>
                  <w:marBottom w:val="0"/>
                  <w:divBdr>
                    <w:top w:val="none" w:sz="0" w:space="0" w:color="auto"/>
                    <w:left w:val="none" w:sz="0" w:space="0" w:color="auto"/>
                    <w:bottom w:val="none" w:sz="0" w:space="0" w:color="auto"/>
                    <w:right w:val="none" w:sz="0" w:space="0" w:color="auto"/>
                  </w:divBdr>
                  <w:divsChild>
                    <w:div w:id="1372461584">
                      <w:marLeft w:val="0"/>
                      <w:marRight w:val="0"/>
                      <w:marTop w:val="0"/>
                      <w:marBottom w:val="0"/>
                      <w:divBdr>
                        <w:top w:val="none" w:sz="0" w:space="0" w:color="auto"/>
                        <w:left w:val="none" w:sz="0" w:space="0" w:color="auto"/>
                        <w:bottom w:val="none" w:sz="0" w:space="0" w:color="auto"/>
                        <w:right w:val="none" w:sz="0" w:space="0" w:color="auto"/>
                      </w:divBdr>
                      <w:divsChild>
                        <w:div w:id="1420448576">
                          <w:marLeft w:val="0"/>
                          <w:marRight w:val="0"/>
                          <w:marTop w:val="0"/>
                          <w:marBottom w:val="0"/>
                          <w:divBdr>
                            <w:top w:val="none" w:sz="0" w:space="0" w:color="auto"/>
                            <w:left w:val="none" w:sz="0" w:space="0" w:color="auto"/>
                            <w:bottom w:val="none" w:sz="0" w:space="0" w:color="auto"/>
                            <w:right w:val="none" w:sz="0" w:space="0" w:color="auto"/>
                          </w:divBdr>
                          <w:divsChild>
                            <w:div w:id="1314917649">
                              <w:marLeft w:val="0"/>
                              <w:marRight w:val="0"/>
                              <w:marTop w:val="0"/>
                              <w:marBottom w:val="0"/>
                              <w:divBdr>
                                <w:top w:val="none" w:sz="0" w:space="0" w:color="auto"/>
                                <w:left w:val="none" w:sz="0" w:space="0" w:color="auto"/>
                                <w:bottom w:val="none" w:sz="0" w:space="0" w:color="auto"/>
                                <w:right w:val="none" w:sz="0" w:space="0" w:color="auto"/>
                              </w:divBdr>
                              <w:divsChild>
                                <w:div w:id="1544294400">
                                  <w:marLeft w:val="0"/>
                                  <w:marRight w:val="0"/>
                                  <w:marTop w:val="0"/>
                                  <w:marBottom w:val="0"/>
                                  <w:divBdr>
                                    <w:top w:val="none" w:sz="0" w:space="0" w:color="auto"/>
                                    <w:left w:val="none" w:sz="0" w:space="0" w:color="auto"/>
                                    <w:bottom w:val="none" w:sz="0" w:space="0" w:color="auto"/>
                                    <w:right w:val="none" w:sz="0" w:space="0" w:color="auto"/>
                                  </w:divBdr>
                                  <w:divsChild>
                                    <w:div w:id="1698696609">
                                      <w:marLeft w:val="0"/>
                                      <w:marRight w:val="0"/>
                                      <w:marTop w:val="0"/>
                                      <w:marBottom w:val="0"/>
                                      <w:divBdr>
                                        <w:top w:val="none" w:sz="0" w:space="0" w:color="auto"/>
                                        <w:left w:val="none" w:sz="0" w:space="0" w:color="auto"/>
                                        <w:bottom w:val="none" w:sz="0" w:space="0" w:color="auto"/>
                                        <w:right w:val="none" w:sz="0" w:space="0" w:color="auto"/>
                                      </w:divBdr>
                                      <w:divsChild>
                                        <w:div w:id="39944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266131">
          <w:marLeft w:val="0"/>
          <w:marRight w:val="0"/>
          <w:marTop w:val="0"/>
          <w:marBottom w:val="0"/>
          <w:divBdr>
            <w:top w:val="none" w:sz="0" w:space="0" w:color="auto"/>
            <w:left w:val="none" w:sz="0" w:space="0" w:color="auto"/>
            <w:bottom w:val="none" w:sz="0" w:space="0" w:color="auto"/>
            <w:right w:val="none" w:sz="0" w:space="0" w:color="auto"/>
          </w:divBdr>
          <w:divsChild>
            <w:div w:id="250437197">
              <w:marLeft w:val="0"/>
              <w:marRight w:val="0"/>
              <w:marTop w:val="0"/>
              <w:marBottom w:val="0"/>
              <w:divBdr>
                <w:top w:val="none" w:sz="0" w:space="0" w:color="auto"/>
                <w:left w:val="none" w:sz="0" w:space="0" w:color="auto"/>
                <w:bottom w:val="none" w:sz="0" w:space="0" w:color="auto"/>
                <w:right w:val="none" w:sz="0" w:space="0" w:color="auto"/>
              </w:divBdr>
              <w:divsChild>
                <w:div w:id="710568848">
                  <w:marLeft w:val="0"/>
                  <w:marRight w:val="0"/>
                  <w:marTop w:val="0"/>
                  <w:marBottom w:val="0"/>
                  <w:divBdr>
                    <w:top w:val="none" w:sz="0" w:space="0" w:color="auto"/>
                    <w:left w:val="none" w:sz="0" w:space="0" w:color="auto"/>
                    <w:bottom w:val="none" w:sz="0" w:space="0" w:color="auto"/>
                    <w:right w:val="none" w:sz="0" w:space="0" w:color="auto"/>
                  </w:divBdr>
                  <w:divsChild>
                    <w:div w:id="664212622">
                      <w:marLeft w:val="0"/>
                      <w:marRight w:val="0"/>
                      <w:marTop w:val="0"/>
                      <w:marBottom w:val="0"/>
                      <w:divBdr>
                        <w:top w:val="none" w:sz="0" w:space="0" w:color="auto"/>
                        <w:left w:val="none" w:sz="0" w:space="0" w:color="auto"/>
                        <w:bottom w:val="none" w:sz="0" w:space="0" w:color="auto"/>
                        <w:right w:val="none" w:sz="0" w:space="0" w:color="auto"/>
                      </w:divBdr>
                      <w:divsChild>
                        <w:div w:id="1177884524">
                          <w:marLeft w:val="0"/>
                          <w:marRight w:val="0"/>
                          <w:marTop w:val="0"/>
                          <w:marBottom w:val="0"/>
                          <w:divBdr>
                            <w:top w:val="none" w:sz="0" w:space="0" w:color="auto"/>
                            <w:left w:val="none" w:sz="0" w:space="0" w:color="auto"/>
                            <w:bottom w:val="none" w:sz="0" w:space="0" w:color="auto"/>
                            <w:right w:val="none" w:sz="0" w:space="0" w:color="auto"/>
                          </w:divBdr>
                          <w:divsChild>
                            <w:div w:id="2104259761">
                              <w:marLeft w:val="0"/>
                              <w:marRight w:val="0"/>
                              <w:marTop w:val="0"/>
                              <w:marBottom w:val="0"/>
                              <w:divBdr>
                                <w:top w:val="none" w:sz="0" w:space="0" w:color="auto"/>
                                <w:left w:val="none" w:sz="0" w:space="0" w:color="auto"/>
                                <w:bottom w:val="none" w:sz="0" w:space="0" w:color="auto"/>
                                <w:right w:val="none" w:sz="0" w:space="0" w:color="auto"/>
                              </w:divBdr>
                              <w:divsChild>
                                <w:div w:id="491147199">
                                  <w:marLeft w:val="0"/>
                                  <w:marRight w:val="0"/>
                                  <w:marTop w:val="0"/>
                                  <w:marBottom w:val="0"/>
                                  <w:divBdr>
                                    <w:top w:val="none" w:sz="0" w:space="0" w:color="auto"/>
                                    <w:left w:val="none" w:sz="0" w:space="0" w:color="auto"/>
                                    <w:bottom w:val="none" w:sz="0" w:space="0" w:color="auto"/>
                                    <w:right w:val="none" w:sz="0" w:space="0" w:color="auto"/>
                                  </w:divBdr>
                                  <w:divsChild>
                                    <w:div w:id="120575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102938">
      <w:bodyDiv w:val="1"/>
      <w:marLeft w:val="0"/>
      <w:marRight w:val="0"/>
      <w:marTop w:val="0"/>
      <w:marBottom w:val="0"/>
      <w:divBdr>
        <w:top w:val="none" w:sz="0" w:space="0" w:color="auto"/>
        <w:left w:val="none" w:sz="0" w:space="0" w:color="auto"/>
        <w:bottom w:val="none" w:sz="0" w:space="0" w:color="auto"/>
        <w:right w:val="none" w:sz="0" w:space="0" w:color="auto"/>
      </w:divBdr>
    </w:div>
    <w:div w:id="989090757">
      <w:bodyDiv w:val="1"/>
      <w:marLeft w:val="0"/>
      <w:marRight w:val="0"/>
      <w:marTop w:val="0"/>
      <w:marBottom w:val="0"/>
      <w:divBdr>
        <w:top w:val="none" w:sz="0" w:space="0" w:color="auto"/>
        <w:left w:val="none" w:sz="0" w:space="0" w:color="auto"/>
        <w:bottom w:val="none" w:sz="0" w:space="0" w:color="auto"/>
        <w:right w:val="none" w:sz="0" w:space="0" w:color="auto"/>
      </w:divBdr>
    </w:div>
    <w:div w:id="995379106">
      <w:bodyDiv w:val="1"/>
      <w:marLeft w:val="0"/>
      <w:marRight w:val="0"/>
      <w:marTop w:val="0"/>
      <w:marBottom w:val="0"/>
      <w:divBdr>
        <w:top w:val="none" w:sz="0" w:space="0" w:color="auto"/>
        <w:left w:val="none" w:sz="0" w:space="0" w:color="auto"/>
        <w:bottom w:val="none" w:sz="0" w:space="0" w:color="auto"/>
        <w:right w:val="none" w:sz="0" w:space="0" w:color="auto"/>
      </w:divBdr>
    </w:div>
    <w:div w:id="1001853428">
      <w:bodyDiv w:val="1"/>
      <w:marLeft w:val="0"/>
      <w:marRight w:val="0"/>
      <w:marTop w:val="0"/>
      <w:marBottom w:val="0"/>
      <w:divBdr>
        <w:top w:val="none" w:sz="0" w:space="0" w:color="auto"/>
        <w:left w:val="none" w:sz="0" w:space="0" w:color="auto"/>
        <w:bottom w:val="none" w:sz="0" w:space="0" w:color="auto"/>
        <w:right w:val="none" w:sz="0" w:space="0" w:color="auto"/>
      </w:divBdr>
    </w:div>
    <w:div w:id="1034690938">
      <w:bodyDiv w:val="1"/>
      <w:marLeft w:val="0"/>
      <w:marRight w:val="0"/>
      <w:marTop w:val="0"/>
      <w:marBottom w:val="0"/>
      <w:divBdr>
        <w:top w:val="none" w:sz="0" w:space="0" w:color="auto"/>
        <w:left w:val="none" w:sz="0" w:space="0" w:color="auto"/>
        <w:bottom w:val="none" w:sz="0" w:space="0" w:color="auto"/>
        <w:right w:val="none" w:sz="0" w:space="0" w:color="auto"/>
      </w:divBdr>
    </w:div>
    <w:div w:id="1051885165">
      <w:bodyDiv w:val="1"/>
      <w:marLeft w:val="0"/>
      <w:marRight w:val="0"/>
      <w:marTop w:val="0"/>
      <w:marBottom w:val="0"/>
      <w:divBdr>
        <w:top w:val="none" w:sz="0" w:space="0" w:color="auto"/>
        <w:left w:val="none" w:sz="0" w:space="0" w:color="auto"/>
        <w:bottom w:val="none" w:sz="0" w:space="0" w:color="auto"/>
        <w:right w:val="none" w:sz="0" w:space="0" w:color="auto"/>
      </w:divBdr>
    </w:div>
    <w:div w:id="1055620942">
      <w:bodyDiv w:val="1"/>
      <w:marLeft w:val="0"/>
      <w:marRight w:val="0"/>
      <w:marTop w:val="0"/>
      <w:marBottom w:val="0"/>
      <w:divBdr>
        <w:top w:val="none" w:sz="0" w:space="0" w:color="auto"/>
        <w:left w:val="none" w:sz="0" w:space="0" w:color="auto"/>
        <w:bottom w:val="none" w:sz="0" w:space="0" w:color="auto"/>
        <w:right w:val="none" w:sz="0" w:space="0" w:color="auto"/>
      </w:divBdr>
    </w:div>
    <w:div w:id="1084693356">
      <w:bodyDiv w:val="1"/>
      <w:marLeft w:val="0"/>
      <w:marRight w:val="0"/>
      <w:marTop w:val="0"/>
      <w:marBottom w:val="0"/>
      <w:divBdr>
        <w:top w:val="none" w:sz="0" w:space="0" w:color="auto"/>
        <w:left w:val="none" w:sz="0" w:space="0" w:color="auto"/>
        <w:bottom w:val="none" w:sz="0" w:space="0" w:color="auto"/>
        <w:right w:val="none" w:sz="0" w:space="0" w:color="auto"/>
      </w:divBdr>
    </w:div>
    <w:div w:id="1089501956">
      <w:bodyDiv w:val="1"/>
      <w:marLeft w:val="0"/>
      <w:marRight w:val="0"/>
      <w:marTop w:val="0"/>
      <w:marBottom w:val="0"/>
      <w:divBdr>
        <w:top w:val="none" w:sz="0" w:space="0" w:color="auto"/>
        <w:left w:val="none" w:sz="0" w:space="0" w:color="auto"/>
        <w:bottom w:val="none" w:sz="0" w:space="0" w:color="auto"/>
        <w:right w:val="none" w:sz="0" w:space="0" w:color="auto"/>
      </w:divBdr>
    </w:div>
    <w:div w:id="1126854746">
      <w:bodyDiv w:val="1"/>
      <w:marLeft w:val="0"/>
      <w:marRight w:val="0"/>
      <w:marTop w:val="0"/>
      <w:marBottom w:val="0"/>
      <w:divBdr>
        <w:top w:val="none" w:sz="0" w:space="0" w:color="auto"/>
        <w:left w:val="none" w:sz="0" w:space="0" w:color="auto"/>
        <w:bottom w:val="none" w:sz="0" w:space="0" w:color="auto"/>
        <w:right w:val="none" w:sz="0" w:space="0" w:color="auto"/>
      </w:divBdr>
    </w:div>
    <w:div w:id="1146433805">
      <w:bodyDiv w:val="1"/>
      <w:marLeft w:val="0"/>
      <w:marRight w:val="0"/>
      <w:marTop w:val="0"/>
      <w:marBottom w:val="0"/>
      <w:divBdr>
        <w:top w:val="none" w:sz="0" w:space="0" w:color="auto"/>
        <w:left w:val="none" w:sz="0" w:space="0" w:color="auto"/>
        <w:bottom w:val="none" w:sz="0" w:space="0" w:color="auto"/>
        <w:right w:val="none" w:sz="0" w:space="0" w:color="auto"/>
      </w:divBdr>
      <w:divsChild>
        <w:div w:id="29692604">
          <w:marLeft w:val="0"/>
          <w:marRight w:val="0"/>
          <w:marTop w:val="0"/>
          <w:marBottom w:val="0"/>
          <w:divBdr>
            <w:top w:val="none" w:sz="0" w:space="0" w:color="auto"/>
            <w:left w:val="none" w:sz="0" w:space="0" w:color="auto"/>
            <w:bottom w:val="none" w:sz="0" w:space="0" w:color="auto"/>
            <w:right w:val="none" w:sz="0" w:space="0" w:color="auto"/>
          </w:divBdr>
        </w:div>
        <w:div w:id="1111319048">
          <w:marLeft w:val="0"/>
          <w:marRight w:val="0"/>
          <w:marTop w:val="0"/>
          <w:marBottom w:val="0"/>
          <w:divBdr>
            <w:top w:val="none" w:sz="0" w:space="0" w:color="auto"/>
            <w:left w:val="none" w:sz="0" w:space="0" w:color="auto"/>
            <w:bottom w:val="none" w:sz="0" w:space="0" w:color="auto"/>
            <w:right w:val="none" w:sz="0" w:space="0" w:color="auto"/>
          </w:divBdr>
        </w:div>
      </w:divsChild>
    </w:div>
    <w:div w:id="1151483223">
      <w:bodyDiv w:val="1"/>
      <w:marLeft w:val="0"/>
      <w:marRight w:val="0"/>
      <w:marTop w:val="0"/>
      <w:marBottom w:val="0"/>
      <w:divBdr>
        <w:top w:val="none" w:sz="0" w:space="0" w:color="auto"/>
        <w:left w:val="none" w:sz="0" w:space="0" w:color="auto"/>
        <w:bottom w:val="none" w:sz="0" w:space="0" w:color="auto"/>
        <w:right w:val="none" w:sz="0" w:space="0" w:color="auto"/>
      </w:divBdr>
    </w:div>
    <w:div w:id="1152988136">
      <w:bodyDiv w:val="1"/>
      <w:marLeft w:val="0"/>
      <w:marRight w:val="0"/>
      <w:marTop w:val="0"/>
      <w:marBottom w:val="0"/>
      <w:divBdr>
        <w:top w:val="none" w:sz="0" w:space="0" w:color="auto"/>
        <w:left w:val="none" w:sz="0" w:space="0" w:color="auto"/>
        <w:bottom w:val="none" w:sz="0" w:space="0" w:color="auto"/>
        <w:right w:val="none" w:sz="0" w:space="0" w:color="auto"/>
      </w:divBdr>
    </w:div>
    <w:div w:id="1160540700">
      <w:bodyDiv w:val="1"/>
      <w:marLeft w:val="0"/>
      <w:marRight w:val="0"/>
      <w:marTop w:val="0"/>
      <w:marBottom w:val="0"/>
      <w:divBdr>
        <w:top w:val="none" w:sz="0" w:space="0" w:color="auto"/>
        <w:left w:val="none" w:sz="0" w:space="0" w:color="auto"/>
        <w:bottom w:val="none" w:sz="0" w:space="0" w:color="auto"/>
        <w:right w:val="none" w:sz="0" w:space="0" w:color="auto"/>
      </w:divBdr>
    </w:div>
    <w:div w:id="1260874955">
      <w:bodyDiv w:val="1"/>
      <w:marLeft w:val="0"/>
      <w:marRight w:val="0"/>
      <w:marTop w:val="0"/>
      <w:marBottom w:val="0"/>
      <w:divBdr>
        <w:top w:val="none" w:sz="0" w:space="0" w:color="auto"/>
        <w:left w:val="none" w:sz="0" w:space="0" w:color="auto"/>
        <w:bottom w:val="none" w:sz="0" w:space="0" w:color="auto"/>
        <w:right w:val="none" w:sz="0" w:space="0" w:color="auto"/>
      </w:divBdr>
    </w:div>
    <w:div w:id="1283195242">
      <w:bodyDiv w:val="1"/>
      <w:marLeft w:val="0"/>
      <w:marRight w:val="0"/>
      <w:marTop w:val="0"/>
      <w:marBottom w:val="0"/>
      <w:divBdr>
        <w:top w:val="none" w:sz="0" w:space="0" w:color="auto"/>
        <w:left w:val="none" w:sz="0" w:space="0" w:color="auto"/>
        <w:bottom w:val="none" w:sz="0" w:space="0" w:color="auto"/>
        <w:right w:val="none" w:sz="0" w:space="0" w:color="auto"/>
      </w:divBdr>
    </w:div>
    <w:div w:id="1336418419">
      <w:bodyDiv w:val="1"/>
      <w:marLeft w:val="0"/>
      <w:marRight w:val="0"/>
      <w:marTop w:val="0"/>
      <w:marBottom w:val="0"/>
      <w:divBdr>
        <w:top w:val="none" w:sz="0" w:space="0" w:color="auto"/>
        <w:left w:val="none" w:sz="0" w:space="0" w:color="auto"/>
        <w:bottom w:val="none" w:sz="0" w:space="0" w:color="auto"/>
        <w:right w:val="none" w:sz="0" w:space="0" w:color="auto"/>
      </w:divBdr>
    </w:div>
    <w:div w:id="1450465182">
      <w:bodyDiv w:val="1"/>
      <w:marLeft w:val="0"/>
      <w:marRight w:val="0"/>
      <w:marTop w:val="0"/>
      <w:marBottom w:val="0"/>
      <w:divBdr>
        <w:top w:val="none" w:sz="0" w:space="0" w:color="auto"/>
        <w:left w:val="none" w:sz="0" w:space="0" w:color="auto"/>
        <w:bottom w:val="none" w:sz="0" w:space="0" w:color="auto"/>
        <w:right w:val="none" w:sz="0" w:space="0" w:color="auto"/>
      </w:divBdr>
    </w:div>
    <w:div w:id="1480030529">
      <w:bodyDiv w:val="1"/>
      <w:marLeft w:val="0"/>
      <w:marRight w:val="0"/>
      <w:marTop w:val="0"/>
      <w:marBottom w:val="0"/>
      <w:divBdr>
        <w:top w:val="none" w:sz="0" w:space="0" w:color="auto"/>
        <w:left w:val="none" w:sz="0" w:space="0" w:color="auto"/>
        <w:bottom w:val="none" w:sz="0" w:space="0" w:color="auto"/>
        <w:right w:val="none" w:sz="0" w:space="0" w:color="auto"/>
      </w:divBdr>
    </w:div>
    <w:div w:id="1492140354">
      <w:bodyDiv w:val="1"/>
      <w:marLeft w:val="0"/>
      <w:marRight w:val="0"/>
      <w:marTop w:val="0"/>
      <w:marBottom w:val="0"/>
      <w:divBdr>
        <w:top w:val="none" w:sz="0" w:space="0" w:color="auto"/>
        <w:left w:val="none" w:sz="0" w:space="0" w:color="auto"/>
        <w:bottom w:val="none" w:sz="0" w:space="0" w:color="auto"/>
        <w:right w:val="none" w:sz="0" w:space="0" w:color="auto"/>
      </w:divBdr>
    </w:div>
    <w:div w:id="1510366851">
      <w:bodyDiv w:val="1"/>
      <w:marLeft w:val="0"/>
      <w:marRight w:val="0"/>
      <w:marTop w:val="0"/>
      <w:marBottom w:val="0"/>
      <w:divBdr>
        <w:top w:val="none" w:sz="0" w:space="0" w:color="auto"/>
        <w:left w:val="none" w:sz="0" w:space="0" w:color="auto"/>
        <w:bottom w:val="none" w:sz="0" w:space="0" w:color="auto"/>
        <w:right w:val="none" w:sz="0" w:space="0" w:color="auto"/>
      </w:divBdr>
      <w:divsChild>
        <w:div w:id="262228739">
          <w:marLeft w:val="0"/>
          <w:marRight w:val="0"/>
          <w:marTop w:val="0"/>
          <w:marBottom w:val="0"/>
          <w:divBdr>
            <w:top w:val="none" w:sz="0" w:space="0" w:color="auto"/>
            <w:left w:val="none" w:sz="0" w:space="0" w:color="auto"/>
            <w:bottom w:val="none" w:sz="0" w:space="0" w:color="auto"/>
            <w:right w:val="none" w:sz="0" w:space="0" w:color="auto"/>
          </w:divBdr>
        </w:div>
        <w:div w:id="1510868152">
          <w:marLeft w:val="0"/>
          <w:marRight w:val="0"/>
          <w:marTop w:val="0"/>
          <w:marBottom w:val="0"/>
          <w:divBdr>
            <w:top w:val="none" w:sz="0" w:space="0" w:color="auto"/>
            <w:left w:val="none" w:sz="0" w:space="0" w:color="auto"/>
            <w:bottom w:val="none" w:sz="0" w:space="0" w:color="auto"/>
            <w:right w:val="none" w:sz="0" w:space="0" w:color="auto"/>
          </w:divBdr>
        </w:div>
        <w:div w:id="1863857361">
          <w:marLeft w:val="0"/>
          <w:marRight w:val="0"/>
          <w:marTop w:val="0"/>
          <w:marBottom w:val="0"/>
          <w:divBdr>
            <w:top w:val="none" w:sz="0" w:space="0" w:color="auto"/>
            <w:left w:val="none" w:sz="0" w:space="0" w:color="auto"/>
            <w:bottom w:val="none" w:sz="0" w:space="0" w:color="auto"/>
            <w:right w:val="none" w:sz="0" w:space="0" w:color="auto"/>
          </w:divBdr>
        </w:div>
        <w:div w:id="2112428213">
          <w:marLeft w:val="0"/>
          <w:marRight w:val="0"/>
          <w:marTop w:val="0"/>
          <w:marBottom w:val="0"/>
          <w:divBdr>
            <w:top w:val="none" w:sz="0" w:space="0" w:color="auto"/>
            <w:left w:val="none" w:sz="0" w:space="0" w:color="auto"/>
            <w:bottom w:val="none" w:sz="0" w:space="0" w:color="auto"/>
            <w:right w:val="none" w:sz="0" w:space="0" w:color="auto"/>
          </w:divBdr>
        </w:div>
      </w:divsChild>
    </w:div>
    <w:div w:id="1570848640">
      <w:bodyDiv w:val="1"/>
      <w:marLeft w:val="0"/>
      <w:marRight w:val="0"/>
      <w:marTop w:val="0"/>
      <w:marBottom w:val="0"/>
      <w:divBdr>
        <w:top w:val="none" w:sz="0" w:space="0" w:color="auto"/>
        <w:left w:val="none" w:sz="0" w:space="0" w:color="auto"/>
        <w:bottom w:val="none" w:sz="0" w:space="0" w:color="auto"/>
        <w:right w:val="none" w:sz="0" w:space="0" w:color="auto"/>
      </w:divBdr>
    </w:div>
    <w:div w:id="1592472355">
      <w:bodyDiv w:val="1"/>
      <w:marLeft w:val="0"/>
      <w:marRight w:val="0"/>
      <w:marTop w:val="0"/>
      <w:marBottom w:val="0"/>
      <w:divBdr>
        <w:top w:val="none" w:sz="0" w:space="0" w:color="auto"/>
        <w:left w:val="none" w:sz="0" w:space="0" w:color="auto"/>
        <w:bottom w:val="none" w:sz="0" w:space="0" w:color="auto"/>
        <w:right w:val="none" w:sz="0" w:space="0" w:color="auto"/>
      </w:divBdr>
    </w:div>
    <w:div w:id="1639073165">
      <w:bodyDiv w:val="1"/>
      <w:marLeft w:val="0"/>
      <w:marRight w:val="0"/>
      <w:marTop w:val="0"/>
      <w:marBottom w:val="0"/>
      <w:divBdr>
        <w:top w:val="none" w:sz="0" w:space="0" w:color="auto"/>
        <w:left w:val="none" w:sz="0" w:space="0" w:color="auto"/>
        <w:bottom w:val="none" w:sz="0" w:space="0" w:color="auto"/>
        <w:right w:val="none" w:sz="0" w:space="0" w:color="auto"/>
      </w:divBdr>
    </w:div>
    <w:div w:id="1693457003">
      <w:bodyDiv w:val="1"/>
      <w:marLeft w:val="0"/>
      <w:marRight w:val="0"/>
      <w:marTop w:val="0"/>
      <w:marBottom w:val="0"/>
      <w:divBdr>
        <w:top w:val="none" w:sz="0" w:space="0" w:color="auto"/>
        <w:left w:val="none" w:sz="0" w:space="0" w:color="auto"/>
        <w:bottom w:val="none" w:sz="0" w:space="0" w:color="auto"/>
        <w:right w:val="none" w:sz="0" w:space="0" w:color="auto"/>
      </w:divBdr>
    </w:div>
    <w:div w:id="1768191644">
      <w:bodyDiv w:val="1"/>
      <w:marLeft w:val="0"/>
      <w:marRight w:val="0"/>
      <w:marTop w:val="0"/>
      <w:marBottom w:val="0"/>
      <w:divBdr>
        <w:top w:val="none" w:sz="0" w:space="0" w:color="auto"/>
        <w:left w:val="none" w:sz="0" w:space="0" w:color="auto"/>
        <w:bottom w:val="none" w:sz="0" w:space="0" w:color="auto"/>
        <w:right w:val="none" w:sz="0" w:space="0" w:color="auto"/>
      </w:divBdr>
      <w:divsChild>
        <w:div w:id="1266884239">
          <w:marLeft w:val="0"/>
          <w:marRight w:val="0"/>
          <w:marTop w:val="0"/>
          <w:marBottom w:val="0"/>
          <w:divBdr>
            <w:top w:val="none" w:sz="0" w:space="0" w:color="auto"/>
            <w:left w:val="none" w:sz="0" w:space="0" w:color="auto"/>
            <w:bottom w:val="none" w:sz="0" w:space="0" w:color="auto"/>
            <w:right w:val="none" w:sz="0" w:space="0" w:color="auto"/>
          </w:divBdr>
        </w:div>
        <w:div w:id="1632977464">
          <w:marLeft w:val="0"/>
          <w:marRight w:val="0"/>
          <w:marTop w:val="0"/>
          <w:marBottom w:val="0"/>
          <w:divBdr>
            <w:top w:val="none" w:sz="0" w:space="0" w:color="auto"/>
            <w:left w:val="none" w:sz="0" w:space="0" w:color="auto"/>
            <w:bottom w:val="none" w:sz="0" w:space="0" w:color="auto"/>
            <w:right w:val="none" w:sz="0" w:space="0" w:color="auto"/>
          </w:divBdr>
        </w:div>
      </w:divsChild>
    </w:div>
    <w:div w:id="1837498375">
      <w:bodyDiv w:val="1"/>
      <w:marLeft w:val="0"/>
      <w:marRight w:val="0"/>
      <w:marTop w:val="0"/>
      <w:marBottom w:val="0"/>
      <w:divBdr>
        <w:top w:val="none" w:sz="0" w:space="0" w:color="auto"/>
        <w:left w:val="none" w:sz="0" w:space="0" w:color="auto"/>
        <w:bottom w:val="none" w:sz="0" w:space="0" w:color="auto"/>
        <w:right w:val="none" w:sz="0" w:space="0" w:color="auto"/>
      </w:divBdr>
      <w:divsChild>
        <w:div w:id="9920373">
          <w:marLeft w:val="0"/>
          <w:marRight w:val="0"/>
          <w:marTop w:val="0"/>
          <w:marBottom w:val="0"/>
          <w:divBdr>
            <w:top w:val="none" w:sz="0" w:space="0" w:color="auto"/>
            <w:left w:val="none" w:sz="0" w:space="0" w:color="auto"/>
            <w:bottom w:val="none" w:sz="0" w:space="0" w:color="auto"/>
            <w:right w:val="none" w:sz="0" w:space="0" w:color="auto"/>
          </w:divBdr>
        </w:div>
        <w:div w:id="163472561">
          <w:marLeft w:val="0"/>
          <w:marRight w:val="0"/>
          <w:marTop w:val="0"/>
          <w:marBottom w:val="0"/>
          <w:divBdr>
            <w:top w:val="none" w:sz="0" w:space="0" w:color="auto"/>
            <w:left w:val="none" w:sz="0" w:space="0" w:color="auto"/>
            <w:bottom w:val="none" w:sz="0" w:space="0" w:color="auto"/>
            <w:right w:val="none" w:sz="0" w:space="0" w:color="auto"/>
          </w:divBdr>
        </w:div>
        <w:div w:id="168758124">
          <w:marLeft w:val="0"/>
          <w:marRight w:val="0"/>
          <w:marTop w:val="0"/>
          <w:marBottom w:val="0"/>
          <w:divBdr>
            <w:top w:val="none" w:sz="0" w:space="0" w:color="auto"/>
            <w:left w:val="none" w:sz="0" w:space="0" w:color="auto"/>
            <w:bottom w:val="none" w:sz="0" w:space="0" w:color="auto"/>
            <w:right w:val="none" w:sz="0" w:space="0" w:color="auto"/>
          </w:divBdr>
        </w:div>
        <w:div w:id="197473805">
          <w:marLeft w:val="0"/>
          <w:marRight w:val="0"/>
          <w:marTop w:val="0"/>
          <w:marBottom w:val="0"/>
          <w:divBdr>
            <w:top w:val="none" w:sz="0" w:space="0" w:color="auto"/>
            <w:left w:val="none" w:sz="0" w:space="0" w:color="auto"/>
            <w:bottom w:val="none" w:sz="0" w:space="0" w:color="auto"/>
            <w:right w:val="none" w:sz="0" w:space="0" w:color="auto"/>
          </w:divBdr>
        </w:div>
        <w:div w:id="231933941">
          <w:marLeft w:val="0"/>
          <w:marRight w:val="0"/>
          <w:marTop w:val="0"/>
          <w:marBottom w:val="0"/>
          <w:divBdr>
            <w:top w:val="none" w:sz="0" w:space="0" w:color="auto"/>
            <w:left w:val="none" w:sz="0" w:space="0" w:color="auto"/>
            <w:bottom w:val="none" w:sz="0" w:space="0" w:color="auto"/>
            <w:right w:val="none" w:sz="0" w:space="0" w:color="auto"/>
          </w:divBdr>
        </w:div>
        <w:div w:id="238055164">
          <w:marLeft w:val="0"/>
          <w:marRight w:val="0"/>
          <w:marTop w:val="0"/>
          <w:marBottom w:val="0"/>
          <w:divBdr>
            <w:top w:val="none" w:sz="0" w:space="0" w:color="auto"/>
            <w:left w:val="none" w:sz="0" w:space="0" w:color="auto"/>
            <w:bottom w:val="none" w:sz="0" w:space="0" w:color="auto"/>
            <w:right w:val="none" w:sz="0" w:space="0" w:color="auto"/>
          </w:divBdr>
        </w:div>
        <w:div w:id="327565566">
          <w:marLeft w:val="0"/>
          <w:marRight w:val="0"/>
          <w:marTop w:val="0"/>
          <w:marBottom w:val="0"/>
          <w:divBdr>
            <w:top w:val="none" w:sz="0" w:space="0" w:color="auto"/>
            <w:left w:val="none" w:sz="0" w:space="0" w:color="auto"/>
            <w:bottom w:val="none" w:sz="0" w:space="0" w:color="auto"/>
            <w:right w:val="none" w:sz="0" w:space="0" w:color="auto"/>
          </w:divBdr>
        </w:div>
        <w:div w:id="330451176">
          <w:marLeft w:val="0"/>
          <w:marRight w:val="0"/>
          <w:marTop w:val="0"/>
          <w:marBottom w:val="0"/>
          <w:divBdr>
            <w:top w:val="none" w:sz="0" w:space="0" w:color="auto"/>
            <w:left w:val="none" w:sz="0" w:space="0" w:color="auto"/>
            <w:bottom w:val="none" w:sz="0" w:space="0" w:color="auto"/>
            <w:right w:val="none" w:sz="0" w:space="0" w:color="auto"/>
          </w:divBdr>
        </w:div>
        <w:div w:id="360086464">
          <w:marLeft w:val="0"/>
          <w:marRight w:val="0"/>
          <w:marTop w:val="0"/>
          <w:marBottom w:val="0"/>
          <w:divBdr>
            <w:top w:val="none" w:sz="0" w:space="0" w:color="auto"/>
            <w:left w:val="none" w:sz="0" w:space="0" w:color="auto"/>
            <w:bottom w:val="none" w:sz="0" w:space="0" w:color="auto"/>
            <w:right w:val="none" w:sz="0" w:space="0" w:color="auto"/>
          </w:divBdr>
        </w:div>
        <w:div w:id="389691804">
          <w:marLeft w:val="0"/>
          <w:marRight w:val="0"/>
          <w:marTop w:val="0"/>
          <w:marBottom w:val="0"/>
          <w:divBdr>
            <w:top w:val="none" w:sz="0" w:space="0" w:color="auto"/>
            <w:left w:val="none" w:sz="0" w:space="0" w:color="auto"/>
            <w:bottom w:val="none" w:sz="0" w:space="0" w:color="auto"/>
            <w:right w:val="none" w:sz="0" w:space="0" w:color="auto"/>
          </w:divBdr>
        </w:div>
        <w:div w:id="433668332">
          <w:marLeft w:val="0"/>
          <w:marRight w:val="0"/>
          <w:marTop w:val="0"/>
          <w:marBottom w:val="0"/>
          <w:divBdr>
            <w:top w:val="none" w:sz="0" w:space="0" w:color="auto"/>
            <w:left w:val="none" w:sz="0" w:space="0" w:color="auto"/>
            <w:bottom w:val="none" w:sz="0" w:space="0" w:color="auto"/>
            <w:right w:val="none" w:sz="0" w:space="0" w:color="auto"/>
          </w:divBdr>
        </w:div>
        <w:div w:id="447430392">
          <w:marLeft w:val="0"/>
          <w:marRight w:val="0"/>
          <w:marTop w:val="0"/>
          <w:marBottom w:val="0"/>
          <w:divBdr>
            <w:top w:val="none" w:sz="0" w:space="0" w:color="auto"/>
            <w:left w:val="none" w:sz="0" w:space="0" w:color="auto"/>
            <w:bottom w:val="none" w:sz="0" w:space="0" w:color="auto"/>
            <w:right w:val="none" w:sz="0" w:space="0" w:color="auto"/>
          </w:divBdr>
        </w:div>
        <w:div w:id="480123328">
          <w:marLeft w:val="0"/>
          <w:marRight w:val="0"/>
          <w:marTop w:val="0"/>
          <w:marBottom w:val="0"/>
          <w:divBdr>
            <w:top w:val="none" w:sz="0" w:space="0" w:color="auto"/>
            <w:left w:val="none" w:sz="0" w:space="0" w:color="auto"/>
            <w:bottom w:val="none" w:sz="0" w:space="0" w:color="auto"/>
            <w:right w:val="none" w:sz="0" w:space="0" w:color="auto"/>
          </w:divBdr>
        </w:div>
        <w:div w:id="543753434">
          <w:marLeft w:val="0"/>
          <w:marRight w:val="0"/>
          <w:marTop w:val="0"/>
          <w:marBottom w:val="0"/>
          <w:divBdr>
            <w:top w:val="none" w:sz="0" w:space="0" w:color="auto"/>
            <w:left w:val="none" w:sz="0" w:space="0" w:color="auto"/>
            <w:bottom w:val="none" w:sz="0" w:space="0" w:color="auto"/>
            <w:right w:val="none" w:sz="0" w:space="0" w:color="auto"/>
          </w:divBdr>
        </w:div>
        <w:div w:id="560823476">
          <w:marLeft w:val="0"/>
          <w:marRight w:val="0"/>
          <w:marTop w:val="0"/>
          <w:marBottom w:val="0"/>
          <w:divBdr>
            <w:top w:val="none" w:sz="0" w:space="0" w:color="auto"/>
            <w:left w:val="none" w:sz="0" w:space="0" w:color="auto"/>
            <w:bottom w:val="none" w:sz="0" w:space="0" w:color="auto"/>
            <w:right w:val="none" w:sz="0" w:space="0" w:color="auto"/>
          </w:divBdr>
        </w:div>
        <w:div w:id="596793012">
          <w:marLeft w:val="0"/>
          <w:marRight w:val="0"/>
          <w:marTop w:val="0"/>
          <w:marBottom w:val="0"/>
          <w:divBdr>
            <w:top w:val="none" w:sz="0" w:space="0" w:color="auto"/>
            <w:left w:val="none" w:sz="0" w:space="0" w:color="auto"/>
            <w:bottom w:val="none" w:sz="0" w:space="0" w:color="auto"/>
            <w:right w:val="none" w:sz="0" w:space="0" w:color="auto"/>
          </w:divBdr>
        </w:div>
        <w:div w:id="617419765">
          <w:marLeft w:val="0"/>
          <w:marRight w:val="0"/>
          <w:marTop w:val="0"/>
          <w:marBottom w:val="0"/>
          <w:divBdr>
            <w:top w:val="none" w:sz="0" w:space="0" w:color="auto"/>
            <w:left w:val="none" w:sz="0" w:space="0" w:color="auto"/>
            <w:bottom w:val="none" w:sz="0" w:space="0" w:color="auto"/>
            <w:right w:val="none" w:sz="0" w:space="0" w:color="auto"/>
          </w:divBdr>
        </w:div>
        <w:div w:id="651375769">
          <w:marLeft w:val="0"/>
          <w:marRight w:val="0"/>
          <w:marTop w:val="0"/>
          <w:marBottom w:val="0"/>
          <w:divBdr>
            <w:top w:val="none" w:sz="0" w:space="0" w:color="auto"/>
            <w:left w:val="none" w:sz="0" w:space="0" w:color="auto"/>
            <w:bottom w:val="none" w:sz="0" w:space="0" w:color="auto"/>
            <w:right w:val="none" w:sz="0" w:space="0" w:color="auto"/>
          </w:divBdr>
        </w:div>
        <w:div w:id="653145793">
          <w:marLeft w:val="0"/>
          <w:marRight w:val="0"/>
          <w:marTop w:val="0"/>
          <w:marBottom w:val="0"/>
          <w:divBdr>
            <w:top w:val="none" w:sz="0" w:space="0" w:color="auto"/>
            <w:left w:val="none" w:sz="0" w:space="0" w:color="auto"/>
            <w:bottom w:val="none" w:sz="0" w:space="0" w:color="auto"/>
            <w:right w:val="none" w:sz="0" w:space="0" w:color="auto"/>
          </w:divBdr>
        </w:div>
        <w:div w:id="654072719">
          <w:marLeft w:val="0"/>
          <w:marRight w:val="0"/>
          <w:marTop w:val="0"/>
          <w:marBottom w:val="0"/>
          <w:divBdr>
            <w:top w:val="none" w:sz="0" w:space="0" w:color="auto"/>
            <w:left w:val="none" w:sz="0" w:space="0" w:color="auto"/>
            <w:bottom w:val="none" w:sz="0" w:space="0" w:color="auto"/>
            <w:right w:val="none" w:sz="0" w:space="0" w:color="auto"/>
          </w:divBdr>
        </w:div>
        <w:div w:id="659576727">
          <w:marLeft w:val="0"/>
          <w:marRight w:val="0"/>
          <w:marTop w:val="0"/>
          <w:marBottom w:val="0"/>
          <w:divBdr>
            <w:top w:val="none" w:sz="0" w:space="0" w:color="auto"/>
            <w:left w:val="none" w:sz="0" w:space="0" w:color="auto"/>
            <w:bottom w:val="none" w:sz="0" w:space="0" w:color="auto"/>
            <w:right w:val="none" w:sz="0" w:space="0" w:color="auto"/>
          </w:divBdr>
        </w:div>
        <w:div w:id="736442451">
          <w:marLeft w:val="0"/>
          <w:marRight w:val="0"/>
          <w:marTop w:val="0"/>
          <w:marBottom w:val="0"/>
          <w:divBdr>
            <w:top w:val="none" w:sz="0" w:space="0" w:color="auto"/>
            <w:left w:val="none" w:sz="0" w:space="0" w:color="auto"/>
            <w:bottom w:val="none" w:sz="0" w:space="0" w:color="auto"/>
            <w:right w:val="none" w:sz="0" w:space="0" w:color="auto"/>
          </w:divBdr>
        </w:div>
        <w:div w:id="741676661">
          <w:marLeft w:val="0"/>
          <w:marRight w:val="0"/>
          <w:marTop w:val="0"/>
          <w:marBottom w:val="0"/>
          <w:divBdr>
            <w:top w:val="none" w:sz="0" w:space="0" w:color="auto"/>
            <w:left w:val="none" w:sz="0" w:space="0" w:color="auto"/>
            <w:bottom w:val="none" w:sz="0" w:space="0" w:color="auto"/>
            <w:right w:val="none" w:sz="0" w:space="0" w:color="auto"/>
          </w:divBdr>
        </w:div>
        <w:div w:id="753628864">
          <w:marLeft w:val="0"/>
          <w:marRight w:val="0"/>
          <w:marTop w:val="0"/>
          <w:marBottom w:val="0"/>
          <w:divBdr>
            <w:top w:val="none" w:sz="0" w:space="0" w:color="auto"/>
            <w:left w:val="none" w:sz="0" w:space="0" w:color="auto"/>
            <w:bottom w:val="none" w:sz="0" w:space="0" w:color="auto"/>
            <w:right w:val="none" w:sz="0" w:space="0" w:color="auto"/>
          </w:divBdr>
        </w:div>
        <w:div w:id="755058255">
          <w:marLeft w:val="0"/>
          <w:marRight w:val="0"/>
          <w:marTop w:val="0"/>
          <w:marBottom w:val="0"/>
          <w:divBdr>
            <w:top w:val="none" w:sz="0" w:space="0" w:color="auto"/>
            <w:left w:val="none" w:sz="0" w:space="0" w:color="auto"/>
            <w:bottom w:val="none" w:sz="0" w:space="0" w:color="auto"/>
            <w:right w:val="none" w:sz="0" w:space="0" w:color="auto"/>
          </w:divBdr>
        </w:div>
        <w:div w:id="774786980">
          <w:marLeft w:val="0"/>
          <w:marRight w:val="0"/>
          <w:marTop w:val="0"/>
          <w:marBottom w:val="0"/>
          <w:divBdr>
            <w:top w:val="none" w:sz="0" w:space="0" w:color="auto"/>
            <w:left w:val="none" w:sz="0" w:space="0" w:color="auto"/>
            <w:bottom w:val="none" w:sz="0" w:space="0" w:color="auto"/>
            <w:right w:val="none" w:sz="0" w:space="0" w:color="auto"/>
          </w:divBdr>
        </w:div>
        <w:div w:id="778988979">
          <w:marLeft w:val="0"/>
          <w:marRight w:val="0"/>
          <w:marTop w:val="0"/>
          <w:marBottom w:val="0"/>
          <w:divBdr>
            <w:top w:val="none" w:sz="0" w:space="0" w:color="auto"/>
            <w:left w:val="none" w:sz="0" w:space="0" w:color="auto"/>
            <w:bottom w:val="none" w:sz="0" w:space="0" w:color="auto"/>
            <w:right w:val="none" w:sz="0" w:space="0" w:color="auto"/>
          </w:divBdr>
        </w:div>
        <w:div w:id="796265111">
          <w:marLeft w:val="0"/>
          <w:marRight w:val="0"/>
          <w:marTop w:val="0"/>
          <w:marBottom w:val="0"/>
          <w:divBdr>
            <w:top w:val="none" w:sz="0" w:space="0" w:color="auto"/>
            <w:left w:val="none" w:sz="0" w:space="0" w:color="auto"/>
            <w:bottom w:val="none" w:sz="0" w:space="0" w:color="auto"/>
            <w:right w:val="none" w:sz="0" w:space="0" w:color="auto"/>
          </w:divBdr>
        </w:div>
        <w:div w:id="840316575">
          <w:marLeft w:val="0"/>
          <w:marRight w:val="0"/>
          <w:marTop w:val="0"/>
          <w:marBottom w:val="0"/>
          <w:divBdr>
            <w:top w:val="none" w:sz="0" w:space="0" w:color="auto"/>
            <w:left w:val="none" w:sz="0" w:space="0" w:color="auto"/>
            <w:bottom w:val="none" w:sz="0" w:space="0" w:color="auto"/>
            <w:right w:val="none" w:sz="0" w:space="0" w:color="auto"/>
          </w:divBdr>
        </w:div>
        <w:div w:id="857888909">
          <w:marLeft w:val="0"/>
          <w:marRight w:val="0"/>
          <w:marTop w:val="0"/>
          <w:marBottom w:val="0"/>
          <w:divBdr>
            <w:top w:val="none" w:sz="0" w:space="0" w:color="auto"/>
            <w:left w:val="none" w:sz="0" w:space="0" w:color="auto"/>
            <w:bottom w:val="none" w:sz="0" w:space="0" w:color="auto"/>
            <w:right w:val="none" w:sz="0" w:space="0" w:color="auto"/>
          </w:divBdr>
        </w:div>
        <w:div w:id="861629769">
          <w:marLeft w:val="0"/>
          <w:marRight w:val="0"/>
          <w:marTop w:val="0"/>
          <w:marBottom w:val="0"/>
          <w:divBdr>
            <w:top w:val="none" w:sz="0" w:space="0" w:color="auto"/>
            <w:left w:val="none" w:sz="0" w:space="0" w:color="auto"/>
            <w:bottom w:val="none" w:sz="0" w:space="0" w:color="auto"/>
            <w:right w:val="none" w:sz="0" w:space="0" w:color="auto"/>
          </w:divBdr>
        </w:div>
        <w:div w:id="873423018">
          <w:marLeft w:val="0"/>
          <w:marRight w:val="0"/>
          <w:marTop w:val="0"/>
          <w:marBottom w:val="0"/>
          <w:divBdr>
            <w:top w:val="none" w:sz="0" w:space="0" w:color="auto"/>
            <w:left w:val="none" w:sz="0" w:space="0" w:color="auto"/>
            <w:bottom w:val="none" w:sz="0" w:space="0" w:color="auto"/>
            <w:right w:val="none" w:sz="0" w:space="0" w:color="auto"/>
          </w:divBdr>
        </w:div>
        <w:div w:id="888961026">
          <w:marLeft w:val="0"/>
          <w:marRight w:val="0"/>
          <w:marTop w:val="0"/>
          <w:marBottom w:val="0"/>
          <w:divBdr>
            <w:top w:val="none" w:sz="0" w:space="0" w:color="auto"/>
            <w:left w:val="none" w:sz="0" w:space="0" w:color="auto"/>
            <w:bottom w:val="none" w:sz="0" w:space="0" w:color="auto"/>
            <w:right w:val="none" w:sz="0" w:space="0" w:color="auto"/>
          </w:divBdr>
        </w:div>
        <w:div w:id="952631944">
          <w:marLeft w:val="0"/>
          <w:marRight w:val="0"/>
          <w:marTop w:val="0"/>
          <w:marBottom w:val="0"/>
          <w:divBdr>
            <w:top w:val="none" w:sz="0" w:space="0" w:color="auto"/>
            <w:left w:val="none" w:sz="0" w:space="0" w:color="auto"/>
            <w:bottom w:val="none" w:sz="0" w:space="0" w:color="auto"/>
            <w:right w:val="none" w:sz="0" w:space="0" w:color="auto"/>
          </w:divBdr>
        </w:div>
        <w:div w:id="1055616438">
          <w:marLeft w:val="0"/>
          <w:marRight w:val="0"/>
          <w:marTop w:val="0"/>
          <w:marBottom w:val="0"/>
          <w:divBdr>
            <w:top w:val="none" w:sz="0" w:space="0" w:color="auto"/>
            <w:left w:val="none" w:sz="0" w:space="0" w:color="auto"/>
            <w:bottom w:val="none" w:sz="0" w:space="0" w:color="auto"/>
            <w:right w:val="none" w:sz="0" w:space="0" w:color="auto"/>
          </w:divBdr>
        </w:div>
        <w:div w:id="1069155244">
          <w:marLeft w:val="0"/>
          <w:marRight w:val="0"/>
          <w:marTop w:val="0"/>
          <w:marBottom w:val="0"/>
          <w:divBdr>
            <w:top w:val="none" w:sz="0" w:space="0" w:color="auto"/>
            <w:left w:val="none" w:sz="0" w:space="0" w:color="auto"/>
            <w:bottom w:val="none" w:sz="0" w:space="0" w:color="auto"/>
            <w:right w:val="none" w:sz="0" w:space="0" w:color="auto"/>
          </w:divBdr>
        </w:div>
        <w:div w:id="1078362003">
          <w:marLeft w:val="0"/>
          <w:marRight w:val="0"/>
          <w:marTop w:val="0"/>
          <w:marBottom w:val="0"/>
          <w:divBdr>
            <w:top w:val="none" w:sz="0" w:space="0" w:color="auto"/>
            <w:left w:val="none" w:sz="0" w:space="0" w:color="auto"/>
            <w:bottom w:val="none" w:sz="0" w:space="0" w:color="auto"/>
            <w:right w:val="none" w:sz="0" w:space="0" w:color="auto"/>
          </w:divBdr>
          <w:divsChild>
            <w:div w:id="176163710">
              <w:marLeft w:val="0"/>
              <w:marRight w:val="0"/>
              <w:marTop w:val="0"/>
              <w:marBottom w:val="0"/>
              <w:divBdr>
                <w:top w:val="none" w:sz="0" w:space="0" w:color="auto"/>
                <w:left w:val="none" w:sz="0" w:space="0" w:color="auto"/>
                <w:bottom w:val="none" w:sz="0" w:space="0" w:color="auto"/>
                <w:right w:val="none" w:sz="0" w:space="0" w:color="auto"/>
              </w:divBdr>
            </w:div>
            <w:div w:id="218174106">
              <w:marLeft w:val="0"/>
              <w:marRight w:val="0"/>
              <w:marTop w:val="0"/>
              <w:marBottom w:val="0"/>
              <w:divBdr>
                <w:top w:val="none" w:sz="0" w:space="0" w:color="auto"/>
                <w:left w:val="none" w:sz="0" w:space="0" w:color="auto"/>
                <w:bottom w:val="none" w:sz="0" w:space="0" w:color="auto"/>
                <w:right w:val="none" w:sz="0" w:space="0" w:color="auto"/>
              </w:divBdr>
            </w:div>
            <w:div w:id="309527908">
              <w:marLeft w:val="0"/>
              <w:marRight w:val="0"/>
              <w:marTop w:val="0"/>
              <w:marBottom w:val="0"/>
              <w:divBdr>
                <w:top w:val="none" w:sz="0" w:space="0" w:color="auto"/>
                <w:left w:val="none" w:sz="0" w:space="0" w:color="auto"/>
                <w:bottom w:val="none" w:sz="0" w:space="0" w:color="auto"/>
                <w:right w:val="none" w:sz="0" w:space="0" w:color="auto"/>
              </w:divBdr>
            </w:div>
            <w:div w:id="314459770">
              <w:marLeft w:val="0"/>
              <w:marRight w:val="0"/>
              <w:marTop w:val="0"/>
              <w:marBottom w:val="0"/>
              <w:divBdr>
                <w:top w:val="none" w:sz="0" w:space="0" w:color="auto"/>
                <w:left w:val="none" w:sz="0" w:space="0" w:color="auto"/>
                <w:bottom w:val="none" w:sz="0" w:space="0" w:color="auto"/>
                <w:right w:val="none" w:sz="0" w:space="0" w:color="auto"/>
              </w:divBdr>
            </w:div>
            <w:div w:id="375810369">
              <w:marLeft w:val="0"/>
              <w:marRight w:val="0"/>
              <w:marTop w:val="0"/>
              <w:marBottom w:val="0"/>
              <w:divBdr>
                <w:top w:val="none" w:sz="0" w:space="0" w:color="auto"/>
                <w:left w:val="none" w:sz="0" w:space="0" w:color="auto"/>
                <w:bottom w:val="none" w:sz="0" w:space="0" w:color="auto"/>
                <w:right w:val="none" w:sz="0" w:space="0" w:color="auto"/>
              </w:divBdr>
            </w:div>
            <w:div w:id="569074626">
              <w:marLeft w:val="0"/>
              <w:marRight w:val="0"/>
              <w:marTop w:val="0"/>
              <w:marBottom w:val="0"/>
              <w:divBdr>
                <w:top w:val="none" w:sz="0" w:space="0" w:color="auto"/>
                <w:left w:val="none" w:sz="0" w:space="0" w:color="auto"/>
                <w:bottom w:val="none" w:sz="0" w:space="0" w:color="auto"/>
                <w:right w:val="none" w:sz="0" w:space="0" w:color="auto"/>
              </w:divBdr>
            </w:div>
            <w:div w:id="701172784">
              <w:marLeft w:val="0"/>
              <w:marRight w:val="0"/>
              <w:marTop w:val="0"/>
              <w:marBottom w:val="0"/>
              <w:divBdr>
                <w:top w:val="none" w:sz="0" w:space="0" w:color="auto"/>
                <w:left w:val="none" w:sz="0" w:space="0" w:color="auto"/>
                <w:bottom w:val="none" w:sz="0" w:space="0" w:color="auto"/>
                <w:right w:val="none" w:sz="0" w:space="0" w:color="auto"/>
              </w:divBdr>
            </w:div>
            <w:div w:id="730496950">
              <w:marLeft w:val="0"/>
              <w:marRight w:val="0"/>
              <w:marTop w:val="0"/>
              <w:marBottom w:val="0"/>
              <w:divBdr>
                <w:top w:val="none" w:sz="0" w:space="0" w:color="auto"/>
                <w:left w:val="none" w:sz="0" w:space="0" w:color="auto"/>
                <w:bottom w:val="none" w:sz="0" w:space="0" w:color="auto"/>
                <w:right w:val="none" w:sz="0" w:space="0" w:color="auto"/>
              </w:divBdr>
            </w:div>
            <w:div w:id="963268009">
              <w:marLeft w:val="0"/>
              <w:marRight w:val="0"/>
              <w:marTop w:val="0"/>
              <w:marBottom w:val="0"/>
              <w:divBdr>
                <w:top w:val="none" w:sz="0" w:space="0" w:color="auto"/>
                <w:left w:val="none" w:sz="0" w:space="0" w:color="auto"/>
                <w:bottom w:val="none" w:sz="0" w:space="0" w:color="auto"/>
                <w:right w:val="none" w:sz="0" w:space="0" w:color="auto"/>
              </w:divBdr>
            </w:div>
            <w:div w:id="1268003257">
              <w:marLeft w:val="0"/>
              <w:marRight w:val="0"/>
              <w:marTop w:val="0"/>
              <w:marBottom w:val="0"/>
              <w:divBdr>
                <w:top w:val="none" w:sz="0" w:space="0" w:color="auto"/>
                <w:left w:val="none" w:sz="0" w:space="0" w:color="auto"/>
                <w:bottom w:val="none" w:sz="0" w:space="0" w:color="auto"/>
                <w:right w:val="none" w:sz="0" w:space="0" w:color="auto"/>
              </w:divBdr>
            </w:div>
            <w:div w:id="1273980136">
              <w:marLeft w:val="0"/>
              <w:marRight w:val="0"/>
              <w:marTop w:val="0"/>
              <w:marBottom w:val="0"/>
              <w:divBdr>
                <w:top w:val="none" w:sz="0" w:space="0" w:color="auto"/>
                <w:left w:val="none" w:sz="0" w:space="0" w:color="auto"/>
                <w:bottom w:val="none" w:sz="0" w:space="0" w:color="auto"/>
                <w:right w:val="none" w:sz="0" w:space="0" w:color="auto"/>
              </w:divBdr>
            </w:div>
            <w:div w:id="1334257171">
              <w:marLeft w:val="0"/>
              <w:marRight w:val="0"/>
              <w:marTop w:val="0"/>
              <w:marBottom w:val="0"/>
              <w:divBdr>
                <w:top w:val="none" w:sz="0" w:space="0" w:color="auto"/>
                <w:left w:val="none" w:sz="0" w:space="0" w:color="auto"/>
                <w:bottom w:val="none" w:sz="0" w:space="0" w:color="auto"/>
                <w:right w:val="none" w:sz="0" w:space="0" w:color="auto"/>
              </w:divBdr>
            </w:div>
            <w:div w:id="1416197779">
              <w:marLeft w:val="0"/>
              <w:marRight w:val="0"/>
              <w:marTop w:val="0"/>
              <w:marBottom w:val="0"/>
              <w:divBdr>
                <w:top w:val="none" w:sz="0" w:space="0" w:color="auto"/>
                <w:left w:val="none" w:sz="0" w:space="0" w:color="auto"/>
                <w:bottom w:val="none" w:sz="0" w:space="0" w:color="auto"/>
                <w:right w:val="none" w:sz="0" w:space="0" w:color="auto"/>
              </w:divBdr>
            </w:div>
            <w:div w:id="1644509104">
              <w:marLeft w:val="0"/>
              <w:marRight w:val="0"/>
              <w:marTop w:val="0"/>
              <w:marBottom w:val="0"/>
              <w:divBdr>
                <w:top w:val="none" w:sz="0" w:space="0" w:color="auto"/>
                <w:left w:val="none" w:sz="0" w:space="0" w:color="auto"/>
                <w:bottom w:val="none" w:sz="0" w:space="0" w:color="auto"/>
                <w:right w:val="none" w:sz="0" w:space="0" w:color="auto"/>
              </w:divBdr>
            </w:div>
            <w:div w:id="1665663857">
              <w:marLeft w:val="0"/>
              <w:marRight w:val="0"/>
              <w:marTop w:val="0"/>
              <w:marBottom w:val="0"/>
              <w:divBdr>
                <w:top w:val="none" w:sz="0" w:space="0" w:color="auto"/>
                <w:left w:val="none" w:sz="0" w:space="0" w:color="auto"/>
                <w:bottom w:val="none" w:sz="0" w:space="0" w:color="auto"/>
                <w:right w:val="none" w:sz="0" w:space="0" w:color="auto"/>
              </w:divBdr>
            </w:div>
            <w:div w:id="1809202566">
              <w:marLeft w:val="0"/>
              <w:marRight w:val="0"/>
              <w:marTop w:val="0"/>
              <w:marBottom w:val="0"/>
              <w:divBdr>
                <w:top w:val="none" w:sz="0" w:space="0" w:color="auto"/>
                <w:left w:val="none" w:sz="0" w:space="0" w:color="auto"/>
                <w:bottom w:val="none" w:sz="0" w:space="0" w:color="auto"/>
                <w:right w:val="none" w:sz="0" w:space="0" w:color="auto"/>
              </w:divBdr>
            </w:div>
            <w:div w:id="1873181981">
              <w:marLeft w:val="0"/>
              <w:marRight w:val="0"/>
              <w:marTop w:val="0"/>
              <w:marBottom w:val="0"/>
              <w:divBdr>
                <w:top w:val="none" w:sz="0" w:space="0" w:color="auto"/>
                <w:left w:val="none" w:sz="0" w:space="0" w:color="auto"/>
                <w:bottom w:val="none" w:sz="0" w:space="0" w:color="auto"/>
                <w:right w:val="none" w:sz="0" w:space="0" w:color="auto"/>
              </w:divBdr>
            </w:div>
            <w:div w:id="1995602396">
              <w:marLeft w:val="0"/>
              <w:marRight w:val="0"/>
              <w:marTop w:val="0"/>
              <w:marBottom w:val="0"/>
              <w:divBdr>
                <w:top w:val="none" w:sz="0" w:space="0" w:color="auto"/>
                <w:left w:val="none" w:sz="0" w:space="0" w:color="auto"/>
                <w:bottom w:val="none" w:sz="0" w:space="0" w:color="auto"/>
                <w:right w:val="none" w:sz="0" w:space="0" w:color="auto"/>
              </w:divBdr>
            </w:div>
            <w:div w:id="2063360050">
              <w:marLeft w:val="0"/>
              <w:marRight w:val="0"/>
              <w:marTop w:val="0"/>
              <w:marBottom w:val="0"/>
              <w:divBdr>
                <w:top w:val="none" w:sz="0" w:space="0" w:color="auto"/>
                <w:left w:val="none" w:sz="0" w:space="0" w:color="auto"/>
                <w:bottom w:val="none" w:sz="0" w:space="0" w:color="auto"/>
                <w:right w:val="none" w:sz="0" w:space="0" w:color="auto"/>
              </w:divBdr>
            </w:div>
            <w:div w:id="2088116366">
              <w:marLeft w:val="0"/>
              <w:marRight w:val="0"/>
              <w:marTop w:val="0"/>
              <w:marBottom w:val="0"/>
              <w:divBdr>
                <w:top w:val="none" w:sz="0" w:space="0" w:color="auto"/>
                <w:left w:val="none" w:sz="0" w:space="0" w:color="auto"/>
                <w:bottom w:val="none" w:sz="0" w:space="0" w:color="auto"/>
                <w:right w:val="none" w:sz="0" w:space="0" w:color="auto"/>
              </w:divBdr>
            </w:div>
          </w:divsChild>
        </w:div>
        <w:div w:id="1110977514">
          <w:marLeft w:val="0"/>
          <w:marRight w:val="0"/>
          <w:marTop w:val="0"/>
          <w:marBottom w:val="0"/>
          <w:divBdr>
            <w:top w:val="none" w:sz="0" w:space="0" w:color="auto"/>
            <w:left w:val="none" w:sz="0" w:space="0" w:color="auto"/>
            <w:bottom w:val="none" w:sz="0" w:space="0" w:color="auto"/>
            <w:right w:val="none" w:sz="0" w:space="0" w:color="auto"/>
          </w:divBdr>
        </w:div>
        <w:div w:id="1136069244">
          <w:marLeft w:val="0"/>
          <w:marRight w:val="0"/>
          <w:marTop w:val="0"/>
          <w:marBottom w:val="0"/>
          <w:divBdr>
            <w:top w:val="none" w:sz="0" w:space="0" w:color="auto"/>
            <w:left w:val="none" w:sz="0" w:space="0" w:color="auto"/>
            <w:bottom w:val="none" w:sz="0" w:space="0" w:color="auto"/>
            <w:right w:val="none" w:sz="0" w:space="0" w:color="auto"/>
          </w:divBdr>
        </w:div>
        <w:div w:id="1139416192">
          <w:marLeft w:val="0"/>
          <w:marRight w:val="0"/>
          <w:marTop w:val="0"/>
          <w:marBottom w:val="0"/>
          <w:divBdr>
            <w:top w:val="none" w:sz="0" w:space="0" w:color="auto"/>
            <w:left w:val="none" w:sz="0" w:space="0" w:color="auto"/>
            <w:bottom w:val="none" w:sz="0" w:space="0" w:color="auto"/>
            <w:right w:val="none" w:sz="0" w:space="0" w:color="auto"/>
          </w:divBdr>
        </w:div>
        <w:div w:id="1140264135">
          <w:marLeft w:val="0"/>
          <w:marRight w:val="0"/>
          <w:marTop w:val="0"/>
          <w:marBottom w:val="0"/>
          <w:divBdr>
            <w:top w:val="none" w:sz="0" w:space="0" w:color="auto"/>
            <w:left w:val="none" w:sz="0" w:space="0" w:color="auto"/>
            <w:bottom w:val="none" w:sz="0" w:space="0" w:color="auto"/>
            <w:right w:val="none" w:sz="0" w:space="0" w:color="auto"/>
          </w:divBdr>
        </w:div>
        <w:div w:id="1142312723">
          <w:marLeft w:val="0"/>
          <w:marRight w:val="0"/>
          <w:marTop w:val="0"/>
          <w:marBottom w:val="0"/>
          <w:divBdr>
            <w:top w:val="none" w:sz="0" w:space="0" w:color="auto"/>
            <w:left w:val="none" w:sz="0" w:space="0" w:color="auto"/>
            <w:bottom w:val="none" w:sz="0" w:space="0" w:color="auto"/>
            <w:right w:val="none" w:sz="0" w:space="0" w:color="auto"/>
          </w:divBdr>
        </w:div>
        <w:div w:id="1145707990">
          <w:marLeft w:val="0"/>
          <w:marRight w:val="0"/>
          <w:marTop w:val="0"/>
          <w:marBottom w:val="0"/>
          <w:divBdr>
            <w:top w:val="none" w:sz="0" w:space="0" w:color="auto"/>
            <w:left w:val="none" w:sz="0" w:space="0" w:color="auto"/>
            <w:bottom w:val="none" w:sz="0" w:space="0" w:color="auto"/>
            <w:right w:val="none" w:sz="0" w:space="0" w:color="auto"/>
          </w:divBdr>
        </w:div>
        <w:div w:id="1156260593">
          <w:marLeft w:val="0"/>
          <w:marRight w:val="0"/>
          <w:marTop w:val="0"/>
          <w:marBottom w:val="0"/>
          <w:divBdr>
            <w:top w:val="none" w:sz="0" w:space="0" w:color="auto"/>
            <w:left w:val="none" w:sz="0" w:space="0" w:color="auto"/>
            <w:bottom w:val="none" w:sz="0" w:space="0" w:color="auto"/>
            <w:right w:val="none" w:sz="0" w:space="0" w:color="auto"/>
          </w:divBdr>
        </w:div>
        <w:div w:id="1203859331">
          <w:marLeft w:val="0"/>
          <w:marRight w:val="0"/>
          <w:marTop w:val="0"/>
          <w:marBottom w:val="0"/>
          <w:divBdr>
            <w:top w:val="none" w:sz="0" w:space="0" w:color="auto"/>
            <w:left w:val="none" w:sz="0" w:space="0" w:color="auto"/>
            <w:bottom w:val="none" w:sz="0" w:space="0" w:color="auto"/>
            <w:right w:val="none" w:sz="0" w:space="0" w:color="auto"/>
          </w:divBdr>
        </w:div>
        <w:div w:id="1204636506">
          <w:marLeft w:val="0"/>
          <w:marRight w:val="0"/>
          <w:marTop w:val="0"/>
          <w:marBottom w:val="0"/>
          <w:divBdr>
            <w:top w:val="none" w:sz="0" w:space="0" w:color="auto"/>
            <w:left w:val="none" w:sz="0" w:space="0" w:color="auto"/>
            <w:bottom w:val="none" w:sz="0" w:space="0" w:color="auto"/>
            <w:right w:val="none" w:sz="0" w:space="0" w:color="auto"/>
          </w:divBdr>
        </w:div>
        <w:div w:id="1222836377">
          <w:marLeft w:val="0"/>
          <w:marRight w:val="0"/>
          <w:marTop w:val="0"/>
          <w:marBottom w:val="0"/>
          <w:divBdr>
            <w:top w:val="none" w:sz="0" w:space="0" w:color="auto"/>
            <w:left w:val="none" w:sz="0" w:space="0" w:color="auto"/>
            <w:bottom w:val="none" w:sz="0" w:space="0" w:color="auto"/>
            <w:right w:val="none" w:sz="0" w:space="0" w:color="auto"/>
          </w:divBdr>
        </w:div>
        <w:div w:id="1243023616">
          <w:marLeft w:val="0"/>
          <w:marRight w:val="0"/>
          <w:marTop w:val="0"/>
          <w:marBottom w:val="0"/>
          <w:divBdr>
            <w:top w:val="none" w:sz="0" w:space="0" w:color="auto"/>
            <w:left w:val="none" w:sz="0" w:space="0" w:color="auto"/>
            <w:bottom w:val="none" w:sz="0" w:space="0" w:color="auto"/>
            <w:right w:val="none" w:sz="0" w:space="0" w:color="auto"/>
          </w:divBdr>
        </w:div>
        <w:div w:id="1249265864">
          <w:marLeft w:val="0"/>
          <w:marRight w:val="0"/>
          <w:marTop w:val="0"/>
          <w:marBottom w:val="0"/>
          <w:divBdr>
            <w:top w:val="none" w:sz="0" w:space="0" w:color="auto"/>
            <w:left w:val="none" w:sz="0" w:space="0" w:color="auto"/>
            <w:bottom w:val="none" w:sz="0" w:space="0" w:color="auto"/>
            <w:right w:val="none" w:sz="0" w:space="0" w:color="auto"/>
          </w:divBdr>
        </w:div>
        <w:div w:id="1249845748">
          <w:marLeft w:val="0"/>
          <w:marRight w:val="0"/>
          <w:marTop w:val="0"/>
          <w:marBottom w:val="0"/>
          <w:divBdr>
            <w:top w:val="none" w:sz="0" w:space="0" w:color="auto"/>
            <w:left w:val="none" w:sz="0" w:space="0" w:color="auto"/>
            <w:bottom w:val="none" w:sz="0" w:space="0" w:color="auto"/>
            <w:right w:val="none" w:sz="0" w:space="0" w:color="auto"/>
          </w:divBdr>
        </w:div>
        <w:div w:id="1281499857">
          <w:marLeft w:val="0"/>
          <w:marRight w:val="0"/>
          <w:marTop w:val="0"/>
          <w:marBottom w:val="0"/>
          <w:divBdr>
            <w:top w:val="none" w:sz="0" w:space="0" w:color="auto"/>
            <w:left w:val="none" w:sz="0" w:space="0" w:color="auto"/>
            <w:bottom w:val="none" w:sz="0" w:space="0" w:color="auto"/>
            <w:right w:val="none" w:sz="0" w:space="0" w:color="auto"/>
          </w:divBdr>
        </w:div>
        <w:div w:id="1286889159">
          <w:marLeft w:val="0"/>
          <w:marRight w:val="0"/>
          <w:marTop w:val="0"/>
          <w:marBottom w:val="0"/>
          <w:divBdr>
            <w:top w:val="none" w:sz="0" w:space="0" w:color="auto"/>
            <w:left w:val="none" w:sz="0" w:space="0" w:color="auto"/>
            <w:bottom w:val="none" w:sz="0" w:space="0" w:color="auto"/>
            <w:right w:val="none" w:sz="0" w:space="0" w:color="auto"/>
          </w:divBdr>
        </w:div>
        <w:div w:id="1327395546">
          <w:marLeft w:val="0"/>
          <w:marRight w:val="0"/>
          <w:marTop w:val="0"/>
          <w:marBottom w:val="0"/>
          <w:divBdr>
            <w:top w:val="none" w:sz="0" w:space="0" w:color="auto"/>
            <w:left w:val="none" w:sz="0" w:space="0" w:color="auto"/>
            <w:bottom w:val="none" w:sz="0" w:space="0" w:color="auto"/>
            <w:right w:val="none" w:sz="0" w:space="0" w:color="auto"/>
          </w:divBdr>
        </w:div>
        <w:div w:id="1328705211">
          <w:marLeft w:val="0"/>
          <w:marRight w:val="0"/>
          <w:marTop w:val="0"/>
          <w:marBottom w:val="0"/>
          <w:divBdr>
            <w:top w:val="none" w:sz="0" w:space="0" w:color="auto"/>
            <w:left w:val="none" w:sz="0" w:space="0" w:color="auto"/>
            <w:bottom w:val="none" w:sz="0" w:space="0" w:color="auto"/>
            <w:right w:val="none" w:sz="0" w:space="0" w:color="auto"/>
          </w:divBdr>
        </w:div>
        <w:div w:id="1338771313">
          <w:marLeft w:val="0"/>
          <w:marRight w:val="0"/>
          <w:marTop w:val="0"/>
          <w:marBottom w:val="0"/>
          <w:divBdr>
            <w:top w:val="none" w:sz="0" w:space="0" w:color="auto"/>
            <w:left w:val="none" w:sz="0" w:space="0" w:color="auto"/>
            <w:bottom w:val="none" w:sz="0" w:space="0" w:color="auto"/>
            <w:right w:val="none" w:sz="0" w:space="0" w:color="auto"/>
          </w:divBdr>
        </w:div>
        <w:div w:id="1381125888">
          <w:marLeft w:val="0"/>
          <w:marRight w:val="0"/>
          <w:marTop w:val="0"/>
          <w:marBottom w:val="0"/>
          <w:divBdr>
            <w:top w:val="none" w:sz="0" w:space="0" w:color="auto"/>
            <w:left w:val="none" w:sz="0" w:space="0" w:color="auto"/>
            <w:bottom w:val="none" w:sz="0" w:space="0" w:color="auto"/>
            <w:right w:val="none" w:sz="0" w:space="0" w:color="auto"/>
          </w:divBdr>
        </w:div>
        <w:div w:id="1396124331">
          <w:marLeft w:val="0"/>
          <w:marRight w:val="0"/>
          <w:marTop w:val="0"/>
          <w:marBottom w:val="0"/>
          <w:divBdr>
            <w:top w:val="none" w:sz="0" w:space="0" w:color="auto"/>
            <w:left w:val="none" w:sz="0" w:space="0" w:color="auto"/>
            <w:bottom w:val="none" w:sz="0" w:space="0" w:color="auto"/>
            <w:right w:val="none" w:sz="0" w:space="0" w:color="auto"/>
          </w:divBdr>
        </w:div>
        <w:div w:id="1431583770">
          <w:marLeft w:val="0"/>
          <w:marRight w:val="0"/>
          <w:marTop w:val="0"/>
          <w:marBottom w:val="0"/>
          <w:divBdr>
            <w:top w:val="none" w:sz="0" w:space="0" w:color="auto"/>
            <w:left w:val="none" w:sz="0" w:space="0" w:color="auto"/>
            <w:bottom w:val="none" w:sz="0" w:space="0" w:color="auto"/>
            <w:right w:val="none" w:sz="0" w:space="0" w:color="auto"/>
          </w:divBdr>
        </w:div>
        <w:div w:id="1449591083">
          <w:marLeft w:val="0"/>
          <w:marRight w:val="0"/>
          <w:marTop w:val="0"/>
          <w:marBottom w:val="0"/>
          <w:divBdr>
            <w:top w:val="none" w:sz="0" w:space="0" w:color="auto"/>
            <w:left w:val="none" w:sz="0" w:space="0" w:color="auto"/>
            <w:bottom w:val="none" w:sz="0" w:space="0" w:color="auto"/>
            <w:right w:val="none" w:sz="0" w:space="0" w:color="auto"/>
          </w:divBdr>
        </w:div>
        <w:div w:id="1495145496">
          <w:marLeft w:val="0"/>
          <w:marRight w:val="0"/>
          <w:marTop w:val="0"/>
          <w:marBottom w:val="0"/>
          <w:divBdr>
            <w:top w:val="none" w:sz="0" w:space="0" w:color="auto"/>
            <w:left w:val="none" w:sz="0" w:space="0" w:color="auto"/>
            <w:bottom w:val="none" w:sz="0" w:space="0" w:color="auto"/>
            <w:right w:val="none" w:sz="0" w:space="0" w:color="auto"/>
          </w:divBdr>
        </w:div>
        <w:div w:id="1507474575">
          <w:marLeft w:val="0"/>
          <w:marRight w:val="0"/>
          <w:marTop w:val="0"/>
          <w:marBottom w:val="0"/>
          <w:divBdr>
            <w:top w:val="none" w:sz="0" w:space="0" w:color="auto"/>
            <w:left w:val="none" w:sz="0" w:space="0" w:color="auto"/>
            <w:bottom w:val="none" w:sz="0" w:space="0" w:color="auto"/>
            <w:right w:val="none" w:sz="0" w:space="0" w:color="auto"/>
          </w:divBdr>
        </w:div>
        <w:div w:id="1542858467">
          <w:marLeft w:val="0"/>
          <w:marRight w:val="0"/>
          <w:marTop w:val="0"/>
          <w:marBottom w:val="0"/>
          <w:divBdr>
            <w:top w:val="none" w:sz="0" w:space="0" w:color="auto"/>
            <w:left w:val="none" w:sz="0" w:space="0" w:color="auto"/>
            <w:bottom w:val="none" w:sz="0" w:space="0" w:color="auto"/>
            <w:right w:val="none" w:sz="0" w:space="0" w:color="auto"/>
          </w:divBdr>
        </w:div>
        <w:div w:id="1548833060">
          <w:marLeft w:val="0"/>
          <w:marRight w:val="0"/>
          <w:marTop w:val="0"/>
          <w:marBottom w:val="0"/>
          <w:divBdr>
            <w:top w:val="none" w:sz="0" w:space="0" w:color="auto"/>
            <w:left w:val="none" w:sz="0" w:space="0" w:color="auto"/>
            <w:bottom w:val="none" w:sz="0" w:space="0" w:color="auto"/>
            <w:right w:val="none" w:sz="0" w:space="0" w:color="auto"/>
          </w:divBdr>
        </w:div>
        <w:div w:id="1569460780">
          <w:marLeft w:val="0"/>
          <w:marRight w:val="0"/>
          <w:marTop w:val="0"/>
          <w:marBottom w:val="0"/>
          <w:divBdr>
            <w:top w:val="none" w:sz="0" w:space="0" w:color="auto"/>
            <w:left w:val="none" w:sz="0" w:space="0" w:color="auto"/>
            <w:bottom w:val="none" w:sz="0" w:space="0" w:color="auto"/>
            <w:right w:val="none" w:sz="0" w:space="0" w:color="auto"/>
          </w:divBdr>
        </w:div>
        <w:div w:id="1614822817">
          <w:marLeft w:val="0"/>
          <w:marRight w:val="0"/>
          <w:marTop w:val="0"/>
          <w:marBottom w:val="0"/>
          <w:divBdr>
            <w:top w:val="none" w:sz="0" w:space="0" w:color="auto"/>
            <w:left w:val="none" w:sz="0" w:space="0" w:color="auto"/>
            <w:bottom w:val="none" w:sz="0" w:space="0" w:color="auto"/>
            <w:right w:val="none" w:sz="0" w:space="0" w:color="auto"/>
          </w:divBdr>
        </w:div>
        <w:div w:id="1675260885">
          <w:marLeft w:val="0"/>
          <w:marRight w:val="0"/>
          <w:marTop w:val="0"/>
          <w:marBottom w:val="0"/>
          <w:divBdr>
            <w:top w:val="none" w:sz="0" w:space="0" w:color="auto"/>
            <w:left w:val="none" w:sz="0" w:space="0" w:color="auto"/>
            <w:bottom w:val="none" w:sz="0" w:space="0" w:color="auto"/>
            <w:right w:val="none" w:sz="0" w:space="0" w:color="auto"/>
          </w:divBdr>
        </w:div>
        <w:div w:id="1703482840">
          <w:marLeft w:val="0"/>
          <w:marRight w:val="0"/>
          <w:marTop w:val="0"/>
          <w:marBottom w:val="0"/>
          <w:divBdr>
            <w:top w:val="none" w:sz="0" w:space="0" w:color="auto"/>
            <w:left w:val="none" w:sz="0" w:space="0" w:color="auto"/>
            <w:bottom w:val="none" w:sz="0" w:space="0" w:color="auto"/>
            <w:right w:val="none" w:sz="0" w:space="0" w:color="auto"/>
          </w:divBdr>
          <w:divsChild>
            <w:div w:id="184052748">
              <w:marLeft w:val="0"/>
              <w:marRight w:val="0"/>
              <w:marTop w:val="0"/>
              <w:marBottom w:val="0"/>
              <w:divBdr>
                <w:top w:val="none" w:sz="0" w:space="0" w:color="auto"/>
                <w:left w:val="none" w:sz="0" w:space="0" w:color="auto"/>
                <w:bottom w:val="none" w:sz="0" w:space="0" w:color="auto"/>
                <w:right w:val="none" w:sz="0" w:space="0" w:color="auto"/>
              </w:divBdr>
            </w:div>
            <w:div w:id="247353485">
              <w:marLeft w:val="0"/>
              <w:marRight w:val="0"/>
              <w:marTop w:val="0"/>
              <w:marBottom w:val="0"/>
              <w:divBdr>
                <w:top w:val="none" w:sz="0" w:space="0" w:color="auto"/>
                <w:left w:val="none" w:sz="0" w:space="0" w:color="auto"/>
                <w:bottom w:val="none" w:sz="0" w:space="0" w:color="auto"/>
                <w:right w:val="none" w:sz="0" w:space="0" w:color="auto"/>
              </w:divBdr>
            </w:div>
            <w:div w:id="451823142">
              <w:marLeft w:val="0"/>
              <w:marRight w:val="0"/>
              <w:marTop w:val="0"/>
              <w:marBottom w:val="0"/>
              <w:divBdr>
                <w:top w:val="none" w:sz="0" w:space="0" w:color="auto"/>
                <w:left w:val="none" w:sz="0" w:space="0" w:color="auto"/>
                <w:bottom w:val="none" w:sz="0" w:space="0" w:color="auto"/>
                <w:right w:val="none" w:sz="0" w:space="0" w:color="auto"/>
              </w:divBdr>
            </w:div>
            <w:div w:id="765225904">
              <w:marLeft w:val="0"/>
              <w:marRight w:val="0"/>
              <w:marTop w:val="0"/>
              <w:marBottom w:val="0"/>
              <w:divBdr>
                <w:top w:val="none" w:sz="0" w:space="0" w:color="auto"/>
                <w:left w:val="none" w:sz="0" w:space="0" w:color="auto"/>
                <w:bottom w:val="none" w:sz="0" w:space="0" w:color="auto"/>
                <w:right w:val="none" w:sz="0" w:space="0" w:color="auto"/>
              </w:divBdr>
            </w:div>
            <w:div w:id="844981204">
              <w:marLeft w:val="0"/>
              <w:marRight w:val="0"/>
              <w:marTop w:val="0"/>
              <w:marBottom w:val="0"/>
              <w:divBdr>
                <w:top w:val="none" w:sz="0" w:space="0" w:color="auto"/>
                <w:left w:val="none" w:sz="0" w:space="0" w:color="auto"/>
                <w:bottom w:val="none" w:sz="0" w:space="0" w:color="auto"/>
                <w:right w:val="none" w:sz="0" w:space="0" w:color="auto"/>
              </w:divBdr>
            </w:div>
            <w:div w:id="878516498">
              <w:marLeft w:val="0"/>
              <w:marRight w:val="0"/>
              <w:marTop w:val="0"/>
              <w:marBottom w:val="0"/>
              <w:divBdr>
                <w:top w:val="none" w:sz="0" w:space="0" w:color="auto"/>
                <w:left w:val="none" w:sz="0" w:space="0" w:color="auto"/>
                <w:bottom w:val="none" w:sz="0" w:space="0" w:color="auto"/>
                <w:right w:val="none" w:sz="0" w:space="0" w:color="auto"/>
              </w:divBdr>
            </w:div>
            <w:div w:id="1052389085">
              <w:marLeft w:val="0"/>
              <w:marRight w:val="0"/>
              <w:marTop w:val="0"/>
              <w:marBottom w:val="0"/>
              <w:divBdr>
                <w:top w:val="none" w:sz="0" w:space="0" w:color="auto"/>
                <w:left w:val="none" w:sz="0" w:space="0" w:color="auto"/>
                <w:bottom w:val="none" w:sz="0" w:space="0" w:color="auto"/>
                <w:right w:val="none" w:sz="0" w:space="0" w:color="auto"/>
              </w:divBdr>
            </w:div>
            <w:div w:id="1188642782">
              <w:marLeft w:val="0"/>
              <w:marRight w:val="0"/>
              <w:marTop w:val="0"/>
              <w:marBottom w:val="0"/>
              <w:divBdr>
                <w:top w:val="none" w:sz="0" w:space="0" w:color="auto"/>
                <w:left w:val="none" w:sz="0" w:space="0" w:color="auto"/>
                <w:bottom w:val="none" w:sz="0" w:space="0" w:color="auto"/>
                <w:right w:val="none" w:sz="0" w:space="0" w:color="auto"/>
              </w:divBdr>
            </w:div>
            <w:div w:id="1260019516">
              <w:marLeft w:val="0"/>
              <w:marRight w:val="0"/>
              <w:marTop w:val="0"/>
              <w:marBottom w:val="0"/>
              <w:divBdr>
                <w:top w:val="none" w:sz="0" w:space="0" w:color="auto"/>
                <w:left w:val="none" w:sz="0" w:space="0" w:color="auto"/>
                <w:bottom w:val="none" w:sz="0" w:space="0" w:color="auto"/>
                <w:right w:val="none" w:sz="0" w:space="0" w:color="auto"/>
              </w:divBdr>
            </w:div>
            <w:div w:id="1263610740">
              <w:marLeft w:val="0"/>
              <w:marRight w:val="0"/>
              <w:marTop w:val="0"/>
              <w:marBottom w:val="0"/>
              <w:divBdr>
                <w:top w:val="none" w:sz="0" w:space="0" w:color="auto"/>
                <w:left w:val="none" w:sz="0" w:space="0" w:color="auto"/>
                <w:bottom w:val="none" w:sz="0" w:space="0" w:color="auto"/>
                <w:right w:val="none" w:sz="0" w:space="0" w:color="auto"/>
              </w:divBdr>
            </w:div>
            <w:div w:id="1416054768">
              <w:marLeft w:val="0"/>
              <w:marRight w:val="0"/>
              <w:marTop w:val="0"/>
              <w:marBottom w:val="0"/>
              <w:divBdr>
                <w:top w:val="none" w:sz="0" w:space="0" w:color="auto"/>
                <w:left w:val="none" w:sz="0" w:space="0" w:color="auto"/>
                <w:bottom w:val="none" w:sz="0" w:space="0" w:color="auto"/>
                <w:right w:val="none" w:sz="0" w:space="0" w:color="auto"/>
              </w:divBdr>
            </w:div>
            <w:div w:id="1431270837">
              <w:marLeft w:val="0"/>
              <w:marRight w:val="0"/>
              <w:marTop w:val="0"/>
              <w:marBottom w:val="0"/>
              <w:divBdr>
                <w:top w:val="none" w:sz="0" w:space="0" w:color="auto"/>
                <w:left w:val="none" w:sz="0" w:space="0" w:color="auto"/>
                <w:bottom w:val="none" w:sz="0" w:space="0" w:color="auto"/>
                <w:right w:val="none" w:sz="0" w:space="0" w:color="auto"/>
              </w:divBdr>
            </w:div>
            <w:div w:id="1439256975">
              <w:marLeft w:val="0"/>
              <w:marRight w:val="0"/>
              <w:marTop w:val="0"/>
              <w:marBottom w:val="0"/>
              <w:divBdr>
                <w:top w:val="none" w:sz="0" w:space="0" w:color="auto"/>
                <w:left w:val="none" w:sz="0" w:space="0" w:color="auto"/>
                <w:bottom w:val="none" w:sz="0" w:space="0" w:color="auto"/>
                <w:right w:val="none" w:sz="0" w:space="0" w:color="auto"/>
              </w:divBdr>
            </w:div>
            <w:div w:id="1494031341">
              <w:marLeft w:val="0"/>
              <w:marRight w:val="0"/>
              <w:marTop w:val="0"/>
              <w:marBottom w:val="0"/>
              <w:divBdr>
                <w:top w:val="none" w:sz="0" w:space="0" w:color="auto"/>
                <w:left w:val="none" w:sz="0" w:space="0" w:color="auto"/>
                <w:bottom w:val="none" w:sz="0" w:space="0" w:color="auto"/>
                <w:right w:val="none" w:sz="0" w:space="0" w:color="auto"/>
              </w:divBdr>
            </w:div>
            <w:div w:id="1536580837">
              <w:marLeft w:val="0"/>
              <w:marRight w:val="0"/>
              <w:marTop w:val="0"/>
              <w:marBottom w:val="0"/>
              <w:divBdr>
                <w:top w:val="none" w:sz="0" w:space="0" w:color="auto"/>
                <w:left w:val="none" w:sz="0" w:space="0" w:color="auto"/>
                <w:bottom w:val="none" w:sz="0" w:space="0" w:color="auto"/>
                <w:right w:val="none" w:sz="0" w:space="0" w:color="auto"/>
              </w:divBdr>
            </w:div>
            <w:div w:id="1537356373">
              <w:marLeft w:val="0"/>
              <w:marRight w:val="0"/>
              <w:marTop w:val="0"/>
              <w:marBottom w:val="0"/>
              <w:divBdr>
                <w:top w:val="none" w:sz="0" w:space="0" w:color="auto"/>
                <w:left w:val="none" w:sz="0" w:space="0" w:color="auto"/>
                <w:bottom w:val="none" w:sz="0" w:space="0" w:color="auto"/>
                <w:right w:val="none" w:sz="0" w:space="0" w:color="auto"/>
              </w:divBdr>
            </w:div>
            <w:div w:id="1696619030">
              <w:marLeft w:val="0"/>
              <w:marRight w:val="0"/>
              <w:marTop w:val="0"/>
              <w:marBottom w:val="0"/>
              <w:divBdr>
                <w:top w:val="none" w:sz="0" w:space="0" w:color="auto"/>
                <w:left w:val="none" w:sz="0" w:space="0" w:color="auto"/>
                <w:bottom w:val="none" w:sz="0" w:space="0" w:color="auto"/>
                <w:right w:val="none" w:sz="0" w:space="0" w:color="auto"/>
              </w:divBdr>
            </w:div>
            <w:div w:id="1848592982">
              <w:marLeft w:val="0"/>
              <w:marRight w:val="0"/>
              <w:marTop w:val="0"/>
              <w:marBottom w:val="0"/>
              <w:divBdr>
                <w:top w:val="none" w:sz="0" w:space="0" w:color="auto"/>
                <w:left w:val="none" w:sz="0" w:space="0" w:color="auto"/>
                <w:bottom w:val="none" w:sz="0" w:space="0" w:color="auto"/>
                <w:right w:val="none" w:sz="0" w:space="0" w:color="auto"/>
              </w:divBdr>
            </w:div>
            <w:div w:id="1874610851">
              <w:marLeft w:val="0"/>
              <w:marRight w:val="0"/>
              <w:marTop w:val="0"/>
              <w:marBottom w:val="0"/>
              <w:divBdr>
                <w:top w:val="none" w:sz="0" w:space="0" w:color="auto"/>
                <w:left w:val="none" w:sz="0" w:space="0" w:color="auto"/>
                <w:bottom w:val="none" w:sz="0" w:space="0" w:color="auto"/>
                <w:right w:val="none" w:sz="0" w:space="0" w:color="auto"/>
              </w:divBdr>
            </w:div>
            <w:div w:id="2113816110">
              <w:marLeft w:val="0"/>
              <w:marRight w:val="0"/>
              <w:marTop w:val="0"/>
              <w:marBottom w:val="0"/>
              <w:divBdr>
                <w:top w:val="none" w:sz="0" w:space="0" w:color="auto"/>
                <w:left w:val="none" w:sz="0" w:space="0" w:color="auto"/>
                <w:bottom w:val="none" w:sz="0" w:space="0" w:color="auto"/>
                <w:right w:val="none" w:sz="0" w:space="0" w:color="auto"/>
              </w:divBdr>
            </w:div>
          </w:divsChild>
        </w:div>
        <w:div w:id="1704358912">
          <w:marLeft w:val="0"/>
          <w:marRight w:val="0"/>
          <w:marTop w:val="0"/>
          <w:marBottom w:val="0"/>
          <w:divBdr>
            <w:top w:val="none" w:sz="0" w:space="0" w:color="auto"/>
            <w:left w:val="none" w:sz="0" w:space="0" w:color="auto"/>
            <w:bottom w:val="none" w:sz="0" w:space="0" w:color="auto"/>
            <w:right w:val="none" w:sz="0" w:space="0" w:color="auto"/>
          </w:divBdr>
        </w:div>
        <w:div w:id="1711222942">
          <w:marLeft w:val="0"/>
          <w:marRight w:val="0"/>
          <w:marTop w:val="0"/>
          <w:marBottom w:val="0"/>
          <w:divBdr>
            <w:top w:val="none" w:sz="0" w:space="0" w:color="auto"/>
            <w:left w:val="none" w:sz="0" w:space="0" w:color="auto"/>
            <w:bottom w:val="none" w:sz="0" w:space="0" w:color="auto"/>
            <w:right w:val="none" w:sz="0" w:space="0" w:color="auto"/>
          </w:divBdr>
        </w:div>
        <w:div w:id="1711564813">
          <w:marLeft w:val="0"/>
          <w:marRight w:val="0"/>
          <w:marTop w:val="0"/>
          <w:marBottom w:val="0"/>
          <w:divBdr>
            <w:top w:val="none" w:sz="0" w:space="0" w:color="auto"/>
            <w:left w:val="none" w:sz="0" w:space="0" w:color="auto"/>
            <w:bottom w:val="none" w:sz="0" w:space="0" w:color="auto"/>
            <w:right w:val="none" w:sz="0" w:space="0" w:color="auto"/>
          </w:divBdr>
          <w:divsChild>
            <w:div w:id="10497275">
              <w:marLeft w:val="0"/>
              <w:marRight w:val="0"/>
              <w:marTop w:val="0"/>
              <w:marBottom w:val="0"/>
              <w:divBdr>
                <w:top w:val="none" w:sz="0" w:space="0" w:color="auto"/>
                <w:left w:val="none" w:sz="0" w:space="0" w:color="auto"/>
                <w:bottom w:val="none" w:sz="0" w:space="0" w:color="auto"/>
                <w:right w:val="none" w:sz="0" w:space="0" w:color="auto"/>
              </w:divBdr>
            </w:div>
            <w:div w:id="53241231">
              <w:marLeft w:val="0"/>
              <w:marRight w:val="0"/>
              <w:marTop w:val="0"/>
              <w:marBottom w:val="0"/>
              <w:divBdr>
                <w:top w:val="none" w:sz="0" w:space="0" w:color="auto"/>
                <w:left w:val="none" w:sz="0" w:space="0" w:color="auto"/>
                <w:bottom w:val="none" w:sz="0" w:space="0" w:color="auto"/>
                <w:right w:val="none" w:sz="0" w:space="0" w:color="auto"/>
              </w:divBdr>
            </w:div>
            <w:div w:id="120466944">
              <w:marLeft w:val="0"/>
              <w:marRight w:val="0"/>
              <w:marTop w:val="0"/>
              <w:marBottom w:val="0"/>
              <w:divBdr>
                <w:top w:val="none" w:sz="0" w:space="0" w:color="auto"/>
                <w:left w:val="none" w:sz="0" w:space="0" w:color="auto"/>
                <w:bottom w:val="none" w:sz="0" w:space="0" w:color="auto"/>
                <w:right w:val="none" w:sz="0" w:space="0" w:color="auto"/>
              </w:divBdr>
            </w:div>
            <w:div w:id="151289771">
              <w:marLeft w:val="0"/>
              <w:marRight w:val="0"/>
              <w:marTop w:val="0"/>
              <w:marBottom w:val="0"/>
              <w:divBdr>
                <w:top w:val="none" w:sz="0" w:space="0" w:color="auto"/>
                <w:left w:val="none" w:sz="0" w:space="0" w:color="auto"/>
                <w:bottom w:val="none" w:sz="0" w:space="0" w:color="auto"/>
                <w:right w:val="none" w:sz="0" w:space="0" w:color="auto"/>
              </w:divBdr>
            </w:div>
            <w:div w:id="234098025">
              <w:marLeft w:val="0"/>
              <w:marRight w:val="0"/>
              <w:marTop w:val="0"/>
              <w:marBottom w:val="0"/>
              <w:divBdr>
                <w:top w:val="none" w:sz="0" w:space="0" w:color="auto"/>
                <w:left w:val="none" w:sz="0" w:space="0" w:color="auto"/>
                <w:bottom w:val="none" w:sz="0" w:space="0" w:color="auto"/>
                <w:right w:val="none" w:sz="0" w:space="0" w:color="auto"/>
              </w:divBdr>
            </w:div>
            <w:div w:id="377440041">
              <w:marLeft w:val="0"/>
              <w:marRight w:val="0"/>
              <w:marTop w:val="0"/>
              <w:marBottom w:val="0"/>
              <w:divBdr>
                <w:top w:val="none" w:sz="0" w:space="0" w:color="auto"/>
                <w:left w:val="none" w:sz="0" w:space="0" w:color="auto"/>
                <w:bottom w:val="none" w:sz="0" w:space="0" w:color="auto"/>
                <w:right w:val="none" w:sz="0" w:space="0" w:color="auto"/>
              </w:divBdr>
            </w:div>
            <w:div w:id="402721991">
              <w:marLeft w:val="0"/>
              <w:marRight w:val="0"/>
              <w:marTop w:val="0"/>
              <w:marBottom w:val="0"/>
              <w:divBdr>
                <w:top w:val="none" w:sz="0" w:space="0" w:color="auto"/>
                <w:left w:val="none" w:sz="0" w:space="0" w:color="auto"/>
                <w:bottom w:val="none" w:sz="0" w:space="0" w:color="auto"/>
                <w:right w:val="none" w:sz="0" w:space="0" w:color="auto"/>
              </w:divBdr>
            </w:div>
            <w:div w:id="547030634">
              <w:marLeft w:val="0"/>
              <w:marRight w:val="0"/>
              <w:marTop w:val="0"/>
              <w:marBottom w:val="0"/>
              <w:divBdr>
                <w:top w:val="none" w:sz="0" w:space="0" w:color="auto"/>
                <w:left w:val="none" w:sz="0" w:space="0" w:color="auto"/>
                <w:bottom w:val="none" w:sz="0" w:space="0" w:color="auto"/>
                <w:right w:val="none" w:sz="0" w:space="0" w:color="auto"/>
              </w:divBdr>
            </w:div>
            <w:div w:id="571745370">
              <w:marLeft w:val="0"/>
              <w:marRight w:val="0"/>
              <w:marTop w:val="0"/>
              <w:marBottom w:val="0"/>
              <w:divBdr>
                <w:top w:val="none" w:sz="0" w:space="0" w:color="auto"/>
                <w:left w:val="none" w:sz="0" w:space="0" w:color="auto"/>
                <w:bottom w:val="none" w:sz="0" w:space="0" w:color="auto"/>
                <w:right w:val="none" w:sz="0" w:space="0" w:color="auto"/>
              </w:divBdr>
            </w:div>
            <w:div w:id="684096715">
              <w:marLeft w:val="0"/>
              <w:marRight w:val="0"/>
              <w:marTop w:val="0"/>
              <w:marBottom w:val="0"/>
              <w:divBdr>
                <w:top w:val="none" w:sz="0" w:space="0" w:color="auto"/>
                <w:left w:val="none" w:sz="0" w:space="0" w:color="auto"/>
                <w:bottom w:val="none" w:sz="0" w:space="0" w:color="auto"/>
                <w:right w:val="none" w:sz="0" w:space="0" w:color="auto"/>
              </w:divBdr>
            </w:div>
            <w:div w:id="850291711">
              <w:marLeft w:val="0"/>
              <w:marRight w:val="0"/>
              <w:marTop w:val="0"/>
              <w:marBottom w:val="0"/>
              <w:divBdr>
                <w:top w:val="none" w:sz="0" w:space="0" w:color="auto"/>
                <w:left w:val="none" w:sz="0" w:space="0" w:color="auto"/>
                <w:bottom w:val="none" w:sz="0" w:space="0" w:color="auto"/>
                <w:right w:val="none" w:sz="0" w:space="0" w:color="auto"/>
              </w:divBdr>
            </w:div>
            <w:div w:id="894899225">
              <w:marLeft w:val="0"/>
              <w:marRight w:val="0"/>
              <w:marTop w:val="0"/>
              <w:marBottom w:val="0"/>
              <w:divBdr>
                <w:top w:val="none" w:sz="0" w:space="0" w:color="auto"/>
                <w:left w:val="none" w:sz="0" w:space="0" w:color="auto"/>
                <w:bottom w:val="none" w:sz="0" w:space="0" w:color="auto"/>
                <w:right w:val="none" w:sz="0" w:space="0" w:color="auto"/>
              </w:divBdr>
            </w:div>
            <w:div w:id="920986440">
              <w:marLeft w:val="0"/>
              <w:marRight w:val="0"/>
              <w:marTop w:val="0"/>
              <w:marBottom w:val="0"/>
              <w:divBdr>
                <w:top w:val="none" w:sz="0" w:space="0" w:color="auto"/>
                <w:left w:val="none" w:sz="0" w:space="0" w:color="auto"/>
                <w:bottom w:val="none" w:sz="0" w:space="0" w:color="auto"/>
                <w:right w:val="none" w:sz="0" w:space="0" w:color="auto"/>
              </w:divBdr>
            </w:div>
            <w:div w:id="1017583894">
              <w:marLeft w:val="0"/>
              <w:marRight w:val="0"/>
              <w:marTop w:val="0"/>
              <w:marBottom w:val="0"/>
              <w:divBdr>
                <w:top w:val="none" w:sz="0" w:space="0" w:color="auto"/>
                <w:left w:val="none" w:sz="0" w:space="0" w:color="auto"/>
                <w:bottom w:val="none" w:sz="0" w:space="0" w:color="auto"/>
                <w:right w:val="none" w:sz="0" w:space="0" w:color="auto"/>
              </w:divBdr>
            </w:div>
            <w:div w:id="1083837970">
              <w:marLeft w:val="0"/>
              <w:marRight w:val="0"/>
              <w:marTop w:val="0"/>
              <w:marBottom w:val="0"/>
              <w:divBdr>
                <w:top w:val="none" w:sz="0" w:space="0" w:color="auto"/>
                <w:left w:val="none" w:sz="0" w:space="0" w:color="auto"/>
                <w:bottom w:val="none" w:sz="0" w:space="0" w:color="auto"/>
                <w:right w:val="none" w:sz="0" w:space="0" w:color="auto"/>
              </w:divBdr>
            </w:div>
            <w:div w:id="1489903402">
              <w:marLeft w:val="0"/>
              <w:marRight w:val="0"/>
              <w:marTop w:val="0"/>
              <w:marBottom w:val="0"/>
              <w:divBdr>
                <w:top w:val="none" w:sz="0" w:space="0" w:color="auto"/>
                <w:left w:val="none" w:sz="0" w:space="0" w:color="auto"/>
                <w:bottom w:val="none" w:sz="0" w:space="0" w:color="auto"/>
                <w:right w:val="none" w:sz="0" w:space="0" w:color="auto"/>
              </w:divBdr>
            </w:div>
            <w:div w:id="1697542731">
              <w:marLeft w:val="0"/>
              <w:marRight w:val="0"/>
              <w:marTop w:val="0"/>
              <w:marBottom w:val="0"/>
              <w:divBdr>
                <w:top w:val="none" w:sz="0" w:space="0" w:color="auto"/>
                <w:left w:val="none" w:sz="0" w:space="0" w:color="auto"/>
                <w:bottom w:val="none" w:sz="0" w:space="0" w:color="auto"/>
                <w:right w:val="none" w:sz="0" w:space="0" w:color="auto"/>
              </w:divBdr>
            </w:div>
            <w:div w:id="1797681407">
              <w:marLeft w:val="0"/>
              <w:marRight w:val="0"/>
              <w:marTop w:val="0"/>
              <w:marBottom w:val="0"/>
              <w:divBdr>
                <w:top w:val="none" w:sz="0" w:space="0" w:color="auto"/>
                <w:left w:val="none" w:sz="0" w:space="0" w:color="auto"/>
                <w:bottom w:val="none" w:sz="0" w:space="0" w:color="auto"/>
                <w:right w:val="none" w:sz="0" w:space="0" w:color="auto"/>
              </w:divBdr>
            </w:div>
            <w:div w:id="1798641572">
              <w:marLeft w:val="0"/>
              <w:marRight w:val="0"/>
              <w:marTop w:val="0"/>
              <w:marBottom w:val="0"/>
              <w:divBdr>
                <w:top w:val="none" w:sz="0" w:space="0" w:color="auto"/>
                <w:left w:val="none" w:sz="0" w:space="0" w:color="auto"/>
                <w:bottom w:val="none" w:sz="0" w:space="0" w:color="auto"/>
                <w:right w:val="none" w:sz="0" w:space="0" w:color="auto"/>
              </w:divBdr>
            </w:div>
            <w:div w:id="1888639457">
              <w:marLeft w:val="0"/>
              <w:marRight w:val="0"/>
              <w:marTop w:val="0"/>
              <w:marBottom w:val="0"/>
              <w:divBdr>
                <w:top w:val="none" w:sz="0" w:space="0" w:color="auto"/>
                <w:left w:val="none" w:sz="0" w:space="0" w:color="auto"/>
                <w:bottom w:val="none" w:sz="0" w:space="0" w:color="auto"/>
                <w:right w:val="none" w:sz="0" w:space="0" w:color="auto"/>
              </w:divBdr>
            </w:div>
          </w:divsChild>
        </w:div>
        <w:div w:id="1727558871">
          <w:marLeft w:val="0"/>
          <w:marRight w:val="0"/>
          <w:marTop w:val="0"/>
          <w:marBottom w:val="0"/>
          <w:divBdr>
            <w:top w:val="none" w:sz="0" w:space="0" w:color="auto"/>
            <w:left w:val="none" w:sz="0" w:space="0" w:color="auto"/>
            <w:bottom w:val="none" w:sz="0" w:space="0" w:color="auto"/>
            <w:right w:val="none" w:sz="0" w:space="0" w:color="auto"/>
          </w:divBdr>
        </w:div>
        <w:div w:id="1765371079">
          <w:marLeft w:val="0"/>
          <w:marRight w:val="0"/>
          <w:marTop w:val="0"/>
          <w:marBottom w:val="0"/>
          <w:divBdr>
            <w:top w:val="none" w:sz="0" w:space="0" w:color="auto"/>
            <w:left w:val="none" w:sz="0" w:space="0" w:color="auto"/>
            <w:bottom w:val="none" w:sz="0" w:space="0" w:color="auto"/>
            <w:right w:val="none" w:sz="0" w:space="0" w:color="auto"/>
          </w:divBdr>
        </w:div>
        <w:div w:id="1780030049">
          <w:marLeft w:val="0"/>
          <w:marRight w:val="0"/>
          <w:marTop w:val="0"/>
          <w:marBottom w:val="0"/>
          <w:divBdr>
            <w:top w:val="none" w:sz="0" w:space="0" w:color="auto"/>
            <w:left w:val="none" w:sz="0" w:space="0" w:color="auto"/>
            <w:bottom w:val="none" w:sz="0" w:space="0" w:color="auto"/>
            <w:right w:val="none" w:sz="0" w:space="0" w:color="auto"/>
          </w:divBdr>
        </w:div>
        <w:div w:id="1785924279">
          <w:marLeft w:val="0"/>
          <w:marRight w:val="0"/>
          <w:marTop w:val="0"/>
          <w:marBottom w:val="0"/>
          <w:divBdr>
            <w:top w:val="none" w:sz="0" w:space="0" w:color="auto"/>
            <w:left w:val="none" w:sz="0" w:space="0" w:color="auto"/>
            <w:bottom w:val="none" w:sz="0" w:space="0" w:color="auto"/>
            <w:right w:val="none" w:sz="0" w:space="0" w:color="auto"/>
          </w:divBdr>
        </w:div>
        <w:div w:id="1836799596">
          <w:marLeft w:val="0"/>
          <w:marRight w:val="0"/>
          <w:marTop w:val="0"/>
          <w:marBottom w:val="0"/>
          <w:divBdr>
            <w:top w:val="none" w:sz="0" w:space="0" w:color="auto"/>
            <w:left w:val="none" w:sz="0" w:space="0" w:color="auto"/>
            <w:bottom w:val="none" w:sz="0" w:space="0" w:color="auto"/>
            <w:right w:val="none" w:sz="0" w:space="0" w:color="auto"/>
          </w:divBdr>
        </w:div>
        <w:div w:id="1859852329">
          <w:marLeft w:val="0"/>
          <w:marRight w:val="0"/>
          <w:marTop w:val="0"/>
          <w:marBottom w:val="0"/>
          <w:divBdr>
            <w:top w:val="none" w:sz="0" w:space="0" w:color="auto"/>
            <w:left w:val="none" w:sz="0" w:space="0" w:color="auto"/>
            <w:bottom w:val="none" w:sz="0" w:space="0" w:color="auto"/>
            <w:right w:val="none" w:sz="0" w:space="0" w:color="auto"/>
          </w:divBdr>
        </w:div>
        <w:div w:id="2043700516">
          <w:marLeft w:val="0"/>
          <w:marRight w:val="0"/>
          <w:marTop w:val="0"/>
          <w:marBottom w:val="0"/>
          <w:divBdr>
            <w:top w:val="none" w:sz="0" w:space="0" w:color="auto"/>
            <w:left w:val="none" w:sz="0" w:space="0" w:color="auto"/>
            <w:bottom w:val="none" w:sz="0" w:space="0" w:color="auto"/>
            <w:right w:val="none" w:sz="0" w:space="0" w:color="auto"/>
          </w:divBdr>
        </w:div>
        <w:div w:id="2083791970">
          <w:marLeft w:val="0"/>
          <w:marRight w:val="0"/>
          <w:marTop w:val="0"/>
          <w:marBottom w:val="0"/>
          <w:divBdr>
            <w:top w:val="none" w:sz="0" w:space="0" w:color="auto"/>
            <w:left w:val="none" w:sz="0" w:space="0" w:color="auto"/>
            <w:bottom w:val="none" w:sz="0" w:space="0" w:color="auto"/>
            <w:right w:val="none" w:sz="0" w:space="0" w:color="auto"/>
          </w:divBdr>
        </w:div>
        <w:div w:id="2097097006">
          <w:marLeft w:val="0"/>
          <w:marRight w:val="0"/>
          <w:marTop w:val="0"/>
          <w:marBottom w:val="0"/>
          <w:divBdr>
            <w:top w:val="none" w:sz="0" w:space="0" w:color="auto"/>
            <w:left w:val="none" w:sz="0" w:space="0" w:color="auto"/>
            <w:bottom w:val="none" w:sz="0" w:space="0" w:color="auto"/>
            <w:right w:val="none" w:sz="0" w:space="0" w:color="auto"/>
          </w:divBdr>
        </w:div>
        <w:div w:id="2100521970">
          <w:marLeft w:val="0"/>
          <w:marRight w:val="0"/>
          <w:marTop w:val="0"/>
          <w:marBottom w:val="0"/>
          <w:divBdr>
            <w:top w:val="none" w:sz="0" w:space="0" w:color="auto"/>
            <w:left w:val="none" w:sz="0" w:space="0" w:color="auto"/>
            <w:bottom w:val="none" w:sz="0" w:space="0" w:color="auto"/>
            <w:right w:val="none" w:sz="0" w:space="0" w:color="auto"/>
          </w:divBdr>
        </w:div>
      </w:divsChild>
    </w:div>
    <w:div w:id="1876575529">
      <w:bodyDiv w:val="1"/>
      <w:marLeft w:val="0"/>
      <w:marRight w:val="0"/>
      <w:marTop w:val="0"/>
      <w:marBottom w:val="0"/>
      <w:divBdr>
        <w:top w:val="none" w:sz="0" w:space="0" w:color="auto"/>
        <w:left w:val="none" w:sz="0" w:space="0" w:color="auto"/>
        <w:bottom w:val="none" w:sz="0" w:space="0" w:color="auto"/>
        <w:right w:val="none" w:sz="0" w:space="0" w:color="auto"/>
      </w:divBdr>
    </w:div>
    <w:div w:id="1876691403">
      <w:bodyDiv w:val="1"/>
      <w:marLeft w:val="0"/>
      <w:marRight w:val="0"/>
      <w:marTop w:val="0"/>
      <w:marBottom w:val="0"/>
      <w:divBdr>
        <w:top w:val="none" w:sz="0" w:space="0" w:color="auto"/>
        <w:left w:val="none" w:sz="0" w:space="0" w:color="auto"/>
        <w:bottom w:val="none" w:sz="0" w:space="0" w:color="auto"/>
        <w:right w:val="none" w:sz="0" w:space="0" w:color="auto"/>
      </w:divBdr>
    </w:div>
    <w:div w:id="1932161540">
      <w:bodyDiv w:val="1"/>
      <w:marLeft w:val="0"/>
      <w:marRight w:val="0"/>
      <w:marTop w:val="0"/>
      <w:marBottom w:val="0"/>
      <w:divBdr>
        <w:top w:val="none" w:sz="0" w:space="0" w:color="auto"/>
        <w:left w:val="none" w:sz="0" w:space="0" w:color="auto"/>
        <w:bottom w:val="none" w:sz="0" w:space="0" w:color="auto"/>
        <w:right w:val="none" w:sz="0" w:space="0" w:color="auto"/>
      </w:divBdr>
    </w:div>
    <w:div w:id="1936328470">
      <w:bodyDiv w:val="1"/>
      <w:marLeft w:val="0"/>
      <w:marRight w:val="0"/>
      <w:marTop w:val="0"/>
      <w:marBottom w:val="0"/>
      <w:divBdr>
        <w:top w:val="none" w:sz="0" w:space="0" w:color="auto"/>
        <w:left w:val="none" w:sz="0" w:space="0" w:color="auto"/>
        <w:bottom w:val="none" w:sz="0" w:space="0" w:color="auto"/>
        <w:right w:val="none" w:sz="0" w:space="0" w:color="auto"/>
      </w:divBdr>
      <w:divsChild>
        <w:div w:id="27996688">
          <w:marLeft w:val="0"/>
          <w:marRight w:val="0"/>
          <w:marTop w:val="0"/>
          <w:marBottom w:val="0"/>
          <w:divBdr>
            <w:top w:val="none" w:sz="0" w:space="0" w:color="auto"/>
            <w:left w:val="none" w:sz="0" w:space="0" w:color="auto"/>
            <w:bottom w:val="none" w:sz="0" w:space="0" w:color="auto"/>
            <w:right w:val="none" w:sz="0" w:space="0" w:color="auto"/>
          </w:divBdr>
          <w:divsChild>
            <w:div w:id="1829009003">
              <w:marLeft w:val="0"/>
              <w:marRight w:val="0"/>
              <w:marTop w:val="0"/>
              <w:marBottom w:val="0"/>
              <w:divBdr>
                <w:top w:val="none" w:sz="0" w:space="0" w:color="auto"/>
                <w:left w:val="none" w:sz="0" w:space="0" w:color="auto"/>
                <w:bottom w:val="none" w:sz="0" w:space="0" w:color="auto"/>
                <w:right w:val="none" w:sz="0" w:space="0" w:color="auto"/>
              </w:divBdr>
              <w:divsChild>
                <w:div w:id="1807166260">
                  <w:marLeft w:val="0"/>
                  <w:marRight w:val="0"/>
                  <w:marTop w:val="0"/>
                  <w:marBottom w:val="0"/>
                  <w:divBdr>
                    <w:top w:val="none" w:sz="0" w:space="0" w:color="auto"/>
                    <w:left w:val="none" w:sz="0" w:space="0" w:color="auto"/>
                    <w:bottom w:val="none" w:sz="0" w:space="0" w:color="auto"/>
                    <w:right w:val="none" w:sz="0" w:space="0" w:color="auto"/>
                  </w:divBdr>
                  <w:divsChild>
                    <w:div w:id="102573929">
                      <w:marLeft w:val="0"/>
                      <w:marRight w:val="0"/>
                      <w:marTop w:val="0"/>
                      <w:marBottom w:val="0"/>
                      <w:divBdr>
                        <w:top w:val="none" w:sz="0" w:space="0" w:color="auto"/>
                        <w:left w:val="none" w:sz="0" w:space="0" w:color="auto"/>
                        <w:bottom w:val="none" w:sz="0" w:space="0" w:color="auto"/>
                        <w:right w:val="none" w:sz="0" w:space="0" w:color="auto"/>
                      </w:divBdr>
                      <w:divsChild>
                        <w:div w:id="1996183008">
                          <w:marLeft w:val="0"/>
                          <w:marRight w:val="0"/>
                          <w:marTop w:val="0"/>
                          <w:marBottom w:val="0"/>
                          <w:divBdr>
                            <w:top w:val="none" w:sz="0" w:space="0" w:color="auto"/>
                            <w:left w:val="none" w:sz="0" w:space="0" w:color="auto"/>
                            <w:bottom w:val="none" w:sz="0" w:space="0" w:color="auto"/>
                            <w:right w:val="none" w:sz="0" w:space="0" w:color="auto"/>
                          </w:divBdr>
                          <w:divsChild>
                            <w:div w:id="1114053927">
                              <w:marLeft w:val="0"/>
                              <w:marRight w:val="0"/>
                              <w:marTop w:val="0"/>
                              <w:marBottom w:val="0"/>
                              <w:divBdr>
                                <w:top w:val="none" w:sz="0" w:space="0" w:color="auto"/>
                                <w:left w:val="none" w:sz="0" w:space="0" w:color="auto"/>
                                <w:bottom w:val="none" w:sz="0" w:space="0" w:color="auto"/>
                                <w:right w:val="none" w:sz="0" w:space="0" w:color="auto"/>
                              </w:divBdr>
                              <w:divsChild>
                                <w:div w:id="1124075475">
                                  <w:marLeft w:val="0"/>
                                  <w:marRight w:val="0"/>
                                  <w:marTop w:val="0"/>
                                  <w:marBottom w:val="0"/>
                                  <w:divBdr>
                                    <w:top w:val="none" w:sz="0" w:space="0" w:color="auto"/>
                                    <w:left w:val="none" w:sz="0" w:space="0" w:color="auto"/>
                                    <w:bottom w:val="none" w:sz="0" w:space="0" w:color="auto"/>
                                    <w:right w:val="none" w:sz="0" w:space="0" w:color="auto"/>
                                  </w:divBdr>
                                  <w:divsChild>
                                    <w:div w:id="2064788968">
                                      <w:marLeft w:val="0"/>
                                      <w:marRight w:val="0"/>
                                      <w:marTop w:val="0"/>
                                      <w:marBottom w:val="0"/>
                                      <w:divBdr>
                                        <w:top w:val="none" w:sz="0" w:space="0" w:color="auto"/>
                                        <w:left w:val="none" w:sz="0" w:space="0" w:color="auto"/>
                                        <w:bottom w:val="none" w:sz="0" w:space="0" w:color="auto"/>
                                        <w:right w:val="none" w:sz="0" w:space="0" w:color="auto"/>
                                      </w:divBdr>
                                      <w:divsChild>
                                        <w:div w:id="5285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487275">
          <w:marLeft w:val="0"/>
          <w:marRight w:val="0"/>
          <w:marTop w:val="0"/>
          <w:marBottom w:val="0"/>
          <w:divBdr>
            <w:top w:val="none" w:sz="0" w:space="0" w:color="auto"/>
            <w:left w:val="none" w:sz="0" w:space="0" w:color="auto"/>
            <w:bottom w:val="none" w:sz="0" w:space="0" w:color="auto"/>
            <w:right w:val="none" w:sz="0" w:space="0" w:color="auto"/>
          </w:divBdr>
          <w:divsChild>
            <w:div w:id="1078751218">
              <w:marLeft w:val="0"/>
              <w:marRight w:val="0"/>
              <w:marTop w:val="0"/>
              <w:marBottom w:val="0"/>
              <w:divBdr>
                <w:top w:val="none" w:sz="0" w:space="0" w:color="auto"/>
                <w:left w:val="none" w:sz="0" w:space="0" w:color="auto"/>
                <w:bottom w:val="none" w:sz="0" w:space="0" w:color="auto"/>
                <w:right w:val="none" w:sz="0" w:space="0" w:color="auto"/>
              </w:divBdr>
              <w:divsChild>
                <w:div w:id="822543612">
                  <w:marLeft w:val="0"/>
                  <w:marRight w:val="0"/>
                  <w:marTop w:val="0"/>
                  <w:marBottom w:val="0"/>
                  <w:divBdr>
                    <w:top w:val="none" w:sz="0" w:space="0" w:color="auto"/>
                    <w:left w:val="none" w:sz="0" w:space="0" w:color="auto"/>
                    <w:bottom w:val="none" w:sz="0" w:space="0" w:color="auto"/>
                    <w:right w:val="none" w:sz="0" w:space="0" w:color="auto"/>
                  </w:divBdr>
                  <w:divsChild>
                    <w:div w:id="2046173174">
                      <w:marLeft w:val="0"/>
                      <w:marRight w:val="0"/>
                      <w:marTop w:val="0"/>
                      <w:marBottom w:val="0"/>
                      <w:divBdr>
                        <w:top w:val="none" w:sz="0" w:space="0" w:color="auto"/>
                        <w:left w:val="none" w:sz="0" w:space="0" w:color="auto"/>
                        <w:bottom w:val="none" w:sz="0" w:space="0" w:color="auto"/>
                        <w:right w:val="none" w:sz="0" w:space="0" w:color="auto"/>
                      </w:divBdr>
                      <w:divsChild>
                        <w:div w:id="1475638727">
                          <w:marLeft w:val="0"/>
                          <w:marRight w:val="0"/>
                          <w:marTop w:val="0"/>
                          <w:marBottom w:val="0"/>
                          <w:divBdr>
                            <w:top w:val="none" w:sz="0" w:space="0" w:color="auto"/>
                            <w:left w:val="none" w:sz="0" w:space="0" w:color="auto"/>
                            <w:bottom w:val="none" w:sz="0" w:space="0" w:color="auto"/>
                            <w:right w:val="none" w:sz="0" w:space="0" w:color="auto"/>
                          </w:divBdr>
                          <w:divsChild>
                            <w:div w:id="316225529">
                              <w:marLeft w:val="0"/>
                              <w:marRight w:val="0"/>
                              <w:marTop w:val="0"/>
                              <w:marBottom w:val="0"/>
                              <w:divBdr>
                                <w:top w:val="none" w:sz="0" w:space="0" w:color="auto"/>
                                <w:left w:val="none" w:sz="0" w:space="0" w:color="auto"/>
                                <w:bottom w:val="none" w:sz="0" w:space="0" w:color="auto"/>
                                <w:right w:val="none" w:sz="0" w:space="0" w:color="auto"/>
                              </w:divBdr>
                              <w:divsChild>
                                <w:div w:id="1798061448">
                                  <w:marLeft w:val="0"/>
                                  <w:marRight w:val="0"/>
                                  <w:marTop w:val="0"/>
                                  <w:marBottom w:val="0"/>
                                  <w:divBdr>
                                    <w:top w:val="none" w:sz="0" w:space="0" w:color="auto"/>
                                    <w:left w:val="none" w:sz="0" w:space="0" w:color="auto"/>
                                    <w:bottom w:val="none" w:sz="0" w:space="0" w:color="auto"/>
                                    <w:right w:val="none" w:sz="0" w:space="0" w:color="auto"/>
                                  </w:divBdr>
                                  <w:divsChild>
                                    <w:div w:id="91895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745398">
          <w:marLeft w:val="0"/>
          <w:marRight w:val="0"/>
          <w:marTop w:val="0"/>
          <w:marBottom w:val="0"/>
          <w:divBdr>
            <w:top w:val="none" w:sz="0" w:space="0" w:color="auto"/>
            <w:left w:val="none" w:sz="0" w:space="0" w:color="auto"/>
            <w:bottom w:val="none" w:sz="0" w:space="0" w:color="auto"/>
            <w:right w:val="none" w:sz="0" w:space="0" w:color="auto"/>
          </w:divBdr>
          <w:divsChild>
            <w:div w:id="643700537">
              <w:marLeft w:val="0"/>
              <w:marRight w:val="0"/>
              <w:marTop w:val="0"/>
              <w:marBottom w:val="0"/>
              <w:divBdr>
                <w:top w:val="none" w:sz="0" w:space="0" w:color="auto"/>
                <w:left w:val="none" w:sz="0" w:space="0" w:color="auto"/>
                <w:bottom w:val="none" w:sz="0" w:space="0" w:color="auto"/>
                <w:right w:val="none" w:sz="0" w:space="0" w:color="auto"/>
              </w:divBdr>
              <w:divsChild>
                <w:div w:id="1516655242">
                  <w:marLeft w:val="0"/>
                  <w:marRight w:val="0"/>
                  <w:marTop w:val="0"/>
                  <w:marBottom w:val="0"/>
                  <w:divBdr>
                    <w:top w:val="none" w:sz="0" w:space="0" w:color="auto"/>
                    <w:left w:val="none" w:sz="0" w:space="0" w:color="auto"/>
                    <w:bottom w:val="none" w:sz="0" w:space="0" w:color="auto"/>
                    <w:right w:val="none" w:sz="0" w:space="0" w:color="auto"/>
                  </w:divBdr>
                  <w:divsChild>
                    <w:div w:id="1168710143">
                      <w:marLeft w:val="0"/>
                      <w:marRight w:val="0"/>
                      <w:marTop w:val="0"/>
                      <w:marBottom w:val="0"/>
                      <w:divBdr>
                        <w:top w:val="none" w:sz="0" w:space="0" w:color="auto"/>
                        <w:left w:val="none" w:sz="0" w:space="0" w:color="auto"/>
                        <w:bottom w:val="none" w:sz="0" w:space="0" w:color="auto"/>
                        <w:right w:val="none" w:sz="0" w:space="0" w:color="auto"/>
                      </w:divBdr>
                      <w:divsChild>
                        <w:div w:id="169292508">
                          <w:marLeft w:val="0"/>
                          <w:marRight w:val="0"/>
                          <w:marTop w:val="0"/>
                          <w:marBottom w:val="0"/>
                          <w:divBdr>
                            <w:top w:val="none" w:sz="0" w:space="0" w:color="auto"/>
                            <w:left w:val="none" w:sz="0" w:space="0" w:color="auto"/>
                            <w:bottom w:val="none" w:sz="0" w:space="0" w:color="auto"/>
                            <w:right w:val="none" w:sz="0" w:space="0" w:color="auto"/>
                          </w:divBdr>
                          <w:divsChild>
                            <w:div w:id="1112943939">
                              <w:marLeft w:val="0"/>
                              <w:marRight w:val="0"/>
                              <w:marTop w:val="0"/>
                              <w:marBottom w:val="0"/>
                              <w:divBdr>
                                <w:top w:val="none" w:sz="0" w:space="0" w:color="auto"/>
                                <w:left w:val="none" w:sz="0" w:space="0" w:color="auto"/>
                                <w:bottom w:val="none" w:sz="0" w:space="0" w:color="auto"/>
                                <w:right w:val="none" w:sz="0" w:space="0" w:color="auto"/>
                              </w:divBdr>
                              <w:divsChild>
                                <w:div w:id="1058285616">
                                  <w:marLeft w:val="0"/>
                                  <w:marRight w:val="0"/>
                                  <w:marTop w:val="0"/>
                                  <w:marBottom w:val="0"/>
                                  <w:divBdr>
                                    <w:top w:val="none" w:sz="0" w:space="0" w:color="auto"/>
                                    <w:left w:val="none" w:sz="0" w:space="0" w:color="auto"/>
                                    <w:bottom w:val="none" w:sz="0" w:space="0" w:color="auto"/>
                                    <w:right w:val="none" w:sz="0" w:space="0" w:color="auto"/>
                                  </w:divBdr>
                                  <w:divsChild>
                                    <w:div w:id="3172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369030">
      <w:bodyDiv w:val="1"/>
      <w:marLeft w:val="0"/>
      <w:marRight w:val="0"/>
      <w:marTop w:val="0"/>
      <w:marBottom w:val="0"/>
      <w:divBdr>
        <w:top w:val="none" w:sz="0" w:space="0" w:color="auto"/>
        <w:left w:val="none" w:sz="0" w:space="0" w:color="auto"/>
        <w:bottom w:val="none" w:sz="0" w:space="0" w:color="auto"/>
        <w:right w:val="none" w:sz="0" w:space="0" w:color="auto"/>
      </w:divBdr>
    </w:div>
    <w:div w:id="2085911691">
      <w:bodyDiv w:val="1"/>
      <w:marLeft w:val="0"/>
      <w:marRight w:val="0"/>
      <w:marTop w:val="0"/>
      <w:marBottom w:val="0"/>
      <w:divBdr>
        <w:top w:val="none" w:sz="0" w:space="0" w:color="auto"/>
        <w:left w:val="none" w:sz="0" w:space="0" w:color="auto"/>
        <w:bottom w:val="none" w:sz="0" w:space="0" w:color="auto"/>
        <w:right w:val="none" w:sz="0" w:space="0" w:color="auto"/>
      </w:divBdr>
    </w:div>
    <w:div w:id="2109353354">
      <w:bodyDiv w:val="1"/>
      <w:marLeft w:val="0"/>
      <w:marRight w:val="0"/>
      <w:marTop w:val="0"/>
      <w:marBottom w:val="0"/>
      <w:divBdr>
        <w:top w:val="none" w:sz="0" w:space="0" w:color="auto"/>
        <w:left w:val="none" w:sz="0" w:space="0" w:color="auto"/>
        <w:bottom w:val="none" w:sz="0" w:space="0" w:color="auto"/>
        <w:right w:val="none" w:sz="0" w:space="0" w:color="auto"/>
      </w:divBdr>
    </w:div>
    <w:div w:id="2128697644">
      <w:bodyDiv w:val="1"/>
      <w:marLeft w:val="0"/>
      <w:marRight w:val="0"/>
      <w:marTop w:val="0"/>
      <w:marBottom w:val="0"/>
      <w:divBdr>
        <w:top w:val="none" w:sz="0" w:space="0" w:color="auto"/>
        <w:left w:val="none" w:sz="0" w:space="0" w:color="auto"/>
        <w:bottom w:val="none" w:sz="0" w:space="0" w:color="auto"/>
        <w:right w:val="none" w:sz="0" w:space="0" w:color="auto"/>
      </w:divBdr>
    </w:div>
    <w:div w:id="213602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managing-redundancy" TargetMode="External"/><Relationship Id="rId18" Type="http://schemas.openxmlformats.org/officeDocument/2006/relationships/hyperlink" Target="https://businessdisabilityforum.org.uk/resource/redundancy-and-redeployment-toolkit/selection-criteria-for-redundancy-ensuring-procedures-are-fair-and-non-discriminatory/?utm_source=chatgpt.com" TargetMode="External"/><Relationship Id="rId26" Type="http://schemas.openxmlformats.org/officeDocument/2006/relationships/hyperlink" Target="https://assets.publishing.service.gov.uk/media/5a7ca7e8ed915d7c983bc171/bis-14-502-employment-rights-on-the-transfer-of-an-undertaking.pdf" TargetMode="External"/><Relationship Id="rId39" Type="http://schemas.openxmlformats.org/officeDocument/2006/relationships/hyperlink" Target="https://doi.org/10.1080/09585192.2021.1976246" TargetMode="External"/><Relationship Id="rId21" Type="http://schemas.openxmlformats.org/officeDocument/2006/relationships/hyperlink" Target="https://academic.oup.com/ilj/article/50/1/36/6168195" TargetMode="External"/><Relationship Id="rId34" Type="http://schemas.openxmlformats.org/officeDocument/2006/relationships/hyperlink" Target="https://doi.org/10.1111/bjir.12605" TargetMode="External"/><Relationship Id="rId42" Type="http://schemas.openxmlformats.org/officeDocument/2006/relationships/hyperlink" Target="https://doi.org/10.1093/indlaw/dwp035"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cas.org.uk/managing-redundancy" TargetMode="External"/><Relationship Id="rId29" Type="http://schemas.openxmlformats.org/officeDocument/2006/relationships/hyperlink" Target="https://www.food.gov.uk/safety-hygie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as.org.uk/disciplinary-and-grievance-procedures" TargetMode="External"/><Relationship Id="rId24" Type="http://schemas.openxmlformats.org/officeDocument/2006/relationships/hyperlink" Target="https://www.davidsonmorris.com/employee-liability-information-tupe" TargetMode="External"/><Relationship Id="rId32" Type="http://schemas.openxmlformats.org/officeDocument/2006/relationships/hyperlink" Target="https://doi.org/10.1177/216499872100900212" TargetMode="External"/><Relationship Id="rId37" Type="http://schemas.openxmlformats.org/officeDocument/2006/relationships/hyperlink" Target="https://doi.org/10.1080/09687599.2022.2099251" TargetMode="External"/><Relationship Id="rId40" Type="http://schemas.openxmlformats.org/officeDocument/2006/relationships/hyperlink" Target="https://www.gov.uk/business-transfers-takeovers"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cas.org.uk/inform-and-consult-staff-in-a-tupe-transfer/what-you-must-inform-and-consult-about" TargetMode="External"/><Relationship Id="rId23" Type="http://schemas.openxmlformats.org/officeDocument/2006/relationships/hyperlink" Target="https://doi.org/10.1007/s10551-016-3237-0"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kluwerlawonline.com/journalarticle/Business+Law+Review/42.5/BULA2021034" TargetMode="External"/><Relationship Id="rId10" Type="http://schemas.openxmlformats.org/officeDocument/2006/relationships/endnotes" Target="endnotes.xml"/><Relationship Id="rId19" Type="http://schemas.openxmlformats.org/officeDocument/2006/relationships/hyperlink" Target="https://www.cipd.org/uk/knowledge/factsheets/planning-managing-redundancy" TargetMode="External"/><Relationship Id="rId31" Type="http://schemas.openxmlformats.org/officeDocument/2006/relationships/hyperlink" Target="https://www.gov.uk/dismiss-staf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as.org.uk/suspension-out-of-sight-out-of-mind" TargetMode="External"/><Relationship Id="rId22" Type="http://schemas.openxmlformats.org/officeDocument/2006/relationships/hyperlink" Target="https://doi.org/10.1093/indlaw/dwab018" TargetMode="External"/><Relationship Id="rId27" Type="http://schemas.openxmlformats.org/officeDocument/2006/relationships/hyperlink" Target="https://www.legislation.gov.uk/ukpga/1996/18/contents" TargetMode="External"/><Relationship Id="rId30" Type="http://schemas.openxmlformats.org/officeDocument/2006/relationships/hyperlink" Target="https://www.gov.uk/redundancy-your-rights" TargetMode="External"/><Relationship Id="rId35" Type="http://schemas.openxmlformats.org/officeDocument/2006/relationships/hyperlink" Target="https://www.mind.org.uk/information-support/types-of-mental-health-problems/stress" TargetMode="External"/><Relationship Id="rId43" Type="http://schemas.openxmlformats.org/officeDocument/2006/relationships/hyperlink" Target="https://doi.org/10.1093/indlaw/dwaa014"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acas.org.uk/handling-employee-transfers-tupe" TargetMode="External"/><Relationship Id="rId17" Type="http://schemas.openxmlformats.org/officeDocument/2006/relationships/hyperlink" Target="https://businessdisabilityforum.org.uk" TargetMode="External"/><Relationship Id="rId25" Type="http://schemas.openxmlformats.org/officeDocument/2006/relationships/hyperlink" Target="https://www.davidsonmorris.com/redundancy-selection-criteria" TargetMode="External"/><Relationship Id="rId33" Type="http://schemas.openxmlformats.org/officeDocument/2006/relationships/hyperlink" Target="http://dx.doi.org/10.36987/jiad.v13i1.6078" TargetMode="External"/><Relationship Id="rId38" Type="http://schemas.openxmlformats.org/officeDocument/2006/relationships/hyperlink" Target="https://www.legislation.gov.uk/ukpga/1998/23/contents" TargetMode="External"/><Relationship Id="rId46" Type="http://schemas.openxmlformats.org/officeDocument/2006/relationships/fontTable" Target="fontTable.xml"/><Relationship Id="rId20" Type="http://schemas.openxmlformats.org/officeDocument/2006/relationships/hyperlink" Target="https://www.cipd.org/uk/knowledge/factsheets/conducting-workplace-investigations-factsheet" TargetMode="External"/><Relationship Id="rId41" Type="http://schemas.openxmlformats.org/officeDocument/2006/relationships/hyperlink" Target="https://www.witansolicitors.co.uk/employee-rights-theft-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c94efa9af1f6a749d03d7f0b73ec647b">
  <xsd:schema xmlns:xsd="http://www.w3.org/2001/XMLSchema" xmlns:xs="http://www.w3.org/2001/XMLSchema" xmlns:p="http://schemas.microsoft.com/office/2006/metadata/properties" xmlns:ns3="bf244c3e-e0b4-4871-bb4e-fd032a14544d" targetNamespace="http://schemas.microsoft.com/office/2006/metadata/properties" ma:root="true" ma:fieldsID="22509b08dd3351df7678f539a229ff6d"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7F7A2D-1866-4143-BF31-E5CF5ABBD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399E2D-9F5C-4ECD-B5F1-1392C84BA357}">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44BAC147-59D6-4831-93FC-7EF8BC5C98B6}">
  <ds:schemaRefs>
    <ds:schemaRef ds:uri="http://schemas.openxmlformats.org/officeDocument/2006/bibliography"/>
  </ds:schemaRefs>
</ds:datastoreItem>
</file>

<file path=customXml/itemProps4.xml><?xml version="1.0" encoding="utf-8"?>
<ds:datastoreItem xmlns:ds="http://schemas.openxmlformats.org/officeDocument/2006/customXml" ds:itemID="{C930A1E4-CC29-44A6-A5AE-02288E4184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5580</Words>
  <Characters>31809</Characters>
  <Application>Microsoft Office Word</Application>
  <DocSecurity>4</DocSecurity>
  <Lines>265</Lines>
  <Paragraphs>74</Paragraphs>
  <ScaleCrop>false</ScaleCrop>
  <Company/>
  <LinksUpToDate>false</LinksUpToDate>
  <CharactersWithSpaces>37315</CharactersWithSpaces>
  <SharedDoc>false</SharedDoc>
  <HLinks>
    <vt:vector size="366" baseType="variant">
      <vt:variant>
        <vt:i4>7209021</vt:i4>
      </vt:variant>
      <vt:variant>
        <vt:i4>267</vt:i4>
      </vt:variant>
      <vt:variant>
        <vt:i4>0</vt:i4>
      </vt:variant>
      <vt:variant>
        <vt:i4>5</vt:i4>
      </vt:variant>
      <vt:variant>
        <vt:lpwstr>https://doi.org/10.1093/indlaw/dwaa014</vt:lpwstr>
      </vt:variant>
      <vt:variant>
        <vt:lpwstr/>
      </vt:variant>
      <vt:variant>
        <vt:i4>4718685</vt:i4>
      </vt:variant>
      <vt:variant>
        <vt:i4>264</vt:i4>
      </vt:variant>
      <vt:variant>
        <vt:i4>0</vt:i4>
      </vt:variant>
      <vt:variant>
        <vt:i4>5</vt:i4>
      </vt:variant>
      <vt:variant>
        <vt:lpwstr>https://doi.org/10.1093/indlaw/dwp035</vt:lpwstr>
      </vt:variant>
      <vt:variant>
        <vt:lpwstr/>
      </vt:variant>
      <vt:variant>
        <vt:i4>4325459</vt:i4>
      </vt:variant>
      <vt:variant>
        <vt:i4>261</vt:i4>
      </vt:variant>
      <vt:variant>
        <vt:i4>0</vt:i4>
      </vt:variant>
      <vt:variant>
        <vt:i4>5</vt:i4>
      </vt:variant>
      <vt:variant>
        <vt:lpwstr>https://www.witansolicitors.co.uk/employee-rights-theft-guide</vt:lpwstr>
      </vt:variant>
      <vt:variant>
        <vt:lpwstr/>
      </vt:variant>
      <vt:variant>
        <vt:i4>6684772</vt:i4>
      </vt:variant>
      <vt:variant>
        <vt:i4>258</vt:i4>
      </vt:variant>
      <vt:variant>
        <vt:i4>0</vt:i4>
      </vt:variant>
      <vt:variant>
        <vt:i4>5</vt:i4>
      </vt:variant>
      <vt:variant>
        <vt:lpwstr>https://www.gov.uk/business-transfers-takeovers</vt:lpwstr>
      </vt:variant>
      <vt:variant>
        <vt:lpwstr/>
      </vt:variant>
      <vt:variant>
        <vt:i4>786504</vt:i4>
      </vt:variant>
      <vt:variant>
        <vt:i4>255</vt:i4>
      </vt:variant>
      <vt:variant>
        <vt:i4>0</vt:i4>
      </vt:variant>
      <vt:variant>
        <vt:i4>5</vt:i4>
      </vt:variant>
      <vt:variant>
        <vt:lpwstr>https://doi.org/10.1080/09585192.2021.1976246</vt:lpwstr>
      </vt:variant>
      <vt:variant>
        <vt:lpwstr/>
      </vt:variant>
      <vt:variant>
        <vt:i4>5963871</vt:i4>
      </vt:variant>
      <vt:variant>
        <vt:i4>252</vt:i4>
      </vt:variant>
      <vt:variant>
        <vt:i4>0</vt:i4>
      </vt:variant>
      <vt:variant>
        <vt:i4>5</vt:i4>
      </vt:variant>
      <vt:variant>
        <vt:lpwstr>https://www.legislation.gov.uk/ukpga/1998/23/contents</vt:lpwstr>
      </vt:variant>
      <vt:variant>
        <vt:lpwstr/>
      </vt:variant>
      <vt:variant>
        <vt:i4>262215</vt:i4>
      </vt:variant>
      <vt:variant>
        <vt:i4>249</vt:i4>
      </vt:variant>
      <vt:variant>
        <vt:i4>0</vt:i4>
      </vt:variant>
      <vt:variant>
        <vt:i4>5</vt:i4>
      </vt:variant>
      <vt:variant>
        <vt:lpwstr>https://doi.org/10.1080/09687599.2022.2099251</vt:lpwstr>
      </vt:variant>
      <vt:variant>
        <vt:lpwstr/>
      </vt:variant>
      <vt:variant>
        <vt:i4>7340143</vt:i4>
      </vt:variant>
      <vt:variant>
        <vt:i4>246</vt:i4>
      </vt:variant>
      <vt:variant>
        <vt:i4>0</vt:i4>
      </vt:variant>
      <vt:variant>
        <vt:i4>5</vt:i4>
      </vt:variant>
      <vt:variant>
        <vt:lpwstr>https://kluwerlawonline.com/journalarticle/Business+Law+Review/42.5/BULA2021034</vt:lpwstr>
      </vt:variant>
      <vt:variant>
        <vt:lpwstr/>
      </vt:variant>
      <vt:variant>
        <vt:i4>4128821</vt:i4>
      </vt:variant>
      <vt:variant>
        <vt:i4>243</vt:i4>
      </vt:variant>
      <vt:variant>
        <vt:i4>0</vt:i4>
      </vt:variant>
      <vt:variant>
        <vt:i4>5</vt:i4>
      </vt:variant>
      <vt:variant>
        <vt:lpwstr>https://www.mind.org.uk/information-support/types-of-mental-health-problems/stress</vt:lpwstr>
      </vt:variant>
      <vt:variant>
        <vt:lpwstr/>
      </vt:variant>
      <vt:variant>
        <vt:i4>3670141</vt:i4>
      </vt:variant>
      <vt:variant>
        <vt:i4>240</vt:i4>
      </vt:variant>
      <vt:variant>
        <vt:i4>0</vt:i4>
      </vt:variant>
      <vt:variant>
        <vt:i4>5</vt:i4>
      </vt:variant>
      <vt:variant>
        <vt:lpwstr>https://doi.org/10.1111/bjir.12605</vt:lpwstr>
      </vt:variant>
      <vt:variant>
        <vt:lpwstr/>
      </vt:variant>
      <vt:variant>
        <vt:i4>2818098</vt:i4>
      </vt:variant>
      <vt:variant>
        <vt:i4>237</vt:i4>
      </vt:variant>
      <vt:variant>
        <vt:i4>0</vt:i4>
      </vt:variant>
      <vt:variant>
        <vt:i4>5</vt:i4>
      </vt:variant>
      <vt:variant>
        <vt:lpwstr>http://dx.doi.org/10.36987/jiad.v13i1.6078</vt:lpwstr>
      </vt:variant>
      <vt:variant>
        <vt:lpwstr/>
      </vt:variant>
      <vt:variant>
        <vt:i4>3014755</vt:i4>
      </vt:variant>
      <vt:variant>
        <vt:i4>234</vt:i4>
      </vt:variant>
      <vt:variant>
        <vt:i4>0</vt:i4>
      </vt:variant>
      <vt:variant>
        <vt:i4>5</vt:i4>
      </vt:variant>
      <vt:variant>
        <vt:lpwstr>https://doi.org/10.1177/216499872100900212</vt:lpwstr>
      </vt:variant>
      <vt:variant>
        <vt:lpwstr/>
      </vt:variant>
      <vt:variant>
        <vt:i4>1769539</vt:i4>
      </vt:variant>
      <vt:variant>
        <vt:i4>231</vt:i4>
      </vt:variant>
      <vt:variant>
        <vt:i4>0</vt:i4>
      </vt:variant>
      <vt:variant>
        <vt:i4>5</vt:i4>
      </vt:variant>
      <vt:variant>
        <vt:lpwstr>https://www.gov.uk/dismiss-staff</vt:lpwstr>
      </vt:variant>
      <vt:variant>
        <vt:lpwstr/>
      </vt:variant>
      <vt:variant>
        <vt:i4>4784200</vt:i4>
      </vt:variant>
      <vt:variant>
        <vt:i4>228</vt:i4>
      </vt:variant>
      <vt:variant>
        <vt:i4>0</vt:i4>
      </vt:variant>
      <vt:variant>
        <vt:i4>5</vt:i4>
      </vt:variant>
      <vt:variant>
        <vt:lpwstr>https://www.gov.uk/redundancy-your-rights</vt:lpwstr>
      </vt:variant>
      <vt:variant>
        <vt:lpwstr/>
      </vt:variant>
      <vt:variant>
        <vt:i4>7995519</vt:i4>
      </vt:variant>
      <vt:variant>
        <vt:i4>225</vt:i4>
      </vt:variant>
      <vt:variant>
        <vt:i4>0</vt:i4>
      </vt:variant>
      <vt:variant>
        <vt:i4>5</vt:i4>
      </vt:variant>
      <vt:variant>
        <vt:lpwstr>https://www.food.gov.uk/safety-hygiene</vt:lpwstr>
      </vt:variant>
      <vt:variant>
        <vt:lpwstr/>
      </vt:variant>
      <vt:variant>
        <vt:i4>5636189</vt:i4>
      </vt:variant>
      <vt:variant>
        <vt:i4>222</vt:i4>
      </vt:variant>
      <vt:variant>
        <vt:i4>0</vt:i4>
      </vt:variant>
      <vt:variant>
        <vt:i4>5</vt:i4>
      </vt:variant>
      <vt:variant>
        <vt:lpwstr>https://www.legislation.gov.uk/ukpga/2010/15/contents</vt:lpwstr>
      </vt:variant>
      <vt:variant>
        <vt:lpwstr/>
      </vt:variant>
      <vt:variant>
        <vt:i4>5242962</vt:i4>
      </vt:variant>
      <vt:variant>
        <vt:i4>219</vt:i4>
      </vt:variant>
      <vt:variant>
        <vt:i4>0</vt:i4>
      </vt:variant>
      <vt:variant>
        <vt:i4>5</vt:i4>
      </vt:variant>
      <vt:variant>
        <vt:lpwstr>https://www.legislation.gov.uk/ukpga/1996/18/contents</vt:lpwstr>
      </vt:variant>
      <vt:variant>
        <vt:lpwstr/>
      </vt:variant>
      <vt:variant>
        <vt:i4>7995506</vt:i4>
      </vt:variant>
      <vt:variant>
        <vt:i4>216</vt:i4>
      </vt:variant>
      <vt:variant>
        <vt:i4>0</vt:i4>
      </vt:variant>
      <vt:variant>
        <vt:i4>5</vt:i4>
      </vt:variant>
      <vt:variant>
        <vt:lpwstr>https://assets.publishing.service.gov.uk/media/5a7ca7e8ed915d7c983bc171/bis-14-502-employment-rights-on-the-transfer-of-an-undertaking.pdf</vt:lpwstr>
      </vt:variant>
      <vt:variant>
        <vt:lpwstr/>
      </vt:variant>
      <vt:variant>
        <vt:i4>4784223</vt:i4>
      </vt:variant>
      <vt:variant>
        <vt:i4>213</vt:i4>
      </vt:variant>
      <vt:variant>
        <vt:i4>0</vt:i4>
      </vt:variant>
      <vt:variant>
        <vt:i4>5</vt:i4>
      </vt:variant>
      <vt:variant>
        <vt:lpwstr>https://www.davidsonmorris.com/redundancy-selection-criteria</vt:lpwstr>
      </vt:variant>
      <vt:variant>
        <vt:lpwstr/>
      </vt:variant>
      <vt:variant>
        <vt:i4>8060983</vt:i4>
      </vt:variant>
      <vt:variant>
        <vt:i4>210</vt:i4>
      </vt:variant>
      <vt:variant>
        <vt:i4>0</vt:i4>
      </vt:variant>
      <vt:variant>
        <vt:i4>5</vt:i4>
      </vt:variant>
      <vt:variant>
        <vt:lpwstr>https://www.davidsonmorris.com/employee-liability-information-tupe</vt:lpwstr>
      </vt:variant>
      <vt:variant>
        <vt:lpwstr/>
      </vt:variant>
      <vt:variant>
        <vt:i4>851999</vt:i4>
      </vt:variant>
      <vt:variant>
        <vt:i4>207</vt:i4>
      </vt:variant>
      <vt:variant>
        <vt:i4>0</vt:i4>
      </vt:variant>
      <vt:variant>
        <vt:i4>5</vt:i4>
      </vt:variant>
      <vt:variant>
        <vt:lpwstr>https://doi.org/10.1007/s10551-016-3237-0</vt:lpwstr>
      </vt:variant>
      <vt:variant>
        <vt:lpwstr/>
      </vt:variant>
      <vt:variant>
        <vt:i4>6422590</vt:i4>
      </vt:variant>
      <vt:variant>
        <vt:i4>204</vt:i4>
      </vt:variant>
      <vt:variant>
        <vt:i4>0</vt:i4>
      </vt:variant>
      <vt:variant>
        <vt:i4>5</vt:i4>
      </vt:variant>
      <vt:variant>
        <vt:lpwstr>https://doi.org/10.1093/indlaw/dwab018</vt:lpwstr>
      </vt:variant>
      <vt:variant>
        <vt:lpwstr/>
      </vt:variant>
      <vt:variant>
        <vt:i4>1966159</vt:i4>
      </vt:variant>
      <vt:variant>
        <vt:i4>201</vt:i4>
      </vt:variant>
      <vt:variant>
        <vt:i4>0</vt:i4>
      </vt:variant>
      <vt:variant>
        <vt:i4>5</vt:i4>
      </vt:variant>
      <vt:variant>
        <vt:lpwstr>https://academic.oup.com/ilj/article/50/1/36/6168195</vt:lpwstr>
      </vt:variant>
      <vt:variant>
        <vt:lpwstr/>
      </vt:variant>
      <vt:variant>
        <vt:i4>3538987</vt:i4>
      </vt:variant>
      <vt:variant>
        <vt:i4>198</vt:i4>
      </vt:variant>
      <vt:variant>
        <vt:i4>0</vt:i4>
      </vt:variant>
      <vt:variant>
        <vt:i4>5</vt:i4>
      </vt:variant>
      <vt:variant>
        <vt:lpwstr>https://www.cipd.org/uk/knowledge/factsheets/conducting-workplace-investigations-factsheet</vt:lpwstr>
      </vt:variant>
      <vt:variant>
        <vt:lpwstr/>
      </vt:variant>
      <vt:variant>
        <vt:i4>91</vt:i4>
      </vt:variant>
      <vt:variant>
        <vt:i4>195</vt:i4>
      </vt:variant>
      <vt:variant>
        <vt:i4>0</vt:i4>
      </vt:variant>
      <vt:variant>
        <vt:i4>5</vt:i4>
      </vt:variant>
      <vt:variant>
        <vt:lpwstr>https://www.cipd.org/uk/knowledge/factsheets/planning-managing-redundancy</vt:lpwstr>
      </vt:variant>
      <vt:variant>
        <vt:lpwstr/>
      </vt:variant>
      <vt:variant>
        <vt:i4>786533</vt:i4>
      </vt:variant>
      <vt:variant>
        <vt:i4>192</vt:i4>
      </vt:variant>
      <vt:variant>
        <vt:i4>0</vt:i4>
      </vt:variant>
      <vt:variant>
        <vt:i4>5</vt:i4>
      </vt:variant>
      <vt:variant>
        <vt:lpwstr>https://businessdisabilityforum.org.uk/resource/redundancy-and-redeployment-toolkit/selection-criteria-for-redundancy-ensuring-procedures-are-fair-and-non-discriminatory/?utm_source=chatgpt.com</vt:lpwstr>
      </vt:variant>
      <vt:variant>
        <vt:lpwstr/>
      </vt:variant>
      <vt:variant>
        <vt:i4>6881317</vt:i4>
      </vt:variant>
      <vt:variant>
        <vt:i4>189</vt:i4>
      </vt:variant>
      <vt:variant>
        <vt:i4>0</vt:i4>
      </vt:variant>
      <vt:variant>
        <vt:i4>5</vt:i4>
      </vt:variant>
      <vt:variant>
        <vt:lpwstr>https://businessdisabilityforum.org.uk/</vt:lpwstr>
      </vt:variant>
      <vt:variant>
        <vt:lpwstr/>
      </vt:variant>
      <vt:variant>
        <vt:i4>8257636</vt:i4>
      </vt:variant>
      <vt:variant>
        <vt:i4>186</vt:i4>
      </vt:variant>
      <vt:variant>
        <vt:i4>0</vt:i4>
      </vt:variant>
      <vt:variant>
        <vt:i4>5</vt:i4>
      </vt:variant>
      <vt:variant>
        <vt:lpwstr>https://www.acas.org.uk/managing-redundancy</vt:lpwstr>
      </vt:variant>
      <vt:variant>
        <vt:lpwstr/>
      </vt:variant>
      <vt:variant>
        <vt:i4>7471143</vt:i4>
      </vt:variant>
      <vt:variant>
        <vt:i4>183</vt:i4>
      </vt:variant>
      <vt:variant>
        <vt:i4>0</vt:i4>
      </vt:variant>
      <vt:variant>
        <vt:i4>5</vt:i4>
      </vt:variant>
      <vt:variant>
        <vt:lpwstr>https://www.acas.org.uk/inform-and-consult-staff-in-a-tupe-transfer/what-you-must-inform-and-consult-about</vt:lpwstr>
      </vt:variant>
      <vt:variant>
        <vt:lpwstr/>
      </vt:variant>
      <vt:variant>
        <vt:i4>3014755</vt:i4>
      </vt:variant>
      <vt:variant>
        <vt:i4>180</vt:i4>
      </vt:variant>
      <vt:variant>
        <vt:i4>0</vt:i4>
      </vt:variant>
      <vt:variant>
        <vt:i4>5</vt:i4>
      </vt:variant>
      <vt:variant>
        <vt:lpwstr>https://www.acas.org.uk/suspension-out-of-sight-out-of-mind</vt:lpwstr>
      </vt:variant>
      <vt:variant>
        <vt:lpwstr/>
      </vt:variant>
      <vt:variant>
        <vt:i4>8257636</vt:i4>
      </vt:variant>
      <vt:variant>
        <vt:i4>177</vt:i4>
      </vt:variant>
      <vt:variant>
        <vt:i4>0</vt:i4>
      </vt:variant>
      <vt:variant>
        <vt:i4>5</vt:i4>
      </vt:variant>
      <vt:variant>
        <vt:lpwstr>https://www.acas.org.uk/managing-redundancy</vt:lpwstr>
      </vt:variant>
      <vt:variant>
        <vt:lpwstr/>
      </vt:variant>
      <vt:variant>
        <vt:i4>393241</vt:i4>
      </vt:variant>
      <vt:variant>
        <vt:i4>174</vt:i4>
      </vt:variant>
      <vt:variant>
        <vt:i4>0</vt:i4>
      </vt:variant>
      <vt:variant>
        <vt:i4>5</vt:i4>
      </vt:variant>
      <vt:variant>
        <vt:lpwstr>https://www.acas.org.uk/handling-employee-transfers-tupe</vt:lpwstr>
      </vt:variant>
      <vt:variant>
        <vt:lpwstr/>
      </vt:variant>
      <vt:variant>
        <vt:i4>1900550</vt:i4>
      </vt:variant>
      <vt:variant>
        <vt:i4>171</vt:i4>
      </vt:variant>
      <vt:variant>
        <vt:i4>0</vt:i4>
      </vt:variant>
      <vt:variant>
        <vt:i4>5</vt:i4>
      </vt:variant>
      <vt:variant>
        <vt:lpwstr>https://www.acas.org.uk/disciplinary-and-grievance-procedures</vt:lpwstr>
      </vt:variant>
      <vt:variant>
        <vt:lpwstr/>
      </vt:variant>
      <vt:variant>
        <vt:i4>1376318</vt:i4>
      </vt:variant>
      <vt:variant>
        <vt:i4>164</vt:i4>
      </vt:variant>
      <vt:variant>
        <vt:i4>0</vt:i4>
      </vt:variant>
      <vt:variant>
        <vt:i4>5</vt:i4>
      </vt:variant>
      <vt:variant>
        <vt:lpwstr/>
      </vt:variant>
      <vt:variant>
        <vt:lpwstr>_Toc198558265</vt:lpwstr>
      </vt:variant>
      <vt:variant>
        <vt:i4>1376318</vt:i4>
      </vt:variant>
      <vt:variant>
        <vt:i4>158</vt:i4>
      </vt:variant>
      <vt:variant>
        <vt:i4>0</vt:i4>
      </vt:variant>
      <vt:variant>
        <vt:i4>5</vt:i4>
      </vt:variant>
      <vt:variant>
        <vt:lpwstr/>
      </vt:variant>
      <vt:variant>
        <vt:lpwstr>_Toc198558264</vt:lpwstr>
      </vt:variant>
      <vt:variant>
        <vt:i4>1376318</vt:i4>
      </vt:variant>
      <vt:variant>
        <vt:i4>152</vt:i4>
      </vt:variant>
      <vt:variant>
        <vt:i4>0</vt:i4>
      </vt:variant>
      <vt:variant>
        <vt:i4>5</vt:i4>
      </vt:variant>
      <vt:variant>
        <vt:lpwstr/>
      </vt:variant>
      <vt:variant>
        <vt:lpwstr>_Toc198558263</vt:lpwstr>
      </vt:variant>
      <vt:variant>
        <vt:i4>1376318</vt:i4>
      </vt:variant>
      <vt:variant>
        <vt:i4>146</vt:i4>
      </vt:variant>
      <vt:variant>
        <vt:i4>0</vt:i4>
      </vt:variant>
      <vt:variant>
        <vt:i4>5</vt:i4>
      </vt:variant>
      <vt:variant>
        <vt:lpwstr/>
      </vt:variant>
      <vt:variant>
        <vt:lpwstr>_Toc198558262</vt:lpwstr>
      </vt:variant>
      <vt:variant>
        <vt:i4>1376318</vt:i4>
      </vt:variant>
      <vt:variant>
        <vt:i4>140</vt:i4>
      </vt:variant>
      <vt:variant>
        <vt:i4>0</vt:i4>
      </vt:variant>
      <vt:variant>
        <vt:i4>5</vt:i4>
      </vt:variant>
      <vt:variant>
        <vt:lpwstr/>
      </vt:variant>
      <vt:variant>
        <vt:lpwstr>_Toc198558261</vt:lpwstr>
      </vt:variant>
      <vt:variant>
        <vt:i4>1376318</vt:i4>
      </vt:variant>
      <vt:variant>
        <vt:i4>134</vt:i4>
      </vt:variant>
      <vt:variant>
        <vt:i4>0</vt:i4>
      </vt:variant>
      <vt:variant>
        <vt:i4>5</vt:i4>
      </vt:variant>
      <vt:variant>
        <vt:lpwstr/>
      </vt:variant>
      <vt:variant>
        <vt:lpwstr>_Toc198558260</vt:lpwstr>
      </vt:variant>
      <vt:variant>
        <vt:i4>1441854</vt:i4>
      </vt:variant>
      <vt:variant>
        <vt:i4>128</vt:i4>
      </vt:variant>
      <vt:variant>
        <vt:i4>0</vt:i4>
      </vt:variant>
      <vt:variant>
        <vt:i4>5</vt:i4>
      </vt:variant>
      <vt:variant>
        <vt:lpwstr/>
      </vt:variant>
      <vt:variant>
        <vt:lpwstr>_Toc198558259</vt:lpwstr>
      </vt:variant>
      <vt:variant>
        <vt:i4>1441854</vt:i4>
      </vt:variant>
      <vt:variant>
        <vt:i4>122</vt:i4>
      </vt:variant>
      <vt:variant>
        <vt:i4>0</vt:i4>
      </vt:variant>
      <vt:variant>
        <vt:i4>5</vt:i4>
      </vt:variant>
      <vt:variant>
        <vt:lpwstr/>
      </vt:variant>
      <vt:variant>
        <vt:lpwstr>_Toc198558258</vt:lpwstr>
      </vt:variant>
      <vt:variant>
        <vt:i4>1441854</vt:i4>
      </vt:variant>
      <vt:variant>
        <vt:i4>116</vt:i4>
      </vt:variant>
      <vt:variant>
        <vt:i4>0</vt:i4>
      </vt:variant>
      <vt:variant>
        <vt:i4>5</vt:i4>
      </vt:variant>
      <vt:variant>
        <vt:lpwstr/>
      </vt:variant>
      <vt:variant>
        <vt:lpwstr>_Toc198558257</vt:lpwstr>
      </vt:variant>
      <vt:variant>
        <vt:i4>1441854</vt:i4>
      </vt:variant>
      <vt:variant>
        <vt:i4>110</vt:i4>
      </vt:variant>
      <vt:variant>
        <vt:i4>0</vt:i4>
      </vt:variant>
      <vt:variant>
        <vt:i4>5</vt:i4>
      </vt:variant>
      <vt:variant>
        <vt:lpwstr/>
      </vt:variant>
      <vt:variant>
        <vt:lpwstr>_Toc198558256</vt:lpwstr>
      </vt:variant>
      <vt:variant>
        <vt:i4>1441854</vt:i4>
      </vt:variant>
      <vt:variant>
        <vt:i4>104</vt:i4>
      </vt:variant>
      <vt:variant>
        <vt:i4>0</vt:i4>
      </vt:variant>
      <vt:variant>
        <vt:i4>5</vt:i4>
      </vt:variant>
      <vt:variant>
        <vt:lpwstr/>
      </vt:variant>
      <vt:variant>
        <vt:lpwstr>_Toc198558255</vt:lpwstr>
      </vt:variant>
      <vt:variant>
        <vt:i4>1441854</vt:i4>
      </vt:variant>
      <vt:variant>
        <vt:i4>98</vt:i4>
      </vt:variant>
      <vt:variant>
        <vt:i4>0</vt:i4>
      </vt:variant>
      <vt:variant>
        <vt:i4>5</vt:i4>
      </vt:variant>
      <vt:variant>
        <vt:lpwstr/>
      </vt:variant>
      <vt:variant>
        <vt:lpwstr>_Toc198558254</vt:lpwstr>
      </vt:variant>
      <vt:variant>
        <vt:i4>1441854</vt:i4>
      </vt:variant>
      <vt:variant>
        <vt:i4>92</vt:i4>
      </vt:variant>
      <vt:variant>
        <vt:i4>0</vt:i4>
      </vt:variant>
      <vt:variant>
        <vt:i4>5</vt:i4>
      </vt:variant>
      <vt:variant>
        <vt:lpwstr/>
      </vt:variant>
      <vt:variant>
        <vt:lpwstr>_Toc198558253</vt:lpwstr>
      </vt:variant>
      <vt:variant>
        <vt:i4>1441854</vt:i4>
      </vt:variant>
      <vt:variant>
        <vt:i4>86</vt:i4>
      </vt:variant>
      <vt:variant>
        <vt:i4>0</vt:i4>
      </vt:variant>
      <vt:variant>
        <vt:i4>5</vt:i4>
      </vt:variant>
      <vt:variant>
        <vt:lpwstr/>
      </vt:variant>
      <vt:variant>
        <vt:lpwstr>_Toc198558252</vt:lpwstr>
      </vt:variant>
      <vt:variant>
        <vt:i4>1441854</vt:i4>
      </vt:variant>
      <vt:variant>
        <vt:i4>80</vt:i4>
      </vt:variant>
      <vt:variant>
        <vt:i4>0</vt:i4>
      </vt:variant>
      <vt:variant>
        <vt:i4>5</vt:i4>
      </vt:variant>
      <vt:variant>
        <vt:lpwstr/>
      </vt:variant>
      <vt:variant>
        <vt:lpwstr>_Toc198558251</vt:lpwstr>
      </vt:variant>
      <vt:variant>
        <vt:i4>1441854</vt:i4>
      </vt:variant>
      <vt:variant>
        <vt:i4>74</vt:i4>
      </vt:variant>
      <vt:variant>
        <vt:i4>0</vt:i4>
      </vt:variant>
      <vt:variant>
        <vt:i4>5</vt:i4>
      </vt:variant>
      <vt:variant>
        <vt:lpwstr/>
      </vt:variant>
      <vt:variant>
        <vt:lpwstr>_Toc198558250</vt:lpwstr>
      </vt:variant>
      <vt:variant>
        <vt:i4>1507390</vt:i4>
      </vt:variant>
      <vt:variant>
        <vt:i4>68</vt:i4>
      </vt:variant>
      <vt:variant>
        <vt:i4>0</vt:i4>
      </vt:variant>
      <vt:variant>
        <vt:i4>5</vt:i4>
      </vt:variant>
      <vt:variant>
        <vt:lpwstr/>
      </vt:variant>
      <vt:variant>
        <vt:lpwstr>_Toc198558249</vt:lpwstr>
      </vt:variant>
      <vt:variant>
        <vt:i4>1507390</vt:i4>
      </vt:variant>
      <vt:variant>
        <vt:i4>62</vt:i4>
      </vt:variant>
      <vt:variant>
        <vt:i4>0</vt:i4>
      </vt:variant>
      <vt:variant>
        <vt:i4>5</vt:i4>
      </vt:variant>
      <vt:variant>
        <vt:lpwstr/>
      </vt:variant>
      <vt:variant>
        <vt:lpwstr>_Toc198558248</vt:lpwstr>
      </vt:variant>
      <vt:variant>
        <vt:i4>1507390</vt:i4>
      </vt:variant>
      <vt:variant>
        <vt:i4>56</vt:i4>
      </vt:variant>
      <vt:variant>
        <vt:i4>0</vt:i4>
      </vt:variant>
      <vt:variant>
        <vt:i4>5</vt:i4>
      </vt:variant>
      <vt:variant>
        <vt:lpwstr/>
      </vt:variant>
      <vt:variant>
        <vt:lpwstr>_Toc198558247</vt:lpwstr>
      </vt:variant>
      <vt:variant>
        <vt:i4>1507390</vt:i4>
      </vt:variant>
      <vt:variant>
        <vt:i4>50</vt:i4>
      </vt:variant>
      <vt:variant>
        <vt:i4>0</vt:i4>
      </vt:variant>
      <vt:variant>
        <vt:i4>5</vt:i4>
      </vt:variant>
      <vt:variant>
        <vt:lpwstr/>
      </vt:variant>
      <vt:variant>
        <vt:lpwstr>_Toc198558246</vt:lpwstr>
      </vt:variant>
      <vt:variant>
        <vt:i4>1507390</vt:i4>
      </vt:variant>
      <vt:variant>
        <vt:i4>44</vt:i4>
      </vt:variant>
      <vt:variant>
        <vt:i4>0</vt:i4>
      </vt:variant>
      <vt:variant>
        <vt:i4>5</vt:i4>
      </vt:variant>
      <vt:variant>
        <vt:lpwstr/>
      </vt:variant>
      <vt:variant>
        <vt:lpwstr>_Toc198558245</vt:lpwstr>
      </vt:variant>
      <vt:variant>
        <vt:i4>1507390</vt:i4>
      </vt:variant>
      <vt:variant>
        <vt:i4>38</vt:i4>
      </vt:variant>
      <vt:variant>
        <vt:i4>0</vt:i4>
      </vt:variant>
      <vt:variant>
        <vt:i4>5</vt:i4>
      </vt:variant>
      <vt:variant>
        <vt:lpwstr/>
      </vt:variant>
      <vt:variant>
        <vt:lpwstr>_Toc198558244</vt:lpwstr>
      </vt:variant>
      <vt:variant>
        <vt:i4>1507390</vt:i4>
      </vt:variant>
      <vt:variant>
        <vt:i4>32</vt:i4>
      </vt:variant>
      <vt:variant>
        <vt:i4>0</vt:i4>
      </vt:variant>
      <vt:variant>
        <vt:i4>5</vt:i4>
      </vt:variant>
      <vt:variant>
        <vt:lpwstr/>
      </vt:variant>
      <vt:variant>
        <vt:lpwstr>_Toc198558243</vt:lpwstr>
      </vt:variant>
      <vt:variant>
        <vt:i4>1507390</vt:i4>
      </vt:variant>
      <vt:variant>
        <vt:i4>26</vt:i4>
      </vt:variant>
      <vt:variant>
        <vt:i4>0</vt:i4>
      </vt:variant>
      <vt:variant>
        <vt:i4>5</vt:i4>
      </vt:variant>
      <vt:variant>
        <vt:lpwstr/>
      </vt:variant>
      <vt:variant>
        <vt:lpwstr>_Toc198558242</vt:lpwstr>
      </vt:variant>
      <vt:variant>
        <vt:i4>1507390</vt:i4>
      </vt:variant>
      <vt:variant>
        <vt:i4>20</vt:i4>
      </vt:variant>
      <vt:variant>
        <vt:i4>0</vt:i4>
      </vt:variant>
      <vt:variant>
        <vt:i4>5</vt:i4>
      </vt:variant>
      <vt:variant>
        <vt:lpwstr/>
      </vt:variant>
      <vt:variant>
        <vt:lpwstr>_Toc198558241</vt:lpwstr>
      </vt:variant>
      <vt:variant>
        <vt:i4>1507390</vt:i4>
      </vt:variant>
      <vt:variant>
        <vt:i4>14</vt:i4>
      </vt:variant>
      <vt:variant>
        <vt:i4>0</vt:i4>
      </vt:variant>
      <vt:variant>
        <vt:i4>5</vt:i4>
      </vt:variant>
      <vt:variant>
        <vt:lpwstr/>
      </vt:variant>
      <vt:variant>
        <vt:lpwstr>_Toc198558240</vt:lpwstr>
      </vt:variant>
      <vt:variant>
        <vt:i4>1048638</vt:i4>
      </vt:variant>
      <vt:variant>
        <vt:i4>8</vt:i4>
      </vt:variant>
      <vt:variant>
        <vt:i4>0</vt:i4>
      </vt:variant>
      <vt:variant>
        <vt:i4>5</vt:i4>
      </vt:variant>
      <vt:variant>
        <vt:lpwstr/>
      </vt:variant>
      <vt:variant>
        <vt:lpwstr>_Toc198558239</vt:lpwstr>
      </vt:variant>
      <vt:variant>
        <vt:i4>1048638</vt:i4>
      </vt:variant>
      <vt:variant>
        <vt:i4>2</vt:i4>
      </vt:variant>
      <vt:variant>
        <vt:i4>0</vt:i4>
      </vt:variant>
      <vt:variant>
        <vt:i4>5</vt:i4>
      </vt:variant>
      <vt:variant>
        <vt:lpwstr/>
      </vt:variant>
      <vt:variant>
        <vt:lpwstr>_Toc198558238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morris</dc:creator>
  <cp:keywords/>
  <dc:description/>
  <cp:lastModifiedBy>Karen Houser</cp:lastModifiedBy>
  <cp:revision>22</cp:revision>
  <dcterms:created xsi:type="dcterms:W3CDTF">2025-05-19T21:08:00Z</dcterms:created>
  <dcterms:modified xsi:type="dcterms:W3CDTF">2025-05-19T16:08:00Z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