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577A4" w:rsidP="006D6BD2" w:rsidRDefault="00E577A4" w14:paraId="745B64C2" w14:textId="72E64E90">
      <w:pPr>
        <w:jc w:val="center"/>
        <w:rPr>
          <w:b/>
          <w:bCs/>
        </w:rPr>
      </w:pPr>
      <w:r w:rsidRPr="00E577A4">
        <w:rPr>
          <w:b/>
          <w:bCs/>
          <w:noProof/>
        </w:rPr>
        <w:drawing>
          <wp:inline distT="0" distB="0" distL="0" distR="0" wp14:anchorId="3A984C84" wp14:editId="7FBC3911">
            <wp:extent cx="3276768" cy="1111307"/>
            <wp:effectExtent l="0" t="0" r="0" b="0"/>
            <wp:docPr id="1817326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26170" name=""/>
                    <pic:cNvPicPr/>
                  </pic:nvPicPr>
                  <pic:blipFill>
                    <a:blip r:embed="rId5"/>
                    <a:stretch>
                      <a:fillRect/>
                    </a:stretch>
                  </pic:blipFill>
                  <pic:spPr>
                    <a:xfrm>
                      <a:off x="0" y="0"/>
                      <a:ext cx="3276768" cy="1111307"/>
                    </a:xfrm>
                    <a:prstGeom prst="rect">
                      <a:avLst/>
                    </a:prstGeom>
                  </pic:spPr>
                </pic:pic>
              </a:graphicData>
            </a:graphic>
          </wp:inline>
        </w:drawing>
      </w:r>
    </w:p>
    <w:p w:rsidRPr="006D6BD2" w:rsidR="009B742E" w:rsidP="006D6BD2" w:rsidRDefault="00E577A4" w14:paraId="6398AE76" w14:textId="68A30F5E">
      <w:pPr>
        <w:jc w:val="center"/>
        <w:rPr>
          <w:b/>
          <w:bCs/>
        </w:rPr>
      </w:pPr>
      <w:r w:rsidRPr="00E577A4">
        <w:rPr>
          <w:b/>
          <w:bCs/>
        </w:rPr>
        <w:t>Programme:</w:t>
      </w:r>
      <w:r>
        <w:rPr>
          <w:b/>
          <w:bCs/>
        </w:rPr>
        <w:t xml:space="preserve"> </w:t>
      </w:r>
      <w:r w:rsidRPr="006D6BD2" w:rsidR="006D6BD2">
        <w:rPr>
          <w:b/>
          <w:bCs/>
        </w:rPr>
        <w:t>CERT HE Social Enterprise Management</w:t>
      </w:r>
    </w:p>
    <w:p w:rsidRPr="006D6BD2" w:rsidR="006D6BD2" w:rsidP="006D6BD2" w:rsidRDefault="00E577A4" w14:paraId="52A006A5" w14:textId="707D76C7">
      <w:pPr>
        <w:jc w:val="center"/>
        <w:rPr>
          <w:b/>
          <w:bCs/>
        </w:rPr>
      </w:pPr>
      <w:r w:rsidRPr="00E577A4">
        <w:rPr>
          <w:b/>
          <w:bCs/>
        </w:rPr>
        <w:t>Module:</w:t>
      </w:r>
      <w:r>
        <w:rPr>
          <w:b/>
          <w:bCs/>
        </w:rPr>
        <w:t xml:space="preserve"> </w:t>
      </w:r>
      <w:r w:rsidRPr="006D6BD2" w:rsidR="006D6BD2">
        <w:rPr>
          <w:b/>
          <w:bCs/>
        </w:rPr>
        <w:t>Social Enterprise: Theory and Practise</w:t>
      </w:r>
    </w:p>
    <w:p w:rsidR="006D6BD2" w:rsidP="006D6BD2" w:rsidRDefault="00E577A4" w14:paraId="67EC6FE5" w14:textId="7C705207">
      <w:pPr>
        <w:jc w:val="center"/>
        <w:rPr>
          <w:b w:val="1"/>
          <w:bCs w:val="1"/>
        </w:rPr>
      </w:pPr>
      <w:r w:rsidRPr="49E75609" w:rsidR="3CABCF8E">
        <w:rPr>
          <w:b w:val="1"/>
          <w:bCs w:val="1"/>
        </w:rPr>
        <w:t>Module code:</w:t>
      </w:r>
      <w:r w:rsidRPr="49E75609" w:rsidR="3CABCF8E">
        <w:rPr>
          <w:b w:val="1"/>
          <w:bCs w:val="1"/>
        </w:rPr>
        <w:t xml:space="preserve"> </w:t>
      </w:r>
      <w:r w:rsidRPr="49E75609" w:rsidR="6F0333FA">
        <w:rPr>
          <w:b w:val="1"/>
          <w:bCs w:val="1"/>
        </w:rPr>
        <w:t>BMSE4009D</w:t>
      </w:r>
    </w:p>
    <w:p w:rsidR="00E577A4" w:rsidP="006D6BD2" w:rsidRDefault="00E577A4" w14:paraId="282DEBCD" w14:textId="77777777">
      <w:pPr>
        <w:jc w:val="center"/>
        <w:rPr>
          <w:b/>
          <w:bCs/>
        </w:rPr>
      </w:pPr>
    </w:p>
    <w:p w:rsidR="00E577A4" w:rsidP="006D6BD2" w:rsidRDefault="00E577A4" w14:paraId="38A6E16D" w14:textId="77777777">
      <w:pPr>
        <w:jc w:val="center"/>
        <w:rPr>
          <w:b/>
          <w:bCs/>
        </w:rPr>
      </w:pPr>
    </w:p>
    <w:p w:rsidRPr="006D6BD2" w:rsidR="006D6BD2" w:rsidP="006D6BD2" w:rsidRDefault="00E577A4" w14:paraId="6163FE6E" w14:textId="04BBEE05">
      <w:pPr>
        <w:jc w:val="center"/>
        <w:rPr>
          <w:b/>
          <w:bCs/>
        </w:rPr>
      </w:pPr>
      <w:r w:rsidRPr="00E577A4">
        <w:rPr>
          <w:b/>
          <w:bCs/>
        </w:rPr>
        <w:t>Assignment Title:</w:t>
      </w:r>
      <w:r>
        <w:rPr>
          <w:b/>
          <w:bCs/>
        </w:rPr>
        <w:t xml:space="preserve"> </w:t>
      </w:r>
      <w:r w:rsidRPr="006D6BD2" w:rsidR="006D6BD2">
        <w:rPr>
          <w:b/>
          <w:bCs/>
        </w:rPr>
        <w:t>Opportunities and Threats to Social Enterprise</w:t>
      </w:r>
    </w:p>
    <w:p w:rsidR="006D6BD2" w:rsidP="006D6BD2" w:rsidRDefault="006D6BD2" w14:paraId="4F387448" w14:textId="77777777">
      <w:pPr>
        <w:jc w:val="center"/>
        <w:rPr>
          <w:b/>
          <w:bCs/>
        </w:rPr>
      </w:pPr>
    </w:p>
    <w:p w:rsidR="006D6BD2" w:rsidP="006D6BD2" w:rsidRDefault="006D6BD2" w14:paraId="49300841" w14:textId="77777777">
      <w:pPr>
        <w:jc w:val="center"/>
        <w:rPr>
          <w:b/>
          <w:bCs/>
        </w:rPr>
      </w:pPr>
    </w:p>
    <w:p w:rsidRPr="006D6BD2" w:rsidR="006D6BD2" w:rsidP="006D6BD2" w:rsidRDefault="006D6BD2" w14:paraId="3249EC14" w14:textId="77777777">
      <w:pPr>
        <w:jc w:val="center"/>
        <w:rPr>
          <w:b/>
          <w:bCs/>
        </w:rPr>
      </w:pPr>
    </w:p>
    <w:p w:rsidRPr="006D6BD2" w:rsidR="006D6BD2" w:rsidP="006D6BD2" w:rsidRDefault="006D6BD2" w14:paraId="617998BD" w14:textId="77777777">
      <w:pPr>
        <w:jc w:val="center"/>
        <w:rPr>
          <w:b/>
          <w:bCs/>
        </w:rPr>
      </w:pPr>
    </w:p>
    <w:p w:rsidRPr="006D6BD2" w:rsidR="006D6BD2" w:rsidP="006D6BD2" w:rsidRDefault="006D6BD2" w14:paraId="4E2D3310" w14:textId="77777777">
      <w:pPr>
        <w:jc w:val="center"/>
        <w:rPr>
          <w:b/>
          <w:bCs/>
        </w:rPr>
      </w:pPr>
    </w:p>
    <w:p w:rsidR="006D6BD2" w:rsidP="49E75609" w:rsidRDefault="006D6BD2" w14:paraId="2CCAE78F" w14:textId="66EC5869">
      <w:pPr>
        <w:pStyle w:val="Normal"/>
        <w:jc w:val="center"/>
        <w:rPr>
          <w:b w:val="1"/>
          <w:bCs w:val="1"/>
        </w:rPr>
      </w:pPr>
    </w:p>
    <w:p w:rsidR="006D6BD2" w:rsidRDefault="006D6BD2" w14:paraId="6DB959B1" w14:textId="7AB2DC06">
      <w:pPr>
        <w:spacing w:after="160" w:line="259" w:lineRule="auto"/>
        <w:jc w:val="left"/>
        <w:rPr>
          <w:b/>
          <w:bCs/>
        </w:rPr>
      </w:pPr>
      <w:r>
        <w:rPr>
          <w:b/>
          <w:bCs/>
        </w:rPr>
        <w:br w:type="page"/>
      </w:r>
    </w:p>
    <w:p w:rsidR="006D6BD2" w:rsidP="006D6BD2" w:rsidRDefault="006D6BD2" w14:paraId="3AAFD4C8" w14:textId="77C6283A">
      <w:pPr>
        <w:pStyle w:val="Heading1"/>
      </w:pPr>
      <w:r w:rsidRPr="006D6BD2">
        <w:t>Introduction</w:t>
      </w:r>
    </w:p>
    <w:p w:rsidR="006866F0" w:rsidP="006866F0" w:rsidRDefault="006866F0" w14:paraId="3BFF8788" w14:textId="2B02AF2B">
      <w:r w:rsidR="26E192E9">
        <w:rPr/>
        <w:t xml:space="preserve">Social enterprises are types of "hybrid" organizations in which there is a clear social or environmental mission combined with some form of commercial trading. These groups are not profit-making companies or non-profits relying on donations; they are all using a dual-mission model (DMM) and use revenue generation </w:t>
      </w:r>
      <w:r w:rsidR="2AA1F50E">
        <w:rPr/>
        <w:t>to</w:t>
      </w:r>
      <w:r w:rsidR="26E192E9">
        <w:rPr/>
        <w:t xml:space="preserve"> the end of sustainable impact. Social enterprises build local economic resilience, create ethical jobs, and create social value in a variety of communities, by filling in the gaps and fixing the failures in markets. </w:t>
      </w:r>
    </w:p>
    <w:p w:rsidR="006D6BD2" w:rsidP="006D6BD2" w:rsidRDefault="006D6BD2" w14:paraId="4E31D0AF" w14:textId="4A41A2FF">
      <w:pPr>
        <w:pStyle w:val="Heading1"/>
      </w:pPr>
      <w:r w:rsidRPr="006D6BD2">
        <w:t>Internal Strengths of Social Enterprises</w:t>
      </w:r>
    </w:p>
    <w:p w:rsidR="006D6BD2" w:rsidP="006D6BD2" w:rsidRDefault="006D6BD2" w14:paraId="2F0BF491" w14:textId="2385898E">
      <w:pPr>
        <w:pStyle w:val="Heading2"/>
      </w:pPr>
      <w:r w:rsidRPr="006D6BD2">
        <w:t>Social Capital and Stakeholder Trust</w:t>
      </w:r>
    </w:p>
    <w:p w:rsidR="006866F0" w:rsidP="006866F0" w:rsidRDefault="006866F0" w14:paraId="20077089" w14:textId="78A9D118">
      <w:r>
        <w:t>Social capital is an underlying power which supports strong relationships and great trust within the networks of important stakeholder groups, in the social enterprise. Social capital theory presents that these organizations can foster good levels of trust among consumers, staff and local communities by having a set of shared values and a social purpose commitment</w:t>
      </w:r>
      <w:r w:rsidR="00E577A4">
        <w:t xml:space="preserve"> (</w:t>
      </w:r>
      <w:r w:rsidRPr="00AC142C" w:rsidR="00E577A4">
        <w:t>Jung, 2022</w:t>
      </w:r>
      <w:r w:rsidR="00E577A4">
        <w:t>)</w:t>
      </w:r>
      <w:r>
        <w:t>. It</w:t>
      </w:r>
      <w:r w:rsidR="00E577A4">
        <w:t xml:space="preserve"> i</w:t>
      </w:r>
      <w:r>
        <w:t>s an ideal form of organizational authenticity which equates with increased brand loyalty, reduced marketing expenses and high employee morale. Social enterprises build and nurture strong social networks because they operate open and with a strong commitment to improving people's lives rather than private profit and generate ongoing institutional support during hard times.</w:t>
      </w:r>
    </w:p>
    <w:p w:rsidR="006D6BD2" w:rsidP="006D6BD2" w:rsidRDefault="006D6BD2" w14:paraId="1FAB7810" w14:textId="754CFEA0">
      <w:pPr>
        <w:pStyle w:val="Heading2"/>
      </w:pPr>
      <w:r w:rsidRPr="006D6BD2">
        <w:t>Competitive Differentiation via the Resource-Based View (RBV)</w:t>
      </w:r>
    </w:p>
    <w:p w:rsidR="006866F0" w:rsidP="006866F0" w:rsidRDefault="006866F0" w14:paraId="415BF0C6" w14:textId="40856881">
      <w:r>
        <w:t>The Resource-Based Viewing perspective can be applied to the social enterprise in order to conceptualize the social mission as in Being a social enterprise, the social mission is a resource that provides a sustained competitive advantage and is embedded in the organization and unique, valuable, rare and inimitable and cannot be replicated or substituted</w:t>
      </w:r>
      <w:r w:rsidR="00E577A4">
        <w:t xml:space="preserve"> (</w:t>
      </w:r>
      <w:r w:rsidRPr="00AC142C" w:rsidR="00E577A4">
        <w:t>Sugiarno and Novita, 2022</w:t>
      </w:r>
      <w:r w:rsidR="00E577A4">
        <w:t>)</w:t>
      </w:r>
      <w:r>
        <w:t>. Properly embedding corporate social responsibility in their business model is often more challenging in the traditional profit-driven company than in the social enterprise, where a social mission is the integral concept of corporate practice. This is because of the structural congruence of commercial operation with social value creation that makes it easier for these organisations to differentiate effectively to tap in the social value consumers and extend their access to specially dedicated social investing funding streams compared with traditional businesses.</w:t>
      </w:r>
    </w:p>
    <w:p w:rsidR="006D6BD2" w:rsidP="006D6BD2" w:rsidRDefault="006D6BD2" w14:paraId="2BFDBC43" w14:textId="1543FCEF">
      <w:pPr>
        <w:pStyle w:val="Heading2"/>
      </w:pPr>
      <w:r w:rsidRPr="006D6BD2">
        <w:t>Practical Application: Industry Examples (</w:t>
      </w:r>
      <w:r w:rsidRPr="006D6BD2">
        <w:rPr>
          <w:i/>
          <w:iCs/>
        </w:rPr>
        <w:t>The Big Issue</w:t>
      </w:r>
      <w:r w:rsidRPr="006D6BD2">
        <w:t xml:space="preserve"> and </w:t>
      </w:r>
      <w:r w:rsidRPr="006D6BD2">
        <w:rPr>
          <w:i/>
          <w:iCs/>
        </w:rPr>
        <w:t>Belu Water</w:t>
      </w:r>
      <w:r w:rsidRPr="006D6BD2">
        <w:t>)</w:t>
      </w:r>
    </w:p>
    <w:p w:rsidR="006866F0" w:rsidP="006866F0" w:rsidRDefault="006866F0" w14:paraId="226CC2EC" w14:textId="165A3E9D">
      <w:r>
        <w:t xml:space="preserve">Mission House members share insights on how social mission attachment makes them commercially resilient and stand out in the market. For example, The Big Issue is one of the top street paper projects globally, that generates earned income for marginalized people, and has built an extensive trust base among the stakeholders, ensuring a highly visible approach (The Big Issue, 2026). In a similar fashion Belu Water is also a business that practices basic principles, all the profits generated are reinvested in its partner in the world, WaterAid, to improve lives through the provision of clean water to green this world of two billion plus population (The Belu Water, 2026). </w:t>
      </w:r>
    </w:p>
    <w:p w:rsidR="006D6BD2" w:rsidP="006D6BD2" w:rsidRDefault="006D6BD2" w14:paraId="208ABC9E" w14:textId="1496F496">
      <w:pPr>
        <w:pStyle w:val="Heading1"/>
      </w:pPr>
      <w:r w:rsidRPr="006D6BD2">
        <w:t>Internal Weaknesses and Operational Vulnerabilities</w:t>
      </w:r>
    </w:p>
    <w:p w:rsidR="006D6BD2" w:rsidP="006D6BD2" w:rsidRDefault="006D6BD2" w14:paraId="5C30A7A6" w14:textId="2DA8D13E">
      <w:pPr>
        <w:pStyle w:val="Heading2"/>
      </w:pPr>
      <w:r w:rsidRPr="006D6BD2">
        <w:t>The Challenge of Dual-Mission Tension and Mission Drift</w:t>
      </w:r>
    </w:p>
    <w:p w:rsidR="006866F0" w:rsidP="006866F0" w:rsidRDefault="006866F0" w14:paraId="5DA75B1E" w14:textId="65C20506">
      <w:r>
        <w:t>The dual mission is one of the most important internal weaknesses that can bedevil social enterprises trying to achieve both commercial and social efficiency. Mission drift theory maintains that as these kinds of organisations become financially viable their social mission can be side-lined</w:t>
      </w:r>
      <w:r w:rsidR="00E577A4">
        <w:t xml:space="preserve"> (</w:t>
      </w:r>
      <w:r w:rsidRPr="00AC142C" w:rsidR="00E577A4">
        <w:t>Teck</w:t>
      </w:r>
      <w:r w:rsidR="00E577A4">
        <w:t xml:space="preserve"> </w:t>
      </w:r>
      <w:r w:rsidR="00E577A4">
        <w:rPr>
          <w:i/>
          <w:iCs/>
        </w:rPr>
        <w:t>et al.,</w:t>
      </w:r>
      <w:r w:rsidR="00E577A4">
        <w:t xml:space="preserve"> 2026)</w:t>
      </w:r>
      <w:r>
        <w:t>. Ambiguities in pursuing two goals result in friction in the organization, and competing decision-making priorities for business managers and social program directors. When economic pressures to cut costs or "save jobs" lead to less-than-ideal ethical choices, or when economic pressures to reduce costs cause a reduction in the amount of community programs, there is a risk that the essential nature of the social enterprise is lost, that key stakeholders are alienated and that a business loses its social value proposition that originally created its "social brand" in a marketplace.</w:t>
      </w:r>
    </w:p>
    <w:p w:rsidR="006D6BD2" w:rsidP="006D6BD2" w:rsidRDefault="006D6BD2" w14:paraId="7A8A6A56" w14:textId="4C9C8A14">
      <w:pPr>
        <w:pStyle w:val="Heading2"/>
      </w:pPr>
      <w:r w:rsidRPr="006D6BD2">
        <w:t>Resource Dependence, Financial Constraints, and Skill Shortages</w:t>
      </w:r>
    </w:p>
    <w:p w:rsidR="006866F0" w:rsidP="006866F0" w:rsidRDefault="006866F0" w14:paraId="6B023CA5" w14:textId="7147C889">
      <w:r>
        <w:t>One of the most interesting findings of resource dependence theory is that social enterprises may have a lot of operational vulnerabilities, due to their lack of access to mainstream capital markets. Hybrid organisations often aren't able to access the same capital as traditional financial bodies because they are perceived as being high risk borrowers because of their non-traditional financial setups</w:t>
      </w:r>
      <w:r w:rsidR="00E577A4">
        <w:t xml:space="preserve"> (</w:t>
      </w:r>
      <w:r w:rsidRPr="00AC142C" w:rsidR="00E577A4">
        <w:t>Lee and Thosuwanchot, 2025</w:t>
      </w:r>
      <w:r w:rsidR="00E577A4">
        <w:t>)</w:t>
      </w:r>
      <w:r>
        <w:t xml:space="preserve">. Further, HR problems, such as shortage of skills in commercial management, sales strategy and in technical execution have been observed to continue hampering these enterprises. </w:t>
      </w:r>
    </w:p>
    <w:p w:rsidR="006D6BD2" w:rsidP="006D6BD2" w:rsidRDefault="006D6BD2" w14:paraId="572A8187" w14:textId="3202F34A">
      <w:pPr>
        <w:pStyle w:val="Heading2"/>
      </w:pPr>
      <w:r w:rsidRPr="006D6BD2">
        <w:t>Case Study Analysis: Operational Dilemmas (</w:t>
      </w:r>
      <w:r w:rsidRPr="006D6BD2">
        <w:rPr>
          <w:i/>
          <w:iCs/>
        </w:rPr>
        <w:t>TOMS Shoes</w:t>
      </w:r>
      <w:r w:rsidRPr="006D6BD2">
        <w:t>)</w:t>
      </w:r>
    </w:p>
    <w:p w:rsidR="006866F0" w:rsidP="006866F0" w:rsidRDefault="006866F0" w14:paraId="61589DD0" w14:textId="6913B9EE">
      <w:r>
        <w:t>TOMS Shoes' launch operational model is a good example of the unintended social consequences of the model. Original One for One data from TOMS shows that they gave away two pairs of shoes for every pair of shoes sold. Flattering although it began out being a consumer marketing technique, the critics and economists noticed that local indigenous shoemakers and local economies have been undermined by the free distribution of footwear in local developing markets (Burberry, 2023). Realising these issues with their model, TOMS stopped making direct product donations and instead initiated a more flexible grant giving program through which community organisations are directly supported a reality for any social enterprise that has to constantly re-think its methods to avoid social harm.</w:t>
      </w:r>
    </w:p>
    <w:p w:rsidR="006D6BD2" w:rsidP="006D6BD2" w:rsidRDefault="006D6BD2" w14:paraId="48008C4E" w14:textId="62A5AA75">
      <w:pPr>
        <w:pStyle w:val="Heading1"/>
      </w:pPr>
      <w:r w:rsidRPr="006D6BD2">
        <w:t>External Opportunities in the Modern Economy</w:t>
      </w:r>
    </w:p>
    <w:p w:rsidR="006D6BD2" w:rsidP="006D6BD2" w:rsidRDefault="006D6BD2" w14:paraId="346061E3" w14:textId="3F5260D0">
      <w:pPr>
        <w:pStyle w:val="Heading2"/>
      </w:pPr>
      <w:r w:rsidRPr="006D6BD2">
        <w:t>Shifting Consumer Preferences and the Triple Bottom Line</w:t>
      </w:r>
    </w:p>
    <w:p w:rsidR="006866F0" w:rsidP="006866F0" w:rsidRDefault="006866F0" w14:paraId="48AED622" w14:textId="257405F9">
      <w:r>
        <w:t>A social enterprise based on the 'Triple Bottom Line' will generate significant market opportunities for the organisation with a growing environmental and social consciousness of the modern consumer. Ethical Consumerism becomes mainstream and buyers not only consider the price and quality of the products they buy, but also their social and environmental impact</w:t>
      </w:r>
      <w:r w:rsidR="00E577A4">
        <w:t xml:space="preserve"> (</w:t>
      </w:r>
      <w:r w:rsidRPr="00AC142C" w:rsidR="00E577A4">
        <w:t>Trigos and Osorio, 2025</w:t>
      </w:r>
      <w:r w:rsidR="00E577A4">
        <w:t>)</w:t>
      </w:r>
      <w:r>
        <w:t xml:space="preserve">. But the social enterprise is particularly well suited to capture this emerging demographic of action-oriented consumers whose expectations for transparency along supply lines, good employment practices and sustainability are built into the social nature of the business. </w:t>
      </w:r>
    </w:p>
    <w:p w:rsidR="006D6BD2" w:rsidP="006D6BD2" w:rsidRDefault="006D6BD2" w14:paraId="6EF585EE" w14:textId="36CC750C">
      <w:pPr>
        <w:pStyle w:val="Heading2"/>
      </w:pPr>
      <w:r w:rsidRPr="006D6BD2">
        <w:t>Legislative Support and Public Procurement Policies</w:t>
      </w:r>
    </w:p>
    <w:p w:rsidR="006866F0" w:rsidP="006866F0" w:rsidRDefault="006866F0" w14:paraId="3297ED2A" w14:textId="3BEB3879">
      <w:r>
        <w:t>As legislative changes evolve to increasingly encourage public sector institutions to act in the interest of social impact as part of public procurement, new methods become more popular.</w:t>
      </w:r>
      <w:r w:rsidR="00E577A4">
        <w:t xml:space="preserve"> </w:t>
      </w:r>
      <w:r>
        <w:t>With the progressive legislative changes and the increasing need for public sector institutions to make decisions based on social impact as part of public procurement, new methods are gaining traction</w:t>
      </w:r>
      <w:r w:rsidR="00E577A4">
        <w:t xml:space="preserve"> (</w:t>
      </w:r>
      <w:r w:rsidRPr="00AC142C" w:rsidR="00E577A4">
        <w:t>Aboelazm</w:t>
      </w:r>
      <w:r w:rsidR="00E577A4">
        <w:t xml:space="preserve"> </w:t>
      </w:r>
      <w:r w:rsidR="00E577A4">
        <w:rPr>
          <w:i/>
          <w:iCs/>
        </w:rPr>
        <w:t>et al.,</w:t>
      </w:r>
      <w:r w:rsidR="00E577A4">
        <w:t xml:space="preserve"> 2025)</w:t>
      </w:r>
      <w:r>
        <w:t xml:space="preserve">. Policy measures require local authorities, healthcare providers and government agencies to take into account environmental, social and economic values when evaluating and awarding contracts, and not simply the most cost-effective supplier. </w:t>
      </w:r>
    </w:p>
    <w:p w:rsidR="006D6BD2" w:rsidP="006D6BD2" w:rsidRDefault="006D6BD2" w14:paraId="697475E4" w14:textId="53221A66">
      <w:pPr>
        <w:pStyle w:val="Heading2"/>
      </w:pPr>
      <w:r w:rsidRPr="006D6BD2">
        <w:t>Corporate ESG Integration and B2B Supply Chains</w:t>
      </w:r>
    </w:p>
    <w:p w:rsidR="006866F0" w:rsidP="006866F0" w:rsidRDefault="006866F0" w14:paraId="16FF6D68" w14:textId="3A798DF7">
      <w:r>
        <w:t>Multinational corporations are fast embracing Environmental, Social and Governance with opportunities for social enterprises to expand in these business-to-business supply chains. It is increasing pressure placed on large corporate groups to establish a true model of social responsibility in their procurement processes throughout the entire supply chain by institutional investors, regulators, and consumers</w:t>
      </w:r>
      <w:r w:rsidR="00E577A4">
        <w:t xml:space="preserve"> (</w:t>
      </w:r>
      <w:r w:rsidRPr="00AC142C" w:rsidR="00E577A4">
        <w:t>Illiashenko, Puhach and Barlit</w:t>
      </w:r>
      <w:r w:rsidR="00E577A4">
        <w:t>,</w:t>
      </w:r>
      <w:r w:rsidRPr="00AC142C" w:rsidR="00E577A4">
        <w:t xml:space="preserve"> 2025</w:t>
      </w:r>
      <w:r w:rsidR="00E577A4">
        <w:t>)</w:t>
      </w:r>
      <w:r>
        <w:t xml:space="preserve">. Corporations can efficiently achieve their ESG commitments by working with social enterprises, without having to change the way they do business. </w:t>
      </w:r>
    </w:p>
    <w:p w:rsidR="006D6BD2" w:rsidP="006D6BD2" w:rsidRDefault="006D6BD2" w14:paraId="13E51DC2" w14:textId="7F53E29A">
      <w:pPr>
        <w:pStyle w:val="Heading2"/>
      </w:pPr>
      <w:r w:rsidRPr="006D6BD2">
        <w:t>Practical Application: Industry Examples</w:t>
      </w:r>
    </w:p>
    <w:p w:rsidR="006866F0" w:rsidP="006866F0" w:rsidRDefault="006866F0" w14:paraId="504E6BD5" w14:textId="3D5855E6">
      <w:r>
        <w:t xml:space="preserve">External ESG Integration and Public procurement policy are implemented in the real world and their linkage to business is made clear. Homelessness is the subject of UK-based change please coffee enterprise, which aids homeless people with living-wage barista training, accommodation assistance, and offers storefront cafes and comprehensive large-scale B2B corporate coffee services (Change Please, 2026). Likewise, US commercial bakery Greyston Bakery operates under an “Open Hiring” model to provide employment opportunities for people who have traditionally been blocked by structural barriers from entering the employment market, serving as one of the leading suppliers of brownies to companies nationwide such as the famous ice cream brand Ben &amp; Jerry's (Greyston Bakery, 2026). </w:t>
      </w:r>
    </w:p>
    <w:p w:rsidR="006D6BD2" w:rsidP="006D6BD2" w:rsidRDefault="006D6BD2" w14:paraId="1ECB858A" w14:textId="658ADA14">
      <w:pPr>
        <w:pStyle w:val="Heading1"/>
      </w:pPr>
      <w:r w:rsidRPr="006D6BD2">
        <w:t>External Threats to Sector Sustainability</w:t>
      </w:r>
      <w:r>
        <w:t xml:space="preserve"> </w:t>
      </w:r>
    </w:p>
    <w:p w:rsidR="006D6BD2" w:rsidP="006D6BD2" w:rsidRDefault="006D6BD2" w14:paraId="137FE129" w14:textId="778E2D90">
      <w:pPr>
        <w:pStyle w:val="Heading2"/>
      </w:pPr>
      <w:r w:rsidRPr="006D6BD2">
        <w:t>Commercial Crowding Out and "Impact Washing"</w:t>
      </w:r>
    </w:p>
    <w:p w:rsidR="006866F0" w:rsidP="006866F0" w:rsidRDefault="006866F0" w14:paraId="04A1B4B6" w14:textId="51AC1CA6">
      <w:r>
        <w:t>This superficial corporate social responsibility campaign and marketing strategies can be dubbed as “impact washing”, with conventional profit-seeking companies embracing it only because it has no consequences on the structural modifications their companies would need to implement to pursue mission-based results and values</w:t>
      </w:r>
      <w:r w:rsidR="00E577A4">
        <w:t xml:space="preserve"> (</w:t>
      </w:r>
      <w:r w:rsidRPr="00AC142C" w:rsidR="00E577A4">
        <w:t>Udohaya, 2025</w:t>
      </w:r>
      <w:r w:rsidR="00E577A4">
        <w:t>)</w:t>
      </w:r>
      <w:r>
        <w:t xml:space="preserve">. This action creates a market swarm of slightly watered-down social claims that not only befuddles consumers but it also undermines socially good companies. </w:t>
      </w:r>
    </w:p>
    <w:p w:rsidR="006D6BD2" w:rsidP="006D6BD2" w:rsidRDefault="006D6BD2" w14:paraId="46B33A1E" w14:textId="4186C345">
      <w:pPr>
        <w:pStyle w:val="Heading2"/>
      </w:pPr>
      <w:r w:rsidRPr="006D6BD2">
        <w:t>Macroeconomic Pressures and Margin Squeeze</w:t>
      </w:r>
    </w:p>
    <w:p w:rsidR="006866F0" w:rsidP="006866F0" w:rsidRDefault="006866F0" w14:paraId="54837278" w14:textId="0051049D">
      <w:r>
        <w:t>The financial pressures of high inflation, ever-increasing raw material costs and economic uncertainty are soaring for social enterprises</w:t>
      </w:r>
      <w:r w:rsidR="00C60194">
        <w:t xml:space="preserve"> (</w:t>
      </w:r>
      <w:r w:rsidRPr="00AC142C" w:rsidR="00C60194">
        <w:t>Altunöz, 2026</w:t>
      </w:r>
      <w:r w:rsidR="00C60194">
        <w:t>)</w:t>
      </w:r>
      <w:r>
        <w:t>. Because of the lower profit margins and a focus on paying living wages and community reinvestment as opposed to paying less, layoffs and job cuts, unlike commercial businesses, are not an option for social enterprises.</w:t>
      </w:r>
    </w:p>
    <w:p w:rsidR="006D6BD2" w:rsidP="006D6BD2" w:rsidRDefault="006D6BD2" w14:paraId="41B06688" w14:textId="3C32DDB2">
      <w:pPr>
        <w:pStyle w:val="Heading2"/>
      </w:pPr>
      <w:r w:rsidRPr="006D6BD2">
        <w:t>Institutional Isomorphism and Identity Loss</w:t>
      </w:r>
    </w:p>
    <w:p w:rsidR="006866F0" w:rsidP="006866F0" w:rsidRDefault="006866F0" w14:paraId="583A8687" w14:textId="170C5AA6">
      <w:r>
        <w:t>As social enterprises often rely heavily on conventional financial lender and institutional partners, the pressure of these partners usually pushes them toward conventional styles in operating and running their companies</w:t>
      </w:r>
      <w:r w:rsidR="00C60194">
        <w:t xml:space="preserve"> (</w:t>
      </w:r>
      <w:r w:rsidRPr="00AC142C" w:rsidR="00C60194">
        <w:t>Sakib, 2023</w:t>
      </w:r>
      <w:r w:rsidR="00C60194">
        <w:t>)</w:t>
      </w:r>
      <w:r>
        <w:t>. This coercive compliance can be problematic based on DiMaggio &amp; Powell's theory of institutional isomorphism as it runs the risk of further diffusing their unique hybrid identity, which is not necessarily representative of true social effects, but accounts with higher revenue figures.</w:t>
      </w:r>
    </w:p>
    <w:p w:rsidR="006D6BD2" w:rsidP="006D6BD2" w:rsidRDefault="006D6BD2" w14:paraId="1111B081" w14:textId="41A1172E">
      <w:pPr>
        <w:pStyle w:val="Heading1"/>
      </w:pPr>
      <w:r w:rsidRPr="006D6BD2">
        <w:t>Conclusion</w:t>
      </w:r>
    </w:p>
    <w:p w:rsidR="006866F0" w:rsidP="006866F0" w:rsidRDefault="006866F0" w14:paraId="61420648" w14:textId="6F11D0E9">
      <w:r>
        <w:t xml:space="preserve">Social enterprises play a very important role in the modern economy; they use commerce models to address systemic issues and problems in society. Their SWOT analysis illustrates that their internal competencies in social capital and resource differentiation bring them a competitive advantage to take advantage of growing ESG markets as well as the adoption of new and progressive public procurement efforts. But operationally, it is difficult to handle matters such as the "dual mission" pressure and external pressures such as impact washing and macroeconomic fluctuations. </w:t>
      </w:r>
    </w:p>
    <w:p w:rsidRPr="00A9154B" w:rsidR="00A9154B" w:rsidP="00A9154B" w:rsidRDefault="00A9154B" w14:paraId="7D48AFC8" w14:textId="77777777"/>
    <w:p w:rsidR="006D6BD2" w:rsidRDefault="006D6BD2" w14:paraId="21EA197C" w14:textId="77777777">
      <w:pPr>
        <w:spacing w:after="160" w:line="259" w:lineRule="auto"/>
        <w:jc w:val="left"/>
        <w:rPr>
          <w:rFonts w:eastAsiaTheme="majorEastAsia" w:cstheme="majorBidi"/>
          <w:b/>
          <w:sz w:val="28"/>
          <w:szCs w:val="32"/>
        </w:rPr>
      </w:pPr>
      <w:r>
        <w:br w:type="page"/>
      </w:r>
    </w:p>
    <w:p w:rsidR="006D6BD2" w:rsidP="006D6BD2" w:rsidRDefault="006D6BD2" w14:paraId="29914A1B" w14:textId="5990C533">
      <w:pPr>
        <w:pStyle w:val="Heading1"/>
      </w:pPr>
      <w:r>
        <w:t>References</w:t>
      </w:r>
    </w:p>
    <w:p w:rsidR="00C60194" w:rsidP="00C60194" w:rsidRDefault="00C60194" w14:paraId="4685D5EF" w14:textId="77777777">
      <w:r w:rsidRPr="00AC142C">
        <w:t>Aboelazm, K.S., Obeidat, M.A., Tawakol, F., AlFil, N.Z. and Irshad Ul Haq, F.H., 2025. AMELIORATING PUBLIC PROCUREMENT PERFORMANCE: GREEN PUBLIC PROCUREMENT POLICIES WITHIN A LEGISLATIVE FRAMEWORK. </w:t>
      </w:r>
      <w:r w:rsidRPr="00AC142C">
        <w:rPr>
          <w:i/>
          <w:iCs/>
        </w:rPr>
        <w:t>Corporate Law &amp; Governance Review</w:t>
      </w:r>
      <w:r w:rsidRPr="00AC142C">
        <w:t>, </w:t>
      </w:r>
      <w:r w:rsidRPr="00AC142C">
        <w:rPr>
          <w:i/>
          <w:iCs/>
        </w:rPr>
        <w:t>7</w:t>
      </w:r>
      <w:r w:rsidRPr="00AC142C">
        <w:t xml:space="preserve">(2). </w:t>
      </w:r>
      <w:hyperlink w:history="1" r:id="rId6">
        <w:r w:rsidRPr="00E261AF">
          <w:rPr>
            <w:rStyle w:val="Hyperlink"/>
          </w:rPr>
          <w:t>https://www.academia.edu/download/131877271/clgrv7i2p2.pdf</w:t>
        </w:r>
      </w:hyperlink>
    </w:p>
    <w:p w:rsidR="00C60194" w:rsidP="00C60194" w:rsidRDefault="00C60194" w14:paraId="176D1290" w14:textId="77777777">
      <w:r w:rsidRPr="00AC142C">
        <w:t>Altunöz, U., 2026. Monetary tightening without disinflation: a post-Keynesian account of cost-push pressures, mark-up dynamics, and conflict inflation. </w:t>
      </w:r>
      <w:r w:rsidRPr="00AC142C">
        <w:rPr>
          <w:i/>
          <w:iCs/>
        </w:rPr>
        <w:t>Quality &amp; Quantity</w:t>
      </w:r>
      <w:r w:rsidRPr="00AC142C">
        <w:t xml:space="preserve">, pp.1-17. </w:t>
      </w:r>
      <w:hyperlink w:history="1" r:id="rId7">
        <w:r w:rsidRPr="00E261AF">
          <w:rPr>
            <w:rStyle w:val="Hyperlink"/>
          </w:rPr>
          <w:t>https://link.springer.com/article/10.1007/s11135-026-02834-7</w:t>
        </w:r>
      </w:hyperlink>
    </w:p>
    <w:p w:rsidRPr="00E577A4" w:rsidR="00C60194" w:rsidP="00C60194" w:rsidRDefault="00C60194" w14:paraId="4E6DC9FF" w14:textId="77777777">
      <w:pPr>
        <w:rPr>
          <w:lang w:val="en-IN"/>
        </w:rPr>
      </w:pPr>
      <w:r w:rsidRPr="00E577A4">
        <w:rPr>
          <w:lang w:val="en-IN"/>
        </w:rPr>
        <w:t xml:space="preserve">Burberry (2023). Info hostels - world travel news - backpackers hostels info. </w:t>
      </w:r>
      <w:r w:rsidRPr="00E577A4">
        <w:rPr>
          <w:i/>
          <w:iCs/>
          <w:lang w:val="en-IN"/>
        </w:rPr>
        <w:t>Infohostels.com</w:t>
      </w:r>
      <w:r w:rsidRPr="00E577A4">
        <w:rPr>
          <w:lang w:val="en-IN"/>
        </w:rPr>
        <w:t xml:space="preserve">. [online] Available at: </w:t>
      </w:r>
      <w:hyperlink w:history="1" r:id="rId8">
        <w:r w:rsidRPr="00E261AF">
          <w:rPr>
            <w:rStyle w:val="Hyperlink"/>
            <w:lang w:val="en-IN"/>
          </w:rPr>
          <w:t>http://www.infohostels.com/notizia.php?chiave=2700</w:t>
        </w:r>
      </w:hyperlink>
      <w:r>
        <w:rPr>
          <w:lang w:val="en-IN"/>
        </w:rPr>
        <w:t xml:space="preserve"> </w:t>
      </w:r>
      <w:r w:rsidRPr="00E577A4">
        <w:rPr>
          <w:lang w:val="en-IN"/>
        </w:rPr>
        <w:t>[Accessed 24 July 2026].</w:t>
      </w:r>
    </w:p>
    <w:p w:rsidRPr="00E577A4" w:rsidR="00C60194" w:rsidP="00C60194" w:rsidRDefault="00C60194" w14:paraId="64EB1181" w14:textId="77777777">
      <w:pPr>
        <w:rPr>
          <w:lang w:val="en-IN"/>
        </w:rPr>
      </w:pPr>
      <w:r w:rsidRPr="00E577A4">
        <w:rPr>
          <w:lang w:val="en-IN"/>
        </w:rPr>
        <w:t xml:space="preserve">Change Please (2026). </w:t>
      </w:r>
      <w:r w:rsidRPr="00E577A4">
        <w:rPr>
          <w:i/>
          <w:iCs/>
          <w:lang w:val="en-IN"/>
        </w:rPr>
        <w:t>Change please</w:t>
      </w:r>
      <w:r w:rsidRPr="00E577A4">
        <w:rPr>
          <w:lang w:val="en-IN"/>
        </w:rPr>
        <w:t xml:space="preserve">. [online] </w:t>
      </w:r>
      <w:r w:rsidRPr="00E577A4">
        <w:rPr>
          <w:i/>
          <w:iCs/>
          <w:lang w:val="en-IN"/>
        </w:rPr>
        <w:t>Change Please</w:t>
      </w:r>
      <w:r w:rsidRPr="00E577A4">
        <w:rPr>
          <w:lang w:val="en-IN"/>
        </w:rPr>
        <w:t xml:space="preserve">. Available at: </w:t>
      </w:r>
      <w:hyperlink w:history="1" r:id="rId9">
        <w:r w:rsidRPr="00E261AF">
          <w:rPr>
            <w:rStyle w:val="Hyperlink"/>
            <w:lang w:val="en-IN"/>
          </w:rPr>
          <w:t>https://changeplease.org/</w:t>
        </w:r>
      </w:hyperlink>
      <w:r>
        <w:rPr>
          <w:lang w:val="en-IN"/>
        </w:rPr>
        <w:t xml:space="preserve"> </w:t>
      </w:r>
      <w:r w:rsidRPr="00E577A4">
        <w:rPr>
          <w:lang w:val="en-IN"/>
        </w:rPr>
        <w:t xml:space="preserve"> [Accessed 24 July 2026].</w:t>
      </w:r>
    </w:p>
    <w:p w:rsidRPr="00E577A4" w:rsidR="00C60194" w:rsidP="00C60194" w:rsidRDefault="00C60194" w14:paraId="290B61D9" w14:textId="77777777">
      <w:pPr>
        <w:rPr>
          <w:lang w:val="en-IN"/>
        </w:rPr>
      </w:pPr>
      <w:r w:rsidRPr="00E577A4">
        <w:rPr>
          <w:lang w:val="en-IN"/>
        </w:rPr>
        <w:t xml:space="preserve">Greyston Bakery (2026). </w:t>
      </w:r>
      <w:r w:rsidRPr="00E577A4">
        <w:rPr>
          <w:i/>
          <w:iCs/>
          <w:lang w:val="en-IN"/>
        </w:rPr>
        <w:t>Eat brownies change lives</w:t>
      </w:r>
      <w:r w:rsidRPr="00E577A4">
        <w:rPr>
          <w:lang w:val="en-IN"/>
        </w:rPr>
        <w:t xml:space="preserve">. [online] </w:t>
      </w:r>
      <w:r w:rsidRPr="00E577A4">
        <w:rPr>
          <w:i/>
          <w:iCs/>
          <w:lang w:val="en-IN"/>
        </w:rPr>
        <w:t>Greyston Bakery</w:t>
      </w:r>
      <w:r w:rsidRPr="00E577A4">
        <w:rPr>
          <w:lang w:val="en-IN"/>
        </w:rPr>
        <w:t xml:space="preserve">. Available at: </w:t>
      </w:r>
      <w:hyperlink w:history="1" r:id="rId10">
        <w:r w:rsidRPr="00E261AF">
          <w:rPr>
            <w:rStyle w:val="Hyperlink"/>
            <w:lang w:val="en-IN"/>
          </w:rPr>
          <w:t>https://shop.greyston.org/</w:t>
        </w:r>
      </w:hyperlink>
      <w:r>
        <w:rPr>
          <w:lang w:val="en-IN"/>
        </w:rPr>
        <w:t xml:space="preserve"> </w:t>
      </w:r>
      <w:r w:rsidRPr="00E577A4">
        <w:rPr>
          <w:lang w:val="en-IN"/>
        </w:rPr>
        <w:t xml:space="preserve"> [Accessed 24 July 2026].</w:t>
      </w:r>
    </w:p>
    <w:p w:rsidR="00C60194" w:rsidP="00C60194" w:rsidRDefault="00C60194" w14:paraId="34B58F75" w14:textId="77777777">
      <w:r w:rsidRPr="00AC142C">
        <w:t xml:space="preserve">Illiashenko, A.H., Puhach, O.V. and Barlit, O., 2025. From Compliance to Competitiveness: The Role of Green Marketing and ESG in B2B Relations. </w:t>
      </w:r>
      <w:hyperlink w:history="1" r:id="rId11">
        <w:r w:rsidRPr="00E261AF">
          <w:rPr>
            <w:rStyle w:val="Hyperlink"/>
          </w:rPr>
          <w:t>https://essuir.sumdu.edu.ua/bitstreams/35560a00-7209-4b4f-a9a0-c1dfa13d67a4/download</w:t>
        </w:r>
      </w:hyperlink>
    </w:p>
    <w:p w:rsidR="00C60194" w:rsidP="00C60194" w:rsidRDefault="00C60194" w14:paraId="344D5C3D" w14:textId="77777777">
      <w:r w:rsidRPr="00AC142C">
        <w:t>Jung, M., 2022. </w:t>
      </w:r>
      <w:r w:rsidRPr="00AC142C">
        <w:rPr>
          <w:i/>
          <w:iCs/>
        </w:rPr>
        <w:t>The role of social capital and trust in community-based tourism stakeholder collaboration</w:t>
      </w:r>
      <w:r w:rsidRPr="00AC142C">
        <w:t xml:space="preserve"> (Doctoral dissertation, University of Surrey). </w:t>
      </w:r>
      <w:hyperlink w:history="1" r:id="rId12">
        <w:r w:rsidRPr="00E261AF">
          <w:rPr>
            <w:rStyle w:val="Hyperlink"/>
          </w:rPr>
          <w:t>https://openresearch.surrey.ac.uk/view/pdfCoverPage?instCode=44SUR_INST&amp;filePid=13168900530002346&amp;download=true</w:t>
        </w:r>
      </w:hyperlink>
    </w:p>
    <w:p w:rsidR="00C60194" w:rsidP="00C60194" w:rsidRDefault="00C60194" w14:paraId="16D856BF" w14:textId="77777777">
      <w:r w:rsidRPr="00AC142C">
        <w:t>Lee, M.S. and Thosuwanchot, N., 2025. The effect of financial constraints on strategic alliances: agency perspective versus resource dependence perspective. </w:t>
      </w:r>
      <w:r w:rsidRPr="00AC142C">
        <w:rPr>
          <w:i/>
          <w:iCs/>
        </w:rPr>
        <w:t>Journal of Strategy and Management</w:t>
      </w:r>
      <w:r w:rsidRPr="00AC142C">
        <w:t>, </w:t>
      </w:r>
      <w:r w:rsidRPr="00AC142C">
        <w:rPr>
          <w:i/>
          <w:iCs/>
        </w:rPr>
        <w:t>18</w:t>
      </w:r>
      <w:r w:rsidRPr="00AC142C">
        <w:t xml:space="preserve">(2), pp.410-429. </w:t>
      </w:r>
      <w:hyperlink w:history="1" r:id="rId13">
        <w:r w:rsidRPr="00E261AF">
          <w:rPr>
            <w:rStyle w:val="Hyperlink"/>
          </w:rPr>
          <w:t>https://www.emerald.com/jsma/article/18/2/410/1247366</w:t>
        </w:r>
      </w:hyperlink>
    </w:p>
    <w:p w:rsidR="00C60194" w:rsidP="00C60194" w:rsidRDefault="00C60194" w14:paraId="048494EA" w14:textId="77777777">
      <w:r w:rsidRPr="00AC142C">
        <w:t>Sakib, N.H., 2023. Institutional isomorphism. In </w:t>
      </w:r>
      <w:r w:rsidRPr="00AC142C">
        <w:rPr>
          <w:i/>
          <w:iCs/>
        </w:rPr>
        <w:t>Global encyclopedia of public administration, public policy, and governance</w:t>
      </w:r>
      <w:r w:rsidRPr="00AC142C">
        <w:t xml:space="preserve"> (pp. 6759-6765). Cham: Springer International Publishing. </w:t>
      </w:r>
      <w:hyperlink w:history="1" r:id="rId14">
        <w:r w:rsidRPr="00E261AF">
          <w:rPr>
            <w:rStyle w:val="Hyperlink"/>
          </w:rPr>
          <w:t>https://link.springer.com/content/pdf/10.1007/978-3-030-66252-3_3932.pdf</w:t>
        </w:r>
      </w:hyperlink>
      <w:r>
        <w:t xml:space="preserve"> </w:t>
      </w:r>
    </w:p>
    <w:p w:rsidR="00C60194" w:rsidP="00C60194" w:rsidRDefault="00C60194" w14:paraId="6D5178F9" w14:textId="77777777">
      <w:r w:rsidRPr="00AC142C">
        <w:t>Sugiarno, Y. and Novita, D., 2022, December. Resources-Based View (RBV) as a strategy of company competitive advantage: A literature review. In </w:t>
      </w:r>
      <w:r w:rsidRPr="00AC142C">
        <w:rPr>
          <w:i/>
          <w:iCs/>
        </w:rPr>
        <w:t>International conference on economics business management and accounting (ICOEMA)</w:t>
      </w:r>
      <w:r w:rsidRPr="00AC142C">
        <w:t xml:space="preserve"> (Vol. 1, pp. 656-666). </w:t>
      </w:r>
      <w:hyperlink w:history="1" r:id="rId15">
        <w:r w:rsidRPr="00E261AF">
          <w:rPr>
            <w:rStyle w:val="Hyperlink"/>
          </w:rPr>
          <w:t>https://www.researchgate.net/profile/Dina-Novita-6/publication/370765611_Proceeding_International_Conference_on_Economic_Business_Management_and_Accounting_ICOEMA-2022_Program_Studi_Doktor_Ilmu_Ekonomi_Resources-Based_View_RBV_as_A_Strategy_of_Company_Competitive_Advantage/links/6461ee74434e26474fe93da0/Proceeding-International-Conference-on-Economic-Business-Management-and-Accounting-ICOEMA-2022-Program-Studi-Doktor-Ilmu-Ekonomi-Resources-Based-View-RBV-as-A-Strategy-of-Company-Competitive-Advantag.pdf</w:t>
        </w:r>
      </w:hyperlink>
    </w:p>
    <w:p w:rsidR="00C60194" w:rsidP="00C60194" w:rsidRDefault="00C60194" w14:paraId="699AC97D" w14:textId="77777777">
      <w:r w:rsidRPr="00AC142C">
        <w:t>Teck, T.S., Dan, L.X., Sonar, P. and Fahim, S.M., 2026. A CONCEPTUAL REVIEW ON THE MISSION DRIFT OF SOCIAL ENTERPRISE. </w:t>
      </w:r>
      <w:r w:rsidRPr="00AC142C">
        <w:rPr>
          <w:i/>
          <w:iCs/>
        </w:rPr>
        <w:t>Veredas do Direito</w:t>
      </w:r>
      <w:r w:rsidRPr="00AC142C">
        <w:t>, </w:t>
      </w:r>
      <w:r w:rsidRPr="00AC142C">
        <w:rPr>
          <w:i/>
          <w:iCs/>
        </w:rPr>
        <w:t>23</w:t>
      </w:r>
      <w:r w:rsidRPr="00AC142C">
        <w:t xml:space="preserve">(10), pp.e237281-e237281. </w:t>
      </w:r>
      <w:hyperlink w:history="1" r:id="rId16">
        <w:r w:rsidRPr="00E261AF">
          <w:rPr>
            <w:rStyle w:val="Hyperlink"/>
          </w:rPr>
          <w:t>https://revista.domhelder.edu.br/index.php/veredas/article/download/7281/28587</w:t>
        </w:r>
      </w:hyperlink>
    </w:p>
    <w:p w:rsidRPr="00E577A4" w:rsidR="00C60194" w:rsidP="00C60194" w:rsidRDefault="00C60194" w14:paraId="7230A2F0" w14:textId="77777777">
      <w:pPr>
        <w:rPr>
          <w:lang w:val="en-IN"/>
        </w:rPr>
      </w:pPr>
      <w:r w:rsidRPr="00E577A4">
        <w:rPr>
          <w:lang w:val="en-IN"/>
        </w:rPr>
        <w:t xml:space="preserve">The Belu Water (2026). </w:t>
      </w:r>
      <w:r w:rsidRPr="00E577A4">
        <w:rPr>
          <w:i/>
          <w:iCs/>
          <w:lang w:val="en-IN"/>
        </w:rPr>
        <w:t>Belu – drink the difference</w:t>
      </w:r>
      <w:r w:rsidRPr="00E577A4">
        <w:rPr>
          <w:lang w:val="en-IN"/>
        </w:rPr>
        <w:t xml:space="preserve">. [online] Available at: </w:t>
      </w:r>
      <w:hyperlink w:history="1" r:id="rId17">
        <w:r w:rsidRPr="00E261AF">
          <w:rPr>
            <w:rStyle w:val="Hyperlink"/>
            <w:lang w:val="en-IN"/>
          </w:rPr>
          <w:t>https://belu.org/</w:t>
        </w:r>
      </w:hyperlink>
      <w:r>
        <w:rPr>
          <w:lang w:val="en-IN"/>
        </w:rPr>
        <w:t xml:space="preserve"> </w:t>
      </w:r>
      <w:r w:rsidRPr="00E577A4">
        <w:rPr>
          <w:lang w:val="en-IN"/>
        </w:rPr>
        <w:t xml:space="preserve"> [Accessed 24 July 2026].</w:t>
      </w:r>
    </w:p>
    <w:p w:rsidR="00C60194" w:rsidP="00C60194" w:rsidRDefault="00C60194" w14:paraId="4EE7CBEB" w14:textId="77777777">
      <w:pPr>
        <w:rPr>
          <w:lang w:val="en-IN"/>
        </w:rPr>
      </w:pPr>
      <w:r w:rsidRPr="00E577A4">
        <w:rPr>
          <w:lang w:val="en-IN"/>
        </w:rPr>
        <w:t xml:space="preserve">The Big Issue (2026). </w:t>
      </w:r>
      <w:r w:rsidRPr="00E577A4">
        <w:rPr>
          <w:i/>
          <w:iCs/>
          <w:lang w:val="en-IN"/>
        </w:rPr>
        <w:t>The big issue</w:t>
      </w:r>
      <w:r w:rsidRPr="00E577A4">
        <w:rPr>
          <w:lang w:val="en-IN"/>
        </w:rPr>
        <w:t xml:space="preserve">. [online] </w:t>
      </w:r>
      <w:r w:rsidRPr="00E577A4">
        <w:rPr>
          <w:i/>
          <w:iCs/>
          <w:lang w:val="en-IN"/>
        </w:rPr>
        <w:t>The Big Issue</w:t>
      </w:r>
      <w:r w:rsidRPr="00E577A4">
        <w:rPr>
          <w:lang w:val="en-IN"/>
        </w:rPr>
        <w:t xml:space="preserve">. The Big Issue. Available at: </w:t>
      </w:r>
      <w:hyperlink w:history="1" r:id="rId18">
        <w:r w:rsidRPr="00E261AF">
          <w:rPr>
            <w:rStyle w:val="Hyperlink"/>
            <w:lang w:val="en-IN"/>
          </w:rPr>
          <w:t>https://www.bigissue.com/</w:t>
        </w:r>
      </w:hyperlink>
      <w:r>
        <w:rPr>
          <w:lang w:val="en-IN"/>
        </w:rPr>
        <w:t xml:space="preserve"> </w:t>
      </w:r>
      <w:r w:rsidRPr="00E577A4">
        <w:rPr>
          <w:lang w:val="en-IN"/>
        </w:rPr>
        <w:t xml:space="preserve"> [Accessed 24 July 2026].</w:t>
      </w:r>
    </w:p>
    <w:p w:rsidR="00C60194" w:rsidP="00C60194" w:rsidRDefault="00C60194" w14:paraId="2D86E498" w14:textId="77777777">
      <w:r w:rsidRPr="00AC142C">
        <w:t>Trigos, F. and Osorio, M.L., 2025. Integrating the Triple Bottom Line into the Vehicle Routing Problem: a transdisciplinary approach to customer prioritization. </w:t>
      </w:r>
      <w:r w:rsidRPr="00AC142C">
        <w:rPr>
          <w:i/>
          <w:iCs/>
        </w:rPr>
        <w:t>Frontiers in Sustainability</w:t>
      </w:r>
      <w:r w:rsidRPr="00AC142C">
        <w:t>, </w:t>
      </w:r>
      <w:r w:rsidRPr="00AC142C">
        <w:rPr>
          <w:i/>
          <w:iCs/>
        </w:rPr>
        <w:t>6</w:t>
      </w:r>
      <w:r w:rsidRPr="00AC142C">
        <w:t xml:space="preserve">, p.1528514. </w:t>
      </w:r>
      <w:hyperlink w:history="1" r:id="rId19">
        <w:r w:rsidRPr="00E261AF">
          <w:rPr>
            <w:rStyle w:val="Hyperlink"/>
          </w:rPr>
          <w:t>https://www.frontiersin.org/journals/sustainability/articles/10.3389/frsus.2025.1528514/pdf</w:t>
        </w:r>
      </w:hyperlink>
    </w:p>
    <w:p w:rsidR="00C60194" w:rsidP="00C60194" w:rsidRDefault="00C60194" w14:paraId="2AFC561D" w14:textId="77777777">
      <w:r w:rsidRPr="00AC142C">
        <w:t>Udohaya, N., 2025. The Concept Impact Investing. In </w:t>
      </w:r>
      <w:r w:rsidRPr="00AC142C">
        <w:rPr>
          <w:i/>
          <w:iCs/>
        </w:rPr>
        <w:t>Impact Investing and Financial Inclusion: Examining the Innovations that Empower the Underserved</w:t>
      </w:r>
      <w:r w:rsidRPr="00AC142C">
        <w:t xml:space="preserve"> (pp. 49-236). Cham: Springer Nature Switzerland. </w:t>
      </w:r>
      <w:hyperlink w:history="1" r:id="rId20">
        <w:r w:rsidRPr="00E261AF">
          <w:rPr>
            <w:rStyle w:val="Hyperlink"/>
          </w:rPr>
          <w:t>https://link.springer.com/chapter/10.1007/978-3-031-87841-1_2</w:t>
        </w:r>
      </w:hyperlink>
    </w:p>
    <w:p w:rsidR="00C60194" w:rsidP="00C60194" w:rsidRDefault="00C60194" w14:paraId="482B2E7A" w14:textId="77777777"/>
    <w:p w:rsidR="00C60194" w:rsidP="00C60194" w:rsidRDefault="00C60194" w14:paraId="3BA2D3E4" w14:textId="77777777"/>
    <w:p w:rsidR="00C60194" w:rsidP="00C60194" w:rsidRDefault="00C60194" w14:paraId="70A795EF" w14:textId="77777777"/>
    <w:p w:rsidR="00C60194" w:rsidP="00C60194" w:rsidRDefault="00C60194" w14:paraId="682FF64C" w14:textId="77777777"/>
    <w:p w:rsidRPr="00E577A4" w:rsidR="00C60194" w:rsidP="00E577A4" w:rsidRDefault="00C60194" w14:paraId="24FC7B1C" w14:textId="77777777">
      <w:pPr>
        <w:rPr>
          <w:lang w:val="en-IN"/>
        </w:rPr>
      </w:pPr>
    </w:p>
    <w:p w:rsidRPr="00E577A4" w:rsidR="00E577A4" w:rsidP="00E577A4" w:rsidRDefault="00E577A4" w14:paraId="5631A93D" w14:textId="77777777"/>
    <w:sectPr w:rsidRPr="00E577A4" w:rsidR="00E577A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A5F"/>
    <w:multiLevelType w:val="hybridMultilevel"/>
    <w:tmpl w:val="8C6218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77957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C8E"/>
    <w:rsid w:val="000A4C7F"/>
    <w:rsid w:val="00211479"/>
    <w:rsid w:val="00224022"/>
    <w:rsid w:val="002801A0"/>
    <w:rsid w:val="002A5C0E"/>
    <w:rsid w:val="002A71C5"/>
    <w:rsid w:val="004014AC"/>
    <w:rsid w:val="004F141B"/>
    <w:rsid w:val="00683C8E"/>
    <w:rsid w:val="006866F0"/>
    <w:rsid w:val="006D6BD2"/>
    <w:rsid w:val="0078696E"/>
    <w:rsid w:val="007E1CF1"/>
    <w:rsid w:val="008F392A"/>
    <w:rsid w:val="008F4631"/>
    <w:rsid w:val="009B742E"/>
    <w:rsid w:val="00A9154B"/>
    <w:rsid w:val="00B0707F"/>
    <w:rsid w:val="00C60194"/>
    <w:rsid w:val="00C65771"/>
    <w:rsid w:val="00E577A4"/>
    <w:rsid w:val="00FE7150"/>
    <w:rsid w:val="26E192E9"/>
    <w:rsid w:val="2AA1F50E"/>
    <w:rsid w:val="3CABCF8E"/>
    <w:rsid w:val="49E75609"/>
    <w:rsid w:val="6F0333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4C21E"/>
  <w15:chartTrackingRefBased/>
  <w15:docId w15:val="{FD6F8521-7245-4735-AF4A-4292B0AE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Arial" w:ascii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A4C7F"/>
    <w:pPr>
      <w:spacing w:after="0" w:line="480" w:lineRule="auto"/>
      <w:jc w:val="both"/>
    </w:pPr>
    <w:rPr>
      <w:rFonts w:ascii="Times New Roman" w:hAnsi="Times New Roman" w:cs="Arial"/>
      <w:kern w:val="0"/>
      <w:sz w:val="24"/>
      <w:lang w:val="en-GB" w:eastAsia="en-IN"/>
    </w:rPr>
  </w:style>
  <w:style w:type="paragraph" w:styleId="Heading1">
    <w:name w:val="heading 1"/>
    <w:basedOn w:val="Normal"/>
    <w:next w:val="Normal"/>
    <w:link w:val="Heading1Char"/>
    <w:uiPriority w:val="9"/>
    <w:qFormat/>
    <w:rsid w:val="00FE7150"/>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014AC"/>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683C8E"/>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C8E"/>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C8E"/>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C8E"/>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C8E"/>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C8E"/>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C8E"/>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E7150"/>
    <w:rPr>
      <w:rFonts w:ascii="Times New Roman" w:hAnsi="Times New Roman" w:eastAsiaTheme="majorEastAsia" w:cstheme="majorBidi"/>
      <w:b/>
      <w:color w:val="000000" w:themeColor="text1"/>
      <w:sz w:val="28"/>
      <w:szCs w:val="32"/>
      <w:lang w:val="en-GB"/>
    </w:rPr>
  </w:style>
  <w:style w:type="character" w:styleId="Heading2Char" w:customStyle="1">
    <w:name w:val="Heading 2 Char"/>
    <w:basedOn w:val="DefaultParagraphFont"/>
    <w:link w:val="Heading2"/>
    <w:uiPriority w:val="9"/>
    <w:rsid w:val="004014AC"/>
    <w:rPr>
      <w:rFonts w:ascii="Times New Roman" w:hAnsi="Times New Roman" w:eastAsiaTheme="majorEastAsia" w:cstheme="majorBidi"/>
      <w:b/>
      <w:color w:val="000000" w:themeColor="text1"/>
      <w:sz w:val="24"/>
      <w:szCs w:val="26"/>
      <w:lang w:val="en-GB"/>
    </w:rPr>
  </w:style>
  <w:style w:type="character" w:styleId="Heading3Char" w:customStyle="1">
    <w:name w:val="Heading 3 Char"/>
    <w:basedOn w:val="DefaultParagraphFont"/>
    <w:link w:val="Heading3"/>
    <w:uiPriority w:val="9"/>
    <w:semiHidden/>
    <w:rsid w:val="00683C8E"/>
    <w:rPr>
      <w:rFonts w:eastAsiaTheme="majorEastAsia" w:cstheme="majorBidi"/>
      <w:color w:val="2F5496" w:themeColor="accent1" w:themeShade="BF"/>
      <w:kern w:val="0"/>
      <w:sz w:val="28"/>
      <w:szCs w:val="28"/>
      <w:lang w:val="en-GB" w:eastAsia="en-IN"/>
    </w:rPr>
  </w:style>
  <w:style w:type="character" w:styleId="Heading4Char" w:customStyle="1">
    <w:name w:val="Heading 4 Char"/>
    <w:basedOn w:val="DefaultParagraphFont"/>
    <w:link w:val="Heading4"/>
    <w:uiPriority w:val="9"/>
    <w:semiHidden/>
    <w:rsid w:val="00683C8E"/>
    <w:rPr>
      <w:rFonts w:eastAsiaTheme="majorEastAsia" w:cstheme="majorBidi"/>
      <w:i/>
      <w:iCs/>
      <w:color w:val="2F5496" w:themeColor="accent1" w:themeShade="BF"/>
      <w:kern w:val="0"/>
      <w:sz w:val="24"/>
      <w:lang w:val="en-GB" w:eastAsia="en-IN"/>
    </w:rPr>
  </w:style>
  <w:style w:type="character" w:styleId="Heading5Char" w:customStyle="1">
    <w:name w:val="Heading 5 Char"/>
    <w:basedOn w:val="DefaultParagraphFont"/>
    <w:link w:val="Heading5"/>
    <w:uiPriority w:val="9"/>
    <w:semiHidden/>
    <w:rsid w:val="00683C8E"/>
    <w:rPr>
      <w:rFonts w:eastAsiaTheme="majorEastAsia" w:cstheme="majorBidi"/>
      <w:color w:val="2F5496" w:themeColor="accent1" w:themeShade="BF"/>
      <w:kern w:val="0"/>
      <w:sz w:val="24"/>
      <w:lang w:val="en-GB" w:eastAsia="en-IN"/>
    </w:rPr>
  </w:style>
  <w:style w:type="character" w:styleId="Heading6Char" w:customStyle="1">
    <w:name w:val="Heading 6 Char"/>
    <w:basedOn w:val="DefaultParagraphFont"/>
    <w:link w:val="Heading6"/>
    <w:uiPriority w:val="9"/>
    <w:semiHidden/>
    <w:rsid w:val="00683C8E"/>
    <w:rPr>
      <w:rFonts w:eastAsiaTheme="majorEastAsia" w:cstheme="majorBidi"/>
      <w:i/>
      <w:iCs/>
      <w:color w:val="595959" w:themeColor="text1" w:themeTint="A6"/>
      <w:kern w:val="0"/>
      <w:sz w:val="24"/>
      <w:lang w:val="en-GB" w:eastAsia="en-IN"/>
    </w:rPr>
  </w:style>
  <w:style w:type="character" w:styleId="Heading7Char" w:customStyle="1">
    <w:name w:val="Heading 7 Char"/>
    <w:basedOn w:val="DefaultParagraphFont"/>
    <w:link w:val="Heading7"/>
    <w:uiPriority w:val="9"/>
    <w:semiHidden/>
    <w:rsid w:val="00683C8E"/>
    <w:rPr>
      <w:rFonts w:eastAsiaTheme="majorEastAsia" w:cstheme="majorBidi"/>
      <w:color w:val="595959" w:themeColor="text1" w:themeTint="A6"/>
      <w:kern w:val="0"/>
      <w:sz w:val="24"/>
      <w:lang w:val="en-GB" w:eastAsia="en-IN"/>
    </w:rPr>
  </w:style>
  <w:style w:type="character" w:styleId="Heading8Char" w:customStyle="1">
    <w:name w:val="Heading 8 Char"/>
    <w:basedOn w:val="DefaultParagraphFont"/>
    <w:link w:val="Heading8"/>
    <w:uiPriority w:val="9"/>
    <w:semiHidden/>
    <w:rsid w:val="00683C8E"/>
    <w:rPr>
      <w:rFonts w:eastAsiaTheme="majorEastAsia" w:cstheme="majorBidi"/>
      <w:i/>
      <w:iCs/>
      <w:color w:val="272727" w:themeColor="text1" w:themeTint="D8"/>
      <w:kern w:val="0"/>
      <w:sz w:val="24"/>
      <w:lang w:val="en-GB" w:eastAsia="en-IN"/>
    </w:rPr>
  </w:style>
  <w:style w:type="character" w:styleId="Heading9Char" w:customStyle="1">
    <w:name w:val="Heading 9 Char"/>
    <w:basedOn w:val="DefaultParagraphFont"/>
    <w:link w:val="Heading9"/>
    <w:uiPriority w:val="9"/>
    <w:semiHidden/>
    <w:rsid w:val="00683C8E"/>
    <w:rPr>
      <w:rFonts w:eastAsiaTheme="majorEastAsia" w:cstheme="majorBidi"/>
      <w:color w:val="272727" w:themeColor="text1" w:themeTint="D8"/>
      <w:kern w:val="0"/>
      <w:sz w:val="24"/>
      <w:lang w:val="en-GB" w:eastAsia="en-IN"/>
    </w:rPr>
  </w:style>
  <w:style w:type="paragraph" w:styleId="Title">
    <w:name w:val="Title"/>
    <w:basedOn w:val="Normal"/>
    <w:next w:val="Normal"/>
    <w:link w:val="TitleChar"/>
    <w:uiPriority w:val="10"/>
    <w:qFormat/>
    <w:rsid w:val="00683C8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83C8E"/>
    <w:rPr>
      <w:rFonts w:asciiTheme="majorHAnsi" w:hAnsiTheme="majorHAnsi" w:eastAsiaTheme="majorEastAsia" w:cstheme="majorBidi"/>
      <w:spacing w:val="-10"/>
      <w:kern w:val="28"/>
      <w:sz w:val="56"/>
      <w:szCs w:val="56"/>
      <w:lang w:val="en-GB" w:eastAsia="en-IN"/>
    </w:rPr>
  </w:style>
  <w:style w:type="paragraph" w:styleId="Subtitle">
    <w:name w:val="Subtitle"/>
    <w:basedOn w:val="Normal"/>
    <w:next w:val="Normal"/>
    <w:link w:val="SubtitleChar"/>
    <w:uiPriority w:val="11"/>
    <w:qFormat/>
    <w:rsid w:val="00683C8E"/>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83C8E"/>
    <w:rPr>
      <w:rFonts w:eastAsiaTheme="majorEastAsia" w:cstheme="majorBidi"/>
      <w:color w:val="595959" w:themeColor="text1" w:themeTint="A6"/>
      <w:spacing w:val="15"/>
      <w:kern w:val="0"/>
      <w:sz w:val="28"/>
      <w:szCs w:val="28"/>
      <w:lang w:val="en-GB" w:eastAsia="en-IN"/>
    </w:rPr>
  </w:style>
  <w:style w:type="paragraph" w:styleId="Quote">
    <w:name w:val="Quote"/>
    <w:basedOn w:val="Normal"/>
    <w:next w:val="Normal"/>
    <w:link w:val="QuoteChar"/>
    <w:uiPriority w:val="29"/>
    <w:qFormat/>
    <w:rsid w:val="00683C8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683C8E"/>
    <w:rPr>
      <w:rFonts w:ascii="Times New Roman" w:hAnsi="Times New Roman" w:cs="Arial"/>
      <w:i/>
      <w:iCs/>
      <w:color w:val="404040" w:themeColor="text1" w:themeTint="BF"/>
      <w:kern w:val="0"/>
      <w:sz w:val="24"/>
      <w:lang w:val="en-GB" w:eastAsia="en-IN"/>
    </w:rPr>
  </w:style>
  <w:style w:type="paragraph" w:styleId="ListParagraph">
    <w:name w:val="List Paragraph"/>
    <w:basedOn w:val="Normal"/>
    <w:uiPriority w:val="34"/>
    <w:qFormat/>
    <w:rsid w:val="00683C8E"/>
    <w:pPr>
      <w:ind w:left="720"/>
      <w:contextualSpacing/>
    </w:pPr>
  </w:style>
  <w:style w:type="character" w:styleId="IntenseEmphasis">
    <w:name w:val="Intense Emphasis"/>
    <w:basedOn w:val="DefaultParagraphFont"/>
    <w:uiPriority w:val="21"/>
    <w:qFormat/>
    <w:rsid w:val="00683C8E"/>
    <w:rPr>
      <w:i/>
      <w:iCs/>
      <w:color w:val="2F5496" w:themeColor="accent1" w:themeShade="BF"/>
    </w:rPr>
  </w:style>
  <w:style w:type="paragraph" w:styleId="IntenseQuote">
    <w:name w:val="Intense Quote"/>
    <w:basedOn w:val="Normal"/>
    <w:next w:val="Normal"/>
    <w:link w:val="IntenseQuoteChar"/>
    <w:uiPriority w:val="30"/>
    <w:qFormat/>
    <w:rsid w:val="00683C8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83C8E"/>
    <w:rPr>
      <w:rFonts w:ascii="Times New Roman" w:hAnsi="Times New Roman" w:cs="Arial"/>
      <w:i/>
      <w:iCs/>
      <w:color w:val="2F5496" w:themeColor="accent1" w:themeShade="BF"/>
      <w:kern w:val="0"/>
      <w:sz w:val="24"/>
      <w:lang w:val="en-GB" w:eastAsia="en-IN"/>
    </w:rPr>
  </w:style>
  <w:style w:type="character" w:styleId="IntenseReference">
    <w:name w:val="Intense Reference"/>
    <w:basedOn w:val="DefaultParagraphFont"/>
    <w:uiPriority w:val="32"/>
    <w:qFormat/>
    <w:rsid w:val="00683C8E"/>
    <w:rPr>
      <w:b/>
      <w:bCs/>
      <w:smallCaps/>
      <w:color w:val="2F5496" w:themeColor="accent1" w:themeShade="BF"/>
      <w:spacing w:val="5"/>
    </w:rPr>
  </w:style>
  <w:style w:type="character" w:styleId="Hyperlink">
    <w:name w:val="Hyperlink"/>
    <w:basedOn w:val="DefaultParagraphFont"/>
    <w:uiPriority w:val="99"/>
    <w:unhideWhenUsed/>
    <w:rsid w:val="004F141B"/>
    <w:rPr>
      <w:color w:val="0563C1" w:themeColor="hyperlink"/>
      <w:u w:val="single"/>
    </w:rPr>
  </w:style>
  <w:style w:type="character" w:styleId="UnresolvedMention">
    <w:name w:val="Unresolved Mention"/>
    <w:basedOn w:val="DefaultParagraphFont"/>
    <w:uiPriority w:val="99"/>
    <w:semiHidden/>
    <w:unhideWhenUsed/>
    <w:rsid w:val="004F1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infohostels.com/notizia.php?chiave=2700" TargetMode="External" Id="rId8" /><Relationship Type="http://schemas.openxmlformats.org/officeDocument/2006/relationships/hyperlink" Target="https://www.emerald.com/jsma/article/18/2/410/1247366" TargetMode="External" Id="rId13" /><Relationship Type="http://schemas.openxmlformats.org/officeDocument/2006/relationships/hyperlink" Target="https://www.bigissue.com/"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link.springer.com/article/10.1007/s11135-026-02834-7" TargetMode="External" Id="rId7" /><Relationship Type="http://schemas.openxmlformats.org/officeDocument/2006/relationships/hyperlink" Target="https://openresearch.surrey.ac.uk/view/pdfCoverPage?instCode=44SUR_INST&amp;filePid=13168900530002346&amp;download=true" TargetMode="External" Id="rId12" /><Relationship Type="http://schemas.openxmlformats.org/officeDocument/2006/relationships/hyperlink" Target="https://belu.org/" TargetMode="External" Id="rId17" /><Relationship Type="http://schemas.openxmlformats.org/officeDocument/2006/relationships/styles" Target="styles.xml" Id="rId2" /><Relationship Type="http://schemas.openxmlformats.org/officeDocument/2006/relationships/hyperlink" Target="https://revista.domhelder.edu.br/index.php/veredas/article/download/7281/28587" TargetMode="External" Id="rId16" /><Relationship Type="http://schemas.openxmlformats.org/officeDocument/2006/relationships/hyperlink" Target="https://link.springer.com/chapter/10.1007/978-3-031-87841-1_2" TargetMode="External" Id="rId20" /><Relationship Type="http://schemas.openxmlformats.org/officeDocument/2006/relationships/numbering" Target="numbering.xml" Id="rId1" /><Relationship Type="http://schemas.openxmlformats.org/officeDocument/2006/relationships/hyperlink" Target="https://www.academia.edu/download/131877271/clgrv7i2p2.pdf" TargetMode="External" Id="rId6" /><Relationship Type="http://schemas.openxmlformats.org/officeDocument/2006/relationships/hyperlink" Target="https://essuir.sumdu.edu.ua/bitstreams/35560a00-7209-4b4f-a9a0-c1dfa13d67a4/download" TargetMode="External" Id="rId11" /><Relationship Type="http://schemas.openxmlformats.org/officeDocument/2006/relationships/image" Target="media/image1.png" Id="rId5" /><Relationship Type="http://schemas.openxmlformats.org/officeDocument/2006/relationships/hyperlink" Target="https://www.researchgate.net/profile/Dina-Novita-6/publication/370765611_Proceeding_International_Conference_on_Economic_Business_Management_and_Accounting_ICOEMA-2022_Program_Studi_Doktor_Ilmu_Ekonomi_Resources-Based_View_RBV_as_A_Strategy_of_Company_Competitive_Advantage/links/6461ee74434e26474fe93da0/Proceeding-International-Conference-on-Economic-Business-Management-and-Accounting-ICOEMA-2022-Program-Studi-Doktor-Ilmu-Ekonomi-Resources-Based-View-RBV-as-A-Strategy-of-Company-Competitive-Advantag.pdf" TargetMode="External" Id="rId15" /><Relationship Type="http://schemas.openxmlformats.org/officeDocument/2006/relationships/hyperlink" Target="https://shop.greyston.org/" TargetMode="External" Id="rId10" /><Relationship Type="http://schemas.openxmlformats.org/officeDocument/2006/relationships/hyperlink" Target="https://www.frontiersin.org/journals/sustainability/articles/10.3389/frsus.2025.1528514/pdf" TargetMode="External" Id="rId19" /><Relationship Type="http://schemas.openxmlformats.org/officeDocument/2006/relationships/webSettings" Target="webSettings.xml" Id="rId4" /><Relationship Type="http://schemas.openxmlformats.org/officeDocument/2006/relationships/hyperlink" Target="https://changeplease.org/" TargetMode="External" Id="rId9" /><Relationship Type="http://schemas.openxmlformats.org/officeDocument/2006/relationships/hyperlink" Target="https://link.springer.com/content/pdf/10.1007/978-3-030-66252-3_3932.pdf"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Sreetama Basu Roy</dc:creator>
  <keywords/>
  <dc:description/>
  <lastModifiedBy>Somerda Iancu (2519996)</lastModifiedBy>
  <revision>3</revision>
  <dcterms:created xsi:type="dcterms:W3CDTF">2026-07-24T20:59:00.0000000Z</dcterms:created>
  <dcterms:modified xsi:type="dcterms:W3CDTF">2026-07-24T21:01:59.6465348Z</dcterms:modified>
</coreProperties>
</file>