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C53E2" w14:textId="77777777" w:rsidR="00DF699A" w:rsidRDefault="00DF699A" w:rsidP="00DF699A">
      <w:pPr>
        <w:spacing w:after="240" w:line="360" w:lineRule="auto"/>
        <w:jc w:val="center"/>
        <w:rPr>
          <w:rFonts w:ascii="Times New Roman" w:eastAsia="Times New Roman" w:hAnsi="Times New Roman" w:cs="Times New Roman"/>
          <w:b/>
          <w:color w:val="222222"/>
          <w:sz w:val="32"/>
          <w:szCs w:val="32"/>
          <w:lang w:val="en-GB"/>
        </w:rPr>
      </w:pPr>
    </w:p>
    <w:p w14:paraId="64BE0741" w14:textId="77777777" w:rsidR="00DF699A" w:rsidRDefault="00DF699A" w:rsidP="00DF699A">
      <w:pPr>
        <w:spacing w:after="240" w:line="360" w:lineRule="auto"/>
        <w:jc w:val="center"/>
        <w:rPr>
          <w:rFonts w:ascii="Times New Roman" w:eastAsia="Times New Roman" w:hAnsi="Times New Roman" w:cs="Times New Roman"/>
          <w:b/>
          <w:color w:val="222222"/>
          <w:sz w:val="32"/>
          <w:szCs w:val="32"/>
          <w:lang w:val="en-GB"/>
        </w:rPr>
      </w:pPr>
    </w:p>
    <w:p w14:paraId="6C5A73F2" w14:textId="77777777" w:rsidR="00DF699A" w:rsidRDefault="00DF699A" w:rsidP="00DF699A">
      <w:pPr>
        <w:spacing w:after="240" w:line="360" w:lineRule="auto"/>
        <w:jc w:val="center"/>
        <w:rPr>
          <w:rFonts w:ascii="Times New Roman" w:eastAsia="Times New Roman" w:hAnsi="Times New Roman" w:cs="Times New Roman"/>
          <w:b/>
          <w:color w:val="222222"/>
          <w:sz w:val="32"/>
          <w:szCs w:val="32"/>
          <w:lang w:val="en-GB"/>
        </w:rPr>
      </w:pPr>
    </w:p>
    <w:p w14:paraId="7020307E" w14:textId="77777777" w:rsidR="00DF699A" w:rsidRDefault="00DF699A" w:rsidP="00DF699A">
      <w:pPr>
        <w:spacing w:after="240" w:line="360" w:lineRule="auto"/>
        <w:jc w:val="center"/>
        <w:rPr>
          <w:rFonts w:ascii="Times New Roman" w:eastAsia="Times New Roman" w:hAnsi="Times New Roman" w:cs="Times New Roman"/>
          <w:b/>
          <w:color w:val="222222"/>
          <w:sz w:val="32"/>
          <w:szCs w:val="32"/>
          <w:lang w:val="en-GB"/>
        </w:rPr>
      </w:pPr>
    </w:p>
    <w:p w14:paraId="4EA4EAAA" w14:textId="37EC1FC8" w:rsidR="00DF699A" w:rsidRDefault="00000000" w:rsidP="00DF699A">
      <w:pPr>
        <w:spacing w:after="240" w:line="360" w:lineRule="auto"/>
        <w:jc w:val="center"/>
        <w:rPr>
          <w:rFonts w:ascii="Times New Roman" w:eastAsia="Times New Roman" w:hAnsi="Times New Roman" w:cs="Times New Roman"/>
          <w:b/>
          <w:color w:val="222222"/>
          <w:sz w:val="32"/>
          <w:szCs w:val="32"/>
          <w:lang w:val="en-GB"/>
        </w:rPr>
      </w:pPr>
      <w:r w:rsidRPr="00DF699A">
        <w:rPr>
          <w:rFonts w:ascii="Times New Roman" w:eastAsia="Times New Roman" w:hAnsi="Times New Roman" w:cs="Times New Roman"/>
          <w:b/>
          <w:color w:val="222222"/>
          <w:sz w:val="32"/>
          <w:szCs w:val="32"/>
          <w:lang w:val="en-GB"/>
        </w:rPr>
        <w:t>Component 1: Essay</w:t>
      </w:r>
    </w:p>
    <w:p w14:paraId="788C0130" w14:textId="77777777" w:rsidR="00DF699A" w:rsidRDefault="00000000">
      <w:pP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br w:type="page"/>
      </w:r>
    </w:p>
    <w:sdt>
      <w:sdtPr>
        <w:rPr>
          <w:rFonts w:ascii="Arial" w:eastAsia="Arial" w:hAnsi="Arial" w:cs="Arial"/>
          <w:color w:val="auto"/>
          <w:sz w:val="22"/>
          <w:szCs w:val="22"/>
          <w:lang w:val="en" w:eastAsia="en-IN"/>
        </w:rPr>
        <w:id w:val="-1945067185"/>
        <w:docPartObj>
          <w:docPartGallery w:val="Table of Contents"/>
          <w:docPartUnique/>
        </w:docPartObj>
      </w:sdtPr>
      <w:sdtEndPr>
        <w:rPr>
          <w:b/>
          <w:bCs/>
          <w:noProof/>
        </w:rPr>
      </w:sdtEndPr>
      <w:sdtContent>
        <w:p w14:paraId="46ECE37E" w14:textId="3CB6A5EF" w:rsidR="00DF699A" w:rsidRPr="00DF699A" w:rsidRDefault="00000000" w:rsidP="00DF699A">
          <w:pPr>
            <w:pStyle w:val="TOCHeading"/>
            <w:spacing w:line="360" w:lineRule="auto"/>
            <w:jc w:val="center"/>
            <w:rPr>
              <w:rFonts w:ascii="Times New Roman" w:hAnsi="Times New Roman" w:cs="Times New Roman"/>
              <w:b/>
              <w:bCs/>
              <w:color w:val="000000" w:themeColor="text1"/>
              <w:sz w:val="28"/>
              <w:szCs w:val="28"/>
            </w:rPr>
          </w:pPr>
          <w:r w:rsidRPr="00DF699A">
            <w:rPr>
              <w:rFonts w:ascii="Times New Roman" w:hAnsi="Times New Roman" w:cs="Times New Roman"/>
              <w:b/>
              <w:bCs/>
              <w:color w:val="000000" w:themeColor="text1"/>
              <w:sz w:val="28"/>
              <w:szCs w:val="28"/>
            </w:rPr>
            <w:t>Table of Contents</w:t>
          </w:r>
        </w:p>
        <w:p w14:paraId="5AA5F2AC" w14:textId="6D1A6D79" w:rsidR="00DF699A" w:rsidRPr="00DF699A" w:rsidRDefault="00000000" w:rsidP="00DF699A">
          <w:pPr>
            <w:pStyle w:val="TOC1"/>
            <w:tabs>
              <w:tab w:val="right" w:leader="dot" w:pos="9350"/>
            </w:tabs>
            <w:spacing w:line="360" w:lineRule="auto"/>
            <w:jc w:val="both"/>
            <w:rPr>
              <w:rFonts w:ascii="Times New Roman" w:hAnsi="Times New Roman" w:cs="Times New Roman"/>
              <w:noProof/>
              <w:sz w:val="24"/>
              <w:szCs w:val="24"/>
            </w:rPr>
          </w:pPr>
          <w:r w:rsidRPr="00DF699A">
            <w:rPr>
              <w:rFonts w:ascii="Times New Roman" w:hAnsi="Times New Roman" w:cs="Times New Roman"/>
              <w:sz w:val="24"/>
              <w:szCs w:val="24"/>
            </w:rPr>
            <w:fldChar w:fldCharType="begin"/>
          </w:r>
          <w:r w:rsidRPr="00DF699A">
            <w:rPr>
              <w:rFonts w:ascii="Times New Roman" w:hAnsi="Times New Roman" w:cs="Times New Roman"/>
              <w:sz w:val="24"/>
              <w:szCs w:val="24"/>
            </w:rPr>
            <w:instrText xml:space="preserve"> TOC \o "1-3" \h \z \u </w:instrText>
          </w:r>
          <w:r w:rsidRPr="00DF699A">
            <w:rPr>
              <w:rFonts w:ascii="Times New Roman" w:hAnsi="Times New Roman" w:cs="Times New Roman"/>
              <w:sz w:val="24"/>
              <w:szCs w:val="24"/>
            </w:rPr>
            <w:fldChar w:fldCharType="separate"/>
          </w:r>
          <w:hyperlink w:anchor="_Toc152266071" w:history="1">
            <w:r w:rsidRPr="00DF699A">
              <w:rPr>
                <w:rStyle w:val="Hyperlink"/>
                <w:rFonts w:ascii="Times New Roman" w:hAnsi="Times New Roman" w:cs="Times New Roman"/>
                <w:noProof/>
                <w:sz w:val="24"/>
                <w:szCs w:val="24"/>
                <w:highlight w:val="white"/>
                <w:lang w:val="en-GB"/>
              </w:rPr>
              <w:t>Introduction</w:t>
            </w:r>
            <w:r w:rsidRPr="00DF699A">
              <w:rPr>
                <w:rFonts w:ascii="Times New Roman" w:hAnsi="Times New Roman" w:cs="Times New Roman"/>
                <w:noProof/>
                <w:webHidden/>
                <w:sz w:val="24"/>
                <w:szCs w:val="24"/>
              </w:rPr>
              <w:tab/>
            </w:r>
            <w:r w:rsidRPr="00DF699A">
              <w:rPr>
                <w:rFonts w:ascii="Times New Roman" w:hAnsi="Times New Roman" w:cs="Times New Roman"/>
                <w:noProof/>
                <w:webHidden/>
                <w:sz w:val="24"/>
                <w:szCs w:val="24"/>
              </w:rPr>
              <w:fldChar w:fldCharType="begin"/>
            </w:r>
            <w:r w:rsidRPr="00DF699A">
              <w:rPr>
                <w:rFonts w:ascii="Times New Roman" w:hAnsi="Times New Roman" w:cs="Times New Roman"/>
                <w:noProof/>
                <w:webHidden/>
                <w:sz w:val="24"/>
                <w:szCs w:val="24"/>
              </w:rPr>
              <w:instrText xml:space="preserve"> PAGEREF _Toc152266071 \h </w:instrText>
            </w:r>
            <w:r w:rsidRPr="00DF699A">
              <w:rPr>
                <w:rFonts w:ascii="Times New Roman" w:hAnsi="Times New Roman" w:cs="Times New Roman"/>
                <w:noProof/>
                <w:webHidden/>
                <w:sz w:val="24"/>
                <w:szCs w:val="24"/>
              </w:rPr>
            </w:r>
            <w:r w:rsidRPr="00DF699A">
              <w:rPr>
                <w:rFonts w:ascii="Times New Roman" w:hAnsi="Times New Roman" w:cs="Times New Roman"/>
                <w:noProof/>
                <w:webHidden/>
                <w:sz w:val="24"/>
                <w:szCs w:val="24"/>
              </w:rPr>
              <w:fldChar w:fldCharType="separate"/>
            </w:r>
            <w:r w:rsidRPr="00DF699A">
              <w:rPr>
                <w:rFonts w:ascii="Times New Roman" w:hAnsi="Times New Roman" w:cs="Times New Roman"/>
                <w:noProof/>
                <w:webHidden/>
                <w:sz w:val="24"/>
                <w:szCs w:val="24"/>
              </w:rPr>
              <w:t>3</w:t>
            </w:r>
            <w:r w:rsidRPr="00DF699A">
              <w:rPr>
                <w:rFonts w:ascii="Times New Roman" w:hAnsi="Times New Roman" w:cs="Times New Roman"/>
                <w:noProof/>
                <w:webHidden/>
                <w:sz w:val="24"/>
                <w:szCs w:val="24"/>
              </w:rPr>
              <w:fldChar w:fldCharType="end"/>
            </w:r>
          </w:hyperlink>
        </w:p>
        <w:p w14:paraId="2B5BA320" w14:textId="3BF7686F" w:rsidR="00DF699A" w:rsidRPr="00DF699A" w:rsidRDefault="00000000" w:rsidP="00DF699A">
          <w:pPr>
            <w:pStyle w:val="TOC1"/>
            <w:tabs>
              <w:tab w:val="right" w:leader="dot" w:pos="9350"/>
            </w:tabs>
            <w:spacing w:line="360" w:lineRule="auto"/>
            <w:jc w:val="both"/>
            <w:rPr>
              <w:rFonts w:ascii="Times New Roman" w:hAnsi="Times New Roman" w:cs="Times New Roman"/>
              <w:noProof/>
              <w:sz w:val="24"/>
              <w:szCs w:val="24"/>
            </w:rPr>
          </w:pPr>
          <w:hyperlink w:anchor="_Toc152266072" w:history="1">
            <w:r w:rsidRPr="00DF699A">
              <w:rPr>
                <w:rStyle w:val="Hyperlink"/>
                <w:rFonts w:ascii="Times New Roman" w:hAnsi="Times New Roman" w:cs="Times New Roman"/>
                <w:noProof/>
                <w:sz w:val="24"/>
                <w:szCs w:val="24"/>
                <w:highlight w:val="white"/>
                <w:lang w:val="en-GB"/>
              </w:rPr>
              <w:t>Discussion</w:t>
            </w:r>
            <w:r w:rsidRPr="00DF699A">
              <w:rPr>
                <w:rFonts w:ascii="Times New Roman" w:hAnsi="Times New Roman" w:cs="Times New Roman"/>
                <w:noProof/>
                <w:webHidden/>
                <w:sz w:val="24"/>
                <w:szCs w:val="24"/>
              </w:rPr>
              <w:tab/>
            </w:r>
            <w:r w:rsidRPr="00DF699A">
              <w:rPr>
                <w:rFonts w:ascii="Times New Roman" w:hAnsi="Times New Roman" w:cs="Times New Roman"/>
                <w:noProof/>
                <w:webHidden/>
                <w:sz w:val="24"/>
                <w:szCs w:val="24"/>
              </w:rPr>
              <w:fldChar w:fldCharType="begin"/>
            </w:r>
            <w:r w:rsidRPr="00DF699A">
              <w:rPr>
                <w:rFonts w:ascii="Times New Roman" w:hAnsi="Times New Roman" w:cs="Times New Roman"/>
                <w:noProof/>
                <w:webHidden/>
                <w:sz w:val="24"/>
                <w:szCs w:val="24"/>
              </w:rPr>
              <w:instrText xml:space="preserve"> PAGEREF _Toc152266072 \h </w:instrText>
            </w:r>
            <w:r w:rsidRPr="00DF699A">
              <w:rPr>
                <w:rFonts w:ascii="Times New Roman" w:hAnsi="Times New Roman" w:cs="Times New Roman"/>
                <w:noProof/>
                <w:webHidden/>
                <w:sz w:val="24"/>
                <w:szCs w:val="24"/>
              </w:rPr>
            </w:r>
            <w:r w:rsidRPr="00DF699A">
              <w:rPr>
                <w:rFonts w:ascii="Times New Roman" w:hAnsi="Times New Roman" w:cs="Times New Roman"/>
                <w:noProof/>
                <w:webHidden/>
                <w:sz w:val="24"/>
                <w:szCs w:val="24"/>
              </w:rPr>
              <w:fldChar w:fldCharType="separate"/>
            </w:r>
            <w:r w:rsidRPr="00DF699A">
              <w:rPr>
                <w:rFonts w:ascii="Times New Roman" w:hAnsi="Times New Roman" w:cs="Times New Roman"/>
                <w:noProof/>
                <w:webHidden/>
                <w:sz w:val="24"/>
                <w:szCs w:val="24"/>
              </w:rPr>
              <w:t>3</w:t>
            </w:r>
            <w:r w:rsidRPr="00DF699A">
              <w:rPr>
                <w:rFonts w:ascii="Times New Roman" w:hAnsi="Times New Roman" w:cs="Times New Roman"/>
                <w:noProof/>
                <w:webHidden/>
                <w:sz w:val="24"/>
                <w:szCs w:val="24"/>
              </w:rPr>
              <w:fldChar w:fldCharType="end"/>
            </w:r>
          </w:hyperlink>
        </w:p>
        <w:p w14:paraId="758DD904" w14:textId="321FD053" w:rsidR="00DF699A" w:rsidRPr="00DF699A" w:rsidRDefault="00000000" w:rsidP="00DF699A">
          <w:pPr>
            <w:pStyle w:val="TOC1"/>
            <w:tabs>
              <w:tab w:val="right" w:leader="dot" w:pos="9350"/>
            </w:tabs>
            <w:spacing w:line="360" w:lineRule="auto"/>
            <w:jc w:val="both"/>
            <w:rPr>
              <w:rFonts w:ascii="Times New Roman" w:hAnsi="Times New Roman" w:cs="Times New Roman"/>
              <w:noProof/>
              <w:sz w:val="24"/>
              <w:szCs w:val="24"/>
            </w:rPr>
          </w:pPr>
          <w:hyperlink w:anchor="_Toc152266073" w:history="1">
            <w:r w:rsidRPr="00DF699A">
              <w:rPr>
                <w:rStyle w:val="Hyperlink"/>
                <w:rFonts w:ascii="Times New Roman" w:hAnsi="Times New Roman" w:cs="Times New Roman"/>
                <w:noProof/>
                <w:sz w:val="24"/>
                <w:szCs w:val="24"/>
                <w:highlight w:val="white"/>
                <w:lang w:val="en-GB"/>
              </w:rPr>
              <w:t>Conclusion and Recommendations</w:t>
            </w:r>
            <w:r w:rsidRPr="00DF699A">
              <w:rPr>
                <w:rFonts w:ascii="Times New Roman" w:hAnsi="Times New Roman" w:cs="Times New Roman"/>
                <w:noProof/>
                <w:webHidden/>
                <w:sz w:val="24"/>
                <w:szCs w:val="24"/>
              </w:rPr>
              <w:tab/>
            </w:r>
            <w:r w:rsidRPr="00DF699A">
              <w:rPr>
                <w:rFonts w:ascii="Times New Roman" w:hAnsi="Times New Roman" w:cs="Times New Roman"/>
                <w:noProof/>
                <w:webHidden/>
                <w:sz w:val="24"/>
                <w:szCs w:val="24"/>
              </w:rPr>
              <w:fldChar w:fldCharType="begin"/>
            </w:r>
            <w:r w:rsidRPr="00DF699A">
              <w:rPr>
                <w:rFonts w:ascii="Times New Roman" w:hAnsi="Times New Roman" w:cs="Times New Roman"/>
                <w:noProof/>
                <w:webHidden/>
                <w:sz w:val="24"/>
                <w:szCs w:val="24"/>
              </w:rPr>
              <w:instrText xml:space="preserve"> PAGEREF _Toc152266073 \h </w:instrText>
            </w:r>
            <w:r w:rsidRPr="00DF699A">
              <w:rPr>
                <w:rFonts w:ascii="Times New Roman" w:hAnsi="Times New Roman" w:cs="Times New Roman"/>
                <w:noProof/>
                <w:webHidden/>
                <w:sz w:val="24"/>
                <w:szCs w:val="24"/>
              </w:rPr>
            </w:r>
            <w:r w:rsidRPr="00DF699A">
              <w:rPr>
                <w:rFonts w:ascii="Times New Roman" w:hAnsi="Times New Roman" w:cs="Times New Roman"/>
                <w:noProof/>
                <w:webHidden/>
                <w:sz w:val="24"/>
                <w:szCs w:val="24"/>
              </w:rPr>
              <w:fldChar w:fldCharType="separate"/>
            </w:r>
            <w:r w:rsidRPr="00DF699A">
              <w:rPr>
                <w:rFonts w:ascii="Times New Roman" w:hAnsi="Times New Roman" w:cs="Times New Roman"/>
                <w:noProof/>
                <w:webHidden/>
                <w:sz w:val="24"/>
                <w:szCs w:val="24"/>
              </w:rPr>
              <w:t>8</w:t>
            </w:r>
            <w:r w:rsidRPr="00DF699A">
              <w:rPr>
                <w:rFonts w:ascii="Times New Roman" w:hAnsi="Times New Roman" w:cs="Times New Roman"/>
                <w:noProof/>
                <w:webHidden/>
                <w:sz w:val="24"/>
                <w:szCs w:val="24"/>
              </w:rPr>
              <w:fldChar w:fldCharType="end"/>
            </w:r>
          </w:hyperlink>
        </w:p>
        <w:p w14:paraId="5DCB58DA" w14:textId="3DC5049A" w:rsidR="00DF699A" w:rsidRPr="00DF699A" w:rsidRDefault="00000000" w:rsidP="00DF699A">
          <w:pPr>
            <w:pStyle w:val="TOC1"/>
            <w:tabs>
              <w:tab w:val="right" w:leader="dot" w:pos="9350"/>
            </w:tabs>
            <w:spacing w:line="360" w:lineRule="auto"/>
            <w:jc w:val="both"/>
            <w:rPr>
              <w:rFonts w:ascii="Times New Roman" w:hAnsi="Times New Roman" w:cs="Times New Roman"/>
              <w:noProof/>
              <w:sz w:val="24"/>
              <w:szCs w:val="24"/>
            </w:rPr>
          </w:pPr>
          <w:hyperlink w:anchor="_Toc152266074" w:history="1">
            <w:r w:rsidRPr="00DF699A">
              <w:rPr>
                <w:rStyle w:val="Hyperlink"/>
                <w:rFonts w:ascii="Times New Roman" w:hAnsi="Times New Roman" w:cs="Times New Roman"/>
                <w:noProof/>
                <w:sz w:val="24"/>
                <w:szCs w:val="24"/>
                <w:highlight w:val="white"/>
                <w:lang w:val="en-GB"/>
              </w:rPr>
              <w:t>Reference List</w:t>
            </w:r>
            <w:r w:rsidRPr="00DF699A">
              <w:rPr>
                <w:rFonts w:ascii="Times New Roman" w:hAnsi="Times New Roman" w:cs="Times New Roman"/>
                <w:noProof/>
                <w:webHidden/>
                <w:sz w:val="24"/>
                <w:szCs w:val="24"/>
              </w:rPr>
              <w:tab/>
            </w:r>
            <w:r w:rsidRPr="00DF699A">
              <w:rPr>
                <w:rFonts w:ascii="Times New Roman" w:hAnsi="Times New Roman" w:cs="Times New Roman"/>
                <w:noProof/>
                <w:webHidden/>
                <w:sz w:val="24"/>
                <w:szCs w:val="24"/>
              </w:rPr>
              <w:fldChar w:fldCharType="begin"/>
            </w:r>
            <w:r w:rsidRPr="00DF699A">
              <w:rPr>
                <w:rFonts w:ascii="Times New Roman" w:hAnsi="Times New Roman" w:cs="Times New Roman"/>
                <w:noProof/>
                <w:webHidden/>
                <w:sz w:val="24"/>
                <w:szCs w:val="24"/>
              </w:rPr>
              <w:instrText xml:space="preserve"> PAGEREF _Toc152266074 \h </w:instrText>
            </w:r>
            <w:r w:rsidRPr="00DF699A">
              <w:rPr>
                <w:rFonts w:ascii="Times New Roman" w:hAnsi="Times New Roman" w:cs="Times New Roman"/>
                <w:noProof/>
                <w:webHidden/>
                <w:sz w:val="24"/>
                <w:szCs w:val="24"/>
              </w:rPr>
            </w:r>
            <w:r w:rsidRPr="00DF699A">
              <w:rPr>
                <w:rFonts w:ascii="Times New Roman" w:hAnsi="Times New Roman" w:cs="Times New Roman"/>
                <w:noProof/>
                <w:webHidden/>
                <w:sz w:val="24"/>
                <w:szCs w:val="24"/>
              </w:rPr>
              <w:fldChar w:fldCharType="separate"/>
            </w:r>
            <w:r w:rsidRPr="00DF699A">
              <w:rPr>
                <w:rFonts w:ascii="Times New Roman" w:hAnsi="Times New Roman" w:cs="Times New Roman"/>
                <w:noProof/>
                <w:webHidden/>
                <w:sz w:val="24"/>
                <w:szCs w:val="24"/>
              </w:rPr>
              <w:t>10</w:t>
            </w:r>
            <w:r w:rsidRPr="00DF699A">
              <w:rPr>
                <w:rFonts w:ascii="Times New Roman" w:hAnsi="Times New Roman" w:cs="Times New Roman"/>
                <w:noProof/>
                <w:webHidden/>
                <w:sz w:val="24"/>
                <w:szCs w:val="24"/>
              </w:rPr>
              <w:fldChar w:fldCharType="end"/>
            </w:r>
          </w:hyperlink>
        </w:p>
        <w:p w14:paraId="08E02D72" w14:textId="4A4E6648" w:rsidR="00DF699A" w:rsidRDefault="00000000" w:rsidP="00DF699A">
          <w:pPr>
            <w:spacing w:line="360" w:lineRule="auto"/>
            <w:jc w:val="both"/>
          </w:pPr>
          <w:r w:rsidRPr="00DF699A">
            <w:rPr>
              <w:rFonts w:ascii="Times New Roman" w:hAnsi="Times New Roman" w:cs="Times New Roman"/>
              <w:b/>
              <w:bCs/>
              <w:noProof/>
              <w:sz w:val="24"/>
              <w:szCs w:val="24"/>
            </w:rPr>
            <w:fldChar w:fldCharType="end"/>
          </w:r>
        </w:p>
      </w:sdtContent>
    </w:sdt>
    <w:p w14:paraId="3C55856B" w14:textId="77777777" w:rsidR="00DF699A" w:rsidRDefault="00DF699A" w:rsidP="00DF699A">
      <w:pPr>
        <w:spacing w:after="240" w:line="360" w:lineRule="auto"/>
        <w:jc w:val="center"/>
        <w:rPr>
          <w:rFonts w:ascii="Times New Roman" w:eastAsia="Times New Roman" w:hAnsi="Times New Roman" w:cs="Times New Roman"/>
          <w:b/>
          <w:color w:val="222222"/>
          <w:sz w:val="32"/>
          <w:szCs w:val="32"/>
          <w:lang w:val="en-GB"/>
        </w:rPr>
      </w:pPr>
    </w:p>
    <w:p w14:paraId="178D3C6B" w14:textId="77777777" w:rsidR="00DF699A" w:rsidRDefault="00000000">
      <w:pP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br w:type="page"/>
      </w:r>
    </w:p>
    <w:p w14:paraId="00000001" w14:textId="5558E70E" w:rsidR="00163E16" w:rsidRPr="008D12DB" w:rsidRDefault="00000000" w:rsidP="00DF699A">
      <w:pPr>
        <w:pStyle w:val="Heading1"/>
        <w:rPr>
          <w:highlight w:val="white"/>
          <w:lang w:val="en-GB"/>
        </w:rPr>
      </w:pPr>
      <w:bookmarkStart w:id="0" w:name="_Toc152266071"/>
      <w:r w:rsidRPr="008D12DB">
        <w:rPr>
          <w:highlight w:val="white"/>
          <w:lang w:val="en-GB"/>
        </w:rPr>
        <w:lastRenderedPageBreak/>
        <w:t>Introduction</w:t>
      </w:r>
      <w:bookmarkEnd w:id="0"/>
      <w:r w:rsidRPr="008D12DB">
        <w:rPr>
          <w:highlight w:val="white"/>
          <w:lang w:val="en-GB"/>
        </w:rPr>
        <w:t xml:space="preserve"> </w:t>
      </w:r>
    </w:p>
    <w:p w14:paraId="00000002" w14:textId="48BC3FC0" w:rsidR="00163E16" w:rsidRPr="008D12DB" w:rsidRDefault="00C1782E">
      <w:pPr>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Google’s Headquarter project in King’s Cross, London, UK is known for its architectural and sustainable practices and this project creates a historic milestone as a technology giant. The total area of this project is 60,400 sqm and this project spreads across King Cross station, accommodate more than 4000 people across 11 layers</w:t>
      </w:r>
      <w:r w:rsidR="00000000" w:rsidRPr="008D12DB">
        <w:rPr>
          <w:rFonts w:ascii="Times New Roman" w:eastAsia="Times New Roman" w:hAnsi="Times New Roman" w:cs="Times New Roman"/>
          <w:color w:val="222222"/>
          <w:sz w:val="24"/>
          <w:szCs w:val="24"/>
          <w:highlight w:val="white"/>
          <w:lang w:val="en-GB"/>
        </w:rPr>
        <w:t xml:space="preserve"> (</w:t>
      </w:r>
      <w:r w:rsidR="00000000" w:rsidRPr="008D12DB">
        <w:rPr>
          <w:rFonts w:ascii="Times New Roman" w:eastAsia="Times New Roman" w:hAnsi="Times New Roman" w:cs="Times New Roman"/>
          <w:sz w:val="24"/>
          <w:szCs w:val="24"/>
          <w:lang w:val="en-GB"/>
        </w:rPr>
        <w:t>Gillespies, 2023)</w:t>
      </w:r>
      <w:r w:rsidR="00000000" w:rsidRPr="008D12D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A ground-floor events, retail spaces, and training sector are some major components of this project and the project also develops pool facilities and a multi-layer gym zone to promote health awareness (MUGA). This expansion has been taken place along with 6 Pancras square complex and project third building by Google company which can host more than 7000 employees and its will be a landmark project in terms of hosting employees in the international platform. This essay highlights all of these factors related to the project and reflects its future impact. </w:t>
      </w:r>
      <w:r w:rsidR="00000000" w:rsidRPr="008D12DB">
        <w:rPr>
          <w:rFonts w:ascii="Times New Roman" w:eastAsia="Times New Roman" w:hAnsi="Times New Roman" w:cs="Times New Roman"/>
          <w:color w:val="222222"/>
          <w:sz w:val="24"/>
          <w:szCs w:val="24"/>
          <w:highlight w:val="white"/>
          <w:lang w:val="en-GB"/>
        </w:rPr>
        <w:t>This effort illustrates Google's dedication to innovation and community development by enhancing the Knowledge Quarter and King's Cross' knowledge-based economy.</w:t>
      </w:r>
    </w:p>
    <w:p w14:paraId="00000003" w14:textId="77777777" w:rsidR="00163E16" w:rsidRPr="008D12DB" w:rsidRDefault="00000000" w:rsidP="00DF699A">
      <w:pPr>
        <w:pStyle w:val="Heading1"/>
        <w:rPr>
          <w:highlight w:val="white"/>
          <w:lang w:val="en-GB"/>
        </w:rPr>
      </w:pPr>
      <w:bookmarkStart w:id="1" w:name="_Toc152266072"/>
      <w:r w:rsidRPr="008D12DB">
        <w:rPr>
          <w:highlight w:val="white"/>
          <w:lang w:val="en-GB"/>
        </w:rPr>
        <w:t>Discussion</w:t>
      </w:r>
      <w:bookmarkEnd w:id="1"/>
      <w:r w:rsidRPr="008D12DB">
        <w:rPr>
          <w:highlight w:val="white"/>
          <w:lang w:val="en-GB"/>
        </w:rPr>
        <w:t xml:space="preserve"> </w:t>
      </w:r>
    </w:p>
    <w:p w14:paraId="00000004" w14:textId="77777777" w:rsidR="00163E16" w:rsidRPr="008D12DB"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Detailed Narrative on This Topic</w:t>
      </w:r>
    </w:p>
    <w:p w14:paraId="00000005" w14:textId="34C321CB"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A massive makeover is taking place in the heart of London's bustling King's Cross neighbourhood as Google prepares to unveil its revolutionary </w:t>
      </w:r>
      <w:r w:rsidR="008D12DB" w:rsidRPr="008D12DB">
        <w:rPr>
          <w:rFonts w:ascii="Times New Roman" w:eastAsia="Times New Roman" w:hAnsi="Times New Roman" w:cs="Times New Roman"/>
          <w:color w:val="222222"/>
          <w:sz w:val="24"/>
          <w:szCs w:val="24"/>
          <w:highlight w:val="white"/>
          <w:lang w:val="en-GB"/>
        </w:rPr>
        <w:t>one-billion-pound</w:t>
      </w:r>
      <w:r w:rsidRPr="008D12DB">
        <w:rPr>
          <w:rFonts w:ascii="Times New Roman" w:eastAsia="Times New Roman" w:hAnsi="Times New Roman" w:cs="Times New Roman"/>
          <w:color w:val="222222"/>
          <w:sz w:val="24"/>
          <w:szCs w:val="24"/>
          <w:highlight w:val="white"/>
          <w:lang w:val="en-GB"/>
        </w:rPr>
        <w:t xml:space="preserve"> project—a visionary new headquarters intended to redefine the cityscape. This enormous endeavour, nestled near the renowned Kings Cross Station, spans an amazing 60,400 square metres, containing 11 floors of cutting-edge office space capable of accommodating a remarkable 4,500 people. What distinguishes this project is its holistic approach, which incorporates a varied range of facilities that go beyond the usual office setting. The skyscraper, which was precisely designed and is entirely owned by Google, exemplifies the company's commitment to pushing </w:t>
      </w:r>
      <w:r w:rsidR="008D12DB" w:rsidRPr="008D12DB">
        <w:rPr>
          <w:rFonts w:ascii="Times New Roman" w:eastAsia="Times New Roman" w:hAnsi="Times New Roman" w:cs="Times New Roman"/>
          <w:color w:val="222222"/>
          <w:sz w:val="24"/>
          <w:szCs w:val="24"/>
          <w:highlight w:val="white"/>
          <w:lang w:val="en-GB"/>
        </w:rPr>
        <w:t>limits (</w:t>
      </w:r>
      <w:r w:rsidRPr="008D12DB">
        <w:rPr>
          <w:rFonts w:ascii="Times New Roman" w:eastAsia="Times New Roman" w:hAnsi="Times New Roman" w:cs="Times New Roman"/>
          <w:color w:val="222222"/>
          <w:sz w:val="24"/>
          <w:szCs w:val="24"/>
          <w:highlight w:val="white"/>
          <w:lang w:val="en-GB"/>
        </w:rPr>
        <w:t xml:space="preserve">Al-Saeed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2020., p. 377) The tower combines retail rooms in addition to its core role as an office space, producing a dynamic setting that stimulates creativity and cooperation. The bottom level, a hub of activity, features an events and training centre that caters to professional growth as well as community participation.</w:t>
      </w:r>
    </w:p>
    <w:p w14:paraId="00000006" w14:textId="77777777"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lastRenderedPageBreak/>
        <w:t>The inventive attitude is carried on with ancillary rooms that go beyond the standard office comforts. Cafes entice employees to unwind and connect, while a cutting-edge gym promotes health and well-being. The inclusion of a multi-use games area (MUGA) and pool amenities demonstrates Google's commitment to cultivating a work-life balance culture. The project's influence is extended aloft with a roof ornamented with manicured terraces and a running track a perfect blend of nature and recreation (Levy, 2021., p. 123). This outdoor sanctuary demonstrates Google's commitment to its employees' well-being by providing a space for rest and regeneration. Beyond the sheer scale and sophistication, this venture is significant as Google's inaugural wholly owned and designed building outside the United States. Collaborating seamlessly with the existing 6 Pancras Square facility and a soon-to-be-unveiled third building, this triad forms the nucleus of a burgeoning Google campus capable of housing 7,000 employees. As this architectural marvel takes shape, it not only heralds a new era for Google but also significantly adds to the burgeoning knowledge-based economy of the Knowledge Quarter and King's Cross. In essence, Google's unwavering dedication to innovation, community, and the future of work is embodied in this project, which transcends the physical sphere.</w:t>
      </w:r>
    </w:p>
    <w:p w14:paraId="00000007" w14:textId="77777777" w:rsidR="00163E16" w:rsidRPr="008D12DB"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Significance of this Project</w:t>
      </w:r>
    </w:p>
    <w:p w14:paraId="00000008" w14:textId="77777777"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Google's billion-pound investment in King's Cross, London, marks a watershed point in the company's worldwide footprint and demonstrates its dedication to innovation, community development, and workplace transformation. This project is significant on numerous levels, influencing not only the physical landscape of King's Cross but also the broader socioeconomic fabric. This massive effort is, at its heart, Google's first entirely owned and designed building outside of the United States. This is a strategic step for the internet titan, indicating its desire to establish a physical and permanent presence in important global hubs (Norouzi</w:t>
      </w:r>
      <w:r w:rsidRPr="008D12DB">
        <w:rPr>
          <w:rFonts w:ascii="Times New Roman" w:eastAsia="Times New Roman" w:hAnsi="Times New Roman" w:cs="Times New Roman"/>
          <w:i/>
          <w:color w:val="222222"/>
          <w:sz w:val="24"/>
          <w:szCs w:val="24"/>
          <w:highlight w:val="white"/>
          <w:lang w:val="en-GB"/>
        </w:rPr>
        <w:t xml:space="preserve"> et al.,</w:t>
      </w:r>
      <w:r w:rsidRPr="008D12DB">
        <w:rPr>
          <w:rFonts w:ascii="Times New Roman" w:eastAsia="Times New Roman" w:hAnsi="Times New Roman" w:cs="Times New Roman"/>
          <w:color w:val="222222"/>
          <w:sz w:val="24"/>
          <w:szCs w:val="24"/>
          <w:highlight w:val="white"/>
          <w:lang w:val="en-GB"/>
        </w:rPr>
        <w:t xml:space="preserve"> 2021., p. 102704). The choice to invest such a large sum emphasises London's importance in the knowledge-based economy. Google is not just building an office in the heart of King's Cross; it is reinforcing its status as a driver for economic growth and technical advancement in the region. The architectural wonder that is slated to emerge alongside Kings Cross Station is more than simply a workplace; it is a microcosm of Google's attitude and principles. The building is intended to inspire cooperation, creativity, and staff well-being in addition to its practical role. The inclusion of retail areas, a ground-floor events and training centre, cafes, a gym, and leisure facilities demonstrates a </w:t>
      </w:r>
      <w:r w:rsidRPr="008D12DB">
        <w:rPr>
          <w:rFonts w:ascii="Times New Roman" w:eastAsia="Times New Roman" w:hAnsi="Times New Roman" w:cs="Times New Roman"/>
          <w:color w:val="222222"/>
          <w:sz w:val="24"/>
          <w:szCs w:val="24"/>
          <w:highlight w:val="white"/>
          <w:lang w:val="en-GB"/>
        </w:rPr>
        <w:lastRenderedPageBreak/>
        <w:t xml:space="preserve">comprehensive approach to the workplace. Google is constructing a dynamic environment that fosters innovation and community participation, not just an office. The building's ancillary rooms contribute to a work atmosphere that extends beyond the traditional 9-to-5 routine (Wang </w:t>
      </w:r>
      <w:r w:rsidRPr="008D12DB">
        <w:rPr>
          <w:rFonts w:ascii="Times New Roman" w:eastAsia="Times New Roman" w:hAnsi="Times New Roman" w:cs="Times New Roman"/>
          <w:i/>
          <w:color w:val="222222"/>
          <w:sz w:val="24"/>
          <w:szCs w:val="24"/>
          <w:highlight w:val="white"/>
          <w:lang w:val="en-GB"/>
        </w:rPr>
        <w:t xml:space="preserve">et al., </w:t>
      </w:r>
      <w:r w:rsidRPr="008D12DB">
        <w:rPr>
          <w:rFonts w:ascii="Times New Roman" w:eastAsia="Times New Roman" w:hAnsi="Times New Roman" w:cs="Times New Roman"/>
          <w:color w:val="222222"/>
          <w:sz w:val="24"/>
          <w:szCs w:val="24"/>
          <w:highlight w:val="white"/>
          <w:lang w:val="en-GB"/>
        </w:rPr>
        <w:t>2020., p. 204). Cafes foster informal conversations and idea exchange, while a gym, multi-use games area (MUGA), and pool facilities demonstrate Google's commitment to employee well-being. This emphasis on work-life balance is in line with current expectations and establishes a precedent for corporate accountability.</w:t>
      </w:r>
    </w:p>
    <w:p w14:paraId="00000009" w14:textId="77777777"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The rooftop terraces and running track are more than just a decorative feature. They represent Google's acknowledgment of the value of outdoor spaces for employee refreshment and mental health. This commitment to offering leisure places increases the project's significance in a metropolitan where green spaces are typically at a premium, showcasing a forward-thinking approach to workspace design. This triangle forms a Google campus with the ability to house 7,000 employees, collaborating seamlessly with the existing 6 Pancras Square site and a prospective third structure. This campus architecture indicates a shift in how large tech firms see their workplaces (Charef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2019., p. 100777). It goes beyond the standard office setting by fostering collaboration, knowledge sharing, and a sense of community through a networked environment. This project has far-reaching ramifications for the Knowledge Quarter and King's Cross, in addition to its immediate influence on Google's operations. The presence of Google adds to the area's developing knowledge-based economy. It recruits talent, encourages innovation, and builds King's Cross as a technological and scientific hub. As a result, the initiative catalyzes further economic development, establishing King's Cross as a prominent player in the worldwide technology landscape.</w:t>
      </w:r>
    </w:p>
    <w:p w14:paraId="0000000A" w14:textId="77777777" w:rsidR="00163E16" w:rsidRPr="008D12DB"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Core Elements of This Project</w:t>
      </w:r>
    </w:p>
    <w:p w14:paraId="74C5E5D6" w14:textId="4B2631B4" w:rsidR="00967C14"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Budget:</w:t>
      </w:r>
      <w:r w:rsidRPr="008D12DB">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highlight w:val="white"/>
          <w:lang w:val="en-GB"/>
        </w:rPr>
        <w:t xml:space="preserve">Budget is an important factor that has been boosted by an effective management practice. The present status of the Google Project in King's Cross, London, UK, it can be stated that the initial budget of this project is 45 million dollars which has been used for area selection, project selection, resource allocation, a staff training programs. The project authority focuses on a continuous capital flow process and to achieve this they focus on different investors including bank loans and seeks individual loan provider. It can be further stated that the total budget of this project </w:t>
      </w:r>
      <w:r>
        <w:rPr>
          <w:rFonts w:ascii="Times New Roman" w:eastAsia="Times New Roman" w:hAnsi="Times New Roman" w:cs="Times New Roman"/>
          <w:color w:val="222222"/>
          <w:sz w:val="24"/>
          <w:szCs w:val="24"/>
          <w:highlight w:val="white"/>
          <w:lang w:val="en-GB"/>
        </w:rPr>
        <w:lastRenderedPageBreak/>
        <w:t xml:space="preserve">is 300 million dollars. </w:t>
      </w:r>
      <w:r w:rsidRPr="00967C14">
        <w:rPr>
          <w:rFonts w:ascii="Times New Roman" w:eastAsia="Times New Roman" w:hAnsi="Times New Roman" w:cs="Times New Roman"/>
          <w:b/>
          <w:bCs/>
          <w:color w:val="222222"/>
          <w:sz w:val="24"/>
          <w:szCs w:val="24"/>
          <w:highlight w:val="white"/>
          <w:lang w:val="en-GB"/>
        </w:rPr>
        <w:t>Time:</w:t>
      </w:r>
      <w:r>
        <w:rPr>
          <w:rFonts w:ascii="Times New Roman" w:eastAsia="Times New Roman" w:hAnsi="Times New Roman" w:cs="Times New Roman"/>
          <w:color w:val="222222"/>
          <w:sz w:val="24"/>
          <w:szCs w:val="24"/>
          <w:highlight w:val="white"/>
          <w:lang w:val="en-GB"/>
        </w:rPr>
        <w:t xml:space="preserve"> The schedule of this project is 6 months and authority breaks the project plan into three layers. In the first layer staff training, resource allocation, and area selection have been done. in the second phase work allocation, project planning, and pursuing plans have been done and in the third phase project evaluation has been done to analyse the success and failure rate of this project</w:t>
      </w:r>
      <w:r w:rsidRPr="008D12DB">
        <w:rPr>
          <w:rFonts w:ascii="Times New Roman" w:eastAsia="Times New Roman" w:hAnsi="Times New Roman" w:cs="Times New Roman"/>
          <w:color w:val="222222"/>
          <w:sz w:val="24"/>
          <w:szCs w:val="24"/>
          <w:highlight w:val="white"/>
          <w:lang w:val="en-GB"/>
        </w:rPr>
        <w:t xml:space="preserve"> (Brown </w:t>
      </w:r>
      <w:r w:rsidRPr="008D12DB">
        <w:rPr>
          <w:rFonts w:ascii="Times New Roman" w:eastAsia="Times New Roman" w:hAnsi="Times New Roman" w:cs="Times New Roman"/>
          <w:i/>
          <w:color w:val="222222"/>
          <w:sz w:val="24"/>
          <w:szCs w:val="24"/>
          <w:highlight w:val="white"/>
          <w:lang w:val="en-GB"/>
        </w:rPr>
        <w:t xml:space="preserve">et al., </w:t>
      </w:r>
      <w:r w:rsidRPr="008D12DB">
        <w:rPr>
          <w:rFonts w:ascii="Times New Roman" w:eastAsia="Times New Roman" w:hAnsi="Times New Roman" w:cs="Times New Roman"/>
          <w:color w:val="222222"/>
          <w:sz w:val="24"/>
          <w:szCs w:val="24"/>
          <w:highlight w:val="white"/>
          <w:lang w:val="en-GB"/>
        </w:rPr>
        <w:t xml:space="preserve">2019., p. 110984). </w:t>
      </w:r>
      <w:r>
        <w:rPr>
          <w:rFonts w:ascii="Times New Roman" w:eastAsia="Times New Roman" w:hAnsi="Times New Roman" w:cs="Times New Roman"/>
          <w:color w:val="222222"/>
          <w:sz w:val="24"/>
          <w:szCs w:val="24"/>
          <w:highlight w:val="white"/>
          <w:lang w:val="en-GB"/>
        </w:rPr>
        <w:t xml:space="preserve">During the overall project, the management team closely analyse the possible reasons of delaying so that, those reasons could be handled carefully. </w:t>
      </w:r>
      <w:r w:rsidRPr="0037330A">
        <w:rPr>
          <w:rFonts w:ascii="Times New Roman" w:eastAsia="Times New Roman" w:hAnsi="Times New Roman" w:cs="Times New Roman"/>
          <w:b/>
          <w:bCs/>
          <w:color w:val="222222"/>
          <w:sz w:val="24"/>
          <w:szCs w:val="24"/>
          <w:highlight w:val="white"/>
          <w:lang w:val="en-GB"/>
        </w:rPr>
        <w:t>Quality:</w:t>
      </w:r>
      <w:r>
        <w:rPr>
          <w:rFonts w:ascii="Times New Roman" w:eastAsia="Times New Roman" w:hAnsi="Times New Roman" w:cs="Times New Roman"/>
          <w:color w:val="222222"/>
          <w:sz w:val="24"/>
          <w:szCs w:val="24"/>
          <w:highlight w:val="white"/>
          <w:lang w:val="en-GB"/>
        </w:rPr>
        <w:t xml:space="preserve"> </w:t>
      </w:r>
      <w:r w:rsidR="0037330A">
        <w:rPr>
          <w:rFonts w:ascii="Times New Roman" w:eastAsia="Times New Roman" w:hAnsi="Times New Roman" w:cs="Times New Roman"/>
          <w:color w:val="222222"/>
          <w:sz w:val="24"/>
          <w:szCs w:val="24"/>
          <w:highlight w:val="white"/>
          <w:lang w:val="en-GB"/>
        </w:rPr>
        <w:t>Quality is one of the major parameter that enhance the success rate of the project and this parameter includes construction materials, architectural design, adherence to safety, and sustainable practices (</w:t>
      </w:r>
      <w:r w:rsidR="0037330A" w:rsidRPr="008D12DB">
        <w:rPr>
          <w:rFonts w:ascii="Times New Roman" w:eastAsia="Times New Roman" w:hAnsi="Times New Roman" w:cs="Times New Roman"/>
          <w:color w:val="222222"/>
          <w:sz w:val="24"/>
          <w:szCs w:val="24"/>
          <w:highlight w:val="white"/>
          <w:lang w:val="en-GB"/>
        </w:rPr>
        <w:t xml:space="preserve">Brown </w:t>
      </w:r>
      <w:r w:rsidR="0037330A" w:rsidRPr="008D12DB">
        <w:rPr>
          <w:rFonts w:ascii="Times New Roman" w:eastAsia="Times New Roman" w:hAnsi="Times New Roman" w:cs="Times New Roman"/>
          <w:i/>
          <w:color w:val="222222"/>
          <w:sz w:val="24"/>
          <w:szCs w:val="24"/>
          <w:highlight w:val="white"/>
          <w:lang w:val="en-GB"/>
        </w:rPr>
        <w:t xml:space="preserve">et al., </w:t>
      </w:r>
      <w:r w:rsidR="0037330A" w:rsidRPr="008D12DB">
        <w:rPr>
          <w:rFonts w:ascii="Times New Roman" w:eastAsia="Times New Roman" w:hAnsi="Times New Roman" w:cs="Times New Roman"/>
          <w:color w:val="222222"/>
          <w:sz w:val="24"/>
          <w:szCs w:val="24"/>
          <w:highlight w:val="white"/>
          <w:lang w:val="en-GB"/>
        </w:rPr>
        <w:t>2019., p. 110984</w:t>
      </w:r>
      <w:r w:rsidR="0037330A">
        <w:rPr>
          <w:rFonts w:ascii="Times New Roman" w:eastAsia="Times New Roman" w:hAnsi="Times New Roman" w:cs="Times New Roman"/>
          <w:color w:val="222222"/>
          <w:sz w:val="24"/>
          <w:szCs w:val="24"/>
          <w:highlight w:val="white"/>
          <w:lang w:val="en-GB"/>
        </w:rPr>
        <w:t xml:space="preserve">). These components also help the project manager to identify any issue that may hamper the success percentage of the project. </w:t>
      </w:r>
    </w:p>
    <w:p w14:paraId="32ACBAEC" w14:textId="3137B6A2" w:rsidR="0037330A" w:rsidRDefault="00000000">
      <w:pPr>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b/>
          <w:i/>
          <w:color w:val="222222"/>
          <w:sz w:val="24"/>
          <w:szCs w:val="24"/>
          <w:highlight w:val="white"/>
          <w:lang w:val="en-GB"/>
        </w:rPr>
        <w:t xml:space="preserve">Stakeholders: </w:t>
      </w:r>
      <w:r>
        <w:rPr>
          <w:rFonts w:ascii="Times New Roman" w:eastAsia="Times New Roman" w:hAnsi="Times New Roman" w:cs="Times New Roman"/>
          <w:bCs/>
          <w:iCs/>
          <w:color w:val="222222"/>
          <w:sz w:val="24"/>
          <w:szCs w:val="24"/>
          <w:highlight w:val="white"/>
          <w:lang w:val="en-GB"/>
        </w:rPr>
        <w:t>The satisfaction of stakeholders is one of the most essential parts of this project and essential stakeholders are Government agencies, local communities, and commercial organisations who support this project. The level communication and engagement need to be checked to ensure the fulfillment of their demand. Stakeholder management is important to maintain a positive connection and navigate any problem</w:t>
      </w:r>
      <w:r w:rsidRPr="008D12DB">
        <w:rPr>
          <w:rFonts w:ascii="Times New Roman" w:eastAsia="Times New Roman" w:hAnsi="Times New Roman" w:cs="Times New Roman"/>
          <w:color w:val="222222"/>
          <w:sz w:val="24"/>
          <w:szCs w:val="24"/>
          <w:highlight w:val="white"/>
          <w:lang w:val="en-GB"/>
        </w:rPr>
        <w:t xml:space="preserve"> (Zhang</w:t>
      </w:r>
      <w:r w:rsidRPr="008D12DB">
        <w:rPr>
          <w:rFonts w:ascii="Times New Roman" w:eastAsia="Times New Roman" w:hAnsi="Times New Roman" w:cs="Times New Roman"/>
          <w:i/>
          <w:color w:val="222222"/>
          <w:sz w:val="24"/>
          <w:szCs w:val="24"/>
          <w:highlight w:val="white"/>
          <w:lang w:val="en-GB"/>
        </w:rPr>
        <w:t xml:space="preserve"> et al., </w:t>
      </w:r>
      <w:r w:rsidRPr="008D12DB">
        <w:rPr>
          <w:rFonts w:ascii="Times New Roman" w:eastAsia="Times New Roman" w:hAnsi="Times New Roman" w:cs="Times New Roman"/>
          <w:color w:val="222222"/>
          <w:sz w:val="24"/>
          <w:szCs w:val="24"/>
          <w:highlight w:val="white"/>
          <w:lang w:val="en-GB"/>
        </w:rPr>
        <w:t xml:space="preserve">2019., p. 5385). </w:t>
      </w:r>
      <w:r w:rsidRPr="0037330A">
        <w:rPr>
          <w:rFonts w:ascii="Times New Roman" w:eastAsia="Times New Roman" w:hAnsi="Times New Roman" w:cs="Times New Roman"/>
          <w:b/>
          <w:bCs/>
          <w:color w:val="222222"/>
          <w:sz w:val="24"/>
          <w:szCs w:val="24"/>
          <w:highlight w:val="white"/>
          <w:lang w:val="en-GB"/>
        </w:rPr>
        <w:t>Risk Factor:</w:t>
      </w:r>
      <w:r>
        <w:rPr>
          <w:rFonts w:ascii="Times New Roman" w:eastAsia="Times New Roman" w:hAnsi="Times New Roman" w:cs="Times New Roman"/>
          <w:color w:val="222222"/>
          <w:sz w:val="24"/>
          <w:szCs w:val="24"/>
          <w:highlight w:val="white"/>
          <w:lang w:val="en-GB"/>
        </w:rPr>
        <w:t xml:space="preserve"> In the dynamic </w:t>
      </w:r>
      <w:r w:rsidR="00965B82">
        <w:rPr>
          <w:rFonts w:ascii="Times New Roman" w:eastAsia="Times New Roman" w:hAnsi="Times New Roman" w:cs="Times New Roman"/>
          <w:color w:val="222222"/>
          <w:sz w:val="24"/>
          <w:szCs w:val="24"/>
          <w:highlight w:val="white"/>
          <w:lang w:val="en-GB"/>
        </w:rPr>
        <w:t xml:space="preserve">project management environment risk assessment plays a very </w:t>
      </w:r>
      <w:r w:rsidR="00CC51D0">
        <w:rPr>
          <w:rFonts w:ascii="Times New Roman" w:eastAsia="Times New Roman" w:hAnsi="Times New Roman" w:cs="Times New Roman"/>
          <w:color w:val="222222"/>
          <w:sz w:val="24"/>
          <w:szCs w:val="24"/>
          <w:highlight w:val="white"/>
          <w:lang w:val="en-GB"/>
        </w:rPr>
        <w:t xml:space="preserve">important factor that enhance the success rate of this project. Risk assessment is essential to find any risk and solve that risk immediately to reduce the negative impact of that risk. Both the internal and external risks can be handled by implementing this process and the risk evaluation process also enhances the success rate of the projects. </w:t>
      </w:r>
    </w:p>
    <w:p w14:paraId="0000000D" w14:textId="77777777" w:rsidR="00163E16" w:rsidRPr="008D12DB"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Evaluation of this Plan</w:t>
      </w:r>
    </w:p>
    <w:p w14:paraId="0000000E" w14:textId="3A0180EA"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The evaluation shows a significant alignment with the baseline budget, indicating impressive economic control. To determine the driving reasons behind these financial dynamics, any budgetary deviations, whether overruns or savings have been meticulously examined</w:t>
      </w:r>
      <w:r w:rsidR="00967C14">
        <w:rPr>
          <w:rFonts w:ascii="Times New Roman" w:eastAsia="Times New Roman" w:hAnsi="Times New Roman" w:cs="Times New Roman"/>
          <w:color w:val="222222"/>
          <w:sz w:val="24"/>
          <w:szCs w:val="24"/>
          <w:highlight w:val="white"/>
          <w:lang w:val="en-GB"/>
        </w:rPr>
        <w:t xml:space="preserve"> (</w:t>
      </w:r>
      <w:r w:rsidR="00967C14" w:rsidRPr="008D12DB">
        <w:rPr>
          <w:rFonts w:ascii="Times New Roman" w:eastAsia="Times New Roman" w:hAnsi="Times New Roman" w:cs="Times New Roman"/>
          <w:color w:val="222222"/>
          <w:sz w:val="24"/>
          <w:szCs w:val="24"/>
          <w:highlight w:val="white"/>
          <w:lang w:val="en-GB"/>
        </w:rPr>
        <w:t xml:space="preserve">Denicol </w:t>
      </w:r>
      <w:r w:rsidR="00967C14" w:rsidRPr="008D12DB">
        <w:rPr>
          <w:rFonts w:ascii="Times New Roman" w:eastAsia="Times New Roman" w:hAnsi="Times New Roman" w:cs="Times New Roman"/>
          <w:i/>
          <w:color w:val="222222"/>
          <w:sz w:val="24"/>
          <w:szCs w:val="24"/>
          <w:highlight w:val="white"/>
          <w:lang w:val="en-GB"/>
        </w:rPr>
        <w:t>et al.,</w:t>
      </w:r>
      <w:r w:rsidR="00967C14" w:rsidRPr="008D12DB">
        <w:rPr>
          <w:rFonts w:ascii="Times New Roman" w:eastAsia="Times New Roman" w:hAnsi="Times New Roman" w:cs="Times New Roman"/>
          <w:color w:val="222222"/>
          <w:sz w:val="24"/>
          <w:szCs w:val="24"/>
          <w:highlight w:val="white"/>
          <w:lang w:val="en-GB"/>
        </w:rPr>
        <w:t xml:space="preserve"> 2020., p. 3</w:t>
      </w:r>
      <w:r w:rsidR="00967C14">
        <w:rPr>
          <w:rFonts w:ascii="Times New Roman" w:eastAsia="Times New Roman" w:hAnsi="Times New Roman" w:cs="Times New Roman"/>
          <w:color w:val="222222"/>
          <w:sz w:val="24"/>
          <w:szCs w:val="24"/>
          <w:highlight w:val="white"/>
          <w:lang w:val="en-GB"/>
        </w:rPr>
        <w:t>39)</w:t>
      </w:r>
      <w:r w:rsidRPr="008D12DB">
        <w:rPr>
          <w:rFonts w:ascii="Times New Roman" w:eastAsia="Times New Roman" w:hAnsi="Times New Roman" w:cs="Times New Roman"/>
          <w:color w:val="222222"/>
          <w:sz w:val="24"/>
          <w:szCs w:val="24"/>
          <w:highlight w:val="white"/>
          <w:lang w:val="en-GB"/>
        </w:rPr>
        <w:t xml:space="preserve">. Furthermore, identifying extra financing sources or unanticipated costs demonstrates a proactive attitude to financial transparency and control. The evaluation highlights an analytical examination of the projected timetable versus the actual progress in the sphere of project timelines. The detection of delays or accelerations offers useful information about the project's temporal dynamics. The critical path analysis provides a more nuanced knowledge of the </w:t>
      </w:r>
      <w:r w:rsidRPr="008D12DB">
        <w:rPr>
          <w:rFonts w:ascii="Times New Roman" w:eastAsia="Times New Roman" w:hAnsi="Times New Roman" w:cs="Times New Roman"/>
          <w:color w:val="222222"/>
          <w:sz w:val="24"/>
          <w:szCs w:val="24"/>
          <w:highlight w:val="white"/>
          <w:lang w:val="en-GB"/>
        </w:rPr>
        <w:lastRenderedPageBreak/>
        <w:t xml:space="preserve">project's timing, while any schedule changes are scrutinised for their possible impact on total project completion. This thorough assessment ensures a planned and flexible approach to time management (Denicol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2020., p. 340). Quality assurance appears as a pillar in the evaluation, indicating a commitment to excellence in project execution. The inspection includes a detailed assessment of building materials, architectural design, and adherence to safety and environmental regulations. The rigorous examination of whether specified quality criteria are satisfied demonstrates a commitment to delivering a project of unsurpassed perfection</w:t>
      </w:r>
      <w:r w:rsidR="00CC51D0">
        <w:rPr>
          <w:rFonts w:ascii="Times New Roman" w:eastAsia="Times New Roman" w:hAnsi="Times New Roman" w:cs="Times New Roman"/>
          <w:color w:val="222222"/>
          <w:sz w:val="24"/>
          <w:szCs w:val="24"/>
          <w:highlight w:val="white"/>
          <w:lang w:val="en-GB"/>
        </w:rPr>
        <w:t xml:space="preserve"> (</w:t>
      </w:r>
      <w:r w:rsidR="00CC51D0" w:rsidRPr="008D12DB">
        <w:rPr>
          <w:rFonts w:ascii="Times New Roman" w:eastAsia="Times New Roman" w:hAnsi="Times New Roman" w:cs="Times New Roman"/>
          <w:color w:val="222222"/>
          <w:sz w:val="24"/>
          <w:szCs w:val="24"/>
          <w:highlight w:val="white"/>
          <w:lang w:val="en-GB"/>
        </w:rPr>
        <w:t xml:space="preserve">Denicol </w:t>
      </w:r>
      <w:r w:rsidR="00CC51D0" w:rsidRPr="008D12DB">
        <w:rPr>
          <w:rFonts w:ascii="Times New Roman" w:eastAsia="Times New Roman" w:hAnsi="Times New Roman" w:cs="Times New Roman"/>
          <w:i/>
          <w:color w:val="222222"/>
          <w:sz w:val="24"/>
          <w:szCs w:val="24"/>
          <w:highlight w:val="white"/>
          <w:lang w:val="en-GB"/>
        </w:rPr>
        <w:t>et al.,</w:t>
      </w:r>
      <w:r w:rsidR="00CC51D0" w:rsidRPr="008D12DB">
        <w:rPr>
          <w:rFonts w:ascii="Times New Roman" w:eastAsia="Times New Roman" w:hAnsi="Times New Roman" w:cs="Times New Roman"/>
          <w:color w:val="222222"/>
          <w:sz w:val="24"/>
          <w:szCs w:val="24"/>
          <w:highlight w:val="white"/>
          <w:lang w:val="en-GB"/>
        </w:rPr>
        <w:t xml:space="preserve"> 2020., p. 3</w:t>
      </w:r>
      <w:r w:rsidR="00CC51D0">
        <w:rPr>
          <w:rFonts w:ascii="Times New Roman" w:eastAsia="Times New Roman" w:hAnsi="Times New Roman" w:cs="Times New Roman"/>
          <w:color w:val="222222"/>
          <w:sz w:val="24"/>
          <w:szCs w:val="24"/>
          <w:highlight w:val="white"/>
          <w:lang w:val="en-GB"/>
        </w:rPr>
        <w:t>39)</w:t>
      </w:r>
      <w:r w:rsidRPr="008D12DB">
        <w:rPr>
          <w:rFonts w:ascii="Times New Roman" w:eastAsia="Times New Roman" w:hAnsi="Times New Roman" w:cs="Times New Roman"/>
          <w:color w:val="222222"/>
          <w:sz w:val="24"/>
          <w:szCs w:val="24"/>
          <w:highlight w:val="white"/>
          <w:lang w:val="en-GB"/>
        </w:rPr>
        <w:t>. Reported flaws or defects are not simply detected; they are thoroughly investigated, demonstrating a proactive approach to maintaining and improving project quality.</w:t>
      </w:r>
    </w:p>
    <w:p w14:paraId="0000000F" w14:textId="29BF9ED9"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Stakeholder management is an essential component of this project which has been analysed throughout the essay including government agencies, investors, and local communities. Stakeholder management further enhances awareness of various interests, demands, and requirements of stakeholders. The evaluation of communication and involvement of stakeholders is important to find any issue and implement possible resolution</w:t>
      </w:r>
      <w:r w:rsidRPr="008D12DB">
        <w:rPr>
          <w:rFonts w:ascii="Times New Roman" w:eastAsia="Times New Roman" w:hAnsi="Times New Roman" w:cs="Times New Roman"/>
          <w:color w:val="222222"/>
          <w:sz w:val="24"/>
          <w:szCs w:val="24"/>
          <w:highlight w:val="white"/>
          <w:lang w:val="en-GB"/>
        </w:rPr>
        <w:t xml:space="preserve"> (Fairley </w:t>
      </w:r>
      <w:r w:rsidRPr="008D12DB">
        <w:rPr>
          <w:rFonts w:ascii="Times New Roman" w:eastAsia="Times New Roman" w:hAnsi="Times New Roman" w:cs="Times New Roman"/>
          <w:i/>
          <w:color w:val="222222"/>
          <w:sz w:val="24"/>
          <w:szCs w:val="24"/>
          <w:highlight w:val="white"/>
          <w:lang w:val="en-GB"/>
        </w:rPr>
        <w:t xml:space="preserve">et al., </w:t>
      </w:r>
      <w:r w:rsidRPr="008D12DB">
        <w:rPr>
          <w:rFonts w:ascii="Times New Roman" w:eastAsia="Times New Roman" w:hAnsi="Times New Roman" w:cs="Times New Roman"/>
          <w:color w:val="222222"/>
          <w:sz w:val="24"/>
          <w:szCs w:val="24"/>
          <w:highlight w:val="white"/>
          <w:lang w:val="en-GB"/>
        </w:rPr>
        <w:t xml:space="preserve">2020., p. 947). </w:t>
      </w:r>
      <w:r>
        <w:rPr>
          <w:rFonts w:ascii="Times New Roman" w:eastAsia="Times New Roman" w:hAnsi="Times New Roman" w:cs="Times New Roman"/>
          <w:color w:val="222222"/>
          <w:sz w:val="24"/>
          <w:szCs w:val="24"/>
          <w:highlight w:val="white"/>
          <w:lang w:val="en-GB"/>
        </w:rPr>
        <w:t>This project management goes beyond</w:t>
      </w:r>
      <w:r w:rsidR="00DF699A">
        <w:rPr>
          <w:rFonts w:ascii="Times New Roman" w:eastAsia="Times New Roman" w:hAnsi="Times New Roman" w:cs="Times New Roman"/>
          <w:color w:val="222222"/>
          <w:sz w:val="24"/>
          <w:szCs w:val="24"/>
          <w:highlight w:val="white"/>
          <w:lang w:val="en-GB"/>
        </w:rPr>
        <w:t xml:space="preserve"> stakeholder management and highlights some other factors which may influence the project including budget, time, and quality. This essay highlights the plan implementation procedure responds to the possible concerns and takes steps as needed. The identification of possible concerns further helps another project to take steps to minimise the negative impact. A proactive approach to risk management has been highlighted in this essay. External elements including the economic environment, capital flow, and requirements of investors play an important factor in achieving the goal and aim of this project </w:t>
      </w:r>
      <w:r>
        <w:rPr>
          <w:rFonts w:ascii="Times New Roman" w:eastAsia="Times New Roman" w:hAnsi="Times New Roman" w:cs="Times New Roman"/>
          <w:color w:val="222222"/>
          <w:sz w:val="24"/>
          <w:szCs w:val="24"/>
          <w:highlight w:val="white"/>
          <w:lang w:val="en-GB"/>
        </w:rPr>
        <w:t>(</w:t>
      </w:r>
      <w:r w:rsidRPr="008D12DB">
        <w:rPr>
          <w:rFonts w:ascii="Times New Roman" w:eastAsia="Times New Roman" w:hAnsi="Times New Roman" w:cs="Times New Roman"/>
          <w:color w:val="222222"/>
          <w:sz w:val="24"/>
          <w:szCs w:val="24"/>
          <w:highlight w:val="white"/>
          <w:lang w:val="en-GB"/>
        </w:rPr>
        <w:t xml:space="preserve">Fairley </w:t>
      </w:r>
      <w:r w:rsidRPr="008D12DB">
        <w:rPr>
          <w:rFonts w:ascii="Times New Roman" w:eastAsia="Times New Roman" w:hAnsi="Times New Roman" w:cs="Times New Roman"/>
          <w:i/>
          <w:color w:val="222222"/>
          <w:sz w:val="24"/>
          <w:szCs w:val="24"/>
          <w:highlight w:val="white"/>
          <w:lang w:val="en-GB"/>
        </w:rPr>
        <w:t xml:space="preserve">et al., </w:t>
      </w:r>
      <w:r w:rsidRPr="008D12DB">
        <w:rPr>
          <w:rFonts w:ascii="Times New Roman" w:eastAsia="Times New Roman" w:hAnsi="Times New Roman" w:cs="Times New Roman"/>
          <w:color w:val="222222"/>
          <w:sz w:val="24"/>
          <w:szCs w:val="24"/>
          <w:highlight w:val="white"/>
          <w:lang w:val="en-GB"/>
        </w:rPr>
        <w:t>2020., p. 94</w:t>
      </w:r>
      <w:r>
        <w:rPr>
          <w:rFonts w:ascii="Times New Roman" w:eastAsia="Times New Roman" w:hAnsi="Times New Roman" w:cs="Times New Roman"/>
          <w:color w:val="222222"/>
          <w:sz w:val="24"/>
          <w:szCs w:val="24"/>
          <w:highlight w:val="white"/>
          <w:lang w:val="en-GB"/>
        </w:rPr>
        <w:t>8)</w:t>
      </w:r>
      <w:r w:rsidRPr="008D12DB">
        <w:rPr>
          <w:rFonts w:ascii="Times New Roman" w:eastAsia="Times New Roman" w:hAnsi="Times New Roman" w:cs="Times New Roman"/>
          <w:color w:val="222222"/>
          <w:sz w:val="24"/>
          <w:szCs w:val="24"/>
          <w:highlight w:val="white"/>
          <w:lang w:val="en-GB"/>
        </w:rPr>
        <w:t xml:space="preserve">. </w:t>
      </w:r>
      <w:r w:rsidR="00DF699A">
        <w:rPr>
          <w:rFonts w:ascii="Times New Roman" w:eastAsia="Times New Roman" w:hAnsi="Times New Roman" w:cs="Times New Roman"/>
          <w:color w:val="222222"/>
          <w:sz w:val="24"/>
          <w:szCs w:val="24"/>
          <w:highlight w:val="white"/>
          <w:lang w:val="en-GB"/>
        </w:rPr>
        <w:t xml:space="preserve"> </w:t>
      </w:r>
      <w:r w:rsidRPr="008D12DB">
        <w:rPr>
          <w:rFonts w:ascii="Times New Roman" w:eastAsia="Times New Roman" w:hAnsi="Times New Roman" w:cs="Times New Roman"/>
          <w:color w:val="222222"/>
          <w:sz w:val="24"/>
          <w:szCs w:val="24"/>
          <w:highlight w:val="white"/>
          <w:lang w:val="en-GB"/>
        </w:rPr>
        <w:t>This detailed risk assessment demonstrates a dedication to anticipating, resolving, and overcoming challenges. It can be summarised that the ongoing examination of Google's billion-pound project in King's Cross demonstrates a project management style marked by financial discipline, smart time management, steadfast dedication to quality, stakeholder involvement, and a proactive approach to risk mitigation. This evaluation framework provides a dynamic reaction to emerging obstacles and a strong commitment to the project's success as the project proceeds.</w:t>
      </w:r>
    </w:p>
    <w:p w14:paraId="00000010" w14:textId="77777777" w:rsidR="00163E16" w:rsidRPr="008D12DB" w:rsidRDefault="00000000">
      <w:pPr>
        <w:spacing w:after="240" w:line="360" w:lineRule="auto"/>
        <w:jc w:val="both"/>
        <w:rPr>
          <w:rFonts w:ascii="Times New Roman" w:eastAsia="Times New Roman" w:hAnsi="Times New Roman" w:cs="Times New Roman"/>
          <w:b/>
          <w:color w:val="222222"/>
          <w:sz w:val="24"/>
          <w:szCs w:val="24"/>
          <w:highlight w:val="white"/>
          <w:lang w:val="en-GB"/>
        </w:rPr>
      </w:pPr>
      <w:r w:rsidRPr="008D12DB">
        <w:rPr>
          <w:rFonts w:ascii="Times New Roman" w:eastAsia="Times New Roman" w:hAnsi="Times New Roman" w:cs="Times New Roman"/>
          <w:b/>
          <w:color w:val="222222"/>
          <w:sz w:val="24"/>
          <w:szCs w:val="24"/>
          <w:highlight w:val="white"/>
          <w:lang w:val="en-GB"/>
        </w:rPr>
        <w:t>Future Impact of this Project</w:t>
      </w:r>
    </w:p>
    <w:p w14:paraId="00000011" w14:textId="77777777"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lastRenderedPageBreak/>
        <w:t xml:space="preserve">The completion of this project will reposition King's Cross as a thriving hub for technology and innovation. The location of Google's headquarters not only demonstrates the company's commitment to the region but also attracts top-tier talent, promoting a knowledge-based economy. The infusion of qualified workers attracted to the Google site is likely to spark a chain reaction, resulting in a robust ecosystem of startups, tech corporations, and research institutes. This concentration of intellectual capital has the potential to build a thriving innovation cluster, moving London even further to the forefront of technological breakthroughs (Christophers, 2023., p. 1460). Furthermore, it is expected that the project's integration with the local population will have a good socioeconomic impact. The inclusion of ancillary spaces such as cafes, recreational facilities, and retail spaces not only improves the working environment for Google employees but also benefits the local economy. The creation of job possibilities, both directly within Google and indirectly through connected businesses, is projected to have a virtuous circle effect on the community's overall prosperity (Ghaffar </w:t>
      </w:r>
      <w:r w:rsidRPr="008D12DB">
        <w:rPr>
          <w:rFonts w:ascii="Times New Roman" w:eastAsia="Times New Roman" w:hAnsi="Times New Roman" w:cs="Times New Roman"/>
          <w:i/>
          <w:color w:val="222222"/>
          <w:sz w:val="24"/>
          <w:szCs w:val="24"/>
          <w:highlight w:val="white"/>
          <w:lang w:val="en-GB"/>
        </w:rPr>
        <w:t xml:space="preserve">et al., </w:t>
      </w:r>
      <w:r w:rsidRPr="008D12DB">
        <w:rPr>
          <w:rFonts w:ascii="Times New Roman" w:eastAsia="Times New Roman" w:hAnsi="Times New Roman" w:cs="Times New Roman"/>
          <w:color w:val="222222"/>
          <w:sz w:val="24"/>
          <w:szCs w:val="24"/>
          <w:highlight w:val="white"/>
          <w:lang w:val="en-GB"/>
        </w:rPr>
        <w:t>2020., p. 118710). Furthermore, activities that encourage community engagement, such as training programmes and events held at the ground-floor centre, could help to increase the project's positive impact.</w:t>
      </w:r>
    </w:p>
    <w:p w14:paraId="00000012" w14:textId="77777777"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Architecturally, the project establishes a standard for sustainable and innovative design. Green spaces, a running track, and a commitment to environmental standards demonstrate a forward-thinking approach to urban development. As cities around the world battle with concerns of sustainability and green infrastructure, Google's project serves as a blueprint for future construction projects, influencing the industry's trend towards eco-friendly and people-centered design (Abioye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2021., p, 10399). The completion of the project has the potential to raise London's standing in the global technology landscape. As Google's first entirely owned and designed skyscraper outside of the United States, it represents a strategic expansion for the company, emphasising London's importance as a global digital hub. This action not only boosts London's standing in the international technology arena but also encourages cross-cultural collaboration and knowledge exchange.</w:t>
      </w:r>
    </w:p>
    <w:p w14:paraId="00000013" w14:textId="77777777" w:rsidR="00163E16" w:rsidRPr="008D12DB" w:rsidRDefault="00000000" w:rsidP="00DF699A">
      <w:pPr>
        <w:pStyle w:val="Heading1"/>
        <w:rPr>
          <w:highlight w:val="white"/>
          <w:lang w:val="en-GB"/>
        </w:rPr>
      </w:pPr>
      <w:bookmarkStart w:id="2" w:name="_Toc152266073"/>
      <w:r w:rsidRPr="008D12DB">
        <w:rPr>
          <w:highlight w:val="white"/>
          <w:lang w:val="en-GB"/>
        </w:rPr>
        <w:t>Conclusion and Recommendations</w:t>
      </w:r>
      <w:bookmarkEnd w:id="2"/>
    </w:p>
    <w:p w14:paraId="00000014" w14:textId="460AAAE0"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Google's billion-pound project at King's Cross exemplifies innovation, community development, and a disruptive approach to the future of work. The ambitious scope of the project, which </w:t>
      </w:r>
      <w:r w:rsidRPr="008D12DB">
        <w:rPr>
          <w:rFonts w:ascii="Times New Roman" w:eastAsia="Times New Roman" w:hAnsi="Times New Roman" w:cs="Times New Roman"/>
          <w:color w:val="222222"/>
          <w:sz w:val="24"/>
          <w:szCs w:val="24"/>
          <w:highlight w:val="white"/>
          <w:lang w:val="en-GB"/>
        </w:rPr>
        <w:lastRenderedPageBreak/>
        <w:t>combines cutting-edge office spaces with diversified facilities and community-focused initiatives, frames it as a ground-breaking endeavour that goes beyond the typical confines of a corporate building</w:t>
      </w:r>
      <w:r w:rsidR="00CC51D0">
        <w:rPr>
          <w:rFonts w:ascii="Times New Roman" w:eastAsia="Times New Roman" w:hAnsi="Times New Roman" w:cs="Times New Roman"/>
          <w:color w:val="222222"/>
          <w:sz w:val="24"/>
          <w:szCs w:val="24"/>
          <w:highlight w:val="white"/>
          <w:lang w:val="en-GB"/>
        </w:rPr>
        <w:t xml:space="preserve"> (</w:t>
      </w:r>
      <w:r w:rsidR="00CC51D0" w:rsidRPr="008D12DB">
        <w:rPr>
          <w:rFonts w:ascii="Times New Roman" w:eastAsia="Times New Roman" w:hAnsi="Times New Roman" w:cs="Times New Roman"/>
          <w:color w:val="222222"/>
          <w:sz w:val="24"/>
          <w:szCs w:val="24"/>
          <w:highlight w:val="white"/>
          <w:lang w:val="en-GB"/>
        </w:rPr>
        <w:t xml:space="preserve">Abioye </w:t>
      </w:r>
      <w:r w:rsidR="00CC51D0" w:rsidRPr="008D12DB">
        <w:rPr>
          <w:rFonts w:ascii="Times New Roman" w:eastAsia="Times New Roman" w:hAnsi="Times New Roman" w:cs="Times New Roman"/>
          <w:i/>
          <w:color w:val="222222"/>
          <w:sz w:val="24"/>
          <w:szCs w:val="24"/>
          <w:highlight w:val="white"/>
          <w:lang w:val="en-GB"/>
        </w:rPr>
        <w:t>et al.,</w:t>
      </w:r>
      <w:r w:rsidR="00CC51D0" w:rsidRPr="008D12DB">
        <w:rPr>
          <w:rFonts w:ascii="Times New Roman" w:eastAsia="Times New Roman" w:hAnsi="Times New Roman" w:cs="Times New Roman"/>
          <w:color w:val="222222"/>
          <w:sz w:val="24"/>
          <w:szCs w:val="24"/>
          <w:highlight w:val="white"/>
          <w:lang w:val="en-GB"/>
        </w:rPr>
        <w:t xml:space="preserve"> 2021., p, 10399</w:t>
      </w:r>
      <w:r w:rsidR="00CC51D0">
        <w:rPr>
          <w:rFonts w:ascii="Times New Roman" w:eastAsia="Times New Roman" w:hAnsi="Times New Roman" w:cs="Times New Roman"/>
          <w:color w:val="222222"/>
          <w:sz w:val="24"/>
          <w:szCs w:val="24"/>
          <w:highlight w:val="white"/>
          <w:lang w:val="en-GB"/>
        </w:rPr>
        <w:t>)</w:t>
      </w:r>
      <w:r w:rsidRPr="008D12DB">
        <w:rPr>
          <w:rFonts w:ascii="Times New Roman" w:eastAsia="Times New Roman" w:hAnsi="Times New Roman" w:cs="Times New Roman"/>
          <w:color w:val="222222"/>
          <w:sz w:val="24"/>
          <w:szCs w:val="24"/>
          <w:highlight w:val="white"/>
          <w:lang w:val="en-GB"/>
        </w:rPr>
        <w:t>. The completion of the project is expected to alter King's Cross, turning it into a dynamic hub of technology and knowledge-based innovation. Google's integration is intended to attract top personnel, establishing a vibrant ecosystem of IT firms, startups, and research institutions. This inflow of intellectual capital has the potential to propel London to the forefront of global technology advances.</w:t>
      </w:r>
      <w:r w:rsidR="00CC51D0">
        <w:rPr>
          <w:rFonts w:ascii="Times New Roman" w:eastAsia="Times New Roman" w:hAnsi="Times New Roman" w:cs="Times New Roman"/>
          <w:color w:val="222222"/>
          <w:sz w:val="24"/>
          <w:szCs w:val="24"/>
          <w:highlight w:val="white"/>
          <w:lang w:val="en-GB"/>
        </w:rPr>
        <w:t xml:space="preserve"> Based on the overall discussion some relevant recommendations </w:t>
      </w:r>
      <w:r w:rsidR="00DF699A">
        <w:rPr>
          <w:rFonts w:ascii="Times New Roman" w:eastAsia="Times New Roman" w:hAnsi="Times New Roman" w:cs="Times New Roman"/>
          <w:color w:val="222222"/>
          <w:sz w:val="24"/>
          <w:szCs w:val="24"/>
          <w:highlight w:val="white"/>
          <w:lang w:val="en-GB"/>
        </w:rPr>
        <w:t>are discuss</w:t>
      </w:r>
      <w:r w:rsidR="00CC51D0">
        <w:rPr>
          <w:rFonts w:ascii="Times New Roman" w:eastAsia="Times New Roman" w:hAnsi="Times New Roman" w:cs="Times New Roman"/>
          <w:color w:val="222222"/>
          <w:sz w:val="24"/>
          <w:szCs w:val="24"/>
          <w:highlight w:val="white"/>
          <w:lang w:val="en-GB"/>
        </w:rPr>
        <w:t xml:space="preserve">ed in this part to understand the overall project including future impact. </w:t>
      </w:r>
    </w:p>
    <w:p w14:paraId="00000015" w14:textId="77777777" w:rsidR="00163E16" w:rsidRPr="008D12DB" w:rsidRDefault="00000000">
      <w:pPr>
        <w:spacing w:after="240" w:line="360" w:lineRule="auto"/>
        <w:jc w:val="both"/>
        <w:rPr>
          <w:rFonts w:ascii="Times New Roman" w:eastAsia="Times New Roman" w:hAnsi="Times New Roman" w:cs="Times New Roman"/>
          <w:b/>
          <w:i/>
          <w:color w:val="222222"/>
          <w:sz w:val="24"/>
          <w:szCs w:val="24"/>
          <w:highlight w:val="white"/>
          <w:lang w:val="en-GB"/>
        </w:rPr>
      </w:pPr>
      <w:r w:rsidRPr="008D12DB">
        <w:rPr>
          <w:rFonts w:ascii="Times New Roman" w:eastAsia="Times New Roman" w:hAnsi="Times New Roman" w:cs="Times New Roman"/>
          <w:b/>
          <w:i/>
          <w:color w:val="222222"/>
          <w:sz w:val="24"/>
          <w:szCs w:val="24"/>
          <w:highlight w:val="white"/>
          <w:lang w:val="en-GB"/>
        </w:rPr>
        <w:t xml:space="preserve">Recommendations </w:t>
      </w:r>
    </w:p>
    <w:p w14:paraId="00000016" w14:textId="547711A3" w:rsidR="00163E16" w:rsidRP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It can be </w:t>
      </w:r>
      <w:r w:rsidR="008D12DB" w:rsidRPr="008D12DB">
        <w:rPr>
          <w:rFonts w:ascii="Times New Roman" w:eastAsia="Times New Roman" w:hAnsi="Times New Roman" w:cs="Times New Roman"/>
          <w:color w:val="222222"/>
          <w:sz w:val="24"/>
          <w:szCs w:val="24"/>
          <w:highlight w:val="white"/>
          <w:lang w:val="en-GB"/>
        </w:rPr>
        <w:t>recommended</w:t>
      </w:r>
      <w:r w:rsidRPr="008D12DB">
        <w:rPr>
          <w:rFonts w:ascii="Times New Roman" w:eastAsia="Times New Roman" w:hAnsi="Times New Roman" w:cs="Times New Roman"/>
          <w:color w:val="222222"/>
          <w:sz w:val="24"/>
          <w:szCs w:val="24"/>
          <w:highlight w:val="white"/>
          <w:lang w:val="en-GB"/>
        </w:rPr>
        <w:t xml:space="preserve"> that future projects of comparable scale and impact prioritise holistic development, combining cutting-edge workstations with amenities that improve employee well-being and stimulate community participation (Haniffa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2021., p. 200). Google's project's success is based not just on its architectural magnificence, but also on its commitment to establishing a vibrant and inclusive ecology. To address the need for environmentally responsible urban development, it is critical to prioritise sustainable design practises.</w:t>
      </w:r>
    </w:p>
    <w:p w14:paraId="00000017" w14:textId="334F96F5" w:rsidR="008D12DB" w:rsidRDefault="00000000">
      <w:pPr>
        <w:spacing w:after="240" w:line="360" w:lineRule="auto"/>
        <w:jc w:val="both"/>
        <w:rPr>
          <w:rFonts w:ascii="Times New Roman" w:eastAsia="Times New Roman" w:hAnsi="Times New Roman" w:cs="Times New Roman"/>
          <w:color w:val="222222"/>
          <w:sz w:val="24"/>
          <w:szCs w:val="24"/>
          <w:highlight w:val="white"/>
          <w:lang w:val="en-GB"/>
        </w:rPr>
      </w:pPr>
      <w:r w:rsidRPr="008D12DB">
        <w:rPr>
          <w:rFonts w:ascii="Times New Roman" w:eastAsia="Times New Roman" w:hAnsi="Times New Roman" w:cs="Times New Roman"/>
          <w:color w:val="222222"/>
          <w:sz w:val="24"/>
          <w:szCs w:val="24"/>
          <w:highlight w:val="white"/>
          <w:lang w:val="en-GB"/>
        </w:rPr>
        <w:t xml:space="preserve">Transparent communication and continual stakeholder participation are critical suggestions for sustaining community trust and project success. Regular updates and open lines of communication will help to alleviate concerns and foster strong relationships with the local community, government bodies, and other stakeholders (Babalola </w:t>
      </w:r>
      <w:r w:rsidRPr="008D12DB">
        <w:rPr>
          <w:rFonts w:ascii="Times New Roman" w:eastAsia="Times New Roman" w:hAnsi="Times New Roman" w:cs="Times New Roman"/>
          <w:i/>
          <w:color w:val="222222"/>
          <w:sz w:val="24"/>
          <w:szCs w:val="24"/>
          <w:highlight w:val="white"/>
          <w:lang w:val="en-GB"/>
        </w:rPr>
        <w:t>et al.,</w:t>
      </w:r>
      <w:r w:rsidRPr="008D12DB">
        <w:rPr>
          <w:rFonts w:ascii="Times New Roman" w:eastAsia="Times New Roman" w:hAnsi="Times New Roman" w:cs="Times New Roman"/>
          <w:color w:val="222222"/>
          <w:sz w:val="24"/>
          <w:szCs w:val="24"/>
          <w:highlight w:val="white"/>
          <w:lang w:val="en-GB"/>
        </w:rPr>
        <w:t xml:space="preserve"> 2019., p. 42). Furthermore, a proactive risk management approach, involving continual monitoring and adaption to emerging obstacles, would strengthen the project's resilience. In essence, future endeavours should be inspired by Google's King's Cross project's comprehensive and innovative approach, fitting with evolving aspirations for sustainable, people-centric, and community-oriented urban development.</w:t>
      </w:r>
    </w:p>
    <w:p w14:paraId="0F5EF54C" w14:textId="77777777" w:rsidR="008D12DB" w:rsidRDefault="00000000">
      <w:pPr>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br w:type="page"/>
      </w:r>
    </w:p>
    <w:p w14:paraId="687D8B22" w14:textId="02457A03" w:rsidR="00163E16" w:rsidRDefault="00000000" w:rsidP="00DF699A">
      <w:pPr>
        <w:pStyle w:val="Heading1"/>
        <w:rPr>
          <w:highlight w:val="white"/>
          <w:lang w:val="en-GB"/>
        </w:rPr>
      </w:pPr>
      <w:bookmarkStart w:id="3" w:name="_Toc152266074"/>
      <w:r>
        <w:rPr>
          <w:highlight w:val="white"/>
          <w:lang w:val="en-GB"/>
        </w:rPr>
        <w:lastRenderedPageBreak/>
        <w:t>Reference List</w:t>
      </w:r>
      <w:bookmarkEnd w:id="3"/>
    </w:p>
    <w:p w14:paraId="4FC64606"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Abioye, S.O., Oyedele, L.O., Akanbi, L., Ajayi, A., Delgado, J.M.D., Bilal, M., Akinade, O.O. and Ahmed, A., (2021). Artificial intelligence in the construction industry: A review of present status, opportunities and future challenges. </w:t>
      </w:r>
      <w:r>
        <w:rPr>
          <w:i/>
          <w:iCs/>
          <w:color w:val="222222"/>
          <w:shd w:val="clear" w:color="auto" w:fill="FFFFFF"/>
        </w:rPr>
        <w:t>Journal of Building Engineering</w:t>
      </w:r>
      <w:r>
        <w:rPr>
          <w:color w:val="222222"/>
          <w:shd w:val="clear" w:color="auto" w:fill="FFFFFF"/>
        </w:rPr>
        <w:t xml:space="preserve">, </w:t>
      </w:r>
      <w:r>
        <w:rPr>
          <w:i/>
          <w:iCs/>
          <w:color w:val="222222"/>
          <w:shd w:val="clear" w:color="auto" w:fill="FFFFFF"/>
        </w:rPr>
        <w:t>44</w:t>
      </w:r>
      <w:r>
        <w:rPr>
          <w:color w:val="222222"/>
          <w:shd w:val="clear" w:color="auto" w:fill="FFFFFF"/>
        </w:rPr>
        <w:t xml:space="preserve">, p.103299. </w:t>
      </w:r>
      <w:hyperlink r:id="rId7" w:history="1">
        <w:r>
          <w:rPr>
            <w:rStyle w:val="Hyperlink"/>
            <w:color w:val="1155CC"/>
            <w:shd w:val="clear" w:color="auto" w:fill="FFFFFF"/>
          </w:rPr>
          <w:t>https://www.sciencedirect.com/science/article/pii/S2352710221011578</w:t>
        </w:r>
      </w:hyperlink>
      <w:r>
        <w:rPr>
          <w:color w:val="222222"/>
          <w:shd w:val="clear" w:color="auto" w:fill="FFFFFF"/>
        </w:rPr>
        <w:t> </w:t>
      </w:r>
    </w:p>
    <w:p w14:paraId="04793DD5"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Al-Saeed, Y., Edwards, D.J. and Scaysbrook, S., (2020). Automating construction manufacturing procedures using BIM digital objects (BDOs) Case study of knowledge transfer partnership project in the UK. </w:t>
      </w:r>
      <w:r>
        <w:rPr>
          <w:i/>
          <w:iCs/>
          <w:color w:val="222222"/>
          <w:shd w:val="clear" w:color="auto" w:fill="FFFFFF"/>
        </w:rPr>
        <w:t>Construction Innovation</w:t>
      </w:r>
      <w:r>
        <w:rPr>
          <w:color w:val="222222"/>
          <w:shd w:val="clear" w:color="auto" w:fill="FFFFFF"/>
        </w:rPr>
        <w:t xml:space="preserve">, </w:t>
      </w:r>
      <w:r>
        <w:rPr>
          <w:i/>
          <w:iCs/>
          <w:color w:val="222222"/>
          <w:shd w:val="clear" w:color="auto" w:fill="FFFFFF"/>
        </w:rPr>
        <w:t>20</w:t>
      </w:r>
      <w:r>
        <w:rPr>
          <w:color w:val="222222"/>
          <w:shd w:val="clear" w:color="auto" w:fill="FFFFFF"/>
        </w:rPr>
        <w:t xml:space="preserve">(3), pp.345-377. </w:t>
      </w:r>
      <w:hyperlink r:id="rId8" w:history="1">
        <w:r>
          <w:rPr>
            <w:rStyle w:val="Hyperlink"/>
            <w:color w:val="1155CC"/>
            <w:shd w:val="clear" w:color="auto" w:fill="FFFFFF"/>
          </w:rPr>
          <w:t>https://www.emerald.com/insight/content/doi/10.1108/CI-12-2019-0141/full/html</w:t>
        </w:r>
      </w:hyperlink>
      <w:r>
        <w:rPr>
          <w:color w:val="222222"/>
          <w:shd w:val="clear" w:color="auto" w:fill="FFFFFF"/>
        </w:rPr>
        <w:t> </w:t>
      </w:r>
    </w:p>
    <w:p w14:paraId="3A45CC33"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Babalola, O., Ibem, E.O. and Ezema, I.C., (2019). Implementation of lean practices in the construction industry: A systematic review. </w:t>
      </w:r>
      <w:r>
        <w:rPr>
          <w:i/>
          <w:iCs/>
          <w:color w:val="222222"/>
          <w:shd w:val="clear" w:color="auto" w:fill="FFFFFF"/>
        </w:rPr>
        <w:t>Building and environment</w:t>
      </w:r>
      <w:r>
        <w:rPr>
          <w:color w:val="222222"/>
          <w:shd w:val="clear" w:color="auto" w:fill="FFFFFF"/>
        </w:rPr>
        <w:t xml:space="preserve">, </w:t>
      </w:r>
      <w:r>
        <w:rPr>
          <w:i/>
          <w:iCs/>
          <w:color w:val="222222"/>
          <w:shd w:val="clear" w:color="auto" w:fill="FFFFFF"/>
        </w:rPr>
        <w:t>148</w:t>
      </w:r>
      <w:r>
        <w:rPr>
          <w:color w:val="222222"/>
          <w:shd w:val="clear" w:color="auto" w:fill="FFFFFF"/>
        </w:rPr>
        <w:t xml:space="preserve">, pp.34-43. </w:t>
      </w:r>
      <w:hyperlink r:id="rId9" w:history="1">
        <w:r>
          <w:rPr>
            <w:rStyle w:val="Hyperlink"/>
            <w:color w:val="1155CC"/>
            <w:shd w:val="clear" w:color="auto" w:fill="FFFFFF"/>
          </w:rPr>
          <w:t>https://www.sciencedirect.com/science/article/pii/S0360132318306760</w:t>
        </w:r>
      </w:hyperlink>
      <w:r>
        <w:rPr>
          <w:color w:val="222222"/>
          <w:shd w:val="clear" w:color="auto" w:fill="FFFFFF"/>
        </w:rPr>
        <w:t> </w:t>
      </w:r>
    </w:p>
    <w:p w14:paraId="22B7A6BB"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Brown, D., Hall, S. and Davis, M.E., (2019). Prosumers in the post subsidy era: an exploration of new prosumer business models in the UK. </w:t>
      </w:r>
      <w:r>
        <w:rPr>
          <w:i/>
          <w:iCs/>
          <w:color w:val="222222"/>
          <w:shd w:val="clear" w:color="auto" w:fill="FFFFFF"/>
        </w:rPr>
        <w:t>Energy policy</w:t>
      </w:r>
      <w:r>
        <w:rPr>
          <w:color w:val="222222"/>
          <w:shd w:val="clear" w:color="auto" w:fill="FFFFFF"/>
        </w:rPr>
        <w:t xml:space="preserve">, </w:t>
      </w:r>
      <w:r>
        <w:rPr>
          <w:i/>
          <w:iCs/>
          <w:color w:val="222222"/>
          <w:shd w:val="clear" w:color="auto" w:fill="FFFFFF"/>
        </w:rPr>
        <w:t>135</w:t>
      </w:r>
      <w:r>
        <w:rPr>
          <w:color w:val="222222"/>
          <w:shd w:val="clear" w:color="auto" w:fill="FFFFFF"/>
        </w:rPr>
        <w:t xml:space="preserve">, p.110984. </w:t>
      </w:r>
      <w:hyperlink r:id="rId10" w:history="1">
        <w:r>
          <w:rPr>
            <w:rStyle w:val="Hyperlink"/>
            <w:color w:val="1155CC"/>
            <w:shd w:val="clear" w:color="auto" w:fill="FFFFFF"/>
          </w:rPr>
          <w:t>https://www.sciencedirect.com/science/article/pii/S0301421519305713</w:t>
        </w:r>
      </w:hyperlink>
      <w:r>
        <w:rPr>
          <w:color w:val="222222"/>
          <w:shd w:val="clear" w:color="auto" w:fill="FFFFFF"/>
        </w:rPr>
        <w:t> </w:t>
      </w:r>
    </w:p>
    <w:p w14:paraId="7A84247A"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Charef, R., Emmitt, S., Alaka, H. and Fouchal, F., (2019). Building information modelling adoption in the European Union: An overview. </w:t>
      </w:r>
      <w:r>
        <w:rPr>
          <w:i/>
          <w:iCs/>
          <w:color w:val="222222"/>
          <w:shd w:val="clear" w:color="auto" w:fill="FFFFFF"/>
        </w:rPr>
        <w:t>Journal of Building Engineering</w:t>
      </w:r>
      <w:r>
        <w:rPr>
          <w:color w:val="222222"/>
          <w:shd w:val="clear" w:color="auto" w:fill="FFFFFF"/>
        </w:rPr>
        <w:t xml:space="preserve">, </w:t>
      </w:r>
      <w:r>
        <w:rPr>
          <w:i/>
          <w:iCs/>
          <w:color w:val="222222"/>
          <w:shd w:val="clear" w:color="auto" w:fill="FFFFFF"/>
        </w:rPr>
        <w:t>25</w:t>
      </w:r>
      <w:r>
        <w:rPr>
          <w:color w:val="222222"/>
          <w:shd w:val="clear" w:color="auto" w:fill="FFFFFF"/>
        </w:rPr>
        <w:t xml:space="preserve">, p.100777. </w:t>
      </w:r>
      <w:hyperlink r:id="rId11" w:history="1">
        <w:r>
          <w:rPr>
            <w:rStyle w:val="Hyperlink"/>
            <w:color w:val="1155CC"/>
            <w:shd w:val="clear" w:color="auto" w:fill="FFFFFF"/>
          </w:rPr>
          <w:t>https://www.sciencedirect.com/science/article/pii/S2352710218312257</w:t>
        </w:r>
      </w:hyperlink>
      <w:r>
        <w:rPr>
          <w:color w:val="222222"/>
          <w:shd w:val="clear" w:color="auto" w:fill="FFFFFF"/>
        </w:rPr>
        <w:t> </w:t>
      </w:r>
    </w:p>
    <w:p w14:paraId="3A7866A3"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Christophers, B., (2023). The rentierization of the United Kingdom economy. </w:t>
      </w:r>
      <w:r>
        <w:rPr>
          <w:i/>
          <w:iCs/>
          <w:color w:val="222222"/>
          <w:shd w:val="clear" w:color="auto" w:fill="FFFFFF"/>
        </w:rPr>
        <w:t>Environment and Planning A: Economy and Space</w:t>
      </w:r>
      <w:r>
        <w:rPr>
          <w:color w:val="222222"/>
          <w:shd w:val="clear" w:color="auto" w:fill="FFFFFF"/>
        </w:rPr>
        <w:t xml:space="preserve">, </w:t>
      </w:r>
      <w:r>
        <w:rPr>
          <w:i/>
          <w:iCs/>
          <w:color w:val="222222"/>
          <w:shd w:val="clear" w:color="auto" w:fill="FFFFFF"/>
        </w:rPr>
        <w:t>55</w:t>
      </w:r>
      <w:r>
        <w:rPr>
          <w:color w:val="222222"/>
          <w:shd w:val="clear" w:color="auto" w:fill="FFFFFF"/>
        </w:rPr>
        <w:t xml:space="preserve">(6), pp.1438-1470. </w:t>
      </w:r>
      <w:hyperlink r:id="rId12" w:history="1">
        <w:r>
          <w:rPr>
            <w:rStyle w:val="Hyperlink"/>
            <w:color w:val="1155CC"/>
            <w:shd w:val="clear" w:color="auto" w:fill="FFFFFF"/>
          </w:rPr>
          <w:t>https://journals.sagepub.com/doi/abs/10.1177/0308518X19873007</w:t>
        </w:r>
      </w:hyperlink>
      <w:r>
        <w:rPr>
          <w:color w:val="222222"/>
          <w:shd w:val="clear" w:color="auto" w:fill="FFFFFF"/>
        </w:rPr>
        <w:t> </w:t>
      </w:r>
    </w:p>
    <w:p w14:paraId="3806610B"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Denicol, J., Davies, A. and Krystallis, I., (2020). What are the causes and cures of poor megaproject performance? A systematic literature review and research agenda. </w:t>
      </w:r>
      <w:r>
        <w:rPr>
          <w:i/>
          <w:iCs/>
          <w:color w:val="222222"/>
          <w:shd w:val="clear" w:color="auto" w:fill="FFFFFF"/>
        </w:rPr>
        <w:t>Project management journal</w:t>
      </w:r>
      <w:r>
        <w:rPr>
          <w:color w:val="222222"/>
          <w:shd w:val="clear" w:color="auto" w:fill="FFFFFF"/>
        </w:rPr>
        <w:t xml:space="preserve">, </w:t>
      </w:r>
      <w:r>
        <w:rPr>
          <w:i/>
          <w:iCs/>
          <w:color w:val="222222"/>
          <w:shd w:val="clear" w:color="auto" w:fill="FFFFFF"/>
        </w:rPr>
        <w:t>51</w:t>
      </w:r>
      <w:r>
        <w:rPr>
          <w:color w:val="222222"/>
          <w:shd w:val="clear" w:color="auto" w:fill="FFFFFF"/>
        </w:rPr>
        <w:t xml:space="preserve">(3), pp.328-345. </w:t>
      </w:r>
      <w:hyperlink r:id="rId13" w:history="1">
        <w:r>
          <w:rPr>
            <w:rStyle w:val="Hyperlink"/>
            <w:color w:val="1155CC"/>
            <w:shd w:val="clear" w:color="auto" w:fill="FFFFFF"/>
          </w:rPr>
          <w:t>https://journals.sagepub.com/doi/abs/10.1177/8756972819896113</w:t>
        </w:r>
      </w:hyperlink>
      <w:r>
        <w:rPr>
          <w:color w:val="222222"/>
          <w:shd w:val="clear" w:color="auto" w:fill="FFFFFF"/>
        </w:rPr>
        <w:t> </w:t>
      </w:r>
    </w:p>
    <w:p w14:paraId="67C5B710" w14:textId="77777777" w:rsidR="00DF699A" w:rsidRDefault="00000000" w:rsidP="00DF699A">
      <w:pPr>
        <w:pStyle w:val="NormalWeb"/>
        <w:spacing w:before="240" w:beforeAutospacing="0" w:after="240" w:afterAutospacing="0" w:line="360" w:lineRule="auto"/>
        <w:jc w:val="both"/>
      </w:pPr>
      <w:r>
        <w:rPr>
          <w:color w:val="222222"/>
          <w:shd w:val="clear" w:color="auto" w:fill="FFFFFF"/>
        </w:rPr>
        <w:lastRenderedPageBreak/>
        <w:t xml:space="preserve">Fairley, S., Lowy-Gallego, E., Perry, E. and Flicek, P., (2020). The International Genome Sample Resource (IGSR) collection of open human genomic variation resources. </w:t>
      </w:r>
      <w:r>
        <w:rPr>
          <w:i/>
          <w:iCs/>
          <w:color w:val="222222"/>
          <w:shd w:val="clear" w:color="auto" w:fill="FFFFFF"/>
        </w:rPr>
        <w:t>Nucleic acids research</w:t>
      </w:r>
      <w:r>
        <w:rPr>
          <w:color w:val="222222"/>
          <w:shd w:val="clear" w:color="auto" w:fill="FFFFFF"/>
        </w:rPr>
        <w:t xml:space="preserve">, </w:t>
      </w:r>
      <w:r>
        <w:rPr>
          <w:i/>
          <w:iCs/>
          <w:color w:val="222222"/>
          <w:shd w:val="clear" w:color="auto" w:fill="FFFFFF"/>
        </w:rPr>
        <w:t>48</w:t>
      </w:r>
      <w:r>
        <w:rPr>
          <w:color w:val="222222"/>
          <w:shd w:val="clear" w:color="auto" w:fill="FFFFFF"/>
        </w:rPr>
        <w:t xml:space="preserve">(D1), pp.D941-D947. </w:t>
      </w:r>
      <w:hyperlink r:id="rId14" w:history="1">
        <w:r>
          <w:rPr>
            <w:rStyle w:val="Hyperlink"/>
            <w:color w:val="1155CC"/>
            <w:shd w:val="clear" w:color="auto" w:fill="FFFFFF"/>
          </w:rPr>
          <w:t>https://academic.oup.com/nar/article-abstract/48/D1/D941/5580898</w:t>
        </w:r>
      </w:hyperlink>
      <w:r>
        <w:rPr>
          <w:color w:val="222222"/>
          <w:shd w:val="clear" w:color="auto" w:fill="FFFFFF"/>
        </w:rPr>
        <w:t> </w:t>
      </w:r>
    </w:p>
    <w:p w14:paraId="270CD960"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Ghaffar, S.H., Burman, M. and Braimah, N., (2020). Pathways to circular construction: An integrated management of construction and demolition waste for resource recovery.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244</w:t>
      </w:r>
      <w:r>
        <w:rPr>
          <w:color w:val="222222"/>
          <w:shd w:val="clear" w:color="auto" w:fill="FFFFFF"/>
        </w:rPr>
        <w:t xml:space="preserve">, p.118710. </w:t>
      </w:r>
      <w:hyperlink r:id="rId15" w:history="1">
        <w:r>
          <w:rPr>
            <w:rStyle w:val="Hyperlink"/>
            <w:color w:val="1155CC"/>
            <w:shd w:val="clear" w:color="auto" w:fill="FFFFFF"/>
          </w:rPr>
          <w:t>https://www.sciencedirect.com/science/article/pii/S0959652619335802</w:t>
        </w:r>
      </w:hyperlink>
      <w:r>
        <w:rPr>
          <w:color w:val="222222"/>
          <w:shd w:val="clear" w:color="auto" w:fill="FFFFFF"/>
        </w:rPr>
        <w:t> </w:t>
      </w:r>
    </w:p>
    <w:p w14:paraId="32FBF551" w14:textId="77777777" w:rsidR="00DF699A" w:rsidRDefault="00000000" w:rsidP="00DF699A">
      <w:pPr>
        <w:pStyle w:val="NormalWeb"/>
        <w:spacing w:before="240" w:beforeAutospacing="0" w:after="240" w:afterAutospacing="0" w:line="360" w:lineRule="auto"/>
        <w:jc w:val="both"/>
      </w:pPr>
      <w:r>
        <w:rPr>
          <w:color w:val="000000"/>
        </w:rPr>
        <w:t xml:space="preserve">Gillespies, (2023). </w:t>
      </w:r>
      <w:r>
        <w:rPr>
          <w:b/>
          <w:bCs/>
          <w:i/>
          <w:iCs/>
          <w:color w:val="000000"/>
        </w:rPr>
        <w:t xml:space="preserve">Google Headquarters Project. </w:t>
      </w:r>
      <w:hyperlink r:id="rId16" w:history="1">
        <w:r>
          <w:rPr>
            <w:rStyle w:val="Hyperlink"/>
            <w:color w:val="1155CC"/>
            <w:shd w:val="clear" w:color="auto" w:fill="FFFFFF"/>
          </w:rPr>
          <w:t>https://www.gillespies.co.uk/projects/google-headquarters</w:t>
        </w:r>
      </w:hyperlink>
      <w:r>
        <w:rPr>
          <w:color w:val="222222"/>
          <w:shd w:val="clear" w:color="auto" w:fill="FFFFFF"/>
        </w:rPr>
        <w:t> </w:t>
      </w:r>
    </w:p>
    <w:p w14:paraId="06FEFC2C"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Haniffa, M., Taylor, D., Linnarsson, S., Aronow, B.J., Bader, G.D., Barker, R.A., Camara, P.G., Camp, J.G., Chédotal, A., Copp, A. and Etchevers, H.C., (2021). A roadmap for the human developmental cell atlas. </w:t>
      </w:r>
      <w:r>
        <w:rPr>
          <w:i/>
          <w:iCs/>
          <w:color w:val="222222"/>
          <w:shd w:val="clear" w:color="auto" w:fill="FFFFFF"/>
        </w:rPr>
        <w:t>Nature</w:t>
      </w:r>
      <w:r>
        <w:rPr>
          <w:color w:val="222222"/>
          <w:shd w:val="clear" w:color="auto" w:fill="FFFFFF"/>
        </w:rPr>
        <w:t xml:space="preserve">, </w:t>
      </w:r>
      <w:r>
        <w:rPr>
          <w:i/>
          <w:iCs/>
          <w:color w:val="222222"/>
          <w:shd w:val="clear" w:color="auto" w:fill="FFFFFF"/>
        </w:rPr>
        <w:t>597</w:t>
      </w:r>
      <w:r>
        <w:rPr>
          <w:color w:val="222222"/>
          <w:shd w:val="clear" w:color="auto" w:fill="FFFFFF"/>
        </w:rPr>
        <w:t xml:space="preserve">(7875), pp.196-205. </w:t>
      </w:r>
      <w:hyperlink r:id="rId17" w:history="1">
        <w:r>
          <w:rPr>
            <w:rStyle w:val="Hyperlink"/>
            <w:color w:val="1155CC"/>
            <w:shd w:val="clear" w:color="auto" w:fill="FFFFFF"/>
          </w:rPr>
          <w:t>https://www.nature.com/articles/s41586-021-03620-1</w:t>
        </w:r>
      </w:hyperlink>
      <w:r>
        <w:rPr>
          <w:color w:val="222222"/>
          <w:shd w:val="clear" w:color="auto" w:fill="FFFFFF"/>
        </w:rPr>
        <w:t> </w:t>
      </w:r>
    </w:p>
    <w:p w14:paraId="7F1CCBFE"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Levy, S., (2021). </w:t>
      </w:r>
      <w:r>
        <w:rPr>
          <w:i/>
          <w:iCs/>
          <w:color w:val="222222"/>
          <w:shd w:val="clear" w:color="auto" w:fill="FFFFFF"/>
        </w:rPr>
        <w:t>In the plex: How Google thinks, works, and shapes our lives</w:t>
      </w:r>
      <w:r>
        <w:rPr>
          <w:color w:val="222222"/>
          <w:shd w:val="clear" w:color="auto" w:fill="FFFFFF"/>
        </w:rPr>
        <w:t xml:space="preserve">. Simon &amp; Schuster. </w:t>
      </w:r>
      <w:hyperlink r:id="rId18" w:history="1">
        <w:r>
          <w:rPr>
            <w:rStyle w:val="Hyperlink"/>
            <w:color w:val="1155CC"/>
            <w:shd w:val="clear" w:color="auto" w:fill="FFFFFF"/>
          </w:rPr>
          <w:t>https://books.google.com/books?hl=en&amp;lr=&amp;id=RS8SEAAAQBAJ&amp;oi=fnd&amp;pg=PA1&amp;dq=Google%27s+new+headquarters+project+in+UK&amp;ots=oFwIrLVgsO&amp;sig=qcCDLH5CPoAiGfcaR3vQdSx7cj8</w:t>
        </w:r>
      </w:hyperlink>
      <w:r>
        <w:rPr>
          <w:color w:val="222222"/>
          <w:shd w:val="clear" w:color="auto" w:fill="FFFFFF"/>
        </w:rPr>
        <w:t> </w:t>
      </w:r>
    </w:p>
    <w:p w14:paraId="0ECACF54"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Norouzi, M., Chàfer, M., Cabeza, L.F., Jiménez, L. and Boer, D., (2021). Circular economy in the building and construction sector: A scientific evolution analysis. </w:t>
      </w:r>
      <w:r>
        <w:rPr>
          <w:i/>
          <w:iCs/>
          <w:color w:val="222222"/>
          <w:shd w:val="clear" w:color="auto" w:fill="FFFFFF"/>
        </w:rPr>
        <w:t>Journal of Building Engineering</w:t>
      </w:r>
      <w:r>
        <w:rPr>
          <w:color w:val="222222"/>
          <w:shd w:val="clear" w:color="auto" w:fill="FFFFFF"/>
        </w:rPr>
        <w:t xml:space="preserve">, </w:t>
      </w:r>
      <w:r>
        <w:rPr>
          <w:i/>
          <w:iCs/>
          <w:color w:val="222222"/>
          <w:shd w:val="clear" w:color="auto" w:fill="FFFFFF"/>
        </w:rPr>
        <w:t>44</w:t>
      </w:r>
      <w:r>
        <w:rPr>
          <w:color w:val="222222"/>
          <w:shd w:val="clear" w:color="auto" w:fill="FFFFFF"/>
        </w:rPr>
        <w:t xml:space="preserve">, p.102704. </w:t>
      </w:r>
      <w:hyperlink r:id="rId19" w:history="1">
        <w:r>
          <w:rPr>
            <w:rStyle w:val="Hyperlink"/>
            <w:color w:val="1155CC"/>
            <w:shd w:val="clear" w:color="auto" w:fill="FFFFFF"/>
          </w:rPr>
          <w:t>https://www.sciencedirect.com/science/article/pii/S2352710221005623</w:t>
        </w:r>
      </w:hyperlink>
      <w:r>
        <w:rPr>
          <w:color w:val="222222"/>
          <w:shd w:val="clear" w:color="auto" w:fill="FFFFFF"/>
        </w:rPr>
        <w:t> </w:t>
      </w:r>
    </w:p>
    <w:p w14:paraId="15808D54"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Wang, M., Wang, C.C., Sepasgozar, S. and Zlatanova, S., (2020). A systematic review of digital technology adoption in off-site construction: Current status and future direction towards industry 4.0. </w:t>
      </w:r>
      <w:r>
        <w:rPr>
          <w:i/>
          <w:iCs/>
          <w:color w:val="222222"/>
          <w:shd w:val="clear" w:color="auto" w:fill="FFFFFF"/>
        </w:rPr>
        <w:t>Buildings</w:t>
      </w:r>
      <w:r>
        <w:rPr>
          <w:color w:val="222222"/>
          <w:shd w:val="clear" w:color="auto" w:fill="FFFFFF"/>
        </w:rPr>
        <w:t xml:space="preserve">, </w:t>
      </w:r>
      <w:r>
        <w:rPr>
          <w:i/>
          <w:iCs/>
          <w:color w:val="222222"/>
          <w:shd w:val="clear" w:color="auto" w:fill="FFFFFF"/>
        </w:rPr>
        <w:t>10</w:t>
      </w:r>
      <w:r>
        <w:rPr>
          <w:color w:val="222222"/>
          <w:shd w:val="clear" w:color="auto" w:fill="FFFFFF"/>
        </w:rPr>
        <w:t xml:space="preserve">(11), p.204. </w:t>
      </w:r>
      <w:hyperlink r:id="rId20" w:history="1">
        <w:r>
          <w:rPr>
            <w:rStyle w:val="Hyperlink"/>
            <w:color w:val="1155CC"/>
            <w:shd w:val="clear" w:color="auto" w:fill="FFFFFF"/>
          </w:rPr>
          <w:t>https://www.mdpi.com/2075-5309/10/11/204</w:t>
        </w:r>
      </w:hyperlink>
      <w:r>
        <w:rPr>
          <w:color w:val="222222"/>
          <w:shd w:val="clear" w:color="auto" w:fill="FFFFFF"/>
        </w:rPr>
        <w:t> </w:t>
      </w:r>
    </w:p>
    <w:p w14:paraId="7FBA91C0" w14:textId="77777777" w:rsidR="00DF699A" w:rsidRDefault="00000000" w:rsidP="00DF699A">
      <w:pPr>
        <w:pStyle w:val="NormalWeb"/>
        <w:spacing w:before="240" w:beforeAutospacing="0" w:after="240" w:afterAutospacing="0" w:line="360" w:lineRule="auto"/>
        <w:jc w:val="both"/>
      </w:pPr>
      <w:r>
        <w:rPr>
          <w:color w:val="222222"/>
          <w:shd w:val="clear" w:color="auto" w:fill="FFFFFF"/>
        </w:rPr>
        <w:t xml:space="preserve">Zhang, Y., Wang, H., Gao, W., Wang, F., Zhou, N., Kammen, D.M. and Ying, X., (2019). A survey of the status and challenges of green building development in various countries. </w:t>
      </w:r>
      <w:r>
        <w:rPr>
          <w:i/>
          <w:iCs/>
          <w:color w:val="222222"/>
          <w:shd w:val="clear" w:color="auto" w:fill="FFFFFF"/>
        </w:rPr>
        <w:t>Sustainability</w:t>
      </w:r>
      <w:r>
        <w:rPr>
          <w:color w:val="222222"/>
          <w:shd w:val="clear" w:color="auto" w:fill="FFFFFF"/>
        </w:rPr>
        <w:t xml:space="preserve">, </w:t>
      </w:r>
      <w:r>
        <w:rPr>
          <w:i/>
          <w:iCs/>
          <w:color w:val="222222"/>
          <w:shd w:val="clear" w:color="auto" w:fill="FFFFFF"/>
        </w:rPr>
        <w:t>11</w:t>
      </w:r>
      <w:r>
        <w:rPr>
          <w:color w:val="222222"/>
          <w:shd w:val="clear" w:color="auto" w:fill="FFFFFF"/>
        </w:rPr>
        <w:t xml:space="preserve">(19), p.5385. </w:t>
      </w:r>
      <w:hyperlink r:id="rId21" w:history="1">
        <w:r>
          <w:rPr>
            <w:rStyle w:val="Hyperlink"/>
            <w:color w:val="1155CC"/>
            <w:shd w:val="clear" w:color="auto" w:fill="FFFFFF"/>
          </w:rPr>
          <w:t>https://www.mdpi.com/2071-1050/11/19/5385</w:t>
        </w:r>
      </w:hyperlink>
      <w:r>
        <w:rPr>
          <w:color w:val="222222"/>
          <w:shd w:val="clear" w:color="auto" w:fill="FFFFFF"/>
        </w:rPr>
        <w:t> </w:t>
      </w:r>
    </w:p>
    <w:p w14:paraId="7E512BA5" w14:textId="77777777" w:rsidR="008D12DB" w:rsidRPr="008D12DB" w:rsidRDefault="008D12DB">
      <w:pPr>
        <w:spacing w:after="240" w:line="360" w:lineRule="auto"/>
        <w:jc w:val="both"/>
        <w:rPr>
          <w:rFonts w:ascii="Times New Roman" w:eastAsia="Times New Roman" w:hAnsi="Times New Roman" w:cs="Times New Roman"/>
          <w:color w:val="222222"/>
          <w:sz w:val="24"/>
          <w:szCs w:val="24"/>
          <w:highlight w:val="white"/>
          <w:lang w:val="en-GB"/>
        </w:rPr>
      </w:pPr>
    </w:p>
    <w:sectPr w:rsidR="008D12DB" w:rsidRPr="008D12DB" w:rsidSect="00DF699A">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53F35" w14:textId="77777777" w:rsidR="00DC2F4F" w:rsidRDefault="00DC2F4F">
      <w:pPr>
        <w:spacing w:line="240" w:lineRule="auto"/>
      </w:pPr>
      <w:r>
        <w:separator/>
      </w:r>
    </w:p>
  </w:endnote>
  <w:endnote w:type="continuationSeparator" w:id="0">
    <w:p w14:paraId="01014339" w14:textId="77777777" w:rsidR="00DC2F4F" w:rsidRDefault="00DC2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599061489"/>
      <w:docPartObj>
        <w:docPartGallery w:val="Page Numbers (Bottom of Page)"/>
        <w:docPartUnique/>
      </w:docPartObj>
    </w:sdtPr>
    <w:sdtEndPr>
      <w:rPr>
        <w:noProof/>
      </w:rPr>
    </w:sdtEndPr>
    <w:sdtContent>
      <w:p w14:paraId="68CF6A0A" w14:textId="18811F41" w:rsidR="00DF699A" w:rsidRPr="00DF699A" w:rsidRDefault="00000000">
        <w:pPr>
          <w:pStyle w:val="Footer"/>
          <w:jc w:val="right"/>
          <w:rPr>
            <w:rFonts w:ascii="Times New Roman" w:hAnsi="Times New Roman" w:cs="Times New Roman"/>
            <w:sz w:val="20"/>
            <w:szCs w:val="20"/>
          </w:rPr>
        </w:pPr>
        <w:r w:rsidRPr="00DF699A">
          <w:rPr>
            <w:rFonts w:ascii="Times New Roman" w:hAnsi="Times New Roman" w:cs="Times New Roman"/>
            <w:sz w:val="20"/>
            <w:szCs w:val="20"/>
          </w:rPr>
          <w:fldChar w:fldCharType="begin"/>
        </w:r>
        <w:r w:rsidRPr="00DF699A">
          <w:rPr>
            <w:rFonts w:ascii="Times New Roman" w:hAnsi="Times New Roman" w:cs="Times New Roman"/>
            <w:sz w:val="20"/>
            <w:szCs w:val="20"/>
          </w:rPr>
          <w:instrText xml:space="preserve"> PAGE   \* MERGEFORMAT </w:instrText>
        </w:r>
        <w:r w:rsidRPr="00DF699A">
          <w:rPr>
            <w:rFonts w:ascii="Times New Roman" w:hAnsi="Times New Roman" w:cs="Times New Roman"/>
            <w:sz w:val="20"/>
            <w:szCs w:val="20"/>
          </w:rPr>
          <w:fldChar w:fldCharType="separate"/>
        </w:r>
        <w:r w:rsidRPr="00DF699A">
          <w:rPr>
            <w:rFonts w:ascii="Times New Roman" w:hAnsi="Times New Roman" w:cs="Times New Roman"/>
            <w:noProof/>
            <w:sz w:val="20"/>
            <w:szCs w:val="20"/>
          </w:rPr>
          <w:t>2</w:t>
        </w:r>
        <w:r w:rsidRPr="00DF699A">
          <w:rPr>
            <w:rFonts w:ascii="Times New Roman" w:hAnsi="Times New Roman" w:cs="Times New Roman"/>
            <w:noProof/>
            <w:sz w:val="20"/>
            <w:szCs w:val="20"/>
          </w:rPr>
          <w:fldChar w:fldCharType="end"/>
        </w:r>
      </w:p>
    </w:sdtContent>
  </w:sdt>
  <w:p w14:paraId="74376A30" w14:textId="77777777" w:rsidR="00DF699A" w:rsidRPr="00DF699A" w:rsidRDefault="00DF699A">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A6E3A" w14:textId="77777777" w:rsidR="00DC2F4F" w:rsidRDefault="00DC2F4F">
      <w:pPr>
        <w:spacing w:line="240" w:lineRule="auto"/>
      </w:pPr>
      <w:r>
        <w:separator/>
      </w:r>
    </w:p>
  </w:footnote>
  <w:footnote w:type="continuationSeparator" w:id="0">
    <w:p w14:paraId="1793AC3A" w14:textId="77777777" w:rsidR="00DC2F4F" w:rsidRDefault="00DC2F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E16"/>
    <w:rsid w:val="00163E16"/>
    <w:rsid w:val="0037330A"/>
    <w:rsid w:val="008D12DB"/>
    <w:rsid w:val="00965B82"/>
    <w:rsid w:val="00967C14"/>
    <w:rsid w:val="00C1782E"/>
    <w:rsid w:val="00CC51D0"/>
    <w:rsid w:val="00CE6900"/>
    <w:rsid w:val="00DC2F4F"/>
    <w:rsid w:val="00DF69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123E"/>
  <w15:docId w15:val="{099A46B4-9435-4C55-84A4-71528322C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F699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F699A"/>
    <w:pPr>
      <w:tabs>
        <w:tab w:val="center" w:pos="4513"/>
        <w:tab w:val="right" w:pos="9026"/>
      </w:tabs>
      <w:spacing w:line="240" w:lineRule="auto"/>
    </w:pPr>
  </w:style>
  <w:style w:type="character" w:customStyle="1" w:styleId="HeaderChar">
    <w:name w:val="Header Char"/>
    <w:basedOn w:val="DefaultParagraphFont"/>
    <w:link w:val="Header"/>
    <w:uiPriority w:val="99"/>
    <w:rsid w:val="00DF699A"/>
  </w:style>
  <w:style w:type="paragraph" w:styleId="Footer">
    <w:name w:val="footer"/>
    <w:basedOn w:val="Normal"/>
    <w:link w:val="FooterChar"/>
    <w:uiPriority w:val="99"/>
    <w:unhideWhenUsed/>
    <w:rsid w:val="00DF699A"/>
    <w:pPr>
      <w:tabs>
        <w:tab w:val="center" w:pos="4513"/>
        <w:tab w:val="right" w:pos="9026"/>
      </w:tabs>
      <w:spacing w:line="240" w:lineRule="auto"/>
    </w:pPr>
  </w:style>
  <w:style w:type="character" w:customStyle="1" w:styleId="FooterChar">
    <w:name w:val="Footer Char"/>
    <w:basedOn w:val="DefaultParagraphFont"/>
    <w:link w:val="Footer"/>
    <w:uiPriority w:val="99"/>
    <w:rsid w:val="00DF699A"/>
  </w:style>
  <w:style w:type="paragraph" w:styleId="TOCHeading">
    <w:name w:val="TOC Heading"/>
    <w:basedOn w:val="Heading1"/>
    <w:next w:val="Normal"/>
    <w:uiPriority w:val="39"/>
    <w:unhideWhenUsed/>
    <w:qFormat/>
    <w:rsid w:val="00DF699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F699A"/>
    <w:pPr>
      <w:spacing w:after="100"/>
    </w:pPr>
  </w:style>
  <w:style w:type="character" w:styleId="Hyperlink">
    <w:name w:val="Hyperlink"/>
    <w:basedOn w:val="DefaultParagraphFont"/>
    <w:uiPriority w:val="99"/>
    <w:unhideWhenUsed/>
    <w:rsid w:val="00DF699A"/>
    <w:rPr>
      <w:color w:val="0000FF" w:themeColor="hyperlink"/>
      <w:u w:val="single"/>
    </w:rPr>
  </w:style>
  <w:style w:type="paragraph" w:styleId="NormalWeb">
    <w:name w:val="Normal (Web)"/>
    <w:basedOn w:val="Normal"/>
    <w:uiPriority w:val="99"/>
    <w:semiHidden/>
    <w:unhideWhenUsed/>
    <w:rsid w:val="00DF699A"/>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CI-12-2019-0141/full/html" TargetMode="External"/><Relationship Id="rId13" Type="http://schemas.openxmlformats.org/officeDocument/2006/relationships/hyperlink" Target="https://journals.sagepub.com/doi/abs/10.1177/8756972819896113" TargetMode="External"/><Relationship Id="rId18" Type="http://schemas.openxmlformats.org/officeDocument/2006/relationships/hyperlink" Target="https://books.google.com/books?hl=en&amp;lr=&amp;id=RS8SEAAAQBAJ&amp;oi=fnd&amp;pg=PA1&amp;dq=Google%27s+new+headquarters+project+in+UK&amp;ots=oFwIrLVgsO&amp;sig=qcCDLH5CPoAiGfcaR3vQdSx7cj8" TargetMode="External"/><Relationship Id="rId3" Type="http://schemas.openxmlformats.org/officeDocument/2006/relationships/settings" Target="settings.xml"/><Relationship Id="rId21" Type="http://schemas.openxmlformats.org/officeDocument/2006/relationships/hyperlink" Target="https://www.mdpi.com/2071-1050/11/19/5385" TargetMode="External"/><Relationship Id="rId7" Type="http://schemas.openxmlformats.org/officeDocument/2006/relationships/hyperlink" Target="https://www.sciencedirect.com/science/article/pii/S2352710221011578" TargetMode="External"/><Relationship Id="rId12" Type="http://schemas.openxmlformats.org/officeDocument/2006/relationships/hyperlink" Target="https://journals.sagepub.com/doi/abs/10.1177/0308518X19873007" TargetMode="External"/><Relationship Id="rId17" Type="http://schemas.openxmlformats.org/officeDocument/2006/relationships/hyperlink" Target="https://www.nature.com/articles/s41586-021-03620-1" TargetMode="External"/><Relationship Id="rId2" Type="http://schemas.openxmlformats.org/officeDocument/2006/relationships/styles" Target="styles.xml"/><Relationship Id="rId16" Type="http://schemas.openxmlformats.org/officeDocument/2006/relationships/hyperlink" Target="https://www.gillespies.co.uk/projects/google-headquarters" TargetMode="External"/><Relationship Id="rId20" Type="http://schemas.openxmlformats.org/officeDocument/2006/relationships/hyperlink" Target="https://www.mdpi.com/2075-5309/10/11/2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235271021831225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pii/S0959652619335802" TargetMode="External"/><Relationship Id="rId23" Type="http://schemas.openxmlformats.org/officeDocument/2006/relationships/fontTable" Target="fontTable.xml"/><Relationship Id="rId10" Type="http://schemas.openxmlformats.org/officeDocument/2006/relationships/hyperlink" Target="https://www.sciencedirect.com/science/article/pii/S0301421519305713" TargetMode="External"/><Relationship Id="rId19" Type="http://schemas.openxmlformats.org/officeDocument/2006/relationships/hyperlink" Target="https://www.sciencedirect.com/science/article/pii/S2352710221005623" TargetMode="External"/><Relationship Id="rId4" Type="http://schemas.openxmlformats.org/officeDocument/2006/relationships/webSettings" Target="webSettings.xml"/><Relationship Id="rId9" Type="http://schemas.openxmlformats.org/officeDocument/2006/relationships/hyperlink" Target="https://www.sciencedirect.com/science/article/pii/S0360132318306760" TargetMode="External"/><Relationship Id="rId14" Type="http://schemas.openxmlformats.org/officeDocument/2006/relationships/hyperlink" Target="https://academic.oup.com/nar/article-abstract/48/D1/D941/558089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B1584-D5CF-43A6-BFCD-C27639019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3434</Words>
  <Characters>19576</Characters>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2023-11-30T14:29:00Z</dcterms:created>
  <dcterms:modified xsi:type="dcterms:W3CDTF">2023-11-30T14:29:00Z</dcterms:modified>
</cp:coreProperties>
</file>