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03DA4" w14:textId="7845A133" w:rsidR="008B31AB" w:rsidRDefault="008B31AB" w:rsidP="00B902BF">
      <w:pPr>
        <w:jc w:val="both"/>
        <w:rPr>
          <w:rFonts w:ascii="Arial" w:hAnsi="Arial" w:cs="Arial"/>
          <w:b/>
          <w:bCs/>
          <w:sz w:val="22"/>
          <w:szCs w:val="22"/>
          <w:lang w:val="nl-NL"/>
        </w:rPr>
      </w:pPr>
      <w:r w:rsidRPr="001340E2">
        <w:rPr>
          <w:noProof/>
        </w:rPr>
        <w:drawing>
          <wp:anchor distT="0" distB="0" distL="114300" distR="114300" simplePos="0" relativeHeight="251659264" behindDoc="0" locked="0" layoutInCell="1" hidden="0" allowOverlap="1" wp14:anchorId="22461B37" wp14:editId="768EBFDB">
            <wp:simplePos x="0" y="0"/>
            <wp:positionH relativeFrom="column">
              <wp:posOffset>0</wp:posOffset>
            </wp:positionH>
            <wp:positionV relativeFrom="paragraph">
              <wp:posOffset>285750</wp:posOffset>
            </wp:positionV>
            <wp:extent cx="1809750" cy="723900"/>
            <wp:effectExtent l="0" t="0" r="0" b="0"/>
            <wp:wrapSquare wrapText="bothSides" distT="0" distB="0" distL="114300" distR="114300"/>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0"/>
                    <a:srcRect/>
                    <a:stretch>
                      <a:fillRect/>
                    </a:stretch>
                  </pic:blipFill>
                  <pic:spPr>
                    <a:xfrm>
                      <a:off x="0" y="0"/>
                      <a:ext cx="1809750" cy="723900"/>
                    </a:xfrm>
                    <a:prstGeom prst="rect">
                      <a:avLst/>
                    </a:prstGeom>
                    <a:ln/>
                  </pic:spPr>
                </pic:pic>
              </a:graphicData>
            </a:graphic>
          </wp:anchor>
        </w:drawing>
      </w:r>
    </w:p>
    <w:p w14:paraId="20C9C98B" w14:textId="77777777" w:rsidR="008B31AB" w:rsidRDefault="008B31AB" w:rsidP="00B902BF">
      <w:pPr>
        <w:jc w:val="both"/>
        <w:rPr>
          <w:rFonts w:ascii="Arial" w:hAnsi="Arial" w:cs="Arial"/>
          <w:b/>
          <w:bCs/>
          <w:sz w:val="22"/>
          <w:szCs w:val="22"/>
          <w:lang w:val="nl-NL"/>
        </w:rPr>
      </w:pPr>
    </w:p>
    <w:p w14:paraId="16E6416E" w14:textId="5D299F1B" w:rsidR="00B902BF" w:rsidRPr="00B902BF" w:rsidRDefault="00B902BF" w:rsidP="00B902BF">
      <w:pPr>
        <w:jc w:val="both"/>
        <w:rPr>
          <w:rFonts w:ascii="Arial" w:hAnsi="Arial" w:cs="Arial"/>
          <w:b/>
          <w:bCs/>
          <w:sz w:val="22"/>
          <w:szCs w:val="22"/>
          <w:lang w:val="nl-NL"/>
        </w:rPr>
      </w:pPr>
      <w:r w:rsidRPr="00B902BF">
        <w:rPr>
          <w:rFonts w:ascii="Arial" w:hAnsi="Arial" w:cs="Arial"/>
          <w:b/>
          <w:bCs/>
          <w:sz w:val="22"/>
          <w:szCs w:val="22"/>
          <w:lang w:val="nl-NL"/>
        </w:rPr>
        <w:t>TITLE PAGE</w:t>
      </w:r>
    </w:p>
    <w:p w14:paraId="1A68E3BE" w14:textId="77777777" w:rsidR="00B902BF" w:rsidRPr="00B902BF" w:rsidRDefault="00B902BF" w:rsidP="00B902BF">
      <w:pPr>
        <w:jc w:val="both"/>
        <w:rPr>
          <w:rFonts w:ascii="Arial" w:hAnsi="Arial" w:cs="Arial"/>
          <w:b/>
          <w:bCs/>
          <w:sz w:val="22"/>
          <w:szCs w:val="22"/>
          <w:lang w:val="nl-NL"/>
        </w:rPr>
      </w:pPr>
    </w:p>
    <w:p w14:paraId="44F5AE24" w14:textId="77777777" w:rsidR="00B902BF" w:rsidRPr="004D31F1" w:rsidRDefault="00B902BF" w:rsidP="00B902BF">
      <w:pPr>
        <w:jc w:val="both"/>
        <w:rPr>
          <w:rFonts w:ascii="Arial" w:hAnsi="Arial" w:cs="Arial"/>
          <w:b/>
          <w:bCs/>
          <w:sz w:val="22"/>
          <w:szCs w:val="22"/>
        </w:rPr>
      </w:pPr>
      <w:r w:rsidRPr="004D31F1">
        <w:rPr>
          <w:rFonts w:ascii="Arial" w:hAnsi="Arial" w:cs="Arial"/>
          <w:b/>
          <w:bCs/>
          <w:sz w:val="22"/>
          <w:szCs w:val="22"/>
        </w:rPr>
        <w:t>STUDENT NAME:</w:t>
      </w:r>
      <w:r w:rsidR="004D31F1" w:rsidRPr="004D31F1">
        <w:rPr>
          <w:rFonts w:ascii="Arial" w:hAnsi="Arial" w:cs="Arial"/>
          <w:b/>
          <w:bCs/>
          <w:sz w:val="22"/>
          <w:szCs w:val="22"/>
        </w:rPr>
        <w:t xml:space="preserve"> </w:t>
      </w:r>
      <w:r w:rsidR="004D31F1" w:rsidRPr="004D31F1">
        <w:rPr>
          <w:rFonts w:ascii="Arial" w:hAnsi="Arial" w:cs="Arial"/>
          <w:sz w:val="22"/>
          <w:szCs w:val="22"/>
        </w:rPr>
        <w:t>FATOUMATA MALIKA DOSSO</w:t>
      </w:r>
    </w:p>
    <w:p w14:paraId="202664CF" w14:textId="77777777" w:rsidR="00B902BF" w:rsidRPr="004D31F1" w:rsidRDefault="00B902BF" w:rsidP="00B902BF">
      <w:pPr>
        <w:jc w:val="both"/>
        <w:rPr>
          <w:rFonts w:ascii="Arial" w:hAnsi="Arial" w:cs="Arial"/>
          <w:b/>
          <w:bCs/>
          <w:sz w:val="22"/>
          <w:szCs w:val="22"/>
        </w:rPr>
      </w:pPr>
    </w:p>
    <w:p w14:paraId="7BF628D8" w14:textId="77777777" w:rsidR="00B902BF" w:rsidRPr="00B902BF" w:rsidRDefault="00B902BF" w:rsidP="00B902BF">
      <w:pPr>
        <w:jc w:val="both"/>
        <w:rPr>
          <w:rFonts w:ascii="Arial" w:hAnsi="Arial" w:cs="Arial"/>
          <w:b/>
          <w:bCs/>
          <w:sz w:val="22"/>
          <w:szCs w:val="22"/>
          <w:lang w:val="nl-NL"/>
        </w:rPr>
      </w:pPr>
      <w:r w:rsidRPr="00B902BF">
        <w:rPr>
          <w:rFonts w:ascii="Arial" w:hAnsi="Arial" w:cs="Arial"/>
          <w:b/>
          <w:bCs/>
          <w:sz w:val="22"/>
          <w:szCs w:val="22"/>
          <w:lang w:val="nl-NL"/>
        </w:rPr>
        <w:t>STUDENT ID:</w:t>
      </w:r>
      <w:r w:rsidR="004D31F1">
        <w:rPr>
          <w:rFonts w:ascii="Arial" w:hAnsi="Arial" w:cs="Arial"/>
          <w:b/>
          <w:bCs/>
          <w:sz w:val="22"/>
          <w:szCs w:val="22"/>
          <w:lang w:val="nl-NL"/>
        </w:rPr>
        <w:t xml:space="preserve"> </w:t>
      </w:r>
      <w:r w:rsidR="004D31F1" w:rsidRPr="004D31F1">
        <w:rPr>
          <w:rFonts w:ascii="Arial" w:hAnsi="Arial" w:cs="Arial"/>
          <w:sz w:val="22"/>
          <w:szCs w:val="22"/>
          <w:lang w:val="nl-NL"/>
        </w:rPr>
        <w:t>2514002</w:t>
      </w:r>
    </w:p>
    <w:p w14:paraId="2D89E9E5" w14:textId="77777777" w:rsidR="00B902BF" w:rsidRPr="00B902BF" w:rsidRDefault="00B902BF" w:rsidP="00B902BF">
      <w:pPr>
        <w:jc w:val="both"/>
        <w:rPr>
          <w:rFonts w:ascii="Arial" w:hAnsi="Arial" w:cs="Arial"/>
          <w:sz w:val="22"/>
          <w:szCs w:val="22"/>
          <w:lang w:val="nl-NL"/>
        </w:rPr>
      </w:pPr>
    </w:p>
    <w:p w14:paraId="1EDEC0BF" w14:textId="77777777" w:rsidR="00B902BF" w:rsidRDefault="00B902BF" w:rsidP="00B902BF">
      <w:pPr>
        <w:jc w:val="both"/>
        <w:rPr>
          <w:rFonts w:ascii="Arial" w:hAnsi="Arial" w:cs="Arial"/>
          <w:sz w:val="22"/>
          <w:szCs w:val="22"/>
        </w:rPr>
      </w:pPr>
      <w:r w:rsidRPr="00B902BF">
        <w:rPr>
          <w:rFonts w:ascii="Arial" w:hAnsi="Arial" w:cs="Arial"/>
          <w:b/>
          <w:bCs/>
          <w:sz w:val="22"/>
          <w:szCs w:val="22"/>
        </w:rPr>
        <w:t>PROGRAMME</w:t>
      </w:r>
      <w:r w:rsidRPr="00B902BF">
        <w:rPr>
          <w:rFonts w:ascii="Arial" w:hAnsi="Arial" w:cs="Arial"/>
          <w:sz w:val="22"/>
          <w:szCs w:val="22"/>
        </w:rPr>
        <w:t>: Certificate of Higher Education Skills for the Workplace (Health &amp; Social Care)</w:t>
      </w:r>
    </w:p>
    <w:p w14:paraId="62952EF5" w14:textId="77777777" w:rsidR="00B902BF" w:rsidRDefault="00B902BF" w:rsidP="00B902BF">
      <w:pPr>
        <w:jc w:val="both"/>
        <w:rPr>
          <w:rFonts w:ascii="Arial" w:hAnsi="Arial" w:cs="Arial"/>
          <w:sz w:val="22"/>
          <w:szCs w:val="22"/>
        </w:rPr>
      </w:pPr>
      <w:r w:rsidRPr="00B902BF">
        <w:rPr>
          <w:rFonts w:ascii="Arial" w:hAnsi="Arial" w:cs="Arial"/>
          <w:b/>
          <w:bCs/>
          <w:sz w:val="22"/>
          <w:szCs w:val="22"/>
        </w:rPr>
        <w:br/>
        <w:t>MODULE CODE</w:t>
      </w:r>
      <w:r w:rsidRPr="00B902BF">
        <w:rPr>
          <w:rFonts w:ascii="Arial" w:hAnsi="Arial" w:cs="Arial"/>
          <w:sz w:val="22"/>
          <w:szCs w:val="22"/>
        </w:rPr>
        <w:t>: CHS4003</w:t>
      </w:r>
    </w:p>
    <w:p w14:paraId="10376977" w14:textId="77777777" w:rsidR="00B902BF" w:rsidRDefault="00B902BF" w:rsidP="00B902BF">
      <w:pPr>
        <w:jc w:val="both"/>
        <w:rPr>
          <w:rFonts w:ascii="Arial" w:hAnsi="Arial" w:cs="Arial"/>
          <w:sz w:val="22"/>
          <w:szCs w:val="22"/>
        </w:rPr>
      </w:pPr>
    </w:p>
    <w:p w14:paraId="38D5A265" w14:textId="77777777" w:rsidR="00B902BF" w:rsidRDefault="00B902BF" w:rsidP="00B902BF">
      <w:pPr>
        <w:jc w:val="both"/>
        <w:rPr>
          <w:rFonts w:ascii="Arial" w:hAnsi="Arial" w:cs="Arial"/>
          <w:sz w:val="22"/>
          <w:szCs w:val="22"/>
        </w:rPr>
      </w:pPr>
      <w:r w:rsidRPr="00B902BF">
        <w:rPr>
          <w:rFonts w:ascii="Arial" w:hAnsi="Arial" w:cs="Arial"/>
          <w:b/>
          <w:bCs/>
          <w:sz w:val="22"/>
          <w:szCs w:val="22"/>
        </w:rPr>
        <w:t>MODULE TITLE:</w:t>
      </w:r>
      <w:r w:rsidRPr="00B902BF">
        <w:rPr>
          <w:rFonts w:ascii="Arial" w:hAnsi="Arial" w:cs="Arial"/>
          <w:sz w:val="22"/>
          <w:szCs w:val="22"/>
        </w:rPr>
        <w:t xml:space="preserve"> Introduction to Health and Social Care</w:t>
      </w:r>
    </w:p>
    <w:p w14:paraId="76C3BDF3" w14:textId="77777777" w:rsidR="00B902BF" w:rsidRDefault="00B902BF" w:rsidP="00B902BF">
      <w:pPr>
        <w:jc w:val="both"/>
        <w:rPr>
          <w:rFonts w:ascii="Arial" w:hAnsi="Arial" w:cs="Arial"/>
          <w:sz w:val="22"/>
          <w:szCs w:val="22"/>
        </w:rPr>
      </w:pPr>
    </w:p>
    <w:p w14:paraId="4E5B1B7F" w14:textId="29A6A6CF" w:rsidR="00B902BF" w:rsidRPr="00B902BF" w:rsidRDefault="00B902BF" w:rsidP="00B902BF">
      <w:pPr>
        <w:jc w:val="both"/>
        <w:rPr>
          <w:rFonts w:ascii="Arial" w:hAnsi="Arial" w:cs="Arial"/>
          <w:sz w:val="22"/>
          <w:szCs w:val="22"/>
        </w:rPr>
      </w:pPr>
      <w:r w:rsidRPr="00B902BF">
        <w:rPr>
          <w:rFonts w:ascii="Arial" w:hAnsi="Arial" w:cs="Arial"/>
          <w:b/>
          <w:bCs/>
          <w:sz w:val="22"/>
          <w:szCs w:val="22"/>
        </w:rPr>
        <w:t>LECTURER</w:t>
      </w:r>
      <w:r w:rsidRPr="00B902BF">
        <w:rPr>
          <w:rFonts w:ascii="Arial" w:hAnsi="Arial" w:cs="Arial"/>
          <w:sz w:val="22"/>
          <w:szCs w:val="22"/>
        </w:rPr>
        <w:t xml:space="preserve">: </w:t>
      </w:r>
      <w:r w:rsidR="000A0724">
        <w:rPr>
          <w:rFonts w:ascii="Arial" w:hAnsi="Arial" w:cs="Arial"/>
          <w:sz w:val="22"/>
          <w:szCs w:val="22"/>
        </w:rPr>
        <w:t xml:space="preserve">Eleni </w:t>
      </w:r>
      <w:proofErr w:type="spellStart"/>
      <w:r w:rsidR="000A0724">
        <w:rPr>
          <w:rFonts w:ascii="Arial" w:hAnsi="Arial" w:cs="Arial"/>
          <w:sz w:val="22"/>
          <w:szCs w:val="22"/>
        </w:rPr>
        <w:t>Koutsogeorgou</w:t>
      </w:r>
      <w:proofErr w:type="spellEnd"/>
      <w:r w:rsidR="000A0724">
        <w:rPr>
          <w:rFonts w:ascii="Arial" w:hAnsi="Arial" w:cs="Arial"/>
          <w:sz w:val="22"/>
          <w:szCs w:val="22"/>
        </w:rPr>
        <w:t xml:space="preserve"> Andreou</w:t>
      </w:r>
    </w:p>
    <w:p w14:paraId="183AB9AC" w14:textId="77777777" w:rsidR="00B902BF" w:rsidRPr="00B902BF" w:rsidRDefault="00B902BF" w:rsidP="00B902BF">
      <w:pPr>
        <w:jc w:val="both"/>
        <w:rPr>
          <w:rFonts w:ascii="Arial" w:hAnsi="Arial" w:cs="Arial"/>
          <w:sz w:val="22"/>
          <w:szCs w:val="22"/>
        </w:rPr>
      </w:pPr>
    </w:p>
    <w:p w14:paraId="1FF1A97E" w14:textId="77777777" w:rsidR="00B902BF" w:rsidRPr="00B902BF" w:rsidRDefault="00B902BF" w:rsidP="00B902BF">
      <w:pPr>
        <w:jc w:val="both"/>
        <w:rPr>
          <w:rFonts w:ascii="Arial" w:hAnsi="Arial" w:cs="Arial"/>
          <w:sz w:val="22"/>
          <w:szCs w:val="22"/>
        </w:rPr>
      </w:pPr>
      <w:r w:rsidRPr="00B902BF">
        <w:rPr>
          <w:rFonts w:ascii="Arial" w:hAnsi="Arial" w:cs="Arial"/>
          <w:b/>
          <w:bCs/>
          <w:sz w:val="22"/>
          <w:szCs w:val="22"/>
        </w:rPr>
        <w:t>ASSIGNMENT TITLE:</w:t>
      </w:r>
      <w:r w:rsidRPr="00B902BF">
        <w:rPr>
          <w:rFonts w:ascii="Arial" w:hAnsi="Arial" w:cs="Arial"/>
          <w:sz w:val="22"/>
          <w:szCs w:val="22"/>
        </w:rPr>
        <w:t xml:space="preserve"> Communication, Record-Keeping and Collaborative Working in Health and Social Care: Case Study of </w:t>
      </w:r>
      <w:proofErr w:type="spellStart"/>
      <w:r w:rsidRPr="00B902BF">
        <w:rPr>
          <w:rFonts w:ascii="Arial" w:hAnsi="Arial" w:cs="Arial"/>
          <w:sz w:val="22"/>
          <w:szCs w:val="22"/>
        </w:rPr>
        <w:t>Mr</w:t>
      </w:r>
      <w:proofErr w:type="spellEnd"/>
      <w:r w:rsidRPr="00B902BF">
        <w:rPr>
          <w:rFonts w:ascii="Arial" w:hAnsi="Arial" w:cs="Arial"/>
          <w:sz w:val="22"/>
          <w:szCs w:val="22"/>
        </w:rPr>
        <w:t xml:space="preserve"> Ahmed</w:t>
      </w:r>
    </w:p>
    <w:p w14:paraId="15000E7C" w14:textId="77777777" w:rsidR="00B902BF" w:rsidRPr="00B902BF" w:rsidRDefault="00B902BF" w:rsidP="00B902BF">
      <w:pPr>
        <w:jc w:val="both"/>
        <w:rPr>
          <w:rFonts w:ascii="Arial" w:hAnsi="Arial" w:cs="Arial"/>
          <w:sz w:val="22"/>
          <w:szCs w:val="22"/>
        </w:rPr>
      </w:pPr>
      <w:r w:rsidRPr="00B902BF">
        <w:rPr>
          <w:rFonts w:ascii="Arial" w:hAnsi="Arial" w:cs="Arial"/>
          <w:sz w:val="22"/>
          <w:szCs w:val="22"/>
        </w:rPr>
        <w:br/>
      </w:r>
      <w:r w:rsidRPr="00B902BF">
        <w:rPr>
          <w:rFonts w:ascii="Arial" w:hAnsi="Arial" w:cs="Arial"/>
          <w:b/>
          <w:bCs/>
          <w:sz w:val="22"/>
          <w:szCs w:val="22"/>
        </w:rPr>
        <w:t>WORD COUNTS:</w:t>
      </w:r>
      <w:r w:rsidRPr="00B902BF">
        <w:rPr>
          <w:rFonts w:ascii="Arial" w:hAnsi="Arial" w:cs="Arial"/>
          <w:sz w:val="22"/>
          <w:szCs w:val="22"/>
        </w:rPr>
        <w:t xml:space="preserve"> 1500</w:t>
      </w:r>
    </w:p>
    <w:p w14:paraId="3E385801" w14:textId="77777777" w:rsidR="00B902BF" w:rsidRDefault="00B902BF" w:rsidP="00B902BF"/>
    <w:p w14:paraId="1294F79B" w14:textId="77777777" w:rsidR="00B902BF" w:rsidRDefault="00B902BF" w:rsidP="00B902BF"/>
    <w:p w14:paraId="77EBB598" w14:textId="77777777" w:rsidR="00B902BF" w:rsidRDefault="00B902BF" w:rsidP="00B902BF"/>
    <w:p w14:paraId="28A28294" w14:textId="77777777" w:rsidR="00B902BF" w:rsidRDefault="00B902BF" w:rsidP="00B902BF"/>
    <w:p w14:paraId="7D783311" w14:textId="77777777" w:rsidR="00B902BF" w:rsidRDefault="00B902BF" w:rsidP="00B902BF"/>
    <w:p w14:paraId="074C0213" w14:textId="77777777" w:rsidR="00B902BF" w:rsidRDefault="00B902BF" w:rsidP="00B902BF"/>
    <w:p w14:paraId="09F83FCA" w14:textId="77777777" w:rsidR="00B902BF" w:rsidRDefault="00B902BF" w:rsidP="00B902BF"/>
    <w:p w14:paraId="13B3D44B" w14:textId="77777777" w:rsidR="00B902BF" w:rsidRDefault="00B902BF" w:rsidP="00B902BF"/>
    <w:p w14:paraId="74E405A7" w14:textId="77777777" w:rsidR="00B902BF" w:rsidRDefault="00B902BF" w:rsidP="00B902BF"/>
    <w:p w14:paraId="6AB9D1A6" w14:textId="77777777" w:rsidR="00B902BF" w:rsidRDefault="00B902BF" w:rsidP="00B902BF"/>
    <w:p w14:paraId="75ACC26A" w14:textId="77777777" w:rsidR="00B902BF" w:rsidRPr="005E606D" w:rsidRDefault="005E606D" w:rsidP="00B902BF">
      <w:pPr>
        <w:rPr>
          <w:b/>
          <w:bCs/>
        </w:rPr>
      </w:pPr>
      <w:r w:rsidRPr="005E606D">
        <w:rPr>
          <w:b/>
          <w:bCs/>
        </w:rPr>
        <w:t>CONTENTS PAGE</w:t>
      </w:r>
    </w:p>
    <w:p w14:paraId="7FAB5909" w14:textId="77777777" w:rsidR="003024B1" w:rsidRDefault="003024B1" w:rsidP="003024B1">
      <w:proofErr w:type="spellStart"/>
      <w:r>
        <w:lastRenderedPageBreak/>
        <w:t>i</w:t>
      </w:r>
      <w:proofErr w:type="spellEnd"/>
      <w:r>
        <w:t>.</w:t>
      </w:r>
      <w:r>
        <w:tab/>
      </w:r>
      <w:r w:rsidRPr="00163D68">
        <w:t>Title Page</w:t>
      </w:r>
      <w:r w:rsidRPr="00163D68">
        <w:tab/>
      </w:r>
      <w:r>
        <w:tab/>
      </w:r>
      <w:r>
        <w:tab/>
      </w:r>
      <w:r>
        <w:tab/>
      </w:r>
      <w:r>
        <w:tab/>
      </w:r>
      <w:r>
        <w:tab/>
      </w:r>
      <w:r>
        <w:tab/>
      </w:r>
      <w:proofErr w:type="gramStart"/>
      <w:r>
        <w:tab/>
        <w:t xml:space="preserve">  </w:t>
      </w:r>
      <w:r>
        <w:tab/>
      </w:r>
      <w:proofErr w:type="gramEnd"/>
      <w:r>
        <w:t xml:space="preserve">                      1</w:t>
      </w:r>
    </w:p>
    <w:p w14:paraId="6B83AA46" w14:textId="77777777" w:rsidR="003024B1" w:rsidRPr="00163D68" w:rsidRDefault="003024B1" w:rsidP="003024B1">
      <w:r>
        <w:t>ii.</w:t>
      </w:r>
      <w:r>
        <w:tab/>
      </w:r>
      <w:r w:rsidRPr="00163D68">
        <w:t>Contents Page</w:t>
      </w:r>
      <w:r w:rsidRPr="00163D68">
        <w:tab/>
      </w:r>
      <w:r w:rsidRPr="00163D68">
        <w:tab/>
      </w:r>
      <w:r w:rsidRPr="00163D68">
        <w:tab/>
      </w:r>
      <w:r w:rsidRPr="00163D68">
        <w:tab/>
      </w:r>
      <w:r w:rsidRPr="00163D68">
        <w:tab/>
      </w:r>
      <w:r w:rsidRPr="00163D68">
        <w:tab/>
      </w:r>
      <w:r w:rsidRPr="00163D68">
        <w:tab/>
      </w:r>
      <w:r w:rsidRPr="00163D68">
        <w:tab/>
      </w:r>
      <w:r w:rsidRPr="00163D68">
        <w:tab/>
      </w:r>
      <w:r w:rsidRPr="00163D68">
        <w:tab/>
        <w:t xml:space="preserve">          2</w:t>
      </w:r>
    </w:p>
    <w:p w14:paraId="352830F2" w14:textId="77777777" w:rsidR="003024B1" w:rsidRPr="00163D68" w:rsidRDefault="003024B1" w:rsidP="003024B1">
      <w:pPr>
        <w:pStyle w:val="ListParagraph"/>
        <w:numPr>
          <w:ilvl w:val="0"/>
          <w:numId w:val="1"/>
        </w:num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Overview</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3</w:t>
      </w:r>
    </w:p>
    <w:p w14:paraId="61EA94F2"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1.1</w:t>
      </w:r>
      <w:r w:rsidRPr="00163D68">
        <w:rPr>
          <w:rFonts w:ascii="Arial" w:hAnsi="Arial" w:cs="Arial"/>
          <w:color w:val="000000" w:themeColor="text1"/>
          <w:sz w:val="22"/>
          <w:szCs w:val="22"/>
        </w:rPr>
        <w:tab/>
        <w:t>Importance of Effective Communication in Mr. Ahmed’s Care</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3</w:t>
      </w:r>
    </w:p>
    <w:p w14:paraId="7F60EA5E"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2.0</w:t>
      </w:r>
      <w:r w:rsidRPr="00163D68">
        <w:rPr>
          <w:rFonts w:ascii="Arial" w:hAnsi="Arial" w:cs="Arial"/>
          <w:color w:val="000000" w:themeColor="text1"/>
          <w:sz w:val="22"/>
          <w:szCs w:val="22"/>
        </w:rPr>
        <w:tab/>
        <w:t xml:space="preserve">Importance of Administrative Skills and Record-Keeping in Professional Practice </w:t>
      </w:r>
      <w:r>
        <w:rPr>
          <w:rFonts w:ascii="Arial" w:hAnsi="Arial" w:cs="Arial"/>
          <w:color w:val="000000" w:themeColor="text1"/>
          <w:sz w:val="22"/>
          <w:szCs w:val="22"/>
        </w:rPr>
        <w:tab/>
        <w:t xml:space="preserve">         </w:t>
      </w:r>
      <w:r w:rsidRPr="00163D68">
        <w:rPr>
          <w:rFonts w:ascii="Arial" w:hAnsi="Arial" w:cs="Arial"/>
          <w:color w:val="000000" w:themeColor="text1"/>
          <w:sz w:val="22"/>
          <w:szCs w:val="22"/>
        </w:rPr>
        <w:t>4</w:t>
      </w:r>
    </w:p>
    <w:p w14:paraId="440C0BEA"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3.0</w:t>
      </w:r>
      <w:r w:rsidRPr="00163D68">
        <w:rPr>
          <w:rFonts w:ascii="Arial" w:hAnsi="Arial" w:cs="Arial"/>
          <w:color w:val="000000" w:themeColor="text1"/>
          <w:sz w:val="22"/>
          <w:szCs w:val="22"/>
        </w:rPr>
        <w:tab/>
      </w:r>
      <w:r w:rsidRPr="00B902BF">
        <w:rPr>
          <w:rFonts w:ascii="Arial" w:hAnsi="Arial" w:cs="Arial"/>
          <w:color w:val="000000" w:themeColor="text1"/>
          <w:sz w:val="22"/>
          <w:szCs w:val="22"/>
        </w:rPr>
        <w:t>Importance of Collaborative Working in Mr</w:t>
      </w:r>
      <w:r w:rsidRPr="00163D68">
        <w:rPr>
          <w:rFonts w:ascii="Arial" w:hAnsi="Arial" w:cs="Arial"/>
          <w:color w:val="000000" w:themeColor="text1"/>
          <w:sz w:val="22"/>
          <w:szCs w:val="22"/>
        </w:rPr>
        <w:t>.</w:t>
      </w:r>
      <w:r w:rsidRPr="00B902BF">
        <w:rPr>
          <w:rFonts w:ascii="Arial" w:hAnsi="Arial" w:cs="Arial"/>
          <w:color w:val="000000" w:themeColor="text1"/>
          <w:sz w:val="22"/>
          <w:szCs w:val="22"/>
        </w:rPr>
        <w:t xml:space="preserve"> Ahmed’s Care</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w:t>
      </w:r>
      <w:r w:rsidRPr="00163D68">
        <w:rPr>
          <w:rFonts w:ascii="Arial" w:hAnsi="Arial" w:cs="Arial"/>
          <w:color w:val="000000" w:themeColor="text1"/>
          <w:sz w:val="22"/>
          <w:szCs w:val="22"/>
        </w:rPr>
        <w:tab/>
        <w:t xml:space="preserve">       </w:t>
      </w:r>
      <w:r>
        <w:rPr>
          <w:rFonts w:ascii="Arial" w:hAnsi="Arial" w:cs="Arial"/>
          <w:color w:val="000000" w:themeColor="text1"/>
          <w:sz w:val="22"/>
          <w:szCs w:val="22"/>
        </w:rPr>
        <w:t xml:space="preserve">           </w:t>
      </w:r>
      <w:r w:rsidRPr="00163D68">
        <w:rPr>
          <w:rFonts w:ascii="Arial" w:hAnsi="Arial" w:cs="Arial"/>
          <w:color w:val="000000" w:themeColor="text1"/>
          <w:sz w:val="22"/>
          <w:szCs w:val="22"/>
        </w:rPr>
        <w:t xml:space="preserve">  5</w:t>
      </w:r>
    </w:p>
    <w:p w14:paraId="1D31DBEA"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4.0</w:t>
      </w:r>
      <w:r w:rsidRPr="00163D68">
        <w:rPr>
          <w:rFonts w:ascii="Arial" w:hAnsi="Arial" w:cs="Arial"/>
          <w:color w:val="000000" w:themeColor="text1"/>
          <w:sz w:val="22"/>
          <w:szCs w:val="22"/>
        </w:rPr>
        <w:tab/>
        <w:t>Conclusion</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6</w:t>
      </w:r>
    </w:p>
    <w:p w14:paraId="1CCE5390"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5.0</w:t>
      </w:r>
      <w:r w:rsidRPr="00163D68">
        <w:rPr>
          <w:rFonts w:ascii="Arial" w:hAnsi="Arial" w:cs="Arial"/>
          <w:color w:val="000000" w:themeColor="text1"/>
          <w:sz w:val="22"/>
          <w:szCs w:val="22"/>
        </w:rPr>
        <w:tab/>
        <w:t>References</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7</w:t>
      </w:r>
    </w:p>
    <w:p w14:paraId="32686D97"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6.0</w:t>
      </w:r>
      <w:r w:rsidRPr="00163D68">
        <w:rPr>
          <w:rFonts w:ascii="Arial" w:hAnsi="Arial" w:cs="Arial"/>
          <w:color w:val="000000" w:themeColor="text1"/>
          <w:sz w:val="22"/>
          <w:szCs w:val="22"/>
        </w:rPr>
        <w:tab/>
        <w:t>Appendix</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8</w:t>
      </w:r>
    </w:p>
    <w:p w14:paraId="6B410F1F" w14:textId="77777777" w:rsidR="00B902BF" w:rsidRDefault="00B902BF" w:rsidP="00B902BF"/>
    <w:p w14:paraId="39EE0D3A" w14:textId="77777777" w:rsidR="00B902BF" w:rsidRDefault="00B902BF" w:rsidP="00B902BF"/>
    <w:p w14:paraId="7C7E325F" w14:textId="77777777" w:rsidR="00B902BF" w:rsidRDefault="00B902BF" w:rsidP="00B902BF"/>
    <w:p w14:paraId="105F7195" w14:textId="77777777" w:rsidR="00B902BF" w:rsidRDefault="00B902BF" w:rsidP="00B902BF"/>
    <w:p w14:paraId="38951967" w14:textId="77777777" w:rsidR="00B902BF" w:rsidRDefault="00B902BF" w:rsidP="00B902BF"/>
    <w:p w14:paraId="4AFC47B4" w14:textId="77777777" w:rsidR="00B902BF" w:rsidRDefault="00B902BF" w:rsidP="00B902BF"/>
    <w:p w14:paraId="4B57A293" w14:textId="77777777" w:rsidR="00B902BF" w:rsidRDefault="00B902BF" w:rsidP="00B902BF"/>
    <w:p w14:paraId="7C04C79A" w14:textId="77777777" w:rsidR="00B902BF" w:rsidRDefault="00B902BF" w:rsidP="00B902BF"/>
    <w:p w14:paraId="5E6A55DB" w14:textId="77777777" w:rsidR="00B902BF" w:rsidRDefault="00B902BF" w:rsidP="00B902BF"/>
    <w:p w14:paraId="306C9697" w14:textId="77777777" w:rsidR="00B902BF" w:rsidRDefault="00B902BF" w:rsidP="00B902BF"/>
    <w:p w14:paraId="50D9E523" w14:textId="77777777" w:rsidR="00B902BF" w:rsidRDefault="00B902BF" w:rsidP="00B902BF"/>
    <w:p w14:paraId="52385817" w14:textId="77777777" w:rsidR="00B902BF" w:rsidRDefault="00B902BF" w:rsidP="00B902BF"/>
    <w:p w14:paraId="5698452B" w14:textId="77777777" w:rsidR="00B902BF" w:rsidRDefault="00B902BF" w:rsidP="00B902BF"/>
    <w:p w14:paraId="2AA26228" w14:textId="77777777" w:rsidR="00B902BF" w:rsidRDefault="00B902BF" w:rsidP="00B902BF"/>
    <w:p w14:paraId="329C62B6" w14:textId="5AD63DD7" w:rsidR="00B902BF" w:rsidRPr="00B902BF" w:rsidRDefault="008B31AB" w:rsidP="00B902BF">
      <w:r>
        <w:t>Task 1</w:t>
      </w:r>
    </w:p>
    <w:p w14:paraId="3483B337" w14:textId="77777777" w:rsidR="00B902BF" w:rsidRPr="003024B1" w:rsidRDefault="003024B1" w:rsidP="003024B1">
      <w:pPr>
        <w:pStyle w:val="ListParagraph"/>
        <w:numPr>
          <w:ilvl w:val="0"/>
          <w:numId w:val="2"/>
        </w:num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B902BF" w:rsidRPr="003024B1">
        <w:rPr>
          <w:rFonts w:ascii="Arial" w:hAnsi="Arial" w:cs="Arial"/>
          <w:b/>
          <w:bCs/>
          <w:color w:val="000000" w:themeColor="text1"/>
          <w:sz w:val="22"/>
          <w:szCs w:val="22"/>
        </w:rPr>
        <w:t>Overview</w:t>
      </w:r>
    </w:p>
    <w:p w14:paraId="3B7F0951" w14:textId="77777777" w:rsidR="00B902BF" w:rsidRPr="005E606D" w:rsidRDefault="00B902BF"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Effective communication, correct administrative procedures, and collaborative working are critical aspects of safe and person-centered care in the UK health and social care system. These characteristics are especially crucial when it comes to helping people who have complex health requirements after being discharged from the hospital, including stroke survivors. The case of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a 68-year-old man receiving domiciliary care following a stroke, demonstrates the difficulties associated with language barriers, multidisciplinary involvement, medication administration, and service coordination. Failures such as missing care visits highlight how faults in communication and record-keeping can put vulnerable people in danger. </w:t>
      </w:r>
    </w:p>
    <w:p w14:paraId="13953515" w14:textId="77777777" w:rsidR="00B902BF" w:rsidRPr="00B902BF" w:rsidRDefault="00B902BF"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This report reviews three primary topics in the context of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care: the importance of effective communication guided by equality principles and communication models; the role of administrative skills such as keeping records and data protection legislation; and the value of collaborative working among professionals. The debate uses applicable UK legislation, policy frameworks, and current academic literature to demonstrate a comprehension of professional obligations in health and social care practice.</w:t>
      </w:r>
    </w:p>
    <w:p w14:paraId="5E221323" w14:textId="77777777" w:rsidR="00B902BF" w:rsidRPr="005E606D" w:rsidRDefault="00B902BF"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1.1</w:t>
      </w:r>
      <w:r w:rsidRPr="005E606D">
        <w:rPr>
          <w:rFonts w:ascii="Arial" w:hAnsi="Arial" w:cs="Arial"/>
          <w:b/>
          <w:bCs/>
          <w:color w:val="000000" w:themeColor="text1"/>
          <w:sz w:val="22"/>
          <w:szCs w:val="22"/>
        </w:rPr>
        <w:tab/>
        <w:t>Importance of Effective Communication in Mr. Ahmed’s Care</w:t>
      </w:r>
    </w:p>
    <w:p w14:paraId="5C44FB82"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Effective communication is necessary for providing safe, person-centered, and culturally competent care, especially for those with language problems and complicated health needs.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faces communication issues because Bengali is his native language, and he suffers with complex English interactions. As a result, health practitioners must tailor communication approaches to his specific needs, assuring knowledge and engagement in decision-making. The National Health Service's core principles of dignity, respect, and patient involvement are reinforced by equality legislation that requires services to make reasonable adjustments for people with communication difficulties (NHS England, 2021; Department of Health and Social Care, 2022; Ali, 2020; Kings Fund, 2021).</w:t>
      </w:r>
    </w:p>
    <w:p w14:paraId="5D71833D"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Furthermore, the Equal Treatment Act of 2010 encourages non-discrimination, accessibility, and inclusive communication, which means that professionals should use translation services, simplified phrases, and visual aids where necessary. Failure to communicate effectively can result in errors in medicine, less adherence to medication, and poorer health outcomes, which is especially concerning in stroke recovery, where quick responses are important.</w:t>
      </w:r>
    </w:p>
    <w:p w14:paraId="66C4B345"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lastRenderedPageBreak/>
        <w:t xml:space="preserve">The Shannon and Weaver communication model is a valuable paradigm for studying communication in healthcare because it emphasizes the process of message transmission, potential impediments (noise), and feedback.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situation, linguistic issues, cognitive disability after a stroke, and reliance on his wife as an intermediary all indicate potential "noise" that could distort information interaction. Healthcare workers should employ feedback strategies including teach-back approaches to ensure comprehension and avoid making assumptions (O'Hagan et al., 2021; Silverman et al., 2022; NICE, 2023). </w:t>
      </w:r>
    </w:p>
    <w:p w14:paraId="231E3E6D"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Communication with family members is also essential, as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wife provides supportive care; nevertheless, clinicians must maintain confidentiality and acquire agreement before disclosing information. Using culturally sensitive techniques and incorporating family caregivers effectively can boost trust, treatment adherence, and emotional well-being (Ali, 2020; Kings Fund, 2021; O'Hagan et al., 2021). Particularly, relying on family members for translation might lead to misunderstandings or omissions of information, so professional interpreters should be utilized when addressing complex medical matters. Therefore, effective communication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care requires equality-based adjustments, organized communication models, and patient-centered approaches to promote safe and inclusive healthcare delivery.</w:t>
      </w:r>
    </w:p>
    <w:p w14:paraId="5A4DA5B3" w14:textId="77777777" w:rsidR="005E606D" w:rsidRPr="005E606D"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2.0</w:t>
      </w:r>
      <w:r w:rsidRPr="005E606D">
        <w:rPr>
          <w:rFonts w:ascii="Arial" w:hAnsi="Arial" w:cs="Arial"/>
          <w:color w:val="000000" w:themeColor="text1"/>
          <w:sz w:val="22"/>
          <w:szCs w:val="22"/>
        </w:rPr>
        <w:tab/>
      </w:r>
      <w:r w:rsidRPr="00B902BF">
        <w:rPr>
          <w:rFonts w:ascii="Arial" w:hAnsi="Arial" w:cs="Arial"/>
          <w:b/>
          <w:bCs/>
          <w:color w:val="000000" w:themeColor="text1"/>
          <w:sz w:val="22"/>
          <w:szCs w:val="22"/>
        </w:rPr>
        <w:t xml:space="preserve">Importance of Administrative Skills and Record-Keeping in Professional Practice </w:t>
      </w:r>
    </w:p>
    <w:p w14:paraId="6FDAB684"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Good managerial skills are vital in health and social care since proper documentation supports treatment continuity, accountability, and security for patients.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instance, the missed residential visit and delayed medicine administration highlight how administrative errors can lead to clinical hazards. Record-keeping enables practitioners to maintain track of care delivery, medication schedules, risk assessments, and medical observations such as the district nurse's blood pressure measurement. </w:t>
      </w:r>
    </w:p>
    <w:p w14:paraId="3498D4C6"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The Care Quality Commission emphasizes the importance of accurate and timely records as a legal requirement and a critical indication of service quality and safeguarding compliance (CQC, 2023; NHS England, 2021; Skills for Care, 2022;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xml:space="preserve">, 2021). Complete documentation facilitates interaction among diverse specialists, lowering the risk of duplicate or omission of care duties. Poor record-keeping has been highlighted as a common contributor to serious healthcare incidents, emphasizing the significance of administrative competence among practitioners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2021; Skills for Care, 2022).</w:t>
      </w:r>
    </w:p>
    <w:p w14:paraId="66277C48"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The Data Protection Act of 2018 and the UK GDPR principles control how personal health information is acquired, kept, and disseminated. These principles include anonymity, legitimate processing, data minimization, accuracy, and secure storage. Professionals must </w:t>
      </w:r>
      <w:r w:rsidRPr="005E606D">
        <w:rPr>
          <w:rFonts w:ascii="Arial" w:hAnsi="Arial" w:cs="Arial"/>
          <w:color w:val="000000" w:themeColor="text1"/>
          <w:sz w:val="22"/>
          <w:szCs w:val="22"/>
        </w:rPr>
        <w:lastRenderedPageBreak/>
        <w:t xml:space="preserve">ensure that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information is only shared with </w:t>
      </w:r>
      <w:proofErr w:type="spellStart"/>
      <w:r w:rsidRPr="005E606D">
        <w:rPr>
          <w:rFonts w:ascii="Arial" w:hAnsi="Arial" w:cs="Arial"/>
          <w:color w:val="000000" w:themeColor="text1"/>
          <w:sz w:val="22"/>
          <w:szCs w:val="22"/>
        </w:rPr>
        <w:t>authorised</w:t>
      </w:r>
      <w:proofErr w:type="spellEnd"/>
      <w:r w:rsidRPr="005E606D">
        <w:rPr>
          <w:rFonts w:ascii="Arial" w:hAnsi="Arial" w:cs="Arial"/>
          <w:color w:val="000000" w:themeColor="text1"/>
          <w:sz w:val="22"/>
          <w:szCs w:val="22"/>
        </w:rPr>
        <w:t xml:space="preserve"> individuals involved in his care, such as the GP, district nurse, and speech therapist, while maintaining his privacy (Information Commissioners Office, 2023; Department of Health and Social Care, 2022;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xml:space="preserve">, 2021). The Information Commissioner's Office offers advice on protecting sensitive data, such as electronic records and care plans. In reality, this entails securing secure digital systems, password protection, and limiting access to records. </w:t>
      </w:r>
    </w:p>
    <w:p w14:paraId="13D7B385"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Nevertheless, excessive concern for secrecy can occasionally create hurdles to information sharing among experts, potentially jeopardizing patient safety. As a result, regulation encourages balanced information exchange when essential for care provision (ICO, 2023; NHS England, 2021).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instance, thorough documenting of prescription schedules, visit times, and incident reporting is critical for investigating and preventing such errors. Strong administrative abilities help to ensure safe care delivery, legal compliance, and </w:t>
      </w:r>
      <w:proofErr w:type="spellStart"/>
      <w:r w:rsidRPr="005E606D">
        <w:rPr>
          <w:rFonts w:ascii="Arial" w:hAnsi="Arial" w:cs="Arial"/>
          <w:color w:val="000000" w:themeColor="text1"/>
          <w:sz w:val="22"/>
          <w:szCs w:val="22"/>
        </w:rPr>
        <w:t>organisational</w:t>
      </w:r>
      <w:proofErr w:type="spellEnd"/>
      <w:r w:rsidRPr="005E606D">
        <w:rPr>
          <w:rFonts w:ascii="Arial" w:hAnsi="Arial" w:cs="Arial"/>
          <w:color w:val="000000" w:themeColor="text1"/>
          <w:sz w:val="22"/>
          <w:szCs w:val="22"/>
        </w:rPr>
        <w:t xml:space="preserve"> accountability in health and social care environments.</w:t>
      </w:r>
    </w:p>
    <w:p w14:paraId="550EB53B" w14:textId="77777777" w:rsidR="005E606D" w:rsidRPr="00B902BF"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3.0</w:t>
      </w:r>
      <w:r w:rsidRPr="005E606D">
        <w:rPr>
          <w:rFonts w:ascii="Arial" w:hAnsi="Arial" w:cs="Arial"/>
          <w:color w:val="000000" w:themeColor="text1"/>
          <w:sz w:val="22"/>
          <w:szCs w:val="22"/>
        </w:rPr>
        <w:tab/>
      </w:r>
      <w:r w:rsidRPr="00B902BF">
        <w:rPr>
          <w:rFonts w:ascii="Arial" w:hAnsi="Arial" w:cs="Arial"/>
          <w:b/>
          <w:bCs/>
          <w:color w:val="000000" w:themeColor="text1"/>
          <w:sz w:val="22"/>
          <w:szCs w:val="22"/>
        </w:rPr>
        <w:t>Importance of Collaborative Working in Mr</w:t>
      </w:r>
      <w:r w:rsidR="00BE7A01">
        <w:rPr>
          <w:rFonts w:ascii="Arial" w:hAnsi="Arial" w:cs="Arial"/>
          <w:b/>
          <w:bCs/>
          <w:color w:val="000000" w:themeColor="text1"/>
          <w:sz w:val="22"/>
          <w:szCs w:val="22"/>
        </w:rPr>
        <w:t>.</w:t>
      </w:r>
      <w:r w:rsidRPr="00B902BF">
        <w:rPr>
          <w:rFonts w:ascii="Arial" w:hAnsi="Arial" w:cs="Arial"/>
          <w:b/>
          <w:bCs/>
          <w:color w:val="000000" w:themeColor="text1"/>
          <w:sz w:val="22"/>
          <w:szCs w:val="22"/>
        </w:rPr>
        <w:t xml:space="preserve"> Ahmed’s Care</w:t>
      </w:r>
    </w:p>
    <w:p w14:paraId="304B6FF3"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When people have complicated health and social care needs, collaboration or multidisciplinary work is essential.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receives treatment from a variety of professionals, including his general practitioner, district nurse, speech and language therapist, and domiciliary care workers. Collaboration improves care coordination, reduces hospital readmissions, and improves patient outcomes by using shared expertise along with collaborative decision-making (NICE, 2023; Kings Fund, 2021; NHS England, 2021). Regular multidisciplinary meetings, shared electronic care records, clear role definitions, and good communication routes are all examples of effective collaboration strategies. Person-centered care planning, in which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and his wife actively participate in decision-making, improves collaboration and encourages empowerment (Skills for Care, 2022; Kings Fund, 2021).</w:t>
      </w:r>
    </w:p>
    <w:p w14:paraId="59129D1C"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Despite its well-known benefits, multi-agency collaboration frequently faces challenges such as communication breakdowns, unclear position boundaries, professional hierarchies, and organizational variations in priorities, policies, or funding arrangements. If these problems are not adequately addressed, they can have a severe impact on care continuity and safety.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case, the missed domiciliary care visit indicates a possible breakdown in coordination, scheduling, or information transfer between the care agency and other professionals in his support network. To detect risks and implement improvements, such challenges require structured approaches such as defined referral pathways, </w:t>
      </w:r>
      <w:proofErr w:type="spellStart"/>
      <w:r w:rsidRPr="005E606D">
        <w:rPr>
          <w:rFonts w:ascii="Arial" w:hAnsi="Arial" w:cs="Arial"/>
          <w:color w:val="000000" w:themeColor="text1"/>
          <w:sz w:val="22"/>
          <w:szCs w:val="22"/>
        </w:rPr>
        <w:t>standardised</w:t>
      </w:r>
      <w:proofErr w:type="spellEnd"/>
      <w:r w:rsidRPr="005E606D">
        <w:rPr>
          <w:rFonts w:ascii="Arial" w:hAnsi="Arial" w:cs="Arial"/>
          <w:color w:val="000000" w:themeColor="text1"/>
          <w:sz w:val="22"/>
          <w:szCs w:val="22"/>
        </w:rPr>
        <w:t xml:space="preserve"> handover protocols, shared care plans, and effective event reporting systems (NICE, 2023; Reeves et al., 2020; NHS England, 2021). </w:t>
      </w:r>
    </w:p>
    <w:p w14:paraId="3A22213A"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lastRenderedPageBreak/>
        <w:t xml:space="preserve">Leadership development and interprofessional education foster mutual respect, role clarity, and collaborative problem-solving among professionals from various disciplines. Furthermore, digital advances like integrated care records and shared electronic communication platforms can improve timely information exchange while reducing service duplication. Importantly, cooperation in practice must emphasize accountability and a learning culture over blame, ensuring that errors are constructively evaluated to prevent repetition. As a result, strong teamwork and coordinated professional connections are critical for providing safe, person-centered, and high-quality care to persons like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w:t>
      </w:r>
    </w:p>
    <w:p w14:paraId="4A6170AE" w14:textId="77777777" w:rsidR="005E606D" w:rsidRPr="005E606D"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4.0</w:t>
      </w:r>
      <w:r w:rsidRPr="005E606D">
        <w:rPr>
          <w:rFonts w:ascii="Arial" w:hAnsi="Arial" w:cs="Arial"/>
          <w:b/>
          <w:bCs/>
          <w:color w:val="000000" w:themeColor="text1"/>
          <w:sz w:val="22"/>
          <w:szCs w:val="22"/>
        </w:rPr>
        <w:tab/>
        <w:t>Conclusion</w:t>
      </w:r>
    </w:p>
    <w:p w14:paraId="172CAF69" w14:textId="77777777" w:rsidR="005E606D" w:rsidRPr="005E606D" w:rsidRDefault="00B902BF" w:rsidP="005E606D">
      <w:pPr>
        <w:spacing w:line="360" w:lineRule="auto"/>
        <w:jc w:val="both"/>
        <w:rPr>
          <w:rFonts w:ascii="Arial" w:hAnsi="Arial" w:cs="Arial"/>
          <w:color w:val="000000" w:themeColor="text1"/>
          <w:sz w:val="22"/>
          <w:szCs w:val="22"/>
        </w:rPr>
      </w:pPr>
      <w:r w:rsidRPr="00B902BF">
        <w:rPr>
          <w:rFonts w:ascii="Arial" w:hAnsi="Arial" w:cs="Arial"/>
          <w:color w:val="000000" w:themeColor="text1"/>
          <w:sz w:val="22"/>
          <w:szCs w:val="22"/>
        </w:rPr>
        <w:t xml:space="preserve">This report has </w:t>
      </w:r>
      <w:r w:rsidR="005E606D" w:rsidRPr="005E606D">
        <w:rPr>
          <w:rFonts w:ascii="Arial" w:hAnsi="Arial" w:cs="Arial"/>
          <w:color w:val="000000" w:themeColor="text1"/>
          <w:sz w:val="22"/>
          <w:szCs w:val="22"/>
        </w:rPr>
        <w:t xml:space="preserve">shown </w:t>
      </w:r>
      <w:r w:rsidRPr="00B902BF">
        <w:rPr>
          <w:rFonts w:ascii="Arial" w:hAnsi="Arial" w:cs="Arial"/>
          <w:color w:val="000000" w:themeColor="text1"/>
          <w:sz w:val="22"/>
          <w:szCs w:val="22"/>
        </w:rPr>
        <w:t xml:space="preserve">that effective communication, strong administrative practice, and collaborative working are </w:t>
      </w:r>
      <w:r w:rsidR="005E606D" w:rsidRPr="005E606D">
        <w:rPr>
          <w:rFonts w:ascii="Arial" w:hAnsi="Arial" w:cs="Arial"/>
          <w:color w:val="000000" w:themeColor="text1"/>
          <w:sz w:val="22"/>
          <w:szCs w:val="22"/>
        </w:rPr>
        <w:t>vital</w:t>
      </w:r>
      <w:r w:rsidRPr="00B902BF">
        <w:rPr>
          <w:rFonts w:ascii="Arial" w:hAnsi="Arial" w:cs="Arial"/>
          <w:color w:val="000000" w:themeColor="text1"/>
          <w:sz w:val="22"/>
          <w:szCs w:val="22"/>
        </w:rPr>
        <w:t xml:space="preserve"> components of safe and person-</w:t>
      </w:r>
      <w:proofErr w:type="spellStart"/>
      <w:r w:rsidRPr="00B902BF">
        <w:rPr>
          <w:rFonts w:ascii="Arial" w:hAnsi="Arial" w:cs="Arial"/>
          <w:color w:val="000000" w:themeColor="text1"/>
          <w:sz w:val="22"/>
          <w:szCs w:val="22"/>
        </w:rPr>
        <w:t>centred</w:t>
      </w:r>
      <w:proofErr w:type="spellEnd"/>
      <w:r w:rsidRPr="00B902BF">
        <w:rPr>
          <w:rFonts w:ascii="Arial" w:hAnsi="Arial" w:cs="Arial"/>
          <w:color w:val="000000" w:themeColor="text1"/>
          <w:sz w:val="22"/>
          <w:szCs w:val="22"/>
        </w:rPr>
        <w:t xml:space="preserve"> health and social care. </w:t>
      </w:r>
      <w:r w:rsidR="005E606D" w:rsidRPr="005E606D">
        <w:rPr>
          <w:rFonts w:ascii="Arial" w:hAnsi="Arial" w:cs="Arial"/>
          <w:color w:val="000000" w:themeColor="text1"/>
          <w:sz w:val="22"/>
          <w:szCs w:val="22"/>
        </w:rPr>
        <w:t xml:space="preserve">In </w:t>
      </w:r>
      <w:proofErr w:type="spellStart"/>
      <w:r w:rsidR="005E606D" w:rsidRPr="005E606D">
        <w:rPr>
          <w:rFonts w:ascii="Arial" w:hAnsi="Arial" w:cs="Arial"/>
          <w:color w:val="000000" w:themeColor="text1"/>
          <w:sz w:val="22"/>
          <w:szCs w:val="22"/>
        </w:rPr>
        <w:t>Mr</w:t>
      </w:r>
      <w:proofErr w:type="spellEnd"/>
      <w:r w:rsidR="005E606D" w:rsidRPr="005E606D">
        <w:rPr>
          <w:rFonts w:ascii="Arial" w:hAnsi="Arial" w:cs="Arial"/>
          <w:color w:val="000000" w:themeColor="text1"/>
          <w:sz w:val="22"/>
          <w:szCs w:val="22"/>
        </w:rPr>
        <w:t xml:space="preserve"> Ahmed's instance, communication changes based on equity principles and organized models are required to overcome language hurdles and facilitate informed decision-making. Accurate record-keeping and adherence to data protection legislation ensure continuity of treatment, legal compliance, and patient safety, especially during events. Furthermore, collaboration among multidisciplinary specialists increases coordinated therapies, lowers risks, and improves stroke recovery outcomes. However, if these issues are not addressed, they might have a negative impact on care delivery. To provide high-quality care, health and social care providers must follow legislation, professional standards, and evidence-based techniques. Improving these key behaviors leads to better patient outcomes, greater corporate responsibility, and safer healthcare systems.</w:t>
      </w:r>
    </w:p>
    <w:p w14:paraId="28520DB6" w14:textId="77777777" w:rsidR="00B902BF" w:rsidRDefault="00B902BF"/>
    <w:p w14:paraId="6EE4CC4A" w14:textId="77777777" w:rsidR="00BE7A01" w:rsidRDefault="00BE7A01"/>
    <w:p w14:paraId="5A7E3688" w14:textId="77777777" w:rsidR="00BE7A01" w:rsidRDefault="00BE7A01"/>
    <w:p w14:paraId="36FEDECA" w14:textId="77777777" w:rsidR="00BE7A01" w:rsidRDefault="00BE7A01"/>
    <w:p w14:paraId="6AB5CDFC" w14:textId="77777777" w:rsidR="00BE7A01" w:rsidRDefault="00BE7A01"/>
    <w:p w14:paraId="5BAC3E3F" w14:textId="77777777" w:rsidR="00BE7A01" w:rsidRDefault="00BE7A01"/>
    <w:p w14:paraId="79DCE0D5" w14:textId="77777777" w:rsidR="00BE7A01" w:rsidRDefault="00EB3296">
      <w:r>
        <w:rPr>
          <w:b/>
          <w:bCs/>
        </w:rPr>
        <w:t>5.0</w:t>
      </w:r>
      <w:r>
        <w:rPr>
          <w:b/>
          <w:bCs/>
        </w:rPr>
        <w:tab/>
      </w:r>
      <w:r w:rsidR="00BE7A01" w:rsidRPr="00EB3296">
        <w:rPr>
          <w:b/>
          <w:bCs/>
        </w:rPr>
        <w:t>References</w:t>
      </w:r>
    </w:p>
    <w:p w14:paraId="29AA4570"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Ali, P.A. (2020) </w:t>
      </w:r>
      <w:r w:rsidRPr="00EB3296">
        <w:rPr>
          <w:rFonts w:ascii="Arial" w:hAnsi="Arial" w:cs="Arial"/>
          <w:i/>
          <w:iCs/>
          <w:color w:val="000000" w:themeColor="text1"/>
          <w:sz w:val="22"/>
          <w:szCs w:val="22"/>
        </w:rPr>
        <w:t>Cultural competence in healthcare practice</w:t>
      </w:r>
      <w:r w:rsidRPr="00EB3296">
        <w:rPr>
          <w:rFonts w:ascii="Arial" w:hAnsi="Arial" w:cs="Arial"/>
          <w:color w:val="000000" w:themeColor="text1"/>
          <w:sz w:val="22"/>
          <w:szCs w:val="22"/>
        </w:rPr>
        <w:t xml:space="preserve">. London: Routledge. Available at: </w:t>
      </w:r>
      <w:hyperlink r:id="rId11" w:tgtFrame="_new" w:history="1">
        <w:r w:rsidRPr="00EB3296">
          <w:rPr>
            <w:rStyle w:val="Hyperlink"/>
            <w:rFonts w:ascii="Arial" w:hAnsi="Arial" w:cs="Arial"/>
            <w:color w:val="000000" w:themeColor="text1"/>
            <w:sz w:val="22"/>
            <w:szCs w:val="22"/>
            <w:u w:val="none"/>
          </w:rPr>
          <w:t>https://www.routledge.com</w:t>
        </w:r>
      </w:hyperlink>
      <w:r w:rsidRPr="00EB3296">
        <w:rPr>
          <w:rFonts w:ascii="Arial" w:hAnsi="Arial" w:cs="Arial"/>
          <w:color w:val="000000" w:themeColor="text1"/>
          <w:sz w:val="22"/>
          <w:szCs w:val="22"/>
        </w:rPr>
        <w:t xml:space="preserve"> </w:t>
      </w:r>
    </w:p>
    <w:p w14:paraId="0436AF7C"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Care Quality Commission (2023) </w:t>
      </w:r>
      <w:r w:rsidRPr="00EB3296">
        <w:rPr>
          <w:rFonts w:ascii="Arial" w:hAnsi="Arial" w:cs="Arial"/>
          <w:i/>
          <w:iCs/>
          <w:color w:val="000000" w:themeColor="text1"/>
          <w:sz w:val="22"/>
          <w:szCs w:val="22"/>
        </w:rPr>
        <w:t>Regulation 17: Good governance and record keeping guidance</w:t>
      </w:r>
      <w:r w:rsidRPr="00EB3296">
        <w:rPr>
          <w:rFonts w:ascii="Arial" w:hAnsi="Arial" w:cs="Arial"/>
          <w:color w:val="000000" w:themeColor="text1"/>
          <w:sz w:val="22"/>
          <w:szCs w:val="22"/>
        </w:rPr>
        <w:t>.</w:t>
      </w:r>
      <w:r w:rsidRPr="00EB3296">
        <w:rPr>
          <w:rFonts w:ascii="Arial" w:hAnsi="Arial" w:cs="Arial"/>
          <w:color w:val="000000" w:themeColor="text1"/>
          <w:sz w:val="22"/>
          <w:szCs w:val="22"/>
        </w:rPr>
        <w:br/>
        <w:t>Available at: https://www.cqc.org.uk/guidance-providers/regulations-enforcement/regulation-17-good-governance</w:t>
      </w:r>
    </w:p>
    <w:p w14:paraId="40F6DAB3"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lastRenderedPageBreak/>
        <w:t xml:space="preserve">Department of Health and Social Care (2022) </w:t>
      </w:r>
      <w:r w:rsidRPr="00EB3296">
        <w:rPr>
          <w:rFonts w:ascii="Arial" w:hAnsi="Arial" w:cs="Arial"/>
          <w:i/>
          <w:iCs/>
          <w:color w:val="000000" w:themeColor="text1"/>
          <w:sz w:val="22"/>
          <w:szCs w:val="22"/>
        </w:rPr>
        <w:t>Health and social care integration: Policy framework</w:t>
      </w:r>
      <w:r w:rsidRPr="00EB3296">
        <w:rPr>
          <w:rFonts w:ascii="Arial" w:hAnsi="Arial" w:cs="Arial"/>
          <w:color w:val="000000" w:themeColor="text1"/>
          <w:sz w:val="22"/>
          <w:szCs w:val="22"/>
        </w:rPr>
        <w:t xml:space="preserve">. London: DHSC. Available at: </w:t>
      </w:r>
      <w:hyperlink r:id="rId12" w:tgtFrame="_new" w:history="1">
        <w:r w:rsidRPr="00EB3296">
          <w:rPr>
            <w:rStyle w:val="Hyperlink"/>
            <w:rFonts w:ascii="Arial" w:hAnsi="Arial" w:cs="Arial"/>
            <w:color w:val="000000" w:themeColor="text1"/>
            <w:sz w:val="22"/>
            <w:szCs w:val="22"/>
            <w:u w:val="none"/>
          </w:rPr>
          <w:t>https://www.gov.uk/government/organisations/department-of-health-and-social-care</w:t>
        </w:r>
      </w:hyperlink>
    </w:p>
    <w:p w14:paraId="5930D6C6"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Griffith, R. and </w:t>
      </w:r>
      <w:proofErr w:type="spellStart"/>
      <w:r w:rsidRPr="00EB3296">
        <w:rPr>
          <w:rFonts w:ascii="Arial" w:hAnsi="Arial" w:cs="Arial"/>
          <w:color w:val="000000" w:themeColor="text1"/>
          <w:sz w:val="22"/>
          <w:szCs w:val="22"/>
        </w:rPr>
        <w:t>Tengnah</w:t>
      </w:r>
      <w:proofErr w:type="spellEnd"/>
      <w:r w:rsidRPr="00EB3296">
        <w:rPr>
          <w:rFonts w:ascii="Arial" w:hAnsi="Arial" w:cs="Arial"/>
          <w:color w:val="000000" w:themeColor="text1"/>
          <w:sz w:val="22"/>
          <w:szCs w:val="22"/>
        </w:rPr>
        <w:t xml:space="preserve">, C. (2021) </w:t>
      </w:r>
      <w:r w:rsidRPr="00EB3296">
        <w:rPr>
          <w:rFonts w:ascii="Arial" w:hAnsi="Arial" w:cs="Arial"/>
          <w:i/>
          <w:iCs/>
          <w:color w:val="000000" w:themeColor="text1"/>
          <w:sz w:val="22"/>
          <w:szCs w:val="22"/>
        </w:rPr>
        <w:t>Law and professional issues in nursing</w:t>
      </w:r>
      <w:r w:rsidRPr="00EB3296">
        <w:rPr>
          <w:rFonts w:ascii="Arial" w:hAnsi="Arial" w:cs="Arial"/>
          <w:color w:val="000000" w:themeColor="text1"/>
          <w:sz w:val="22"/>
          <w:szCs w:val="22"/>
        </w:rPr>
        <w:t xml:space="preserve">. 5th </w:t>
      </w:r>
      <w:proofErr w:type="spellStart"/>
      <w:r w:rsidRPr="00EB3296">
        <w:rPr>
          <w:rFonts w:ascii="Arial" w:hAnsi="Arial" w:cs="Arial"/>
          <w:color w:val="000000" w:themeColor="text1"/>
          <w:sz w:val="22"/>
          <w:szCs w:val="22"/>
        </w:rPr>
        <w:t>edn</w:t>
      </w:r>
      <w:proofErr w:type="spellEnd"/>
      <w:r w:rsidRPr="00EB3296">
        <w:rPr>
          <w:rFonts w:ascii="Arial" w:hAnsi="Arial" w:cs="Arial"/>
          <w:color w:val="000000" w:themeColor="text1"/>
          <w:sz w:val="22"/>
          <w:szCs w:val="22"/>
        </w:rPr>
        <w:t xml:space="preserve">. London: Sage. Available at: </w:t>
      </w:r>
      <w:hyperlink r:id="rId13" w:tgtFrame="_new" w:history="1">
        <w:r w:rsidRPr="00EB3296">
          <w:rPr>
            <w:rStyle w:val="Hyperlink"/>
            <w:rFonts w:ascii="Arial" w:hAnsi="Arial" w:cs="Arial"/>
            <w:color w:val="000000" w:themeColor="text1"/>
            <w:sz w:val="22"/>
            <w:szCs w:val="22"/>
            <w:u w:val="none"/>
          </w:rPr>
          <w:t>https://uk.sagepub.com</w:t>
        </w:r>
      </w:hyperlink>
      <w:r w:rsidRPr="00EB3296">
        <w:rPr>
          <w:rFonts w:ascii="Arial" w:hAnsi="Arial" w:cs="Arial"/>
          <w:color w:val="000000" w:themeColor="text1"/>
          <w:sz w:val="22"/>
          <w:szCs w:val="22"/>
        </w:rPr>
        <w:t xml:space="preserve"> </w:t>
      </w:r>
    </w:p>
    <w:p w14:paraId="41AC4A4A"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Information Commissioner's Office (2023) </w:t>
      </w:r>
      <w:r w:rsidRPr="00EB3296">
        <w:rPr>
          <w:rFonts w:ascii="Arial" w:hAnsi="Arial" w:cs="Arial"/>
          <w:i/>
          <w:iCs/>
          <w:color w:val="000000" w:themeColor="text1"/>
          <w:sz w:val="22"/>
          <w:szCs w:val="22"/>
        </w:rPr>
        <w:t>Guide to the UK General Data Protection Regulation (UK GDPR)</w:t>
      </w:r>
      <w:r w:rsidRPr="00EB3296">
        <w:rPr>
          <w:rFonts w:ascii="Arial" w:hAnsi="Arial" w:cs="Arial"/>
          <w:color w:val="000000" w:themeColor="text1"/>
          <w:sz w:val="22"/>
          <w:szCs w:val="22"/>
        </w:rPr>
        <w:t>. Available at: https://ico.org.uk/for-organisations/guide-to-data-protection/guide-to-the-uk-gdpr</w:t>
      </w:r>
    </w:p>
    <w:p w14:paraId="09AAC2FE"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The King's Fund (2021) </w:t>
      </w:r>
      <w:r w:rsidRPr="00EB3296">
        <w:rPr>
          <w:rFonts w:ascii="Arial" w:hAnsi="Arial" w:cs="Arial"/>
          <w:i/>
          <w:iCs/>
          <w:color w:val="000000" w:themeColor="text1"/>
          <w:sz w:val="22"/>
          <w:szCs w:val="22"/>
        </w:rPr>
        <w:t xml:space="preserve">Integrated care systems explained: Making sense of systems, places and </w:t>
      </w:r>
      <w:proofErr w:type="spellStart"/>
      <w:r w:rsidRPr="00EB3296">
        <w:rPr>
          <w:rFonts w:ascii="Arial" w:hAnsi="Arial" w:cs="Arial"/>
          <w:i/>
          <w:iCs/>
          <w:color w:val="000000" w:themeColor="text1"/>
          <w:sz w:val="22"/>
          <w:szCs w:val="22"/>
        </w:rPr>
        <w:t>neighbourhoods</w:t>
      </w:r>
      <w:proofErr w:type="spellEnd"/>
      <w:r w:rsidRPr="00EB3296">
        <w:rPr>
          <w:rFonts w:ascii="Arial" w:hAnsi="Arial" w:cs="Arial"/>
          <w:color w:val="000000" w:themeColor="text1"/>
          <w:sz w:val="22"/>
          <w:szCs w:val="22"/>
        </w:rPr>
        <w:t>. Available at: https://www.kingsfund.org.uk/publications/integrated-care-systems-explained</w:t>
      </w:r>
    </w:p>
    <w:p w14:paraId="77073009"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National Institute for Health and Care Excellence (2023) </w:t>
      </w:r>
      <w:r w:rsidRPr="00EB3296">
        <w:rPr>
          <w:rFonts w:ascii="Arial" w:hAnsi="Arial" w:cs="Arial"/>
          <w:i/>
          <w:iCs/>
          <w:color w:val="000000" w:themeColor="text1"/>
          <w:sz w:val="22"/>
          <w:szCs w:val="22"/>
        </w:rPr>
        <w:t>Patient experience in adult NHS services: Improving the experience of care for people using adult NHS services</w:t>
      </w:r>
      <w:r w:rsidRPr="00EB3296">
        <w:rPr>
          <w:rFonts w:ascii="Arial" w:hAnsi="Arial" w:cs="Arial"/>
          <w:color w:val="000000" w:themeColor="text1"/>
          <w:sz w:val="22"/>
          <w:szCs w:val="22"/>
        </w:rPr>
        <w:t xml:space="preserve">. Available at: </w:t>
      </w:r>
      <w:hyperlink r:id="rId14" w:tgtFrame="_new" w:history="1">
        <w:r w:rsidRPr="00EB3296">
          <w:rPr>
            <w:rStyle w:val="Hyperlink"/>
            <w:rFonts w:ascii="Arial" w:hAnsi="Arial" w:cs="Arial"/>
            <w:color w:val="000000" w:themeColor="text1"/>
            <w:sz w:val="22"/>
            <w:szCs w:val="22"/>
            <w:u w:val="none"/>
          </w:rPr>
          <w:t>https://www.nice.org.uk/guidance/cg138</w:t>
        </w:r>
      </w:hyperlink>
    </w:p>
    <w:p w14:paraId="69CAB816"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NHS England (2021) </w:t>
      </w:r>
      <w:r w:rsidRPr="00EB3296">
        <w:rPr>
          <w:rFonts w:ascii="Arial" w:hAnsi="Arial" w:cs="Arial"/>
          <w:i/>
          <w:iCs/>
          <w:color w:val="000000" w:themeColor="text1"/>
          <w:sz w:val="22"/>
          <w:szCs w:val="22"/>
        </w:rPr>
        <w:t>Integrated care systems: Design framework</w:t>
      </w:r>
      <w:r w:rsidRPr="00EB3296">
        <w:rPr>
          <w:rFonts w:ascii="Arial" w:hAnsi="Arial" w:cs="Arial"/>
          <w:color w:val="000000" w:themeColor="text1"/>
          <w:sz w:val="22"/>
          <w:szCs w:val="22"/>
        </w:rPr>
        <w:t>. Available at: https://www.england.nhs.uk/publication/integrated-care-systems-design-framework</w:t>
      </w:r>
    </w:p>
    <w:p w14:paraId="210516B6"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O’Hagan, S., Manias, E., Elder, C. and Pill, J. (2021) ‘What counts as effective communication in nursing? Evidence from literature’, </w:t>
      </w:r>
      <w:r w:rsidRPr="00EB3296">
        <w:rPr>
          <w:rFonts w:ascii="Arial" w:hAnsi="Arial" w:cs="Arial"/>
          <w:i/>
          <w:iCs/>
          <w:color w:val="000000" w:themeColor="text1"/>
          <w:sz w:val="22"/>
          <w:szCs w:val="22"/>
        </w:rPr>
        <w:t>Journal of Clinical Nursing</w:t>
      </w:r>
      <w:r w:rsidRPr="00EB3296">
        <w:rPr>
          <w:rFonts w:ascii="Arial" w:hAnsi="Arial" w:cs="Arial"/>
          <w:color w:val="000000" w:themeColor="text1"/>
          <w:sz w:val="22"/>
          <w:szCs w:val="22"/>
        </w:rPr>
        <w:t>, 30(3–4), pp. 389–401. DOI: https://doi.org/10.1111/jocn.15563</w:t>
      </w:r>
    </w:p>
    <w:p w14:paraId="5B44FB1D"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Reeves, S., </w:t>
      </w:r>
      <w:proofErr w:type="spellStart"/>
      <w:r w:rsidRPr="00EB3296">
        <w:rPr>
          <w:rFonts w:ascii="Arial" w:hAnsi="Arial" w:cs="Arial"/>
          <w:color w:val="000000" w:themeColor="text1"/>
          <w:sz w:val="22"/>
          <w:szCs w:val="22"/>
        </w:rPr>
        <w:t>Pelone</w:t>
      </w:r>
      <w:proofErr w:type="spellEnd"/>
      <w:r w:rsidRPr="00EB3296">
        <w:rPr>
          <w:rFonts w:ascii="Arial" w:hAnsi="Arial" w:cs="Arial"/>
          <w:color w:val="000000" w:themeColor="text1"/>
          <w:sz w:val="22"/>
          <w:szCs w:val="22"/>
        </w:rPr>
        <w:t xml:space="preserve">, F., Harrison, R., Goldman, J. and </w:t>
      </w:r>
      <w:proofErr w:type="spellStart"/>
      <w:r w:rsidRPr="00EB3296">
        <w:rPr>
          <w:rFonts w:ascii="Arial" w:hAnsi="Arial" w:cs="Arial"/>
          <w:color w:val="000000" w:themeColor="text1"/>
          <w:sz w:val="22"/>
          <w:szCs w:val="22"/>
        </w:rPr>
        <w:t>Zwarenstein</w:t>
      </w:r>
      <w:proofErr w:type="spellEnd"/>
      <w:r w:rsidRPr="00EB3296">
        <w:rPr>
          <w:rFonts w:ascii="Arial" w:hAnsi="Arial" w:cs="Arial"/>
          <w:color w:val="000000" w:themeColor="text1"/>
          <w:sz w:val="22"/>
          <w:szCs w:val="22"/>
        </w:rPr>
        <w:t xml:space="preserve">, M. (2020) ‘Interprofessional collaboration to improve professional practice and healthcare outcomes’, </w:t>
      </w:r>
      <w:r w:rsidRPr="00EB3296">
        <w:rPr>
          <w:rFonts w:ascii="Arial" w:hAnsi="Arial" w:cs="Arial"/>
          <w:i/>
          <w:iCs/>
          <w:color w:val="000000" w:themeColor="text1"/>
          <w:sz w:val="22"/>
          <w:szCs w:val="22"/>
        </w:rPr>
        <w:t>Cochrane Database of Systematic Reviews</w:t>
      </w:r>
      <w:r w:rsidRPr="00EB3296">
        <w:rPr>
          <w:rFonts w:ascii="Arial" w:hAnsi="Arial" w:cs="Arial"/>
          <w:color w:val="000000" w:themeColor="text1"/>
          <w:sz w:val="22"/>
          <w:szCs w:val="22"/>
        </w:rPr>
        <w:t xml:space="preserve">, 2020(6). DOI: </w:t>
      </w:r>
      <w:hyperlink r:id="rId15" w:tgtFrame="_new" w:history="1">
        <w:r w:rsidRPr="00EB3296">
          <w:rPr>
            <w:rStyle w:val="Hyperlink"/>
            <w:rFonts w:ascii="Arial" w:hAnsi="Arial" w:cs="Arial"/>
            <w:color w:val="000000" w:themeColor="text1"/>
            <w:sz w:val="22"/>
            <w:szCs w:val="22"/>
            <w:u w:val="none"/>
          </w:rPr>
          <w:t>https://doi.org/10.1002/14651858.CD000072.pub3</w:t>
        </w:r>
      </w:hyperlink>
    </w:p>
    <w:p w14:paraId="00626DD1"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Silverman, J., Kurtz, S. and Draper, J. (2022) </w:t>
      </w:r>
      <w:r w:rsidRPr="00EB3296">
        <w:rPr>
          <w:rFonts w:ascii="Arial" w:hAnsi="Arial" w:cs="Arial"/>
          <w:i/>
          <w:iCs/>
          <w:color w:val="000000" w:themeColor="text1"/>
          <w:sz w:val="22"/>
          <w:szCs w:val="22"/>
        </w:rPr>
        <w:t>Skills for communicating with patients</w:t>
      </w:r>
      <w:r w:rsidRPr="00EB3296">
        <w:rPr>
          <w:rFonts w:ascii="Arial" w:hAnsi="Arial" w:cs="Arial"/>
          <w:color w:val="000000" w:themeColor="text1"/>
          <w:sz w:val="22"/>
          <w:szCs w:val="22"/>
        </w:rPr>
        <w:t xml:space="preserve">. 4th </w:t>
      </w:r>
      <w:proofErr w:type="spellStart"/>
      <w:r w:rsidRPr="00EB3296">
        <w:rPr>
          <w:rFonts w:ascii="Arial" w:hAnsi="Arial" w:cs="Arial"/>
          <w:color w:val="000000" w:themeColor="text1"/>
          <w:sz w:val="22"/>
          <w:szCs w:val="22"/>
        </w:rPr>
        <w:t>edn</w:t>
      </w:r>
      <w:proofErr w:type="spellEnd"/>
      <w:r w:rsidRPr="00EB3296">
        <w:rPr>
          <w:rFonts w:ascii="Arial" w:hAnsi="Arial" w:cs="Arial"/>
          <w:color w:val="000000" w:themeColor="text1"/>
          <w:sz w:val="22"/>
          <w:szCs w:val="22"/>
        </w:rPr>
        <w:t xml:space="preserve">. Boca Raton: CRC Press. Available at: </w:t>
      </w:r>
      <w:hyperlink r:id="rId16" w:tgtFrame="_new" w:history="1">
        <w:r w:rsidRPr="00EB3296">
          <w:rPr>
            <w:rStyle w:val="Hyperlink"/>
            <w:rFonts w:ascii="Arial" w:hAnsi="Arial" w:cs="Arial"/>
            <w:color w:val="000000" w:themeColor="text1"/>
            <w:sz w:val="22"/>
            <w:szCs w:val="22"/>
            <w:u w:val="none"/>
          </w:rPr>
          <w:t>https://www.routledge.com</w:t>
        </w:r>
      </w:hyperlink>
      <w:r w:rsidRPr="00EB3296">
        <w:rPr>
          <w:rFonts w:ascii="Arial" w:hAnsi="Arial" w:cs="Arial"/>
          <w:color w:val="000000" w:themeColor="text1"/>
          <w:sz w:val="22"/>
          <w:szCs w:val="22"/>
        </w:rPr>
        <w:t xml:space="preserve"> </w:t>
      </w:r>
    </w:p>
    <w:p w14:paraId="5B1B9C14" w14:textId="77777777" w:rsidR="00BE7A01"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Skills for Care (2022) </w:t>
      </w:r>
      <w:r w:rsidRPr="00EB3296">
        <w:rPr>
          <w:rFonts w:ascii="Arial" w:hAnsi="Arial" w:cs="Arial"/>
          <w:i/>
          <w:iCs/>
          <w:color w:val="000000" w:themeColor="text1"/>
          <w:sz w:val="22"/>
          <w:szCs w:val="22"/>
        </w:rPr>
        <w:t>Good record keeping for care workers</w:t>
      </w:r>
      <w:r w:rsidRPr="00EB3296">
        <w:rPr>
          <w:rFonts w:ascii="Arial" w:hAnsi="Arial" w:cs="Arial"/>
          <w:color w:val="000000" w:themeColor="text1"/>
          <w:sz w:val="22"/>
          <w:szCs w:val="22"/>
        </w:rPr>
        <w:t>. Available at: https://www.skillsforcare.org.uk/resources/documents/Support-for-leaders-and-managers/Good-record-keeping.pdf</w:t>
      </w:r>
      <w:r w:rsidRPr="00EB3296">
        <w:rPr>
          <w:rFonts w:ascii="Arial" w:hAnsi="Arial" w:cs="Arial"/>
          <w:color w:val="000000" w:themeColor="text1"/>
          <w:sz w:val="22"/>
          <w:szCs w:val="22"/>
        </w:rPr>
        <w:br/>
      </w:r>
    </w:p>
    <w:p w14:paraId="4D3F8B1A" w14:textId="77777777" w:rsidR="00BE7A01" w:rsidRPr="00EB3296" w:rsidRDefault="00BE7A01" w:rsidP="00EB3296">
      <w:pPr>
        <w:jc w:val="both"/>
        <w:rPr>
          <w:rFonts w:ascii="Arial" w:hAnsi="Arial" w:cs="Arial"/>
          <w:color w:val="000000" w:themeColor="text1"/>
          <w:sz w:val="22"/>
          <w:szCs w:val="22"/>
        </w:rPr>
      </w:pPr>
    </w:p>
    <w:p w14:paraId="19C83286" w14:textId="77777777" w:rsidR="00BE7A01" w:rsidRDefault="00BE7A01"/>
    <w:p w14:paraId="3046FC7F" w14:textId="77777777" w:rsidR="00BE7A01" w:rsidRPr="00BE7A01" w:rsidRDefault="00EB3296">
      <w:pPr>
        <w:rPr>
          <w:b/>
          <w:bCs/>
        </w:rPr>
      </w:pPr>
      <w:r>
        <w:rPr>
          <w:b/>
          <w:bCs/>
        </w:rPr>
        <w:t>6.0</w:t>
      </w:r>
      <w:r>
        <w:rPr>
          <w:b/>
          <w:bCs/>
        </w:rPr>
        <w:tab/>
      </w:r>
      <w:r w:rsidR="00BE7A01" w:rsidRPr="00BE7A01">
        <w:rPr>
          <w:b/>
          <w:bCs/>
        </w:rPr>
        <w:t>APPENDIX</w:t>
      </w:r>
    </w:p>
    <w:p w14:paraId="2E51685C" w14:textId="77777777" w:rsidR="00BE7A01" w:rsidRPr="00BE7A01" w:rsidRDefault="00BE7A01">
      <w:pPr>
        <w:rPr>
          <w:b/>
          <w:bCs/>
        </w:rPr>
      </w:pPr>
      <w:r w:rsidRPr="00BE7A01">
        <w:rPr>
          <w:b/>
          <w:bCs/>
        </w:rPr>
        <w:t>Table</w:t>
      </w:r>
      <w:r>
        <w:rPr>
          <w:b/>
          <w:bCs/>
        </w:rPr>
        <w:t xml:space="preserve"> 1</w:t>
      </w:r>
      <w:r w:rsidRPr="00BE7A01">
        <w:rPr>
          <w:b/>
          <w:bCs/>
        </w:rPr>
        <w:t>: Summary of Key Professional Practices in Mr</w:t>
      </w:r>
      <w:r>
        <w:rPr>
          <w:b/>
          <w:bCs/>
        </w:rPr>
        <w:t>.</w:t>
      </w:r>
      <w:r w:rsidRPr="00BE7A01">
        <w:rPr>
          <w:b/>
          <w:bCs/>
        </w:rPr>
        <w:t xml:space="preserve"> Ahmed’s Care</w:t>
      </w:r>
    </w:p>
    <w:tbl>
      <w:tblPr>
        <w:tblStyle w:val="TableGrid"/>
        <w:tblW w:w="0" w:type="auto"/>
        <w:tblLook w:val="04A0" w:firstRow="1" w:lastRow="0" w:firstColumn="1" w:lastColumn="0" w:noHBand="0" w:noVBand="1"/>
      </w:tblPr>
      <w:tblGrid>
        <w:gridCol w:w="2240"/>
        <w:gridCol w:w="2245"/>
        <w:gridCol w:w="2297"/>
        <w:gridCol w:w="2234"/>
      </w:tblGrid>
      <w:tr w:rsidR="00BE7A01" w:rsidRPr="00BE7A01" w14:paraId="0F7BA357" w14:textId="77777777" w:rsidTr="00BE7A01">
        <w:tc>
          <w:tcPr>
            <w:tcW w:w="2337" w:type="dxa"/>
            <w:vAlign w:val="center"/>
          </w:tcPr>
          <w:p w14:paraId="041D4B32"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Care Aspect</w:t>
            </w:r>
          </w:p>
        </w:tc>
        <w:tc>
          <w:tcPr>
            <w:tcW w:w="2337" w:type="dxa"/>
            <w:vAlign w:val="center"/>
          </w:tcPr>
          <w:p w14:paraId="72DA725C" w14:textId="77777777" w:rsidR="00BE7A01" w:rsidRPr="00BE7A01" w:rsidRDefault="003024B1" w:rsidP="00BE7A01">
            <w:pPr>
              <w:spacing w:line="278" w:lineRule="auto"/>
              <w:rPr>
                <w:rFonts w:ascii="Arial" w:hAnsi="Arial" w:cs="Arial"/>
                <w:b/>
                <w:bCs/>
                <w:sz w:val="22"/>
                <w:szCs w:val="22"/>
              </w:rPr>
            </w:pPr>
            <w:r>
              <w:rPr>
                <w:rFonts w:ascii="Arial" w:hAnsi="Arial" w:cs="Arial"/>
                <w:b/>
                <w:bCs/>
                <w:sz w:val="22"/>
                <w:szCs w:val="22"/>
              </w:rPr>
              <w:t>Main</w:t>
            </w:r>
            <w:r w:rsidR="00BE7A01" w:rsidRPr="00BE7A01">
              <w:rPr>
                <w:rFonts w:ascii="Arial" w:hAnsi="Arial" w:cs="Arial"/>
                <w:b/>
                <w:bCs/>
                <w:sz w:val="22"/>
                <w:szCs w:val="22"/>
              </w:rPr>
              <w:t xml:space="preserve"> Actions Required</w:t>
            </w:r>
          </w:p>
        </w:tc>
        <w:tc>
          <w:tcPr>
            <w:tcW w:w="2338" w:type="dxa"/>
            <w:vAlign w:val="center"/>
          </w:tcPr>
          <w:p w14:paraId="41623247"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Relevant UK Legislation/Policy</w:t>
            </w:r>
          </w:p>
        </w:tc>
        <w:tc>
          <w:tcPr>
            <w:tcW w:w="2338" w:type="dxa"/>
            <w:vAlign w:val="center"/>
          </w:tcPr>
          <w:p w14:paraId="6F2F9532"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 xml:space="preserve">Application to </w:t>
            </w:r>
            <w:proofErr w:type="spellStart"/>
            <w:r w:rsidRPr="00BE7A01">
              <w:rPr>
                <w:rFonts w:ascii="Arial" w:hAnsi="Arial" w:cs="Arial"/>
                <w:b/>
                <w:bCs/>
                <w:sz w:val="22"/>
                <w:szCs w:val="22"/>
              </w:rPr>
              <w:t>Mr</w:t>
            </w:r>
            <w:proofErr w:type="spellEnd"/>
            <w:r w:rsidRPr="00BE7A01">
              <w:rPr>
                <w:rFonts w:ascii="Arial" w:hAnsi="Arial" w:cs="Arial"/>
                <w:b/>
                <w:bCs/>
                <w:sz w:val="22"/>
                <w:szCs w:val="22"/>
              </w:rPr>
              <w:t xml:space="preserve"> Ahmed’s Case</w:t>
            </w:r>
          </w:p>
        </w:tc>
      </w:tr>
      <w:tr w:rsidR="00BE7A01" w:rsidRPr="00BE7A01" w14:paraId="28E76112" w14:textId="77777777" w:rsidTr="00BE7A01">
        <w:tc>
          <w:tcPr>
            <w:tcW w:w="2337" w:type="dxa"/>
            <w:vAlign w:val="center"/>
          </w:tcPr>
          <w:p w14:paraId="153603F8"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Effective Communication</w:t>
            </w:r>
          </w:p>
        </w:tc>
        <w:tc>
          <w:tcPr>
            <w:tcW w:w="2337" w:type="dxa"/>
            <w:vAlign w:val="center"/>
          </w:tcPr>
          <w:p w14:paraId="5442FFE2"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 xml:space="preserve">Use simple language, </w:t>
            </w:r>
            <w:r w:rsidR="003024B1" w:rsidRPr="00BE7A01">
              <w:rPr>
                <w:rFonts w:ascii="Arial" w:hAnsi="Arial" w:cs="Arial"/>
                <w:sz w:val="22"/>
                <w:szCs w:val="22"/>
              </w:rPr>
              <w:t>transcriber</w:t>
            </w:r>
            <w:r w:rsidRPr="00BE7A01">
              <w:rPr>
                <w:rFonts w:ascii="Arial" w:hAnsi="Arial" w:cs="Arial"/>
                <w:sz w:val="22"/>
                <w:szCs w:val="22"/>
              </w:rPr>
              <w:t xml:space="preserve"> services, visual aids, and </w:t>
            </w:r>
            <w:r w:rsidRPr="00BE7A01">
              <w:rPr>
                <w:rFonts w:ascii="Arial" w:hAnsi="Arial" w:cs="Arial"/>
                <w:sz w:val="22"/>
                <w:szCs w:val="22"/>
              </w:rPr>
              <w:lastRenderedPageBreak/>
              <w:t xml:space="preserve">feedback </w:t>
            </w:r>
            <w:r w:rsidR="003024B1" w:rsidRPr="00BE7A01">
              <w:rPr>
                <w:rFonts w:ascii="Arial" w:hAnsi="Arial" w:cs="Arial"/>
                <w:sz w:val="22"/>
                <w:szCs w:val="22"/>
              </w:rPr>
              <w:t>methods</w:t>
            </w:r>
            <w:r w:rsidRPr="00BE7A01">
              <w:rPr>
                <w:rFonts w:ascii="Arial" w:hAnsi="Arial" w:cs="Arial"/>
                <w:sz w:val="22"/>
                <w:szCs w:val="22"/>
              </w:rPr>
              <w:t xml:space="preserve"> (e.g., teach-back). Involve family with consent while </w:t>
            </w:r>
            <w:r w:rsidR="003024B1" w:rsidRPr="00BE7A01">
              <w:rPr>
                <w:rFonts w:ascii="Arial" w:hAnsi="Arial" w:cs="Arial"/>
                <w:sz w:val="22"/>
                <w:szCs w:val="22"/>
              </w:rPr>
              <w:t>upholding</w:t>
            </w:r>
            <w:r w:rsidRPr="00BE7A01">
              <w:rPr>
                <w:rFonts w:ascii="Arial" w:hAnsi="Arial" w:cs="Arial"/>
                <w:sz w:val="22"/>
                <w:szCs w:val="22"/>
              </w:rPr>
              <w:t xml:space="preserve"> confidentiality.</w:t>
            </w:r>
          </w:p>
        </w:tc>
        <w:tc>
          <w:tcPr>
            <w:tcW w:w="2338" w:type="dxa"/>
            <w:vAlign w:val="center"/>
          </w:tcPr>
          <w:p w14:paraId="295F632F"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lastRenderedPageBreak/>
              <w:t xml:space="preserve">Equality Act 2010; National Health Service Communication </w:t>
            </w:r>
            <w:r w:rsidRPr="00BE7A01">
              <w:rPr>
                <w:rFonts w:ascii="Arial" w:hAnsi="Arial" w:cs="Arial"/>
                <w:sz w:val="22"/>
                <w:szCs w:val="22"/>
              </w:rPr>
              <w:lastRenderedPageBreak/>
              <w:t>Guidance; NICE Stroke Rehabilitation Guidelines (2023).</w:t>
            </w:r>
          </w:p>
        </w:tc>
        <w:tc>
          <w:tcPr>
            <w:tcW w:w="2338" w:type="dxa"/>
            <w:vAlign w:val="center"/>
          </w:tcPr>
          <w:p w14:paraId="4B6CD2FF"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lastRenderedPageBreak/>
              <w:t>Supports understanding despite language barrier and post-</w:t>
            </w:r>
            <w:r w:rsidRPr="00BE7A01">
              <w:rPr>
                <w:rFonts w:ascii="Arial" w:hAnsi="Arial" w:cs="Arial"/>
                <w:sz w:val="22"/>
                <w:szCs w:val="22"/>
              </w:rPr>
              <w:lastRenderedPageBreak/>
              <w:t xml:space="preserve">stroke communication </w:t>
            </w:r>
            <w:r w:rsidR="003024B1" w:rsidRPr="00BE7A01">
              <w:rPr>
                <w:rFonts w:ascii="Arial" w:hAnsi="Arial" w:cs="Arial"/>
                <w:sz w:val="22"/>
                <w:szCs w:val="22"/>
              </w:rPr>
              <w:t>complications</w:t>
            </w:r>
            <w:r w:rsidRPr="00BE7A01">
              <w:rPr>
                <w:rFonts w:ascii="Arial" w:hAnsi="Arial" w:cs="Arial"/>
                <w:sz w:val="22"/>
                <w:szCs w:val="22"/>
              </w:rPr>
              <w:t>, ensuring safe medication use and participation in decisions.</w:t>
            </w:r>
          </w:p>
        </w:tc>
      </w:tr>
      <w:tr w:rsidR="00BE7A01" w:rsidRPr="00BE7A01" w14:paraId="7E0F4FB7" w14:textId="77777777" w:rsidTr="00BE7A01">
        <w:tc>
          <w:tcPr>
            <w:tcW w:w="2337" w:type="dxa"/>
            <w:vAlign w:val="center"/>
          </w:tcPr>
          <w:p w14:paraId="4F83C09C"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lastRenderedPageBreak/>
              <w:t>Administrative Skills &amp; Record-Keeping</w:t>
            </w:r>
          </w:p>
        </w:tc>
        <w:tc>
          <w:tcPr>
            <w:tcW w:w="2337" w:type="dxa"/>
            <w:vAlign w:val="center"/>
          </w:tcPr>
          <w:p w14:paraId="0C810F0B"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Accurate documentation of care visits, medication administration, risk assessments, and incident reporting. Secure storage of records and restricted access.</w:t>
            </w:r>
          </w:p>
        </w:tc>
        <w:tc>
          <w:tcPr>
            <w:tcW w:w="2338" w:type="dxa"/>
            <w:vAlign w:val="center"/>
          </w:tcPr>
          <w:p w14:paraId="4E2AE1D3"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Data Protection Act 2018; UK GDPR; Care Quality Commission Fundamental Standards (2023).</w:t>
            </w:r>
          </w:p>
        </w:tc>
        <w:tc>
          <w:tcPr>
            <w:tcW w:w="2338" w:type="dxa"/>
            <w:vAlign w:val="center"/>
          </w:tcPr>
          <w:p w14:paraId="5E264AC5" w14:textId="77777777" w:rsidR="00BE7A01" w:rsidRPr="00BE7A01" w:rsidRDefault="003024B1" w:rsidP="00BE7A01">
            <w:pPr>
              <w:spacing w:line="278" w:lineRule="auto"/>
              <w:rPr>
                <w:rFonts w:ascii="Arial" w:hAnsi="Arial" w:cs="Arial"/>
                <w:sz w:val="22"/>
                <w:szCs w:val="22"/>
              </w:rPr>
            </w:pPr>
            <w:r w:rsidRPr="00BE7A01">
              <w:rPr>
                <w:rFonts w:ascii="Arial" w:hAnsi="Arial" w:cs="Arial"/>
                <w:sz w:val="22"/>
                <w:szCs w:val="22"/>
              </w:rPr>
              <w:t>Stops</w:t>
            </w:r>
            <w:r w:rsidR="00BE7A01" w:rsidRPr="00BE7A01">
              <w:rPr>
                <w:rFonts w:ascii="Arial" w:hAnsi="Arial" w:cs="Arial"/>
                <w:sz w:val="22"/>
                <w:szCs w:val="22"/>
              </w:rPr>
              <w:t xml:space="preserve"> missed visits, supports investigation of incidents, and </w:t>
            </w:r>
            <w:r w:rsidRPr="00BE7A01">
              <w:rPr>
                <w:rFonts w:ascii="Arial" w:hAnsi="Arial" w:cs="Arial"/>
                <w:sz w:val="22"/>
                <w:szCs w:val="22"/>
              </w:rPr>
              <w:t>guarantees</w:t>
            </w:r>
            <w:r w:rsidR="00BE7A01" w:rsidRPr="00BE7A01">
              <w:rPr>
                <w:rFonts w:ascii="Arial" w:hAnsi="Arial" w:cs="Arial"/>
                <w:sz w:val="22"/>
                <w:szCs w:val="22"/>
              </w:rPr>
              <w:t xml:space="preserve"> continuity between domiciliary carers and healthcare professionals.</w:t>
            </w:r>
          </w:p>
        </w:tc>
      </w:tr>
      <w:tr w:rsidR="00BE7A01" w:rsidRPr="00BE7A01" w14:paraId="29CC1DB2" w14:textId="77777777" w:rsidTr="00BE7A01">
        <w:tc>
          <w:tcPr>
            <w:tcW w:w="2337" w:type="dxa"/>
            <w:vAlign w:val="center"/>
          </w:tcPr>
          <w:p w14:paraId="2C720BC1"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Collaborative Working</w:t>
            </w:r>
          </w:p>
        </w:tc>
        <w:tc>
          <w:tcPr>
            <w:tcW w:w="2337" w:type="dxa"/>
            <w:vAlign w:val="center"/>
          </w:tcPr>
          <w:p w14:paraId="2E39B0B9"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 xml:space="preserve">Multidisciplinary meetings, shared electronic records, clear role </w:t>
            </w:r>
            <w:r w:rsidR="003024B1" w:rsidRPr="00BE7A01">
              <w:rPr>
                <w:rFonts w:ascii="Arial" w:hAnsi="Arial" w:cs="Arial"/>
                <w:sz w:val="22"/>
                <w:szCs w:val="22"/>
              </w:rPr>
              <w:t>tasks</w:t>
            </w:r>
            <w:r w:rsidRPr="00BE7A01">
              <w:rPr>
                <w:rFonts w:ascii="Arial" w:hAnsi="Arial" w:cs="Arial"/>
                <w:sz w:val="22"/>
                <w:szCs w:val="22"/>
              </w:rPr>
              <w:t>, coordinated care plans, and leadership support.</w:t>
            </w:r>
          </w:p>
        </w:tc>
        <w:tc>
          <w:tcPr>
            <w:tcW w:w="2338" w:type="dxa"/>
            <w:vAlign w:val="center"/>
          </w:tcPr>
          <w:p w14:paraId="763D793A"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NICE Integrated Care Guidance (2023); NHS England Integrated Care Systems Policy (2021).</w:t>
            </w:r>
          </w:p>
        </w:tc>
        <w:tc>
          <w:tcPr>
            <w:tcW w:w="2338" w:type="dxa"/>
            <w:vAlign w:val="center"/>
          </w:tcPr>
          <w:p w14:paraId="2F60A5F9" w14:textId="77777777" w:rsidR="00BE7A01" w:rsidRPr="00BE7A01" w:rsidRDefault="003024B1" w:rsidP="00BE7A01">
            <w:pPr>
              <w:spacing w:line="278" w:lineRule="auto"/>
              <w:rPr>
                <w:rFonts w:ascii="Arial" w:hAnsi="Arial" w:cs="Arial"/>
                <w:sz w:val="22"/>
                <w:szCs w:val="22"/>
              </w:rPr>
            </w:pPr>
            <w:r w:rsidRPr="00BE7A01">
              <w:rPr>
                <w:rFonts w:ascii="Arial" w:hAnsi="Arial" w:cs="Arial"/>
                <w:sz w:val="22"/>
                <w:szCs w:val="22"/>
              </w:rPr>
              <w:t>Advances</w:t>
            </w:r>
            <w:r w:rsidR="00BE7A01" w:rsidRPr="00BE7A01">
              <w:rPr>
                <w:rFonts w:ascii="Arial" w:hAnsi="Arial" w:cs="Arial"/>
                <w:sz w:val="22"/>
                <w:szCs w:val="22"/>
              </w:rPr>
              <w:t xml:space="preserve"> </w:t>
            </w:r>
            <w:r w:rsidRPr="00BE7A01">
              <w:rPr>
                <w:rFonts w:ascii="Arial" w:hAnsi="Arial" w:cs="Arial"/>
                <w:sz w:val="22"/>
                <w:szCs w:val="22"/>
              </w:rPr>
              <w:t>harmonization</w:t>
            </w:r>
            <w:r w:rsidR="00BE7A01" w:rsidRPr="00BE7A01">
              <w:rPr>
                <w:rFonts w:ascii="Arial" w:hAnsi="Arial" w:cs="Arial"/>
                <w:sz w:val="22"/>
                <w:szCs w:val="22"/>
              </w:rPr>
              <w:t xml:space="preserve"> between GP, district nurse, speech therapist, and care agency, reducing risks such as delayed medication.</w:t>
            </w:r>
          </w:p>
        </w:tc>
      </w:tr>
    </w:tbl>
    <w:p w14:paraId="169C0025" w14:textId="77777777" w:rsidR="00BE7A01" w:rsidRPr="00BE7A01" w:rsidRDefault="00BE7A01" w:rsidP="00BE7A01">
      <w:r w:rsidRPr="00BE7A01">
        <w:rPr>
          <w:b/>
          <w:bCs/>
        </w:rPr>
        <w:t>Sources:</w:t>
      </w:r>
      <w:r w:rsidRPr="00BE7A01">
        <w:t xml:space="preserve"> </w:t>
      </w:r>
      <w:r>
        <w:t>(</w:t>
      </w:r>
      <w:r w:rsidRPr="00BE7A01">
        <w:t>NICE</w:t>
      </w:r>
      <w:r>
        <w:t xml:space="preserve">, </w:t>
      </w:r>
      <w:r w:rsidRPr="00BE7A01">
        <w:t>2023; NHS England</w:t>
      </w:r>
      <w:r>
        <w:t xml:space="preserve">, </w:t>
      </w:r>
      <w:r w:rsidRPr="00BE7A01">
        <w:t>2021; Care Quality Commission</w:t>
      </w:r>
      <w:r>
        <w:t xml:space="preserve">, </w:t>
      </w:r>
      <w:r w:rsidRPr="00BE7A01">
        <w:t>2023; Department of Health and Social Care</w:t>
      </w:r>
      <w:r>
        <w:t xml:space="preserve">, </w:t>
      </w:r>
      <w:r w:rsidRPr="00BE7A01">
        <w:t>2022</w:t>
      </w:r>
      <w:r>
        <w:t xml:space="preserve"> and </w:t>
      </w:r>
      <w:r w:rsidRPr="00BE7A01">
        <w:t>Skills for Care</w:t>
      </w:r>
      <w:r>
        <w:t xml:space="preserve">, </w:t>
      </w:r>
      <w:r w:rsidRPr="00BE7A01">
        <w:t>2022).</w:t>
      </w:r>
    </w:p>
    <w:p w14:paraId="79BE540B" w14:textId="77777777" w:rsidR="00BE7A01" w:rsidRDefault="00BE7A01"/>
    <w:p w14:paraId="15AB2A93" w14:textId="77777777" w:rsidR="003024B1" w:rsidRDefault="003024B1"/>
    <w:p w14:paraId="628D178D" w14:textId="77777777" w:rsidR="003024B1" w:rsidRDefault="003024B1"/>
    <w:p w14:paraId="59CD675E" w14:textId="77777777" w:rsidR="003024B1" w:rsidRDefault="003024B1"/>
    <w:p w14:paraId="3803779C" w14:textId="77777777" w:rsidR="003024B1" w:rsidRPr="003024B1" w:rsidRDefault="003024B1">
      <w:pPr>
        <w:rPr>
          <w:b/>
          <w:bCs/>
        </w:rPr>
      </w:pPr>
      <w:r w:rsidRPr="003024B1">
        <w:rPr>
          <w:b/>
          <w:bCs/>
        </w:rPr>
        <w:t xml:space="preserve">Diagram 1: Pathway Diagram for </w:t>
      </w:r>
      <w:proofErr w:type="spellStart"/>
      <w:r w:rsidRPr="003024B1">
        <w:rPr>
          <w:b/>
          <w:bCs/>
        </w:rPr>
        <w:t>Mr</w:t>
      </w:r>
      <w:proofErr w:type="spellEnd"/>
      <w:r w:rsidRPr="003024B1">
        <w:rPr>
          <w:b/>
          <w:bCs/>
        </w:rPr>
        <w:t xml:space="preserve"> Ahmed (Post-Stroke Community Care)</w:t>
      </w:r>
    </w:p>
    <w:p w14:paraId="78107C2D" w14:textId="77777777" w:rsidR="003024B1" w:rsidRDefault="003024B1">
      <w:pPr>
        <w:rPr>
          <w:noProof/>
        </w:rPr>
      </w:pPr>
      <w:r w:rsidRPr="003024B1">
        <w:rPr>
          <w:noProof/>
        </w:rPr>
        <w:lastRenderedPageBreak/>
        <w:drawing>
          <wp:inline distT="0" distB="0" distL="0" distR="0" wp14:anchorId="256DD290" wp14:editId="066D6E60">
            <wp:extent cx="5943600" cy="4076700"/>
            <wp:effectExtent l="0" t="0" r="0" b="0"/>
            <wp:docPr id="84964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644473" name=""/>
                    <pic:cNvPicPr/>
                  </pic:nvPicPr>
                  <pic:blipFill>
                    <a:blip r:embed="rId17"/>
                    <a:stretch>
                      <a:fillRect/>
                    </a:stretch>
                  </pic:blipFill>
                  <pic:spPr>
                    <a:xfrm>
                      <a:off x="0" y="0"/>
                      <a:ext cx="5943600" cy="4076700"/>
                    </a:xfrm>
                    <a:prstGeom prst="rect">
                      <a:avLst/>
                    </a:prstGeom>
                  </pic:spPr>
                </pic:pic>
              </a:graphicData>
            </a:graphic>
          </wp:inline>
        </w:drawing>
      </w:r>
    </w:p>
    <w:p w14:paraId="2997576D" w14:textId="597FF011" w:rsidR="0009104D" w:rsidRPr="00734905" w:rsidRDefault="008B31AB" w:rsidP="00734905">
      <w:r>
        <w:t>Task 2</w:t>
      </w:r>
    </w:p>
    <w:p w14:paraId="035BEC87" w14:textId="77777777" w:rsidR="0009104D" w:rsidRPr="001340E2" w:rsidRDefault="0009104D" w:rsidP="0009104D">
      <w:pPr>
        <w:rPr>
          <w:rFonts w:ascii="Arial" w:eastAsia="Arial" w:hAnsi="Arial" w:cs="Arial"/>
          <w:b/>
          <w:bCs/>
        </w:rPr>
      </w:pPr>
      <w:r w:rsidRPr="001340E2">
        <w:rPr>
          <w:rFonts w:ascii="Arial" w:eastAsia="Arial" w:hAnsi="Arial" w:cs="Arial"/>
          <w:b/>
          <w:bCs/>
        </w:rPr>
        <w:t xml:space="preserve">CONTENT PAGE </w:t>
      </w:r>
    </w:p>
    <w:p w14:paraId="788DB814" w14:textId="090ED7BD" w:rsidR="0009104D" w:rsidRPr="001340E2" w:rsidRDefault="0009104D" w:rsidP="0009104D">
      <w:pPr>
        <w:spacing w:line="360" w:lineRule="auto"/>
        <w:rPr>
          <w:rFonts w:ascii="Arial" w:eastAsia="Arial" w:hAnsi="Arial" w:cs="Arial"/>
        </w:rPr>
      </w:pPr>
      <w:r w:rsidRPr="001340E2">
        <w:rPr>
          <w:rFonts w:ascii="Arial" w:eastAsia="Arial" w:hAnsi="Arial" w:cs="Arial"/>
        </w:rPr>
        <w:t xml:space="preserve">Title </w:t>
      </w:r>
      <w:r w:rsidR="00400EE2" w:rsidRPr="001340E2">
        <w:rPr>
          <w:rFonts w:ascii="Arial" w:eastAsia="Arial" w:hAnsi="Arial" w:cs="Arial"/>
        </w:rPr>
        <w:t xml:space="preserve">Page </w:t>
      </w:r>
      <w:r w:rsidR="00400EE2" w:rsidRPr="001340E2">
        <w:rPr>
          <w:rFonts w:ascii="Arial" w:eastAsia="Arial" w:hAnsi="Arial" w:cs="Arial"/>
        </w:rPr>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r>
      <w:r w:rsidR="00400EE2">
        <w:rPr>
          <w:rFonts w:ascii="Arial" w:eastAsia="Arial" w:hAnsi="Arial" w:cs="Arial"/>
        </w:rPr>
        <w:t>1</w:t>
      </w:r>
    </w:p>
    <w:p w14:paraId="0330F52A" w14:textId="0ADA4668" w:rsidR="00400EE2" w:rsidRPr="001340E2" w:rsidRDefault="0009104D" w:rsidP="00400EE2">
      <w:pPr>
        <w:spacing w:line="360" w:lineRule="auto"/>
        <w:rPr>
          <w:rFonts w:ascii="Arial" w:eastAsia="Arial" w:hAnsi="Arial" w:cs="Arial"/>
        </w:rPr>
      </w:pPr>
      <w:r w:rsidRPr="001340E2">
        <w:rPr>
          <w:rFonts w:ascii="Arial" w:eastAsia="Arial" w:hAnsi="Arial" w:cs="Arial"/>
        </w:rPr>
        <w:t xml:space="preserve">Table of </w:t>
      </w:r>
      <w:proofErr w:type="gramStart"/>
      <w:r w:rsidR="00400EE2" w:rsidRPr="001340E2">
        <w:rPr>
          <w:rFonts w:ascii="Arial" w:eastAsia="Arial" w:hAnsi="Arial" w:cs="Arial"/>
        </w:rPr>
        <w:t xml:space="preserve">Contents </w:t>
      </w:r>
      <w:r w:rsidR="00400EE2" w:rsidRPr="001340E2">
        <w:rPr>
          <w:rFonts w:ascii="Arial" w:eastAsia="Arial" w:hAnsi="Arial" w:cs="Arial"/>
        </w:rPr>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proofErr w:type="gramEnd"/>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t>-</w:t>
      </w:r>
      <w:r w:rsidR="00400EE2" w:rsidRPr="001340E2">
        <w:rPr>
          <w:rFonts w:ascii="Arial" w:eastAsia="Arial" w:hAnsi="Arial" w:cs="Arial"/>
        </w:rPr>
        <w:tab/>
      </w:r>
      <w:r w:rsidR="00400EE2">
        <w:rPr>
          <w:rFonts w:ascii="Arial" w:eastAsia="Arial" w:hAnsi="Arial" w:cs="Arial"/>
        </w:rPr>
        <w:t>2</w:t>
      </w:r>
    </w:p>
    <w:p w14:paraId="5DF77E95" w14:textId="0839ED88" w:rsidR="0009104D" w:rsidRPr="001340E2" w:rsidRDefault="0009104D" w:rsidP="0009104D">
      <w:pPr>
        <w:spacing w:line="360" w:lineRule="auto"/>
        <w:rPr>
          <w:rFonts w:ascii="Arial" w:eastAsia="Arial" w:hAnsi="Arial" w:cs="Arial"/>
        </w:rPr>
      </w:pPr>
      <w:r w:rsidRPr="001340E2">
        <w:rPr>
          <w:rFonts w:ascii="Arial" w:eastAsia="Arial" w:hAnsi="Arial" w:cs="Arial"/>
        </w:rPr>
        <w:t xml:space="preserve">Element 1: Poster </w:t>
      </w:r>
      <w:r w:rsidR="00B306B7" w:rsidRPr="001340E2">
        <w:rPr>
          <w:rFonts w:ascii="Arial" w:eastAsia="Arial" w:hAnsi="Arial" w:cs="Arial"/>
        </w:rPr>
        <w:t>Design - -</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3</w:t>
      </w:r>
    </w:p>
    <w:p w14:paraId="7AC00CD7" w14:textId="38158751" w:rsidR="0009104D" w:rsidRPr="001340E2" w:rsidRDefault="0009104D" w:rsidP="0009104D">
      <w:pPr>
        <w:spacing w:line="360" w:lineRule="auto"/>
        <w:rPr>
          <w:rFonts w:ascii="Arial" w:eastAsia="Arial" w:hAnsi="Arial" w:cs="Arial"/>
        </w:rPr>
      </w:pPr>
      <w:r w:rsidRPr="001340E2">
        <w:rPr>
          <w:rFonts w:ascii="Arial" w:eastAsia="Arial" w:hAnsi="Arial" w:cs="Arial"/>
        </w:rPr>
        <w:t xml:space="preserve">Element </w:t>
      </w:r>
      <w:r w:rsidR="00B306B7" w:rsidRPr="001340E2">
        <w:rPr>
          <w:rFonts w:ascii="Arial" w:eastAsia="Arial" w:hAnsi="Arial" w:cs="Arial"/>
        </w:rPr>
        <w:t>2:</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w:t>
      </w:r>
      <w:r w:rsidRPr="001340E2">
        <w:rPr>
          <w:rFonts w:ascii="Arial" w:eastAsia="Arial" w:hAnsi="Arial" w:cs="Arial"/>
        </w:rPr>
        <w:tab/>
        <w:t>4</w:t>
      </w:r>
    </w:p>
    <w:p w14:paraId="34B997D5" w14:textId="0D56243D" w:rsidR="0009104D" w:rsidRPr="001340E2" w:rsidRDefault="00B306B7" w:rsidP="0009104D">
      <w:pPr>
        <w:spacing w:line="360" w:lineRule="auto"/>
        <w:sectPr w:rsidR="0009104D" w:rsidRPr="001340E2" w:rsidSect="0009104D">
          <w:headerReference w:type="default" r:id="rId18"/>
          <w:footerReference w:type="default" r:id="rId19"/>
          <w:pgSz w:w="11906" w:h="16838"/>
          <w:pgMar w:top="1440" w:right="1440" w:bottom="1440" w:left="1440" w:header="708" w:footer="708" w:gutter="0"/>
          <w:cols w:space="720"/>
        </w:sectPr>
      </w:pPr>
      <w:proofErr w:type="gramStart"/>
      <w:r w:rsidRPr="001340E2">
        <w:rPr>
          <w:rFonts w:ascii="Arial" w:eastAsia="Arial" w:hAnsi="Arial" w:cs="Arial"/>
        </w:rPr>
        <w:t>References - -</w:t>
      </w:r>
      <w:proofErr w:type="gramEnd"/>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t>-</w:t>
      </w:r>
      <w:r w:rsidR="0009104D" w:rsidRPr="001340E2">
        <w:rPr>
          <w:rFonts w:ascii="Arial" w:eastAsia="Arial" w:hAnsi="Arial" w:cs="Arial"/>
        </w:rPr>
        <w:tab/>
      </w:r>
      <w:r w:rsidR="00400EE2">
        <w:rPr>
          <w:rFonts w:ascii="Arial" w:eastAsia="Arial" w:hAnsi="Arial" w:cs="Arial"/>
        </w:rPr>
        <w:t>5</w:t>
      </w:r>
    </w:p>
    <w:p w14:paraId="4F028671" w14:textId="2CF94C95" w:rsidR="0009104D" w:rsidRPr="001340E2" w:rsidRDefault="00B306B7" w:rsidP="0009104D">
      <w:pPr>
        <w:sectPr w:rsidR="0009104D" w:rsidRPr="001340E2" w:rsidSect="0009104D">
          <w:pgSz w:w="16838" w:h="11906" w:orient="landscape"/>
          <w:pgMar w:top="1440" w:right="1440" w:bottom="1440" w:left="1440" w:header="708" w:footer="708" w:gutter="0"/>
          <w:cols w:space="720"/>
        </w:sectPr>
      </w:pPr>
      <w:r w:rsidRPr="001340E2">
        <w:rPr>
          <w:noProof/>
        </w:rPr>
        <w:lastRenderedPageBreak/>
        <mc:AlternateContent>
          <mc:Choice Requires="wps">
            <w:drawing>
              <wp:anchor distT="0" distB="0" distL="0" distR="0" simplePos="0" relativeHeight="251662336" behindDoc="1" locked="0" layoutInCell="1" hidden="0" allowOverlap="1" wp14:anchorId="2E491A16" wp14:editId="72FBB61C">
                <wp:simplePos x="0" y="0"/>
                <wp:positionH relativeFrom="margin">
                  <wp:align>left</wp:align>
                </wp:positionH>
                <wp:positionV relativeFrom="paragraph">
                  <wp:posOffset>38100</wp:posOffset>
                </wp:positionV>
                <wp:extent cx="9770745" cy="5924550"/>
                <wp:effectExtent l="0" t="0" r="20955" b="19050"/>
                <wp:wrapNone/>
                <wp:docPr id="4" name="Rectangle 4"/>
                <wp:cNvGraphicFramePr/>
                <a:graphic xmlns:a="http://schemas.openxmlformats.org/drawingml/2006/main">
                  <a:graphicData uri="http://schemas.microsoft.com/office/word/2010/wordprocessingShape">
                    <wps:wsp>
                      <wps:cNvSpPr/>
                      <wps:spPr>
                        <a:xfrm>
                          <a:off x="0" y="0"/>
                          <a:ext cx="9770745" cy="59245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B5BEE0" id="Rectangle 4" o:spid="_x0000_s1026" style="position:absolute;margin-left:0;margin-top:3pt;width:769.35pt;height:466.5pt;z-index:-25165414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" fillcolor="gray [1629]" strokecolor="#92d050" strokeweight="1pt">
                <v:fill opacity="30069f"/>
                <w10:wrap anchorx="margin"/>
              </v:rect>
            </w:pict>
          </mc:Fallback>
        </mc:AlternateContent>
      </w:r>
      <w:r w:rsidR="0009104D" w:rsidRPr="001340E2">
        <w:rPr>
          <w:noProof/>
        </w:rPr>
        <mc:AlternateContent>
          <mc:Choice Requires="wps">
            <w:drawing>
              <wp:anchor distT="0" distB="0" distL="114300" distR="114300" simplePos="0" relativeHeight="251674624" behindDoc="0" locked="0" layoutInCell="1" allowOverlap="1" wp14:anchorId="6B351C07" wp14:editId="6F812FE7">
                <wp:simplePos x="0" y="0"/>
                <wp:positionH relativeFrom="column">
                  <wp:posOffset>6858000</wp:posOffset>
                </wp:positionH>
                <wp:positionV relativeFrom="paragraph">
                  <wp:posOffset>4105275</wp:posOffset>
                </wp:positionV>
                <wp:extent cx="2562225" cy="790575"/>
                <wp:effectExtent l="0" t="0" r="28575" b="28575"/>
                <wp:wrapNone/>
                <wp:docPr id="1510915411" name="Rectangle 17"/>
                <wp:cNvGraphicFramePr/>
                <a:graphic xmlns:a="http://schemas.openxmlformats.org/drawingml/2006/main">
                  <a:graphicData uri="http://schemas.microsoft.com/office/word/2010/wordprocessingShape">
                    <wps:wsp>
                      <wps:cNvSpPr/>
                      <wps:spPr>
                        <a:xfrm>
                          <a:off x="0" y="0"/>
                          <a:ext cx="2562225" cy="7905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2DB3AB" id="Rectangle 17" o:spid="_x0000_s1026" style="position:absolute;margin-left:540pt;margin-top:323.25pt;width:201.75pt;height:62.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" fillcolor="white [3201]" strokecolor="white [3212]" strokeweight="1pt"/>
            </w:pict>
          </mc:Fallback>
        </mc:AlternateContent>
      </w:r>
      <w:r w:rsidR="0009104D" w:rsidRPr="001340E2">
        <w:rPr>
          <w:noProof/>
        </w:rPr>
        <mc:AlternateContent>
          <mc:Choice Requires="wps">
            <w:drawing>
              <wp:anchor distT="0" distB="0" distL="114300" distR="114300" simplePos="0" relativeHeight="251675648" behindDoc="0" locked="0" layoutInCell="1" allowOverlap="1" wp14:anchorId="4A179865" wp14:editId="063E2EB1">
                <wp:simplePos x="0" y="0"/>
                <wp:positionH relativeFrom="column">
                  <wp:posOffset>6867525</wp:posOffset>
                </wp:positionH>
                <wp:positionV relativeFrom="paragraph">
                  <wp:posOffset>4114800</wp:posOffset>
                </wp:positionV>
                <wp:extent cx="2571750" cy="828675"/>
                <wp:effectExtent l="0" t="0" r="19050" b="28575"/>
                <wp:wrapNone/>
                <wp:docPr id="523878325" name="Rectangle 18"/>
                <wp:cNvGraphicFramePr/>
                <a:graphic xmlns:a="http://schemas.openxmlformats.org/drawingml/2006/main">
                  <a:graphicData uri="http://schemas.microsoft.com/office/word/2010/wordprocessingShape">
                    <wps:wsp>
                      <wps:cNvSpPr/>
                      <wps:spPr>
                        <a:xfrm>
                          <a:off x="0" y="0"/>
                          <a:ext cx="2571750" cy="8286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7A6EF3A7" w14:textId="77777777" w:rsidR="0009104D" w:rsidRDefault="0009104D" w:rsidP="0009104D">
                            <w:pPr>
                              <w:jc w:val="center"/>
                            </w:pPr>
                            <w:r>
                              <w:rPr>
                                <w:noProof/>
                              </w:rPr>
                              <w:drawing>
                                <wp:inline distT="0" distB="0" distL="0" distR="0" wp14:anchorId="75AB0711" wp14:editId="3D3B119C">
                                  <wp:extent cx="2381250" cy="807085"/>
                                  <wp:effectExtent l="0" t="0" r="0" b="0"/>
                                  <wp:docPr id="718424883" name="Picture 19" descr="Older Popul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lder Populations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81250" cy="8070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179865" id="Rectangle 18" o:spid="_x0000_s1026" style="position:absolute;margin-left:540.75pt;margin-top:324pt;width:202.5pt;height:65.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" fillcolor="white [3201]" strokecolor="white [3212]" strokeweight="1pt">
                <v:textbox>
                  <w:txbxContent>
                    <w:p w14:paraId="7A6EF3A7" w14:textId="77777777" w:rsidR="0009104D" w:rsidRDefault="0009104D" w:rsidP="0009104D">
                      <w:pPr>
                        <w:jc w:val="center"/>
                      </w:pPr>
                      <w:r>
                        <w:rPr>
                          <w:noProof/>
                        </w:rPr>
                        <w:drawing>
                          <wp:inline distT="0" distB="0" distL="0" distR="0" wp14:anchorId="75AB0711" wp14:editId="3D3B119C">
                            <wp:extent cx="2381250" cy="807085"/>
                            <wp:effectExtent l="0" t="0" r="0" b="0"/>
                            <wp:docPr id="718424883" name="Picture 19" descr="Older Popul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lder Populations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81250" cy="807085"/>
                                    </a:xfrm>
                                    <a:prstGeom prst="rect">
                                      <a:avLst/>
                                    </a:prstGeom>
                                    <a:noFill/>
                                    <a:ln>
                                      <a:noFill/>
                                    </a:ln>
                                  </pic:spPr>
                                </pic:pic>
                              </a:graphicData>
                            </a:graphic>
                          </wp:inline>
                        </w:drawing>
                      </w:r>
                    </w:p>
                  </w:txbxContent>
                </v:textbox>
              </v:rect>
            </w:pict>
          </mc:Fallback>
        </mc:AlternateContent>
      </w:r>
      <w:r w:rsidR="0009104D" w:rsidRPr="001340E2">
        <w:rPr>
          <w:noProof/>
        </w:rPr>
        <mc:AlternateContent>
          <mc:Choice Requires="wps">
            <w:drawing>
              <wp:anchor distT="0" distB="0" distL="114300" distR="114300" simplePos="0" relativeHeight="251673600" behindDoc="0" locked="0" layoutInCell="1" allowOverlap="1" wp14:anchorId="1A91E12B" wp14:editId="6977F02E">
                <wp:simplePos x="0" y="0"/>
                <wp:positionH relativeFrom="column">
                  <wp:posOffset>3238500</wp:posOffset>
                </wp:positionH>
                <wp:positionV relativeFrom="paragraph">
                  <wp:posOffset>4067175</wp:posOffset>
                </wp:positionV>
                <wp:extent cx="3390900" cy="1085850"/>
                <wp:effectExtent l="0" t="0" r="19050" b="19050"/>
                <wp:wrapNone/>
                <wp:docPr id="57501232" name="Rectangle 15"/>
                <wp:cNvGraphicFramePr/>
                <a:graphic xmlns:a="http://schemas.openxmlformats.org/drawingml/2006/main">
                  <a:graphicData uri="http://schemas.microsoft.com/office/word/2010/wordprocessingShape">
                    <wps:wsp>
                      <wps:cNvSpPr/>
                      <wps:spPr>
                        <a:xfrm>
                          <a:off x="0" y="0"/>
                          <a:ext cx="3390900" cy="108585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1E1F6005" w14:textId="77777777" w:rsidR="0009104D" w:rsidRDefault="0009104D" w:rsidP="0009104D">
                            <w:pPr>
                              <w:jc w:val="center"/>
                            </w:pPr>
                            <w:r>
                              <w:rPr>
                                <w:noProof/>
                              </w:rPr>
                              <w:drawing>
                                <wp:inline distT="0" distB="0" distL="0" distR="0" wp14:anchorId="62242CA9" wp14:editId="20D244E2">
                                  <wp:extent cx="3038475" cy="969010"/>
                                  <wp:effectExtent l="0" t="0" r="9525" b="2540"/>
                                  <wp:docPr id="352156689" name="Picture 16" descr="Housing Affordability Proble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using Affordability Problems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38475" cy="9690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91E12B" id="Rectangle 15" o:spid="_x0000_s1027" style="position:absolute;margin-left:255pt;margin-top:320.25pt;width:267pt;height:85.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" fillcolor="white [3201]" strokecolor="white [3212]" strokeweight="1pt">
                <v:textbox>
                  <w:txbxContent>
                    <w:p w14:paraId="1E1F6005" w14:textId="77777777" w:rsidR="0009104D" w:rsidRDefault="0009104D" w:rsidP="0009104D">
                      <w:pPr>
                        <w:jc w:val="center"/>
                      </w:pPr>
                      <w:r>
                        <w:rPr>
                          <w:noProof/>
                        </w:rPr>
                        <w:drawing>
                          <wp:inline distT="0" distB="0" distL="0" distR="0" wp14:anchorId="62242CA9" wp14:editId="20D244E2">
                            <wp:extent cx="3038475" cy="969010"/>
                            <wp:effectExtent l="0" t="0" r="9525" b="2540"/>
                            <wp:docPr id="352156689" name="Picture 16" descr="Housing Affordability Proble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using Affordability Problems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38475" cy="969010"/>
                                    </a:xfrm>
                                    <a:prstGeom prst="rect">
                                      <a:avLst/>
                                    </a:prstGeom>
                                    <a:noFill/>
                                    <a:ln>
                                      <a:noFill/>
                                    </a:ln>
                                  </pic:spPr>
                                </pic:pic>
                              </a:graphicData>
                            </a:graphic>
                          </wp:inline>
                        </w:drawing>
                      </w:r>
                    </w:p>
                  </w:txbxContent>
                </v:textbox>
              </v:rect>
            </w:pict>
          </mc:Fallback>
        </mc:AlternateContent>
      </w:r>
      <w:r w:rsidR="0009104D" w:rsidRPr="001340E2">
        <w:rPr>
          <w:noProof/>
        </w:rPr>
        <mc:AlternateContent>
          <mc:Choice Requires="wps">
            <w:drawing>
              <wp:anchor distT="0" distB="0" distL="114300" distR="114300" simplePos="0" relativeHeight="251672576" behindDoc="0" locked="0" layoutInCell="1" allowOverlap="1" wp14:anchorId="39461271" wp14:editId="503E4AF2">
                <wp:simplePos x="0" y="0"/>
                <wp:positionH relativeFrom="column">
                  <wp:posOffset>-628650</wp:posOffset>
                </wp:positionH>
                <wp:positionV relativeFrom="paragraph">
                  <wp:posOffset>4086225</wp:posOffset>
                </wp:positionV>
                <wp:extent cx="3438525" cy="981075"/>
                <wp:effectExtent l="0" t="0" r="28575" b="28575"/>
                <wp:wrapNone/>
                <wp:docPr id="373427624" name="Rectangle 13"/>
                <wp:cNvGraphicFramePr/>
                <a:graphic xmlns:a="http://schemas.openxmlformats.org/drawingml/2006/main">
                  <a:graphicData uri="http://schemas.microsoft.com/office/word/2010/wordprocessingShape">
                    <wps:wsp>
                      <wps:cNvSpPr/>
                      <wps:spPr>
                        <a:xfrm>
                          <a:off x="0" y="0"/>
                          <a:ext cx="3438525" cy="9810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3DA964BF" w14:textId="77777777" w:rsidR="0009104D" w:rsidRDefault="0009104D" w:rsidP="0009104D">
                            <w:pPr>
                              <w:jc w:val="center"/>
                            </w:pPr>
                            <w:r>
                              <w:rPr>
                                <w:noProof/>
                              </w:rPr>
                              <w:drawing>
                                <wp:inline distT="0" distB="0" distL="0" distR="0" wp14:anchorId="37F28498" wp14:editId="6DD58BD7">
                                  <wp:extent cx="2790825" cy="864235"/>
                                  <wp:effectExtent l="0" t="0" r="9525" b="0"/>
                                  <wp:docPr id="1780765944" name="Picture 14" descr="Medical and Non-Medical In-Hom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cal and Non-Medical In-Home Ca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90825" cy="8642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461271" id="Rectangle 13" o:spid="_x0000_s1028" style="position:absolute;margin-left:-49.5pt;margin-top:321.75pt;width:270.75pt;height:77.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" fillcolor="white [3201]" strokecolor="white [3212]" strokeweight="1pt">
                <v:textbox>
                  <w:txbxContent>
                    <w:p w14:paraId="3DA964BF" w14:textId="77777777" w:rsidR="0009104D" w:rsidRDefault="0009104D" w:rsidP="0009104D">
                      <w:pPr>
                        <w:jc w:val="center"/>
                      </w:pPr>
                      <w:r>
                        <w:rPr>
                          <w:noProof/>
                        </w:rPr>
                        <w:drawing>
                          <wp:inline distT="0" distB="0" distL="0" distR="0" wp14:anchorId="37F28498" wp14:editId="6DD58BD7">
                            <wp:extent cx="2790825" cy="864235"/>
                            <wp:effectExtent l="0" t="0" r="9525" b="0"/>
                            <wp:docPr id="1780765944" name="Picture 14" descr="Medical and Non-Medical In-Hom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cal and Non-Medical In-Home Ca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90825" cy="864235"/>
                                    </a:xfrm>
                                    <a:prstGeom prst="rect">
                                      <a:avLst/>
                                    </a:prstGeom>
                                    <a:noFill/>
                                    <a:ln>
                                      <a:noFill/>
                                    </a:ln>
                                  </pic:spPr>
                                </pic:pic>
                              </a:graphicData>
                            </a:graphic>
                          </wp:inline>
                        </w:drawing>
                      </w:r>
                    </w:p>
                  </w:txbxContent>
                </v:textbox>
              </v:rect>
            </w:pict>
          </mc:Fallback>
        </mc:AlternateContent>
      </w:r>
      <w:r w:rsidR="0009104D" w:rsidRPr="001340E2">
        <w:rPr>
          <w:noProof/>
        </w:rPr>
        <mc:AlternateContent>
          <mc:Choice Requires="wps">
            <w:drawing>
              <wp:anchor distT="0" distB="0" distL="114300" distR="114300" simplePos="0" relativeHeight="251671552" behindDoc="0" locked="0" layoutInCell="1" allowOverlap="1" wp14:anchorId="00CE1436" wp14:editId="7CEA1D7A">
                <wp:simplePos x="0" y="0"/>
                <wp:positionH relativeFrom="column">
                  <wp:posOffset>6362700</wp:posOffset>
                </wp:positionH>
                <wp:positionV relativeFrom="paragraph">
                  <wp:posOffset>1819275</wp:posOffset>
                </wp:positionV>
                <wp:extent cx="2200275" cy="1123950"/>
                <wp:effectExtent l="0" t="0" r="28575" b="19050"/>
                <wp:wrapNone/>
                <wp:docPr id="2074850264" name="Rectangle 11"/>
                <wp:cNvGraphicFramePr/>
                <a:graphic xmlns:a="http://schemas.openxmlformats.org/drawingml/2006/main">
                  <a:graphicData uri="http://schemas.microsoft.com/office/word/2010/wordprocessingShape">
                    <wps:wsp>
                      <wps:cNvSpPr/>
                      <wps:spPr>
                        <a:xfrm>
                          <a:off x="0" y="0"/>
                          <a:ext cx="2200275" cy="112395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3462A207" w14:textId="77777777" w:rsidR="0009104D" w:rsidRDefault="0009104D" w:rsidP="0009104D">
                            <w:pPr>
                              <w:jc w:val="center"/>
                            </w:pPr>
                            <w:r>
                              <w:rPr>
                                <w:noProof/>
                              </w:rPr>
                              <w:drawing>
                                <wp:inline distT="0" distB="0" distL="0" distR="0" wp14:anchorId="518233D3" wp14:editId="0B0AF874">
                                  <wp:extent cx="2072005" cy="1007110"/>
                                  <wp:effectExtent l="0" t="0" r="4445" b="2540"/>
                                  <wp:docPr id="1779504072" name="Picture 12" descr="Principles Of The Care Act 201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ciples Of The Care Act 2014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72005" cy="10071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CE1436" id="Rectangle 11" o:spid="_x0000_s1029" style="position:absolute;margin-left:501pt;margin-top:143.25pt;width:173.25pt;height:88.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" fillcolor="white [3201]" strokecolor="white [3212]" strokeweight="1pt">
                <v:textbox>
                  <w:txbxContent>
                    <w:p w14:paraId="3462A207" w14:textId="77777777" w:rsidR="0009104D" w:rsidRDefault="0009104D" w:rsidP="0009104D">
                      <w:pPr>
                        <w:jc w:val="center"/>
                      </w:pPr>
                      <w:r>
                        <w:rPr>
                          <w:noProof/>
                        </w:rPr>
                        <w:drawing>
                          <wp:inline distT="0" distB="0" distL="0" distR="0" wp14:anchorId="518233D3" wp14:editId="0B0AF874">
                            <wp:extent cx="2072005" cy="1007110"/>
                            <wp:effectExtent l="0" t="0" r="4445" b="2540"/>
                            <wp:docPr id="1779504072" name="Picture 12" descr="Principles Of The Care Act 201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ciples Of The Care Act 2014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72005" cy="1007110"/>
                                    </a:xfrm>
                                    <a:prstGeom prst="rect">
                                      <a:avLst/>
                                    </a:prstGeom>
                                    <a:noFill/>
                                    <a:ln>
                                      <a:noFill/>
                                    </a:ln>
                                  </pic:spPr>
                                </pic:pic>
                              </a:graphicData>
                            </a:graphic>
                          </wp:inline>
                        </w:drawing>
                      </w:r>
                    </w:p>
                  </w:txbxContent>
                </v:textbox>
              </v:rect>
            </w:pict>
          </mc:Fallback>
        </mc:AlternateContent>
      </w:r>
      <w:r w:rsidR="0009104D" w:rsidRPr="001340E2">
        <w:rPr>
          <w:noProof/>
        </w:rPr>
        <mc:AlternateContent>
          <mc:Choice Requires="wps">
            <w:drawing>
              <wp:anchor distT="0" distB="0" distL="114300" distR="114300" simplePos="0" relativeHeight="251670528" behindDoc="0" locked="0" layoutInCell="1" allowOverlap="1" wp14:anchorId="3C79C490" wp14:editId="0DB36FFF">
                <wp:simplePos x="0" y="0"/>
                <wp:positionH relativeFrom="column">
                  <wp:posOffset>3228975</wp:posOffset>
                </wp:positionH>
                <wp:positionV relativeFrom="paragraph">
                  <wp:posOffset>1762125</wp:posOffset>
                </wp:positionV>
                <wp:extent cx="2200275" cy="981075"/>
                <wp:effectExtent l="0" t="0" r="28575" b="28575"/>
                <wp:wrapNone/>
                <wp:docPr id="1385298187" name="Rectangle 9"/>
                <wp:cNvGraphicFramePr/>
                <a:graphic xmlns:a="http://schemas.openxmlformats.org/drawingml/2006/main">
                  <a:graphicData uri="http://schemas.microsoft.com/office/word/2010/wordprocessingShape">
                    <wps:wsp>
                      <wps:cNvSpPr/>
                      <wps:spPr>
                        <a:xfrm>
                          <a:off x="0" y="0"/>
                          <a:ext cx="2200275" cy="981075"/>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3EEA229A" w14:textId="77777777" w:rsidR="0009104D" w:rsidRDefault="0009104D" w:rsidP="0009104D">
                            <w:pPr>
                              <w:jc w:val="center"/>
                            </w:pPr>
                            <w:r>
                              <w:rPr>
                                <w:noProof/>
                              </w:rPr>
                              <w:drawing>
                                <wp:inline distT="0" distB="0" distL="0" distR="0" wp14:anchorId="6BD33600" wp14:editId="20CB81E2">
                                  <wp:extent cx="2047875" cy="864235"/>
                                  <wp:effectExtent l="0" t="0" r="9525" b="0"/>
                                  <wp:docPr id="444416384" name="Picture 10" descr="Britain vows - again - to reform 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ain vows - again - to reform social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47875" cy="8642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79C490" id="Rectangle 9" o:spid="_x0000_s1030" style="position:absolute;margin-left:254.25pt;margin-top:138.75pt;width:173.25pt;height:77.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" fillcolor="white [3201]" strokecolor="white [3212]" strokeweight="1pt">
                <v:textbox>
                  <w:txbxContent>
                    <w:p w14:paraId="3EEA229A" w14:textId="77777777" w:rsidR="0009104D" w:rsidRDefault="0009104D" w:rsidP="0009104D">
                      <w:pPr>
                        <w:jc w:val="center"/>
                      </w:pPr>
                      <w:r>
                        <w:rPr>
                          <w:noProof/>
                        </w:rPr>
                        <w:drawing>
                          <wp:inline distT="0" distB="0" distL="0" distR="0" wp14:anchorId="6BD33600" wp14:editId="20CB81E2">
                            <wp:extent cx="2047875" cy="864235"/>
                            <wp:effectExtent l="0" t="0" r="9525" b="0"/>
                            <wp:docPr id="444416384" name="Picture 10" descr="Britain vows - again - to reform 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ain vows - again - to reform social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47875" cy="864235"/>
                                    </a:xfrm>
                                    <a:prstGeom prst="rect">
                                      <a:avLst/>
                                    </a:prstGeom>
                                    <a:noFill/>
                                    <a:ln>
                                      <a:noFill/>
                                    </a:ln>
                                  </pic:spPr>
                                </pic:pic>
                              </a:graphicData>
                            </a:graphic>
                          </wp:inline>
                        </w:drawing>
                      </w:r>
                    </w:p>
                  </w:txbxContent>
                </v:textbox>
              </v:rect>
            </w:pict>
          </mc:Fallback>
        </mc:AlternateContent>
      </w:r>
      <w:r w:rsidR="0009104D" w:rsidRPr="001340E2">
        <w:rPr>
          <w:noProof/>
        </w:rPr>
        <mc:AlternateContent>
          <mc:Choice Requires="wps">
            <w:drawing>
              <wp:anchor distT="45720" distB="45720" distL="114300" distR="114300" simplePos="0" relativeHeight="251663360" behindDoc="0" locked="0" layoutInCell="1" hidden="0" allowOverlap="1" wp14:anchorId="080BFB7D" wp14:editId="4EBBAE12">
                <wp:simplePos x="0" y="0"/>
                <wp:positionH relativeFrom="column">
                  <wp:posOffset>774700</wp:posOffset>
                </wp:positionH>
                <wp:positionV relativeFrom="paragraph">
                  <wp:posOffset>1</wp:posOffset>
                </wp:positionV>
                <wp:extent cx="6536690" cy="1153160"/>
                <wp:effectExtent l="0" t="0" r="16510" b="27940"/>
                <wp:wrapSquare wrapText="bothSides" distT="45720" distB="45720" distL="114300" distR="114300"/>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3A427386" w14:textId="77777777" w:rsidR="0009104D" w:rsidRPr="00DE371D" w:rsidRDefault="0009104D" w:rsidP="0009104D">
                            <w:pPr>
                              <w:shd w:val="clear" w:color="auto" w:fill="F4B083" w:themeFill="accent2" w:themeFillTint="99"/>
                              <w:jc w:val="both"/>
                              <w:rPr>
                                <w:rFonts w:ascii="Arial" w:hAnsi="Arial" w:cs="Arial"/>
                                <w:b/>
                                <w:bCs/>
                                <w:i/>
                                <w:iCs/>
                                <w:color w:val="002060"/>
                                <w:sz w:val="28"/>
                                <w:szCs w:val="28"/>
                              </w:rPr>
                            </w:pPr>
                            <w:r w:rsidRPr="00DE371D">
                              <w:rPr>
                                <w:rFonts w:ascii="Arial" w:hAnsi="Arial" w:cs="Arial"/>
                                <w:b/>
                                <w:bCs/>
                                <w:i/>
                                <w:iCs/>
                                <w:color w:val="002060"/>
                                <w:sz w:val="28"/>
                                <w:szCs w:val="28"/>
                              </w:rPr>
                              <w:t>Overview and Development of UK Residential Care Homes and Pharmacy Services</w:t>
                            </w:r>
                          </w:p>
                          <w:p w14:paraId="2256ACE7" w14:textId="77777777" w:rsidR="0009104D" w:rsidRPr="00117E5D" w:rsidRDefault="0009104D" w:rsidP="0009104D">
                            <w:pPr>
                              <w:shd w:val="clear" w:color="auto" w:fill="F4B083" w:themeFill="accent2" w:themeFillTint="99"/>
                              <w:jc w:val="center"/>
                              <w:rPr>
                                <w:rFonts w:ascii="Arial" w:hAnsi="Arial" w:cs="Arial"/>
                                <w:color w:val="FFFFFF" w:themeColor="background1"/>
                              </w:rPr>
                            </w:pPr>
                            <w:r w:rsidRPr="00117E5D">
                              <w:rPr>
                                <w:rFonts w:ascii="Arial" w:hAnsi="Arial" w:cs="Arial"/>
                              </w:rPr>
                              <w:t xml:space="preserve">Student Name: </w:t>
                            </w:r>
                            <w:r w:rsidRPr="00117E5D">
                              <w:rPr>
                                <w:rFonts w:ascii="Arial" w:hAnsi="Arial" w:cs="Arial"/>
                                <w:color w:val="FFFFFF" w:themeColor="background1"/>
                              </w:rPr>
                              <w:t>Fatoumata Malika Dosso</w:t>
                            </w:r>
                            <w:r w:rsidRPr="00117E5D">
                              <w:rPr>
                                <w:rFonts w:ascii="Arial" w:hAnsi="Arial" w:cs="Arial"/>
                              </w:rPr>
                              <w:t xml:space="preserve">: Course Name: </w:t>
                            </w:r>
                            <w:r w:rsidRPr="00117E5D">
                              <w:rPr>
                                <w:rFonts w:ascii="Arial" w:hAnsi="Arial" w:cs="Arial"/>
                                <w:color w:val="FFFFFF" w:themeColor="background1"/>
                              </w:rPr>
                              <w:t xml:space="preserve">2514002 </w:t>
                            </w:r>
                          </w:p>
                          <w:p w14:paraId="7233EFDC" w14:textId="77777777" w:rsidR="0009104D" w:rsidRPr="00117E5D" w:rsidRDefault="0009104D" w:rsidP="0009104D">
                            <w:pPr>
                              <w:shd w:val="clear" w:color="auto" w:fill="F4B083" w:themeFill="accent2" w:themeFillTint="99"/>
                              <w:jc w:val="center"/>
                              <w:rPr>
                                <w:rFonts w:ascii="Arial" w:hAnsi="Arial" w:cs="Arial"/>
                              </w:rPr>
                            </w:pPr>
                            <w:r w:rsidRPr="00117E5D">
                              <w:rPr>
                                <w:rFonts w:ascii="Arial" w:hAnsi="Arial" w:cs="Arial"/>
                              </w:rPr>
                              <w:t>Email</w:t>
                            </w:r>
                            <w:r>
                              <w:rPr>
                                <w:rFonts w:ascii="Arial" w:hAnsi="Arial" w:cs="Arial"/>
                              </w:rPr>
                              <w:t xml:space="preserve">: </w:t>
                            </w:r>
                            <w:r w:rsidRPr="00117E5D">
                              <w:rPr>
                                <w:rFonts w:ascii="Arial" w:hAnsi="Arial" w:cs="Arial"/>
                                <w:color w:val="FFFFFF" w:themeColor="background1"/>
                              </w:rPr>
                              <w:t>satuokone24@gmail.com</w:t>
                            </w:r>
                          </w:p>
                          <w:p w14:paraId="4D85B1DF" w14:textId="77777777" w:rsidR="0009104D" w:rsidRPr="00DE371D" w:rsidRDefault="0009104D" w:rsidP="0009104D">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anchor>
            </w:drawing>
          </mc:Choice>
          <mc:Fallback>
            <w:pict>
              <v:shapetype w14:anchorId="080BFB7D" id="_x0000_t202" coordsize="21600,21600" o:spt="202" path="m,l,21600r21600,l21600,xe">
                <v:stroke joinstyle="miter"/>
                <v:path gradientshapeok="t" o:connecttype="rect"/>
              </v:shapetype>
              <v:shape id="Text Box 6" o:spid="_x0000_s1031" type="#_x0000_t202" style="position:absolute;margin-left:61pt;margin-top:0;width:514.7pt;height:90.8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65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QngIDVpUII6ohoWp23E6cdOC/UnJgJ1e&#10;Uvdjz6ykRH8wqOgqWyzCaERjkb+do2EvPdWlhxmOUCX1lEzbrY/jFNI3cIvK1ypq8pzJqV+wg6NU&#10;p2kLI3Jpx6jnf8LmFwA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pc++uS4CAABbBAAADgAAAAAAAAAAAAAAAAAuAgAA&#10;ZHJzL2Uyb0RvYy54bWxQSwECLQAUAAYACAAAACEANUZnJN8AAAAJAQAADwAAAAAAAAAAAAAAAACI&#10;BAAAZHJzL2Rvd25yZXYueG1sUEsFBgAAAAAEAAQA8wAAAJQFAAAAAA==&#10;">
                <v:textbox>
                  <w:txbxContent>
                    <w:p w14:paraId="3A427386" w14:textId="77777777" w:rsidR="0009104D" w:rsidRPr="00DE371D" w:rsidRDefault="0009104D" w:rsidP="0009104D">
                      <w:pPr>
                        <w:shd w:val="clear" w:color="auto" w:fill="F4B083" w:themeFill="accent2" w:themeFillTint="99"/>
                        <w:jc w:val="both"/>
                        <w:rPr>
                          <w:rFonts w:ascii="Arial" w:hAnsi="Arial" w:cs="Arial"/>
                          <w:b/>
                          <w:bCs/>
                          <w:i/>
                          <w:iCs/>
                          <w:color w:val="002060"/>
                          <w:sz w:val="28"/>
                          <w:szCs w:val="28"/>
                        </w:rPr>
                      </w:pPr>
                      <w:r w:rsidRPr="00DE371D">
                        <w:rPr>
                          <w:rFonts w:ascii="Arial" w:hAnsi="Arial" w:cs="Arial"/>
                          <w:b/>
                          <w:bCs/>
                          <w:i/>
                          <w:iCs/>
                          <w:color w:val="002060"/>
                          <w:sz w:val="28"/>
                          <w:szCs w:val="28"/>
                        </w:rPr>
                        <w:t>Overview and Development of UK Residential Care Homes and Pharmacy Services</w:t>
                      </w:r>
                    </w:p>
                    <w:p w14:paraId="2256ACE7" w14:textId="77777777" w:rsidR="0009104D" w:rsidRPr="00117E5D" w:rsidRDefault="0009104D" w:rsidP="0009104D">
                      <w:pPr>
                        <w:shd w:val="clear" w:color="auto" w:fill="F4B083" w:themeFill="accent2" w:themeFillTint="99"/>
                        <w:jc w:val="center"/>
                        <w:rPr>
                          <w:rFonts w:ascii="Arial" w:hAnsi="Arial" w:cs="Arial"/>
                          <w:color w:val="FFFFFF" w:themeColor="background1"/>
                        </w:rPr>
                      </w:pPr>
                      <w:r w:rsidRPr="00117E5D">
                        <w:rPr>
                          <w:rFonts w:ascii="Arial" w:hAnsi="Arial" w:cs="Arial"/>
                        </w:rPr>
                        <w:t xml:space="preserve">Student Name: </w:t>
                      </w:r>
                      <w:r w:rsidRPr="00117E5D">
                        <w:rPr>
                          <w:rFonts w:ascii="Arial" w:hAnsi="Arial" w:cs="Arial"/>
                          <w:color w:val="FFFFFF" w:themeColor="background1"/>
                        </w:rPr>
                        <w:t>Fatoumata Malika Dosso</w:t>
                      </w:r>
                      <w:r w:rsidRPr="00117E5D">
                        <w:rPr>
                          <w:rFonts w:ascii="Arial" w:hAnsi="Arial" w:cs="Arial"/>
                        </w:rPr>
                        <w:t xml:space="preserve">: Course Name: </w:t>
                      </w:r>
                      <w:r w:rsidRPr="00117E5D">
                        <w:rPr>
                          <w:rFonts w:ascii="Arial" w:hAnsi="Arial" w:cs="Arial"/>
                          <w:color w:val="FFFFFF" w:themeColor="background1"/>
                        </w:rPr>
                        <w:t xml:space="preserve">2514002 </w:t>
                      </w:r>
                    </w:p>
                    <w:p w14:paraId="7233EFDC" w14:textId="77777777" w:rsidR="0009104D" w:rsidRPr="00117E5D" w:rsidRDefault="0009104D" w:rsidP="0009104D">
                      <w:pPr>
                        <w:shd w:val="clear" w:color="auto" w:fill="F4B083" w:themeFill="accent2" w:themeFillTint="99"/>
                        <w:jc w:val="center"/>
                        <w:rPr>
                          <w:rFonts w:ascii="Arial" w:hAnsi="Arial" w:cs="Arial"/>
                        </w:rPr>
                      </w:pPr>
                      <w:r w:rsidRPr="00117E5D">
                        <w:rPr>
                          <w:rFonts w:ascii="Arial" w:hAnsi="Arial" w:cs="Arial"/>
                        </w:rPr>
                        <w:t>Email</w:t>
                      </w:r>
                      <w:r>
                        <w:rPr>
                          <w:rFonts w:ascii="Arial" w:hAnsi="Arial" w:cs="Arial"/>
                        </w:rPr>
                        <w:t xml:space="preserve">: </w:t>
                      </w:r>
                      <w:r w:rsidRPr="00117E5D">
                        <w:rPr>
                          <w:rFonts w:ascii="Arial" w:hAnsi="Arial" w:cs="Arial"/>
                          <w:color w:val="FFFFFF" w:themeColor="background1"/>
                        </w:rPr>
                        <w:t>satuokone24@gmail.com</w:t>
                      </w:r>
                    </w:p>
                    <w:p w14:paraId="4D85B1DF" w14:textId="77777777" w:rsidR="0009104D" w:rsidRPr="00DE371D" w:rsidRDefault="0009104D" w:rsidP="0009104D">
                      <w:pPr>
                        <w:shd w:val="clear" w:color="auto" w:fill="F4B083" w:themeFill="accent2" w:themeFillTint="99"/>
                        <w:rPr>
                          <w:color w:val="00B0F0"/>
                          <w:sz w:val="70"/>
                          <w:szCs w:val="70"/>
                        </w:rPr>
                      </w:pPr>
                    </w:p>
                  </w:txbxContent>
                </v:textbox>
                <w10:wrap type="square"/>
              </v:shape>
            </w:pict>
          </mc:Fallback>
        </mc:AlternateContent>
      </w:r>
      <w:r w:rsidR="0009104D" w:rsidRPr="001340E2">
        <w:rPr>
          <w:noProof/>
        </w:rPr>
        <mc:AlternateContent>
          <mc:Choice Requires="wps">
            <w:drawing>
              <wp:anchor distT="45720" distB="45720" distL="114300" distR="114300" simplePos="0" relativeHeight="251664384" behindDoc="0" locked="0" layoutInCell="1" hidden="0" allowOverlap="1" wp14:anchorId="1111C335" wp14:editId="717A737C">
                <wp:simplePos x="0" y="0"/>
                <wp:positionH relativeFrom="column">
                  <wp:posOffset>44451</wp:posOffset>
                </wp:positionH>
                <wp:positionV relativeFrom="paragraph">
                  <wp:posOffset>1263650</wp:posOffset>
                </wp:positionV>
                <wp:extent cx="2367280" cy="2470150"/>
                <wp:effectExtent l="19050" t="19050" r="33020" b="44450"/>
                <wp:wrapSquare wrapText="bothSides" distT="45720" distB="45720" distL="114300" distR="11430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7D0C0395"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Residential Care Homes: Overview and Explanation</w:t>
                            </w:r>
                          </w:p>
                          <w:p w14:paraId="50F272AC"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Residential care facilities are a </w:t>
                            </w:r>
                            <w:r>
                              <w:rPr>
                                <w:rFonts w:ascii="Arial" w:hAnsi="Arial" w:cs="Arial"/>
                              </w:rPr>
                              <w:t xml:space="preserve">vital </w:t>
                            </w:r>
                            <w:r w:rsidRPr="00944440">
                              <w:rPr>
                                <w:rFonts w:ascii="Arial" w:hAnsi="Arial" w:cs="Arial"/>
                              </w:rPr>
                              <w:t>component of the United Kingdom's adult social care system, offering housing, personal care, monitoring, and social support to people who are unable to live independently. Residents often include elderly folks with frailty or dementia, people with physical or learning disabilities, and people with long-term diseases that necessitate constant care. Unlike nursing homes, residential care facilities do not provide ongoing medical or nursing care; rather, they focus on assisting with everyday activities such as washing, dressing, eating, mobility, and social participation. Person-centered care concepts underpin current practice, emphasizing dignity, choice, autonomy, safety, and quality of life (Glasby, 2017; NICE, 2023). Services follow the adult social care framework and are funded in a mixed economy that combines local authority commissioning with self-funding options. The Care Quality Commission (CQC) regulates and inspects to guarantee compliance with statutory fundamental criteria (CQC, 2024).</w:t>
                            </w:r>
                          </w:p>
                          <w:p w14:paraId="002620F5"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1111C335" id="Text Box 3" o:spid="_x0000_s1032" type="#_x0000_t202" style="position:absolute;margin-left:3.5pt;margin-top:99.5pt;width:186.4pt;height:194.5pt;z-index:25166438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" strokecolor="#ed7d31 [3205]" strokeweight="3.75pt">
                <v:textbox>
                  <w:txbxContent>
                    <w:p w14:paraId="7D0C0395"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Residential Care Homes: Overview and Explanation</w:t>
                      </w:r>
                    </w:p>
                    <w:p w14:paraId="50F272AC"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Residential care facilities are a </w:t>
                      </w:r>
                      <w:r>
                        <w:rPr>
                          <w:rFonts w:ascii="Arial" w:hAnsi="Arial" w:cs="Arial"/>
                        </w:rPr>
                        <w:t xml:space="preserve">vital </w:t>
                      </w:r>
                      <w:r w:rsidRPr="00944440">
                        <w:rPr>
                          <w:rFonts w:ascii="Arial" w:hAnsi="Arial" w:cs="Arial"/>
                        </w:rPr>
                        <w:t>component of the United Kingdom's adult social care system, offering housing, personal care, monitoring, and social support to people who are unable to live independently. Residents often include elderly folks with frailty or dementia, people with physical or learning disabilities, and people with long-term diseases that necessitate constant care. Unlike nursing homes, residential care facilities do not provide ongoing medical or nursing care; rather, they focus on assisting with everyday activities such as washing, dressing, eating, mobility, and social participation. Person-centered care concepts underpin current practice, emphasizing dignity, choice, autonomy, safety, and quality of life (Glasby, 2017; NICE, 2023). Services follow the adult social care framework and are funded in a mixed economy that combines local authority commissioning with self-funding options. The Care Quality Commission (CQC) regulates and inspects to guarantee compliance with statutory fundamental criteria (CQC, 2024).</w:t>
                      </w:r>
                    </w:p>
                    <w:p w14:paraId="002620F5" w14:textId="77777777" w:rsidR="0009104D" w:rsidRDefault="0009104D" w:rsidP="0009104D"/>
                  </w:txbxContent>
                </v:textbox>
                <w10:wrap type="square"/>
              </v:shape>
            </w:pict>
          </mc:Fallback>
        </mc:AlternateContent>
      </w:r>
      <w:r w:rsidR="0009104D" w:rsidRPr="001340E2">
        <w:rPr>
          <w:noProof/>
        </w:rPr>
        <mc:AlternateContent>
          <mc:Choice Requires="wps">
            <w:drawing>
              <wp:anchor distT="45720" distB="45720" distL="114300" distR="114300" simplePos="0" relativeHeight="251665408" behindDoc="0" locked="0" layoutInCell="1" hidden="0" allowOverlap="1" wp14:anchorId="01AD54D6" wp14:editId="719C41B9">
                <wp:simplePos x="0" y="0"/>
                <wp:positionH relativeFrom="column">
                  <wp:posOffset>3111500</wp:posOffset>
                </wp:positionH>
                <wp:positionV relativeFrom="paragraph">
                  <wp:posOffset>1250950</wp:posOffset>
                </wp:positionV>
                <wp:extent cx="2367280" cy="2394585"/>
                <wp:effectExtent l="19050" t="19050" r="13970" b="24765"/>
                <wp:wrapSquare wrapText="bothSides" distT="45720" distB="45720" distL="114300" distR="114300"/>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734FDA05"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Historical Development of Residential Care Homes</w:t>
                            </w:r>
                          </w:p>
                          <w:p w14:paraId="596BF2D7" w14:textId="77777777" w:rsidR="0009104D" w:rsidRDefault="0009104D" w:rsidP="0009104D"/>
                          <w:p w14:paraId="1D501A38" w14:textId="77777777" w:rsidR="0009104D" w:rsidRDefault="0009104D" w:rsidP="0009104D"/>
                          <w:p w14:paraId="250A9057" w14:textId="77777777" w:rsidR="0009104D" w:rsidRDefault="0009104D" w:rsidP="0009104D"/>
                          <w:p w14:paraId="215023B6" w14:textId="77777777" w:rsidR="0009104D" w:rsidRPr="00944440" w:rsidRDefault="0009104D" w:rsidP="0009104D">
                            <w:pPr>
                              <w:spacing w:line="360" w:lineRule="auto"/>
                              <w:jc w:val="both"/>
                              <w:rPr>
                                <w:rFonts w:ascii="Arial" w:hAnsi="Arial" w:cs="Arial"/>
                              </w:rPr>
                            </w:pPr>
                            <w:r w:rsidRPr="00944440">
                              <w:rPr>
                                <w:rFonts w:ascii="Arial" w:hAnsi="Arial" w:cs="Arial"/>
                              </w:rPr>
                              <w:t>The evolution of residential care homes in the United Kingdom is directly knotted to broader social reforms. During the eighteenth century, care for older persons and vulnerable adults was mostly provided by the Poor Law and workhouse system, which prioritized deterrent and low public expense over wellbeing. The establishment of the postwar Welfare State signaled a significant shift. The National Assistance Act of 1948 repealed the Poor Law and devolved responsibility for residential housing to local governments, establishing social care within a framework of community welfare and social citizenship (Barnard, 2011). Since the 1980s, population aging, hospital deinstitutionalization, and neoliberal reforms have altered the sector. The purchaser-provider split was created by the NHS and Community Care Act of 1990, which accelerated the rise of private and volunteer sector care institutions. While increasing capacity and customer choice, it also exacerbated marketisation and uneven quality, generating persistent issues about accountability and equity (Dickinson &amp; Glasby, 2014).</w:t>
                            </w:r>
                          </w:p>
                          <w:p w14:paraId="1A76C93F"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01AD54D6" id="Text Box 1" o:spid="_x0000_s1033" type="#_x0000_t202" style="position:absolute;margin-left:245pt;margin-top:98.5pt;width:186.4pt;height:188.55pt;z-index:25166540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nyK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" strokeweight="3.5pt">
                <v:textbox>
                  <w:txbxContent>
                    <w:p w14:paraId="734FDA05"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Historical Development of Residential Care Homes</w:t>
                      </w:r>
                    </w:p>
                    <w:p w14:paraId="596BF2D7" w14:textId="77777777" w:rsidR="0009104D" w:rsidRDefault="0009104D" w:rsidP="0009104D"/>
                    <w:p w14:paraId="1D501A38" w14:textId="77777777" w:rsidR="0009104D" w:rsidRDefault="0009104D" w:rsidP="0009104D"/>
                    <w:p w14:paraId="250A9057" w14:textId="77777777" w:rsidR="0009104D" w:rsidRDefault="0009104D" w:rsidP="0009104D"/>
                    <w:p w14:paraId="215023B6" w14:textId="77777777" w:rsidR="0009104D" w:rsidRPr="00944440" w:rsidRDefault="0009104D" w:rsidP="0009104D">
                      <w:pPr>
                        <w:spacing w:line="360" w:lineRule="auto"/>
                        <w:jc w:val="both"/>
                        <w:rPr>
                          <w:rFonts w:ascii="Arial" w:hAnsi="Arial" w:cs="Arial"/>
                        </w:rPr>
                      </w:pPr>
                      <w:r w:rsidRPr="00944440">
                        <w:rPr>
                          <w:rFonts w:ascii="Arial" w:hAnsi="Arial" w:cs="Arial"/>
                        </w:rPr>
                        <w:t>The evolution of residential care homes in the United Kingdom is directly knotted to broader social reforms. During the eighteenth century, care for older persons and vulnerable adults was mostly provided by the Poor Law and workhouse system, which prioritized deterrent and low public expense over wellbeing. The establishment of the postwar Welfare State signaled a significant shift. The National Assistance Act of 1948 repealed the Poor Law and devolved responsibility for residential housing to local governments, establishing social care within a framework of community welfare and social citizenship (Barnard, 2011). Since the 1980s, population aging, hospital deinstitutionalization, and neoliberal reforms have altered the sector. The purchaser-provider split was created by the NHS and Community Care Act of 1990, which accelerated the rise of private and volunteer sector care institutions. While increasing capacity and customer choice, it also exacerbated marketisation and uneven quality, generating persistent issues about accountability and equity (Dickinson &amp; Glasby, 2014).</w:t>
                      </w:r>
                    </w:p>
                    <w:p w14:paraId="1A76C93F" w14:textId="77777777" w:rsidR="0009104D" w:rsidRDefault="0009104D" w:rsidP="0009104D"/>
                  </w:txbxContent>
                </v:textbox>
                <w10:wrap type="square"/>
              </v:shape>
            </w:pict>
          </mc:Fallback>
        </mc:AlternateContent>
      </w:r>
      <w:r w:rsidR="0009104D" w:rsidRPr="001340E2">
        <w:rPr>
          <w:noProof/>
        </w:rPr>
        <mc:AlternateContent>
          <mc:Choice Requires="wps">
            <w:drawing>
              <wp:anchor distT="45720" distB="45720" distL="114300" distR="114300" simplePos="0" relativeHeight="251666432" behindDoc="0" locked="0" layoutInCell="1" hidden="0" allowOverlap="1" wp14:anchorId="129247F4" wp14:editId="10DF1BDB">
                <wp:simplePos x="0" y="0"/>
                <wp:positionH relativeFrom="column">
                  <wp:posOffset>6775450</wp:posOffset>
                </wp:positionH>
                <wp:positionV relativeFrom="paragraph">
                  <wp:posOffset>3841749</wp:posOffset>
                </wp:positionV>
                <wp:extent cx="2729230" cy="1860550"/>
                <wp:effectExtent l="19050" t="19050" r="13970" b="25400"/>
                <wp:wrapSquare wrapText="bothSides" distT="45720" distB="45720" distL="114300" distR="11430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F4B823F" w14:textId="77777777" w:rsidR="0009104D" w:rsidRPr="00944440" w:rsidRDefault="0009104D" w:rsidP="0009104D">
                            <w:pPr>
                              <w:spacing w:line="360" w:lineRule="auto"/>
                              <w:jc w:val="both"/>
                              <w:rPr>
                                <w:rFonts w:ascii="Arial" w:hAnsi="Arial" w:cs="Arial"/>
                                <w:b/>
                                <w:bCs/>
                              </w:rPr>
                            </w:pPr>
                            <w:r w:rsidRPr="00944440">
                              <w:rPr>
                                <w:rFonts w:ascii="Arial" w:hAnsi="Arial" w:cs="Arial"/>
                                <w:b/>
                                <w:bCs/>
                              </w:rPr>
                              <w:t>Future Directions and Conclusion</w:t>
                            </w:r>
                          </w:p>
                          <w:p w14:paraId="7ED08147" w14:textId="77777777" w:rsidR="0009104D" w:rsidRDefault="0009104D" w:rsidP="0009104D"/>
                          <w:p w14:paraId="1FFC6B32" w14:textId="77777777" w:rsidR="0009104D" w:rsidRDefault="0009104D" w:rsidP="0009104D"/>
                          <w:p w14:paraId="31A90DF2" w14:textId="77777777" w:rsidR="0009104D" w:rsidRDefault="0009104D" w:rsidP="0009104D"/>
                          <w:p w14:paraId="3D88B9E8"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In the future, residential care homes will play an increasingly important role in meeting the requirements of an ageing population. Policy discourse now </w:t>
                            </w:r>
                            <w:proofErr w:type="spellStart"/>
                            <w:r w:rsidRPr="00944440">
                              <w:rPr>
                                <w:rFonts w:ascii="Arial" w:hAnsi="Arial" w:cs="Arial"/>
                              </w:rPr>
                              <w:t>prioritises</w:t>
                            </w:r>
                            <w:proofErr w:type="spellEnd"/>
                            <w:r w:rsidRPr="00944440">
                              <w:rPr>
                                <w:rFonts w:ascii="Arial" w:hAnsi="Arial" w:cs="Arial"/>
                              </w:rPr>
                              <w:t xml:space="preserve"> integration, quality enhancement, and workforce </w:t>
                            </w:r>
                            <w:proofErr w:type="spellStart"/>
                            <w:r w:rsidRPr="00944440">
                              <w:rPr>
                                <w:rFonts w:ascii="Arial" w:hAnsi="Arial" w:cs="Arial"/>
                              </w:rPr>
                              <w:t>professionalisation</w:t>
                            </w:r>
                            <w:proofErr w:type="spellEnd"/>
                            <w:r w:rsidRPr="00944440">
                              <w:rPr>
                                <w:rFonts w:ascii="Arial" w:hAnsi="Arial" w:cs="Arial"/>
                              </w:rPr>
                              <w:t xml:space="preserve"> as reform priorities. Sustainable funding methods, increased remuneration and training for caregivers, and stronger coordination between health and social care systems are critical for improving service resilience. Finally, the effectiveness of residential care facilities is dependent on recognizing social care as a core public service that is essential to health, well-being, and social inclusion in modern UK society. </w:t>
                            </w:r>
                          </w:p>
                          <w:p w14:paraId="4150CD93"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NICE, 2023) affirmed that the current policy debates have framed residential care homes as community-based wellbeing environments rather than passive sources of dependency. This rethinking incorporates strengths-based and asset-based approaches to adult social care policy, putting residents' engagement, social connection, and independence first (NICE, 2023). Innovations such as </w:t>
                            </w:r>
                            <w:proofErr w:type="spellStart"/>
                            <w:r w:rsidRPr="00944440">
                              <w:rPr>
                                <w:rFonts w:ascii="Arial" w:hAnsi="Arial" w:cs="Arial"/>
                              </w:rPr>
                              <w:t>reablement</w:t>
                            </w:r>
                            <w:proofErr w:type="spellEnd"/>
                            <w:r w:rsidRPr="00944440">
                              <w:rPr>
                                <w:rFonts w:ascii="Arial" w:hAnsi="Arial" w:cs="Arial"/>
                              </w:rPr>
                              <w:t xml:space="preserve">-focused care, meaningful activity </w:t>
                            </w:r>
                            <w:proofErr w:type="spellStart"/>
                            <w:r w:rsidRPr="00944440">
                              <w:rPr>
                                <w:rFonts w:ascii="Arial" w:hAnsi="Arial" w:cs="Arial"/>
                              </w:rPr>
                              <w:t>programmes</w:t>
                            </w:r>
                            <w:proofErr w:type="spellEnd"/>
                            <w:r w:rsidRPr="00944440">
                              <w:rPr>
                                <w:rFonts w:ascii="Arial" w:hAnsi="Arial" w:cs="Arial"/>
                              </w:rPr>
                              <w:t xml:space="preserve">, and collaboration with families and communities have the potential to increase well-being and prevent avoidable hospital stays. </w:t>
                            </w:r>
                          </w:p>
                          <w:p w14:paraId="53EB6781" w14:textId="77777777" w:rsidR="0009104D" w:rsidRPr="00944440" w:rsidRDefault="0009104D" w:rsidP="0009104D">
                            <w:pPr>
                              <w:spacing w:line="360" w:lineRule="auto"/>
                              <w:jc w:val="both"/>
                              <w:rPr>
                                <w:rFonts w:ascii="Arial" w:hAnsi="Arial" w:cs="Arial"/>
                              </w:rPr>
                            </w:pPr>
                            <w:r w:rsidRPr="00944440">
                              <w:rPr>
                                <w:rFonts w:ascii="Arial" w:hAnsi="Arial" w:cs="Arial"/>
                              </w:rPr>
                              <w:t>However, without ongoing political commitment and long-term investment, such projects risk being fragmented and unevenly implemented. To ensure fair access to high-quality residential care, a well-coordinated national policy, improved regulation, and ongoing review based on strong evidence are required. As a result, residential care homes symbolize societal ideals and demonstrate a national commitment to dignity and well-being.</w:t>
                            </w:r>
                          </w:p>
                          <w:p w14:paraId="08EE974F"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129247F4" id="Text Box 5" o:spid="_x0000_s1034" type="#_x0000_t202" style="position:absolute;margin-left:533.5pt;margin-top:302.5pt;width:214.9pt;height:146.5pt;z-index:25166643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AAH5R5LQIAAFwEAAAOAAAAAAAAAAAAAAAAAC4C&#10;AABkcnMvZTJvRG9jLnhtbFBLAQItABQABgAIAAAAIQA3Cscz4gAAAA0BAAAPAAAAAAAAAAAAAAAA&#10;AIcEAABkcnMvZG93bnJldi54bWxQSwUGAAAAAAQABADzAAAAlgUAAAAA&#10;" strokeweight="3.5pt">
                <v:textbox>
                  <w:txbxContent>
                    <w:p w14:paraId="2F4B823F" w14:textId="77777777" w:rsidR="0009104D" w:rsidRPr="00944440" w:rsidRDefault="0009104D" w:rsidP="0009104D">
                      <w:pPr>
                        <w:spacing w:line="360" w:lineRule="auto"/>
                        <w:jc w:val="both"/>
                        <w:rPr>
                          <w:rFonts w:ascii="Arial" w:hAnsi="Arial" w:cs="Arial"/>
                          <w:b/>
                          <w:bCs/>
                        </w:rPr>
                      </w:pPr>
                      <w:r w:rsidRPr="00944440">
                        <w:rPr>
                          <w:rFonts w:ascii="Arial" w:hAnsi="Arial" w:cs="Arial"/>
                          <w:b/>
                          <w:bCs/>
                        </w:rPr>
                        <w:t>Future Directions and Conclusion</w:t>
                      </w:r>
                    </w:p>
                    <w:p w14:paraId="7ED08147" w14:textId="77777777" w:rsidR="0009104D" w:rsidRDefault="0009104D" w:rsidP="0009104D"/>
                    <w:p w14:paraId="1FFC6B32" w14:textId="77777777" w:rsidR="0009104D" w:rsidRDefault="0009104D" w:rsidP="0009104D"/>
                    <w:p w14:paraId="31A90DF2" w14:textId="77777777" w:rsidR="0009104D" w:rsidRDefault="0009104D" w:rsidP="0009104D"/>
                    <w:p w14:paraId="3D88B9E8"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In the future, residential care homes will play an increasingly important role in meeting the requirements of an ageing population. Policy discourse now </w:t>
                      </w:r>
                      <w:proofErr w:type="spellStart"/>
                      <w:r w:rsidRPr="00944440">
                        <w:rPr>
                          <w:rFonts w:ascii="Arial" w:hAnsi="Arial" w:cs="Arial"/>
                        </w:rPr>
                        <w:t>prioritises</w:t>
                      </w:r>
                      <w:proofErr w:type="spellEnd"/>
                      <w:r w:rsidRPr="00944440">
                        <w:rPr>
                          <w:rFonts w:ascii="Arial" w:hAnsi="Arial" w:cs="Arial"/>
                        </w:rPr>
                        <w:t xml:space="preserve"> integration, quality enhancement, and workforce </w:t>
                      </w:r>
                      <w:proofErr w:type="spellStart"/>
                      <w:r w:rsidRPr="00944440">
                        <w:rPr>
                          <w:rFonts w:ascii="Arial" w:hAnsi="Arial" w:cs="Arial"/>
                        </w:rPr>
                        <w:t>professionalisation</w:t>
                      </w:r>
                      <w:proofErr w:type="spellEnd"/>
                      <w:r w:rsidRPr="00944440">
                        <w:rPr>
                          <w:rFonts w:ascii="Arial" w:hAnsi="Arial" w:cs="Arial"/>
                        </w:rPr>
                        <w:t xml:space="preserve"> as reform priorities. Sustainable funding methods, increased remuneration and training for caregivers, and stronger coordination between health and social care systems are critical for improving service resilience. Finally, the effectiveness of residential care facilities is dependent on recognizing social care as a core public service that is essential to health, well-being, and social inclusion in modern UK society. </w:t>
                      </w:r>
                    </w:p>
                    <w:p w14:paraId="4150CD93"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NICE, 2023) affirmed that the current policy debates have framed residential care homes as community-based wellbeing environments rather than passive sources of dependency. This rethinking incorporates strengths-based and asset-based approaches to adult social care policy, putting residents' engagement, social connection, and independence first (NICE, 2023). Innovations such as </w:t>
                      </w:r>
                      <w:proofErr w:type="spellStart"/>
                      <w:r w:rsidRPr="00944440">
                        <w:rPr>
                          <w:rFonts w:ascii="Arial" w:hAnsi="Arial" w:cs="Arial"/>
                        </w:rPr>
                        <w:t>reablement</w:t>
                      </w:r>
                      <w:proofErr w:type="spellEnd"/>
                      <w:r w:rsidRPr="00944440">
                        <w:rPr>
                          <w:rFonts w:ascii="Arial" w:hAnsi="Arial" w:cs="Arial"/>
                        </w:rPr>
                        <w:t xml:space="preserve">-focused care, meaningful activity </w:t>
                      </w:r>
                      <w:proofErr w:type="spellStart"/>
                      <w:r w:rsidRPr="00944440">
                        <w:rPr>
                          <w:rFonts w:ascii="Arial" w:hAnsi="Arial" w:cs="Arial"/>
                        </w:rPr>
                        <w:t>programmes</w:t>
                      </w:r>
                      <w:proofErr w:type="spellEnd"/>
                      <w:r w:rsidRPr="00944440">
                        <w:rPr>
                          <w:rFonts w:ascii="Arial" w:hAnsi="Arial" w:cs="Arial"/>
                        </w:rPr>
                        <w:t xml:space="preserve">, and collaboration with families and communities have the potential to increase well-being and prevent avoidable hospital stays. </w:t>
                      </w:r>
                    </w:p>
                    <w:p w14:paraId="53EB6781" w14:textId="77777777" w:rsidR="0009104D" w:rsidRPr="00944440" w:rsidRDefault="0009104D" w:rsidP="0009104D">
                      <w:pPr>
                        <w:spacing w:line="360" w:lineRule="auto"/>
                        <w:jc w:val="both"/>
                        <w:rPr>
                          <w:rFonts w:ascii="Arial" w:hAnsi="Arial" w:cs="Arial"/>
                        </w:rPr>
                      </w:pPr>
                      <w:r w:rsidRPr="00944440">
                        <w:rPr>
                          <w:rFonts w:ascii="Arial" w:hAnsi="Arial" w:cs="Arial"/>
                        </w:rPr>
                        <w:t>However, without ongoing political commitment and long-term investment, such projects risk being fragmented and unevenly implemented. To ensure fair access to high-quality residential care, a well-coordinated national policy, improved regulation, and ongoing review based on strong evidence are required. As a result, residential care homes symbolize societal ideals and demonstrate a national commitment to dignity and well-being.</w:t>
                      </w:r>
                    </w:p>
                    <w:p w14:paraId="08EE974F" w14:textId="77777777" w:rsidR="0009104D" w:rsidRDefault="0009104D" w:rsidP="0009104D"/>
                  </w:txbxContent>
                </v:textbox>
                <w10:wrap type="square"/>
              </v:shape>
            </w:pict>
          </mc:Fallback>
        </mc:AlternateContent>
      </w:r>
      <w:r w:rsidR="0009104D" w:rsidRPr="001340E2">
        <w:rPr>
          <w:noProof/>
        </w:rPr>
        <mc:AlternateContent>
          <mc:Choice Requires="wps">
            <w:drawing>
              <wp:anchor distT="45720" distB="45720" distL="114300" distR="114300" simplePos="0" relativeHeight="251667456" behindDoc="0" locked="0" layoutInCell="1" hidden="0" allowOverlap="1" wp14:anchorId="5A3C6D95" wp14:editId="5B44E2D7">
                <wp:simplePos x="0" y="0"/>
                <wp:positionH relativeFrom="column">
                  <wp:posOffset>6267450</wp:posOffset>
                </wp:positionH>
                <wp:positionV relativeFrom="paragraph">
                  <wp:posOffset>1326515</wp:posOffset>
                </wp:positionV>
                <wp:extent cx="2367280" cy="2394585"/>
                <wp:effectExtent l="19050" t="19050" r="13970" b="24765"/>
                <wp:wrapSquare wrapText="bothSides" distT="45720" distB="45720" distL="114300" distR="11430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6923E2B3"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Policy and Regulatory Framework</w:t>
                            </w:r>
                          </w:p>
                          <w:p w14:paraId="20BCD5A1" w14:textId="77777777" w:rsidR="0009104D" w:rsidRDefault="0009104D" w:rsidP="0009104D"/>
                          <w:p w14:paraId="075C4AD9" w14:textId="77777777" w:rsidR="0009104D" w:rsidRDefault="0009104D" w:rsidP="0009104D"/>
                          <w:p w14:paraId="7AB013A3" w14:textId="77777777" w:rsidR="0009104D" w:rsidRDefault="0009104D" w:rsidP="0009104D"/>
                          <w:p w14:paraId="4FEE45E1" w14:textId="77777777" w:rsidR="0009104D" w:rsidRDefault="0009104D" w:rsidP="0009104D"/>
                          <w:p w14:paraId="02FBB7B6"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Residential care homes are presently operational in a robust yet stressed policy environment. The Care Act of 2014 remains the primary legislative framework, recognizing wellness as the central obligation of adult social care and emphasizing prevention, </w:t>
                            </w:r>
                            <w:proofErr w:type="spellStart"/>
                            <w:r w:rsidRPr="00944440">
                              <w:rPr>
                                <w:rFonts w:ascii="Arial" w:hAnsi="Arial" w:cs="Arial"/>
                              </w:rPr>
                              <w:t>personalisation</w:t>
                            </w:r>
                            <w:proofErr w:type="spellEnd"/>
                            <w:r w:rsidRPr="00944440">
                              <w:rPr>
                                <w:rFonts w:ascii="Arial" w:hAnsi="Arial" w:cs="Arial"/>
                              </w:rPr>
                              <w:t>, and safeguarding. Even when care is provided by independent providers, local authorities continue to have statutory duty for assessing needs, commissioning services, and safeguarding vulnerable persons. The CQC provides regulatory control by inspecting services across five domains: safety, effectiveness, caring, responsiveness, and leadership. Inspection outcomes have a direct impact on public confidence, commissioning decisions, and organizational reputation. The National Institute for Health and Care Excellence (NICE) provides national guidelines that informs optimal practice, particularly in areas such as dementia care, end-of-life assistance, and medication management (NICE, 2023).</w:t>
                            </w:r>
                          </w:p>
                          <w:p w14:paraId="0DC374F9"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5A3C6D95" id="Text Box 8" o:spid="_x0000_s1035" type="#_x0000_t202" style="position:absolute;margin-left:493.5pt;margin-top:104.45pt;width:186.4pt;height:188.55pt;z-index:25166745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D0tzkMMAIAAFwEAAAOAAAAAAAAAAAAAAAA&#10;AC4CAABkcnMvZTJvRG9jLnhtbFBLAQItABQABgAIAAAAIQAp/E+F4gAAAAwBAAAPAAAAAAAAAAAA&#10;AAAAAIoEAABkcnMvZG93bnJldi54bWxQSwUGAAAAAAQABADzAAAAmQUAAAAA&#10;" strokeweight="3.5pt">
                <v:textbox>
                  <w:txbxContent>
                    <w:p w14:paraId="6923E2B3" w14:textId="77777777" w:rsidR="0009104D" w:rsidRPr="00944440" w:rsidRDefault="0009104D" w:rsidP="0009104D">
                      <w:pPr>
                        <w:spacing w:line="360" w:lineRule="auto"/>
                        <w:jc w:val="center"/>
                        <w:rPr>
                          <w:rFonts w:ascii="Arial" w:hAnsi="Arial" w:cs="Arial"/>
                          <w:b/>
                          <w:bCs/>
                        </w:rPr>
                      </w:pPr>
                      <w:r w:rsidRPr="00944440">
                        <w:rPr>
                          <w:rFonts w:ascii="Arial" w:hAnsi="Arial" w:cs="Arial"/>
                          <w:b/>
                          <w:bCs/>
                        </w:rPr>
                        <w:t>Policy and Regulatory Framework</w:t>
                      </w:r>
                    </w:p>
                    <w:p w14:paraId="20BCD5A1" w14:textId="77777777" w:rsidR="0009104D" w:rsidRDefault="0009104D" w:rsidP="0009104D"/>
                    <w:p w14:paraId="075C4AD9" w14:textId="77777777" w:rsidR="0009104D" w:rsidRDefault="0009104D" w:rsidP="0009104D"/>
                    <w:p w14:paraId="7AB013A3" w14:textId="77777777" w:rsidR="0009104D" w:rsidRDefault="0009104D" w:rsidP="0009104D"/>
                    <w:p w14:paraId="4FEE45E1" w14:textId="77777777" w:rsidR="0009104D" w:rsidRDefault="0009104D" w:rsidP="0009104D"/>
                    <w:p w14:paraId="02FBB7B6"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Residential care homes are presently operational in a robust yet stressed policy environment. The Care Act of 2014 remains the primary legislative framework, recognizing wellness as the central obligation of adult social care and emphasizing prevention, </w:t>
                      </w:r>
                      <w:proofErr w:type="spellStart"/>
                      <w:r w:rsidRPr="00944440">
                        <w:rPr>
                          <w:rFonts w:ascii="Arial" w:hAnsi="Arial" w:cs="Arial"/>
                        </w:rPr>
                        <w:t>personalisation</w:t>
                      </w:r>
                      <w:proofErr w:type="spellEnd"/>
                      <w:r w:rsidRPr="00944440">
                        <w:rPr>
                          <w:rFonts w:ascii="Arial" w:hAnsi="Arial" w:cs="Arial"/>
                        </w:rPr>
                        <w:t>, and safeguarding. Even when care is provided by independent providers, local authorities continue to have statutory duty for assessing needs, commissioning services, and safeguarding vulnerable persons. The CQC provides regulatory control by inspecting services across five domains: safety, effectiveness, caring, responsiveness, and leadership. Inspection outcomes have a direct impact on public confidence, commissioning decisions, and organizational reputation. The National Institute for Health and Care Excellence (NICE) provides national guidelines that informs optimal practice, particularly in areas such as dementia care, end-of-life assistance, and medication management (NICE, 2023).</w:t>
                      </w:r>
                    </w:p>
                    <w:p w14:paraId="0DC374F9" w14:textId="77777777" w:rsidR="0009104D" w:rsidRDefault="0009104D" w:rsidP="0009104D"/>
                  </w:txbxContent>
                </v:textbox>
                <w10:wrap type="square"/>
              </v:shape>
            </w:pict>
          </mc:Fallback>
        </mc:AlternateContent>
      </w:r>
      <w:r w:rsidR="0009104D" w:rsidRPr="001340E2">
        <w:rPr>
          <w:noProof/>
        </w:rPr>
        <mc:AlternateContent>
          <mc:Choice Requires="wps">
            <w:drawing>
              <wp:anchor distT="45720" distB="45720" distL="114300" distR="114300" simplePos="0" relativeHeight="251668480" behindDoc="0" locked="0" layoutInCell="1" hidden="0" allowOverlap="1" wp14:anchorId="7CBF39A7" wp14:editId="4F13BCEB">
                <wp:simplePos x="0" y="0"/>
                <wp:positionH relativeFrom="column">
                  <wp:posOffset>-698499</wp:posOffset>
                </wp:positionH>
                <wp:positionV relativeFrom="paragraph">
                  <wp:posOffset>3784599</wp:posOffset>
                </wp:positionV>
                <wp:extent cx="3581400" cy="1908810"/>
                <wp:effectExtent l="19050" t="19050" r="38100" b="34290"/>
                <wp:wrapSquare wrapText="bothSides" distT="45720" distB="45720" distL="114300" distR="11430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E2778AD" w14:textId="77777777" w:rsidR="0009104D" w:rsidRPr="00944440" w:rsidRDefault="0009104D" w:rsidP="0009104D">
                            <w:pPr>
                              <w:spacing w:line="360" w:lineRule="auto"/>
                              <w:jc w:val="both"/>
                              <w:rPr>
                                <w:rFonts w:ascii="Arial" w:hAnsi="Arial" w:cs="Arial"/>
                                <w:b/>
                                <w:bCs/>
                              </w:rPr>
                            </w:pPr>
                            <w:proofErr w:type="spellStart"/>
                            <w:r w:rsidRPr="00944440">
                              <w:rPr>
                                <w:rFonts w:ascii="Arial" w:hAnsi="Arial" w:cs="Arial"/>
                                <w:b/>
                                <w:bCs/>
                              </w:rPr>
                              <w:t>Organisation</w:t>
                            </w:r>
                            <w:proofErr w:type="spellEnd"/>
                            <w:r w:rsidRPr="00944440">
                              <w:rPr>
                                <w:rFonts w:ascii="Arial" w:hAnsi="Arial" w:cs="Arial"/>
                                <w:b/>
                                <w:bCs/>
                              </w:rPr>
                              <w:t xml:space="preserve"> and Service Delivery</w:t>
                            </w:r>
                          </w:p>
                          <w:p w14:paraId="1B4D4BE2" w14:textId="77777777" w:rsidR="0009104D" w:rsidRDefault="0009104D" w:rsidP="0009104D"/>
                          <w:p w14:paraId="7F64D811" w14:textId="77777777" w:rsidR="0009104D" w:rsidRDefault="0009104D" w:rsidP="0009104D"/>
                          <w:p w14:paraId="5AC20281" w14:textId="77777777" w:rsidR="0009104D" w:rsidRDefault="0009104D" w:rsidP="0009104D"/>
                          <w:p w14:paraId="5FE6F24B"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Modern residential care facilities provide holistic, non-medical care that is tailored to </w:t>
                            </w:r>
                            <w:proofErr w:type="gramStart"/>
                            <w:r w:rsidRPr="00944440">
                              <w:rPr>
                                <w:rFonts w:ascii="Arial" w:hAnsi="Arial" w:cs="Arial"/>
                              </w:rPr>
                              <w:t>each individual's</w:t>
                            </w:r>
                            <w:proofErr w:type="gramEnd"/>
                            <w:r w:rsidRPr="00944440">
                              <w:rPr>
                                <w:rFonts w:ascii="Arial" w:hAnsi="Arial" w:cs="Arial"/>
                              </w:rPr>
                              <w:t xml:space="preserve"> requirements and preferences. Care planning is critical to service delivery, necessitating thorough assessments, regular reviews, and meaningful participation from residents and family. Care homes are increasingly operating as part of integrated care systems, collaborating with general practitioners, community nurses, pharmacists, social workers, and volunteer groups to meet residents' physical, psychological, and social needs (NHS, 2024). Digital technology, such as electronic care records and assistive gadgets, are gradually being implemented to improve continuity, risk management, and communication. However, implementation remains inconsistent due to funding restrictions, staff skill gaps, and disparities in digital infrastructure among providers.</w:t>
                            </w:r>
                          </w:p>
                          <w:p w14:paraId="39EA0282"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7CBF39A7" id="Text Box 7" o:spid="_x0000_s1036" type="#_x0000_t202" style="position:absolute;margin-left:-55pt;margin-top:298pt;width:282pt;height:150.3pt;z-index:25166848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7qYLwIAAF0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" strokeweight="3.75pt">
                <v:textbox>
                  <w:txbxContent>
                    <w:p w14:paraId="0E2778AD" w14:textId="77777777" w:rsidR="0009104D" w:rsidRPr="00944440" w:rsidRDefault="0009104D" w:rsidP="0009104D">
                      <w:pPr>
                        <w:spacing w:line="360" w:lineRule="auto"/>
                        <w:jc w:val="both"/>
                        <w:rPr>
                          <w:rFonts w:ascii="Arial" w:hAnsi="Arial" w:cs="Arial"/>
                          <w:b/>
                          <w:bCs/>
                        </w:rPr>
                      </w:pPr>
                      <w:proofErr w:type="spellStart"/>
                      <w:r w:rsidRPr="00944440">
                        <w:rPr>
                          <w:rFonts w:ascii="Arial" w:hAnsi="Arial" w:cs="Arial"/>
                          <w:b/>
                          <w:bCs/>
                        </w:rPr>
                        <w:t>Organisation</w:t>
                      </w:r>
                      <w:proofErr w:type="spellEnd"/>
                      <w:r w:rsidRPr="00944440">
                        <w:rPr>
                          <w:rFonts w:ascii="Arial" w:hAnsi="Arial" w:cs="Arial"/>
                          <w:b/>
                          <w:bCs/>
                        </w:rPr>
                        <w:t xml:space="preserve"> and Service Delivery</w:t>
                      </w:r>
                    </w:p>
                    <w:p w14:paraId="1B4D4BE2" w14:textId="77777777" w:rsidR="0009104D" w:rsidRDefault="0009104D" w:rsidP="0009104D"/>
                    <w:p w14:paraId="7F64D811" w14:textId="77777777" w:rsidR="0009104D" w:rsidRDefault="0009104D" w:rsidP="0009104D"/>
                    <w:p w14:paraId="5AC20281" w14:textId="77777777" w:rsidR="0009104D" w:rsidRDefault="0009104D" w:rsidP="0009104D"/>
                    <w:p w14:paraId="5FE6F24B" w14:textId="77777777" w:rsidR="0009104D" w:rsidRPr="00944440" w:rsidRDefault="0009104D" w:rsidP="0009104D">
                      <w:pPr>
                        <w:spacing w:line="360" w:lineRule="auto"/>
                        <w:jc w:val="both"/>
                        <w:rPr>
                          <w:rFonts w:ascii="Arial" w:hAnsi="Arial" w:cs="Arial"/>
                        </w:rPr>
                      </w:pPr>
                      <w:r w:rsidRPr="00944440">
                        <w:rPr>
                          <w:rFonts w:ascii="Arial" w:hAnsi="Arial" w:cs="Arial"/>
                        </w:rPr>
                        <w:t xml:space="preserve">Modern residential care facilities provide holistic, non-medical care that is tailored to </w:t>
                      </w:r>
                      <w:proofErr w:type="gramStart"/>
                      <w:r w:rsidRPr="00944440">
                        <w:rPr>
                          <w:rFonts w:ascii="Arial" w:hAnsi="Arial" w:cs="Arial"/>
                        </w:rPr>
                        <w:t>each individual's</w:t>
                      </w:r>
                      <w:proofErr w:type="gramEnd"/>
                      <w:r w:rsidRPr="00944440">
                        <w:rPr>
                          <w:rFonts w:ascii="Arial" w:hAnsi="Arial" w:cs="Arial"/>
                        </w:rPr>
                        <w:t xml:space="preserve"> requirements and preferences. Care planning is critical to service delivery, necessitating thorough assessments, regular reviews, and meaningful participation from residents and family. Care homes are increasingly operating as part of integrated care systems, collaborating with general practitioners, community nurses, pharmacists, social workers, and volunteer groups to meet residents' physical, psychological, and social needs (NHS, 2024). Digital technology, such as electronic care records and assistive gadgets, are gradually being implemented to improve continuity, risk management, and communication. However, implementation remains inconsistent due to funding restrictions, staff skill gaps, and disparities in digital infrastructure among providers.</w:t>
                      </w:r>
                    </w:p>
                    <w:p w14:paraId="39EA0282" w14:textId="77777777" w:rsidR="0009104D" w:rsidRDefault="0009104D" w:rsidP="0009104D"/>
                  </w:txbxContent>
                </v:textbox>
                <w10:wrap type="square"/>
              </v:shape>
            </w:pict>
          </mc:Fallback>
        </mc:AlternateContent>
      </w:r>
      <w:r w:rsidR="0009104D" w:rsidRPr="001340E2">
        <w:rPr>
          <w:noProof/>
        </w:rPr>
        <mc:AlternateContent>
          <mc:Choice Requires="wps">
            <w:drawing>
              <wp:anchor distT="45720" distB="45720" distL="114300" distR="114300" simplePos="0" relativeHeight="251669504" behindDoc="0" locked="0" layoutInCell="1" hidden="0" allowOverlap="1" wp14:anchorId="434369F3" wp14:editId="0C445C4F">
                <wp:simplePos x="0" y="0"/>
                <wp:positionH relativeFrom="column">
                  <wp:posOffset>3130550</wp:posOffset>
                </wp:positionH>
                <wp:positionV relativeFrom="paragraph">
                  <wp:posOffset>3785235</wp:posOffset>
                </wp:positionV>
                <wp:extent cx="3581400" cy="1908810"/>
                <wp:effectExtent l="19050" t="19050" r="38100" b="34290"/>
                <wp:wrapSquare wrapText="bothSides" distT="45720" distB="45720" distL="114300" distR="11430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7E008111" w14:textId="77777777" w:rsidR="0009104D" w:rsidRPr="00944440" w:rsidRDefault="0009104D" w:rsidP="0009104D">
                            <w:pPr>
                              <w:spacing w:line="360" w:lineRule="auto"/>
                              <w:jc w:val="both"/>
                              <w:rPr>
                                <w:rFonts w:ascii="Arial" w:hAnsi="Arial" w:cs="Arial"/>
                                <w:b/>
                                <w:bCs/>
                              </w:rPr>
                            </w:pPr>
                            <w:r>
                              <w:rPr>
                                <w:rFonts w:ascii="Arial" w:hAnsi="Arial" w:cs="Arial"/>
                                <w:b/>
                                <w:bCs/>
                              </w:rPr>
                              <w:t>Main</w:t>
                            </w:r>
                            <w:r w:rsidRPr="00944440">
                              <w:rPr>
                                <w:rFonts w:ascii="Arial" w:hAnsi="Arial" w:cs="Arial"/>
                                <w:b/>
                                <w:bCs/>
                              </w:rPr>
                              <w:t xml:space="preserve"> Challenges and Pressures</w:t>
                            </w:r>
                          </w:p>
                          <w:p w14:paraId="746464E1" w14:textId="77777777" w:rsidR="0009104D" w:rsidRDefault="0009104D" w:rsidP="0009104D"/>
                          <w:p w14:paraId="4A7F07BF" w14:textId="77777777" w:rsidR="0009104D" w:rsidRDefault="0009104D" w:rsidP="0009104D"/>
                          <w:p w14:paraId="0658F58B" w14:textId="77777777" w:rsidR="0009104D" w:rsidRDefault="0009104D" w:rsidP="0009104D"/>
                          <w:p w14:paraId="1DD09018" w14:textId="77777777" w:rsidR="0009104D" w:rsidRDefault="0009104D" w:rsidP="0009104D"/>
                          <w:p w14:paraId="65349DD7" w14:textId="77777777" w:rsidR="0009104D" w:rsidRPr="00944440" w:rsidRDefault="0009104D" w:rsidP="0009104D">
                            <w:pPr>
                              <w:spacing w:line="360" w:lineRule="auto"/>
                              <w:jc w:val="both"/>
                              <w:rPr>
                                <w:rFonts w:ascii="Arial" w:hAnsi="Arial" w:cs="Arial"/>
                              </w:rPr>
                            </w:pPr>
                            <w:r w:rsidRPr="00944440">
                              <w:rPr>
                                <w:rFonts w:ascii="Arial" w:hAnsi="Arial" w:cs="Arial"/>
                              </w:rPr>
                              <w:t>Regardless of their significance, residential care homes suffer ongoing structural issues. Chronic underfunding is a serious problem, with local authority fee rates sometimes failing to represent the full cost of treatment. Prolonged austerity measures and increased demand have reduced service capacity and limited investment in infrastructure and innovation (Glasby, 2017; Gov.uk, 2023). Workforce sustainability is an equally pressing challenge. The sector has a high staff turnover rate, recruitment difficulties, and a reliance on low-wage jobs with few chances for advancement. Brexit and post-pandemic employment shortages have exacerbated staffing strains, with consequences for service continuity, safeguarding, and resident well-being (CQC, 2024).</w:t>
                            </w:r>
                          </w:p>
                          <w:p w14:paraId="2E9838FE" w14:textId="77777777" w:rsidR="0009104D" w:rsidRDefault="0009104D" w:rsidP="0009104D"/>
                        </w:txbxContent>
                      </wps:txbx>
                      <wps:bodyPr rot="0" vert="horz" wrap="square" lIns="91440" tIns="45720" rIns="91440" bIns="45720" anchor="t" anchorCtr="0">
                        <a:noAutofit/>
                      </wps:bodyPr>
                    </wps:wsp>
                  </a:graphicData>
                </a:graphic>
              </wp:anchor>
            </w:drawing>
          </mc:Choice>
          <mc:Fallback>
            <w:pict>
              <v:shape w14:anchorId="434369F3" id="Text Box 2" o:spid="_x0000_s1037" type="#_x0000_t202" style="position:absolute;margin-left:246.5pt;margin-top:298.05pt;width:282pt;height:150.3pt;z-index:25166950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RuLwIAAF0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" strokeweight="3.75pt">
                <v:textbox>
                  <w:txbxContent>
                    <w:p w14:paraId="7E008111" w14:textId="77777777" w:rsidR="0009104D" w:rsidRPr="00944440" w:rsidRDefault="0009104D" w:rsidP="0009104D">
                      <w:pPr>
                        <w:spacing w:line="360" w:lineRule="auto"/>
                        <w:jc w:val="both"/>
                        <w:rPr>
                          <w:rFonts w:ascii="Arial" w:hAnsi="Arial" w:cs="Arial"/>
                          <w:b/>
                          <w:bCs/>
                        </w:rPr>
                      </w:pPr>
                      <w:r>
                        <w:rPr>
                          <w:rFonts w:ascii="Arial" w:hAnsi="Arial" w:cs="Arial"/>
                          <w:b/>
                          <w:bCs/>
                        </w:rPr>
                        <w:t>Main</w:t>
                      </w:r>
                      <w:r w:rsidRPr="00944440">
                        <w:rPr>
                          <w:rFonts w:ascii="Arial" w:hAnsi="Arial" w:cs="Arial"/>
                          <w:b/>
                          <w:bCs/>
                        </w:rPr>
                        <w:t xml:space="preserve"> Challenges and Pressures</w:t>
                      </w:r>
                    </w:p>
                    <w:p w14:paraId="746464E1" w14:textId="77777777" w:rsidR="0009104D" w:rsidRDefault="0009104D" w:rsidP="0009104D"/>
                    <w:p w14:paraId="4A7F07BF" w14:textId="77777777" w:rsidR="0009104D" w:rsidRDefault="0009104D" w:rsidP="0009104D"/>
                    <w:p w14:paraId="0658F58B" w14:textId="77777777" w:rsidR="0009104D" w:rsidRDefault="0009104D" w:rsidP="0009104D"/>
                    <w:p w14:paraId="1DD09018" w14:textId="77777777" w:rsidR="0009104D" w:rsidRDefault="0009104D" w:rsidP="0009104D"/>
                    <w:p w14:paraId="65349DD7" w14:textId="77777777" w:rsidR="0009104D" w:rsidRPr="00944440" w:rsidRDefault="0009104D" w:rsidP="0009104D">
                      <w:pPr>
                        <w:spacing w:line="360" w:lineRule="auto"/>
                        <w:jc w:val="both"/>
                        <w:rPr>
                          <w:rFonts w:ascii="Arial" w:hAnsi="Arial" w:cs="Arial"/>
                        </w:rPr>
                      </w:pPr>
                      <w:r w:rsidRPr="00944440">
                        <w:rPr>
                          <w:rFonts w:ascii="Arial" w:hAnsi="Arial" w:cs="Arial"/>
                        </w:rPr>
                        <w:t>Regardless of their significance, residential care homes suffer ongoing structural issues. Chronic underfunding is a serious problem, with local authority fee rates sometimes failing to represent the full cost of treatment. Prolonged austerity measures and increased demand have reduced service capacity and limited investment in infrastructure and innovation (Glasby, 2017; Gov.uk, 2023). Workforce sustainability is an equally pressing challenge. The sector has a high staff turnover rate, recruitment difficulties, and a reliance on low-wage jobs with few chances for advancement. Brexit and post-pandemic employment shortages have exacerbated staffing strains, with consequences for service continuity, safeguarding, and resident well-being (CQC, 2024).</w:t>
                      </w:r>
                    </w:p>
                    <w:p w14:paraId="2E9838FE" w14:textId="77777777" w:rsidR="0009104D" w:rsidRDefault="0009104D" w:rsidP="0009104D"/>
                  </w:txbxContent>
                </v:textbox>
                <w10:wrap type="square"/>
              </v:shape>
            </w:pict>
          </mc:Fallback>
        </mc:AlternateContent>
      </w:r>
    </w:p>
    <w:p w14:paraId="2EEC8281" w14:textId="77777777" w:rsidR="0009104D" w:rsidRPr="001340E2" w:rsidRDefault="0009104D" w:rsidP="0009104D">
      <w:pPr>
        <w:rPr>
          <w:rFonts w:ascii="Arial" w:eastAsia="Arial" w:hAnsi="Arial" w:cs="Arial"/>
          <w:b/>
          <w:bCs/>
        </w:rPr>
      </w:pPr>
      <w:r w:rsidRPr="001340E2">
        <w:rPr>
          <w:rFonts w:ascii="Arial" w:eastAsia="Arial" w:hAnsi="Arial" w:cs="Arial"/>
          <w:b/>
          <w:bCs/>
        </w:rPr>
        <w:lastRenderedPageBreak/>
        <w:t>Element 2</w:t>
      </w:r>
    </w:p>
    <w:p w14:paraId="42576674" w14:textId="77777777" w:rsidR="0009104D" w:rsidRPr="001340E2" w:rsidRDefault="0009104D" w:rsidP="0009104D">
      <w:pPr>
        <w:spacing w:line="360" w:lineRule="auto"/>
        <w:jc w:val="both"/>
        <w:rPr>
          <w:rFonts w:ascii="Arial" w:hAnsi="Arial" w:cs="Arial"/>
          <w:b/>
          <w:bCs/>
        </w:rPr>
      </w:pPr>
      <w:r w:rsidRPr="001340E2">
        <w:rPr>
          <w:rFonts w:ascii="Arial" w:hAnsi="Arial" w:cs="Arial"/>
          <w:b/>
          <w:bCs/>
        </w:rPr>
        <w:t>2.0</w:t>
      </w:r>
      <w:r w:rsidRPr="001340E2">
        <w:rPr>
          <w:rFonts w:ascii="Arial" w:hAnsi="Arial" w:cs="Arial"/>
          <w:b/>
          <w:bCs/>
        </w:rPr>
        <w:tab/>
        <w:t>TASK 2</w:t>
      </w:r>
    </w:p>
    <w:p w14:paraId="2E0256F2" w14:textId="77777777" w:rsidR="0009104D" w:rsidRPr="001340E2" w:rsidRDefault="0009104D" w:rsidP="0009104D">
      <w:pPr>
        <w:spacing w:line="360" w:lineRule="auto"/>
        <w:jc w:val="both"/>
        <w:rPr>
          <w:rFonts w:ascii="Arial" w:hAnsi="Arial" w:cs="Arial"/>
          <w:b/>
          <w:bCs/>
        </w:rPr>
      </w:pPr>
      <w:r w:rsidRPr="001340E2">
        <w:rPr>
          <w:rFonts w:ascii="Arial" w:hAnsi="Arial" w:cs="Arial"/>
          <w:b/>
          <w:bCs/>
        </w:rPr>
        <w:t>2.1</w:t>
      </w:r>
      <w:r w:rsidRPr="001340E2">
        <w:rPr>
          <w:rFonts w:ascii="Arial" w:hAnsi="Arial" w:cs="Arial"/>
          <w:b/>
          <w:bCs/>
        </w:rPr>
        <w:tab/>
        <w:t>Historical Origins and Development of Pharmacy Services</w:t>
      </w:r>
    </w:p>
    <w:p w14:paraId="2ACE3D7C" w14:textId="77777777" w:rsidR="0009104D" w:rsidRPr="001340E2" w:rsidRDefault="0009104D" w:rsidP="0009104D">
      <w:pPr>
        <w:spacing w:line="360" w:lineRule="auto"/>
        <w:jc w:val="both"/>
        <w:rPr>
          <w:rFonts w:ascii="Arial" w:hAnsi="Arial" w:cs="Arial"/>
        </w:rPr>
      </w:pPr>
      <w:r w:rsidRPr="001340E2">
        <w:rPr>
          <w:rFonts w:ascii="Arial" w:hAnsi="Arial" w:cs="Arial"/>
        </w:rPr>
        <w:t xml:space="preserve">Pharmacy services in the United Kingdom arose from apothecary practice, in which early pharmacists produced, prepared, and delivered drugs independently of medical practitioners. Prior to the twentieth century, regulation was lax, and pharmacological practice was primarily reliant on personal skill and commercial exchange. The establishment of the National Health Service in 1948 represented a fundamental structural shift, since pharmacy services were completely integrated into the publicly funded healthcare system. This reform was in line with postwar welfare principles and Beveridge's goal of reducing disease through universal access to healthcare and medications (Barnard, 2011; NHS, 2023 and Gov.uk, 2023). </w:t>
      </w:r>
    </w:p>
    <w:p w14:paraId="45198108" w14:textId="77777777" w:rsidR="0009104D" w:rsidRPr="001340E2" w:rsidRDefault="0009104D" w:rsidP="0009104D">
      <w:pPr>
        <w:spacing w:line="360" w:lineRule="auto"/>
        <w:jc w:val="both"/>
        <w:rPr>
          <w:rFonts w:ascii="Arial" w:hAnsi="Arial" w:cs="Arial"/>
        </w:rPr>
      </w:pPr>
      <w:r w:rsidRPr="001340E2">
        <w:rPr>
          <w:rFonts w:ascii="Arial" w:hAnsi="Arial" w:cs="Arial"/>
        </w:rPr>
        <w:t>Additionally, since the establishment of the NHS, pharmacy services have continuously expanded in scope and responsibilities. Rising chronic disease prevalence, population aging, and pressures on general practice have prompted policymakers to make better use of pharmacists' clinical knowledge. Medicines Use Reviews, the New Medicine Service, and structured medication reviews are all initiatives aimed at optimizing medicines and prioritizing patient-centered care (NICE, 2023 and Gov.uk, 2023). Community pharmacy also assumed other public health responsibilities, such as smoking cessation, immunization distribution, and health promotion campaigns. These advancements cemented pharmacy services as accessible, preventative, and cost-effective parts of the wider NHS system (NHS, 2024).</w:t>
      </w:r>
    </w:p>
    <w:p w14:paraId="7E77F894" w14:textId="77777777" w:rsidR="0009104D" w:rsidRPr="001340E2" w:rsidRDefault="0009104D" w:rsidP="0009104D">
      <w:pPr>
        <w:spacing w:line="360" w:lineRule="auto"/>
        <w:jc w:val="both"/>
        <w:rPr>
          <w:rFonts w:ascii="Arial" w:hAnsi="Arial" w:cs="Arial"/>
          <w:b/>
          <w:bCs/>
        </w:rPr>
      </w:pPr>
      <w:r w:rsidRPr="001340E2">
        <w:rPr>
          <w:rFonts w:ascii="Arial" w:hAnsi="Arial" w:cs="Arial"/>
          <w:b/>
          <w:bCs/>
        </w:rPr>
        <w:t>2.2</w:t>
      </w:r>
      <w:r w:rsidRPr="001340E2">
        <w:rPr>
          <w:rFonts w:ascii="Arial" w:hAnsi="Arial" w:cs="Arial"/>
          <w:b/>
          <w:bCs/>
        </w:rPr>
        <w:tab/>
        <w:t>Critical Evaluation of Current Pharmacy Service Delivery</w:t>
      </w:r>
    </w:p>
    <w:p w14:paraId="5B883C73" w14:textId="77777777" w:rsidR="0009104D" w:rsidRPr="001340E2" w:rsidRDefault="0009104D" w:rsidP="0009104D">
      <w:pPr>
        <w:spacing w:line="360" w:lineRule="auto"/>
        <w:jc w:val="both"/>
        <w:rPr>
          <w:rFonts w:ascii="Arial" w:hAnsi="Arial" w:cs="Arial"/>
        </w:rPr>
      </w:pPr>
      <w:r w:rsidRPr="001340E2">
        <w:rPr>
          <w:rFonts w:ascii="Arial" w:hAnsi="Arial" w:cs="Arial"/>
        </w:rPr>
        <w:t xml:space="preserve">Pharmacy services are now offered in community, hospital, and primary care network settings, making them an essential component of NHS infrastructure. Community </w:t>
      </w:r>
      <w:proofErr w:type="gramStart"/>
      <w:r w:rsidRPr="001340E2">
        <w:rPr>
          <w:rFonts w:ascii="Arial" w:hAnsi="Arial" w:cs="Arial"/>
        </w:rPr>
        <w:t>pharmacy</w:t>
      </w:r>
      <w:proofErr w:type="gramEnd"/>
      <w:r w:rsidRPr="001340E2">
        <w:rPr>
          <w:rFonts w:ascii="Arial" w:hAnsi="Arial" w:cs="Arial"/>
        </w:rPr>
        <w:t xml:space="preserve"> are widely regarded as the most accessible healthcare services since they offer walk-in advice without an appointment and keep longer hours (NHS, 2024). Pharmacists are increasingly involved in clinical care by managing long-term conditions, offering minor illness consultations, and ensuring pharmaceutical safety. Pharmacists support multidisciplinary teams in hospitals and primary care by </w:t>
      </w:r>
      <w:r w:rsidRPr="001340E2">
        <w:rPr>
          <w:rFonts w:ascii="Arial" w:hAnsi="Arial" w:cs="Arial"/>
        </w:rPr>
        <w:lastRenderedPageBreak/>
        <w:t>improving prescribing quality, medication reconciliation, and treatment continuity throughout healthcare transitions (NICE, 2023 and CQC, 2024).</w:t>
      </w:r>
    </w:p>
    <w:p w14:paraId="1483FD31" w14:textId="77777777" w:rsidR="0009104D" w:rsidRPr="001340E2" w:rsidRDefault="0009104D" w:rsidP="0009104D">
      <w:pPr>
        <w:spacing w:line="360" w:lineRule="auto"/>
        <w:jc w:val="both"/>
        <w:rPr>
          <w:rFonts w:ascii="Arial" w:hAnsi="Arial" w:cs="Arial"/>
        </w:rPr>
      </w:pPr>
      <w:r w:rsidRPr="001340E2">
        <w:rPr>
          <w:rFonts w:ascii="Arial" w:hAnsi="Arial" w:cs="Arial"/>
        </w:rPr>
        <w:t xml:space="preserve">Furthermore, despite expanded obligations, pharmacies continue to face structural and operational challenges. Funding constraints under the Community Drugstore Contractual Framework have hampered financial viability, leading </w:t>
      </w:r>
      <w:proofErr w:type="gramStart"/>
      <w:r w:rsidRPr="001340E2">
        <w:rPr>
          <w:rFonts w:ascii="Arial" w:hAnsi="Arial" w:cs="Arial"/>
        </w:rPr>
        <w:t>in</w:t>
      </w:r>
      <w:proofErr w:type="gramEnd"/>
      <w:r w:rsidRPr="001340E2">
        <w:rPr>
          <w:rFonts w:ascii="Arial" w:hAnsi="Arial" w:cs="Arial"/>
        </w:rPr>
        <w:t xml:space="preserve"> service restrictions, personnel shortages, and drugstore closures in some areas. These pressures have the potential to increase health disparities, especially in disadvantaged or rural areas where pharmacies may be the primary point of access to care. Workforce shortages, increasing workloads, and policies that go beyond financing all have a detrimental influence on service quality and employee well-being (CQC, 2024; NHS, 2024).</w:t>
      </w:r>
    </w:p>
    <w:p w14:paraId="26950C7B" w14:textId="77777777" w:rsidR="0009104D" w:rsidRPr="001340E2" w:rsidRDefault="0009104D" w:rsidP="0009104D">
      <w:pPr>
        <w:spacing w:line="360" w:lineRule="auto"/>
        <w:jc w:val="both"/>
        <w:rPr>
          <w:rFonts w:ascii="Arial" w:hAnsi="Arial" w:cs="Arial"/>
          <w:b/>
          <w:bCs/>
        </w:rPr>
      </w:pPr>
      <w:r w:rsidRPr="001340E2">
        <w:rPr>
          <w:rFonts w:ascii="Arial" w:hAnsi="Arial" w:cs="Arial"/>
          <w:b/>
          <w:bCs/>
        </w:rPr>
        <w:t>2.3</w:t>
      </w:r>
      <w:r w:rsidRPr="001340E2">
        <w:rPr>
          <w:rFonts w:ascii="Arial" w:hAnsi="Arial" w:cs="Arial"/>
          <w:b/>
          <w:bCs/>
        </w:rPr>
        <w:tab/>
        <w:t>Contribution of Pharmacy Services to Quality of Life</w:t>
      </w:r>
    </w:p>
    <w:p w14:paraId="3F0C8FB1" w14:textId="77777777" w:rsidR="0009104D" w:rsidRPr="001340E2" w:rsidRDefault="0009104D" w:rsidP="0009104D">
      <w:pPr>
        <w:spacing w:line="360" w:lineRule="auto"/>
        <w:jc w:val="both"/>
        <w:rPr>
          <w:rFonts w:ascii="Arial" w:hAnsi="Arial" w:cs="Arial"/>
        </w:rPr>
      </w:pPr>
      <w:r w:rsidRPr="001340E2">
        <w:rPr>
          <w:rFonts w:ascii="Arial" w:hAnsi="Arial" w:cs="Arial"/>
        </w:rPr>
        <w:t xml:space="preserve">Pharmacy services greatly improve the quality of life for service users by optimizing medications, providing health education, and providing preventative care. Pharmacists promote safe and effective pharmaceutical use, which lowers adverse drug reactions, prescription errors, and avoidable hospitalizations (NICE, 2023). Immunization programs and health screenings are examples of public health services that contribute to disease prevention and improved population health outcomes. These treatments encourage self-management, particularly among people with long-term conditions, leading </w:t>
      </w:r>
      <w:proofErr w:type="gramStart"/>
      <w:r w:rsidRPr="001340E2">
        <w:rPr>
          <w:rFonts w:ascii="Arial" w:hAnsi="Arial" w:cs="Arial"/>
        </w:rPr>
        <w:t>in</w:t>
      </w:r>
      <w:proofErr w:type="gramEnd"/>
      <w:r w:rsidRPr="001340E2">
        <w:rPr>
          <w:rFonts w:ascii="Arial" w:hAnsi="Arial" w:cs="Arial"/>
        </w:rPr>
        <w:t xml:space="preserve"> greater independence and well-being (NHS, 2024).</w:t>
      </w:r>
    </w:p>
    <w:p w14:paraId="5FF15E4D" w14:textId="77777777" w:rsidR="0009104D" w:rsidRPr="001340E2" w:rsidRDefault="0009104D" w:rsidP="0009104D">
      <w:pPr>
        <w:spacing w:line="360" w:lineRule="auto"/>
        <w:jc w:val="both"/>
        <w:rPr>
          <w:rFonts w:ascii="Arial" w:hAnsi="Arial" w:cs="Arial"/>
        </w:rPr>
      </w:pPr>
      <w:r w:rsidRPr="001340E2">
        <w:rPr>
          <w:rFonts w:ascii="Arial" w:hAnsi="Arial" w:cs="Arial"/>
        </w:rPr>
        <w:t xml:space="preserve">Pharmacies provide convenience, continuity, and reliable expert counsel in familiar local settings. This accessibility is especially important for the elderly and </w:t>
      </w:r>
      <w:proofErr w:type="gramStart"/>
      <w:r w:rsidRPr="001340E2">
        <w:rPr>
          <w:rFonts w:ascii="Arial" w:hAnsi="Arial" w:cs="Arial"/>
        </w:rPr>
        <w:t>persons</w:t>
      </w:r>
      <w:proofErr w:type="gramEnd"/>
      <w:r w:rsidRPr="001340E2">
        <w:rPr>
          <w:rFonts w:ascii="Arial" w:hAnsi="Arial" w:cs="Arial"/>
        </w:rPr>
        <w:t xml:space="preserve"> with multiple conditions who require continual medication support. Pharmacy services ease strain on overworked NHS services by serving as a liaison between patients, general practitioners, and secondary care. Strengthening integration within primary care networks, together with long-term financial and staff investment, is crucial to maximizing future pharmacy contributions (Gov.uk, 2023 and CQC, 2024).</w:t>
      </w:r>
    </w:p>
    <w:p w14:paraId="49BBAA7B" w14:textId="77777777" w:rsidR="0009104D" w:rsidRPr="001340E2" w:rsidRDefault="0009104D" w:rsidP="0009104D">
      <w:pPr>
        <w:rPr>
          <w:rFonts w:ascii="Arial" w:eastAsia="Arial" w:hAnsi="Arial" w:cs="Arial"/>
          <w:b/>
          <w:bCs/>
        </w:rPr>
      </w:pPr>
    </w:p>
    <w:p w14:paraId="3F8809D9" w14:textId="77777777" w:rsidR="0009104D" w:rsidRPr="001340E2" w:rsidRDefault="0009104D" w:rsidP="0009104D">
      <w:pPr>
        <w:rPr>
          <w:rFonts w:ascii="Arial" w:eastAsia="Arial" w:hAnsi="Arial" w:cs="Arial"/>
          <w:b/>
          <w:bCs/>
        </w:rPr>
      </w:pPr>
    </w:p>
    <w:p w14:paraId="60EEA984" w14:textId="77777777" w:rsidR="0009104D" w:rsidRPr="001340E2" w:rsidRDefault="0009104D" w:rsidP="0009104D">
      <w:pPr>
        <w:rPr>
          <w:rFonts w:ascii="Arial" w:eastAsia="Arial" w:hAnsi="Arial" w:cs="Arial"/>
          <w:b/>
          <w:bCs/>
        </w:rPr>
      </w:pPr>
    </w:p>
    <w:p w14:paraId="3EEA0512" w14:textId="77777777" w:rsidR="0009104D" w:rsidRPr="001340E2" w:rsidRDefault="0009104D" w:rsidP="0009104D">
      <w:pPr>
        <w:rPr>
          <w:rFonts w:ascii="Arial" w:eastAsia="Arial" w:hAnsi="Arial" w:cs="Arial"/>
          <w:b/>
          <w:bCs/>
        </w:rPr>
        <w:sectPr w:rsidR="0009104D" w:rsidRPr="001340E2" w:rsidSect="0009104D">
          <w:pgSz w:w="11906" w:h="16838"/>
          <w:pgMar w:top="1440" w:right="1440" w:bottom="1440" w:left="1440" w:header="708" w:footer="708" w:gutter="0"/>
          <w:cols w:space="720"/>
        </w:sectPr>
      </w:pPr>
    </w:p>
    <w:p w14:paraId="32D14E65" w14:textId="77777777" w:rsidR="0009104D" w:rsidRPr="001340E2" w:rsidRDefault="0009104D" w:rsidP="0009104D">
      <w:pPr>
        <w:rPr>
          <w:rFonts w:ascii="Arial" w:eastAsia="Arial" w:hAnsi="Arial" w:cs="Arial"/>
          <w:b/>
          <w:bCs/>
        </w:rPr>
      </w:pPr>
      <w:r w:rsidRPr="001340E2">
        <w:rPr>
          <w:rFonts w:ascii="Arial" w:eastAsia="Arial" w:hAnsi="Arial" w:cs="Arial"/>
          <w:b/>
          <w:bCs/>
        </w:rPr>
        <w:lastRenderedPageBreak/>
        <w:t>References</w:t>
      </w:r>
    </w:p>
    <w:p w14:paraId="22B93DC7"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Barnard, C., 2011. </w:t>
      </w:r>
      <w:r w:rsidRPr="001340E2">
        <w:rPr>
          <w:rFonts w:ascii="Arial" w:hAnsi="Arial" w:cs="Arial"/>
          <w:i/>
          <w:iCs/>
          <w:color w:val="000000" w:themeColor="text1"/>
        </w:rPr>
        <w:t>The evolution of social care in the United Kingdom</w:t>
      </w:r>
      <w:r w:rsidRPr="001340E2">
        <w:rPr>
          <w:rFonts w:ascii="Arial" w:hAnsi="Arial" w:cs="Arial"/>
          <w:color w:val="000000" w:themeColor="text1"/>
        </w:rPr>
        <w:t>. London: Routledge.</w:t>
      </w:r>
    </w:p>
    <w:p w14:paraId="3783C0E7"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Care Quality Commission (CQC), 2024. </w:t>
      </w:r>
      <w:r w:rsidRPr="001340E2">
        <w:rPr>
          <w:rFonts w:ascii="Arial" w:hAnsi="Arial" w:cs="Arial"/>
          <w:i/>
          <w:iCs/>
          <w:color w:val="000000" w:themeColor="text1"/>
        </w:rPr>
        <w:t>State of adult social care services in England 2024</w:t>
      </w:r>
      <w:r w:rsidRPr="001340E2">
        <w:rPr>
          <w:rFonts w:ascii="Arial" w:hAnsi="Arial" w:cs="Arial"/>
          <w:color w:val="000000" w:themeColor="text1"/>
        </w:rPr>
        <w:t xml:space="preserve">. [online] Available at: </w:t>
      </w:r>
      <w:hyperlink r:id="rId25" w:tgtFrame="_new" w:history="1">
        <w:r w:rsidRPr="001340E2">
          <w:rPr>
            <w:rStyle w:val="Hyperlink"/>
            <w:rFonts w:ascii="Arial" w:hAnsi="Arial" w:cs="Arial"/>
            <w:color w:val="000000" w:themeColor="text1"/>
          </w:rPr>
          <w:t>https://www.cqc.org.uk</w:t>
        </w:r>
      </w:hyperlink>
      <w:r w:rsidRPr="001340E2">
        <w:rPr>
          <w:rFonts w:ascii="Arial" w:hAnsi="Arial" w:cs="Arial"/>
          <w:color w:val="000000" w:themeColor="text1"/>
        </w:rPr>
        <w:t xml:space="preserve"> [Accessed 13 February 2026].</w:t>
      </w:r>
    </w:p>
    <w:p w14:paraId="548C2DF1"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Dickinson, H. and Glasby, J., 2014. </w:t>
      </w:r>
      <w:r w:rsidRPr="001340E2">
        <w:rPr>
          <w:rFonts w:ascii="Arial" w:hAnsi="Arial" w:cs="Arial"/>
          <w:i/>
          <w:iCs/>
          <w:color w:val="000000" w:themeColor="text1"/>
        </w:rPr>
        <w:t>The marketisation of social care: Impacts on quality and equity</w:t>
      </w:r>
      <w:r w:rsidRPr="001340E2">
        <w:rPr>
          <w:rFonts w:ascii="Arial" w:hAnsi="Arial" w:cs="Arial"/>
          <w:color w:val="000000" w:themeColor="text1"/>
        </w:rPr>
        <w:t>. Social Policy &amp; Administration, 48(5), pp.507–523.</w:t>
      </w:r>
    </w:p>
    <w:p w14:paraId="20CB5018"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Glasby, J., 2017. </w:t>
      </w:r>
      <w:r w:rsidRPr="001340E2">
        <w:rPr>
          <w:rFonts w:ascii="Arial" w:hAnsi="Arial" w:cs="Arial"/>
          <w:i/>
          <w:iCs/>
          <w:color w:val="000000" w:themeColor="text1"/>
        </w:rPr>
        <w:t>Understanding health and social care</w:t>
      </w:r>
      <w:r w:rsidRPr="001340E2">
        <w:rPr>
          <w:rFonts w:ascii="Arial" w:hAnsi="Arial" w:cs="Arial"/>
          <w:color w:val="000000" w:themeColor="text1"/>
        </w:rPr>
        <w:t>. 2nd ed. Bristol: Policy Press.</w:t>
      </w:r>
    </w:p>
    <w:p w14:paraId="32CC5E85"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Gov.uk, 2023. </w:t>
      </w:r>
      <w:r w:rsidRPr="001340E2">
        <w:rPr>
          <w:rFonts w:ascii="Arial" w:hAnsi="Arial" w:cs="Arial"/>
          <w:i/>
          <w:iCs/>
          <w:color w:val="000000" w:themeColor="text1"/>
        </w:rPr>
        <w:t>Adult social care funding and workforce overview</w:t>
      </w:r>
      <w:r w:rsidRPr="001340E2">
        <w:rPr>
          <w:rFonts w:ascii="Arial" w:hAnsi="Arial" w:cs="Arial"/>
          <w:color w:val="000000" w:themeColor="text1"/>
        </w:rPr>
        <w:t>. [online] Available at: https://www.gov.uk/government/publications [Accessed 13 February 2026].</w:t>
      </w:r>
    </w:p>
    <w:p w14:paraId="6552D7D3"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National Health Service (NHS), 2023. </w:t>
      </w:r>
      <w:r w:rsidRPr="001340E2">
        <w:rPr>
          <w:rFonts w:ascii="Arial" w:hAnsi="Arial" w:cs="Arial"/>
          <w:i/>
          <w:iCs/>
          <w:color w:val="000000" w:themeColor="text1"/>
        </w:rPr>
        <w:t>Pharmacy services in the NHS: Past, present and future</w:t>
      </w:r>
      <w:r w:rsidRPr="001340E2">
        <w:rPr>
          <w:rFonts w:ascii="Arial" w:hAnsi="Arial" w:cs="Arial"/>
          <w:color w:val="000000" w:themeColor="text1"/>
        </w:rPr>
        <w:t xml:space="preserve">. [online] Available at: </w:t>
      </w:r>
      <w:hyperlink r:id="rId26" w:tgtFrame="_new" w:history="1">
        <w:r w:rsidRPr="001340E2">
          <w:rPr>
            <w:rStyle w:val="Hyperlink"/>
            <w:rFonts w:ascii="Arial" w:hAnsi="Arial" w:cs="Arial"/>
            <w:color w:val="000000" w:themeColor="text1"/>
          </w:rPr>
          <w:t>https://www.nhs.uk</w:t>
        </w:r>
      </w:hyperlink>
      <w:r w:rsidRPr="001340E2">
        <w:rPr>
          <w:rFonts w:ascii="Arial" w:hAnsi="Arial" w:cs="Arial"/>
          <w:color w:val="000000" w:themeColor="text1"/>
        </w:rPr>
        <w:t xml:space="preserve"> [Accessed 13 February 2026].</w:t>
      </w:r>
    </w:p>
    <w:p w14:paraId="362EACBE"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National Health Service (NHS), 2024. </w:t>
      </w:r>
      <w:r w:rsidRPr="001340E2">
        <w:rPr>
          <w:rFonts w:ascii="Arial" w:hAnsi="Arial" w:cs="Arial"/>
          <w:i/>
          <w:iCs/>
          <w:color w:val="000000" w:themeColor="text1"/>
        </w:rPr>
        <w:t>Integrated care systems and community services guidance</w:t>
      </w:r>
      <w:r w:rsidRPr="001340E2">
        <w:rPr>
          <w:rFonts w:ascii="Arial" w:hAnsi="Arial" w:cs="Arial"/>
          <w:color w:val="000000" w:themeColor="text1"/>
        </w:rPr>
        <w:t xml:space="preserve">. [online] Available at: </w:t>
      </w:r>
      <w:hyperlink r:id="rId27" w:tgtFrame="_new" w:history="1">
        <w:r w:rsidRPr="001340E2">
          <w:rPr>
            <w:rStyle w:val="Hyperlink"/>
            <w:rFonts w:ascii="Arial" w:hAnsi="Arial" w:cs="Arial"/>
            <w:color w:val="000000" w:themeColor="text1"/>
          </w:rPr>
          <w:t>https://www.nhs.uk</w:t>
        </w:r>
      </w:hyperlink>
      <w:r w:rsidRPr="001340E2">
        <w:rPr>
          <w:rFonts w:ascii="Arial" w:hAnsi="Arial" w:cs="Arial"/>
          <w:color w:val="000000" w:themeColor="text1"/>
        </w:rPr>
        <w:t xml:space="preserve"> [Accessed 13 February 2026].</w:t>
      </w:r>
    </w:p>
    <w:p w14:paraId="37A5CEDD" w14:textId="77777777" w:rsidR="0009104D" w:rsidRPr="001340E2" w:rsidRDefault="0009104D" w:rsidP="0009104D">
      <w:pPr>
        <w:jc w:val="both"/>
        <w:rPr>
          <w:rFonts w:ascii="Arial" w:hAnsi="Arial" w:cs="Arial"/>
          <w:color w:val="000000" w:themeColor="text1"/>
        </w:rPr>
      </w:pPr>
      <w:r w:rsidRPr="001340E2">
        <w:rPr>
          <w:rFonts w:ascii="Arial" w:hAnsi="Arial" w:cs="Arial"/>
          <w:color w:val="000000" w:themeColor="text1"/>
        </w:rPr>
        <w:t xml:space="preserve">National Institute for Health and Care Excellence (NICE), 2023. </w:t>
      </w:r>
      <w:r w:rsidRPr="001340E2">
        <w:rPr>
          <w:rFonts w:ascii="Arial" w:hAnsi="Arial" w:cs="Arial"/>
          <w:i/>
          <w:iCs/>
          <w:color w:val="000000" w:themeColor="text1"/>
        </w:rPr>
        <w:t>Guidelines for dementia, end-of-life, and medicines management</w:t>
      </w:r>
      <w:r w:rsidRPr="001340E2">
        <w:rPr>
          <w:rFonts w:ascii="Arial" w:hAnsi="Arial" w:cs="Arial"/>
          <w:color w:val="000000" w:themeColor="text1"/>
        </w:rPr>
        <w:t>. London: NICE.</w:t>
      </w:r>
    </w:p>
    <w:p w14:paraId="6EFDC5F4" w14:textId="77777777" w:rsidR="0009104D" w:rsidRPr="001340E2" w:rsidRDefault="0009104D" w:rsidP="0009104D"/>
    <w:p w14:paraId="18A02165" w14:textId="77777777" w:rsidR="0009104D" w:rsidRPr="001340E2" w:rsidRDefault="0009104D" w:rsidP="0009104D"/>
    <w:p w14:paraId="522DEDFE" w14:textId="77777777" w:rsidR="0009104D" w:rsidRPr="001340E2" w:rsidRDefault="0009104D" w:rsidP="0009104D"/>
    <w:p w14:paraId="173D4FD9" w14:textId="77777777" w:rsidR="008B31AB" w:rsidRPr="008B31AB" w:rsidRDefault="008B31AB" w:rsidP="008B31AB">
      <w:pPr>
        <w:ind w:firstLine="720"/>
      </w:pPr>
    </w:p>
    <w:sectPr w:rsidR="008B31AB" w:rsidRPr="008B31AB">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710FE" w14:textId="77777777" w:rsidR="002505C8" w:rsidRDefault="002505C8" w:rsidP="005E606D">
      <w:pPr>
        <w:spacing w:after="0" w:line="240" w:lineRule="auto"/>
      </w:pPr>
      <w:r>
        <w:separator/>
      </w:r>
    </w:p>
  </w:endnote>
  <w:endnote w:type="continuationSeparator" w:id="0">
    <w:p w14:paraId="782EEAEE" w14:textId="77777777" w:rsidR="002505C8" w:rsidRDefault="002505C8" w:rsidP="005E6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89CC7" w14:textId="77777777" w:rsidR="0009104D" w:rsidRDefault="0009104D">
    <w:pPr>
      <w:pBdr>
        <w:top w:val="nil"/>
        <w:left w:val="nil"/>
        <w:bottom w:val="nil"/>
        <w:right w:val="nil"/>
        <w:between w:val="nil"/>
      </w:pBdr>
      <w:tabs>
        <w:tab w:val="center" w:pos="4513"/>
        <w:tab w:val="right" w:pos="9026"/>
      </w:tabs>
      <w:spacing w:after="0" w:line="240" w:lineRule="auto"/>
      <w:jc w:val="right"/>
      <w:rPr>
        <w:color w:val="000000"/>
      </w:rPr>
    </w:pPr>
  </w:p>
  <w:p w14:paraId="41A351C3" w14:textId="77777777" w:rsidR="0009104D" w:rsidRDefault="0009104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2171782"/>
      <w:docPartObj>
        <w:docPartGallery w:val="Page Numbers (Bottom of Page)"/>
        <w:docPartUnique/>
      </w:docPartObj>
    </w:sdtPr>
    <w:sdtEndPr>
      <w:rPr>
        <w:noProof/>
      </w:rPr>
    </w:sdtEndPr>
    <w:sdtContent>
      <w:p w14:paraId="6239FE30" w14:textId="77777777" w:rsidR="005E606D" w:rsidRDefault="005E60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D9613C" w14:textId="77777777" w:rsidR="005E606D" w:rsidRDefault="005E6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EE7C3" w14:textId="77777777" w:rsidR="002505C8" w:rsidRDefault="002505C8" w:rsidP="005E606D">
      <w:pPr>
        <w:spacing w:after="0" w:line="240" w:lineRule="auto"/>
      </w:pPr>
      <w:r>
        <w:separator/>
      </w:r>
    </w:p>
  </w:footnote>
  <w:footnote w:type="continuationSeparator" w:id="0">
    <w:p w14:paraId="763E58CD" w14:textId="77777777" w:rsidR="002505C8" w:rsidRDefault="002505C8" w:rsidP="005E6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5EBB0" w14:textId="77777777" w:rsidR="0009104D" w:rsidRDefault="0009104D">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distT="0" distB="0" distL="0" distR="0" wp14:anchorId="5D632683" wp14:editId="3FC95618">
          <wp:extent cx="2184540" cy="436908"/>
          <wp:effectExtent l="0" t="0" r="0" b="0"/>
          <wp:docPr id="10" name="image4.png" descr="UWTSD LOGO"/>
          <wp:cNvGraphicFramePr/>
          <a:graphic xmlns:a="http://schemas.openxmlformats.org/drawingml/2006/main">
            <a:graphicData uri="http://schemas.openxmlformats.org/drawingml/2006/picture">
              <pic:pic xmlns:pic="http://schemas.openxmlformats.org/drawingml/2006/picture">
                <pic:nvPicPr>
                  <pic:cNvPr id="0" name="image4.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712CC"/>
    <w:multiLevelType w:val="multilevel"/>
    <w:tmpl w:val="AEFECA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E3667BA"/>
    <w:multiLevelType w:val="multilevel"/>
    <w:tmpl w:val="49AA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DD4CF1"/>
    <w:multiLevelType w:val="multilevel"/>
    <w:tmpl w:val="125246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74703919">
    <w:abstractNumId w:val="0"/>
  </w:num>
  <w:num w:numId="2" w16cid:durableId="363486131">
    <w:abstractNumId w:val="2"/>
  </w:num>
  <w:num w:numId="3" w16cid:durableId="1171339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2BF"/>
    <w:rsid w:val="0009104D"/>
    <w:rsid w:val="000A0724"/>
    <w:rsid w:val="000A1AF8"/>
    <w:rsid w:val="00114384"/>
    <w:rsid w:val="001E7C2F"/>
    <w:rsid w:val="002505C8"/>
    <w:rsid w:val="003024B1"/>
    <w:rsid w:val="003E3CB9"/>
    <w:rsid w:val="00400EE2"/>
    <w:rsid w:val="004D31F1"/>
    <w:rsid w:val="005E606D"/>
    <w:rsid w:val="00667846"/>
    <w:rsid w:val="00734905"/>
    <w:rsid w:val="0086185C"/>
    <w:rsid w:val="008B31AB"/>
    <w:rsid w:val="00A879DE"/>
    <w:rsid w:val="00B306B7"/>
    <w:rsid w:val="00B74E6D"/>
    <w:rsid w:val="00B7592F"/>
    <w:rsid w:val="00B902BF"/>
    <w:rsid w:val="00BE7A01"/>
    <w:rsid w:val="00CA7A71"/>
    <w:rsid w:val="00EB3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66C43"/>
  <w15:chartTrackingRefBased/>
  <w15:docId w15:val="{537BBC17-506E-4C3A-8562-A0C63E145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2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02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02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02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02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02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2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2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2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2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02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02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02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02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02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2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2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2BF"/>
    <w:rPr>
      <w:rFonts w:eastAsiaTheme="majorEastAsia" w:cstheme="majorBidi"/>
      <w:color w:val="272727" w:themeColor="text1" w:themeTint="D8"/>
    </w:rPr>
  </w:style>
  <w:style w:type="paragraph" w:styleId="Title">
    <w:name w:val="Title"/>
    <w:basedOn w:val="Normal"/>
    <w:next w:val="Normal"/>
    <w:link w:val="TitleChar"/>
    <w:uiPriority w:val="10"/>
    <w:qFormat/>
    <w:rsid w:val="00B902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2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2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2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2BF"/>
    <w:pPr>
      <w:spacing w:before="160"/>
      <w:jc w:val="center"/>
    </w:pPr>
    <w:rPr>
      <w:i/>
      <w:iCs/>
      <w:color w:val="404040" w:themeColor="text1" w:themeTint="BF"/>
    </w:rPr>
  </w:style>
  <w:style w:type="character" w:customStyle="1" w:styleId="QuoteChar">
    <w:name w:val="Quote Char"/>
    <w:basedOn w:val="DefaultParagraphFont"/>
    <w:link w:val="Quote"/>
    <w:uiPriority w:val="29"/>
    <w:rsid w:val="00B902BF"/>
    <w:rPr>
      <w:i/>
      <w:iCs/>
      <w:color w:val="404040" w:themeColor="text1" w:themeTint="BF"/>
    </w:rPr>
  </w:style>
  <w:style w:type="paragraph" w:styleId="ListParagraph">
    <w:name w:val="List Paragraph"/>
    <w:basedOn w:val="Normal"/>
    <w:uiPriority w:val="34"/>
    <w:qFormat/>
    <w:rsid w:val="00B902BF"/>
    <w:pPr>
      <w:ind w:left="720"/>
      <w:contextualSpacing/>
    </w:pPr>
  </w:style>
  <w:style w:type="character" w:styleId="IntenseEmphasis">
    <w:name w:val="Intense Emphasis"/>
    <w:basedOn w:val="DefaultParagraphFont"/>
    <w:uiPriority w:val="21"/>
    <w:qFormat/>
    <w:rsid w:val="00B902BF"/>
    <w:rPr>
      <w:i/>
      <w:iCs/>
      <w:color w:val="2F5496" w:themeColor="accent1" w:themeShade="BF"/>
    </w:rPr>
  </w:style>
  <w:style w:type="paragraph" w:styleId="IntenseQuote">
    <w:name w:val="Intense Quote"/>
    <w:basedOn w:val="Normal"/>
    <w:next w:val="Normal"/>
    <w:link w:val="IntenseQuoteChar"/>
    <w:uiPriority w:val="30"/>
    <w:qFormat/>
    <w:rsid w:val="00B902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02BF"/>
    <w:rPr>
      <w:i/>
      <w:iCs/>
      <w:color w:val="2F5496" w:themeColor="accent1" w:themeShade="BF"/>
    </w:rPr>
  </w:style>
  <w:style w:type="character" w:styleId="IntenseReference">
    <w:name w:val="Intense Reference"/>
    <w:basedOn w:val="DefaultParagraphFont"/>
    <w:uiPriority w:val="32"/>
    <w:qFormat/>
    <w:rsid w:val="00B902BF"/>
    <w:rPr>
      <w:b/>
      <w:bCs/>
      <w:smallCaps/>
      <w:color w:val="2F5496" w:themeColor="accent1" w:themeShade="BF"/>
      <w:spacing w:val="5"/>
    </w:rPr>
  </w:style>
  <w:style w:type="paragraph" w:styleId="Header">
    <w:name w:val="header"/>
    <w:basedOn w:val="Normal"/>
    <w:link w:val="HeaderChar"/>
    <w:uiPriority w:val="99"/>
    <w:unhideWhenUsed/>
    <w:rsid w:val="005E60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606D"/>
  </w:style>
  <w:style w:type="paragraph" w:styleId="Footer">
    <w:name w:val="footer"/>
    <w:basedOn w:val="Normal"/>
    <w:link w:val="FooterChar"/>
    <w:uiPriority w:val="99"/>
    <w:unhideWhenUsed/>
    <w:rsid w:val="005E60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606D"/>
  </w:style>
  <w:style w:type="table" w:styleId="TableGrid">
    <w:name w:val="Table Grid"/>
    <w:basedOn w:val="TableNormal"/>
    <w:uiPriority w:val="39"/>
    <w:rsid w:val="00BE7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3296"/>
    <w:rPr>
      <w:color w:val="0563C1" w:themeColor="hyperlink"/>
      <w:u w:val="single"/>
    </w:rPr>
  </w:style>
  <w:style w:type="character" w:styleId="UnresolvedMention">
    <w:name w:val="Unresolved Mention"/>
    <w:basedOn w:val="DefaultParagraphFont"/>
    <w:uiPriority w:val="99"/>
    <w:semiHidden/>
    <w:unhideWhenUsed/>
    <w:rsid w:val="00EB3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k.sagepub.com" TargetMode="External"/><Relationship Id="rId18" Type="http://schemas.openxmlformats.org/officeDocument/2006/relationships/header" Target="header1.xml"/><Relationship Id="rId26" Type="http://schemas.openxmlformats.org/officeDocument/2006/relationships/hyperlink" Target="https://www.nhs.uk"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hyperlink" Target="https://www.gov.uk/government/organisations/department-of-health-and-social-care" TargetMode="External"/><Relationship Id="rId17" Type="http://schemas.openxmlformats.org/officeDocument/2006/relationships/image" Target="media/image2.png"/><Relationship Id="rId25" Type="http://schemas.openxmlformats.org/officeDocument/2006/relationships/hyperlink" Target="https://www.cqc.org.uk" TargetMode="External"/><Relationship Id="rId2" Type="http://schemas.openxmlformats.org/officeDocument/2006/relationships/customXml" Target="../customXml/item2.xml"/><Relationship Id="rId16" Type="http://schemas.openxmlformats.org/officeDocument/2006/relationships/hyperlink" Target="https://www.routledge.com" TargetMode="External"/><Relationship Id="rId20" Type="http://schemas.openxmlformats.org/officeDocument/2006/relationships/image" Target="media/image4.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outledge.com" TargetMode="External"/><Relationship Id="rId24" Type="http://schemas.openxmlformats.org/officeDocument/2006/relationships/image" Target="media/image8.jpeg"/><Relationship Id="rId5" Type="http://schemas.openxmlformats.org/officeDocument/2006/relationships/styles" Target="styles.xml"/><Relationship Id="rId15" Type="http://schemas.openxmlformats.org/officeDocument/2006/relationships/hyperlink" Target="https://doi.org/10.1002/14651858.CD000072.pub3" TargetMode="External"/><Relationship Id="rId23" Type="http://schemas.openxmlformats.org/officeDocument/2006/relationships/image" Target="media/image7.jpeg"/><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ce.org.uk/guidance/cg138" TargetMode="External"/><Relationship Id="rId22" Type="http://schemas.openxmlformats.org/officeDocument/2006/relationships/image" Target="media/image6.jpeg"/><Relationship Id="rId27" Type="http://schemas.openxmlformats.org/officeDocument/2006/relationships/hyperlink" Target="https://www.nhs.uk"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5760bccd3224cae56e5dc6647d0bbec">
  <xsd:schema xmlns:xsd="http://www.w3.org/2001/XMLSchema" xmlns:xs="http://www.w3.org/2001/XMLSchema" xmlns:p="http://schemas.microsoft.com/office/2006/metadata/properties" xmlns:ns3="b4f9f7ee-5770-4a14-8925-17f3d16e50b7" targetNamespace="http://schemas.microsoft.com/office/2006/metadata/properties" ma:root="true" ma:fieldsID="8c342bdefc1e35dab5f18d9d314941c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7AB3A1-4545-4B26-A34E-FBA170B293AB}">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50069082-E257-4798-924D-EA7022344AED}">
  <ds:schemaRefs>
    <ds:schemaRef ds:uri="http://schemas.microsoft.com/sharepoint/v3/contenttype/forms"/>
  </ds:schemaRefs>
</ds:datastoreItem>
</file>

<file path=customXml/itemProps3.xml><?xml version="1.0" encoding="utf-8"?>
<ds:datastoreItem xmlns:ds="http://schemas.openxmlformats.org/officeDocument/2006/customXml" ds:itemID="{D7BBFE22-DF4A-4B77-B0EC-4B2020744A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3165</Words>
  <Characters>18042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Fatoumata Malika Dosso (2514002)</cp:lastModifiedBy>
  <cp:revision>8</cp:revision>
  <dcterms:created xsi:type="dcterms:W3CDTF">2026-03-16T10:13:00Z</dcterms:created>
  <dcterms:modified xsi:type="dcterms:W3CDTF">2026-03-18T13:21:00Z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