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92EFC" w:rsidRDefault="009C4676" w:rsidP="00292EFC">
      <w:pPr>
        <w:spacing w:after="0" w:line="240" w:lineRule="auto"/>
        <w:rPr>
          <w:rFonts w:ascii="Times New Roman" w:eastAsia="Times New Roman" w:hAnsi="Times New Roman" w:cs="Times New Roman"/>
          <w:sz w:val="24"/>
          <w:szCs w:val="24"/>
        </w:rPr>
      </w:pPr>
      <w:r w:rsidRPr="009C4676">
        <w:rPr>
          <w:rFonts w:ascii="Times New Roman" w:eastAsia="Times New Roman" w:hAnsi="Times New Roman" w:cs="Times New Roman"/>
          <w:noProof/>
          <w:sz w:val="24"/>
          <w:szCs w:val="24"/>
        </w:rPr>
        <w:drawing>
          <wp:anchor distT="0" distB="0" distL="114300" distR="114300" simplePos="0" relativeHeight="251659264"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tbl>
      <w:tblPr>
        <w:tblW w:w="10116" w:type="dxa"/>
        <w:tblInd w:w="1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65"/>
        <w:gridCol w:w="3965"/>
        <w:gridCol w:w="2070"/>
        <w:gridCol w:w="2016"/>
      </w:tblGrid>
      <w:tr w:rsidR="009C4676" w:rsidRPr="007522FB" w:rsidTr="002541A4">
        <w:tc>
          <w:tcPr>
            <w:tcW w:w="2065" w:type="dxa"/>
            <w:shd w:val="clear" w:color="auto" w:fill="D9D9D9" w:themeFill="background1" w:themeFillShade="D9"/>
          </w:tcPr>
          <w:p w:rsidR="009C4676" w:rsidRPr="007522FB" w:rsidRDefault="009C4676" w:rsidP="00772CA6">
            <w:pPr>
              <w:tabs>
                <w:tab w:val="left" w:pos="1843"/>
              </w:tabs>
              <w:spacing w:before="120" w:after="120"/>
              <w:jc w:val="both"/>
              <w:rPr>
                <w:rFonts w:ascii="Arial" w:hAnsi="Arial" w:cs="Arial"/>
                <w:b/>
              </w:rPr>
            </w:pPr>
            <w:proofErr w:type="spellStart"/>
            <w:r w:rsidRPr="007522FB">
              <w:rPr>
                <w:rFonts w:ascii="Arial" w:hAnsi="Arial" w:cs="Arial"/>
                <w:b/>
              </w:rPr>
              <w:t>Programme</w:t>
            </w:r>
            <w:proofErr w:type="spellEnd"/>
            <w:r w:rsidRPr="007522FB">
              <w:rPr>
                <w:rFonts w:ascii="Arial" w:hAnsi="Arial" w:cs="Arial"/>
                <w:b/>
              </w:rPr>
              <w:t>:</w:t>
            </w:r>
          </w:p>
        </w:tc>
        <w:tc>
          <w:tcPr>
            <w:tcW w:w="8051" w:type="dxa"/>
            <w:gridSpan w:val="3"/>
          </w:tcPr>
          <w:p w:rsidR="009C4676" w:rsidRPr="005952D2" w:rsidRDefault="009C4676" w:rsidP="00772CA6">
            <w:pPr>
              <w:tabs>
                <w:tab w:val="left" w:pos="1843"/>
              </w:tabs>
              <w:spacing w:before="120" w:after="120"/>
              <w:jc w:val="both"/>
              <w:rPr>
                <w:rFonts w:ascii="Arial" w:hAnsi="Arial" w:cs="Arial"/>
                <w:b/>
              </w:rPr>
            </w:pPr>
            <w:r w:rsidRPr="005952D2">
              <w:rPr>
                <w:rFonts w:ascii="Arial" w:hAnsi="Arial" w:cs="Arial"/>
                <w:b/>
              </w:rPr>
              <w:t>BA (</w:t>
            </w:r>
            <w:proofErr w:type="spellStart"/>
            <w:r w:rsidRPr="005952D2">
              <w:rPr>
                <w:rFonts w:ascii="Arial" w:hAnsi="Arial" w:cs="Arial"/>
                <w:b/>
              </w:rPr>
              <w:t>Hons</w:t>
            </w:r>
            <w:proofErr w:type="spellEnd"/>
            <w:r w:rsidRPr="005952D2">
              <w:rPr>
                <w:rFonts w:ascii="Arial" w:hAnsi="Arial" w:cs="Arial"/>
                <w:b/>
              </w:rPr>
              <w:t>) Business Management</w:t>
            </w:r>
          </w:p>
        </w:tc>
      </w:tr>
      <w:tr w:rsidR="009C4676" w:rsidRPr="007522FB" w:rsidTr="002541A4">
        <w:tc>
          <w:tcPr>
            <w:tcW w:w="2065" w:type="dxa"/>
            <w:shd w:val="clear" w:color="auto" w:fill="D9D9D9" w:themeFill="background1" w:themeFillShade="D9"/>
          </w:tcPr>
          <w:p w:rsidR="009C4676" w:rsidRPr="007522FB" w:rsidRDefault="009C4676" w:rsidP="00772CA6">
            <w:pPr>
              <w:tabs>
                <w:tab w:val="left" w:pos="1843"/>
              </w:tabs>
              <w:spacing w:before="120" w:after="120"/>
              <w:jc w:val="both"/>
              <w:rPr>
                <w:rFonts w:ascii="Arial" w:hAnsi="Arial" w:cs="Arial"/>
                <w:b/>
              </w:rPr>
            </w:pPr>
            <w:r w:rsidRPr="007522FB">
              <w:rPr>
                <w:rFonts w:ascii="Arial" w:hAnsi="Arial" w:cs="Arial"/>
                <w:b/>
              </w:rPr>
              <w:t>Module:</w:t>
            </w:r>
          </w:p>
        </w:tc>
        <w:tc>
          <w:tcPr>
            <w:tcW w:w="8051" w:type="dxa"/>
            <w:gridSpan w:val="3"/>
          </w:tcPr>
          <w:p w:rsidR="009C4676" w:rsidRPr="005952D2" w:rsidRDefault="009C4676" w:rsidP="00772CA6">
            <w:pPr>
              <w:tabs>
                <w:tab w:val="left" w:pos="1843"/>
              </w:tabs>
              <w:rPr>
                <w:rFonts w:ascii="Arial" w:hAnsi="Arial" w:cs="Arial"/>
                <w:b/>
              </w:rPr>
            </w:pPr>
            <w:r w:rsidRPr="005952D2">
              <w:rPr>
                <w:rFonts w:ascii="Arial" w:hAnsi="Arial" w:cs="Arial"/>
                <w:b/>
              </w:rPr>
              <w:t>Understanding Organisational Structure and Culture</w:t>
            </w:r>
          </w:p>
        </w:tc>
      </w:tr>
      <w:tr w:rsidR="009C4676" w:rsidRPr="007522FB" w:rsidTr="00141B15">
        <w:tc>
          <w:tcPr>
            <w:tcW w:w="2065" w:type="dxa"/>
            <w:shd w:val="clear" w:color="auto" w:fill="D9D9D9" w:themeFill="background1" w:themeFillShade="D9"/>
          </w:tcPr>
          <w:p w:rsidR="009C4676" w:rsidRPr="00830681" w:rsidRDefault="009C4676" w:rsidP="00772CA6">
            <w:pPr>
              <w:tabs>
                <w:tab w:val="left" w:pos="1843"/>
              </w:tabs>
              <w:spacing w:before="120" w:after="120"/>
              <w:jc w:val="both"/>
              <w:rPr>
                <w:rFonts w:ascii="Arial" w:hAnsi="Arial" w:cs="Arial"/>
                <w:b/>
              </w:rPr>
            </w:pPr>
            <w:r w:rsidRPr="00830681">
              <w:rPr>
                <w:rFonts w:ascii="Arial" w:hAnsi="Arial" w:cs="Arial"/>
                <w:b/>
              </w:rPr>
              <w:t>Module code:</w:t>
            </w:r>
          </w:p>
        </w:tc>
        <w:tc>
          <w:tcPr>
            <w:tcW w:w="3965" w:type="dxa"/>
          </w:tcPr>
          <w:p w:rsidR="009C4676" w:rsidRPr="00830681" w:rsidRDefault="009C4676" w:rsidP="00772CA6">
            <w:pPr>
              <w:tabs>
                <w:tab w:val="left" w:pos="1843"/>
              </w:tabs>
              <w:spacing w:before="120" w:after="120"/>
              <w:jc w:val="both"/>
              <w:rPr>
                <w:rFonts w:ascii="Arial" w:hAnsi="Arial" w:cs="Arial"/>
                <w:b/>
              </w:rPr>
            </w:pPr>
            <w:r w:rsidRPr="00830681">
              <w:rPr>
                <w:rFonts w:ascii="Arial" w:hAnsi="Arial" w:cs="Arial"/>
                <w:b/>
              </w:rPr>
              <w:t>LCBB4009</w:t>
            </w:r>
          </w:p>
        </w:tc>
        <w:tc>
          <w:tcPr>
            <w:tcW w:w="2070" w:type="dxa"/>
            <w:shd w:val="clear" w:color="auto" w:fill="D9D9D9" w:themeFill="background1" w:themeFillShade="D9"/>
          </w:tcPr>
          <w:p w:rsidR="009C4676" w:rsidRDefault="002541A4" w:rsidP="00772CA6">
            <w:pPr>
              <w:pStyle w:val="Heading2"/>
              <w:tabs>
                <w:tab w:val="left" w:pos="1843"/>
              </w:tabs>
              <w:rPr>
                <w:rFonts w:ascii="Arial" w:hAnsi="Arial" w:cs="Arial"/>
                <w:sz w:val="22"/>
                <w:szCs w:val="22"/>
              </w:rPr>
            </w:pPr>
            <w:r>
              <w:rPr>
                <w:rFonts w:ascii="Arial" w:hAnsi="Arial" w:cs="Arial"/>
                <w:sz w:val="22"/>
                <w:szCs w:val="22"/>
              </w:rPr>
              <w:t>Student ID:</w:t>
            </w:r>
          </w:p>
          <w:p w:rsidR="002541A4" w:rsidRPr="007522FB" w:rsidRDefault="002541A4" w:rsidP="00772CA6">
            <w:pPr>
              <w:pStyle w:val="Heading2"/>
              <w:tabs>
                <w:tab w:val="left" w:pos="1843"/>
              </w:tabs>
              <w:rPr>
                <w:rFonts w:ascii="Arial" w:hAnsi="Arial" w:cs="Arial"/>
                <w:sz w:val="22"/>
                <w:szCs w:val="22"/>
              </w:rPr>
            </w:pPr>
            <w:r>
              <w:rPr>
                <w:rFonts w:ascii="Arial" w:hAnsi="Arial" w:cs="Arial"/>
                <w:sz w:val="22"/>
                <w:szCs w:val="22"/>
              </w:rPr>
              <w:t>Student Name:</w:t>
            </w:r>
          </w:p>
        </w:tc>
        <w:tc>
          <w:tcPr>
            <w:tcW w:w="2016" w:type="dxa"/>
          </w:tcPr>
          <w:p w:rsidR="009C4676" w:rsidRDefault="002541A4" w:rsidP="00772CA6">
            <w:pPr>
              <w:tabs>
                <w:tab w:val="left" w:pos="1843"/>
              </w:tabs>
              <w:spacing w:before="120" w:after="120"/>
              <w:jc w:val="both"/>
              <w:rPr>
                <w:rFonts w:ascii="Arial" w:hAnsi="Arial" w:cs="Arial"/>
                <w:b/>
              </w:rPr>
            </w:pPr>
            <w:r w:rsidRPr="002541A4">
              <w:rPr>
                <w:rFonts w:ascii="Arial" w:hAnsi="Arial" w:cs="Arial"/>
                <w:b/>
              </w:rPr>
              <w:t>2509298</w:t>
            </w:r>
          </w:p>
          <w:p w:rsidR="002541A4" w:rsidRPr="00830681" w:rsidRDefault="002541A4" w:rsidP="00772CA6">
            <w:pPr>
              <w:tabs>
                <w:tab w:val="left" w:pos="1843"/>
              </w:tabs>
              <w:spacing w:before="120" w:after="120"/>
              <w:jc w:val="both"/>
              <w:rPr>
                <w:rFonts w:ascii="Arial" w:hAnsi="Arial" w:cs="Arial"/>
                <w:b/>
              </w:rPr>
            </w:pPr>
            <w:proofErr w:type="spellStart"/>
            <w:r>
              <w:rPr>
                <w:rFonts w:ascii="Arial" w:hAnsi="Arial" w:cs="Arial"/>
                <w:b/>
              </w:rPr>
              <w:t>J</w:t>
            </w:r>
            <w:r w:rsidRPr="002541A4">
              <w:rPr>
                <w:rFonts w:ascii="Arial" w:hAnsi="Arial" w:cs="Arial"/>
                <w:b/>
              </w:rPr>
              <w:t>askirat</w:t>
            </w:r>
            <w:proofErr w:type="spellEnd"/>
            <w:r w:rsidRPr="002541A4">
              <w:rPr>
                <w:rFonts w:ascii="Arial" w:hAnsi="Arial" w:cs="Arial"/>
                <w:b/>
              </w:rPr>
              <w:t xml:space="preserve"> Singh</w:t>
            </w:r>
          </w:p>
        </w:tc>
      </w:tr>
      <w:tr w:rsidR="009C4676" w:rsidRPr="007522FB" w:rsidTr="00141B15">
        <w:tc>
          <w:tcPr>
            <w:tcW w:w="2065" w:type="dxa"/>
            <w:shd w:val="clear" w:color="auto" w:fill="D9D9D9" w:themeFill="background1" w:themeFillShade="D9"/>
          </w:tcPr>
          <w:p w:rsidR="009C4676" w:rsidRPr="007522FB" w:rsidRDefault="009C4676" w:rsidP="00772CA6">
            <w:pPr>
              <w:tabs>
                <w:tab w:val="left" w:pos="1843"/>
              </w:tabs>
              <w:spacing w:before="120" w:after="120"/>
              <w:jc w:val="both"/>
              <w:rPr>
                <w:rFonts w:ascii="Arial" w:hAnsi="Arial" w:cs="Arial"/>
                <w:b/>
              </w:rPr>
            </w:pPr>
            <w:r w:rsidRPr="007522FB">
              <w:rPr>
                <w:rFonts w:ascii="Arial" w:hAnsi="Arial" w:cs="Arial"/>
                <w:b/>
              </w:rPr>
              <w:t xml:space="preserve">Module </w:t>
            </w:r>
            <w:r>
              <w:rPr>
                <w:rFonts w:ascii="Arial" w:hAnsi="Arial" w:cs="Arial"/>
                <w:b/>
              </w:rPr>
              <w:t>Leader</w:t>
            </w:r>
            <w:r w:rsidRPr="007522FB">
              <w:rPr>
                <w:rFonts w:ascii="Arial" w:hAnsi="Arial" w:cs="Arial"/>
                <w:b/>
              </w:rPr>
              <w:t>/Lecturer:</w:t>
            </w:r>
          </w:p>
        </w:tc>
        <w:tc>
          <w:tcPr>
            <w:tcW w:w="3965" w:type="dxa"/>
          </w:tcPr>
          <w:p w:rsidR="009C4676" w:rsidRPr="00660BCF" w:rsidRDefault="00781866" w:rsidP="00772CA6">
            <w:pPr>
              <w:tabs>
                <w:tab w:val="left" w:pos="1843"/>
              </w:tabs>
              <w:spacing w:before="120" w:after="120"/>
              <w:jc w:val="both"/>
              <w:rPr>
                <w:rFonts w:ascii="Arial" w:hAnsi="Arial" w:cs="Arial"/>
                <w:b/>
                <w:bCs/>
              </w:rPr>
            </w:pPr>
            <w:r w:rsidRPr="00781866">
              <w:rPr>
                <w:rFonts w:ascii="Arial" w:hAnsi="Arial" w:cs="Arial"/>
                <w:b/>
                <w:bCs/>
              </w:rPr>
              <w:t>ESSA BAH</w:t>
            </w:r>
          </w:p>
        </w:tc>
        <w:tc>
          <w:tcPr>
            <w:tcW w:w="2070" w:type="dxa"/>
            <w:shd w:val="clear" w:color="auto" w:fill="D9D9D9" w:themeFill="background1" w:themeFillShade="D9"/>
          </w:tcPr>
          <w:p w:rsidR="009C4676" w:rsidRPr="007522FB" w:rsidRDefault="009C4676" w:rsidP="00772CA6">
            <w:pPr>
              <w:tabs>
                <w:tab w:val="left" w:pos="1843"/>
              </w:tabs>
              <w:spacing w:before="120" w:after="120"/>
              <w:jc w:val="both"/>
              <w:rPr>
                <w:rFonts w:ascii="Arial" w:hAnsi="Arial" w:cs="Arial"/>
                <w:b/>
              </w:rPr>
            </w:pPr>
            <w:r w:rsidRPr="007522FB">
              <w:rPr>
                <w:rFonts w:ascii="Arial" w:hAnsi="Arial" w:cs="Arial"/>
                <w:b/>
              </w:rPr>
              <w:t>Internal Verifier:</w:t>
            </w:r>
          </w:p>
        </w:tc>
        <w:tc>
          <w:tcPr>
            <w:tcW w:w="2016" w:type="dxa"/>
          </w:tcPr>
          <w:p w:rsidR="009C4676" w:rsidRPr="00660BCF" w:rsidRDefault="009C4676" w:rsidP="00772CA6">
            <w:pPr>
              <w:tabs>
                <w:tab w:val="left" w:pos="1843"/>
              </w:tabs>
              <w:spacing w:before="120" w:after="120"/>
              <w:rPr>
                <w:rFonts w:ascii="Arial" w:hAnsi="Arial" w:cs="Arial"/>
                <w:b/>
                <w:bCs/>
              </w:rPr>
            </w:pPr>
            <w:r w:rsidRPr="106782C6">
              <w:rPr>
                <w:rFonts w:ascii="Arial" w:hAnsi="Arial" w:cs="Arial"/>
                <w:b/>
                <w:bCs/>
              </w:rPr>
              <w:t xml:space="preserve">Dr </w:t>
            </w:r>
            <w:proofErr w:type="spellStart"/>
            <w:r w:rsidRPr="106782C6">
              <w:rPr>
                <w:rFonts w:ascii="Arial" w:hAnsi="Arial" w:cs="Arial"/>
                <w:b/>
                <w:bCs/>
              </w:rPr>
              <w:t>Liyanage</w:t>
            </w:r>
            <w:proofErr w:type="spellEnd"/>
            <w:r w:rsidRPr="106782C6">
              <w:rPr>
                <w:rFonts w:ascii="Arial" w:hAnsi="Arial" w:cs="Arial"/>
                <w:b/>
                <w:bCs/>
              </w:rPr>
              <w:t xml:space="preserve"> Rodrigo</w:t>
            </w:r>
          </w:p>
        </w:tc>
      </w:tr>
      <w:tr w:rsidR="009C4676" w:rsidRPr="007522FB" w:rsidTr="00141B15">
        <w:tc>
          <w:tcPr>
            <w:tcW w:w="2065" w:type="dxa"/>
            <w:shd w:val="clear" w:color="auto" w:fill="D9D9D9" w:themeFill="background1" w:themeFillShade="D9"/>
          </w:tcPr>
          <w:p w:rsidR="009C4676" w:rsidRPr="007522FB" w:rsidRDefault="009C4676" w:rsidP="00772CA6">
            <w:pPr>
              <w:tabs>
                <w:tab w:val="left" w:pos="1843"/>
              </w:tabs>
              <w:spacing w:before="120" w:after="120"/>
              <w:jc w:val="both"/>
              <w:rPr>
                <w:rFonts w:ascii="Arial" w:hAnsi="Arial" w:cs="Arial"/>
                <w:b/>
              </w:rPr>
            </w:pPr>
            <w:r w:rsidRPr="007522FB">
              <w:rPr>
                <w:rFonts w:ascii="Arial" w:hAnsi="Arial" w:cs="Arial"/>
                <w:b/>
              </w:rPr>
              <w:t>Assignment Title:</w:t>
            </w:r>
          </w:p>
        </w:tc>
        <w:tc>
          <w:tcPr>
            <w:tcW w:w="3965" w:type="dxa"/>
          </w:tcPr>
          <w:p w:rsidR="002541A4" w:rsidRDefault="009C4676" w:rsidP="002541A4">
            <w:pPr>
              <w:tabs>
                <w:tab w:val="left" w:pos="1843"/>
              </w:tabs>
              <w:spacing w:before="120" w:after="120"/>
              <w:jc w:val="center"/>
              <w:rPr>
                <w:rFonts w:ascii="Arial" w:hAnsi="Arial" w:cs="Arial"/>
                <w:b/>
              </w:rPr>
            </w:pPr>
            <w:r>
              <w:rPr>
                <w:rFonts w:ascii="Arial" w:hAnsi="Arial" w:cs="Arial"/>
                <w:b/>
              </w:rPr>
              <w:t>Component2:</w:t>
            </w:r>
          </w:p>
          <w:p w:rsidR="00141B15" w:rsidRDefault="00141B15" w:rsidP="002541A4">
            <w:pPr>
              <w:tabs>
                <w:tab w:val="left" w:pos="1843"/>
              </w:tabs>
              <w:spacing w:before="120" w:after="120"/>
              <w:jc w:val="center"/>
              <w:rPr>
                <w:rFonts w:ascii="Arial" w:hAnsi="Arial" w:cs="Arial"/>
                <w:b/>
              </w:rPr>
            </w:pPr>
            <w:r w:rsidRPr="00141B15">
              <w:rPr>
                <w:rFonts w:ascii="Arial" w:hAnsi="Arial" w:cs="Arial"/>
                <w:b/>
                <w:noProof/>
              </w:rPr>
              <w:drawing>
                <wp:inline distT="0" distB="0" distL="0" distR="0">
                  <wp:extent cx="725417" cy="491924"/>
                  <wp:effectExtent l="19050" t="0" r="0" b="0"/>
                  <wp:docPr id="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 cstate="print"/>
                          <a:srcRect/>
                          <a:stretch>
                            <a:fillRect/>
                          </a:stretch>
                        </pic:blipFill>
                        <pic:spPr bwMode="auto">
                          <a:xfrm>
                            <a:off x="0" y="0"/>
                            <a:ext cx="724956" cy="491612"/>
                          </a:xfrm>
                          <a:prstGeom prst="rect">
                            <a:avLst/>
                          </a:prstGeom>
                          <a:noFill/>
                          <a:ln w="9525">
                            <a:noFill/>
                            <a:miter lim="800000"/>
                            <a:headEnd/>
                            <a:tailEnd/>
                          </a:ln>
                        </pic:spPr>
                      </pic:pic>
                    </a:graphicData>
                  </a:graphic>
                </wp:inline>
              </w:drawing>
            </w:r>
          </w:p>
          <w:p w:rsidR="002541A4" w:rsidRPr="002541A4" w:rsidRDefault="002541A4" w:rsidP="002541A4">
            <w:pPr>
              <w:tabs>
                <w:tab w:val="left" w:pos="1843"/>
              </w:tabs>
              <w:spacing w:before="120" w:after="120"/>
              <w:jc w:val="center"/>
              <w:rPr>
                <w:rFonts w:ascii="Arial" w:hAnsi="Arial" w:cs="Arial"/>
                <w:b/>
                <w:i/>
              </w:rPr>
            </w:pPr>
            <w:r w:rsidRPr="002541A4">
              <w:rPr>
                <w:rFonts w:ascii="Arial" w:hAnsi="Arial" w:cs="Arial"/>
                <w:b/>
                <w:i/>
                <w:sz w:val="20"/>
              </w:rPr>
              <w:t>A Case Study of Toyota Motor Corporation</w:t>
            </w:r>
          </w:p>
          <w:p w:rsidR="009C4676" w:rsidRPr="002541A4" w:rsidRDefault="009C4676" w:rsidP="002541A4">
            <w:pPr>
              <w:tabs>
                <w:tab w:val="left" w:pos="1843"/>
              </w:tabs>
              <w:spacing w:before="120" w:after="120"/>
              <w:jc w:val="center"/>
              <w:rPr>
                <w:rFonts w:ascii="Arial" w:hAnsi="Arial" w:cs="Arial"/>
                <w:b/>
                <w:i/>
                <w:sz w:val="20"/>
              </w:rPr>
            </w:pPr>
            <w:r w:rsidRPr="002541A4">
              <w:rPr>
                <w:rFonts w:ascii="Arial" w:hAnsi="Arial" w:cs="Arial"/>
                <w:b/>
                <w:i/>
              </w:rPr>
              <w:t>“</w:t>
            </w:r>
            <w:r w:rsidRPr="002541A4">
              <w:rPr>
                <w:rFonts w:ascii="Arial" w:hAnsi="Arial" w:cs="Arial"/>
                <w:b/>
                <w:i/>
                <w:sz w:val="20"/>
              </w:rPr>
              <w:t>Investigating the Role of Communication in the Business Environment”</w:t>
            </w:r>
          </w:p>
          <w:p w:rsidR="009C4676" w:rsidRPr="007522FB" w:rsidRDefault="009C4676" w:rsidP="009C4676">
            <w:pPr>
              <w:tabs>
                <w:tab w:val="left" w:pos="1843"/>
              </w:tabs>
              <w:spacing w:before="120" w:after="120"/>
              <w:jc w:val="center"/>
              <w:rPr>
                <w:rFonts w:ascii="Arial" w:hAnsi="Arial" w:cs="Arial"/>
                <w:b/>
              </w:rPr>
            </w:pPr>
          </w:p>
        </w:tc>
        <w:tc>
          <w:tcPr>
            <w:tcW w:w="2070" w:type="dxa"/>
            <w:shd w:val="clear" w:color="auto" w:fill="D9D9D9" w:themeFill="background1" w:themeFillShade="D9"/>
          </w:tcPr>
          <w:p w:rsidR="009C4676" w:rsidRPr="007522FB" w:rsidRDefault="009C4676" w:rsidP="00772CA6">
            <w:pPr>
              <w:tabs>
                <w:tab w:val="left" w:pos="1843"/>
              </w:tabs>
              <w:spacing w:before="120" w:after="120"/>
              <w:jc w:val="both"/>
              <w:rPr>
                <w:rFonts w:ascii="Arial" w:hAnsi="Arial" w:cs="Arial"/>
                <w:b/>
              </w:rPr>
            </w:pPr>
            <w:r w:rsidRPr="007522FB">
              <w:rPr>
                <w:rFonts w:ascii="Arial" w:hAnsi="Arial" w:cs="Arial"/>
                <w:b/>
              </w:rPr>
              <w:t>Word count (or equivalent):</w:t>
            </w:r>
          </w:p>
        </w:tc>
        <w:tc>
          <w:tcPr>
            <w:tcW w:w="2016" w:type="dxa"/>
          </w:tcPr>
          <w:p w:rsidR="009C4676" w:rsidRPr="005952D2" w:rsidRDefault="009C4676" w:rsidP="00772CA6">
            <w:pPr>
              <w:tabs>
                <w:tab w:val="left" w:pos="1843"/>
              </w:tabs>
              <w:spacing w:before="120" w:after="120"/>
              <w:jc w:val="both"/>
              <w:rPr>
                <w:rFonts w:ascii="Arial" w:hAnsi="Arial" w:cs="Arial"/>
                <w:b/>
              </w:rPr>
            </w:pPr>
            <w:r w:rsidRPr="005952D2">
              <w:rPr>
                <w:rFonts w:ascii="Arial" w:hAnsi="Arial" w:cs="Arial"/>
                <w:b/>
              </w:rPr>
              <w:t>15</w:t>
            </w:r>
            <w:r w:rsidR="002541A4">
              <w:rPr>
                <w:rFonts w:ascii="Arial" w:hAnsi="Arial" w:cs="Arial"/>
                <w:b/>
              </w:rPr>
              <w:t>22 words</w:t>
            </w:r>
          </w:p>
        </w:tc>
      </w:tr>
      <w:tr w:rsidR="009C4676" w:rsidRPr="007522FB" w:rsidTr="002541A4">
        <w:tc>
          <w:tcPr>
            <w:tcW w:w="2065" w:type="dxa"/>
            <w:shd w:val="clear" w:color="auto" w:fill="D9D9D9" w:themeFill="background1" w:themeFillShade="D9"/>
          </w:tcPr>
          <w:p w:rsidR="009C4676" w:rsidRPr="007522FB" w:rsidRDefault="009C4676" w:rsidP="00772CA6">
            <w:pPr>
              <w:tabs>
                <w:tab w:val="left" w:pos="1843"/>
              </w:tabs>
              <w:spacing w:before="120" w:after="120"/>
              <w:rPr>
                <w:rFonts w:ascii="Arial" w:hAnsi="Arial" w:cs="Arial"/>
                <w:b/>
              </w:rPr>
            </w:pPr>
            <w:r w:rsidRPr="007522FB">
              <w:rPr>
                <w:rFonts w:ascii="Arial" w:hAnsi="Arial" w:cs="Arial"/>
                <w:b/>
              </w:rPr>
              <w:t>Academic honesty / referencing:</w:t>
            </w:r>
          </w:p>
        </w:tc>
        <w:tc>
          <w:tcPr>
            <w:tcW w:w="8051" w:type="dxa"/>
            <w:gridSpan w:val="3"/>
          </w:tcPr>
          <w:p w:rsidR="009C4676" w:rsidRPr="007522FB" w:rsidRDefault="002541A4" w:rsidP="00772CA6">
            <w:pPr>
              <w:tabs>
                <w:tab w:val="left" w:pos="1843"/>
              </w:tabs>
              <w:spacing w:before="120" w:after="120"/>
              <w:jc w:val="both"/>
              <w:rPr>
                <w:rFonts w:ascii="Arial" w:hAnsi="Arial" w:cs="Arial"/>
              </w:rPr>
            </w:pPr>
            <w:r>
              <w:rPr>
                <w:rFonts w:ascii="Arial" w:hAnsi="Arial" w:cs="Arial"/>
              </w:rPr>
              <w:t xml:space="preserve">I have cited the data properly and provided all the references in bibliography section to maintain academic integrity. </w:t>
            </w:r>
          </w:p>
        </w:tc>
      </w:tr>
    </w:tbl>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sdt>
      <w:sdtPr>
        <w:rPr>
          <w:rFonts w:asciiTheme="minorHAnsi" w:eastAsiaTheme="minorHAnsi" w:hAnsiTheme="minorHAnsi" w:cstheme="minorBidi"/>
          <w:b w:val="0"/>
          <w:bCs w:val="0"/>
          <w:color w:val="auto"/>
          <w:sz w:val="22"/>
          <w:szCs w:val="22"/>
        </w:rPr>
        <w:id w:val="4510938"/>
        <w:docPartObj>
          <w:docPartGallery w:val="Table of Contents"/>
          <w:docPartUnique/>
        </w:docPartObj>
      </w:sdtPr>
      <w:sdtContent>
        <w:p w:rsidR="00FD2C5B" w:rsidRDefault="00FD2C5B">
          <w:pPr>
            <w:pStyle w:val="TOCHeading"/>
          </w:pPr>
          <w:r>
            <w:t>Contents</w:t>
          </w:r>
        </w:p>
        <w:p w:rsidR="00FD2C5B" w:rsidRDefault="001150EA">
          <w:pPr>
            <w:pStyle w:val="TOC1"/>
            <w:tabs>
              <w:tab w:val="left" w:pos="440"/>
              <w:tab w:val="right" w:leader="dot" w:pos="9350"/>
            </w:tabs>
            <w:rPr>
              <w:noProof/>
            </w:rPr>
          </w:pPr>
          <w:r>
            <w:fldChar w:fldCharType="begin"/>
          </w:r>
          <w:r w:rsidR="00FD2C5B">
            <w:instrText xml:space="preserve"> TOC \o "1-3" \h \z \u </w:instrText>
          </w:r>
          <w:r>
            <w:fldChar w:fldCharType="separate"/>
          </w:r>
          <w:hyperlink w:anchor="_Toc224905485" w:history="1">
            <w:r w:rsidR="00FD2C5B" w:rsidRPr="000402E0">
              <w:rPr>
                <w:rStyle w:val="Hyperlink"/>
                <w:noProof/>
              </w:rPr>
              <w:t>1.</w:t>
            </w:r>
            <w:r w:rsidR="00FD2C5B">
              <w:rPr>
                <w:noProof/>
              </w:rPr>
              <w:tab/>
            </w:r>
            <w:r w:rsidR="00FD2C5B" w:rsidRPr="000402E0">
              <w:rPr>
                <w:rStyle w:val="Hyperlink"/>
                <w:noProof/>
              </w:rPr>
              <w:t>Introduction</w:t>
            </w:r>
            <w:r w:rsidR="00FD2C5B">
              <w:rPr>
                <w:noProof/>
                <w:webHidden/>
              </w:rPr>
              <w:tab/>
            </w:r>
            <w:r>
              <w:rPr>
                <w:noProof/>
                <w:webHidden/>
              </w:rPr>
              <w:fldChar w:fldCharType="begin"/>
            </w:r>
            <w:r w:rsidR="00FD2C5B">
              <w:rPr>
                <w:noProof/>
                <w:webHidden/>
              </w:rPr>
              <w:instrText xml:space="preserve"> PAGEREF _Toc224905485 \h </w:instrText>
            </w:r>
            <w:r>
              <w:rPr>
                <w:noProof/>
                <w:webHidden/>
              </w:rPr>
            </w:r>
            <w:r>
              <w:rPr>
                <w:noProof/>
                <w:webHidden/>
              </w:rPr>
              <w:fldChar w:fldCharType="separate"/>
            </w:r>
            <w:r w:rsidR="00FD2C5B">
              <w:rPr>
                <w:noProof/>
                <w:webHidden/>
              </w:rPr>
              <w:t>3</w:t>
            </w:r>
            <w:r>
              <w:rPr>
                <w:noProof/>
                <w:webHidden/>
              </w:rPr>
              <w:fldChar w:fldCharType="end"/>
            </w:r>
          </w:hyperlink>
        </w:p>
        <w:p w:rsidR="00FD2C5B" w:rsidRDefault="001150EA">
          <w:pPr>
            <w:pStyle w:val="TOC1"/>
            <w:tabs>
              <w:tab w:val="left" w:pos="440"/>
              <w:tab w:val="right" w:leader="dot" w:pos="9350"/>
            </w:tabs>
            <w:rPr>
              <w:noProof/>
            </w:rPr>
          </w:pPr>
          <w:hyperlink w:anchor="_Toc224905486" w:history="1">
            <w:r w:rsidR="00FD2C5B" w:rsidRPr="000402E0">
              <w:rPr>
                <w:rStyle w:val="Hyperlink"/>
                <w:noProof/>
              </w:rPr>
              <w:t>2.</w:t>
            </w:r>
            <w:r w:rsidR="00FD2C5B">
              <w:rPr>
                <w:noProof/>
              </w:rPr>
              <w:tab/>
            </w:r>
            <w:r w:rsidR="00FD2C5B" w:rsidRPr="000402E0">
              <w:rPr>
                <w:rStyle w:val="Hyperlink"/>
                <w:noProof/>
              </w:rPr>
              <w:t>Communication and Methods</w:t>
            </w:r>
            <w:r w:rsidR="00FD2C5B">
              <w:rPr>
                <w:noProof/>
                <w:webHidden/>
              </w:rPr>
              <w:tab/>
            </w:r>
            <w:r>
              <w:rPr>
                <w:noProof/>
                <w:webHidden/>
              </w:rPr>
              <w:fldChar w:fldCharType="begin"/>
            </w:r>
            <w:r w:rsidR="00FD2C5B">
              <w:rPr>
                <w:noProof/>
                <w:webHidden/>
              </w:rPr>
              <w:instrText xml:space="preserve"> PAGEREF _Toc224905486 \h </w:instrText>
            </w:r>
            <w:r>
              <w:rPr>
                <w:noProof/>
                <w:webHidden/>
              </w:rPr>
            </w:r>
            <w:r>
              <w:rPr>
                <w:noProof/>
                <w:webHidden/>
              </w:rPr>
              <w:fldChar w:fldCharType="separate"/>
            </w:r>
            <w:r w:rsidR="00FD2C5B">
              <w:rPr>
                <w:noProof/>
                <w:webHidden/>
              </w:rPr>
              <w:t>3</w:t>
            </w:r>
            <w:r>
              <w:rPr>
                <w:noProof/>
                <w:webHidden/>
              </w:rPr>
              <w:fldChar w:fldCharType="end"/>
            </w:r>
          </w:hyperlink>
        </w:p>
        <w:p w:rsidR="00FD2C5B" w:rsidRDefault="001150EA">
          <w:pPr>
            <w:pStyle w:val="TOC1"/>
            <w:tabs>
              <w:tab w:val="left" w:pos="440"/>
              <w:tab w:val="right" w:leader="dot" w:pos="9350"/>
            </w:tabs>
            <w:rPr>
              <w:noProof/>
            </w:rPr>
          </w:pPr>
          <w:hyperlink w:anchor="_Toc224905487" w:history="1">
            <w:r w:rsidR="00FD2C5B" w:rsidRPr="000402E0">
              <w:rPr>
                <w:rStyle w:val="Hyperlink"/>
                <w:noProof/>
              </w:rPr>
              <w:t>3.</w:t>
            </w:r>
            <w:r w:rsidR="00FD2C5B">
              <w:rPr>
                <w:noProof/>
              </w:rPr>
              <w:tab/>
            </w:r>
            <w:r w:rsidR="00FD2C5B" w:rsidRPr="000402E0">
              <w:rPr>
                <w:rStyle w:val="Hyperlink"/>
                <w:noProof/>
              </w:rPr>
              <w:t>Common Issues</w:t>
            </w:r>
            <w:r w:rsidR="00FD2C5B">
              <w:rPr>
                <w:noProof/>
                <w:webHidden/>
              </w:rPr>
              <w:tab/>
            </w:r>
            <w:r>
              <w:rPr>
                <w:noProof/>
                <w:webHidden/>
              </w:rPr>
              <w:fldChar w:fldCharType="begin"/>
            </w:r>
            <w:r w:rsidR="00FD2C5B">
              <w:rPr>
                <w:noProof/>
                <w:webHidden/>
              </w:rPr>
              <w:instrText xml:space="preserve"> PAGEREF _Toc224905487 \h </w:instrText>
            </w:r>
            <w:r>
              <w:rPr>
                <w:noProof/>
                <w:webHidden/>
              </w:rPr>
            </w:r>
            <w:r>
              <w:rPr>
                <w:noProof/>
                <w:webHidden/>
              </w:rPr>
              <w:fldChar w:fldCharType="separate"/>
            </w:r>
            <w:r w:rsidR="00FD2C5B">
              <w:rPr>
                <w:noProof/>
                <w:webHidden/>
              </w:rPr>
              <w:t>5</w:t>
            </w:r>
            <w:r>
              <w:rPr>
                <w:noProof/>
                <w:webHidden/>
              </w:rPr>
              <w:fldChar w:fldCharType="end"/>
            </w:r>
          </w:hyperlink>
        </w:p>
        <w:p w:rsidR="00FD2C5B" w:rsidRDefault="001150EA">
          <w:pPr>
            <w:pStyle w:val="TOC1"/>
            <w:tabs>
              <w:tab w:val="left" w:pos="440"/>
              <w:tab w:val="right" w:leader="dot" w:pos="9350"/>
            </w:tabs>
            <w:rPr>
              <w:noProof/>
            </w:rPr>
          </w:pPr>
          <w:hyperlink w:anchor="_Toc224905488" w:history="1">
            <w:r w:rsidR="00FD2C5B" w:rsidRPr="000402E0">
              <w:rPr>
                <w:rStyle w:val="Hyperlink"/>
                <w:noProof/>
              </w:rPr>
              <w:t>4.</w:t>
            </w:r>
            <w:r w:rsidR="00FD2C5B">
              <w:rPr>
                <w:noProof/>
              </w:rPr>
              <w:tab/>
            </w:r>
            <w:r w:rsidR="00FD2C5B" w:rsidRPr="000402E0">
              <w:rPr>
                <w:rStyle w:val="Hyperlink"/>
                <w:noProof/>
              </w:rPr>
              <w:t>Recommendations</w:t>
            </w:r>
            <w:r w:rsidR="00FD2C5B">
              <w:rPr>
                <w:noProof/>
                <w:webHidden/>
              </w:rPr>
              <w:tab/>
            </w:r>
            <w:r>
              <w:rPr>
                <w:noProof/>
                <w:webHidden/>
              </w:rPr>
              <w:fldChar w:fldCharType="begin"/>
            </w:r>
            <w:r w:rsidR="00FD2C5B">
              <w:rPr>
                <w:noProof/>
                <w:webHidden/>
              </w:rPr>
              <w:instrText xml:space="preserve"> PAGEREF _Toc224905488 \h </w:instrText>
            </w:r>
            <w:r>
              <w:rPr>
                <w:noProof/>
                <w:webHidden/>
              </w:rPr>
            </w:r>
            <w:r>
              <w:rPr>
                <w:noProof/>
                <w:webHidden/>
              </w:rPr>
              <w:fldChar w:fldCharType="separate"/>
            </w:r>
            <w:r w:rsidR="00FD2C5B">
              <w:rPr>
                <w:noProof/>
                <w:webHidden/>
              </w:rPr>
              <w:t>6</w:t>
            </w:r>
            <w:r>
              <w:rPr>
                <w:noProof/>
                <w:webHidden/>
              </w:rPr>
              <w:fldChar w:fldCharType="end"/>
            </w:r>
          </w:hyperlink>
        </w:p>
        <w:p w:rsidR="00FD2C5B" w:rsidRDefault="001150EA">
          <w:pPr>
            <w:pStyle w:val="TOC1"/>
            <w:tabs>
              <w:tab w:val="left" w:pos="440"/>
              <w:tab w:val="right" w:leader="dot" w:pos="9350"/>
            </w:tabs>
            <w:rPr>
              <w:noProof/>
            </w:rPr>
          </w:pPr>
          <w:hyperlink w:anchor="_Toc224905489" w:history="1">
            <w:r w:rsidR="00FD2C5B" w:rsidRPr="000402E0">
              <w:rPr>
                <w:rStyle w:val="Hyperlink"/>
                <w:noProof/>
              </w:rPr>
              <w:t>5.</w:t>
            </w:r>
            <w:r w:rsidR="00FD2C5B">
              <w:rPr>
                <w:noProof/>
              </w:rPr>
              <w:tab/>
            </w:r>
            <w:r w:rsidR="00FD2C5B" w:rsidRPr="000402E0">
              <w:rPr>
                <w:rStyle w:val="Hyperlink"/>
                <w:noProof/>
              </w:rPr>
              <w:t>Conclusion</w:t>
            </w:r>
            <w:r w:rsidR="00FD2C5B">
              <w:rPr>
                <w:noProof/>
                <w:webHidden/>
              </w:rPr>
              <w:tab/>
            </w:r>
            <w:r>
              <w:rPr>
                <w:noProof/>
                <w:webHidden/>
              </w:rPr>
              <w:fldChar w:fldCharType="begin"/>
            </w:r>
            <w:r w:rsidR="00FD2C5B">
              <w:rPr>
                <w:noProof/>
                <w:webHidden/>
              </w:rPr>
              <w:instrText xml:space="preserve"> PAGEREF _Toc224905489 \h </w:instrText>
            </w:r>
            <w:r>
              <w:rPr>
                <w:noProof/>
                <w:webHidden/>
              </w:rPr>
            </w:r>
            <w:r>
              <w:rPr>
                <w:noProof/>
                <w:webHidden/>
              </w:rPr>
              <w:fldChar w:fldCharType="separate"/>
            </w:r>
            <w:r w:rsidR="00FD2C5B">
              <w:rPr>
                <w:noProof/>
                <w:webHidden/>
              </w:rPr>
              <w:t>7</w:t>
            </w:r>
            <w:r>
              <w:rPr>
                <w:noProof/>
                <w:webHidden/>
              </w:rPr>
              <w:fldChar w:fldCharType="end"/>
            </w:r>
          </w:hyperlink>
        </w:p>
        <w:p w:rsidR="00FD2C5B" w:rsidRDefault="001150EA">
          <w:pPr>
            <w:pStyle w:val="TOC1"/>
            <w:tabs>
              <w:tab w:val="right" w:leader="dot" w:pos="9350"/>
            </w:tabs>
            <w:rPr>
              <w:noProof/>
            </w:rPr>
          </w:pPr>
          <w:hyperlink w:anchor="_Toc224905490" w:history="1">
            <w:r w:rsidR="00FD2C5B" w:rsidRPr="000402E0">
              <w:rPr>
                <w:rStyle w:val="Hyperlink"/>
                <w:noProof/>
              </w:rPr>
              <w:t>References</w:t>
            </w:r>
            <w:r w:rsidR="00FD2C5B">
              <w:rPr>
                <w:noProof/>
                <w:webHidden/>
              </w:rPr>
              <w:tab/>
            </w:r>
            <w:r>
              <w:rPr>
                <w:noProof/>
                <w:webHidden/>
              </w:rPr>
              <w:fldChar w:fldCharType="begin"/>
            </w:r>
            <w:r w:rsidR="00FD2C5B">
              <w:rPr>
                <w:noProof/>
                <w:webHidden/>
              </w:rPr>
              <w:instrText xml:space="preserve"> PAGEREF _Toc224905490 \h </w:instrText>
            </w:r>
            <w:r>
              <w:rPr>
                <w:noProof/>
                <w:webHidden/>
              </w:rPr>
            </w:r>
            <w:r>
              <w:rPr>
                <w:noProof/>
                <w:webHidden/>
              </w:rPr>
              <w:fldChar w:fldCharType="separate"/>
            </w:r>
            <w:r w:rsidR="00FD2C5B">
              <w:rPr>
                <w:noProof/>
                <w:webHidden/>
              </w:rPr>
              <w:t>8</w:t>
            </w:r>
            <w:r>
              <w:rPr>
                <w:noProof/>
                <w:webHidden/>
              </w:rPr>
              <w:fldChar w:fldCharType="end"/>
            </w:r>
          </w:hyperlink>
        </w:p>
        <w:p w:rsidR="00FD2C5B" w:rsidRDefault="001150EA">
          <w:r>
            <w:fldChar w:fldCharType="end"/>
          </w:r>
        </w:p>
      </w:sdtContent>
    </w:sdt>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Default="00FD2C5B" w:rsidP="00292EFC">
      <w:pPr>
        <w:spacing w:after="0" w:line="240" w:lineRule="auto"/>
        <w:rPr>
          <w:rFonts w:ascii="Times New Roman" w:eastAsia="Times New Roman" w:hAnsi="Times New Roman" w:cs="Times New Roman"/>
          <w:sz w:val="24"/>
          <w:szCs w:val="24"/>
        </w:rPr>
      </w:pPr>
    </w:p>
    <w:p w:rsidR="00FD2C5B" w:rsidRPr="00292EFC" w:rsidRDefault="00FD2C5B" w:rsidP="00292EFC">
      <w:pPr>
        <w:spacing w:after="0" w:line="240" w:lineRule="auto"/>
        <w:rPr>
          <w:rFonts w:ascii="Times New Roman" w:eastAsia="Times New Roman" w:hAnsi="Times New Roman" w:cs="Times New Roman"/>
          <w:sz w:val="24"/>
          <w:szCs w:val="24"/>
        </w:rPr>
      </w:pPr>
    </w:p>
    <w:p w:rsidR="00546CF1" w:rsidRPr="00187DEB" w:rsidRDefault="00546CF1" w:rsidP="00187DEB">
      <w:pPr>
        <w:pStyle w:val="Heading1"/>
        <w:numPr>
          <w:ilvl w:val="0"/>
          <w:numId w:val="1"/>
        </w:numPr>
        <w:rPr>
          <w:sz w:val="28"/>
        </w:rPr>
      </w:pPr>
      <w:bookmarkStart w:id="0" w:name="_Toc224905485"/>
      <w:r w:rsidRPr="00187DEB">
        <w:rPr>
          <w:sz w:val="28"/>
        </w:rPr>
        <w:lastRenderedPageBreak/>
        <w:t>Introduction</w:t>
      </w:r>
      <w:bookmarkEnd w:id="0"/>
    </w:p>
    <w:p w:rsidR="00546CF1" w:rsidRPr="00187DEB" w:rsidRDefault="00546CF1" w:rsidP="00187DEB">
      <w:pPr>
        <w:spacing w:line="360" w:lineRule="auto"/>
        <w:jc w:val="both"/>
        <w:rPr>
          <w:rFonts w:ascii="Arial" w:hAnsi="Arial" w:cs="Arial"/>
          <w:sz w:val="24"/>
          <w:szCs w:val="24"/>
        </w:rPr>
      </w:pPr>
      <w:r w:rsidRPr="00187DEB">
        <w:rPr>
          <w:rFonts w:ascii="Arial" w:hAnsi="Arial" w:cs="Arial"/>
          <w:sz w:val="24"/>
          <w:szCs w:val="24"/>
        </w:rPr>
        <w:t xml:space="preserve">Communication forms the foundation of a successful organisation, as it facilitates the smooth flow of information, ideas, and decisions within an organisation at all levels. In the modern world of </w:t>
      </w:r>
      <w:proofErr w:type="spellStart"/>
      <w:r w:rsidRPr="00187DEB">
        <w:rPr>
          <w:rFonts w:ascii="Arial" w:hAnsi="Arial" w:cs="Arial"/>
          <w:sz w:val="24"/>
          <w:szCs w:val="24"/>
        </w:rPr>
        <w:t>globalisation</w:t>
      </w:r>
      <w:proofErr w:type="spellEnd"/>
      <w:r w:rsidRPr="00187DEB">
        <w:rPr>
          <w:rFonts w:ascii="Arial" w:hAnsi="Arial" w:cs="Arial"/>
          <w:sz w:val="24"/>
          <w:szCs w:val="24"/>
        </w:rPr>
        <w:t xml:space="preserve"> and competition, articulate and efficient communication is not only an operational requirement but also strategic asset. This report explores the concept of communication in the business environment and looks at the different forms of communication, the challenges that organisations encounter and the strategies applied to overcome the same.</w:t>
      </w:r>
    </w:p>
    <w:p w:rsidR="00546CF1" w:rsidRPr="00187DEB" w:rsidRDefault="00546CF1" w:rsidP="00187DEB">
      <w:pPr>
        <w:spacing w:line="360" w:lineRule="auto"/>
        <w:jc w:val="both"/>
        <w:rPr>
          <w:rFonts w:ascii="Arial" w:hAnsi="Arial" w:cs="Arial"/>
          <w:sz w:val="24"/>
          <w:szCs w:val="24"/>
        </w:rPr>
      </w:pPr>
      <w:r w:rsidRPr="00187DEB">
        <w:rPr>
          <w:rFonts w:ascii="Arial" w:hAnsi="Arial" w:cs="Arial"/>
          <w:sz w:val="24"/>
          <w:szCs w:val="24"/>
        </w:rPr>
        <w:t>Toyota Motor Corporation is one of the largest and most admired automobile producers in the world that is based in Toyota City, Japan and is the company that is under analysis. Having operations in more than 170 countries, and employing more than 370,000 people across the globe (Toyota, 2023),</w:t>
      </w:r>
      <w:r w:rsidR="00187DEB">
        <w:rPr>
          <w:rFonts w:ascii="Arial" w:hAnsi="Arial" w:cs="Arial"/>
          <w:sz w:val="24"/>
          <w:szCs w:val="24"/>
        </w:rPr>
        <w:t xml:space="preserve"> Toyota is an important </w:t>
      </w:r>
      <w:r w:rsidRPr="00187DEB">
        <w:rPr>
          <w:rFonts w:ascii="Arial" w:hAnsi="Arial" w:cs="Arial"/>
          <w:sz w:val="24"/>
          <w:szCs w:val="24"/>
        </w:rPr>
        <w:t>case study to study how communication works, and in some cases, does not work in a large, multinational organisation.</w:t>
      </w:r>
    </w:p>
    <w:p w:rsidR="00546CF1" w:rsidRPr="00187DEB" w:rsidRDefault="00546CF1" w:rsidP="00187DEB">
      <w:pPr>
        <w:pStyle w:val="Heading1"/>
        <w:numPr>
          <w:ilvl w:val="0"/>
          <w:numId w:val="1"/>
        </w:numPr>
        <w:rPr>
          <w:sz w:val="28"/>
        </w:rPr>
      </w:pPr>
      <w:bookmarkStart w:id="1" w:name="_Toc224905486"/>
      <w:r w:rsidRPr="00187DEB">
        <w:rPr>
          <w:sz w:val="28"/>
        </w:rPr>
        <w:t>Communication and Methods</w:t>
      </w:r>
      <w:bookmarkEnd w:id="1"/>
    </w:p>
    <w:p w:rsidR="00187DEB" w:rsidRPr="00187DEB" w:rsidRDefault="00187DEB" w:rsidP="00187DEB">
      <w:pPr>
        <w:spacing w:line="360" w:lineRule="auto"/>
        <w:jc w:val="both"/>
        <w:rPr>
          <w:rFonts w:ascii="Arial" w:hAnsi="Arial" w:cs="Arial"/>
          <w:sz w:val="24"/>
          <w:szCs w:val="24"/>
        </w:rPr>
      </w:pPr>
      <w:r w:rsidRPr="00187DEB">
        <w:rPr>
          <w:rFonts w:ascii="Arial" w:hAnsi="Arial" w:cs="Arial"/>
          <w:sz w:val="24"/>
          <w:szCs w:val="24"/>
        </w:rPr>
        <w:t xml:space="preserve">In business, communication refers to the process or act of exchanging information, ideas and meaning between and among individuals or groups within and outside an organisation to achieve some desired outcomes (Robbins and Judge, 2019). Effective business communication does not only involve passage of a message but also involves ensuring that the message is received, understood and responded to in a way that it also propels organisational goals. Communication, as it is claimed by researchers such as </w:t>
      </w:r>
      <w:proofErr w:type="spellStart"/>
      <w:r w:rsidRPr="00187DEB">
        <w:rPr>
          <w:rFonts w:ascii="Arial" w:hAnsi="Arial" w:cs="Arial"/>
          <w:sz w:val="24"/>
          <w:szCs w:val="24"/>
        </w:rPr>
        <w:t>Bovee</w:t>
      </w:r>
      <w:proofErr w:type="spellEnd"/>
      <w:r w:rsidRPr="00187DEB">
        <w:rPr>
          <w:rFonts w:ascii="Arial" w:hAnsi="Arial" w:cs="Arial"/>
          <w:sz w:val="24"/>
          <w:szCs w:val="24"/>
        </w:rPr>
        <w:t xml:space="preserve"> and </w:t>
      </w:r>
      <w:proofErr w:type="spellStart"/>
      <w:r w:rsidRPr="00187DEB">
        <w:rPr>
          <w:rFonts w:ascii="Arial" w:hAnsi="Arial" w:cs="Arial"/>
          <w:sz w:val="24"/>
          <w:szCs w:val="24"/>
        </w:rPr>
        <w:t>Thill</w:t>
      </w:r>
      <w:proofErr w:type="spellEnd"/>
      <w:r w:rsidRPr="00187DEB">
        <w:rPr>
          <w:rFonts w:ascii="Arial" w:hAnsi="Arial" w:cs="Arial"/>
          <w:sz w:val="24"/>
          <w:szCs w:val="24"/>
        </w:rPr>
        <w:t xml:space="preserve"> (2021), is a cause of increased productivity, better relations, reduced errors, and the establishment of a culture of trust and cooperation. In addition, communication is a very important factor in decision-making processes, conflict resolution, and employee engagement, which are important in organisational performance in a competitive global environment.</w:t>
      </w:r>
    </w:p>
    <w:p w:rsidR="00187DEB" w:rsidRPr="00187DEB" w:rsidRDefault="00187DEB" w:rsidP="00187DEB">
      <w:pPr>
        <w:spacing w:line="360" w:lineRule="auto"/>
        <w:jc w:val="both"/>
        <w:rPr>
          <w:rFonts w:ascii="Arial" w:hAnsi="Arial" w:cs="Arial"/>
          <w:sz w:val="24"/>
          <w:szCs w:val="24"/>
        </w:rPr>
      </w:pPr>
      <w:r w:rsidRPr="00187DEB">
        <w:rPr>
          <w:rFonts w:ascii="Arial" w:hAnsi="Arial" w:cs="Arial"/>
          <w:sz w:val="24"/>
          <w:szCs w:val="24"/>
        </w:rPr>
        <w:t>Businesses apply a range of communication strategies and are primarily categorized into verbal, non-verbal, written and digital communications. All these forms have a certain purpose and are frequently combined to promote clarity and efficiency.</w:t>
      </w:r>
    </w:p>
    <w:p w:rsidR="00187DEB" w:rsidRPr="00187DEB" w:rsidRDefault="00187DEB" w:rsidP="00187DEB">
      <w:pPr>
        <w:spacing w:line="360" w:lineRule="auto"/>
        <w:jc w:val="both"/>
        <w:rPr>
          <w:rFonts w:ascii="Arial" w:hAnsi="Arial" w:cs="Arial"/>
          <w:sz w:val="24"/>
          <w:szCs w:val="24"/>
        </w:rPr>
      </w:pPr>
      <w:r w:rsidRPr="00187DEB">
        <w:rPr>
          <w:rFonts w:ascii="Arial" w:hAnsi="Arial" w:cs="Arial"/>
          <w:sz w:val="24"/>
          <w:szCs w:val="24"/>
        </w:rPr>
        <w:lastRenderedPageBreak/>
        <w:t xml:space="preserve">One of the most immediate and direct ways of communication is face-to-face and telephone verbal communication. At Toyota, verbal communication is entrenched within the operating philosophy of the company in the form of </w:t>
      </w:r>
      <w:proofErr w:type="spellStart"/>
      <w:r w:rsidRPr="00187DEB">
        <w:rPr>
          <w:rFonts w:ascii="Arial" w:hAnsi="Arial" w:cs="Arial"/>
          <w:sz w:val="24"/>
          <w:szCs w:val="24"/>
        </w:rPr>
        <w:t>Nemawashi</w:t>
      </w:r>
      <w:proofErr w:type="spellEnd"/>
      <w:r w:rsidRPr="00187DEB">
        <w:rPr>
          <w:rFonts w:ascii="Arial" w:hAnsi="Arial" w:cs="Arial"/>
          <w:sz w:val="24"/>
          <w:szCs w:val="24"/>
        </w:rPr>
        <w:t xml:space="preserve"> (consensus-building discussions) and </w:t>
      </w:r>
      <w:proofErr w:type="spellStart"/>
      <w:r w:rsidRPr="00187DEB">
        <w:rPr>
          <w:rFonts w:ascii="Arial" w:hAnsi="Arial" w:cs="Arial"/>
          <w:sz w:val="24"/>
          <w:szCs w:val="24"/>
        </w:rPr>
        <w:t>Genchi</w:t>
      </w:r>
      <w:proofErr w:type="spellEnd"/>
      <w:r w:rsidRPr="00187DEB">
        <w:rPr>
          <w:rFonts w:ascii="Arial" w:hAnsi="Arial" w:cs="Arial"/>
          <w:sz w:val="24"/>
          <w:szCs w:val="24"/>
        </w:rPr>
        <w:t xml:space="preserve"> </w:t>
      </w:r>
      <w:proofErr w:type="spellStart"/>
      <w:r w:rsidRPr="00187DEB">
        <w:rPr>
          <w:rFonts w:ascii="Arial" w:hAnsi="Arial" w:cs="Arial"/>
          <w:sz w:val="24"/>
          <w:szCs w:val="24"/>
        </w:rPr>
        <w:t>Genbutsu</w:t>
      </w:r>
      <w:proofErr w:type="spellEnd"/>
      <w:r w:rsidRPr="00187DEB">
        <w:rPr>
          <w:rFonts w:ascii="Arial" w:hAnsi="Arial" w:cs="Arial"/>
          <w:sz w:val="24"/>
          <w:szCs w:val="24"/>
        </w:rPr>
        <w:t xml:space="preserve"> (going to the source to gather information first-hand). The practices encourage open communication between employees and supervisors in the production floor and in the process; problems are easily traced and resolved (Liker, 2004). Moreover, the practices allow the employees to share ideas, and this builds on the continuous improvement (Kaizen) in the organisation.</w:t>
      </w:r>
    </w:p>
    <w:p w:rsidR="00187DEB" w:rsidRPr="00187DEB" w:rsidRDefault="00187DEB" w:rsidP="00187DEB">
      <w:pPr>
        <w:spacing w:line="360" w:lineRule="auto"/>
        <w:jc w:val="both"/>
        <w:rPr>
          <w:rFonts w:ascii="Arial" w:hAnsi="Arial" w:cs="Arial"/>
          <w:sz w:val="24"/>
          <w:szCs w:val="24"/>
        </w:rPr>
      </w:pPr>
      <w:r w:rsidRPr="00187DEB">
        <w:rPr>
          <w:rFonts w:ascii="Arial" w:hAnsi="Arial" w:cs="Arial"/>
          <w:sz w:val="24"/>
          <w:szCs w:val="24"/>
        </w:rPr>
        <w:t xml:space="preserve">Written communication entails emails, reports, memos and official papers. To a great extent, Toyota depends on </w:t>
      </w:r>
      <w:proofErr w:type="spellStart"/>
      <w:r w:rsidRPr="00187DEB">
        <w:rPr>
          <w:rFonts w:ascii="Arial" w:hAnsi="Arial" w:cs="Arial"/>
          <w:sz w:val="24"/>
          <w:szCs w:val="24"/>
        </w:rPr>
        <w:t>standardised</w:t>
      </w:r>
      <w:proofErr w:type="spellEnd"/>
      <w:r w:rsidRPr="00187DEB">
        <w:rPr>
          <w:rFonts w:ascii="Arial" w:hAnsi="Arial" w:cs="Arial"/>
          <w:sz w:val="24"/>
          <w:szCs w:val="24"/>
        </w:rPr>
        <w:t xml:space="preserve"> written procedures and manuals to ensure the uniformity of its operations across the international level. The Toyota Production System (TPS) documentation, e.g., also presents written guidelines which are transmitted among the workers in different parts of the world to guarantee quality and uniformity (Womack and Jones, 2003). Such formalisation minimises doubt and promotes adherence to the </w:t>
      </w:r>
      <w:r>
        <w:rPr>
          <w:rFonts w:ascii="Arial" w:hAnsi="Arial" w:cs="Arial"/>
          <w:sz w:val="24"/>
          <w:szCs w:val="24"/>
        </w:rPr>
        <w:t>operational-standards in multiple</w:t>
      </w:r>
      <w:r w:rsidRPr="00187DEB">
        <w:rPr>
          <w:rFonts w:ascii="Arial" w:hAnsi="Arial" w:cs="Arial"/>
          <w:sz w:val="24"/>
          <w:szCs w:val="24"/>
        </w:rPr>
        <w:t xml:space="preserve"> cultural and regulatory settings.</w:t>
      </w:r>
    </w:p>
    <w:p w:rsidR="00187DEB" w:rsidRPr="00187DEB" w:rsidRDefault="002B56A8" w:rsidP="00187DEB">
      <w:pPr>
        <w:spacing w:line="360" w:lineRule="auto"/>
        <w:jc w:val="both"/>
        <w:rPr>
          <w:rFonts w:ascii="Arial" w:hAnsi="Arial" w:cs="Arial"/>
          <w:sz w:val="24"/>
          <w:szCs w:val="24"/>
        </w:rPr>
      </w:pPr>
      <w:r>
        <w:rPr>
          <w:rFonts w:ascii="Arial" w:hAnsi="Arial" w:cs="Arial"/>
          <w:sz w:val="24"/>
          <w:szCs w:val="24"/>
        </w:rPr>
        <w:t>As</w:t>
      </w:r>
      <w:r w:rsidR="00187DEB" w:rsidRPr="00187DEB">
        <w:rPr>
          <w:rFonts w:ascii="Arial" w:hAnsi="Arial" w:cs="Arial"/>
          <w:sz w:val="24"/>
          <w:szCs w:val="24"/>
        </w:rPr>
        <w:t xml:space="preserve"> </w:t>
      </w:r>
      <w:r w:rsidR="00CE6E93">
        <w:rPr>
          <w:rFonts w:ascii="Arial" w:hAnsi="Arial" w:cs="Arial"/>
          <w:sz w:val="24"/>
          <w:szCs w:val="24"/>
        </w:rPr>
        <w:t xml:space="preserve">the </w:t>
      </w:r>
      <w:r w:rsidR="00187DEB" w:rsidRPr="00187DEB">
        <w:rPr>
          <w:rFonts w:ascii="Arial" w:hAnsi="Arial" w:cs="Arial"/>
          <w:sz w:val="24"/>
          <w:szCs w:val="24"/>
        </w:rPr>
        <w:t xml:space="preserve">electronic communication has </w:t>
      </w:r>
      <w:r w:rsidR="00CE6E93">
        <w:rPr>
          <w:rFonts w:ascii="Arial" w:hAnsi="Arial" w:cs="Arial"/>
          <w:sz w:val="24"/>
          <w:szCs w:val="24"/>
        </w:rPr>
        <w:t>risen</w:t>
      </w:r>
      <w:r w:rsidR="00187DEB" w:rsidRPr="00187DEB">
        <w:rPr>
          <w:rFonts w:ascii="Arial" w:hAnsi="Arial" w:cs="Arial"/>
          <w:sz w:val="24"/>
          <w:szCs w:val="24"/>
        </w:rPr>
        <w:t xml:space="preserve"> s</w:t>
      </w:r>
      <w:r w:rsidR="00CE6E93">
        <w:rPr>
          <w:rFonts w:ascii="Arial" w:hAnsi="Arial" w:cs="Arial"/>
          <w:sz w:val="24"/>
          <w:szCs w:val="24"/>
        </w:rPr>
        <w:t>ignificantly over the years,</w:t>
      </w:r>
      <w:r w:rsidR="00187DEB" w:rsidRPr="00187DEB">
        <w:rPr>
          <w:rFonts w:ascii="Arial" w:hAnsi="Arial" w:cs="Arial"/>
          <w:sz w:val="24"/>
          <w:szCs w:val="24"/>
        </w:rPr>
        <w:t xml:space="preserve"> Toyota Company has in-house digital platforms and enterprise resource planning (ERP) systems to facilitate real-time communication between departments and foreign plants. The video conferencing tools gained particular popularity because </w:t>
      </w:r>
      <w:r w:rsidR="00CE6E93">
        <w:rPr>
          <w:rFonts w:ascii="Arial" w:hAnsi="Arial" w:cs="Arial"/>
          <w:sz w:val="24"/>
          <w:szCs w:val="24"/>
        </w:rPr>
        <w:t xml:space="preserve">of the COVID-19 pandemic since </w:t>
      </w:r>
      <w:r w:rsidR="00187DEB" w:rsidRPr="00187DEB">
        <w:rPr>
          <w:rFonts w:ascii="Arial" w:hAnsi="Arial" w:cs="Arial"/>
          <w:sz w:val="24"/>
          <w:szCs w:val="24"/>
        </w:rPr>
        <w:t>cross-border teams had to collaborate, yet they could not do it in person (Toyota Annual Report, 2022). These technologies have enhanced speed, access and coordination though they have also brought about issues of information overload and less personal interaction.</w:t>
      </w:r>
    </w:p>
    <w:p w:rsidR="00187DEB" w:rsidRPr="00187DEB" w:rsidRDefault="00187DEB" w:rsidP="00187DEB">
      <w:pPr>
        <w:spacing w:line="360" w:lineRule="auto"/>
        <w:jc w:val="both"/>
        <w:rPr>
          <w:rFonts w:ascii="Arial" w:hAnsi="Arial" w:cs="Arial"/>
          <w:sz w:val="24"/>
          <w:szCs w:val="24"/>
        </w:rPr>
      </w:pPr>
      <w:r w:rsidRPr="00187DEB">
        <w:rPr>
          <w:rFonts w:ascii="Arial" w:hAnsi="Arial" w:cs="Arial"/>
          <w:sz w:val="24"/>
          <w:szCs w:val="24"/>
        </w:rPr>
        <w:t xml:space="preserve">Other elements of non-verbal communication that are significant in cross-cultural interactions include body language, intonation and visual cues. The communicative implications of cultural practices in Toyota based on the Japanese headquarters like bowing and indirect speech </w:t>
      </w:r>
      <w:r w:rsidR="00CE6E93" w:rsidRPr="00187DEB">
        <w:rPr>
          <w:rFonts w:ascii="Arial" w:hAnsi="Arial" w:cs="Arial"/>
          <w:sz w:val="24"/>
          <w:szCs w:val="24"/>
        </w:rPr>
        <w:t>cannot</w:t>
      </w:r>
      <w:r w:rsidRPr="00187DEB">
        <w:rPr>
          <w:rFonts w:ascii="Arial" w:hAnsi="Arial" w:cs="Arial"/>
          <w:sz w:val="24"/>
          <w:szCs w:val="24"/>
        </w:rPr>
        <w:t xml:space="preserve"> be immediately obvious to employees who are based in the West. Arguably, cultural awareness is the key to preventing misunderstandings arising as a result of the misinterpretation of such cues in the global organisations.</w:t>
      </w:r>
    </w:p>
    <w:p w:rsidR="00546CF1" w:rsidRPr="00187DEB" w:rsidRDefault="00187DEB" w:rsidP="00187DEB">
      <w:pPr>
        <w:spacing w:line="360" w:lineRule="auto"/>
        <w:jc w:val="both"/>
        <w:rPr>
          <w:rFonts w:ascii="Arial" w:hAnsi="Arial" w:cs="Arial"/>
          <w:sz w:val="24"/>
          <w:szCs w:val="24"/>
        </w:rPr>
      </w:pPr>
      <w:r w:rsidRPr="00187DEB">
        <w:rPr>
          <w:rFonts w:ascii="Arial" w:hAnsi="Arial" w:cs="Arial"/>
          <w:sz w:val="24"/>
          <w:szCs w:val="24"/>
        </w:rPr>
        <w:lastRenderedPageBreak/>
        <w:t>Each of these techniques plays a specific role and the most successful organisations like Toyota apply them all in coordinated fashion to ensure that flow of information is clear, consistent and timely in all directions. By using such an integrated communication strategy, organisations can effectively address internal problems and external market forces.</w:t>
      </w:r>
    </w:p>
    <w:p w:rsidR="00546CF1" w:rsidRPr="00CE6E93" w:rsidRDefault="00546CF1" w:rsidP="00CE6E93">
      <w:pPr>
        <w:pStyle w:val="Heading1"/>
        <w:numPr>
          <w:ilvl w:val="0"/>
          <w:numId w:val="1"/>
        </w:numPr>
        <w:rPr>
          <w:sz w:val="28"/>
        </w:rPr>
      </w:pPr>
      <w:bookmarkStart w:id="2" w:name="_Toc224905487"/>
      <w:r w:rsidRPr="00CE6E93">
        <w:rPr>
          <w:sz w:val="28"/>
        </w:rPr>
        <w:t>Common Issues</w:t>
      </w:r>
      <w:bookmarkEnd w:id="2"/>
    </w:p>
    <w:p w:rsidR="00546CF1" w:rsidRPr="00187DEB" w:rsidRDefault="00546CF1" w:rsidP="00187DEB">
      <w:pPr>
        <w:spacing w:line="360" w:lineRule="auto"/>
        <w:jc w:val="both"/>
        <w:rPr>
          <w:rFonts w:ascii="Arial" w:hAnsi="Arial" w:cs="Arial"/>
          <w:sz w:val="24"/>
          <w:szCs w:val="24"/>
        </w:rPr>
      </w:pPr>
      <w:r w:rsidRPr="00187DEB">
        <w:rPr>
          <w:rFonts w:ascii="Arial" w:hAnsi="Arial" w:cs="Arial"/>
          <w:sz w:val="24"/>
          <w:szCs w:val="24"/>
        </w:rPr>
        <w:t>Although Toyota has advanced communication networks and management philosophy that have recognised its presence globally, communication problems are not an issue with the organisation. There are a number of problems which are recurring to any business of the magnitude and complexity of Toyota.</w:t>
      </w:r>
    </w:p>
    <w:p w:rsidR="00546CF1" w:rsidRPr="00187DEB" w:rsidRDefault="00546CF1" w:rsidP="00187DEB">
      <w:pPr>
        <w:spacing w:line="360" w:lineRule="auto"/>
        <w:jc w:val="both"/>
        <w:rPr>
          <w:rFonts w:ascii="Arial" w:hAnsi="Arial" w:cs="Arial"/>
          <w:sz w:val="24"/>
          <w:szCs w:val="24"/>
        </w:rPr>
      </w:pPr>
      <w:r w:rsidRPr="00187DEB">
        <w:rPr>
          <w:rFonts w:ascii="Arial" w:hAnsi="Arial" w:cs="Arial"/>
          <w:sz w:val="24"/>
          <w:szCs w:val="24"/>
        </w:rPr>
        <w:t xml:space="preserve">One of the most important issues with multinational organisations is the barrier of culture and language. Toyota functions within entirely different cultures- Japan to United States, United Kingdom, and Southeast Asia. </w:t>
      </w:r>
      <w:proofErr w:type="spellStart"/>
      <w:r w:rsidRPr="00187DEB">
        <w:rPr>
          <w:rFonts w:ascii="Arial" w:hAnsi="Arial" w:cs="Arial"/>
          <w:sz w:val="24"/>
          <w:szCs w:val="24"/>
        </w:rPr>
        <w:t>Hofstede</w:t>
      </w:r>
      <w:proofErr w:type="spellEnd"/>
      <w:r w:rsidRPr="00187DEB">
        <w:rPr>
          <w:rFonts w:ascii="Arial" w:hAnsi="Arial" w:cs="Arial"/>
          <w:sz w:val="24"/>
          <w:szCs w:val="24"/>
        </w:rPr>
        <w:t xml:space="preserve"> (2011) observes that power distance, individualism, and uncertainty avoidance are some of cultural dimensions that have a significant impact on the way the employees perceive and react to any communication. Most of the content of high-context communication, such as in Japan, is implicit and context-specific, and in low-context communication, as in the United States, individuals expect clear-cut messages (</w:t>
      </w:r>
      <w:proofErr w:type="spellStart"/>
      <w:r w:rsidRPr="00187DEB">
        <w:rPr>
          <w:rFonts w:ascii="Arial" w:hAnsi="Arial" w:cs="Arial"/>
          <w:sz w:val="24"/>
          <w:szCs w:val="24"/>
        </w:rPr>
        <w:t>Commisso</w:t>
      </w:r>
      <w:proofErr w:type="spellEnd"/>
      <w:r w:rsidRPr="00187DEB">
        <w:rPr>
          <w:rFonts w:ascii="Arial" w:hAnsi="Arial" w:cs="Arial"/>
          <w:sz w:val="24"/>
          <w:szCs w:val="24"/>
        </w:rPr>
        <w:t xml:space="preserve"> and </w:t>
      </w:r>
      <w:proofErr w:type="spellStart"/>
      <w:r w:rsidRPr="00187DEB">
        <w:rPr>
          <w:rFonts w:ascii="Arial" w:hAnsi="Arial" w:cs="Arial"/>
          <w:sz w:val="24"/>
          <w:szCs w:val="24"/>
        </w:rPr>
        <w:t>Engwall</w:t>
      </w:r>
      <w:proofErr w:type="spellEnd"/>
      <w:r w:rsidRPr="00187DEB">
        <w:rPr>
          <w:rFonts w:ascii="Arial" w:hAnsi="Arial" w:cs="Arial"/>
          <w:sz w:val="24"/>
          <w:szCs w:val="24"/>
        </w:rPr>
        <w:t>, 2021); Hall, 1976). This is an underlying disparity that has led to tension in the international operations of Toyota. As an example, Japanese managers who are used to indirect styles of communication have occasionally been reliant on communicating expectations in a straightforward manner to the American employees who expect things to be straight forward, thus creating misunderstandings in the production floor (Takeuchi et al., 2008); Liker, 2004).</w:t>
      </w:r>
    </w:p>
    <w:p w:rsidR="00546CF1" w:rsidRPr="00187DEB" w:rsidRDefault="00546CF1" w:rsidP="00187DEB">
      <w:pPr>
        <w:spacing w:line="360" w:lineRule="auto"/>
        <w:jc w:val="both"/>
        <w:rPr>
          <w:rFonts w:ascii="Arial" w:hAnsi="Arial" w:cs="Arial"/>
          <w:sz w:val="24"/>
          <w:szCs w:val="24"/>
        </w:rPr>
      </w:pPr>
      <w:r w:rsidRPr="00187DEB">
        <w:rPr>
          <w:rFonts w:ascii="Arial" w:hAnsi="Arial" w:cs="Arial"/>
          <w:sz w:val="24"/>
          <w:szCs w:val="24"/>
        </w:rPr>
        <w:t xml:space="preserve">This is also challenged by hierarchical barriers of communication. Although the organisational structure of Toyota is aimed at effectiveness, it is quite hierarchical. Information in these structures is usually slow in flows downwards and even more resistant in flowing upwards. The production line workers might be reluctant to disclose issues to the top management as a sign of respect towards authority or fear of </w:t>
      </w:r>
      <w:r w:rsidRPr="00187DEB">
        <w:rPr>
          <w:rFonts w:ascii="Arial" w:hAnsi="Arial" w:cs="Arial"/>
          <w:sz w:val="24"/>
          <w:szCs w:val="24"/>
        </w:rPr>
        <w:lastRenderedPageBreak/>
        <w:t xml:space="preserve">repercussion, which is </w:t>
      </w:r>
      <w:r w:rsidR="00CE6E93" w:rsidRPr="00187DEB">
        <w:rPr>
          <w:rFonts w:ascii="Arial" w:hAnsi="Arial" w:cs="Arial"/>
          <w:sz w:val="24"/>
          <w:szCs w:val="24"/>
        </w:rPr>
        <w:t>what,</w:t>
      </w:r>
      <w:r w:rsidRPr="00187DEB">
        <w:rPr>
          <w:rFonts w:ascii="Arial" w:hAnsi="Arial" w:cs="Arial"/>
          <w:sz w:val="24"/>
          <w:szCs w:val="24"/>
        </w:rPr>
        <w:t xml:space="preserve"> is referred to as communication apprehension (</w:t>
      </w:r>
      <w:proofErr w:type="spellStart"/>
      <w:r w:rsidRPr="00187DEB">
        <w:rPr>
          <w:rFonts w:ascii="Arial" w:hAnsi="Arial" w:cs="Arial"/>
          <w:sz w:val="24"/>
          <w:szCs w:val="24"/>
        </w:rPr>
        <w:t>McCroskey</w:t>
      </w:r>
      <w:proofErr w:type="spellEnd"/>
      <w:r w:rsidRPr="00187DEB">
        <w:rPr>
          <w:rFonts w:ascii="Arial" w:hAnsi="Arial" w:cs="Arial"/>
          <w:sz w:val="24"/>
          <w:szCs w:val="24"/>
        </w:rPr>
        <w:t>, 2009). This was seen through the case of Toyota 2009-2010 recall crisis whereby cases of unintended acceleration in cars were known at lower levels but could not be conveniently escalated to the senior leadership in good time, leading to the recall of more than eight million cars across the world and high reputational losses (</w:t>
      </w:r>
      <w:proofErr w:type="spellStart"/>
      <w:r w:rsidRPr="00187DEB">
        <w:rPr>
          <w:rFonts w:ascii="Arial" w:hAnsi="Arial" w:cs="Arial"/>
          <w:sz w:val="24"/>
          <w:szCs w:val="24"/>
        </w:rPr>
        <w:t>Rechtin</w:t>
      </w:r>
      <w:proofErr w:type="spellEnd"/>
      <w:r w:rsidRPr="00187DEB">
        <w:rPr>
          <w:rFonts w:ascii="Arial" w:hAnsi="Arial" w:cs="Arial"/>
          <w:sz w:val="24"/>
          <w:szCs w:val="24"/>
        </w:rPr>
        <w:t>, 2010).</w:t>
      </w:r>
    </w:p>
    <w:p w:rsidR="00546CF1" w:rsidRPr="00187DEB" w:rsidRDefault="00546CF1" w:rsidP="00187DEB">
      <w:pPr>
        <w:spacing w:line="360" w:lineRule="auto"/>
        <w:jc w:val="both"/>
        <w:rPr>
          <w:rFonts w:ascii="Arial" w:hAnsi="Arial" w:cs="Arial"/>
          <w:sz w:val="24"/>
          <w:szCs w:val="24"/>
        </w:rPr>
      </w:pPr>
      <w:r w:rsidRPr="00187DEB">
        <w:rPr>
          <w:rFonts w:ascii="Arial" w:hAnsi="Arial" w:cs="Arial"/>
          <w:sz w:val="24"/>
          <w:szCs w:val="24"/>
        </w:rPr>
        <w:t xml:space="preserve">Another challenge is miscommunication among international groups, especially where there is the translation of messages between languages. Even minor mistakes during the translation process can distort a safety manual, quality requirements or strategy directions. The </w:t>
      </w:r>
      <w:proofErr w:type="spellStart"/>
      <w:r w:rsidRPr="00187DEB">
        <w:rPr>
          <w:rFonts w:ascii="Arial" w:hAnsi="Arial" w:cs="Arial"/>
          <w:sz w:val="24"/>
          <w:szCs w:val="24"/>
        </w:rPr>
        <w:t>standardised</w:t>
      </w:r>
      <w:proofErr w:type="spellEnd"/>
      <w:r w:rsidRPr="00187DEB">
        <w:rPr>
          <w:rFonts w:ascii="Arial" w:hAnsi="Arial" w:cs="Arial"/>
          <w:sz w:val="24"/>
          <w:szCs w:val="24"/>
        </w:rPr>
        <w:t xml:space="preserve"> documentation of the TPS, which was originally in Japanese, has sometimes been deprived of subtlety on translation in the case of Toyota, thus, causing uneven application of the procedures in foreign plants (Womack and Jones, 2003).</w:t>
      </w:r>
    </w:p>
    <w:p w:rsidR="00546CF1" w:rsidRPr="00187DEB" w:rsidRDefault="00546CF1" w:rsidP="00187DEB">
      <w:pPr>
        <w:spacing w:line="360" w:lineRule="auto"/>
        <w:jc w:val="both"/>
        <w:rPr>
          <w:rFonts w:ascii="Arial" w:hAnsi="Arial" w:cs="Arial"/>
          <w:sz w:val="24"/>
          <w:szCs w:val="24"/>
        </w:rPr>
      </w:pPr>
      <w:r w:rsidRPr="00187DEB">
        <w:rPr>
          <w:rFonts w:ascii="Arial" w:hAnsi="Arial" w:cs="Arial"/>
          <w:sz w:val="24"/>
          <w:szCs w:val="24"/>
        </w:rPr>
        <w:t>These problems explain why even a globally renowned organisation like Toyota has to be in a constant struggle to deal with the intricate communication interactions posed by a workforce that is large and culturally diverse.</w:t>
      </w:r>
    </w:p>
    <w:p w:rsidR="00546CF1" w:rsidRPr="00CE6E93" w:rsidRDefault="00546CF1" w:rsidP="00CE6E93">
      <w:pPr>
        <w:pStyle w:val="Heading1"/>
        <w:numPr>
          <w:ilvl w:val="0"/>
          <w:numId w:val="1"/>
        </w:numPr>
        <w:rPr>
          <w:sz w:val="28"/>
        </w:rPr>
      </w:pPr>
      <w:bookmarkStart w:id="3" w:name="_Toc224905488"/>
      <w:r w:rsidRPr="00CE6E93">
        <w:rPr>
          <w:sz w:val="28"/>
        </w:rPr>
        <w:t>Recommendations</w:t>
      </w:r>
      <w:bookmarkEnd w:id="3"/>
    </w:p>
    <w:p w:rsidR="00546CF1" w:rsidRPr="00187DEB" w:rsidRDefault="00546CF1" w:rsidP="00187DEB">
      <w:pPr>
        <w:spacing w:line="360" w:lineRule="auto"/>
        <w:jc w:val="both"/>
        <w:rPr>
          <w:rFonts w:ascii="Arial" w:hAnsi="Arial" w:cs="Arial"/>
          <w:sz w:val="24"/>
          <w:szCs w:val="24"/>
        </w:rPr>
      </w:pPr>
      <w:r w:rsidRPr="00187DEB">
        <w:rPr>
          <w:rFonts w:ascii="Arial" w:hAnsi="Arial" w:cs="Arial"/>
          <w:sz w:val="24"/>
          <w:szCs w:val="24"/>
        </w:rPr>
        <w:t>In order to mitigate the observed communication issues, the Toyota and other multinational organisations are recommended to adopt the following strategies.</w:t>
      </w:r>
    </w:p>
    <w:p w:rsidR="00546CF1" w:rsidRPr="00187DEB" w:rsidRDefault="00546CF1" w:rsidP="00187DEB">
      <w:pPr>
        <w:spacing w:line="360" w:lineRule="auto"/>
        <w:jc w:val="both"/>
        <w:rPr>
          <w:rFonts w:ascii="Arial" w:hAnsi="Arial" w:cs="Arial"/>
          <w:sz w:val="24"/>
          <w:szCs w:val="24"/>
        </w:rPr>
      </w:pPr>
      <w:r w:rsidRPr="00187DEB">
        <w:rPr>
          <w:rFonts w:ascii="Arial" w:hAnsi="Arial" w:cs="Arial"/>
          <w:sz w:val="24"/>
          <w:szCs w:val="24"/>
        </w:rPr>
        <w:t xml:space="preserve">To begin with, cross cultural training </w:t>
      </w:r>
      <w:proofErr w:type="spellStart"/>
      <w:r w:rsidRPr="00187DEB">
        <w:rPr>
          <w:rFonts w:ascii="Arial" w:hAnsi="Arial" w:cs="Arial"/>
          <w:sz w:val="24"/>
          <w:szCs w:val="24"/>
        </w:rPr>
        <w:t>programmes</w:t>
      </w:r>
      <w:proofErr w:type="spellEnd"/>
      <w:r w:rsidRPr="00187DEB">
        <w:rPr>
          <w:rFonts w:ascii="Arial" w:hAnsi="Arial" w:cs="Arial"/>
          <w:sz w:val="24"/>
          <w:szCs w:val="24"/>
        </w:rPr>
        <w:t xml:space="preserve"> would be applied to all the employees, especially those who are in international or cross-functional teams. These kinds of </w:t>
      </w:r>
      <w:proofErr w:type="spellStart"/>
      <w:r w:rsidRPr="00187DEB">
        <w:rPr>
          <w:rFonts w:ascii="Arial" w:hAnsi="Arial" w:cs="Arial"/>
          <w:sz w:val="24"/>
          <w:szCs w:val="24"/>
        </w:rPr>
        <w:t>programmes</w:t>
      </w:r>
      <w:proofErr w:type="spellEnd"/>
      <w:r w:rsidRPr="00187DEB">
        <w:rPr>
          <w:rFonts w:ascii="Arial" w:hAnsi="Arial" w:cs="Arial"/>
          <w:sz w:val="24"/>
          <w:szCs w:val="24"/>
        </w:rPr>
        <w:t xml:space="preserve"> are useful in assisting employees to acquire cultural intelligence (CQ) which will allow them to navigate through various communication styles in a considered and effective manner (</w:t>
      </w:r>
      <w:proofErr w:type="spellStart"/>
      <w:r w:rsidRPr="00187DEB">
        <w:rPr>
          <w:rFonts w:ascii="Arial" w:hAnsi="Arial" w:cs="Arial"/>
          <w:sz w:val="24"/>
          <w:szCs w:val="24"/>
        </w:rPr>
        <w:t>Earley</w:t>
      </w:r>
      <w:proofErr w:type="spellEnd"/>
      <w:r w:rsidRPr="00187DEB">
        <w:rPr>
          <w:rFonts w:ascii="Arial" w:hAnsi="Arial" w:cs="Arial"/>
          <w:sz w:val="24"/>
          <w:szCs w:val="24"/>
        </w:rPr>
        <w:t xml:space="preserve"> and </w:t>
      </w:r>
      <w:proofErr w:type="spellStart"/>
      <w:r w:rsidRPr="00187DEB">
        <w:rPr>
          <w:rFonts w:ascii="Arial" w:hAnsi="Arial" w:cs="Arial"/>
          <w:sz w:val="24"/>
          <w:szCs w:val="24"/>
        </w:rPr>
        <w:t>Ang</w:t>
      </w:r>
      <w:proofErr w:type="spellEnd"/>
      <w:r w:rsidRPr="00187DEB">
        <w:rPr>
          <w:rFonts w:ascii="Arial" w:hAnsi="Arial" w:cs="Arial"/>
          <w:sz w:val="24"/>
          <w:szCs w:val="24"/>
        </w:rPr>
        <w:t>, 2003).</w:t>
      </w:r>
    </w:p>
    <w:p w:rsidR="00546CF1" w:rsidRPr="00187DEB" w:rsidRDefault="00546CF1" w:rsidP="00187DEB">
      <w:pPr>
        <w:spacing w:line="360" w:lineRule="auto"/>
        <w:jc w:val="both"/>
        <w:rPr>
          <w:rFonts w:ascii="Arial" w:hAnsi="Arial" w:cs="Arial"/>
          <w:sz w:val="24"/>
          <w:szCs w:val="24"/>
        </w:rPr>
      </w:pPr>
      <w:r w:rsidRPr="00187DEB">
        <w:rPr>
          <w:rFonts w:ascii="Arial" w:hAnsi="Arial" w:cs="Arial"/>
          <w:sz w:val="24"/>
          <w:szCs w:val="24"/>
        </w:rPr>
        <w:t xml:space="preserve">Second, Toyota ought to reinforce the upward communication systems by establishing anonymous reporting systems and frequent feedback forums whereby employees of all levels feel comfortable to air their concerns without the fear of being disciplined. This </w:t>
      </w:r>
      <w:r w:rsidRPr="00187DEB">
        <w:rPr>
          <w:rFonts w:ascii="Arial" w:hAnsi="Arial" w:cs="Arial"/>
          <w:sz w:val="24"/>
          <w:szCs w:val="24"/>
        </w:rPr>
        <w:lastRenderedPageBreak/>
        <w:t xml:space="preserve">would assist in avoiding critical operation problems being hidden at lower parts of the hierarchy as it happened in the case of the 2009-2010 recall </w:t>
      </w:r>
      <w:proofErr w:type="gramStart"/>
      <w:r w:rsidRPr="00187DEB">
        <w:rPr>
          <w:rFonts w:ascii="Arial" w:hAnsi="Arial" w:cs="Arial"/>
          <w:sz w:val="24"/>
          <w:szCs w:val="24"/>
        </w:rPr>
        <w:t>crisis</w:t>
      </w:r>
      <w:proofErr w:type="gramEnd"/>
      <w:r w:rsidRPr="00187DEB">
        <w:rPr>
          <w:rFonts w:ascii="Arial" w:hAnsi="Arial" w:cs="Arial"/>
          <w:sz w:val="24"/>
          <w:szCs w:val="24"/>
        </w:rPr>
        <w:t>.</w:t>
      </w:r>
    </w:p>
    <w:p w:rsidR="00546CF1" w:rsidRPr="00187DEB" w:rsidRDefault="00546CF1" w:rsidP="00187DEB">
      <w:pPr>
        <w:spacing w:line="360" w:lineRule="auto"/>
        <w:jc w:val="both"/>
        <w:rPr>
          <w:rFonts w:ascii="Arial" w:hAnsi="Arial" w:cs="Arial"/>
          <w:sz w:val="24"/>
          <w:szCs w:val="24"/>
        </w:rPr>
      </w:pPr>
      <w:r w:rsidRPr="00187DEB">
        <w:rPr>
          <w:rFonts w:ascii="Arial" w:hAnsi="Arial" w:cs="Arial"/>
          <w:sz w:val="24"/>
          <w:szCs w:val="24"/>
        </w:rPr>
        <w:t>Third, the organisation ought to seek the services of professional translators and localization in order to make sure that important documentation such as TPS manuals and safety guides are geared towards each regional environment without compromising on meaning and intent among languages.</w:t>
      </w:r>
    </w:p>
    <w:p w:rsidR="00546CF1" w:rsidRPr="00187DEB" w:rsidRDefault="00546CF1" w:rsidP="00187DEB">
      <w:pPr>
        <w:spacing w:line="360" w:lineRule="auto"/>
        <w:jc w:val="both"/>
        <w:rPr>
          <w:rFonts w:ascii="Arial" w:hAnsi="Arial" w:cs="Arial"/>
          <w:sz w:val="24"/>
          <w:szCs w:val="24"/>
        </w:rPr>
      </w:pPr>
      <w:r w:rsidRPr="00187DEB">
        <w:rPr>
          <w:rFonts w:ascii="Arial" w:hAnsi="Arial" w:cs="Arial"/>
          <w:sz w:val="24"/>
          <w:szCs w:val="24"/>
        </w:rPr>
        <w:t>Lastly, it would also be advisable to set up cross-functional communication teams that will consist of representatives of various regions and departments with a view of facilitating knowledge-sharing and ensuring that communication strategies are inclusive, consistent, and culturally-sensitive in all the operations of Toyota worldwide.</w:t>
      </w:r>
    </w:p>
    <w:p w:rsidR="00546CF1" w:rsidRPr="00CE6E93" w:rsidRDefault="00546CF1" w:rsidP="00CE6E93">
      <w:pPr>
        <w:pStyle w:val="Heading1"/>
        <w:numPr>
          <w:ilvl w:val="0"/>
          <w:numId w:val="1"/>
        </w:numPr>
        <w:rPr>
          <w:sz w:val="28"/>
        </w:rPr>
      </w:pPr>
      <w:bookmarkStart w:id="4" w:name="_Toc224905489"/>
      <w:r w:rsidRPr="00CE6E93">
        <w:rPr>
          <w:sz w:val="28"/>
        </w:rPr>
        <w:t>Conclusion</w:t>
      </w:r>
      <w:bookmarkEnd w:id="4"/>
    </w:p>
    <w:p w:rsidR="00CE6E93" w:rsidRDefault="000B18A6" w:rsidP="00CE6E93">
      <w:pPr>
        <w:spacing w:line="360" w:lineRule="auto"/>
        <w:jc w:val="both"/>
        <w:rPr>
          <w:rFonts w:ascii="Arial" w:hAnsi="Arial" w:cs="Arial"/>
          <w:sz w:val="24"/>
          <w:szCs w:val="24"/>
        </w:rPr>
      </w:pPr>
      <w:r w:rsidRPr="00187DEB">
        <w:rPr>
          <w:rFonts w:ascii="Arial" w:hAnsi="Arial" w:cs="Arial"/>
          <w:sz w:val="24"/>
          <w:szCs w:val="24"/>
        </w:rPr>
        <w:t>This report has explored the importance of communication in the business environment using Toyota Motor Corporation as a case study. It has shown that communication is a complex and indispensable role of life in the organisation, and it is not only verbal and written, but also digital and non-verbal. Although Toyota has various advanced communication practices that are based on the famous management philosophy, the company is experiencing recurring problems such as cultural and language barrier, hierarchical communication failures, and miscommunication across borders. The 2009-2010 recall crisis has been such a vivid reminder because it is evident that communication breakdown in huge organisations has dramatic operational and reputational effects. Toyota can build a stronger communication structure by making specific suggestions such as cultural training, better communication channels upwards, professional translators, cross-functional teams. Finally, communication is not a marginal issue but a core factor of organisational performance, stability, and long-term development.</w:t>
      </w:r>
    </w:p>
    <w:p w:rsidR="002541A4" w:rsidRDefault="002541A4" w:rsidP="00CE6E93">
      <w:pPr>
        <w:spacing w:line="360" w:lineRule="auto"/>
        <w:jc w:val="both"/>
        <w:rPr>
          <w:rFonts w:ascii="Arial" w:hAnsi="Arial" w:cs="Arial"/>
          <w:sz w:val="24"/>
          <w:szCs w:val="24"/>
        </w:rPr>
      </w:pPr>
    </w:p>
    <w:p w:rsidR="00CE6E93" w:rsidRDefault="00CE6E93" w:rsidP="00CE6E93">
      <w:pPr>
        <w:spacing w:line="360" w:lineRule="auto"/>
        <w:jc w:val="both"/>
        <w:rPr>
          <w:rFonts w:ascii="Arial" w:hAnsi="Arial" w:cs="Arial"/>
          <w:sz w:val="24"/>
          <w:szCs w:val="24"/>
        </w:rPr>
      </w:pPr>
    </w:p>
    <w:p w:rsidR="00292EFC" w:rsidRPr="00CE6E93" w:rsidRDefault="00292EFC" w:rsidP="00CE6E93">
      <w:pPr>
        <w:pStyle w:val="Heading1"/>
        <w:rPr>
          <w:rFonts w:eastAsiaTheme="minorHAnsi"/>
          <w:sz w:val="28"/>
        </w:rPr>
      </w:pPr>
      <w:bookmarkStart w:id="5" w:name="_Toc224905490"/>
      <w:r w:rsidRPr="00CE6E93">
        <w:rPr>
          <w:sz w:val="28"/>
        </w:rPr>
        <w:lastRenderedPageBreak/>
        <w:t>References</w:t>
      </w:r>
      <w:bookmarkEnd w:id="5"/>
    </w:p>
    <w:p w:rsidR="00292EFC" w:rsidRPr="00187DEB" w:rsidRDefault="00292EFC" w:rsidP="00187DEB">
      <w:pPr>
        <w:spacing w:before="100" w:beforeAutospacing="1" w:after="100" w:afterAutospacing="1" w:line="360" w:lineRule="auto"/>
        <w:jc w:val="both"/>
        <w:rPr>
          <w:rFonts w:ascii="Arial" w:eastAsia="Times New Roman" w:hAnsi="Arial" w:cs="Arial"/>
          <w:sz w:val="24"/>
          <w:szCs w:val="24"/>
        </w:rPr>
      </w:pPr>
      <w:proofErr w:type="spellStart"/>
      <w:r w:rsidRPr="00292EFC">
        <w:rPr>
          <w:rFonts w:ascii="Arial" w:eastAsia="Times New Roman" w:hAnsi="Arial" w:cs="Arial"/>
          <w:sz w:val="24"/>
          <w:szCs w:val="24"/>
        </w:rPr>
        <w:t>Bovée</w:t>
      </w:r>
      <w:proofErr w:type="spellEnd"/>
      <w:r w:rsidRPr="00292EFC">
        <w:rPr>
          <w:rFonts w:ascii="Arial" w:eastAsia="Times New Roman" w:hAnsi="Arial" w:cs="Arial"/>
          <w:sz w:val="24"/>
          <w:szCs w:val="24"/>
        </w:rPr>
        <w:t xml:space="preserve">, C.L. and </w:t>
      </w:r>
      <w:proofErr w:type="spellStart"/>
      <w:r w:rsidRPr="00292EFC">
        <w:rPr>
          <w:rFonts w:ascii="Arial" w:eastAsia="Times New Roman" w:hAnsi="Arial" w:cs="Arial"/>
          <w:sz w:val="24"/>
          <w:szCs w:val="24"/>
        </w:rPr>
        <w:t>Thill</w:t>
      </w:r>
      <w:proofErr w:type="spellEnd"/>
      <w:r w:rsidRPr="00292EFC">
        <w:rPr>
          <w:rFonts w:ascii="Arial" w:eastAsia="Times New Roman" w:hAnsi="Arial" w:cs="Arial"/>
          <w:sz w:val="24"/>
          <w:szCs w:val="24"/>
        </w:rPr>
        <w:t xml:space="preserve">, J.V. (2021) </w:t>
      </w:r>
      <w:r w:rsidRPr="00187DEB">
        <w:rPr>
          <w:rFonts w:ascii="Arial" w:eastAsia="Times New Roman" w:hAnsi="Arial" w:cs="Arial"/>
          <w:i/>
          <w:iCs/>
          <w:sz w:val="24"/>
          <w:szCs w:val="24"/>
        </w:rPr>
        <w:t>Business Communication Today</w:t>
      </w:r>
      <w:r w:rsidRPr="00292EFC">
        <w:rPr>
          <w:rFonts w:ascii="Arial" w:eastAsia="Times New Roman" w:hAnsi="Arial" w:cs="Arial"/>
          <w:sz w:val="24"/>
          <w:szCs w:val="24"/>
        </w:rPr>
        <w:t xml:space="preserve">. </w:t>
      </w:r>
      <w:proofErr w:type="gramStart"/>
      <w:r w:rsidRPr="00292EFC">
        <w:rPr>
          <w:rFonts w:ascii="Arial" w:eastAsia="Times New Roman" w:hAnsi="Arial" w:cs="Arial"/>
          <w:sz w:val="24"/>
          <w:szCs w:val="24"/>
        </w:rPr>
        <w:t xml:space="preserve">15th </w:t>
      </w:r>
      <w:proofErr w:type="spellStart"/>
      <w:r w:rsidRPr="00292EFC">
        <w:rPr>
          <w:rFonts w:ascii="Arial" w:eastAsia="Times New Roman" w:hAnsi="Arial" w:cs="Arial"/>
          <w:sz w:val="24"/>
          <w:szCs w:val="24"/>
        </w:rPr>
        <w:t>edn</w:t>
      </w:r>
      <w:proofErr w:type="spellEnd"/>
      <w:r w:rsidRPr="00292EFC">
        <w:rPr>
          <w:rFonts w:ascii="Arial" w:eastAsia="Times New Roman" w:hAnsi="Arial" w:cs="Arial"/>
          <w:sz w:val="24"/>
          <w:szCs w:val="24"/>
        </w:rPr>
        <w:t>.</w:t>
      </w:r>
      <w:proofErr w:type="gramEnd"/>
      <w:r w:rsidRPr="00292EFC">
        <w:rPr>
          <w:rFonts w:ascii="Arial" w:eastAsia="Times New Roman" w:hAnsi="Arial" w:cs="Arial"/>
          <w:sz w:val="24"/>
          <w:szCs w:val="24"/>
        </w:rPr>
        <w:t xml:space="preserve"> Harlow: Pearson Education.</w:t>
      </w:r>
    </w:p>
    <w:p w:rsidR="00376905" w:rsidRPr="00292EFC" w:rsidRDefault="00376905" w:rsidP="00187DEB">
      <w:pPr>
        <w:spacing w:before="100" w:beforeAutospacing="1" w:after="100" w:afterAutospacing="1" w:line="360" w:lineRule="auto"/>
        <w:jc w:val="both"/>
        <w:rPr>
          <w:rFonts w:ascii="Arial" w:eastAsia="Times New Roman" w:hAnsi="Arial" w:cs="Arial"/>
          <w:sz w:val="24"/>
          <w:szCs w:val="24"/>
        </w:rPr>
      </w:pPr>
      <w:proofErr w:type="spellStart"/>
      <w:proofErr w:type="gramStart"/>
      <w:r w:rsidRPr="00187DEB">
        <w:rPr>
          <w:rFonts w:ascii="Arial" w:hAnsi="Arial" w:cs="Arial"/>
          <w:sz w:val="24"/>
          <w:szCs w:val="24"/>
        </w:rPr>
        <w:t>Commisso</w:t>
      </w:r>
      <w:proofErr w:type="spellEnd"/>
      <w:r w:rsidRPr="00187DEB">
        <w:rPr>
          <w:rFonts w:ascii="Arial" w:hAnsi="Arial" w:cs="Arial"/>
          <w:sz w:val="24"/>
          <w:szCs w:val="24"/>
        </w:rPr>
        <w:t xml:space="preserve">, G. and </w:t>
      </w:r>
      <w:proofErr w:type="spellStart"/>
      <w:r w:rsidRPr="00187DEB">
        <w:rPr>
          <w:rFonts w:ascii="Arial" w:hAnsi="Arial" w:cs="Arial"/>
          <w:sz w:val="24"/>
          <w:szCs w:val="24"/>
        </w:rPr>
        <w:t>Engwall</w:t>
      </w:r>
      <w:proofErr w:type="spellEnd"/>
      <w:r w:rsidRPr="00187DEB">
        <w:rPr>
          <w:rFonts w:ascii="Arial" w:hAnsi="Arial" w:cs="Arial"/>
          <w:sz w:val="24"/>
          <w:szCs w:val="24"/>
        </w:rPr>
        <w:t xml:space="preserve">, L. (2021) 'High- and low-context communication in multinational corporations', </w:t>
      </w:r>
      <w:r w:rsidRPr="00187DEB">
        <w:rPr>
          <w:rStyle w:val="Emphasis"/>
          <w:rFonts w:ascii="Arial" w:hAnsi="Arial" w:cs="Arial"/>
          <w:sz w:val="24"/>
          <w:szCs w:val="24"/>
        </w:rPr>
        <w:t>Journal of World Business</w:t>
      </w:r>
      <w:r w:rsidRPr="00187DEB">
        <w:rPr>
          <w:rFonts w:ascii="Arial" w:hAnsi="Arial" w:cs="Arial"/>
          <w:sz w:val="24"/>
          <w:szCs w:val="24"/>
        </w:rPr>
        <w:t>, 56(3), pp. 1–11.</w:t>
      </w:r>
      <w:proofErr w:type="gramEnd"/>
    </w:p>
    <w:p w:rsidR="00292EFC" w:rsidRPr="00292EFC" w:rsidRDefault="00292EFC" w:rsidP="00187DEB">
      <w:pPr>
        <w:spacing w:before="100" w:beforeAutospacing="1" w:after="100" w:afterAutospacing="1" w:line="360" w:lineRule="auto"/>
        <w:jc w:val="both"/>
        <w:rPr>
          <w:rFonts w:ascii="Arial" w:eastAsia="Times New Roman" w:hAnsi="Arial" w:cs="Arial"/>
          <w:sz w:val="24"/>
          <w:szCs w:val="24"/>
        </w:rPr>
      </w:pPr>
      <w:proofErr w:type="spellStart"/>
      <w:r w:rsidRPr="00292EFC">
        <w:rPr>
          <w:rFonts w:ascii="Arial" w:eastAsia="Times New Roman" w:hAnsi="Arial" w:cs="Arial"/>
          <w:sz w:val="24"/>
          <w:szCs w:val="24"/>
        </w:rPr>
        <w:t>Earley</w:t>
      </w:r>
      <w:proofErr w:type="spellEnd"/>
      <w:r w:rsidRPr="00292EFC">
        <w:rPr>
          <w:rFonts w:ascii="Arial" w:eastAsia="Times New Roman" w:hAnsi="Arial" w:cs="Arial"/>
          <w:sz w:val="24"/>
          <w:szCs w:val="24"/>
        </w:rPr>
        <w:t xml:space="preserve">, P.C. and </w:t>
      </w:r>
      <w:proofErr w:type="spellStart"/>
      <w:r w:rsidRPr="00292EFC">
        <w:rPr>
          <w:rFonts w:ascii="Arial" w:eastAsia="Times New Roman" w:hAnsi="Arial" w:cs="Arial"/>
          <w:sz w:val="24"/>
          <w:szCs w:val="24"/>
        </w:rPr>
        <w:t>Ang</w:t>
      </w:r>
      <w:proofErr w:type="spellEnd"/>
      <w:r w:rsidRPr="00292EFC">
        <w:rPr>
          <w:rFonts w:ascii="Arial" w:eastAsia="Times New Roman" w:hAnsi="Arial" w:cs="Arial"/>
          <w:sz w:val="24"/>
          <w:szCs w:val="24"/>
        </w:rPr>
        <w:t xml:space="preserve">, S. (2003) </w:t>
      </w:r>
      <w:r w:rsidRPr="00187DEB">
        <w:rPr>
          <w:rFonts w:ascii="Arial" w:eastAsia="Times New Roman" w:hAnsi="Arial" w:cs="Arial"/>
          <w:i/>
          <w:iCs/>
          <w:sz w:val="24"/>
          <w:szCs w:val="24"/>
        </w:rPr>
        <w:t xml:space="preserve">Cultural Intelligence: Individual Interactions </w:t>
      </w:r>
      <w:proofErr w:type="gramStart"/>
      <w:r w:rsidRPr="00187DEB">
        <w:rPr>
          <w:rFonts w:ascii="Arial" w:eastAsia="Times New Roman" w:hAnsi="Arial" w:cs="Arial"/>
          <w:i/>
          <w:iCs/>
          <w:sz w:val="24"/>
          <w:szCs w:val="24"/>
        </w:rPr>
        <w:t>Across</w:t>
      </w:r>
      <w:proofErr w:type="gramEnd"/>
      <w:r w:rsidRPr="00187DEB">
        <w:rPr>
          <w:rFonts w:ascii="Arial" w:eastAsia="Times New Roman" w:hAnsi="Arial" w:cs="Arial"/>
          <w:i/>
          <w:iCs/>
          <w:sz w:val="24"/>
          <w:szCs w:val="24"/>
        </w:rPr>
        <w:t xml:space="preserve"> Cultures</w:t>
      </w:r>
      <w:r w:rsidRPr="00292EFC">
        <w:rPr>
          <w:rFonts w:ascii="Arial" w:eastAsia="Times New Roman" w:hAnsi="Arial" w:cs="Arial"/>
          <w:sz w:val="24"/>
          <w:szCs w:val="24"/>
        </w:rPr>
        <w:t>. Stanford: Stanford University Press.</w:t>
      </w:r>
    </w:p>
    <w:p w:rsidR="00292EFC" w:rsidRPr="00292EFC" w:rsidRDefault="00292EFC" w:rsidP="00187DEB">
      <w:pPr>
        <w:spacing w:before="100" w:beforeAutospacing="1" w:after="100" w:afterAutospacing="1" w:line="360" w:lineRule="auto"/>
        <w:jc w:val="both"/>
        <w:rPr>
          <w:rFonts w:ascii="Arial" w:eastAsia="Times New Roman" w:hAnsi="Arial" w:cs="Arial"/>
          <w:sz w:val="24"/>
          <w:szCs w:val="24"/>
        </w:rPr>
      </w:pPr>
      <w:r w:rsidRPr="00292EFC">
        <w:rPr>
          <w:rFonts w:ascii="Arial" w:eastAsia="Times New Roman" w:hAnsi="Arial" w:cs="Arial"/>
          <w:sz w:val="24"/>
          <w:szCs w:val="24"/>
        </w:rPr>
        <w:t xml:space="preserve">Hall, E.T. (1976) </w:t>
      </w:r>
      <w:r w:rsidRPr="00187DEB">
        <w:rPr>
          <w:rFonts w:ascii="Arial" w:eastAsia="Times New Roman" w:hAnsi="Arial" w:cs="Arial"/>
          <w:i/>
          <w:iCs/>
          <w:sz w:val="24"/>
          <w:szCs w:val="24"/>
        </w:rPr>
        <w:t>Beyond Culture</w:t>
      </w:r>
      <w:r w:rsidRPr="00292EFC">
        <w:rPr>
          <w:rFonts w:ascii="Arial" w:eastAsia="Times New Roman" w:hAnsi="Arial" w:cs="Arial"/>
          <w:sz w:val="24"/>
          <w:szCs w:val="24"/>
        </w:rPr>
        <w:t>. New York: Anchor Books.</w:t>
      </w:r>
    </w:p>
    <w:p w:rsidR="00292EFC" w:rsidRPr="00292EFC" w:rsidRDefault="00292EFC" w:rsidP="00187DEB">
      <w:pPr>
        <w:spacing w:before="100" w:beforeAutospacing="1" w:after="100" w:afterAutospacing="1" w:line="360" w:lineRule="auto"/>
        <w:jc w:val="both"/>
        <w:rPr>
          <w:rFonts w:ascii="Arial" w:eastAsia="Times New Roman" w:hAnsi="Arial" w:cs="Arial"/>
          <w:sz w:val="24"/>
          <w:szCs w:val="24"/>
        </w:rPr>
      </w:pPr>
      <w:proofErr w:type="spellStart"/>
      <w:r w:rsidRPr="00292EFC">
        <w:rPr>
          <w:rFonts w:ascii="Arial" w:eastAsia="Times New Roman" w:hAnsi="Arial" w:cs="Arial"/>
          <w:sz w:val="24"/>
          <w:szCs w:val="24"/>
        </w:rPr>
        <w:t>Hofstede</w:t>
      </w:r>
      <w:proofErr w:type="spellEnd"/>
      <w:r w:rsidRPr="00292EFC">
        <w:rPr>
          <w:rFonts w:ascii="Arial" w:eastAsia="Times New Roman" w:hAnsi="Arial" w:cs="Arial"/>
          <w:sz w:val="24"/>
          <w:szCs w:val="24"/>
        </w:rPr>
        <w:t>, G. (2011) '</w:t>
      </w:r>
      <w:proofErr w:type="spellStart"/>
      <w:r w:rsidRPr="00292EFC">
        <w:rPr>
          <w:rFonts w:ascii="Arial" w:eastAsia="Times New Roman" w:hAnsi="Arial" w:cs="Arial"/>
          <w:sz w:val="24"/>
          <w:szCs w:val="24"/>
        </w:rPr>
        <w:t>Dimensionalizing</w:t>
      </w:r>
      <w:proofErr w:type="spellEnd"/>
      <w:r w:rsidRPr="00292EFC">
        <w:rPr>
          <w:rFonts w:ascii="Arial" w:eastAsia="Times New Roman" w:hAnsi="Arial" w:cs="Arial"/>
          <w:sz w:val="24"/>
          <w:szCs w:val="24"/>
        </w:rPr>
        <w:t xml:space="preserve"> Cultures: The </w:t>
      </w:r>
      <w:proofErr w:type="spellStart"/>
      <w:r w:rsidRPr="00292EFC">
        <w:rPr>
          <w:rFonts w:ascii="Arial" w:eastAsia="Times New Roman" w:hAnsi="Arial" w:cs="Arial"/>
          <w:sz w:val="24"/>
          <w:szCs w:val="24"/>
        </w:rPr>
        <w:t>Hofstede</w:t>
      </w:r>
      <w:proofErr w:type="spellEnd"/>
      <w:r w:rsidRPr="00292EFC">
        <w:rPr>
          <w:rFonts w:ascii="Arial" w:eastAsia="Times New Roman" w:hAnsi="Arial" w:cs="Arial"/>
          <w:sz w:val="24"/>
          <w:szCs w:val="24"/>
        </w:rPr>
        <w:t xml:space="preserve"> Model in Context', </w:t>
      </w:r>
      <w:r w:rsidRPr="00187DEB">
        <w:rPr>
          <w:rFonts w:ascii="Arial" w:eastAsia="Times New Roman" w:hAnsi="Arial" w:cs="Arial"/>
          <w:i/>
          <w:iCs/>
          <w:sz w:val="24"/>
          <w:szCs w:val="24"/>
        </w:rPr>
        <w:t>Online Readings in Psychology and Culture</w:t>
      </w:r>
      <w:r w:rsidRPr="00292EFC">
        <w:rPr>
          <w:rFonts w:ascii="Arial" w:eastAsia="Times New Roman" w:hAnsi="Arial" w:cs="Arial"/>
          <w:sz w:val="24"/>
          <w:szCs w:val="24"/>
        </w:rPr>
        <w:t>, 2(1), pp. 1–26.</w:t>
      </w:r>
    </w:p>
    <w:p w:rsidR="00292EFC" w:rsidRPr="00292EFC" w:rsidRDefault="00292EFC" w:rsidP="00187DEB">
      <w:pPr>
        <w:spacing w:before="100" w:beforeAutospacing="1" w:after="100" w:afterAutospacing="1" w:line="360" w:lineRule="auto"/>
        <w:jc w:val="both"/>
        <w:rPr>
          <w:rFonts w:ascii="Arial" w:eastAsia="Times New Roman" w:hAnsi="Arial" w:cs="Arial"/>
          <w:sz w:val="24"/>
          <w:szCs w:val="24"/>
        </w:rPr>
      </w:pPr>
      <w:r w:rsidRPr="00292EFC">
        <w:rPr>
          <w:rFonts w:ascii="Arial" w:eastAsia="Times New Roman" w:hAnsi="Arial" w:cs="Arial"/>
          <w:sz w:val="24"/>
          <w:szCs w:val="24"/>
        </w:rPr>
        <w:t xml:space="preserve">Liker, J.K. (2004) </w:t>
      </w:r>
      <w:proofErr w:type="gramStart"/>
      <w:r w:rsidRPr="00187DEB">
        <w:rPr>
          <w:rFonts w:ascii="Arial" w:eastAsia="Times New Roman" w:hAnsi="Arial" w:cs="Arial"/>
          <w:i/>
          <w:iCs/>
          <w:sz w:val="24"/>
          <w:szCs w:val="24"/>
        </w:rPr>
        <w:t>The</w:t>
      </w:r>
      <w:proofErr w:type="gramEnd"/>
      <w:r w:rsidRPr="00187DEB">
        <w:rPr>
          <w:rFonts w:ascii="Arial" w:eastAsia="Times New Roman" w:hAnsi="Arial" w:cs="Arial"/>
          <w:i/>
          <w:iCs/>
          <w:sz w:val="24"/>
          <w:szCs w:val="24"/>
        </w:rPr>
        <w:t xml:space="preserve"> Toyota Way: 14 Management Principles from the World's Greatest Manufacturer</w:t>
      </w:r>
      <w:r w:rsidRPr="00292EFC">
        <w:rPr>
          <w:rFonts w:ascii="Arial" w:eastAsia="Times New Roman" w:hAnsi="Arial" w:cs="Arial"/>
          <w:sz w:val="24"/>
          <w:szCs w:val="24"/>
        </w:rPr>
        <w:t>. New York: McGraw-Hill.</w:t>
      </w:r>
    </w:p>
    <w:p w:rsidR="00292EFC" w:rsidRPr="00292EFC" w:rsidRDefault="00292EFC" w:rsidP="00187DEB">
      <w:pPr>
        <w:spacing w:before="100" w:beforeAutospacing="1" w:after="100" w:afterAutospacing="1" w:line="360" w:lineRule="auto"/>
        <w:jc w:val="both"/>
        <w:rPr>
          <w:rFonts w:ascii="Arial" w:eastAsia="Times New Roman" w:hAnsi="Arial" w:cs="Arial"/>
          <w:sz w:val="24"/>
          <w:szCs w:val="24"/>
        </w:rPr>
      </w:pPr>
      <w:proofErr w:type="spellStart"/>
      <w:r w:rsidRPr="00292EFC">
        <w:rPr>
          <w:rFonts w:ascii="Arial" w:eastAsia="Times New Roman" w:hAnsi="Arial" w:cs="Arial"/>
          <w:sz w:val="24"/>
          <w:szCs w:val="24"/>
        </w:rPr>
        <w:t>McCroskey</w:t>
      </w:r>
      <w:proofErr w:type="spellEnd"/>
      <w:r w:rsidRPr="00292EFC">
        <w:rPr>
          <w:rFonts w:ascii="Arial" w:eastAsia="Times New Roman" w:hAnsi="Arial" w:cs="Arial"/>
          <w:sz w:val="24"/>
          <w:szCs w:val="24"/>
        </w:rPr>
        <w:t>, J.C. (2009) 'Communication Apprehension: What Have We Learned in the Last Four Decades?</w:t>
      </w:r>
      <w:proofErr w:type="gramStart"/>
      <w:r w:rsidRPr="00292EFC">
        <w:rPr>
          <w:rFonts w:ascii="Arial" w:eastAsia="Times New Roman" w:hAnsi="Arial" w:cs="Arial"/>
          <w:sz w:val="24"/>
          <w:szCs w:val="24"/>
        </w:rPr>
        <w:t>',</w:t>
      </w:r>
      <w:proofErr w:type="gramEnd"/>
      <w:r w:rsidRPr="00292EFC">
        <w:rPr>
          <w:rFonts w:ascii="Arial" w:eastAsia="Times New Roman" w:hAnsi="Arial" w:cs="Arial"/>
          <w:sz w:val="24"/>
          <w:szCs w:val="24"/>
        </w:rPr>
        <w:t xml:space="preserve"> </w:t>
      </w:r>
      <w:r w:rsidRPr="00187DEB">
        <w:rPr>
          <w:rFonts w:ascii="Arial" w:eastAsia="Times New Roman" w:hAnsi="Arial" w:cs="Arial"/>
          <w:i/>
          <w:iCs/>
          <w:sz w:val="24"/>
          <w:szCs w:val="24"/>
        </w:rPr>
        <w:t>Human Communication</w:t>
      </w:r>
      <w:r w:rsidRPr="00292EFC">
        <w:rPr>
          <w:rFonts w:ascii="Arial" w:eastAsia="Times New Roman" w:hAnsi="Arial" w:cs="Arial"/>
          <w:sz w:val="24"/>
          <w:szCs w:val="24"/>
        </w:rPr>
        <w:t>, 12(2), pp. 157–171.</w:t>
      </w:r>
    </w:p>
    <w:p w:rsidR="00292EFC" w:rsidRPr="00292EFC" w:rsidRDefault="00292EFC" w:rsidP="00187DEB">
      <w:pPr>
        <w:spacing w:before="100" w:beforeAutospacing="1" w:after="100" w:afterAutospacing="1" w:line="360" w:lineRule="auto"/>
        <w:jc w:val="both"/>
        <w:rPr>
          <w:rFonts w:ascii="Arial" w:eastAsia="Times New Roman" w:hAnsi="Arial" w:cs="Arial"/>
          <w:sz w:val="24"/>
          <w:szCs w:val="24"/>
        </w:rPr>
      </w:pPr>
      <w:proofErr w:type="spellStart"/>
      <w:r w:rsidRPr="00292EFC">
        <w:rPr>
          <w:rFonts w:ascii="Arial" w:eastAsia="Times New Roman" w:hAnsi="Arial" w:cs="Arial"/>
          <w:sz w:val="24"/>
          <w:szCs w:val="24"/>
        </w:rPr>
        <w:t>Rechtin</w:t>
      </w:r>
      <w:proofErr w:type="spellEnd"/>
      <w:r w:rsidRPr="00292EFC">
        <w:rPr>
          <w:rFonts w:ascii="Arial" w:eastAsia="Times New Roman" w:hAnsi="Arial" w:cs="Arial"/>
          <w:sz w:val="24"/>
          <w:szCs w:val="24"/>
        </w:rPr>
        <w:t>, M. (2010) 'Toyota's Recall Crisis: What Have We Learned?</w:t>
      </w:r>
      <w:proofErr w:type="gramStart"/>
      <w:r w:rsidRPr="00292EFC">
        <w:rPr>
          <w:rFonts w:ascii="Arial" w:eastAsia="Times New Roman" w:hAnsi="Arial" w:cs="Arial"/>
          <w:sz w:val="24"/>
          <w:szCs w:val="24"/>
        </w:rPr>
        <w:t>',</w:t>
      </w:r>
      <w:proofErr w:type="gramEnd"/>
      <w:r w:rsidRPr="00292EFC">
        <w:rPr>
          <w:rFonts w:ascii="Arial" w:eastAsia="Times New Roman" w:hAnsi="Arial" w:cs="Arial"/>
          <w:sz w:val="24"/>
          <w:szCs w:val="24"/>
        </w:rPr>
        <w:t xml:space="preserve"> </w:t>
      </w:r>
      <w:r w:rsidRPr="00187DEB">
        <w:rPr>
          <w:rFonts w:ascii="Arial" w:eastAsia="Times New Roman" w:hAnsi="Arial" w:cs="Arial"/>
          <w:i/>
          <w:iCs/>
          <w:sz w:val="24"/>
          <w:szCs w:val="24"/>
        </w:rPr>
        <w:t>Automotive News</w:t>
      </w:r>
      <w:r w:rsidRPr="00292EFC">
        <w:rPr>
          <w:rFonts w:ascii="Arial" w:eastAsia="Times New Roman" w:hAnsi="Arial" w:cs="Arial"/>
          <w:sz w:val="24"/>
          <w:szCs w:val="24"/>
        </w:rPr>
        <w:t>, 14 February.</w:t>
      </w:r>
    </w:p>
    <w:p w:rsidR="00292EFC" w:rsidRPr="00292EFC" w:rsidRDefault="00292EFC" w:rsidP="00187DEB">
      <w:pPr>
        <w:spacing w:before="100" w:beforeAutospacing="1" w:after="100" w:afterAutospacing="1" w:line="360" w:lineRule="auto"/>
        <w:jc w:val="both"/>
        <w:rPr>
          <w:rFonts w:ascii="Arial" w:eastAsia="Times New Roman" w:hAnsi="Arial" w:cs="Arial"/>
          <w:sz w:val="24"/>
          <w:szCs w:val="24"/>
        </w:rPr>
      </w:pPr>
      <w:r w:rsidRPr="00292EFC">
        <w:rPr>
          <w:rFonts w:ascii="Arial" w:eastAsia="Times New Roman" w:hAnsi="Arial" w:cs="Arial"/>
          <w:sz w:val="24"/>
          <w:szCs w:val="24"/>
        </w:rPr>
        <w:t xml:space="preserve">Robbins, S.P. and Judge, T.A. (2019) </w:t>
      </w:r>
      <w:r w:rsidRPr="00187DEB">
        <w:rPr>
          <w:rFonts w:ascii="Arial" w:eastAsia="Times New Roman" w:hAnsi="Arial" w:cs="Arial"/>
          <w:i/>
          <w:iCs/>
          <w:sz w:val="24"/>
          <w:szCs w:val="24"/>
        </w:rPr>
        <w:t>Organizational Behavior</w:t>
      </w:r>
      <w:r w:rsidRPr="00292EFC">
        <w:rPr>
          <w:rFonts w:ascii="Arial" w:eastAsia="Times New Roman" w:hAnsi="Arial" w:cs="Arial"/>
          <w:sz w:val="24"/>
          <w:szCs w:val="24"/>
        </w:rPr>
        <w:t xml:space="preserve">. </w:t>
      </w:r>
      <w:proofErr w:type="gramStart"/>
      <w:r w:rsidRPr="00292EFC">
        <w:rPr>
          <w:rFonts w:ascii="Arial" w:eastAsia="Times New Roman" w:hAnsi="Arial" w:cs="Arial"/>
          <w:sz w:val="24"/>
          <w:szCs w:val="24"/>
        </w:rPr>
        <w:t xml:space="preserve">18th </w:t>
      </w:r>
      <w:proofErr w:type="spellStart"/>
      <w:r w:rsidRPr="00292EFC">
        <w:rPr>
          <w:rFonts w:ascii="Arial" w:eastAsia="Times New Roman" w:hAnsi="Arial" w:cs="Arial"/>
          <w:sz w:val="24"/>
          <w:szCs w:val="24"/>
        </w:rPr>
        <w:t>edn</w:t>
      </w:r>
      <w:proofErr w:type="spellEnd"/>
      <w:r w:rsidRPr="00292EFC">
        <w:rPr>
          <w:rFonts w:ascii="Arial" w:eastAsia="Times New Roman" w:hAnsi="Arial" w:cs="Arial"/>
          <w:sz w:val="24"/>
          <w:szCs w:val="24"/>
        </w:rPr>
        <w:t>.</w:t>
      </w:r>
      <w:proofErr w:type="gramEnd"/>
      <w:r w:rsidRPr="00292EFC">
        <w:rPr>
          <w:rFonts w:ascii="Arial" w:eastAsia="Times New Roman" w:hAnsi="Arial" w:cs="Arial"/>
          <w:sz w:val="24"/>
          <w:szCs w:val="24"/>
        </w:rPr>
        <w:t xml:space="preserve"> Harlow: Pearson Education.</w:t>
      </w:r>
    </w:p>
    <w:p w:rsidR="00292EFC" w:rsidRPr="00187DEB" w:rsidRDefault="00292EFC" w:rsidP="00187DEB">
      <w:pPr>
        <w:spacing w:before="100" w:beforeAutospacing="1" w:after="100" w:afterAutospacing="1" w:line="360" w:lineRule="auto"/>
        <w:jc w:val="both"/>
        <w:rPr>
          <w:rFonts w:ascii="Arial" w:eastAsia="Times New Roman" w:hAnsi="Arial" w:cs="Arial"/>
          <w:sz w:val="24"/>
          <w:szCs w:val="24"/>
        </w:rPr>
      </w:pPr>
      <w:r w:rsidRPr="00292EFC">
        <w:rPr>
          <w:rFonts w:ascii="Arial" w:eastAsia="Times New Roman" w:hAnsi="Arial" w:cs="Arial"/>
          <w:sz w:val="24"/>
          <w:szCs w:val="24"/>
        </w:rPr>
        <w:t xml:space="preserve">Toyota Motor Corporation (2022) </w:t>
      </w:r>
      <w:r w:rsidRPr="00187DEB">
        <w:rPr>
          <w:rFonts w:ascii="Arial" w:eastAsia="Times New Roman" w:hAnsi="Arial" w:cs="Arial"/>
          <w:i/>
          <w:iCs/>
          <w:sz w:val="24"/>
          <w:szCs w:val="24"/>
        </w:rPr>
        <w:t>Toyota Annual Report 2022</w:t>
      </w:r>
      <w:r w:rsidRPr="00292EFC">
        <w:rPr>
          <w:rFonts w:ascii="Arial" w:eastAsia="Times New Roman" w:hAnsi="Arial" w:cs="Arial"/>
          <w:sz w:val="24"/>
          <w:szCs w:val="24"/>
        </w:rPr>
        <w:t xml:space="preserve">. Available at: </w:t>
      </w:r>
      <w:hyperlink r:id="rId9" w:history="1">
        <w:r w:rsidRPr="00187DEB">
          <w:rPr>
            <w:rFonts w:ascii="Arial" w:eastAsia="Times New Roman" w:hAnsi="Arial" w:cs="Arial"/>
            <w:color w:val="0000FF"/>
            <w:sz w:val="24"/>
            <w:szCs w:val="24"/>
            <w:u w:val="single"/>
          </w:rPr>
          <w:t>https://global.toyota/en/ir/library/annual/</w:t>
        </w:r>
      </w:hyperlink>
      <w:r w:rsidRPr="00292EFC">
        <w:rPr>
          <w:rFonts w:ascii="Arial" w:eastAsia="Times New Roman" w:hAnsi="Arial" w:cs="Arial"/>
          <w:sz w:val="24"/>
          <w:szCs w:val="24"/>
        </w:rPr>
        <w:t xml:space="preserve"> (Accessed: 15 March 2024).</w:t>
      </w:r>
    </w:p>
    <w:p w:rsidR="00376905" w:rsidRPr="00292EFC" w:rsidRDefault="00376905" w:rsidP="00187DEB">
      <w:pPr>
        <w:spacing w:before="100" w:beforeAutospacing="1" w:after="100" w:afterAutospacing="1" w:line="360" w:lineRule="auto"/>
        <w:jc w:val="both"/>
        <w:rPr>
          <w:rFonts w:ascii="Arial" w:eastAsia="Times New Roman" w:hAnsi="Arial" w:cs="Arial"/>
          <w:sz w:val="24"/>
          <w:szCs w:val="24"/>
        </w:rPr>
      </w:pPr>
      <w:r w:rsidRPr="00187DEB">
        <w:rPr>
          <w:rFonts w:ascii="Arial" w:hAnsi="Arial" w:cs="Arial"/>
          <w:sz w:val="24"/>
          <w:szCs w:val="24"/>
        </w:rPr>
        <w:t xml:space="preserve">Takeuchi, H., </w:t>
      </w:r>
      <w:proofErr w:type="spellStart"/>
      <w:r w:rsidRPr="00187DEB">
        <w:rPr>
          <w:rFonts w:ascii="Arial" w:hAnsi="Arial" w:cs="Arial"/>
          <w:sz w:val="24"/>
          <w:szCs w:val="24"/>
        </w:rPr>
        <w:t>Osono</w:t>
      </w:r>
      <w:proofErr w:type="spellEnd"/>
      <w:r w:rsidRPr="00187DEB">
        <w:rPr>
          <w:rFonts w:ascii="Arial" w:hAnsi="Arial" w:cs="Arial"/>
          <w:sz w:val="24"/>
          <w:szCs w:val="24"/>
        </w:rPr>
        <w:t>, E. and Shimizu, N. (2008) '</w:t>
      </w:r>
      <w:proofErr w:type="gramStart"/>
      <w:r w:rsidRPr="00187DEB">
        <w:rPr>
          <w:rFonts w:ascii="Arial" w:hAnsi="Arial" w:cs="Arial"/>
          <w:sz w:val="24"/>
          <w:szCs w:val="24"/>
        </w:rPr>
        <w:t>The</w:t>
      </w:r>
      <w:proofErr w:type="gramEnd"/>
      <w:r w:rsidRPr="00187DEB">
        <w:rPr>
          <w:rFonts w:ascii="Arial" w:hAnsi="Arial" w:cs="Arial"/>
          <w:sz w:val="24"/>
          <w:szCs w:val="24"/>
        </w:rPr>
        <w:t xml:space="preserve"> contradictions that drive Toyota's success', </w:t>
      </w:r>
      <w:r w:rsidRPr="00187DEB">
        <w:rPr>
          <w:rStyle w:val="Emphasis"/>
          <w:rFonts w:ascii="Arial" w:hAnsi="Arial" w:cs="Arial"/>
          <w:sz w:val="24"/>
          <w:szCs w:val="24"/>
        </w:rPr>
        <w:t>Harvard Business Review</w:t>
      </w:r>
      <w:r w:rsidRPr="00187DEB">
        <w:rPr>
          <w:rFonts w:ascii="Arial" w:hAnsi="Arial" w:cs="Arial"/>
          <w:sz w:val="24"/>
          <w:szCs w:val="24"/>
        </w:rPr>
        <w:t>, 86(6), pp. 96–104.</w:t>
      </w:r>
    </w:p>
    <w:p w:rsidR="00292EFC" w:rsidRPr="00292EFC" w:rsidRDefault="00292EFC" w:rsidP="00187DEB">
      <w:pPr>
        <w:spacing w:before="100" w:beforeAutospacing="1" w:after="100" w:afterAutospacing="1" w:line="360" w:lineRule="auto"/>
        <w:jc w:val="both"/>
        <w:rPr>
          <w:rFonts w:ascii="Arial" w:eastAsia="Times New Roman" w:hAnsi="Arial" w:cs="Arial"/>
          <w:sz w:val="24"/>
          <w:szCs w:val="24"/>
        </w:rPr>
      </w:pPr>
      <w:proofErr w:type="gramStart"/>
      <w:r w:rsidRPr="00292EFC">
        <w:rPr>
          <w:rFonts w:ascii="Arial" w:eastAsia="Times New Roman" w:hAnsi="Arial" w:cs="Arial"/>
          <w:sz w:val="24"/>
          <w:szCs w:val="24"/>
        </w:rPr>
        <w:lastRenderedPageBreak/>
        <w:t xml:space="preserve">Toyota Motor Corporation (2023) </w:t>
      </w:r>
      <w:r w:rsidRPr="00187DEB">
        <w:rPr>
          <w:rFonts w:ascii="Arial" w:eastAsia="Times New Roman" w:hAnsi="Arial" w:cs="Arial"/>
          <w:i/>
          <w:iCs/>
          <w:sz w:val="24"/>
          <w:szCs w:val="24"/>
        </w:rPr>
        <w:t>Toyota Global Operations</w:t>
      </w:r>
      <w:r w:rsidRPr="00292EFC">
        <w:rPr>
          <w:rFonts w:ascii="Arial" w:eastAsia="Times New Roman" w:hAnsi="Arial" w:cs="Arial"/>
          <w:sz w:val="24"/>
          <w:szCs w:val="24"/>
        </w:rPr>
        <w:t>.</w:t>
      </w:r>
      <w:proofErr w:type="gramEnd"/>
      <w:r w:rsidRPr="00292EFC">
        <w:rPr>
          <w:rFonts w:ascii="Arial" w:eastAsia="Times New Roman" w:hAnsi="Arial" w:cs="Arial"/>
          <w:sz w:val="24"/>
          <w:szCs w:val="24"/>
        </w:rPr>
        <w:t xml:space="preserve"> Available at: </w:t>
      </w:r>
      <w:hyperlink r:id="rId10" w:history="1">
        <w:r w:rsidRPr="00187DEB">
          <w:rPr>
            <w:rFonts w:ascii="Arial" w:eastAsia="Times New Roman" w:hAnsi="Arial" w:cs="Arial"/>
            <w:color w:val="0000FF"/>
            <w:sz w:val="24"/>
            <w:szCs w:val="24"/>
            <w:u w:val="single"/>
          </w:rPr>
          <w:t>https://global.toyota/en/</w:t>
        </w:r>
      </w:hyperlink>
      <w:r w:rsidRPr="00292EFC">
        <w:rPr>
          <w:rFonts w:ascii="Arial" w:eastAsia="Times New Roman" w:hAnsi="Arial" w:cs="Arial"/>
          <w:sz w:val="24"/>
          <w:szCs w:val="24"/>
        </w:rPr>
        <w:t xml:space="preserve"> (Accessed: 15 March 2024).</w:t>
      </w:r>
    </w:p>
    <w:p w:rsidR="00292EFC" w:rsidRPr="00187DEB" w:rsidRDefault="00292EFC" w:rsidP="00187DEB">
      <w:pPr>
        <w:spacing w:before="100" w:beforeAutospacing="1" w:after="100" w:afterAutospacing="1" w:line="360" w:lineRule="auto"/>
        <w:jc w:val="both"/>
        <w:rPr>
          <w:rFonts w:ascii="Arial" w:eastAsia="Times New Roman" w:hAnsi="Arial" w:cs="Arial"/>
          <w:sz w:val="24"/>
          <w:szCs w:val="24"/>
        </w:rPr>
      </w:pPr>
      <w:r w:rsidRPr="00292EFC">
        <w:rPr>
          <w:rFonts w:ascii="Arial" w:eastAsia="Times New Roman" w:hAnsi="Arial" w:cs="Arial"/>
          <w:sz w:val="24"/>
          <w:szCs w:val="24"/>
        </w:rPr>
        <w:t xml:space="preserve">Womack, J.P. and Jones, D.T. (2003) </w:t>
      </w:r>
      <w:r w:rsidRPr="00187DEB">
        <w:rPr>
          <w:rFonts w:ascii="Arial" w:eastAsia="Times New Roman" w:hAnsi="Arial" w:cs="Arial"/>
          <w:i/>
          <w:iCs/>
          <w:sz w:val="24"/>
          <w:szCs w:val="24"/>
        </w:rPr>
        <w:t>Lean Thinking: Banish Waste and Create Wealth in Your Corporation</w:t>
      </w:r>
      <w:r w:rsidRPr="00292EFC">
        <w:rPr>
          <w:rFonts w:ascii="Arial" w:eastAsia="Times New Roman" w:hAnsi="Arial" w:cs="Arial"/>
          <w:sz w:val="24"/>
          <w:szCs w:val="24"/>
        </w:rPr>
        <w:t xml:space="preserve">. </w:t>
      </w:r>
      <w:proofErr w:type="gramStart"/>
      <w:r w:rsidRPr="00292EFC">
        <w:rPr>
          <w:rFonts w:ascii="Arial" w:eastAsia="Times New Roman" w:hAnsi="Arial" w:cs="Arial"/>
          <w:sz w:val="24"/>
          <w:szCs w:val="24"/>
        </w:rPr>
        <w:t xml:space="preserve">2nd </w:t>
      </w:r>
      <w:proofErr w:type="spellStart"/>
      <w:r w:rsidRPr="00292EFC">
        <w:rPr>
          <w:rFonts w:ascii="Arial" w:eastAsia="Times New Roman" w:hAnsi="Arial" w:cs="Arial"/>
          <w:sz w:val="24"/>
          <w:szCs w:val="24"/>
        </w:rPr>
        <w:t>edn</w:t>
      </w:r>
      <w:proofErr w:type="spellEnd"/>
      <w:r w:rsidRPr="00292EFC">
        <w:rPr>
          <w:rFonts w:ascii="Arial" w:eastAsia="Times New Roman" w:hAnsi="Arial" w:cs="Arial"/>
          <w:sz w:val="24"/>
          <w:szCs w:val="24"/>
        </w:rPr>
        <w:t>.</w:t>
      </w:r>
      <w:proofErr w:type="gramEnd"/>
      <w:r w:rsidRPr="00292EFC">
        <w:rPr>
          <w:rFonts w:ascii="Arial" w:eastAsia="Times New Roman" w:hAnsi="Arial" w:cs="Arial"/>
          <w:sz w:val="24"/>
          <w:szCs w:val="24"/>
        </w:rPr>
        <w:t xml:space="preserve"> New York: Free Press.</w:t>
      </w:r>
    </w:p>
    <w:p w:rsidR="00546CF1" w:rsidRPr="00187DEB" w:rsidRDefault="00546CF1" w:rsidP="00187DEB">
      <w:pPr>
        <w:spacing w:before="100" w:beforeAutospacing="1" w:after="100" w:afterAutospacing="1" w:line="360" w:lineRule="auto"/>
        <w:jc w:val="both"/>
        <w:rPr>
          <w:rFonts w:ascii="Arial" w:eastAsia="Times New Roman" w:hAnsi="Arial" w:cs="Arial"/>
          <w:sz w:val="24"/>
          <w:szCs w:val="24"/>
        </w:rPr>
      </w:pPr>
    </w:p>
    <w:p w:rsidR="00546CF1" w:rsidRPr="00187DEB" w:rsidRDefault="00546CF1" w:rsidP="00187DEB">
      <w:pPr>
        <w:spacing w:before="100" w:beforeAutospacing="1" w:after="100" w:afterAutospacing="1" w:line="360" w:lineRule="auto"/>
        <w:jc w:val="both"/>
        <w:rPr>
          <w:rFonts w:ascii="Arial" w:eastAsia="Times New Roman" w:hAnsi="Arial" w:cs="Arial"/>
          <w:sz w:val="24"/>
          <w:szCs w:val="24"/>
        </w:rPr>
      </w:pPr>
    </w:p>
    <w:p w:rsidR="00643C35" w:rsidRPr="00187DEB" w:rsidRDefault="00781866" w:rsidP="00187DEB">
      <w:pPr>
        <w:spacing w:line="360" w:lineRule="auto"/>
        <w:jc w:val="both"/>
        <w:rPr>
          <w:rFonts w:ascii="Arial" w:hAnsi="Arial" w:cs="Arial"/>
          <w:sz w:val="24"/>
          <w:szCs w:val="24"/>
        </w:rPr>
      </w:pPr>
    </w:p>
    <w:sectPr w:rsidR="00643C35" w:rsidRPr="00187DEB" w:rsidSect="00AA2018">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9494B73"/>
    <w:multiLevelType w:val="hybridMultilevel"/>
    <w:tmpl w:val="864C82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292EFC"/>
    <w:rsid w:val="000B18A6"/>
    <w:rsid w:val="001150EA"/>
    <w:rsid w:val="00141B15"/>
    <w:rsid w:val="001874CC"/>
    <w:rsid w:val="00187DEB"/>
    <w:rsid w:val="002541A4"/>
    <w:rsid w:val="00292EFC"/>
    <w:rsid w:val="002B56A8"/>
    <w:rsid w:val="00376905"/>
    <w:rsid w:val="00546CF1"/>
    <w:rsid w:val="00556834"/>
    <w:rsid w:val="00781866"/>
    <w:rsid w:val="009C4676"/>
    <w:rsid w:val="00AA2018"/>
    <w:rsid w:val="00CE6E93"/>
    <w:rsid w:val="00FD2C5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2018"/>
  </w:style>
  <w:style w:type="paragraph" w:styleId="Heading1">
    <w:name w:val="heading 1"/>
    <w:basedOn w:val="Normal"/>
    <w:link w:val="Heading1Char"/>
    <w:uiPriority w:val="9"/>
    <w:qFormat/>
    <w:rsid w:val="00292EFC"/>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292EFC"/>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EFC"/>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292EFC"/>
    <w:rPr>
      <w:rFonts w:ascii="Times New Roman" w:eastAsia="Times New Roman" w:hAnsi="Times New Roman" w:cs="Times New Roman"/>
      <w:b/>
      <w:bCs/>
      <w:sz w:val="36"/>
      <w:szCs w:val="36"/>
    </w:rPr>
  </w:style>
  <w:style w:type="paragraph" w:customStyle="1" w:styleId="font-claude-response-body">
    <w:name w:val="font-claude-response-body"/>
    <w:basedOn w:val="Normal"/>
    <w:rsid w:val="00292EF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92EFC"/>
    <w:rPr>
      <w:b/>
      <w:bCs/>
    </w:rPr>
  </w:style>
  <w:style w:type="character" w:styleId="Emphasis">
    <w:name w:val="Emphasis"/>
    <w:basedOn w:val="DefaultParagraphFont"/>
    <w:uiPriority w:val="20"/>
    <w:qFormat/>
    <w:rsid w:val="00292EFC"/>
    <w:rPr>
      <w:i/>
      <w:iCs/>
    </w:rPr>
  </w:style>
  <w:style w:type="character" w:styleId="Hyperlink">
    <w:name w:val="Hyperlink"/>
    <w:basedOn w:val="DefaultParagraphFont"/>
    <w:uiPriority w:val="99"/>
    <w:unhideWhenUsed/>
    <w:rsid w:val="00292EFC"/>
    <w:rPr>
      <w:color w:val="0000FF"/>
      <w:u w:val="single"/>
    </w:rPr>
  </w:style>
  <w:style w:type="paragraph" w:styleId="TOCHeading">
    <w:name w:val="TOC Heading"/>
    <w:basedOn w:val="Heading1"/>
    <w:next w:val="Normal"/>
    <w:uiPriority w:val="39"/>
    <w:semiHidden/>
    <w:unhideWhenUsed/>
    <w:qFormat/>
    <w:rsid w:val="00FD2C5B"/>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FD2C5B"/>
    <w:pPr>
      <w:spacing w:after="100"/>
    </w:pPr>
  </w:style>
  <w:style w:type="paragraph" w:styleId="BalloonText">
    <w:name w:val="Balloon Text"/>
    <w:basedOn w:val="Normal"/>
    <w:link w:val="BalloonTextChar"/>
    <w:uiPriority w:val="99"/>
    <w:semiHidden/>
    <w:unhideWhenUsed/>
    <w:rsid w:val="00FD2C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2C5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332946639">
      <w:bodyDiv w:val="1"/>
      <w:marLeft w:val="0"/>
      <w:marRight w:val="0"/>
      <w:marTop w:val="0"/>
      <w:marBottom w:val="0"/>
      <w:divBdr>
        <w:top w:val="none" w:sz="0" w:space="0" w:color="auto"/>
        <w:left w:val="none" w:sz="0" w:space="0" w:color="auto"/>
        <w:bottom w:val="none" w:sz="0" w:space="0" w:color="auto"/>
        <w:right w:val="none" w:sz="0" w:space="0" w:color="auto"/>
      </w:divBdr>
    </w:div>
    <w:div w:id="1538394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global.toyota/en/" TargetMode="External"/><Relationship Id="rId4" Type="http://schemas.openxmlformats.org/officeDocument/2006/relationships/settings" Target="settings.xml"/><Relationship Id="rId9" Type="http://schemas.openxmlformats.org/officeDocument/2006/relationships/hyperlink" Target="https://global.toyota/en/ir/library/annu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53593D-25AF-41D7-A54B-188926035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9</Pages>
  <Words>2003</Words>
  <Characters>11420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10</cp:revision>
  <dcterms:created xsi:type="dcterms:W3CDTF">2026-03-20T07:48:00Z</dcterms:created>
  <dcterms:modified xsi:type="dcterms:W3CDTF">2026-03-20T13:50:00Z</dcterms:modified>
</cp:coreProperties>
</file>