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14F71" w14:textId="77777777" w:rsidR="000B743B" w:rsidRDefault="000B743B"/>
    <w:p w14:paraId="6EAAB978" w14:textId="77777777" w:rsidR="001246C7" w:rsidRPr="00354029" w:rsidRDefault="001246C7" w:rsidP="001246C7">
      <w:pPr>
        <w:jc w:val="center"/>
        <w:rPr>
          <w:b/>
          <w:bCs/>
          <w:sz w:val="28"/>
          <w:szCs w:val="32"/>
        </w:rPr>
      </w:pPr>
      <w:r w:rsidRPr="00354029">
        <w:rPr>
          <w:b/>
          <w:bCs/>
          <w:sz w:val="28"/>
          <w:szCs w:val="32"/>
        </w:rPr>
        <w:t>Course: BSc (Hons) Health and Social Care</w:t>
      </w:r>
    </w:p>
    <w:p w14:paraId="269A1081" w14:textId="77777777" w:rsidR="001246C7" w:rsidRPr="00354029" w:rsidRDefault="001246C7" w:rsidP="001246C7">
      <w:pPr>
        <w:jc w:val="center"/>
        <w:rPr>
          <w:b/>
          <w:bCs/>
          <w:sz w:val="28"/>
          <w:szCs w:val="32"/>
        </w:rPr>
      </w:pPr>
      <w:r w:rsidRPr="00354029">
        <w:rPr>
          <w:b/>
          <w:bCs/>
          <w:sz w:val="28"/>
          <w:szCs w:val="32"/>
        </w:rPr>
        <w:t>Module: Independent Project (BMHP6020_BIRM)</w:t>
      </w:r>
    </w:p>
    <w:p w14:paraId="7F77EB84" w14:textId="77777777" w:rsidR="001246C7" w:rsidRPr="00354029" w:rsidRDefault="001246C7" w:rsidP="001246C7">
      <w:pPr>
        <w:jc w:val="center"/>
        <w:rPr>
          <w:b/>
          <w:bCs/>
          <w:sz w:val="28"/>
          <w:szCs w:val="32"/>
        </w:rPr>
      </w:pPr>
    </w:p>
    <w:p w14:paraId="3693322C" w14:textId="77777777" w:rsidR="001246C7" w:rsidRPr="00354029" w:rsidRDefault="001246C7" w:rsidP="001246C7">
      <w:pPr>
        <w:jc w:val="center"/>
        <w:rPr>
          <w:b/>
          <w:bCs/>
          <w:sz w:val="28"/>
          <w:szCs w:val="32"/>
        </w:rPr>
      </w:pPr>
      <w:r w:rsidRPr="00354029">
        <w:rPr>
          <w:b/>
          <w:bCs/>
          <w:sz w:val="28"/>
          <w:szCs w:val="32"/>
        </w:rPr>
        <w:t>Component 1: Element 1 - Project Proposal</w:t>
      </w:r>
    </w:p>
    <w:p w14:paraId="47F88831" w14:textId="77777777" w:rsidR="001246C7" w:rsidRDefault="001246C7" w:rsidP="001246C7">
      <w:pPr>
        <w:jc w:val="center"/>
        <w:rPr>
          <w:b/>
          <w:bCs/>
          <w:sz w:val="28"/>
          <w:szCs w:val="32"/>
        </w:rPr>
      </w:pPr>
    </w:p>
    <w:p w14:paraId="248DA136" w14:textId="77777777" w:rsidR="001246C7" w:rsidRDefault="001246C7" w:rsidP="001246C7">
      <w:pPr>
        <w:jc w:val="center"/>
        <w:rPr>
          <w:b/>
          <w:bCs/>
          <w:sz w:val="28"/>
          <w:szCs w:val="32"/>
        </w:rPr>
      </w:pPr>
    </w:p>
    <w:p w14:paraId="686E4D30" w14:textId="77777777" w:rsidR="001246C7" w:rsidRPr="00354029" w:rsidRDefault="001246C7" w:rsidP="001246C7">
      <w:pPr>
        <w:jc w:val="center"/>
        <w:rPr>
          <w:b/>
          <w:bCs/>
          <w:sz w:val="28"/>
          <w:szCs w:val="32"/>
        </w:rPr>
      </w:pPr>
    </w:p>
    <w:p w14:paraId="6A940998" w14:textId="3CC983D2" w:rsidR="001246C7" w:rsidRPr="00EB30D5" w:rsidRDefault="001246C7" w:rsidP="001246C7">
      <w:pPr>
        <w:rPr>
          <w:b/>
          <w:bCs/>
          <w:sz w:val="28"/>
          <w:szCs w:val="32"/>
          <w:lang w:val="en-US"/>
        </w:rPr>
      </w:pPr>
      <w:r w:rsidRPr="00354029">
        <w:rPr>
          <w:b/>
          <w:bCs/>
          <w:sz w:val="28"/>
          <w:szCs w:val="32"/>
        </w:rPr>
        <w:t>Student ID:</w:t>
      </w:r>
      <w:r w:rsidR="00EB30D5">
        <w:rPr>
          <w:b/>
          <w:bCs/>
          <w:sz w:val="28"/>
          <w:szCs w:val="32"/>
          <w:lang w:val="en-US"/>
        </w:rPr>
        <w:t xml:space="preserve"> </w:t>
      </w:r>
      <w:r w:rsidR="00EB30D5" w:rsidRPr="00EB30D5">
        <w:rPr>
          <w:b/>
          <w:bCs/>
          <w:sz w:val="28"/>
          <w:szCs w:val="32"/>
          <w:lang w:val="en-US"/>
        </w:rPr>
        <w:t>2215433</w:t>
      </w:r>
    </w:p>
    <w:p w14:paraId="4C410048" w14:textId="6E8EE442" w:rsidR="001246C7" w:rsidRPr="00EB30D5" w:rsidRDefault="001246C7" w:rsidP="001246C7">
      <w:pPr>
        <w:rPr>
          <w:b/>
          <w:bCs/>
          <w:sz w:val="28"/>
          <w:szCs w:val="32"/>
          <w:lang w:val="en-US"/>
        </w:rPr>
      </w:pPr>
      <w:r w:rsidRPr="00354029">
        <w:rPr>
          <w:b/>
          <w:bCs/>
          <w:sz w:val="28"/>
          <w:szCs w:val="32"/>
        </w:rPr>
        <w:t>Student Name:</w:t>
      </w:r>
      <w:r w:rsidR="00EB30D5">
        <w:rPr>
          <w:b/>
          <w:bCs/>
          <w:sz w:val="28"/>
          <w:szCs w:val="32"/>
          <w:lang w:val="en-US"/>
        </w:rPr>
        <w:t xml:space="preserve"> Samina Nazir</w:t>
      </w:r>
    </w:p>
    <w:p w14:paraId="74B4B1DB" w14:textId="77777777" w:rsidR="001246C7" w:rsidRPr="00354029" w:rsidRDefault="001246C7" w:rsidP="001246C7">
      <w:pPr>
        <w:jc w:val="center"/>
        <w:rPr>
          <w:b/>
          <w:bCs/>
          <w:sz w:val="28"/>
          <w:szCs w:val="32"/>
        </w:rPr>
      </w:pPr>
    </w:p>
    <w:p w14:paraId="53180762" w14:textId="77777777" w:rsidR="001246C7" w:rsidRDefault="001246C7" w:rsidP="001246C7">
      <w:pPr>
        <w:jc w:val="both"/>
      </w:pPr>
    </w:p>
    <w:p w14:paraId="5BE018EF" w14:textId="77777777" w:rsidR="001246C7" w:rsidRDefault="001246C7" w:rsidP="001246C7">
      <w:pPr>
        <w:jc w:val="both"/>
      </w:pPr>
    </w:p>
    <w:p w14:paraId="3F297CF7" w14:textId="77777777" w:rsidR="001246C7" w:rsidRDefault="001246C7" w:rsidP="001246C7">
      <w:pPr>
        <w:jc w:val="both"/>
      </w:pPr>
    </w:p>
    <w:p w14:paraId="35ABD80A" w14:textId="77777777" w:rsidR="001246C7" w:rsidRDefault="001246C7" w:rsidP="001246C7">
      <w:pPr>
        <w:jc w:val="both"/>
      </w:pPr>
    </w:p>
    <w:p w14:paraId="1C8BB5FA" w14:textId="77777777" w:rsidR="001246C7" w:rsidRDefault="001246C7" w:rsidP="001246C7">
      <w:pPr>
        <w:jc w:val="both"/>
      </w:pPr>
    </w:p>
    <w:p w14:paraId="36D0F018" w14:textId="77777777" w:rsidR="001246C7" w:rsidRDefault="001246C7" w:rsidP="001246C7">
      <w:pPr>
        <w:jc w:val="both"/>
      </w:pPr>
    </w:p>
    <w:p w14:paraId="08978C02" w14:textId="77777777" w:rsidR="001246C7" w:rsidRDefault="001246C7" w:rsidP="001246C7">
      <w:pPr>
        <w:jc w:val="both"/>
      </w:pPr>
    </w:p>
    <w:p w14:paraId="38E2E08D" w14:textId="77777777" w:rsidR="001246C7" w:rsidRDefault="001246C7" w:rsidP="001246C7">
      <w:pPr>
        <w:jc w:val="both"/>
      </w:pPr>
    </w:p>
    <w:p w14:paraId="72CD410F" w14:textId="77777777" w:rsidR="001246C7" w:rsidRDefault="001246C7" w:rsidP="001246C7">
      <w:pPr>
        <w:jc w:val="both"/>
      </w:pPr>
    </w:p>
    <w:p w14:paraId="4745D35C" w14:textId="77777777" w:rsidR="001246C7" w:rsidRDefault="001246C7" w:rsidP="001246C7">
      <w:pPr>
        <w:jc w:val="both"/>
      </w:pPr>
    </w:p>
    <w:p w14:paraId="5CCA5473" w14:textId="77777777" w:rsidR="001246C7" w:rsidRDefault="001246C7" w:rsidP="001246C7">
      <w:pPr>
        <w:jc w:val="both"/>
      </w:pPr>
    </w:p>
    <w:p w14:paraId="5916AC6C" w14:textId="77777777" w:rsidR="001246C7" w:rsidRDefault="001246C7" w:rsidP="001246C7">
      <w:pPr>
        <w:jc w:val="both"/>
      </w:pPr>
    </w:p>
    <w:p w14:paraId="55E1939C" w14:textId="77777777" w:rsidR="001246C7" w:rsidRDefault="001246C7" w:rsidP="001246C7">
      <w:pPr>
        <w:jc w:val="both"/>
      </w:pPr>
    </w:p>
    <w:p w14:paraId="7CAE4E94" w14:textId="77777777" w:rsidR="001246C7" w:rsidRPr="0073153F" w:rsidRDefault="001246C7" w:rsidP="001246C7">
      <w:pPr>
        <w:jc w:val="center"/>
        <w:rPr>
          <w:b/>
          <w:bCs/>
          <w:sz w:val="28"/>
          <w:szCs w:val="32"/>
        </w:rPr>
      </w:pPr>
      <w:r w:rsidRPr="0073153F">
        <w:rPr>
          <w:b/>
          <w:bCs/>
          <w:sz w:val="28"/>
          <w:szCs w:val="32"/>
        </w:rPr>
        <w:lastRenderedPageBreak/>
        <w:t>Element 1 - Project Proposal</w:t>
      </w:r>
    </w:p>
    <w:p w14:paraId="2BE1FBD7" w14:textId="01E0FB31" w:rsidR="002D4979" w:rsidRDefault="001246C7" w:rsidP="00F5211D">
      <w:pPr>
        <w:jc w:val="center"/>
      </w:pPr>
      <w:r w:rsidRPr="0073153F">
        <w:rPr>
          <w:b/>
          <w:bCs/>
          <w:sz w:val="28"/>
          <w:szCs w:val="32"/>
        </w:rPr>
        <w:t>My Project Title:</w:t>
      </w:r>
      <w:r w:rsidR="00F5211D">
        <w:rPr>
          <w:b/>
          <w:bCs/>
          <w:sz w:val="28"/>
          <w:szCs w:val="32"/>
        </w:rPr>
        <w:t xml:space="preserve"> </w:t>
      </w:r>
      <w:r w:rsidR="002D4979" w:rsidRPr="00F5211D">
        <w:rPr>
          <w:b/>
          <w:bCs/>
          <w:sz w:val="28"/>
          <w:szCs w:val="32"/>
        </w:rPr>
        <w:t>Telemedicine and Digital Health as Tools for Advancing SDG in Rural Communities</w:t>
      </w:r>
    </w:p>
    <w:p w14:paraId="2E270750" w14:textId="77777777" w:rsidR="002D4979" w:rsidRDefault="002D4979"/>
    <w:p w14:paraId="6864111D" w14:textId="77777777" w:rsidR="002D4979" w:rsidRDefault="002D4979"/>
    <w:p w14:paraId="61AE8440" w14:textId="0A14DE72" w:rsidR="00B53AA7" w:rsidRPr="002F116D" w:rsidRDefault="00B53AA7" w:rsidP="00AE789F">
      <w:pPr>
        <w:pStyle w:val="Heading1"/>
        <w:jc w:val="both"/>
        <w:rPr>
          <w:rFonts w:cstheme="minorBidi"/>
          <w:sz w:val="48"/>
        </w:rPr>
      </w:pPr>
      <w:r>
        <w:t xml:space="preserve">1) </w:t>
      </w:r>
      <w:r w:rsidRPr="002F116D">
        <w:rPr>
          <w:rFonts w:cstheme="minorBidi"/>
        </w:rPr>
        <w:t xml:space="preserve">Aim </w:t>
      </w:r>
    </w:p>
    <w:p w14:paraId="7F14690F" w14:textId="0A743785" w:rsidR="00B53AA7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 xml:space="preserve">To investigate how telemedicine and wider digital-health solutions (e.g., remote monitoring, e-prescriptions, mHealth) advance Sustainable Development Goals (SDGs) in rural communities. Using secondary </w:t>
      </w:r>
      <w:r w:rsidR="001E47A8" w:rsidRPr="002F116D">
        <w:rPr>
          <w:rFonts w:asciiTheme="minorBidi" w:hAnsiTheme="minorBidi" w:cstheme="minorBidi"/>
          <w:sz w:val="22"/>
          <w:szCs w:val="22"/>
        </w:rPr>
        <w:t>data</w:t>
      </w:r>
      <w:r w:rsidRPr="002F116D">
        <w:rPr>
          <w:rFonts w:asciiTheme="minorBidi" w:hAnsiTheme="minorBidi" w:cstheme="minorBidi"/>
          <w:sz w:val="22"/>
          <w:szCs w:val="22"/>
        </w:rPr>
        <w:t xml:space="preserve">, the study will clarify </w:t>
      </w:r>
      <w:r w:rsidR="00332642" w:rsidRPr="002F116D">
        <w:rPr>
          <w:rFonts w:asciiTheme="minorBidi" w:hAnsiTheme="minorBidi" w:cstheme="minorBidi"/>
          <w:sz w:val="22"/>
          <w:szCs w:val="22"/>
        </w:rPr>
        <w:t>concepts</w:t>
      </w:r>
      <w:r w:rsidRPr="002F116D">
        <w:rPr>
          <w:rFonts w:asciiTheme="minorBidi" w:hAnsiTheme="minorBidi" w:cstheme="minorBidi"/>
          <w:sz w:val="22"/>
          <w:szCs w:val="22"/>
        </w:rPr>
        <w:t>, assess health and equity outcomes</w:t>
      </w:r>
      <w:r w:rsidR="00332642"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Pr="002F116D">
        <w:rPr>
          <w:rFonts w:asciiTheme="minorBidi" w:hAnsiTheme="minorBidi" w:cstheme="minorBidi"/>
          <w:sz w:val="22"/>
          <w:szCs w:val="22"/>
        </w:rPr>
        <w:t>and produce actionable recommendations for healthcare providers, governments, and community organisations.</w:t>
      </w:r>
    </w:p>
    <w:p w14:paraId="4D0F4E2C" w14:textId="0FDC8F3C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t xml:space="preserve">2) Objectives </w:t>
      </w:r>
    </w:p>
    <w:p w14:paraId="5F36D336" w14:textId="77777777" w:rsidR="00B53AA7" w:rsidRPr="002F116D" w:rsidRDefault="00B53AA7" w:rsidP="00AE789F">
      <w:pPr>
        <w:pStyle w:val="NormalWeb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Define and examine</w:t>
      </w:r>
      <w:r w:rsidRPr="002F116D">
        <w:rPr>
          <w:rFonts w:asciiTheme="minorBidi" w:hAnsiTheme="minorBidi" w:cstheme="minorBidi"/>
          <w:sz w:val="22"/>
          <w:szCs w:val="22"/>
        </w:rPr>
        <w:t xml:space="preserve"> telemedicine and digital-health concepts (platforms, services, infrastructure) and their prevalence and adoption in rural settings, as documented in research and official reports.</w:t>
      </w:r>
    </w:p>
    <w:p w14:paraId="5551A7AA" w14:textId="237134F3" w:rsidR="00B53AA7" w:rsidRPr="002F116D" w:rsidRDefault="00B53AA7" w:rsidP="00AE789F">
      <w:pPr>
        <w:pStyle w:val="NormalWeb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Analyse</w:t>
      </w:r>
      <w:r w:rsidRPr="002F116D">
        <w:rPr>
          <w:rFonts w:asciiTheme="minorBidi" w:hAnsiTheme="minorBidi" w:cstheme="minorBidi"/>
          <w:sz w:val="22"/>
          <w:szCs w:val="22"/>
        </w:rPr>
        <w:t xml:space="preserve"> impacts on outcomes aligned to SDG 3 (health), SDG 9 (infrastructure/innovation), and SDG 10 (reduced inequalities)</w:t>
      </w:r>
      <w:r w:rsidR="00C81ED9"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Pr="002F116D">
        <w:rPr>
          <w:rFonts w:asciiTheme="minorBidi" w:hAnsiTheme="minorBidi" w:cstheme="minorBidi"/>
          <w:sz w:val="22"/>
          <w:szCs w:val="22"/>
        </w:rPr>
        <w:t>including access, timeliness, quality, cost, and user experience.</w:t>
      </w:r>
    </w:p>
    <w:p w14:paraId="389A17EC" w14:textId="77777777" w:rsidR="00B53AA7" w:rsidRPr="002F116D" w:rsidRDefault="00B53AA7" w:rsidP="00AE789F">
      <w:pPr>
        <w:pStyle w:val="NormalWeb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Evaluate</w:t>
      </w:r>
      <w:r w:rsidRPr="002F116D">
        <w:rPr>
          <w:rFonts w:asciiTheme="minorBidi" w:hAnsiTheme="minorBidi" w:cstheme="minorBidi"/>
          <w:sz w:val="22"/>
          <w:szCs w:val="22"/>
        </w:rPr>
        <w:t xml:space="preserve"> effectiveness of current interventions, implementation models, and policy frameworks (e.g., reimbursement, connectivity, workforce training, data governance) that enable rural digital health.</w:t>
      </w:r>
    </w:p>
    <w:p w14:paraId="0A94998C" w14:textId="77777777" w:rsidR="00B53AA7" w:rsidRPr="002F116D" w:rsidRDefault="00B53AA7" w:rsidP="00AE789F">
      <w:pPr>
        <w:pStyle w:val="NormalWeb"/>
        <w:numPr>
          <w:ilvl w:val="0"/>
          <w:numId w:val="1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Provide recommendations</w:t>
      </w:r>
      <w:r w:rsidRPr="002F116D">
        <w:rPr>
          <w:rFonts w:asciiTheme="minorBidi" w:hAnsiTheme="minorBidi" w:cstheme="minorBidi"/>
          <w:sz w:val="22"/>
          <w:szCs w:val="22"/>
        </w:rPr>
        <w:t xml:space="preserve"> for healthcare systems, policymakers, and community partners to scale ethical, inclusive, and sustainable telehealth that improves rural health and narrows inequities.</w:t>
      </w:r>
    </w:p>
    <w:p w14:paraId="01D3370D" w14:textId="7BB3A92B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t xml:space="preserve">3) Background/Rationale </w:t>
      </w:r>
    </w:p>
    <w:p w14:paraId="1EF3A120" w14:textId="2DA67A47" w:rsidR="00B53AA7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Telemedicine and digital health address structural barriers that disproportionately affect rural communities</w:t>
      </w:r>
      <w:r w:rsidR="00523D7C" w:rsidRPr="002F116D">
        <w:rPr>
          <w:rFonts w:asciiTheme="minorBidi" w:hAnsiTheme="minorBidi" w:cstheme="minorBidi"/>
          <w:sz w:val="22"/>
          <w:szCs w:val="22"/>
        </w:rPr>
        <w:t xml:space="preserve"> due to </w:t>
      </w:r>
      <w:r w:rsidRPr="002F116D">
        <w:rPr>
          <w:rFonts w:asciiTheme="minorBidi" w:hAnsiTheme="minorBidi" w:cstheme="minorBidi"/>
          <w:sz w:val="22"/>
          <w:szCs w:val="22"/>
        </w:rPr>
        <w:t>distance to facilities, clinician shortages, and fragmented referral pathways</w:t>
      </w:r>
      <w:r w:rsidR="00523D7C" w:rsidRPr="002F116D">
        <w:rPr>
          <w:rFonts w:asciiTheme="minorBidi" w:hAnsiTheme="minorBidi" w:cstheme="minorBidi"/>
          <w:sz w:val="22"/>
          <w:szCs w:val="22"/>
        </w:rPr>
        <w:t xml:space="preserve"> (Afni, 2023)</w:t>
      </w:r>
      <w:r w:rsidRPr="002F116D">
        <w:rPr>
          <w:rFonts w:asciiTheme="minorBidi" w:hAnsiTheme="minorBidi" w:cstheme="minorBidi"/>
          <w:sz w:val="22"/>
          <w:szCs w:val="22"/>
        </w:rPr>
        <w:t xml:space="preserve">. </w:t>
      </w: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According to</w:t>
      </w: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 xml:space="preserve"> </w:t>
      </w:r>
      <w:r w:rsidR="005D707C" w:rsidRPr="002F116D">
        <w:rPr>
          <w:rFonts w:asciiTheme="minorBidi" w:hAnsiTheme="minorBidi" w:cstheme="minorBidi"/>
          <w:sz w:val="22"/>
          <w:szCs w:val="22"/>
        </w:rPr>
        <w:t xml:space="preserve">Hendy </w:t>
      </w:r>
      <w:r w:rsidR="005D707C" w:rsidRPr="002F116D">
        <w:rPr>
          <w:rFonts w:asciiTheme="minorBidi" w:hAnsiTheme="minorBidi" w:cstheme="minorBidi"/>
          <w:i/>
          <w:iCs/>
          <w:sz w:val="22"/>
          <w:szCs w:val="22"/>
        </w:rPr>
        <w:t>et al.</w:t>
      </w:r>
      <w:r w:rsidR="005D707C" w:rsidRPr="002F116D">
        <w:rPr>
          <w:rFonts w:asciiTheme="minorBidi" w:hAnsiTheme="minorBidi" w:cstheme="minorBidi"/>
          <w:sz w:val="22"/>
          <w:szCs w:val="22"/>
        </w:rPr>
        <w:t xml:space="preserve"> (2025)</w:t>
      </w:r>
      <w:r w:rsidRPr="002F116D">
        <w:rPr>
          <w:rFonts w:asciiTheme="minorBidi" w:hAnsiTheme="minorBidi" w:cstheme="minorBidi"/>
          <w:sz w:val="22"/>
          <w:szCs w:val="22"/>
        </w:rPr>
        <w:t xml:space="preserve">, teleconsultations reduce travel time </w:t>
      </w:r>
      <w:r w:rsidRPr="002F116D">
        <w:rPr>
          <w:rFonts w:asciiTheme="minorBidi" w:hAnsiTheme="minorBidi" w:cstheme="minorBidi"/>
          <w:sz w:val="22"/>
          <w:szCs w:val="22"/>
        </w:rPr>
        <w:lastRenderedPageBreak/>
        <w:t>and costs while maintaining clinical quality for common conditions; this is particularly impactful for chronic disease follow-up and maternal–child health.</w:t>
      </w:r>
      <w:r w:rsidR="005D707C" w:rsidRPr="002F116D">
        <w:rPr>
          <w:rFonts w:asciiTheme="minorBidi" w:hAnsiTheme="minorBidi" w:cstheme="minorBidi"/>
          <w:sz w:val="22"/>
          <w:szCs w:val="22"/>
        </w:rPr>
        <w:t xml:space="preserve"> Moreover, Tan </w:t>
      </w:r>
      <w:r w:rsidR="005D707C" w:rsidRPr="002F116D">
        <w:rPr>
          <w:rFonts w:asciiTheme="minorBidi" w:hAnsiTheme="minorBidi" w:cstheme="minorBidi"/>
          <w:i/>
          <w:iCs/>
          <w:sz w:val="22"/>
          <w:szCs w:val="22"/>
        </w:rPr>
        <w:t>et al.</w:t>
      </w:r>
      <w:r w:rsidR="005D707C" w:rsidRPr="002F116D">
        <w:rPr>
          <w:rFonts w:asciiTheme="minorBidi" w:hAnsiTheme="minorBidi" w:cstheme="minorBidi"/>
          <w:sz w:val="22"/>
          <w:szCs w:val="22"/>
        </w:rPr>
        <w:t xml:space="preserve"> (2024) argue that</w:t>
      </w:r>
      <w:r w:rsidRPr="002F116D">
        <w:rPr>
          <w:rFonts w:asciiTheme="minorBidi" w:hAnsiTheme="minorBidi" w:cstheme="minorBidi"/>
          <w:sz w:val="22"/>
          <w:szCs w:val="22"/>
        </w:rPr>
        <w:t xml:space="preserve"> remote monitoring and SMS adherence tools improve continuity of care, early detection of complications, and patient self-management. </w:t>
      </w:r>
      <w:r w:rsidR="00F31064"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The</w:t>
      </w:r>
      <w:r w:rsidRPr="002F116D">
        <w:rPr>
          <w:rFonts w:asciiTheme="minorBidi" w:hAnsiTheme="minorBidi" w:cstheme="minorBidi"/>
          <w:sz w:val="22"/>
          <w:szCs w:val="22"/>
        </w:rPr>
        <w:t xml:space="preserve"> digital health catalyses system-level gains</w:t>
      </w:r>
      <w:r w:rsidR="00FC065E" w:rsidRPr="002F116D">
        <w:rPr>
          <w:rFonts w:asciiTheme="minorBidi" w:hAnsiTheme="minorBidi" w:cstheme="minorBidi"/>
          <w:sz w:val="22"/>
          <w:szCs w:val="22"/>
        </w:rPr>
        <w:t xml:space="preserve"> like </w:t>
      </w:r>
      <w:r w:rsidRPr="002F116D">
        <w:rPr>
          <w:rFonts w:asciiTheme="minorBidi" w:hAnsiTheme="minorBidi" w:cstheme="minorBidi"/>
          <w:sz w:val="22"/>
          <w:szCs w:val="22"/>
        </w:rPr>
        <w:t>strengthening supply chains, data timeliness, and emergency response</w:t>
      </w:r>
      <w:r w:rsidR="00FC065E"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Pr="002F116D">
        <w:rPr>
          <w:rFonts w:asciiTheme="minorBidi" w:hAnsiTheme="minorBidi" w:cstheme="minorBidi"/>
          <w:sz w:val="22"/>
          <w:szCs w:val="22"/>
        </w:rPr>
        <w:t>thereby contributing to SDG 9 (resilient infrastructure) as well as SDG 3.</w:t>
      </w:r>
      <w:r w:rsidR="00FC065E" w:rsidRPr="002F116D">
        <w:rPr>
          <w:rFonts w:asciiTheme="minorBidi" w:hAnsiTheme="minorBidi" w:cstheme="minorBidi"/>
          <w:sz w:val="22"/>
          <w:szCs w:val="22"/>
        </w:rPr>
        <w:t xml:space="preserve"> Kuziemsky </w:t>
      </w:r>
      <w:r w:rsidR="00FC065E" w:rsidRPr="002F116D">
        <w:rPr>
          <w:rFonts w:asciiTheme="minorBidi" w:hAnsiTheme="minorBidi" w:cstheme="minorBidi"/>
          <w:i/>
          <w:iCs/>
          <w:sz w:val="22"/>
          <w:szCs w:val="22"/>
        </w:rPr>
        <w:t>et al.</w:t>
      </w:r>
      <w:r w:rsidR="00FC065E" w:rsidRPr="002F116D">
        <w:rPr>
          <w:rFonts w:asciiTheme="minorBidi" w:hAnsiTheme="minorBidi" w:cstheme="minorBidi"/>
          <w:sz w:val="22"/>
          <w:szCs w:val="22"/>
        </w:rPr>
        <w:t xml:space="preserve"> (2022)</w:t>
      </w: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 xml:space="preserve"> </w:t>
      </w:r>
      <w:r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further supports</w:t>
      </w:r>
      <w:r w:rsidRPr="002F116D">
        <w:rPr>
          <w:rFonts w:asciiTheme="minorBidi" w:hAnsiTheme="minorBidi" w:cstheme="minorBidi"/>
          <w:sz w:val="22"/>
          <w:szCs w:val="22"/>
        </w:rPr>
        <w:t xml:space="preserve"> equity benefits: when coupled with community health workers and culturally adapted content, telehealth expands access for low-income and geographically isolated groups, advancing SDG 10. Yet </w:t>
      </w:r>
      <w:r w:rsidR="00CC4B79" w:rsidRPr="002F116D">
        <w:rPr>
          <w:rStyle w:val="Strong"/>
          <w:rFonts w:asciiTheme="minorBidi" w:eastAsiaTheme="majorEastAsia" w:hAnsiTheme="minorBidi" w:cstheme="minorBidi"/>
          <w:b w:val="0"/>
          <w:bCs w:val="0"/>
          <w:sz w:val="22"/>
          <w:szCs w:val="22"/>
        </w:rPr>
        <w:t>some studies</w:t>
      </w:r>
      <w:r w:rsidRPr="002F116D">
        <w:rPr>
          <w:rFonts w:asciiTheme="minorBidi" w:hAnsiTheme="minorBidi" w:cstheme="minorBidi"/>
          <w:sz w:val="22"/>
          <w:szCs w:val="22"/>
        </w:rPr>
        <w:t xml:space="preserve"> challenges</w:t>
      </w:r>
      <w:r w:rsidR="00CC4B79"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Pr="002F116D">
        <w:rPr>
          <w:rFonts w:asciiTheme="minorBidi" w:hAnsiTheme="minorBidi" w:cstheme="minorBidi"/>
          <w:sz w:val="22"/>
          <w:szCs w:val="22"/>
        </w:rPr>
        <w:t>connectivity gaps, digital literacy, reimbursement uncertainty, privacy risks, and siloed pilots</w:t>
      </w:r>
      <w:r w:rsidR="00CC4B79" w:rsidRPr="002F116D">
        <w:rPr>
          <w:rFonts w:asciiTheme="minorBidi" w:hAnsiTheme="minorBidi" w:cstheme="minorBidi"/>
          <w:sz w:val="22"/>
          <w:szCs w:val="22"/>
        </w:rPr>
        <w:t xml:space="preserve"> (Kuziemsky </w:t>
      </w:r>
      <w:r w:rsidR="00CC4B79" w:rsidRPr="002F116D">
        <w:rPr>
          <w:rFonts w:asciiTheme="minorBidi" w:hAnsiTheme="minorBidi" w:cstheme="minorBidi"/>
          <w:i/>
          <w:iCs/>
          <w:sz w:val="22"/>
          <w:szCs w:val="22"/>
        </w:rPr>
        <w:t>et al.</w:t>
      </w:r>
      <w:r w:rsidR="00CC4B79" w:rsidRPr="002F116D">
        <w:rPr>
          <w:rFonts w:asciiTheme="minorBidi" w:hAnsiTheme="minorBidi" w:cstheme="minorBidi"/>
          <w:sz w:val="22"/>
          <w:szCs w:val="22"/>
        </w:rPr>
        <w:t>, 2022; Mansoor and Ibrahim, 2025)</w:t>
      </w:r>
      <w:r w:rsidRPr="002F116D">
        <w:rPr>
          <w:rFonts w:asciiTheme="minorBidi" w:hAnsiTheme="minorBidi" w:cstheme="minorBidi"/>
          <w:sz w:val="22"/>
          <w:szCs w:val="22"/>
        </w:rPr>
        <w:t>. This proposal synthesises these perspectives to identify what works, for whom, and under what conditions in rural contexts.</w:t>
      </w:r>
    </w:p>
    <w:p w14:paraId="03791356" w14:textId="00431C3E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t xml:space="preserve">4) Methods </w:t>
      </w:r>
    </w:p>
    <w:p w14:paraId="07680269" w14:textId="40FA01A5" w:rsidR="00AD6BBD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>Data sources:</w:t>
      </w:r>
      <w:r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="00847C2F" w:rsidRPr="002F116D">
        <w:rPr>
          <w:rFonts w:asciiTheme="minorBidi" w:hAnsiTheme="minorBidi" w:cstheme="minorBidi"/>
          <w:sz w:val="22"/>
          <w:szCs w:val="22"/>
        </w:rPr>
        <w:t>Peer</w:t>
      </w:r>
      <w:r w:rsidRPr="002F116D">
        <w:rPr>
          <w:rFonts w:asciiTheme="minorBidi" w:hAnsiTheme="minorBidi" w:cstheme="minorBidi"/>
          <w:sz w:val="22"/>
          <w:szCs w:val="22"/>
        </w:rPr>
        <w:t>-reviewed articles, systematic reviews/meta-analyses, government/NGO policy documents, programme evaluations, and reputable think-tank reports.</w:t>
      </w:r>
    </w:p>
    <w:p w14:paraId="5B0D4C31" w14:textId="3413B4FD" w:rsidR="00AD6BBD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>Inclusion criteria:</w:t>
      </w:r>
      <w:r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="00847C2F" w:rsidRPr="002F116D">
        <w:rPr>
          <w:rFonts w:asciiTheme="minorBidi" w:hAnsiTheme="minorBidi" w:cstheme="minorBidi"/>
          <w:sz w:val="22"/>
          <w:szCs w:val="22"/>
        </w:rPr>
        <w:t xml:space="preserve">Last </w:t>
      </w:r>
      <w:r w:rsidRPr="002F116D">
        <w:rPr>
          <w:rFonts w:asciiTheme="minorBidi" w:hAnsiTheme="minorBidi" w:cstheme="minorBidi"/>
          <w:sz w:val="22"/>
          <w:szCs w:val="22"/>
        </w:rPr>
        <w:t>10–12 years; rural/remote settings; explicit telemedicine/digital-health intervention; outcomes linked to SDG 3/9/10 (access, quality, equity, cost, infrastructure); ethical, regulatory, or implementation details.</w:t>
      </w:r>
    </w:p>
    <w:p w14:paraId="365CD1F2" w14:textId="7DD52AAB" w:rsidR="00AD6BBD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>Exclusion:</w:t>
      </w:r>
      <w:r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="00847C2F" w:rsidRPr="002F116D">
        <w:rPr>
          <w:rFonts w:asciiTheme="minorBidi" w:hAnsiTheme="minorBidi" w:cstheme="minorBidi"/>
          <w:sz w:val="22"/>
          <w:szCs w:val="22"/>
        </w:rPr>
        <w:t xml:space="preserve">Opinion </w:t>
      </w:r>
      <w:r w:rsidRPr="002F116D">
        <w:rPr>
          <w:rFonts w:asciiTheme="minorBidi" w:hAnsiTheme="minorBidi" w:cstheme="minorBidi"/>
          <w:sz w:val="22"/>
          <w:szCs w:val="22"/>
        </w:rPr>
        <w:t>pieces without evidence; purely urban studies unless rural subgroup data are reported.</w:t>
      </w:r>
    </w:p>
    <w:p w14:paraId="7CBCB7AC" w14:textId="5D501868" w:rsidR="00AD6BBD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>Analysis:</w:t>
      </w:r>
      <w:r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="00847C2F" w:rsidRPr="002F116D">
        <w:rPr>
          <w:rFonts w:asciiTheme="minorBidi" w:hAnsiTheme="minorBidi" w:cstheme="minorBidi"/>
          <w:sz w:val="22"/>
          <w:szCs w:val="22"/>
        </w:rPr>
        <w:t xml:space="preserve">Thematic </w:t>
      </w:r>
      <w:r w:rsidRPr="002F116D">
        <w:rPr>
          <w:rFonts w:asciiTheme="minorBidi" w:hAnsiTheme="minorBidi" w:cstheme="minorBidi"/>
          <w:sz w:val="22"/>
          <w:szCs w:val="22"/>
        </w:rPr>
        <w:t>synthesis across (i) definitions/use-cases, (ii) outcome effects, (iii) implementation enablers/barriers, (iv) policy and financing mechanisms; compare strength/consistency of evidence and contextual moderators (infrastructure, workforce, gender, affordability)</w:t>
      </w:r>
      <w:r w:rsidR="00AD6BBD" w:rsidRPr="002F116D">
        <w:rPr>
          <w:rFonts w:asciiTheme="minorBidi" w:hAnsiTheme="minorBidi" w:cstheme="minorBidi"/>
          <w:sz w:val="22"/>
          <w:szCs w:val="22"/>
        </w:rPr>
        <w:t xml:space="preserve"> (Braun and Clarke, 2006)</w:t>
      </w:r>
      <w:r w:rsidRPr="002F116D">
        <w:rPr>
          <w:rFonts w:asciiTheme="minorBidi" w:hAnsiTheme="minorBidi" w:cstheme="minorBidi"/>
          <w:sz w:val="22"/>
          <w:szCs w:val="22"/>
        </w:rPr>
        <w:t>.</w:t>
      </w:r>
    </w:p>
    <w:p w14:paraId="56E77207" w14:textId="67AA54BB" w:rsidR="00B53AA7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Style w:val="Strong"/>
          <w:rFonts w:asciiTheme="minorBidi" w:eastAsiaTheme="majorEastAsia" w:hAnsiTheme="minorBidi" w:cstheme="minorBidi"/>
          <w:sz w:val="22"/>
          <w:szCs w:val="22"/>
        </w:rPr>
        <w:t>Ethics:</w:t>
      </w:r>
      <w:r w:rsidRPr="002F116D">
        <w:rPr>
          <w:rFonts w:asciiTheme="minorBidi" w:hAnsiTheme="minorBidi" w:cstheme="minorBidi"/>
          <w:sz w:val="22"/>
          <w:szCs w:val="22"/>
        </w:rPr>
        <w:t xml:space="preserve"> </w:t>
      </w:r>
      <w:r w:rsidR="00847C2F" w:rsidRPr="002F116D">
        <w:rPr>
          <w:rFonts w:asciiTheme="minorBidi" w:hAnsiTheme="minorBidi" w:cstheme="minorBidi"/>
          <w:sz w:val="22"/>
          <w:szCs w:val="22"/>
        </w:rPr>
        <w:t xml:space="preserve">Accurate </w:t>
      </w:r>
      <w:r w:rsidRPr="002F116D">
        <w:rPr>
          <w:rFonts w:asciiTheme="minorBidi" w:hAnsiTheme="minorBidi" w:cstheme="minorBidi"/>
          <w:sz w:val="22"/>
          <w:szCs w:val="22"/>
        </w:rPr>
        <w:t>citation, fair attribution, transparent limitations, and avoidance of plagiarism.</w:t>
      </w:r>
    </w:p>
    <w:p w14:paraId="080E61B2" w14:textId="47BB0EA9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t xml:space="preserve">5) Resources </w:t>
      </w:r>
    </w:p>
    <w:p w14:paraId="2AC69367" w14:textId="77777777" w:rsidR="00B53AA7" w:rsidRPr="002F116D" w:rsidRDefault="00B53AA7" w:rsidP="00AE789F">
      <w:pPr>
        <w:pStyle w:val="NormalWeb"/>
        <w:numPr>
          <w:ilvl w:val="0"/>
          <w:numId w:val="2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PubMed, Scopus, Web of Science, WHO/World Bank portals</w:t>
      </w:r>
    </w:p>
    <w:p w14:paraId="5EBDB2F1" w14:textId="6E2E5331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lastRenderedPageBreak/>
        <w:t xml:space="preserve">6) Timescale </w:t>
      </w:r>
    </w:p>
    <w:p w14:paraId="2E86B71F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Weeks 1–2: refine scope, search strings</w:t>
      </w:r>
    </w:p>
    <w:p w14:paraId="012BE580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Weeks 3–4: screening/selection</w:t>
      </w:r>
    </w:p>
    <w:p w14:paraId="0C100CAF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Weeks 5–6: extraction/appraisal</w:t>
      </w:r>
    </w:p>
    <w:p w14:paraId="5EC35D5B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Weeks 7–8: synthesis/recommendations</w:t>
      </w:r>
    </w:p>
    <w:p w14:paraId="07E151DA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 9: draft</w:t>
      </w:r>
    </w:p>
    <w:p w14:paraId="6A0DD5A2" w14:textId="77777777" w:rsidR="00B53AA7" w:rsidRPr="002F116D" w:rsidRDefault="00B53AA7" w:rsidP="00AE789F">
      <w:pPr>
        <w:pStyle w:val="NormalWeb"/>
        <w:numPr>
          <w:ilvl w:val="0"/>
          <w:numId w:val="3"/>
        </w:numPr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Week 10: revisions/submission</w:t>
      </w:r>
    </w:p>
    <w:p w14:paraId="2FC9A5F5" w14:textId="023A6AED" w:rsidR="00B53AA7" w:rsidRPr="002F116D" w:rsidRDefault="00B53AA7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t xml:space="preserve">7) Self-reflection </w:t>
      </w:r>
    </w:p>
    <w:p w14:paraId="65F07660" w14:textId="1A9106D6" w:rsidR="00B53AA7" w:rsidRPr="002F116D" w:rsidRDefault="00B53AA7" w:rsidP="00AE789F">
      <w:pPr>
        <w:pStyle w:val="NormalWeb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 xml:space="preserve">Strengths: </w:t>
      </w:r>
      <w:r w:rsidR="00847C2F" w:rsidRPr="002F116D">
        <w:rPr>
          <w:rFonts w:asciiTheme="minorBidi" w:hAnsiTheme="minorBidi" w:cstheme="minorBidi"/>
          <w:sz w:val="22"/>
          <w:szCs w:val="22"/>
        </w:rPr>
        <w:t>S</w:t>
      </w:r>
      <w:r w:rsidRPr="002F116D">
        <w:rPr>
          <w:rFonts w:asciiTheme="minorBidi" w:hAnsiTheme="minorBidi" w:cstheme="minorBidi"/>
          <w:sz w:val="22"/>
          <w:szCs w:val="22"/>
        </w:rPr>
        <w:t>tructured searching, health-systems lens, and clear synthesis. Challenges: heterogeneous interventions and variable outcome metrics across contexts. I aim to deepen skills in implementation appraisal and equity analysis, and will seek feedback on judging generalisability where infrastructure, reimbursement, and digital literacy differ across rural settings.</w:t>
      </w:r>
    </w:p>
    <w:p w14:paraId="0A2CB720" w14:textId="77777777" w:rsidR="00847C2F" w:rsidRPr="002F116D" w:rsidRDefault="00847C2F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4C8E40DA" w14:textId="77777777" w:rsidR="00A07A84" w:rsidRPr="002F116D" w:rsidRDefault="00A07A84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1D513B6D" w14:textId="77777777" w:rsidR="00A07A84" w:rsidRPr="002F116D" w:rsidRDefault="00A07A84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497E5D96" w14:textId="77777777" w:rsidR="00A07A84" w:rsidRDefault="00A07A84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2C490880" w14:textId="77777777" w:rsid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5AA59F65" w14:textId="77777777" w:rsid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30BBA396" w14:textId="77777777" w:rsid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1AEC0641" w14:textId="77777777" w:rsid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27A48589" w14:textId="77777777" w:rsid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373F5370" w14:textId="77777777" w:rsidR="002F116D" w:rsidRPr="002F116D" w:rsidRDefault="002F116D" w:rsidP="00AE789F">
      <w:pPr>
        <w:pStyle w:val="NormalWeb"/>
        <w:spacing w:line="360" w:lineRule="auto"/>
        <w:jc w:val="both"/>
        <w:rPr>
          <w:rFonts w:asciiTheme="minorBidi" w:hAnsiTheme="minorBidi" w:cstheme="minorBidi"/>
        </w:rPr>
      </w:pPr>
    </w:p>
    <w:p w14:paraId="1570871B" w14:textId="03D09254" w:rsidR="00847C2F" w:rsidRPr="002F116D" w:rsidRDefault="00847C2F" w:rsidP="00AE789F">
      <w:pPr>
        <w:pStyle w:val="Heading1"/>
        <w:jc w:val="both"/>
        <w:rPr>
          <w:rFonts w:cstheme="minorBidi"/>
        </w:rPr>
      </w:pPr>
      <w:r w:rsidRPr="002F116D">
        <w:rPr>
          <w:rFonts w:cstheme="minorBidi"/>
        </w:rPr>
        <w:lastRenderedPageBreak/>
        <w:t>References</w:t>
      </w:r>
    </w:p>
    <w:p w14:paraId="2AA4FE91" w14:textId="77777777" w:rsidR="006B7D38" w:rsidRPr="002F116D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 xml:space="preserve">Afni, N. (2023) ‘Disparities in Healthcare Access: Addressing Systemic Barriers in Urban and Rural Communities’, </w:t>
      </w:r>
      <w:r w:rsidRPr="002F116D">
        <w:rPr>
          <w:rFonts w:asciiTheme="minorBidi" w:hAnsiTheme="minorBidi" w:cstheme="minorBidi"/>
          <w:i/>
          <w:iCs/>
          <w:sz w:val="22"/>
          <w:szCs w:val="22"/>
        </w:rPr>
        <w:t>Journal of Health Literacy and Qualitative Research</w:t>
      </w:r>
      <w:r w:rsidRPr="002F116D">
        <w:rPr>
          <w:rFonts w:asciiTheme="minorBidi" w:hAnsiTheme="minorBidi" w:cstheme="minorBidi"/>
          <w:sz w:val="22"/>
          <w:szCs w:val="22"/>
        </w:rPr>
        <w:t>, 3(2), pp. 112–122. Available at: https://doi.org/10.61194/jhlqr.v3i2.543.</w:t>
      </w:r>
    </w:p>
    <w:p w14:paraId="16C6BE0B" w14:textId="77777777" w:rsidR="006B7D38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2F116D">
        <w:rPr>
          <w:rFonts w:asciiTheme="minorBidi" w:hAnsiTheme="minorBidi" w:cstheme="minorBidi"/>
          <w:sz w:val="22"/>
          <w:szCs w:val="22"/>
        </w:rPr>
        <w:t>Braun, V. and Cl</w:t>
      </w:r>
      <w:r>
        <w:rPr>
          <w:rFonts w:ascii="Arial" w:hAnsi="Arial" w:cs="Arial"/>
          <w:sz w:val="22"/>
          <w:szCs w:val="22"/>
        </w:rPr>
        <w:t xml:space="preserve">arke, V. (2006) ‘Using Thematic Analysis in Psychology’, </w:t>
      </w:r>
      <w:r>
        <w:rPr>
          <w:rFonts w:ascii="Arial" w:hAnsi="Arial" w:cs="Arial"/>
          <w:i/>
          <w:iCs/>
          <w:sz w:val="22"/>
          <w:szCs w:val="22"/>
        </w:rPr>
        <w:t>Qualitative Research in Psychology</w:t>
      </w:r>
      <w:r>
        <w:rPr>
          <w:rFonts w:ascii="Arial" w:hAnsi="Arial" w:cs="Arial"/>
          <w:sz w:val="22"/>
          <w:szCs w:val="22"/>
        </w:rPr>
        <w:t>, 3(2), pp. 77–101. Available at: https://doi.org/10.1191/1478088706qp063oa.</w:t>
      </w:r>
    </w:p>
    <w:p w14:paraId="61757CC4" w14:textId="77777777" w:rsidR="006B7D38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Hendy, A.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(2025) ‘Telehealth satisfaction among patients with chronic diseases: a cross-sectional analysis’, </w:t>
      </w:r>
      <w:r>
        <w:rPr>
          <w:rFonts w:ascii="Arial" w:hAnsi="Arial" w:cs="Arial"/>
          <w:i/>
          <w:iCs/>
          <w:sz w:val="22"/>
          <w:szCs w:val="22"/>
        </w:rPr>
        <w:t>PeerJ</w:t>
      </w:r>
      <w:r>
        <w:rPr>
          <w:rFonts w:ascii="Arial" w:hAnsi="Arial" w:cs="Arial"/>
          <w:sz w:val="22"/>
          <w:szCs w:val="22"/>
        </w:rPr>
        <w:t>, 13, p. e19245. Available at: https://doi.org/10.7717/peerj.19245.</w:t>
      </w:r>
    </w:p>
    <w:p w14:paraId="7340640F" w14:textId="77777777" w:rsidR="006B7D38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Kuziemsky, C.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(2022) ‘Telehealth as a means of enabling health equity’, </w:t>
      </w:r>
      <w:r>
        <w:rPr>
          <w:rFonts w:ascii="Arial" w:hAnsi="Arial" w:cs="Arial"/>
          <w:i/>
          <w:iCs/>
          <w:sz w:val="22"/>
          <w:szCs w:val="22"/>
        </w:rPr>
        <w:t>Yearbook of Medical Informatics</w:t>
      </w:r>
      <w:r>
        <w:rPr>
          <w:rFonts w:ascii="Arial" w:hAnsi="Arial" w:cs="Arial"/>
          <w:sz w:val="22"/>
          <w:szCs w:val="22"/>
        </w:rPr>
        <w:t>, 31(1). Available at: https://doi.org/10.1055/s-0042-1742500.</w:t>
      </w:r>
    </w:p>
    <w:p w14:paraId="084B9321" w14:textId="77777777" w:rsidR="006B7D38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Mansoor, M. and Ibrahim, A. (2025) ‘Telemedicine beyond the Pandemic: Innovations, Challenges, and the Future of Digital Healthcare’, </w:t>
      </w:r>
      <w:r>
        <w:rPr>
          <w:rFonts w:ascii="Arial" w:hAnsi="Arial" w:cs="Arial"/>
          <w:i/>
          <w:iCs/>
          <w:sz w:val="22"/>
          <w:szCs w:val="22"/>
        </w:rPr>
        <w:t>Telemedicine - Models of Care [Working Title]</w:t>
      </w:r>
      <w:r>
        <w:rPr>
          <w:rFonts w:ascii="Arial" w:hAnsi="Arial" w:cs="Arial"/>
          <w:sz w:val="22"/>
          <w:szCs w:val="22"/>
        </w:rPr>
        <w:t xml:space="preserve"> [Preprint]. Available at: https://doi.org/10.5772/intechopen.1010583.</w:t>
      </w:r>
    </w:p>
    <w:p w14:paraId="5658203E" w14:textId="77777777" w:rsidR="006B7D38" w:rsidRDefault="006B7D38" w:rsidP="00AE789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Tan, S.Y. </w:t>
      </w:r>
      <w:r>
        <w:rPr>
          <w:rFonts w:ascii="Arial" w:hAnsi="Arial" w:cs="Arial"/>
          <w:i/>
          <w:iCs/>
          <w:sz w:val="22"/>
          <w:szCs w:val="22"/>
        </w:rPr>
        <w:t>et al.</w:t>
      </w:r>
      <w:r>
        <w:rPr>
          <w:rFonts w:ascii="Arial" w:hAnsi="Arial" w:cs="Arial"/>
          <w:sz w:val="22"/>
          <w:szCs w:val="22"/>
        </w:rPr>
        <w:t xml:space="preserve"> (2024) ‘A systematic review of the impacts of remote patient monitoring (RPM) interventions on safety, adherence, quality-of-life and cost-related outcomes’, </w:t>
      </w:r>
      <w:r>
        <w:rPr>
          <w:rFonts w:ascii="Arial" w:hAnsi="Arial" w:cs="Arial"/>
          <w:i/>
          <w:iCs/>
          <w:sz w:val="22"/>
          <w:szCs w:val="22"/>
        </w:rPr>
        <w:t>npj Digital Medicine</w:t>
      </w:r>
      <w:r>
        <w:rPr>
          <w:rFonts w:ascii="Arial" w:hAnsi="Arial" w:cs="Arial"/>
          <w:sz w:val="22"/>
          <w:szCs w:val="22"/>
        </w:rPr>
        <w:t>, 7(1), pp. 1–16. Available at: https://doi.org/10.1038/s41746-024-01182-w.</w:t>
      </w:r>
    </w:p>
    <w:p w14:paraId="79B55E5C" w14:textId="77777777" w:rsidR="00847C2F" w:rsidRPr="00847C2F" w:rsidRDefault="00847C2F" w:rsidP="00AE789F">
      <w:pPr>
        <w:jc w:val="both"/>
      </w:pPr>
    </w:p>
    <w:p w14:paraId="54FA40ED" w14:textId="77777777" w:rsidR="00B53AA7" w:rsidRDefault="00B53AA7" w:rsidP="00B53AA7">
      <w:pPr>
        <w:pStyle w:val="z-TopofForm"/>
      </w:pPr>
      <w:r>
        <w:t>Top of Form</w:t>
      </w:r>
    </w:p>
    <w:p w14:paraId="1F99AE33" w14:textId="77777777" w:rsidR="00B53AA7" w:rsidRDefault="00B53AA7" w:rsidP="00B53AA7">
      <w:pPr>
        <w:pStyle w:val="placeholder"/>
      </w:pPr>
    </w:p>
    <w:p w14:paraId="0ECB8097" w14:textId="77777777" w:rsidR="00B53AA7" w:rsidRDefault="00B53AA7" w:rsidP="00B53AA7">
      <w:pPr>
        <w:pStyle w:val="z-BottomofForm"/>
      </w:pPr>
      <w:r>
        <w:t>Bottom of Form</w:t>
      </w:r>
    </w:p>
    <w:p w14:paraId="0831A605" w14:textId="77777777" w:rsidR="002D4979" w:rsidRDefault="002D4979"/>
    <w:p w14:paraId="5DB31622" w14:textId="77777777" w:rsidR="002D4979" w:rsidRPr="002D4979" w:rsidRDefault="002D4979"/>
    <w:sectPr w:rsidR="002D4979" w:rsidRPr="002D49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62ACB"/>
    <w:multiLevelType w:val="multilevel"/>
    <w:tmpl w:val="DA96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73A5A"/>
    <w:multiLevelType w:val="multilevel"/>
    <w:tmpl w:val="A5C4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E470A6"/>
    <w:multiLevelType w:val="multilevel"/>
    <w:tmpl w:val="C428A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87226">
    <w:abstractNumId w:val="0"/>
  </w:num>
  <w:num w:numId="2" w16cid:durableId="1486580042">
    <w:abstractNumId w:val="2"/>
  </w:num>
  <w:num w:numId="3" w16cid:durableId="695697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663"/>
    <w:rsid w:val="000363C5"/>
    <w:rsid w:val="000B743B"/>
    <w:rsid w:val="001246C7"/>
    <w:rsid w:val="001E47A8"/>
    <w:rsid w:val="001E66E0"/>
    <w:rsid w:val="002A5235"/>
    <w:rsid w:val="002D4979"/>
    <w:rsid w:val="002F116D"/>
    <w:rsid w:val="00311173"/>
    <w:rsid w:val="00332642"/>
    <w:rsid w:val="00340028"/>
    <w:rsid w:val="00437888"/>
    <w:rsid w:val="00461624"/>
    <w:rsid w:val="00523D7C"/>
    <w:rsid w:val="005B4DCF"/>
    <w:rsid w:val="005D707C"/>
    <w:rsid w:val="00633DA1"/>
    <w:rsid w:val="006B7D38"/>
    <w:rsid w:val="007F4686"/>
    <w:rsid w:val="00804503"/>
    <w:rsid w:val="00847C2F"/>
    <w:rsid w:val="00855487"/>
    <w:rsid w:val="009A4C4D"/>
    <w:rsid w:val="009B14D7"/>
    <w:rsid w:val="009D45F2"/>
    <w:rsid w:val="00A07A84"/>
    <w:rsid w:val="00AD6BBD"/>
    <w:rsid w:val="00AE789F"/>
    <w:rsid w:val="00B53AA7"/>
    <w:rsid w:val="00B53BE2"/>
    <w:rsid w:val="00BE4882"/>
    <w:rsid w:val="00C801DC"/>
    <w:rsid w:val="00C81ED9"/>
    <w:rsid w:val="00CC4B79"/>
    <w:rsid w:val="00D95A10"/>
    <w:rsid w:val="00E947F1"/>
    <w:rsid w:val="00EB30D5"/>
    <w:rsid w:val="00F26663"/>
    <w:rsid w:val="00F31064"/>
    <w:rsid w:val="00F5211D"/>
    <w:rsid w:val="00FB6C67"/>
    <w:rsid w:val="00FC065E"/>
    <w:rsid w:val="00FE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9250F"/>
  <w15:chartTrackingRefBased/>
  <w15:docId w15:val="{2D48ECEE-1007-904F-9C21-346F0EA29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663"/>
    <w:pPr>
      <w:spacing w:line="360" w:lineRule="auto"/>
    </w:pPr>
    <w:rPr>
      <w:rFonts w:asciiTheme="minorBidi" w:hAnsiTheme="minorBid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6663"/>
    <w:pPr>
      <w:keepNext/>
      <w:keepLines/>
      <w:spacing w:before="360" w:after="80"/>
      <w:outlineLvl w:val="0"/>
    </w:pPr>
    <w:rPr>
      <w:rFonts w:eastAsiaTheme="majorEastAsia" w:cstheme="majorBidi"/>
      <w:b/>
      <w:color w:val="0F4761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6663"/>
    <w:pPr>
      <w:keepNext/>
      <w:keepLines/>
      <w:spacing w:before="160" w:after="80"/>
      <w:outlineLvl w:val="1"/>
    </w:pPr>
    <w:rPr>
      <w:rFonts w:eastAsiaTheme="majorEastAsia" w:cstheme="majorBidi"/>
      <w:b/>
      <w:color w:val="0F4761" w:themeColor="accent1" w:themeShade="BF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4882"/>
    <w:pPr>
      <w:keepNext/>
      <w:keepLines/>
      <w:spacing w:before="160" w:after="80"/>
      <w:outlineLvl w:val="2"/>
    </w:pPr>
    <w:rPr>
      <w:rFonts w:eastAsiaTheme="majorEastAsia" w:cstheme="majorBidi"/>
      <w:b/>
      <w:i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666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666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666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666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666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666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6663"/>
    <w:rPr>
      <w:rFonts w:asciiTheme="minorBidi" w:eastAsiaTheme="majorEastAsia" w:hAnsiTheme="minorBidi" w:cstheme="majorBidi"/>
      <w:b/>
      <w:color w:val="0F4761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26663"/>
    <w:rPr>
      <w:rFonts w:asciiTheme="minorBidi" w:eastAsiaTheme="majorEastAsia" w:hAnsiTheme="minorBidi" w:cstheme="majorBidi"/>
      <w:b/>
      <w:color w:val="0F4761" w:themeColor="accent1" w:themeShade="BF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E4882"/>
    <w:rPr>
      <w:rFonts w:asciiTheme="majorBidi" w:eastAsiaTheme="majorEastAsia" w:hAnsiTheme="majorBidi" w:cstheme="majorBidi"/>
      <w:b/>
      <w:i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66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66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66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66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66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66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6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6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666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6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66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6663"/>
    <w:rPr>
      <w:rFonts w:asciiTheme="majorBidi" w:hAnsiTheme="majorBidi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66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66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6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6663"/>
    <w:rPr>
      <w:rFonts w:asciiTheme="majorBidi" w:hAnsiTheme="majorBidi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666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53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53AA7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53AA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53AA7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paragraph" w:customStyle="1" w:styleId="placeholder">
    <w:name w:val="placeholder"/>
    <w:basedOn w:val="Normal"/>
    <w:rsid w:val="00B53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character" w:customStyle="1" w:styleId="max-w-40">
    <w:name w:val="max-w-40"/>
    <w:basedOn w:val="DefaultParagraphFont"/>
    <w:rsid w:val="00B53AA7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53AA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53AA7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867</Words>
  <Characters>4945</Characters>
  <Application>Microsoft Office Word</Application>
  <DocSecurity>0</DocSecurity>
  <Lines>41</Lines>
  <Paragraphs>11</Paragraphs>
  <ScaleCrop>false</ScaleCrop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 FILE</dc:creator>
  <cp:keywords/>
  <dc:description/>
  <cp:lastModifiedBy>Samina Nazir (2215433)</cp:lastModifiedBy>
  <cp:revision>2</cp:revision>
  <dcterms:created xsi:type="dcterms:W3CDTF">2025-10-11T23:55:00Z</dcterms:created>
  <dcterms:modified xsi:type="dcterms:W3CDTF">2025-10-11T23:55:00Z</dcterms:modified>
</cp:coreProperties>
</file>