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NO. 2223739</w:t>
      </w:r>
      <w:r w:rsidDel="00000000" w:rsidR="00000000" w:rsidRPr="00000000">
        <w:rPr>
          <w:rtl w:val="0"/>
        </w:rPr>
      </w:r>
    </w:p>
    <w:p w:rsidR="00000000" w:rsidDel="00000000" w:rsidP="00000000" w:rsidRDefault="00000000" w:rsidRPr="00000000" w14:paraId="00000002">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03">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The problems with diagnosis</w:t>
      </w:r>
    </w:p>
    <w:p w:rsidR="00000000" w:rsidDel="00000000" w:rsidP="00000000" w:rsidRDefault="00000000" w:rsidRPr="00000000" w14:paraId="00000004">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05">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Introduction </w:t>
      </w:r>
    </w:p>
    <w:p w:rsidR="00000000" w:rsidDel="00000000" w:rsidP="00000000" w:rsidRDefault="00000000" w:rsidRPr="00000000" w14:paraId="00000006">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0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Maintaining the integrity of the knee joint during dynamic motions is greatly dependent on the anterior cruciate ligament (ACL), which is an important stabilising element in the knee joint. The effects of this ligament's compromise which occurs with an anterior cruciate ligament (ACL) injury go beyond the location of the trauma. This introduction delves into the significant effects on knee stability, functionality, and the larger musculoskeletal system of the complex web of peripheral ailments linked to ACL loss. Understanding the intricacies of ACL injuries helps us better understand how adjacent ligaments, cartilage, and the lower limbs' general biomechanics are affected in a cascade manner. This write up will explore the world of ACL injuries and how they affect the peripheral and how orthopaedic issues are shaped and rehabilitation methods to recover the injured.</w:t>
      </w:r>
    </w:p>
    <w:p w:rsidR="00000000" w:rsidDel="00000000" w:rsidP="00000000" w:rsidRDefault="00000000" w:rsidRPr="00000000" w14:paraId="0000000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Subjective signposts</w:t>
      </w:r>
    </w:p>
    <w:p w:rsidR="00000000" w:rsidDel="00000000" w:rsidP="00000000" w:rsidRDefault="00000000" w:rsidRPr="00000000" w14:paraId="0000000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both non contact and contact mechanisms when it comes to an acl tear these include;</w:t>
      </w:r>
    </w:p>
    <w:p w:rsidR="00000000" w:rsidDel="00000000" w:rsidP="00000000" w:rsidRDefault="00000000" w:rsidRPr="00000000" w14:paraId="0000000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Non contact </w:t>
      </w:r>
    </w:p>
    <w:p w:rsidR="00000000" w:rsidDel="00000000" w:rsidP="00000000" w:rsidRDefault="00000000" w:rsidRPr="00000000" w14:paraId="0000000D">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Abrupt direction changes coupled with rapid deceleration can put strain on the knee and perhaps tear the ACL.</w:t>
      </w:r>
    </w:p>
    <w:p w:rsidR="00000000" w:rsidDel="00000000" w:rsidP="00000000" w:rsidRDefault="00000000" w:rsidRPr="00000000" w14:paraId="0000000E">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Erroneous landing following a leap, particularly when the knee is valgus (inward), can result in the ACL bearing too much weight, which can also cause an acl tear.</w:t>
      </w:r>
    </w:p>
    <w:p w:rsidR="00000000" w:rsidDel="00000000" w:rsidP="00000000" w:rsidRDefault="00000000" w:rsidRPr="00000000" w14:paraId="0000000F">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Contact</w:t>
      </w:r>
    </w:p>
    <w:p w:rsidR="00000000" w:rsidDel="00000000" w:rsidP="00000000" w:rsidRDefault="00000000" w:rsidRPr="00000000" w14:paraId="00000010">
      <w:pPr>
        <w:numPr>
          <w:ilvl w:val="0"/>
          <w:numId w:val="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contact sports like football, collisions, tackles, or direct hits to the knee can cause the knee to bend abnormally, rupturing the ACL.</w:t>
      </w:r>
    </w:p>
    <w:p w:rsidR="00000000" w:rsidDel="00000000" w:rsidP="00000000" w:rsidRDefault="00000000" w:rsidRPr="00000000" w14:paraId="00000011">
      <w:pPr>
        <w:numPr>
          <w:ilvl w:val="0"/>
          <w:numId w:val="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ACL injuries can also arise from a strong hyperextension of the knee, which is frequently experienced during falls or difficult landings.</w:t>
      </w:r>
    </w:p>
    <w:p w:rsidR="00000000" w:rsidDel="00000000" w:rsidP="00000000" w:rsidRDefault="00000000" w:rsidRPr="00000000" w14:paraId="00000012">
      <w:pPr>
        <w:spacing w:line="36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study conducted by Sheehan T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(2013) was done to critically evaluate what non contact mechanisms can cause ACL tears. Within the study it suggests the fact 75% of ACL tears happen without any contact, it also supports the fact that women are at a greater risk of sustaining ACL injuries. With females they have higher hip flexion angles compared to men this is a reason they are more prone to ACL injuries, on impact having wider hips and a higher hip flexion angle causes more strain on the ACL as more force is pushed through the tibia as they land with higher knee abduction movements. Furthermore according to Schultz. S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(2007) it also supports the fact that more than 75% of acl tears are caused due to non contact. Additionally it also suggests and supports the fact that women are more prone to ACL tears, the research shows that a knee abduction angle of 8° that women are more sustainable too, increased ground reaction pressures in relation to stance times 16% faster acquisition of moments and a shorter motion force rise. This raises the risk of ACL injury due to an increase in dynamic valgus and hip abduction stresses. </w:t>
      </w:r>
    </w:p>
    <w:p w:rsidR="00000000" w:rsidDel="00000000" w:rsidP="00000000" w:rsidRDefault="00000000" w:rsidRPr="00000000" w14:paraId="00000014">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Hageman J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(2014) the study suggests that other areas injured during an ACL tear include bone bruises predominantly in the tibia and femoral regions. After an ACL reconstruction studies suggest that anterior knee pain increased by 5-19% (S Nunes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2020). 24 hour pain patterns include an initial sharp pain, swelling, deep aches pain in the knee (Khadavi M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2019). A study conducted by Charmai K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was done on 89 athletes to determine if sleep and psychological factors are associated with discharge time after reconstruction, it was found that the amount of time needed to achieve the discharge requirements was unrelated to sleep characteristics or psychological considerations. However, athletes with better quality of sleep were more likely to meet the discharge criteria. </w:t>
      </w:r>
    </w:p>
    <w:p w:rsidR="00000000" w:rsidDel="00000000" w:rsidP="00000000" w:rsidRDefault="00000000" w:rsidRPr="00000000" w14:paraId="00000016">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u w:val="single"/>
          <w:rtl w:val="0"/>
        </w:rPr>
        <w:t xml:space="preserve">Objective signposts</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9">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study that was completed by Carlson K (2020) was done on 12 individuals (7 male, 5 Female) to critically evaluate ROM testing while the ACL was intact and the difference after reconstruction. The mean average for knee flexion was calculated on all participants ranging from approximately 0-37+ months.  </w:t>
      </w:r>
    </w:p>
    <w:p w:rsidR="00000000" w:rsidDel="00000000" w:rsidP="00000000" w:rsidRDefault="00000000" w:rsidRPr="00000000" w14:paraId="0000001B">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35052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200" cy="3505200"/>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results it can be seen that, from 0-36 months the intact knee had a more positive degree angle on knee flexion. However, after 37+ months, that is when the knee fully returns to normal knee flexion after an ACL tear.</w:t>
      </w:r>
    </w:p>
    <w:p w:rsidR="00000000" w:rsidDel="00000000" w:rsidP="00000000" w:rsidRDefault="00000000" w:rsidRPr="00000000" w14:paraId="0000001D">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 another study by Newcombe P.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(2001) was conducted on 31 participants 22 male and 9 female, to test muscle strength on the semitendinosus and gracilis, pre and 6 months post ACL reconstruction, as that is the ideal timeframe for return to sport. It can be seen that comparing the legs to before surgery, there was a 8.7% drop in hamstring strength and a 9.2% loss in quadriceps strength. These results show that after 6 months participants will not be back to their ideal strength within these muscles which can have a negative influence on their day to day life, as certain activities they could do before the tear will not be to the same ability as before due to the drop in strength. From the previous study it showed that it took 37+ months post op to return to normal ROM, it shows the 6 months is not a long enough time frame to return back to what it was before they tore their ACL. </w:t>
      </w:r>
    </w:p>
    <w:p w:rsidR="00000000" w:rsidDel="00000000" w:rsidP="00000000" w:rsidRDefault="00000000" w:rsidRPr="00000000" w14:paraId="0000001E">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study conducted by Norris R.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was done to observe what clinical tests are best suited for an ACL tear. The tests completed were the Lachman test, pivot shift, anterior drawer test and lever sign test. From the results it can be seen that the Lever test and pivot shift are the best tests for ruling an acl tear. </w:t>
      </w:r>
    </w:p>
    <w:p w:rsidR="00000000" w:rsidDel="00000000" w:rsidP="00000000" w:rsidRDefault="00000000" w:rsidRPr="00000000" w14:paraId="0000001F">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Duby C.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(2012) individuals with ACL injuries frequently have those same diseases as well as others as following injuries, even though differential diagnosis must take additional pathologies including meniscal tears, osteochondral injuries, tibial spine fractures, other ligament injuries, or epiphyseal fractures into account.</w:t>
      </w:r>
    </w:p>
    <w:p w:rsidR="00000000" w:rsidDel="00000000" w:rsidP="00000000" w:rsidRDefault="00000000" w:rsidRPr="00000000" w14:paraId="00000021">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line="360" w:lineRule="auto"/>
        <w:ind w:left="0" w:firstLine="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Importance of referral for surgical interventions or for imaging</w:t>
      </w:r>
    </w:p>
    <w:p w:rsidR="00000000" w:rsidDel="00000000" w:rsidP="00000000" w:rsidRDefault="00000000" w:rsidRPr="00000000" w14:paraId="00000023">
      <w:pPr>
        <w:spacing w:line="360" w:lineRule="auto"/>
        <w:ind w:left="0" w:firstLine="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24">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a variety of reasons as to why it important to refer clients;</w:t>
      </w:r>
    </w:p>
    <w:p w:rsidR="00000000" w:rsidDel="00000000" w:rsidP="00000000" w:rsidRDefault="00000000" w:rsidRPr="00000000" w14:paraId="00000025">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Psychological effects - ACL injuries present both physical and psychological difficulties to deal with. A positive outlook during the healing process can be encouraged, anxiety can be decreased, and the emotional components of injury can be addressed by referring clients to sports psychologists or counsellors. A study by Clare L.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(2012) showed that less than 50% of the participants two to seven years following ACL reconstruction surgery, had either returned to competitive sport or to playing sports at their pre-injury level. Which can have a psychological effect on an individual as they were not either at the ability as they were before or have lost interest due to the duration of time spent injured.</w:t>
      </w:r>
    </w:p>
    <w:p w:rsidR="00000000" w:rsidDel="00000000" w:rsidP="00000000" w:rsidRDefault="00000000" w:rsidRPr="00000000" w14:paraId="00000026">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 of surgical operations- Certain times the ACL will need to be reconstructed, the earlier this is identified the quicker the rehabilitation can begin, while also reducing the risk of further damage. In addition to preventing re-rupture, a successful anterior cruciate ligament replacement surgery and rehabilitation maximise patient satisfaction, knee stability, and return to sport (Cunha J. and Solomon. D.J 2022).</w:t>
      </w:r>
    </w:p>
    <w:p w:rsidR="00000000" w:rsidDel="00000000" w:rsidP="00000000" w:rsidRDefault="00000000" w:rsidRPr="00000000" w14:paraId="00000028">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Stopping long term complications- ACL injuries that go untreated can develop long-term side effects like osteoarthritis and ongoing joint instability. Early referral lowers the chance of long-term consequences by allowing medical personnel to evaluate the extent of the injury and apply the proper therapies (H Mokness,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2016).</w:t>
      </w:r>
    </w:p>
    <w:p w:rsidR="00000000" w:rsidDel="00000000" w:rsidP="00000000" w:rsidRDefault="00000000" w:rsidRPr="00000000" w14:paraId="0000002A">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Accurate diagnosis- Referring clients to specialists such as surgeons are used in order to execute accurate diagnosis, while they can also pass on any additional needs such as an MRI in order to maximise accuracy of the diagnosis and in order to provide and prepare for the next steps ahead. As mentioned previously the lever test is an excellent ligament stress test in order to identify ACL tears as preliminary results suggest almost 100% to specify any ACL tear. Results show that there was a 100% success of the level test in regards to sensitivity and specificity (E David,</w:t>
      </w:r>
      <w:r w:rsidDel="00000000" w:rsidR="00000000" w:rsidRPr="00000000">
        <w:rPr>
          <w:rFonts w:ascii="Times New Roman" w:cs="Times New Roman" w:eastAsia="Times New Roman" w:hAnsi="Times New Roman"/>
          <w:i w:val="1"/>
          <w:sz w:val="24"/>
          <w:szCs w:val="24"/>
          <w:rtl w:val="0"/>
        </w:rPr>
        <w:t xml:space="preserve"> et al</w:t>
      </w:r>
      <w:r w:rsidDel="00000000" w:rsidR="00000000" w:rsidRPr="00000000">
        <w:rPr>
          <w:rFonts w:ascii="Times New Roman" w:cs="Times New Roman" w:eastAsia="Times New Roman" w:hAnsi="Times New Roman"/>
          <w:sz w:val="24"/>
          <w:szCs w:val="24"/>
          <w:rtl w:val="0"/>
        </w:rPr>
        <w:t xml:space="preserve">. 2017). </w:t>
      </w:r>
    </w:p>
    <w:p w:rsidR="00000000" w:rsidDel="00000000" w:rsidP="00000000" w:rsidRDefault="00000000" w:rsidRPr="00000000" w14:paraId="0000002C">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Rehabilitation programs- Due to the duration of an ACL injury it gives a lot of time for rehabilitation programmes to be made from the early to intermediate phase up to the return of play. Certain exercises and isometrics are used to increase ROM strength in order to facilitate a safe and correct return to play. Additionally rehabilitation programmes aim to reduce second injury and aim to improve biomechanics and increase neuromuscular control (Ellmers T,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w:t>
      </w:r>
    </w:p>
    <w:p w:rsidR="00000000" w:rsidDel="00000000" w:rsidP="00000000" w:rsidRDefault="00000000" w:rsidRPr="00000000" w14:paraId="0000002E">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ACL injuries, prompt referral is essential to minimising long-term consequences, guaranteeing correct diagnosis, and maximising treatment results. Working together, medical professionals such as psychologists, physical therapists, and orthopaedic specialists is crucial to delivering comprehensive care and helping patients with ACL injuries recover.</w:t>
      </w:r>
    </w:p>
    <w:p w:rsidR="00000000" w:rsidDel="00000000" w:rsidP="00000000" w:rsidRDefault="00000000" w:rsidRPr="00000000" w14:paraId="00000030">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a variety of considerations that should be taken into consideration when knowing when to refer for an acl injury;</w:t>
      </w:r>
    </w:p>
    <w:p w:rsidR="00000000" w:rsidDel="00000000" w:rsidP="00000000" w:rsidRDefault="00000000" w:rsidRPr="00000000" w14:paraId="00000032">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Age and participant level- Early management may be beneficial for young, energetic individuals in order to minimise long-term consequences and speed recovery to normal activities (Frobel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2013).</w:t>
      </w:r>
    </w:p>
    <w:p w:rsidR="00000000" w:rsidDel="00000000" w:rsidP="00000000" w:rsidRDefault="00000000" w:rsidRPr="00000000" w14:paraId="00000033">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Instability and recurring symptoms- Any of these are urgent to immediate referral in these situations, experts can determine whether surgery is necessary to restore joint stability and function (Cinque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2018).</w:t>
      </w:r>
    </w:p>
    <w:p w:rsidR="00000000" w:rsidDel="00000000" w:rsidP="00000000" w:rsidRDefault="00000000" w:rsidRPr="00000000" w14:paraId="00000034">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Clinical testing findings- Positive results on clinical tests that indicate a possible ACL injury include the Lachman or pivot shift tests. When these tests indicate ligamentous instability, prompt referral is recommended to ensure a thorough evaluation by a specialist (Benjaminse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2006).</w:t>
      </w:r>
    </w:p>
    <w:p w:rsidR="00000000" w:rsidDel="00000000" w:rsidP="00000000" w:rsidRDefault="00000000" w:rsidRPr="00000000" w14:paraId="00000035">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Associated injuries- When knee associated injuries are located, damage to other knee structures is frequently assembled with ACL injuries. A thorough evaluation of all impacted components is ensured by referral, which directs an appropriate treatment strategy for better overall results (Smith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2016).</w:t>
      </w:r>
    </w:p>
    <w:p w:rsidR="00000000" w:rsidDel="00000000" w:rsidP="00000000" w:rsidRDefault="00000000" w:rsidRPr="00000000" w14:paraId="00000036">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Knowing how to refer is also another thing that must be considered when dealing with patients with acl tears;</w:t>
      </w:r>
    </w:p>
    <w:p w:rsidR="00000000" w:rsidDel="00000000" w:rsidP="00000000" w:rsidRDefault="00000000" w:rsidRPr="00000000" w14:paraId="00000038">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Clinical assessment- Doing thorough tests related to the area of injury is vital when trying to locate an acl injury, these tests include the Lachman and pivot test (Benjaminse</w:t>
      </w:r>
      <w:r w:rsidDel="00000000" w:rsidR="00000000" w:rsidRPr="00000000">
        <w:rPr>
          <w:rFonts w:ascii="Times New Roman" w:cs="Times New Roman" w:eastAsia="Times New Roman" w:hAnsi="Times New Roman"/>
          <w:i w:val="1"/>
          <w:sz w:val="24"/>
          <w:szCs w:val="24"/>
          <w:rtl w:val="0"/>
        </w:rPr>
        <w:t xml:space="preserve"> et al</w:t>
      </w:r>
      <w:r w:rsidDel="00000000" w:rsidR="00000000" w:rsidRPr="00000000">
        <w:rPr>
          <w:rFonts w:ascii="Times New Roman" w:cs="Times New Roman" w:eastAsia="Times New Roman" w:hAnsi="Times New Roman"/>
          <w:sz w:val="24"/>
          <w:szCs w:val="24"/>
          <w:rtl w:val="0"/>
        </w:rPr>
        <w:t xml:space="preserve">, 2006).</w:t>
      </w:r>
    </w:p>
    <w:p w:rsidR="00000000" w:rsidDel="00000000" w:rsidP="00000000" w:rsidRDefault="00000000" w:rsidRPr="00000000" w14:paraId="00000039">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Multi use disciplinaries- Working with other health professionals for the clients healthcare is also another way to refer, working with other relevant specialists help to provide a coordinated treatment (Clinque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2018). </w:t>
      </w:r>
    </w:p>
    <w:p w:rsidR="00000000" w:rsidDel="00000000" w:rsidP="00000000" w:rsidRDefault="00000000" w:rsidRPr="00000000" w14:paraId="0000003A">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Medical imaging- Encourage timely diagnostic imaging to determine the extent of the ACL tear and confirm the diagnosis, preferably with magnetic resonance imaging (MRI) (Smith</w:t>
      </w:r>
      <w:r w:rsidDel="00000000" w:rsidR="00000000" w:rsidRPr="00000000">
        <w:rPr>
          <w:rFonts w:ascii="Times New Roman" w:cs="Times New Roman" w:eastAsia="Times New Roman" w:hAnsi="Times New Roman"/>
          <w:i w:val="1"/>
          <w:sz w:val="24"/>
          <w:szCs w:val="24"/>
          <w:rtl w:val="0"/>
        </w:rPr>
        <w:t xml:space="preserve"> et al</w:t>
      </w:r>
      <w:r w:rsidDel="00000000" w:rsidR="00000000" w:rsidRPr="00000000">
        <w:rPr>
          <w:rFonts w:ascii="Times New Roman" w:cs="Times New Roman" w:eastAsia="Times New Roman" w:hAnsi="Times New Roman"/>
          <w:sz w:val="24"/>
          <w:szCs w:val="24"/>
          <w:rtl w:val="0"/>
        </w:rPr>
        <w:t xml:space="preserve">, 2012). </w:t>
      </w:r>
    </w:p>
    <w:p w:rsidR="00000000" w:rsidDel="00000000" w:rsidP="00000000" w:rsidRDefault="00000000" w:rsidRPr="00000000" w14:paraId="0000003B">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Age and activity considerations- When providing a reference, consider the client's age and degree of activity. Younger people who are active may need more urgent care to avoid long-term issues and enable a quicker return to their normal activities (Frobell, </w:t>
      </w:r>
      <w:r w:rsidDel="00000000" w:rsidR="00000000" w:rsidRPr="00000000">
        <w:rPr>
          <w:rFonts w:ascii="Times New Roman" w:cs="Times New Roman" w:eastAsia="Times New Roman" w:hAnsi="Times New Roman"/>
          <w:i w:val="1"/>
          <w:sz w:val="24"/>
          <w:szCs w:val="24"/>
          <w:rtl w:val="0"/>
        </w:rPr>
        <w:t xml:space="preserve"> et al </w:t>
      </w:r>
      <w:r w:rsidDel="00000000" w:rsidR="00000000" w:rsidRPr="00000000">
        <w:rPr>
          <w:rFonts w:ascii="Times New Roman" w:cs="Times New Roman" w:eastAsia="Times New Roman" w:hAnsi="Times New Roman"/>
          <w:sz w:val="24"/>
          <w:szCs w:val="24"/>
          <w:rtl w:val="0"/>
        </w:rPr>
        <w:t xml:space="preserve">2013).</w:t>
      </w:r>
    </w:p>
    <w:p w:rsidR="00000000" w:rsidDel="00000000" w:rsidP="00000000" w:rsidRDefault="00000000" w:rsidRPr="00000000" w14:paraId="0000003D">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extensive approach involving clinical assessments, medical imaging, expert consultations are all considerations necessary for effective referral for ACL rupture. Healthcare providers may guarantee that patients receive timely, tailored care for the best results by adhering to these recommendations and encouraging collaboration between disciplines.</w:t>
      </w:r>
    </w:p>
    <w:p w:rsidR="00000000" w:rsidDel="00000000" w:rsidP="00000000" w:rsidRDefault="00000000" w:rsidRPr="00000000" w14:paraId="0000003F">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36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WORD COUNT-1800</w:t>
      </w:r>
    </w:p>
    <w:p w:rsidR="00000000" w:rsidDel="00000000" w:rsidP="00000000" w:rsidRDefault="00000000" w:rsidRPr="00000000" w14:paraId="00000043">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spacing w:line="360" w:lineRule="auto"/>
        <w:ind w:left="0" w:firstLine="0"/>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References </w:t>
      </w:r>
    </w:p>
    <w:p w:rsidR="00000000" w:rsidDel="00000000" w:rsidP="00000000" w:rsidRDefault="00000000" w:rsidRPr="00000000" w14:paraId="00000053">
      <w:pPr>
        <w:spacing w:line="360" w:lineRule="auto"/>
        <w:ind w:left="0" w:firstLine="0"/>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54">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 B.B.F.J. (2013) </w:t>
      </w:r>
      <w:r w:rsidDel="00000000" w:rsidR="00000000" w:rsidRPr="00000000">
        <w:rPr>
          <w:rFonts w:ascii="Times New Roman" w:cs="Times New Roman" w:eastAsia="Times New Roman" w:hAnsi="Times New Roman"/>
          <w:i w:val="1"/>
          <w:sz w:val="24"/>
          <w:szCs w:val="24"/>
          <w:rtl w:val="0"/>
        </w:rPr>
        <w:t xml:space="preserve">Noncontact anterior cruciate ligament injuries: Mechanisms and risk factors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The Journal of the American Academy of Orthopaedic Surgeons</w:t>
      </w:r>
      <w:r w:rsidDel="00000000" w:rsidR="00000000" w:rsidRPr="00000000">
        <w:rPr>
          <w:rFonts w:ascii="Times New Roman" w:cs="Times New Roman" w:eastAsia="Times New Roman" w:hAnsi="Times New Roman"/>
          <w:sz w:val="24"/>
          <w:szCs w:val="24"/>
          <w:rtl w:val="0"/>
        </w:rPr>
        <w:t xml:space="preserve">. Available at: https://pubmed.ncbi.nlm.nih.gov/20810933/ (Accessed: 27 October 2023). </w:t>
      </w:r>
    </w:p>
    <w:p w:rsidR="00000000" w:rsidDel="00000000" w:rsidP="00000000" w:rsidRDefault="00000000" w:rsidRPr="00000000" w14:paraId="00000055">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Hewett, T.E. ed.,2007. </w:t>
      </w:r>
      <w:r w:rsidDel="00000000" w:rsidR="00000000" w:rsidRPr="00000000">
        <w:rPr>
          <w:rFonts w:ascii="Times New Roman" w:cs="Times New Roman" w:eastAsia="Times New Roman" w:hAnsi="Times New Roman"/>
          <w:i w:val="1"/>
          <w:sz w:val="24"/>
          <w:szCs w:val="24"/>
          <w:rtl w:val="0"/>
        </w:rPr>
        <w:t xml:space="preserve">Understanding and preventing noncontact ACL injuries</w:t>
      </w:r>
      <w:r w:rsidDel="00000000" w:rsidR="00000000" w:rsidRPr="00000000">
        <w:rPr>
          <w:rFonts w:ascii="Times New Roman" w:cs="Times New Roman" w:eastAsia="Times New Roman" w:hAnsi="Times New Roman"/>
          <w:sz w:val="24"/>
          <w:szCs w:val="24"/>
          <w:rtl w:val="0"/>
        </w:rPr>
        <w:t xml:space="preserve"> (pp. 166-167). Champaign, IL: Human Kinetics.</w:t>
      </w:r>
    </w:p>
    <w:p w:rsidR="00000000" w:rsidDel="00000000" w:rsidP="00000000" w:rsidRDefault="00000000" w:rsidRPr="00000000" w14:paraId="00000056">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Hageman, J. et al. (2014). Prevalence and location of bone bruises associated with anterior cruciate ligament injury and implications for mechanism of injury: a systematic review. </w:t>
      </w:r>
      <w:r w:rsidDel="00000000" w:rsidR="00000000" w:rsidRPr="00000000">
        <w:rPr>
          <w:rFonts w:ascii="Times New Roman" w:cs="Times New Roman" w:eastAsia="Times New Roman" w:hAnsi="Times New Roman"/>
          <w:i w:val="1"/>
          <w:sz w:val="24"/>
          <w:szCs w:val="24"/>
          <w:rtl w:val="0"/>
        </w:rPr>
        <w:t xml:space="preserve">Sports medicine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44</w:t>
      </w:r>
      <w:r w:rsidDel="00000000" w:rsidR="00000000" w:rsidRPr="00000000">
        <w:rPr>
          <w:rFonts w:ascii="Times New Roman" w:cs="Times New Roman" w:eastAsia="Times New Roman" w:hAnsi="Times New Roman"/>
          <w:sz w:val="24"/>
          <w:szCs w:val="24"/>
          <w:rtl w:val="0"/>
        </w:rPr>
        <w:t xml:space="preserve">, pp.281-293.</w:t>
      </w:r>
    </w:p>
    <w:p w:rsidR="00000000" w:rsidDel="00000000" w:rsidP="00000000" w:rsidRDefault="00000000" w:rsidRPr="00000000" w14:paraId="00000057">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Marques, F.D.S. et al. (2020). Anterior knee pain after anterior cruciate ligament reconstruction. </w:t>
      </w:r>
      <w:r w:rsidDel="00000000" w:rsidR="00000000" w:rsidRPr="00000000">
        <w:rPr>
          <w:rFonts w:ascii="Times New Roman" w:cs="Times New Roman" w:eastAsia="Times New Roman" w:hAnsi="Times New Roman"/>
          <w:i w:val="1"/>
          <w:sz w:val="24"/>
          <w:szCs w:val="24"/>
          <w:rtl w:val="0"/>
        </w:rPr>
        <w:t xml:space="preserve">Orthopaedic journal of sports medicine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8</w:t>
      </w:r>
      <w:r w:rsidDel="00000000" w:rsidR="00000000" w:rsidRPr="00000000">
        <w:rPr>
          <w:rFonts w:ascii="Times New Roman" w:cs="Times New Roman" w:eastAsia="Times New Roman" w:hAnsi="Times New Roman"/>
          <w:sz w:val="24"/>
          <w:szCs w:val="24"/>
          <w:rtl w:val="0"/>
        </w:rPr>
        <w:t xml:space="preserve">(10), p.2325967120961082.</w:t>
      </w:r>
    </w:p>
    <w:p w:rsidR="00000000" w:rsidDel="00000000" w:rsidP="00000000" w:rsidRDefault="00000000" w:rsidRPr="00000000" w14:paraId="00000058">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Michael Khadavi, M. (2019) </w:t>
      </w:r>
      <w:r w:rsidDel="00000000" w:rsidR="00000000" w:rsidRPr="00000000">
        <w:rPr>
          <w:rFonts w:ascii="Times New Roman" w:cs="Times New Roman" w:eastAsia="Times New Roman" w:hAnsi="Times New Roman"/>
          <w:i w:val="1"/>
          <w:sz w:val="24"/>
          <w:szCs w:val="24"/>
          <w:rtl w:val="0"/>
        </w:rPr>
        <w:t xml:space="preserve">ACL tear symptoms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Sports</w:t>
      </w:r>
      <w:r w:rsidDel="00000000" w:rsidR="00000000" w:rsidRPr="00000000">
        <w:rPr>
          <w:rFonts w:ascii="Times New Roman" w:cs="Times New Roman" w:eastAsia="Times New Roman" w:hAnsi="Times New Roman"/>
          <w:sz w:val="24"/>
          <w:szCs w:val="24"/>
          <w:rtl w:val="0"/>
        </w:rPr>
        <w:t xml:space="preserve">. Available at: https://www.sports-health.com/sports-injuries/knee-injuries/acl-tear-symptoms (Accessed: 09 November 2023). </w:t>
      </w:r>
    </w:p>
    <w:p w:rsidR="00000000" w:rsidDel="00000000" w:rsidP="00000000" w:rsidRDefault="00000000" w:rsidRPr="00000000" w14:paraId="00000059">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Khalladi, K.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‘Sleep and psychological factors are associated with meeting discharge criteria to return to sport following ACL reconstruction in athletes’, </w:t>
      </w:r>
      <w:r w:rsidDel="00000000" w:rsidR="00000000" w:rsidRPr="00000000">
        <w:rPr>
          <w:rFonts w:ascii="Times New Roman" w:cs="Times New Roman" w:eastAsia="Times New Roman" w:hAnsi="Times New Roman"/>
          <w:i w:val="1"/>
          <w:sz w:val="24"/>
          <w:szCs w:val="24"/>
          <w:rtl w:val="0"/>
        </w:rPr>
        <w:t xml:space="preserve">Biology of Sport</w:t>
      </w:r>
      <w:r w:rsidDel="00000000" w:rsidR="00000000" w:rsidRPr="00000000">
        <w:rPr>
          <w:rFonts w:ascii="Times New Roman" w:cs="Times New Roman" w:eastAsia="Times New Roman" w:hAnsi="Times New Roman"/>
          <w:sz w:val="24"/>
          <w:szCs w:val="24"/>
          <w:rtl w:val="0"/>
        </w:rPr>
        <w:t xml:space="preserve">, 38(3), pp. 305–313. doi:10.5114/biolsport.2021.99704. </w:t>
      </w:r>
    </w:p>
    <w:p w:rsidR="00000000" w:rsidDel="00000000" w:rsidP="00000000" w:rsidRDefault="00000000" w:rsidRPr="00000000" w14:paraId="0000005A">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Carlson, K., 2020. Assessment of post-rehabilitation acl reconstructed knees. </w:t>
      </w:r>
      <w:r w:rsidDel="00000000" w:rsidR="00000000" w:rsidRPr="00000000">
        <w:rPr>
          <w:rFonts w:ascii="Times New Roman" w:cs="Times New Roman" w:eastAsia="Times New Roman" w:hAnsi="Times New Roman"/>
          <w:i w:val="1"/>
          <w:sz w:val="24"/>
          <w:szCs w:val="24"/>
          <w:rtl w:val="0"/>
        </w:rPr>
        <w:t xml:space="preserve">International Journal of Kinesiology and Sports Science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8</w:t>
      </w:r>
      <w:r w:rsidDel="00000000" w:rsidR="00000000" w:rsidRPr="00000000">
        <w:rPr>
          <w:rFonts w:ascii="Times New Roman" w:cs="Times New Roman" w:eastAsia="Times New Roman" w:hAnsi="Times New Roman"/>
          <w:sz w:val="24"/>
          <w:szCs w:val="24"/>
          <w:rtl w:val="0"/>
        </w:rPr>
        <w:t xml:space="preserve">(2), pp.33-39.</w:t>
      </w:r>
    </w:p>
    <w:p w:rsidR="00000000" w:rsidDel="00000000" w:rsidP="00000000" w:rsidRDefault="00000000" w:rsidRPr="00000000" w14:paraId="0000005B">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Keays, S.L.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(2001) ‘Muscle Strength and function before and after anterior cruciate ligament reconstruction using semitendinosus and gracilis’, </w:t>
      </w:r>
      <w:r w:rsidDel="00000000" w:rsidR="00000000" w:rsidRPr="00000000">
        <w:rPr>
          <w:rFonts w:ascii="Times New Roman" w:cs="Times New Roman" w:eastAsia="Times New Roman" w:hAnsi="Times New Roman"/>
          <w:i w:val="1"/>
          <w:sz w:val="24"/>
          <w:szCs w:val="24"/>
          <w:rtl w:val="0"/>
        </w:rPr>
        <w:t xml:space="preserve">The Knee</w:t>
      </w:r>
      <w:r w:rsidDel="00000000" w:rsidR="00000000" w:rsidRPr="00000000">
        <w:rPr>
          <w:rFonts w:ascii="Times New Roman" w:cs="Times New Roman" w:eastAsia="Times New Roman" w:hAnsi="Times New Roman"/>
          <w:sz w:val="24"/>
          <w:szCs w:val="24"/>
          <w:rtl w:val="0"/>
        </w:rPr>
        <w:t xml:space="preserve">, 8(3), pp. 229–234. doi:10.1016/s0968-0160(01)00099-0. </w:t>
      </w:r>
    </w:p>
    <w:p w:rsidR="00000000" w:rsidDel="00000000" w:rsidP="00000000" w:rsidRDefault="00000000" w:rsidRPr="00000000" w14:paraId="0000005C">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Sokal, P.A.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‘The diagnostic accuracy of clinical tests for anterior cruciate ligament tears are comparable but the Lachman test has been previously overestimated: A systematic review and meta-analysis’, </w:t>
      </w:r>
      <w:r w:rsidDel="00000000" w:rsidR="00000000" w:rsidRPr="00000000">
        <w:rPr>
          <w:rFonts w:ascii="Times New Roman" w:cs="Times New Roman" w:eastAsia="Times New Roman" w:hAnsi="Times New Roman"/>
          <w:i w:val="1"/>
          <w:sz w:val="24"/>
          <w:szCs w:val="24"/>
          <w:rtl w:val="0"/>
        </w:rPr>
        <w:t xml:space="preserve">Knee Surgery, Sports Traumatology, Arthroscopy</w:t>
      </w:r>
      <w:r w:rsidDel="00000000" w:rsidR="00000000" w:rsidRPr="00000000">
        <w:rPr>
          <w:rFonts w:ascii="Times New Roman" w:cs="Times New Roman" w:eastAsia="Times New Roman" w:hAnsi="Times New Roman"/>
          <w:sz w:val="24"/>
          <w:szCs w:val="24"/>
          <w:rtl w:val="0"/>
        </w:rPr>
        <w:t xml:space="preserve">, 30(10), pp. 3287–3303. doi:10.1007/s00167-022-06898-4.</w:t>
      </w:r>
    </w:p>
    <w:p w:rsidR="00000000" w:rsidDel="00000000" w:rsidP="00000000" w:rsidRDefault="00000000" w:rsidRPr="00000000" w14:paraId="0000005D">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Hazle C, Duby C. Anterior cruciate ligament injury diagnosis and management in a paediatric patient: a case report. Int J Sports Phys Ther. 2012 Dec;7(6):678-90. PMID: 23316431; PMCID: PMC3537458.</w:t>
      </w:r>
    </w:p>
    <w:p w:rsidR="00000000" w:rsidDel="00000000" w:rsidP="00000000" w:rsidRDefault="00000000" w:rsidRPr="00000000" w14:paraId="0000005E">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Ardern, C.L.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(2011) ‘Return-to-sport outcomes at 2 to 7 years after Anterior Cruciate Ligament Reconstruction surgery’, </w:t>
      </w:r>
      <w:r w:rsidDel="00000000" w:rsidR="00000000" w:rsidRPr="00000000">
        <w:rPr>
          <w:rFonts w:ascii="Times New Roman" w:cs="Times New Roman" w:eastAsia="Times New Roman" w:hAnsi="Times New Roman"/>
          <w:i w:val="1"/>
          <w:sz w:val="24"/>
          <w:szCs w:val="24"/>
          <w:rtl w:val="0"/>
        </w:rPr>
        <w:t xml:space="preserve">The American Journal of Sports Medicine</w:t>
      </w:r>
      <w:r w:rsidDel="00000000" w:rsidR="00000000" w:rsidRPr="00000000">
        <w:rPr>
          <w:rFonts w:ascii="Times New Roman" w:cs="Times New Roman" w:eastAsia="Times New Roman" w:hAnsi="Times New Roman"/>
          <w:sz w:val="24"/>
          <w:szCs w:val="24"/>
          <w:rtl w:val="0"/>
        </w:rPr>
        <w:t xml:space="preserve">, 40(1), pp. 41–48. doi:10.1177/0363546511422999. </w:t>
      </w:r>
    </w:p>
    <w:p w:rsidR="00000000" w:rsidDel="00000000" w:rsidP="00000000" w:rsidRDefault="00000000" w:rsidRPr="00000000" w14:paraId="0000005F">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Cunha, J. and Solomon, D.J. (2022) ‘ACL prehabilitation improves postoperative strength and motion and return to sport in athletes’, </w:t>
      </w:r>
      <w:r w:rsidDel="00000000" w:rsidR="00000000" w:rsidRPr="00000000">
        <w:rPr>
          <w:rFonts w:ascii="Times New Roman" w:cs="Times New Roman" w:eastAsia="Times New Roman" w:hAnsi="Times New Roman"/>
          <w:i w:val="1"/>
          <w:sz w:val="24"/>
          <w:szCs w:val="24"/>
          <w:rtl w:val="0"/>
        </w:rPr>
        <w:t xml:space="preserve">Arthroscopy, Sports Medicine, and Rehabilitation</w:t>
      </w:r>
      <w:r w:rsidDel="00000000" w:rsidR="00000000" w:rsidRPr="00000000">
        <w:rPr>
          <w:rFonts w:ascii="Times New Roman" w:cs="Times New Roman" w:eastAsia="Times New Roman" w:hAnsi="Times New Roman"/>
          <w:sz w:val="24"/>
          <w:szCs w:val="24"/>
          <w:rtl w:val="0"/>
        </w:rPr>
        <w:t xml:space="preserve">, 4(1). doi:10.1016/j.asmr.2021.11.001. </w:t>
      </w:r>
    </w:p>
    <w:p w:rsidR="00000000" w:rsidDel="00000000" w:rsidP="00000000" w:rsidRDefault="00000000" w:rsidRPr="00000000" w14:paraId="00000060">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Grindem, H.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(2016) ‘Simple decision rules can reduce reinjury risk by 84% after ACL reconstruction: The Delaware-Oslo ACL Cohort Study’, </w:t>
      </w:r>
      <w:r w:rsidDel="00000000" w:rsidR="00000000" w:rsidRPr="00000000">
        <w:rPr>
          <w:rFonts w:ascii="Times New Roman" w:cs="Times New Roman" w:eastAsia="Times New Roman" w:hAnsi="Times New Roman"/>
          <w:i w:val="1"/>
          <w:sz w:val="24"/>
          <w:szCs w:val="24"/>
          <w:rtl w:val="0"/>
        </w:rPr>
        <w:t xml:space="preserve">British Journal of Sports Medicine</w:t>
      </w:r>
      <w:r w:rsidDel="00000000" w:rsidR="00000000" w:rsidRPr="00000000">
        <w:rPr>
          <w:rFonts w:ascii="Times New Roman" w:cs="Times New Roman" w:eastAsia="Times New Roman" w:hAnsi="Times New Roman"/>
          <w:sz w:val="24"/>
          <w:szCs w:val="24"/>
          <w:rtl w:val="0"/>
        </w:rPr>
        <w:t xml:space="preserve">, 50(13), pp. 804–808. doi:10.1136/bjsports-2016-096031. </w:t>
      </w:r>
    </w:p>
    <w:p w:rsidR="00000000" w:rsidDel="00000000" w:rsidP="00000000" w:rsidRDefault="00000000" w:rsidRPr="00000000" w14:paraId="00000061">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Jarbo, K.A., Hartigan, D.E., Scott, K.L., Patel, K.A. and Chhabra, A., 2017. Accuracy of the lever sign test in the diagnosis of anterior cruciate ligament injuries. </w:t>
      </w:r>
      <w:r w:rsidDel="00000000" w:rsidR="00000000" w:rsidRPr="00000000">
        <w:rPr>
          <w:rFonts w:ascii="Times New Roman" w:cs="Times New Roman" w:eastAsia="Times New Roman" w:hAnsi="Times New Roman"/>
          <w:i w:val="1"/>
          <w:sz w:val="24"/>
          <w:szCs w:val="24"/>
          <w:rtl w:val="0"/>
        </w:rPr>
        <w:t xml:space="preserve">Orthopaedic journal of sports medicine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w:t>
      </w:r>
      <w:r w:rsidDel="00000000" w:rsidR="00000000" w:rsidRPr="00000000">
        <w:rPr>
          <w:rFonts w:ascii="Times New Roman" w:cs="Times New Roman" w:eastAsia="Times New Roman" w:hAnsi="Times New Roman"/>
          <w:sz w:val="24"/>
          <w:szCs w:val="24"/>
          <w:rtl w:val="0"/>
        </w:rPr>
        <w:t xml:space="preserve">(10), p.2325967117729809.</w:t>
      </w:r>
    </w:p>
    <w:p w:rsidR="00000000" w:rsidDel="00000000" w:rsidP="00000000" w:rsidRDefault="00000000" w:rsidRPr="00000000" w14:paraId="00000062">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Kal, E., Ellmers, T., Diekfuss, J., Winters, M. and Van Der Kamp, J., 2021. Explicit motor learning interventions are still relevant for ACL injury rehabilitation. </w:t>
      </w:r>
      <w:r w:rsidDel="00000000" w:rsidR="00000000" w:rsidRPr="00000000">
        <w:rPr>
          <w:rFonts w:ascii="Times New Roman" w:cs="Times New Roman" w:eastAsia="Times New Roman" w:hAnsi="Times New Roman"/>
          <w:i w:val="1"/>
          <w:sz w:val="24"/>
          <w:szCs w:val="24"/>
          <w:rtl w:val="0"/>
        </w:rPr>
        <w:t xml:space="preserve">British journal of sports medicine</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63">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Frobell, R. B., Roos, E. M., Roos, H. P., et al. (2013). A randomised trial of treatment for acute anterior cruciate ligament tears. New England Journal of Medicine, 363(4), 331–342.</w:t>
      </w:r>
    </w:p>
    <w:p w:rsidR="00000000" w:rsidDel="00000000" w:rsidP="00000000" w:rsidRDefault="00000000" w:rsidRPr="00000000" w14:paraId="00000064">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Cinque, M. E., Dornan, G. J., Chahla, J., et al. (2018). Clinical outcomes of extra-articular tenodesis in the treatment of anterior cruciate ligament tears: a systematic review. The American Journal of Sports Medicine, 46(14), 3541–3550.</w:t>
      </w:r>
      <w:r w:rsidDel="00000000" w:rsidR="00000000" w:rsidRPr="00000000">
        <w:rPr>
          <w:rtl w:val="0"/>
        </w:rPr>
      </w:r>
    </w:p>
    <w:p w:rsidR="00000000" w:rsidDel="00000000" w:rsidP="00000000" w:rsidRDefault="00000000" w:rsidRPr="00000000" w14:paraId="00000065">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Benjaminse, A., Gokeler, A., van der Schans, C. P., et al. (2006). Clinical diagnosis of an anterior cruciate ligament rupture: a meta-analysis. Journal of Orthopaedic &amp; Sports Physical Therapy, 36(5), 267–288.</w:t>
      </w:r>
    </w:p>
    <w:p w:rsidR="00000000" w:rsidDel="00000000" w:rsidP="00000000" w:rsidRDefault="00000000" w:rsidRPr="00000000" w14:paraId="00000066">
      <w:pPr>
        <w:spacing w:after="240" w:before="240" w:line="360" w:lineRule="auto"/>
        <w:ind w:left="56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spacing w:after="240" w:before="240" w:line="360" w:lineRule="auto"/>
        <w:ind w:left="5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Cinque, M. E., Dornan, G. J., Chahla, J., et al. (2018). Clinical outcomes of extra-articular tenodesis in the treatment of anterior cruciate ligament tears: a systematic review. The American Journal of Sports Medicine, 46(14), 3541–3550.</w:t>
      </w:r>
    </w:p>
    <w:p w:rsidR="00000000" w:rsidDel="00000000" w:rsidP="00000000" w:rsidRDefault="00000000" w:rsidRPr="00000000" w14:paraId="00000068">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Smith, T. O., Davies, L., &amp; Hing, C. B. (2012). Early versus delayed surgery for anterior cruciate ligament reconstruction: a systematic review and meta-analysis. Knee Surgery, Sports Traumatology, Arthroscopy, 20(5), 1002–1018.</w:t>
      </w:r>
    </w:p>
    <w:p w:rsidR="00000000" w:rsidDel="00000000" w:rsidP="00000000" w:rsidRDefault="00000000" w:rsidRPr="00000000" w14:paraId="00000069">
      <w:pPr>
        <w:spacing w:after="240" w:before="240" w:line="360" w:lineRule="auto"/>
        <w:ind w:left="580" w:hanging="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Frobell, R. B., Roos, E. M., Roos, H. P., et al. (2013). A randomised trial of treatment for acute anterior cruciate ligament tears. New England Journal of Medicine, 363(4), 331–342.</w:t>
      </w:r>
    </w:p>
    <w:p w:rsidR="00000000" w:rsidDel="00000000" w:rsidP="00000000" w:rsidRDefault="00000000" w:rsidRPr="00000000" w14:paraId="0000006A">
      <w:pPr>
        <w:spacing w:after="240" w:before="240" w:line="360" w:lineRule="auto"/>
        <w:ind w:left="580" w:hanging="20"/>
        <w:rPr>
          <w:rFonts w:ascii="Times New Roman" w:cs="Times New Roman" w:eastAsia="Times New Roman" w:hAnsi="Times New Roman"/>
          <w:color w:val="212121"/>
          <w:sz w:val="24"/>
          <w:szCs w:val="24"/>
          <w:highlight w:val="white"/>
        </w:rPr>
      </w:pPr>
      <w:r w:rsidDel="00000000" w:rsidR="00000000" w:rsidRPr="00000000">
        <w:rPr>
          <w:rtl w:val="0"/>
        </w:rPr>
      </w:r>
    </w:p>
    <w:p w:rsidR="00000000" w:rsidDel="00000000" w:rsidP="00000000" w:rsidRDefault="00000000" w:rsidRPr="00000000" w14:paraId="0000006B">
      <w:pPr>
        <w:spacing w:after="240" w:before="240" w:lineRule="auto"/>
        <w:ind w:left="580" w:hanging="20"/>
        <w:rPr>
          <w:color w:val="222222"/>
          <w:highlight w:val="white"/>
        </w:rPr>
      </w:pPr>
      <w:r w:rsidDel="00000000" w:rsidR="00000000" w:rsidRPr="00000000">
        <w:rPr>
          <w:rtl w:val="0"/>
        </w:rPr>
      </w:r>
    </w:p>
    <w:p w:rsidR="00000000" w:rsidDel="00000000" w:rsidP="00000000" w:rsidRDefault="00000000" w:rsidRPr="00000000" w14:paraId="0000006C">
      <w:pPr>
        <w:spacing w:after="240" w:before="240" w:lineRule="auto"/>
        <w:ind w:left="0" w:firstLine="0"/>
        <w:rPr>
          <w:color w:val="222222"/>
          <w:highlight w:val="white"/>
        </w:rPr>
      </w:pPr>
      <w:r w:rsidDel="00000000" w:rsidR="00000000" w:rsidRPr="00000000">
        <w:rPr>
          <w:rtl w:val="0"/>
        </w:rPr>
      </w:r>
    </w:p>
    <w:p w:rsidR="00000000" w:rsidDel="00000000" w:rsidP="00000000" w:rsidRDefault="00000000" w:rsidRPr="00000000" w14:paraId="0000006D">
      <w:pPr>
        <w:spacing w:after="240" w:before="240" w:lineRule="auto"/>
        <w:ind w:left="560" w:firstLine="0"/>
        <w:rPr>
          <w:color w:val="222222"/>
          <w:highlight w:val="white"/>
        </w:rPr>
      </w:pPr>
      <w:r w:rsidDel="00000000" w:rsidR="00000000" w:rsidRPr="00000000">
        <w:rPr>
          <w:rtl w:val="0"/>
        </w:rPr>
      </w:r>
    </w:p>
    <w:p w:rsidR="00000000" w:rsidDel="00000000" w:rsidP="00000000" w:rsidRDefault="00000000" w:rsidRPr="00000000" w14:paraId="0000006E">
      <w:pPr>
        <w:spacing w:after="240" w:before="240" w:lineRule="auto"/>
        <w:ind w:left="580" w:hanging="20"/>
        <w:rPr>
          <w:color w:val="222222"/>
          <w:highlight w:val="white"/>
        </w:rPr>
      </w:pPr>
      <w:r w:rsidDel="00000000" w:rsidR="00000000" w:rsidRPr="00000000">
        <w:rPr>
          <w:rtl w:val="0"/>
        </w:rPr>
      </w:r>
    </w:p>
    <w:p w:rsidR="00000000" w:rsidDel="00000000" w:rsidP="00000000" w:rsidRDefault="00000000" w:rsidRPr="00000000" w14:paraId="0000006F">
      <w:pPr>
        <w:spacing w:after="240" w:before="240" w:lineRule="auto"/>
        <w:ind w:left="580" w:hanging="20"/>
        <w:rPr>
          <w:color w:val="222222"/>
          <w:sz w:val="20"/>
          <w:szCs w:val="20"/>
          <w:highlight w:val="white"/>
        </w:rPr>
      </w:pPr>
      <w:r w:rsidDel="00000000" w:rsidR="00000000" w:rsidRPr="00000000">
        <w:rPr>
          <w:rtl w:val="0"/>
        </w:rPr>
      </w:r>
    </w:p>
    <w:p w:rsidR="00000000" w:rsidDel="00000000" w:rsidP="00000000" w:rsidRDefault="00000000" w:rsidRPr="00000000" w14:paraId="00000070">
      <w:pPr>
        <w:spacing w:after="240" w:before="240" w:lineRule="auto"/>
        <w:ind w:left="580" w:hanging="20"/>
        <w:rPr>
          <w:color w:val="222222"/>
          <w:sz w:val="20"/>
          <w:szCs w:val="20"/>
          <w:highlight w:val="white"/>
        </w:rPr>
      </w:pPr>
      <w:r w:rsidDel="00000000" w:rsidR="00000000" w:rsidRPr="00000000">
        <w:rPr>
          <w:rtl w:val="0"/>
        </w:rPr>
      </w:r>
    </w:p>
    <w:p w:rsidR="00000000" w:rsidDel="00000000" w:rsidP="00000000" w:rsidRDefault="00000000" w:rsidRPr="00000000" w14:paraId="00000071">
      <w:pPr>
        <w:spacing w:after="240" w:before="240" w:lineRule="auto"/>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72">
      <w:pPr>
        <w:spacing w:after="240" w:before="240" w:lineRule="auto"/>
        <w:ind w:left="580" w:hanging="20"/>
        <w:rPr>
          <w:color w:val="222222"/>
          <w:sz w:val="20"/>
          <w:szCs w:val="20"/>
          <w:highlight w:val="white"/>
        </w:rPr>
      </w:pPr>
      <w:r w:rsidDel="00000000" w:rsidR="00000000" w:rsidRPr="00000000">
        <w:rPr>
          <w:rtl w:val="0"/>
        </w:rPr>
      </w:r>
    </w:p>
    <w:p w:rsidR="00000000" w:rsidDel="00000000" w:rsidP="00000000" w:rsidRDefault="00000000" w:rsidRPr="00000000" w14:paraId="00000073">
      <w:pPr>
        <w:spacing w:after="240" w:before="240" w:lineRule="auto"/>
        <w:ind w:left="580" w:hanging="20"/>
        <w:rPr>
          <w:color w:val="222222"/>
          <w:sz w:val="20"/>
          <w:szCs w:val="20"/>
          <w:highlight w:val="white"/>
        </w:rPr>
      </w:pPr>
      <w:r w:rsidDel="00000000" w:rsidR="00000000" w:rsidRPr="00000000">
        <w:rPr>
          <w:rtl w:val="0"/>
        </w:rPr>
      </w:r>
    </w:p>
    <w:p w:rsidR="00000000" w:rsidDel="00000000" w:rsidP="00000000" w:rsidRDefault="00000000" w:rsidRPr="00000000" w14:paraId="00000074">
      <w:pPr>
        <w:spacing w:after="240" w:before="240" w:lineRule="auto"/>
        <w:ind w:left="0" w:firstLine="0"/>
        <w:rPr>
          <w:color w:val="222222"/>
          <w:sz w:val="20"/>
          <w:szCs w:val="20"/>
          <w:highlight w:val="white"/>
        </w:rPr>
      </w:pPr>
      <w:r w:rsidDel="00000000" w:rsidR="00000000" w:rsidRPr="00000000">
        <w:rPr>
          <w:rtl w:val="0"/>
        </w:rPr>
      </w:r>
    </w:p>
    <w:p w:rsidR="00000000" w:rsidDel="00000000" w:rsidP="00000000" w:rsidRDefault="00000000" w:rsidRPr="00000000" w14:paraId="00000075">
      <w:pPr>
        <w:spacing w:after="240" w:before="240" w:lineRule="auto"/>
        <w:ind w:left="580" w:hanging="20"/>
        <w:rPr/>
      </w:pPr>
      <w:r w:rsidDel="00000000" w:rsidR="00000000" w:rsidRPr="00000000">
        <w:rPr>
          <w:rtl w:val="0"/>
        </w:rPr>
      </w:r>
    </w:p>
    <w:p w:rsidR="00000000" w:rsidDel="00000000" w:rsidP="00000000" w:rsidRDefault="00000000" w:rsidRPr="00000000" w14:paraId="00000076">
      <w:pPr>
        <w:spacing w:after="240" w:before="240" w:lineRule="auto"/>
        <w:ind w:left="580" w:hanging="20"/>
        <w:rPr/>
      </w:pPr>
      <w:r w:rsidDel="00000000" w:rsidR="00000000" w:rsidRPr="00000000">
        <w:rPr>
          <w:rtl w:val="0"/>
        </w:rPr>
      </w:r>
    </w:p>
    <w:p w:rsidR="00000000" w:rsidDel="00000000" w:rsidP="00000000" w:rsidRDefault="00000000" w:rsidRPr="00000000" w14:paraId="00000077">
      <w:pPr>
        <w:ind w:left="0" w:firstLine="0"/>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