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D6391" w14:textId="77777777" w:rsidR="00B33BB1" w:rsidRDefault="00B33BB1" w:rsidP="0084188F">
      <w:pPr>
        <w:spacing w:after="0" w:line="360" w:lineRule="auto"/>
        <w:jc w:val="center"/>
        <w:rPr>
          <w:rFonts w:ascii="Times New Roman" w:eastAsia="Times New Roman" w:hAnsi="Times New Roman" w:cs="Times New Roman"/>
          <w:b/>
          <w:bCs/>
          <w:color w:val="0E101A"/>
          <w:sz w:val="40"/>
          <w:szCs w:val="40"/>
          <w:u w:val="single"/>
          <w:lang w:eastAsia="en-GB"/>
        </w:rPr>
      </w:pPr>
    </w:p>
    <w:p w14:paraId="7C3E9B44" w14:textId="77777777" w:rsidR="00B33BB1" w:rsidRDefault="00B33BB1" w:rsidP="0084188F">
      <w:pPr>
        <w:spacing w:after="0" w:line="360" w:lineRule="auto"/>
        <w:jc w:val="center"/>
        <w:rPr>
          <w:rFonts w:ascii="Times New Roman" w:eastAsia="Times New Roman" w:hAnsi="Times New Roman" w:cs="Times New Roman"/>
          <w:b/>
          <w:bCs/>
          <w:color w:val="0E101A"/>
          <w:sz w:val="40"/>
          <w:szCs w:val="40"/>
          <w:u w:val="single"/>
          <w:lang w:eastAsia="en-GB"/>
        </w:rPr>
      </w:pPr>
    </w:p>
    <w:p w14:paraId="04DD3052" w14:textId="3AE19C86" w:rsidR="0084188F" w:rsidRPr="00B33BB1" w:rsidRDefault="0084188F" w:rsidP="0084188F">
      <w:pPr>
        <w:spacing w:after="0" w:line="360" w:lineRule="auto"/>
        <w:jc w:val="center"/>
        <w:rPr>
          <w:rFonts w:ascii="Times New Roman" w:eastAsia="Times New Roman" w:hAnsi="Times New Roman" w:cs="Times New Roman"/>
          <w:b/>
          <w:bCs/>
          <w:color w:val="0E101A"/>
          <w:sz w:val="40"/>
          <w:szCs w:val="40"/>
          <w:u w:val="single"/>
          <w:lang w:eastAsia="en-GB"/>
        </w:rPr>
      </w:pPr>
      <w:r w:rsidRPr="00B33BB1">
        <w:rPr>
          <w:rFonts w:ascii="Times New Roman" w:eastAsia="Times New Roman" w:hAnsi="Times New Roman" w:cs="Times New Roman"/>
          <w:b/>
          <w:bCs/>
          <w:color w:val="0E101A"/>
          <w:sz w:val="40"/>
          <w:szCs w:val="40"/>
          <w:u w:val="single"/>
          <w:lang w:eastAsia="en-GB"/>
        </w:rPr>
        <w:t>Community care and development</w:t>
      </w:r>
    </w:p>
    <w:p w14:paraId="1B374A7A" w14:textId="3330D900"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7401B50E" w14:textId="008BD50C"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0F78E3B0" w14:textId="2BC37E81"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05D8D63F" w14:textId="6A9FF3A2"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15526DA6" w14:textId="164548BB"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7B03F616" w14:textId="6204A71F"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678C3749" w14:textId="0931E25C"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59C59A0B" w14:textId="0CB381CC"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5D8734DE" w14:textId="2704069C" w:rsidR="00662E61" w:rsidRDefault="00662E61" w:rsidP="0084188F">
      <w:pPr>
        <w:spacing w:after="0" w:line="360" w:lineRule="auto"/>
        <w:jc w:val="center"/>
        <w:rPr>
          <w:rFonts w:ascii="Times New Roman" w:eastAsia="Times New Roman" w:hAnsi="Times New Roman" w:cs="Times New Roman"/>
          <w:b/>
          <w:bCs/>
          <w:color w:val="0E101A"/>
          <w:sz w:val="32"/>
          <w:szCs w:val="24"/>
          <w:u w:val="single"/>
          <w:lang w:eastAsia="en-GB"/>
        </w:rPr>
      </w:pPr>
    </w:p>
    <w:p w14:paraId="31336BA2" w14:textId="77777777" w:rsidR="00662E61" w:rsidRDefault="00662E61" w:rsidP="00662E61">
      <w:pPr>
        <w:autoSpaceDE w:val="0"/>
        <w:autoSpaceDN w:val="0"/>
        <w:adjustRightInd w:val="0"/>
        <w:spacing w:after="0" w:line="240" w:lineRule="auto"/>
        <w:rPr>
          <w:rFonts w:ascii="Helvetica" w:hAnsi="Helvetica" w:cs="Helvetica"/>
          <w:color w:val="FFFFFF"/>
          <w:sz w:val="36"/>
          <w:szCs w:val="36"/>
        </w:rPr>
      </w:pPr>
      <w:r>
        <w:rPr>
          <w:rFonts w:ascii="Helvetica" w:hAnsi="Helvetica" w:cs="Helvetica"/>
          <w:color w:val="FFFFFF"/>
          <w:sz w:val="36"/>
          <w:szCs w:val="36"/>
        </w:rPr>
        <w:t xml:space="preserve">Student name: Ileana Ioana Chis </w:t>
      </w:r>
    </w:p>
    <w:p w14:paraId="607E5FF8" w14:textId="3B3FBE47" w:rsidR="00662E61" w:rsidRPr="00662E61" w:rsidRDefault="00662E61" w:rsidP="00662E61">
      <w:pPr>
        <w:autoSpaceDE w:val="0"/>
        <w:autoSpaceDN w:val="0"/>
        <w:adjustRightInd w:val="0"/>
        <w:spacing w:after="0" w:line="240" w:lineRule="auto"/>
        <w:rPr>
          <w:rFonts w:ascii="Helvetica" w:hAnsi="Helvetica" w:cs="Helvetica"/>
          <w:color w:val="FFFFFF"/>
          <w:sz w:val="36"/>
          <w:szCs w:val="36"/>
        </w:rPr>
      </w:pPr>
      <w:r>
        <w:rPr>
          <w:rFonts w:ascii="Helvetica" w:hAnsi="Helvetica" w:cs="Helvetica"/>
          <w:color w:val="FFFFFF"/>
          <w:sz w:val="36"/>
          <w:szCs w:val="36"/>
        </w:rPr>
        <w:t>Student ID: 1</w:t>
      </w:r>
    </w:p>
    <w:p w14:paraId="4C0B3335" w14:textId="77777777" w:rsidR="00B33BB1" w:rsidRDefault="00B33BB1" w:rsidP="00B33BB1">
      <w:pPr>
        <w:spacing w:after="0" w:line="240" w:lineRule="auto"/>
        <w:rPr>
          <w:rFonts w:ascii="Times New Roman" w:eastAsia="Times New Roman" w:hAnsi="Times New Roman" w:cs="Times New Roman"/>
          <w:color w:val="000000"/>
          <w:sz w:val="36"/>
          <w:szCs w:val="36"/>
          <w:lang w:eastAsia="en-GB"/>
        </w:rPr>
      </w:pPr>
    </w:p>
    <w:p w14:paraId="0D0461F9" w14:textId="77777777" w:rsidR="00B33BB1" w:rsidRDefault="00B33BB1" w:rsidP="00B33BB1">
      <w:pPr>
        <w:spacing w:after="0" w:line="240" w:lineRule="auto"/>
        <w:rPr>
          <w:rFonts w:ascii="Times New Roman" w:eastAsia="Times New Roman" w:hAnsi="Times New Roman" w:cs="Times New Roman"/>
          <w:color w:val="000000"/>
          <w:sz w:val="36"/>
          <w:szCs w:val="36"/>
          <w:lang w:eastAsia="en-GB"/>
        </w:rPr>
      </w:pPr>
    </w:p>
    <w:p w14:paraId="3D64B0C7" w14:textId="77777777" w:rsidR="00B33BB1" w:rsidRDefault="00B33BB1" w:rsidP="00B33BB1">
      <w:pPr>
        <w:spacing w:after="0" w:line="240" w:lineRule="auto"/>
        <w:rPr>
          <w:rFonts w:ascii="Times New Roman" w:eastAsia="Times New Roman" w:hAnsi="Times New Roman" w:cs="Times New Roman"/>
          <w:color w:val="000000"/>
          <w:sz w:val="36"/>
          <w:szCs w:val="36"/>
          <w:lang w:eastAsia="en-GB"/>
        </w:rPr>
      </w:pPr>
    </w:p>
    <w:p w14:paraId="2AAB03EB" w14:textId="77777777" w:rsidR="00B33BB1" w:rsidRDefault="00B33BB1" w:rsidP="00B33BB1">
      <w:pPr>
        <w:spacing w:after="0" w:line="240" w:lineRule="auto"/>
        <w:rPr>
          <w:rFonts w:ascii="Times New Roman" w:eastAsia="Times New Roman" w:hAnsi="Times New Roman" w:cs="Times New Roman"/>
          <w:color w:val="000000"/>
          <w:sz w:val="36"/>
          <w:szCs w:val="36"/>
          <w:lang w:eastAsia="en-GB"/>
        </w:rPr>
      </w:pPr>
    </w:p>
    <w:p w14:paraId="1C42B4A7" w14:textId="77777777" w:rsidR="00B33BB1" w:rsidRDefault="00B33BB1" w:rsidP="00B33BB1">
      <w:pPr>
        <w:spacing w:after="0" w:line="240" w:lineRule="auto"/>
        <w:rPr>
          <w:rFonts w:ascii="Times New Roman" w:eastAsia="Times New Roman" w:hAnsi="Times New Roman" w:cs="Times New Roman"/>
          <w:color w:val="000000"/>
          <w:sz w:val="36"/>
          <w:szCs w:val="36"/>
          <w:lang w:eastAsia="en-GB"/>
        </w:rPr>
      </w:pPr>
    </w:p>
    <w:p w14:paraId="593F689C" w14:textId="7DC22642" w:rsidR="00B33BB1" w:rsidRPr="00B33BB1" w:rsidRDefault="00B33BB1" w:rsidP="00B33BB1">
      <w:pPr>
        <w:spacing w:after="0" w:line="240" w:lineRule="auto"/>
        <w:rPr>
          <w:rFonts w:ascii="Times New Roman" w:eastAsia="Times New Roman" w:hAnsi="Times New Roman" w:cs="Times New Roman"/>
          <w:color w:val="000000"/>
          <w:sz w:val="36"/>
          <w:szCs w:val="36"/>
          <w:lang w:eastAsia="en-GB"/>
        </w:rPr>
      </w:pPr>
      <w:r w:rsidRPr="00B33BB1">
        <w:rPr>
          <w:rFonts w:ascii="Times New Roman" w:eastAsia="Times New Roman" w:hAnsi="Times New Roman" w:cs="Times New Roman"/>
          <w:color w:val="000000"/>
          <w:sz w:val="36"/>
          <w:szCs w:val="36"/>
          <w:lang w:eastAsia="en-GB"/>
        </w:rPr>
        <w:t>Student Name: Ileana Ioana Chis</w:t>
      </w:r>
    </w:p>
    <w:p w14:paraId="709D0CC6" w14:textId="77777777" w:rsidR="00B33BB1" w:rsidRPr="00B33BB1" w:rsidRDefault="00B33BB1" w:rsidP="00B33BB1">
      <w:pPr>
        <w:spacing w:after="0" w:line="240" w:lineRule="auto"/>
        <w:rPr>
          <w:rFonts w:ascii="Times New Roman" w:eastAsia="Times New Roman" w:hAnsi="Times New Roman" w:cs="Times New Roman"/>
          <w:color w:val="000000"/>
          <w:sz w:val="36"/>
          <w:szCs w:val="36"/>
          <w:lang w:eastAsia="en-GB"/>
        </w:rPr>
      </w:pPr>
      <w:r w:rsidRPr="00B33BB1">
        <w:rPr>
          <w:rFonts w:ascii="Times New Roman" w:eastAsia="Times New Roman" w:hAnsi="Times New Roman" w:cs="Times New Roman"/>
          <w:color w:val="000000"/>
          <w:sz w:val="36"/>
          <w:szCs w:val="36"/>
          <w:lang w:eastAsia="en-GB"/>
        </w:rPr>
        <w:t>Student ID: 1818454</w:t>
      </w:r>
    </w:p>
    <w:p w14:paraId="53FFFB8B" w14:textId="51240F62" w:rsidR="00B33BB1" w:rsidRPr="00B33BB1" w:rsidRDefault="00B33BB1" w:rsidP="00B33BB1">
      <w:pPr>
        <w:spacing w:after="0" w:line="240" w:lineRule="auto"/>
        <w:rPr>
          <w:rFonts w:ascii="Times New Roman" w:eastAsia="Times New Roman" w:hAnsi="Times New Roman" w:cs="Times New Roman"/>
          <w:color w:val="000000"/>
          <w:sz w:val="36"/>
          <w:szCs w:val="36"/>
          <w:lang w:eastAsia="en-GB"/>
        </w:rPr>
      </w:pPr>
      <w:r w:rsidRPr="00B33BB1">
        <w:rPr>
          <w:rFonts w:ascii="Times New Roman" w:eastAsia="Times New Roman" w:hAnsi="Times New Roman" w:cs="Times New Roman"/>
          <w:color w:val="000000"/>
          <w:sz w:val="36"/>
          <w:szCs w:val="36"/>
          <w:lang w:eastAsia="en-GB"/>
        </w:rPr>
        <w:t>Module name: Community Care and Development</w:t>
      </w:r>
    </w:p>
    <w:p w14:paraId="1E61E7D4" w14:textId="36AE93D6" w:rsidR="00B33BB1" w:rsidRPr="00B33BB1" w:rsidRDefault="00B33BB1" w:rsidP="00B33BB1">
      <w:pPr>
        <w:spacing w:after="0" w:line="240" w:lineRule="auto"/>
        <w:rPr>
          <w:rFonts w:ascii="Times New Roman" w:eastAsia="Times New Roman" w:hAnsi="Times New Roman" w:cs="Times New Roman"/>
          <w:color w:val="000000"/>
          <w:sz w:val="36"/>
          <w:szCs w:val="36"/>
          <w:lang w:eastAsia="en-GB"/>
        </w:rPr>
      </w:pPr>
      <w:r w:rsidRPr="00B33BB1">
        <w:rPr>
          <w:rFonts w:ascii="Times New Roman" w:eastAsia="Times New Roman" w:hAnsi="Times New Roman" w:cs="Times New Roman"/>
          <w:color w:val="000000"/>
          <w:sz w:val="36"/>
          <w:szCs w:val="36"/>
          <w:lang w:eastAsia="en-GB"/>
        </w:rPr>
        <w:t>Module Code: BMHP6022</w:t>
      </w:r>
    </w:p>
    <w:p w14:paraId="2D076BCF" w14:textId="77777777" w:rsidR="00B33BB1" w:rsidRPr="00B33BB1" w:rsidRDefault="00B33BB1" w:rsidP="00B33BB1">
      <w:pPr>
        <w:spacing w:after="0" w:line="240" w:lineRule="auto"/>
        <w:rPr>
          <w:rFonts w:ascii="Times New Roman" w:eastAsia="Times New Roman" w:hAnsi="Times New Roman" w:cs="Times New Roman"/>
          <w:color w:val="000000"/>
          <w:sz w:val="36"/>
          <w:szCs w:val="36"/>
          <w:lang w:eastAsia="en-GB"/>
        </w:rPr>
      </w:pPr>
      <w:r w:rsidRPr="00B33BB1">
        <w:rPr>
          <w:rFonts w:ascii="Times New Roman" w:eastAsia="Times New Roman" w:hAnsi="Times New Roman" w:cs="Times New Roman"/>
          <w:color w:val="000000"/>
          <w:sz w:val="36"/>
          <w:szCs w:val="36"/>
          <w:lang w:eastAsia="en-GB"/>
        </w:rPr>
        <w:t xml:space="preserve">Module Name: Laila </w:t>
      </w:r>
      <w:proofErr w:type="spellStart"/>
      <w:r w:rsidRPr="00B33BB1">
        <w:rPr>
          <w:rFonts w:ascii="Times New Roman" w:eastAsia="Times New Roman" w:hAnsi="Times New Roman" w:cs="Times New Roman"/>
          <w:color w:val="000000"/>
          <w:sz w:val="36"/>
          <w:szCs w:val="36"/>
          <w:lang w:eastAsia="en-GB"/>
        </w:rPr>
        <w:t>Surani</w:t>
      </w:r>
      <w:proofErr w:type="spellEnd"/>
    </w:p>
    <w:p w14:paraId="10BFBC18" w14:textId="77777777" w:rsidR="00B33BB1" w:rsidRPr="00421B79" w:rsidRDefault="00B33BB1" w:rsidP="00B33BB1">
      <w:pPr>
        <w:rPr>
          <w:rFonts w:ascii="Times New Roman" w:hAnsi="Times New Roman" w:cs="Times New Roman"/>
          <w:sz w:val="36"/>
          <w:szCs w:val="36"/>
          <w:lang w:val="en-US"/>
        </w:rPr>
      </w:pPr>
    </w:p>
    <w:p w14:paraId="0AB85698" w14:textId="77777777" w:rsidR="0084188F" w:rsidRDefault="0084188F" w:rsidP="0084188F">
      <w:pPr>
        <w:spacing w:line="360" w:lineRule="auto"/>
        <w:jc w:val="both"/>
        <w:rPr>
          <w:rFonts w:ascii="Times New Roman" w:eastAsia="Times New Roman" w:hAnsi="Times New Roman" w:cs="Times New Roman"/>
          <w:b/>
          <w:bCs/>
          <w:color w:val="0E101A"/>
          <w:kern w:val="36"/>
          <w:sz w:val="24"/>
          <w:szCs w:val="24"/>
          <w:lang w:eastAsia="en-GB"/>
        </w:rPr>
      </w:pPr>
      <w:r>
        <w:rPr>
          <w:rFonts w:ascii="Times New Roman" w:eastAsia="Times New Roman" w:hAnsi="Times New Roman" w:cs="Times New Roman"/>
          <w:b/>
          <w:bCs/>
          <w:color w:val="0E101A"/>
          <w:kern w:val="36"/>
          <w:sz w:val="24"/>
          <w:szCs w:val="24"/>
          <w:lang w:eastAsia="en-GB"/>
        </w:rPr>
        <w:br w:type="page"/>
      </w:r>
    </w:p>
    <w:p w14:paraId="5CDEC907" w14:textId="77777777"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lastRenderedPageBreak/>
        <w:t>“Introduction”</w:t>
      </w:r>
    </w:p>
    <w:p w14:paraId="69D2FA24"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The report is about “Community care and development”. The study will focus on aspects of health, well-being and education initiatives for supporting the community to grow and develop. To this, the study will define the overview and meaning of the community (</w:t>
      </w:r>
      <w:proofErr w:type="spellStart"/>
      <w:r w:rsidRPr="0084188F">
        <w:rPr>
          <w:rFonts w:ascii="Times New Roman" w:eastAsia="Times New Roman" w:hAnsi="Times New Roman" w:cs="Times New Roman"/>
          <w:color w:val="0E101A"/>
          <w:sz w:val="24"/>
          <w:szCs w:val="24"/>
          <w:lang w:eastAsia="en-GB"/>
        </w:rPr>
        <w:t>Sashidharan</w:t>
      </w:r>
      <w:proofErr w:type="spellEnd"/>
      <w:r w:rsidRPr="0084188F">
        <w:rPr>
          <w:rFonts w:ascii="Times New Roman" w:eastAsia="Times New Roman" w:hAnsi="Times New Roman" w:cs="Times New Roman"/>
          <w:color w:val="0E101A"/>
          <w:sz w:val="24"/>
          <w:szCs w:val="24"/>
          <w:lang w:eastAsia="en-GB"/>
        </w:rPr>
        <w:t xml:space="preserve">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2020). The study will outline the Borough community of Wandsworth which is situated in Southwest London. The term community means the individuals residing in a specific area or place or having something in common. Most basically it's the social unit with commonality that can involve norms, identity, customers, religion, values or customs. The study will help understand the issues and challenges of this community regarding health, illness, poverty and other social challenges. Further, the challenges of the local community are associated with access to clean and hygienic drinking water, child neglect and child abuse, crime, drug use, ethics conflict, lack of funding for education, pollution, discrimination, domestic violence, crime issues and health challenges.</w:t>
      </w:r>
    </w:p>
    <w:p w14:paraId="5DD326CB"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Community development and care is an important aspect of community development, focusing on the development and growth elements of the community can be beneficial elements. Various approaches can be taken by community heads, local and government to enhance the aspects of community development. The study focuses on the Wandsworth Borough community. The study further will discuss the demographic characteristics of Wandsworth. Further, the study will outline the range of issues faced by the Borough community of Wandsworth. The aspects of policy and current legislation will be discussed to support the Borough community in development and growth (Nelson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2020). The report will further highlight discussing the application of social and digital media platforms for generating awareness of the challenges faced by this community. The study will conclude by analysing the intervention to help overcome the issues and challenges faced by the Borough community with the application of social media.</w:t>
      </w:r>
    </w:p>
    <w:p w14:paraId="08843349" w14:textId="77777777" w:rsidR="0084188F" w:rsidRDefault="0084188F" w:rsidP="0084188F">
      <w:pPr>
        <w:spacing w:line="360" w:lineRule="auto"/>
        <w:jc w:val="both"/>
        <w:rPr>
          <w:rFonts w:ascii="Times New Roman" w:eastAsia="Times New Roman" w:hAnsi="Times New Roman" w:cs="Times New Roman"/>
          <w:b/>
          <w:bCs/>
          <w:color w:val="0E101A"/>
          <w:kern w:val="36"/>
          <w:sz w:val="24"/>
          <w:szCs w:val="24"/>
          <w:lang w:eastAsia="en-GB"/>
        </w:rPr>
      </w:pPr>
      <w:r>
        <w:rPr>
          <w:rFonts w:ascii="Times New Roman" w:eastAsia="Times New Roman" w:hAnsi="Times New Roman" w:cs="Times New Roman"/>
          <w:b/>
          <w:bCs/>
          <w:color w:val="0E101A"/>
          <w:kern w:val="36"/>
          <w:sz w:val="24"/>
          <w:szCs w:val="24"/>
          <w:lang w:eastAsia="en-GB"/>
        </w:rPr>
        <w:br w:type="page"/>
      </w:r>
    </w:p>
    <w:p w14:paraId="52B01C75" w14:textId="77777777"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lastRenderedPageBreak/>
        <w:t>“Meaning and Overview of the Borough Community”</w:t>
      </w:r>
    </w:p>
    <w:p w14:paraId="4940A366"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The term community is termed as the social unit with commonality that can involve norms, identity, customers, religion, values or customs. As per the report of 2022 in the United Kingdom, there are 76 cities of which eight are in Scotland, six in Northern Ireland, seven are in Wales and 55 in England. To which the population of the UK as of 2021 is 6.73 crores. As per the Census of 2021, the population of Wandsworth is 327,507 in which the community has 67.8% white, 11.6% Asian and 10.1% black. As per the 2021 census, the ethics breakdown of the borough community of Wandsworth is 67.8% are white and the rest 32.2% of the total population represents non-white minorities. To this, an estimated 11.7% of Asians were found as the largest minority community in Wandsworth (Council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xml:space="preserve">., 2022). Wandsworth has been seen as the largest proportion of people living in a state of poverty and living in working households with 87% representing the population of 92,000. Wandsworth is the Borough of London which is southwest of London and forms the Inner London part with inhabitants of 329,677. The main areas of the Wandsworth area are Putney, Battersea, Balham, Wandsworth Town and Tooting. It falls in the London Borough type of area, the GDP of the Borough is £8.9 billion with an average salary of £44,872 and the status of the labour force is 245,436 (De </w:t>
      </w:r>
      <w:proofErr w:type="spellStart"/>
      <w:r w:rsidRPr="0084188F">
        <w:rPr>
          <w:rFonts w:ascii="Times New Roman" w:eastAsia="Times New Roman" w:hAnsi="Times New Roman" w:cs="Times New Roman"/>
          <w:color w:val="0E101A"/>
          <w:sz w:val="24"/>
          <w:szCs w:val="24"/>
          <w:lang w:eastAsia="en-GB"/>
        </w:rPr>
        <w:t>Vitaa</w:t>
      </w:r>
      <w:proofErr w:type="spellEnd"/>
      <w:r w:rsidRPr="0084188F">
        <w:rPr>
          <w:rFonts w:ascii="Times New Roman" w:eastAsia="Times New Roman" w:hAnsi="Times New Roman" w:cs="Times New Roman"/>
          <w:color w:val="0E101A"/>
          <w:sz w:val="24"/>
          <w:szCs w:val="24"/>
          <w:lang w:eastAsia="en-GB"/>
        </w:rPr>
        <w:t xml:space="preserve">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2019). The unemployment rate of the Borough is 3.8% as of the year 2022. As per the year 2020, its GDP growth of per capita is -2.19% to which its per capita growth of GDP is 26952 as per the year 2020.</w:t>
      </w:r>
    </w:p>
    <w:p w14:paraId="4FC9534D" w14:textId="77777777"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t>“Demographic Characteristics of Wandsworth”</w:t>
      </w:r>
    </w:p>
    <w:p w14:paraId="798D833E"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The Wandsworth population is about 348,578, as per the mid of 2022 population figures it is issued by ONS. The population growth rate between 2021 and 2022 was 0.1% per year. The area covers near about 35 square kilometres and holds a population of more than 10,000 people per square kilometre which is estimated by recent population. In the latest 2022 census, the Wandsworth population is mostly white (70%), whereas the non-white minorities present the remaining 30% of the population. The average age in Wandsworth in the year 2022 was 32.6, with over 18s representing 85.2% of the population. According to the survey, the sex ratio was 90 males to every 100 females (</w:t>
      </w:r>
      <w:proofErr w:type="spellStart"/>
      <w:r w:rsidRPr="0084188F">
        <w:rPr>
          <w:rFonts w:ascii="Times New Roman" w:eastAsia="Times New Roman" w:hAnsi="Times New Roman" w:cs="Times New Roman"/>
          <w:color w:val="0E101A"/>
          <w:sz w:val="24"/>
          <w:szCs w:val="24"/>
          <w:lang w:eastAsia="en-GB"/>
        </w:rPr>
        <w:t>Firdosi</w:t>
      </w:r>
      <w:proofErr w:type="spellEnd"/>
      <w:r w:rsidRPr="0084188F">
        <w:rPr>
          <w:rFonts w:ascii="Times New Roman" w:eastAsia="Times New Roman" w:hAnsi="Times New Roman" w:cs="Times New Roman"/>
          <w:color w:val="0E101A"/>
          <w:sz w:val="24"/>
          <w:szCs w:val="24"/>
          <w:lang w:eastAsia="en-GB"/>
        </w:rPr>
        <w:t xml:space="preserve">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xml:space="preserve">., 2021). Moreover, the largest religious group in Wandsworth is others which counts nearly about 55% of the population. English is spoken as the major language by 85% of the people in Wandsworth, 11 % of the population speaks English well, 3.0% rank poorly in English skills and the rest 0.4% can't speak English. Once the population growth rate lies between the mid of 2001 to 2022 was 0.01 percentage 0.7% which indicates less than the average population growth rate. The demographic age and gender of Wandsworth structure shows that the working age population is more than 256,586 </w:t>
      </w:r>
      <w:r w:rsidRPr="0084188F">
        <w:rPr>
          <w:rFonts w:ascii="Times New Roman" w:eastAsia="Times New Roman" w:hAnsi="Times New Roman" w:cs="Times New Roman"/>
          <w:color w:val="0E101A"/>
          <w:sz w:val="24"/>
          <w:szCs w:val="24"/>
          <w:lang w:eastAsia="en-GB"/>
        </w:rPr>
        <w:lastRenderedPageBreak/>
        <w:t>approximately which is near about 75% of the population. Under the age of 16s indicates 17 % of the population, as per the survey it represents that the percentage of the population of working age has reduced over the past 10 years.</w:t>
      </w:r>
    </w:p>
    <w:p w14:paraId="44F0CC4C" w14:textId="5D26759A"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t xml:space="preserve">“The </w:t>
      </w:r>
      <w:r w:rsidR="00092A98">
        <w:rPr>
          <w:rFonts w:ascii="Times New Roman" w:eastAsia="Times New Roman" w:hAnsi="Times New Roman" w:cs="Times New Roman"/>
          <w:b/>
          <w:bCs/>
          <w:color w:val="0E101A"/>
          <w:kern w:val="36"/>
          <w:sz w:val="24"/>
          <w:szCs w:val="24"/>
          <w:lang w:eastAsia="en-GB"/>
        </w:rPr>
        <w:t>problem</w:t>
      </w:r>
      <w:r w:rsidRPr="0084188F">
        <w:rPr>
          <w:rFonts w:ascii="Times New Roman" w:eastAsia="Times New Roman" w:hAnsi="Times New Roman" w:cs="Times New Roman"/>
          <w:b/>
          <w:bCs/>
          <w:color w:val="0E101A"/>
          <w:kern w:val="36"/>
          <w:sz w:val="24"/>
          <w:szCs w:val="24"/>
          <w:lang w:eastAsia="en-GB"/>
        </w:rPr>
        <w:t xml:space="preserve"> identified in Borough Community”</w:t>
      </w:r>
    </w:p>
    <w:p w14:paraId="64DA534D"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The Wandsworth community has been mainly challenged with health issues, increasing poverty and employment issues. The population of Wandsworth have been seen with issues of mental health disorder, these commonly face issues of anxiety and depression. Most of the individuals in Wandsworth have some negative behaviour and lifestyle which lead to a major health impact and lead to the cause of chronic health disease (Das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xml:space="preserve">., 2022). All these are high due to poor diet and physical inactivity which can further lead to an increase in the risk of health conditions. Further in London, there are over 1,710 families who are homeless which includes 3,273 children as well. Unlike other boroughs of London, Wandsworth lacks social housing for the Wandsworth families which derives that most of the families in </w:t>
      </w:r>
      <w:proofErr w:type="spellStart"/>
      <w:r w:rsidRPr="0084188F">
        <w:rPr>
          <w:rFonts w:ascii="Times New Roman" w:eastAsia="Times New Roman" w:hAnsi="Times New Roman" w:cs="Times New Roman"/>
          <w:color w:val="0E101A"/>
          <w:sz w:val="24"/>
          <w:szCs w:val="24"/>
          <w:lang w:eastAsia="en-GB"/>
        </w:rPr>
        <w:t>Wandsworths</w:t>
      </w:r>
      <w:proofErr w:type="spellEnd"/>
      <w:r w:rsidRPr="0084188F">
        <w:rPr>
          <w:rFonts w:ascii="Times New Roman" w:eastAsia="Times New Roman" w:hAnsi="Times New Roman" w:cs="Times New Roman"/>
          <w:color w:val="0E101A"/>
          <w:sz w:val="24"/>
          <w:szCs w:val="24"/>
          <w:lang w:eastAsia="en-GB"/>
        </w:rPr>
        <w:t xml:space="preserve"> are living in temporary accommodation usually in substandard conditions. The GDP growth per capita is -2.19% to which the unemployment rate of the Borough is 3.8% as of the year 2022.</w:t>
      </w:r>
    </w:p>
    <w:p w14:paraId="26BAAD0E" w14:textId="383E48BA"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t xml:space="preserve">“Cause of the </w:t>
      </w:r>
      <w:r w:rsidR="00B3311B">
        <w:rPr>
          <w:rFonts w:ascii="Times New Roman" w:eastAsia="Times New Roman" w:hAnsi="Times New Roman" w:cs="Times New Roman"/>
          <w:b/>
          <w:bCs/>
          <w:color w:val="0E101A"/>
          <w:kern w:val="36"/>
          <w:sz w:val="24"/>
          <w:szCs w:val="24"/>
          <w:lang w:eastAsia="en-GB"/>
        </w:rPr>
        <w:t>problem</w:t>
      </w:r>
      <w:r w:rsidRPr="0084188F">
        <w:rPr>
          <w:rFonts w:ascii="Times New Roman" w:eastAsia="Times New Roman" w:hAnsi="Times New Roman" w:cs="Times New Roman"/>
          <w:b/>
          <w:bCs/>
          <w:color w:val="0E101A"/>
          <w:kern w:val="36"/>
          <w:sz w:val="24"/>
          <w:szCs w:val="24"/>
          <w:lang w:eastAsia="en-GB"/>
        </w:rPr>
        <w:t>”</w:t>
      </w:r>
    </w:p>
    <w:p w14:paraId="628DC421"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The issues of health disorders, increase in the poverty rate, issues of homeless families, poor education and limited resources are caused due to the state of being unemployed, the people living here an unstable job which has affected their living standard, further, the Wandsworth is very expensive to live as well as the area have a very expensive rate of housing and financial instability has made them it hard for the communities to afford daily resources. The main cause of the unemployment rate is due to the falling rate of GDP as these organisations have led to produce less which has led to less demand for workers. Further, the cause of recession has led to the closure of businesses which lead employees to lose their job.</w:t>
      </w:r>
    </w:p>
    <w:p w14:paraId="73AA2237" w14:textId="77777777"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t>“Theory applied”</w:t>
      </w:r>
    </w:p>
    <w:p w14:paraId="60EF9E53"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The most extensively applied theory applied for addressing health issues is “</w:t>
      </w:r>
      <w:r w:rsidRPr="0084188F">
        <w:rPr>
          <w:rFonts w:ascii="Times New Roman" w:eastAsia="Times New Roman" w:hAnsi="Times New Roman" w:cs="Times New Roman"/>
          <w:i/>
          <w:iCs/>
          <w:color w:val="0E101A"/>
          <w:sz w:val="24"/>
          <w:szCs w:val="24"/>
          <w:lang w:eastAsia="en-GB"/>
        </w:rPr>
        <w:t xml:space="preserve">social cognitive theory”. </w:t>
      </w:r>
      <w:r w:rsidRPr="0084188F">
        <w:rPr>
          <w:rFonts w:ascii="Times New Roman" w:eastAsia="Times New Roman" w:hAnsi="Times New Roman" w:cs="Times New Roman"/>
          <w:color w:val="0E101A"/>
          <w:sz w:val="24"/>
          <w:szCs w:val="24"/>
          <w:lang w:eastAsia="en-GB"/>
        </w:rPr>
        <w:t>The social cognitive theory defines the impact of a person's experience, the aspects of behaviour and actions and environmental factors towards the health behaviour of the person. The theory is applied for guiding the person for change in behaviour intervention. The application of theory is most particularly applied in rural areas for examining how people interact with their environment. The application of Social cognitive theory is applied to understanding the impacts of social determinants of a person and their health due to experience in the change of behaviour.</w:t>
      </w:r>
    </w:p>
    <w:p w14:paraId="6399CA37" w14:textId="44EEA40A"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lastRenderedPageBreak/>
        <w:t>“Current legislation and policy that can support the Borough community to grow</w:t>
      </w:r>
      <w:r w:rsidR="00BD25E3">
        <w:rPr>
          <w:rFonts w:ascii="Times New Roman" w:eastAsia="Times New Roman" w:hAnsi="Times New Roman" w:cs="Times New Roman"/>
          <w:b/>
          <w:bCs/>
          <w:color w:val="0E101A"/>
          <w:kern w:val="36"/>
          <w:sz w:val="24"/>
          <w:szCs w:val="24"/>
          <w:lang w:eastAsia="en-GB"/>
        </w:rPr>
        <w:t>th o</w:t>
      </w:r>
      <w:r w:rsidR="00E113E6">
        <w:rPr>
          <w:rFonts w:ascii="Times New Roman" w:eastAsia="Times New Roman" w:hAnsi="Times New Roman" w:cs="Times New Roman"/>
          <w:b/>
          <w:bCs/>
          <w:color w:val="0E101A"/>
          <w:kern w:val="36"/>
          <w:sz w:val="24"/>
          <w:szCs w:val="24"/>
          <w:lang w:eastAsia="en-GB"/>
        </w:rPr>
        <w:t xml:space="preserve">f a </w:t>
      </w:r>
      <w:r w:rsidR="008461A2">
        <w:rPr>
          <w:rFonts w:ascii="Times New Roman" w:eastAsia="Times New Roman" w:hAnsi="Times New Roman" w:cs="Times New Roman"/>
          <w:b/>
          <w:bCs/>
          <w:color w:val="0E101A"/>
          <w:kern w:val="36"/>
          <w:sz w:val="24"/>
          <w:szCs w:val="24"/>
          <w:lang w:eastAsia="en-GB"/>
        </w:rPr>
        <w:t xml:space="preserve"> </w:t>
      </w:r>
      <w:r w:rsidR="00BD25E3">
        <w:rPr>
          <w:rFonts w:ascii="Times New Roman" w:eastAsia="Times New Roman" w:hAnsi="Times New Roman" w:cs="Times New Roman"/>
          <w:b/>
          <w:bCs/>
          <w:color w:val="0E101A"/>
          <w:kern w:val="36"/>
          <w:sz w:val="24"/>
          <w:szCs w:val="24"/>
          <w:lang w:eastAsia="en-GB"/>
        </w:rPr>
        <w:t>such a community</w:t>
      </w:r>
      <w:r w:rsidRPr="0084188F">
        <w:rPr>
          <w:rFonts w:ascii="Times New Roman" w:eastAsia="Times New Roman" w:hAnsi="Times New Roman" w:cs="Times New Roman"/>
          <w:b/>
          <w:bCs/>
          <w:color w:val="0E101A"/>
          <w:kern w:val="36"/>
          <w:sz w:val="24"/>
          <w:szCs w:val="24"/>
          <w:lang w:eastAsia="en-GB"/>
        </w:rPr>
        <w:t>”</w:t>
      </w:r>
      <w:r w:rsidR="00BD25E3">
        <w:rPr>
          <w:rFonts w:ascii="Times New Roman" w:eastAsia="Times New Roman" w:hAnsi="Times New Roman" w:cs="Times New Roman"/>
          <w:b/>
          <w:bCs/>
          <w:color w:val="0E101A"/>
          <w:kern w:val="36"/>
          <w:sz w:val="24"/>
          <w:szCs w:val="24"/>
          <w:lang w:eastAsia="en-GB"/>
        </w:rPr>
        <w:t>.</w:t>
      </w:r>
    </w:p>
    <w:p w14:paraId="1DEF87AF"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The National Planning Policy Framework or NPPF in the year 2018 has set an updated policy and plan as per the requirement for the betterment of the Wandsworth community. As the local plan indicates gathering the documents and forming a statutory plan regarding the Council has been stated as per the process of Towns and country. The planning act of the NPPF is considered as general compliance with the London plan. Wandsworth plan documents are implemented in the year 2016 and industry and Employment policies for supporting the Wandsworth community plan are considered as the upgraded stage of production. Moreover, the adult social care reform is a white paper that develops the Care Act 2014 (</w:t>
      </w:r>
      <w:proofErr w:type="spellStart"/>
      <w:r w:rsidRPr="0084188F">
        <w:rPr>
          <w:rFonts w:ascii="Times New Roman" w:eastAsia="Times New Roman" w:hAnsi="Times New Roman" w:cs="Times New Roman"/>
          <w:color w:val="0E101A"/>
          <w:sz w:val="24"/>
          <w:szCs w:val="24"/>
          <w:lang w:eastAsia="en-GB"/>
        </w:rPr>
        <w:t>Kozhimannil</w:t>
      </w:r>
      <w:proofErr w:type="spellEnd"/>
      <w:r w:rsidRPr="0084188F">
        <w:rPr>
          <w:rFonts w:ascii="Times New Roman" w:eastAsia="Times New Roman" w:hAnsi="Times New Roman" w:cs="Times New Roman"/>
          <w:color w:val="0E101A"/>
          <w:sz w:val="24"/>
          <w:szCs w:val="24"/>
          <w:lang w:eastAsia="en-GB"/>
        </w:rPr>
        <w:t xml:space="preserve">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2019). It provides an affordable care system that work effectively towards the local community which followed some legislation such as local people having equal choices, support and control regarding their independent lives, and local people finding shared and accessible adult social care. However, the Health and Care Act 2022 started as a royal ascent with some major changes in NHS through the health &amp; care system. It also represents the regulations of the local authority that relate to adult care based on assuring the framework. </w:t>
      </w:r>
    </w:p>
    <w:p w14:paraId="0935070A" w14:textId="61E10243"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t xml:space="preserve">“Application of social and digital media </w:t>
      </w:r>
      <w:r w:rsidR="00F145DC">
        <w:rPr>
          <w:rFonts w:ascii="Times New Roman" w:eastAsia="Times New Roman" w:hAnsi="Times New Roman" w:cs="Times New Roman"/>
          <w:b/>
          <w:bCs/>
          <w:color w:val="0E101A"/>
          <w:kern w:val="36"/>
          <w:sz w:val="24"/>
          <w:szCs w:val="24"/>
          <w:lang w:eastAsia="en-GB"/>
        </w:rPr>
        <w:t>in</w:t>
      </w:r>
      <w:r w:rsidRPr="0084188F">
        <w:rPr>
          <w:rFonts w:ascii="Times New Roman" w:eastAsia="Times New Roman" w:hAnsi="Times New Roman" w:cs="Times New Roman"/>
          <w:b/>
          <w:bCs/>
          <w:color w:val="0E101A"/>
          <w:kern w:val="36"/>
          <w:sz w:val="24"/>
          <w:szCs w:val="24"/>
          <w:lang w:eastAsia="en-GB"/>
        </w:rPr>
        <w:t xml:space="preserve"> awareness</w:t>
      </w:r>
      <w:r w:rsidR="00F145DC">
        <w:rPr>
          <w:rFonts w:ascii="Times New Roman" w:eastAsia="Times New Roman" w:hAnsi="Times New Roman" w:cs="Times New Roman"/>
          <w:b/>
          <w:bCs/>
          <w:color w:val="0E101A"/>
          <w:kern w:val="36"/>
          <w:sz w:val="24"/>
          <w:szCs w:val="24"/>
          <w:lang w:eastAsia="en-GB"/>
        </w:rPr>
        <w:t xml:space="preserve"> generating</w:t>
      </w:r>
      <w:r w:rsidRPr="0084188F">
        <w:rPr>
          <w:rFonts w:ascii="Times New Roman" w:eastAsia="Times New Roman" w:hAnsi="Times New Roman" w:cs="Times New Roman"/>
          <w:b/>
          <w:bCs/>
          <w:color w:val="0E101A"/>
          <w:kern w:val="36"/>
          <w:sz w:val="24"/>
          <w:szCs w:val="24"/>
          <w:lang w:eastAsia="en-GB"/>
        </w:rPr>
        <w:t>”</w:t>
      </w:r>
    </w:p>
    <w:p w14:paraId="525BC287" w14:textId="516BB9B1"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The utilisation of social media and the internet help to reach broader audiences for generating awareness significantly towards the younger members of the community that intends to participate in the planning. The council utilise the feeds of Twitter and Facebook to generate awareness and to promote the planning and consultation as per the deadline to engage a broader audience awareness. Moreover, the articles and journals place a significant role in spreading awareness and the software “Citizen's Space” is applied to engage the opinion of individual viewers (Ebrahim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2020). The planning of consultancy indicates photos and maps that involve contextual information which is user-friendly and provides the opinion of the users for supporting the Wandsworth community. The process of communication is advantageous for increasing the continuous engagement of this software regarding various complex planning issues and providing easy and short-term summaries for consultation. As social media improves the ability for receiving a life facility of review and discussion with words for generating awareness and removing the poverty from Wandsworth community. Wandsworth holds 3rd of its public housing stock with fibre optic bronze connection towards the London borough as the plans were implemented in the year 2018 for better engagement and access to the planning services online.</w:t>
      </w:r>
    </w:p>
    <w:p w14:paraId="23C1E10A" w14:textId="77777777" w:rsidR="003176B0" w:rsidRDefault="003176B0" w:rsidP="0084188F">
      <w:pPr>
        <w:spacing w:after="0" w:line="360" w:lineRule="auto"/>
        <w:jc w:val="both"/>
        <w:outlineLvl w:val="0"/>
        <w:rPr>
          <w:rFonts w:ascii="Times New Roman" w:eastAsia="Times New Roman" w:hAnsi="Times New Roman" w:cs="Times New Roman"/>
          <w:b/>
          <w:bCs/>
          <w:color w:val="0E101A"/>
          <w:kern w:val="36"/>
          <w:sz w:val="24"/>
          <w:szCs w:val="24"/>
          <w:lang w:eastAsia="en-GB"/>
        </w:rPr>
      </w:pPr>
    </w:p>
    <w:p w14:paraId="2542A237" w14:textId="1C5C80B2"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lastRenderedPageBreak/>
        <w:t>“</w:t>
      </w:r>
      <w:r w:rsidR="00C8658B" w:rsidRPr="00C8658B">
        <w:rPr>
          <w:rFonts w:ascii="Times New Roman" w:eastAsia="Times New Roman" w:hAnsi="Times New Roman" w:cs="Times New Roman"/>
          <w:b/>
          <w:sz w:val="24"/>
          <w:szCs w:val="24"/>
        </w:rPr>
        <w:t>Interventions to Address the Problem Using Social Media</w:t>
      </w:r>
      <w:r w:rsidRPr="0084188F">
        <w:rPr>
          <w:rFonts w:ascii="Times New Roman" w:eastAsia="Times New Roman" w:hAnsi="Times New Roman" w:cs="Times New Roman"/>
          <w:b/>
          <w:bCs/>
          <w:color w:val="0E101A"/>
          <w:kern w:val="36"/>
          <w:sz w:val="24"/>
          <w:szCs w:val="24"/>
          <w:lang w:eastAsia="en-GB"/>
        </w:rPr>
        <w:t>”</w:t>
      </w:r>
    </w:p>
    <w:p w14:paraId="0855E469"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Although social media is considered the major and most significant tool for mitigating issues and general awareness regarding health concerns. The sector of Healthcare is informed rapidly through Twitter, Facebook and YouTube as the occurrence of removing poverty from the Wandsworth community. It indicates how to assist and treat the persons publicly which is being reported throughout the incidents (Guess </w:t>
      </w:r>
      <w:r w:rsidRPr="0084188F">
        <w:rPr>
          <w:rFonts w:ascii="Times New Roman" w:eastAsia="Times New Roman" w:hAnsi="Times New Roman" w:cs="Times New Roman"/>
          <w:i/>
          <w:iCs/>
          <w:color w:val="0E101A"/>
          <w:sz w:val="24"/>
          <w:szCs w:val="24"/>
          <w:lang w:eastAsia="en-GB"/>
        </w:rPr>
        <w:t>et al</w:t>
      </w:r>
      <w:r w:rsidRPr="0084188F">
        <w:rPr>
          <w:rFonts w:ascii="Times New Roman" w:eastAsia="Times New Roman" w:hAnsi="Times New Roman" w:cs="Times New Roman"/>
          <w:color w:val="0E101A"/>
          <w:sz w:val="24"/>
          <w:szCs w:val="24"/>
          <w:lang w:eastAsia="en-GB"/>
        </w:rPr>
        <w:t>., 2020). Social media is considered the major key for addressing the challenges or spreading awareness or raising the voice for transformation and changes which is required for change in the community. Implementation of the upgraded Technologies helps the people to spread the news immediately and to provide information on the current situation that is faced by the entire community of Wandsworth. All that information accessories users to be alert and concerned about the situation regarding the sector of healthcare support the needy people financially, mentally and emotionally,</w:t>
      </w:r>
    </w:p>
    <w:p w14:paraId="62284E1C" w14:textId="77777777" w:rsidR="0084188F" w:rsidRDefault="0084188F" w:rsidP="0084188F">
      <w:pPr>
        <w:spacing w:line="360" w:lineRule="auto"/>
        <w:jc w:val="both"/>
        <w:rPr>
          <w:rFonts w:ascii="Times New Roman" w:eastAsia="Times New Roman" w:hAnsi="Times New Roman" w:cs="Times New Roman"/>
          <w:b/>
          <w:bCs/>
          <w:color w:val="0E101A"/>
          <w:kern w:val="36"/>
          <w:sz w:val="24"/>
          <w:szCs w:val="24"/>
          <w:lang w:eastAsia="en-GB"/>
        </w:rPr>
      </w:pPr>
      <w:r>
        <w:rPr>
          <w:rFonts w:ascii="Times New Roman" w:eastAsia="Times New Roman" w:hAnsi="Times New Roman" w:cs="Times New Roman"/>
          <w:b/>
          <w:bCs/>
          <w:color w:val="0E101A"/>
          <w:kern w:val="36"/>
          <w:sz w:val="24"/>
          <w:szCs w:val="24"/>
          <w:lang w:eastAsia="en-GB"/>
        </w:rPr>
        <w:br w:type="page"/>
      </w:r>
    </w:p>
    <w:p w14:paraId="3F496A54" w14:textId="77777777"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lastRenderedPageBreak/>
        <w:t>Conclusion</w:t>
      </w:r>
    </w:p>
    <w:p w14:paraId="7E80F067" w14:textId="77777777" w:rsidR="0084188F" w:rsidRPr="0084188F" w:rsidRDefault="0084188F"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The study has shed light on aspects of community development and growth in the London Borough of Wandsworth. It has focused on discussing the challenges and issues faced by these communities while living in the Borough community. To this the study has broadened the knowledge by discussing the meaning of community, London Borough and Wandsworth. Further, the study has discussed th</w:t>
      </w:r>
      <w:r>
        <w:rPr>
          <w:rFonts w:ascii="Times New Roman" w:eastAsia="Times New Roman" w:hAnsi="Times New Roman" w:cs="Times New Roman"/>
          <w:color w:val="0E101A"/>
          <w:sz w:val="24"/>
          <w:szCs w:val="24"/>
          <w:lang w:eastAsia="en-GB"/>
        </w:rPr>
        <w:t xml:space="preserve">e demographic division of </w:t>
      </w:r>
      <w:proofErr w:type="spellStart"/>
      <w:r>
        <w:rPr>
          <w:rFonts w:ascii="Times New Roman" w:eastAsia="Times New Roman" w:hAnsi="Times New Roman" w:cs="Times New Roman"/>
          <w:color w:val="0E101A"/>
          <w:sz w:val="24"/>
          <w:szCs w:val="24"/>
          <w:lang w:eastAsia="en-GB"/>
        </w:rPr>
        <w:t>WandsW</w:t>
      </w:r>
      <w:r w:rsidRPr="0084188F">
        <w:rPr>
          <w:rFonts w:ascii="Times New Roman" w:eastAsia="Times New Roman" w:hAnsi="Times New Roman" w:cs="Times New Roman"/>
          <w:color w:val="0E101A"/>
          <w:sz w:val="24"/>
          <w:szCs w:val="24"/>
          <w:lang w:eastAsia="en-GB"/>
        </w:rPr>
        <w:t>orth</w:t>
      </w:r>
      <w:proofErr w:type="spellEnd"/>
      <w:r w:rsidRPr="0084188F">
        <w:rPr>
          <w:rFonts w:ascii="Times New Roman" w:eastAsia="Times New Roman" w:hAnsi="Times New Roman" w:cs="Times New Roman"/>
          <w:color w:val="0E101A"/>
          <w:sz w:val="24"/>
          <w:szCs w:val="24"/>
          <w:lang w:eastAsia="en-GB"/>
        </w:rPr>
        <w:t>, to which it has highlighted the population, ethics division, demographics characteristics and language spoken by them. Further, the study has discussed the issues faced by this community such as poverty, unemployment issues, health issues and other social and economic issues. All these aspects have highly affected the population and have degraded their living style and living standards. The study has also highlighted the elements of current policy and legislation and its contribution towards community development by mitigating their issues. Further, the study has also discussed the aspects of the application and intervention of digital platforms and social media platforms for spreading awareness and mitigating the elements which increase their challenges. The study has also made use of relevant theory for the context to present its contribution to growth and development.</w:t>
      </w:r>
    </w:p>
    <w:p w14:paraId="3393A218" w14:textId="77777777" w:rsidR="0084188F" w:rsidRPr="0084188F" w:rsidRDefault="0084188F" w:rsidP="0084188F">
      <w:pPr>
        <w:spacing w:line="360" w:lineRule="auto"/>
        <w:jc w:val="both"/>
        <w:rPr>
          <w:rFonts w:ascii="Times New Roman" w:eastAsia="Times New Roman" w:hAnsi="Times New Roman" w:cs="Times New Roman"/>
          <w:b/>
          <w:bCs/>
          <w:color w:val="0E101A"/>
          <w:kern w:val="36"/>
          <w:sz w:val="24"/>
          <w:szCs w:val="24"/>
          <w:lang w:eastAsia="en-GB"/>
        </w:rPr>
      </w:pPr>
      <w:r w:rsidRPr="0084188F">
        <w:rPr>
          <w:rFonts w:ascii="Times New Roman" w:eastAsia="Times New Roman" w:hAnsi="Times New Roman" w:cs="Times New Roman"/>
          <w:b/>
          <w:bCs/>
          <w:color w:val="0E101A"/>
          <w:kern w:val="36"/>
          <w:sz w:val="24"/>
          <w:szCs w:val="24"/>
          <w:lang w:eastAsia="en-GB"/>
        </w:rPr>
        <w:br w:type="page"/>
      </w:r>
    </w:p>
    <w:p w14:paraId="41BE442B" w14:textId="77777777" w:rsidR="0084188F" w:rsidRPr="0084188F" w:rsidRDefault="0084188F" w:rsidP="0084188F">
      <w:pPr>
        <w:spacing w:after="0" w:line="360" w:lineRule="auto"/>
        <w:jc w:val="both"/>
        <w:outlineLvl w:val="0"/>
        <w:rPr>
          <w:rFonts w:ascii="Times New Roman" w:eastAsia="Times New Roman" w:hAnsi="Times New Roman" w:cs="Times New Roman"/>
          <w:b/>
          <w:bCs/>
          <w:kern w:val="36"/>
          <w:sz w:val="24"/>
          <w:szCs w:val="24"/>
          <w:lang w:eastAsia="en-GB"/>
        </w:rPr>
      </w:pPr>
      <w:r w:rsidRPr="0084188F">
        <w:rPr>
          <w:rFonts w:ascii="Times New Roman" w:eastAsia="Times New Roman" w:hAnsi="Times New Roman" w:cs="Times New Roman"/>
          <w:b/>
          <w:bCs/>
          <w:color w:val="0E101A"/>
          <w:kern w:val="36"/>
          <w:sz w:val="24"/>
          <w:szCs w:val="24"/>
          <w:lang w:eastAsia="en-GB"/>
        </w:rPr>
        <w:lastRenderedPageBreak/>
        <w:t>References</w:t>
      </w:r>
    </w:p>
    <w:p w14:paraId="3B49EA1B"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Al-</w:t>
      </w:r>
      <w:proofErr w:type="spellStart"/>
      <w:r w:rsidRPr="0084188F">
        <w:rPr>
          <w:rFonts w:ascii="Times New Roman" w:eastAsia="Times New Roman" w:hAnsi="Times New Roman" w:cs="Times New Roman"/>
          <w:color w:val="0E101A"/>
          <w:sz w:val="24"/>
          <w:szCs w:val="24"/>
          <w:lang w:eastAsia="en-GB"/>
        </w:rPr>
        <w:t>Dmour</w:t>
      </w:r>
      <w:proofErr w:type="spellEnd"/>
      <w:r w:rsidRPr="0084188F">
        <w:rPr>
          <w:rFonts w:ascii="Times New Roman" w:eastAsia="Times New Roman" w:hAnsi="Times New Roman" w:cs="Times New Roman"/>
          <w:color w:val="0E101A"/>
          <w:sz w:val="24"/>
          <w:szCs w:val="24"/>
          <w:lang w:eastAsia="en-GB"/>
        </w:rPr>
        <w:t xml:space="preserve">, H., </w:t>
      </w:r>
      <w:proofErr w:type="spellStart"/>
      <w:r w:rsidRPr="0084188F">
        <w:rPr>
          <w:rFonts w:ascii="Times New Roman" w:eastAsia="Times New Roman" w:hAnsi="Times New Roman" w:cs="Times New Roman"/>
          <w:color w:val="0E101A"/>
          <w:sz w:val="24"/>
          <w:szCs w:val="24"/>
          <w:lang w:eastAsia="en-GB"/>
        </w:rPr>
        <w:t>Masa’deh</w:t>
      </w:r>
      <w:proofErr w:type="spellEnd"/>
      <w:r w:rsidRPr="0084188F">
        <w:rPr>
          <w:rFonts w:ascii="Times New Roman" w:eastAsia="Times New Roman" w:hAnsi="Times New Roman" w:cs="Times New Roman"/>
          <w:color w:val="0E101A"/>
          <w:sz w:val="24"/>
          <w:szCs w:val="24"/>
          <w:lang w:eastAsia="en-GB"/>
        </w:rPr>
        <w:t xml:space="preserve">, R.E., Salman, A., </w:t>
      </w:r>
      <w:proofErr w:type="spellStart"/>
      <w:r w:rsidRPr="0084188F">
        <w:rPr>
          <w:rFonts w:ascii="Times New Roman" w:eastAsia="Times New Roman" w:hAnsi="Times New Roman" w:cs="Times New Roman"/>
          <w:color w:val="0E101A"/>
          <w:sz w:val="24"/>
          <w:szCs w:val="24"/>
          <w:lang w:eastAsia="en-GB"/>
        </w:rPr>
        <w:t>Abuhashesh</w:t>
      </w:r>
      <w:proofErr w:type="spellEnd"/>
      <w:r w:rsidRPr="0084188F">
        <w:rPr>
          <w:rFonts w:ascii="Times New Roman" w:eastAsia="Times New Roman" w:hAnsi="Times New Roman" w:cs="Times New Roman"/>
          <w:color w:val="0E101A"/>
          <w:sz w:val="24"/>
          <w:szCs w:val="24"/>
          <w:lang w:eastAsia="en-GB"/>
        </w:rPr>
        <w:t>, M. and Al-</w:t>
      </w:r>
      <w:proofErr w:type="spellStart"/>
      <w:r w:rsidRPr="0084188F">
        <w:rPr>
          <w:rFonts w:ascii="Times New Roman" w:eastAsia="Times New Roman" w:hAnsi="Times New Roman" w:cs="Times New Roman"/>
          <w:color w:val="0E101A"/>
          <w:sz w:val="24"/>
          <w:szCs w:val="24"/>
          <w:lang w:eastAsia="en-GB"/>
        </w:rPr>
        <w:t>Dmour</w:t>
      </w:r>
      <w:proofErr w:type="spellEnd"/>
      <w:r w:rsidRPr="0084188F">
        <w:rPr>
          <w:rFonts w:ascii="Times New Roman" w:eastAsia="Times New Roman" w:hAnsi="Times New Roman" w:cs="Times New Roman"/>
          <w:color w:val="0E101A"/>
          <w:sz w:val="24"/>
          <w:szCs w:val="24"/>
          <w:lang w:eastAsia="en-GB"/>
        </w:rPr>
        <w:t>, R., (2020). Influence of social media platforms on public health protection against the COVID-19 pandemic via the mediating effects of public health awareness and behavioural changes: an integrated model. Journal of medical Internet research, 22(8), p.e19996.</w:t>
      </w:r>
    </w:p>
    <w:p w14:paraId="1DA6E866"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Ali, I., </w:t>
      </w:r>
      <w:proofErr w:type="spellStart"/>
      <w:r w:rsidRPr="0084188F">
        <w:rPr>
          <w:rFonts w:ascii="Times New Roman" w:eastAsia="Times New Roman" w:hAnsi="Times New Roman" w:cs="Times New Roman"/>
          <w:color w:val="0E101A"/>
          <w:sz w:val="24"/>
          <w:szCs w:val="24"/>
          <w:lang w:eastAsia="en-GB"/>
        </w:rPr>
        <w:t>Hubbeling</w:t>
      </w:r>
      <w:proofErr w:type="spellEnd"/>
      <w:r w:rsidRPr="0084188F">
        <w:rPr>
          <w:rFonts w:ascii="Times New Roman" w:eastAsia="Times New Roman" w:hAnsi="Times New Roman" w:cs="Times New Roman"/>
          <w:color w:val="0E101A"/>
          <w:sz w:val="24"/>
          <w:szCs w:val="24"/>
          <w:lang w:eastAsia="en-GB"/>
        </w:rPr>
        <w:t xml:space="preserve">, A. and Saxena, S., (2022). Investigating the Influence of the Pandemic on the Wandsworth Home Treatment Team. </w:t>
      </w:r>
      <w:proofErr w:type="spellStart"/>
      <w:r w:rsidRPr="0084188F">
        <w:rPr>
          <w:rFonts w:ascii="Times New Roman" w:eastAsia="Times New Roman" w:hAnsi="Times New Roman" w:cs="Times New Roman"/>
          <w:color w:val="0E101A"/>
          <w:sz w:val="24"/>
          <w:szCs w:val="24"/>
          <w:lang w:eastAsia="en-GB"/>
        </w:rPr>
        <w:t>BJPsych</w:t>
      </w:r>
      <w:proofErr w:type="spellEnd"/>
      <w:r w:rsidRPr="0084188F">
        <w:rPr>
          <w:rFonts w:ascii="Times New Roman" w:eastAsia="Times New Roman" w:hAnsi="Times New Roman" w:cs="Times New Roman"/>
          <w:color w:val="0E101A"/>
          <w:sz w:val="24"/>
          <w:szCs w:val="24"/>
          <w:lang w:eastAsia="en-GB"/>
        </w:rPr>
        <w:t xml:space="preserve"> Open, 8(S1), </w:t>
      </w:r>
      <w:proofErr w:type="gramStart"/>
      <w:r w:rsidRPr="0084188F">
        <w:rPr>
          <w:rFonts w:ascii="Times New Roman" w:eastAsia="Times New Roman" w:hAnsi="Times New Roman" w:cs="Times New Roman"/>
          <w:color w:val="0E101A"/>
          <w:sz w:val="24"/>
          <w:szCs w:val="24"/>
          <w:lang w:eastAsia="en-GB"/>
        </w:rPr>
        <w:t>pp.S</w:t>
      </w:r>
      <w:proofErr w:type="gramEnd"/>
      <w:r w:rsidRPr="0084188F">
        <w:rPr>
          <w:rFonts w:ascii="Times New Roman" w:eastAsia="Times New Roman" w:hAnsi="Times New Roman" w:cs="Times New Roman"/>
          <w:color w:val="0E101A"/>
          <w:sz w:val="24"/>
          <w:szCs w:val="24"/>
          <w:lang w:eastAsia="en-GB"/>
        </w:rPr>
        <w:t>158-S158.</w:t>
      </w:r>
    </w:p>
    <w:p w14:paraId="272E5BAF"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Council, W. and Street, W.H., (2022). London Borough of Wandsworth Local Plan; Publication (Regulation 19) Version Consultation (January 2022). Planning.</w:t>
      </w:r>
    </w:p>
    <w:p w14:paraId="38801F1E"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Das, N., Birchall, R., Graham, C.A., Jafri, C.S. and Marshall, C.N., </w:t>
      </w:r>
      <w:r>
        <w:rPr>
          <w:rFonts w:ascii="Times New Roman" w:eastAsia="Times New Roman" w:hAnsi="Times New Roman" w:cs="Times New Roman"/>
          <w:color w:val="0E101A"/>
          <w:sz w:val="24"/>
          <w:szCs w:val="24"/>
          <w:lang w:eastAsia="en-GB"/>
        </w:rPr>
        <w:t>(</w:t>
      </w:r>
      <w:r w:rsidRPr="0084188F">
        <w:rPr>
          <w:rFonts w:ascii="Times New Roman" w:eastAsia="Times New Roman" w:hAnsi="Times New Roman" w:cs="Times New Roman"/>
          <w:color w:val="0E101A"/>
          <w:sz w:val="24"/>
          <w:szCs w:val="24"/>
          <w:lang w:eastAsia="en-GB"/>
        </w:rPr>
        <w:t>2022</w:t>
      </w:r>
      <w:r>
        <w:rPr>
          <w:rFonts w:ascii="Times New Roman" w:eastAsia="Times New Roman" w:hAnsi="Times New Roman" w:cs="Times New Roman"/>
          <w:color w:val="0E101A"/>
          <w:sz w:val="24"/>
          <w:szCs w:val="24"/>
          <w:lang w:eastAsia="en-GB"/>
        </w:rPr>
        <w:t>)</w:t>
      </w:r>
      <w:r w:rsidRPr="0084188F">
        <w:rPr>
          <w:rFonts w:ascii="Times New Roman" w:eastAsia="Times New Roman" w:hAnsi="Times New Roman" w:cs="Times New Roman"/>
          <w:color w:val="0E101A"/>
          <w:sz w:val="24"/>
          <w:szCs w:val="24"/>
          <w:lang w:eastAsia="en-GB"/>
        </w:rPr>
        <w:t>. STANDING ADVISORY COUNCIL ON RELIGIOUS EDUCATION MONDAY, 3RD OCTOBER, 2022 AT 7.30 PM ROOM 123-THE TOWN HALL, WANDSWORTH HIGH STREET, WANDSWORTH SW18 2PU.</w:t>
      </w:r>
    </w:p>
    <w:p w14:paraId="263693DF"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De </w:t>
      </w:r>
      <w:proofErr w:type="spellStart"/>
      <w:r w:rsidRPr="0084188F">
        <w:rPr>
          <w:rFonts w:ascii="Times New Roman" w:eastAsia="Times New Roman" w:hAnsi="Times New Roman" w:cs="Times New Roman"/>
          <w:color w:val="0E101A"/>
          <w:sz w:val="24"/>
          <w:szCs w:val="24"/>
          <w:lang w:eastAsia="en-GB"/>
        </w:rPr>
        <w:t>Vitaa</w:t>
      </w:r>
      <w:proofErr w:type="spellEnd"/>
      <w:r w:rsidRPr="0084188F">
        <w:rPr>
          <w:rFonts w:ascii="Times New Roman" w:eastAsia="Times New Roman" w:hAnsi="Times New Roman" w:cs="Times New Roman"/>
          <w:color w:val="0E101A"/>
          <w:sz w:val="24"/>
          <w:szCs w:val="24"/>
          <w:lang w:eastAsia="en-GB"/>
        </w:rPr>
        <w:t xml:space="preserve">, R., </w:t>
      </w:r>
      <w:proofErr w:type="spellStart"/>
      <w:r w:rsidRPr="0084188F">
        <w:rPr>
          <w:rFonts w:ascii="Times New Roman" w:eastAsia="Times New Roman" w:hAnsi="Times New Roman" w:cs="Times New Roman"/>
          <w:color w:val="0E101A"/>
          <w:sz w:val="24"/>
          <w:szCs w:val="24"/>
          <w:lang w:eastAsia="en-GB"/>
        </w:rPr>
        <w:t>Greveb</w:t>
      </w:r>
      <w:proofErr w:type="spellEnd"/>
      <w:r w:rsidRPr="0084188F">
        <w:rPr>
          <w:rFonts w:ascii="Times New Roman" w:eastAsia="Times New Roman" w:hAnsi="Times New Roman" w:cs="Times New Roman"/>
          <w:color w:val="0E101A"/>
          <w:sz w:val="24"/>
          <w:szCs w:val="24"/>
          <w:lang w:eastAsia="en-GB"/>
        </w:rPr>
        <w:t xml:space="preserve">, K., </w:t>
      </w:r>
      <w:proofErr w:type="spellStart"/>
      <w:r w:rsidRPr="0084188F">
        <w:rPr>
          <w:rFonts w:ascii="Times New Roman" w:eastAsia="Times New Roman" w:hAnsi="Times New Roman" w:cs="Times New Roman"/>
          <w:color w:val="0E101A"/>
          <w:sz w:val="24"/>
          <w:szCs w:val="24"/>
          <w:lang w:eastAsia="en-GB"/>
        </w:rPr>
        <w:t>Sarabia</w:t>
      </w:r>
      <w:proofErr w:type="spellEnd"/>
      <w:r w:rsidRPr="0084188F">
        <w:rPr>
          <w:rFonts w:ascii="Times New Roman" w:eastAsia="Times New Roman" w:hAnsi="Times New Roman" w:cs="Times New Roman"/>
          <w:color w:val="0E101A"/>
          <w:sz w:val="24"/>
          <w:szCs w:val="24"/>
          <w:lang w:eastAsia="en-GB"/>
        </w:rPr>
        <w:t xml:space="preserve">, Y. and </w:t>
      </w:r>
      <w:proofErr w:type="spellStart"/>
      <w:r w:rsidRPr="0084188F">
        <w:rPr>
          <w:rFonts w:ascii="Times New Roman" w:eastAsia="Times New Roman" w:hAnsi="Times New Roman" w:cs="Times New Roman"/>
          <w:color w:val="0E101A"/>
          <w:sz w:val="24"/>
          <w:szCs w:val="24"/>
          <w:lang w:eastAsia="en-GB"/>
        </w:rPr>
        <w:t>Vasudevana</w:t>
      </w:r>
      <w:proofErr w:type="spellEnd"/>
      <w:r w:rsidRPr="0084188F">
        <w:rPr>
          <w:rFonts w:ascii="Times New Roman" w:eastAsia="Times New Roman" w:hAnsi="Times New Roman" w:cs="Times New Roman"/>
          <w:color w:val="0E101A"/>
          <w:sz w:val="24"/>
          <w:szCs w:val="24"/>
          <w:lang w:eastAsia="en-GB"/>
        </w:rPr>
        <w:t xml:space="preserve">, S., (2019). The Wandsworth Healthcare Ecosystem: </w:t>
      </w:r>
      <w:proofErr w:type="gramStart"/>
      <w:r w:rsidRPr="0084188F">
        <w:rPr>
          <w:rFonts w:ascii="Times New Roman" w:eastAsia="Times New Roman" w:hAnsi="Times New Roman" w:cs="Times New Roman"/>
          <w:color w:val="0E101A"/>
          <w:sz w:val="24"/>
          <w:szCs w:val="24"/>
          <w:lang w:eastAsia="en-GB"/>
        </w:rPr>
        <w:t>an</w:t>
      </w:r>
      <w:proofErr w:type="gramEnd"/>
      <w:r w:rsidRPr="0084188F">
        <w:rPr>
          <w:rFonts w:ascii="Times New Roman" w:eastAsia="Times New Roman" w:hAnsi="Times New Roman" w:cs="Times New Roman"/>
          <w:color w:val="0E101A"/>
          <w:sz w:val="24"/>
          <w:szCs w:val="24"/>
          <w:lang w:eastAsia="en-GB"/>
        </w:rPr>
        <w:t xml:space="preserve"> Interorganisational Perspective.</w:t>
      </w:r>
    </w:p>
    <w:p w14:paraId="16D3A0EA"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Ebrahim, R.S., (2020). The role of trust in understanding the impact of social media marketing on brand equity and brand loyalty. Journal of Relationship Marketing, 19(4), pp.287-308.</w:t>
      </w:r>
    </w:p>
    <w:p w14:paraId="4FD0EEC0"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proofErr w:type="spellStart"/>
      <w:r w:rsidRPr="0084188F">
        <w:rPr>
          <w:rFonts w:ascii="Times New Roman" w:eastAsia="Times New Roman" w:hAnsi="Times New Roman" w:cs="Times New Roman"/>
          <w:color w:val="0E101A"/>
          <w:sz w:val="24"/>
          <w:szCs w:val="24"/>
          <w:lang w:eastAsia="en-GB"/>
        </w:rPr>
        <w:t>Firdosi</w:t>
      </w:r>
      <w:proofErr w:type="spellEnd"/>
      <w:r w:rsidRPr="0084188F">
        <w:rPr>
          <w:rFonts w:ascii="Times New Roman" w:eastAsia="Times New Roman" w:hAnsi="Times New Roman" w:cs="Times New Roman"/>
          <w:color w:val="0E101A"/>
          <w:sz w:val="24"/>
          <w:szCs w:val="24"/>
          <w:lang w:eastAsia="en-GB"/>
        </w:rPr>
        <w:t xml:space="preserve">, M., </w:t>
      </w:r>
      <w:proofErr w:type="spellStart"/>
      <w:r w:rsidRPr="0084188F">
        <w:rPr>
          <w:rFonts w:ascii="Times New Roman" w:eastAsia="Times New Roman" w:hAnsi="Times New Roman" w:cs="Times New Roman"/>
          <w:color w:val="0E101A"/>
          <w:sz w:val="24"/>
          <w:szCs w:val="24"/>
          <w:lang w:eastAsia="en-GB"/>
        </w:rPr>
        <w:t>Hubbeling</w:t>
      </w:r>
      <w:proofErr w:type="spellEnd"/>
      <w:r w:rsidRPr="0084188F">
        <w:rPr>
          <w:rFonts w:ascii="Times New Roman" w:eastAsia="Times New Roman" w:hAnsi="Times New Roman" w:cs="Times New Roman"/>
          <w:color w:val="0E101A"/>
          <w:sz w:val="24"/>
          <w:szCs w:val="24"/>
          <w:lang w:eastAsia="en-GB"/>
        </w:rPr>
        <w:t xml:space="preserve">, A. and Kapoor, T., (2021). Facilitated early discharge in Wandsworth. </w:t>
      </w:r>
      <w:proofErr w:type="spellStart"/>
      <w:r w:rsidRPr="0084188F">
        <w:rPr>
          <w:rFonts w:ascii="Times New Roman" w:eastAsia="Times New Roman" w:hAnsi="Times New Roman" w:cs="Times New Roman"/>
          <w:color w:val="0E101A"/>
          <w:sz w:val="24"/>
          <w:szCs w:val="24"/>
          <w:lang w:eastAsia="en-GB"/>
        </w:rPr>
        <w:t>BJPsych</w:t>
      </w:r>
      <w:proofErr w:type="spellEnd"/>
      <w:r w:rsidRPr="0084188F">
        <w:rPr>
          <w:rFonts w:ascii="Times New Roman" w:eastAsia="Times New Roman" w:hAnsi="Times New Roman" w:cs="Times New Roman"/>
          <w:color w:val="0E101A"/>
          <w:sz w:val="24"/>
          <w:szCs w:val="24"/>
          <w:lang w:eastAsia="en-GB"/>
        </w:rPr>
        <w:t xml:space="preserve"> Open, 7(S1), </w:t>
      </w:r>
      <w:proofErr w:type="gramStart"/>
      <w:r w:rsidRPr="0084188F">
        <w:rPr>
          <w:rFonts w:ascii="Times New Roman" w:eastAsia="Times New Roman" w:hAnsi="Times New Roman" w:cs="Times New Roman"/>
          <w:color w:val="0E101A"/>
          <w:sz w:val="24"/>
          <w:szCs w:val="24"/>
          <w:lang w:eastAsia="en-GB"/>
        </w:rPr>
        <w:t>pp.S</w:t>
      </w:r>
      <w:proofErr w:type="gramEnd"/>
      <w:r w:rsidRPr="0084188F">
        <w:rPr>
          <w:rFonts w:ascii="Times New Roman" w:eastAsia="Times New Roman" w:hAnsi="Times New Roman" w:cs="Times New Roman"/>
          <w:color w:val="0E101A"/>
          <w:sz w:val="24"/>
          <w:szCs w:val="24"/>
          <w:lang w:eastAsia="en-GB"/>
        </w:rPr>
        <w:t>115-S115.</w:t>
      </w:r>
    </w:p>
    <w:p w14:paraId="1D640901"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Guess, A.M., Lerner, M., Lyons, B., Montgomery, J.M., </w:t>
      </w:r>
      <w:proofErr w:type="spellStart"/>
      <w:r w:rsidRPr="0084188F">
        <w:rPr>
          <w:rFonts w:ascii="Times New Roman" w:eastAsia="Times New Roman" w:hAnsi="Times New Roman" w:cs="Times New Roman"/>
          <w:color w:val="0E101A"/>
          <w:sz w:val="24"/>
          <w:szCs w:val="24"/>
          <w:lang w:eastAsia="en-GB"/>
        </w:rPr>
        <w:t>Nyhan</w:t>
      </w:r>
      <w:proofErr w:type="spellEnd"/>
      <w:r w:rsidRPr="0084188F">
        <w:rPr>
          <w:rFonts w:ascii="Times New Roman" w:eastAsia="Times New Roman" w:hAnsi="Times New Roman" w:cs="Times New Roman"/>
          <w:color w:val="0E101A"/>
          <w:sz w:val="24"/>
          <w:szCs w:val="24"/>
          <w:lang w:eastAsia="en-GB"/>
        </w:rPr>
        <w:t xml:space="preserve">, B., </w:t>
      </w:r>
      <w:proofErr w:type="spellStart"/>
      <w:r w:rsidRPr="0084188F">
        <w:rPr>
          <w:rFonts w:ascii="Times New Roman" w:eastAsia="Times New Roman" w:hAnsi="Times New Roman" w:cs="Times New Roman"/>
          <w:color w:val="0E101A"/>
          <w:sz w:val="24"/>
          <w:szCs w:val="24"/>
          <w:lang w:eastAsia="en-GB"/>
        </w:rPr>
        <w:t>Reifler</w:t>
      </w:r>
      <w:proofErr w:type="spellEnd"/>
      <w:r w:rsidRPr="0084188F">
        <w:rPr>
          <w:rFonts w:ascii="Times New Roman" w:eastAsia="Times New Roman" w:hAnsi="Times New Roman" w:cs="Times New Roman"/>
          <w:color w:val="0E101A"/>
          <w:sz w:val="24"/>
          <w:szCs w:val="24"/>
          <w:lang w:eastAsia="en-GB"/>
        </w:rPr>
        <w:t>, J. and Sircar, N., (2020). A digital media literacy intervention increases discernment between mainstream and false news in the United States and India. Proceedings of the National Academy of Sciences, 117(27), pp.15536-15545.</w:t>
      </w:r>
    </w:p>
    <w:p w14:paraId="21BA2942"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proofErr w:type="spellStart"/>
      <w:r w:rsidRPr="0084188F">
        <w:rPr>
          <w:rFonts w:ascii="Times New Roman" w:eastAsia="Times New Roman" w:hAnsi="Times New Roman" w:cs="Times New Roman"/>
          <w:color w:val="0E101A"/>
          <w:sz w:val="24"/>
          <w:szCs w:val="24"/>
          <w:lang w:eastAsia="en-GB"/>
        </w:rPr>
        <w:t>Kozhimannil</w:t>
      </w:r>
      <w:proofErr w:type="spellEnd"/>
      <w:r w:rsidRPr="0084188F">
        <w:rPr>
          <w:rFonts w:ascii="Times New Roman" w:eastAsia="Times New Roman" w:hAnsi="Times New Roman" w:cs="Times New Roman"/>
          <w:color w:val="0E101A"/>
          <w:sz w:val="24"/>
          <w:szCs w:val="24"/>
          <w:lang w:eastAsia="en-GB"/>
        </w:rPr>
        <w:t xml:space="preserve">, K.B., </w:t>
      </w:r>
      <w:proofErr w:type="spellStart"/>
      <w:r w:rsidRPr="0084188F">
        <w:rPr>
          <w:rFonts w:ascii="Times New Roman" w:eastAsia="Times New Roman" w:hAnsi="Times New Roman" w:cs="Times New Roman"/>
          <w:color w:val="0E101A"/>
          <w:sz w:val="24"/>
          <w:szCs w:val="24"/>
          <w:lang w:eastAsia="en-GB"/>
        </w:rPr>
        <w:t>Interrante</w:t>
      </w:r>
      <w:proofErr w:type="spellEnd"/>
      <w:r w:rsidRPr="0084188F">
        <w:rPr>
          <w:rFonts w:ascii="Times New Roman" w:eastAsia="Times New Roman" w:hAnsi="Times New Roman" w:cs="Times New Roman"/>
          <w:color w:val="0E101A"/>
          <w:sz w:val="24"/>
          <w:szCs w:val="24"/>
          <w:lang w:eastAsia="en-GB"/>
        </w:rPr>
        <w:t>, J.D., Corbett, A., Heppner, S., Burges, J. and Henning-Smith, C., (2019). Rural focus and representation in state maternal mortality review committees: a review of policy and legislation. Women's Health Issues, 29(5), pp.357-363.</w:t>
      </w:r>
    </w:p>
    <w:p w14:paraId="7DCD7DCC"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Nelson, B., </w:t>
      </w:r>
      <w:proofErr w:type="spellStart"/>
      <w:r w:rsidRPr="0084188F">
        <w:rPr>
          <w:rFonts w:ascii="Times New Roman" w:eastAsia="Times New Roman" w:hAnsi="Times New Roman" w:cs="Times New Roman"/>
          <w:color w:val="0E101A"/>
          <w:sz w:val="24"/>
          <w:szCs w:val="24"/>
          <w:lang w:eastAsia="en-GB"/>
        </w:rPr>
        <w:t>Amminger</w:t>
      </w:r>
      <w:proofErr w:type="spellEnd"/>
      <w:r w:rsidRPr="0084188F">
        <w:rPr>
          <w:rFonts w:ascii="Times New Roman" w:eastAsia="Times New Roman" w:hAnsi="Times New Roman" w:cs="Times New Roman"/>
          <w:color w:val="0E101A"/>
          <w:sz w:val="24"/>
          <w:szCs w:val="24"/>
          <w:lang w:eastAsia="en-GB"/>
        </w:rPr>
        <w:t xml:space="preserve">, G.P., </w:t>
      </w:r>
      <w:proofErr w:type="spellStart"/>
      <w:r w:rsidRPr="0084188F">
        <w:rPr>
          <w:rFonts w:ascii="Times New Roman" w:eastAsia="Times New Roman" w:hAnsi="Times New Roman" w:cs="Times New Roman"/>
          <w:color w:val="0E101A"/>
          <w:sz w:val="24"/>
          <w:szCs w:val="24"/>
          <w:lang w:eastAsia="en-GB"/>
        </w:rPr>
        <w:t>Bechdolf</w:t>
      </w:r>
      <w:proofErr w:type="spellEnd"/>
      <w:r w:rsidRPr="0084188F">
        <w:rPr>
          <w:rFonts w:ascii="Times New Roman" w:eastAsia="Times New Roman" w:hAnsi="Times New Roman" w:cs="Times New Roman"/>
          <w:color w:val="0E101A"/>
          <w:sz w:val="24"/>
          <w:szCs w:val="24"/>
          <w:lang w:eastAsia="en-GB"/>
        </w:rPr>
        <w:t xml:space="preserve">, A., French, P., </w:t>
      </w:r>
      <w:proofErr w:type="spellStart"/>
      <w:r w:rsidRPr="0084188F">
        <w:rPr>
          <w:rFonts w:ascii="Times New Roman" w:eastAsia="Times New Roman" w:hAnsi="Times New Roman" w:cs="Times New Roman"/>
          <w:color w:val="0E101A"/>
          <w:sz w:val="24"/>
          <w:szCs w:val="24"/>
          <w:lang w:eastAsia="en-GB"/>
        </w:rPr>
        <w:t>Malla</w:t>
      </w:r>
      <w:proofErr w:type="spellEnd"/>
      <w:r w:rsidRPr="0084188F">
        <w:rPr>
          <w:rFonts w:ascii="Times New Roman" w:eastAsia="Times New Roman" w:hAnsi="Times New Roman" w:cs="Times New Roman"/>
          <w:color w:val="0E101A"/>
          <w:sz w:val="24"/>
          <w:szCs w:val="24"/>
          <w:lang w:eastAsia="en-GB"/>
        </w:rPr>
        <w:t xml:space="preserve">, A., Morrison, A.P., Schmidt, S.J., Shah, J.L., Thompson, A., Van der </w:t>
      </w:r>
      <w:proofErr w:type="spellStart"/>
      <w:r w:rsidRPr="0084188F">
        <w:rPr>
          <w:rFonts w:ascii="Times New Roman" w:eastAsia="Times New Roman" w:hAnsi="Times New Roman" w:cs="Times New Roman"/>
          <w:color w:val="0E101A"/>
          <w:sz w:val="24"/>
          <w:szCs w:val="24"/>
          <w:lang w:eastAsia="en-GB"/>
        </w:rPr>
        <w:t>Gaag</w:t>
      </w:r>
      <w:proofErr w:type="spellEnd"/>
      <w:r w:rsidRPr="0084188F">
        <w:rPr>
          <w:rFonts w:ascii="Times New Roman" w:eastAsia="Times New Roman" w:hAnsi="Times New Roman" w:cs="Times New Roman"/>
          <w:color w:val="0E101A"/>
          <w:sz w:val="24"/>
          <w:szCs w:val="24"/>
          <w:lang w:eastAsia="en-GB"/>
        </w:rPr>
        <w:t>, M. and Wood, S.J., (2020). Evidence for preventive treatments in young patients at clinical high risk of psychosis: the need for context. The Lancet Psychiatry, 7(5), pp.378-380.</w:t>
      </w:r>
    </w:p>
    <w:p w14:paraId="4F5FFD7C"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r w:rsidRPr="0084188F">
        <w:rPr>
          <w:rFonts w:ascii="Times New Roman" w:eastAsia="Times New Roman" w:hAnsi="Times New Roman" w:cs="Times New Roman"/>
          <w:color w:val="0E101A"/>
          <w:sz w:val="24"/>
          <w:szCs w:val="24"/>
          <w:lang w:eastAsia="en-GB"/>
        </w:rPr>
        <w:t xml:space="preserve">Parry, D.A., Davidson, B.I., Sewall, C.J., Fisher, J.T., </w:t>
      </w:r>
      <w:proofErr w:type="spellStart"/>
      <w:r w:rsidRPr="0084188F">
        <w:rPr>
          <w:rFonts w:ascii="Times New Roman" w:eastAsia="Times New Roman" w:hAnsi="Times New Roman" w:cs="Times New Roman"/>
          <w:color w:val="0E101A"/>
          <w:sz w:val="24"/>
          <w:szCs w:val="24"/>
          <w:lang w:eastAsia="en-GB"/>
        </w:rPr>
        <w:t>Mieczkowski</w:t>
      </w:r>
      <w:proofErr w:type="spellEnd"/>
      <w:r w:rsidRPr="0084188F">
        <w:rPr>
          <w:rFonts w:ascii="Times New Roman" w:eastAsia="Times New Roman" w:hAnsi="Times New Roman" w:cs="Times New Roman"/>
          <w:color w:val="0E101A"/>
          <w:sz w:val="24"/>
          <w:szCs w:val="24"/>
          <w:lang w:eastAsia="en-GB"/>
        </w:rPr>
        <w:t>, H. and Quintana, D.S., (2021). A systematic review and meta-analysis of discrepancies between logged and self-reported digital media use. Nature Human Behaviour, 5(11), pp.1535-1547.</w:t>
      </w:r>
    </w:p>
    <w:p w14:paraId="308C59FC" w14:textId="77777777" w:rsidR="006D78B5" w:rsidRPr="0084188F" w:rsidRDefault="006D78B5" w:rsidP="0084188F">
      <w:pPr>
        <w:spacing w:after="0" w:line="360" w:lineRule="auto"/>
        <w:jc w:val="both"/>
        <w:rPr>
          <w:rFonts w:ascii="Times New Roman" w:eastAsia="Times New Roman" w:hAnsi="Times New Roman" w:cs="Times New Roman"/>
          <w:sz w:val="24"/>
          <w:szCs w:val="24"/>
          <w:lang w:eastAsia="en-GB"/>
        </w:rPr>
      </w:pPr>
      <w:proofErr w:type="spellStart"/>
      <w:r w:rsidRPr="0084188F">
        <w:rPr>
          <w:rFonts w:ascii="Times New Roman" w:eastAsia="Times New Roman" w:hAnsi="Times New Roman" w:cs="Times New Roman"/>
          <w:color w:val="0E101A"/>
          <w:sz w:val="24"/>
          <w:szCs w:val="24"/>
          <w:lang w:eastAsia="en-GB"/>
        </w:rPr>
        <w:lastRenderedPageBreak/>
        <w:t>Sashidharan</w:t>
      </w:r>
      <w:proofErr w:type="spellEnd"/>
      <w:r w:rsidRPr="0084188F">
        <w:rPr>
          <w:rFonts w:ascii="Times New Roman" w:eastAsia="Times New Roman" w:hAnsi="Times New Roman" w:cs="Times New Roman"/>
          <w:color w:val="0E101A"/>
          <w:sz w:val="24"/>
          <w:szCs w:val="24"/>
          <w:lang w:eastAsia="en-GB"/>
        </w:rPr>
        <w:t>, S.P. and Gul, M., (2020). Ethnicity and mental health: a new beginning. The Lancet Psychiatry, 7(5), pp.380-381.</w:t>
      </w:r>
    </w:p>
    <w:sectPr w:rsidR="006D78B5" w:rsidRPr="0084188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E6ACD" w14:textId="77777777" w:rsidR="00D76513" w:rsidRDefault="00D76513" w:rsidP="0084188F">
      <w:pPr>
        <w:spacing w:after="0" w:line="240" w:lineRule="auto"/>
      </w:pPr>
      <w:r>
        <w:separator/>
      </w:r>
    </w:p>
  </w:endnote>
  <w:endnote w:type="continuationSeparator" w:id="0">
    <w:p w14:paraId="6889436A" w14:textId="77777777" w:rsidR="00D76513" w:rsidRDefault="00D76513" w:rsidP="00841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174717"/>
      <w:docPartObj>
        <w:docPartGallery w:val="Page Numbers (Bottom of Page)"/>
        <w:docPartUnique/>
      </w:docPartObj>
    </w:sdtPr>
    <w:sdtEndPr>
      <w:rPr>
        <w:noProof/>
      </w:rPr>
    </w:sdtEndPr>
    <w:sdtContent>
      <w:p w14:paraId="5EDF63D3" w14:textId="77777777" w:rsidR="0084188F" w:rsidRDefault="0084188F">
        <w:pPr>
          <w:pStyle w:val="Footer"/>
          <w:jc w:val="right"/>
        </w:pPr>
        <w:r>
          <w:fldChar w:fldCharType="begin"/>
        </w:r>
        <w:r>
          <w:instrText xml:space="preserve"> PAGE   \* MERGEFORMAT </w:instrText>
        </w:r>
        <w:r>
          <w:fldChar w:fldCharType="separate"/>
        </w:r>
        <w:r w:rsidR="006D78B5">
          <w:rPr>
            <w:noProof/>
          </w:rPr>
          <w:t>10</w:t>
        </w:r>
        <w:r>
          <w:rPr>
            <w:noProof/>
          </w:rPr>
          <w:fldChar w:fldCharType="end"/>
        </w:r>
      </w:p>
    </w:sdtContent>
  </w:sdt>
  <w:p w14:paraId="3B058C1D" w14:textId="77777777" w:rsidR="0084188F" w:rsidRDefault="00841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FD6F9" w14:textId="77777777" w:rsidR="00D76513" w:rsidRDefault="00D76513" w:rsidP="0084188F">
      <w:pPr>
        <w:spacing w:after="0" w:line="240" w:lineRule="auto"/>
      </w:pPr>
      <w:r>
        <w:separator/>
      </w:r>
    </w:p>
  </w:footnote>
  <w:footnote w:type="continuationSeparator" w:id="0">
    <w:p w14:paraId="73C4CE17" w14:textId="77777777" w:rsidR="00D76513" w:rsidRDefault="00D76513" w:rsidP="008418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8F"/>
    <w:rsid w:val="00092A98"/>
    <w:rsid w:val="001B35A7"/>
    <w:rsid w:val="00316A4C"/>
    <w:rsid w:val="003176B0"/>
    <w:rsid w:val="00662E61"/>
    <w:rsid w:val="006D78B5"/>
    <w:rsid w:val="007042F1"/>
    <w:rsid w:val="0084188F"/>
    <w:rsid w:val="008461A2"/>
    <w:rsid w:val="00B3311B"/>
    <w:rsid w:val="00B33BB1"/>
    <w:rsid w:val="00B5178B"/>
    <w:rsid w:val="00BD25E3"/>
    <w:rsid w:val="00C8658B"/>
    <w:rsid w:val="00D76513"/>
    <w:rsid w:val="00E113E6"/>
    <w:rsid w:val="00F145DC"/>
    <w:rsid w:val="00FF0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16585"/>
  <w15:chartTrackingRefBased/>
  <w15:docId w15:val="{C169B958-2988-44DD-B76D-84854354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418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8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418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4188F"/>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84188F"/>
    <w:pPr>
      <w:spacing w:after="100"/>
    </w:pPr>
  </w:style>
  <w:style w:type="character" w:styleId="Hyperlink">
    <w:name w:val="Hyperlink"/>
    <w:basedOn w:val="DefaultParagraphFont"/>
    <w:uiPriority w:val="99"/>
    <w:unhideWhenUsed/>
    <w:rsid w:val="0084188F"/>
    <w:rPr>
      <w:color w:val="0563C1" w:themeColor="hyperlink"/>
      <w:u w:val="single"/>
    </w:rPr>
  </w:style>
  <w:style w:type="paragraph" w:styleId="Header">
    <w:name w:val="header"/>
    <w:basedOn w:val="Normal"/>
    <w:link w:val="HeaderChar"/>
    <w:uiPriority w:val="99"/>
    <w:unhideWhenUsed/>
    <w:rsid w:val="00841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88F"/>
  </w:style>
  <w:style w:type="paragraph" w:styleId="Footer">
    <w:name w:val="footer"/>
    <w:basedOn w:val="Normal"/>
    <w:link w:val="FooterChar"/>
    <w:uiPriority w:val="99"/>
    <w:unhideWhenUsed/>
    <w:rsid w:val="00841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04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7524A-1602-46BA-995D-3C43F569D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2355</Words>
  <Characters>13429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Ileana Chis (1818454)</cp:lastModifiedBy>
  <cp:revision>12</cp:revision>
  <dcterms:created xsi:type="dcterms:W3CDTF">2023-04-19T08:15:00Z</dcterms:created>
  <dcterms:modified xsi:type="dcterms:W3CDTF">2023-04-21T08:14:00Z</dcterms:modified>
</cp:coreProperties>
</file>