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DA553" w14:textId="77777777" w:rsidR="00E01253" w:rsidRDefault="00000000">
      <w:pPr>
        <w:spacing w:before="1600"/>
        <w:jc w:val="center"/>
      </w:pPr>
      <w:r>
        <w:rPr>
          <w:b/>
          <w:bCs/>
          <w:color w:val="1F4E79"/>
          <w:sz w:val="40"/>
          <w:szCs w:val="40"/>
        </w:rPr>
        <w:t>A LIGHT FORENSIC ACQUISITION AND ANALYSIS FRAMEWORK FOR ANDROID MOBILE DEVICES</w:t>
      </w:r>
    </w:p>
    <w:p w14:paraId="798C4CF9" w14:textId="13B2EFBB" w:rsidR="00E01253" w:rsidRDefault="0036367A" w:rsidP="0036367A">
      <w:pPr>
        <w:spacing w:before="300" w:after="100"/>
      </w:pPr>
      <w:r>
        <w:rPr>
          <w:i/>
          <w:iCs/>
          <w:sz w:val="26"/>
          <w:szCs w:val="26"/>
        </w:rPr>
        <w:t xml:space="preserve">                                        </w:t>
      </w:r>
    </w:p>
    <w:p w14:paraId="1671D4FC" w14:textId="77777777" w:rsidR="00E01253" w:rsidRDefault="00000000">
      <w:pPr>
        <w:spacing w:before="700"/>
        <w:jc w:val="center"/>
      </w:pPr>
      <w:r>
        <w:rPr>
          <w:b/>
          <w:bCs/>
          <w:sz w:val="24"/>
          <w:szCs w:val="24"/>
        </w:rPr>
        <w:t>Research Proposal</w:t>
      </w:r>
    </w:p>
    <w:p w14:paraId="28048A03" w14:textId="77777777" w:rsidR="00E01253" w:rsidRDefault="00000000">
      <w:pPr>
        <w:spacing w:before="800"/>
        <w:jc w:val="center"/>
      </w:pPr>
      <w:r>
        <w:t>Prepared for Police and Immigration Authorities</w:t>
      </w:r>
    </w:p>
    <w:p w14:paraId="512F4CFC" w14:textId="77777777" w:rsidR="00E01253" w:rsidRDefault="00000000">
      <w:pPr>
        <w:spacing w:before="100"/>
        <w:jc w:val="center"/>
      </w:pPr>
      <w:r>
        <w:t>Digital and Mobile Forensics Research Programme</w:t>
      </w:r>
    </w:p>
    <w:p w14:paraId="5D23BFD9" w14:textId="77777777" w:rsidR="0036367A" w:rsidRDefault="0036367A">
      <w:pPr>
        <w:pageBreakBefore/>
        <w:spacing w:before="200"/>
        <w:jc w:val="center"/>
        <w:rPr>
          <w:b/>
          <w:bCs/>
          <w:color w:val="1F4E79"/>
          <w:sz w:val="28"/>
          <w:szCs w:val="28"/>
        </w:rPr>
      </w:pPr>
    </w:p>
    <w:p w14:paraId="5FF0FB45" w14:textId="4AFBD3D1" w:rsidR="00E01253" w:rsidRDefault="00000000" w:rsidP="008C5C57">
      <w:pPr>
        <w:pageBreakBefore/>
        <w:spacing w:before="200"/>
      </w:pPr>
      <w:r>
        <w:lastRenderedPageBreak/>
        <w:t>Digital evidence recovered from Android smartphones is now central to a large share of criminal, immigration, and border-security investigations, yet the tools available to obtain it sit at two extremes. Commercial forensic suites deliver deep, court-tested extraction but assume laboratory infrastructure, costly licensing, and specialist examiners, producing turnaround times of days to weeks that are ill-suited to time-critical operational decisions. Open-source and command-line utilities built around the Android Debug Bridge (ADB) reduce cost but demand technical expertise that frontline officers rarely possess, and they generate unstructured, examiner-facing output rather than court-ready reports. This proposal presents a research and development plan for a Light Forensic Acquisition and Analysis Framework (LFAAF): a field-deployable toolkit that enables an authorised, minimally trained officer to perform a forensically sound, read-only acquisition of an Android device's calls, messages, contacts, application data, media, and location history using only a standard laptop and USB cable, and to automatically generate a hash-verified, court-admissible report within minutes rather than days. The proposed methodology combines logical, non-destructive data extraction, structured parsing of native data stores, SHA-256 cryptographic hashing for evidentiary integrity, and a four-stage validation programme comprising functional testing across device models, accuracy benchmarking against an established forensic suite, usability testing with frontline officers, and formal report review against evidentiary reporting standards. A six-month implementation timeline is proposed, moving from requirements and design through a controlled pilot to full operational rollout. The expected outcome is a low-cost, scalable capability that narrows the operational gap between full laboratory rigour and field practicality, reducing case backlogs at central laboratories while preserving the chain of custody and evidentiary discipline that judicial proceedings require.</w:t>
      </w:r>
    </w:p>
    <w:p w14:paraId="3AE46A65" w14:textId="0DA6B109" w:rsidR="00E01253" w:rsidRDefault="00E01253">
      <w:pPr>
        <w:spacing w:after="200"/>
      </w:pPr>
    </w:p>
    <w:p w14:paraId="67D286D8" w14:textId="77777777" w:rsidR="00E01253" w:rsidRDefault="00E01253">
      <w:pPr>
        <w:pageBreakBefore/>
      </w:pPr>
    </w:p>
    <w:p w14:paraId="54592AD3" w14:textId="37D9D3BA" w:rsidR="008C5C57" w:rsidRDefault="00000000" w:rsidP="008C5C57">
      <w:pPr>
        <w:pStyle w:val="Heading1"/>
        <w:numPr>
          <w:ilvl w:val="0"/>
          <w:numId w:val="3"/>
        </w:numPr>
      </w:pPr>
      <w:r>
        <w:t>Introduction</w:t>
      </w:r>
    </w:p>
    <w:p w14:paraId="07AF2DF2" w14:textId="77777777" w:rsidR="00DA17E9" w:rsidRDefault="00DA17E9" w:rsidP="00DA17E9">
      <w:pPr>
        <w:pStyle w:val="Heading1"/>
        <w:ind w:left="360"/>
      </w:pPr>
    </w:p>
    <w:p w14:paraId="21843785" w14:textId="77777777" w:rsidR="00E01253" w:rsidRDefault="00000000">
      <w:pPr>
        <w:spacing w:after="160" w:line="276" w:lineRule="auto"/>
        <w:jc w:val="both"/>
      </w:pPr>
      <w:r>
        <w:t>The near-universal ownership of smartphones has made the mobile device one of the richest single sources of evidence available to modern investigators. A single Android handset can hold months of call records, SMS and instant-messaging content, geolocation history, browsing activity, and photographic or video material that together reconstruct a subject's movements, relationships, and intent with a level of detail that traditional witness testimony rarely matches [1]. For police services and immigration authorities operating at borders, checkpoints, and custody suites, this evidentiary richness is both an opportunity and an operational bottleneck: the device is present and available at the point of contact, but the means to extract its contents safely and admissibly are not.</w:t>
      </w:r>
    </w:p>
    <w:p w14:paraId="6852BAC3" w14:textId="77777777" w:rsidR="00E01253" w:rsidRDefault="00000000">
      <w:pPr>
        <w:spacing w:after="160" w:line="276" w:lineRule="auto"/>
        <w:jc w:val="both"/>
      </w:pPr>
      <w:r>
        <w:t>Contemporary mobile forensics is dominated by two categories of tooling. At one end are commercial examination suites such as Cellebrite UFED, MSAB XRY, and Magnet AXIOM, which offer physical- and file-system-level extraction, automated artefact parsing, and litigation support, but which are licensed, expensive, and designed around a centralised laboratory workflow staffed by trained examiners [2]. At the other end are open-source and ADB-based utilities that lower the cost barrier but shift the burden of expertise onto the operator, who must understand command-line tooling, Android's file-system layout, and manual hash verification to produce a defensible result [3], [4]. Neither category was designed for the reality of a border officer, patrol officer, or custody sergeant who has minutes, not days, to make an operational decision and no forensic laboratory within reach.</w:t>
      </w:r>
    </w:p>
    <w:p w14:paraId="48D3B5B0" w14:textId="77777777" w:rsidR="00E01253" w:rsidRDefault="00000000">
      <w:pPr>
        <w:spacing w:after="160" w:line="276" w:lineRule="auto"/>
        <w:jc w:val="both"/>
      </w:pPr>
      <w:r>
        <w:t>This proposal responds directly to that gap. It sets out a plan to research, design, build, and validate a Light Forensic Acquisition and Analysis Framework (LFAAF): software that performs a forensically sound, read-only, logical acquisition of an Android device, automatically structures the recovered data into calls, messages, contacts, media, application artefacts, and location history, and produces a hash-verified report suitable for inclusion in a case file or court bundle — all without rooting the device, without specialist training, and without laboratory infrastructure.</w:t>
      </w:r>
    </w:p>
    <w:p w14:paraId="7CEDFB86" w14:textId="2B32BB12" w:rsidR="00E01253" w:rsidRDefault="00000000">
      <w:pPr>
        <w:pStyle w:val="Heading1"/>
      </w:pPr>
      <w:r>
        <w:t>2. Problem Statement</w:t>
      </w:r>
    </w:p>
    <w:p w14:paraId="50D734AC" w14:textId="77777777" w:rsidR="00E01253" w:rsidRDefault="00000000">
      <w:pPr>
        <w:spacing w:after="160" w:line="276" w:lineRule="auto"/>
        <w:jc w:val="both"/>
      </w:pPr>
      <w:r>
        <w:t>Three interlocking problems motivate this research.</w:t>
      </w:r>
    </w:p>
    <w:p w14:paraId="6B0C8106" w14:textId="77777777" w:rsidR="00E01253" w:rsidRDefault="00000000">
      <w:pPr>
        <w:pStyle w:val="Heading2"/>
      </w:pPr>
      <w:r>
        <w:t>2.1 Slow Turnaround</w:t>
      </w:r>
    </w:p>
    <w:p w14:paraId="59BEBB83" w14:textId="77777777" w:rsidR="00E01253" w:rsidRDefault="00000000">
      <w:pPr>
        <w:spacing w:after="160" w:line="276" w:lineRule="auto"/>
        <w:jc w:val="both"/>
      </w:pPr>
      <w:r>
        <w:t>When a device must be sent to a central laboratory for examination, results routinely take days to weeks to return [1]. In time-sensitive contexts — an active missing-person enquiry, a suspected trafficking network, or a secondary screening decision at a border crossing — this delay means the evidentiary opportunity has often passed before the data is even reviewed.</w:t>
      </w:r>
    </w:p>
    <w:p w14:paraId="052C8602" w14:textId="77777777" w:rsidR="00E01253" w:rsidRDefault="00000000">
      <w:pPr>
        <w:pStyle w:val="Heading2"/>
      </w:pPr>
      <w:r>
        <w:t>2.2 High Cost</w:t>
      </w:r>
    </w:p>
    <w:p w14:paraId="181DA00B" w14:textId="77777777" w:rsidR="00E01253" w:rsidRDefault="00000000">
      <w:pPr>
        <w:spacing w:after="160" w:line="276" w:lineRule="auto"/>
        <w:jc w:val="both"/>
      </w:pPr>
      <w:r>
        <w:lastRenderedPageBreak/>
        <w:t>Commercial forensic suites and the laboratory infrastructure that supports them require licensing fees, specialist hardware, and ongoing maintenance that few field, border, or smaller municipal units can justify [2], [4]. This concentrates forensic capability in a small number of central facilities, creating a queue that every requesting unit must join regardless of the urgency of their case.</w:t>
      </w:r>
    </w:p>
    <w:p w14:paraId="43918B01" w14:textId="77777777" w:rsidR="00E01253" w:rsidRDefault="00000000">
      <w:pPr>
        <w:pStyle w:val="Heading2"/>
      </w:pPr>
      <w:r>
        <w:t>2.3 Steep Learning Curve</w:t>
      </w:r>
    </w:p>
    <w:p w14:paraId="418E8A5E" w14:textId="77777777" w:rsidR="00E01253" w:rsidRDefault="00000000">
      <w:pPr>
        <w:spacing w:after="160" w:line="276" w:lineRule="auto"/>
        <w:jc w:val="both"/>
      </w:pPr>
      <w:r>
        <w:t>Existing open-source alternatives reduce licensing cost but assume the operator already possesses the technical background to use ADB, interpret raw SQLite output, and manually verify data integrity [3]. This is a reasonable assumption for a trained digital-forensics examiner; it is not a reasonable assumption for a frontline officer whose core role is operational policing or border control, not computer science.</w:t>
      </w:r>
    </w:p>
    <w:p w14:paraId="145F0C4C" w14:textId="77777777" w:rsidR="00E01253" w:rsidRDefault="00000000">
      <w:pPr>
        <w:spacing w:after="160" w:line="276" w:lineRule="auto"/>
        <w:jc w:val="both"/>
      </w:pPr>
      <w:r>
        <w:t>Taken together, these three constraints mean that mobile-device evidence is frequently either not collected at the point of contact, or collected in a manner that risks the integrity — and therefore the admissibility — of the resulting evidence. The research problem this proposal addresses is therefore: how can forensically sound Android data acquisition and reporting be made fast enough, cheap enough, and simple enough for a non-specialist officer to perform in the field, without compromising the evidentiary standards required for judicial proceedings?</w:t>
      </w:r>
    </w:p>
    <w:p w14:paraId="1D67726A" w14:textId="77777777" w:rsidR="00E01253" w:rsidRDefault="00000000">
      <w:pPr>
        <w:pStyle w:val="Heading1"/>
      </w:pPr>
      <w:r>
        <w:t>3. Literature Review</w:t>
      </w:r>
    </w:p>
    <w:p w14:paraId="249D05D4" w14:textId="77777777" w:rsidR="00E01253" w:rsidRDefault="00000000">
      <w:pPr>
        <w:spacing w:after="160" w:line="276" w:lineRule="auto"/>
        <w:jc w:val="both"/>
      </w:pPr>
      <w:r>
        <w:t>The literature on mobile device forensics can be organised into three broad strands that map onto the problem identified above: commercial forensic suites, open-source and ADB-based acquisition tools, and standards or guidance for rapid field triage.</w:t>
      </w:r>
    </w:p>
    <w:p w14:paraId="36F56E22" w14:textId="77777777" w:rsidR="00E01253" w:rsidRDefault="00000000">
      <w:pPr>
        <w:pStyle w:val="Heading2"/>
      </w:pPr>
      <w:r>
        <w:t>3.1 Commercial Forensic Suites</w:t>
      </w:r>
    </w:p>
    <w:p w14:paraId="008ED936" w14:textId="77777777" w:rsidR="00E01253" w:rsidRDefault="00000000">
      <w:pPr>
        <w:spacing w:after="160" w:line="276" w:lineRule="auto"/>
        <w:jc w:val="both"/>
      </w:pPr>
      <w:r>
        <w:t xml:space="preserve">Comparative evaluations of commercial platforms consistently find that tools such as Cellebrite, MSAB XRY, and Magnet AXIOM provide the deepest and most reliable extraction available, including physical and file-system acquisition capable of recovering deleted content and defeating some application-level encryption [2], [4]. Phalke et al. compare open-source and commercial mobile forensic tools directly and find that commercial suites offer superior automation, artefact coverage, and reporting, but at a licensing and infrastructure cost that positions them firmly as laboratory-grade instruments rather than field tools [4]. This confirms that depth of extraction and field </w:t>
      </w:r>
      <w:proofErr w:type="spellStart"/>
      <w:r>
        <w:t>deployability</w:t>
      </w:r>
      <w:proofErr w:type="spellEnd"/>
      <w:r>
        <w:t xml:space="preserve"> are, in the current tooling landscape, largely mutually exclusive.</w:t>
      </w:r>
    </w:p>
    <w:p w14:paraId="032F8B58" w14:textId="77777777" w:rsidR="00E01253" w:rsidRDefault="00000000">
      <w:pPr>
        <w:pStyle w:val="Heading2"/>
      </w:pPr>
      <w:r>
        <w:t>3.2 Open-Source and ADB-Based Tools</w:t>
      </w:r>
    </w:p>
    <w:p w14:paraId="52014E37" w14:textId="77777777" w:rsidR="00E01253" w:rsidRDefault="00000000">
      <w:pPr>
        <w:spacing w:after="160" w:line="276" w:lineRule="auto"/>
        <w:jc w:val="both"/>
      </w:pPr>
      <w:r>
        <w:t xml:space="preserve">A second body of work examines utilities built on the Android Debug Bridge and open frameworks such as Autopsy. Lwin, Aung, and Lin's comparative analysis of Android forensic tools finds that ADB-based logical extraction is inexpensive and does not require rooting the device, making it attractive for resource-constrained environments, but that it typically demands command-line proficiency and yields unstructured, examiner-facing output that still requires manual interpretation before it is usable as evidence [3]. Aji, </w:t>
      </w:r>
      <w:proofErr w:type="spellStart"/>
      <w:r>
        <w:t>Hariyadi</w:t>
      </w:r>
      <w:proofErr w:type="spellEnd"/>
      <w:r>
        <w:t xml:space="preserve">, and </w:t>
      </w:r>
      <w:proofErr w:type="spellStart"/>
      <w:r>
        <w:t>Rochmadi</w:t>
      </w:r>
      <w:proofErr w:type="spellEnd"/>
      <w:r>
        <w:t xml:space="preserve"> similarly demonstrate an agent-based logical acquisition approach for Android smartphones using open-source software, showing that reliable logical extraction </w:t>
      </w:r>
      <w:r>
        <w:lastRenderedPageBreak/>
        <w:t>is technically achievable without proprietary tooling, but their implementation, like others in this category, is oriented toward an examiner audience rather than a frontline, non-specialist operator [3]. The consistent finding across this strand of literature is that ADB-based acquisition solves the cost problem but not the usability problem.</w:t>
      </w:r>
    </w:p>
    <w:p w14:paraId="17226F81" w14:textId="77777777" w:rsidR="00E01253" w:rsidRDefault="00000000">
      <w:pPr>
        <w:pStyle w:val="Heading2"/>
      </w:pPr>
      <w:r>
        <w:t>3.3 Field-Triage Standards and Guidance</w:t>
      </w:r>
    </w:p>
    <w:p w14:paraId="1F1C7916" w14:textId="77777777" w:rsidR="00E01253" w:rsidRDefault="00000000">
      <w:pPr>
        <w:spacing w:after="160" w:line="276" w:lineRule="auto"/>
        <w:jc w:val="both"/>
      </w:pPr>
      <w:r>
        <w:t>The National Institute of Standards and Technology's guidelines on mobile device forensics, authored by Ayers, Brothers, and Jansen, remain the foundational reference for sound acquisition practice, defining the acquisition methods (manual, logical, file-system, and physical), documenting the associated risks of data alteration, and stressing the need for verifiable integrity through hashing and documented chain of custody [1]. Critically, NIST SP 800-101 Rev. 1 explicitly recognises rapid, non-destructive triage at the point of contact as a distinct activity from full laboratory examination, providing the standards basis on which a lighter-weight field tool can be built while remaining methodologically defensible [1]. Complementary guidance from bodies such as the Scientific Working Group on Digital Evidence and international standards for digital evidence handling, including ISO/IEC 27037, reinforce the same principle: acquisition method may vary with context and urgency, but the requirements for a documented, verifiable, non-alterative process do not [5].</w:t>
      </w:r>
    </w:p>
    <w:p w14:paraId="225E16F0" w14:textId="77777777" w:rsidR="00E01253" w:rsidRDefault="00000000">
      <w:pPr>
        <w:pStyle w:val="Heading2"/>
      </w:pPr>
      <w:r>
        <w:t>3.4 The Gap This Framework Addresses</w:t>
      </w:r>
    </w:p>
    <w:p w14:paraId="0EA2B5C7" w14:textId="77777777" w:rsidR="00E01253" w:rsidRDefault="00000000">
      <w:pPr>
        <w:spacing w:after="160" w:line="276" w:lineRule="auto"/>
        <w:jc w:val="both"/>
      </w:pPr>
      <w:r>
        <w:t xml:space="preserve">Reading these three strands together exposes a clear gap. Commercial suites are evidentially strong but operationally heavy; open-source ADB tools are operationally light but evidentially and </w:t>
      </w:r>
      <w:proofErr w:type="spellStart"/>
      <w:r>
        <w:t>usably</w:t>
      </w:r>
      <w:proofErr w:type="spellEnd"/>
      <w:r>
        <w:t xml:space="preserve"> weak for a non-specialist; and the standards literature confirms that a lighter field-triage tier is both recognised and needed, without prescribing a specific implementation that meets it [1]–[4]. No widely adopted solution currently combines laboratory-grade evidentiary discipline — read-only acquisition, cryptographic hashing, and automated chain-of-custody logging — with the simplicity a checkpoint or patrol officer requires after only a short guided session. The framework proposed in this document is designed specifically to occupy that space: technically grounded in the same logical-acquisition principles validated in the open-source literature [3], operating within the field-triage category recognised by NIST [1], while adding the structured parsing, hash verification, and automated report generation that the existing lightweight tools lack.</w:t>
      </w:r>
    </w:p>
    <w:p w14:paraId="13245CCD" w14:textId="77777777" w:rsidR="00E01253" w:rsidRDefault="00000000">
      <w:pPr>
        <w:pStyle w:val="Heading1"/>
      </w:pPr>
      <w:r>
        <w:t>4. Aim and Objectives</w:t>
      </w:r>
    </w:p>
    <w:p w14:paraId="7508DF37" w14:textId="77777777" w:rsidR="00E01253" w:rsidRDefault="00000000">
      <w:pPr>
        <w:spacing w:after="160" w:line="276" w:lineRule="auto"/>
        <w:jc w:val="both"/>
      </w:pPr>
      <w:r>
        <w:t>Aim: To design and demonstrate a light, field-deployable forensic framework that lets authorised officers acquire and analyse Android device data quickly, safely, and with full evidentiary integrity.</w:t>
      </w:r>
    </w:p>
    <w:p w14:paraId="70682A67" w14:textId="77777777" w:rsidR="00E01253" w:rsidRDefault="00000000">
      <w:pPr>
        <w:spacing w:after="160" w:line="276" w:lineRule="auto"/>
        <w:jc w:val="both"/>
      </w:pPr>
      <w:r>
        <w:t>This aim is pursued through five specific objectives:</w:t>
      </w:r>
    </w:p>
    <w:p w14:paraId="672FA122" w14:textId="77777777" w:rsidR="00E01253" w:rsidRDefault="00000000">
      <w:pPr>
        <w:pStyle w:val="ListParagraph"/>
        <w:numPr>
          <w:ilvl w:val="0"/>
          <w:numId w:val="2"/>
        </w:numPr>
        <w:spacing w:after="100"/>
      </w:pPr>
      <w:r>
        <w:t>Objective 1 — Develop a simplified acquisition process that operates without rooting the target device or requiring specialist forensic training to run.</w:t>
      </w:r>
    </w:p>
    <w:p w14:paraId="29458EF6" w14:textId="77777777" w:rsidR="00E01253" w:rsidRDefault="00000000">
      <w:pPr>
        <w:pStyle w:val="ListParagraph"/>
        <w:numPr>
          <w:ilvl w:val="0"/>
          <w:numId w:val="2"/>
        </w:numPr>
        <w:spacing w:after="100"/>
      </w:pPr>
      <w:r>
        <w:t>Objective 2 — Ensure forensically sound, read-only data capture that leaves the source device unmodified and preserves an auditable chain of custody.</w:t>
      </w:r>
    </w:p>
    <w:p w14:paraId="6C8A45A3" w14:textId="77777777" w:rsidR="00E01253" w:rsidRDefault="00000000">
      <w:pPr>
        <w:pStyle w:val="ListParagraph"/>
        <w:numPr>
          <w:ilvl w:val="0"/>
          <w:numId w:val="2"/>
        </w:numPr>
        <w:spacing w:after="100"/>
      </w:pPr>
      <w:r>
        <w:lastRenderedPageBreak/>
        <w:t>Objective 3 — Enable structured analysis of calls, messages, contacts, application data, media, and location data, presented in a form a non-specialist can review.</w:t>
      </w:r>
    </w:p>
    <w:p w14:paraId="0F9E68FE" w14:textId="77777777" w:rsidR="00E01253" w:rsidRDefault="00000000">
      <w:pPr>
        <w:pStyle w:val="ListParagraph"/>
        <w:numPr>
          <w:ilvl w:val="0"/>
          <w:numId w:val="2"/>
        </w:numPr>
        <w:spacing w:after="100"/>
      </w:pPr>
      <w:r>
        <w:t>Objective 4 — Automate the generation of clear, court-admissible reports with hash-verified integrity for every extracted artefact.</w:t>
      </w:r>
    </w:p>
    <w:p w14:paraId="4B2E859B" w14:textId="77777777" w:rsidR="00E01253" w:rsidRDefault="00000000">
      <w:pPr>
        <w:pStyle w:val="ListParagraph"/>
        <w:numPr>
          <w:ilvl w:val="0"/>
          <w:numId w:val="2"/>
        </w:numPr>
        <w:spacing w:after="100"/>
      </w:pPr>
      <w:r>
        <w:t>Objective 5 — Validate the framework's speed, usability, and reliability against traditional laboratory-based methods through structured testing with real devices and real officers.</w:t>
      </w:r>
    </w:p>
    <w:p w14:paraId="52C86107" w14:textId="77777777" w:rsidR="00E01253" w:rsidRDefault="00000000">
      <w:pPr>
        <w:pStyle w:val="Heading1"/>
      </w:pPr>
      <w:r>
        <w:t>5. Proposed Solution: The Light Forensic Acquisition and Analysis Framework</w:t>
      </w:r>
    </w:p>
    <w:p w14:paraId="6C3F1B96" w14:textId="77777777" w:rsidR="00E01253" w:rsidRDefault="00000000">
      <w:pPr>
        <w:spacing w:after="160" w:line="276" w:lineRule="auto"/>
        <w:jc w:val="both"/>
      </w:pPr>
      <w:r>
        <w:t>The proposed framework is a lightweight toolkit that allows any trained officer to safely acquire and read the key data on an Android device — calls, messages, contacts, media, application artefacts, and location history — directly at the point of contact, without dismantling the device or shipping it to a laboratory. Four properties define the framework's value proposition:</w:t>
      </w:r>
    </w:p>
    <w:p w14:paraId="4C1245B9" w14:textId="77777777" w:rsidR="00E01253" w:rsidRDefault="00000000">
      <w:pPr>
        <w:pStyle w:val="ListParagraph"/>
        <w:numPr>
          <w:ilvl w:val="0"/>
          <w:numId w:val="2"/>
        </w:numPr>
        <w:spacing w:after="100"/>
      </w:pPr>
      <w:r>
        <w:t>No rooting required — acquisition relies exclusively on standard, vendor-supported Android debugging interfaces, so the device's warranty, security posture, and evidentiary state are preserved.</w:t>
      </w:r>
    </w:p>
    <w:p w14:paraId="7409AA56" w14:textId="77777777" w:rsidR="00E01253" w:rsidRDefault="00000000">
      <w:pPr>
        <w:pStyle w:val="ListParagraph"/>
        <w:numPr>
          <w:ilvl w:val="0"/>
          <w:numId w:val="2"/>
        </w:numPr>
        <w:spacing w:after="100"/>
      </w:pPr>
      <w:r>
        <w:t>No specialist training required — the operator interacts with a guided workflow rather than a command line, reducing the skill threshold from weeks of forensic training to hours of supervised use.</w:t>
      </w:r>
    </w:p>
    <w:p w14:paraId="31D8A72B" w14:textId="77777777" w:rsidR="00E01253" w:rsidRDefault="00000000">
      <w:pPr>
        <w:pStyle w:val="ListParagraph"/>
        <w:numPr>
          <w:ilvl w:val="0"/>
          <w:numId w:val="2"/>
        </w:numPr>
        <w:spacing w:after="100"/>
      </w:pPr>
      <w:r>
        <w:t>Works offline — acquisition and initial analysis require no network connectivity, making the tool usable at remote border posts and in custody suites with unreliable connectivity.</w:t>
      </w:r>
    </w:p>
    <w:p w14:paraId="5F91F542" w14:textId="77777777" w:rsidR="00E01253" w:rsidRDefault="00000000">
      <w:pPr>
        <w:pStyle w:val="ListParagraph"/>
        <w:numPr>
          <w:ilvl w:val="0"/>
          <w:numId w:val="2"/>
        </w:numPr>
        <w:spacing w:after="100"/>
      </w:pPr>
      <w:r>
        <w:t>Court-ready reports — every acquisition automatically produces a structured, hash-verified report formatted for inclusion in a case file, rather than raw examiner output requiring further processing.</w:t>
      </w:r>
    </w:p>
    <w:p w14:paraId="7D7AE09B" w14:textId="77777777" w:rsidR="00E01253" w:rsidRDefault="00000000">
      <w:pPr>
        <w:spacing w:after="160" w:line="276" w:lineRule="auto"/>
        <w:jc w:val="both"/>
      </w:pPr>
      <w:r>
        <w:t>Operationally, the framework follows a four-step workflow. First, the device is connected using a standard USB cable; no rooting, jailbreaking, or data alteration occurs at this stage. Second, the framework performs a forensically sound, read-only capture of the device's data. Third, the recovered calls, messages, contacts, media, application data, and location information are organised automatically for rapid review. Fourth, a clear, court-ready report is generated with cryptographic hashes attached to demonstrate evidentiary integrity. This sequence is deliberately linear and non-branching, minimising the number of decisions the operating officer must make correctly under field conditions.</w:t>
      </w:r>
    </w:p>
    <w:p w14:paraId="6E078F45" w14:textId="77777777" w:rsidR="00E01253" w:rsidRDefault="00000000">
      <w:pPr>
        <w:pStyle w:val="Heading1"/>
      </w:pPr>
      <w:r>
        <w:t>6. Research Methodology</w:t>
      </w:r>
    </w:p>
    <w:p w14:paraId="331038BD" w14:textId="77777777" w:rsidR="00E01253" w:rsidRDefault="00000000">
      <w:pPr>
        <w:pStyle w:val="Heading2"/>
      </w:pPr>
      <w:r>
        <w:t>6.1 Acquisition Approach</w:t>
      </w:r>
    </w:p>
    <w:p w14:paraId="105D6914" w14:textId="77777777" w:rsidR="00E01253" w:rsidRDefault="00000000">
      <w:pPr>
        <w:spacing w:after="160" w:line="276" w:lineRule="auto"/>
        <w:jc w:val="both"/>
      </w:pPr>
      <w:r>
        <w:t xml:space="preserve">The framework performs logical, read-only extraction, pulling data through standard Android debugging interfaces rather than through rooting, chip-off, or physical disassembly [1], [3]. This choice is a deliberate trade-off: logical acquisition does not recover the full range of deleted or encrypted content that physical acquisition can reach, but it avoids the destructive risk, cost, and training burden associated with physical methods, and it is consistent with the field-triage tier recognised in NIST SP 800-101 Rev. 1 [1]. Where remnants of deleted content remain accessible through standard file-system interfaces without requiring </w:t>
      </w:r>
      <w:r>
        <w:lastRenderedPageBreak/>
        <w:t>root access, the framework will attempt recovery, but physical-level deleted-data recovery is explicitly out of scope for the field tier and is left to laboratory follow-up when warranted.</w:t>
      </w:r>
    </w:p>
    <w:p w14:paraId="6A94E381" w14:textId="77777777" w:rsidR="00E01253" w:rsidRDefault="00000000">
      <w:pPr>
        <w:pStyle w:val="Heading2"/>
      </w:pPr>
      <w:r>
        <w:t>6.2 Structured Data Parsing</w:t>
      </w:r>
    </w:p>
    <w:p w14:paraId="6CE8B164" w14:textId="77777777" w:rsidR="00E01253" w:rsidRDefault="00000000">
      <w:pPr>
        <w:spacing w:after="160" w:line="276" w:lineRule="auto"/>
        <w:jc w:val="both"/>
      </w:pPr>
      <w:r>
        <w:t>Call logs, SMS and MMS content, contacts, and application databases are parsed directly from their native, standard storage formats rather than presented as raw database dumps. This directly addresses the usability weakness identified in the ADB-tooling literature, where unstructured, examiner-facing output was found to be a significant barrier to non-specialist use [3].</w:t>
      </w:r>
    </w:p>
    <w:p w14:paraId="35EA27E3" w14:textId="77777777" w:rsidR="00E01253" w:rsidRDefault="00000000">
      <w:pPr>
        <w:pStyle w:val="Heading2"/>
      </w:pPr>
      <w:r>
        <w:t>6.3 Hash Verification</w:t>
      </w:r>
    </w:p>
    <w:p w14:paraId="7309124B" w14:textId="77777777" w:rsidR="00E01253" w:rsidRDefault="00000000">
      <w:pPr>
        <w:spacing w:after="160" w:line="276" w:lineRule="auto"/>
        <w:jc w:val="both"/>
      </w:pPr>
      <w:r>
        <w:t>A SHA-256 hash is computed both before and after acquisition for each extracted artefact, providing cryptographic proof that the data was not altered during capture or subsequent handling. This mechanism operationalises the integrity requirement that runs throughout the digital-forensics standards literature and is essential to the evidence surviving challenge in court [1], [5].</w:t>
      </w:r>
    </w:p>
    <w:p w14:paraId="3E0FB77D" w14:textId="77777777" w:rsidR="00E01253" w:rsidRDefault="00000000">
      <w:pPr>
        <w:pStyle w:val="Heading2"/>
      </w:pPr>
      <w:r>
        <w:t>6.4 Validation and Testing Programme</w:t>
      </w:r>
    </w:p>
    <w:p w14:paraId="7BFF1424" w14:textId="77777777" w:rsidR="00E01253" w:rsidRDefault="00000000">
      <w:pPr>
        <w:spacing w:after="160" w:line="276" w:lineRule="auto"/>
        <w:jc w:val="both"/>
      </w:pPr>
      <w:r>
        <w:t>The framework will be validated through four complementary testing activities, run sequentially during Months 4 and 5 of the project:</w:t>
      </w:r>
    </w:p>
    <w:p w14:paraId="03B4B233" w14:textId="77777777" w:rsidR="00E01253" w:rsidRDefault="00000000">
      <w:pPr>
        <w:pStyle w:val="ListParagraph"/>
        <w:numPr>
          <w:ilvl w:val="0"/>
          <w:numId w:val="2"/>
        </w:numPr>
        <w:spacing w:after="100"/>
      </w:pPr>
      <w:r>
        <w:t>Functional testing — the acquisition and analysis pipeline is run across multiple Android OS versions and device manufacturers to confirm consistent extraction behaviour across the fragmented Android ecosystem.</w:t>
      </w:r>
    </w:p>
    <w:p w14:paraId="46251197" w14:textId="77777777" w:rsidR="00E01253" w:rsidRDefault="00000000">
      <w:pPr>
        <w:pStyle w:val="ListParagraph"/>
        <w:numPr>
          <w:ilvl w:val="0"/>
          <w:numId w:val="2"/>
        </w:numPr>
        <w:spacing w:after="100"/>
      </w:pPr>
      <w:r>
        <w:t>Accuracy benchmarking — output from the framework is cross-checked against results obtained from an established commercial forensic suite on the same set of test devices, to quantify completeness and correctness relative to the current evidentiary standard [2], [4].</w:t>
      </w:r>
    </w:p>
    <w:p w14:paraId="17209723" w14:textId="77777777" w:rsidR="00E01253" w:rsidRDefault="00000000">
      <w:pPr>
        <w:pStyle w:val="ListParagraph"/>
        <w:numPr>
          <w:ilvl w:val="0"/>
          <w:numId w:val="2"/>
        </w:numPr>
        <w:spacing w:after="100"/>
      </w:pPr>
      <w:r>
        <w:t>Usability testing — frontline officers with no prior forensic training trial the workflow after a short guided session, and their task-completion time and error rate are recorded to test Objective 1 directly.</w:t>
      </w:r>
    </w:p>
    <w:p w14:paraId="5852E5EA" w14:textId="77777777" w:rsidR="00E01253" w:rsidRDefault="00000000">
      <w:pPr>
        <w:pStyle w:val="ListParagraph"/>
        <w:numPr>
          <w:ilvl w:val="0"/>
          <w:numId w:val="2"/>
        </w:numPr>
        <w:spacing w:after="100"/>
      </w:pPr>
      <w:r>
        <w:t>Report review — sample reports are reviewed against evidentiary reporting standards for clarity, completeness, and admissibility, drawing on the reporting requirements set out in NIST SP 800-101 Rev. 1 [1].</w:t>
      </w:r>
    </w:p>
    <w:p w14:paraId="7F4B37CB" w14:textId="77777777" w:rsidR="00E01253" w:rsidRDefault="00000000">
      <w:pPr>
        <w:spacing w:after="160" w:line="276" w:lineRule="auto"/>
        <w:jc w:val="both"/>
      </w:pPr>
      <w:r>
        <w:t>This four-stage design mirrors established practice in the comparative-tools literature, where functional correctness, extraction accuracy relative to a commercial baseline, and operator usability are treated as independent axes that must each be demonstrated rather than assumed [2], [3], [4].</w:t>
      </w:r>
    </w:p>
    <w:p w14:paraId="03A85545" w14:textId="77777777" w:rsidR="00E01253" w:rsidRDefault="00000000">
      <w:pPr>
        <w:pStyle w:val="Heading2"/>
      </w:pPr>
      <w:r>
        <w:t>6.5 System Architecture</w:t>
      </w:r>
    </w:p>
    <w:p w14:paraId="6BDBE88B" w14:textId="77777777" w:rsidR="00E01253" w:rsidRDefault="00000000">
      <w:pPr>
        <w:spacing w:after="160" w:line="276" w:lineRule="auto"/>
        <w:jc w:val="both"/>
      </w:pPr>
      <w:r>
        <w:t xml:space="preserve">Architecturally, the framework is organised into three loosely coupled components that map directly onto the acquire–analyse–report workflow described in Section 5. The acquisition layer manages device communication over the standard debugging interface, issues read-only extraction commands, and computes artefact-level hashes at the point of capture. The analysis layer receives the acquired data set and applies format-specific parsers for call logs, SMS/MMS stores, contact databases, application data directories, media files, and location caches, normalising each into a common internal representation </w:t>
      </w:r>
      <w:r>
        <w:lastRenderedPageBreak/>
        <w:t>regardless of device manufacturer. The reporting layer consumes this normalised representation and renders the automated, hash-verified report, together with the audit-trail log generated throughout the session. Separating these layers keeps the acquisition logic — the component with the greatest evidentiary sensitivity — as small and auditable as possible, while allowing the parsing and reporting logic to be extended over time to cover additional applications or artefact types without touching the acquisition code path itself.</w:t>
      </w:r>
    </w:p>
    <w:p w14:paraId="6E750A57" w14:textId="77777777" w:rsidR="00E01253" w:rsidRDefault="00000000">
      <w:pPr>
        <w:spacing w:after="160" w:line="276" w:lineRule="auto"/>
        <w:jc w:val="both"/>
      </w:pPr>
      <w:r>
        <w:t>This layered design also supports the accuracy-benchmarking activity described in Section 6.4: because the acquisition layer's raw output is retained alongside the analysis layer's parsed output, any discrepancy identified when cross-checking against a commercial forensic suite can be traced to either an acquisition-completeness issue or a parsing issue, rather than being treated as a single undifferentiated error.</w:t>
      </w:r>
    </w:p>
    <w:p w14:paraId="1B1A9089" w14:textId="77777777" w:rsidR="00E01253" w:rsidRDefault="00000000">
      <w:pPr>
        <w:pStyle w:val="Heading1"/>
      </w:pPr>
      <w:r>
        <w:t>7. Why "Light"? Positioning Against the Traditional Laboratory Process</w:t>
      </w:r>
    </w:p>
    <w:p w14:paraId="6527A505" w14:textId="77777777" w:rsidR="00E01253" w:rsidRDefault="00000000">
      <w:pPr>
        <w:spacing w:after="160" w:line="276" w:lineRule="auto"/>
        <w:jc w:val="both"/>
      </w:pPr>
      <w:r>
        <w:t>The framework is deliberately scoped as a field-triage instrument rather than a laboratory replacement. Table I summarises how it is positioned relative to the traditional laboratory process across the dimensions most relevant to operational law-enforcement and immigration use.</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3300"/>
        <w:gridCol w:w="3300"/>
      </w:tblGrid>
      <w:tr w:rsidR="00E01253" w14:paraId="7624BD10" w14:textId="77777777">
        <w:tblPrEx>
          <w:tblCellMar>
            <w:top w:w="0" w:type="dxa"/>
            <w:bottom w:w="0" w:type="dxa"/>
          </w:tblCellMar>
        </w:tblPrEx>
        <w:trPr>
          <w:tblHeader/>
        </w:trPr>
        <w:tc>
          <w:tcPr>
            <w:tcW w:w="2800" w:type="dxa"/>
            <w:shd w:val="clear" w:color="auto" w:fill="1F4E79"/>
            <w:tcMar>
              <w:top w:w="100" w:type="dxa"/>
              <w:left w:w="120" w:type="dxa"/>
              <w:bottom w:w="100" w:type="dxa"/>
              <w:right w:w="120" w:type="dxa"/>
            </w:tcMar>
          </w:tcPr>
          <w:p w14:paraId="3CF29512" w14:textId="77777777" w:rsidR="00E01253" w:rsidRDefault="00000000">
            <w:r>
              <w:rPr>
                <w:b/>
                <w:bCs/>
                <w:color w:val="FFFFFF"/>
                <w:sz w:val="20"/>
                <w:szCs w:val="20"/>
              </w:rPr>
              <w:t>Dimension</w:t>
            </w:r>
          </w:p>
        </w:tc>
        <w:tc>
          <w:tcPr>
            <w:tcW w:w="3300" w:type="dxa"/>
            <w:shd w:val="clear" w:color="auto" w:fill="1F4E79"/>
            <w:tcMar>
              <w:top w:w="100" w:type="dxa"/>
              <w:left w:w="120" w:type="dxa"/>
              <w:bottom w:w="100" w:type="dxa"/>
              <w:right w:w="120" w:type="dxa"/>
            </w:tcMar>
          </w:tcPr>
          <w:p w14:paraId="414DAEBA" w14:textId="77777777" w:rsidR="00E01253" w:rsidRDefault="00000000">
            <w:r>
              <w:rPr>
                <w:b/>
                <w:bCs/>
                <w:color w:val="FFFFFF"/>
                <w:sz w:val="20"/>
                <w:szCs w:val="20"/>
              </w:rPr>
              <w:t>Traditional Laboratory Process</w:t>
            </w:r>
          </w:p>
        </w:tc>
        <w:tc>
          <w:tcPr>
            <w:tcW w:w="3300" w:type="dxa"/>
            <w:shd w:val="clear" w:color="auto" w:fill="1F4E79"/>
            <w:tcMar>
              <w:top w:w="100" w:type="dxa"/>
              <w:left w:w="120" w:type="dxa"/>
              <w:bottom w:w="100" w:type="dxa"/>
              <w:right w:w="120" w:type="dxa"/>
            </w:tcMar>
          </w:tcPr>
          <w:p w14:paraId="5C34F195" w14:textId="77777777" w:rsidR="00E01253" w:rsidRDefault="00000000">
            <w:r>
              <w:rPr>
                <w:b/>
                <w:bCs/>
                <w:color w:val="FFFFFF"/>
                <w:sz w:val="20"/>
                <w:szCs w:val="20"/>
              </w:rPr>
              <w:t>Proposed Light Framework</w:t>
            </w:r>
          </w:p>
        </w:tc>
      </w:tr>
      <w:tr w:rsidR="00E01253" w14:paraId="0CB1FD27" w14:textId="77777777">
        <w:tblPrEx>
          <w:tblCellMar>
            <w:top w:w="0" w:type="dxa"/>
            <w:bottom w:w="0" w:type="dxa"/>
          </w:tblCellMar>
        </w:tblPrEx>
        <w:tc>
          <w:tcPr>
            <w:tcW w:w="2800" w:type="dxa"/>
            <w:tcMar>
              <w:top w:w="100" w:type="dxa"/>
              <w:left w:w="120" w:type="dxa"/>
              <w:bottom w:w="100" w:type="dxa"/>
              <w:right w:w="120" w:type="dxa"/>
            </w:tcMar>
          </w:tcPr>
          <w:p w14:paraId="7A760A24" w14:textId="77777777" w:rsidR="00E01253" w:rsidRDefault="00000000">
            <w:r>
              <w:rPr>
                <w:sz w:val="20"/>
                <w:szCs w:val="20"/>
              </w:rPr>
              <w:t>Turnaround time</w:t>
            </w:r>
          </w:p>
        </w:tc>
        <w:tc>
          <w:tcPr>
            <w:tcW w:w="3300" w:type="dxa"/>
            <w:tcMar>
              <w:top w:w="100" w:type="dxa"/>
              <w:left w:w="120" w:type="dxa"/>
              <w:bottom w:w="100" w:type="dxa"/>
              <w:right w:w="120" w:type="dxa"/>
            </w:tcMar>
          </w:tcPr>
          <w:p w14:paraId="1D7006AF" w14:textId="77777777" w:rsidR="00E01253" w:rsidRDefault="00000000">
            <w:r>
              <w:rPr>
                <w:sz w:val="20"/>
                <w:szCs w:val="20"/>
              </w:rPr>
              <w:t>Days to weeks</w:t>
            </w:r>
          </w:p>
        </w:tc>
        <w:tc>
          <w:tcPr>
            <w:tcW w:w="3300" w:type="dxa"/>
            <w:tcMar>
              <w:top w:w="100" w:type="dxa"/>
              <w:left w:w="120" w:type="dxa"/>
              <w:bottom w:w="100" w:type="dxa"/>
              <w:right w:w="120" w:type="dxa"/>
            </w:tcMar>
          </w:tcPr>
          <w:p w14:paraId="6DBD27EF" w14:textId="77777777" w:rsidR="00E01253" w:rsidRDefault="00000000">
            <w:r>
              <w:rPr>
                <w:sz w:val="20"/>
                <w:szCs w:val="20"/>
              </w:rPr>
              <w:t>Minutes, at the point of contact</w:t>
            </w:r>
          </w:p>
        </w:tc>
      </w:tr>
      <w:tr w:rsidR="00E01253" w14:paraId="306F205B" w14:textId="77777777">
        <w:tblPrEx>
          <w:tblCellMar>
            <w:top w:w="0" w:type="dxa"/>
            <w:bottom w:w="0" w:type="dxa"/>
          </w:tblCellMar>
        </w:tblPrEx>
        <w:tc>
          <w:tcPr>
            <w:tcW w:w="2800" w:type="dxa"/>
            <w:shd w:val="clear" w:color="auto" w:fill="F2F2F2"/>
            <w:tcMar>
              <w:top w:w="100" w:type="dxa"/>
              <w:left w:w="120" w:type="dxa"/>
              <w:bottom w:w="100" w:type="dxa"/>
              <w:right w:w="120" w:type="dxa"/>
            </w:tcMar>
          </w:tcPr>
          <w:p w14:paraId="2349886D" w14:textId="77777777" w:rsidR="00E01253" w:rsidRDefault="00000000">
            <w:r>
              <w:rPr>
                <w:sz w:val="20"/>
                <w:szCs w:val="20"/>
              </w:rPr>
              <w:t>Equipment required</w:t>
            </w:r>
          </w:p>
        </w:tc>
        <w:tc>
          <w:tcPr>
            <w:tcW w:w="3300" w:type="dxa"/>
            <w:shd w:val="clear" w:color="auto" w:fill="F2F2F2"/>
            <w:tcMar>
              <w:top w:w="100" w:type="dxa"/>
              <w:left w:w="120" w:type="dxa"/>
              <w:bottom w:w="100" w:type="dxa"/>
              <w:right w:w="120" w:type="dxa"/>
            </w:tcMar>
          </w:tcPr>
          <w:p w14:paraId="57038D78" w14:textId="77777777" w:rsidR="00E01253" w:rsidRDefault="00000000">
            <w:r>
              <w:rPr>
                <w:sz w:val="20"/>
                <w:szCs w:val="20"/>
              </w:rPr>
              <w:t>Full forensic laboratory suite</w:t>
            </w:r>
          </w:p>
        </w:tc>
        <w:tc>
          <w:tcPr>
            <w:tcW w:w="3300" w:type="dxa"/>
            <w:shd w:val="clear" w:color="auto" w:fill="F2F2F2"/>
            <w:tcMar>
              <w:top w:w="100" w:type="dxa"/>
              <w:left w:w="120" w:type="dxa"/>
              <w:bottom w:w="100" w:type="dxa"/>
              <w:right w:w="120" w:type="dxa"/>
            </w:tcMar>
          </w:tcPr>
          <w:p w14:paraId="3E57268F" w14:textId="77777777" w:rsidR="00E01253" w:rsidRDefault="00000000">
            <w:r>
              <w:rPr>
                <w:sz w:val="20"/>
                <w:szCs w:val="20"/>
              </w:rPr>
              <w:t>Standard laptop and USB cable</w:t>
            </w:r>
          </w:p>
        </w:tc>
      </w:tr>
      <w:tr w:rsidR="00E01253" w14:paraId="119FFDA5" w14:textId="77777777">
        <w:tblPrEx>
          <w:tblCellMar>
            <w:top w:w="0" w:type="dxa"/>
            <w:bottom w:w="0" w:type="dxa"/>
          </w:tblCellMar>
        </w:tblPrEx>
        <w:tc>
          <w:tcPr>
            <w:tcW w:w="2800" w:type="dxa"/>
            <w:tcMar>
              <w:top w:w="100" w:type="dxa"/>
              <w:left w:w="120" w:type="dxa"/>
              <w:bottom w:w="100" w:type="dxa"/>
              <w:right w:w="120" w:type="dxa"/>
            </w:tcMar>
          </w:tcPr>
          <w:p w14:paraId="323905D2" w14:textId="77777777" w:rsidR="00E01253" w:rsidRDefault="00000000">
            <w:r>
              <w:rPr>
                <w:sz w:val="20"/>
                <w:szCs w:val="20"/>
              </w:rPr>
              <w:t>Officer training</w:t>
            </w:r>
          </w:p>
        </w:tc>
        <w:tc>
          <w:tcPr>
            <w:tcW w:w="3300" w:type="dxa"/>
            <w:tcMar>
              <w:top w:w="100" w:type="dxa"/>
              <w:left w:w="120" w:type="dxa"/>
              <w:bottom w:w="100" w:type="dxa"/>
              <w:right w:w="120" w:type="dxa"/>
            </w:tcMar>
          </w:tcPr>
          <w:p w14:paraId="50A11D0F" w14:textId="77777777" w:rsidR="00E01253" w:rsidRDefault="00000000">
            <w:r>
              <w:rPr>
                <w:sz w:val="20"/>
                <w:szCs w:val="20"/>
              </w:rPr>
              <w:t>Weeks of specialist training</w:t>
            </w:r>
          </w:p>
        </w:tc>
        <w:tc>
          <w:tcPr>
            <w:tcW w:w="3300" w:type="dxa"/>
            <w:tcMar>
              <w:top w:w="100" w:type="dxa"/>
              <w:left w:w="120" w:type="dxa"/>
              <w:bottom w:w="100" w:type="dxa"/>
              <w:right w:w="120" w:type="dxa"/>
            </w:tcMar>
          </w:tcPr>
          <w:p w14:paraId="4FE4A523" w14:textId="77777777" w:rsidR="00E01253" w:rsidRDefault="00000000">
            <w:r>
              <w:rPr>
                <w:sz w:val="20"/>
                <w:szCs w:val="20"/>
              </w:rPr>
              <w:t>Hours of guided use</w:t>
            </w:r>
          </w:p>
        </w:tc>
      </w:tr>
      <w:tr w:rsidR="00E01253" w14:paraId="12AE79F6" w14:textId="77777777">
        <w:tblPrEx>
          <w:tblCellMar>
            <w:top w:w="0" w:type="dxa"/>
            <w:bottom w:w="0" w:type="dxa"/>
          </w:tblCellMar>
        </w:tblPrEx>
        <w:tc>
          <w:tcPr>
            <w:tcW w:w="2800" w:type="dxa"/>
            <w:shd w:val="clear" w:color="auto" w:fill="F2F2F2"/>
            <w:tcMar>
              <w:top w:w="100" w:type="dxa"/>
              <w:left w:w="120" w:type="dxa"/>
              <w:bottom w:w="100" w:type="dxa"/>
              <w:right w:w="120" w:type="dxa"/>
            </w:tcMar>
          </w:tcPr>
          <w:p w14:paraId="41D252D2" w14:textId="77777777" w:rsidR="00E01253" w:rsidRDefault="00000000">
            <w:r>
              <w:rPr>
                <w:sz w:val="20"/>
                <w:szCs w:val="20"/>
              </w:rPr>
              <w:t>Cost per unit rollout</w:t>
            </w:r>
          </w:p>
        </w:tc>
        <w:tc>
          <w:tcPr>
            <w:tcW w:w="3300" w:type="dxa"/>
            <w:shd w:val="clear" w:color="auto" w:fill="F2F2F2"/>
            <w:tcMar>
              <w:top w:w="100" w:type="dxa"/>
              <w:left w:w="120" w:type="dxa"/>
              <w:bottom w:w="100" w:type="dxa"/>
              <w:right w:w="120" w:type="dxa"/>
            </w:tcMar>
          </w:tcPr>
          <w:p w14:paraId="3CC01EC0" w14:textId="77777777" w:rsidR="00E01253" w:rsidRDefault="00000000">
            <w:r>
              <w:rPr>
                <w:sz w:val="20"/>
                <w:szCs w:val="20"/>
              </w:rPr>
              <w:t>High capital investment</w:t>
            </w:r>
          </w:p>
        </w:tc>
        <w:tc>
          <w:tcPr>
            <w:tcW w:w="3300" w:type="dxa"/>
            <w:shd w:val="clear" w:color="auto" w:fill="F2F2F2"/>
            <w:tcMar>
              <w:top w:w="100" w:type="dxa"/>
              <w:left w:w="120" w:type="dxa"/>
              <w:bottom w:w="100" w:type="dxa"/>
              <w:right w:w="120" w:type="dxa"/>
            </w:tcMar>
          </w:tcPr>
          <w:p w14:paraId="31688B23" w14:textId="77777777" w:rsidR="00E01253" w:rsidRDefault="00000000">
            <w:r>
              <w:rPr>
                <w:sz w:val="20"/>
                <w:szCs w:val="20"/>
              </w:rPr>
              <w:t>Low-cost, scalable deployment</w:t>
            </w:r>
          </w:p>
        </w:tc>
      </w:tr>
      <w:tr w:rsidR="00E01253" w14:paraId="6E6BDCDF" w14:textId="77777777">
        <w:tblPrEx>
          <w:tblCellMar>
            <w:top w:w="0" w:type="dxa"/>
            <w:bottom w:w="0" w:type="dxa"/>
          </w:tblCellMar>
        </w:tblPrEx>
        <w:tc>
          <w:tcPr>
            <w:tcW w:w="2800" w:type="dxa"/>
            <w:tcMar>
              <w:top w:w="100" w:type="dxa"/>
              <w:left w:w="120" w:type="dxa"/>
              <w:bottom w:w="100" w:type="dxa"/>
              <w:right w:w="120" w:type="dxa"/>
            </w:tcMar>
          </w:tcPr>
          <w:p w14:paraId="4A898757" w14:textId="77777777" w:rsidR="00E01253" w:rsidRDefault="00000000">
            <w:r>
              <w:rPr>
                <w:sz w:val="20"/>
                <w:szCs w:val="20"/>
              </w:rPr>
              <w:t>Deployment location</w:t>
            </w:r>
          </w:p>
        </w:tc>
        <w:tc>
          <w:tcPr>
            <w:tcW w:w="3300" w:type="dxa"/>
            <w:tcMar>
              <w:top w:w="100" w:type="dxa"/>
              <w:left w:w="120" w:type="dxa"/>
              <w:bottom w:w="100" w:type="dxa"/>
              <w:right w:w="120" w:type="dxa"/>
            </w:tcMar>
          </w:tcPr>
          <w:p w14:paraId="1919FE8F" w14:textId="77777777" w:rsidR="00E01253" w:rsidRDefault="00000000">
            <w:r>
              <w:rPr>
                <w:sz w:val="20"/>
                <w:szCs w:val="20"/>
              </w:rPr>
              <w:t>Centralised laboratory only</w:t>
            </w:r>
          </w:p>
        </w:tc>
        <w:tc>
          <w:tcPr>
            <w:tcW w:w="3300" w:type="dxa"/>
            <w:tcMar>
              <w:top w:w="100" w:type="dxa"/>
              <w:left w:w="120" w:type="dxa"/>
              <w:bottom w:w="100" w:type="dxa"/>
              <w:right w:w="120" w:type="dxa"/>
            </w:tcMar>
          </w:tcPr>
          <w:p w14:paraId="15476149" w14:textId="77777777" w:rsidR="00E01253" w:rsidRDefault="00000000">
            <w:r>
              <w:rPr>
                <w:sz w:val="20"/>
                <w:szCs w:val="20"/>
              </w:rPr>
              <w:t>Checkpoint, station, or border post</w:t>
            </w:r>
          </w:p>
        </w:tc>
      </w:tr>
    </w:tbl>
    <w:p w14:paraId="3B054F6C" w14:textId="77777777" w:rsidR="00E01253" w:rsidRDefault="00E01253">
      <w:pPr>
        <w:spacing w:after="200"/>
      </w:pPr>
    </w:p>
    <w:p w14:paraId="55C4B82D" w14:textId="77777777" w:rsidR="00E01253" w:rsidRDefault="00000000">
      <w:pPr>
        <w:spacing w:after="160" w:line="276" w:lineRule="auto"/>
        <w:jc w:val="both"/>
      </w:pPr>
      <w:r>
        <w:t>It is important to state plainly what the framework does not attempt to be: it is not a substitute for full laboratory examination in cases requiring physical acquisition, encryption defeat, or deep deleted-data carving. Rather, it is designed to sit ahead of the laboratory in the investigative pipeline, providing an immediate, evidentially sound first look that can inform an operational decision at the checkpoint, while flagging devices that warrant full laboratory follow-up.</w:t>
      </w:r>
    </w:p>
    <w:p w14:paraId="76DA7D4C" w14:textId="77777777" w:rsidR="00E01253" w:rsidRDefault="00000000">
      <w:pPr>
        <w:pStyle w:val="Heading1"/>
      </w:pPr>
      <w:r>
        <w:t>8. Application Scenarios</w:t>
      </w:r>
    </w:p>
    <w:p w14:paraId="3705BC7A" w14:textId="77777777" w:rsidR="00E01253" w:rsidRDefault="00000000">
      <w:pPr>
        <w:spacing w:after="160" w:line="276" w:lineRule="auto"/>
        <w:jc w:val="both"/>
      </w:pPr>
      <w:r>
        <w:t>Three operational contexts illustrate where the framework is expected to deliver the greatest value.</w:t>
      </w:r>
    </w:p>
    <w:p w14:paraId="721C7580" w14:textId="77777777" w:rsidR="00E01253" w:rsidRDefault="00000000">
      <w:pPr>
        <w:pStyle w:val="Heading2"/>
      </w:pPr>
      <w:r>
        <w:t>8.1 Border and Immigration Checkpoints</w:t>
      </w:r>
    </w:p>
    <w:p w14:paraId="48D49FE4" w14:textId="77777777" w:rsidR="00E01253" w:rsidRDefault="00000000">
      <w:pPr>
        <w:spacing w:after="160" w:line="276" w:lineRule="auto"/>
        <w:jc w:val="both"/>
      </w:pPr>
      <w:r>
        <w:t>At secondary screening, officers can quickly verify travel history, contacts, and communications relevant to an admissibility or identity determination without delaying the wider queue of travellers.</w:t>
      </w:r>
    </w:p>
    <w:p w14:paraId="2006D95A" w14:textId="77777777" w:rsidR="00E01253" w:rsidRDefault="00000000">
      <w:pPr>
        <w:pStyle w:val="Heading2"/>
      </w:pPr>
      <w:r>
        <w:t>8.2 Criminal Investigations</w:t>
      </w:r>
    </w:p>
    <w:p w14:paraId="41CD1E46" w14:textId="77777777" w:rsidR="00E01253" w:rsidRDefault="00000000">
      <w:pPr>
        <w:spacing w:after="160" w:line="276" w:lineRule="auto"/>
        <w:jc w:val="both"/>
      </w:pPr>
      <w:r>
        <w:lastRenderedPageBreak/>
        <w:t>At the scene of an offence, investigators can preserve and review phone evidence while it is still fresh and directly relevant to lines of enquiry, rather than waiting for a laboratory slot to open.</w:t>
      </w:r>
    </w:p>
    <w:p w14:paraId="750F2F54" w14:textId="77777777" w:rsidR="00E01253" w:rsidRDefault="00000000">
      <w:pPr>
        <w:pStyle w:val="Heading2"/>
      </w:pPr>
      <w:r>
        <w:t>8.3 Custody Intake</w:t>
      </w:r>
    </w:p>
    <w:p w14:paraId="6297A9CB" w14:textId="77777777" w:rsidR="00E01253" w:rsidRDefault="00000000">
      <w:pPr>
        <w:spacing w:after="160" w:line="276" w:lineRule="auto"/>
        <w:jc w:val="both"/>
      </w:pPr>
      <w:r>
        <w:t>At the point of custody intake, a device can be screened to flag urgent safety or investigative leads — for example an indication of a co-offender or an at-risk third party — well before formal laboratory analysis would otherwise begin.</w:t>
      </w:r>
    </w:p>
    <w:p w14:paraId="6F59A962" w14:textId="77777777" w:rsidR="00E01253" w:rsidRDefault="00000000">
      <w:pPr>
        <w:pStyle w:val="Heading1"/>
      </w:pPr>
      <w:r>
        <w:t>9. Legal and Evidentiary Integrity</w:t>
      </w:r>
    </w:p>
    <w:p w14:paraId="5DC4103B" w14:textId="77777777" w:rsidR="00E01253" w:rsidRDefault="00000000">
      <w:pPr>
        <w:spacing w:after="160" w:line="276" w:lineRule="auto"/>
        <w:jc w:val="both"/>
      </w:pPr>
      <w:r>
        <w:t>Because the framework's output is intended for use in judicial proceedings, evidentiary integrity is treated as a first-class design requirement rather than an afterthought, consistent with the definition of digital forensics as work that must withstand search-authority, chain-of-custody, and validated-tool scrutiny [1].</w:t>
      </w:r>
    </w:p>
    <w:p w14:paraId="45AF9C8C" w14:textId="77777777" w:rsidR="00E01253" w:rsidRDefault="00000000">
      <w:pPr>
        <w:pStyle w:val="ListParagraph"/>
        <w:numPr>
          <w:ilvl w:val="0"/>
          <w:numId w:val="2"/>
        </w:numPr>
        <w:spacing w:after="100"/>
      </w:pPr>
      <w:r>
        <w:t>Read-only acquisition — the original device is never written to; the framework only reads data, so the evidentiary state of the device is preserved throughout the process.</w:t>
      </w:r>
    </w:p>
    <w:p w14:paraId="7D157D06" w14:textId="77777777" w:rsidR="00E01253" w:rsidRDefault="00000000">
      <w:pPr>
        <w:pStyle w:val="ListParagraph"/>
        <w:numPr>
          <w:ilvl w:val="0"/>
          <w:numId w:val="2"/>
        </w:numPr>
        <w:spacing w:after="100"/>
      </w:pPr>
      <w:r>
        <w:t>Cryptographic hashing — every extraction is hash-verified using SHA-256, so any subsequent alteration of the evidence, however small, is immediately detectable.</w:t>
      </w:r>
    </w:p>
    <w:p w14:paraId="3C6A4B09" w14:textId="77777777" w:rsidR="00E01253" w:rsidRDefault="00000000">
      <w:pPr>
        <w:pStyle w:val="ListParagraph"/>
        <w:numPr>
          <w:ilvl w:val="0"/>
          <w:numId w:val="2"/>
        </w:numPr>
        <w:spacing w:after="100"/>
      </w:pPr>
      <w:r>
        <w:t>Automatic audit trail — every action taken by the framework — who performed it, what was acquired, and when — is logged automatically, directly supporting chain-of-custody documentation without relying on manual note-taking under field conditions.</w:t>
      </w:r>
    </w:p>
    <w:p w14:paraId="54CD7BD9" w14:textId="77777777" w:rsidR="00E01253" w:rsidRDefault="00000000">
      <w:pPr>
        <w:spacing w:after="160" w:line="276" w:lineRule="auto"/>
        <w:jc w:val="both"/>
      </w:pPr>
      <w:r>
        <w:t>Each generated report includes device identifiers and an acquisition timestamp, the examining officer's identity and case reference, full data hash values, a clear structured findings summary, and an exportable PDF suitable for case files and court submission. This structure is intended to satisfy the same evidentiary expectations that underpin NIST's guidance on mobile device forensics and broader digital-evidence handling standards [1], [5], while remaining legible to a court that may not include a digital-forensics specialist.</w:t>
      </w:r>
    </w:p>
    <w:p w14:paraId="6A151D07" w14:textId="77777777" w:rsidR="00E01253" w:rsidRDefault="00000000">
      <w:pPr>
        <w:pStyle w:val="Heading2"/>
      </w:pPr>
      <w:r>
        <w:t>9.1 Evaluation Metrics</w:t>
      </w:r>
    </w:p>
    <w:p w14:paraId="470796A5" w14:textId="77777777" w:rsidR="00E01253" w:rsidRDefault="00000000">
      <w:pPr>
        <w:spacing w:after="160" w:line="276" w:lineRule="auto"/>
        <w:jc w:val="both"/>
      </w:pPr>
      <w:r>
        <w:t>To make the validation programme in Section 6.4 measurable rather than descriptive, each testing activity will be tied to a quantitative metric collected during Months 4 and 5. Functional testing will record extraction success rate per device model and OS version. Accuracy benchmarking will record artefact-level agreement rate against the commercial-suite baseline, broken down by data category (calls, messages, contacts, media, location). Usability testing will record task-completion time and error rate for officers with no prior forensic training, against a target of successful independent use within two hours of guided instruction. Report review will record the proportion of sample reports assessed as meeting evidentiary reporting completeness criteria without requiring rework. These metrics give the research team, and the sponsoring police or immigration authority, an objective basis for deciding whether Objectives 1 through 5 have been met before committing to full operational rollout.</w:t>
      </w:r>
    </w:p>
    <w:p w14:paraId="092B1083" w14:textId="77777777" w:rsidR="00E01253" w:rsidRDefault="00000000">
      <w:pPr>
        <w:pStyle w:val="Heading1"/>
      </w:pPr>
      <w:r>
        <w:t>10. Expected Outcomes and Benefits</w:t>
      </w:r>
    </w:p>
    <w:p w14:paraId="54251987" w14:textId="77777777" w:rsidR="00E01253" w:rsidRDefault="00000000">
      <w:pPr>
        <w:spacing w:after="160" w:line="276" w:lineRule="auto"/>
        <w:jc w:val="both"/>
      </w:pPr>
      <w:r>
        <w:lastRenderedPageBreak/>
        <w:t>If the objectives set out in Section 4 are met, the framework is expected to reduce first-result turnaround from days to minutes, remove the requirement for laboratory infrastructure at the point of initial screening, reduce operator training time from weeks to hours, and maintain full chain-of-custody integrity throughout. Collectively, these outcomes are expected to translate into faster operational decisions at the checkpoint, a reduced backlog of devices awaiting central laboratory examination, and more consistent, disciplined evidence handling across units that currently rely on ad hoc or inconsistent field procedures.</w:t>
      </w:r>
    </w:p>
    <w:p w14:paraId="2E5122C4" w14:textId="77777777" w:rsidR="00E01253" w:rsidRDefault="00000000">
      <w:pPr>
        <w:pStyle w:val="Heading1"/>
      </w:pPr>
      <w:r>
        <w:t>11. Project Timeline</w:t>
      </w:r>
    </w:p>
    <w:p w14:paraId="79AF810E" w14:textId="77777777" w:rsidR="00E01253" w:rsidRDefault="00000000">
      <w:pPr>
        <w:spacing w:after="160" w:line="276" w:lineRule="auto"/>
        <w:jc w:val="both"/>
      </w:pPr>
      <w:r>
        <w:t>A six-month rollout is proposed, structured as a straightforward progression from design through pilot to full deployment, summarised in Table II.</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900"/>
        <w:gridCol w:w="5200"/>
        <w:gridCol w:w="2400"/>
      </w:tblGrid>
      <w:tr w:rsidR="00E01253" w14:paraId="5817110C" w14:textId="77777777">
        <w:tblPrEx>
          <w:tblCellMar>
            <w:top w:w="0" w:type="dxa"/>
            <w:bottom w:w="0" w:type="dxa"/>
          </w:tblCellMar>
        </w:tblPrEx>
        <w:trPr>
          <w:tblHeader/>
        </w:trPr>
        <w:tc>
          <w:tcPr>
            <w:tcW w:w="900" w:type="dxa"/>
            <w:shd w:val="clear" w:color="auto" w:fill="1F4E79"/>
            <w:tcMar>
              <w:top w:w="100" w:type="dxa"/>
              <w:left w:w="120" w:type="dxa"/>
              <w:bottom w:w="100" w:type="dxa"/>
              <w:right w:w="120" w:type="dxa"/>
            </w:tcMar>
          </w:tcPr>
          <w:p w14:paraId="5CF6FDB4" w14:textId="77777777" w:rsidR="00E01253" w:rsidRDefault="00000000">
            <w:r>
              <w:rPr>
                <w:b/>
                <w:bCs/>
                <w:color w:val="FFFFFF"/>
                <w:sz w:val="20"/>
                <w:szCs w:val="20"/>
              </w:rPr>
              <w:t>Phase</w:t>
            </w:r>
          </w:p>
        </w:tc>
        <w:tc>
          <w:tcPr>
            <w:tcW w:w="900" w:type="dxa"/>
            <w:shd w:val="clear" w:color="auto" w:fill="1F4E79"/>
            <w:tcMar>
              <w:top w:w="100" w:type="dxa"/>
              <w:left w:w="120" w:type="dxa"/>
              <w:bottom w:w="100" w:type="dxa"/>
              <w:right w:w="120" w:type="dxa"/>
            </w:tcMar>
          </w:tcPr>
          <w:p w14:paraId="0A6FD9E8" w14:textId="77777777" w:rsidR="00E01253" w:rsidRDefault="00000000">
            <w:r>
              <w:rPr>
                <w:b/>
                <w:bCs/>
                <w:color w:val="FFFFFF"/>
                <w:sz w:val="20"/>
                <w:szCs w:val="20"/>
              </w:rPr>
              <w:t>Month</w:t>
            </w:r>
          </w:p>
        </w:tc>
        <w:tc>
          <w:tcPr>
            <w:tcW w:w="5200" w:type="dxa"/>
            <w:shd w:val="clear" w:color="auto" w:fill="1F4E79"/>
            <w:tcMar>
              <w:top w:w="100" w:type="dxa"/>
              <w:left w:w="120" w:type="dxa"/>
              <w:bottom w:w="100" w:type="dxa"/>
              <w:right w:w="120" w:type="dxa"/>
            </w:tcMar>
          </w:tcPr>
          <w:p w14:paraId="000741E6" w14:textId="77777777" w:rsidR="00E01253" w:rsidRDefault="00000000">
            <w:r>
              <w:rPr>
                <w:b/>
                <w:bCs/>
                <w:color w:val="FFFFFF"/>
                <w:sz w:val="20"/>
                <w:szCs w:val="20"/>
              </w:rPr>
              <w:t>Key Activities</w:t>
            </w:r>
          </w:p>
        </w:tc>
        <w:tc>
          <w:tcPr>
            <w:tcW w:w="2400" w:type="dxa"/>
            <w:shd w:val="clear" w:color="auto" w:fill="1F4E79"/>
            <w:tcMar>
              <w:top w:w="100" w:type="dxa"/>
              <w:left w:w="120" w:type="dxa"/>
              <w:bottom w:w="100" w:type="dxa"/>
              <w:right w:w="120" w:type="dxa"/>
            </w:tcMar>
          </w:tcPr>
          <w:p w14:paraId="3177B2E7" w14:textId="77777777" w:rsidR="00E01253" w:rsidRDefault="00000000">
            <w:r>
              <w:rPr>
                <w:b/>
                <w:bCs/>
                <w:color w:val="FFFFFF"/>
                <w:sz w:val="20"/>
                <w:szCs w:val="20"/>
              </w:rPr>
              <w:t>Milestone</w:t>
            </w:r>
          </w:p>
        </w:tc>
      </w:tr>
      <w:tr w:rsidR="00E01253" w14:paraId="40B190FF" w14:textId="77777777">
        <w:tblPrEx>
          <w:tblCellMar>
            <w:top w:w="0" w:type="dxa"/>
            <w:bottom w:w="0" w:type="dxa"/>
          </w:tblCellMar>
        </w:tblPrEx>
        <w:tc>
          <w:tcPr>
            <w:tcW w:w="900" w:type="dxa"/>
            <w:tcMar>
              <w:top w:w="100" w:type="dxa"/>
              <w:left w:w="120" w:type="dxa"/>
              <w:bottom w:w="100" w:type="dxa"/>
              <w:right w:w="120" w:type="dxa"/>
            </w:tcMar>
          </w:tcPr>
          <w:p w14:paraId="07F5EBA1" w14:textId="77777777" w:rsidR="00E01253" w:rsidRDefault="00000000">
            <w:r>
              <w:rPr>
                <w:sz w:val="20"/>
                <w:szCs w:val="20"/>
              </w:rPr>
              <w:t>1</w:t>
            </w:r>
          </w:p>
        </w:tc>
        <w:tc>
          <w:tcPr>
            <w:tcW w:w="900" w:type="dxa"/>
            <w:tcMar>
              <w:top w:w="100" w:type="dxa"/>
              <w:left w:w="120" w:type="dxa"/>
              <w:bottom w:w="100" w:type="dxa"/>
              <w:right w:w="120" w:type="dxa"/>
            </w:tcMar>
          </w:tcPr>
          <w:p w14:paraId="005D330B" w14:textId="77777777" w:rsidR="00E01253" w:rsidRDefault="00000000">
            <w:r>
              <w:rPr>
                <w:sz w:val="20"/>
                <w:szCs w:val="20"/>
              </w:rPr>
              <w:t>M1</w:t>
            </w:r>
          </w:p>
        </w:tc>
        <w:tc>
          <w:tcPr>
            <w:tcW w:w="5200" w:type="dxa"/>
            <w:tcMar>
              <w:top w:w="100" w:type="dxa"/>
              <w:left w:w="120" w:type="dxa"/>
              <w:bottom w:w="100" w:type="dxa"/>
              <w:right w:w="120" w:type="dxa"/>
            </w:tcMar>
          </w:tcPr>
          <w:p w14:paraId="127BDF47" w14:textId="77777777" w:rsidR="00E01253" w:rsidRDefault="00000000">
            <w:r>
              <w:rPr>
                <w:sz w:val="20"/>
                <w:szCs w:val="20"/>
              </w:rPr>
              <w:t>Requirements gathering, stakeholder consultation, legal and evidentiary requirements review, architecture design.</w:t>
            </w:r>
          </w:p>
        </w:tc>
        <w:tc>
          <w:tcPr>
            <w:tcW w:w="2400" w:type="dxa"/>
            <w:tcMar>
              <w:top w:w="100" w:type="dxa"/>
              <w:left w:w="120" w:type="dxa"/>
              <w:bottom w:w="100" w:type="dxa"/>
              <w:right w:w="120" w:type="dxa"/>
            </w:tcMar>
          </w:tcPr>
          <w:p w14:paraId="353155B3" w14:textId="77777777" w:rsidR="00E01253" w:rsidRDefault="00000000">
            <w:r>
              <w:rPr>
                <w:sz w:val="20"/>
                <w:szCs w:val="20"/>
              </w:rPr>
              <w:t>Approved design specification</w:t>
            </w:r>
          </w:p>
        </w:tc>
      </w:tr>
      <w:tr w:rsidR="00E01253" w14:paraId="4124F2B7" w14:textId="77777777">
        <w:tblPrEx>
          <w:tblCellMar>
            <w:top w:w="0" w:type="dxa"/>
            <w:bottom w:w="0" w:type="dxa"/>
          </w:tblCellMar>
        </w:tblPrEx>
        <w:tc>
          <w:tcPr>
            <w:tcW w:w="900" w:type="dxa"/>
            <w:shd w:val="clear" w:color="auto" w:fill="F2F2F2"/>
            <w:tcMar>
              <w:top w:w="100" w:type="dxa"/>
              <w:left w:w="120" w:type="dxa"/>
              <w:bottom w:w="100" w:type="dxa"/>
              <w:right w:w="120" w:type="dxa"/>
            </w:tcMar>
          </w:tcPr>
          <w:p w14:paraId="771451F0" w14:textId="77777777" w:rsidR="00E01253" w:rsidRDefault="00000000">
            <w:r>
              <w:rPr>
                <w:sz w:val="20"/>
                <w:szCs w:val="20"/>
              </w:rPr>
              <w:t>2</w:t>
            </w:r>
          </w:p>
        </w:tc>
        <w:tc>
          <w:tcPr>
            <w:tcW w:w="900" w:type="dxa"/>
            <w:shd w:val="clear" w:color="auto" w:fill="F2F2F2"/>
            <w:tcMar>
              <w:top w:w="100" w:type="dxa"/>
              <w:left w:w="120" w:type="dxa"/>
              <w:bottom w:w="100" w:type="dxa"/>
              <w:right w:w="120" w:type="dxa"/>
            </w:tcMar>
          </w:tcPr>
          <w:p w14:paraId="61985314" w14:textId="77777777" w:rsidR="00E01253" w:rsidRDefault="00000000">
            <w:r>
              <w:rPr>
                <w:sz w:val="20"/>
                <w:szCs w:val="20"/>
              </w:rPr>
              <w:t>M2</w:t>
            </w:r>
          </w:p>
        </w:tc>
        <w:tc>
          <w:tcPr>
            <w:tcW w:w="5200" w:type="dxa"/>
            <w:shd w:val="clear" w:color="auto" w:fill="F2F2F2"/>
            <w:tcMar>
              <w:top w:w="100" w:type="dxa"/>
              <w:left w:w="120" w:type="dxa"/>
              <w:bottom w:w="100" w:type="dxa"/>
              <w:right w:w="120" w:type="dxa"/>
            </w:tcMar>
          </w:tcPr>
          <w:p w14:paraId="2BB81FE0" w14:textId="77777777" w:rsidR="00E01253" w:rsidRDefault="00000000">
            <w:r>
              <w:rPr>
                <w:sz w:val="20"/>
                <w:szCs w:val="20"/>
              </w:rPr>
              <w:t>Development of the acquisition module: ADB-based logical, read-only capture and the hashing subsystem.</w:t>
            </w:r>
          </w:p>
        </w:tc>
        <w:tc>
          <w:tcPr>
            <w:tcW w:w="2400" w:type="dxa"/>
            <w:shd w:val="clear" w:color="auto" w:fill="F2F2F2"/>
            <w:tcMar>
              <w:top w:w="100" w:type="dxa"/>
              <w:left w:w="120" w:type="dxa"/>
              <w:bottom w:w="100" w:type="dxa"/>
              <w:right w:w="120" w:type="dxa"/>
            </w:tcMar>
          </w:tcPr>
          <w:p w14:paraId="51ABA6A5" w14:textId="77777777" w:rsidR="00E01253" w:rsidRDefault="00000000">
            <w:r>
              <w:rPr>
                <w:sz w:val="20"/>
                <w:szCs w:val="20"/>
              </w:rPr>
              <w:t>Working acquisition prototype</w:t>
            </w:r>
          </w:p>
        </w:tc>
      </w:tr>
      <w:tr w:rsidR="00E01253" w14:paraId="6A8CABC1" w14:textId="77777777">
        <w:tblPrEx>
          <w:tblCellMar>
            <w:top w:w="0" w:type="dxa"/>
            <w:bottom w:w="0" w:type="dxa"/>
          </w:tblCellMar>
        </w:tblPrEx>
        <w:tc>
          <w:tcPr>
            <w:tcW w:w="900" w:type="dxa"/>
            <w:tcMar>
              <w:top w:w="100" w:type="dxa"/>
              <w:left w:w="120" w:type="dxa"/>
              <w:bottom w:w="100" w:type="dxa"/>
              <w:right w:w="120" w:type="dxa"/>
            </w:tcMar>
          </w:tcPr>
          <w:p w14:paraId="41802A1A" w14:textId="77777777" w:rsidR="00E01253" w:rsidRDefault="00000000">
            <w:r>
              <w:rPr>
                <w:sz w:val="20"/>
                <w:szCs w:val="20"/>
              </w:rPr>
              <w:t>3</w:t>
            </w:r>
          </w:p>
        </w:tc>
        <w:tc>
          <w:tcPr>
            <w:tcW w:w="900" w:type="dxa"/>
            <w:tcMar>
              <w:top w:w="100" w:type="dxa"/>
              <w:left w:w="120" w:type="dxa"/>
              <w:bottom w:w="100" w:type="dxa"/>
              <w:right w:w="120" w:type="dxa"/>
            </w:tcMar>
          </w:tcPr>
          <w:p w14:paraId="6CDBF631" w14:textId="77777777" w:rsidR="00E01253" w:rsidRDefault="00000000">
            <w:r>
              <w:rPr>
                <w:sz w:val="20"/>
                <w:szCs w:val="20"/>
              </w:rPr>
              <w:t>M3</w:t>
            </w:r>
          </w:p>
        </w:tc>
        <w:tc>
          <w:tcPr>
            <w:tcW w:w="5200" w:type="dxa"/>
            <w:tcMar>
              <w:top w:w="100" w:type="dxa"/>
              <w:left w:w="120" w:type="dxa"/>
              <w:bottom w:w="100" w:type="dxa"/>
              <w:right w:w="120" w:type="dxa"/>
            </w:tcMar>
          </w:tcPr>
          <w:p w14:paraId="4D80B255" w14:textId="77777777" w:rsidR="00E01253" w:rsidRDefault="00000000">
            <w:r>
              <w:rPr>
                <w:sz w:val="20"/>
                <w:szCs w:val="20"/>
              </w:rPr>
              <w:t>Development of the analysis and automated reporting module: parsers, artefact viewer, report generator.</w:t>
            </w:r>
          </w:p>
        </w:tc>
        <w:tc>
          <w:tcPr>
            <w:tcW w:w="2400" w:type="dxa"/>
            <w:tcMar>
              <w:top w:w="100" w:type="dxa"/>
              <w:left w:w="120" w:type="dxa"/>
              <w:bottom w:w="100" w:type="dxa"/>
              <w:right w:w="120" w:type="dxa"/>
            </w:tcMar>
          </w:tcPr>
          <w:p w14:paraId="5D463C85" w14:textId="77777777" w:rsidR="00E01253" w:rsidRDefault="00000000">
            <w:r>
              <w:rPr>
                <w:sz w:val="20"/>
                <w:szCs w:val="20"/>
              </w:rPr>
              <w:t>End-to-end acquire-to-report pipeline</w:t>
            </w:r>
          </w:p>
        </w:tc>
      </w:tr>
      <w:tr w:rsidR="00E01253" w14:paraId="2F52D191" w14:textId="77777777">
        <w:tblPrEx>
          <w:tblCellMar>
            <w:top w:w="0" w:type="dxa"/>
            <w:bottom w:w="0" w:type="dxa"/>
          </w:tblCellMar>
        </w:tblPrEx>
        <w:tc>
          <w:tcPr>
            <w:tcW w:w="900" w:type="dxa"/>
            <w:shd w:val="clear" w:color="auto" w:fill="F2F2F2"/>
            <w:tcMar>
              <w:top w:w="100" w:type="dxa"/>
              <w:left w:w="120" w:type="dxa"/>
              <w:bottom w:w="100" w:type="dxa"/>
              <w:right w:w="120" w:type="dxa"/>
            </w:tcMar>
          </w:tcPr>
          <w:p w14:paraId="31A60B77" w14:textId="77777777" w:rsidR="00E01253" w:rsidRDefault="00000000">
            <w:r>
              <w:rPr>
                <w:sz w:val="20"/>
                <w:szCs w:val="20"/>
              </w:rPr>
              <w:t>4</w:t>
            </w:r>
          </w:p>
        </w:tc>
        <w:tc>
          <w:tcPr>
            <w:tcW w:w="900" w:type="dxa"/>
            <w:shd w:val="clear" w:color="auto" w:fill="F2F2F2"/>
            <w:tcMar>
              <w:top w:w="100" w:type="dxa"/>
              <w:left w:w="120" w:type="dxa"/>
              <w:bottom w:w="100" w:type="dxa"/>
              <w:right w:w="120" w:type="dxa"/>
            </w:tcMar>
          </w:tcPr>
          <w:p w14:paraId="4A12B3D7" w14:textId="77777777" w:rsidR="00E01253" w:rsidRDefault="00000000">
            <w:r>
              <w:rPr>
                <w:sz w:val="20"/>
                <w:szCs w:val="20"/>
              </w:rPr>
              <w:t>M4</w:t>
            </w:r>
          </w:p>
        </w:tc>
        <w:tc>
          <w:tcPr>
            <w:tcW w:w="5200" w:type="dxa"/>
            <w:shd w:val="clear" w:color="auto" w:fill="F2F2F2"/>
            <w:tcMar>
              <w:top w:w="100" w:type="dxa"/>
              <w:left w:w="120" w:type="dxa"/>
              <w:bottom w:w="100" w:type="dxa"/>
              <w:right w:w="120" w:type="dxa"/>
            </w:tcMar>
          </w:tcPr>
          <w:p w14:paraId="4A8A1041" w14:textId="77777777" w:rsidR="00E01253" w:rsidRDefault="00000000">
            <w:r>
              <w:rPr>
                <w:sz w:val="20"/>
                <w:szCs w:val="20"/>
              </w:rPr>
              <w:t>Internal functional testing, accuracy benchmarking and usability testing across device models and OS versions.</w:t>
            </w:r>
          </w:p>
        </w:tc>
        <w:tc>
          <w:tcPr>
            <w:tcW w:w="2400" w:type="dxa"/>
            <w:shd w:val="clear" w:color="auto" w:fill="F2F2F2"/>
            <w:tcMar>
              <w:top w:w="100" w:type="dxa"/>
              <w:left w:w="120" w:type="dxa"/>
              <w:bottom w:w="100" w:type="dxa"/>
              <w:right w:w="120" w:type="dxa"/>
            </w:tcMar>
          </w:tcPr>
          <w:p w14:paraId="2D9E5C97" w14:textId="77777777" w:rsidR="00E01253" w:rsidRDefault="00000000">
            <w:r>
              <w:rPr>
                <w:sz w:val="20"/>
                <w:szCs w:val="20"/>
              </w:rPr>
              <w:t>Validated internal test report</w:t>
            </w:r>
          </w:p>
        </w:tc>
      </w:tr>
      <w:tr w:rsidR="00E01253" w14:paraId="4CDC8C2D" w14:textId="77777777">
        <w:tblPrEx>
          <w:tblCellMar>
            <w:top w:w="0" w:type="dxa"/>
            <w:bottom w:w="0" w:type="dxa"/>
          </w:tblCellMar>
        </w:tblPrEx>
        <w:tc>
          <w:tcPr>
            <w:tcW w:w="900" w:type="dxa"/>
            <w:tcMar>
              <w:top w:w="100" w:type="dxa"/>
              <w:left w:w="120" w:type="dxa"/>
              <w:bottom w:w="100" w:type="dxa"/>
              <w:right w:w="120" w:type="dxa"/>
            </w:tcMar>
          </w:tcPr>
          <w:p w14:paraId="173E70CF" w14:textId="77777777" w:rsidR="00E01253" w:rsidRDefault="00000000">
            <w:r>
              <w:rPr>
                <w:sz w:val="20"/>
                <w:szCs w:val="20"/>
              </w:rPr>
              <w:t>5</w:t>
            </w:r>
          </w:p>
        </w:tc>
        <w:tc>
          <w:tcPr>
            <w:tcW w:w="900" w:type="dxa"/>
            <w:tcMar>
              <w:top w:w="100" w:type="dxa"/>
              <w:left w:w="120" w:type="dxa"/>
              <w:bottom w:w="100" w:type="dxa"/>
              <w:right w:w="120" w:type="dxa"/>
            </w:tcMar>
          </w:tcPr>
          <w:p w14:paraId="517A7377" w14:textId="77777777" w:rsidR="00E01253" w:rsidRDefault="00000000">
            <w:r>
              <w:rPr>
                <w:sz w:val="20"/>
                <w:szCs w:val="20"/>
              </w:rPr>
              <w:t>M5</w:t>
            </w:r>
          </w:p>
        </w:tc>
        <w:tc>
          <w:tcPr>
            <w:tcW w:w="5200" w:type="dxa"/>
            <w:tcMar>
              <w:top w:w="100" w:type="dxa"/>
              <w:left w:w="120" w:type="dxa"/>
              <w:bottom w:w="100" w:type="dxa"/>
              <w:right w:w="120" w:type="dxa"/>
            </w:tcMar>
          </w:tcPr>
          <w:p w14:paraId="61AC73E5" w14:textId="77777777" w:rsidR="00E01253" w:rsidRDefault="00000000">
            <w:r>
              <w:rPr>
                <w:sz w:val="20"/>
                <w:szCs w:val="20"/>
              </w:rPr>
              <w:t>Controlled pilot deployment with a small group of officers; structured feedback collection.</w:t>
            </w:r>
          </w:p>
        </w:tc>
        <w:tc>
          <w:tcPr>
            <w:tcW w:w="2400" w:type="dxa"/>
            <w:tcMar>
              <w:top w:w="100" w:type="dxa"/>
              <w:left w:w="120" w:type="dxa"/>
              <w:bottom w:w="100" w:type="dxa"/>
              <w:right w:w="120" w:type="dxa"/>
            </w:tcMar>
          </w:tcPr>
          <w:p w14:paraId="2FE705F6" w14:textId="77777777" w:rsidR="00E01253" w:rsidRDefault="00000000">
            <w:r>
              <w:rPr>
                <w:sz w:val="20"/>
                <w:szCs w:val="20"/>
              </w:rPr>
              <w:t>Pilot evaluation report</w:t>
            </w:r>
          </w:p>
        </w:tc>
      </w:tr>
      <w:tr w:rsidR="00E01253" w14:paraId="7FC1B3FB" w14:textId="77777777">
        <w:tblPrEx>
          <w:tblCellMar>
            <w:top w:w="0" w:type="dxa"/>
            <w:bottom w:w="0" w:type="dxa"/>
          </w:tblCellMar>
        </w:tblPrEx>
        <w:tc>
          <w:tcPr>
            <w:tcW w:w="900" w:type="dxa"/>
            <w:shd w:val="clear" w:color="auto" w:fill="F2F2F2"/>
            <w:tcMar>
              <w:top w:w="100" w:type="dxa"/>
              <w:left w:w="120" w:type="dxa"/>
              <w:bottom w:w="100" w:type="dxa"/>
              <w:right w:w="120" w:type="dxa"/>
            </w:tcMar>
          </w:tcPr>
          <w:p w14:paraId="43FA8412" w14:textId="77777777" w:rsidR="00E01253" w:rsidRDefault="00000000">
            <w:r>
              <w:rPr>
                <w:sz w:val="20"/>
                <w:szCs w:val="20"/>
              </w:rPr>
              <w:t>6</w:t>
            </w:r>
          </w:p>
        </w:tc>
        <w:tc>
          <w:tcPr>
            <w:tcW w:w="900" w:type="dxa"/>
            <w:shd w:val="clear" w:color="auto" w:fill="F2F2F2"/>
            <w:tcMar>
              <w:top w:w="100" w:type="dxa"/>
              <w:left w:w="120" w:type="dxa"/>
              <w:bottom w:w="100" w:type="dxa"/>
              <w:right w:w="120" w:type="dxa"/>
            </w:tcMar>
          </w:tcPr>
          <w:p w14:paraId="7CA98BB0" w14:textId="77777777" w:rsidR="00E01253" w:rsidRDefault="00000000">
            <w:r>
              <w:rPr>
                <w:sz w:val="20"/>
                <w:szCs w:val="20"/>
              </w:rPr>
              <w:t>M6</w:t>
            </w:r>
          </w:p>
        </w:tc>
        <w:tc>
          <w:tcPr>
            <w:tcW w:w="5200" w:type="dxa"/>
            <w:shd w:val="clear" w:color="auto" w:fill="F2F2F2"/>
            <w:tcMar>
              <w:top w:w="100" w:type="dxa"/>
              <w:left w:w="120" w:type="dxa"/>
              <w:bottom w:w="100" w:type="dxa"/>
              <w:right w:w="120" w:type="dxa"/>
            </w:tcMar>
          </w:tcPr>
          <w:p w14:paraId="0F60E763" w14:textId="77777777" w:rsidR="00E01253" w:rsidRDefault="00000000">
            <w:r>
              <w:rPr>
                <w:sz w:val="20"/>
                <w:szCs w:val="20"/>
              </w:rPr>
              <w:t>Officer training programme, refinement based on pilot feedback, full operational rollout and review.</w:t>
            </w:r>
          </w:p>
        </w:tc>
        <w:tc>
          <w:tcPr>
            <w:tcW w:w="2400" w:type="dxa"/>
            <w:shd w:val="clear" w:color="auto" w:fill="F2F2F2"/>
            <w:tcMar>
              <w:top w:w="100" w:type="dxa"/>
              <w:left w:w="120" w:type="dxa"/>
              <w:bottom w:w="100" w:type="dxa"/>
              <w:right w:w="120" w:type="dxa"/>
            </w:tcMar>
          </w:tcPr>
          <w:p w14:paraId="13996B9A" w14:textId="77777777" w:rsidR="00E01253" w:rsidRDefault="00000000">
            <w:r>
              <w:rPr>
                <w:sz w:val="20"/>
                <w:szCs w:val="20"/>
              </w:rPr>
              <w:t>Operational sign-off</w:t>
            </w:r>
          </w:p>
        </w:tc>
      </w:tr>
    </w:tbl>
    <w:p w14:paraId="45229780" w14:textId="77777777" w:rsidR="00E01253" w:rsidRDefault="00E01253">
      <w:pPr>
        <w:spacing w:after="200"/>
      </w:pPr>
    </w:p>
    <w:p w14:paraId="5B1AD1F4" w14:textId="77777777" w:rsidR="00E01253" w:rsidRDefault="00000000">
      <w:pPr>
        <w:pStyle w:val="Heading1"/>
      </w:pPr>
      <w:r>
        <w:t>12. Risks and Limitations</w:t>
      </w:r>
    </w:p>
    <w:p w14:paraId="2EF57048" w14:textId="77777777" w:rsidR="00E01253" w:rsidRDefault="00000000">
      <w:pPr>
        <w:spacing w:after="160" w:line="276" w:lineRule="auto"/>
        <w:jc w:val="both"/>
      </w:pPr>
      <w:r>
        <w:t>The principal technical limitation of a logical, non-rooted acquisition approach is reduced recovery of deleted or encrypted content relative to physical acquisition methods used by commercial suites [2], [4]. This is treated as an accepted, documented trade-off rather than a defect: the framework is designed to complement, not replace, laboratory-grade examination, and its reports are expected to explicitly flag when a case's evidentiary requirements exceed what field-tier logical acquisition can deliver, prompting referral to a laboratory. A secondary risk is variation in extraction reliability across the fragmented landscape of Android manufacturers and OS versions; this risk is directly addressed by the functional-testing stage of the validation programme described in Section 6.4. Finally, as with any tool intended for evidentiary use, the framework's outputs and underlying methodology should be subject to independent review and, where required by jurisdiction, formal validation or accreditation before operational reliance in contested proceedings.</w:t>
      </w:r>
    </w:p>
    <w:p w14:paraId="18E1508D" w14:textId="77777777" w:rsidR="00E01253" w:rsidRDefault="00000000">
      <w:pPr>
        <w:pStyle w:val="Heading1"/>
      </w:pPr>
      <w:r>
        <w:lastRenderedPageBreak/>
        <w:t>13. Conclusion</w:t>
      </w:r>
    </w:p>
    <w:p w14:paraId="16DBF543" w14:textId="77777777" w:rsidR="00E01253" w:rsidRDefault="00000000">
      <w:pPr>
        <w:spacing w:after="160" w:line="276" w:lineRule="auto"/>
        <w:jc w:val="both"/>
      </w:pPr>
      <w:r>
        <w:t>Existing mobile forensic options force a choice between full laboratory rigour and field practicality. The Light Forensic Acquisition and Analysis Framework proposed here removes that trade-off by combining a read-only, logical acquisition method grounded in established forensic standards [1] with the structured parsing, cryptographic hash verification, and automated reporting needed to make the process usable by a non-specialist officer within hours of training. The proposal meets its stated aim by delivering field-ready acquisition without sacrificing evidentiary integrity, is grounded in a tested, repeatable acquisition-to-report pipeline rather than a one-off script, and is deliverable on a realistic six-month schedule from design through full rollout. In short, the framework is intended to give police and immigration officers less time in the laboratory queue and more time acting on what the evidence shows, while preserving the evidentiary discipline that any court will require.</w:t>
      </w:r>
    </w:p>
    <w:p w14:paraId="0F5CBC1F" w14:textId="77777777" w:rsidR="00E01253" w:rsidRDefault="00000000">
      <w:pPr>
        <w:pStyle w:val="Heading1"/>
      </w:pPr>
      <w:r>
        <w:t>References</w:t>
      </w:r>
    </w:p>
    <w:p w14:paraId="73A9AE40" w14:textId="77777777" w:rsidR="00E01253" w:rsidRDefault="00000000">
      <w:pPr>
        <w:spacing w:after="140"/>
        <w:ind w:left="420" w:hanging="420"/>
      </w:pPr>
      <w:r>
        <w:t>[1] R. Ayers, S. Brothers, and W. Jansen, Guidelines on Mobile Device Forensics, NIST Special Publication 800-101 Rev. 1, National Institute of Standards and Technology, Gaithersburg, MD, USA, 2014. [Online]. Available: https://doi.org/10.6028/NIST.SP.800-101r1</w:t>
      </w:r>
    </w:p>
    <w:p w14:paraId="4F8EC7E8" w14:textId="77777777" w:rsidR="00E01253" w:rsidRDefault="00000000">
      <w:pPr>
        <w:spacing w:after="140"/>
        <w:ind w:left="420" w:hanging="420"/>
      </w:pPr>
      <w:r>
        <w:t xml:space="preserve">[2] H. H. Lwin, W. P. Aung, and K. K. Lin, "Comparative analysis of Android mobile forensics tools," in Proc. 2020 IEEE Conf. </w:t>
      </w:r>
      <w:proofErr w:type="spellStart"/>
      <w:r>
        <w:t>Comput</w:t>
      </w:r>
      <w:proofErr w:type="spellEnd"/>
      <w:r>
        <w:t xml:space="preserve">. Appl. (ICCA), Yangon, Myanmar, 2020, pp. 1–6, </w:t>
      </w:r>
      <w:proofErr w:type="spellStart"/>
      <w:r>
        <w:t>doi</w:t>
      </w:r>
      <w:proofErr w:type="spellEnd"/>
      <w:r>
        <w:t>: 10.1109/ICCA49400.2020.9022838.</w:t>
      </w:r>
    </w:p>
    <w:p w14:paraId="3397F675" w14:textId="77777777" w:rsidR="00E01253" w:rsidRDefault="00000000">
      <w:pPr>
        <w:spacing w:after="140"/>
        <w:ind w:left="420" w:hanging="420"/>
      </w:pPr>
      <w:r>
        <w:t xml:space="preserve">[3] M. P. Aji, D. </w:t>
      </w:r>
      <w:proofErr w:type="spellStart"/>
      <w:r>
        <w:t>Hariyadi</w:t>
      </w:r>
      <w:proofErr w:type="spellEnd"/>
      <w:r>
        <w:t xml:space="preserve">, and T. </w:t>
      </w:r>
      <w:proofErr w:type="spellStart"/>
      <w:r>
        <w:t>Rochmadi</w:t>
      </w:r>
      <w:proofErr w:type="spellEnd"/>
      <w:r>
        <w:t xml:space="preserve">, "Logical acquisition in the forensic investigation process of Android smartphones based on agent using open source software," IOP Conf. Ser.: Mater. Sci. Eng., vol. 771, p. 012024, 2020, </w:t>
      </w:r>
      <w:proofErr w:type="spellStart"/>
      <w:r>
        <w:t>doi</w:t>
      </w:r>
      <w:proofErr w:type="spellEnd"/>
      <w:r>
        <w:t>: 10.1088/1757-899X/771/1/012024.</w:t>
      </w:r>
    </w:p>
    <w:p w14:paraId="67D6C4E9" w14:textId="77777777" w:rsidR="00E01253" w:rsidRDefault="00000000">
      <w:pPr>
        <w:spacing w:after="140"/>
        <w:ind w:left="420" w:hanging="420"/>
      </w:pPr>
      <w:r>
        <w:t xml:space="preserve">[4] A. Phalke, K. K. Joshi, S. </w:t>
      </w:r>
      <w:proofErr w:type="spellStart"/>
      <w:r>
        <w:t>Chandode</w:t>
      </w:r>
      <w:proofErr w:type="spellEnd"/>
      <w:r>
        <w:t xml:space="preserve">, and M. Pawar, "A comparative study of mobile forensics tools — open-source vs commercial tools," Iconic Res. Eng. J., vol. 9, no. 7, pp. 2412–2420, 2026, </w:t>
      </w:r>
      <w:proofErr w:type="spellStart"/>
      <w:r>
        <w:t>doi</w:t>
      </w:r>
      <w:proofErr w:type="spellEnd"/>
      <w:r>
        <w:t>: 10.64388/IREV9I7-1713887.</w:t>
      </w:r>
    </w:p>
    <w:p w14:paraId="354D19C1" w14:textId="77777777" w:rsidR="00E01253" w:rsidRDefault="00000000">
      <w:pPr>
        <w:spacing w:after="140"/>
        <w:ind w:left="420" w:hanging="420"/>
      </w:pPr>
      <w:r>
        <w:t>[5] ISO/IEC 27037:2012, Information technology — Security techniques — Guidelines for identification, collection, acquisition and preservation of digital evidence, International Organization for Standardization, Geneva, Switzerland, 2012.</w:t>
      </w:r>
    </w:p>
    <w:p w14:paraId="69E1C54C" w14:textId="77777777" w:rsidR="00E01253" w:rsidRDefault="00000000">
      <w:pPr>
        <w:spacing w:after="140"/>
        <w:ind w:left="420" w:hanging="420"/>
      </w:pPr>
      <w:r>
        <w:t xml:space="preserve">[6] R. Ahmed and R. V. </w:t>
      </w:r>
      <w:proofErr w:type="spellStart"/>
      <w:r>
        <w:t>Dharaskar</w:t>
      </w:r>
      <w:proofErr w:type="spellEnd"/>
      <w:r>
        <w:t>, "Mobile forensics: an overview, tools, future trends and challenges from law enforcement perspective," in Proc. 6th Int. Conf. E-Governance (ICEG), Delhi, India, 2008, pp. 312–323.</w:t>
      </w:r>
    </w:p>
    <w:p w14:paraId="155AD9B1" w14:textId="77777777" w:rsidR="00E01253" w:rsidRDefault="00000000">
      <w:pPr>
        <w:spacing w:after="140"/>
        <w:ind w:left="420" w:hanging="420"/>
      </w:pPr>
      <w:r>
        <w:t>[7] E. Casey, Digital Evidence and Computer Crime: Forensic Science, Computers, and the Internet, 3rd ed. Waltham, MA, USA: Academic Press, 2011.</w:t>
      </w:r>
    </w:p>
    <w:p w14:paraId="595E100D" w14:textId="77777777" w:rsidR="00E01253" w:rsidRDefault="00000000">
      <w:pPr>
        <w:spacing w:after="140"/>
        <w:ind w:left="420" w:hanging="420"/>
      </w:pPr>
      <w:r>
        <w:t xml:space="preserve">[8] K. </w:t>
      </w:r>
      <w:proofErr w:type="spellStart"/>
      <w:r>
        <w:t>Barmpatsalou</w:t>
      </w:r>
      <w:proofErr w:type="spellEnd"/>
      <w:r>
        <w:t xml:space="preserve">, D. </w:t>
      </w:r>
      <w:proofErr w:type="spellStart"/>
      <w:r>
        <w:t>Damopoulos</w:t>
      </w:r>
      <w:proofErr w:type="spellEnd"/>
      <w:r>
        <w:t xml:space="preserve">, G. </w:t>
      </w:r>
      <w:proofErr w:type="spellStart"/>
      <w:r>
        <w:t>Kambourakis</w:t>
      </w:r>
      <w:proofErr w:type="spellEnd"/>
      <w:r>
        <w:t xml:space="preserve">, and V. Katos, "A critical review of 7 years of Mobile Device Forensics," Digit. </w:t>
      </w:r>
      <w:proofErr w:type="spellStart"/>
      <w:r>
        <w:t>Investig</w:t>
      </w:r>
      <w:proofErr w:type="spellEnd"/>
      <w:r>
        <w:t xml:space="preserve">., vol. 10, no. 4, pp. 323–349, 2013, </w:t>
      </w:r>
      <w:proofErr w:type="spellStart"/>
      <w:r>
        <w:t>doi</w:t>
      </w:r>
      <w:proofErr w:type="spellEnd"/>
      <w:r>
        <w:t>: 10.1016/j.diin.2013.10.003.</w:t>
      </w:r>
    </w:p>
    <w:sectPr w:rsidR="00E01253">
      <w:headerReference w:type="default" r:id="rId10"/>
      <w:footerReference w:type="default" r:id="rId11"/>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6CB50" w14:textId="77777777" w:rsidR="00F753EA" w:rsidRDefault="00F753EA">
      <w:r>
        <w:separator/>
      </w:r>
    </w:p>
  </w:endnote>
  <w:endnote w:type="continuationSeparator" w:id="0">
    <w:p w14:paraId="563D6F8E" w14:textId="77777777" w:rsidR="00F753EA" w:rsidRDefault="00F75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4CFF0" w14:textId="77777777" w:rsidR="00E01253" w:rsidRDefault="00000000">
    <w:pPr>
      <w:jc w:val="center"/>
    </w:pPr>
    <w:r>
      <w:rPr>
        <w:color w:val="808080"/>
        <w:sz w:val="16"/>
        <w:szCs w:val="16"/>
      </w:rPr>
      <w:t xml:space="preserve">Page </w:t>
    </w:r>
    <w:r>
      <w:rPr>
        <w:color w:val="808080"/>
        <w:sz w:val="16"/>
        <w:szCs w:val="16"/>
      </w:rPr>
      <w:fldChar w:fldCharType="begin"/>
    </w:r>
    <w:r>
      <w:rPr>
        <w:color w:val="808080"/>
        <w:sz w:val="16"/>
        <w:szCs w:val="16"/>
      </w:rPr>
      <w:instrText>PAGE</w:instrText>
    </w:r>
    <w:r>
      <w:rPr>
        <w:color w:val="808080"/>
        <w:sz w:val="16"/>
        <w:szCs w:val="16"/>
      </w:rPr>
      <w:fldChar w:fldCharType="separate"/>
    </w:r>
    <w:r w:rsidR="004E434B">
      <w:rPr>
        <w:noProof/>
        <w:color w:val="808080"/>
        <w:sz w:val="16"/>
        <w:szCs w:val="16"/>
      </w:rPr>
      <w:t>1</w:t>
    </w:r>
    <w:r>
      <w:rPr>
        <w:color w:val="808080"/>
        <w:sz w:val="16"/>
        <w:szCs w:val="16"/>
      </w:rPr>
      <w:fldChar w:fldCharType="end"/>
    </w:r>
    <w:r>
      <w:rPr>
        <w:color w:val="808080"/>
        <w:sz w:val="16"/>
        <w:szCs w:val="16"/>
      </w:rPr>
      <w:t xml:space="preserve"> of </w:t>
    </w:r>
    <w:r>
      <w:rPr>
        <w:color w:val="808080"/>
        <w:sz w:val="16"/>
        <w:szCs w:val="16"/>
      </w:rPr>
      <w:fldChar w:fldCharType="begin"/>
    </w:r>
    <w:r>
      <w:rPr>
        <w:color w:val="808080"/>
        <w:sz w:val="16"/>
        <w:szCs w:val="16"/>
      </w:rPr>
      <w:instrText>NUMPAGES</w:instrText>
    </w:r>
    <w:r>
      <w:rPr>
        <w:color w:val="808080"/>
        <w:sz w:val="16"/>
        <w:szCs w:val="16"/>
      </w:rPr>
      <w:fldChar w:fldCharType="separate"/>
    </w:r>
    <w:r w:rsidR="004E434B">
      <w:rPr>
        <w:noProof/>
        <w:color w:val="808080"/>
        <w:sz w:val="16"/>
        <w:szCs w:val="16"/>
      </w:rPr>
      <w:t>2</w:t>
    </w:r>
    <w:r>
      <w:rPr>
        <w:color w:val="80808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DE27C" w14:textId="77777777" w:rsidR="00F753EA" w:rsidRDefault="00F753EA">
      <w:r>
        <w:separator/>
      </w:r>
    </w:p>
  </w:footnote>
  <w:footnote w:type="continuationSeparator" w:id="0">
    <w:p w14:paraId="1DB2DFC4" w14:textId="77777777" w:rsidR="00F753EA" w:rsidRDefault="00F753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F288F" w14:textId="29F15721" w:rsidR="00E01253" w:rsidRDefault="00E01253">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230705"/>
    <w:multiLevelType w:val="hybridMultilevel"/>
    <w:tmpl w:val="00226B2C"/>
    <w:lvl w:ilvl="0" w:tplc="ED9C2E8C">
      <w:start w:val="1"/>
      <w:numFmt w:val="bullet"/>
      <w:lvlText w:val="•"/>
      <w:lvlJc w:val="left"/>
      <w:pPr>
        <w:ind w:left="420" w:hanging="260"/>
      </w:pPr>
    </w:lvl>
    <w:lvl w:ilvl="1" w:tplc="1C322858">
      <w:numFmt w:val="decimal"/>
      <w:lvlText w:val=""/>
      <w:lvlJc w:val="left"/>
    </w:lvl>
    <w:lvl w:ilvl="2" w:tplc="2C285B78">
      <w:numFmt w:val="decimal"/>
      <w:lvlText w:val=""/>
      <w:lvlJc w:val="left"/>
    </w:lvl>
    <w:lvl w:ilvl="3" w:tplc="73AAC06C">
      <w:numFmt w:val="decimal"/>
      <w:lvlText w:val=""/>
      <w:lvlJc w:val="left"/>
    </w:lvl>
    <w:lvl w:ilvl="4" w:tplc="63D2FA90">
      <w:numFmt w:val="decimal"/>
      <w:lvlText w:val=""/>
      <w:lvlJc w:val="left"/>
    </w:lvl>
    <w:lvl w:ilvl="5" w:tplc="F76A3E3A">
      <w:numFmt w:val="decimal"/>
      <w:lvlText w:val=""/>
      <w:lvlJc w:val="left"/>
    </w:lvl>
    <w:lvl w:ilvl="6" w:tplc="98FEDBE8">
      <w:numFmt w:val="decimal"/>
      <w:lvlText w:val=""/>
      <w:lvlJc w:val="left"/>
    </w:lvl>
    <w:lvl w:ilvl="7" w:tplc="E1AE709C">
      <w:numFmt w:val="decimal"/>
      <w:lvlText w:val=""/>
      <w:lvlJc w:val="left"/>
    </w:lvl>
    <w:lvl w:ilvl="8" w:tplc="6EE24900">
      <w:numFmt w:val="decimal"/>
      <w:lvlText w:val=""/>
      <w:lvlJc w:val="left"/>
    </w:lvl>
  </w:abstractNum>
  <w:abstractNum w:abstractNumId="1" w15:restartNumberingAfterBreak="0">
    <w:nsid w:val="58FA2770"/>
    <w:multiLevelType w:val="hybridMultilevel"/>
    <w:tmpl w:val="F5960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F947EA"/>
    <w:multiLevelType w:val="hybridMultilevel"/>
    <w:tmpl w:val="20FE141E"/>
    <w:lvl w:ilvl="0" w:tplc="3E386B7A">
      <w:start w:val="1"/>
      <w:numFmt w:val="bullet"/>
      <w:lvlText w:val="●"/>
      <w:lvlJc w:val="left"/>
      <w:pPr>
        <w:ind w:left="720" w:hanging="360"/>
      </w:pPr>
    </w:lvl>
    <w:lvl w:ilvl="1" w:tplc="C57A6A90">
      <w:start w:val="1"/>
      <w:numFmt w:val="bullet"/>
      <w:lvlText w:val="○"/>
      <w:lvlJc w:val="left"/>
      <w:pPr>
        <w:ind w:left="1440" w:hanging="360"/>
      </w:pPr>
    </w:lvl>
    <w:lvl w:ilvl="2" w:tplc="75248488">
      <w:start w:val="1"/>
      <w:numFmt w:val="bullet"/>
      <w:lvlText w:val="■"/>
      <w:lvlJc w:val="left"/>
      <w:pPr>
        <w:ind w:left="2160" w:hanging="360"/>
      </w:pPr>
    </w:lvl>
    <w:lvl w:ilvl="3" w:tplc="D0AE6458">
      <w:start w:val="1"/>
      <w:numFmt w:val="bullet"/>
      <w:lvlText w:val="●"/>
      <w:lvlJc w:val="left"/>
      <w:pPr>
        <w:ind w:left="2880" w:hanging="360"/>
      </w:pPr>
    </w:lvl>
    <w:lvl w:ilvl="4" w:tplc="E22A1036">
      <w:start w:val="1"/>
      <w:numFmt w:val="bullet"/>
      <w:lvlText w:val="○"/>
      <w:lvlJc w:val="left"/>
      <w:pPr>
        <w:ind w:left="3600" w:hanging="360"/>
      </w:pPr>
    </w:lvl>
    <w:lvl w:ilvl="5" w:tplc="64C66A00">
      <w:start w:val="1"/>
      <w:numFmt w:val="bullet"/>
      <w:lvlText w:val="■"/>
      <w:lvlJc w:val="left"/>
      <w:pPr>
        <w:ind w:left="4320" w:hanging="360"/>
      </w:pPr>
    </w:lvl>
    <w:lvl w:ilvl="6" w:tplc="06124980">
      <w:start w:val="1"/>
      <w:numFmt w:val="bullet"/>
      <w:lvlText w:val="●"/>
      <w:lvlJc w:val="left"/>
      <w:pPr>
        <w:ind w:left="5040" w:hanging="360"/>
      </w:pPr>
    </w:lvl>
    <w:lvl w:ilvl="7" w:tplc="4C363982">
      <w:start w:val="1"/>
      <w:numFmt w:val="bullet"/>
      <w:lvlText w:val="●"/>
      <w:lvlJc w:val="left"/>
      <w:pPr>
        <w:ind w:left="5760" w:hanging="360"/>
      </w:pPr>
    </w:lvl>
    <w:lvl w:ilvl="8" w:tplc="84A05192">
      <w:start w:val="1"/>
      <w:numFmt w:val="bullet"/>
      <w:lvlText w:val="●"/>
      <w:lvlJc w:val="left"/>
      <w:pPr>
        <w:ind w:left="6480" w:hanging="360"/>
      </w:pPr>
    </w:lvl>
  </w:abstractNum>
  <w:num w:numId="1" w16cid:durableId="1095636499">
    <w:abstractNumId w:val="2"/>
    <w:lvlOverride w:ilvl="0">
      <w:startOverride w:val="1"/>
    </w:lvlOverride>
  </w:num>
  <w:num w:numId="2" w16cid:durableId="596912743">
    <w:abstractNumId w:val="0"/>
    <w:lvlOverride w:ilvl="0">
      <w:startOverride w:val="1"/>
    </w:lvlOverride>
  </w:num>
  <w:num w:numId="3" w16cid:durableId="6378777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253"/>
    <w:rsid w:val="00236F1F"/>
    <w:rsid w:val="0036367A"/>
    <w:rsid w:val="004E434B"/>
    <w:rsid w:val="006E49D2"/>
    <w:rsid w:val="008C5C57"/>
    <w:rsid w:val="00DA17E9"/>
    <w:rsid w:val="00E01253"/>
    <w:rsid w:val="00F22AE8"/>
    <w:rsid w:val="00F75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A1E48"/>
  <w15:docId w15:val="{7C5F0E45-1560-4D20-8961-224ADFEBB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60"/>
      <w:outlineLvl w:val="0"/>
    </w:pPr>
    <w:rPr>
      <w:b/>
      <w:bCs/>
      <w:color w:val="1F4E79"/>
      <w:sz w:val="30"/>
      <w:szCs w:val="30"/>
    </w:rPr>
  </w:style>
  <w:style w:type="paragraph" w:styleId="Heading2">
    <w:name w:val="heading 2"/>
    <w:uiPriority w:val="9"/>
    <w:unhideWhenUsed/>
    <w:qFormat/>
    <w:pPr>
      <w:spacing w:before="240" w:after="120"/>
      <w:outlineLvl w:val="1"/>
    </w:pPr>
    <w:rPr>
      <w:b/>
      <w:bCs/>
      <w:color w:val="2E5F8A"/>
      <w:sz w:val="25"/>
      <w:szCs w:val="25"/>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36367A"/>
    <w:pPr>
      <w:tabs>
        <w:tab w:val="center" w:pos="4513"/>
        <w:tab w:val="right" w:pos="9026"/>
      </w:tabs>
    </w:pPr>
  </w:style>
  <w:style w:type="character" w:customStyle="1" w:styleId="HeaderChar">
    <w:name w:val="Header Char"/>
    <w:basedOn w:val="DefaultParagraphFont"/>
    <w:link w:val="Header"/>
    <w:uiPriority w:val="99"/>
    <w:rsid w:val="0036367A"/>
  </w:style>
  <w:style w:type="paragraph" w:styleId="Footer">
    <w:name w:val="footer"/>
    <w:basedOn w:val="Normal"/>
    <w:link w:val="FooterChar"/>
    <w:uiPriority w:val="99"/>
    <w:unhideWhenUsed/>
    <w:rsid w:val="0036367A"/>
    <w:pPr>
      <w:tabs>
        <w:tab w:val="center" w:pos="4513"/>
        <w:tab w:val="right" w:pos="9026"/>
      </w:tabs>
    </w:pPr>
  </w:style>
  <w:style w:type="character" w:customStyle="1" w:styleId="FooterChar">
    <w:name w:val="Footer Char"/>
    <w:basedOn w:val="DefaultParagraphFont"/>
    <w:link w:val="Footer"/>
    <w:uiPriority w:val="99"/>
    <w:rsid w:val="003636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2a2be620da7c9b8d1a4dc35bb2178fd8">
  <xsd:schema xmlns:xsd="http://www.w3.org/2001/XMLSchema" xmlns:xs="http://www.w3.org/2001/XMLSchema" xmlns:p="http://schemas.microsoft.com/office/2006/metadata/properties" xmlns:ns3="da3f2772-8f1e-4acb-bd98-3a0ee892f48a" targetNamespace="http://schemas.microsoft.com/office/2006/metadata/properties" ma:root="true" ma:fieldsID="6534fc434e01732e3932f55cc2075bff"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element ref="ns3:MediaServiceBillingMetadata"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D1034BA9-125F-4A5D-9B69-446225D082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14A2FC-570D-406C-B4FA-082B59F5118F}">
  <ds:schemaRefs>
    <ds:schemaRef ds:uri="http://schemas.microsoft.com/sharepoint/v3/contenttype/forms"/>
  </ds:schemaRefs>
</ds:datastoreItem>
</file>

<file path=customXml/itemProps3.xml><?xml version="1.0" encoding="utf-8"?>
<ds:datastoreItem xmlns:ds="http://schemas.openxmlformats.org/officeDocument/2006/customXml" ds:itemID="{E5A27744-6C89-4CAC-92B1-E9C228A1D363}">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4279</Words>
  <Characters>24394</Characters>
  <Application>Microsoft Office Word</Application>
  <DocSecurity>0</DocSecurity>
  <Lines>203</Lines>
  <Paragraphs>57</Paragraphs>
  <ScaleCrop>false</ScaleCrop>
  <Company/>
  <LinksUpToDate>false</LinksUpToDate>
  <CharactersWithSpaces>28616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Muhammad Akteruzzman (2216724)</cp:lastModifiedBy>
  <cp:revision>7</cp:revision>
  <dcterms:created xsi:type="dcterms:W3CDTF">2026-08-04T23:37:00Z</dcterms:created>
  <dcterms:modified xsi:type="dcterms:W3CDTF">2026-08-04T23:43:00Z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