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85407403"/>
        <w:docPartObj>
          <w:docPartGallery w:val="Cover Pages"/>
          <w:docPartUnique/>
        </w:docPartObj>
      </w:sdtPr>
      <w:sdtEndPr>
        <w:rPr>
          <w:rFonts w:ascii="Times New Roman" w:eastAsia="Times New Roman" w:hAnsi="Times New Roman" w:cs="Times New Roman"/>
          <w:b/>
          <w:bCs/>
          <w:color w:val="000000"/>
          <w:kern w:val="0"/>
          <w:sz w:val="27"/>
          <w:szCs w:val="27"/>
          <w:lang w:eastAsia="en-GB"/>
          <w14:ligatures w14:val="none"/>
        </w:rPr>
      </w:sdtEndPr>
      <w:sdtContent>
        <w:p w14:paraId="3C691570" w14:textId="4272A42C" w:rsidR="0082783A" w:rsidRPr="0082783A" w:rsidRDefault="0082783A">
          <w:pPr>
            <w:rPr>
              <w:rFonts w:ascii="Arial" w:hAnsi="Arial" w:cs="Arial"/>
              <w:sz w:val="28"/>
              <w:szCs w:val="28"/>
            </w:rPr>
          </w:pPr>
          <w:r w:rsidRPr="0082783A">
            <w:rPr>
              <w:rFonts w:ascii="Arial" w:hAnsi="Arial" w:cs="Arial"/>
              <w:noProof/>
              <w:sz w:val="28"/>
              <w:szCs w:val="28"/>
            </w:rPr>
            <mc:AlternateContent>
              <mc:Choice Requires="wps">
                <w:drawing>
                  <wp:anchor distT="0" distB="0" distL="114300" distR="114300" simplePos="0" relativeHeight="251661312" behindDoc="0" locked="0" layoutInCell="1" allowOverlap="1" wp14:anchorId="26684E51" wp14:editId="0A915118">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9ED8A42" w14:textId="46BA6C88" w:rsidR="0082783A" w:rsidRPr="0082783A" w:rsidRDefault="0082783A">
                                    <w:pPr>
                                      <w:pStyle w:val="NoSpacing"/>
                                      <w:spacing w:after="480"/>
                                      <w:rPr>
                                        <w:rFonts w:ascii="Arial" w:hAnsi="Arial" w:cs="Arial"/>
                                        <w:i/>
                                        <w:color w:val="262626" w:themeColor="text1" w:themeTint="D9"/>
                                        <w:sz w:val="32"/>
                                        <w:szCs w:val="32"/>
                                      </w:rPr>
                                    </w:pPr>
                                    <w:r w:rsidRPr="0082783A">
                                      <w:rPr>
                                        <w:rFonts w:ascii="Arial" w:hAnsi="Arial" w:cs="Arial"/>
                                        <w:i/>
                                        <w:color w:val="262626" w:themeColor="text1" w:themeTint="D9"/>
                                        <w:sz w:val="32"/>
                                        <w:szCs w:val="32"/>
                                      </w:rPr>
                                      <w:t>Student: Costin-Alexandru Chirita (2210952)</w:t>
                                    </w:r>
                                  </w:p>
                                </w:sdtContent>
                              </w:sdt>
                              <w:p w14:paraId="38DDEDFB" w14:textId="7194EA00" w:rsidR="0082783A" w:rsidRPr="0082783A" w:rsidRDefault="0082783A">
                                <w:pPr>
                                  <w:pStyle w:val="NoSpacing"/>
                                  <w:rPr>
                                    <w:rFonts w:ascii="Arial" w:hAnsi="Arial" w:cs="Arial"/>
                                    <w:i/>
                                    <w:color w:val="262626" w:themeColor="text1" w:themeTint="D9"/>
                                    <w:sz w:val="26"/>
                                    <w:szCs w:val="26"/>
                                  </w:rPr>
                                </w:pPr>
                                <w:r w:rsidRPr="0082783A">
                                  <w:rPr>
                                    <w:rFonts w:ascii="Arial" w:hAnsi="Arial" w:cs="Arial"/>
                                    <w:i/>
                                    <w:color w:val="262626" w:themeColor="text1" w:themeTint="D9"/>
                                    <w:sz w:val="26"/>
                                    <w:szCs w:val="26"/>
                                  </w:rPr>
                                  <w:t>Lecturer: Abdi Rahman</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6684E51"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rFonts w:ascii="Arial" w:hAnsi="Arial" w:cs="Arial"/>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9ED8A42" w14:textId="46BA6C88" w:rsidR="0082783A" w:rsidRPr="0082783A" w:rsidRDefault="0082783A">
                              <w:pPr>
                                <w:pStyle w:val="NoSpacing"/>
                                <w:spacing w:after="480"/>
                                <w:rPr>
                                  <w:rFonts w:ascii="Arial" w:hAnsi="Arial" w:cs="Arial"/>
                                  <w:i/>
                                  <w:color w:val="262626" w:themeColor="text1" w:themeTint="D9"/>
                                  <w:sz w:val="32"/>
                                  <w:szCs w:val="32"/>
                                </w:rPr>
                              </w:pPr>
                              <w:r w:rsidRPr="0082783A">
                                <w:rPr>
                                  <w:rFonts w:ascii="Arial" w:hAnsi="Arial" w:cs="Arial"/>
                                  <w:i/>
                                  <w:color w:val="262626" w:themeColor="text1" w:themeTint="D9"/>
                                  <w:sz w:val="32"/>
                                  <w:szCs w:val="32"/>
                                </w:rPr>
                                <w:t>Student: Costin-Alexandru Chirita (2210952)</w:t>
                              </w:r>
                            </w:p>
                          </w:sdtContent>
                        </w:sdt>
                        <w:p w14:paraId="38DDEDFB" w14:textId="7194EA00" w:rsidR="0082783A" w:rsidRPr="0082783A" w:rsidRDefault="0082783A">
                          <w:pPr>
                            <w:pStyle w:val="NoSpacing"/>
                            <w:rPr>
                              <w:rFonts w:ascii="Arial" w:hAnsi="Arial" w:cs="Arial"/>
                              <w:i/>
                              <w:color w:val="262626" w:themeColor="text1" w:themeTint="D9"/>
                              <w:sz w:val="26"/>
                              <w:szCs w:val="26"/>
                            </w:rPr>
                          </w:pPr>
                          <w:r w:rsidRPr="0082783A">
                            <w:rPr>
                              <w:rFonts w:ascii="Arial" w:hAnsi="Arial" w:cs="Arial"/>
                              <w:i/>
                              <w:color w:val="262626" w:themeColor="text1" w:themeTint="D9"/>
                              <w:sz w:val="26"/>
                              <w:szCs w:val="26"/>
                            </w:rPr>
                            <w:t>Lecturer: Abdi Rahman</w:t>
                          </w:r>
                        </w:p>
                      </w:txbxContent>
                    </v:textbox>
                    <w10:wrap anchorx="page" anchory="page"/>
                  </v:shape>
                </w:pict>
              </mc:Fallback>
            </mc:AlternateContent>
          </w:r>
          <w:r w:rsidRPr="0082783A">
            <w:rPr>
              <w:rFonts w:ascii="Arial" w:hAnsi="Arial" w:cs="Arial"/>
              <w:noProof/>
              <w:sz w:val="28"/>
              <w:szCs w:val="28"/>
            </w:rPr>
            <mc:AlternateContent>
              <mc:Choice Requires="wps">
                <w:drawing>
                  <wp:anchor distT="0" distB="0" distL="114300" distR="114300" simplePos="0" relativeHeight="251660288" behindDoc="1" locked="0" layoutInCell="1" allowOverlap="1" wp14:anchorId="03E0CD21" wp14:editId="622A226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A67F10A"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sidRPr="0082783A">
            <w:rPr>
              <w:rFonts w:ascii="Arial" w:hAnsi="Arial" w:cs="Arial"/>
              <w:noProof/>
              <w:sz w:val="28"/>
              <w:szCs w:val="28"/>
            </w:rPr>
            <mc:AlternateContent>
              <mc:Choice Requires="wps">
                <w:drawing>
                  <wp:anchor distT="0" distB="0" distL="114300" distR="114300" simplePos="0" relativeHeight="251659264" behindDoc="0" locked="0" layoutInCell="1" allowOverlap="1" wp14:anchorId="0577E60D" wp14:editId="63C13F83">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i/>
                                    <w:caps/>
                                    <w:color w:val="262626" w:themeColor="text1" w:themeTint="D9"/>
                                    <w:sz w:val="52"/>
                                    <w:szCs w:val="5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4FF8529" w14:textId="0057BAD2" w:rsidR="0082783A" w:rsidRPr="0082783A" w:rsidRDefault="0082783A">
                                    <w:pPr>
                                      <w:pStyle w:val="NoSpacing"/>
                                      <w:spacing w:after="900"/>
                                      <w:rPr>
                                        <w:rFonts w:ascii="Arial" w:hAnsi="Arial" w:cs="Arial"/>
                                        <w:i/>
                                        <w:caps/>
                                        <w:color w:val="262626" w:themeColor="text1" w:themeTint="D9"/>
                                        <w:sz w:val="52"/>
                                        <w:szCs w:val="52"/>
                                      </w:rPr>
                                    </w:pPr>
                                    <w:r w:rsidRPr="0082783A">
                                      <w:rPr>
                                        <w:rFonts w:ascii="Arial" w:hAnsi="Arial" w:cs="Arial"/>
                                        <w:i/>
                                        <w:caps/>
                                        <w:color w:val="262626" w:themeColor="text1" w:themeTint="D9"/>
                                        <w:sz w:val="52"/>
                                        <w:szCs w:val="52"/>
                                      </w:rPr>
                                      <w:t>Strategic Analysis and Recommendations for Triumph Motorcycles in the UK Automotive Sector</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9A43A9A" w14:textId="496903C6" w:rsidR="0082783A" w:rsidRPr="0082783A" w:rsidRDefault="0082783A">
                                    <w:pPr>
                                      <w:pStyle w:val="NoSpacing"/>
                                      <w:rPr>
                                        <w:rFonts w:ascii="Arial" w:hAnsi="Arial" w:cs="Arial"/>
                                        <w:i/>
                                        <w:color w:val="262626" w:themeColor="text1" w:themeTint="D9"/>
                                        <w:sz w:val="36"/>
                                        <w:szCs w:val="36"/>
                                      </w:rPr>
                                    </w:pPr>
                                    <w:r w:rsidRPr="0082783A">
                                      <w:rPr>
                                        <w:rFonts w:ascii="Arial" w:hAnsi="Arial" w:cs="Arial"/>
                                        <w:color w:val="262626" w:themeColor="text1" w:themeTint="D9"/>
                                        <w:sz w:val="36"/>
                                        <w:szCs w:val="36"/>
                                      </w:rPr>
                                      <w:t>LCBB6004 – Strategic Management and Sustainability</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577E60D"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Arial" w:hAnsi="Arial" w:cs="Arial"/>
                              <w:i/>
                              <w:caps/>
                              <w:color w:val="262626" w:themeColor="text1" w:themeTint="D9"/>
                              <w:sz w:val="52"/>
                              <w:szCs w:val="5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34FF8529" w14:textId="0057BAD2" w:rsidR="0082783A" w:rsidRPr="0082783A" w:rsidRDefault="0082783A">
                              <w:pPr>
                                <w:pStyle w:val="NoSpacing"/>
                                <w:spacing w:after="900"/>
                                <w:rPr>
                                  <w:rFonts w:ascii="Arial" w:hAnsi="Arial" w:cs="Arial"/>
                                  <w:i/>
                                  <w:caps/>
                                  <w:color w:val="262626" w:themeColor="text1" w:themeTint="D9"/>
                                  <w:sz w:val="52"/>
                                  <w:szCs w:val="52"/>
                                </w:rPr>
                              </w:pPr>
                              <w:r w:rsidRPr="0082783A">
                                <w:rPr>
                                  <w:rFonts w:ascii="Arial" w:hAnsi="Arial" w:cs="Arial"/>
                                  <w:i/>
                                  <w:caps/>
                                  <w:color w:val="262626" w:themeColor="text1" w:themeTint="D9"/>
                                  <w:sz w:val="52"/>
                                  <w:szCs w:val="52"/>
                                </w:rPr>
                                <w:t>Strategic Analysis and Recommendations for Triumph Motorcycles in the UK Automotive Sector</w:t>
                              </w:r>
                            </w:p>
                          </w:sdtContent>
                        </w:sdt>
                        <w:sdt>
                          <w:sdtPr>
                            <w:rPr>
                              <w:rFonts w:ascii="Arial" w:hAnsi="Arial" w:cs="Arial"/>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49A43A9A" w14:textId="496903C6" w:rsidR="0082783A" w:rsidRPr="0082783A" w:rsidRDefault="0082783A">
                              <w:pPr>
                                <w:pStyle w:val="NoSpacing"/>
                                <w:rPr>
                                  <w:rFonts w:ascii="Arial" w:hAnsi="Arial" w:cs="Arial"/>
                                  <w:i/>
                                  <w:color w:val="262626" w:themeColor="text1" w:themeTint="D9"/>
                                  <w:sz w:val="36"/>
                                  <w:szCs w:val="36"/>
                                </w:rPr>
                              </w:pPr>
                              <w:r w:rsidRPr="0082783A">
                                <w:rPr>
                                  <w:rFonts w:ascii="Arial" w:hAnsi="Arial" w:cs="Arial"/>
                                  <w:color w:val="262626" w:themeColor="text1" w:themeTint="D9"/>
                                  <w:sz w:val="36"/>
                                  <w:szCs w:val="36"/>
                                </w:rPr>
                                <w:t>LCBB6004 – Strategic Management and Sustainability</w:t>
                              </w:r>
                            </w:p>
                          </w:sdtContent>
                        </w:sdt>
                      </w:txbxContent>
                    </v:textbox>
                    <w10:wrap anchorx="page" anchory="page"/>
                  </v:shape>
                </w:pict>
              </mc:Fallback>
            </mc:AlternateContent>
          </w:r>
          <w:r w:rsidRPr="0082783A">
            <w:rPr>
              <w:rFonts w:ascii="Arial" w:hAnsi="Arial" w:cs="Arial"/>
              <w:sz w:val="28"/>
              <w:szCs w:val="28"/>
            </w:rPr>
            <w:t>University of Wales Trinity Saint David</w:t>
          </w:r>
        </w:p>
        <w:p w14:paraId="0332AB98" w14:textId="0CED8C3F" w:rsidR="0082783A" w:rsidRDefault="0082783A">
          <w:pPr>
            <w:rPr>
              <w:rFonts w:ascii="Times New Roman" w:eastAsia="Times New Roman" w:hAnsi="Times New Roman" w:cs="Times New Roman"/>
              <w:b/>
              <w:bCs/>
              <w:color w:val="000000"/>
              <w:kern w:val="0"/>
              <w:sz w:val="27"/>
              <w:szCs w:val="27"/>
              <w:lang w:eastAsia="en-GB"/>
              <w14:ligatures w14:val="none"/>
            </w:rPr>
          </w:pPr>
          <w:r>
            <w:rPr>
              <w:rFonts w:ascii="Times New Roman" w:eastAsia="Times New Roman" w:hAnsi="Times New Roman" w:cs="Times New Roman"/>
              <w:b/>
              <w:bCs/>
              <w:color w:val="000000"/>
              <w:kern w:val="0"/>
              <w:sz w:val="27"/>
              <w:szCs w:val="27"/>
              <w:lang w:eastAsia="en-GB"/>
              <w14:ligatures w14:val="none"/>
            </w:rPr>
            <w:br w:type="page"/>
          </w:r>
        </w:p>
      </w:sdtContent>
    </w:sdt>
    <w:p w14:paraId="06A9DD3D" w14:textId="77777777" w:rsidR="0082783A" w:rsidRPr="0082783A" w:rsidRDefault="0082783A" w:rsidP="00CE68C1">
      <w:pPr>
        <w:spacing w:before="100" w:beforeAutospacing="1" w:after="100" w:afterAutospacing="1"/>
        <w:outlineLvl w:val="3"/>
        <w:rPr>
          <w:rFonts w:ascii="Arial" w:eastAsia="Times New Roman" w:hAnsi="Arial" w:cs="Arial"/>
          <w:b/>
          <w:bCs/>
          <w:color w:val="000000"/>
          <w:kern w:val="0"/>
          <w:lang w:eastAsia="en-GB"/>
          <w14:ligatures w14:val="none"/>
        </w:rPr>
      </w:pPr>
    </w:p>
    <w:sdt>
      <w:sdtPr>
        <w:rPr>
          <w:rFonts w:ascii="Arial" w:hAnsi="Arial" w:cs="Arial"/>
        </w:rPr>
        <w:id w:val="-1923252951"/>
        <w:docPartObj>
          <w:docPartGallery w:val="Table of Contents"/>
          <w:docPartUnique/>
        </w:docPartObj>
      </w:sdtPr>
      <w:sdtEndPr>
        <w:rPr>
          <w:rFonts w:eastAsiaTheme="minorHAnsi"/>
          <w:noProof/>
          <w:color w:val="auto"/>
          <w:kern w:val="2"/>
          <w:sz w:val="24"/>
          <w:szCs w:val="24"/>
          <w:lang w:val="en-GB"/>
          <w14:ligatures w14:val="standardContextual"/>
        </w:rPr>
      </w:sdtEndPr>
      <w:sdtContent>
        <w:p w14:paraId="4109D67E" w14:textId="429AC61B" w:rsidR="0082783A" w:rsidRPr="0082783A" w:rsidRDefault="0082783A">
          <w:pPr>
            <w:pStyle w:val="TOCHeading"/>
            <w:rPr>
              <w:rFonts w:ascii="Arial" w:hAnsi="Arial" w:cs="Arial"/>
            </w:rPr>
          </w:pPr>
          <w:r w:rsidRPr="0082783A">
            <w:rPr>
              <w:rFonts w:ascii="Arial" w:hAnsi="Arial" w:cs="Arial"/>
            </w:rPr>
            <w:t>Table of Contents</w:t>
          </w:r>
        </w:p>
        <w:p w14:paraId="68967B62" w14:textId="641AED7F" w:rsidR="007D693B" w:rsidRDefault="0082783A">
          <w:pPr>
            <w:pStyle w:val="TOC1"/>
            <w:tabs>
              <w:tab w:val="right" w:leader="dot" w:pos="9016"/>
            </w:tabs>
            <w:rPr>
              <w:rFonts w:eastAsiaTheme="minorEastAsia" w:cstheme="minorBidi"/>
              <w:b w:val="0"/>
              <w:bCs w:val="0"/>
              <w:i w:val="0"/>
              <w:iCs w:val="0"/>
              <w:noProof/>
              <w:lang w:eastAsia="en-GB"/>
            </w:rPr>
          </w:pPr>
          <w:r w:rsidRPr="0082783A">
            <w:rPr>
              <w:rFonts w:ascii="Arial" w:hAnsi="Arial" w:cs="Arial"/>
              <w:b w:val="0"/>
              <w:bCs w:val="0"/>
            </w:rPr>
            <w:fldChar w:fldCharType="begin"/>
          </w:r>
          <w:r w:rsidRPr="0082783A">
            <w:rPr>
              <w:rFonts w:ascii="Arial" w:hAnsi="Arial" w:cs="Arial"/>
            </w:rPr>
            <w:instrText xml:space="preserve"> TOC \o "1-3" \h \z \u </w:instrText>
          </w:r>
          <w:r w:rsidRPr="0082783A">
            <w:rPr>
              <w:rFonts w:ascii="Arial" w:hAnsi="Arial" w:cs="Arial"/>
              <w:b w:val="0"/>
              <w:bCs w:val="0"/>
            </w:rPr>
            <w:fldChar w:fldCharType="separate"/>
          </w:r>
          <w:hyperlink w:anchor="_Toc191114764" w:history="1">
            <w:r w:rsidR="007D693B" w:rsidRPr="00BB2AD5">
              <w:rPr>
                <w:rStyle w:val="Hyperlink"/>
                <w:rFonts w:eastAsia="Times New Roman"/>
                <w:noProof/>
                <w:lang w:eastAsia="en-GB"/>
              </w:rPr>
              <w:t>Executive Summary</w:t>
            </w:r>
            <w:r w:rsidR="007D693B">
              <w:rPr>
                <w:noProof/>
                <w:webHidden/>
              </w:rPr>
              <w:tab/>
            </w:r>
            <w:r w:rsidR="007D693B">
              <w:rPr>
                <w:noProof/>
                <w:webHidden/>
              </w:rPr>
              <w:fldChar w:fldCharType="begin"/>
            </w:r>
            <w:r w:rsidR="007D693B">
              <w:rPr>
                <w:noProof/>
                <w:webHidden/>
              </w:rPr>
              <w:instrText xml:space="preserve"> PAGEREF _Toc191114764 \h </w:instrText>
            </w:r>
            <w:r w:rsidR="007D693B">
              <w:rPr>
                <w:noProof/>
                <w:webHidden/>
              </w:rPr>
            </w:r>
            <w:r w:rsidR="007D693B">
              <w:rPr>
                <w:noProof/>
                <w:webHidden/>
              </w:rPr>
              <w:fldChar w:fldCharType="separate"/>
            </w:r>
            <w:r w:rsidR="007D693B">
              <w:rPr>
                <w:noProof/>
                <w:webHidden/>
              </w:rPr>
              <w:t>2</w:t>
            </w:r>
            <w:r w:rsidR="007D693B">
              <w:rPr>
                <w:noProof/>
                <w:webHidden/>
              </w:rPr>
              <w:fldChar w:fldCharType="end"/>
            </w:r>
          </w:hyperlink>
        </w:p>
        <w:p w14:paraId="70084480" w14:textId="3BE3BDD5" w:rsidR="007D693B" w:rsidRDefault="007D693B">
          <w:pPr>
            <w:pStyle w:val="TOC1"/>
            <w:tabs>
              <w:tab w:val="right" w:leader="dot" w:pos="9016"/>
            </w:tabs>
            <w:rPr>
              <w:rFonts w:eastAsiaTheme="minorEastAsia" w:cstheme="minorBidi"/>
              <w:b w:val="0"/>
              <w:bCs w:val="0"/>
              <w:i w:val="0"/>
              <w:iCs w:val="0"/>
              <w:noProof/>
              <w:lang w:eastAsia="en-GB"/>
            </w:rPr>
          </w:pPr>
          <w:hyperlink w:anchor="_Toc191114765" w:history="1">
            <w:r w:rsidRPr="00BB2AD5">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_Toc191114765 \h </w:instrText>
            </w:r>
            <w:r>
              <w:rPr>
                <w:noProof/>
                <w:webHidden/>
              </w:rPr>
            </w:r>
            <w:r>
              <w:rPr>
                <w:noProof/>
                <w:webHidden/>
              </w:rPr>
              <w:fldChar w:fldCharType="separate"/>
            </w:r>
            <w:r>
              <w:rPr>
                <w:noProof/>
                <w:webHidden/>
              </w:rPr>
              <w:t>2</w:t>
            </w:r>
            <w:r>
              <w:rPr>
                <w:noProof/>
                <w:webHidden/>
              </w:rPr>
              <w:fldChar w:fldCharType="end"/>
            </w:r>
          </w:hyperlink>
        </w:p>
        <w:p w14:paraId="0838E3E8" w14:textId="56CBCC97" w:rsidR="007D693B" w:rsidRDefault="007D693B">
          <w:pPr>
            <w:pStyle w:val="TOC1"/>
            <w:tabs>
              <w:tab w:val="right" w:leader="dot" w:pos="9016"/>
            </w:tabs>
            <w:rPr>
              <w:rFonts w:eastAsiaTheme="minorEastAsia" w:cstheme="minorBidi"/>
              <w:b w:val="0"/>
              <w:bCs w:val="0"/>
              <w:i w:val="0"/>
              <w:iCs w:val="0"/>
              <w:noProof/>
              <w:lang w:eastAsia="en-GB"/>
            </w:rPr>
          </w:pPr>
          <w:hyperlink w:anchor="_Toc191114766" w:history="1">
            <w:r w:rsidRPr="00BB2AD5">
              <w:rPr>
                <w:rStyle w:val="Hyperlink"/>
                <w:rFonts w:eastAsia="Times New Roman"/>
                <w:noProof/>
                <w:lang w:eastAsia="en-GB"/>
              </w:rPr>
              <w:t>2. Company Overview</w:t>
            </w:r>
            <w:r>
              <w:rPr>
                <w:noProof/>
                <w:webHidden/>
              </w:rPr>
              <w:tab/>
            </w:r>
            <w:r>
              <w:rPr>
                <w:noProof/>
                <w:webHidden/>
              </w:rPr>
              <w:fldChar w:fldCharType="begin"/>
            </w:r>
            <w:r>
              <w:rPr>
                <w:noProof/>
                <w:webHidden/>
              </w:rPr>
              <w:instrText xml:space="preserve"> PAGEREF _Toc191114766 \h </w:instrText>
            </w:r>
            <w:r>
              <w:rPr>
                <w:noProof/>
                <w:webHidden/>
              </w:rPr>
            </w:r>
            <w:r>
              <w:rPr>
                <w:noProof/>
                <w:webHidden/>
              </w:rPr>
              <w:fldChar w:fldCharType="separate"/>
            </w:r>
            <w:r>
              <w:rPr>
                <w:noProof/>
                <w:webHidden/>
              </w:rPr>
              <w:t>2</w:t>
            </w:r>
            <w:r>
              <w:rPr>
                <w:noProof/>
                <w:webHidden/>
              </w:rPr>
              <w:fldChar w:fldCharType="end"/>
            </w:r>
          </w:hyperlink>
        </w:p>
        <w:p w14:paraId="098BE312" w14:textId="4ACEE5B6" w:rsidR="007D693B" w:rsidRDefault="007D693B">
          <w:pPr>
            <w:pStyle w:val="TOC1"/>
            <w:tabs>
              <w:tab w:val="right" w:leader="dot" w:pos="9016"/>
            </w:tabs>
            <w:rPr>
              <w:rFonts w:eastAsiaTheme="minorEastAsia" w:cstheme="minorBidi"/>
              <w:b w:val="0"/>
              <w:bCs w:val="0"/>
              <w:i w:val="0"/>
              <w:iCs w:val="0"/>
              <w:noProof/>
              <w:lang w:eastAsia="en-GB"/>
            </w:rPr>
          </w:pPr>
          <w:hyperlink w:anchor="_Toc191114767" w:history="1">
            <w:r w:rsidRPr="00BB2AD5">
              <w:rPr>
                <w:rStyle w:val="Hyperlink"/>
                <w:rFonts w:eastAsia="Times New Roman"/>
                <w:noProof/>
                <w:lang w:eastAsia="en-GB"/>
              </w:rPr>
              <w:t>3. External Environment Analysis</w:t>
            </w:r>
            <w:r>
              <w:rPr>
                <w:noProof/>
                <w:webHidden/>
              </w:rPr>
              <w:tab/>
            </w:r>
            <w:r>
              <w:rPr>
                <w:noProof/>
                <w:webHidden/>
              </w:rPr>
              <w:fldChar w:fldCharType="begin"/>
            </w:r>
            <w:r>
              <w:rPr>
                <w:noProof/>
                <w:webHidden/>
              </w:rPr>
              <w:instrText xml:space="preserve"> PAGEREF _Toc191114767 \h </w:instrText>
            </w:r>
            <w:r>
              <w:rPr>
                <w:noProof/>
                <w:webHidden/>
              </w:rPr>
            </w:r>
            <w:r>
              <w:rPr>
                <w:noProof/>
                <w:webHidden/>
              </w:rPr>
              <w:fldChar w:fldCharType="separate"/>
            </w:r>
            <w:r>
              <w:rPr>
                <w:noProof/>
                <w:webHidden/>
              </w:rPr>
              <w:t>3</w:t>
            </w:r>
            <w:r>
              <w:rPr>
                <w:noProof/>
                <w:webHidden/>
              </w:rPr>
              <w:fldChar w:fldCharType="end"/>
            </w:r>
          </w:hyperlink>
        </w:p>
        <w:p w14:paraId="5692EE52" w14:textId="67EBF295" w:rsidR="007D693B" w:rsidRDefault="007D693B">
          <w:pPr>
            <w:pStyle w:val="TOC2"/>
            <w:tabs>
              <w:tab w:val="right" w:leader="dot" w:pos="9016"/>
            </w:tabs>
            <w:rPr>
              <w:rFonts w:eastAsiaTheme="minorEastAsia" w:cstheme="minorBidi"/>
              <w:b w:val="0"/>
              <w:bCs w:val="0"/>
              <w:noProof/>
              <w:sz w:val="24"/>
              <w:szCs w:val="24"/>
              <w:lang w:eastAsia="en-GB"/>
            </w:rPr>
          </w:pPr>
          <w:hyperlink w:anchor="_Toc191114768" w:history="1">
            <w:r w:rsidRPr="00BB2AD5">
              <w:rPr>
                <w:rStyle w:val="Hyperlink"/>
                <w:rFonts w:eastAsia="Times New Roman"/>
                <w:noProof/>
                <w:lang w:eastAsia="en-GB"/>
              </w:rPr>
              <w:t>3.1 PESTEL Analysis</w:t>
            </w:r>
            <w:r>
              <w:rPr>
                <w:noProof/>
                <w:webHidden/>
              </w:rPr>
              <w:tab/>
            </w:r>
            <w:r>
              <w:rPr>
                <w:noProof/>
                <w:webHidden/>
              </w:rPr>
              <w:fldChar w:fldCharType="begin"/>
            </w:r>
            <w:r>
              <w:rPr>
                <w:noProof/>
                <w:webHidden/>
              </w:rPr>
              <w:instrText xml:space="preserve"> PAGEREF _Toc191114768 \h </w:instrText>
            </w:r>
            <w:r>
              <w:rPr>
                <w:noProof/>
                <w:webHidden/>
              </w:rPr>
            </w:r>
            <w:r>
              <w:rPr>
                <w:noProof/>
                <w:webHidden/>
              </w:rPr>
              <w:fldChar w:fldCharType="separate"/>
            </w:r>
            <w:r>
              <w:rPr>
                <w:noProof/>
                <w:webHidden/>
              </w:rPr>
              <w:t>3</w:t>
            </w:r>
            <w:r>
              <w:rPr>
                <w:noProof/>
                <w:webHidden/>
              </w:rPr>
              <w:fldChar w:fldCharType="end"/>
            </w:r>
          </w:hyperlink>
        </w:p>
        <w:p w14:paraId="5DCDB640" w14:textId="13BA1F46" w:rsidR="007D693B" w:rsidRDefault="007D693B">
          <w:pPr>
            <w:pStyle w:val="TOC2"/>
            <w:tabs>
              <w:tab w:val="right" w:leader="dot" w:pos="9016"/>
            </w:tabs>
            <w:rPr>
              <w:rFonts w:eastAsiaTheme="minorEastAsia" w:cstheme="minorBidi"/>
              <w:b w:val="0"/>
              <w:bCs w:val="0"/>
              <w:noProof/>
              <w:sz w:val="24"/>
              <w:szCs w:val="24"/>
              <w:lang w:eastAsia="en-GB"/>
            </w:rPr>
          </w:pPr>
          <w:hyperlink w:anchor="_Toc191114769" w:history="1">
            <w:r w:rsidRPr="00BB2AD5">
              <w:rPr>
                <w:rStyle w:val="Hyperlink"/>
                <w:rFonts w:eastAsia="Times New Roman"/>
                <w:noProof/>
                <w:lang w:eastAsia="en-GB"/>
              </w:rPr>
              <w:t>3.2 Porter’s Five Forces Analysis</w:t>
            </w:r>
            <w:r>
              <w:rPr>
                <w:noProof/>
                <w:webHidden/>
              </w:rPr>
              <w:tab/>
            </w:r>
            <w:r>
              <w:rPr>
                <w:noProof/>
                <w:webHidden/>
              </w:rPr>
              <w:fldChar w:fldCharType="begin"/>
            </w:r>
            <w:r>
              <w:rPr>
                <w:noProof/>
                <w:webHidden/>
              </w:rPr>
              <w:instrText xml:space="preserve"> PAGEREF _Toc191114769 \h </w:instrText>
            </w:r>
            <w:r>
              <w:rPr>
                <w:noProof/>
                <w:webHidden/>
              </w:rPr>
            </w:r>
            <w:r>
              <w:rPr>
                <w:noProof/>
                <w:webHidden/>
              </w:rPr>
              <w:fldChar w:fldCharType="separate"/>
            </w:r>
            <w:r>
              <w:rPr>
                <w:noProof/>
                <w:webHidden/>
              </w:rPr>
              <w:t>5</w:t>
            </w:r>
            <w:r>
              <w:rPr>
                <w:noProof/>
                <w:webHidden/>
              </w:rPr>
              <w:fldChar w:fldCharType="end"/>
            </w:r>
          </w:hyperlink>
        </w:p>
        <w:p w14:paraId="37D595C2" w14:textId="43CF3C5B" w:rsidR="007D693B" w:rsidRDefault="007D693B">
          <w:pPr>
            <w:pStyle w:val="TOC1"/>
            <w:tabs>
              <w:tab w:val="right" w:leader="dot" w:pos="9016"/>
            </w:tabs>
            <w:rPr>
              <w:rFonts w:eastAsiaTheme="minorEastAsia" w:cstheme="minorBidi"/>
              <w:b w:val="0"/>
              <w:bCs w:val="0"/>
              <w:i w:val="0"/>
              <w:iCs w:val="0"/>
              <w:noProof/>
              <w:lang w:eastAsia="en-GB"/>
            </w:rPr>
          </w:pPr>
          <w:hyperlink w:anchor="_Toc191114770" w:history="1">
            <w:r w:rsidRPr="00BB2AD5">
              <w:rPr>
                <w:rStyle w:val="Hyperlink"/>
                <w:rFonts w:eastAsia="Times New Roman"/>
                <w:noProof/>
                <w:lang w:eastAsia="en-GB"/>
              </w:rPr>
              <w:t>4. Internal Environment Analysis</w:t>
            </w:r>
            <w:r>
              <w:rPr>
                <w:noProof/>
                <w:webHidden/>
              </w:rPr>
              <w:tab/>
            </w:r>
            <w:r>
              <w:rPr>
                <w:noProof/>
                <w:webHidden/>
              </w:rPr>
              <w:fldChar w:fldCharType="begin"/>
            </w:r>
            <w:r>
              <w:rPr>
                <w:noProof/>
                <w:webHidden/>
              </w:rPr>
              <w:instrText xml:space="preserve"> PAGEREF _Toc191114770 \h </w:instrText>
            </w:r>
            <w:r>
              <w:rPr>
                <w:noProof/>
                <w:webHidden/>
              </w:rPr>
            </w:r>
            <w:r>
              <w:rPr>
                <w:noProof/>
                <w:webHidden/>
              </w:rPr>
              <w:fldChar w:fldCharType="separate"/>
            </w:r>
            <w:r>
              <w:rPr>
                <w:noProof/>
                <w:webHidden/>
              </w:rPr>
              <w:t>6</w:t>
            </w:r>
            <w:r>
              <w:rPr>
                <w:noProof/>
                <w:webHidden/>
              </w:rPr>
              <w:fldChar w:fldCharType="end"/>
            </w:r>
          </w:hyperlink>
        </w:p>
        <w:p w14:paraId="17DF0B85" w14:textId="6A1A8BDC" w:rsidR="007D693B" w:rsidRDefault="007D693B">
          <w:pPr>
            <w:pStyle w:val="TOC2"/>
            <w:tabs>
              <w:tab w:val="right" w:leader="dot" w:pos="9016"/>
            </w:tabs>
            <w:rPr>
              <w:rFonts w:eastAsiaTheme="minorEastAsia" w:cstheme="minorBidi"/>
              <w:b w:val="0"/>
              <w:bCs w:val="0"/>
              <w:noProof/>
              <w:sz w:val="24"/>
              <w:szCs w:val="24"/>
              <w:lang w:eastAsia="en-GB"/>
            </w:rPr>
          </w:pPr>
          <w:hyperlink w:anchor="_Toc191114771" w:history="1">
            <w:r w:rsidRPr="00BB2AD5">
              <w:rPr>
                <w:rStyle w:val="Hyperlink"/>
                <w:rFonts w:eastAsia="Times New Roman"/>
                <w:noProof/>
                <w:lang w:eastAsia="en-GB"/>
              </w:rPr>
              <w:t>4.1 SWOT Analysis</w:t>
            </w:r>
            <w:r>
              <w:rPr>
                <w:noProof/>
                <w:webHidden/>
              </w:rPr>
              <w:tab/>
            </w:r>
            <w:r>
              <w:rPr>
                <w:noProof/>
                <w:webHidden/>
              </w:rPr>
              <w:fldChar w:fldCharType="begin"/>
            </w:r>
            <w:r>
              <w:rPr>
                <w:noProof/>
                <w:webHidden/>
              </w:rPr>
              <w:instrText xml:space="preserve"> PAGEREF _Toc191114771 \h </w:instrText>
            </w:r>
            <w:r>
              <w:rPr>
                <w:noProof/>
                <w:webHidden/>
              </w:rPr>
            </w:r>
            <w:r>
              <w:rPr>
                <w:noProof/>
                <w:webHidden/>
              </w:rPr>
              <w:fldChar w:fldCharType="separate"/>
            </w:r>
            <w:r>
              <w:rPr>
                <w:noProof/>
                <w:webHidden/>
              </w:rPr>
              <w:t>6</w:t>
            </w:r>
            <w:r>
              <w:rPr>
                <w:noProof/>
                <w:webHidden/>
              </w:rPr>
              <w:fldChar w:fldCharType="end"/>
            </w:r>
          </w:hyperlink>
        </w:p>
        <w:p w14:paraId="62C9B133" w14:textId="27CF90FA" w:rsidR="007D693B" w:rsidRDefault="007D693B">
          <w:pPr>
            <w:pStyle w:val="TOC1"/>
            <w:tabs>
              <w:tab w:val="right" w:leader="dot" w:pos="9016"/>
            </w:tabs>
            <w:rPr>
              <w:rFonts w:eastAsiaTheme="minorEastAsia" w:cstheme="minorBidi"/>
              <w:b w:val="0"/>
              <w:bCs w:val="0"/>
              <w:i w:val="0"/>
              <w:iCs w:val="0"/>
              <w:noProof/>
              <w:lang w:eastAsia="en-GB"/>
            </w:rPr>
          </w:pPr>
          <w:hyperlink w:anchor="_Toc191114772" w:history="1">
            <w:r w:rsidRPr="00BB2AD5">
              <w:rPr>
                <w:rStyle w:val="Hyperlink"/>
                <w:rFonts w:eastAsia="Times New Roman"/>
                <w:noProof/>
                <w:lang w:eastAsia="en-GB"/>
              </w:rPr>
              <w:t>5. Strategic Recommendations</w:t>
            </w:r>
            <w:r>
              <w:rPr>
                <w:noProof/>
                <w:webHidden/>
              </w:rPr>
              <w:tab/>
            </w:r>
            <w:r>
              <w:rPr>
                <w:noProof/>
                <w:webHidden/>
              </w:rPr>
              <w:fldChar w:fldCharType="begin"/>
            </w:r>
            <w:r>
              <w:rPr>
                <w:noProof/>
                <w:webHidden/>
              </w:rPr>
              <w:instrText xml:space="preserve"> PAGEREF _Toc191114772 \h </w:instrText>
            </w:r>
            <w:r>
              <w:rPr>
                <w:noProof/>
                <w:webHidden/>
              </w:rPr>
            </w:r>
            <w:r>
              <w:rPr>
                <w:noProof/>
                <w:webHidden/>
              </w:rPr>
              <w:fldChar w:fldCharType="separate"/>
            </w:r>
            <w:r>
              <w:rPr>
                <w:noProof/>
                <w:webHidden/>
              </w:rPr>
              <w:t>7</w:t>
            </w:r>
            <w:r>
              <w:rPr>
                <w:noProof/>
                <w:webHidden/>
              </w:rPr>
              <w:fldChar w:fldCharType="end"/>
            </w:r>
          </w:hyperlink>
        </w:p>
        <w:p w14:paraId="6E9FE118" w14:textId="5B1F356F" w:rsidR="007D693B" w:rsidRDefault="007D693B">
          <w:pPr>
            <w:pStyle w:val="TOC2"/>
            <w:tabs>
              <w:tab w:val="right" w:leader="dot" w:pos="9016"/>
            </w:tabs>
            <w:rPr>
              <w:rFonts w:eastAsiaTheme="minorEastAsia" w:cstheme="minorBidi"/>
              <w:b w:val="0"/>
              <w:bCs w:val="0"/>
              <w:noProof/>
              <w:sz w:val="24"/>
              <w:szCs w:val="24"/>
              <w:lang w:eastAsia="en-GB"/>
            </w:rPr>
          </w:pPr>
          <w:hyperlink w:anchor="_Toc191114773" w:history="1">
            <w:r w:rsidRPr="00BB2AD5">
              <w:rPr>
                <w:rStyle w:val="Hyperlink"/>
                <w:rFonts w:eastAsia="Times New Roman"/>
                <w:noProof/>
                <w:lang w:eastAsia="en-GB"/>
              </w:rPr>
              <w:t>5.1 Accelerate Electric Motorcycle Development</w:t>
            </w:r>
            <w:r>
              <w:rPr>
                <w:noProof/>
                <w:webHidden/>
              </w:rPr>
              <w:tab/>
            </w:r>
            <w:r>
              <w:rPr>
                <w:noProof/>
                <w:webHidden/>
              </w:rPr>
              <w:fldChar w:fldCharType="begin"/>
            </w:r>
            <w:r>
              <w:rPr>
                <w:noProof/>
                <w:webHidden/>
              </w:rPr>
              <w:instrText xml:space="preserve"> PAGEREF _Toc191114773 \h </w:instrText>
            </w:r>
            <w:r>
              <w:rPr>
                <w:noProof/>
                <w:webHidden/>
              </w:rPr>
            </w:r>
            <w:r>
              <w:rPr>
                <w:noProof/>
                <w:webHidden/>
              </w:rPr>
              <w:fldChar w:fldCharType="separate"/>
            </w:r>
            <w:r>
              <w:rPr>
                <w:noProof/>
                <w:webHidden/>
              </w:rPr>
              <w:t>7</w:t>
            </w:r>
            <w:r>
              <w:rPr>
                <w:noProof/>
                <w:webHidden/>
              </w:rPr>
              <w:fldChar w:fldCharType="end"/>
            </w:r>
          </w:hyperlink>
        </w:p>
        <w:p w14:paraId="068B4152" w14:textId="1BFC4230" w:rsidR="007D693B" w:rsidRDefault="007D693B">
          <w:pPr>
            <w:pStyle w:val="TOC2"/>
            <w:tabs>
              <w:tab w:val="right" w:leader="dot" w:pos="9016"/>
            </w:tabs>
            <w:rPr>
              <w:rFonts w:eastAsiaTheme="minorEastAsia" w:cstheme="minorBidi"/>
              <w:b w:val="0"/>
              <w:bCs w:val="0"/>
              <w:noProof/>
              <w:sz w:val="24"/>
              <w:szCs w:val="24"/>
              <w:lang w:eastAsia="en-GB"/>
            </w:rPr>
          </w:pPr>
          <w:hyperlink w:anchor="_Toc191114774" w:history="1">
            <w:r w:rsidRPr="00BB2AD5">
              <w:rPr>
                <w:rStyle w:val="Hyperlink"/>
                <w:rFonts w:eastAsia="Times New Roman"/>
                <w:noProof/>
                <w:lang w:eastAsia="en-GB"/>
              </w:rPr>
              <w:t>5.2 Strengthen Supply Chain Resilience</w:t>
            </w:r>
            <w:r>
              <w:rPr>
                <w:noProof/>
                <w:webHidden/>
              </w:rPr>
              <w:tab/>
            </w:r>
            <w:r>
              <w:rPr>
                <w:noProof/>
                <w:webHidden/>
              </w:rPr>
              <w:fldChar w:fldCharType="begin"/>
            </w:r>
            <w:r>
              <w:rPr>
                <w:noProof/>
                <w:webHidden/>
              </w:rPr>
              <w:instrText xml:space="preserve"> PAGEREF _Toc191114774 \h </w:instrText>
            </w:r>
            <w:r>
              <w:rPr>
                <w:noProof/>
                <w:webHidden/>
              </w:rPr>
            </w:r>
            <w:r>
              <w:rPr>
                <w:noProof/>
                <w:webHidden/>
              </w:rPr>
              <w:fldChar w:fldCharType="separate"/>
            </w:r>
            <w:r>
              <w:rPr>
                <w:noProof/>
                <w:webHidden/>
              </w:rPr>
              <w:t>7</w:t>
            </w:r>
            <w:r>
              <w:rPr>
                <w:noProof/>
                <w:webHidden/>
              </w:rPr>
              <w:fldChar w:fldCharType="end"/>
            </w:r>
          </w:hyperlink>
        </w:p>
        <w:p w14:paraId="275593F9" w14:textId="6AFE5234" w:rsidR="007D693B" w:rsidRDefault="007D693B">
          <w:pPr>
            <w:pStyle w:val="TOC2"/>
            <w:tabs>
              <w:tab w:val="right" w:leader="dot" w:pos="9016"/>
            </w:tabs>
            <w:rPr>
              <w:rFonts w:eastAsiaTheme="minorEastAsia" w:cstheme="minorBidi"/>
              <w:b w:val="0"/>
              <w:bCs w:val="0"/>
              <w:noProof/>
              <w:sz w:val="24"/>
              <w:szCs w:val="24"/>
              <w:lang w:eastAsia="en-GB"/>
            </w:rPr>
          </w:pPr>
          <w:hyperlink w:anchor="_Toc191114775" w:history="1">
            <w:r w:rsidRPr="00BB2AD5">
              <w:rPr>
                <w:rStyle w:val="Hyperlink"/>
                <w:rFonts w:eastAsia="Times New Roman"/>
                <w:noProof/>
                <w:lang w:eastAsia="en-GB"/>
              </w:rPr>
              <w:t>5.3 Enhance Digital and Customer Experience</w:t>
            </w:r>
            <w:r>
              <w:rPr>
                <w:noProof/>
                <w:webHidden/>
              </w:rPr>
              <w:tab/>
            </w:r>
            <w:r>
              <w:rPr>
                <w:noProof/>
                <w:webHidden/>
              </w:rPr>
              <w:fldChar w:fldCharType="begin"/>
            </w:r>
            <w:r>
              <w:rPr>
                <w:noProof/>
                <w:webHidden/>
              </w:rPr>
              <w:instrText xml:space="preserve"> PAGEREF _Toc191114775 \h </w:instrText>
            </w:r>
            <w:r>
              <w:rPr>
                <w:noProof/>
                <w:webHidden/>
              </w:rPr>
            </w:r>
            <w:r>
              <w:rPr>
                <w:noProof/>
                <w:webHidden/>
              </w:rPr>
              <w:fldChar w:fldCharType="separate"/>
            </w:r>
            <w:r>
              <w:rPr>
                <w:noProof/>
                <w:webHidden/>
              </w:rPr>
              <w:t>7</w:t>
            </w:r>
            <w:r>
              <w:rPr>
                <w:noProof/>
                <w:webHidden/>
              </w:rPr>
              <w:fldChar w:fldCharType="end"/>
            </w:r>
          </w:hyperlink>
        </w:p>
        <w:p w14:paraId="191A7F3E" w14:textId="263DD3A1" w:rsidR="007D693B" w:rsidRDefault="007D693B">
          <w:pPr>
            <w:pStyle w:val="TOC2"/>
            <w:tabs>
              <w:tab w:val="right" w:leader="dot" w:pos="9016"/>
            </w:tabs>
            <w:rPr>
              <w:rFonts w:eastAsiaTheme="minorEastAsia" w:cstheme="minorBidi"/>
              <w:b w:val="0"/>
              <w:bCs w:val="0"/>
              <w:noProof/>
              <w:sz w:val="24"/>
              <w:szCs w:val="24"/>
              <w:lang w:eastAsia="en-GB"/>
            </w:rPr>
          </w:pPr>
          <w:hyperlink w:anchor="_Toc191114776" w:history="1">
            <w:r w:rsidRPr="00BB2AD5">
              <w:rPr>
                <w:rStyle w:val="Hyperlink"/>
                <w:rFonts w:eastAsia="Times New Roman"/>
                <w:noProof/>
                <w:lang w:eastAsia="en-GB"/>
              </w:rPr>
              <w:t>5.4 Explore Strategic Partnerships and Acquisitions</w:t>
            </w:r>
            <w:r>
              <w:rPr>
                <w:noProof/>
                <w:webHidden/>
              </w:rPr>
              <w:tab/>
            </w:r>
            <w:r>
              <w:rPr>
                <w:noProof/>
                <w:webHidden/>
              </w:rPr>
              <w:fldChar w:fldCharType="begin"/>
            </w:r>
            <w:r>
              <w:rPr>
                <w:noProof/>
                <w:webHidden/>
              </w:rPr>
              <w:instrText xml:space="preserve"> PAGEREF _Toc191114776 \h </w:instrText>
            </w:r>
            <w:r>
              <w:rPr>
                <w:noProof/>
                <w:webHidden/>
              </w:rPr>
            </w:r>
            <w:r>
              <w:rPr>
                <w:noProof/>
                <w:webHidden/>
              </w:rPr>
              <w:fldChar w:fldCharType="separate"/>
            </w:r>
            <w:r>
              <w:rPr>
                <w:noProof/>
                <w:webHidden/>
              </w:rPr>
              <w:t>7</w:t>
            </w:r>
            <w:r>
              <w:rPr>
                <w:noProof/>
                <w:webHidden/>
              </w:rPr>
              <w:fldChar w:fldCharType="end"/>
            </w:r>
          </w:hyperlink>
        </w:p>
        <w:p w14:paraId="28902173" w14:textId="664AF162" w:rsidR="007D693B" w:rsidRDefault="007D693B">
          <w:pPr>
            <w:pStyle w:val="TOC1"/>
            <w:tabs>
              <w:tab w:val="right" w:leader="dot" w:pos="9016"/>
            </w:tabs>
            <w:rPr>
              <w:rFonts w:eastAsiaTheme="minorEastAsia" w:cstheme="minorBidi"/>
              <w:b w:val="0"/>
              <w:bCs w:val="0"/>
              <w:i w:val="0"/>
              <w:iCs w:val="0"/>
              <w:noProof/>
              <w:lang w:eastAsia="en-GB"/>
            </w:rPr>
          </w:pPr>
          <w:hyperlink w:anchor="_Toc191114777" w:history="1">
            <w:r w:rsidRPr="00BB2AD5">
              <w:rPr>
                <w:rStyle w:val="Hyperlink"/>
                <w:rFonts w:eastAsia="Times New Roman"/>
                <w:noProof/>
                <w:lang w:eastAsia="en-GB"/>
              </w:rPr>
              <w:t>6. Conclusion</w:t>
            </w:r>
            <w:r>
              <w:rPr>
                <w:noProof/>
                <w:webHidden/>
              </w:rPr>
              <w:tab/>
            </w:r>
            <w:r>
              <w:rPr>
                <w:noProof/>
                <w:webHidden/>
              </w:rPr>
              <w:fldChar w:fldCharType="begin"/>
            </w:r>
            <w:r>
              <w:rPr>
                <w:noProof/>
                <w:webHidden/>
              </w:rPr>
              <w:instrText xml:space="preserve"> PAGEREF _Toc191114777 \h </w:instrText>
            </w:r>
            <w:r>
              <w:rPr>
                <w:noProof/>
                <w:webHidden/>
              </w:rPr>
            </w:r>
            <w:r>
              <w:rPr>
                <w:noProof/>
                <w:webHidden/>
              </w:rPr>
              <w:fldChar w:fldCharType="separate"/>
            </w:r>
            <w:r>
              <w:rPr>
                <w:noProof/>
                <w:webHidden/>
              </w:rPr>
              <w:t>8</w:t>
            </w:r>
            <w:r>
              <w:rPr>
                <w:noProof/>
                <w:webHidden/>
              </w:rPr>
              <w:fldChar w:fldCharType="end"/>
            </w:r>
          </w:hyperlink>
        </w:p>
        <w:p w14:paraId="3C600DE5" w14:textId="24769760" w:rsidR="007D693B" w:rsidRDefault="007D693B">
          <w:pPr>
            <w:pStyle w:val="TOC1"/>
            <w:tabs>
              <w:tab w:val="right" w:leader="dot" w:pos="9016"/>
            </w:tabs>
            <w:rPr>
              <w:rFonts w:eastAsiaTheme="minorEastAsia" w:cstheme="minorBidi"/>
              <w:b w:val="0"/>
              <w:bCs w:val="0"/>
              <w:i w:val="0"/>
              <w:iCs w:val="0"/>
              <w:noProof/>
              <w:lang w:eastAsia="en-GB"/>
            </w:rPr>
          </w:pPr>
          <w:hyperlink w:anchor="_Toc191114778" w:history="1">
            <w:r w:rsidRPr="00BB2AD5">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_Toc191114778 \h </w:instrText>
            </w:r>
            <w:r>
              <w:rPr>
                <w:noProof/>
                <w:webHidden/>
              </w:rPr>
            </w:r>
            <w:r>
              <w:rPr>
                <w:noProof/>
                <w:webHidden/>
              </w:rPr>
              <w:fldChar w:fldCharType="separate"/>
            </w:r>
            <w:r>
              <w:rPr>
                <w:noProof/>
                <w:webHidden/>
              </w:rPr>
              <w:t>9</w:t>
            </w:r>
            <w:r>
              <w:rPr>
                <w:noProof/>
                <w:webHidden/>
              </w:rPr>
              <w:fldChar w:fldCharType="end"/>
            </w:r>
          </w:hyperlink>
        </w:p>
        <w:p w14:paraId="317676C4" w14:textId="4C01F138" w:rsidR="0082783A" w:rsidRPr="0082783A" w:rsidRDefault="0082783A">
          <w:pPr>
            <w:rPr>
              <w:rFonts w:ascii="Arial" w:hAnsi="Arial" w:cs="Arial"/>
            </w:rPr>
          </w:pPr>
          <w:r w:rsidRPr="0082783A">
            <w:rPr>
              <w:rFonts w:ascii="Arial" w:hAnsi="Arial" w:cs="Arial"/>
              <w:b/>
              <w:bCs/>
              <w:noProof/>
            </w:rPr>
            <w:fldChar w:fldCharType="end"/>
          </w:r>
        </w:p>
      </w:sdtContent>
    </w:sdt>
    <w:p w14:paraId="35A2C91B" w14:textId="77777777" w:rsidR="0082783A" w:rsidRPr="0082783A" w:rsidRDefault="0082783A">
      <w:pPr>
        <w:rPr>
          <w:rFonts w:ascii="Arial" w:eastAsia="Times New Roman" w:hAnsi="Arial" w:cs="Arial"/>
          <w:b/>
          <w:bCs/>
          <w:color w:val="000000"/>
          <w:kern w:val="0"/>
          <w:lang w:eastAsia="en-GB"/>
          <w14:ligatures w14:val="none"/>
        </w:rPr>
      </w:pPr>
      <w:r w:rsidRPr="0082783A">
        <w:rPr>
          <w:rFonts w:ascii="Arial" w:eastAsia="Times New Roman" w:hAnsi="Arial" w:cs="Arial"/>
          <w:b/>
          <w:bCs/>
          <w:color w:val="000000"/>
          <w:kern w:val="0"/>
          <w:lang w:eastAsia="en-GB"/>
          <w14:ligatures w14:val="none"/>
        </w:rPr>
        <w:br w:type="page"/>
      </w:r>
    </w:p>
    <w:p w14:paraId="3DA83649" w14:textId="3D991AB8" w:rsidR="00CE68C1" w:rsidRPr="0082783A" w:rsidRDefault="00CE68C1" w:rsidP="0082783A">
      <w:pPr>
        <w:pStyle w:val="Heading1"/>
        <w:rPr>
          <w:rFonts w:eastAsia="Times New Roman"/>
          <w:lang w:eastAsia="en-GB"/>
        </w:rPr>
      </w:pPr>
      <w:bookmarkStart w:id="0" w:name="_Toc191114764"/>
      <w:r w:rsidRPr="0082783A">
        <w:rPr>
          <w:rFonts w:eastAsia="Times New Roman"/>
          <w:lang w:eastAsia="en-GB"/>
        </w:rPr>
        <w:lastRenderedPageBreak/>
        <w:t>Executive Summary</w:t>
      </w:r>
      <w:bookmarkEnd w:id="0"/>
    </w:p>
    <w:p w14:paraId="7937705F" w14:textId="77777777" w:rsidR="00CE68C1" w:rsidRPr="0082783A" w:rsidRDefault="00CE68C1" w:rsidP="0082783A">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This report provides an in-depth strategic analysis of Triumph Motorcycles’ position within the UK automotive sector, with a particular focus on its role in the premium motorcycle market. A comprehensive evaluation is conducted using a range of strategic frameworks, including PESTEL, Porter’s Five Forces, SWOT, Value Chain Analysis, the Resource-Based View (RBV), and VRIO. The findings highlight Triumph’s strengths, including its rich brand heritage, engineering excellence, and strong global presence. However, the company also faces challenges, notably regulatory pressures, the ongoing shift toward electric mobility, and vulnerabilities within its supply chain. The report offers strategic recommendations for Triumph, which include accelerating its electric motorcycle development, fortifying its supply chain resilience, enhancing digital customer engagement, and exploring further technological collaborations. By implementing these strategies, Triumph can maintain its competitive edge and ensure sustainable growth as the motorcycle industry continues to evolve.</w:t>
      </w:r>
    </w:p>
    <w:p w14:paraId="5EDEF541" w14:textId="3B32D360" w:rsidR="00CE68C1" w:rsidRPr="0082783A" w:rsidRDefault="00CE68C1" w:rsidP="00CE68C1">
      <w:pPr>
        <w:rPr>
          <w:rFonts w:ascii="Arial" w:eastAsia="Times New Roman" w:hAnsi="Arial" w:cs="Arial"/>
          <w:color w:val="000000"/>
          <w:kern w:val="0"/>
          <w:lang w:eastAsia="en-GB"/>
          <w14:ligatures w14:val="none"/>
        </w:rPr>
      </w:pPr>
    </w:p>
    <w:p w14:paraId="2A73AB7C" w14:textId="77777777" w:rsidR="00CE68C1" w:rsidRPr="0082783A" w:rsidRDefault="00CE68C1" w:rsidP="0082783A">
      <w:pPr>
        <w:pStyle w:val="Heading1"/>
        <w:rPr>
          <w:rFonts w:eastAsia="Times New Roman"/>
          <w:lang w:eastAsia="en-GB"/>
        </w:rPr>
      </w:pPr>
      <w:bookmarkStart w:id="1" w:name="_Toc191114765"/>
      <w:r w:rsidRPr="0082783A">
        <w:rPr>
          <w:rFonts w:eastAsia="Times New Roman"/>
          <w:lang w:eastAsia="en-GB"/>
        </w:rPr>
        <w:t>1. Introduction</w:t>
      </w:r>
      <w:bookmarkEnd w:id="1"/>
    </w:p>
    <w:p w14:paraId="32868AF7" w14:textId="77777777" w:rsidR="00CE68C1" w:rsidRPr="0082783A" w:rsidRDefault="00CE68C1" w:rsidP="0082783A">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The UK automotive sector plays a crucial role in the nation’s economy, contributing significantly to employment, technological innovation, and exports. According to the Society of Motor Manufacturers and Traders (SMMT, 2023), the sector employs over 800,000 individuals and generates substantial economic output. Triumph Motorcycles, established in 1902, is one of the most renowned manufacturers within this sector, known for its superior engineering and iconic designs. The company is a significant player in the premium motorcycle market, blending its historic brand legacy with cutting-edge innovation.</w:t>
      </w:r>
    </w:p>
    <w:p w14:paraId="6E8DF42E" w14:textId="0B62F8B5" w:rsidR="00CE68C1" w:rsidRPr="0082783A" w:rsidRDefault="00CE68C1" w:rsidP="0082783A">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 xml:space="preserve">However, the motorcycle industry is experiencing a significant shift, driven by emerging trends such as the rise of electric vehicles (EVs), increasingly stringent environmental regulations, and evolving consumer preferences for more sustainable and technologically advanced products (PWC, 2022). This report seeks to assess the strategic influences affecting Triumph Motorcycles and provides recommendations to ensure the company’s continued success and market leadership amidst these challenges. By </w:t>
      </w:r>
      <w:r w:rsidR="0082783A" w:rsidRPr="0082783A">
        <w:rPr>
          <w:rFonts w:ascii="Arial" w:eastAsia="Times New Roman" w:hAnsi="Arial" w:cs="Arial"/>
          <w:color w:val="000000"/>
          <w:kern w:val="0"/>
          <w:lang w:eastAsia="en-GB"/>
          <w14:ligatures w14:val="none"/>
        </w:rPr>
        <w:t>analysing</w:t>
      </w:r>
      <w:r w:rsidRPr="0082783A">
        <w:rPr>
          <w:rFonts w:ascii="Arial" w:eastAsia="Times New Roman" w:hAnsi="Arial" w:cs="Arial"/>
          <w:color w:val="000000"/>
          <w:kern w:val="0"/>
          <w:lang w:eastAsia="en-GB"/>
          <w14:ligatures w14:val="none"/>
        </w:rPr>
        <w:t xml:space="preserve"> Triumph’s internal and external environments, the report will identify opportunities for growth and competitive advantage.</w:t>
      </w:r>
    </w:p>
    <w:p w14:paraId="56DD695E" w14:textId="0C351235" w:rsidR="00CE68C1" w:rsidRPr="0082783A" w:rsidRDefault="00CE68C1" w:rsidP="00CE68C1">
      <w:pPr>
        <w:rPr>
          <w:rFonts w:ascii="Arial" w:eastAsia="Times New Roman" w:hAnsi="Arial" w:cs="Arial"/>
          <w:color w:val="000000"/>
          <w:kern w:val="0"/>
          <w:lang w:eastAsia="en-GB"/>
          <w14:ligatures w14:val="none"/>
        </w:rPr>
      </w:pPr>
    </w:p>
    <w:p w14:paraId="07202121" w14:textId="77777777" w:rsidR="00CE68C1" w:rsidRPr="0082783A" w:rsidRDefault="00CE68C1" w:rsidP="0082783A">
      <w:pPr>
        <w:pStyle w:val="Heading1"/>
        <w:rPr>
          <w:rFonts w:eastAsia="Times New Roman"/>
          <w:lang w:eastAsia="en-GB"/>
        </w:rPr>
      </w:pPr>
      <w:bookmarkStart w:id="2" w:name="_Toc191114766"/>
      <w:r w:rsidRPr="0082783A">
        <w:rPr>
          <w:rFonts w:eastAsia="Times New Roman"/>
          <w:lang w:eastAsia="en-GB"/>
        </w:rPr>
        <w:t>2. Company Overview</w:t>
      </w:r>
      <w:bookmarkEnd w:id="2"/>
    </w:p>
    <w:p w14:paraId="76A3AAA1" w14:textId="77777777" w:rsidR="00CE68C1" w:rsidRPr="0082783A" w:rsidRDefault="00CE68C1" w:rsidP="0082783A">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 xml:space="preserve">Triumph Motorcycles is a British manufacturer of premium motorcycles, famed for its combination of high-quality engineering and distinctive design. With manufacturing facilities in both the UK and Thailand, Triumph produces over 75,000 </w:t>
      </w:r>
      <w:r w:rsidRPr="0082783A">
        <w:rPr>
          <w:rFonts w:ascii="Arial" w:eastAsia="Times New Roman" w:hAnsi="Arial" w:cs="Arial"/>
          <w:color w:val="000000"/>
          <w:kern w:val="0"/>
          <w:lang w:eastAsia="en-GB"/>
          <w14:ligatures w14:val="none"/>
        </w:rPr>
        <w:lastRenderedPageBreak/>
        <w:t>motorcycles annually (ACEM, 2022). The company’s diverse product range includes modern classics, roadsters, and adventure bikes, which are designed to cater to the desires of motorcycle enthusiasts who value performance, style, and exclusivity (Triumph Motorcycles, 2022).</w:t>
      </w:r>
    </w:p>
    <w:p w14:paraId="7FD5D2CD" w14:textId="77777777" w:rsidR="00CE68C1" w:rsidRPr="0082783A" w:rsidRDefault="00CE68C1" w:rsidP="00CE68C1">
      <w:p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In recent years, Triumph has taken steps to enhance its product offering by investing in electric vehicle (EV) technology, recognizing the increasing demand for sustainable transportation options (PWC, 2022). As a result, the company is poised to take advantage of the rapidly expanding EV market. Triumph’s commitment to innovation is evident in its efforts to blend classic design with modern technologies, such as enhanced connectivity features and energy-efficient powertrains. Through its global presence, exceptional brand value, and engineering expertise, Triumph is well-positioned to lead the charge toward an electric and sustainable future for motorcycling.</w:t>
      </w:r>
    </w:p>
    <w:p w14:paraId="49050D77" w14:textId="7EED57C9" w:rsidR="00CE68C1" w:rsidRPr="0082783A" w:rsidRDefault="00CE68C1" w:rsidP="00CE68C1">
      <w:pPr>
        <w:rPr>
          <w:rFonts w:ascii="Arial" w:eastAsia="Times New Roman" w:hAnsi="Arial" w:cs="Arial"/>
          <w:color w:val="000000"/>
          <w:kern w:val="0"/>
          <w:lang w:eastAsia="en-GB"/>
          <w14:ligatures w14:val="none"/>
        </w:rPr>
      </w:pPr>
    </w:p>
    <w:p w14:paraId="61E265F8" w14:textId="77777777" w:rsidR="00CE68C1" w:rsidRPr="0082783A" w:rsidRDefault="00CE68C1" w:rsidP="0082783A">
      <w:pPr>
        <w:pStyle w:val="Heading1"/>
        <w:rPr>
          <w:rFonts w:eastAsia="Times New Roman"/>
          <w:lang w:eastAsia="en-GB"/>
        </w:rPr>
      </w:pPr>
      <w:bookmarkStart w:id="3" w:name="_Toc191114767"/>
      <w:r w:rsidRPr="0082783A">
        <w:rPr>
          <w:rFonts w:eastAsia="Times New Roman"/>
          <w:lang w:eastAsia="en-GB"/>
        </w:rPr>
        <w:t>3. External Environment Analysis</w:t>
      </w:r>
      <w:bookmarkEnd w:id="3"/>
    </w:p>
    <w:p w14:paraId="456ECFD5" w14:textId="77777777" w:rsidR="00CE68C1" w:rsidRPr="0082783A" w:rsidRDefault="00CE68C1" w:rsidP="0082783A">
      <w:pPr>
        <w:pStyle w:val="Heading2"/>
        <w:rPr>
          <w:rFonts w:eastAsia="Times New Roman"/>
          <w:lang w:eastAsia="en-GB"/>
        </w:rPr>
      </w:pPr>
      <w:bookmarkStart w:id="4" w:name="_Toc191114768"/>
      <w:r w:rsidRPr="0082783A">
        <w:rPr>
          <w:rFonts w:eastAsia="Times New Roman"/>
          <w:lang w:eastAsia="en-GB"/>
        </w:rPr>
        <w:t>3.1 PESTEL Analysis</w:t>
      </w:r>
      <w:bookmarkEnd w:id="4"/>
    </w:p>
    <w:p w14:paraId="4727F811" w14:textId="77777777" w:rsidR="00CE68C1" w:rsidRPr="0082783A" w:rsidRDefault="00CE68C1" w:rsidP="0082783A">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To assess the external factors influencing Triumph Motorcycles, we apply the PESTEL framework to evaluate political, economic, social, technological, environmental, and legal factors that impact the company’s operations.</w:t>
      </w:r>
    </w:p>
    <w:p w14:paraId="7DF603EF" w14:textId="77777777" w:rsidR="0082783A" w:rsidRPr="0082783A" w:rsidRDefault="00CE68C1" w:rsidP="0082783A">
      <w:pPr>
        <w:pStyle w:val="NoSpacing"/>
        <w:rPr>
          <w:rFonts w:ascii="Arial" w:eastAsia="Times New Roman" w:hAnsi="Arial" w:cs="Arial"/>
          <w:color w:val="000000"/>
          <w:sz w:val="24"/>
          <w:szCs w:val="24"/>
          <w:lang w:eastAsia="en-GB"/>
        </w:rPr>
      </w:pPr>
      <w:r w:rsidRPr="0082783A">
        <w:rPr>
          <w:rFonts w:ascii="Arial" w:hAnsi="Arial" w:cs="Arial"/>
          <w:sz w:val="24"/>
          <w:szCs w:val="24"/>
        </w:rPr>
        <w:t>Political</w:t>
      </w:r>
      <w:r w:rsidRPr="0082783A">
        <w:rPr>
          <w:rFonts w:ascii="Arial" w:eastAsia="Times New Roman" w:hAnsi="Arial" w:cs="Arial"/>
          <w:color w:val="000000"/>
          <w:sz w:val="24"/>
          <w:szCs w:val="24"/>
          <w:lang w:eastAsia="en-GB"/>
        </w:rPr>
        <w:t>:</w:t>
      </w:r>
    </w:p>
    <w:p w14:paraId="0CA3276C" w14:textId="77777777" w:rsidR="007D693B" w:rsidRDefault="007D693B" w:rsidP="0082783A">
      <w:pPr>
        <w:pStyle w:val="NoSpacing"/>
        <w:rPr>
          <w:rFonts w:ascii="Arial" w:eastAsia="Times New Roman" w:hAnsi="Arial" w:cs="Arial"/>
          <w:color w:val="000000"/>
          <w:sz w:val="24"/>
          <w:szCs w:val="24"/>
          <w:lang w:eastAsia="en-GB"/>
        </w:rPr>
      </w:pPr>
    </w:p>
    <w:p w14:paraId="63648E46" w14:textId="6C762CD7" w:rsidR="00CE68C1" w:rsidRPr="0082783A" w:rsidRDefault="00CE68C1" w:rsidP="007D693B">
      <w:pPr>
        <w:pStyle w:val="NoSpacing"/>
        <w:ind w:firstLine="720"/>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t>Political factors, such as government policies on sustainability and the push for net-zero emissions by 2050, are influencing the direction of the motorcycle industry. These policies are prompting manufacturers like Triumph to focus on electric motorcycles (UK Government, 2021). Furthermore, Brexit has introduced additional complexity by creating trade barriers and regulatory changes, which have had a noticeable impact on operational costs and supply chain management (SMMT, 2023). Triumph must remain agile and prepared to navigate these political hurdles to maintain its competitive advantage, particularly in the international market.</w:t>
      </w:r>
    </w:p>
    <w:p w14:paraId="31A2113E" w14:textId="77777777" w:rsidR="007D693B" w:rsidRDefault="007D693B" w:rsidP="0082783A">
      <w:pPr>
        <w:pStyle w:val="NoSpacing"/>
        <w:rPr>
          <w:rFonts w:ascii="Arial" w:hAnsi="Arial" w:cs="Arial"/>
          <w:sz w:val="24"/>
          <w:szCs w:val="24"/>
        </w:rPr>
      </w:pPr>
    </w:p>
    <w:p w14:paraId="1135F7AF" w14:textId="77777777" w:rsidR="007D693B" w:rsidRDefault="00CE68C1" w:rsidP="0082783A">
      <w:pPr>
        <w:pStyle w:val="NoSpacing"/>
        <w:rPr>
          <w:rFonts w:ascii="Arial" w:hAnsi="Arial" w:cs="Arial"/>
          <w:sz w:val="24"/>
          <w:szCs w:val="24"/>
        </w:rPr>
      </w:pPr>
      <w:r w:rsidRPr="0082783A">
        <w:rPr>
          <w:rFonts w:ascii="Arial" w:hAnsi="Arial" w:cs="Arial"/>
          <w:sz w:val="24"/>
          <w:szCs w:val="24"/>
        </w:rPr>
        <w:t>Economic:</w:t>
      </w:r>
    </w:p>
    <w:p w14:paraId="65345435" w14:textId="77777777" w:rsidR="007D693B" w:rsidRDefault="007D693B" w:rsidP="0082783A">
      <w:pPr>
        <w:pStyle w:val="NoSpacing"/>
        <w:rPr>
          <w:rFonts w:ascii="Arial" w:hAnsi="Arial" w:cs="Arial"/>
          <w:sz w:val="24"/>
          <w:szCs w:val="24"/>
        </w:rPr>
      </w:pPr>
    </w:p>
    <w:p w14:paraId="23B2F510" w14:textId="5E6BB60F" w:rsidR="00CE68C1" w:rsidRPr="0082783A" w:rsidRDefault="00CE68C1" w:rsidP="007D693B">
      <w:pPr>
        <w:pStyle w:val="NoSpacing"/>
        <w:ind w:firstLine="720"/>
        <w:rPr>
          <w:rFonts w:ascii="Arial" w:hAnsi="Arial" w:cs="Arial"/>
          <w:sz w:val="24"/>
          <w:szCs w:val="24"/>
        </w:rPr>
      </w:pPr>
      <w:r w:rsidRPr="0082783A">
        <w:rPr>
          <w:rFonts w:ascii="Arial" w:eastAsia="Times New Roman" w:hAnsi="Arial" w:cs="Arial"/>
          <w:color w:val="000000"/>
          <w:sz w:val="24"/>
          <w:szCs w:val="24"/>
          <w:lang w:eastAsia="en-GB"/>
        </w:rPr>
        <w:t>Economic conditions such as inflation, fluctuating currency exchange rates, and the cost of raw materials have a direct influence on Triumph’s profitability. The global supply chain disruptions following the COVID-19 pandemic, coupled with the ongoing economic uncertainty in the post-Brexit UK, may impact Triumph’s operations and cost structure (Office for National Statistics, 2023). The economic environment affects consumer spending patterns, particularly for luxury goods such as premium motorcycles. During periods of economic downturn, consumers may cut back on discretionary spending, which could affect demand for Triumph’s high-end motorcycles (Mintel, 2023). However, the long-term outlook shows potential growth as global economic conditions stabilize and disposable incomes rise.</w:t>
      </w:r>
    </w:p>
    <w:p w14:paraId="053C7D26" w14:textId="77777777" w:rsidR="007D693B" w:rsidRDefault="007D693B" w:rsidP="0082783A">
      <w:pPr>
        <w:pStyle w:val="NoSpacing"/>
        <w:rPr>
          <w:rFonts w:ascii="Arial" w:eastAsia="Times New Roman" w:hAnsi="Arial" w:cs="Arial"/>
          <w:color w:val="000000"/>
          <w:sz w:val="24"/>
          <w:szCs w:val="24"/>
          <w:lang w:eastAsia="en-GB"/>
        </w:rPr>
      </w:pPr>
    </w:p>
    <w:p w14:paraId="6C244EF9" w14:textId="77777777" w:rsidR="007D693B" w:rsidRDefault="00CE68C1" w:rsidP="007D693B">
      <w:pPr>
        <w:pStyle w:val="NoSpacing"/>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lastRenderedPageBreak/>
        <w:t>Social:</w:t>
      </w:r>
    </w:p>
    <w:p w14:paraId="59A9F27E" w14:textId="77777777" w:rsidR="007D693B" w:rsidRDefault="007D693B" w:rsidP="007D693B">
      <w:pPr>
        <w:pStyle w:val="NoSpacing"/>
        <w:rPr>
          <w:rFonts w:ascii="Arial" w:eastAsia="Times New Roman" w:hAnsi="Arial" w:cs="Arial"/>
          <w:color w:val="000000"/>
          <w:sz w:val="24"/>
          <w:szCs w:val="24"/>
          <w:lang w:eastAsia="en-GB"/>
        </w:rPr>
      </w:pPr>
    </w:p>
    <w:p w14:paraId="2370344A" w14:textId="47F69474" w:rsidR="00CE68C1" w:rsidRPr="0082783A" w:rsidRDefault="00CE68C1" w:rsidP="007D693B">
      <w:pPr>
        <w:pStyle w:val="NoSpacing"/>
        <w:ind w:firstLine="720"/>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t xml:space="preserve">Social trends also play a significant role in shaping consumer </w:t>
      </w:r>
      <w:proofErr w:type="spellStart"/>
      <w:r w:rsidRPr="0082783A">
        <w:rPr>
          <w:rFonts w:ascii="Arial" w:eastAsia="Times New Roman" w:hAnsi="Arial" w:cs="Arial"/>
          <w:color w:val="000000"/>
          <w:sz w:val="24"/>
          <w:szCs w:val="24"/>
          <w:lang w:eastAsia="en-GB"/>
        </w:rPr>
        <w:t>behavior</w:t>
      </w:r>
      <w:proofErr w:type="spellEnd"/>
      <w:r w:rsidRPr="0082783A">
        <w:rPr>
          <w:rFonts w:ascii="Arial" w:eastAsia="Times New Roman" w:hAnsi="Arial" w:cs="Arial"/>
          <w:color w:val="000000"/>
          <w:sz w:val="24"/>
          <w:szCs w:val="24"/>
          <w:lang w:eastAsia="en-GB"/>
        </w:rPr>
        <w:t>. The increasing demand for environmentally friendly products, coupled with the rising popularity of electric vehicles, presents both a challenge and an opportunity for Triumph. As younger generations become more environmentally conscious, the company has a chance to attract new customers who prioritize sustainability in their purchasing decisions (McKinsey, 2021). The growing popularity of motorcycle culture and the desire for lifestyle-based products presents Triumph with the opportunity to further strengthen its position through experiential marketing, social media engagement, and community-building initiatives (Roland Berger, 2022).</w:t>
      </w:r>
    </w:p>
    <w:p w14:paraId="731D87DB" w14:textId="77777777" w:rsidR="007D693B" w:rsidRDefault="007D693B" w:rsidP="0082783A">
      <w:pPr>
        <w:pStyle w:val="NoSpacing"/>
        <w:rPr>
          <w:rFonts w:ascii="Arial" w:eastAsia="Times New Roman" w:hAnsi="Arial" w:cs="Arial"/>
          <w:color w:val="000000"/>
          <w:sz w:val="24"/>
          <w:szCs w:val="24"/>
          <w:lang w:eastAsia="en-GB"/>
        </w:rPr>
      </w:pPr>
    </w:p>
    <w:p w14:paraId="2CD1F77E" w14:textId="77777777" w:rsidR="007D693B" w:rsidRDefault="00CE68C1" w:rsidP="0082783A">
      <w:pPr>
        <w:pStyle w:val="NoSpacing"/>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t>Technological:</w:t>
      </w:r>
      <w:r w:rsidRPr="0082783A">
        <w:rPr>
          <w:rFonts w:ascii="Arial" w:eastAsia="Times New Roman" w:hAnsi="Arial" w:cs="Arial"/>
          <w:color w:val="000000"/>
          <w:sz w:val="24"/>
          <w:szCs w:val="24"/>
          <w:lang w:eastAsia="en-GB"/>
        </w:rPr>
        <w:br/>
      </w:r>
    </w:p>
    <w:p w14:paraId="2292CDAE" w14:textId="4EF1C9A7" w:rsidR="00CE68C1" w:rsidRPr="0082783A" w:rsidRDefault="00CE68C1" w:rsidP="007D693B">
      <w:pPr>
        <w:pStyle w:val="NoSpacing"/>
        <w:ind w:firstLine="720"/>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t>Technological advancements in battery technology, smart vehicle integration, and connected mobility systems are shaping the future of the motorcycle industry. As an innovative brand, Triumph has already begun investing in electric motorcycle development to stay ahead of these trends (ACEM, 2022). Moreover, advancements in Internet of Things (IoT) technology, connected devices, and augmented reality can further enhance Triumph’s customer engagement strategies and improve product functionality. Triumph could leverage these technologies not only to improve the performance of its vehicles but also to offer a seamless and integrated experience for customers (PwC, 2022).</w:t>
      </w:r>
    </w:p>
    <w:p w14:paraId="2513FFB5" w14:textId="77777777" w:rsidR="007D693B" w:rsidRDefault="007D693B" w:rsidP="007D693B">
      <w:pPr>
        <w:pStyle w:val="NoSpacing"/>
        <w:rPr>
          <w:rFonts w:ascii="Arial" w:eastAsia="Times New Roman" w:hAnsi="Arial" w:cs="Arial"/>
          <w:color w:val="000000"/>
          <w:sz w:val="24"/>
          <w:szCs w:val="24"/>
          <w:lang w:eastAsia="en-GB"/>
        </w:rPr>
      </w:pPr>
    </w:p>
    <w:p w14:paraId="61E3D549" w14:textId="77777777" w:rsidR="007D693B" w:rsidRDefault="00CE68C1" w:rsidP="007D693B">
      <w:pPr>
        <w:pStyle w:val="NoSpacing"/>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t>Environmental:</w:t>
      </w:r>
      <w:r w:rsidRPr="0082783A">
        <w:rPr>
          <w:rFonts w:ascii="Arial" w:eastAsia="Times New Roman" w:hAnsi="Arial" w:cs="Arial"/>
          <w:color w:val="000000"/>
          <w:sz w:val="24"/>
          <w:szCs w:val="24"/>
          <w:lang w:eastAsia="en-GB"/>
        </w:rPr>
        <w:br/>
      </w:r>
    </w:p>
    <w:p w14:paraId="74E95B08" w14:textId="2AB7A28D" w:rsidR="00CE68C1" w:rsidRPr="0082783A" w:rsidRDefault="00CE68C1" w:rsidP="007D693B">
      <w:pPr>
        <w:pStyle w:val="NoSpacing"/>
        <w:ind w:firstLine="720"/>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t>Environmental regulations are becoming stricter, particularly regarding emissions and waste management. As governments across the world enforce tougher standards to combat climate change, Triumph must adapt its manufacturing processes and products accordingly. The move towards electric vehicles, driven by consumer demand and regulatory mandates, provides Triumph with an opportunity to further position itself as a leader in sustainable transportation (European Commission, 2022). Developing electric motorcycles will allow Triumph to comply with future regulations while appealing to the eco-conscious segment of the market.</w:t>
      </w:r>
    </w:p>
    <w:p w14:paraId="3A3BAC94" w14:textId="77777777" w:rsidR="007D693B" w:rsidRDefault="007D693B" w:rsidP="0082783A">
      <w:pPr>
        <w:pStyle w:val="NoSpacing"/>
        <w:rPr>
          <w:rFonts w:ascii="Arial" w:eastAsia="Times New Roman" w:hAnsi="Arial" w:cs="Arial"/>
          <w:color w:val="000000"/>
          <w:sz w:val="24"/>
          <w:szCs w:val="24"/>
          <w:lang w:eastAsia="en-GB"/>
        </w:rPr>
      </w:pPr>
    </w:p>
    <w:p w14:paraId="443968EE" w14:textId="77777777" w:rsidR="007D693B" w:rsidRDefault="00CE68C1" w:rsidP="0082783A">
      <w:pPr>
        <w:pStyle w:val="NoSpacing"/>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t>Legal:</w:t>
      </w:r>
      <w:r w:rsidRPr="0082783A">
        <w:rPr>
          <w:rFonts w:ascii="Arial" w:eastAsia="Times New Roman" w:hAnsi="Arial" w:cs="Arial"/>
          <w:color w:val="000000"/>
          <w:sz w:val="24"/>
          <w:szCs w:val="24"/>
          <w:lang w:eastAsia="en-GB"/>
        </w:rPr>
        <w:br/>
      </w:r>
    </w:p>
    <w:p w14:paraId="37564568" w14:textId="1E588029" w:rsidR="00CE68C1" w:rsidRPr="0082783A" w:rsidRDefault="00CE68C1" w:rsidP="007D693B">
      <w:pPr>
        <w:pStyle w:val="NoSpacing"/>
        <w:ind w:firstLine="720"/>
        <w:rPr>
          <w:rFonts w:ascii="Arial" w:eastAsia="Times New Roman" w:hAnsi="Arial" w:cs="Arial"/>
          <w:color w:val="000000"/>
          <w:sz w:val="24"/>
          <w:szCs w:val="24"/>
          <w:lang w:eastAsia="en-GB"/>
        </w:rPr>
      </w:pPr>
      <w:r w:rsidRPr="0082783A">
        <w:rPr>
          <w:rFonts w:ascii="Arial" w:eastAsia="Times New Roman" w:hAnsi="Arial" w:cs="Arial"/>
          <w:color w:val="000000"/>
          <w:sz w:val="24"/>
          <w:szCs w:val="24"/>
          <w:lang w:eastAsia="en-GB"/>
        </w:rPr>
        <w:t>Legal factors, such as intellectual property rights, safety standards, and environmental laws, play a key role in Triumph’s ability to operate smoothly. The company must adhere to regulatory requirements such as Euro 5 emissions standards (European Environment Agency, 2022), while also ensuring compliance with intellectual property laws to protect its designs and technologies. Triumph must also stay vigilant regarding safety regulations, as failure to comply with global and regional standards can result in financial penalties and damage to brand reputation (Johnson et al., 2017).</w:t>
      </w:r>
    </w:p>
    <w:p w14:paraId="03B1783B" w14:textId="57F20634" w:rsidR="00CE68C1" w:rsidRDefault="00CE68C1" w:rsidP="00CE68C1">
      <w:pPr>
        <w:rPr>
          <w:rFonts w:ascii="Arial" w:eastAsia="Times New Roman" w:hAnsi="Arial" w:cs="Arial"/>
          <w:color w:val="000000"/>
          <w:kern w:val="0"/>
          <w:lang w:eastAsia="en-GB"/>
          <w14:ligatures w14:val="none"/>
        </w:rPr>
      </w:pPr>
    </w:p>
    <w:p w14:paraId="39AB6821" w14:textId="77777777" w:rsidR="007D693B" w:rsidRDefault="007D693B" w:rsidP="00CE68C1">
      <w:pPr>
        <w:rPr>
          <w:rFonts w:ascii="Arial" w:eastAsia="Times New Roman" w:hAnsi="Arial" w:cs="Arial"/>
          <w:color w:val="000000"/>
          <w:kern w:val="0"/>
          <w:lang w:eastAsia="en-GB"/>
          <w14:ligatures w14:val="none"/>
        </w:rPr>
      </w:pPr>
    </w:p>
    <w:p w14:paraId="34161FEF" w14:textId="77777777" w:rsidR="007D693B" w:rsidRDefault="007D693B" w:rsidP="00CE68C1">
      <w:pPr>
        <w:rPr>
          <w:rFonts w:ascii="Arial" w:eastAsia="Times New Roman" w:hAnsi="Arial" w:cs="Arial"/>
          <w:color w:val="000000"/>
          <w:kern w:val="0"/>
          <w:lang w:eastAsia="en-GB"/>
          <w14:ligatures w14:val="none"/>
        </w:rPr>
      </w:pPr>
    </w:p>
    <w:p w14:paraId="0E7FB962" w14:textId="77777777" w:rsidR="007D693B" w:rsidRPr="0082783A" w:rsidRDefault="007D693B" w:rsidP="00CE68C1">
      <w:pPr>
        <w:rPr>
          <w:rFonts w:ascii="Arial" w:eastAsia="Times New Roman" w:hAnsi="Arial" w:cs="Arial"/>
          <w:color w:val="000000"/>
          <w:kern w:val="0"/>
          <w:lang w:eastAsia="en-GB"/>
          <w14:ligatures w14:val="none"/>
        </w:rPr>
      </w:pPr>
    </w:p>
    <w:p w14:paraId="4A5E33EB" w14:textId="77777777" w:rsidR="00CE68C1" w:rsidRPr="0082783A" w:rsidRDefault="00CE68C1" w:rsidP="007D693B">
      <w:pPr>
        <w:pStyle w:val="Heading2"/>
        <w:rPr>
          <w:rFonts w:eastAsia="Times New Roman"/>
          <w:lang w:eastAsia="en-GB"/>
        </w:rPr>
      </w:pPr>
      <w:bookmarkStart w:id="5" w:name="_Toc191114769"/>
      <w:r w:rsidRPr="0082783A">
        <w:rPr>
          <w:rFonts w:eastAsia="Times New Roman"/>
          <w:lang w:eastAsia="en-GB"/>
        </w:rPr>
        <w:lastRenderedPageBreak/>
        <w:t>3.2 Porter’s Five Forces Analysis</w:t>
      </w:r>
      <w:bookmarkEnd w:id="5"/>
    </w:p>
    <w:p w14:paraId="37C0D251" w14:textId="77777777" w:rsidR="007D693B" w:rsidRDefault="007D693B" w:rsidP="007D693B">
      <w:pPr>
        <w:pStyle w:val="NoSpacing"/>
        <w:rPr>
          <w:rFonts w:ascii="Arial" w:eastAsia="Times New Roman" w:hAnsi="Arial" w:cs="Arial"/>
          <w:sz w:val="24"/>
          <w:szCs w:val="24"/>
        </w:rPr>
      </w:pPr>
    </w:p>
    <w:p w14:paraId="1AFA98F6" w14:textId="756ED3D0" w:rsidR="00CE68C1" w:rsidRPr="007D693B" w:rsidRDefault="00CE68C1" w:rsidP="007D693B">
      <w:pPr>
        <w:pStyle w:val="NoSpacing"/>
        <w:ind w:firstLine="720"/>
        <w:rPr>
          <w:rFonts w:ascii="Arial" w:eastAsia="Times New Roman" w:hAnsi="Arial" w:cs="Arial"/>
          <w:sz w:val="24"/>
          <w:szCs w:val="24"/>
        </w:rPr>
      </w:pPr>
      <w:r w:rsidRPr="007D693B">
        <w:rPr>
          <w:rFonts w:ascii="Arial" w:eastAsia="Times New Roman" w:hAnsi="Arial" w:cs="Arial"/>
          <w:sz w:val="24"/>
          <w:szCs w:val="24"/>
        </w:rPr>
        <w:t>The Porter’s Five Forces model helps assess the competitive dynamics within the motorcycle industry and how these forces influence Triumph’s market positioning.</w:t>
      </w:r>
    </w:p>
    <w:p w14:paraId="6981C081" w14:textId="77777777" w:rsidR="007D693B" w:rsidRDefault="007D693B" w:rsidP="007D693B">
      <w:pPr>
        <w:pStyle w:val="NoSpacing"/>
        <w:rPr>
          <w:rFonts w:ascii="Arial" w:eastAsia="Times New Roman" w:hAnsi="Arial" w:cs="Arial"/>
          <w:sz w:val="24"/>
          <w:szCs w:val="24"/>
        </w:rPr>
      </w:pPr>
    </w:p>
    <w:p w14:paraId="204BEA0B" w14:textId="77777777" w:rsidR="007D693B" w:rsidRDefault="00CE68C1" w:rsidP="007D693B">
      <w:pPr>
        <w:pStyle w:val="NoSpacing"/>
        <w:rPr>
          <w:rFonts w:ascii="Arial" w:eastAsia="Times New Roman" w:hAnsi="Arial" w:cs="Arial"/>
          <w:sz w:val="24"/>
          <w:szCs w:val="24"/>
        </w:rPr>
      </w:pPr>
      <w:r w:rsidRPr="007D693B">
        <w:rPr>
          <w:rFonts w:ascii="Arial" w:eastAsia="Times New Roman" w:hAnsi="Arial" w:cs="Arial"/>
          <w:sz w:val="24"/>
          <w:szCs w:val="24"/>
        </w:rPr>
        <w:t>Threat of New Entrants (Moderate):</w:t>
      </w:r>
      <w:r w:rsidRPr="007D693B">
        <w:rPr>
          <w:rFonts w:ascii="Arial" w:eastAsia="Times New Roman" w:hAnsi="Arial" w:cs="Arial"/>
          <w:sz w:val="24"/>
          <w:szCs w:val="24"/>
        </w:rPr>
        <w:br/>
      </w:r>
    </w:p>
    <w:p w14:paraId="1ACAE000" w14:textId="31C2FC0A" w:rsidR="00CE68C1" w:rsidRDefault="00CE68C1" w:rsidP="007D693B">
      <w:pPr>
        <w:pStyle w:val="NoSpacing"/>
        <w:ind w:firstLine="720"/>
        <w:rPr>
          <w:rFonts w:ascii="Arial" w:eastAsia="Times New Roman" w:hAnsi="Arial" w:cs="Arial"/>
          <w:sz w:val="24"/>
          <w:szCs w:val="24"/>
        </w:rPr>
      </w:pPr>
      <w:r w:rsidRPr="007D693B">
        <w:rPr>
          <w:rFonts w:ascii="Arial" w:eastAsia="Times New Roman" w:hAnsi="Arial" w:cs="Arial"/>
          <w:sz w:val="24"/>
          <w:szCs w:val="24"/>
        </w:rPr>
        <w:t>The barriers to entry in the motorcycle industry are significant due to the capital-intensive nature of manufacturing and the need for strong brand equity. However, with the rise of government incentives for electric vehicle startups, some of these barriers have been lowered. New entrants can potentially overcome these hurdles with innovations in electric mobility, although they will face the challenge of building brand recognition and meeting regulatory requirements (Johnson et al., 2017).</w:t>
      </w:r>
    </w:p>
    <w:p w14:paraId="5F91A6FD" w14:textId="77777777" w:rsidR="007D693B" w:rsidRPr="007D693B" w:rsidRDefault="007D693B" w:rsidP="007D693B">
      <w:pPr>
        <w:pStyle w:val="NoSpacing"/>
        <w:ind w:firstLine="720"/>
        <w:rPr>
          <w:rFonts w:ascii="Arial" w:eastAsia="Times New Roman" w:hAnsi="Arial" w:cs="Arial"/>
          <w:sz w:val="24"/>
          <w:szCs w:val="24"/>
        </w:rPr>
      </w:pPr>
    </w:p>
    <w:p w14:paraId="757D8A7B" w14:textId="77777777" w:rsidR="007D693B" w:rsidRDefault="00CE68C1" w:rsidP="007D693B">
      <w:pPr>
        <w:pStyle w:val="NoSpacing"/>
        <w:rPr>
          <w:rFonts w:ascii="Arial" w:eastAsia="Times New Roman" w:hAnsi="Arial" w:cs="Arial"/>
          <w:sz w:val="24"/>
          <w:szCs w:val="24"/>
        </w:rPr>
      </w:pPr>
      <w:r w:rsidRPr="007D693B">
        <w:rPr>
          <w:rFonts w:ascii="Arial" w:eastAsia="Times New Roman" w:hAnsi="Arial" w:cs="Arial"/>
          <w:sz w:val="24"/>
          <w:szCs w:val="24"/>
        </w:rPr>
        <w:t>Bargaining Power of Suppliers (Moderate to High):</w:t>
      </w:r>
      <w:r w:rsidRPr="007D693B">
        <w:rPr>
          <w:rFonts w:ascii="Arial" w:eastAsia="Times New Roman" w:hAnsi="Arial" w:cs="Arial"/>
          <w:sz w:val="24"/>
          <w:szCs w:val="24"/>
        </w:rPr>
        <w:br/>
      </w:r>
    </w:p>
    <w:p w14:paraId="7400102D" w14:textId="71C03350" w:rsidR="00CE68C1" w:rsidRPr="007D693B" w:rsidRDefault="00CE68C1" w:rsidP="007D693B">
      <w:pPr>
        <w:pStyle w:val="NoSpacing"/>
        <w:ind w:firstLine="720"/>
        <w:rPr>
          <w:rFonts w:ascii="Arial" w:eastAsia="Times New Roman" w:hAnsi="Arial" w:cs="Arial"/>
          <w:sz w:val="24"/>
          <w:szCs w:val="24"/>
        </w:rPr>
      </w:pPr>
      <w:r w:rsidRPr="007D693B">
        <w:rPr>
          <w:rFonts w:ascii="Arial" w:eastAsia="Times New Roman" w:hAnsi="Arial" w:cs="Arial"/>
          <w:sz w:val="24"/>
          <w:szCs w:val="24"/>
        </w:rPr>
        <w:t>Triumph’s reliance on suppliers for key components, such as engines, batteries, and other specialized parts, increases the bargaining power of these suppliers (Grant, 2016). Global supply chain disruptions and geopolitical risks, particularly in the context of Brexit and other trade challenges, highlight the need for Triumph to diversify its supply chain. Establishing stronger relationships with suppliers, considering local sourcing, and developing contingency plans will be crucial for mitigating these risks (PwC, 2022).</w:t>
      </w:r>
    </w:p>
    <w:p w14:paraId="0397EF45" w14:textId="77777777" w:rsidR="007D693B" w:rsidRDefault="007D693B" w:rsidP="007D693B">
      <w:pPr>
        <w:pStyle w:val="NoSpacing"/>
        <w:rPr>
          <w:rFonts w:ascii="Arial" w:eastAsia="Times New Roman" w:hAnsi="Arial" w:cs="Arial"/>
          <w:sz w:val="24"/>
          <w:szCs w:val="24"/>
        </w:rPr>
      </w:pPr>
    </w:p>
    <w:p w14:paraId="2AF3C39A" w14:textId="77777777" w:rsidR="007D693B" w:rsidRDefault="00CE68C1" w:rsidP="007D693B">
      <w:pPr>
        <w:pStyle w:val="NoSpacing"/>
        <w:rPr>
          <w:rFonts w:ascii="Arial" w:eastAsia="Times New Roman" w:hAnsi="Arial" w:cs="Arial"/>
          <w:sz w:val="24"/>
          <w:szCs w:val="24"/>
        </w:rPr>
      </w:pPr>
      <w:r w:rsidRPr="007D693B">
        <w:rPr>
          <w:rFonts w:ascii="Arial" w:eastAsia="Times New Roman" w:hAnsi="Arial" w:cs="Arial"/>
          <w:sz w:val="24"/>
          <w:szCs w:val="24"/>
        </w:rPr>
        <w:t>Bargaining Power of Buyers (High):</w:t>
      </w:r>
      <w:r w:rsidRPr="007D693B">
        <w:rPr>
          <w:rFonts w:ascii="Arial" w:eastAsia="Times New Roman" w:hAnsi="Arial" w:cs="Arial"/>
          <w:sz w:val="24"/>
          <w:szCs w:val="24"/>
        </w:rPr>
        <w:br/>
      </w:r>
    </w:p>
    <w:p w14:paraId="417986AF" w14:textId="76C2D1B3" w:rsidR="00CE68C1" w:rsidRPr="007D693B" w:rsidRDefault="00CE68C1" w:rsidP="007D693B">
      <w:pPr>
        <w:pStyle w:val="NoSpacing"/>
        <w:ind w:firstLine="720"/>
        <w:rPr>
          <w:rFonts w:ascii="Arial" w:eastAsia="Times New Roman" w:hAnsi="Arial" w:cs="Arial"/>
          <w:sz w:val="24"/>
          <w:szCs w:val="24"/>
        </w:rPr>
      </w:pPr>
      <w:r w:rsidRPr="007D693B">
        <w:rPr>
          <w:rFonts w:ascii="Arial" w:eastAsia="Times New Roman" w:hAnsi="Arial" w:cs="Arial"/>
          <w:sz w:val="24"/>
          <w:szCs w:val="24"/>
        </w:rPr>
        <w:t>The bargaining power of consumers in the premium motorcycle market is high. With numerous alternatives available, including competitors like Harley-Davidson and BMW, customers are well-positioned to demand high-quality products, personalized experiences, and competitive pricing (Mintel, 2023). Triumph must continue to innovate and enhance its customer service to maintain brand loyalty and differentiate itself from competitors.</w:t>
      </w:r>
    </w:p>
    <w:p w14:paraId="7987A746" w14:textId="77777777" w:rsidR="007D693B" w:rsidRDefault="007D693B" w:rsidP="007D693B">
      <w:pPr>
        <w:pStyle w:val="NoSpacing"/>
        <w:rPr>
          <w:rFonts w:ascii="Arial" w:eastAsia="Times New Roman" w:hAnsi="Arial" w:cs="Arial"/>
          <w:sz w:val="24"/>
          <w:szCs w:val="24"/>
        </w:rPr>
      </w:pPr>
    </w:p>
    <w:p w14:paraId="1AD1D78C" w14:textId="77777777" w:rsidR="007D693B" w:rsidRDefault="00CE68C1" w:rsidP="007D693B">
      <w:pPr>
        <w:pStyle w:val="NoSpacing"/>
        <w:rPr>
          <w:rFonts w:ascii="Arial" w:eastAsia="Times New Roman" w:hAnsi="Arial" w:cs="Arial"/>
          <w:sz w:val="24"/>
          <w:szCs w:val="24"/>
        </w:rPr>
      </w:pPr>
      <w:r w:rsidRPr="007D693B">
        <w:rPr>
          <w:rFonts w:ascii="Arial" w:eastAsia="Times New Roman" w:hAnsi="Arial" w:cs="Arial"/>
          <w:sz w:val="24"/>
          <w:szCs w:val="24"/>
        </w:rPr>
        <w:t>Threat of Substitutes (Moderate):</w:t>
      </w:r>
      <w:r w:rsidRPr="007D693B">
        <w:rPr>
          <w:rFonts w:ascii="Arial" w:eastAsia="Times New Roman" w:hAnsi="Arial" w:cs="Arial"/>
          <w:sz w:val="24"/>
          <w:szCs w:val="24"/>
        </w:rPr>
        <w:br/>
      </w:r>
    </w:p>
    <w:p w14:paraId="6E30B679" w14:textId="64292DE0" w:rsidR="00CE68C1" w:rsidRPr="007D693B" w:rsidRDefault="00CE68C1" w:rsidP="007D693B">
      <w:pPr>
        <w:pStyle w:val="NoSpacing"/>
        <w:ind w:firstLine="720"/>
        <w:rPr>
          <w:rFonts w:ascii="Arial" w:eastAsia="Times New Roman" w:hAnsi="Arial" w:cs="Arial"/>
          <w:sz w:val="24"/>
          <w:szCs w:val="24"/>
        </w:rPr>
      </w:pPr>
      <w:r w:rsidRPr="007D693B">
        <w:rPr>
          <w:rFonts w:ascii="Arial" w:eastAsia="Times New Roman" w:hAnsi="Arial" w:cs="Arial"/>
          <w:sz w:val="24"/>
          <w:szCs w:val="24"/>
        </w:rPr>
        <w:t>Alternatives such as electric bicycles and shared mobility services are becoming increasingly popular, particularly in urban environments. These substitutes, which offer lower costs and higher convenience, present a challenge to traditional motorcycle manufacturers like Triumph (McKinsey, 2021). To counter this, Triumph must emphasize the unique experiences that motorcycles offer and continue to innovate with electric and sustainable solutions.</w:t>
      </w:r>
    </w:p>
    <w:p w14:paraId="5D63EED9" w14:textId="77777777" w:rsidR="007D693B" w:rsidRDefault="007D693B" w:rsidP="007D693B">
      <w:pPr>
        <w:pStyle w:val="NoSpacing"/>
        <w:rPr>
          <w:rFonts w:ascii="Arial" w:eastAsia="Times New Roman" w:hAnsi="Arial" w:cs="Arial"/>
          <w:sz w:val="24"/>
          <w:szCs w:val="24"/>
        </w:rPr>
      </w:pPr>
    </w:p>
    <w:p w14:paraId="64038DAB" w14:textId="77777777" w:rsidR="007D693B" w:rsidRDefault="00CE68C1" w:rsidP="007D693B">
      <w:pPr>
        <w:pStyle w:val="NoSpacing"/>
        <w:rPr>
          <w:rFonts w:ascii="Arial" w:eastAsia="Times New Roman" w:hAnsi="Arial" w:cs="Arial"/>
          <w:sz w:val="24"/>
          <w:szCs w:val="24"/>
        </w:rPr>
      </w:pPr>
      <w:r w:rsidRPr="007D693B">
        <w:rPr>
          <w:rFonts w:ascii="Arial" w:eastAsia="Times New Roman" w:hAnsi="Arial" w:cs="Arial"/>
          <w:sz w:val="24"/>
          <w:szCs w:val="24"/>
        </w:rPr>
        <w:t>Industry Rivalry (High):</w:t>
      </w:r>
      <w:r w:rsidRPr="007D693B">
        <w:rPr>
          <w:rFonts w:ascii="Arial" w:eastAsia="Times New Roman" w:hAnsi="Arial" w:cs="Arial"/>
          <w:sz w:val="24"/>
          <w:szCs w:val="24"/>
        </w:rPr>
        <w:br/>
      </w:r>
    </w:p>
    <w:p w14:paraId="5DD5240F" w14:textId="5DCEDD10" w:rsidR="00CE68C1" w:rsidRPr="007D693B" w:rsidRDefault="00CE68C1" w:rsidP="007D693B">
      <w:pPr>
        <w:pStyle w:val="NoSpacing"/>
        <w:ind w:firstLine="720"/>
        <w:rPr>
          <w:rFonts w:ascii="Arial" w:eastAsia="Times New Roman" w:hAnsi="Arial" w:cs="Arial"/>
          <w:sz w:val="24"/>
          <w:szCs w:val="24"/>
        </w:rPr>
      </w:pPr>
      <w:r w:rsidRPr="007D693B">
        <w:rPr>
          <w:rFonts w:ascii="Arial" w:eastAsia="Times New Roman" w:hAnsi="Arial" w:cs="Arial"/>
          <w:sz w:val="24"/>
          <w:szCs w:val="24"/>
        </w:rPr>
        <w:t xml:space="preserve">The motorcycle industry is highly competitive, particularly within the premium segment. Major competitors, such as BMW Motorrad, Ducati, and Harley-Davidson, continuously push the boundaries of innovation, design, and performance. This </w:t>
      </w:r>
      <w:r w:rsidRPr="007D693B">
        <w:rPr>
          <w:rFonts w:ascii="Arial" w:eastAsia="Times New Roman" w:hAnsi="Arial" w:cs="Arial"/>
          <w:sz w:val="24"/>
          <w:szCs w:val="24"/>
        </w:rPr>
        <w:lastRenderedPageBreak/>
        <w:t>competition increases the need for Triumph to differentiate itself through its brand heritage, technological advancements, and commitment to sustainability (ACEM, 2022).</w:t>
      </w:r>
    </w:p>
    <w:p w14:paraId="54D54710" w14:textId="5D030DD2" w:rsidR="00CE68C1" w:rsidRPr="0082783A" w:rsidRDefault="00CE68C1" w:rsidP="00CE68C1">
      <w:pPr>
        <w:rPr>
          <w:rFonts w:ascii="Arial" w:eastAsia="Times New Roman" w:hAnsi="Arial" w:cs="Arial"/>
          <w:color w:val="000000"/>
          <w:kern w:val="0"/>
          <w:lang w:eastAsia="en-GB"/>
          <w14:ligatures w14:val="none"/>
        </w:rPr>
      </w:pPr>
    </w:p>
    <w:p w14:paraId="15141512" w14:textId="77777777" w:rsidR="00CE68C1" w:rsidRPr="0082783A" w:rsidRDefault="00CE68C1" w:rsidP="007D693B">
      <w:pPr>
        <w:pStyle w:val="Heading1"/>
        <w:rPr>
          <w:rFonts w:eastAsia="Times New Roman"/>
          <w:lang w:eastAsia="en-GB"/>
        </w:rPr>
      </w:pPr>
      <w:bookmarkStart w:id="6" w:name="_Toc191114770"/>
      <w:r w:rsidRPr="0082783A">
        <w:rPr>
          <w:rFonts w:eastAsia="Times New Roman"/>
          <w:lang w:eastAsia="en-GB"/>
        </w:rPr>
        <w:t>4. Internal Environment Analysis</w:t>
      </w:r>
      <w:bookmarkEnd w:id="6"/>
    </w:p>
    <w:p w14:paraId="3E79085D" w14:textId="77777777" w:rsidR="00CE68C1" w:rsidRPr="0082783A" w:rsidRDefault="00CE68C1" w:rsidP="007D693B">
      <w:pPr>
        <w:pStyle w:val="Heading2"/>
        <w:rPr>
          <w:rFonts w:eastAsia="Times New Roman"/>
          <w:lang w:eastAsia="en-GB"/>
        </w:rPr>
      </w:pPr>
      <w:bookmarkStart w:id="7" w:name="_Toc191114771"/>
      <w:r w:rsidRPr="0082783A">
        <w:rPr>
          <w:rFonts w:eastAsia="Times New Roman"/>
          <w:lang w:eastAsia="en-GB"/>
        </w:rPr>
        <w:t>4.1 SWOT Analysis</w:t>
      </w:r>
      <w:bookmarkEnd w:id="7"/>
    </w:p>
    <w:p w14:paraId="4442B3CC" w14:textId="77777777" w:rsidR="00CE68C1" w:rsidRPr="0082783A" w:rsidRDefault="00CE68C1" w:rsidP="00CE68C1">
      <w:p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Strengths:</w:t>
      </w:r>
    </w:p>
    <w:p w14:paraId="4DF8750C" w14:textId="77777777" w:rsidR="00CE68C1" w:rsidRPr="0082783A" w:rsidRDefault="00CE68C1" w:rsidP="00CE68C1">
      <w:pPr>
        <w:numPr>
          <w:ilvl w:val="0"/>
          <w:numId w:val="38"/>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Brand Equity</w:t>
      </w:r>
      <w:r w:rsidRPr="0082783A">
        <w:rPr>
          <w:rFonts w:ascii="Arial" w:eastAsia="Times New Roman" w:hAnsi="Arial" w:cs="Arial"/>
          <w:color w:val="000000"/>
          <w:kern w:val="0"/>
          <w:lang w:eastAsia="en-GB"/>
          <w14:ligatures w14:val="none"/>
        </w:rPr>
        <w:t>: Triumph’s century-old legacy of craftsmanship and quality gives it a significant advantage. The company’s strong brand recognition and loyal customer base allow it to maintain its competitive edge in a crowded market (Heffernan, 2020).</w:t>
      </w:r>
    </w:p>
    <w:p w14:paraId="4FAF2254" w14:textId="77777777" w:rsidR="00CE68C1" w:rsidRPr="0082783A" w:rsidRDefault="00CE68C1" w:rsidP="00CE68C1">
      <w:pPr>
        <w:numPr>
          <w:ilvl w:val="0"/>
          <w:numId w:val="38"/>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Innovation and Engineering Excellence</w:t>
      </w:r>
      <w:r w:rsidRPr="0082783A">
        <w:rPr>
          <w:rFonts w:ascii="Arial" w:eastAsia="Times New Roman" w:hAnsi="Arial" w:cs="Arial"/>
          <w:color w:val="000000"/>
          <w:kern w:val="0"/>
          <w:lang w:eastAsia="en-GB"/>
          <w14:ligatures w14:val="none"/>
        </w:rPr>
        <w:t>: Triumph has a reputation for leading the market in motorcycle engineering, which has allowed the company to maintain a competitive edge and continuously introduce new, high-performance models (Triumph Motorcycles, 2022).</w:t>
      </w:r>
    </w:p>
    <w:p w14:paraId="0CC4C99C" w14:textId="77777777" w:rsidR="00CE68C1" w:rsidRPr="0082783A" w:rsidRDefault="00CE68C1" w:rsidP="00CE68C1">
      <w:pPr>
        <w:numPr>
          <w:ilvl w:val="0"/>
          <w:numId w:val="38"/>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Global Manufacturing and Distribution Network</w:t>
      </w:r>
      <w:r w:rsidRPr="0082783A">
        <w:rPr>
          <w:rFonts w:ascii="Arial" w:eastAsia="Times New Roman" w:hAnsi="Arial" w:cs="Arial"/>
          <w:color w:val="000000"/>
          <w:kern w:val="0"/>
          <w:lang w:eastAsia="en-GB"/>
          <w14:ligatures w14:val="none"/>
        </w:rPr>
        <w:t>: Triumph’s global operations allow it to meet the needs of an international customer base. With facilities in both the UK and Thailand, the company can scale its production while also managing costs effectively (ACEM, 2022).</w:t>
      </w:r>
    </w:p>
    <w:p w14:paraId="74771805" w14:textId="77777777" w:rsidR="00CE68C1" w:rsidRPr="0082783A" w:rsidRDefault="00CE68C1" w:rsidP="00CE68C1">
      <w:p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Weaknesses:</w:t>
      </w:r>
    </w:p>
    <w:p w14:paraId="17E17A6B" w14:textId="77777777" w:rsidR="00CE68C1" w:rsidRPr="0082783A" w:rsidRDefault="00CE68C1" w:rsidP="00CE68C1">
      <w:pPr>
        <w:numPr>
          <w:ilvl w:val="0"/>
          <w:numId w:val="39"/>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Reliance on Third-Party Suppliers</w:t>
      </w:r>
      <w:r w:rsidRPr="0082783A">
        <w:rPr>
          <w:rFonts w:ascii="Arial" w:eastAsia="Times New Roman" w:hAnsi="Arial" w:cs="Arial"/>
          <w:color w:val="000000"/>
          <w:kern w:val="0"/>
          <w:lang w:eastAsia="en-GB"/>
          <w14:ligatures w14:val="none"/>
        </w:rPr>
        <w:t>: Triumph’s dependence on external suppliers for critical components exposes it to supply chain risks and potential cost increases, which could affect its profitability (PwC, 2022).</w:t>
      </w:r>
    </w:p>
    <w:p w14:paraId="4022256D" w14:textId="77777777" w:rsidR="00CE68C1" w:rsidRPr="0082783A" w:rsidRDefault="00CE68C1" w:rsidP="00CE68C1">
      <w:pPr>
        <w:numPr>
          <w:ilvl w:val="0"/>
          <w:numId w:val="39"/>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Limited Electric Portfolio</w:t>
      </w:r>
      <w:r w:rsidRPr="0082783A">
        <w:rPr>
          <w:rFonts w:ascii="Arial" w:eastAsia="Times New Roman" w:hAnsi="Arial" w:cs="Arial"/>
          <w:color w:val="000000"/>
          <w:kern w:val="0"/>
          <w:lang w:eastAsia="en-GB"/>
          <w14:ligatures w14:val="none"/>
        </w:rPr>
        <w:t>: Triumph’s electric motorcycle offerings remain limited compared to competitors like BMW and Harley-Davidson. As demand for electric vehicles grows, the company needs to accelerate its EV development to remain competitive in the long term (Roland Berger, 2022).</w:t>
      </w:r>
    </w:p>
    <w:p w14:paraId="7902962B" w14:textId="77777777" w:rsidR="00CE68C1" w:rsidRPr="0082783A" w:rsidRDefault="00CE68C1" w:rsidP="00CE68C1">
      <w:p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Opportunities:</w:t>
      </w:r>
    </w:p>
    <w:p w14:paraId="7347EC13" w14:textId="77777777" w:rsidR="00CE68C1" w:rsidRPr="0082783A" w:rsidRDefault="00CE68C1" w:rsidP="00CE68C1">
      <w:pPr>
        <w:numPr>
          <w:ilvl w:val="0"/>
          <w:numId w:val="40"/>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Electric Motorcycle Market</w:t>
      </w:r>
      <w:r w:rsidRPr="0082783A">
        <w:rPr>
          <w:rFonts w:ascii="Arial" w:eastAsia="Times New Roman" w:hAnsi="Arial" w:cs="Arial"/>
          <w:color w:val="000000"/>
          <w:kern w:val="0"/>
          <w:lang w:eastAsia="en-GB"/>
          <w14:ligatures w14:val="none"/>
        </w:rPr>
        <w:t>: The growing demand for sustainable mobility presents an opportunity for Triumph to expand its electric vehicle portfolio and appeal to a more eco-conscious customer base (McKinsey, 2021).</w:t>
      </w:r>
    </w:p>
    <w:p w14:paraId="293889DE" w14:textId="77777777" w:rsidR="00CE68C1" w:rsidRPr="0082783A" w:rsidRDefault="00CE68C1" w:rsidP="00CE68C1">
      <w:pPr>
        <w:numPr>
          <w:ilvl w:val="0"/>
          <w:numId w:val="40"/>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Technological Integration and Digital Transformation</w:t>
      </w:r>
      <w:r w:rsidRPr="0082783A">
        <w:rPr>
          <w:rFonts w:ascii="Arial" w:eastAsia="Times New Roman" w:hAnsi="Arial" w:cs="Arial"/>
          <w:color w:val="000000"/>
          <w:kern w:val="0"/>
          <w:lang w:eastAsia="en-GB"/>
          <w14:ligatures w14:val="none"/>
        </w:rPr>
        <w:t>: By adopting new technologies such as IoT, AI, and augmented reality, Triumph can improve customer experience, enhance product performance, and streamline operations (PwC, 2022).</w:t>
      </w:r>
    </w:p>
    <w:p w14:paraId="790DD1F3" w14:textId="77777777" w:rsidR="00CE68C1" w:rsidRPr="0082783A" w:rsidRDefault="00CE68C1" w:rsidP="00CE68C1">
      <w:p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Threats:</w:t>
      </w:r>
    </w:p>
    <w:p w14:paraId="223C6259" w14:textId="77777777" w:rsidR="00CE68C1" w:rsidRPr="0082783A" w:rsidRDefault="00CE68C1" w:rsidP="00CE68C1">
      <w:pPr>
        <w:numPr>
          <w:ilvl w:val="0"/>
          <w:numId w:val="41"/>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Regulatory Pressures</w:t>
      </w:r>
      <w:r w:rsidRPr="0082783A">
        <w:rPr>
          <w:rFonts w:ascii="Arial" w:eastAsia="Times New Roman" w:hAnsi="Arial" w:cs="Arial"/>
          <w:color w:val="000000"/>
          <w:kern w:val="0"/>
          <w:lang w:eastAsia="en-GB"/>
          <w14:ligatures w14:val="none"/>
        </w:rPr>
        <w:t xml:space="preserve">: Increased environmental regulations and stricter emissions standards could drive up production costs for Triumph. The </w:t>
      </w:r>
      <w:r w:rsidRPr="0082783A">
        <w:rPr>
          <w:rFonts w:ascii="Arial" w:eastAsia="Times New Roman" w:hAnsi="Arial" w:cs="Arial"/>
          <w:color w:val="000000"/>
          <w:kern w:val="0"/>
          <w:lang w:eastAsia="en-GB"/>
          <w14:ligatures w14:val="none"/>
        </w:rPr>
        <w:lastRenderedPageBreak/>
        <w:t>company must invest in new technologies to remain compliant and competitive (European Commission, 2022).</w:t>
      </w:r>
    </w:p>
    <w:p w14:paraId="0195A89B" w14:textId="77777777" w:rsidR="00CE68C1" w:rsidRPr="0082783A" w:rsidRDefault="00CE68C1" w:rsidP="00CE68C1">
      <w:pPr>
        <w:numPr>
          <w:ilvl w:val="0"/>
          <w:numId w:val="41"/>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b/>
          <w:bCs/>
          <w:color w:val="000000"/>
          <w:kern w:val="0"/>
          <w:lang w:eastAsia="en-GB"/>
          <w14:ligatures w14:val="none"/>
        </w:rPr>
        <w:t>Economic Volatility</w:t>
      </w:r>
      <w:r w:rsidRPr="0082783A">
        <w:rPr>
          <w:rFonts w:ascii="Arial" w:eastAsia="Times New Roman" w:hAnsi="Arial" w:cs="Arial"/>
          <w:color w:val="000000"/>
          <w:kern w:val="0"/>
          <w:lang w:eastAsia="en-GB"/>
          <w14:ligatures w14:val="none"/>
        </w:rPr>
        <w:t>: Economic downturns could affect consumer spending on premium goods, which poses a threat to Triumph’s revenue during economic slowdowns (Mintel, 2023).</w:t>
      </w:r>
    </w:p>
    <w:p w14:paraId="65720598" w14:textId="786B3917" w:rsidR="00CE68C1" w:rsidRPr="0082783A" w:rsidRDefault="00CE68C1" w:rsidP="00CE68C1">
      <w:pPr>
        <w:rPr>
          <w:rFonts w:ascii="Arial" w:eastAsia="Times New Roman" w:hAnsi="Arial" w:cs="Arial"/>
          <w:color w:val="000000"/>
          <w:kern w:val="0"/>
          <w:lang w:eastAsia="en-GB"/>
          <w14:ligatures w14:val="none"/>
        </w:rPr>
      </w:pPr>
    </w:p>
    <w:p w14:paraId="624D7667" w14:textId="77777777" w:rsidR="00CE68C1" w:rsidRPr="0082783A" w:rsidRDefault="00CE68C1" w:rsidP="007D693B">
      <w:pPr>
        <w:pStyle w:val="Heading1"/>
        <w:rPr>
          <w:rFonts w:eastAsia="Times New Roman"/>
          <w:lang w:eastAsia="en-GB"/>
        </w:rPr>
      </w:pPr>
      <w:bookmarkStart w:id="8" w:name="_Toc191114772"/>
      <w:r w:rsidRPr="0082783A">
        <w:rPr>
          <w:rFonts w:eastAsia="Times New Roman"/>
          <w:lang w:eastAsia="en-GB"/>
        </w:rPr>
        <w:t>5. Strategic Recommendations</w:t>
      </w:r>
      <w:bookmarkEnd w:id="8"/>
    </w:p>
    <w:p w14:paraId="50C43F15" w14:textId="77777777" w:rsidR="00CE68C1" w:rsidRPr="0082783A" w:rsidRDefault="00CE68C1" w:rsidP="007D693B">
      <w:pPr>
        <w:pStyle w:val="Heading2"/>
        <w:rPr>
          <w:rFonts w:eastAsia="Times New Roman"/>
          <w:lang w:eastAsia="en-GB"/>
        </w:rPr>
      </w:pPr>
      <w:bookmarkStart w:id="9" w:name="_Toc191114773"/>
      <w:r w:rsidRPr="0082783A">
        <w:rPr>
          <w:rFonts w:eastAsia="Times New Roman"/>
          <w:lang w:eastAsia="en-GB"/>
        </w:rPr>
        <w:t>5.1 Accelerate Electric Motorcycle Development</w:t>
      </w:r>
      <w:bookmarkEnd w:id="9"/>
    </w:p>
    <w:p w14:paraId="13B4F787" w14:textId="77777777" w:rsidR="00CE68C1" w:rsidRPr="0082783A" w:rsidRDefault="00CE68C1" w:rsidP="007D693B">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Triumph should prioritize accelerating the development of its electric motorcycle portfolio to remain competitive in a rapidly changing market. This includes investing in R&amp;D to improve battery technology, extend range, and enhance performance. Strategic partnerships with battery manufacturers and electric vehicle technology companies will enable Triumph to access cutting-edge innovations and bring competitive products to market faster.</w:t>
      </w:r>
    </w:p>
    <w:p w14:paraId="2088A2ED" w14:textId="77777777" w:rsidR="00CE68C1" w:rsidRPr="0082783A" w:rsidRDefault="00CE68C1" w:rsidP="007D693B">
      <w:pPr>
        <w:pStyle w:val="Heading2"/>
        <w:rPr>
          <w:rFonts w:eastAsia="Times New Roman"/>
          <w:lang w:eastAsia="en-GB"/>
        </w:rPr>
      </w:pPr>
      <w:bookmarkStart w:id="10" w:name="_Toc191114774"/>
      <w:r w:rsidRPr="0082783A">
        <w:rPr>
          <w:rFonts w:eastAsia="Times New Roman"/>
          <w:lang w:eastAsia="en-GB"/>
        </w:rPr>
        <w:t>5.2 Strengthen Supply Chain Resilience</w:t>
      </w:r>
      <w:bookmarkEnd w:id="10"/>
    </w:p>
    <w:p w14:paraId="34DF305F" w14:textId="77777777" w:rsidR="00CE68C1" w:rsidRPr="0082783A" w:rsidRDefault="00CE68C1" w:rsidP="007D693B">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Triumph should diversify its supplier base and look to mitigate risks by sourcing components locally when possible. Implementing digital supply chain tools for better tracking and visibility will enable the company to respond to potential disruptions more swiftly and efficiently. Additionally, implementing a robust risk management framework will help Triumph anticipate and minimize any potential supply chain challenges.</w:t>
      </w:r>
    </w:p>
    <w:p w14:paraId="714F70EB" w14:textId="77777777" w:rsidR="00CE68C1" w:rsidRPr="0082783A" w:rsidRDefault="00CE68C1" w:rsidP="007D693B">
      <w:pPr>
        <w:pStyle w:val="Heading2"/>
        <w:rPr>
          <w:rFonts w:eastAsia="Times New Roman"/>
          <w:lang w:eastAsia="en-GB"/>
        </w:rPr>
      </w:pPr>
      <w:bookmarkStart w:id="11" w:name="_Toc191114775"/>
      <w:r w:rsidRPr="0082783A">
        <w:rPr>
          <w:rFonts w:eastAsia="Times New Roman"/>
          <w:lang w:eastAsia="en-GB"/>
        </w:rPr>
        <w:t>5.3 Enhance Digital and Customer Experience</w:t>
      </w:r>
      <w:bookmarkEnd w:id="11"/>
    </w:p>
    <w:p w14:paraId="0FABE15C" w14:textId="77777777" w:rsidR="00CE68C1" w:rsidRPr="0082783A" w:rsidRDefault="00CE68C1" w:rsidP="007D693B">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Triumph should further develop its digital strategy by enhancing e-commerce platforms and creating engaging online experiences. Expanding its online support channels, such as virtual consultations or digital showrooms, can help reach a younger, more tech-savvy audience. Digital marketing campaigns, including influencer partnerships and targeted social media ads, will be essential for building brand loyalty and driving global sales (Roland Berger, 2022).</w:t>
      </w:r>
    </w:p>
    <w:p w14:paraId="4FF12ECF" w14:textId="77777777" w:rsidR="00CE68C1" w:rsidRPr="0082783A" w:rsidRDefault="00CE68C1" w:rsidP="007D693B">
      <w:pPr>
        <w:pStyle w:val="Heading2"/>
        <w:rPr>
          <w:rFonts w:eastAsia="Times New Roman"/>
          <w:lang w:eastAsia="en-GB"/>
        </w:rPr>
      </w:pPr>
      <w:bookmarkStart w:id="12" w:name="_Toc191114776"/>
      <w:r w:rsidRPr="0082783A">
        <w:rPr>
          <w:rFonts w:eastAsia="Times New Roman"/>
          <w:lang w:eastAsia="en-GB"/>
        </w:rPr>
        <w:t>5.4 Explore Strategic Partnerships and Acquisitions</w:t>
      </w:r>
      <w:bookmarkEnd w:id="12"/>
    </w:p>
    <w:p w14:paraId="729D915D" w14:textId="77777777" w:rsidR="00CE68C1" w:rsidRPr="0082783A" w:rsidRDefault="00CE68C1" w:rsidP="007D693B">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Triumph should seek partnerships with other technology and automotive companies to foster innovation and enter new markets. Collaborations with electric vehicle and smart technology companies could lead to co-branded products, access to new technologies, and new growth opportunities in emerging markets (McKinsey, 2021).</w:t>
      </w:r>
    </w:p>
    <w:p w14:paraId="21DE98A5" w14:textId="565201D7" w:rsidR="00CE68C1" w:rsidRPr="0082783A" w:rsidRDefault="00CE68C1" w:rsidP="00CE68C1">
      <w:pPr>
        <w:rPr>
          <w:rFonts w:ascii="Arial" w:eastAsia="Times New Roman" w:hAnsi="Arial" w:cs="Arial"/>
          <w:color w:val="000000"/>
          <w:kern w:val="0"/>
          <w:lang w:eastAsia="en-GB"/>
          <w14:ligatures w14:val="none"/>
        </w:rPr>
      </w:pPr>
    </w:p>
    <w:p w14:paraId="7392AF28" w14:textId="77777777" w:rsidR="00CE68C1" w:rsidRPr="0082783A" w:rsidRDefault="00CE68C1" w:rsidP="007D693B">
      <w:pPr>
        <w:pStyle w:val="Heading1"/>
        <w:rPr>
          <w:rFonts w:eastAsia="Times New Roman"/>
          <w:lang w:eastAsia="en-GB"/>
        </w:rPr>
      </w:pPr>
      <w:bookmarkStart w:id="13" w:name="_Toc191114777"/>
      <w:r w:rsidRPr="0082783A">
        <w:rPr>
          <w:rFonts w:eastAsia="Times New Roman"/>
          <w:lang w:eastAsia="en-GB"/>
        </w:rPr>
        <w:lastRenderedPageBreak/>
        <w:t>6. Conclusion</w:t>
      </w:r>
      <w:bookmarkEnd w:id="13"/>
    </w:p>
    <w:p w14:paraId="5D567ABB" w14:textId="77777777" w:rsidR="00CE68C1" w:rsidRPr="0082783A" w:rsidRDefault="00CE68C1" w:rsidP="007D693B">
      <w:pPr>
        <w:spacing w:before="100" w:beforeAutospacing="1" w:after="100" w:afterAutospacing="1"/>
        <w:ind w:firstLine="720"/>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Triumph Motorcycles holds a strong position in the UK automotive sector, known for its iconic brand and commitment to engineering excellence. By focusing on innovation, embracing sustainability, and prioritizing digital transformation, Triumph can remain competitive in an increasingly challenging market. By investing in electric mobility, strengthening supply chain resilience, and exploring strategic partnerships, Triumph is well-positioned to continue as a market leader in the premium motorcycle sector.</w:t>
      </w:r>
    </w:p>
    <w:p w14:paraId="59AF32AC" w14:textId="25A90C6E" w:rsidR="00CE68C1" w:rsidRDefault="00CE68C1" w:rsidP="00CE68C1">
      <w:pPr>
        <w:rPr>
          <w:rFonts w:ascii="Arial" w:hAnsi="Arial" w:cs="Arial"/>
          <w:noProof/>
        </w:rPr>
      </w:pPr>
    </w:p>
    <w:p w14:paraId="225B5EE8" w14:textId="77777777" w:rsidR="007D693B" w:rsidRDefault="007D693B" w:rsidP="00CE68C1">
      <w:pPr>
        <w:rPr>
          <w:rFonts w:ascii="Arial" w:hAnsi="Arial" w:cs="Arial"/>
          <w:noProof/>
        </w:rPr>
      </w:pPr>
    </w:p>
    <w:p w14:paraId="2627F140" w14:textId="77777777" w:rsidR="007D693B" w:rsidRDefault="007D693B" w:rsidP="00CE68C1">
      <w:pPr>
        <w:rPr>
          <w:rFonts w:ascii="Arial" w:hAnsi="Arial" w:cs="Arial"/>
          <w:noProof/>
        </w:rPr>
      </w:pPr>
    </w:p>
    <w:p w14:paraId="0E361837" w14:textId="77777777" w:rsidR="007D693B" w:rsidRDefault="007D693B" w:rsidP="00CE68C1">
      <w:pPr>
        <w:rPr>
          <w:rFonts w:ascii="Arial" w:hAnsi="Arial" w:cs="Arial"/>
          <w:noProof/>
        </w:rPr>
      </w:pPr>
    </w:p>
    <w:p w14:paraId="5ADAEBEC" w14:textId="77777777" w:rsidR="007D693B" w:rsidRDefault="007D693B" w:rsidP="00CE68C1">
      <w:pPr>
        <w:rPr>
          <w:rFonts w:ascii="Arial" w:hAnsi="Arial" w:cs="Arial"/>
          <w:noProof/>
        </w:rPr>
      </w:pPr>
    </w:p>
    <w:p w14:paraId="46262FE7" w14:textId="77777777" w:rsidR="007D693B" w:rsidRDefault="007D693B" w:rsidP="00CE68C1">
      <w:pPr>
        <w:rPr>
          <w:rFonts w:ascii="Arial" w:hAnsi="Arial" w:cs="Arial"/>
          <w:noProof/>
        </w:rPr>
      </w:pPr>
    </w:p>
    <w:p w14:paraId="77CDCB77" w14:textId="77777777" w:rsidR="007D693B" w:rsidRDefault="007D693B" w:rsidP="00CE68C1">
      <w:pPr>
        <w:rPr>
          <w:rFonts w:ascii="Arial" w:hAnsi="Arial" w:cs="Arial"/>
          <w:noProof/>
        </w:rPr>
      </w:pPr>
    </w:p>
    <w:p w14:paraId="438C89DD" w14:textId="77777777" w:rsidR="007D693B" w:rsidRDefault="007D693B" w:rsidP="00CE68C1">
      <w:pPr>
        <w:rPr>
          <w:rFonts w:ascii="Arial" w:hAnsi="Arial" w:cs="Arial"/>
          <w:noProof/>
        </w:rPr>
      </w:pPr>
    </w:p>
    <w:p w14:paraId="7F8FA3C5" w14:textId="77777777" w:rsidR="007D693B" w:rsidRDefault="007D693B" w:rsidP="00CE68C1">
      <w:pPr>
        <w:rPr>
          <w:rFonts w:ascii="Arial" w:hAnsi="Arial" w:cs="Arial"/>
          <w:noProof/>
        </w:rPr>
      </w:pPr>
    </w:p>
    <w:p w14:paraId="6865837C" w14:textId="77777777" w:rsidR="007D693B" w:rsidRDefault="007D693B" w:rsidP="00CE68C1">
      <w:pPr>
        <w:rPr>
          <w:rFonts w:ascii="Arial" w:hAnsi="Arial" w:cs="Arial"/>
          <w:noProof/>
        </w:rPr>
      </w:pPr>
    </w:p>
    <w:p w14:paraId="6D652CBD" w14:textId="77777777" w:rsidR="007D693B" w:rsidRDefault="007D693B" w:rsidP="00CE68C1">
      <w:pPr>
        <w:rPr>
          <w:rFonts w:ascii="Arial" w:hAnsi="Arial" w:cs="Arial"/>
          <w:noProof/>
        </w:rPr>
      </w:pPr>
    </w:p>
    <w:p w14:paraId="39C8E43B" w14:textId="77777777" w:rsidR="007D693B" w:rsidRDefault="007D693B" w:rsidP="00CE68C1">
      <w:pPr>
        <w:rPr>
          <w:rFonts w:ascii="Arial" w:hAnsi="Arial" w:cs="Arial"/>
          <w:noProof/>
        </w:rPr>
      </w:pPr>
    </w:p>
    <w:p w14:paraId="4965E896" w14:textId="77777777" w:rsidR="007D693B" w:rsidRDefault="007D693B" w:rsidP="00CE68C1">
      <w:pPr>
        <w:rPr>
          <w:rFonts w:ascii="Arial" w:hAnsi="Arial" w:cs="Arial"/>
          <w:noProof/>
        </w:rPr>
      </w:pPr>
    </w:p>
    <w:p w14:paraId="3817C85A" w14:textId="77777777" w:rsidR="007D693B" w:rsidRDefault="007D693B" w:rsidP="00CE68C1">
      <w:pPr>
        <w:rPr>
          <w:rFonts w:ascii="Arial" w:hAnsi="Arial" w:cs="Arial"/>
          <w:noProof/>
        </w:rPr>
      </w:pPr>
    </w:p>
    <w:p w14:paraId="03755AA6" w14:textId="77777777" w:rsidR="007D693B" w:rsidRDefault="007D693B" w:rsidP="00CE68C1">
      <w:pPr>
        <w:rPr>
          <w:rFonts w:ascii="Arial" w:hAnsi="Arial" w:cs="Arial"/>
          <w:noProof/>
        </w:rPr>
      </w:pPr>
    </w:p>
    <w:p w14:paraId="176A9573" w14:textId="77777777" w:rsidR="007D693B" w:rsidRDefault="007D693B" w:rsidP="00CE68C1">
      <w:pPr>
        <w:rPr>
          <w:rFonts w:ascii="Arial" w:hAnsi="Arial" w:cs="Arial"/>
          <w:noProof/>
        </w:rPr>
      </w:pPr>
    </w:p>
    <w:p w14:paraId="48072435" w14:textId="77777777" w:rsidR="007D693B" w:rsidRDefault="007D693B" w:rsidP="00CE68C1">
      <w:pPr>
        <w:rPr>
          <w:rFonts w:ascii="Arial" w:hAnsi="Arial" w:cs="Arial"/>
          <w:noProof/>
        </w:rPr>
      </w:pPr>
    </w:p>
    <w:p w14:paraId="72B679C1" w14:textId="77777777" w:rsidR="007D693B" w:rsidRDefault="007D693B" w:rsidP="00CE68C1">
      <w:pPr>
        <w:rPr>
          <w:rFonts w:ascii="Arial" w:hAnsi="Arial" w:cs="Arial"/>
          <w:noProof/>
        </w:rPr>
      </w:pPr>
    </w:p>
    <w:p w14:paraId="57EAF0D0" w14:textId="77777777" w:rsidR="007D693B" w:rsidRDefault="007D693B" w:rsidP="00CE68C1">
      <w:pPr>
        <w:rPr>
          <w:rFonts w:ascii="Arial" w:hAnsi="Arial" w:cs="Arial"/>
          <w:noProof/>
        </w:rPr>
      </w:pPr>
    </w:p>
    <w:p w14:paraId="3DD71C9D" w14:textId="77777777" w:rsidR="007D693B" w:rsidRDefault="007D693B" w:rsidP="00CE68C1">
      <w:pPr>
        <w:rPr>
          <w:rFonts w:ascii="Arial" w:hAnsi="Arial" w:cs="Arial"/>
          <w:noProof/>
        </w:rPr>
      </w:pPr>
    </w:p>
    <w:p w14:paraId="13C12E68" w14:textId="77777777" w:rsidR="007D693B" w:rsidRDefault="007D693B" w:rsidP="00CE68C1">
      <w:pPr>
        <w:rPr>
          <w:rFonts w:ascii="Arial" w:hAnsi="Arial" w:cs="Arial"/>
          <w:noProof/>
        </w:rPr>
      </w:pPr>
    </w:p>
    <w:p w14:paraId="5D6FC5AB" w14:textId="77777777" w:rsidR="007D693B" w:rsidRDefault="007D693B" w:rsidP="00CE68C1">
      <w:pPr>
        <w:rPr>
          <w:rFonts w:ascii="Arial" w:hAnsi="Arial" w:cs="Arial"/>
          <w:noProof/>
        </w:rPr>
      </w:pPr>
    </w:p>
    <w:p w14:paraId="7AC16021" w14:textId="77777777" w:rsidR="007D693B" w:rsidRDefault="007D693B" w:rsidP="00CE68C1">
      <w:pPr>
        <w:rPr>
          <w:rFonts w:ascii="Arial" w:hAnsi="Arial" w:cs="Arial"/>
          <w:noProof/>
        </w:rPr>
      </w:pPr>
    </w:p>
    <w:p w14:paraId="1BB3F24C" w14:textId="77777777" w:rsidR="007D693B" w:rsidRDefault="007D693B" w:rsidP="00CE68C1">
      <w:pPr>
        <w:rPr>
          <w:rFonts w:ascii="Arial" w:hAnsi="Arial" w:cs="Arial"/>
          <w:noProof/>
        </w:rPr>
      </w:pPr>
    </w:p>
    <w:p w14:paraId="2CA92599" w14:textId="77777777" w:rsidR="007D693B" w:rsidRDefault="007D693B" w:rsidP="00CE68C1">
      <w:pPr>
        <w:rPr>
          <w:rFonts w:ascii="Arial" w:hAnsi="Arial" w:cs="Arial"/>
          <w:noProof/>
        </w:rPr>
      </w:pPr>
    </w:p>
    <w:p w14:paraId="413394C5" w14:textId="77777777" w:rsidR="007D693B" w:rsidRDefault="007D693B" w:rsidP="00CE68C1">
      <w:pPr>
        <w:rPr>
          <w:rFonts w:ascii="Arial" w:hAnsi="Arial" w:cs="Arial"/>
          <w:noProof/>
        </w:rPr>
      </w:pPr>
    </w:p>
    <w:p w14:paraId="2CBF8DFC" w14:textId="77777777" w:rsidR="007D693B" w:rsidRDefault="007D693B" w:rsidP="00CE68C1">
      <w:pPr>
        <w:rPr>
          <w:rFonts w:ascii="Arial" w:hAnsi="Arial" w:cs="Arial"/>
          <w:noProof/>
        </w:rPr>
      </w:pPr>
    </w:p>
    <w:p w14:paraId="282FE09B" w14:textId="77777777" w:rsidR="007D693B" w:rsidRDefault="007D693B" w:rsidP="00CE68C1">
      <w:pPr>
        <w:rPr>
          <w:rFonts w:ascii="Arial" w:hAnsi="Arial" w:cs="Arial"/>
          <w:noProof/>
        </w:rPr>
      </w:pPr>
    </w:p>
    <w:p w14:paraId="07A65F22" w14:textId="77777777" w:rsidR="007D693B" w:rsidRDefault="007D693B" w:rsidP="00CE68C1">
      <w:pPr>
        <w:rPr>
          <w:rFonts w:ascii="Arial" w:hAnsi="Arial" w:cs="Arial"/>
          <w:noProof/>
        </w:rPr>
      </w:pPr>
    </w:p>
    <w:p w14:paraId="0CA2F2A5" w14:textId="77777777" w:rsidR="007D693B" w:rsidRDefault="007D693B" w:rsidP="00CE68C1">
      <w:pPr>
        <w:rPr>
          <w:rFonts w:ascii="Arial" w:hAnsi="Arial" w:cs="Arial"/>
          <w:noProof/>
        </w:rPr>
      </w:pPr>
    </w:p>
    <w:p w14:paraId="2BF044F4" w14:textId="77777777" w:rsidR="007D693B" w:rsidRDefault="007D693B" w:rsidP="00CE68C1">
      <w:pPr>
        <w:rPr>
          <w:rFonts w:ascii="Arial" w:hAnsi="Arial" w:cs="Arial"/>
          <w:noProof/>
        </w:rPr>
      </w:pPr>
    </w:p>
    <w:p w14:paraId="14E6F214" w14:textId="77777777" w:rsidR="007D693B" w:rsidRDefault="007D693B" w:rsidP="00CE68C1">
      <w:pPr>
        <w:rPr>
          <w:rFonts w:ascii="Arial" w:hAnsi="Arial" w:cs="Arial"/>
          <w:noProof/>
        </w:rPr>
      </w:pPr>
    </w:p>
    <w:p w14:paraId="3982C89D" w14:textId="77777777" w:rsidR="007D693B" w:rsidRDefault="007D693B" w:rsidP="00CE68C1">
      <w:pPr>
        <w:rPr>
          <w:rFonts w:ascii="Arial" w:hAnsi="Arial" w:cs="Arial"/>
          <w:noProof/>
        </w:rPr>
      </w:pPr>
    </w:p>
    <w:p w14:paraId="426D4ADA" w14:textId="77777777" w:rsidR="007D693B" w:rsidRDefault="007D693B" w:rsidP="00CE68C1">
      <w:pPr>
        <w:rPr>
          <w:rFonts w:ascii="Arial" w:hAnsi="Arial" w:cs="Arial"/>
          <w:noProof/>
        </w:rPr>
      </w:pPr>
    </w:p>
    <w:p w14:paraId="349CA448" w14:textId="77777777" w:rsidR="007D693B" w:rsidRDefault="007D693B" w:rsidP="00CE68C1">
      <w:pPr>
        <w:rPr>
          <w:rFonts w:ascii="Arial" w:hAnsi="Arial" w:cs="Arial"/>
          <w:noProof/>
        </w:rPr>
      </w:pPr>
    </w:p>
    <w:p w14:paraId="63C01C7A" w14:textId="77777777" w:rsidR="007D693B" w:rsidRDefault="007D693B" w:rsidP="00CE68C1">
      <w:pPr>
        <w:rPr>
          <w:rFonts w:ascii="Arial" w:hAnsi="Arial" w:cs="Arial"/>
          <w:noProof/>
        </w:rPr>
      </w:pPr>
    </w:p>
    <w:p w14:paraId="2E2EC177" w14:textId="77777777" w:rsidR="007D693B" w:rsidRDefault="007D693B" w:rsidP="00CE68C1">
      <w:pPr>
        <w:rPr>
          <w:rFonts w:ascii="Arial" w:hAnsi="Arial" w:cs="Arial"/>
          <w:noProof/>
        </w:rPr>
      </w:pPr>
    </w:p>
    <w:p w14:paraId="2895EDCF" w14:textId="77777777" w:rsidR="007D693B" w:rsidRPr="0082783A" w:rsidRDefault="007D693B" w:rsidP="00CE68C1">
      <w:pPr>
        <w:rPr>
          <w:rFonts w:ascii="Arial" w:eastAsia="Times New Roman" w:hAnsi="Arial" w:cs="Arial"/>
          <w:color w:val="000000"/>
          <w:kern w:val="0"/>
          <w:lang w:eastAsia="en-GB"/>
          <w14:ligatures w14:val="none"/>
        </w:rPr>
      </w:pPr>
    </w:p>
    <w:p w14:paraId="3137C90D" w14:textId="77777777" w:rsidR="00CE68C1" w:rsidRPr="0082783A" w:rsidRDefault="00CE68C1" w:rsidP="007D693B">
      <w:pPr>
        <w:pStyle w:val="Heading1"/>
        <w:rPr>
          <w:rFonts w:eastAsia="Times New Roman"/>
          <w:lang w:eastAsia="en-GB"/>
        </w:rPr>
      </w:pPr>
      <w:bookmarkStart w:id="14" w:name="_Toc191114778"/>
      <w:r w:rsidRPr="0082783A">
        <w:rPr>
          <w:rFonts w:eastAsia="Times New Roman"/>
          <w:lang w:eastAsia="en-GB"/>
        </w:rPr>
        <w:lastRenderedPageBreak/>
        <w:t>References</w:t>
      </w:r>
      <w:bookmarkEnd w:id="14"/>
    </w:p>
    <w:p w14:paraId="4428C606"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ACEM. (2022). European Motorcycle Market Overview.</w:t>
      </w:r>
    </w:p>
    <w:p w14:paraId="6B41A6E6"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European Commission. (2022). EU Emissions Standards and Regulatory Framework.</w:t>
      </w:r>
    </w:p>
    <w:p w14:paraId="50ACB3C6"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Heffernan, A. (2020). The Triumph Brand Legacy. </w:t>
      </w:r>
      <w:r w:rsidRPr="0082783A">
        <w:rPr>
          <w:rFonts w:ascii="Arial" w:eastAsia="Times New Roman" w:hAnsi="Arial" w:cs="Arial"/>
          <w:i/>
          <w:iCs/>
          <w:color w:val="000000"/>
          <w:kern w:val="0"/>
          <w:lang w:eastAsia="en-GB"/>
          <w14:ligatures w14:val="none"/>
        </w:rPr>
        <w:t>Journal of Brand Management</w:t>
      </w:r>
      <w:r w:rsidRPr="0082783A">
        <w:rPr>
          <w:rFonts w:ascii="Arial" w:eastAsia="Times New Roman" w:hAnsi="Arial" w:cs="Arial"/>
          <w:color w:val="000000"/>
          <w:kern w:val="0"/>
          <w:lang w:eastAsia="en-GB"/>
          <w14:ligatures w14:val="none"/>
        </w:rPr>
        <w:t>, 27(4), 1-18.</w:t>
      </w:r>
    </w:p>
    <w:p w14:paraId="0C799444"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Johnson, G., Scholes, K., &amp; Whittington, R. (2017). </w:t>
      </w:r>
      <w:r w:rsidRPr="0082783A">
        <w:rPr>
          <w:rFonts w:ascii="Arial" w:eastAsia="Times New Roman" w:hAnsi="Arial" w:cs="Arial"/>
          <w:i/>
          <w:iCs/>
          <w:color w:val="000000"/>
          <w:kern w:val="0"/>
          <w:lang w:eastAsia="en-GB"/>
          <w14:ligatures w14:val="none"/>
        </w:rPr>
        <w:t>Exploring Corporate Strategy: Text &amp; Cases</w:t>
      </w:r>
      <w:r w:rsidRPr="0082783A">
        <w:rPr>
          <w:rFonts w:ascii="Arial" w:eastAsia="Times New Roman" w:hAnsi="Arial" w:cs="Arial"/>
          <w:color w:val="000000"/>
          <w:kern w:val="0"/>
          <w:lang w:eastAsia="en-GB"/>
          <w14:ligatures w14:val="none"/>
        </w:rPr>
        <w:t>. Pearson Education.</w:t>
      </w:r>
    </w:p>
    <w:p w14:paraId="2F39A64F"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Mintel. (2023). The UK Motorcycle Market Report.</w:t>
      </w:r>
    </w:p>
    <w:p w14:paraId="51ADE19D"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McKinsey &amp; Company. (2021). The Future of Mobility: Trends and Implications for the Automotive Sector.</w:t>
      </w:r>
    </w:p>
    <w:p w14:paraId="16B537BA"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Office for National Statistics. (2023). Economic Indicators for the UK.</w:t>
      </w:r>
    </w:p>
    <w:p w14:paraId="41279F6E"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PwC. (2022). </w:t>
      </w:r>
      <w:r w:rsidRPr="0082783A">
        <w:rPr>
          <w:rFonts w:ascii="Arial" w:eastAsia="Times New Roman" w:hAnsi="Arial" w:cs="Arial"/>
          <w:i/>
          <w:iCs/>
          <w:color w:val="000000"/>
          <w:kern w:val="0"/>
          <w:lang w:eastAsia="en-GB"/>
          <w14:ligatures w14:val="none"/>
        </w:rPr>
        <w:t>Automotive Trends 2022</w:t>
      </w:r>
      <w:r w:rsidRPr="0082783A">
        <w:rPr>
          <w:rFonts w:ascii="Arial" w:eastAsia="Times New Roman" w:hAnsi="Arial" w:cs="Arial"/>
          <w:color w:val="000000"/>
          <w:kern w:val="0"/>
          <w:lang w:eastAsia="en-GB"/>
          <w14:ligatures w14:val="none"/>
        </w:rPr>
        <w:t>.</w:t>
      </w:r>
    </w:p>
    <w:p w14:paraId="281C1608"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Roland Berger. (2022). </w:t>
      </w:r>
      <w:r w:rsidRPr="0082783A">
        <w:rPr>
          <w:rFonts w:ascii="Arial" w:eastAsia="Times New Roman" w:hAnsi="Arial" w:cs="Arial"/>
          <w:i/>
          <w:iCs/>
          <w:color w:val="000000"/>
          <w:kern w:val="0"/>
          <w:lang w:eastAsia="en-GB"/>
          <w14:ligatures w14:val="none"/>
        </w:rPr>
        <w:t>Global Motorcycle Market Forecast</w:t>
      </w:r>
      <w:r w:rsidRPr="0082783A">
        <w:rPr>
          <w:rFonts w:ascii="Arial" w:eastAsia="Times New Roman" w:hAnsi="Arial" w:cs="Arial"/>
          <w:color w:val="000000"/>
          <w:kern w:val="0"/>
          <w:lang w:eastAsia="en-GB"/>
          <w14:ligatures w14:val="none"/>
        </w:rPr>
        <w:t>.</w:t>
      </w:r>
    </w:p>
    <w:p w14:paraId="5885E6EE"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Society of Motor Manufacturers and Traders (SMMT). (2023). </w:t>
      </w:r>
      <w:r w:rsidRPr="0082783A">
        <w:rPr>
          <w:rFonts w:ascii="Arial" w:eastAsia="Times New Roman" w:hAnsi="Arial" w:cs="Arial"/>
          <w:i/>
          <w:iCs/>
          <w:color w:val="000000"/>
          <w:kern w:val="0"/>
          <w:lang w:eastAsia="en-GB"/>
          <w14:ligatures w14:val="none"/>
        </w:rPr>
        <w:t>UK Automotive Industry Overview</w:t>
      </w:r>
      <w:r w:rsidRPr="0082783A">
        <w:rPr>
          <w:rFonts w:ascii="Arial" w:eastAsia="Times New Roman" w:hAnsi="Arial" w:cs="Arial"/>
          <w:color w:val="000000"/>
          <w:kern w:val="0"/>
          <w:lang w:eastAsia="en-GB"/>
          <w14:ligatures w14:val="none"/>
        </w:rPr>
        <w:t>.</w:t>
      </w:r>
    </w:p>
    <w:p w14:paraId="23F910E1"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Triumph Motorcycles. (2022). Annual Report and Product Development Update.</w:t>
      </w:r>
    </w:p>
    <w:p w14:paraId="2509481B"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UK Government. (2021). Road to Net Zero: The UK’s Environmental Policy.</w:t>
      </w:r>
    </w:p>
    <w:p w14:paraId="701FE868" w14:textId="77777777"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Grant, R. M. (2016). </w:t>
      </w:r>
      <w:r w:rsidRPr="0082783A">
        <w:rPr>
          <w:rFonts w:ascii="Arial" w:eastAsia="Times New Roman" w:hAnsi="Arial" w:cs="Arial"/>
          <w:i/>
          <w:iCs/>
          <w:color w:val="000000"/>
          <w:kern w:val="0"/>
          <w:lang w:eastAsia="en-GB"/>
          <w14:ligatures w14:val="none"/>
        </w:rPr>
        <w:t>Contemporary Strategy Analysis: Text and Cases Edition</w:t>
      </w:r>
      <w:r w:rsidRPr="0082783A">
        <w:rPr>
          <w:rFonts w:ascii="Arial" w:eastAsia="Times New Roman" w:hAnsi="Arial" w:cs="Arial"/>
          <w:color w:val="000000"/>
          <w:kern w:val="0"/>
          <w:lang w:eastAsia="en-GB"/>
          <w14:ligatures w14:val="none"/>
        </w:rPr>
        <w:t>. Wiley.</w:t>
      </w:r>
    </w:p>
    <w:p w14:paraId="5F393EA0" w14:textId="1DB1114C" w:rsidR="00CE68C1" w:rsidRPr="0082783A" w:rsidRDefault="00CE68C1" w:rsidP="00CE68C1">
      <w:pPr>
        <w:numPr>
          <w:ilvl w:val="0"/>
          <w:numId w:val="42"/>
        </w:numPr>
        <w:spacing w:before="100" w:beforeAutospacing="1" w:after="100" w:afterAutospacing="1"/>
        <w:rPr>
          <w:rFonts w:ascii="Arial" w:eastAsia="Times New Roman" w:hAnsi="Arial" w:cs="Arial"/>
          <w:color w:val="000000"/>
          <w:kern w:val="0"/>
          <w:lang w:eastAsia="en-GB"/>
          <w14:ligatures w14:val="none"/>
        </w:rPr>
      </w:pPr>
      <w:r w:rsidRPr="0082783A">
        <w:rPr>
          <w:rFonts w:ascii="Arial" w:eastAsia="Times New Roman" w:hAnsi="Arial" w:cs="Arial"/>
          <w:color w:val="000000"/>
          <w:kern w:val="0"/>
          <w:lang w:eastAsia="en-GB"/>
          <w14:ligatures w14:val="none"/>
        </w:rPr>
        <w:t>European Environment Agency. (2022). Euro 5 and the Future of Emissions Standards.</w:t>
      </w:r>
    </w:p>
    <w:p w14:paraId="2C157134" w14:textId="77777777" w:rsidR="005F45EB" w:rsidRPr="0082783A" w:rsidRDefault="005F45EB" w:rsidP="00CE68C1">
      <w:pPr>
        <w:rPr>
          <w:rFonts w:ascii="Arial" w:hAnsi="Arial" w:cs="Arial"/>
        </w:rPr>
      </w:pPr>
    </w:p>
    <w:sectPr w:rsidR="005F45EB" w:rsidRPr="0082783A" w:rsidSect="008278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43B32"/>
    <w:multiLevelType w:val="multilevel"/>
    <w:tmpl w:val="6FBCE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D3E6A"/>
    <w:multiLevelType w:val="multilevel"/>
    <w:tmpl w:val="68E4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466D4E"/>
    <w:multiLevelType w:val="multilevel"/>
    <w:tmpl w:val="43105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1D5D45"/>
    <w:multiLevelType w:val="multilevel"/>
    <w:tmpl w:val="AEBE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2F47B3"/>
    <w:multiLevelType w:val="multilevel"/>
    <w:tmpl w:val="A9BA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B1077"/>
    <w:multiLevelType w:val="multilevel"/>
    <w:tmpl w:val="AF6E8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F5D49"/>
    <w:multiLevelType w:val="multilevel"/>
    <w:tmpl w:val="0FA80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1E7DA1"/>
    <w:multiLevelType w:val="multilevel"/>
    <w:tmpl w:val="D1A2B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23448F"/>
    <w:multiLevelType w:val="multilevel"/>
    <w:tmpl w:val="CF207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860C87"/>
    <w:multiLevelType w:val="multilevel"/>
    <w:tmpl w:val="8434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D81254"/>
    <w:multiLevelType w:val="multilevel"/>
    <w:tmpl w:val="CC34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8A69B5"/>
    <w:multiLevelType w:val="multilevel"/>
    <w:tmpl w:val="0D42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22D65"/>
    <w:multiLevelType w:val="multilevel"/>
    <w:tmpl w:val="4ECA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3F3FC5"/>
    <w:multiLevelType w:val="multilevel"/>
    <w:tmpl w:val="73F2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3936DD"/>
    <w:multiLevelType w:val="multilevel"/>
    <w:tmpl w:val="D5AA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7D0014"/>
    <w:multiLevelType w:val="multilevel"/>
    <w:tmpl w:val="7886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E10F37"/>
    <w:multiLevelType w:val="multilevel"/>
    <w:tmpl w:val="C170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B60A23"/>
    <w:multiLevelType w:val="multilevel"/>
    <w:tmpl w:val="02281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555B75"/>
    <w:multiLevelType w:val="multilevel"/>
    <w:tmpl w:val="C0CAB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8A224C"/>
    <w:multiLevelType w:val="multilevel"/>
    <w:tmpl w:val="E0C0A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D697469"/>
    <w:multiLevelType w:val="multilevel"/>
    <w:tmpl w:val="5B2A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F437C8"/>
    <w:multiLevelType w:val="multilevel"/>
    <w:tmpl w:val="7DA6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F6377C"/>
    <w:multiLevelType w:val="multilevel"/>
    <w:tmpl w:val="945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4A399F"/>
    <w:multiLevelType w:val="multilevel"/>
    <w:tmpl w:val="88D8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E61E85"/>
    <w:multiLevelType w:val="multilevel"/>
    <w:tmpl w:val="05A0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1A3BF4"/>
    <w:multiLevelType w:val="multilevel"/>
    <w:tmpl w:val="69CA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0B27F3"/>
    <w:multiLevelType w:val="multilevel"/>
    <w:tmpl w:val="AEE2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B40F01"/>
    <w:multiLevelType w:val="multilevel"/>
    <w:tmpl w:val="91CE35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087A2E"/>
    <w:multiLevelType w:val="multilevel"/>
    <w:tmpl w:val="FAC2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237D23"/>
    <w:multiLevelType w:val="multilevel"/>
    <w:tmpl w:val="18967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F936C5"/>
    <w:multiLevelType w:val="multilevel"/>
    <w:tmpl w:val="DBA4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8954A7"/>
    <w:multiLevelType w:val="multilevel"/>
    <w:tmpl w:val="87D43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AD40D7"/>
    <w:multiLevelType w:val="multilevel"/>
    <w:tmpl w:val="965C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D2196A"/>
    <w:multiLevelType w:val="multilevel"/>
    <w:tmpl w:val="3E6E6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E441B1"/>
    <w:multiLevelType w:val="multilevel"/>
    <w:tmpl w:val="CD4C9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375137"/>
    <w:multiLevelType w:val="multilevel"/>
    <w:tmpl w:val="D1E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813AAD"/>
    <w:multiLevelType w:val="multilevel"/>
    <w:tmpl w:val="9E2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C377E8"/>
    <w:multiLevelType w:val="multilevel"/>
    <w:tmpl w:val="BAD61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637473"/>
    <w:multiLevelType w:val="multilevel"/>
    <w:tmpl w:val="4EA2F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63384"/>
    <w:multiLevelType w:val="multilevel"/>
    <w:tmpl w:val="11B22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94748E"/>
    <w:multiLevelType w:val="multilevel"/>
    <w:tmpl w:val="762E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CA66AC"/>
    <w:multiLevelType w:val="multilevel"/>
    <w:tmpl w:val="41D4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693173">
    <w:abstractNumId w:val="32"/>
  </w:num>
  <w:num w:numId="2" w16cid:durableId="2032948375">
    <w:abstractNumId w:val="17"/>
  </w:num>
  <w:num w:numId="3" w16cid:durableId="1919947044">
    <w:abstractNumId w:val="35"/>
  </w:num>
  <w:num w:numId="4" w16cid:durableId="959647421">
    <w:abstractNumId w:val="15"/>
  </w:num>
  <w:num w:numId="5" w16cid:durableId="61830703">
    <w:abstractNumId w:val="11"/>
  </w:num>
  <w:num w:numId="6" w16cid:durableId="1622761510">
    <w:abstractNumId w:val="18"/>
  </w:num>
  <w:num w:numId="7" w16cid:durableId="800225657">
    <w:abstractNumId w:val="36"/>
  </w:num>
  <w:num w:numId="8" w16cid:durableId="895972269">
    <w:abstractNumId w:val="25"/>
  </w:num>
  <w:num w:numId="9" w16cid:durableId="670793354">
    <w:abstractNumId w:val="10"/>
  </w:num>
  <w:num w:numId="10" w16cid:durableId="1731075053">
    <w:abstractNumId w:val="23"/>
  </w:num>
  <w:num w:numId="11" w16cid:durableId="1013265741">
    <w:abstractNumId w:val="38"/>
  </w:num>
  <w:num w:numId="12" w16cid:durableId="1119110942">
    <w:abstractNumId w:val="41"/>
  </w:num>
  <w:num w:numId="13" w16cid:durableId="1779642279">
    <w:abstractNumId w:val="6"/>
  </w:num>
  <w:num w:numId="14" w16cid:durableId="482894442">
    <w:abstractNumId w:val="22"/>
  </w:num>
  <w:num w:numId="15" w16cid:durableId="1754468713">
    <w:abstractNumId w:val="19"/>
  </w:num>
  <w:num w:numId="16" w16cid:durableId="514803432">
    <w:abstractNumId w:val="27"/>
  </w:num>
  <w:num w:numId="17" w16cid:durableId="1578633586">
    <w:abstractNumId w:val="34"/>
  </w:num>
  <w:num w:numId="18" w16cid:durableId="1560170974">
    <w:abstractNumId w:val="0"/>
  </w:num>
  <w:num w:numId="19" w16cid:durableId="675230206">
    <w:abstractNumId w:val="5"/>
  </w:num>
  <w:num w:numId="20" w16cid:durableId="200630318">
    <w:abstractNumId w:val="30"/>
  </w:num>
  <w:num w:numId="21" w16cid:durableId="1306622189">
    <w:abstractNumId w:val="14"/>
  </w:num>
  <w:num w:numId="22" w16cid:durableId="1274361394">
    <w:abstractNumId w:val="28"/>
  </w:num>
  <w:num w:numId="23" w16cid:durableId="853348646">
    <w:abstractNumId w:val="26"/>
  </w:num>
  <w:num w:numId="24" w16cid:durableId="10187503">
    <w:abstractNumId w:val="7"/>
  </w:num>
  <w:num w:numId="25" w16cid:durableId="254633693">
    <w:abstractNumId w:val="12"/>
  </w:num>
  <w:num w:numId="26" w16cid:durableId="1495297960">
    <w:abstractNumId w:val="37"/>
  </w:num>
  <w:num w:numId="27" w16cid:durableId="229312536">
    <w:abstractNumId w:val="24"/>
  </w:num>
  <w:num w:numId="28" w16cid:durableId="1229654116">
    <w:abstractNumId w:val="40"/>
  </w:num>
  <w:num w:numId="29" w16cid:durableId="800533836">
    <w:abstractNumId w:val="4"/>
  </w:num>
  <w:num w:numId="30" w16cid:durableId="1427535506">
    <w:abstractNumId w:val="3"/>
  </w:num>
  <w:num w:numId="31" w16cid:durableId="892348291">
    <w:abstractNumId w:val="9"/>
  </w:num>
  <w:num w:numId="32" w16cid:durableId="1844122770">
    <w:abstractNumId w:val="39"/>
  </w:num>
  <w:num w:numId="33" w16cid:durableId="730271064">
    <w:abstractNumId w:val="16"/>
  </w:num>
  <w:num w:numId="34" w16cid:durableId="218324214">
    <w:abstractNumId w:val="13"/>
  </w:num>
  <w:num w:numId="35" w16cid:durableId="478422003">
    <w:abstractNumId w:val="2"/>
  </w:num>
  <w:num w:numId="36" w16cid:durableId="1381514552">
    <w:abstractNumId w:val="31"/>
  </w:num>
  <w:num w:numId="37" w16cid:durableId="1017270611">
    <w:abstractNumId w:val="21"/>
  </w:num>
  <w:num w:numId="38" w16cid:durableId="36125848">
    <w:abstractNumId w:val="8"/>
  </w:num>
  <w:num w:numId="39" w16cid:durableId="227807031">
    <w:abstractNumId w:val="20"/>
  </w:num>
  <w:num w:numId="40" w16cid:durableId="74474388">
    <w:abstractNumId w:val="33"/>
  </w:num>
  <w:num w:numId="41" w16cid:durableId="540097082">
    <w:abstractNumId w:val="29"/>
  </w:num>
  <w:num w:numId="42" w16cid:durableId="1301615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F8C"/>
    <w:rsid w:val="002228F7"/>
    <w:rsid w:val="0024689D"/>
    <w:rsid w:val="002B030B"/>
    <w:rsid w:val="005F45EB"/>
    <w:rsid w:val="007D693B"/>
    <w:rsid w:val="0082783A"/>
    <w:rsid w:val="00A10816"/>
    <w:rsid w:val="00AD2C57"/>
    <w:rsid w:val="00CE68C1"/>
    <w:rsid w:val="00E8056C"/>
    <w:rsid w:val="00F41F8C"/>
    <w:rsid w:val="00FC4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752DB"/>
  <w15:chartTrackingRefBased/>
  <w15:docId w15:val="{6A8BB96A-AEF8-CE44-A1CD-24CB4085E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1F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1F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1F8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41F8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41F8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41F8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41F8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41F8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41F8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F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1F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1F8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rsid w:val="00F41F8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41F8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41F8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41F8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41F8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41F8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41F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1F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1F8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1F8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41F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41F8C"/>
    <w:rPr>
      <w:i/>
      <w:iCs/>
      <w:color w:val="404040" w:themeColor="text1" w:themeTint="BF"/>
    </w:rPr>
  </w:style>
  <w:style w:type="paragraph" w:styleId="ListParagraph">
    <w:name w:val="List Paragraph"/>
    <w:basedOn w:val="Normal"/>
    <w:uiPriority w:val="34"/>
    <w:qFormat/>
    <w:rsid w:val="00F41F8C"/>
    <w:pPr>
      <w:ind w:left="720"/>
      <w:contextualSpacing/>
    </w:pPr>
  </w:style>
  <w:style w:type="character" w:styleId="IntenseEmphasis">
    <w:name w:val="Intense Emphasis"/>
    <w:basedOn w:val="DefaultParagraphFont"/>
    <w:uiPriority w:val="21"/>
    <w:qFormat/>
    <w:rsid w:val="00F41F8C"/>
    <w:rPr>
      <w:i/>
      <w:iCs/>
      <w:color w:val="0F4761" w:themeColor="accent1" w:themeShade="BF"/>
    </w:rPr>
  </w:style>
  <w:style w:type="paragraph" w:styleId="IntenseQuote">
    <w:name w:val="Intense Quote"/>
    <w:basedOn w:val="Normal"/>
    <w:next w:val="Normal"/>
    <w:link w:val="IntenseQuoteChar"/>
    <w:uiPriority w:val="30"/>
    <w:qFormat/>
    <w:rsid w:val="00F41F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1F8C"/>
    <w:rPr>
      <w:i/>
      <w:iCs/>
      <w:color w:val="0F4761" w:themeColor="accent1" w:themeShade="BF"/>
    </w:rPr>
  </w:style>
  <w:style w:type="character" w:styleId="IntenseReference">
    <w:name w:val="Intense Reference"/>
    <w:basedOn w:val="DefaultParagraphFont"/>
    <w:uiPriority w:val="32"/>
    <w:qFormat/>
    <w:rsid w:val="00F41F8C"/>
    <w:rPr>
      <w:b/>
      <w:bCs/>
      <w:smallCaps/>
      <w:color w:val="0F4761" w:themeColor="accent1" w:themeShade="BF"/>
      <w:spacing w:val="5"/>
    </w:rPr>
  </w:style>
  <w:style w:type="paragraph" w:styleId="NormalWeb">
    <w:name w:val="Normal (Web)"/>
    <w:basedOn w:val="Normal"/>
    <w:uiPriority w:val="99"/>
    <w:unhideWhenUsed/>
    <w:rsid w:val="00FC4380"/>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FC4380"/>
    <w:rPr>
      <w:b/>
      <w:bCs/>
    </w:rPr>
  </w:style>
  <w:style w:type="character" w:customStyle="1" w:styleId="apple-converted-space">
    <w:name w:val="apple-converted-space"/>
    <w:basedOn w:val="DefaultParagraphFont"/>
    <w:rsid w:val="00FC4380"/>
  </w:style>
  <w:style w:type="character" w:styleId="Emphasis">
    <w:name w:val="Emphasis"/>
    <w:basedOn w:val="DefaultParagraphFont"/>
    <w:uiPriority w:val="20"/>
    <w:qFormat/>
    <w:rsid w:val="00FC4380"/>
    <w:rPr>
      <w:i/>
      <w:iCs/>
    </w:rPr>
  </w:style>
  <w:style w:type="character" w:customStyle="1" w:styleId="overflow-hidden">
    <w:name w:val="overflow-hidden"/>
    <w:basedOn w:val="DefaultParagraphFont"/>
    <w:rsid w:val="00CE68C1"/>
  </w:style>
  <w:style w:type="paragraph" w:styleId="NoSpacing">
    <w:name w:val="No Spacing"/>
    <w:link w:val="NoSpacingChar"/>
    <w:uiPriority w:val="1"/>
    <w:qFormat/>
    <w:rsid w:val="0082783A"/>
    <w:rPr>
      <w:rFonts w:asciiTheme="minorHAnsi" w:eastAsiaTheme="minorEastAsia" w:hAnsiTheme="minorHAnsi" w:cstheme="minorBidi"/>
      <w:kern w:val="0"/>
      <w:sz w:val="22"/>
      <w:szCs w:val="22"/>
      <w:lang w:val="en-US" w:eastAsia="zh-CN"/>
      <w14:ligatures w14:val="none"/>
    </w:rPr>
  </w:style>
  <w:style w:type="character" w:customStyle="1" w:styleId="NoSpacingChar">
    <w:name w:val="No Spacing Char"/>
    <w:basedOn w:val="DefaultParagraphFont"/>
    <w:link w:val="NoSpacing"/>
    <w:uiPriority w:val="1"/>
    <w:rsid w:val="0082783A"/>
    <w:rPr>
      <w:rFonts w:asciiTheme="minorHAnsi" w:eastAsiaTheme="minorEastAsia" w:hAnsiTheme="minorHAnsi" w:cstheme="minorBidi"/>
      <w:kern w:val="0"/>
      <w:sz w:val="22"/>
      <w:szCs w:val="22"/>
      <w:lang w:val="en-US" w:eastAsia="zh-CN"/>
      <w14:ligatures w14:val="none"/>
    </w:rPr>
  </w:style>
  <w:style w:type="paragraph" w:styleId="TOCHeading">
    <w:name w:val="TOC Heading"/>
    <w:basedOn w:val="Heading1"/>
    <w:next w:val="Normal"/>
    <w:uiPriority w:val="39"/>
    <w:unhideWhenUsed/>
    <w:qFormat/>
    <w:rsid w:val="0082783A"/>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82783A"/>
    <w:pPr>
      <w:ind w:left="480"/>
    </w:pPr>
    <w:rPr>
      <w:rFonts w:asciiTheme="minorHAnsi" w:hAnsiTheme="minorHAnsi"/>
      <w:sz w:val="20"/>
      <w:szCs w:val="20"/>
    </w:rPr>
  </w:style>
  <w:style w:type="character" w:styleId="Hyperlink">
    <w:name w:val="Hyperlink"/>
    <w:basedOn w:val="DefaultParagraphFont"/>
    <w:uiPriority w:val="99"/>
    <w:unhideWhenUsed/>
    <w:rsid w:val="0082783A"/>
    <w:rPr>
      <w:color w:val="467886" w:themeColor="hyperlink"/>
      <w:u w:val="single"/>
    </w:rPr>
  </w:style>
  <w:style w:type="paragraph" w:styleId="TOC1">
    <w:name w:val="toc 1"/>
    <w:basedOn w:val="Normal"/>
    <w:next w:val="Normal"/>
    <w:autoRedefine/>
    <w:uiPriority w:val="39"/>
    <w:unhideWhenUsed/>
    <w:rsid w:val="0082783A"/>
    <w:pPr>
      <w:spacing w:before="120"/>
    </w:pPr>
    <w:rPr>
      <w:rFonts w:asciiTheme="minorHAnsi" w:hAnsiTheme="minorHAnsi"/>
      <w:b/>
      <w:bCs/>
      <w:i/>
      <w:iCs/>
    </w:rPr>
  </w:style>
  <w:style w:type="paragraph" w:styleId="TOC2">
    <w:name w:val="toc 2"/>
    <w:basedOn w:val="Normal"/>
    <w:next w:val="Normal"/>
    <w:autoRedefine/>
    <w:uiPriority w:val="39"/>
    <w:unhideWhenUsed/>
    <w:rsid w:val="0082783A"/>
    <w:pPr>
      <w:spacing w:before="120"/>
      <w:ind w:left="240"/>
    </w:pPr>
    <w:rPr>
      <w:rFonts w:asciiTheme="minorHAnsi" w:hAnsiTheme="minorHAnsi"/>
      <w:b/>
      <w:bCs/>
      <w:sz w:val="22"/>
      <w:szCs w:val="22"/>
    </w:rPr>
  </w:style>
  <w:style w:type="paragraph" w:styleId="TOC4">
    <w:name w:val="toc 4"/>
    <w:basedOn w:val="Normal"/>
    <w:next w:val="Normal"/>
    <w:autoRedefine/>
    <w:uiPriority w:val="39"/>
    <w:semiHidden/>
    <w:unhideWhenUsed/>
    <w:rsid w:val="0082783A"/>
    <w:pPr>
      <w:ind w:left="720"/>
    </w:pPr>
    <w:rPr>
      <w:rFonts w:asciiTheme="minorHAnsi" w:hAnsiTheme="minorHAnsi"/>
      <w:sz w:val="20"/>
      <w:szCs w:val="20"/>
    </w:rPr>
  </w:style>
  <w:style w:type="paragraph" w:styleId="TOC5">
    <w:name w:val="toc 5"/>
    <w:basedOn w:val="Normal"/>
    <w:next w:val="Normal"/>
    <w:autoRedefine/>
    <w:uiPriority w:val="39"/>
    <w:semiHidden/>
    <w:unhideWhenUsed/>
    <w:rsid w:val="0082783A"/>
    <w:pPr>
      <w:ind w:left="960"/>
    </w:pPr>
    <w:rPr>
      <w:rFonts w:asciiTheme="minorHAnsi" w:hAnsiTheme="minorHAnsi"/>
      <w:sz w:val="20"/>
      <w:szCs w:val="20"/>
    </w:rPr>
  </w:style>
  <w:style w:type="paragraph" w:styleId="TOC6">
    <w:name w:val="toc 6"/>
    <w:basedOn w:val="Normal"/>
    <w:next w:val="Normal"/>
    <w:autoRedefine/>
    <w:uiPriority w:val="39"/>
    <w:semiHidden/>
    <w:unhideWhenUsed/>
    <w:rsid w:val="0082783A"/>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82783A"/>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82783A"/>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82783A"/>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180372">
      <w:bodyDiv w:val="1"/>
      <w:marLeft w:val="0"/>
      <w:marRight w:val="0"/>
      <w:marTop w:val="0"/>
      <w:marBottom w:val="0"/>
      <w:divBdr>
        <w:top w:val="none" w:sz="0" w:space="0" w:color="auto"/>
        <w:left w:val="none" w:sz="0" w:space="0" w:color="auto"/>
        <w:bottom w:val="none" w:sz="0" w:space="0" w:color="auto"/>
        <w:right w:val="none" w:sz="0" w:space="0" w:color="auto"/>
      </w:divBdr>
    </w:div>
    <w:div w:id="319621850">
      <w:bodyDiv w:val="1"/>
      <w:marLeft w:val="0"/>
      <w:marRight w:val="0"/>
      <w:marTop w:val="0"/>
      <w:marBottom w:val="0"/>
      <w:divBdr>
        <w:top w:val="none" w:sz="0" w:space="0" w:color="auto"/>
        <w:left w:val="none" w:sz="0" w:space="0" w:color="auto"/>
        <w:bottom w:val="none" w:sz="0" w:space="0" w:color="auto"/>
        <w:right w:val="none" w:sz="0" w:space="0" w:color="auto"/>
      </w:divBdr>
    </w:div>
    <w:div w:id="339090962">
      <w:bodyDiv w:val="1"/>
      <w:marLeft w:val="0"/>
      <w:marRight w:val="0"/>
      <w:marTop w:val="0"/>
      <w:marBottom w:val="0"/>
      <w:divBdr>
        <w:top w:val="none" w:sz="0" w:space="0" w:color="auto"/>
        <w:left w:val="none" w:sz="0" w:space="0" w:color="auto"/>
        <w:bottom w:val="none" w:sz="0" w:space="0" w:color="auto"/>
        <w:right w:val="none" w:sz="0" w:space="0" w:color="auto"/>
      </w:divBdr>
    </w:div>
    <w:div w:id="417025656">
      <w:bodyDiv w:val="1"/>
      <w:marLeft w:val="0"/>
      <w:marRight w:val="0"/>
      <w:marTop w:val="0"/>
      <w:marBottom w:val="0"/>
      <w:divBdr>
        <w:top w:val="none" w:sz="0" w:space="0" w:color="auto"/>
        <w:left w:val="none" w:sz="0" w:space="0" w:color="auto"/>
        <w:bottom w:val="none" w:sz="0" w:space="0" w:color="auto"/>
        <w:right w:val="none" w:sz="0" w:space="0" w:color="auto"/>
      </w:divBdr>
    </w:div>
    <w:div w:id="1086343623">
      <w:bodyDiv w:val="1"/>
      <w:marLeft w:val="0"/>
      <w:marRight w:val="0"/>
      <w:marTop w:val="0"/>
      <w:marBottom w:val="0"/>
      <w:divBdr>
        <w:top w:val="none" w:sz="0" w:space="0" w:color="auto"/>
        <w:left w:val="none" w:sz="0" w:space="0" w:color="auto"/>
        <w:bottom w:val="none" w:sz="0" w:space="0" w:color="auto"/>
        <w:right w:val="none" w:sz="0" w:space="0" w:color="auto"/>
      </w:divBdr>
    </w:div>
    <w:div w:id="1316183788">
      <w:bodyDiv w:val="1"/>
      <w:marLeft w:val="0"/>
      <w:marRight w:val="0"/>
      <w:marTop w:val="0"/>
      <w:marBottom w:val="0"/>
      <w:divBdr>
        <w:top w:val="none" w:sz="0" w:space="0" w:color="auto"/>
        <w:left w:val="none" w:sz="0" w:space="0" w:color="auto"/>
        <w:bottom w:val="none" w:sz="0" w:space="0" w:color="auto"/>
        <w:right w:val="none" w:sz="0" w:space="0" w:color="auto"/>
      </w:divBdr>
      <w:divsChild>
        <w:div w:id="362100248">
          <w:marLeft w:val="0"/>
          <w:marRight w:val="0"/>
          <w:marTop w:val="0"/>
          <w:marBottom w:val="0"/>
          <w:divBdr>
            <w:top w:val="none" w:sz="0" w:space="0" w:color="auto"/>
            <w:left w:val="none" w:sz="0" w:space="0" w:color="auto"/>
            <w:bottom w:val="none" w:sz="0" w:space="0" w:color="auto"/>
            <w:right w:val="none" w:sz="0" w:space="0" w:color="auto"/>
          </w:divBdr>
          <w:divsChild>
            <w:div w:id="1965192544">
              <w:marLeft w:val="0"/>
              <w:marRight w:val="0"/>
              <w:marTop w:val="0"/>
              <w:marBottom w:val="0"/>
              <w:divBdr>
                <w:top w:val="none" w:sz="0" w:space="0" w:color="auto"/>
                <w:left w:val="none" w:sz="0" w:space="0" w:color="auto"/>
                <w:bottom w:val="none" w:sz="0" w:space="0" w:color="auto"/>
                <w:right w:val="none" w:sz="0" w:space="0" w:color="auto"/>
              </w:divBdr>
              <w:divsChild>
                <w:div w:id="1585605049">
                  <w:marLeft w:val="0"/>
                  <w:marRight w:val="0"/>
                  <w:marTop w:val="0"/>
                  <w:marBottom w:val="0"/>
                  <w:divBdr>
                    <w:top w:val="none" w:sz="0" w:space="0" w:color="auto"/>
                    <w:left w:val="none" w:sz="0" w:space="0" w:color="auto"/>
                    <w:bottom w:val="none" w:sz="0" w:space="0" w:color="auto"/>
                    <w:right w:val="none" w:sz="0" w:space="0" w:color="auto"/>
                  </w:divBdr>
                  <w:divsChild>
                    <w:div w:id="38149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811626">
          <w:marLeft w:val="0"/>
          <w:marRight w:val="0"/>
          <w:marTop w:val="0"/>
          <w:marBottom w:val="0"/>
          <w:divBdr>
            <w:top w:val="none" w:sz="0" w:space="0" w:color="auto"/>
            <w:left w:val="none" w:sz="0" w:space="0" w:color="auto"/>
            <w:bottom w:val="none" w:sz="0" w:space="0" w:color="auto"/>
            <w:right w:val="none" w:sz="0" w:space="0" w:color="auto"/>
          </w:divBdr>
          <w:divsChild>
            <w:div w:id="1195920276">
              <w:marLeft w:val="0"/>
              <w:marRight w:val="0"/>
              <w:marTop w:val="0"/>
              <w:marBottom w:val="0"/>
              <w:divBdr>
                <w:top w:val="none" w:sz="0" w:space="0" w:color="auto"/>
                <w:left w:val="none" w:sz="0" w:space="0" w:color="auto"/>
                <w:bottom w:val="none" w:sz="0" w:space="0" w:color="auto"/>
                <w:right w:val="none" w:sz="0" w:space="0" w:color="auto"/>
              </w:divBdr>
              <w:divsChild>
                <w:div w:id="275796272">
                  <w:marLeft w:val="0"/>
                  <w:marRight w:val="0"/>
                  <w:marTop w:val="0"/>
                  <w:marBottom w:val="0"/>
                  <w:divBdr>
                    <w:top w:val="none" w:sz="0" w:space="0" w:color="auto"/>
                    <w:left w:val="none" w:sz="0" w:space="0" w:color="auto"/>
                    <w:bottom w:val="none" w:sz="0" w:space="0" w:color="auto"/>
                    <w:right w:val="none" w:sz="0" w:space="0" w:color="auto"/>
                  </w:divBdr>
                  <w:divsChild>
                    <w:div w:id="145837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822147">
      <w:bodyDiv w:val="1"/>
      <w:marLeft w:val="0"/>
      <w:marRight w:val="0"/>
      <w:marTop w:val="0"/>
      <w:marBottom w:val="0"/>
      <w:divBdr>
        <w:top w:val="none" w:sz="0" w:space="0" w:color="auto"/>
        <w:left w:val="none" w:sz="0" w:space="0" w:color="auto"/>
        <w:bottom w:val="none" w:sz="0" w:space="0" w:color="auto"/>
        <w:right w:val="none" w:sz="0" w:space="0" w:color="auto"/>
      </w:divBdr>
      <w:divsChild>
        <w:div w:id="1401095804">
          <w:marLeft w:val="0"/>
          <w:marRight w:val="0"/>
          <w:marTop w:val="0"/>
          <w:marBottom w:val="0"/>
          <w:divBdr>
            <w:top w:val="none" w:sz="0" w:space="0" w:color="auto"/>
            <w:left w:val="none" w:sz="0" w:space="0" w:color="auto"/>
            <w:bottom w:val="none" w:sz="0" w:space="0" w:color="auto"/>
            <w:right w:val="none" w:sz="0" w:space="0" w:color="auto"/>
          </w:divBdr>
          <w:divsChild>
            <w:div w:id="1564834740">
              <w:marLeft w:val="0"/>
              <w:marRight w:val="0"/>
              <w:marTop w:val="0"/>
              <w:marBottom w:val="0"/>
              <w:divBdr>
                <w:top w:val="none" w:sz="0" w:space="0" w:color="auto"/>
                <w:left w:val="none" w:sz="0" w:space="0" w:color="auto"/>
                <w:bottom w:val="none" w:sz="0" w:space="0" w:color="auto"/>
                <w:right w:val="none" w:sz="0" w:space="0" w:color="auto"/>
              </w:divBdr>
              <w:divsChild>
                <w:div w:id="1472334034">
                  <w:marLeft w:val="0"/>
                  <w:marRight w:val="0"/>
                  <w:marTop w:val="0"/>
                  <w:marBottom w:val="0"/>
                  <w:divBdr>
                    <w:top w:val="none" w:sz="0" w:space="0" w:color="auto"/>
                    <w:left w:val="none" w:sz="0" w:space="0" w:color="auto"/>
                    <w:bottom w:val="none" w:sz="0" w:space="0" w:color="auto"/>
                    <w:right w:val="none" w:sz="0" w:space="0" w:color="auto"/>
                  </w:divBdr>
                  <w:divsChild>
                    <w:div w:id="125975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377731">
          <w:marLeft w:val="0"/>
          <w:marRight w:val="0"/>
          <w:marTop w:val="0"/>
          <w:marBottom w:val="0"/>
          <w:divBdr>
            <w:top w:val="none" w:sz="0" w:space="0" w:color="auto"/>
            <w:left w:val="none" w:sz="0" w:space="0" w:color="auto"/>
            <w:bottom w:val="none" w:sz="0" w:space="0" w:color="auto"/>
            <w:right w:val="none" w:sz="0" w:space="0" w:color="auto"/>
          </w:divBdr>
          <w:divsChild>
            <w:div w:id="670060941">
              <w:marLeft w:val="0"/>
              <w:marRight w:val="0"/>
              <w:marTop w:val="0"/>
              <w:marBottom w:val="0"/>
              <w:divBdr>
                <w:top w:val="none" w:sz="0" w:space="0" w:color="auto"/>
                <w:left w:val="none" w:sz="0" w:space="0" w:color="auto"/>
                <w:bottom w:val="none" w:sz="0" w:space="0" w:color="auto"/>
                <w:right w:val="none" w:sz="0" w:space="0" w:color="auto"/>
              </w:divBdr>
              <w:divsChild>
                <w:div w:id="123545217">
                  <w:marLeft w:val="0"/>
                  <w:marRight w:val="0"/>
                  <w:marTop w:val="0"/>
                  <w:marBottom w:val="0"/>
                  <w:divBdr>
                    <w:top w:val="none" w:sz="0" w:space="0" w:color="auto"/>
                    <w:left w:val="none" w:sz="0" w:space="0" w:color="auto"/>
                    <w:bottom w:val="none" w:sz="0" w:space="0" w:color="auto"/>
                    <w:right w:val="none" w:sz="0" w:space="0" w:color="auto"/>
                  </w:divBdr>
                  <w:divsChild>
                    <w:div w:id="96785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56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011C0C-1CBA-C94E-BE7F-52A501BC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10</Pages>
  <Words>2671</Words>
  <Characters>15227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and Recommendations for Triumph Motorcycles in the UK Automotive Sector</dc:title>
  <dc:subject>LCBB6004 – Strategic Management and Sustainability</dc:subject>
  <dc:creator>Student: Costin-Alexandru Chirita (2210952)</dc:creator>
  <cp:keywords/>
  <dc:description/>
  <cp:lastModifiedBy>Costin-Alexandru Chirita (2210952)</cp:lastModifiedBy>
  <cp:revision>5</cp:revision>
  <dcterms:created xsi:type="dcterms:W3CDTF">2025-02-16T13:54:00Z</dcterms:created>
  <dcterms:modified xsi:type="dcterms:W3CDTF">2025-02-22T11:06:00Z</dcterms:modified>
  <cp:category/>
</cp:coreProperties>
</file>