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265FD3F" w14:textId="022D1C7F" w:rsidR="00B12020" w:rsidRDefault="00982687" w:rsidP="00982687">
      <w:pPr>
        <w:jc w:val="left"/>
        <w:rPr>
          <w:b/>
        </w:rPr>
      </w:pPr>
      <w:r w:rsidRPr="00731015">
        <w:rPr>
          <w:rFonts w:asciiTheme="minorHAnsi" w:hAnsiTheme="minorHAnsi"/>
          <w:noProof/>
        </w:rPr>
        <w:drawing>
          <wp:inline distT="0" distB="0" distL="0" distR="0" wp14:anchorId="17AAE452" wp14:editId="1205C967">
            <wp:extent cx="2758440" cy="930296"/>
            <wp:effectExtent l="0" t="0" r="3810" b="3175"/>
            <wp:docPr id="877694316" name="Picture 877694316" descr="Text&#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Text&#10;&#10;Description automatically generated with medium confidence"/>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811125" cy="948064"/>
                    </a:xfrm>
                    <a:prstGeom prst="rect">
                      <a:avLst/>
                    </a:prstGeom>
                    <a:noFill/>
                  </pic:spPr>
                </pic:pic>
              </a:graphicData>
            </a:graphic>
          </wp:inline>
        </w:drawing>
      </w:r>
    </w:p>
    <w:p w14:paraId="3DB11528" w14:textId="77777777" w:rsidR="00860D9C" w:rsidRDefault="00860D9C">
      <w:pPr>
        <w:jc w:val="center"/>
        <w:rPr>
          <w:b/>
          <w:sz w:val="40"/>
        </w:rPr>
      </w:pPr>
    </w:p>
    <w:p w14:paraId="46D3448D" w14:textId="77777777" w:rsidR="00982687" w:rsidRDefault="00982687" w:rsidP="00982687">
      <w:pPr>
        <w:jc w:val="center"/>
        <w:rPr>
          <w:b/>
          <w:sz w:val="40"/>
        </w:rPr>
      </w:pPr>
    </w:p>
    <w:p w14:paraId="5275EDB7" w14:textId="77777777" w:rsidR="00982687" w:rsidRDefault="00982687" w:rsidP="00982687">
      <w:pPr>
        <w:jc w:val="center"/>
        <w:rPr>
          <w:b/>
          <w:sz w:val="40"/>
        </w:rPr>
      </w:pPr>
    </w:p>
    <w:p w14:paraId="4D856D02" w14:textId="31F9AD31" w:rsidR="00860D9C" w:rsidRDefault="00982687" w:rsidP="00982687">
      <w:pPr>
        <w:jc w:val="center"/>
        <w:rPr>
          <w:b/>
          <w:sz w:val="40"/>
        </w:rPr>
      </w:pPr>
      <w:r w:rsidRPr="00CD6CC0">
        <w:rPr>
          <w:noProof/>
        </w:rPr>
        <w:drawing>
          <wp:inline distT="114300" distB="114300" distL="114300" distR="114300" wp14:anchorId="51F19ECB" wp14:editId="1248E7B0">
            <wp:extent cx="4030980" cy="2240280"/>
            <wp:effectExtent l="0" t="0" r="7620" b="7620"/>
            <wp:docPr id="1"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9"/>
                    <a:srcRect/>
                    <a:stretch>
                      <a:fillRect/>
                    </a:stretch>
                  </pic:blipFill>
                  <pic:spPr>
                    <a:xfrm>
                      <a:off x="0" y="0"/>
                      <a:ext cx="4042514" cy="2246690"/>
                    </a:xfrm>
                    <a:prstGeom prst="rect">
                      <a:avLst/>
                    </a:prstGeom>
                    <a:ln/>
                  </pic:spPr>
                </pic:pic>
              </a:graphicData>
            </a:graphic>
          </wp:inline>
        </w:drawing>
      </w:r>
    </w:p>
    <w:p w14:paraId="12B3B887" w14:textId="77777777" w:rsidR="00860D9C" w:rsidRDefault="00860D9C">
      <w:pPr>
        <w:jc w:val="center"/>
        <w:rPr>
          <w:b/>
          <w:sz w:val="40"/>
        </w:rPr>
      </w:pPr>
    </w:p>
    <w:p w14:paraId="576713AE" w14:textId="77777777" w:rsidR="00474806" w:rsidRPr="0076678B" w:rsidRDefault="00474806" w:rsidP="006A010E">
      <w:pPr>
        <w:pBdr>
          <w:bottom w:val="single" w:sz="4" w:space="1" w:color="auto"/>
        </w:pBdr>
        <w:jc w:val="center"/>
        <w:rPr>
          <w:rFonts w:ascii="Arial" w:hAnsi="Arial" w:cs="Arial"/>
          <w:b/>
          <w:color w:val="000000" w:themeColor="text1"/>
          <w:sz w:val="40"/>
          <w14:shadow w14:blurRad="12700" w14:dist="38100" w14:dir="2700000" w14:sx="100000" w14:sy="100000" w14:kx="0" w14:ky="0" w14:algn="tl">
            <w14:schemeClr w14:val="bg1">
              <w14:lumMod w14:val="50000"/>
            </w14:schemeClr>
          </w14:shadow>
          <w14:textOutline w14:w="9525" w14:cap="flat" w14:cmpd="sng" w14:algn="ctr">
            <w14:solidFill>
              <w14:schemeClr w14:val="bg1"/>
            </w14:solidFill>
            <w14:prstDash w14:val="solid"/>
            <w14:round/>
          </w14:textOutline>
        </w:rPr>
      </w:pPr>
      <w:r w:rsidRPr="0076678B">
        <w:rPr>
          <w:rFonts w:ascii="Arial" w:hAnsi="Arial" w:cs="Arial"/>
          <w:b/>
          <w:color w:val="000000" w:themeColor="text1"/>
          <w:sz w:val="40"/>
          <w14:shadow w14:blurRad="12700" w14:dist="38100" w14:dir="2700000" w14:sx="100000" w14:sy="100000" w14:kx="0" w14:ky="0" w14:algn="tl">
            <w14:schemeClr w14:val="bg1">
              <w14:lumMod w14:val="50000"/>
            </w14:schemeClr>
          </w14:shadow>
          <w14:textOutline w14:w="9525" w14:cap="flat" w14:cmpd="sng" w14:algn="ctr">
            <w14:solidFill>
              <w14:schemeClr w14:val="bg1"/>
            </w14:solidFill>
            <w14:prstDash w14:val="solid"/>
            <w14:round/>
          </w14:textOutline>
        </w:rPr>
        <w:t>FINANCIAL MANAGEMENT:</w:t>
      </w:r>
    </w:p>
    <w:p w14:paraId="13BABB82" w14:textId="31103FA9" w:rsidR="00860D9C" w:rsidRPr="0076678B" w:rsidRDefault="00474806" w:rsidP="006A010E">
      <w:pPr>
        <w:pBdr>
          <w:bottom w:val="single" w:sz="4" w:space="1" w:color="auto"/>
        </w:pBdr>
        <w:jc w:val="center"/>
        <w:rPr>
          <w:rFonts w:ascii="Arial" w:hAnsi="Arial" w:cs="Arial"/>
          <w:b/>
          <w:color w:val="000000" w:themeColor="text1"/>
          <w:sz w:val="40"/>
          <w14:shadow w14:blurRad="12700" w14:dist="38100" w14:dir="2700000" w14:sx="100000" w14:sy="100000" w14:kx="0" w14:ky="0" w14:algn="tl">
            <w14:schemeClr w14:val="bg1">
              <w14:lumMod w14:val="50000"/>
            </w14:schemeClr>
          </w14:shadow>
          <w14:textOutline w14:w="9525" w14:cap="flat" w14:cmpd="sng" w14:algn="ctr">
            <w14:solidFill>
              <w14:schemeClr w14:val="bg1"/>
            </w14:solidFill>
            <w14:prstDash w14:val="solid"/>
            <w14:round/>
          </w14:textOutline>
        </w:rPr>
      </w:pPr>
      <w:r w:rsidRPr="0076678B">
        <w:rPr>
          <w:rFonts w:ascii="Arial" w:hAnsi="Arial" w:cs="Arial"/>
          <w:b/>
          <w:color w:val="000000" w:themeColor="text1"/>
          <w:sz w:val="40"/>
          <w14:shadow w14:blurRad="12700" w14:dist="38100" w14:dir="2700000" w14:sx="100000" w14:sy="100000" w14:kx="0" w14:ky="0" w14:algn="tl">
            <w14:schemeClr w14:val="bg1">
              <w14:lumMod w14:val="50000"/>
            </w14:schemeClr>
          </w14:shadow>
          <w14:textOutline w14:w="9525" w14:cap="flat" w14:cmpd="sng" w14:algn="ctr">
            <w14:solidFill>
              <w14:schemeClr w14:val="bg1"/>
            </w14:solidFill>
            <w14:prstDash w14:val="solid"/>
            <w14:round/>
          </w14:textOutline>
        </w:rPr>
        <w:t>NOKIA OYJ</w:t>
      </w:r>
    </w:p>
    <w:p w14:paraId="7DB820FF" w14:textId="77777777" w:rsidR="00B12020" w:rsidRPr="0076678B" w:rsidRDefault="00B12020">
      <w:pPr>
        <w:rPr>
          <w:rFonts w:ascii="Arial" w:hAnsi="Arial" w:cs="Arial"/>
          <w:b/>
        </w:rPr>
      </w:pPr>
    </w:p>
    <w:p w14:paraId="536C708B" w14:textId="77777777" w:rsidR="00BB6F62" w:rsidRPr="0076678B" w:rsidRDefault="00BB6F62">
      <w:pPr>
        <w:rPr>
          <w:rFonts w:ascii="Arial" w:hAnsi="Arial" w:cs="Arial"/>
          <w:b/>
        </w:rPr>
      </w:pPr>
    </w:p>
    <w:p w14:paraId="040D02EC" w14:textId="77777777" w:rsidR="00CC24C5" w:rsidRPr="0076678B" w:rsidRDefault="00CC24C5">
      <w:pPr>
        <w:rPr>
          <w:rFonts w:ascii="Arial" w:hAnsi="Arial" w:cs="Arial"/>
          <w:b/>
        </w:rPr>
      </w:pPr>
    </w:p>
    <w:p w14:paraId="696766A7" w14:textId="77777777" w:rsidR="00474806" w:rsidRPr="0076678B" w:rsidRDefault="00474806">
      <w:pPr>
        <w:rPr>
          <w:rFonts w:ascii="Arial" w:hAnsi="Arial" w:cs="Arial"/>
          <w:b/>
        </w:rPr>
      </w:pPr>
    </w:p>
    <w:p w14:paraId="6C825796" w14:textId="77777777" w:rsidR="00BB6F62" w:rsidRPr="0076678B" w:rsidRDefault="00BB6F62">
      <w:pPr>
        <w:rPr>
          <w:rFonts w:ascii="Arial" w:hAnsi="Arial" w:cs="Arial"/>
          <w:b/>
        </w:rPr>
      </w:pPr>
    </w:p>
    <w:p w14:paraId="3EE62B21" w14:textId="77777777" w:rsidR="00BB6F62" w:rsidRPr="0076678B" w:rsidRDefault="00BB6F62" w:rsidP="00BB6F62">
      <w:pPr>
        <w:spacing w:line="259" w:lineRule="auto"/>
        <w:jc w:val="center"/>
        <w:rPr>
          <w:rFonts w:ascii="Arial" w:eastAsia="Arial" w:hAnsi="Arial" w:cs="Arial"/>
          <w:sz w:val="22"/>
          <w:szCs w:val="22"/>
        </w:rPr>
      </w:pPr>
      <w:r w:rsidRPr="0076678B">
        <w:rPr>
          <w:rFonts w:ascii="Arial" w:eastAsia="Arial" w:hAnsi="Arial" w:cs="Arial"/>
          <w:b/>
          <w:bCs/>
          <w:sz w:val="22"/>
          <w:szCs w:val="22"/>
        </w:rPr>
        <w:t>Student name</w:t>
      </w:r>
      <w:r w:rsidRPr="0076678B">
        <w:rPr>
          <w:rFonts w:ascii="Arial" w:eastAsia="Arial" w:hAnsi="Arial" w:cs="Arial"/>
          <w:sz w:val="22"/>
          <w:szCs w:val="22"/>
        </w:rPr>
        <w:t>: Antonio Brian Fernandez Ramos</w:t>
      </w:r>
    </w:p>
    <w:p w14:paraId="1F115EB1" w14:textId="77777777" w:rsidR="00BB6F62" w:rsidRPr="00BB6F62" w:rsidRDefault="00BB6F62" w:rsidP="00BB6F62">
      <w:pPr>
        <w:spacing w:line="259" w:lineRule="auto"/>
        <w:jc w:val="center"/>
        <w:rPr>
          <w:rFonts w:ascii="Arial" w:eastAsia="Arial" w:hAnsi="Arial" w:cs="Arial"/>
          <w:sz w:val="22"/>
          <w:szCs w:val="22"/>
        </w:rPr>
      </w:pPr>
      <w:r w:rsidRPr="00BB6F62">
        <w:rPr>
          <w:rFonts w:ascii="Arial" w:eastAsia="Arial" w:hAnsi="Arial" w:cs="Arial"/>
          <w:b/>
          <w:bCs/>
          <w:sz w:val="22"/>
          <w:szCs w:val="22"/>
        </w:rPr>
        <w:t>Student ID:</w:t>
      </w:r>
      <w:r w:rsidRPr="00BB6F62">
        <w:rPr>
          <w:rFonts w:ascii="Arial" w:eastAsia="Arial" w:hAnsi="Arial" w:cs="Arial"/>
          <w:sz w:val="22"/>
          <w:szCs w:val="22"/>
        </w:rPr>
        <w:t xml:space="preserve"> 1818212</w:t>
      </w:r>
    </w:p>
    <w:p w14:paraId="786A6DA3" w14:textId="26EE5198" w:rsidR="00BB6F62" w:rsidRPr="00BB6F62" w:rsidRDefault="00BB6F62" w:rsidP="00BB6F62">
      <w:pPr>
        <w:spacing w:line="259" w:lineRule="auto"/>
        <w:jc w:val="center"/>
        <w:rPr>
          <w:rFonts w:ascii="Arial" w:eastAsia="Arial" w:hAnsi="Arial" w:cs="Arial"/>
          <w:sz w:val="22"/>
          <w:szCs w:val="22"/>
        </w:rPr>
      </w:pPr>
      <w:r w:rsidRPr="00BB6F62">
        <w:rPr>
          <w:rFonts w:ascii="Arial" w:eastAsia="Arial" w:hAnsi="Arial" w:cs="Arial"/>
          <w:b/>
          <w:bCs/>
          <w:sz w:val="22"/>
          <w:szCs w:val="22"/>
        </w:rPr>
        <w:t>Module code:</w:t>
      </w:r>
      <w:r w:rsidRPr="00BB6F62">
        <w:rPr>
          <w:rFonts w:ascii="Arial" w:eastAsia="Arial" w:hAnsi="Arial" w:cs="Arial"/>
          <w:sz w:val="22"/>
          <w:szCs w:val="22"/>
        </w:rPr>
        <w:t xml:space="preserve"> LCMB70</w:t>
      </w:r>
      <w:r w:rsidR="00306CB2" w:rsidRPr="00474806">
        <w:rPr>
          <w:rFonts w:ascii="Arial" w:eastAsia="Arial" w:hAnsi="Arial" w:cs="Arial"/>
          <w:sz w:val="22"/>
          <w:szCs w:val="22"/>
        </w:rPr>
        <w:t>02</w:t>
      </w:r>
    </w:p>
    <w:p w14:paraId="25FCEF0B" w14:textId="7B65E4E2" w:rsidR="00BB6F62" w:rsidRPr="00BB6F62" w:rsidRDefault="00BB6F62" w:rsidP="00BB6F62">
      <w:pPr>
        <w:spacing w:line="259" w:lineRule="auto"/>
        <w:jc w:val="center"/>
        <w:rPr>
          <w:rFonts w:ascii="Arial" w:eastAsia="Arial" w:hAnsi="Arial" w:cs="Arial"/>
          <w:sz w:val="22"/>
          <w:szCs w:val="22"/>
        </w:rPr>
      </w:pPr>
      <w:r w:rsidRPr="00BB6F62">
        <w:rPr>
          <w:rFonts w:ascii="Arial" w:eastAsia="Arial" w:hAnsi="Arial" w:cs="Arial"/>
          <w:b/>
          <w:bCs/>
          <w:sz w:val="22"/>
          <w:szCs w:val="22"/>
        </w:rPr>
        <w:t>Module title:</w:t>
      </w:r>
      <w:r w:rsidRPr="00BB6F62">
        <w:rPr>
          <w:rFonts w:ascii="Arial" w:eastAsia="Arial" w:hAnsi="Arial" w:cs="Arial"/>
          <w:sz w:val="22"/>
          <w:szCs w:val="22"/>
        </w:rPr>
        <w:t xml:space="preserve"> </w:t>
      </w:r>
      <w:r w:rsidR="00306CB2" w:rsidRPr="00474806">
        <w:rPr>
          <w:rFonts w:ascii="Arial" w:eastAsia="Arial" w:hAnsi="Arial" w:cs="Arial"/>
          <w:sz w:val="22"/>
          <w:szCs w:val="22"/>
        </w:rPr>
        <w:t>Financial Management</w:t>
      </w:r>
    </w:p>
    <w:p w14:paraId="1BD6CE60" w14:textId="1D2BE5BB" w:rsidR="00CD6CC0" w:rsidRPr="00474806" w:rsidRDefault="00BB6F62" w:rsidP="00474806">
      <w:pPr>
        <w:spacing w:line="259" w:lineRule="auto"/>
        <w:jc w:val="center"/>
        <w:rPr>
          <w:rFonts w:ascii="Arial" w:eastAsia="Arial" w:hAnsi="Arial" w:cs="Arial"/>
          <w:sz w:val="22"/>
          <w:szCs w:val="22"/>
        </w:rPr>
      </w:pPr>
      <w:r w:rsidRPr="00BB6F62">
        <w:rPr>
          <w:rFonts w:ascii="Arial" w:eastAsia="Arial" w:hAnsi="Arial" w:cs="Arial"/>
          <w:b/>
          <w:bCs/>
          <w:sz w:val="22"/>
          <w:szCs w:val="22"/>
        </w:rPr>
        <w:t>Lecture’s name:</w:t>
      </w:r>
      <w:r w:rsidRPr="00BB6F62">
        <w:rPr>
          <w:rFonts w:ascii="Arial" w:eastAsia="Arial" w:hAnsi="Arial" w:cs="Arial"/>
          <w:sz w:val="22"/>
          <w:szCs w:val="22"/>
        </w:rPr>
        <w:t xml:space="preserve"> Dr </w:t>
      </w:r>
      <w:r w:rsidR="00306CB2" w:rsidRPr="00474806">
        <w:rPr>
          <w:rFonts w:ascii="Arial" w:eastAsia="Arial" w:hAnsi="Arial" w:cs="Arial"/>
          <w:sz w:val="22"/>
          <w:szCs w:val="22"/>
        </w:rPr>
        <w:t>David Coke</w:t>
      </w:r>
      <w:r w:rsidR="00474806">
        <w:rPr>
          <w:rFonts w:ascii="Arial" w:eastAsia="Arial" w:hAnsi="Arial" w:cs="Arial"/>
          <w:sz w:val="22"/>
          <w:szCs w:val="22"/>
        </w:rPr>
        <w:t>r</w:t>
      </w:r>
    </w:p>
    <w:sdt>
      <w:sdtPr>
        <w:rPr>
          <w:rFonts w:ascii="Times New Roman" w:eastAsia="Times New Roman" w:hAnsi="Times New Roman" w:cs="Times New Roman"/>
          <w:color w:val="auto"/>
          <w:sz w:val="24"/>
          <w:szCs w:val="24"/>
          <w:lang w:val="en-GB" w:eastAsia="en-IN"/>
        </w:rPr>
        <w:id w:val="-1372298322"/>
        <w:docPartObj>
          <w:docPartGallery w:val="Table of Contents"/>
          <w:docPartUnique/>
        </w:docPartObj>
      </w:sdtPr>
      <w:sdtEndPr>
        <w:rPr>
          <w:b/>
          <w:bCs/>
          <w:noProof/>
        </w:rPr>
      </w:sdtEndPr>
      <w:sdtContent>
        <w:p w14:paraId="1AB7F68B" w14:textId="77777777" w:rsidR="00860D9C" w:rsidRPr="002A27B4" w:rsidRDefault="00860D9C" w:rsidP="00860D9C">
          <w:pPr>
            <w:pStyle w:val="TOCHeading"/>
            <w:jc w:val="center"/>
            <w:rPr>
              <w:rFonts w:ascii="Times New Roman" w:hAnsi="Times New Roman" w:cs="Times New Roman"/>
              <w:b/>
              <w:color w:val="000000" w:themeColor="text1"/>
              <w:sz w:val="24"/>
              <w:szCs w:val="24"/>
            </w:rPr>
          </w:pPr>
          <w:r w:rsidRPr="002A27B4">
            <w:rPr>
              <w:rFonts w:ascii="Times New Roman" w:hAnsi="Times New Roman" w:cs="Times New Roman"/>
              <w:b/>
              <w:color w:val="000000" w:themeColor="text1"/>
              <w:sz w:val="24"/>
              <w:szCs w:val="24"/>
            </w:rPr>
            <w:t>Table of Contents</w:t>
          </w:r>
        </w:p>
        <w:p w14:paraId="1E79F8C8" w14:textId="77777777" w:rsidR="00860D9C" w:rsidRPr="002A27B4" w:rsidRDefault="00860D9C">
          <w:pPr>
            <w:pStyle w:val="TOC1"/>
            <w:tabs>
              <w:tab w:val="right" w:leader="dot" w:pos="9350"/>
            </w:tabs>
            <w:rPr>
              <w:noProof/>
            </w:rPr>
          </w:pPr>
          <w:r w:rsidRPr="002A27B4">
            <w:fldChar w:fldCharType="begin"/>
          </w:r>
          <w:r w:rsidRPr="002A27B4">
            <w:instrText xml:space="preserve"> TOC \o "1-3" \h \z \u </w:instrText>
          </w:r>
          <w:r w:rsidRPr="002A27B4">
            <w:fldChar w:fldCharType="separate"/>
          </w:r>
          <w:hyperlink w:anchor="_Toc162216992" w:history="1">
            <w:r w:rsidRPr="002A27B4">
              <w:rPr>
                <w:rStyle w:val="Hyperlink"/>
                <w:noProof/>
              </w:rPr>
              <w:t>Introduction</w:t>
            </w:r>
            <w:r w:rsidRPr="002A27B4">
              <w:rPr>
                <w:noProof/>
                <w:webHidden/>
              </w:rPr>
              <w:tab/>
            </w:r>
            <w:r w:rsidRPr="002A27B4">
              <w:rPr>
                <w:noProof/>
                <w:webHidden/>
              </w:rPr>
              <w:fldChar w:fldCharType="begin"/>
            </w:r>
            <w:r w:rsidRPr="002A27B4">
              <w:rPr>
                <w:noProof/>
                <w:webHidden/>
              </w:rPr>
              <w:instrText xml:space="preserve"> PAGEREF _Toc162216992 \h </w:instrText>
            </w:r>
            <w:r w:rsidRPr="002A27B4">
              <w:rPr>
                <w:noProof/>
                <w:webHidden/>
              </w:rPr>
            </w:r>
            <w:r w:rsidRPr="002A27B4">
              <w:rPr>
                <w:noProof/>
                <w:webHidden/>
              </w:rPr>
              <w:fldChar w:fldCharType="separate"/>
            </w:r>
            <w:r w:rsidRPr="002A27B4">
              <w:rPr>
                <w:noProof/>
                <w:webHidden/>
              </w:rPr>
              <w:t>3</w:t>
            </w:r>
            <w:r w:rsidRPr="002A27B4">
              <w:rPr>
                <w:noProof/>
                <w:webHidden/>
              </w:rPr>
              <w:fldChar w:fldCharType="end"/>
            </w:r>
          </w:hyperlink>
        </w:p>
        <w:p w14:paraId="4849D2AB" w14:textId="12C604F6" w:rsidR="00860D9C" w:rsidRPr="002A27B4" w:rsidRDefault="00000000">
          <w:pPr>
            <w:pStyle w:val="TOC2"/>
            <w:tabs>
              <w:tab w:val="right" w:leader="dot" w:pos="9350"/>
            </w:tabs>
            <w:rPr>
              <w:noProof/>
            </w:rPr>
          </w:pPr>
          <w:hyperlink w:anchor="_Toc162216993" w:history="1">
            <w:r w:rsidR="00860D9C" w:rsidRPr="002A27B4">
              <w:rPr>
                <w:rStyle w:val="Hyperlink"/>
                <w:noProof/>
              </w:rPr>
              <w:t>Overview of report</w:t>
            </w:r>
            <w:r w:rsidR="00860D9C" w:rsidRPr="002A27B4">
              <w:rPr>
                <w:noProof/>
                <w:webHidden/>
              </w:rPr>
              <w:tab/>
            </w:r>
            <w:r w:rsidR="00860D9C" w:rsidRPr="002A27B4">
              <w:rPr>
                <w:noProof/>
                <w:webHidden/>
              </w:rPr>
              <w:fldChar w:fldCharType="begin"/>
            </w:r>
            <w:r w:rsidR="00860D9C" w:rsidRPr="002A27B4">
              <w:rPr>
                <w:noProof/>
                <w:webHidden/>
              </w:rPr>
              <w:instrText xml:space="preserve"> PAGEREF _Toc162216993 \h </w:instrText>
            </w:r>
            <w:r w:rsidR="00860D9C" w:rsidRPr="002A27B4">
              <w:rPr>
                <w:noProof/>
                <w:webHidden/>
              </w:rPr>
            </w:r>
            <w:r w:rsidR="00860D9C" w:rsidRPr="002A27B4">
              <w:rPr>
                <w:noProof/>
                <w:webHidden/>
              </w:rPr>
              <w:fldChar w:fldCharType="separate"/>
            </w:r>
            <w:r w:rsidR="00860D9C" w:rsidRPr="002A27B4">
              <w:rPr>
                <w:noProof/>
                <w:webHidden/>
              </w:rPr>
              <w:t>3</w:t>
            </w:r>
            <w:r w:rsidR="00860D9C" w:rsidRPr="002A27B4">
              <w:rPr>
                <w:noProof/>
                <w:webHidden/>
              </w:rPr>
              <w:fldChar w:fldCharType="end"/>
            </w:r>
          </w:hyperlink>
        </w:p>
        <w:p w14:paraId="5323C4EF" w14:textId="7272BE30" w:rsidR="00860D9C" w:rsidRPr="002A27B4" w:rsidRDefault="00000000">
          <w:pPr>
            <w:pStyle w:val="TOC2"/>
            <w:tabs>
              <w:tab w:val="right" w:leader="dot" w:pos="9350"/>
            </w:tabs>
            <w:rPr>
              <w:noProof/>
            </w:rPr>
          </w:pPr>
          <w:hyperlink w:anchor="_Toc162216994" w:history="1">
            <w:r w:rsidR="00860D9C" w:rsidRPr="002A27B4">
              <w:rPr>
                <w:rStyle w:val="Hyperlink"/>
                <w:noProof/>
              </w:rPr>
              <w:t>Aim of report</w:t>
            </w:r>
            <w:r w:rsidR="00860D9C" w:rsidRPr="002A27B4">
              <w:rPr>
                <w:noProof/>
                <w:webHidden/>
              </w:rPr>
              <w:tab/>
            </w:r>
            <w:r w:rsidR="00860D9C" w:rsidRPr="002A27B4">
              <w:rPr>
                <w:noProof/>
                <w:webHidden/>
              </w:rPr>
              <w:fldChar w:fldCharType="begin"/>
            </w:r>
            <w:r w:rsidR="00860D9C" w:rsidRPr="002A27B4">
              <w:rPr>
                <w:noProof/>
                <w:webHidden/>
              </w:rPr>
              <w:instrText xml:space="preserve"> PAGEREF _Toc162216994 \h </w:instrText>
            </w:r>
            <w:r w:rsidR="00860D9C" w:rsidRPr="002A27B4">
              <w:rPr>
                <w:noProof/>
                <w:webHidden/>
              </w:rPr>
            </w:r>
            <w:r w:rsidR="00860D9C" w:rsidRPr="002A27B4">
              <w:rPr>
                <w:noProof/>
                <w:webHidden/>
              </w:rPr>
              <w:fldChar w:fldCharType="separate"/>
            </w:r>
            <w:r w:rsidR="00860D9C" w:rsidRPr="002A27B4">
              <w:rPr>
                <w:noProof/>
                <w:webHidden/>
              </w:rPr>
              <w:t>3</w:t>
            </w:r>
            <w:r w:rsidR="00860D9C" w:rsidRPr="002A27B4">
              <w:rPr>
                <w:noProof/>
                <w:webHidden/>
              </w:rPr>
              <w:fldChar w:fldCharType="end"/>
            </w:r>
          </w:hyperlink>
        </w:p>
        <w:p w14:paraId="1E46E45C" w14:textId="3A7E0FC2" w:rsidR="00860D9C" w:rsidRPr="002A27B4" w:rsidRDefault="00000000">
          <w:pPr>
            <w:pStyle w:val="TOC1"/>
            <w:tabs>
              <w:tab w:val="right" w:leader="dot" w:pos="9350"/>
            </w:tabs>
            <w:rPr>
              <w:noProof/>
            </w:rPr>
          </w:pPr>
          <w:hyperlink w:anchor="_Toc162216995" w:history="1">
            <w:r w:rsidR="00860D9C" w:rsidRPr="002A27B4">
              <w:rPr>
                <w:rStyle w:val="Hyperlink"/>
                <w:noProof/>
              </w:rPr>
              <w:t>Part 1) A brief evaluation of organisational position and performance of Nokia Oyj</w:t>
            </w:r>
            <w:r w:rsidR="00860D9C" w:rsidRPr="002A27B4">
              <w:rPr>
                <w:noProof/>
                <w:webHidden/>
              </w:rPr>
              <w:tab/>
            </w:r>
            <w:r w:rsidR="00860D9C" w:rsidRPr="002A27B4">
              <w:rPr>
                <w:noProof/>
                <w:webHidden/>
              </w:rPr>
              <w:fldChar w:fldCharType="begin"/>
            </w:r>
            <w:r w:rsidR="00860D9C" w:rsidRPr="002A27B4">
              <w:rPr>
                <w:noProof/>
                <w:webHidden/>
              </w:rPr>
              <w:instrText xml:space="preserve"> PAGEREF _Toc162216995 \h </w:instrText>
            </w:r>
            <w:r w:rsidR="00860D9C" w:rsidRPr="002A27B4">
              <w:rPr>
                <w:noProof/>
                <w:webHidden/>
              </w:rPr>
            </w:r>
            <w:r w:rsidR="00860D9C" w:rsidRPr="002A27B4">
              <w:rPr>
                <w:noProof/>
                <w:webHidden/>
              </w:rPr>
              <w:fldChar w:fldCharType="separate"/>
            </w:r>
            <w:r w:rsidR="00860D9C" w:rsidRPr="002A27B4">
              <w:rPr>
                <w:noProof/>
                <w:webHidden/>
              </w:rPr>
              <w:t>3</w:t>
            </w:r>
            <w:r w:rsidR="00860D9C" w:rsidRPr="002A27B4">
              <w:rPr>
                <w:noProof/>
                <w:webHidden/>
              </w:rPr>
              <w:fldChar w:fldCharType="end"/>
            </w:r>
          </w:hyperlink>
        </w:p>
        <w:p w14:paraId="20B3679A" w14:textId="2F8FA3C4" w:rsidR="00860D9C" w:rsidRPr="002A27B4" w:rsidRDefault="00000000">
          <w:pPr>
            <w:pStyle w:val="TOC2"/>
            <w:tabs>
              <w:tab w:val="right" w:leader="dot" w:pos="9350"/>
            </w:tabs>
            <w:rPr>
              <w:noProof/>
            </w:rPr>
          </w:pPr>
          <w:hyperlink w:anchor="_Toc162216996" w:history="1">
            <w:r w:rsidR="00860D9C" w:rsidRPr="002A27B4">
              <w:rPr>
                <w:rStyle w:val="Hyperlink"/>
                <w:noProof/>
              </w:rPr>
              <w:t>1.1 Overview of Business</w:t>
            </w:r>
            <w:r w:rsidR="00860D9C" w:rsidRPr="002A27B4">
              <w:rPr>
                <w:noProof/>
                <w:webHidden/>
              </w:rPr>
              <w:tab/>
            </w:r>
            <w:r w:rsidR="00860D9C" w:rsidRPr="002A27B4">
              <w:rPr>
                <w:noProof/>
                <w:webHidden/>
              </w:rPr>
              <w:fldChar w:fldCharType="begin"/>
            </w:r>
            <w:r w:rsidR="00860D9C" w:rsidRPr="002A27B4">
              <w:rPr>
                <w:noProof/>
                <w:webHidden/>
              </w:rPr>
              <w:instrText xml:space="preserve"> PAGEREF _Toc162216996 \h </w:instrText>
            </w:r>
            <w:r w:rsidR="00860D9C" w:rsidRPr="002A27B4">
              <w:rPr>
                <w:noProof/>
                <w:webHidden/>
              </w:rPr>
            </w:r>
            <w:r w:rsidR="00860D9C" w:rsidRPr="002A27B4">
              <w:rPr>
                <w:noProof/>
                <w:webHidden/>
              </w:rPr>
              <w:fldChar w:fldCharType="separate"/>
            </w:r>
            <w:r w:rsidR="00860D9C" w:rsidRPr="002A27B4">
              <w:rPr>
                <w:noProof/>
                <w:webHidden/>
              </w:rPr>
              <w:t>3</w:t>
            </w:r>
            <w:r w:rsidR="00860D9C" w:rsidRPr="002A27B4">
              <w:rPr>
                <w:noProof/>
                <w:webHidden/>
              </w:rPr>
              <w:fldChar w:fldCharType="end"/>
            </w:r>
          </w:hyperlink>
        </w:p>
        <w:p w14:paraId="1D9A520B" w14:textId="2D695B2E" w:rsidR="00860D9C" w:rsidRPr="002A27B4" w:rsidRDefault="00000000">
          <w:pPr>
            <w:pStyle w:val="TOC2"/>
            <w:tabs>
              <w:tab w:val="right" w:leader="dot" w:pos="9350"/>
            </w:tabs>
            <w:rPr>
              <w:noProof/>
            </w:rPr>
          </w:pPr>
          <w:hyperlink w:anchor="_Toc162216997" w:history="1">
            <w:r w:rsidR="00860D9C" w:rsidRPr="002A27B4">
              <w:rPr>
                <w:rStyle w:val="Hyperlink"/>
                <w:noProof/>
              </w:rPr>
              <w:t>1.2 Applied business model for Nokia Oyj</w:t>
            </w:r>
            <w:r w:rsidR="00860D9C" w:rsidRPr="002A27B4">
              <w:rPr>
                <w:noProof/>
                <w:webHidden/>
              </w:rPr>
              <w:tab/>
            </w:r>
            <w:r w:rsidR="00860D9C" w:rsidRPr="002A27B4">
              <w:rPr>
                <w:noProof/>
                <w:webHidden/>
              </w:rPr>
              <w:fldChar w:fldCharType="begin"/>
            </w:r>
            <w:r w:rsidR="00860D9C" w:rsidRPr="002A27B4">
              <w:rPr>
                <w:noProof/>
                <w:webHidden/>
              </w:rPr>
              <w:instrText xml:space="preserve"> PAGEREF _Toc162216997 \h </w:instrText>
            </w:r>
            <w:r w:rsidR="00860D9C" w:rsidRPr="002A27B4">
              <w:rPr>
                <w:noProof/>
                <w:webHidden/>
              </w:rPr>
            </w:r>
            <w:r w:rsidR="00860D9C" w:rsidRPr="002A27B4">
              <w:rPr>
                <w:noProof/>
                <w:webHidden/>
              </w:rPr>
              <w:fldChar w:fldCharType="separate"/>
            </w:r>
            <w:r w:rsidR="00860D9C" w:rsidRPr="002A27B4">
              <w:rPr>
                <w:noProof/>
                <w:webHidden/>
              </w:rPr>
              <w:t>4</w:t>
            </w:r>
            <w:r w:rsidR="00860D9C" w:rsidRPr="002A27B4">
              <w:rPr>
                <w:noProof/>
                <w:webHidden/>
              </w:rPr>
              <w:fldChar w:fldCharType="end"/>
            </w:r>
          </w:hyperlink>
        </w:p>
        <w:p w14:paraId="444A3455" w14:textId="45B959EE" w:rsidR="00860D9C" w:rsidRPr="002A27B4" w:rsidRDefault="00000000">
          <w:pPr>
            <w:pStyle w:val="TOC2"/>
            <w:tabs>
              <w:tab w:val="right" w:leader="dot" w:pos="9350"/>
            </w:tabs>
            <w:rPr>
              <w:noProof/>
            </w:rPr>
          </w:pPr>
          <w:hyperlink w:anchor="_Toc162216998" w:history="1">
            <w:r w:rsidR="00860D9C" w:rsidRPr="002A27B4">
              <w:rPr>
                <w:rStyle w:val="Hyperlink"/>
                <w:noProof/>
              </w:rPr>
              <w:t>1.3 Identified Market place and Competitors for Nokia Oyj</w:t>
            </w:r>
            <w:r w:rsidR="00860D9C" w:rsidRPr="002A27B4">
              <w:rPr>
                <w:noProof/>
                <w:webHidden/>
              </w:rPr>
              <w:tab/>
            </w:r>
            <w:r w:rsidR="00860D9C" w:rsidRPr="002A27B4">
              <w:rPr>
                <w:noProof/>
                <w:webHidden/>
              </w:rPr>
              <w:fldChar w:fldCharType="begin"/>
            </w:r>
            <w:r w:rsidR="00860D9C" w:rsidRPr="002A27B4">
              <w:rPr>
                <w:noProof/>
                <w:webHidden/>
              </w:rPr>
              <w:instrText xml:space="preserve"> PAGEREF _Toc162216998 \h </w:instrText>
            </w:r>
            <w:r w:rsidR="00860D9C" w:rsidRPr="002A27B4">
              <w:rPr>
                <w:noProof/>
                <w:webHidden/>
              </w:rPr>
            </w:r>
            <w:r w:rsidR="00860D9C" w:rsidRPr="002A27B4">
              <w:rPr>
                <w:noProof/>
                <w:webHidden/>
              </w:rPr>
              <w:fldChar w:fldCharType="separate"/>
            </w:r>
            <w:r w:rsidR="00860D9C" w:rsidRPr="002A27B4">
              <w:rPr>
                <w:noProof/>
                <w:webHidden/>
              </w:rPr>
              <w:t>4</w:t>
            </w:r>
            <w:r w:rsidR="00860D9C" w:rsidRPr="002A27B4">
              <w:rPr>
                <w:noProof/>
                <w:webHidden/>
              </w:rPr>
              <w:fldChar w:fldCharType="end"/>
            </w:r>
          </w:hyperlink>
        </w:p>
        <w:p w14:paraId="6DC66D87" w14:textId="1A6E34E0" w:rsidR="00860D9C" w:rsidRPr="002A27B4" w:rsidRDefault="00000000">
          <w:pPr>
            <w:pStyle w:val="TOC2"/>
            <w:tabs>
              <w:tab w:val="right" w:leader="dot" w:pos="9350"/>
            </w:tabs>
            <w:rPr>
              <w:noProof/>
            </w:rPr>
          </w:pPr>
          <w:hyperlink w:anchor="_Toc162216999" w:history="1">
            <w:r w:rsidR="00860D9C" w:rsidRPr="002A27B4">
              <w:rPr>
                <w:rStyle w:val="Hyperlink"/>
                <w:noProof/>
              </w:rPr>
              <w:t>1.4 Historical Event Analysis in Nokia Oyj</w:t>
            </w:r>
            <w:r w:rsidR="00860D9C" w:rsidRPr="002A27B4">
              <w:rPr>
                <w:noProof/>
                <w:webHidden/>
              </w:rPr>
              <w:tab/>
            </w:r>
            <w:r w:rsidR="00860D9C" w:rsidRPr="002A27B4">
              <w:rPr>
                <w:noProof/>
                <w:webHidden/>
              </w:rPr>
              <w:fldChar w:fldCharType="begin"/>
            </w:r>
            <w:r w:rsidR="00860D9C" w:rsidRPr="002A27B4">
              <w:rPr>
                <w:noProof/>
                <w:webHidden/>
              </w:rPr>
              <w:instrText xml:space="preserve"> PAGEREF _Toc162216999 \h </w:instrText>
            </w:r>
            <w:r w:rsidR="00860D9C" w:rsidRPr="002A27B4">
              <w:rPr>
                <w:noProof/>
                <w:webHidden/>
              </w:rPr>
            </w:r>
            <w:r w:rsidR="00860D9C" w:rsidRPr="002A27B4">
              <w:rPr>
                <w:noProof/>
                <w:webHidden/>
              </w:rPr>
              <w:fldChar w:fldCharType="separate"/>
            </w:r>
            <w:r w:rsidR="00860D9C" w:rsidRPr="002A27B4">
              <w:rPr>
                <w:noProof/>
                <w:webHidden/>
              </w:rPr>
              <w:t>5</w:t>
            </w:r>
            <w:r w:rsidR="00860D9C" w:rsidRPr="002A27B4">
              <w:rPr>
                <w:noProof/>
                <w:webHidden/>
              </w:rPr>
              <w:fldChar w:fldCharType="end"/>
            </w:r>
          </w:hyperlink>
        </w:p>
        <w:p w14:paraId="7064CD46" w14:textId="296409FE" w:rsidR="00860D9C" w:rsidRPr="002A27B4" w:rsidRDefault="00000000">
          <w:pPr>
            <w:pStyle w:val="TOC1"/>
            <w:tabs>
              <w:tab w:val="right" w:leader="dot" w:pos="9350"/>
            </w:tabs>
            <w:rPr>
              <w:noProof/>
            </w:rPr>
          </w:pPr>
          <w:hyperlink w:anchor="_Toc162217000" w:history="1">
            <w:r w:rsidR="00860D9C" w:rsidRPr="002A27B4">
              <w:rPr>
                <w:rStyle w:val="Hyperlink"/>
                <w:noProof/>
              </w:rPr>
              <w:t>Part 2) Applied financial performance analysis for Nokia Oyj with competitor position</w:t>
            </w:r>
            <w:r w:rsidR="00860D9C" w:rsidRPr="002A27B4">
              <w:rPr>
                <w:noProof/>
                <w:webHidden/>
              </w:rPr>
              <w:tab/>
            </w:r>
            <w:r w:rsidR="00860D9C" w:rsidRPr="002A27B4">
              <w:rPr>
                <w:noProof/>
                <w:webHidden/>
              </w:rPr>
              <w:fldChar w:fldCharType="begin"/>
            </w:r>
            <w:r w:rsidR="00860D9C" w:rsidRPr="002A27B4">
              <w:rPr>
                <w:noProof/>
                <w:webHidden/>
              </w:rPr>
              <w:instrText xml:space="preserve"> PAGEREF _Toc162217000 \h </w:instrText>
            </w:r>
            <w:r w:rsidR="00860D9C" w:rsidRPr="002A27B4">
              <w:rPr>
                <w:noProof/>
                <w:webHidden/>
              </w:rPr>
            </w:r>
            <w:r w:rsidR="00860D9C" w:rsidRPr="002A27B4">
              <w:rPr>
                <w:noProof/>
                <w:webHidden/>
              </w:rPr>
              <w:fldChar w:fldCharType="separate"/>
            </w:r>
            <w:r w:rsidR="00860D9C" w:rsidRPr="002A27B4">
              <w:rPr>
                <w:noProof/>
                <w:webHidden/>
              </w:rPr>
              <w:t>6</w:t>
            </w:r>
            <w:r w:rsidR="00860D9C" w:rsidRPr="002A27B4">
              <w:rPr>
                <w:noProof/>
                <w:webHidden/>
              </w:rPr>
              <w:fldChar w:fldCharType="end"/>
            </w:r>
          </w:hyperlink>
        </w:p>
        <w:p w14:paraId="6623F2BC" w14:textId="7F28614F" w:rsidR="00860D9C" w:rsidRPr="002A27B4" w:rsidRDefault="00000000">
          <w:pPr>
            <w:pStyle w:val="TOC2"/>
            <w:tabs>
              <w:tab w:val="right" w:leader="dot" w:pos="9350"/>
            </w:tabs>
            <w:rPr>
              <w:noProof/>
            </w:rPr>
          </w:pPr>
          <w:hyperlink w:anchor="_Toc162217001" w:history="1">
            <w:r w:rsidR="00860D9C" w:rsidRPr="002A27B4">
              <w:rPr>
                <w:rStyle w:val="Hyperlink"/>
                <w:noProof/>
              </w:rPr>
              <w:t>2.1 Computation of profitability, liquidity, gearing and efficiency ratios of Nokia Oyj</w:t>
            </w:r>
            <w:r w:rsidR="00860D9C" w:rsidRPr="002A27B4">
              <w:rPr>
                <w:noProof/>
                <w:webHidden/>
              </w:rPr>
              <w:tab/>
            </w:r>
            <w:r w:rsidR="00860D9C" w:rsidRPr="002A27B4">
              <w:rPr>
                <w:noProof/>
                <w:webHidden/>
              </w:rPr>
              <w:fldChar w:fldCharType="begin"/>
            </w:r>
            <w:r w:rsidR="00860D9C" w:rsidRPr="002A27B4">
              <w:rPr>
                <w:noProof/>
                <w:webHidden/>
              </w:rPr>
              <w:instrText xml:space="preserve"> PAGEREF _Toc162217001 \h </w:instrText>
            </w:r>
            <w:r w:rsidR="00860D9C" w:rsidRPr="002A27B4">
              <w:rPr>
                <w:noProof/>
                <w:webHidden/>
              </w:rPr>
            </w:r>
            <w:r w:rsidR="00860D9C" w:rsidRPr="002A27B4">
              <w:rPr>
                <w:noProof/>
                <w:webHidden/>
              </w:rPr>
              <w:fldChar w:fldCharType="separate"/>
            </w:r>
            <w:r w:rsidR="00860D9C" w:rsidRPr="002A27B4">
              <w:rPr>
                <w:noProof/>
                <w:webHidden/>
              </w:rPr>
              <w:t>6</w:t>
            </w:r>
            <w:r w:rsidR="00860D9C" w:rsidRPr="002A27B4">
              <w:rPr>
                <w:noProof/>
                <w:webHidden/>
              </w:rPr>
              <w:fldChar w:fldCharType="end"/>
            </w:r>
          </w:hyperlink>
        </w:p>
        <w:p w14:paraId="0C23FD54" w14:textId="0E3976CA" w:rsidR="00860D9C" w:rsidRPr="002A27B4" w:rsidRDefault="00000000">
          <w:pPr>
            <w:pStyle w:val="TOC2"/>
            <w:tabs>
              <w:tab w:val="right" w:leader="dot" w:pos="9350"/>
            </w:tabs>
            <w:rPr>
              <w:noProof/>
            </w:rPr>
          </w:pPr>
          <w:hyperlink w:anchor="_Toc162217002" w:history="1">
            <w:r w:rsidR="00860D9C" w:rsidRPr="002A27B4">
              <w:rPr>
                <w:rStyle w:val="Hyperlink"/>
                <w:noProof/>
              </w:rPr>
              <w:t>2.2 Evaluation of computed ratios associated with business positioning</w:t>
            </w:r>
            <w:r w:rsidR="00860D9C" w:rsidRPr="002A27B4">
              <w:rPr>
                <w:noProof/>
                <w:webHidden/>
              </w:rPr>
              <w:tab/>
            </w:r>
            <w:r w:rsidR="00860D9C" w:rsidRPr="002A27B4">
              <w:rPr>
                <w:noProof/>
                <w:webHidden/>
              </w:rPr>
              <w:fldChar w:fldCharType="begin"/>
            </w:r>
            <w:r w:rsidR="00860D9C" w:rsidRPr="002A27B4">
              <w:rPr>
                <w:noProof/>
                <w:webHidden/>
              </w:rPr>
              <w:instrText xml:space="preserve"> PAGEREF _Toc162217002 \h </w:instrText>
            </w:r>
            <w:r w:rsidR="00860D9C" w:rsidRPr="002A27B4">
              <w:rPr>
                <w:noProof/>
                <w:webHidden/>
              </w:rPr>
            </w:r>
            <w:r w:rsidR="00860D9C" w:rsidRPr="002A27B4">
              <w:rPr>
                <w:noProof/>
                <w:webHidden/>
              </w:rPr>
              <w:fldChar w:fldCharType="separate"/>
            </w:r>
            <w:r w:rsidR="00860D9C" w:rsidRPr="002A27B4">
              <w:rPr>
                <w:noProof/>
                <w:webHidden/>
              </w:rPr>
              <w:t>9</w:t>
            </w:r>
            <w:r w:rsidR="00860D9C" w:rsidRPr="002A27B4">
              <w:rPr>
                <w:noProof/>
                <w:webHidden/>
              </w:rPr>
              <w:fldChar w:fldCharType="end"/>
            </w:r>
          </w:hyperlink>
        </w:p>
        <w:p w14:paraId="5BBA29A0" w14:textId="569A7781" w:rsidR="00860D9C" w:rsidRPr="002A27B4" w:rsidRDefault="00000000">
          <w:pPr>
            <w:pStyle w:val="TOC2"/>
            <w:tabs>
              <w:tab w:val="right" w:leader="dot" w:pos="9350"/>
            </w:tabs>
            <w:rPr>
              <w:noProof/>
            </w:rPr>
          </w:pPr>
          <w:hyperlink w:anchor="_Toc162217003" w:history="1">
            <w:r w:rsidR="00860D9C" w:rsidRPr="002A27B4">
              <w:rPr>
                <w:rStyle w:val="Hyperlink"/>
                <w:noProof/>
              </w:rPr>
              <w:t>2.3 A comparative analysis of the financial position of Nokia Oyj with its competitor</w:t>
            </w:r>
            <w:r w:rsidR="00860D9C" w:rsidRPr="002A27B4">
              <w:rPr>
                <w:noProof/>
                <w:webHidden/>
              </w:rPr>
              <w:tab/>
            </w:r>
            <w:r w:rsidR="00860D9C" w:rsidRPr="002A27B4">
              <w:rPr>
                <w:noProof/>
                <w:webHidden/>
              </w:rPr>
              <w:fldChar w:fldCharType="begin"/>
            </w:r>
            <w:r w:rsidR="00860D9C" w:rsidRPr="002A27B4">
              <w:rPr>
                <w:noProof/>
                <w:webHidden/>
              </w:rPr>
              <w:instrText xml:space="preserve"> PAGEREF _Toc162217003 \h </w:instrText>
            </w:r>
            <w:r w:rsidR="00860D9C" w:rsidRPr="002A27B4">
              <w:rPr>
                <w:noProof/>
                <w:webHidden/>
              </w:rPr>
            </w:r>
            <w:r w:rsidR="00860D9C" w:rsidRPr="002A27B4">
              <w:rPr>
                <w:noProof/>
                <w:webHidden/>
              </w:rPr>
              <w:fldChar w:fldCharType="separate"/>
            </w:r>
            <w:r w:rsidR="00860D9C" w:rsidRPr="002A27B4">
              <w:rPr>
                <w:noProof/>
                <w:webHidden/>
              </w:rPr>
              <w:t>12</w:t>
            </w:r>
            <w:r w:rsidR="00860D9C" w:rsidRPr="002A27B4">
              <w:rPr>
                <w:noProof/>
                <w:webHidden/>
              </w:rPr>
              <w:fldChar w:fldCharType="end"/>
            </w:r>
          </w:hyperlink>
        </w:p>
        <w:p w14:paraId="0FDBBC1D" w14:textId="1D403CAC" w:rsidR="00860D9C" w:rsidRPr="002A27B4" w:rsidRDefault="00000000">
          <w:pPr>
            <w:pStyle w:val="TOC2"/>
            <w:tabs>
              <w:tab w:val="right" w:leader="dot" w:pos="9350"/>
            </w:tabs>
            <w:rPr>
              <w:noProof/>
            </w:rPr>
          </w:pPr>
          <w:hyperlink w:anchor="_Toc162217004" w:history="1">
            <w:r w:rsidR="00860D9C" w:rsidRPr="002A27B4">
              <w:rPr>
                <w:rStyle w:val="Hyperlink"/>
                <w:noProof/>
              </w:rPr>
              <w:t>2.4 A recommendation for improving the financial management of the company</w:t>
            </w:r>
            <w:r w:rsidR="00860D9C" w:rsidRPr="002A27B4">
              <w:rPr>
                <w:noProof/>
                <w:webHidden/>
              </w:rPr>
              <w:tab/>
            </w:r>
            <w:r w:rsidR="00860D9C" w:rsidRPr="002A27B4">
              <w:rPr>
                <w:noProof/>
                <w:webHidden/>
              </w:rPr>
              <w:fldChar w:fldCharType="begin"/>
            </w:r>
            <w:r w:rsidR="00860D9C" w:rsidRPr="002A27B4">
              <w:rPr>
                <w:noProof/>
                <w:webHidden/>
              </w:rPr>
              <w:instrText xml:space="preserve"> PAGEREF _Toc162217004 \h </w:instrText>
            </w:r>
            <w:r w:rsidR="00860D9C" w:rsidRPr="002A27B4">
              <w:rPr>
                <w:noProof/>
                <w:webHidden/>
              </w:rPr>
            </w:r>
            <w:r w:rsidR="00860D9C" w:rsidRPr="002A27B4">
              <w:rPr>
                <w:noProof/>
                <w:webHidden/>
              </w:rPr>
              <w:fldChar w:fldCharType="separate"/>
            </w:r>
            <w:r w:rsidR="00860D9C" w:rsidRPr="002A27B4">
              <w:rPr>
                <w:noProof/>
                <w:webHidden/>
              </w:rPr>
              <w:t>14</w:t>
            </w:r>
            <w:r w:rsidR="00860D9C" w:rsidRPr="002A27B4">
              <w:rPr>
                <w:noProof/>
                <w:webHidden/>
              </w:rPr>
              <w:fldChar w:fldCharType="end"/>
            </w:r>
          </w:hyperlink>
        </w:p>
        <w:p w14:paraId="7BCC67F8" w14:textId="3D845A05" w:rsidR="00860D9C" w:rsidRPr="002A27B4" w:rsidRDefault="00000000">
          <w:pPr>
            <w:pStyle w:val="TOC1"/>
            <w:tabs>
              <w:tab w:val="right" w:leader="dot" w:pos="9350"/>
            </w:tabs>
            <w:rPr>
              <w:noProof/>
            </w:rPr>
          </w:pPr>
          <w:hyperlink w:anchor="_Toc162217005" w:history="1">
            <w:r w:rsidR="00860D9C" w:rsidRPr="002A27B4">
              <w:rPr>
                <w:rStyle w:val="Hyperlink"/>
                <w:noProof/>
              </w:rPr>
              <w:t>Part 3) Applied Investment appraisal processing associated with business performance</w:t>
            </w:r>
            <w:r w:rsidR="00860D9C" w:rsidRPr="002A27B4">
              <w:rPr>
                <w:noProof/>
                <w:webHidden/>
              </w:rPr>
              <w:tab/>
            </w:r>
            <w:r w:rsidR="00860D9C" w:rsidRPr="002A27B4">
              <w:rPr>
                <w:noProof/>
                <w:webHidden/>
              </w:rPr>
              <w:fldChar w:fldCharType="begin"/>
            </w:r>
            <w:r w:rsidR="00860D9C" w:rsidRPr="002A27B4">
              <w:rPr>
                <w:noProof/>
                <w:webHidden/>
              </w:rPr>
              <w:instrText xml:space="preserve"> PAGEREF _Toc162217005 \h </w:instrText>
            </w:r>
            <w:r w:rsidR="00860D9C" w:rsidRPr="002A27B4">
              <w:rPr>
                <w:noProof/>
                <w:webHidden/>
              </w:rPr>
            </w:r>
            <w:r w:rsidR="00860D9C" w:rsidRPr="002A27B4">
              <w:rPr>
                <w:noProof/>
                <w:webHidden/>
              </w:rPr>
              <w:fldChar w:fldCharType="separate"/>
            </w:r>
            <w:r w:rsidR="00860D9C" w:rsidRPr="002A27B4">
              <w:rPr>
                <w:noProof/>
                <w:webHidden/>
              </w:rPr>
              <w:t>15</w:t>
            </w:r>
            <w:r w:rsidR="00860D9C" w:rsidRPr="002A27B4">
              <w:rPr>
                <w:noProof/>
                <w:webHidden/>
              </w:rPr>
              <w:fldChar w:fldCharType="end"/>
            </w:r>
          </w:hyperlink>
        </w:p>
        <w:p w14:paraId="6BBD8137" w14:textId="335B24C6" w:rsidR="00860D9C" w:rsidRPr="002A27B4" w:rsidRDefault="00000000">
          <w:pPr>
            <w:pStyle w:val="TOC2"/>
            <w:tabs>
              <w:tab w:val="right" w:leader="dot" w:pos="9350"/>
            </w:tabs>
            <w:rPr>
              <w:noProof/>
            </w:rPr>
          </w:pPr>
          <w:hyperlink w:anchor="_Toc162217006" w:history="1">
            <w:r w:rsidR="00860D9C" w:rsidRPr="002A27B4">
              <w:rPr>
                <w:rStyle w:val="Hyperlink"/>
                <w:noProof/>
              </w:rPr>
              <w:t>3.1.1 Computation of Payback period, accounting rate of return, and the net present value of projects</w:t>
            </w:r>
            <w:r w:rsidR="00860D9C" w:rsidRPr="002A27B4">
              <w:rPr>
                <w:noProof/>
                <w:webHidden/>
              </w:rPr>
              <w:tab/>
            </w:r>
            <w:r w:rsidR="00860D9C" w:rsidRPr="002A27B4">
              <w:rPr>
                <w:noProof/>
                <w:webHidden/>
              </w:rPr>
              <w:fldChar w:fldCharType="begin"/>
            </w:r>
            <w:r w:rsidR="00860D9C" w:rsidRPr="002A27B4">
              <w:rPr>
                <w:noProof/>
                <w:webHidden/>
              </w:rPr>
              <w:instrText xml:space="preserve"> PAGEREF _Toc162217006 \h </w:instrText>
            </w:r>
            <w:r w:rsidR="00860D9C" w:rsidRPr="002A27B4">
              <w:rPr>
                <w:noProof/>
                <w:webHidden/>
              </w:rPr>
            </w:r>
            <w:r w:rsidR="00860D9C" w:rsidRPr="002A27B4">
              <w:rPr>
                <w:noProof/>
                <w:webHidden/>
              </w:rPr>
              <w:fldChar w:fldCharType="separate"/>
            </w:r>
            <w:r w:rsidR="00860D9C" w:rsidRPr="002A27B4">
              <w:rPr>
                <w:noProof/>
                <w:webHidden/>
              </w:rPr>
              <w:t>15</w:t>
            </w:r>
            <w:r w:rsidR="00860D9C" w:rsidRPr="002A27B4">
              <w:rPr>
                <w:noProof/>
                <w:webHidden/>
              </w:rPr>
              <w:fldChar w:fldCharType="end"/>
            </w:r>
          </w:hyperlink>
        </w:p>
        <w:p w14:paraId="6012F904" w14:textId="08D6D232" w:rsidR="00860D9C" w:rsidRPr="002A27B4" w:rsidRDefault="00000000">
          <w:pPr>
            <w:pStyle w:val="TOC2"/>
            <w:tabs>
              <w:tab w:val="right" w:leader="dot" w:pos="9350"/>
            </w:tabs>
            <w:rPr>
              <w:noProof/>
            </w:rPr>
          </w:pPr>
          <w:hyperlink w:anchor="_Toc162217007" w:history="1">
            <w:r w:rsidR="00860D9C" w:rsidRPr="002A27B4">
              <w:rPr>
                <w:rStyle w:val="Hyperlink"/>
                <w:noProof/>
              </w:rPr>
              <w:t>3.1.2 Evaluate the results for identification and the recommendations behind the selected project</w:t>
            </w:r>
            <w:r w:rsidR="00860D9C" w:rsidRPr="002A27B4">
              <w:rPr>
                <w:noProof/>
                <w:webHidden/>
              </w:rPr>
              <w:tab/>
            </w:r>
            <w:r w:rsidR="00860D9C" w:rsidRPr="002A27B4">
              <w:rPr>
                <w:noProof/>
                <w:webHidden/>
              </w:rPr>
              <w:fldChar w:fldCharType="begin"/>
            </w:r>
            <w:r w:rsidR="00860D9C" w:rsidRPr="002A27B4">
              <w:rPr>
                <w:noProof/>
                <w:webHidden/>
              </w:rPr>
              <w:instrText xml:space="preserve"> PAGEREF _Toc162217007 \h </w:instrText>
            </w:r>
            <w:r w:rsidR="00860D9C" w:rsidRPr="002A27B4">
              <w:rPr>
                <w:noProof/>
                <w:webHidden/>
              </w:rPr>
            </w:r>
            <w:r w:rsidR="00860D9C" w:rsidRPr="002A27B4">
              <w:rPr>
                <w:noProof/>
                <w:webHidden/>
              </w:rPr>
              <w:fldChar w:fldCharType="separate"/>
            </w:r>
            <w:r w:rsidR="00860D9C" w:rsidRPr="002A27B4">
              <w:rPr>
                <w:noProof/>
                <w:webHidden/>
              </w:rPr>
              <w:t>1</w:t>
            </w:r>
            <w:r w:rsidR="00E05379" w:rsidRPr="002A27B4">
              <w:rPr>
                <w:noProof/>
                <w:webHidden/>
              </w:rPr>
              <w:t>8</w:t>
            </w:r>
            <w:r w:rsidR="00860D9C" w:rsidRPr="002A27B4">
              <w:rPr>
                <w:noProof/>
                <w:webHidden/>
              </w:rPr>
              <w:fldChar w:fldCharType="end"/>
            </w:r>
          </w:hyperlink>
        </w:p>
        <w:p w14:paraId="52E7E6CB" w14:textId="2A0AD6E0" w:rsidR="00860D9C" w:rsidRPr="002A27B4" w:rsidRDefault="00000000">
          <w:pPr>
            <w:pStyle w:val="TOC2"/>
            <w:tabs>
              <w:tab w:val="right" w:leader="dot" w:pos="9350"/>
            </w:tabs>
            <w:rPr>
              <w:noProof/>
            </w:rPr>
          </w:pPr>
          <w:hyperlink w:anchor="_Toc162217008" w:history="1">
            <w:r w:rsidR="00860D9C" w:rsidRPr="002A27B4">
              <w:rPr>
                <w:rStyle w:val="Hyperlink"/>
                <w:noProof/>
              </w:rPr>
              <w:t>3.2 Computation of net present value with the revised financial estimations for both project</w:t>
            </w:r>
            <w:r w:rsidR="00860D9C" w:rsidRPr="002A27B4">
              <w:rPr>
                <w:noProof/>
                <w:webHidden/>
              </w:rPr>
              <w:tab/>
            </w:r>
            <w:r w:rsidR="00860D9C" w:rsidRPr="002A27B4">
              <w:rPr>
                <w:noProof/>
                <w:webHidden/>
              </w:rPr>
              <w:fldChar w:fldCharType="begin"/>
            </w:r>
            <w:r w:rsidR="00860D9C" w:rsidRPr="002A27B4">
              <w:rPr>
                <w:noProof/>
                <w:webHidden/>
              </w:rPr>
              <w:instrText xml:space="preserve"> PAGEREF _Toc162217008 \h </w:instrText>
            </w:r>
            <w:r w:rsidR="00860D9C" w:rsidRPr="002A27B4">
              <w:rPr>
                <w:noProof/>
                <w:webHidden/>
              </w:rPr>
            </w:r>
            <w:r w:rsidR="00860D9C" w:rsidRPr="002A27B4">
              <w:rPr>
                <w:noProof/>
                <w:webHidden/>
              </w:rPr>
              <w:fldChar w:fldCharType="separate"/>
            </w:r>
            <w:r w:rsidR="00860D9C" w:rsidRPr="002A27B4">
              <w:rPr>
                <w:noProof/>
                <w:webHidden/>
              </w:rPr>
              <w:t>19</w:t>
            </w:r>
            <w:r w:rsidR="00860D9C" w:rsidRPr="002A27B4">
              <w:rPr>
                <w:noProof/>
                <w:webHidden/>
              </w:rPr>
              <w:fldChar w:fldCharType="end"/>
            </w:r>
          </w:hyperlink>
        </w:p>
        <w:p w14:paraId="258DD982" w14:textId="0358BE27" w:rsidR="00860D9C" w:rsidRPr="002A27B4" w:rsidRDefault="00000000">
          <w:pPr>
            <w:pStyle w:val="TOC2"/>
            <w:tabs>
              <w:tab w:val="right" w:leader="dot" w:pos="9350"/>
            </w:tabs>
            <w:rPr>
              <w:noProof/>
            </w:rPr>
          </w:pPr>
          <w:hyperlink w:anchor="_Toc162217009" w:history="1">
            <w:r w:rsidR="00860D9C" w:rsidRPr="002A27B4">
              <w:rPr>
                <w:rStyle w:val="Hyperlink"/>
                <w:noProof/>
              </w:rPr>
              <w:t xml:space="preserve">3.3 </w:t>
            </w:r>
            <w:r w:rsidR="00563788" w:rsidRPr="002A27B4">
              <w:rPr>
                <w:rStyle w:val="Hyperlink"/>
                <w:noProof/>
              </w:rPr>
              <w:t xml:space="preserve"> </w:t>
            </w:r>
            <w:r w:rsidR="00860D9C" w:rsidRPr="002A27B4">
              <w:rPr>
                <w:rStyle w:val="Hyperlink"/>
                <w:noProof/>
              </w:rPr>
              <w:t>Identify the advantages and shortcomings of individual investment appraisal methods</w:t>
            </w:r>
            <w:r w:rsidR="00860D9C" w:rsidRPr="002A27B4">
              <w:rPr>
                <w:noProof/>
                <w:webHidden/>
              </w:rPr>
              <w:tab/>
            </w:r>
            <w:r w:rsidR="00860D9C" w:rsidRPr="002A27B4">
              <w:rPr>
                <w:noProof/>
                <w:webHidden/>
              </w:rPr>
              <w:fldChar w:fldCharType="begin"/>
            </w:r>
            <w:r w:rsidR="00860D9C" w:rsidRPr="002A27B4">
              <w:rPr>
                <w:noProof/>
                <w:webHidden/>
              </w:rPr>
              <w:instrText xml:space="preserve"> PAGEREF _Toc162217009 \h </w:instrText>
            </w:r>
            <w:r w:rsidR="00860D9C" w:rsidRPr="002A27B4">
              <w:rPr>
                <w:noProof/>
                <w:webHidden/>
              </w:rPr>
            </w:r>
            <w:r w:rsidR="00860D9C" w:rsidRPr="002A27B4">
              <w:rPr>
                <w:noProof/>
                <w:webHidden/>
              </w:rPr>
              <w:fldChar w:fldCharType="separate"/>
            </w:r>
            <w:r w:rsidR="00860D9C" w:rsidRPr="002A27B4">
              <w:rPr>
                <w:noProof/>
                <w:webHidden/>
              </w:rPr>
              <w:t>20</w:t>
            </w:r>
            <w:r w:rsidR="00860D9C" w:rsidRPr="002A27B4">
              <w:rPr>
                <w:noProof/>
                <w:webHidden/>
              </w:rPr>
              <w:fldChar w:fldCharType="end"/>
            </w:r>
          </w:hyperlink>
        </w:p>
        <w:p w14:paraId="4DDE08F2" w14:textId="5E54EA92" w:rsidR="00860D9C" w:rsidRPr="002A27B4" w:rsidRDefault="00000000">
          <w:pPr>
            <w:pStyle w:val="TOC2"/>
            <w:tabs>
              <w:tab w:val="right" w:leader="dot" w:pos="9350"/>
            </w:tabs>
            <w:rPr>
              <w:noProof/>
            </w:rPr>
          </w:pPr>
          <w:hyperlink w:anchor="_Toc162217010" w:history="1">
            <w:r w:rsidR="00860D9C" w:rsidRPr="002A27B4">
              <w:rPr>
                <w:rStyle w:val="Hyperlink"/>
                <w:noProof/>
              </w:rPr>
              <w:t>3.4 Identification of non-financial factors that management should consider in a business</w:t>
            </w:r>
            <w:r w:rsidR="00860D9C" w:rsidRPr="002A27B4">
              <w:rPr>
                <w:noProof/>
                <w:webHidden/>
              </w:rPr>
              <w:tab/>
            </w:r>
            <w:r w:rsidR="00860D9C" w:rsidRPr="002A27B4">
              <w:rPr>
                <w:noProof/>
                <w:webHidden/>
              </w:rPr>
              <w:fldChar w:fldCharType="begin"/>
            </w:r>
            <w:r w:rsidR="00860D9C" w:rsidRPr="002A27B4">
              <w:rPr>
                <w:noProof/>
                <w:webHidden/>
              </w:rPr>
              <w:instrText xml:space="preserve"> PAGEREF _Toc162217010 \h </w:instrText>
            </w:r>
            <w:r w:rsidR="00860D9C" w:rsidRPr="002A27B4">
              <w:rPr>
                <w:noProof/>
                <w:webHidden/>
              </w:rPr>
            </w:r>
            <w:r w:rsidR="00860D9C" w:rsidRPr="002A27B4">
              <w:rPr>
                <w:noProof/>
                <w:webHidden/>
              </w:rPr>
              <w:fldChar w:fldCharType="separate"/>
            </w:r>
            <w:r w:rsidR="00860D9C" w:rsidRPr="002A27B4">
              <w:rPr>
                <w:noProof/>
                <w:webHidden/>
              </w:rPr>
              <w:t>21</w:t>
            </w:r>
            <w:r w:rsidR="00860D9C" w:rsidRPr="002A27B4">
              <w:rPr>
                <w:noProof/>
                <w:webHidden/>
              </w:rPr>
              <w:fldChar w:fldCharType="end"/>
            </w:r>
          </w:hyperlink>
        </w:p>
        <w:p w14:paraId="5A0A1902" w14:textId="344A6E27" w:rsidR="00860D9C" w:rsidRPr="002A27B4" w:rsidRDefault="00000000">
          <w:pPr>
            <w:pStyle w:val="TOC1"/>
            <w:tabs>
              <w:tab w:val="right" w:leader="dot" w:pos="9350"/>
            </w:tabs>
            <w:rPr>
              <w:noProof/>
            </w:rPr>
          </w:pPr>
          <w:hyperlink w:anchor="_Toc162217011" w:history="1">
            <w:r w:rsidR="00860D9C" w:rsidRPr="002A27B4">
              <w:rPr>
                <w:rStyle w:val="Hyperlink"/>
                <w:noProof/>
              </w:rPr>
              <w:t>Conclusion</w:t>
            </w:r>
            <w:r w:rsidR="00860D9C" w:rsidRPr="002A27B4">
              <w:rPr>
                <w:noProof/>
                <w:webHidden/>
              </w:rPr>
              <w:tab/>
            </w:r>
            <w:r w:rsidR="00860D9C" w:rsidRPr="002A27B4">
              <w:rPr>
                <w:noProof/>
                <w:webHidden/>
              </w:rPr>
              <w:fldChar w:fldCharType="begin"/>
            </w:r>
            <w:r w:rsidR="00860D9C" w:rsidRPr="002A27B4">
              <w:rPr>
                <w:noProof/>
                <w:webHidden/>
              </w:rPr>
              <w:instrText xml:space="preserve"> PAGEREF _Toc162217011 \h </w:instrText>
            </w:r>
            <w:r w:rsidR="00860D9C" w:rsidRPr="002A27B4">
              <w:rPr>
                <w:noProof/>
                <w:webHidden/>
              </w:rPr>
            </w:r>
            <w:r w:rsidR="00860D9C" w:rsidRPr="002A27B4">
              <w:rPr>
                <w:noProof/>
                <w:webHidden/>
              </w:rPr>
              <w:fldChar w:fldCharType="separate"/>
            </w:r>
            <w:r w:rsidR="00860D9C" w:rsidRPr="002A27B4">
              <w:rPr>
                <w:noProof/>
                <w:webHidden/>
              </w:rPr>
              <w:t>22</w:t>
            </w:r>
            <w:r w:rsidR="00860D9C" w:rsidRPr="002A27B4">
              <w:rPr>
                <w:noProof/>
                <w:webHidden/>
              </w:rPr>
              <w:fldChar w:fldCharType="end"/>
            </w:r>
          </w:hyperlink>
        </w:p>
        <w:p w14:paraId="506E4D8C" w14:textId="77777777" w:rsidR="00860D9C" w:rsidRPr="002A27B4" w:rsidRDefault="00000000">
          <w:pPr>
            <w:pStyle w:val="TOC1"/>
            <w:tabs>
              <w:tab w:val="right" w:leader="dot" w:pos="9350"/>
            </w:tabs>
            <w:rPr>
              <w:noProof/>
            </w:rPr>
          </w:pPr>
          <w:hyperlink w:anchor="_Toc162217012" w:history="1">
            <w:r w:rsidR="00860D9C" w:rsidRPr="002A27B4">
              <w:rPr>
                <w:rStyle w:val="Hyperlink"/>
                <w:noProof/>
              </w:rPr>
              <w:t>References</w:t>
            </w:r>
            <w:r w:rsidR="00860D9C" w:rsidRPr="002A27B4">
              <w:rPr>
                <w:noProof/>
                <w:webHidden/>
              </w:rPr>
              <w:tab/>
            </w:r>
            <w:r w:rsidR="00860D9C" w:rsidRPr="002A27B4">
              <w:rPr>
                <w:noProof/>
                <w:webHidden/>
              </w:rPr>
              <w:fldChar w:fldCharType="begin"/>
            </w:r>
            <w:r w:rsidR="00860D9C" w:rsidRPr="002A27B4">
              <w:rPr>
                <w:noProof/>
                <w:webHidden/>
              </w:rPr>
              <w:instrText xml:space="preserve"> PAGEREF _Toc162217012 \h </w:instrText>
            </w:r>
            <w:r w:rsidR="00860D9C" w:rsidRPr="002A27B4">
              <w:rPr>
                <w:noProof/>
                <w:webHidden/>
              </w:rPr>
            </w:r>
            <w:r w:rsidR="00860D9C" w:rsidRPr="002A27B4">
              <w:rPr>
                <w:noProof/>
                <w:webHidden/>
              </w:rPr>
              <w:fldChar w:fldCharType="separate"/>
            </w:r>
            <w:r w:rsidR="00860D9C" w:rsidRPr="002A27B4">
              <w:rPr>
                <w:noProof/>
                <w:webHidden/>
              </w:rPr>
              <w:t>23</w:t>
            </w:r>
            <w:r w:rsidR="00860D9C" w:rsidRPr="002A27B4">
              <w:rPr>
                <w:noProof/>
                <w:webHidden/>
              </w:rPr>
              <w:fldChar w:fldCharType="end"/>
            </w:r>
          </w:hyperlink>
        </w:p>
        <w:p w14:paraId="32A1DC50" w14:textId="77777777" w:rsidR="00860D9C" w:rsidRDefault="00860D9C">
          <w:r w:rsidRPr="002A27B4">
            <w:rPr>
              <w:b/>
              <w:bCs/>
              <w:noProof/>
            </w:rPr>
            <w:fldChar w:fldCharType="end"/>
          </w:r>
        </w:p>
      </w:sdtContent>
    </w:sdt>
    <w:p w14:paraId="7A0E2BEF" w14:textId="77777777" w:rsidR="0018451D" w:rsidRDefault="0018451D" w:rsidP="0018451D">
      <w:pPr>
        <w:pStyle w:val="Heading1"/>
      </w:pPr>
      <w:bookmarkStart w:id="0" w:name="_Toc162216992"/>
    </w:p>
    <w:p w14:paraId="7E5A653D" w14:textId="2772CC23" w:rsidR="0018451D" w:rsidRPr="0018451D" w:rsidRDefault="00D93CD1" w:rsidP="0018451D">
      <w:pPr>
        <w:pStyle w:val="Heading1"/>
      </w:pPr>
      <w:r w:rsidRPr="00493AC6">
        <w:lastRenderedPageBreak/>
        <w:t>Introduction</w:t>
      </w:r>
      <w:bookmarkEnd w:id="0"/>
      <w:r w:rsidRPr="00CD6CC0">
        <w:t xml:space="preserve"> </w:t>
      </w:r>
    </w:p>
    <w:p w14:paraId="02EBDE1A" w14:textId="49509F89" w:rsidR="00B12020" w:rsidRPr="00CD6CC0" w:rsidRDefault="00D93CD1" w:rsidP="00493AC6">
      <w:pPr>
        <w:pStyle w:val="Heading2"/>
      </w:pPr>
      <w:bookmarkStart w:id="1" w:name="_Toc162216993"/>
      <w:r w:rsidRPr="00493AC6">
        <w:t>Overview</w:t>
      </w:r>
      <w:r w:rsidRPr="00CD6CC0">
        <w:t xml:space="preserve"> of report</w:t>
      </w:r>
      <w:bookmarkEnd w:id="1"/>
      <w:r w:rsidRPr="00CD6CC0">
        <w:t xml:space="preserve"> </w:t>
      </w:r>
    </w:p>
    <w:p w14:paraId="2DB42FA3" w14:textId="7E64A577" w:rsidR="00B12020" w:rsidRPr="00CD6CC0" w:rsidRDefault="00D93CD1">
      <w:r w:rsidRPr="00CD6CC0">
        <w:t xml:space="preserve">The general initiative of the “Financial Management” structure for every business is necessary for the evaluation and formulation purpose that has been measured for the recognition of business development and other progressive support. The application of financial management structure is also initiated for the evaluating of business position </w:t>
      </w:r>
      <w:r w:rsidR="00C52FF0" w:rsidRPr="00CD6CC0">
        <w:t>and</w:t>
      </w:r>
      <w:r w:rsidRPr="00CD6CC0">
        <w:t xml:space="preserve"> the compatibility initiative in a proper structure which implies in a business for the strategic initiative reasons</w:t>
      </w:r>
      <w:r w:rsidR="0092182B">
        <w:t xml:space="preserve"> </w:t>
      </w:r>
      <w:r w:rsidR="0092182B">
        <w:rPr>
          <w:shd w:val="clear" w:color="auto" w:fill="FFFFFF"/>
        </w:rPr>
        <w:t xml:space="preserve">(Spiteri, </w:t>
      </w:r>
      <w:r w:rsidR="0092182B" w:rsidRPr="00C013F8">
        <w:rPr>
          <w:shd w:val="clear" w:color="auto" w:fill="FFFFFF"/>
        </w:rPr>
        <w:t>2020</w:t>
      </w:r>
      <w:r w:rsidR="0092182B">
        <w:rPr>
          <w:shd w:val="clear" w:color="auto" w:fill="FFFFFF"/>
        </w:rPr>
        <w:t>)</w:t>
      </w:r>
      <w:r w:rsidRPr="00CD6CC0">
        <w:t xml:space="preserve">. A primary initiative and the maintenance of positive investment appraisal, ratio analysis including compatibility processing are initiated under this type of studies which provide an opportunity for the recognition of business value. </w:t>
      </w:r>
    </w:p>
    <w:p w14:paraId="74944FCA" w14:textId="5BBCD9F7" w:rsidR="00B12020" w:rsidRPr="00CD6CC0" w:rsidRDefault="00D93CD1" w:rsidP="00493AC6">
      <w:pPr>
        <w:pStyle w:val="Heading2"/>
      </w:pPr>
      <w:bookmarkStart w:id="2" w:name="_Toc162216994"/>
      <w:r w:rsidRPr="00CD6CC0">
        <w:t>Aim of report</w:t>
      </w:r>
      <w:bookmarkEnd w:id="2"/>
      <w:r w:rsidRPr="00CD6CC0">
        <w:t xml:space="preserve"> </w:t>
      </w:r>
    </w:p>
    <w:p w14:paraId="78C5E57A" w14:textId="77777777" w:rsidR="00B12020" w:rsidRPr="00CD6CC0" w:rsidRDefault="00D93CD1">
      <w:pPr>
        <w:numPr>
          <w:ilvl w:val="0"/>
          <w:numId w:val="3"/>
        </w:numPr>
      </w:pPr>
      <w:r w:rsidRPr="00CD6CC0">
        <w:t xml:space="preserve">In this report mainly the financial performance analysis related to Nokia Oyj has been provided </w:t>
      </w:r>
    </w:p>
    <w:p w14:paraId="5B016524" w14:textId="77777777" w:rsidR="00B12020" w:rsidRPr="00CD6CC0" w:rsidRDefault="00D93CD1">
      <w:pPr>
        <w:numPr>
          <w:ilvl w:val="0"/>
          <w:numId w:val="3"/>
        </w:numPr>
      </w:pPr>
      <w:r w:rsidRPr="00CD6CC0">
        <w:t xml:space="preserve">A general overview </w:t>
      </w:r>
      <w:r w:rsidR="00CD6CC0" w:rsidRPr="00CD6CC0">
        <w:t>of Nokia</w:t>
      </w:r>
      <w:r w:rsidRPr="00CD6CC0">
        <w:t xml:space="preserve"> Oyj with business positioning </w:t>
      </w:r>
    </w:p>
    <w:p w14:paraId="5F91FE9A" w14:textId="77777777" w:rsidR="00B12020" w:rsidRPr="00CD6CC0" w:rsidRDefault="00D93CD1">
      <w:pPr>
        <w:numPr>
          <w:ilvl w:val="0"/>
          <w:numId w:val="3"/>
        </w:numPr>
      </w:pPr>
      <w:r w:rsidRPr="00CD6CC0">
        <w:t xml:space="preserve">An evaluation of individual business projects with investment appraisal support. </w:t>
      </w:r>
    </w:p>
    <w:p w14:paraId="7EE142B1" w14:textId="3DF977AB" w:rsidR="00B12020" w:rsidRPr="00CD6CC0" w:rsidRDefault="00D93CD1" w:rsidP="00493AC6">
      <w:pPr>
        <w:pStyle w:val="Heading1"/>
      </w:pPr>
      <w:bookmarkStart w:id="3" w:name="_Toc162216995"/>
      <w:r w:rsidRPr="00CD6CC0">
        <w:t>Part 1) A brief evaluation of organisational position and performance of Nokia Oyj</w:t>
      </w:r>
      <w:bookmarkEnd w:id="3"/>
      <w:r w:rsidRPr="00CD6CC0">
        <w:t xml:space="preserve"> </w:t>
      </w:r>
    </w:p>
    <w:p w14:paraId="22C87DF5" w14:textId="4BB5E03B" w:rsidR="00B12020" w:rsidRPr="00CD6CC0" w:rsidRDefault="00D93CD1" w:rsidP="00493AC6">
      <w:pPr>
        <w:pStyle w:val="Heading2"/>
      </w:pPr>
      <w:bookmarkStart w:id="4" w:name="_Toc162216996"/>
      <w:r w:rsidRPr="00CD6CC0">
        <w:t>1.1 Overview of Business</w:t>
      </w:r>
      <w:bookmarkEnd w:id="4"/>
    </w:p>
    <w:p w14:paraId="0094EB03" w14:textId="2C80BC32" w:rsidR="00B12020" w:rsidRPr="00CD6CC0" w:rsidRDefault="00D93CD1">
      <w:r w:rsidRPr="00CD6CC0">
        <w:t xml:space="preserve">Nokia is one of the potential Multinational telecommunications, consumer electronics </w:t>
      </w:r>
      <w:r w:rsidR="00C52FF0" w:rsidRPr="00CD6CC0">
        <w:t>and</w:t>
      </w:r>
      <w:r w:rsidRPr="00CD6CC0">
        <w:t xml:space="preserve"> information technology-based Corporations that was established in 1865. With the primary intention of creating a technology-based communication networking support, the management of the business is intended to focus on ESG processing so that proper stakeholder engagement can be initiated. The present revenue position in this business was around EUR 24911 million with a net profit of EUR 4210 million support that initiated the dividend amount of EUR 0.10 per share</w:t>
      </w:r>
      <w:r w:rsidR="0092182B">
        <w:t xml:space="preserve"> (</w:t>
      </w:r>
      <w:r w:rsidR="0092182B">
        <w:rPr>
          <w:lang w:val="en-IN"/>
        </w:rPr>
        <w:t xml:space="preserve">Nokia, </w:t>
      </w:r>
      <w:r w:rsidR="0092182B" w:rsidRPr="00F5614F">
        <w:rPr>
          <w:lang w:val="en-IN"/>
        </w:rPr>
        <w:t>2022)</w:t>
      </w:r>
      <w:r w:rsidRPr="00CD6CC0">
        <w:t>.</w:t>
      </w:r>
    </w:p>
    <w:p w14:paraId="6C087EBF" w14:textId="77777777" w:rsidR="00B12020" w:rsidRPr="00CD6CC0" w:rsidRDefault="00D93CD1">
      <w:pPr>
        <w:jc w:val="center"/>
      </w:pPr>
      <w:r w:rsidRPr="00CD6CC0">
        <w:rPr>
          <w:noProof/>
        </w:rPr>
        <w:drawing>
          <wp:inline distT="114300" distB="114300" distL="114300" distR="114300" wp14:anchorId="6EFDC3AB" wp14:editId="7DFC6B47">
            <wp:extent cx="5550195" cy="1765005"/>
            <wp:effectExtent l="0" t="0" r="0" b="6985"/>
            <wp:docPr id="9" name="image7.png"/>
            <wp:cNvGraphicFramePr/>
            <a:graphic xmlns:a="http://schemas.openxmlformats.org/drawingml/2006/main">
              <a:graphicData uri="http://schemas.openxmlformats.org/drawingml/2006/picture">
                <pic:pic xmlns:pic="http://schemas.openxmlformats.org/drawingml/2006/picture">
                  <pic:nvPicPr>
                    <pic:cNvPr id="0" name="image7.png"/>
                    <pic:cNvPicPr preferRelativeResize="0"/>
                  </pic:nvPicPr>
                  <pic:blipFill>
                    <a:blip r:embed="rId10"/>
                    <a:srcRect/>
                    <a:stretch>
                      <a:fillRect/>
                    </a:stretch>
                  </pic:blipFill>
                  <pic:spPr>
                    <a:xfrm>
                      <a:off x="0" y="0"/>
                      <a:ext cx="5550195" cy="1765005"/>
                    </a:xfrm>
                    <a:prstGeom prst="rect">
                      <a:avLst/>
                    </a:prstGeom>
                    <a:ln/>
                  </pic:spPr>
                </pic:pic>
              </a:graphicData>
            </a:graphic>
          </wp:inline>
        </w:drawing>
      </w:r>
    </w:p>
    <w:p w14:paraId="1CF3491F" w14:textId="021AFFBA" w:rsidR="00B12020" w:rsidRPr="00CD6CC0" w:rsidRDefault="00D93CD1" w:rsidP="00493AC6">
      <w:pPr>
        <w:pStyle w:val="Heading2"/>
      </w:pPr>
      <w:bookmarkStart w:id="5" w:name="_Toc162216997"/>
      <w:r w:rsidRPr="00CD6CC0">
        <w:lastRenderedPageBreak/>
        <w:t>1.2 Applied business model for Nokia Oyj</w:t>
      </w:r>
      <w:bookmarkEnd w:id="5"/>
    </w:p>
    <w:p w14:paraId="3C48E049" w14:textId="73749552" w:rsidR="00B12020" w:rsidRPr="00CD6CC0" w:rsidRDefault="00D93CD1">
      <w:r w:rsidRPr="00CD6CC0">
        <w:t xml:space="preserve">The present business model of Nokia focuses on the cloud and network service engagement program with proper software as a service operation processing basis. </w:t>
      </w:r>
      <w:r w:rsidRPr="00CD6CC0">
        <w:rPr>
          <w:color w:val="FFFFFF"/>
        </w:rPr>
        <w:t>“</w:t>
      </w:r>
      <w:r w:rsidRPr="00CD6CC0">
        <w:t xml:space="preserve">The new business model of this business focuses on investing in a technology leadership approach which can be optimised for Cloud-based operation support. Even the business also focuses on the ecosystem processing by engaging and establishing support of relations with the service providers, </w:t>
      </w:r>
      <w:r w:rsidR="00254DDD" w:rsidRPr="00CD6CC0">
        <w:t>web scale</w:t>
      </w:r>
      <w:r w:rsidRPr="00CD6CC0">
        <w:t>, industrial giants and emerging players so that cloud RAN networking can be managed</w:t>
      </w:r>
      <w:r w:rsidR="0092182B">
        <w:t xml:space="preserve"> (</w:t>
      </w:r>
      <w:r w:rsidR="0092182B">
        <w:rPr>
          <w:lang w:val="en-IN"/>
        </w:rPr>
        <w:t xml:space="preserve">Nokia, </w:t>
      </w:r>
      <w:r w:rsidR="0092182B" w:rsidRPr="00F5614F">
        <w:rPr>
          <w:lang w:val="en-IN"/>
        </w:rPr>
        <w:t>2022)</w:t>
      </w:r>
      <w:r w:rsidRPr="00CD6CC0">
        <w:t>. Even the present business model also provides a primary focus on the cost efficiency approach with managing the inflationary pressure by processing a proper volume of development on the 5G-Advanced and 6G, enterprise, cloud, security, automation or digitalization, development of standard essential patents, and the degree of efforts.</w:t>
      </w:r>
      <w:r w:rsidRPr="00CD6CC0">
        <w:rPr>
          <w:color w:val="FFFFFF"/>
        </w:rPr>
        <w:t>”</w:t>
      </w:r>
      <w:r w:rsidRPr="00CD6CC0">
        <w:t xml:space="preserve"> </w:t>
      </w:r>
    </w:p>
    <w:p w14:paraId="52D128EF" w14:textId="77777777" w:rsidR="00B12020" w:rsidRPr="00CD6CC0" w:rsidRDefault="00D93CD1">
      <w:pPr>
        <w:jc w:val="center"/>
        <w:rPr>
          <w:b/>
        </w:rPr>
      </w:pPr>
      <w:r w:rsidRPr="00CD6CC0">
        <w:rPr>
          <w:b/>
          <w:noProof/>
        </w:rPr>
        <w:drawing>
          <wp:inline distT="114300" distB="114300" distL="114300" distR="114300" wp14:anchorId="2FB775A8" wp14:editId="2C298DCB">
            <wp:extent cx="4657725" cy="4143375"/>
            <wp:effectExtent l="0" t="0" r="0" b="0"/>
            <wp:docPr id="11"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11"/>
                    <a:srcRect/>
                    <a:stretch>
                      <a:fillRect/>
                    </a:stretch>
                  </pic:blipFill>
                  <pic:spPr>
                    <a:xfrm>
                      <a:off x="0" y="0"/>
                      <a:ext cx="4657725" cy="4143375"/>
                    </a:xfrm>
                    <a:prstGeom prst="rect">
                      <a:avLst/>
                    </a:prstGeom>
                    <a:ln/>
                  </pic:spPr>
                </pic:pic>
              </a:graphicData>
            </a:graphic>
          </wp:inline>
        </w:drawing>
      </w:r>
      <w:r w:rsidRPr="00CD6CC0">
        <w:rPr>
          <w:b/>
        </w:rPr>
        <w:t xml:space="preserve"> </w:t>
      </w:r>
    </w:p>
    <w:p w14:paraId="3D1C3F8D" w14:textId="77777777" w:rsidR="00B12020" w:rsidRPr="00CD6CC0" w:rsidRDefault="00B12020">
      <w:pPr>
        <w:rPr>
          <w:b/>
        </w:rPr>
      </w:pPr>
    </w:p>
    <w:p w14:paraId="7FBEDF2F" w14:textId="453A81BA" w:rsidR="00B12020" w:rsidRPr="00CD6CC0" w:rsidRDefault="00D93CD1" w:rsidP="00493AC6">
      <w:pPr>
        <w:pStyle w:val="Heading2"/>
      </w:pPr>
      <w:bookmarkStart w:id="6" w:name="_Toc162216998"/>
      <w:r w:rsidRPr="00CD6CC0">
        <w:t xml:space="preserve">1.3 </w:t>
      </w:r>
      <w:r w:rsidR="00CD6CC0" w:rsidRPr="00CD6CC0">
        <w:t>Identified</w:t>
      </w:r>
      <w:r w:rsidRPr="00CD6CC0">
        <w:t xml:space="preserve"> </w:t>
      </w:r>
      <w:r w:rsidR="0076678B" w:rsidRPr="00CD6CC0">
        <w:t>Marketplace</w:t>
      </w:r>
      <w:r w:rsidRPr="00CD6CC0">
        <w:t xml:space="preserve"> and Competitors for Nokia Oyj</w:t>
      </w:r>
      <w:bookmarkEnd w:id="6"/>
      <w:r w:rsidRPr="00CD6CC0">
        <w:t xml:space="preserve"> </w:t>
      </w:r>
    </w:p>
    <w:p w14:paraId="5884FB8B" w14:textId="1715EBC8" w:rsidR="00B12020" w:rsidRPr="00CD6CC0" w:rsidRDefault="00D93CD1">
      <w:r w:rsidRPr="00CD6CC0">
        <w:t xml:space="preserve">Under the present competitive market positions, this </w:t>
      </w:r>
      <w:r w:rsidR="0076678B" w:rsidRPr="00CD6CC0">
        <w:t>business</w:t>
      </w:r>
      <w:r w:rsidRPr="00CD6CC0">
        <w:t xml:space="preserve"> provides significance to the blockchain-based monetization approach for the data which ultimately enables a proper volume of </w:t>
      </w:r>
      <w:r w:rsidRPr="00CD6CC0">
        <w:lastRenderedPageBreak/>
        <w:t xml:space="preserve">data development and digital assets like algorithms on private and secure support with the establishing approach of a vital trust between the market politician </w:t>
      </w:r>
      <w:r w:rsidR="00254DDD" w:rsidRPr="00CD6CC0">
        <w:t>and</w:t>
      </w:r>
      <w:r w:rsidRPr="00CD6CC0">
        <w:t xml:space="preserve"> ensure the compliance and some government initiated</w:t>
      </w:r>
      <w:r w:rsidR="0092182B">
        <w:t xml:space="preserve"> (</w:t>
      </w:r>
      <w:r w:rsidR="0092182B">
        <w:rPr>
          <w:lang w:val="en-IN"/>
        </w:rPr>
        <w:t xml:space="preserve">Nokia, </w:t>
      </w:r>
      <w:r w:rsidR="0092182B" w:rsidRPr="00F5614F">
        <w:rPr>
          <w:lang w:val="en-IN"/>
        </w:rPr>
        <w:t>2022)</w:t>
      </w:r>
      <w:r w:rsidRPr="00CD6CC0">
        <w:t xml:space="preserve">. The primary attributes of this type of engagement generally represent the compatibility initiative positions of the business which is optimised and formulated as a stability positioning support. </w:t>
      </w:r>
    </w:p>
    <w:p w14:paraId="00B2EBE0" w14:textId="77777777" w:rsidR="00B12020" w:rsidRPr="00CD6CC0" w:rsidRDefault="00D93CD1">
      <w:pPr>
        <w:jc w:val="center"/>
      </w:pPr>
      <w:r w:rsidRPr="00CD6CC0">
        <w:rPr>
          <w:noProof/>
        </w:rPr>
        <w:drawing>
          <wp:inline distT="114300" distB="114300" distL="114300" distR="114300" wp14:anchorId="51315D77" wp14:editId="6DDB8B53">
            <wp:extent cx="5505450" cy="3490913"/>
            <wp:effectExtent l="0" t="0" r="0" b="0"/>
            <wp:docPr id="6" name="image11.png"/>
            <wp:cNvGraphicFramePr/>
            <a:graphic xmlns:a="http://schemas.openxmlformats.org/drawingml/2006/main">
              <a:graphicData uri="http://schemas.openxmlformats.org/drawingml/2006/picture">
                <pic:pic xmlns:pic="http://schemas.openxmlformats.org/drawingml/2006/picture">
                  <pic:nvPicPr>
                    <pic:cNvPr id="0" name="image11.png"/>
                    <pic:cNvPicPr preferRelativeResize="0"/>
                  </pic:nvPicPr>
                  <pic:blipFill>
                    <a:blip r:embed="rId12"/>
                    <a:srcRect/>
                    <a:stretch>
                      <a:fillRect/>
                    </a:stretch>
                  </pic:blipFill>
                  <pic:spPr>
                    <a:xfrm>
                      <a:off x="0" y="0"/>
                      <a:ext cx="5505450" cy="3490913"/>
                    </a:xfrm>
                    <a:prstGeom prst="rect">
                      <a:avLst/>
                    </a:prstGeom>
                    <a:ln/>
                  </pic:spPr>
                </pic:pic>
              </a:graphicData>
            </a:graphic>
          </wp:inline>
        </w:drawing>
      </w:r>
    </w:p>
    <w:p w14:paraId="6B0FA4D3" w14:textId="02019851" w:rsidR="00B12020" w:rsidRPr="00CD6CC0" w:rsidRDefault="00D93CD1">
      <w:r w:rsidRPr="00CD6CC0">
        <w:t xml:space="preserve">Concerning the present market </w:t>
      </w:r>
      <w:r w:rsidR="00CD6CC0" w:rsidRPr="00CD6CC0">
        <w:t>positions,</w:t>
      </w:r>
      <w:r w:rsidRPr="00CD6CC0">
        <w:t xml:space="preserve"> the competitors of the business include Huawei, Ericsson, Oracle, Samsung, Apple, </w:t>
      </w:r>
      <w:r w:rsidR="0076678B" w:rsidRPr="00CD6CC0">
        <w:t>IBM,</w:t>
      </w:r>
      <w:r w:rsidRPr="00CD6CC0">
        <w:t xml:space="preserve"> and others. </w:t>
      </w:r>
    </w:p>
    <w:p w14:paraId="52331230" w14:textId="715F7C17" w:rsidR="00B12020" w:rsidRPr="00CD6CC0" w:rsidRDefault="00D93CD1" w:rsidP="00493AC6">
      <w:pPr>
        <w:pStyle w:val="Heading2"/>
      </w:pPr>
      <w:bookmarkStart w:id="7" w:name="_Toc162216999"/>
      <w:r w:rsidRPr="00CD6CC0">
        <w:t>1.4 Historical Event Analysis in Nokia Oyj</w:t>
      </w:r>
      <w:bookmarkEnd w:id="7"/>
      <w:r w:rsidRPr="00CD6CC0">
        <w:t xml:space="preserve"> </w:t>
      </w:r>
    </w:p>
    <w:p w14:paraId="0C4D913C" w14:textId="77777777" w:rsidR="00B12020" w:rsidRPr="00CD6CC0" w:rsidRDefault="00D93CD1">
      <w:pPr>
        <w:numPr>
          <w:ilvl w:val="0"/>
          <w:numId w:val="2"/>
        </w:numPr>
      </w:pPr>
      <w:r w:rsidRPr="00CD6CC0">
        <w:rPr>
          <w:b/>
        </w:rPr>
        <w:t>2018</w:t>
      </w:r>
      <w:r w:rsidRPr="00CD6CC0">
        <w:t xml:space="preserve">: With the intention of expanding the networking process this year the management of Nokia initiated a deal with NTT Docomo, </w:t>
      </w:r>
      <w:r w:rsidR="00CD6CC0" w:rsidRPr="00CD6CC0">
        <w:t>the</w:t>
      </w:r>
      <w:r w:rsidRPr="00CD6CC0">
        <w:t xml:space="preserve"> largest mobile operator in Japan to provide the 5G wireless radio-based station service within 2020. </w:t>
      </w:r>
    </w:p>
    <w:p w14:paraId="16C95D74" w14:textId="77777777" w:rsidR="00B12020" w:rsidRPr="00CD6CC0" w:rsidRDefault="00D93CD1">
      <w:pPr>
        <w:numPr>
          <w:ilvl w:val="0"/>
          <w:numId w:val="2"/>
        </w:numPr>
      </w:pPr>
      <w:r w:rsidRPr="00CD6CC0">
        <w:rPr>
          <w:b/>
        </w:rPr>
        <w:t>2019</w:t>
      </w:r>
      <w:r w:rsidRPr="00CD6CC0">
        <w:t>: The Canadian government announced to provide around $40 million to the research and development department of Nokia with the intention of 5G technology development and competitive advantages purpose</w:t>
      </w:r>
      <w:r w:rsidR="0092182B">
        <w:t xml:space="preserve"> (</w:t>
      </w:r>
      <w:r w:rsidR="0092182B">
        <w:rPr>
          <w:lang w:val="en-IN"/>
        </w:rPr>
        <w:t>Nokia, 2023</w:t>
      </w:r>
      <w:r w:rsidR="0092182B" w:rsidRPr="00F5614F">
        <w:rPr>
          <w:lang w:val="en-IN"/>
        </w:rPr>
        <w:t>)</w:t>
      </w:r>
      <w:r w:rsidRPr="00CD6CC0">
        <w:t>.</w:t>
      </w:r>
      <w:r w:rsidR="0092182B">
        <w:t xml:space="preserve"> </w:t>
      </w:r>
      <w:r w:rsidRPr="00CD6CC0">
        <w:t xml:space="preserve"> </w:t>
      </w:r>
    </w:p>
    <w:p w14:paraId="4612D686" w14:textId="76586048" w:rsidR="00B12020" w:rsidRPr="00CD6CC0" w:rsidRDefault="00D93CD1">
      <w:pPr>
        <w:numPr>
          <w:ilvl w:val="0"/>
          <w:numId w:val="2"/>
        </w:numPr>
      </w:pPr>
      <w:r w:rsidRPr="00CD6CC0">
        <w:rPr>
          <w:b/>
        </w:rPr>
        <w:t>2020</w:t>
      </w:r>
      <w:r w:rsidRPr="00CD6CC0">
        <w:t xml:space="preserve">: In this year Nokia mainly announced Pekka Lundmark as the new </w:t>
      </w:r>
      <w:r w:rsidR="00CD6CC0" w:rsidRPr="00CD6CC0">
        <w:t xml:space="preserve">CEO </w:t>
      </w:r>
      <w:r w:rsidR="00254DDD" w:rsidRPr="00CD6CC0">
        <w:t>and</w:t>
      </w:r>
      <w:r w:rsidRPr="00CD6CC0">
        <w:t xml:space="preserve"> initiated the acquisition of Elenion Technologies to expand the silicon photonics technology. In this October the company also announced a contract with NASA to build a 4G mobile network for the astronaut usage on the moon as well. </w:t>
      </w:r>
    </w:p>
    <w:p w14:paraId="5BBCB309" w14:textId="77777777" w:rsidR="00B12020" w:rsidRPr="00CD6CC0" w:rsidRDefault="00D93CD1">
      <w:pPr>
        <w:numPr>
          <w:ilvl w:val="0"/>
          <w:numId w:val="2"/>
        </w:numPr>
      </w:pPr>
      <w:r w:rsidRPr="00CD6CC0">
        <w:rPr>
          <w:b/>
        </w:rPr>
        <w:lastRenderedPageBreak/>
        <w:t>2022</w:t>
      </w:r>
      <w:r w:rsidRPr="00CD6CC0">
        <w:t>: In this year Nokia mainly announced to exit the Russian market due to the reason of invasion of Ukraine</w:t>
      </w:r>
      <w:r w:rsidR="0092182B">
        <w:t xml:space="preserve"> (</w:t>
      </w:r>
      <w:r w:rsidR="0092182B">
        <w:rPr>
          <w:lang w:val="en-IN"/>
        </w:rPr>
        <w:t>Nokia, 2023</w:t>
      </w:r>
      <w:r w:rsidR="0092182B" w:rsidRPr="00F5614F">
        <w:rPr>
          <w:lang w:val="en-IN"/>
        </w:rPr>
        <w:t>)</w:t>
      </w:r>
      <w:r w:rsidRPr="00CD6CC0">
        <w:t xml:space="preserve">. </w:t>
      </w:r>
    </w:p>
    <w:p w14:paraId="712D50BC" w14:textId="77777777" w:rsidR="00B12020" w:rsidRPr="00CD6CC0" w:rsidRDefault="00D93CD1">
      <w:pPr>
        <w:numPr>
          <w:ilvl w:val="0"/>
          <w:numId w:val="2"/>
        </w:numPr>
      </w:pPr>
      <w:r w:rsidRPr="00CD6CC0">
        <w:rPr>
          <w:b/>
        </w:rPr>
        <w:t>2023</w:t>
      </w:r>
      <w:r w:rsidRPr="00CD6CC0">
        <w:t>: The management of this company acquired Fenix Group with the intention of a proper Wireless networking development for the defence support</w:t>
      </w:r>
    </w:p>
    <w:p w14:paraId="727F2EC9" w14:textId="77777777" w:rsidR="00B12020" w:rsidRPr="00CD6CC0" w:rsidRDefault="00D93CD1">
      <w:pPr>
        <w:numPr>
          <w:ilvl w:val="0"/>
          <w:numId w:val="2"/>
        </w:numPr>
      </w:pPr>
      <w:r w:rsidRPr="00CD6CC0">
        <w:rPr>
          <w:b/>
        </w:rPr>
        <w:t>2024</w:t>
      </w:r>
      <w:r w:rsidRPr="00CD6CC0">
        <w:t xml:space="preserve">: Currently the company has announced to accelerate the initiative of the carbon neutrality approach within 2040 along with focusing on declining the carbon footprint within 2030. </w:t>
      </w:r>
    </w:p>
    <w:p w14:paraId="1432C3D7" w14:textId="04FB6822" w:rsidR="00B12020" w:rsidRPr="00CD6CC0" w:rsidRDefault="00D93CD1" w:rsidP="00493AC6">
      <w:pPr>
        <w:pStyle w:val="Heading1"/>
      </w:pPr>
      <w:bookmarkStart w:id="8" w:name="_Toc162217000"/>
      <w:r w:rsidRPr="00CD6CC0">
        <w:t>Part 2) Applied financial performance analysis for Nokia Oyj with competitor position</w:t>
      </w:r>
      <w:bookmarkEnd w:id="8"/>
    </w:p>
    <w:p w14:paraId="7A8FDB74" w14:textId="3BD692B4" w:rsidR="00B12020" w:rsidRPr="00CD6CC0" w:rsidRDefault="00D93CD1" w:rsidP="00493AC6">
      <w:pPr>
        <w:pStyle w:val="Heading2"/>
      </w:pPr>
      <w:bookmarkStart w:id="9" w:name="_Toc162217001"/>
      <w:r w:rsidRPr="00CD6CC0">
        <w:t>2.1 Computation of profitability, liquidity, gearing and efficiency ratios of Nokia Oyj</w:t>
      </w:r>
      <w:bookmarkEnd w:id="9"/>
    </w:p>
    <w:p w14:paraId="7BE2F4DC" w14:textId="77777777" w:rsidR="00B12020" w:rsidRPr="00CD6CC0" w:rsidRDefault="00D93CD1">
      <w:r w:rsidRPr="00CD6CC0">
        <w:t>Basic concept of Financial Management represents the appearance of financial position analysis support for every business with the applicability of proper evaluating to support. The involvement of accounting ratios is defined as one type of strategic metric that is initiated for the positioning and accounting competencies determination purpose for individual business</w:t>
      </w:r>
      <w:r w:rsidR="00493AC6">
        <w:t xml:space="preserve"> </w:t>
      </w:r>
      <w:r w:rsidR="00493AC6">
        <w:rPr>
          <w:color w:val="000000" w:themeColor="text1"/>
        </w:rPr>
        <w:t xml:space="preserve">(Atrill and McLaney, </w:t>
      </w:r>
      <w:r w:rsidR="00493AC6" w:rsidRPr="005B39AD">
        <w:rPr>
          <w:color w:val="000000" w:themeColor="text1"/>
        </w:rPr>
        <w:t>2018</w:t>
      </w:r>
      <w:r w:rsidR="00493AC6">
        <w:rPr>
          <w:color w:val="000000" w:themeColor="text1"/>
        </w:rPr>
        <w:t>)</w:t>
      </w:r>
      <w:r w:rsidRPr="00CD6CC0">
        <w:t>.</w:t>
      </w:r>
    </w:p>
    <w:p w14:paraId="4CD8A8B6" w14:textId="77777777" w:rsidR="00B12020" w:rsidRPr="00CD6CC0" w:rsidRDefault="00D93CD1">
      <w:r w:rsidRPr="00CD6CC0">
        <w:t>The application of this type of analysis is also relevant for the planning determinations and some of the accountability formulation purposes of business that ultimately initiate the standardized positioning benefit in specific bases. For every individual business, a primary significance to the accounting analysis with different time prospects is necessary which ultimately provides the trending evaluation support for the business positioning</w:t>
      </w:r>
      <w:r w:rsidR="00493AC6">
        <w:t xml:space="preserve"> </w:t>
      </w:r>
      <w:r w:rsidR="00493AC6">
        <w:rPr>
          <w:color w:val="000000" w:themeColor="text1"/>
        </w:rPr>
        <w:t xml:space="preserve">(Weetman, </w:t>
      </w:r>
      <w:r w:rsidR="00493AC6" w:rsidRPr="005B39AD">
        <w:rPr>
          <w:color w:val="000000" w:themeColor="text1"/>
        </w:rPr>
        <w:t>2019</w:t>
      </w:r>
      <w:r w:rsidR="00493AC6">
        <w:rPr>
          <w:color w:val="000000" w:themeColor="text1"/>
        </w:rPr>
        <w:t>)</w:t>
      </w:r>
      <w:r w:rsidRPr="00CD6CC0">
        <w:t xml:space="preserve">. The application of this type of trending analysis also recognizes the growth positions of the business and some of the feasibility values associated with the competitive positioning support that ultimately provides an opportunity for the strategic initiative. </w:t>
      </w:r>
    </w:p>
    <w:p w14:paraId="2ECD33A5" w14:textId="77777777" w:rsidR="00B12020" w:rsidRPr="00CD6CC0" w:rsidRDefault="00D93CD1">
      <w:r w:rsidRPr="00CD6CC0">
        <w:t xml:space="preserve">In the present situation concerning the present accounting financial details related to the business of Nokia Oyj, the following ratios have been provided with two different period aspects which are accountable for the determination and accountability support of the business on a more compatible basis. The applied positioning and formulation of this analysis also brings the optimised performance efficiency values which is sustainable for the business competitive advantage and other progress measuring purposes. Such analysis for two-period aspects is provided. </w:t>
      </w:r>
    </w:p>
    <w:p w14:paraId="0AA15ECA" w14:textId="77777777" w:rsidR="00E46797" w:rsidRDefault="00E46797">
      <w:pPr>
        <w:rPr>
          <w:b/>
        </w:rPr>
      </w:pPr>
    </w:p>
    <w:p w14:paraId="75BE8618" w14:textId="77777777" w:rsidR="00E46797" w:rsidRDefault="00E46797">
      <w:pPr>
        <w:rPr>
          <w:b/>
        </w:rPr>
      </w:pPr>
    </w:p>
    <w:p w14:paraId="7A7532B0" w14:textId="77777777" w:rsidR="00E46797" w:rsidRDefault="00E46797">
      <w:pPr>
        <w:rPr>
          <w:b/>
        </w:rPr>
      </w:pPr>
    </w:p>
    <w:p w14:paraId="11431F81" w14:textId="292B3AA2" w:rsidR="00B12020" w:rsidRPr="00CD6CC0" w:rsidRDefault="00D93CD1">
      <w:pPr>
        <w:rPr>
          <w:b/>
        </w:rPr>
      </w:pPr>
      <w:r w:rsidRPr="00CD6CC0">
        <w:rPr>
          <w:b/>
        </w:rPr>
        <w:lastRenderedPageBreak/>
        <w:t xml:space="preserve">Profitability ratios of business  </w:t>
      </w:r>
    </w:p>
    <w:p w14:paraId="29E68E08" w14:textId="4D463D74" w:rsidR="00E926DE" w:rsidRDefault="00D93CD1" w:rsidP="00DF6B19">
      <w:pPr>
        <w:rPr>
          <w:lang w:val="en-IN"/>
        </w:rPr>
      </w:pPr>
      <w:r w:rsidRPr="00CD6CC0">
        <w:t xml:space="preserve">An applied concept of this </w:t>
      </w:r>
      <w:r w:rsidR="0076678B" w:rsidRPr="00CD6CC0">
        <w:t>analysis</w:t>
      </w:r>
      <w:r w:rsidRPr="00CD6CC0">
        <w:t xml:space="preserve"> generally provides significance to the accounting earning element through establishing a basic relation with the revenue and other financial source support</w:t>
      </w:r>
      <w:r w:rsidR="00DF6B19">
        <w:t xml:space="preserve"> </w:t>
      </w:r>
      <w:r w:rsidRPr="00CD6CC0">
        <w:t>that ultimately measures the value and accounting development initiative capability of the business in a specific manner</w:t>
      </w:r>
      <w:r w:rsidR="00493AC6">
        <w:t xml:space="preserve"> </w:t>
      </w:r>
      <w:r w:rsidR="00493AC6">
        <w:rPr>
          <w:color w:val="000000" w:themeColor="text1"/>
        </w:rPr>
        <w:t xml:space="preserve">(Drury, </w:t>
      </w:r>
      <w:r w:rsidR="00493AC6" w:rsidRPr="005129C3">
        <w:rPr>
          <w:color w:val="000000" w:themeColor="text1"/>
        </w:rPr>
        <w:t>2022</w:t>
      </w:r>
      <w:r w:rsidR="00493AC6">
        <w:rPr>
          <w:color w:val="000000" w:themeColor="text1"/>
        </w:rPr>
        <w:t>)</w:t>
      </w:r>
      <w:r w:rsidRPr="00CD6CC0">
        <w:t xml:space="preserve">. Such analysis of the business of Nokia Oyj has been provided. </w:t>
      </w:r>
      <w:r w:rsidR="00747CAF">
        <w:fldChar w:fldCharType="begin"/>
      </w:r>
      <w:r w:rsidR="00747CAF">
        <w:instrText xml:space="preserve"> LINK </w:instrText>
      </w:r>
      <w:r w:rsidR="00E926DE">
        <w:instrText xml:space="preserve">Excel.Sheet.12 "C:\\Users\\anto-\\Desktop\\MBA International Business\\TERM 1\\LCMB7002 - Financial Management\\ASSESSMENT\\READY TO SUBMIT IT\\Financial Management_TASK 1.xlsx" "Nokia Oyj!R18C2:R37C5" </w:instrText>
      </w:r>
      <w:r w:rsidR="00747CAF">
        <w:instrText xml:space="preserve">\a \f 4 \h </w:instrText>
      </w:r>
      <w:r w:rsidR="00747CAF">
        <w:fldChar w:fldCharType="separate"/>
      </w:r>
    </w:p>
    <w:tbl>
      <w:tblPr>
        <w:tblW w:w="10100" w:type="dxa"/>
        <w:tblLook w:val="04A0" w:firstRow="1" w:lastRow="0" w:firstColumn="1" w:lastColumn="0" w:noHBand="0" w:noVBand="1"/>
      </w:tblPr>
      <w:tblGrid>
        <w:gridCol w:w="5900"/>
        <w:gridCol w:w="1610"/>
        <w:gridCol w:w="1610"/>
        <w:gridCol w:w="980"/>
      </w:tblGrid>
      <w:tr w:rsidR="00E926DE" w:rsidRPr="00E926DE" w14:paraId="2409FA1C" w14:textId="77777777" w:rsidTr="00E926DE">
        <w:trPr>
          <w:trHeight w:val="312"/>
        </w:trPr>
        <w:tc>
          <w:tcPr>
            <w:tcW w:w="5900"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14:paraId="5F938CC9" w14:textId="2F4CA1C3" w:rsidR="00E926DE" w:rsidRPr="00E926DE" w:rsidRDefault="00E926DE">
            <w:pPr>
              <w:rPr>
                <w:color w:val="000000"/>
                <w:lang w:eastAsia="en-GB"/>
              </w:rPr>
            </w:pPr>
            <w:r w:rsidRPr="00E926DE">
              <w:rPr>
                <w:color w:val="000000"/>
                <w:lang w:eastAsia="en-GB"/>
              </w:rPr>
              <w:t> </w:t>
            </w:r>
          </w:p>
        </w:tc>
        <w:tc>
          <w:tcPr>
            <w:tcW w:w="3220" w:type="dxa"/>
            <w:gridSpan w:val="2"/>
            <w:tcBorders>
              <w:top w:val="single" w:sz="4" w:space="0" w:color="auto"/>
              <w:left w:val="nil"/>
              <w:bottom w:val="single" w:sz="4" w:space="0" w:color="auto"/>
              <w:right w:val="single" w:sz="4" w:space="0" w:color="auto"/>
            </w:tcBorders>
            <w:shd w:val="clear" w:color="000000" w:fill="FFFFFF"/>
            <w:noWrap/>
            <w:vAlign w:val="bottom"/>
            <w:hideMark/>
          </w:tcPr>
          <w:p w14:paraId="3A8CEE8F" w14:textId="77777777" w:rsidR="00E926DE" w:rsidRPr="00E926DE" w:rsidRDefault="00E926DE" w:rsidP="00E926DE">
            <w:pPr>
              <w:spacing w:line="240" w:lineRule="auto"/>
              <w:jc w:val="center"/>
              <w:rPr>
                <w:b/>
                <w:bCs/>
                <w:color w:val="000000"/>
                <w:lang w:eastAsia="en-GB"/>
              </w:rPr>
            </w:pPr>
            <w:r w:rsidRPr="00E926DE">
              <w:rPr>
                <w:b/>
                <w:bCs/>
                <w:color w:val="000000"/>
                <w:lang w:eastAsia="en-GB"/>
              </w:rPr>
              <w:t>Nokia Oyj</w:t>
            </w:r>
          </w:p>
        </w:tc>
        <w:tc>
          <w:tcPr>
            <w:tcW w:w="980" w:type="dxa"/>
            <w:tcBorders>
              <w:top w:val="nil"/>
              <w:left w:val="nil"/>
              <w:bottom w:val="nil"/>
              <w:right w:val="nil"/>
            </w:tcBorders>
            <w:shd w:val="clear" w:color="000000" w:fill="FFFFFF"/>
            <w:noWrap/>
            <w:vAlign w:val="bottom"/>
            <w:hideMark/>
          </w:tcPr>
          <w:p w14:paraId="4BA8C13C" w14:textId="77777777" w:rsidR="00E926DE" w:rsidRPr="00E926DE" w:rsidRDefault="00E926DE" w:rsidP="00E926DE">
            <w:pPr>
              <w:spacing w:line="240" w:lineRule="auto"/>
              <w:jc w:val="left"/>
              <w:rPr>
                <w:color w:val="000000"/>
                <w:lang w:eastAsia="en-GB"/>
              </w:rPr>
            </w:pPr>
            <w:r w:rsidRPr="00E926DE">
              <w:rPr>
                <w:color w:val="000000"/>
                <w:lang w:eastAsia="en-GB"/>
              </w:rPr>
              <w:t> </w:t>
            </w:r>
          </w:p>
        </w:tc>
      </w:tr>
      <w:tr w:rsidR="00E926DE" w:rsidRPr="00E926DE" w14:paraId="592E3813" w14:textId="77777777" w:rsidTr="00E926DE">
        <w:trPr>
          <w:trHeight w:val="312"/>
        </w:trPr>
        <w:tc>
          <w:tcPr>
            <w:tcW w:w="5900" w:type="dxa"/>
            <w:tcBorders>
              <w:top w:val="nil"/>
              <w:left w:val="single" w:sz="4" w:space="0" w:color="auto"/>
              <w:bottom w:val="single" w:sz="4" w:space="0" w:color="auto"/>
              <w:right w:val="single" w:sz="4" w:space="0" w:color="auto"/>
            </w:tcBorders>
            <w:shd w:val="clear" w:color="000000" w:fill="C4BD97"/>
            <w:noWrap/>
            <w:vAlign w:val="bottom"/>
            <w:hideMark/>
          </w:tcPr>
          <w:p w14:paraId="2DCCB973" w14:textId="77777777" w:rsidR="00E926DE" w:rsidRPr="00E926DE" w:rsidRDefault="00E926DE" w:rsidP="00E926DE">
            <w:pPr>
              <w:spacing w:line="240" w:lineRule="auto"/>
              <w:jc w:val="left"/>
              <w:rPr>
                <w:b/>
                <w:bCs/>
                <w:color w:val="000000"/>
                <w:lang w:eastAsia="en-GB"/>
              </w:rPr>
            </w:pPr>
            <w:r w:rsidRPr="00E926DE">
              <w:rPr>
                <w:b/>
                <w:bCs/>
                <w:color w:val="000000"/>
                <w:lang w:eastAsia="en-GB"/>
              </w:rPr>
              <w:t>Input data for Profitability Ratios:</w:t>
            </w:r>
          </w:p>
        </w:tc>
        <w:tc>
          <w:tcPr>
            <w:tcW w:w="1610" w:type="dxa"/>
            <w:tcBorders>
              <w:top w:val="nil"/>
              <w:left w:val="nil"/>
              <w:bottom w:val="single" w:sz="4" w:space="0" w:color="auto"/>
              <w:right w:val="single" w:sz="4" w:space="0" w:color="auto"/>
            </w:tcBorders>
            <w:shd w:val="clear" w:color="000000" w:fill="C4BD97"/>
            <w:noWrap/>
            <w:vAlign w:val="bottom"/>
            <w:hideMark/>
          </w:tcPr>
          <w:p w14:paraId="21F329E0" w14:textId="77777777" w:rsidR="00E926DE" w:rsidRPr="00E926DE" w:rsidRDefault="00E926DE" w:rsidP="00E926DE">
            <w:pPr>
              <w:spacing w:line="240" w:lineRule="auto"/>
              <w:jc w:val="right"/>
              <w:rPr>
                <w:b/>
                <w:bCs/>
                <w:color w:val="000000"/>
                <w:lang w:eastAsia="en-GB"/>
              </w:rPr>
            </w:pPr>
            <w:r w:rsidRPr="00E926DE">
              <w:rPr>
                <w:b/>
                <w:bCs/>
                <w:color w:val="000000"/>
                <w:lang w:eastAsia="en-GB"/>
              </w:rPr>
              <w:t>2022</w:t>
            </w:r>
          </w:p>
        </w:tc>
        <w:tc>
          <w:tcPr>
            <w:tcW w:w="1610" w:type="dxa"/>
            <w:tcBorders>
              <w:top w:val="nil"/>
              <w:left w:val="nil"/>
              <w:bottom w:val="single" w:sz="4" w:space="0" w:color="auto"/>
              <w:right w:val="single" w:sz="4" w:space="0" w:color="auto"/>
            </w:tcBorders>
            <w:shd w:val="clear" w:color="000000" w:fill="C4BD97"/>
            <w:noWrap/>
            <w:vAlign w:val="bottom"/>
            <w:hideMark/>
          </w:tcPr>
          <w:p w14:paraId="089A3997" w14:textId="77777777" w:rsidR="00E926DE" w:rsidRPr="00E926DE" w:rsidRDefault="00E926DE" w:rsidP="00E926DE">
            <w:pPr>
              <w:spacing w:line="240" w:lineRule="auto"/>
              <w:jc w:val="right"/>
              <w:rPr>
                <w:b/>
                <w:bCs/>
                <w:color w:val="000000"/>
                <w:lang w:eastAsia="en-GB"/>
              </w:rPr>
            </w:pPr>
            <w:r w:rsidRPr="00E926DE">
              <w:rPr>
                <w:b/>
                <w:bCs/>
                <w:color w:val="000000"/>
                <w:lang w:eastAsia="en-GB"/>
              </w:rPr>
              <w:t>2021</w:t>
            </w:r>
          </w:p>
        </w:tc>
        <w:tc>
          <w:tcPr>
            <w:tcW w:w="980" w:type="dxa"/>
            <w:tcBorders>
              <w:top w:val="nil"/>
              <w:left w:val="nil"/>
              <w:bottom w:val="nil"/>
              <w:right w:val="nil"/>
            </w:tcBorders>
            <w:shd w:val="clear" w:color="000000" w:fill="FFFFFF"/>
            <w:noWrap/>
            <w:vAlign w:val="bottom"/>
            <w:hideMark/>
          </w:tcPr>
          <w:p w14:paraId="1FA006B6" w14:textId="77777777" w:rsidR="00E926DE" w:rsidRPr="00E926DE" w:rsidRDefault="00E926DE" w:rsidP="00E926DE">
            <w:pPr>
              <w:spacing w:line="240" w:lineRule="auto"/>
              <w:jc w:val="left"/>
              <w:rPr>
                <w:color w:val="000000"/>
                <w:lang w:eastAsia="en-GB"/>
              </w:rPr>
            </w:pPr>
            <w:r w:rsidRPr="00E926DE">
              <w:rPr>
                <w:color w:val="000000"/>
                <w:lang w:eastAsia="en-GB"/>
              </w:rPr>
              <w:t> </w:t>
            </w:r>
          </w:p>
        </w:tc>
      </w:tr>
      <w:tr w:rsidR="00E926DE" w:rsidRPr="00E926DE" w14:paraId="0B5BBC25" w14:textId="77777777" w:rsidTr="00E926DE">
        <w:trPr>
          <w:trHeight w:val="312"/>
        </w:trPr>
        <w:tc>
          <w:tcPr>
            <w:tcW w:w="5900" w:type="dxa"/>
            <w:tcBorders>
              <w:top w:val="nil"/>
              <w:left w:val="single" w:sz="4" w:space="0" w:color="auto"/>
              <w:bottom w:val="single" w:sz="4" w:space="0" w:color="auto"/>
              <w:right w:val="single" w:sz="4" w:space="0" w:color="auto"/>
            </w:tcBorders>
            <w:shd w:val="clear" w:color="000000" w:fill="C4BD97"/>
            <w:noWrap/>
            <w:vAlign w:val="bottom"/>
            <w:hideMark/>
          </w:tcPr>
          <w:p w14:paraId="5D2A2770" w14:textId="77777777" w:rsidR="00E926DE" w:rsidRPr="00E926DE" w:rsidRDefault="00E926DE" w:rsidP="00E926DE">
            <w:pPr>
              <w:spacing w:line="240" w:lineRule="auto"/>
              <w:jc w:val="left"/>
              <w:rPr>
                <w:color w:val="000000"/>
                <w:lang w:eastAsia="en-GB"/>
              </w:rPr>
            </w:pPr>
            <w:r w:rsidRPr="00E926DE">
              <w:rPr>
                <w:color w:val="000000"/>
                <w:lang w:eastAsia="en-GB"/>
              </w:rPr>
              <w:t>Gross Profit</w:t>
            </w:r>
          </w:p>
        </w:tc>
        <w:tc>
          <w:tcPr>
            <w:tcW w:w="1610" w:type="dxa"/>
            <w:tcBorders>
              <w:top w:val="nil"/>
              <w:left w:val="nil"/>
              <w:bottom w:val="single" w:sz="4" w:space="0" w:color="auto"/>
              <w:right w:val="single" w:sz="4" w:space="0" w:color="auto"/>
            </w:tcBorders>
            <w:shd w:val="clear" w:color="000000" w:fill="C4BD97"/>
            <w:noWrap/>
            <w:vAlign w:val="bottom"/>
            <w:hideMark/>
          </w:tcPr>
          <w:p w14:paraId="3537DB2A" w14:textId="77777777" w:rsidR="00E926DE" w:rsidRPr="00E926DE" w:rsidRDefault="00E926DE" w:rsidP="00E926DE">
            <w:pPr>
              <w:spacing w:line="240" w:lineRule="auto"/>
              <w:jc w:val="right"/>
              <w:rPr>
                <w:color w:val="000000"/>
                <w:lang w:eastAsia="en-GB"/>
              </w:rPr>
            </w:pPr>
            <w:r w:rsidRPr="00E926DE">
              <w:rPr>
                <w:color w:val="000000"/>
                <w:lang w:eastAsia="en-GB"/>
              </w:rPr>
              <w:t>10,222</w:t>
            </w:r>
          </w:p>
        </w:tc>
        <w:tc>
          <w:tcPr>
            <w:tcW w:w="1610" w:type="dxa"/>
            <w:tcBorders>
              <w:top w:val="nil"/>
              <w:left w:val="nil"/>
              <w:bottom w:val="single" w:sz="4" w:space="0" w:color="auto"/>
              <w:right w:val="single" w:sz="4" w:space="0" w:color="auto"/>
            </w:tcBorders>
            <w:shd w:val="clear" w:color="000000" w:fill="C4BD97"/>
            <w:noWrap/>
            <w:vAlign w:val="bottom"/>
            <w:hideMark/>
          </w:tcPr>
          <w:p w14:paraId="3ADFAE2E" w14:textId="77777777" w:rsidR="00E926DE" w:rsidRPr="00E926DE" w:rsidRDefault="00E926DE" w:rsidP="00E926DE">
            <w:pPr>
              <w:spacing w:line="240" w:lineRule="auto"/>
              <w:jc w:val="right"/>
              <w:rPr>
                <w:color w:val="000000"/>
                <w:lang w:eastAsia="en-GB"/>
              </w:rPr>
            </w:pPr>
            <w:r w:rsidRPr="00E926DE">
              <w:rPr>
                <w:color w:val="000000"/>
                <w:lang w:eastAsia="en-GB"/>
              </w:rPr>
              <w:t>8,834</w:t>
            </w:r>
          </w:p>
        </w:tc>
        <w:tc>
          <w:tcPr>
            <w:tcW w:w="980" w:type="dxa"/>
            <w:tcBorders>
              <w:top w:val="nil"/>
              <w:left w:val="nil"/>
              <w:bottom w:val="nil"/>
              <w:right w:val="nil"/>
            </w:tcBorders>
            <w:shd w:val="clear" w:color="000000" w:fill="FFFFFF"/>
            <w:noWrap/>
            <w:vAlign w:val="bottom"/>
            <w:hideMark/>
          </w:tcPr>
          <w:p w14:paraId="3229DEF9" w14:textId="77777777" w:rsidR="00E926DE" w:rsidRPr="00E926DE" w:rsidRDefault="00E926DE" w:rsidP="00E926DE">
            <w:pPr>
              <w:spacing w:line="240" w:lineRule="auto"/>
              <w:jc w:val="left"/>
              <w:rPr>
                <w:color w:val="000000"/>
                <w:lang w:eastAsia="en-GB"/>
              </w:rPr>
            </w:pPr>
            <w:r w:rsidRPr="00E926DE">
              <w:rPr>
                <w:color w:val="000000"/>
                <w:lang w:eastAsia="en-GB"/>
              </w:rPr>
              <w:t> </w:t>
            </w:r>
          </w:p>
        </w:tc>
      </w:tr>
      <w:tr w:rsidR="00E926DE" w:rsidRPr="00E926DE" w14:paraId="1A874D89" w14:textId="77777777" w:rsidTr="00E926DE">
        <w:trPr>
          <w:trHeight w:val="312"/>
        </w:trPr>
        <w:tc>
          <w:tcPr>
            <w:tcW w:w="5900" w:type="dxa"/>
            <w:tcBorders>
              <w:top w:val="nil"/>
              <w:left w:val="single" w:sz="4" w:space="0" w:color="auto"/>
              <w:bottom w:val="single" w:sz="4" w:space="0" w:color="auto"/>
              <w:right w:val="single" w:sz="4" w:space="0" w:color="auto"/>
            </w:tcBorders>
            <w:shd w:val="clear" w:color="000000" w:fill="C4BD97"/>
            <w:noWrap/>
            <w:vAlign w:val="bottom"/>
            <w:hideMark/>
          </w:tcPr>
          <w:p w14:paraId="594D8812" w14:textId="77777777" w:rsidR="00E926DE" w:rsidRPr="00E926DE" w:rsidRDefault="00E926DE" w:rsidP="00E926DE">
            <w:pPr>
              <w:spacing w:line="240" w:lineRule="auto"/>
              <w:jc w:val="left"/>
              <w:rPr>
                <w:color w:val="000000"/>
                <w:lang w:eastAsia="en-GB"/>
              </w:rPr>
            </w:pPr>
            <w:r w:rsidRPr="00E926DE">
              <w:rPr>
                <w:color w:val="000000"/>
                <w:lang w:eastAsia="en-GB"/>
              </w:rPr>
              <w:t>Operating Income</w:t>
            </w:r>
          </w:p>
        </w:tc>
        <w:tc>
          <w:tcPr>
            <w:tcW w:w="1610" w:type="dxa"/>
            <w:tcBorders>
              <w:top w:val="nil"/>
              <w:left w:val="nil"/>
              <w:bottom w:val="single" w:sz="4" w:space="0" w:color="auto"/>
              <w:right w:val="single" w:sz="4" w:space="0" w:color="auto"/>
            </w:tcBorders>
            <w:shd w:val="clear" w:color="000000" w:fill="C4BD97"/>
            <w:noWrap/>
            <w:vAlign w:val="bottom"/>
            <w:hideMark/>
          </w:tcPr>
          <w:p w14:paraId="0E69EFF6" w14:textId="77777777" w:rsidR="00E926DE" w:rsidRPr="00E926DE" w:rsidRDefault="00E926DE" w:rsidP="00E926DE">
            <w:pPr>
              <w:spacing w:line="240" w:lineRule="auto"/>
              <w:jc w:val="right"/>
              <w:rPr>
                <w:color w:val="000000"/>
                <w:lang w:eastAsia="en-GB"/>
              </w:rPr>
            </w:pPr>
            <w:r w:rsidRPr="00E926DE">
              <w:rPr>
                <w:color w:val="000000"/>
                <w:lang w:eastAsia="en-GB"/>
              </w:rPr>
              <w:t>2,318</w:t>
            </w:r>
          </w:p>
        </w:tc>
        <w:tc>
          <w:tcPr>
            <w:tcW w:w="1610" w:type="dxa"/>
            <w:tcBorders>
              <w:top w:val="nil"/>
              <w:left w:val="nil"/>
              <w:bottom w:val="single" w:sz="4" w:space="0" w:color="auto"/>
              <w:right w:val="single" w:sz="4" w:space="0" w:color="auto"/>
            </w:tcBorders>
            <w:shd w:val="clear" w:color="000000" w:fill="C4BD97"/>
            <w:noWrap/>
            <w:vAlign w:val="bottom"/>
            <w:hideMark/>
          </w:tcPr>
          <w:p w14:paraId="1127668B" w14:textId="77777777" w:rsidR="00E926DE" w:rsidRPr="00E926DE" w:rsidRDefault="00E926DE" w:rsidP="00E926DE">
            <w:pPr>
              <w:spacing w:line="240" w:lineRule="auto"/>
              <w:jc w:val="right"/>
              <w:rPr>
                <w:color w:val="000000"/>
                <w:lang w:eastAsia="en-GB"/>
              </w:rPr>
            </w:pPr>
            <w:r w:rsidRPr="00E926DE">
              <w:rPr>
                <w:color w:val="000000"/>
                <w:lang w:eastAsia="en-GB"/>
              </w:rPr>
              <w:t>2,158</w:t>
            </w:r>
          </w:p>
        </w:tc>
        <w:tc>
          <w:tcPr>
            <w:tcW w:w="980" w:type="dxa"/>
            <w:tcBorders>
              <w:top w:val="nil"/>
              <w:left w:val="nil"/>
              <w:bottom w:val="nil"/>
              <w:right w:val="nil"/>
            </w:tcBorders>
            <w:shd w:val="clear" w:color="000000" w:fill="FFFFFF"/>
            <w:noWrap/>
            <w:vAlign w:val="bottom"/>
            <w:hideMark/>
          </w:tcPr>
          <w:p w14:paraId="2F95A27C" w14:textId="77777777" w:rsidR="00E926DE" w:rsidRPr="00E926DE" w:rsidRDefault="00E926DE" w:rsidP="00E926DE">
            <w:pPr>
              <w:spacing w:line="240" w:lineRule="auto"/>
              <w:jc w:val="left"/>
              <w:rPr>
                <w:color w:val="000000"/>
                <w:lang w:eastAsia="en-GB"/>
              </w:rPr>
            </w:pPr>
            <w:r w:rsidRPr="00E926DE">
              <w:rPr>
                <w:color w:val="000000"/>
                <w:lang w:eastAsia="en-GB"/>
              </w:rPr>
              <w:t> </w:t>
            </w:r>
          </w:p>
        </w:tc>
      </w:tr>
      <w:tr w:rsidR="00E926DE" w:rsidRPr="00E926DE" w14:paraId="7C2F575A" w14:textId="77777777" w:rsidTr="00E926DE">
        <w:trPr>
          <w:trHeight w:val="312"/>
        </w:trPr>
        <w:tc>
          <w:tcPr>
            <w:tcW w:w="5900" w:type="dxa"/>
            <w:tcBorders>
              <w:top w:val="nil"/>
              <w:left w:val="single" w:sz="4" w:space="0" w:color="auto"/>
              <w:bottom w:val="single" w:sz="4" w:space="0" w:color="auto"/>
              <w:right w:val="single" w:sz="4" w:space="0" w:color="auto"/>
            </w:tcBorders>
            <w:shd w:val="clear" w:color="000000" w:fill="C4BD97"/>
            <w:noWrap/>
            <w:vAlign w:val="bottom"/>
            <w:hideMark/>
          </w:tcPr>
          <w:p w14:paraId="53B6361E" w14:textId="77777777" w:rsidR="00E926DE" w:rsidRPr="00E926DE" w:rsidRDefault="00E926DE" w:rsidP="00E926DE">
            <w:pPr>
              <w:spacing w:line="240" w:lineRule="auto"/>
              <w:jc w:val="left"/>
              <w:rPr>
                <w:color w:val="000000"/>
                <w:lang w:eastAsia="en-GB"/>
              </w:rPr>
            </w:pPr>
            <w:r w:rsidRPr="00E926DE">
              <w:rPr>
                <w:color w:val="000000"/>
                <w:lang w:eastAsia="en-GB"/>
              </w:rPr>
              <w:t>Pre Tax Income</w:t>
            </w:r>
          </w:p>
        </w:tc>
        <w:tc>
          <w:tcPr>
            <w:tcW w:w="1610" w:type="dxa"/>
            <w:tcBorders>
              <w:top w:val="nil"/>
              <w:left w:val="nil"/>
              <w:bottom w:val="single" w:sz="4" w:space="0" w:color="auto"/>
              <w:right w:val="single" w:sz="4" w:space="0" w:color="auto"/>
            </w:tcBorders>
            <w:shd w:val="clear" w:color="000000" w:fill="C4BD97"/>
            <w:noWrap/>
            <w:vAlign w:val="bottom"/>
            <w:hideMark/>
          </w:tcPr>
          <w:p w14:paraId="10470354" w14:textId="77777777" w:rsidR="00E926DE" w:rsidRPr="00E926DE" w:rsidRDefault="00E926DE" w:rsidP="00E926DE">
            <w:pPr>
              <w:spacing w:line="240" w:lineRule="auto"/>
              <w:jc w:val="right"/>
              <w:rPr>
                <w:color w:val="000000"/>
                <w:lang w:eastAsia="en-GB"/>
              </w:rPr>
            </w:pPr>
            <w:r w:rsidRPr="00E926DE">
              <w:rPr>
                <w:color w:val="000000"/>
                <w:lang w:eastAsia="en-GB"/>
              </w:rPr>
              <w:t>2,184</w:t>
            </w:r>
          </w:p>
        </w:tc>
        <w:tc>
          <w:tcPr>
            <w:tcW w:w="1610" w:type="dxa"/>
            <w:tcBorders>
              <w:top w:val="nil"/>
              <w:left w:val="nil"/>
              <w:bottom w:val="single" w:sz="4" w:space="0" w:color="auto"/>
              <w:right w:val="single" w:sz="4" w:space="0" w:color="auto"/>
            </w:tcBorders>
            <w:shd w:val="clear" w:color="000000" w:fill="C4BD97"/>
            <w:noWrap/>
            <w:vAlign w:val="bottom"/>
            <w:hideMark/>
          </w:tcPr>
          <w:p w14:paraId="0F576C9C" w14:textId="77777777" w:rsidR="00E926DE" w:rsidRPr="00E926DE" w:rsidRDefault="00E926DE" w:rsidP="00E926DE">
            <w:pPr>
              <w:spacing w:line="240" w:lineRule="auto"/>
              <w:jc w:val="right"/>
              <w:rPr>
                <w:color w:val="000000"/>
                <w:lang w:eastAsia="en-GB"/>
              </w:rPr>
            </w:pPr>
            <w:r w:rsidRPr="00E926DE">
              <w:rPr>
                <w:color w:val="000000"/>
                <w:lang w:eastAsia="en-GB"/>
              </w:rPr>
              <w:t>1,926</w:t>
            </w:r>
          </w:p>
        </w:tc>
        <w:tc>
          <w:tcPr>
            <w:tcW w:w="980" w:type="dxa"/>
            <w:tcBorders>
              <w:top w:val="nil"/>
              <w:left w:val="nil"/>
              <w:bottom w:val="nil"/>
              <w:right w:val="nil"/>
            </w:tcBorders>
            <w:shd w:val="clear" w:color="000000" w:fill="FFFFFF"/>
            <w:noWrap/>
            <w:vAlign w:val="bottom"/>
            <w:hideMark/>
          </w:tcPr>
          <w:p w14:paraId="27EE4DE7" w14:textId="77777777" w:rsidR="00E926DE" w:rsidRPr="00E926DE" w:rsidRDefault="00E926DE" w:rsidP="00E926DE">
            <w:pPr>
              <w:spacing w:line="240" w:lineRule="auto"/>
              <w:jc w:val="left"/>
              <w:rPr>
                <w:color w:val="000000"/>
                <w:lang w:eastAsia="en-GB"/>
              </w:rPr>
            </w:pPr>
            <w:r w:rsidRPr="00E926DE">
              <w:rPr>
                <w:color w:val="000000"/>
                <w:lang w:eastAsia="en-GB"/>
              </w:rPr>
              <w:t> </w:t>
            </w:r>
          </w:p>
        </w:tc>
      </w:tr>
      <w:tr w:rsidR="00E926DE" w:rsidRPr="00E926DE" w14:paraId="35D3879A" w14:textId="77777777" w:rsidTr="00E926DE">
        <w:trPr>
          <w:trHeight w:val="312"/>
        </w:trPr>
        <w:tc>
          <w:tcPr>
            <w:tcW w:w="5900" w:type="dxa"/>
            <w:tcBorders>
              <w:top w:val="nil"/>
              <w:left w:val="single" w:sz="4" w:space="0" w:color="auto"/>
              <w:bottom w:val="single" w:sz="4" w:space="0" w:color="auto"/>
              <w:right w:val="single" w:sz="4" w:space="0" w:color="auto"/>
            </w:tcBorders>
            <w:shd w:val="clear" w:color="000000" w:fill="C4BD97"/>
            <w:noWrap/>
            <w:vAlign w:val="bottom"/>
            <w:hideMark/>
          </w:tcPr>
          <w:p w14:paraId="3F371FFE" w14:textId="77777777" w:rsidR="00E926DE" w:rsidRPr="00E926DE" w:rsidRDefault="00E926DE" w:rsidP="00E926DE">
            <w:pPr>
              <w:spacing w:line="240" w:lineRule="auto"/>
              <w:jc w:val="left"/>
              <w:rPr>
                <w:color w:val="000000"/>
                <w:lang w:eastAsia="en-GB"/>
              </w:rPr>
            </w:pPr>
            <w:r w:rsidRPr="00E926DE">
              <w:rPr>
                <w:color w:val="000000"/>
                <w:lang w:eastAsia="en-GB"/>
              </w:rPr>
              <w:t>Net Income</w:t>
            </w:r>
          </w:p>
        </w:tc>
        <w:tc>
          <w:tcPr>
            <w:tcW w:w="1610" w:type="dxa"/>
            <w:tcBorders>
              <w:top w:val="nil"/>
              <w:left w:val="nil"/>
              <w:bottom w:val="single" w:sz="4" w:space="0" w:color="auto"/>
              <w:right w:val="single" w:sz="4" w:space="0" w:color="auto"/>
            </w:tcBorders>
            <w:shd w:val="clear" w:color="000000" w:fill="C4BD97"/>
            <w:noWrap/>
            <w:vAlign w:val="bottom"/>
            <w:hideMark/>
          </w:tcPr>
          <w:p w14:paraId="40D31656" w14:textId="77777777" w:rsidR="00E926DE" w:rsidRPr="00E926DE" w:rsidRDefault="00E926DE" w:rsidP="00E926DE">
            <w:pPr>
              <w:spacing w:line="240" w:lineRule="auto"/>
              <w:jc w:val="right"/>
              <w:rPr>
                <w:color w:val="000000"/>
                <w:lang w:eastAsia="en-GB"/>
              </w:rPr>
            </w:pPr>
            <w:r w:rsidRPr="00E926DE">
              <w:rPr>
                <w:color w:val="000000"/>
                <w:lang w:eastAsia="en-GB"/>
              </w:rPr>
              <w:t>4,259</w:t>
            </w:r>
          </w:p>
        </w:tc>
        <w:tc>
          <w:tcPr>
            <w:tcW w:w="1610" w:type="dxa"/>
            <w:tcBorders>
              <w:top w:val="nil"/>
              <w:left w:val="nil"/>
              <w:bottom w:val="single" w:sz="4" w:space="0" w:color="auto"/>
              <w:right w:val="single" w:sz="4" w:space="0" w:color="auto"/>
            </w:tcBorders>
            <w:shd w:val="clear" w:color="000000" w:fill="C4BD97"/>
            <w:noWrap/>
            <w:vAlign w:val="bottom"/>
            <w:hideMark/>
          </w:tcPr>
          <w:p w14:paraId="7D0CAA85" w14:textId="77777777" w:rsidR="00E926DE" w:rsidRPr="00E926DE" w:rsidRDefault="00E926DE" w:rsidP="00E926DE">
            <w:pPr>
              <w:spacing w:line="240" w:lineRule="auto"/>
              <w:jc w:val="right"/>
              <w:rPr>
                <w:color w:val="000000"/>
                <w:lang w:eastAsia="en-GB"/>
              </w:rPr>
            </w:pPr>
            <w:r w:rsidRPr="00E926DE">
              <w:rPr>
                <w:color w:val="000000"/>
                <w:lang w:eastAsia="en-GB"/>
              </w:rPr>
              <w:t>1,645</w:t>
            </w:r>
          </w:p>
        </w:tc>
        <w:tc>
          <w:tcPr>
            <w:tcW w:w="980" w:type="dxa"/>
            <w:tcBorders>
              <w:top w:val="nil"/>
              <w:left w:val="nil"/>
              <w:bottom w:val="nil"/>
              <w:right w:val="nil"/>
            </w:tcBorders>
            <w:shd w:val="clear" w:color="000000" w:fill="FFFFFF"/>
            <w:noWrap/>
            <w:vAlign w:val="bottom"/>
            <w:hideMark/>
          </w:tcPr>
          <w:p w14:paraId="69F6A2E1" w14:textId="77777777" w:rsidR="00E926DE" w:rsidRPr="00E926DE" w:rsidRDefault="00E926DE" w:rsidP="00E926DE">
            <w:pPr>
              <w:spacing w:line="240" w:lineRule="auto"/>
              <w:jc w:val="left"/>
              <w:rPr>
                <w:color w:val="000000"/>
                <w:lang w:eastAsia="en-GB"/>
              </w:rPr>
            </w:pPr>
            <w:r w:rsidRPr="00E926DE">
              <w:rPr>
                <w:color w:val="000000"/>
                <w:lang w:eastAsia="en-GB"/>
              </w:rPr>
              <w:t> </w:t>
            </w:r>
          </w:p>
        </w:tc>
      </w:tr>
      <w:tr w:rsidR="00E926DE" w:rsidRPr="00E926DE" w14:paraId="6D1ABBD8" w14:textId="77777777" w:rsidTr="00E926DE">
        <w:trPr>
          <w:trHeight w:val="312"/>
        </w:trPr>
        <w:tc>
          <w:tcPr>
            <w:tcW w:w="5900" w:type="dxa"/>
            <w:tcBorders>
              <w:top w:val="nil"/>
              <w:left w:val="single" w:sz="4" w:space="0" w:color="auto"/>
              <w:bottom w:val="single" w:sz="4" w:space="0" w:color="auto"/>
              <w:right w:val="single" w:sz="4" w:space="0" w:color="auto"/>
            </w:tcBorders>
            <w:shd w:val="clear" w:color="000000" w:fill="C4BD97"/>
            <w:noWrap/>
            <w:vAlign w:val="bottom"/>
            <w:hideMark/>
          </w:tcPr>
          <w:p w14:paraId="0F05EE13" w14:textId="77777777" w:rsidR="00E926DE" w:rsidRPr="00E926DE" w:rsidRDefault="00E926DE" w:rsidP="00E926DE">
            <w:pPr>
              <w:spacing w:line="240" w:lineRule="auto"/>
              <w:jc w:val="left"/>
              <w:rPr>
                <w:color w:val="000000"/>
                <w:lang w:eastAsia="en-GB"/>
              </w:rPr>
            </w:pPr>
            <w:r w:rsidRPr="00E926DE">
              <w:rPr>
                <w:color w:val="000000"/>
                <w:lang w:eastAsia="en-GB"/>
              </w:rPr>
              <w:t>Sales</w:t>
            </w:r>
          </w:p>
        </w:tc>
        <w:tc>
          <w:tcPr>
            <w:tcW w:w="1610" w:type="dxa"/>
            <w:tcBorders>
              <w:top w:val="nil"/>
              <w:left w:val="nil"/>
              <w:bottom w:val="single" w:sz="4" w:space="0" w:color="auto"/>
              <w:right w:val="single" w:sz="4" w:space="0" w:color="auto"/>
            </w:tcBorders>
            <w:shd w:val="clear" w:color="000000" w:fill="C4BD97"/>
            <w:noWrap/>
            <w:vAlign w:val="bottom"/>
            <w:hideMark/>
          </w:tcPr>
          <w:p w14:paraId="718AFB2F" w14:textId="77777777" w:rsidR="00E926DE" w:rsidRPr="00E926DE" w:rsidRDefault="00E926DE" w:rsidP="00E926DE">
            <w:pPr>
              <w:spacing w:line="240" w:lineRule="auto"/>
              <w:jc w:val="right"/>
              <w:rPr>
                <w:color w:val="000000"/>
                <w:lang w:eastAsia="en-GB"/>
              </w:rPr>
            </w:pPr>
            <w:r w:rsidRPr="00E926DE">
              <w:rPr>
                <w:color w:val="000000"/>
                <w:lang w:eastAsia="en-GB"/>
              </w:rPr>
              <w:t>24,911</w:t>
            </w:r>
          </w:p>
        </w:tc>
        <w:tc>
          <w:tcPr>
            <w:tcW w:w="1610" w:type="dxa"/>
            <w:tcBorders>
              <w:top w:val="nil"/>
              <w:left w:val="nil"/>
              <w:bottom w:val="single" w:sz="4" w:space="0" w:color="auto"/>
              <w:right w:val="single" w:sz="4" w:space="0" w:color="auto"/>
            </w:tcBorders>
            <w:shd w:val="clear" w:color="000000" w:fill="C4BD97"/>
            <w:noWrap/>
            <w:vAlign w:val="bottom"/>
            <w:hideMark/>
          </w:tcPr>
          <w:p w14:paraId="7BD32152" w14:textId="77777777" w:rsidR="00E926DE" w:rsidRPr="00E926DE" w:rsidRDefault="00E926DE" w:rsidP="00E926DE">
            <w:pPr>
              <w:spacing w:line="240" w:lineRule="auto"/>
              <w:jc w:val="right"/>
              <w:rPr>
                <w:color w:val="000000"/>
                <w:lang w:eastAsia="en-GB"/>
              </w:rPr>
            </w:pPr>
            <w:r w:rsidRPr="00E926DE">
              <w:rPr>
                <w:color w:val="000000"/>
                <w:lang w:eastAsia="en-GB"/>
              </w:rPr>
              <w:t>22,202</w:t>
            </w:r>
          </w:p>
        </w:tc>
        <w:tc>
          <w:tcPr>
            <w:tcW w:w="980" w:type="dxa"/>
            <w:tcBorders>
              <w:top w:val="nil"/>
              <w:left w:val="nil"/>
              <w:bottom w:val="nil"/>
              <w:right w:val="nil"/>
            </w:tcBorders>
            <w:shd w:val="clear" w:color="000000" w:fill="FFFFFF"/>
            <w:noWrap/>
            <w:vAlign w:val="bottom"/>
            <w:hideMark/>
          </w:tcPr>
          <w:p w14:paraId="6DB252AD" w14:textId="77777777" w:rsidR="00E926DE" w:rsidRPr="00E926DE" w:rsidRDefault="00E926DE" w:rsidP="00E926DE">
            <w:pPr>
              <w:spacing w:line="240" w:lineRule="auto"/>
              <w:jc w:val="left"/>
              <w:rPr>
                <w:color w:val="000000"/>
                <w:lang w:eastAsia="en-GB"/>
              </w:rPr>
            </w:pPr>
            <w:r w:rsidRPr="00E926DE">
              <w:rPr>
                <w:color w:val="000000"/>
                <w:lang w:eastAsia="en-GB"/>
              </w:rPr>
              <w:t> </w:t>
            </w:r>
          </w:p>
        </w:tc>
      </w:tr>
      <w:tr w:rsidR="00E926DE" w:rsidRPr="00E926DE" w14:paraId="58D8D99F" w14:textId="77777777" w:rsidTr="00E926DE">
        <w:trPr>
          <w:trHeight w:val="312"/>
        </w:trPr>
        <w:tc>
          <w:tcPr>
            <w:tcW w:w="5900" w:type="dxa"/>
            <w:tcBorders>
              <w:top w:val="nil"/>
              <w:left w:val="single" w:sz="4" w:space="0" w:color="auto"/>
              <w:bottom w:val="single" w:sz="4" w:space="0" w:color="auto"/>
              <w:right w:val="single" w:sz="4" w:space="0" w:color="auto"/>
            </w:tcBorders>
            <w:shd w:val="clear" w:color="000000" w:fill="C4BD97"/>
            <w:noWrap/>
            <w:vAlign w:val="bottom"/>
            <w:hideMark/>
          </w:tcPr>
          <w:p w14:paraId="35A53732" w14:textId="77777777" w:rsidR="00E926DE" w:rsidRPr="00E926DE" w:rsidRDefault="00E926DE" w:rsidP="00E926DE">
            <w:pPr>
              <w:spacing w:line="240" w:lineRule="auto"/>
              <w:jc w:val="left"/>
              <w:rPr>
                <w:color w:val="000000"/>
                <w:lang w:eastAsia="en-GB"/>
              </w:rPr>
            </w:pPr>
            <w:r w:rsidRPr="00E926DE">
              <w:rPr>
                <w:color w:val="000000"/>
                <w:lang w:eastAsia="en-GB"/>
              </w:rPr>
              <w:t>Total Equity</w:t>
            </w:r>
          </w:p>
        </w:tc>
        <w:tc>
          <w:tcPr>
            <w:tcW w:w="1610" w:type="dxa"/>
            <w:tcBorders>
              <w:top w:val="nil"/>
              <w:left w:val="nil"/>
              <w:bottom w:val="single" w:sz="4" w:space="0" w:color="auto"/>
              <w:right w:val="single" w:sz="4" w:space="0" w:color="auto"/>
            </w:tcBorders>
            <w:shd w:val="clear" w:color="000000" w:fill="C4BD97"/>
            <w:noWrap/>
            <w:vAlign w:val="bottom"/>
            <w:hideMark/>
          </w:tcPr>
          <w:p w14:paraId="1E433808" w14:textId="77777777" w:rsidR="00E926DE" w:rsidRPr="00E926DE" w:rsidRDefault="00E926DE" w:rsidP="00E926DE">
            <w:pPr>
              <w:spacing w:line="240" w:lineRule="auto"/>
              <w:jc w:val="right"/>
              <w:rPr>
                <w:color w:val="000000"/>
                <w:lang w:eastAsia="en-GB"/>
              </w:rPr>
            </w:pPr>
            <w:r w:rsidRPr="00E926DE">
              <w:rPr>
                <w:color w:val="000000"/>
                <w:lang w:eastAsia="en-GB"/>
              </w:rPr>
              <w:t>21,426</w:t>
            </w:r>
          </w:p>
        </w:tc>
        <w:tc>
          <w:tcPr>
            <w:tcW w:w="1610" w:type="dxa"/>
            <w:tcBorders>
              <w:top w:val="nil"/>
              <w:left w:val="nil"/>
              <w:bottom w:val="single" w:sz="4" w:space="0" w:color="auto"/>
              <w:right w:val="single" w:sz="4" w:space="0" w:color="auto"/>
            </w:tcBorders>
            <w:shd w:val="clear" w:color="000000" w:fill="C4BD97"/>
            <w:noWrap/>
            <w:vAlign w:val="bottom"/>
            <w:hideMark/>
          </w:tcPr>
          <w:p w14:paraId="13C94D98" w14:textId="77777777" w:rsidR="00E926DE" w:rsidRPr="00E926DE" w:rsidRDefault="00E926DE" w:rsidP="00E926DE">
            <w:pPr>
              <w:spacing w:line="240" w:lineRule="auto"/>
              <w:jc w:val="right"/>
              <w:rPr>
                <w:color w:val="000000"/>
                <w:lang w:eastAsia="en-GB"/>
              </w:rPr>
            </w:pPr>
            <w:r w:rsidRPr="00E926DE">
              <w:rPr>
                <w:color w:val="000000"/>
                <w:lang w:eastAsia="en-GB"/>
              </w:rPr>
              <w:t>17,462</w:t>
            </w:r>
          </w:p>
        </w:tc>
        <w:tc>
          <w:tcPr>
            <w:tcW w:w="980" w:type="dxa"/>
            <w:tcBorders>
              <w:top w:val="nil"/>
              <w:left w:val="nil"/>
              <w:bottom w:val="nil"/>
              <w:right w:val="nil"/>
            </w:tcBorders>
            <w:shd w:val="clear" w:color="000000" w:fill="FFFFFF"/>
            <w:noWrap/>
            <w:vAlign w:val="bottom"/>
            <w:hideMark/>
          </w:tcPr>
          <w:p w14:paraId="2CB28D06" w14:textId="77777777" w:rsidR="00E926DE" w:rsidRPr="00E926DE" w:rsidRDefault="00E926DE" w:rsidP="00E926DE">
            <w:pPr>
              <w:spacing w:line="240" w:lineRule="auto"/>
              <w:jc w:val="left"/>
              <w:rPr>
                <w:color w:val="000000"/>
                <w:lang w:eastAsia="en-GB"/>
              </w:rPr>
            </w:pPr>
            <w:r w:rsidRPr="00E926DE">
              <w:rPr>
                <w:color w:val="000000"/>
                <w:lang w:eastAsia="en-GB"/>
              </w:rPr>
              <w:t> </w:t>
            </w:r>
          </w:p>
        </w:tc>
      </w:tr>
      <w:tr w:rsidR="00E926DE" w:rsidRPr="00E926DE" w14:paraId="7C20A8D5" w14:textId="77777777" w:rsidTr="00E926DE">
        <w:trPr>
          <w:trHeight w:val="312"/>
        </w:trPr>
        <w:tc>
          <w:tcPr>
            <w:tcW w:w="5900" w:type="dxa"/>
            <w:tcBorders>
              <w:top w:val="nil"/>
              <w:left w:val="single" w:sz="4" w:space="0" w:color="auto"/>
              <w:bottom w:val="single" w:sz="4" w:space="0" w:color="auto"/>
              <w:right w:val="single" w:sz="4" w:space="0" w:color="auto"/>
            </w:tcBorders>
            <w:shd w:val="clear" w:color="000000" w:fill="C4BD97"/>
            <w:noWrap/>
            <w:vAlign w:val="bottom"/>
            <w:hideMark/>
          </w:tcPr>
          <w:p w14:paraId="12219CAE" w14:textId="77777777" w:rsidR="00E926DE" w:rsidRPr="00E926DE" w:rsidRDefault="00E926DE" w:rsidP="00E926DE">
            <w:pPr>
              <w:spacing w:line="240" w:lineRule="auto"/>
              <w:jc w:val="left"/>
              <w:rPr>
                <w:color w:val="000000"/>
                <w:lang w:eastAsia="en-GB"/>
              </w:rPr>
            </w:pPr>
            <w:r w:rsidRPr="00E926DE">
              <w:rPr>
                <w:color w:val="000000"/>
                <w:lang w:eastAsia="en-GB"/>
              </w:rPr>
              <w:t>Total Assets</w:t>
            </w:r>
          </w:p>
        </w:tc>
        <w:tc>
          <w:tcPr>
            <w:tcW w:w="1610" w:type="dxa"/>
            <w:tcBorders>
              <w:top w:val="nil"/>
              <w:left w:val="nil"/>
              <w:bottom w:val="single" w:sz="4" w:space="0" w:color="auto"/>
              <w:right w:val="single" w:sz="4" w:space="0" w:color="auto"/>
            </w:tcBorders>
            <w:shd w:val="clear" w:color="000000" w:fill="C4BD97"/>
            <w:noWrap/>
            <w:vAlign w:val="bottom"/>
            <w:hideMark/>
          </w:tcPr>
          <w:p w14:paraId="2E84729D" w14:textId="77777777" w:rsidR="00E926DE" w:rsidRPr="00E926DE" w:rsidRDefault="00E926DE" w:rsidP="00E926DE">
            <w:pPr>
              <w:spacing w:line="240" w:lineRule="auto"/>
              <w:jc w:val="right"/>
              <w:rPr>
                <w:color w:val="000000"/>
                <w:lang w:eastAsia="en-GB"/>
              </w:rPr>
            </w:pPr>
            <w:r w:rsidRPr="00E926DE">
              <w:rPr>
                <w:color w:val="000000"/>
                <w:lang w:eastAsia="en-GB"/>
              </w:rPr>
              <w:t>42,943</w:t>
            </w:r>
          </w:p>
        </w:tc>
        <w:tc>
          <w:tcPr>
            <w:tcW w:w="1610" w:type="dxa"/>
            <w:tcBorders>
              <w:top w:val="nil"/>
              <w:left w:val="nil"/>
              <w:bottom w:val="single" w:sz="4" w:space="0" w:color="auto"/>
              <w:right w:val="single" w:sz="4" w:space="0" w:color="auto"/>
            </w:tcBorders>
            <w:shd w:val="clear" w:color="000000" w:fill="C4BD97"/>
            <w:noWrap/>
            <w:vAlign w:val="bottom"/>
            <w:hideMark/>
          </w:tcPr>
          <w:p w14:paraId="2A2DBBBE" w14:textId="77777777" w:rsidR="00E926DE" w:rsidRPr="00E926DE" w:rsidRDefault="00E926DE" w:rsidP="00E926DE">
            <w:pPr>
              <w:spacing w:line="240" w:lineRule="auto"/>
              <w:jc w:val="right"/>
              <w:rPr>
                <w:color w:val="000000"/>
                <w:lang w:eastAsia="en-GB"/>
              </w:rPr>
            </w:pPr>
            <w:r w:rsidRPr="00E926DE">
              <w:rPr>
                <w:color w:val="000000"/>
                <w:lang w:eastAsia="en-GB"/>
              </w:rPr>
              <w:t>40,049</w:t>
            </w:r>
          </w:p>
        </w:tc>
        <w:tc>
          <w:tcPr>
            <w:tcW w:w="980" w:type="dxa"/>
            <w:tcBorders>
              <w:top w:val="nil"/>
              <w:left w:val="nil"/>
              <w:bottom w:val="nil"/>
              <w:right w:val="nil"/>
            </w:tcBorders>
            <w:shd w:val="clear" w:color="000000" w:fill="FFFFFF"/>
            <w:noWrap/>
            <w:vAlign w:val="bottom"/>
            <w:hideMark/>
          </w:tcPr>
          <w:p w14:paraId="37881F2C" w14:textId="77777777" w:rsidR="00E926DE" w:rsidRPr="00E926DE" w:rsidRDefault="00E926DE" w:rsidP="00E926DE">
            <w:pPr>
              <w:spacing w:line="240" w:lineRule="auto"/>
              <w:jc w:val="left"/>
              <w:rPr>
                <w:color w:val="000000"/>
                <w:lang w:eastAsia="en-GB"/>
              </w:rPr>
            </w:pPr>
            <w:r w:rsidRPr="00E926DE">
              <w:rPr>
                <w:color w:val="000000"/>
                <w:lang w:eastAsia="en-GB"/>
              </w:rPr>
              <w:t> </w:t>
            </w:r>
          </w:p>
        </w:tc>
      </w:tr>
      <w:tr w:rsidR="00E926DE" w:rsidRPr="00E926DE" w14:paraId="0D871FB9" w14:textId="77777777" w:rsidTr="00E926DE">
        <w:trPr>
          <w:trHeight w:val="312"/>
        </w:trPr>
        <w:tc>
          <w:tcPr>
            <w:tcW w:w="5900" w:type="dxa"/>
            <w:tcBorders>
              <w:top w:val="nil"/>
              <w:left w:val="single" w:sz="4" w:space="0" w:color="auto"/>
              <w:bottom w:val="single" w:sz="4" w:space="0" w:color="auto"/>
              <w:right w:val="single" w:sz="4" w:space="0" w:color="auto"/>
            </w:tcBorders>
            <w:shd w:val="clear" w:color="000000" w:fill="FFFFFF"/>
            <w:noWrap/>
            <w:vAlign w:val="bottom"/>
            <w:hideMark/>
          </w:tcPr>
          <w:p w14:paraId="0BF9E905" w14:textId="77777777" w:rsidR="00E926DE" w:rsidRPr="00E926DE" w:rsidRDefault="00E926DE" w:rsidP="00E926DE">
            <w:pPr>
              <w:spacing w:line="240" w:lineRule="auto"/>
              <w:jc w:val="left"/>
              <w:rPr>
                <w:b/>
                <w:bCs/>
                <w:color w:val="000000"/>
                <w:lang w:eastAsia="en-GB"/>
              </w:rPr>
            </w:pPr>
            <w:r w:rsidRPr="00E926DE">
              <w:rPr>
                <w:b/>
                <w:bCs/>
                <w:color w:val="000000"/>
                <w:lang w:eastAsia="en-GB"/>
              </w:rPr>
              <w:t>PROFITABILITY RATIOS:</w:t>
            </w:r>
          </w:p>
        </w:tc>
        <w:tc>
          <w:tcPr>
            <w:tcW w:w="1610" w:type="dxa"/>
            <w:tcBorders>
              <w:top w:val="nil"/>
              <w:left w:val="nil"/>
              <w:bottom w:val="single" w:sz="4" w:space="0" w:color="auto"/>
              <w:right w:val="single" w:sz="4" w:space="0" w:color="auto"/>
            </w:tcBorders>
            <w:shd w:val="clear" w:color="000000" w:fill="FFFFFF"/>
            <w:noWrap/>
            <w:vAlign w:val="bottom"/>
            <w:hideMark/>
          </w:tcPr>
          <w:p w14:paraId="0D6D1F30" w14:textId="77777777" w:rsidR="00E926DE" w:rsidRPr="00E926DE" w:rsidRDefault="00E926DE" w:rsidP="00E926DE">
            <w:pPr>
              <w:spacing w:line="240" w:lineRule="auto"/>
              <w:jc w:val="right"/>
              <w:rPr>
                <w:b/>
                <w:bCs/>
                <w:color w:val="000000"/>
                <w:lang w:eastAsia="en-GB"/>
              </w:rPr>
            </w:pPr>
            <w:r w:rsidRPr="00E926DE">
              <w:rPr>
                <w:b/>
                <w:bCs/>
                <w:color w:val="000000"/>
                <w:lang w:eastAsia="en-GB"/>
              </w:rPr>
              <w:t>2022</w:t>
            </w:r>
          </w:p>
        </w:tc>
        <w:tc>
          <w:tcPr>
            <w:tcW w:w="1610" w:type="dxa"/>
            <w:tcBorders>
              <w:top w:val="nil"/>
              <w:left w:val="nil"/>
              <w:bottom w:val="single" w:sz="4" w:space="0" w:color="auto"/>
              <w:right w:val="single" w:sz="4" w:space="0" w:color="auto"/>
            </w:tcBorders>
            <w:shd w:val="clear" w:color="000000" w:fill="FFFFFF"/>
            <w:noWrap/>
            <w:vAlign w:val="bottom"/>
            <w:hideMark/>
          </w:tcPr>
          <w:p w14:paraId="2E523B05" w14:textId="77777777" w:rsidR="00E926DE" w:rsidRPr="00E926DE" w:rsidRDefault="00E926DE" w:rsidP="00E926DE">
            <w:pPr>
              <w:spacing w:line="240" w:lineRule="auto"/>
              <w:jc w:val="right"/>
              <w:rPr>
                <w:b/>
                <w:bCs/>
                <w:color w:val="000000"/>
                <w:lang w:eastAsia="en-GB"/>
              </w:rPr>
            </w:pPr>
            <w:r w:rsidRPr="00E926DE">
              <w:rPr>
                <w:b/>
                <w:bCs/>
                <w:color w:val="000000"/>
                <w:lang w:eastAsia="en-GB"/>
              </w:rPr>
              <w:t>2021</w:t>
            </w:r>
          </w:p>
        </w:tc>
        <w:tc>
          <w:tcPr>
            <w:tcW w:w="980" w:type="dxa"/>
            <w:tcBorders>
              <w:top w:val="nil"/>
              <w:left w:val="nil"/>
              <w:bottom w:val="nil"/>
              <w:right w:val="nil"/>
            </w:tcBorders>
            <w:shd w:val="clear" w:color="000000" w:fill="FFFFFF"/>
            <w:noWrap/>
            <w:vAlign w:val="bottom"/>
            <w:hideMark/>
          </w:tcPr>
          <w:p w14:paraId="23AF0CB4" w14:textId="77777777" w:rsidR="00E926DE" w:rsidRPr="00E926DE" w:rsidRDefault="00E926DE" w:rsidP="00E926DE">
            <w:pPr>
              <w:spacing w:line="240" w:lineRule="auto"/>
              <w:jc w:val="left"/>
              <w:rPr>
                <w:color w:val="000000"/>
                <w:lang w:eastAsia="en-GB"/>
              </w:rPr>
            </w:pPr>
            <w:r w:rsidRPr="00E926DE">
              <w:rPr>
                <w:color w:val="000000"/>
                <w:lang w:eastAsia="en-GB"/>
              </w:rPr>
              <w:t> </w:t>
            </w:r>
          </w:p>
        </w:tc>
      </w:tr>
      <w:tr w:rsidR="00E926DE" w:rsidRPr="00E926DE" w14:paraId="349EC8DD" w14:textId="77777777" w:rsidTr="00E926DE">
        <w:trPr>
          <w:trHeight w:val="312"/>
        </w:trPr>
        <w:tc>
          <w:tcPr>
            <w:tcW w:w="5900" w:type="dxa"/>
            <w:tcBorders>
              <w:top w:val="nil"/>
              <w:left w:val="single" w:sz="4" w:space="0" w:color="auto"/>
              <w:bottom w:val="single" w:sz="4" w:space="0" w:color="auto"/>
              <w:right w:val="single" w:sz="4" w:space="0" w:color="auto"/>
            </w:tcBorders>
            <w:shd w:val="clear" w:color="000000" w:fill="FFFFFF"/>
            <w:noWrap/>
            <w:vAlign w:val="bottom"/>
            <w:hideMark/>
          </w:tcPr>
          <w:p w14:paraId="13D8B6E1" w14:textId="77777777" w:rsidR="00E926DE" w:rsidRPr="00E926DE" w:rsidRDefault="00E926DE" w:rsidP="00E926DE">
            <w:pPr>
              <w:spacing w:line="240" w:lineRule="auto"/>
              <w:jc w:val="left"/>
              <w:rPr>
                <w:b/>
                <w:bCs/>
                <w:color w:val="000000"/>
                <w:lang w:eastAsia="en-GB"/>
              </w:rPr>
            </w:pPr>
            <w:r w:rsidRPr="00E926DE">
              <w:rPr>
                <w:b/>
                <w:bCs/>
                <w:color w:val="000000"/>
                <w:lang w:eastAsia="en-GB"/>
              </w:rPr>
              <w:t>Gross Margin</w:t>
            </w:r>
          </w:p>
        </w:tc>
        <w:tc>
          <w:tcPr>
            <w:tcW w:w="1610" w:type="dxa"/>
            <w:tcBorders>
              <w:top w:val="nil"/>
              <w:left w:val="nil"/>
              <w:bottom w:val="single" w:sz="4" w:space="0" w:color="auto"/>
              <w:right w:val="single" w:sz="4" w:space="0" w:color="auto"/>
            </w:tcBorders>
            <w:shd w:val="clear" w:color="000000" w:fill="FFFFFF"/>
            <w:noWrap/>
            <w:vAlign w:val="bottom"/>
            <w:hideMark/>
          </w:tcPr>
          <w:p w14:paraId="7BEC91D4" w14:textId="77777777" w:rsidR="00E926DE" w:rsidRPr="00E926DE" w:rsidRDefault="00E926DE" w:rsidP="00E926DE">
            <w:pPr>
              <w:spacing w:line="240" w:lineRule="auto"/>
              <w:jc w:val="right"/>
              <w:rPr>
                <w:color w:val="000000"/>
                <w:lang w:eastAsia="en-GB"/>
              </w:rPr>
            </w:pPr>
            <w:r w:rsidRPr="00E926DE">
              <w:rPr>
                <w:color w:val="000000"/>
                <w:lang w:eastAsia="en-GB"/>
              </w:rPr>
              <w:t>0.41</w:t>
            </w:r>
          </w:p>
        </w:tc>
        <w:tc>
          <w:tcPr>
            <w:tcW w:w="1610" w:type="dxa"/>
            <w:tcBorders>
              <w:top w:val="nil"/>
              <w:left w:val="nil"/>
              <w:bottom w:val="single" w:sz="4" w:space="0" w:color="auto"/>
              <w:right w:val="single" w:sz="4" w:space="0" w:color="auto"/>
            </w:tcBorders>
            <w:shd w:val="clear" w:color="000000" w:fill="FFFFFF"/>
            <w:noWrap/>
            <w:vAlign w:val="bottom"/>
            <w:hideMark/>
          </w:tcPr>
          <w:p w14:paraId="3DA365C8" w14:textId="77777777" w:rsidR="00E926DE" w:rsidRPr="00E926DE" w:rsidRDefault="00E926DE" w:rsidP="00E926DE">
            <w:pPr>
              <w:spacing w:line="240" w:lineRule="auto"/>
              <w:jc w:val="right"/>
              <w:rPr>
                <w:color w:val="000000"/>
                <w:lang w:eastAsia="en-GB"/>
              </w:rPr>
            </w:pPr>
            <w:r w:rsidRPr="00E926DE">
              <w:rPr>
                <w:color w:val="000000"/>
                <w:lang w:eastAsia="en-GB"/>
              </w:rPr>
              <w:t>0.40</w:t>
            </w:r>
          </w:p>
        </w:tc>
        <w:tc>
          <w:tcPr>
            <w:tcW w:w="980" w:type="dxa"/>
            <w:tcBorders>
              <w:top w:val="nil"/>
              <w:left w:val="nil"/>
              <w:bottom w:val="nil"/>
              <w:right w:val="nil"/>
            </w:tcBorders>
            <w:shd w:val="clear" w:color="000000" w:fill="FFFFFF"/>
            <w:noWrap/>
            <w:vAlign w:val="bottom"/>
            <w:hideMark/>
          </w:tcPr>
          <w:p w14:paraId="4084758F" w14:textId="77777777" w:rsidR="00E926DE" w:rsidRPr="00E926DE" w:rsidRDefault="00E926DE" w:rsidP="00E926DE">
            <w:pPr>
              <w:spacing w:line="240" w:lineRule="auto"/>
              <w:jc w:val="left"/>
              <w:rPr>
                <w:color w:val="000000"/>
                <w:lang w:eastAsia="en-GB"/>
              </w:rPr>
            </w:pPr>
            <w:r w:rsidRPr="00E926DE">
              <w:rPr>
                <w:color w:val="000000"/>
                <w:lang w:eastAsia="en-GB"/>
              </w:rPr>
              <w:t> </w:t>
            </w:r>
          </w:p>
        </w:tc>
      </w:tr>
      <w:tr w:rsidR="00E926DE" w:rsidRPr="00E926DE" w14:paraId="3B8272EB" w14:textId="77777777" w:rsidTr="00E926DE">
        <w:trPr>
          <w:trHeight w:val="312"/>
        </w:trPr>
        <w:tc>
          <w:tcPr>
            <w:tcW w:w="5900" w:type="dxa"/>
            <w:tcBorders>
              <w:top w:val="nil"/>
              <w:left w:val="single" w:sz="4" w:space="0" w:color="auto"/>
              <w:bottom w:val="single" w:sz="4" w:space="0" w:color="auto"/>
              <w:right w:val="single" w:sz="4" w:space="0" w:color="auto"/>
            </w:tcBorders>
            <w:shd w:val="clear" w:color="000000" w:fill="FFFFFF"/>
            <w:noWrap/>
            <w:vAlign w:val="bottom"/>
            <w:hideMark/>
          </w:tcPr>
          <w:p w14:paraId="4A8C9EED" w14:textId="77777777" w:rsidR="00E926DE" w:rsidRPr="00E926DE" w:rsidRDefault="00E926DE" w:rsidP="00E926DE">
            <w:pPr>
              <w:spacing w:line="240" w:lineRule="auto"/>
              <w:jc w:val="left"/>
              <w:rPr>
                <w:color w:val="000000"/>
                <w:lang w:eastAsia="en-GB"/>
              </w:rPr>
            </w:pPr>
            <w:r w:rsidRPr="00E926DE">
              <w:rPr>
                <w:color w:val="000000"/>
                <w:lang w:eastAsia="en-GB"/>
              </w:rPr>
              <w:t>Gross Profit/Sales</w:t>
            </w:r>
          </w:p>
        </w:tc>
        <w:tc>
          <w:tcPr>
            <w:tcW w:w="1610" w:type="dxa"/>
            <w:tcBorders>
              <w:top w:val="nil"/>
              <w:left w:val="nil"/>
              <w:bottom w:val="single" w:sz="4" w:space="0" w:color="auto"/>
              <w:right w:val="single" w:sz="4" w:space="0" w:color="auto"/>
            </w:tcBorders>
            <w:shd w:val="clear" w:color="000000" w:fill="FFFFFF"/>
            <w:noWrap/>
            <w:vAlign w:val="bottom"/>
            <w:hideMark/>
          </w:tcPr>
          <w:p w14:paraId="0FB9BF5F" w14:textId="77777777" w:rsidR="00E926DE" w:rsidRPr="00E926DE" w:rsidRDefault="00E926DE" w:rsidP="00E926DE">
            <w:pPr>
              <w:spacing w:line="240" w:lineRule="auto"/>
              <w:jc w:val="left"/>
              <w:rPr>
                <w:color w:val="000000"/>
                <w:lang w:eastAsia="en-GB"/>
              </w:rPr>
            </w:pPr>
            <w:r w:rsidRPr="00E926DE">
              <w:rPr>
                <w:color w:val="000000"/>
                <w:lang w:eastAsia="en-GB"/>
              </w:rPr>
              <w:t> </w:t>
            </w:r>
          </w:p>
        </w:tc>
        <w:tc>
          <w:tcPr>
            <w:tcW w:w="1610" w:type="dxa"/>
            <w:tcBorders>
              <w:top w:val="nil"/>
              <w:left w:val="nil"/>
              <w:bottom w:val="single" w:sz="4" w:space="0" w:color="auto"/>
              <w:right w:val="single" w:sz="4" w:space="0" w:color="auto"/>
            </w:tcBorders>
            <w:shd w:val="clear" w:color="000000" w:fill="FFFFFF"/>
            <w:noWrap/>
            <w:vAlign w:val="bottom"/>
            <w:hideMark/>
          </w:tcPr>
          <w:p w14:paraId="63EF47BF" w14:textId="77777777" w:rsidR="00E926DE" w:rsidRPr="00E926DE" w:rsidRDefault="00E926DE" w:rsidP="00E926DE">
            <w:pPr>
              <w:spacing w:line="240" w:lineRule="auto"/>
              <w:jc w:val="left"/>
              <w:rPr>
                <w:color w:val="000000"/>
                <w:lang w:eastAsia="en-GB"/>
              </w:rPr>
            </w:pPr>
            <w:r w:rsidRPr="00E926DE">
              <w:rPr>
                <w:color w:val="000000"/>
                <w:lang w:eastAsia="en-GB"/>
              </w:rPr>
              <w:t> </w:t>
            </w:r>
          </w:p>
        </w:tc>
        <w:tc>
          <w:tcPr>
            <w:tcW w:w="980" w:type="dxa"/>
            <w:tcBorders>
              <w:top w:val="nil"/>
              <w:left w:val="nil"/>
              <w:bottom w:val="nil"/>
              <w:right w:val="nil"/>
            </w:tcBorders>
            <w:shd w:val="clear" w:color="000000" w:fill="FFFFFF"/>
            <w:noWrap/>
            <w:vAlign w:val="bottom"/>
            <w:hideMark/>
          </w:tcPr>
          <w:p w14:paraId="6DA058FA" w14:textId="77777777" w:rsidR="00E926DE" w:rsidRPr="00E926DE" w:rsidRDefault="00E926DE" w:rsidP="00E926DE">
            <w:pPr>
              <w:spacing w:line="240" w:lineRule="auto"/>
              <w:jc w:val="left"/>
              <w:rPr>
                <w:color w:val="000000"/>
                <w:lang w:eastAsia="en-GB"/>
              </w:rPr>
            </w:pPr>
            <w:r w:rsidRPr="00E926DE">
              <w:rPr>
                <w:color w:val="000000"/>
                <w:lang w:eastAsia="en-GB"/>
              </w:rPr>
              <w:t> </w:t>
            </w:r>
          </w:p>
        </w:tc>
      </w:tr>
      <w:tr w:rsidR="00E926DE" w:rsidRPr="00E926DE" w14:paraId="761F940F" w14:textId="77777777" w:rsidTr="00E926DE">
        <w:trPr>
          <w:trHeight w:val="312"/>
        </w:trPr>
        <w:tc>
          <w:tcPr>
            <w:tcW w:w="5900" w:type="dxa"/>
            <w:tcBorders>
              <w:top w:val="nil"/>
              <w:left w:val="single" w:sz="4" w:space="0" w:color="auto"/>
              <w:bottom w:val="single" w:sz="4" w:space="0" w:color="auto"/>
              <w:right w:val="single" w:sz="4" w:space="0" w:color="auto"/>
            </w:tcBorders>
            <w:shd w:val="clear" w:color="000000" w:fill="FFFFFF"/>
            <w:noWrap/>
            <w:vAlign w:val="bottom"/>
            <w:hideMark/>
          </w:tcPr>
          <w:p w14:paraId="167F8434" w14:textId="77777777" w:rsidR="00E926DE" w:rsidRPr="00E926DE" w:rsidRDefault="00E926DE" w:rsidP="00E926DE">
            <w:pPr>
              <w:spacing w:line="240" w:lineRule="auto"/>
              <w:jc w:val="left"/>
              <w:rPr>
                <w:b/>
                <w:bCs/>
                <w:color w:val="000000"/>
                <w:lang w:eastAsia="en-GB"/>
              </w:rPr>
            </w:pPr>
            <w:r w:rsidRPr="00E926DE">
              <w:rPr>
                <w:b/>
                <w:bCs/>
                <w:color w:val="000000"/>
                <w:lang w:eastAsia="en-GB"/>
              </w:rPr>
              <w:t>Operating Margin</w:t>
            </w:r>
          </w:p>
        </w:tc>
        <w:tc>
          <w:tcPr>
            <w:tcW w:w="1610" w:type="dxa"/>
            <w:tcBorders>
              <w:top w:val="nil"/>
              <w:left w:val="nil"/>
              <w:bottom w:val="single" w:sz="4" w:space="0" w:color="auto"/>
              <w:right w:val="single" w:sz="4" w:space="0" w:color="auto"/>
            </w:tcBorders>
            <w:shd w:val="clear" w:color="000000" w:fill="FFFFFF"/>
            <w:noWrap/>
            <w:vAlign w:val="bottom"/>
            <w:hideMark/>
          </w:tcPr>
          <w:p w14:paraId="34FF88C5" w14:textId="77777777" w:rsidR="00E926DE" w:rsidRPr="00E926DE" w:rsidRDefault="00E926DE" w:rsidP="00E926DE">
            <w:pPr>
              <w:spacing w:line="240" w:lineRule="auto"/>
              <w:jc w:val="right"/>
              <w:rPr>
                <w:color w:val="000000"/>
                <w:lang w:eastAsia="en-GB"/>
              </w:rPr>
            </w:pPr>
            <w:r w:rsidRPr="00E926DE">
              <w:rPr>
                <w:color w:val="000000"/>
                <w:lang w:eastAsia="en-GB"/>
              </w:rPr>
              <w:t>0.09</w:t>
            </w:r>
          </w:p>
        </w:tc>
        <w:tc>
          <w:tcPr>
            <w:tcW w:w="1610" w:type="dxa"/>
            <w:tcBorders>
              <w:top w:val="nil"/>
              <w:left w:val="nil"/>
              <w:bottom w:val="single" w:sz="4" w:space="0" w:color="auto"/>
              <w:right w:val="single" w:sz="4" w:space="0" w:color="auto"/>
            </w:tcBorders>
            <w:shd w:val="clear" w:color="000000" w:fill="FFFFFF"/>
            <w:noWrap/>
            <w:vAlign w:val="bottom"/>
            <w:hideMark/>
          </w:tcPr>
          <w:p w14:paraId="4A2ECB27" w14:textId="77777777" w:rsidR="00E926DE" w:rsidRPr="00E926DE" w:rsidRDefault="00E926DE" w:rsidP="00E926DE">
            <w:pPr>
              <w:spacing w:line="240" w:lineRule="auto"/>
              <w:jc w:val="right"/>
              <w:rPr>
                <w:color w:val="000000"/>
                <w:lang w:eastAsia="en-GB"/>
              </w:rPr>
            </w:pPr>
            <w:r w:rsidRPr="00E926DE">
              <w:rPr>
                <w:color w:val="000000"/>
                <w:lang w:eastAsia="en-GB"/>
              </w:rPr>
              <w:t>0.10</w:t>
            </w:r>
          </w:p>
        </w:tc>
        <w:tc>
          <w:tcPr>
            <w:tcW w:w="980" w:type="dxa"/>
            <w:tcBorders>
              <w:top w:val="nil"/>
              <w:left w:val="nil"/>
              <w:bottom w:val="nil"/>
              <w:right w:val="nil"/>
            </w:tcBorders>
            <w:shd w:val="clear" w:color="000000" w:fill="FFFFFF"/>
            <w:noWrap/>
            <w:vAlign w:val="bottom"/>
            <w:hideMark/>
          </w:tcPr>
          <w:p w14:paraId="00346BFE" w14:textId="77777777" w:rsidR="00E926DE" w:rsidRPr="00E926DE" w:rsidRDefault="00E926DE" w:rsidP="00E926DE">
            <w:pPr>
              <w:spacing w:line="240" w:lineRule="auto"/>
              <w:jc w:val="left"/>
              <w:rPr>
                <w:color w:val="000000"/>
                <w:lang w:eastAsia="en-GB"/>
              </w:rPr>
            </w:pPr>
            <w:r w:rsidRPr="00E926DE">
              <w:rPr>
                <w:color w:val="000000"/>
                <w:lang w:eastAsia="en-GB"/>
              </w:rPr>
              <w:t> </w:t>
            </w:r>
          </w:p>
        </w:tc>
      </w:tr>
      <w:tr w:rsidR="00E926DE" w:rsidRPr="00E926DE" w14:paraId="5D9B8E19" w14:textId="77777777" w:rsidTr="00E926DE">
        <w:trPr>
          <w:trHeight w:val="312"/>
        </w:trPr>
        <w:tc>
          <w:tcPr>
            <w:tcW w:w="5900" w:type="dxa"/>
            <w:tcBorders>
              <w:top w:val="nil"/>
              <w:left w:val="single" w:sz="4" w:space="0" w:color="auto"/>
              <w:bottom w:val="single" w:sz="4" w:space="0" w:color="auto"/>
              <w:right w:val="single" w:sz="4" w:space="0" w:color="auto"/>
            </w:tcBorders>
            <w:shd w:val="clear" w:color="000000" w:fill="FFFFFF"/>
            <w:noWrap/>
            <w:vAlign w:val="bottom"/>
            <w:hideMark/>
          </w:tcPr>
          <w:p w14:paraId="34800AC6" w14:textId="77777777" w:rsidR="00E926DE" w:rsidRPr="00E926DE" w:rsidRDefault="00E926DE" w:rsidP="00E926DE">
            <w:pPr>
              <w:spacing w:line="240" w:lineRule="auto"/>
              <w:jc w:val="left"/>
              <w:rPr>
                <w:color w:val="000000"/>
                <w:lang w:eastAsia="en-GB"/>
              </w:rPr>
            </w:pPr>
            <w:r w:rsidRPr="00E926DE">
              <w:rPr>
                <w:color w:val="000000"/>
                <w:lang w:eastAsia="en-GB"/>
              </w:rPr>
              <w:t>Operating Income/Sales</w:t>
            </w:r>
          </w:p>
        </w:tc>
        <w:tc>
          <w:tcPr>
            <w:tcW w:w="1610" w:type="dxa"/>
            <w:tcBorders>
              <w:top w:val="nil"/>
              <w:left w:val="nil"/>
              <w:bottom w:val="single" w:sz="4" w:space="0" w:color="auto"/>
              <w:right w:val="single" w:sz="4" w:space="0" w:color="auto"/>
            </w:tcBorders>
            <w:shd w:val="clear" w:color="000000" w:fill="FFFFFF"/>
            <w:noWrap/>
            <w:vAlign w:val="bottom"/>
            <w:hideMark/>
          </w:tcPr>
          <w:p w14:paraId="2F2A1171" w14:textId="77777777" w:rsidR="00E926DE" w:rsidRPr="00E926DE" w:rsidRDefault="00E926DE" w:rsidP="00E926DE">
            <w:pPr>
              <w:spacing w:line="240" w:lineRule="auto"/>
              <w:jc w:val="left"/>
              <w:rPr>
                <w:color w:val="000000"/>
                <w:lang w:eastAsia="en-GB"/>
              </w:rPr>
            </w:pPr>
            <w:r w:rsidRPr="00E926DE">
              <w:rPr>
                <w:color w:val="000000"/>
                <w:lang w:eastAsia="en-GB"/>
              </w:rPr>
              <w:t> </w:t>
            </w:r>
          </w:p>
        </w:tc>
        <w:tc>
          <w:tcPr>
            <w:tcW w:w="1610" w:type="dxa"/>
            <w:tcBorders>
              <w:top w:val="nil"/>
              <w:left w:val="nil"/>
              <w:bottom w:val="single" w:sz="4" w:space="0" w:color="auto"/>
              <w:right w:val="single" w:sz="4" w:space="0" w:color="auto"/>
            </w:tcBorders>
            <w:shd w:val="clear" w:color="000000" w:fill="FFFFFF"/>
            <w:noWrap/>
            <w:vAlign w:val="bottom"/>
            <w:hideMark/>
          </w:tcPr>
          <w:p w14:paraId="7BEBE8C6" w14:textId="77777777" w:rsidR="00E926DE" w:rsidRPr="00E926DE" w:rsidRDefault="00E926DE" w:rsidP="00E926DE">
            <w:pPr>
              <w:spacing w:line="240" w:lineRule="auto"/>
              <w:jc w:val="left"/>
              <w:rPr>
                <w:color w:val="000000"/>
                <w:lang w:eastAsia="en-GB"/>
              </w:rPr>
            </w:pPr>
            <w:r w:rsidRPr="00E926DE">
              <w:rPr>
                <w:color w:val="000000"/>
                <w:lang w:eastAsia="en-GB"/>
              </w:rPr>
              <w:t> </w:t>
            </w:r>
          </w:p>
        </w:tc>
        <w:tc>
          <w:tcPr>
            <w:tcW w:w="980" w:type="dxa"/>
            <w:tcBorders>
              <w:top w:val="nil"/>
              <w:left w:val="nil"/>
              <w:bottom w:val="nil"/>
              <w:right w:val="nil"/>
            </w:tcBorders>
            <w:shd w:val="clear" w:color="000000" w:fill="FFFFFF"/>
            <w:noWrap/>
            <w:vAlign w:val="bottom"/>
            <w:hideMark/>
          </w:tcPr>
          <w:p w14:paraId="244DF422" w14:textId="77777777" w:rsidR="00E926DE" w:rsidRPr="00E926DE" w:rsidRDefault="00E926DE" w:rsidP="00E926DE">
            <w:pPr>
              <w:spacing w:line="240" w:lineRule="auto"/>
              <w:jc w:val="left"/>
              <w:rPr>
                <w:color w:val="000000"/>
                <w:lang w:eastAsia="en-GB"/>
              </w:rPr>
            </w:pPr>
            <w:r w:rsidRPr="00E926DE">
              <w:rPr>
                <w:color w:val="000000"/>
                <w:lang w:eastAsia="en-GB"/>
              </w:rPr>
              <w:t> </w:t>
            </w:r>
          </w:p>
        </w:tc>
      </w:tr>
      <w:tr w:rsidR="00E926DE" w:rsidRPr="00E926DE" w14:paraId="43DBC279" w14:textId="77777777" w:rsidTr="00E926DE">
        <w:trPr>
          <w:trHeight w:val="312"/>
        </w:trPr>
        <w:tc>
          <w:tcPr>
            <w:tcW w:w="5900" w:type="dxa"/>
            <w:tcBorders>
              <w:top w:val="nil"/>
              <w:left w:val="single" w:sz="4" w:space="0" w:color="auto"/>
              <w:bottom w:val="single" w:sz="4" w:space="0" w:color="auto"/>
              <w:right w:val="single" w:sz="4" w:space="0" w:color="auto"/>
            </w:tcBorders>
            <w:shd w:val="clear" w:color="000000" w:fill="FFFFFF"/>
            <w:noWrap/>
            <w:vAlign w:val="bottom"/>
            <w:hideMark/>
          </w:tcPr>
          <w:p w14:paraId="33A73571" w14:textId="77777777" w:rsidR="00E926DE" w:rsidRPr="00E926DE" w:rsidRDefault="00E926DE" w:rsidP="00E926DE">
            <w:pPr>
              <w:spacing w:line="240" w:lineRule="auto"/>
              <w:jc w:val="left"/>
              <w:rPr>
                <w:b/>
                <w:bCs/>
                <w:color w:val="000000"/>
                <w:lang w:eastAsia="en-GB"/>
              </w:rPr>
            </w:pPr>
            <w:r w:rsidRPr="00E926DE">
              <w:rPr>
                <w:b/>
                <w:bCs/>
                <w:color w:val="000000"/>
                <w:lang w:eastAsia="en-GB"/>
              </w:rPr>
              <w:t>Net Profit Margin</w:t>
            </w:r>
          </w:p>
        </w:tc>
        <w:tc>
          <w:tcPr>
            <w:tcW w:w="1610" w:type="dxa"/>
            <w:tcBorders>
              <w:top w:val="nil"/>
              <w:left w:val="nil"/>
              <w:bottom w:val="single" w:sz="4" w:space="0" w:color="auto"/>
              <w:right w:val="single" w:sz="4" w:space="0" w:color="auto"/>
            </w:tcBorders>
            <w:shd w:val="clear" w:color="000000" w:fill="FFFFFF"/>
            <w:noWrap/>
            <w:vAlign w:val="bottom"/>
            <w:hideMark/>
          </w:tcPr>
          <w:p w14:paraId="30B9FA28" w14:textId="77777777" w:rsidR="00E926DE" w:rsidRPr="00E926DE" w:rsidRDefault="00E926DE" w:rsidP="00E926DE">
            <w:pPr>
              <w:spacing w:line="240" w:lineRule="auto"/>
              <w:jc w:val="right"/>
              <w:rPr>
                <w:color w:val="000000"/>
                <w:lang w:eastAsia="en-GB"/>
              </w:rPr>
            </w:pPr>
            <w:r w:rsidRPr="00E926DE">
              <w:rPr>
                <w:color w:val="000000"/>
                <w:lang w:eastAsia="en-GB"/>
              </w:rPr>
              <w:t>0.17</w:t>
            </w:r>
          </w:p>
        </w:tc>
        <w:tc>
          <w:tcPr>
            <w:tcW w:w="1610" w:type="dxa"/>
            <w:tcBorders>
              <w:top w:val="nil"/>
              <w:left w:val="nil"/>
              <w:bottom w:val="single" w:sz="4" w:space="0" w:color="auto"/>
              <w:right w:val="single" w:sz="4" w:space="0" w:color="auto"/>
            </w:tcBorders>
            <w:shd w:val="clear" w:color="000000" w:fill="FFFFFF"/>
            <w:noWrap/>
            <w:vAlign w:val="bottom"/>
            <w:hideMark/>
          </w:tcPr>
          <w:p w14:paraId="69BE9CA8" w14:textId="77777777" w:rsidR="00E926DE" w:rsidRPr="00E926DE" w:rsidRDefault="00E926DE" w:rsidP="00E926DE">
            <w:pPr>
              <w:spacing w:line="240" w:lineRule="auto"/>
              <w:jc w:val="right"/>
              <w:rPr>
                <w:color w:val="000000"/>
                <w:lang w:eastAsia="en-GB"/>
              </w:rPr>
            </w:pPr>
            <w:r w:rsidRPr="00E926DE">
              <w:rPr>
                <w:color w:val="000000"/>
                <w:lang w:eastAsia="en-GB"/>
              </w:rPr>
              <w:t>0.07</w:t>
            </w:r>
          </w:p>
        </w:tc>
        <w:tc>
          <w:tcPr>
            <w:tcW w:w="980" w:type="dxa"/>
            <w:tcBorders>
              <w:top w:val="nil"/>
              <w:left w:val="nil"/>
              <w:bottom w:val="nil"/>
              <w:right w:val="nil"/>
            </w:tcBorders>
            <w:shd w:val="clear" w:color="000000" w:fill="FFFFFF"/>
            <w:noWrap/>
            <w:vAlign w:val="bottom"/>
            <w:hideMark/>
          </w:tcPr>
          <w:p w14:paraId="508CC7D9" w14:textId="77777777" w:rsidR="00E926DE" w:rsidRPr="00E926DE" w:rsidRDefault="00E926DE" w:rsidP="00E926DE">
            <w:pPr>
              <w:spacing w:line="240" w:lineRule="auto"/>
              <w:jc w:val="left"/>
              <w:rPr>
                <w:color w:val="000000"/>
                <w:lang w:eastAsia="en-GB"/>
              </w:rPr>
            </w:pPr>
            <w:r w:rsidRPr="00E926DE">
              <w:rPr>
                <w:color w:val="000000"/>
                <w:lang w:eastAsia="en-GB"/>
              </w:rPr>
              <w:t> </w:t>
            </w:r>
          </w:p>
        </w:tc>
      </w:tr>
      <w:tr w:rsidR="00E926DE" w:rsidRPr="00E926DE" w14:paraId="1B72DB6C" w14:textId="77777777" w:rsidTr="00E926DE">
        <w:trPr>
          <w:trHeight w:val="312"/>
        </w:trPr>
        <w:tc>
          <w:tcPr>
            <w:tcW w:w="5900" w:type="dxa"/>
            <w:tcBorders>
              <w:top w:val="nil"/>
              <w:left w:val="single" w:sz="4" w:space="0" w:color="auto"/>
              <w:bottom w:val="single" w:sz="4" w:space="0" w:color="auto"/>
              <w:right w:val="single" w:sz="4" w:space="0" w:color="auto"/>
            </w:tcBorders>
            <w:shd w:val="clear" w:color="000000" w:fill="FFFFFF"/>
            <w:noWrap/>
            <w:vAlign w:val="bottom"/>
            <w:hideMark/>
          </w:tcPr>
          <w:p w14:paraId="60C07259" w14:textId="77777777" w:rsidR="00E926DE" w:rsidRPr="00E926DE" w:rsidRDefault="00E926DE" w:rsidP="00E926DE">
            <w:pPr>
              <w:spacing w:line="240" w:lineRule="auto"/>
              <w:jc w:val="left"/>
              <w:rPr>
                <w:color w:val="000000"/>
                <w:lang w:eastAsia="en-GB"/>
              </w:rPr>
            </w:pPr>
            <w:r w:rsidRPr="00E926DE">
              <w:rPr>
                <w:color w:val="000000"/>
                <w:lang w:eastAsia="en-GB"/>
              </w:rPr>
              <w:t>Net Income/Sales</w:t>
            </w:r>
          </w:p>
        </w:tc>
        <w:tc>
          <w:tcPr>
            <w:tcW w:w="1610" w:type="dxa"/>
            <w:tcBorders>
              <w:top w:val="nil"/>
              <w:left w:val="nil"/>
              <w:bottom w:val="single" w:sz="4" w:space="0" w:color="auto"/>
              <w:right w:val="single" w:sz="4" w:space="0" w:color="auto"/>
            </w:tcBorders>
            <w:shd w:val="clear" w:color="000000" w:fill="FFFFFF"/>
            <w:noWrap/>
            <w:vAlign w:val="bottom"/>
            <w:hideMark/>
          </w:tcPr>
          <w:p w14:paraId="51EFAABB" w14:textId="77777777" w:rsidR="00E926DE" w:rsidRPr="00E926DE" w:rsidRDefault="00E926DE" w:rsidP="00E926DE">
            <w:pPr>
              <w:spacing w:line="240" w:lineRule="auto"/>
              <w:jc w:val="left"/>
              <w:rPr>
                <w:color w:val="000000"/>
                <w:lang w:eastAsia="en-GB"/>
              </w:rPr>
            </w:pPr>
            <w:r w:rsidRPr="00E926DE">
              <w:rPr>
                <w:color w:val="000000"/>
                <w:lang w:eastAsia="en-GB"/>
              </w:rPr>
              <w:t> </w:t>
            </w:r>
          </w:p>
        </w:tc>
        <w:tc>
          <w:tcPr>
            <w:tcW w:w="1610" w:type="dxa"/>
            <w:tcBorders>
              <w:top w:val="nil"/>
              <w:left w:val="nil"/>
              <w:bottom w:val="single" w:sz="4" w:space="0" w:color="auto"/>
              <w:right w:val="single" w:sz="4" w:space="0" w:color="auto"/>
            </w:tcBorders>
            <w:shd w:val="clear" w:color="000000" w:fill="FFFFFF"/>
            <w:noWrap/>
            <w:vAlign w:val="bottom"/>
            <w:hideMark/>
          </w:tcPr>
          <w:p w14:paraId="72759F13" w14:textId="77777777" w:rsidR="00E926DE" w:rsidRPr="00E926DE" w:rsidRDefault="00E926DE" w:rsidP="00E926DE">
            <w:pPr>
              <w:spacing w:line="240" w:lineRule="auto"/>
              <w:jc w:val="left"/>
              <w:rPr>
                <w:color w:val="000000"/>
                <w:lang w:eastAsia="en-GB"/>
              </w:rPr>
            </w:pPr>
            <w:r w:rsidRPr="00E926DE">
              <w:rPr>
                <w:color w:val="000000"/>
                <w:lang w:eastAsia="en-GB"/>
              </w:rPr>
              <w:t> </w:t>
            </w:r>
          </w:p>
        </w:tc>
        <w:tc>
          <w:tcPr>
            <w:tcW w:w="980" w:type="dxa"/>
            <w:tcBorders>
              <w:top w:val="nil"/>
              <w:left w:val="nil"/>
              <w:bottom w:val="nil"/>
              <w:right w:val="nil"/>
            </w:tcBorders>
            <w:shd w:val="clear" w:color="000000" w:fill="FFFFFF"/>
            <w:noWrap/>
            <w:vAlign w:val="bottom"/>
            <w:hideMark/>
          </w:tcPr>
          <w:p w14:paraId="25647F42" w14:textId="77777777" w:rsidR="00E926DE" w:rsidRPr="00E926DE" w:rsidRDefault="00E926DE" w:rsidP="00E926DE">
            <w:pPr>
              <w:spacing w:line="240" w:lineRule="auto"/>
              <w:jc w:val="left"/>
              <w:rPr>
                <w:color w:val="000000"/>
                <w:lang w:eastAsia="en-GB"/>
              </w:rPr>
            </w:pPr>
            <w:r w:rsidRPr="00E926DE">
              <w:rPr>
                <w:color w:val="000000"/>
                <w:lang w:eastAsia="en-GB"/>
              </w:rPr>
              <w:t> </w:t>
            </w:r>
          </w:p>
        </w:tc>
      </w:tr>
      <w:tr w:rsidR="00E926DE" w:rsidRPr="00E926DE" w14:paraId="261ACF9E" w14:textId="77777777" w:rsidTr="00E926DE">
        <w:trPr>
          <w:trHeight w:val="312"/>
        </w:trPr>
        <w:tc>
          <w:tcPr>
            <w:tcW w:w="5900" w:type="dxa"/>
            <w:tcBorders>
              <w:top w:val="nil"/>
              <w:left w:val="single" w:sz="4" w:space="0" w:color="auto"/>
              <w:bottom w:val="single" w:sz="4" w:space="0" w:color="auto"/>
              <w:right w:val="single" w:sz="4" w:space="0" w:color="auto"/>
            </w:tcBorders>
            <w:shd w:val="clear" w:color="000000" w:fill="FFFFFF"/>
            <w:noWrap/>
            <w:vAlign w:val="bottom"/>
            <w:hideMark/>
          </w:tcPr>
          <w:p w14:paraId="20588CE9" w14:textId="77777777" w:rsidR="00E926DE" w:rsidRPr="00E926DE" w:rsidRDefault="00E926DE" w:rsidP="00E926DE">
            <w:pPr>
              <w:spacing w:line="240" w:lineRule="auto"/>
              <w:jc w:val="left"/>
              <w:rPr>
                <w:b/>
                <w:bCs/>
                <w:color w:val="000000"/>
                <w:lang w:eastAsia="en-GB"/>
              </w:rPr>
            </w:pPr>
            <w:r w:rsidRPr="00E926DE">
              <w:rPr>
                <w:b/>
                <w:bCs/>
                <w:color w:val="000000"/>
                <w:lang w:eastAsia="en-GB"/>
              </w:rPr>
              <w:t>Return on Equity (ROE)</w:t>
            </w:r>
          </w:p>
        </w:tc>
        <w:tc>
          <w:tcPr>
            <w:tcW w:w="1610" w:type="dxa"/>
            <w:tcBorders>
              <w:top w:val="nil"/>
              <w:left w:val="nil"/>
              <w:bottom w:val="single" w:sz="4" w:space="0" w:color="auto"/>
              <w:right w:val="single" w:sz="4" w:space="0" w:color="auto"/>
            </w:tcBorders>
            <w:shd w:val="clear" w:color="000000" w:fill="FFFFFF"/>
            <w:noWrap/>
            <w:vAlign w:val="bottom"/>
            <w:hideMark/>
          </w:tcPr>
          <w:p w14:paraId="002295D9" w14:textId="77777777" w:rsidR="00E926DE" w:rsidRPr="00E926DE" w:rsidRDefault="00E926DE" w:rsidP="00E926DE">
            <w:pPr>
              <w:spacing w:line="240" w:lineRule="auto"/>
              <w:jc w:val="right"/>
              <w:rPr>
                <w:color w:val="000000"/>
                <w:lang w:eastAsia="en-GB"/>
              </w:rPr>
            </w:pPr>
            <w:r w:rsidRPr="00E926DE">
              <w:rPr>
                <w:color w:val="000000"/>
                <w:lang w:eastAsia="en-GB"/>
              </w:rPr>
              <w:t>0.20</w:t>
            </w:r>
          </w:p>
        </w:tc>
        <w:tc>
          <w:tcPr>
            <w:tcW w:w="1610" w:type="dxa"/>
            <w:tcBorders>
              <w:top w:val="nil"/>
              <w:left w:val="nil"/>
              <w:bottom w:val="single" w:sz="4" w:space="0" w:color="auto"/>
              <w:right w:val="single" w:sz="4" w:space="0" w:color="auto"/>
            </w:tcBorders>
            <w:shd w:val="clear" w:color="000000" w:fill="FFFFFF"/>
            <w:noWrap/>
            <w:vAlign w:val="bottom"/>
            <w:hideMark/>
          </w:tcPr>
          <w:p w14:paraId="49DB5915" w14:textId="77777777" w:rsidR="00E926DE" w:rsidRPr="00E926DE" w:rsidRDefault="00E926DE" w:rsidP="00E926DE">
            <w:pPr>
              <w:spacing w:line="240" w:lineRule="auto"/>
              <w:jc w:val="right"/>
              <w:rPr>
                <w:color w:val="000000"/>
                <w:lang w:eastAsia="en-GB"/>
              </w:rPr>
            </w:pPr>
            <w:r w:rsidRPr="00E926DE">
              <w:rPr>
                <w:color w:val="000000"/>
                <w:lang w:eastAsia="en-GB"/>
              </w:rPr>
              <w:t>0.09</w:t>
            </w:r>
          </w:p>
        </w:tc>
        <w:tc>
          <w:tcPr>
            <w:tcW w:w="980" w:type="dxa"/>
            <w:tcBorders>
              <w:top w:val="nil"/>
              <w:left w:val="nil"/>
              <w:bottom w:val="nil"/>
              <w:right w:val="nil"/>
            </w:tcBorders>
            <w:shd w:val="clear" w:color="000000" w:fill="FFFFFF"/>
            <w:noWrap/>
            <w:vAlign w:val="bottom"/>
            <w:hideMark/>
          </w:tcPr>
          <w:p w14:paraId="7EF55DC2" w14:textId="77777777" w:rsidR="00E926DE" w:rsidRPr="00E926DE" w:rsidRDefault="00E926DE" w:rsidP="00E926DE">
            <w:pPr>
              <w:spacing w:line="240" w:lineRule="auto"/>
              <w:jc w:val="left"/>
              <w:rPr>
                <w:color w:val="000000"/>
                <w:lang w:eastAsia="en-GB"/>
              </w:rPr>
            </w:pPr>
            <w:r w:rsidRPr="00E926DE">
              <w:rPr>
                <w:color w:val="000000"/>
                <w:lang w:eastAsia="en-GB"/>
              </w:rPr>
              <w:t> </w:t>
            </w:r>
          </w:p>
        </w:tc>
      </w:tr>
      <w:tr w:rsidR="00E926DE" w:rsidRPr="00E926DE" w14:paraId="3D4F8BAC" w14:textId="77777777" w:rsidTr="00E926DE">
        <w:trPr>
          <w:trHeight w:val="312"/>
        </w:trPr>
        <w:tc>
          <w:tcPr>
            <w:tcW w:w="5900" w:type="dxa"/>
            <w:tcBorders>
              <w:top w:val="nil"/>
              <w:left w:val="single" w:sz="4" w:space="0" w:color="auto"/>
              <w:bottom w:val="single" w:sz="4" w:space="0" w:color="auto"/>
              <w:right w:val="single" w:sz="4" w:space="0" w:color="auto"/>
            </w:tcBorders>
            <w:shd w:val="clear" w:color="000000" w:fill="FFFFFF"/>
            <w:noWrap/>
            <w:vAlign w:val="bottom"/>
            <w:hideMark/>
          </w:tcPr>
          <w:p w14:paraId="6D9BA8DA" w14:textId="4B27FD39" w:rsidR="00E926DE" w:rsidRPr="00E926DE" w:rsidRDefault="00E926DE" w:rsidP="00E926DE">
            <w:pPr>
              <w:spacing w:line="240" w:lineRule="auto"/>
              <w:jc w:val="left"/>
              <w:rPr>
                <w:color w:val="000000"/>
                <w:lang w:eastAsia="en-GB"/>
              </w:rPr>
            </w:pPr>
            <w:r w:rsidRPr="00E926DE">
              <w:rPr>
                <w:color w:val="000000"/>
                <w:lang w:eastAsia="en-GB"/>
              </w:rPr>
              <w:t>Net Income/Tot</w:t>
            </w:r>
            <w:r w:rsidR="003D083E">
              <w:rPr>
                <w:color w:val="000000"/>
                <w:lang w:eastAsia="en-GB"/>
              </w:rPr>
              <w:t xml:space="preserve">al </w:t>
            </w:r>
            <w:r w:rsidRPr="00E926DE">
              <w:rPr>
                <w:color w:val="000000"/>
                <w:lang w:eastAsia="en-GB"/>
              </w:rPr>
              <w:t>Equity</w:t>
            </w:r>
          </w:p>
        </w:tc>
        <w:tc>
          <w:tcPr>
            <w:tcW w:w="1610" w:type="dxa"/>
            <w:tcBorders>
              <w:top w:val="nil"/>
              <w:left w:val="nil"/>
              <w:bottom w:val="single" w:sz="4" w:space="0" w:color="auto"/>
              <w:right w:val="single" w:sz="4" w:space="0" w:color="auto"/>
            </w:tcBorders>
            <w:shd w:val="clear" w:color="000000" w:fill="FFFFFF"/>
            <w:noWrap/>
            <w:vAlign w:val="bottom"/>
            <w:hideMark/>
          </w:tcPr>
          <w:p w14:paraId="07A9A5D7" w14:textId="77777777" w:rsidR="00E926DE" w:rsidRPr="00E926DE" w:rsidRDefault="00E926DE" w:rsidP="00E926DE">
            <w:pPr>
              <w:spacing w:line="240" w:lineRule="auto"/>
              <w:jc w:val="left"/>
              <w:rPr>
                <w:color w:val="000000"/>
                <w:lang w:eastAsia="en-GB"/>
              </w:rPr>
            </w:pPr>
            <w:r w:rsidRPr="00E926DE">
              <w:rPr>
                <w:color w:val="000000"/>
                <w:lang w:eastAsia="en-GB"/>
              </w:rPr>
              <w:t> </w:t>
            </w:r>
          </w:p>
        </w:tc>
        <w:tc>
          <w:tcPr>
            <w:tcW w:w="1610" w:type="dxa"/>
            <w:tcBorders>
              <w:top w:val="nil"/>
              <w:left w:val="nil"/>
              <w:bottom w:val="single" w:sz="4" w:space="0" w:color="auto"/>
              <w:right w:val="single" w:sz="4" w:space="0" w:color="auto"/>
            </w:tcBorders>
            <w:shd w:val="clear" w:color="000000" w:fill="FFFFFF"/>
            <w:noWrap/>
            <w:vAlign w:val="bottom"/>
            <w:hideMark/>
          </w:tcPr>
          <w:p w14:paraId="124BD94A" w14:textId="77777777" w:rsidR="00E926DE" w:rsidRPr="00E926DE" w:rsidRDefault="00E926DE" w:rsidP="00E926DE">
            <w:pPr>
              <w:spacing w:line="240" w:lineRule="auto"/>
              <w:jc w:val="left"/>
              <w:rPr>
                <w:color w:val="000000"/>
                <w:lang w:eastAsia="en-GB"/>
              </w:rPr>
            </w:pPr>
            <w:r w:rsidRPr="00E926DE">
              <w:rPr>
                <w:color w:val="000000"/>
                <w:lang w:eastAsia="en-GB"/>
              </w:rPr>
              <w:t> </w:t>
            </w:r>
          </w:p>
        </w:tc>
        <w:tc>
          <w:tcPr>
            <w:tcW w:w="980" w:type="dxa"/>
            <w:tcBorders>
              <w:top w:val="nil"/>
              <w:left w:val="nil"/>
              <w:bottom w:val="nil"/>
              <w:right w:val="nil"/>
            </w:tcBorders>
            <w:shd w:val="clear" w:color="000000" w:fill="FFFFFF"/>
            <w:noWrap/>
            <w:vAlign w:val="bottom"/>
            <w:hideMark/>
          </w:tcPr>
          <w:p w14:paraId="02DB977F" w14:textId="77777777" w:rsidR="00E926DE" w:rsidRPr="00E926DE" w:rsidRDefault="00E926DE" w:rsidP="00E926DE">
            <w:pPr>
              <w:spacing w:line="240" w:lineRule="auto"/>
              <w:jc w:val="left"/>
              <w:rPr>
                <w:color w:val="000000"/>
                <w:lang w:eastAsia="en-GB"/>
              </w:rPr>
            </w:pPr>
            <w:r w:rsidRPr="00E926DE">
              <w:rPr>
                <w:color w:val="000000"/>
                <w:lang w:eastAsia="en-GB"/>
              </w:rPr>
              <w:t> </w:t>
            </w:r>
          </w:p>
        </w:tc>
      </w:tr>
      <w:tr w:rsidR="00E926DE" w:rsidRPr="00E926DE" w14:paraId="788DB642" w14:textId="77777777" w:rsidTr="00E926DE">
        <w:trPr>
          <w:trHeight w:val="312"/>
        </w:trPr>
        <w:tc>
          <w:tcPr>
            <w:tcW w:w="5900" w:type="dxa"/>
            <w:tcBorders>
              <w:top w:val="nil"/>
              <w:left w:val="single" w:sz="4" w:space="0" w:color="auto"/>
              <w:bottom w:val="single" w:sz="4" w:space="0" w:color="auto"/>
              <w:right w:val="single" w:sz="4" w:space="0" w:color="auto"/>
            </w:tcBorders>
            <w:shd w:val="clear" w:color="000000" w:fill="FFFFFF"/>
            <w:noWrap/>
            <w:vAlign w:val="bottom"/>
            <w:hideMark/>
          </w:tcPr>
          <w:p w14:paraId="2FAE2998" w14:textId="77777777" w:rsidR="00E926DE" w:rsidRPr="00E926DE" w:rsidRDefault="00E926DE" w:rsidP="00E926DE">
            <w:pPr>
              <w:spacing w:line="240" w:lineRule="auto"/>
              <w:jc w:val="left"/>
              <w:rPr>
                <w:b/>
                <w:bCs/>
                <w:color w:val="000000"/>
                <w:lang w:eastAsia="en-GB"/>
              </w:rPr>
            </w:pPr>
            <w:r w:rsidRPr="00E926DE">
              <w:rPr>
                <w:b/>
                <w:bCs/>
                <w:color w:val="000000"/>
                <w:lang w:eastAsia="en-GB"/>
              </w:rPr>
              <w:t>Return on Assets (ROA)</w:t>
            </w:r>
          </w:p>
        </w:tc>
        <w:tc>
          <w:tcPr>
            <w:tcW w:w="1610" w:type="dxa"/>
            <w:tcBorders>
              <w:top w:val="nil"/>
              <w:left w:val="nil"/>
              <w:bottom w:val="single" w:sz="4" w:space="0" w:color="auto"/>
              <w:right w:val="single" w:sz="4" w:space="0" w:color="auto"/>
            </w:tcBorders>
            <w:shd w:val="clear" w:color="000000" w:fill="FFFFFF"/>
            <w:noWrap/>
            <w:vAlign w:val="bottom"/>
            <w:hideMark/>
          </w:tcPr>
          <w:p w14:paraId="477E6A1C" w14:textId="77777777" w:rsidR="00E926DE" w:rsidRPr="00E926DE" w:rsidRDefault="00E926DE" w:rsidP="00E926DE">
            <w:pPr>
              <w:spacing w:line="240" w:lineRule="auto"/>
              <w:jc w:val="right"/>
              <w:rPr>
                <w:color w:val="000000"/>
                <w:lang w:eastAsia="en-GB"/>
              </w:rPr>
            </w:pPr>
            <w:r w:rsidRPr="00E926DE">
              <w:rPr>
                <w:color w:val="000000"/>
                <w:lang w:eastAsia="en-GB"/>
              </w:rPr>
              <w:t>0.10</w:t>
            </w:r>
          </w:p>
        </w:tc>
        <w:tc>
          <w:tcPr>
            <w:tcW w:w="1610" w:type="dxa"/>
            <w:tcBorders>
              <w:top w:val="nil"/>
              <w:left w:val="nil"/>
              <w:bottom w:val="single" w:sz="4" w:space="0" w:color="auto"/>
              <w:right w:val="single" w:sz="4" w:space="0" w:color="auto"/>
            </w:tcBorders>
            <w:shd w:val="clear" w:color="000000" w:fill="FFFFFF"/>
            <w:noWrap/>
            <w:vAlign w:val="bottom"/>
            <w:hideMark/>
          </w:tcPr>
          <w:p w14:paraId="57B98F5C" w14:textId="77777777" w:rsidR="00E926DE" w:rsidRPr="00E926DE" w:rsidRDefault="00E926DE" w:rsidP="00E926DE">
            <w:pPr>
              <w:spacing w:line="240" w:lineRule="auto"/>
              <w:jc w:val="right"/>
              <w:rPr>
                <w:color w:val="000000"/>
                <w:lang w:eastAsia="en-GB"/>
              </w:rPr>
            </w:pPr>
            <w:r w:rsidRPr="00E926DE">
              <w:rPr>
                <w:color w:val="000000"/>
                <w:lang w:eastAsia="en-GB"/>
              </w:rPr>
              <w:t>0.04</w:t>
            </w:r>
          </w:p>
        </w:tc>
        <w:tc>
          <w:tcPr>
            <w:tcW w:w="980" w:type="dxa"/>
            <w:tcBorders>
              <w:top w:val="nil"/>
              <w:left w:val="nil"/>
              <w:bottom w:val="nil"/>
              <w:right w:val="nil"/>
            </w:tcBorders>
            <w:shd w:val="clear" w:color="000000" w:fill="FFFFFF"/>
            <w:noWrap/>
            <w:vAlign w:val="bottom"/>
            <w:hideMark/>
          </w:tcPr>
          <w:p w14:paraId="04BD9870" w14:textId="77777777" w:rsidR="00E926DE" w:rsidRPr="00E926DE" w:rsidRDefault="00E926DE" w:rsidP="00E926DE">
            <w:pPr>
              <w:spacing w:line="240" w:lineRule="auto"/>
              <w:jc w:val="left"/>
              <w:rPr>
                <w:color w:val="000000"/>
                <w:lang w:eastAsia="en-GB"/>
              </w:rPr>
            </w:pPr>
            <w:r w:rsidRPr="00E926DE">
              <w:rPr>
                <w:color w:val="000000"/>
                <w:lang w:eastAsia="en-GB"/>
              </w:rPr>
              <w:t> </w:t>
            </w:r>
          </w:p>
        </w:tc>
      </w:tr>
      <w:tr w:rsidR="00E926DE" w:rsidRPr="00E926DE" w14:paraId="0774F391" w14:textId="77777777" w:rsidTr="00E926DE">
        <w:trPr>
          <w:trHeight w:val="312"/>
        </w:trPr>
        <w:tc>
          <w:tcPr>
            <w:tcW w:w="5900" w:type="dxa"/>
            <w:tcBorders>
              <w:top w:val="nil"/>
              <w:left w:val="single" w:sz="4" w:space="0" w:color="auto"/>
              <w:bottom w:val="single" w:sz="4" w:space="0" w:color="auto"/>
              <w:right w:val="single" w:sz="4" w:space="0" w:color="auto"/>
            </w:tcBorders>
            <w:shd w:val="clear" w:color="000000" w:fill="FFFFFF"/>
            <w:noWrap/>
            <w:vAlign w:val="bottom"/>
            <w:hideMark/>
          </w:tcPr>
          <w:p w14:paraId="6F95FD4E" w14:textId="51191DD6" w:rsidR="00E926DE" w:rsidRPr="00E926DE" w:rsidRDefault="00E926DE" w:rsidP="00E926DE">
            <w:pPr>
              <w:spacing w:line="240" w:lineRule="auto"/>
              <w:jc w:val="left"/>
              <w:rPr>
                <w:color w:val="000000"/>
                <w:lang w:eastAsia="en-GB"/>
              </w:rPr>
            </w:pPr>
            <w:r w:rsidRPr="00E926DE">
              <w:rPr>
                <w:color w:val="000000"/>
                <w:lang w:eastAsia="en-GB"/>
              </w:rPr>
              <w:t>Net Income/Tot</w:t>
            </w:r>
            <w:r w:rsidR="003D083E">
              <w:rPr>
                <w:color w:val="000000"/>
                <w:lang w:eastAsia="en-GB"/>
              </w:rPr>
              <w:t>al</w:t>
            </w:r>
            <w:r w:rsidRPr="00E926DE">
              <w:rPr>
                <w:color w:val="000000"/>
                <w:lang w:eastAsia="en-GB"/>
              </w:rPr>
              <w:t>.Assets</w:t>
            </w:r>
          </w:p>
        </w:tc>
        <w:tc>
          <w:tcPr>
            <w:tcW w:w="1610" w:type="dxa"/>
            <w:tcBorders>
              <w:top w:val="nil"/>
              <w:left w:val="nil"/>
              <w:bottom w:val="single" w:sz="4" w:space="0" w:color="auto"/>
              <w:right w:val="single" w:sz="4" w:space="0" w:color="auto"/>
            </w:tcBorders>
            <w:shd w:val="clear" w:color="000000" w:fill="FFFFFF"/>
            <w:noWrap/>
            <w:vAlign w:val="bottom"/>
            <w:hideMark/>
          </w:tcPr>
          <w:p w14:paraId="682398F0" w14:textId="77777777" w:rsidR="00E926DE" w:rsidRPr="00E926DE" w:rsidRDefault="00E926DE" w:rsidP="00E926DE">
            <w:pPr>
              <w:spacing w:line="240" w:lineRule="auto"/>
              <w:jc w:val="left"/>
              <w:rPr>
                <w:color w:val="000000"/>
                <w:lang w:eastAsia="en-GB"/>
              </w:rPr>
            </w:pPr>
            <w:r w:rsidRPr="00E926DE">
              <w:rPr>
                <w:color w:val="000000"/>
                <w:lang w:eastAsia="en-GB"/>
              </w:rPr>
              <w:t> </w:t>
            </w:r>
          </w:p>
        </w:tc>
        <w:tc>
          <w:tcPr>
            <w:tcW w:w="1610" w:type="dxa"/>
            <w:tcBorders>
              <w:top w:val="nil"/>
              <w:left w:val="nil"/>
              <w:bottom w:val="single" w:sz="4" w:space="0" w:color="auto"/>
              <w:right w:val="single" w:sz="4" w:space="0" w:color="auto"/>
            </w:tcBorders>
            <w:shd w:val="clear" w:color="000000" w:fill="FFFFFF"/>
            <w:noWrap/>
            <w:vAlign w:val="bottom"/>
            <w:hideMark/>
          </w:tcPr>
          <w:p w14:paraId="38AF15EA" w14:textId="77777777" w:rsidR="00E926DE" w:rsidRPr="00E926DE" w:rsidRDefault="00E926DE" w:rsidP="00E926DE">
            <w:pPr>
              <w:spacing w:line="240" w:lineRule="auto"/>
              <w:jc w:val="left"/>
              <w:rPr>
                <w:color w:val="000000"/>
                <w:lang w:eastAsia="en-GB"/>
              </w:rPr>
            </w:pPr>
            <w:r w:rsidRPr="00E926DE">
              <w:rPr>
                <w:color w:val="000000"/>
                <w:lang w:eastAsia="en-GB"/>
              </w:rPr>
              <w:t> </w:t>
            </w:r>
          </w:p>
        </w:tc>
        <w:tc>
          <w:tcPr>
            <w:tcW w:w="980" w:type="dxa"/>
            <w:tcBorders>
              <w:top w:val="nil"/>
              <w:left w:val="nil"/>
              <w:bottom w:val="nil"/>
              <w:right w:val="nil"/>
            </w:tcBorders>
            <w:shd w:val="clear" w:color="000000" w:fill="FFFFFF"/>
            <w:noWrap/>
            <w:vAlign w:val="bottom"/>
            <w:hideMark/>
          </w:tcPr>
          <w:p w14:paraId="2FE88CF9" w14:textId="77777777" w:rsidR="00E926DE" w:rsidRPr="00E926DE" w:rsidRDefault="00E926DE" w:rsidP="00E926DE">
            <w:pPr>
              <w:spacing w:line="240" w:lineRule="auto"/>
              <w:jc w:val="left"/>
              <w:rPr>
                <w:color w:val="000000"/>
                <w:lang w:eastAsia="en-GB"/>
              </w:rPr>
            </w:pPr>
            <w:r w:rsidRPr="00E926DE">
              <w:rPr>
                <w:color w:val="000000"/>
                <w:lang w:eastAsia="en-GB"/>
              </w:rPr>
              <w:t> </w:t>
            </w:r>
          </w:p>
        </w:tc>
      </w:tr>
    </w:tbl>
    <w:p w14:paraId="305DD22B" w14:textId="77777777" w:rsidR="008273F0" w:rsidRPr="00CD6CC0" w:rsidRDefault="00747CAF">
      <w:pPr>
        <w:jc w:val="center"/>
        <w:rPr>
          <w:b/>
        </w:rPr>
      </w:pPr>
      <w:r>
        <w:rPr>
          <w:b/>
        </w:rPr>
        <w:fldChar w:fldCharType="end"/>
      </w:r>
    </w:p>
    <w:p w14:paraId="74D64B04" w14:textId="004D4BB3" w:rsidR="00B12020" w:rsidRPr="00CD6CC0" w:rsidRDefault="00B12020">
      <w:pPr>
        <w:jc w:val="center"/>
        <w:rPr>
          <w:b/>
        </w:rPr>
      </w:pPr>
    </w:p>
    <w:p w14:paraId="5C08BE47" w14:textId="77777777" w:rsidR="00B12020" w:rsidRPr="00CD6CC0" w:rsidRDefault="00D93CD1">
      <w:pPr>
        <w:rPr>
          <w:b/>
        </w:rPr>
      </w:pPr>
      <w:r w:rsidRPr="00CD6CC0">
        <w:rPr>
          <w:b/>
        </w:rPr>
        <w:t xml:space="preserve">Liquidity ratios of business </w:t>
      </w:r>
    </w:p>
    <w:p w14:paraId="2781AC6F" w14:textId="7AF22E57" w:rsidR="00B45918" w:rsidRDefault="00D93CD1">
      <w:r w:rsidRPr="00CD6CC0">
        <w:t>The value and basic identification of this analysis are structured for recognising the liquidity value or the cash flow initiative level of the business in a specific order through establishing the relation between current assets and current liability positioning. Importance to this analysis has been initiated for formulation support of additional investment processing and other payable initiative reasons that are optimised for the business growth and other progressive attributable bases</w:t>
      </w:r>
      <w:r w:rsidR="00493AC6">
        <w:t xml:space="preserve"> </w:t>
      </w:r>
      <w:r w:rsidR="00493AC6">
        <w:rPr>
          <w:color w:val="000000" w:themeColor="text1"/>
          <w:shd w:val="clear" w:color="auto" w:fill="FFFFFF"/>
        </w:rPr>
        <w:t>(</w:t>
      </w:r>
      <w:r w:rsidR="00493AC6" w:rsidRPr="005B7785">
        <w:rPr>
          <w:color w:val="222222"/>
          <w:shd w:val="clear" w:color="auto" w:fill="FFFFFF"/>
        </w:rPr>
        <w:t>Biddle</w:t>
      </w:r>
      <w:r w:rsidR="00493AC6" w:rsidRPr="005B39AD">
        <w:rPr>
          <w:i/>
          <w:color w:val="000000" w:themeColor="text1"/>
          <w:shd w:val="clear" w:color="auto" w:fill="FFFFFF"/>
        </w:rPr>
        <w:t xml:space="preserve"> et al.,</w:t>
      </w:r>
      <w:r w:rsidR="00493AC6">
        <w:rPr>
          <w:color w:val="000000" w:themeColor="text1"/>
          <w:shd w:val="clear" w:color="auto" w:fill="FFFFFF"/>
        </w:rPr>
        <w:t xml:space="preserve"> 2022)</w:t>
      </w:r>
      <w:r w:rsidRPr="00CD6CC0">
        <w:t>. Such analysis of the business of Nokia Oyj has been provided</w:t>
      </w:r>
      <w:r w:rsidR="00435E39">
        <w:t>.</w:t>
      </w:r>
    </w:p>
    <w:p w14:paraId="6717964B" w14:textId="77777777" w:rsidR="00B45918" w:rsidRPr="00CD6CC0" w:rsidRDefault="00B45918"/>
    <w:tbl>
      <w:tblPr>
        <w:tblW w:w="9120" w:type="dxa"/>
        <w:tblLook w:val="04A0" w:firstRow="1" w:lastRow="0" w:firstColumn="1" w:lastColumn="0" w:noHBand="0" w:noVBand="1"/>
      </w:tblPr>
      <w:tblGrid>
        <w:gridCol w:w="5900"/>
        <w:gridCol w:w="1610"/>
        <w:gridCol w:w="1610"/>
      </w:tblGrid>
      <w:tr w:rsidR="008273F0" w:rsidRPr="008273F0" w14:paraId="77EC4AEF" w14:textId="77777777" w:rsidTr="008273F0">
        <w:trPr>
          <w:trHeight w:val="312"/>
        </w:trPr>
        <w:tc>
          <w:tcPr>
            <w:tcW w:w="5900"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14:paraId="55C8B83A" w14:textId="77777777" w:rsidR="008273F0" w:rsidRPr="008273F0" w:rsidRDefault="008273F0" w:rsidP="008273F0">
            <w:pPr>
              <w:spacing w:line="240" w:lineRule="auto"/>
              <w:jc w:val="left"/>
              <w:rPr>
                <w:color w:val="000000"/>
                <w:lang w:eastAsia="en-GB"/>
              </w:rPr>
            </w:pPr>
            <w:r w:rsidRPr="008273F0">
              <w:rPr>
                <w:color w:val="000000"/>
                <w:lang w:eastAsia="en-GB"/>
              </w:rPr>
              <w:lastRenderedPageBreak/>
              <w:t> </w:t>
            </w:r>
          </w:p>
        </w:tc>
        <w:tc>
          <w:tcPr>
            <w:tcW w:w="3220" w:type="dxa"/>
            <w:gridSpan w:val="2"/>
            <w:tcBorders>
              <w:top w:val="single" w:sz="4" w:space="0" w:color="auto"/>
              <w:left w:val="nil"/>
              <w:bottom w:val="single" w:sz="4" w:space="0" w:color="auto"/>
              <w:right w:val="single" w:sz="4" w:space="0" w:color="auto"/>
            </w:tcBorders>
            <w:shd w:val="clear" w:color="000000" w:fill="FFFFFF"/>
            <w:noWrap/>
            <w:vAlign w:val="bottom"/>
            <w:hideMark/>
          </w:tcPr>
          <w:p w14:paraId="10506982" w14:textId="77777777" w:rsidR="008273F0" w:rsidRPr="008273F0" w:rsidRDefault="008273F0" w:rsidP="008273F0">
            <w:pPr>
              <w:spacing w:line="240" w:lineRule="auto"/>
              <w:jc w:val="center"/>
              <w:rPr>
                <w:b/>
                <w:bCs/>
                <w:lang w:eastAsia="en-GB"/>
              </w:rPr>
            </w:pPr>
            <w:r w:rsidRPr="008273F0">
              <w:rPr>
                <w:b/>
                <w:bCs/>
                <w:lang w:eastAsia="en-GB"/>
              </w:rPr>
              <w:t>Nokia Oyj</w:t>
            </w:r>
          </w:p>
        </w:tc>
      </w:tr>
      <w:tr w:rsidR="008273F0" w:rsidRPr="008273F0" w14:paraId="35360C5F" w14:textId="77777777" w:rsidTr="008273F0">
        <w:trPr>
          <w:trHeight w:val="312"/>
        </w:trPr>
        <w:tc>
          <w:tcPr>
            <w:tcW w:w="5900" w:type="dxa"/>
            <w:tcBorders>
              <w:top w:val="nil"/>
              <w:left w:val="single" w:sz="4" w:space="0" w:color="auto"/>
              <w:bottom w:val="single" w:sz="4" w:space="0" w:color="auto"/>
              <w:right w:val="single" w:sz="4" w:space="0" w:color="auto"/>
            </w:tcBorders>
            <w:shd w:val="clear" w:color="000000" w:fill="C4BD97"/>
            <w:noWrap/>
            <w:vAlign w:val="bottom"/>
            <w:hideMark/>
          </w:tcPr>
          <w:p w14:paraId="3F03A132" w14:textId="77777777" w:rsidR="008273F0" w:rsidRPr="008273F0" w:rsidRDefault="008273F0" w:rsidP="008273F0">
            <w:pPr>
              <w:spacing w:line="240" w:lineRule="auto"/>
              <w:jc w:val="left"/>
              <w:rPr>
                <w:b/>
                <w:bCs/>
                <w:color w:val="000000"/>
                <w:lang w:eastAsia="en-GB"/>
              </w:rPr>
            </w:pPr>
            <w:r w:rsidRPr="008273F0">
              <w:rPr>
                <w:b/>
                <w:bCs/>
                <w:color w:val="000000"/>
                <w:lang w:eastAsia="en-GB"/>
              </w:rPr>
              <w:t>Input data for Liquidity Ratios:</w:t>
            </w:r>
          </w:p>
        </w:tc>
        <w:tc>
          <w:tcPr>
            <w:tcW w:w="1610" w:type="dxa"/>
            <w:tcBorders>
              <w:top w:val="nil"/>
              <w:left w:val="nil"/>
              <w:bottom w:val="single" w:sz="4" w:space="0" w:color="auto"/>
              <w:right w:val="single" w:sz="4" w:space="0" w:color="auto"/>
            </w:tcBorders>
            <w:shd w:val="clear" w:color="000000" w:fill="C4BD97"/>
            <w:noWrap/>
            <w:vAlign w:val="bottom"/>
            <w:hideMark/>
          </w:tcPr>
          <w:p w14:paraId="094BC413" w14:textId="77777777" w:rsidR="008273F0" w:rsidRPr="008273F0" w:rsidRDefault="008273F0" w:rsidP="008273F0">
            <w:pPr>
              <w:spacing w:line="240" w:lineRule="auto"/>
              <w:jc w:val="right"/>
              <w:rPr>
                <w:b/>
                <w:bCs/>
                <w:color w:val="000000"/>
                <w:lang w:eastAsia="en-GB"/>
              </w:rPr>
            </w:pPr>
            <w:r w:rsidRPr="008273F0">
              <w:rPr>
                <w:b/>
                <w:bCs/>
                <w:color w:val="000000"/>
                <w:lang w:eastAsia="en-GB"/>
              </w:rPr>
              <w:t>2022</w:t>
            </w:r>
          </w:p>
        </w:tc>
        <w:tc>
          <w:tcPr>
            <w:tcW w:w="1610" w:type="dxa"/>
            <w:tcBorders>
              <w:top w:val="nil"/>
              <w:left w:val="nil"/>
              <w:bottom w:val="single" w:sz="4" w:space="0" w:color="auto"/>
              <w:right w:val="single" w:sz="4" w:space="0" w:color="auto"/>
            </w:tcBorders>
            <w:shd w:val="clear" w:color="000000" w:fill="C4BD97"/>
            <w:noWrap/>
            <w:vAlign w:val="bottom"/>
            <w:hideMark/>
          </w:tcPr>
          <w:p w14:paraId="3AADB643" w14:textId="77777777" w:rsidR="008273F0" w:rsidRPr="008273F0" w:rsidRDefault="008273F0" w:rsidP="008273F0">
            <w:pPr>
              <w:spacing w:line="240" w:lineRule="auto"/>
              <w:jc w:val="right"/>
              <w:rPr>
                <w:b/>
                <w:bCs/>
                <w:color w:val="000000"/>
                <w:lang w:eastAsia="en-GB"/>
              </w:rPr>
            </w:pPr>
            <w:r w:rsidRPr="008273F0">
              <w:rPr>
                <w:b/>
                <w:bCs/>
                <w:color w:val="000000"/>
                <w:lang w:eastAsia="en-GB"/>
              </w:rPr>
              <w:t>2021</w:t>
            </w:r>
          </w:p>
        </w:tc>
      </w:tr>
      <w:tr w:rsidR="008273F0" w:rsidRPr="008273F0" w14:paraId="7E81E24E" w14:textId="77777777" w:rsidTr="008273F0">
        <w:trPr>
          <w:trHeight w:val="312"/>
        </w:trPr>
        <w:tc>
          <w:tcPr>
            <w:tcW w:w="5900" w:type="dxa"/>
            <w:tcBorders>
              <w:top w:val="nil"/>
              <w:left w:val="single" w:sz="4" w:space="0" w:color="auto"/>
              <w:bottom w:val="single" w:sz="4" w:space="0" w:color="auto"/>
              <w:right w:val="single" w:sz="4" w:space="0" w:color="auto"/>
            </w:tcBorders>
            <w:shd w:val="clear" w:color="000000" w:fill="C4BD97"/>
            <w:noWrap/>
            <w:vAlign w:val="bottom"/>
            <w:hideMark/>
          </w:tcPr>
          <w:p w14:paraId="75855ECB" w14:textId="77777777" w:rsidR="008273F0" w:rsidRPr="008273F0" w:rsidRDefault="008273F0" w:rsidP="008273F0">
            <w:pPr>
              <w:spacing w:line="240" w:lineRule="auto"/>
              <w:jc w:val="left"/>
              <w:rPr>
                <w:color w:val="000000"/>
                <w:lang w:eastAsia="en-GB"/>
              </w:rPr>
            </w:pPr>
            <w:r w:rsidRPr="008273F0">
              <w:rPr>
                <w:color w:val="000000"/>
                <w:lang w:eastAsia="en-GB"/>
              </w:rPr>
              <w:t>Current Assets</w:t>
            </w:r>
          </w:p>
        </w:tc>
        <w:tc>
          <w:tcPr>
            <w:tcW w:w="1610" w:type="dxa"/>
            <w:tcBorders>
              <w:top w:val="nil"/>
              <w:left w:val="nil"/>
              <w:bottom w:val="single" w:sz="4" w:space="0" w:color="auto"/>
              <w:right w:val="single" w:sz="4" w:space="0" w:color="auto"/>
            </w:tcBorders>
            <w:shd w:val="clear" w:color="000000" w:fill="C4BD97"/>
            <w:noWrap/>
            <w:vAlign w:val="bottom"/>
            <w:hideMark/>
          </w:tcPr>
          <w:p w14:paraId="18927A20" w14:textId="77777777" w:rsidR="008273F0" w:rsidRPr="008273F0" w:rsidRDefault="008273F0" w:rsidP="008273F0">
            <w:pPr>
              <w:spacing w:line="240" w:lineRule="auto"/>
              <w:jc w:val="right"/>
              <w:rPr>
                <w:color w:val="000000"/>
                <w:lang w:eastAsia="en-GB"/>
              </w:rPr>
            </w:pPr>
            <w:r w:rsidRPr="008273F0">
              <w:rPr>
                <w:color w:val="000000"/>
                <w:lang w:eastAsia="en-GB"/>
              </w:rPr>
              <w:t>20,677</w:t>
            </w:r>
          </w:p>
        </w:tc>
        <w:tc>
          <w:tcPr>
            <w:tcW w:w="1610" w:type="dxa"/>
            <w:tcBorders>
              <w:top w:val="nil"/>
              <w:left w:val="nil"/>
              <w:bottom w:val="single" w:sz="4" w:space="0" w:color="auto"/>
              <w:right w:val="single" w:sz="4" w:space="0" w:color="auto"/>
            </w:tcBorders>
            <w:shd w:val="clear" w:color="000000" w:fill="C4BD97"/>
            <w:noWrap/>
            <w:vAlign w:val="bottom"/>
            <w:hideMark/>
          </w:tcPr>
          <w:p w14:paraId="4663D226" w14:textId="77777777" w:rsidR="008273F0" w:rsidRPr="008273F0" w:rsidRDefault="008273F0" w:rsidP="008273F0">
            <w:pPr>
              <w:spacing w:line="240" w:lineRule="auto"/>
              <w:jc w:val="right"/>
              <w:rPr>
                <w:color w:val="000000"/>
                <w:lang w:eastAsia="en-GB"/>
              </w:rPr>
            </w:pPr>
            <w:r w:rsidRPr="008273F0">
              <w:rPr>
                <w:color w:val="000000"/>
                <w:lang w:eastAsia="en-GB"/>
              </w:rPr>
              <w:t>20,452</w:t>
            </w:r>
          </w:p>
        </w:tc>
      </w:tr>
      <w:tr w:rsidR="008273F0" w:rsidRPr="008273F0" w14:paraId="72DDB4CE" w14:textId="77777777" w:rsidTr="008273F0">
        <w:trPr>
          <w:trHeight w:val="312"/>
        </w:trPr>
        <w:tc>
          <w:tcPr>
            <w:tcW w:w="5900" w:type="dxa"/>
            <w:tcBorders>
              <w:top w:val="nil"/>
              <w:left w:val="single" w:sz="4" w:space="0" w:color="auto"/>
              <w:bottom w:val="single" w:sz="4" w:space="0" w:color="auto"/>
              <w:right w:val="single" w:sz="4" w:space="0" w:color="auto"/>
            </w:tcBorders>
            <w:shd w:val="clear" w:color="000000" w:fill="C4BD97"/>
            <w:noWrap/>
            <w:vAlign w:val="bottom"/>
            <w:hideMark/>
          </w:tcPr>
          <w:p w14:paraId="57D3B6C2" w14:textId="77777777" w:rsidR="008273F0" w:rsidRPr="008273F0" w:rsidRDefault="008273F0" w:rsidP="008273F0">
            <w:pPr>
              <w:spacing w:line="240" w:lineRule="auto"/>
              <w:jc w:val="left"/>
              <w:rPr>
                <w:color w:val="000000"/>
                <w:lang w:eastAsia="en-GB"/>
              </w:rPr>
            </w:pPr>
            <w:r w:rsidRPr="008273F0">
              <w:rPr>
                <w:color w:val="000000"/>
                <w:lang w:eastAsia="en-GB"/>
              </w:rPr>
              <w:t>Current Liabilities</w:t>
            </w:r>
          </w:p>
        </w:tc>
        <w:tc>
          <w:tcPr>
            <w:tcW w:w="1610" w:type="dxa"/>
            <w:tcBorders>
              <w:top w:val="nil"/>
              <w:left w:val="nil"/>
              <w:bottom w:val="single" w:sz="4" w:space="0" w:color="auto"/>
              <w:right w:val="single" w:sz="4" w:space="0" w:color="auto"/>
            </w:tcBorders>
            <w:shd w:val="clear" w:color="000000" w:fill="C4BD97"/>
            <w:noWrap/>
            <w:vAlign w:val="bottom"/>
            <w:hideMark/>
          </w:tcPr>
          <w:p w14:paraId="70170405" w14:textId="77777777" w:rsidR="008273F0" w:rsidRPr="008273F0" w:rsidRDefault="008273F0" w:rsidP="008273F0">
            <w:pPr>
              <w:spacing w:line="240" w:lineRule="auto"/>
              <w:jc w:val="right"/>
              <w:rPr>
                <w:color w:val="000000"/>
                <w:lang w:eastAsia="en-GB"/>
              </w:rPr>
            </w:pPr>
            <w:r w:rsidRPr="008273F0">
              <w:rPr>
                <w:color w:val="000000"/>
                <w:lang w:eastAsia="en-GB"/>
              </w:rPr>
              <w:t>12,774</w:t>
            </w:r>
          </w:p>
        </w:tc>
        <w:tc>
          <w:tcPr>
            <w:tcW w:w="1610" w:type="dxa"/>
            <w:tcBorders>
              <w:top w:val="nil"/>
              <w:left w:val="nil"/>
              <w:bottom w:val="single" w:sz="4" w:space="0" w:color="auto"/>
              <w:right w:val="single" w:sz="4" w:space="0" w:color="auto"/>
            </w:tcBorders>
            <w:shd w:val="clear" w:color="000000" w:fill="C4BD97"/>
            <w:noWrap/>
            <w:vAlign w:val="bottom"/>
            <w:hideMark/>
          </w:tcPr>
          <w:p w14:paraId="3E0221F6" w14:textId="77777777" w:rsidR="008273F0" w:rsidRPr="008273F0" w:rsidRDefault="008273F0" w:rsidP="008273F0">
            <w:pPr>
              <w:spacing w:line="240" w:lineRule="auto"/>
              <w:jc w:val="right"/>
              <w:rPr>
                <w:color w:val="000000"/>
                <w:lang w:eastAsia="en-GB"/>
              </w:rPr>
            </w:pPr>
            <w:r w:rsidRPr="008273F0">
              <w:rPr>
                <w:color w:val="000000"/>
                <w:lang w:eastAsia="en-GB"/>
              </w:rPr>
              <w:t>12,101</w:t>
            </w:r>
          </w:p>
        </w:tc>
      </w:tr>
      <w:tr w:rsidR="008273F0" w:rsidRPr="008273F0" w14:paraId="45894FB3" w14:textId="77777777" w:rsidTr="008273F0">
        <w:trPr>
          <w:trHeight w:val="312"/>
        </w:trPr>
        <w:tc>
          <w:tcPr>
            <w:tcW w:w="5900" w:type="dxa"/>
            <w:tcBorders>
              <w:top w:val="nil"/>
              <w:left w:val="single" w:sz="4" w:space="0" w:color="auto"/>
              <w:bottom w:val="single" w:sz="4" w:space="0" w:color="auto"/>
              <w:right w:val="single" w:sz="4" w:space="0" w:color="auto"/>
            </w:tcBorders>
            <w:shd w:val="clear" w:color="000000" w:fill="C4BD97"/>
            <w:noWrap/>
            <w:vAlign w:val="bottom"/>
            <w:hideMark/>
          </w:tcPr>
          <w:p w14:paraId="3E6E25E4" w14:textId="77777777" w:rsidR="008273F0" w:rsidRPr="008273F0" w:rsidRDefault="008273F0" w:rsidP="008273F0">
            <w:pPr>
              <w:spacing w:line="240" w:lineRule="auto"/>
              <w:jc w:val="left"/>
              <w:rPr>
                <w:color w:val="000000"/>
                <w:lang w:eastAsia="en-GB"/>
              </w:rPr>
            </w:pPr>
            <w:r w:rsidRPr="008273F0">
              <w:rPr>
                <w:color w:val="000000"/>
                <w:lang w:eastAsia="en-GB"/>
              </w:rPr>
              <w:t>Inventories</w:t>
            </w:r>
          </w:p>
        </w:tc>
        <w:tc>
          <w:tcPr>
            <w:tcW w:w="1610" w:type="dxa"/>
            <w:tcBorders>
              <w:top w:val="nil"/>
              <w:left w:val="nil"/>
              <w:bottom w:val="single" w:sz="4" w:space="0" w:color="auto"/>
              <w:right w:val="single" w:sz="4" w:space="0" w:color="auto"/>
            </w:tcBorders>
            <w:shd w:val="clear" w:color="000000" w:fill="C4BD97"/>
            <w:noWrap/>
            <w:vAlign w:val="bottom"/>
            <w:hideMark/>
          </w:tcPr>
          <w:p w14:paraId="22B07AC4" w14:textId="77777777" w:rsidR="008273F0" w:rsidRPr="008273F0" w:rsidRDefault="008273F0" w:rsidP="008273F0">
            <w:pPr>
              <w:spacing w:line="240" w:lineRule="auto"/>
              <w:jc w:val="right"/>
              <w:rPr>
                <w:color w:val="000000"/>
                <w:lang w:eastAsia="en-GB"/>
              </w:rPr>
            </w:pPr>
            <w:r w:rsidRPr="008273F0">
              <w:rPr>
                <w:color w:val="000000"/>
                <w:lang w:eastAsia="en-GB"/>
              </w:rPr>
              <w:t>3,265</w:t>
            </w:r>
          </w:p>
        </w:tc>
        <w:tc>
          <w:tcPr>
            <w:tcW w:w="1610" w:type="dxa"/>
            <w:tcBorders>
              <w:top w:val="nil"/>
              <w:left w:val="nil"/>
              <w:bottom w:val="single" w:sz="4" w:space="0" w:color="auto"/>
              <w:right w:val="single" w:sz="4" w:space="0" w:color="auto"/>
            </w:tcBorders>
            <w:shd w:val="clear" w:color="000000" w:fill="C4BD97"/>
            <w:noWrap/>
            <w:vAlign w:val="bottom"/>
            <w:hideMark/>
          </w:tcPr>
          <w:p w14:paraId="676269FF" w14:textId="77777777" w:rsidR="008273F0" w:rsidRPr="008273F0" w:rsidRDefault="008273F0" w:rsidP="008273F0">
            <w:pPr>
              <w:spacing w:line="240" w:lineRule="auto"/>
              <w:jc w:val="right"/>
              <w:rPr>
                <w:color w:val="000000"/>
                <w:lang w:eastAsia="en-GB"/>
              </w:rPr>
            </w:pPr>
            <w:r w:rsidRPr="008273F0">
              <w:rPr>
                <w:color w:val="000000"/>
                <w:lang w:eastAsia="en-GB"/>
              </w:rPr>
              <w:t>2,392</w:t>
            </w:r>
          </w:p>
        </w:tc>
      </w:tr>
      <w:tr w:rsidR="008273F0" w:rsidRPr="008273F0" w14:paraId="06038074" w14:textId="77777777" w:rsidTr="008273F0">
        <w:trPr>
          <w:trHeight w:val="312"/>
        </w:trPr>
        <w:tc>
          <w:tcPr>
            <w:tcW w:w="5900" w:type="dxa"/>
            <w:tcBorders>
              <w:top w:val="nil"/>
              <w:left w:val="single" w:sz="4" w:space="0" w:color="auto"/>
              <w:bottom w:val="single" w:sz="4" w:space="0" w:color="auto"/>
              <w:right w:val="single" w:sz="4" w:space="0" w:color="auto"/>
            </w:tcBorders>
            <w:shd w:val="clear" w:color="000000" w:fill="C4BD97"/>
            <w:noWrap/>
            <w:vAlign w:val="bottom"/>
            <w:hideMark/>
          </w:tcPr>
          <w:p w14:paraId="3FC36DBA" w14:textId="77777777" w:rsidR="008273F0" w:rsidRPr="008273F0" w:rsidRDefault="008273F0" w:rsidP="008273F0">
            <w:pPr>
              <w:spacing w:line="240" w:lineRule="auto"/>
              <w:jc w:val="left"/>
              <w:rPr>
                <w:color w:val="000000"/>
                <w:lang w:eastAsia="en-GB"/>
              </w:rPr>
            </w:pPr>
            <w:r w:rsidRPr="008273F0">
              <w:rPr>
                <w:color w:val="000000"/>
                <w:lang w:eastAsia="en-GB"/>
              </w:rPr>
              <w:t>Cash</w:t>
            </w:r>
          </w:p>
        </w:tc>
        <w:tc>
          <w:tcPr>
            <w:tcW w:w="1610" w:type="dxa"/>
            <w:tcBorders>
              <w:top w:val="nil"/>
              <w:left w:val="nil"/>
              <w:bottom w:val="single" w:sz="4" w:space="0" w:color="auto"/>
              <w:right w:val="single" w:sz="4" w:space="0" w:color="auto"/>
            </w:tcBorders>
            <w:shd w:val="clear" w:color="000000" w:fill="C4BD97"/>
            <w:noWrap/>
            <w:vAlign w:val="bottom"/>
            <w:hideMark/>
          </w:tcPr>
          <w:p w14:paraId="47556165" w14:textId="77777777" w:rsidR="008273F0" w:rsidRPr="008273F0" w:rsidRDefault="008273F0" w:rsidP="008273F0">
            <w:pPr>
              <w:spacing w:line="240" w:lineRule="auto"/>
              <w:jc w:val="right"/>
              <w:rPr>
                <w:color w:val="000000"/>
                <w:lang w:eastAsia="en-GB"/>
              </w:rPr>
            </w:pPr>
            <w:r w:rsidRPr="008273F0">
              <w:rPr>
                <w:color w:val="000000"/>
                <w:lang w:eastAsia="en-GB"/>
              </w:rPr>
              <w:t>5,467</w:t>
            </w:r>
          </w:p>
        </w:tc>
        <w:tc>
          <w:tcPr>
            <w:tcW w:w="1610" w:type="dxa"/>
            <w:tcBorders>
              <w:top w:val="nil"/>
              <w:left w:val="nil"/>
              <w:bottom w:val="single" w:sz="4" w:space="0" w:color="auto"/>
              <w:right w:val="single" w:sz="4" w:space="0" w:color="auto"/>
            </w:tcBorders>
            <w:shd w:val="clear" w:color="000000" w:fill="C4BD97"/>
            <w:noWrap/>
            <w:vAlign w:val="bottom"/>
            <w:hideMark/>
          </w:tcPr>
          <w:p w14:paraId="31863DF4" w14:textId="77777777" w:rsidR="008273F0" w:rsidRPr="008273F0" w:rsidRDefault="008273F0" w:rsidP="008273F0">
            <w:pPr>
              <w:spacing w:line="240" w:lineRule="auto"/>
              <w:jc w:val="right"/>
              <w:rPr>
                <w:color w:val="000000"/>
                <w:lang w:eastAsia="en-GB"/>
              </w:rPr>
            </w:pPr>
            <w:r w:rsidRPr="008273F0">
              <w:rPr>
                <w:color w:val="000000"/>
                <w:lang w:eastAsia="en-GB"/>
              </w:rPr>
              <w:t>6,691</w:t>
            </w:r>
          </w:p>
        </w:tc>
      </w:tr>
      <w:tr w:rsidR="008273F0" w:rsidRPr="008273F0" w14:paraId="1AE08365" w14:textId="77777777" w:rsidTr="008273F0">
        <w:trPr>
          <w:trHeight w:val="312"/>
        </w:trPr>
        <w:tc>
          <w:tcPr>
            <w:tcW w:w="5900" w:type="dxa"/>
            <w:tcBorders>
              <w:top w:val="nil"/>
              <w:left w:val="single" w:sz="4" w:space="0" w:color="auto"/>
              <w:bottom w:val="single" w:sz="4" w:space="0" w:color="auto"/>
              <w:right w:val="single" w:sz="4" w:space="0" w:color="auto"/>
            </w:tcBorders>
            <w:shd w:val="clear" w:color="000000" w:fill="FFFFFF"/>
            <w:noWrap/>
            <w:vAlign w:val="bottom"/>
            <w:hideMark/>
          </w:tcPr>
          <w:p w14:paraId="4F638834" w14:textId="77777777" w:rsidR="008273F0" w:rsidRPr="008273F0" w:rsidRDefault="008273F0" w:rsidP="008273F0">
            <w:pPr>
              <w:spacing w:line="240" w:lineRule="auto"/>
              <w:jc w:val="left"/>
              <w:rPr>
                <w:color w:val="000000"/>
                <w:lang w:eastAsia="en-GB"/>
              </w:rPr>
            </w:pPr>
            <w:r w:rsidRPr="008273F0">
              <w:rPr>
                <w:color w:val="000000"/>
                <w:lang w:eastAsia="en-GB"/>
              </w:rPr>
              <w:t> </w:t>
            </w:r>
          </w:p>
        </w:tc>
        <w:tc>
          <w:tcPr>
            <w:tcW w:w="1610" w:type="dxa"/>
            <w:tcBorders>
              <w:top w:val="nil"/>
              <w:left w:val="nil"/>
              <w:bottom w:val="single" w:sz="4" w:space="0" w:color="auto"/>
              <w:right w:val="single" w:sz="4" w:space="0" w:color="auto"/>
            </w:tcBorders>
            <w:shd w:val="clear" w:color="000000" w:fill="FFFFFF"/>
            <w:noWrap/>
            <w:vAlign w:val="bottom"/>
            <w:hideMark/>
          </w:tcPr>
          <w:p w14:paraId="386D1738" w14:textId="77777777" w:rsidR="008273F0" w:rsidRPr="008273F0" w:rsidRDefault="008273F0" w:rsidP="008273F0">
            <w:pPr>
              <w:spacing w:line="240" w:lineRule="auto"/>
              <w:jc w:val="left"/>
              <w:rPr>
                <w:color w:val="000000"/>
                <w:lang w:eastAsia="en-GB"/>
              </w:rPr>
            </w:pPr>
            <w:r w:rsidRPr="008273F0">
              <w:rPr>
                <w:color w:val="000000"/>
                <w:lang w:eastAsia="en-GB"/>
              </w:rPr>
              <w:t> </w:t>
            </w:r>
          </w:p>
        </w:tc>
        <w:tc>
          <w:tcPr>
            <w:tcW w:w="1610" w:type="dxa"/>
            <w:tcBorders>
              <w:top w:val="nil"/>
              <w:left w:val="nil"/>
              <w:bottom w:val="single" w:sz="4" w:space="0" w:color="auto"/>
              <w:right w:val="single" w:sz="4" w:space="0" w:color="auto"/>
            </w:tcBorders>
            <w:shd w:val="clear" w:color="000000" w:fill="FFFFFF"/>
            <w:noWrap/>
            <w:vAlign w:val="bottom"/>
            <w:hideMark/>
          </w:tcPr>
          <w:p w14:paraId="4C20A180" w14:textId="77777777" w:rsidR="008273F0" w:rsidRPr="008273F0" w:rsidRDefault="008273F0" w:rsidP="008273F0">
            <w:pPr>
              <w:spacing w:line="240" w:lineRule="auto"/>
              <w:jc w:val="left"/>
              <w:rPr>
                <w:color w:val="000000"/>
                <w:lang w:eastAsia="en-GB"/>
              </w:rPr>
            </w:pPr>
            <w:r w:rsidRPr="008273F0">
              <w:rPr>
                <w:color w:val="000000"/>
                <w:lang w:eastAsia="en-GB"/>
              </w:rPr>
              <w:t> </w:t>
            </w:r>
          </w:p>
        </w:tc>
      </w:tr>
      <w:tr w:rsidR="008273F0" w:rsidRPr="008273F0" w14:paraId="39514C22" w14:textId="77777777" w:rsidTr="008273F0">
        <w:trPr>
          <w:trHeight w:val="312"/>
        </w:trPr>
        <w:tc>
          <w:tcPr>
            <w:tcW w:w="5900" w:type="dxa"/>
            <w:tcBorders>
              <w:top w:val="nil"/>
              <w:left w:val="single" w:sz="4" w:space="0" w:color="auto"/>
              <w:bottom w:val="single" w:sz="4" w:space="0" w:color="auto"/>
              <w:right w:val="single" w:sz="4" w:space="0" w:color="auto"/>
            </w:tcBorders>
            <w:shd w:val="clear" w:color="000000" w:fill="FFFFFF"/>
            <w:noWrap/>
            <w:vAlign w:val="bottom"/>
            <w:hideMark/>
          </w:tcPr>
          <w:p w14:paraId="321D6FA4" w14:textId="77777777" w:rsidR="008273F0" w:rsidRPr="008273F0" w:rsidRDefault="008273F0" w:rsidP="008273F0">
            <w:pPr>
              <w:spacing w:line="240" w:lineRule="auto"/>
              <w:jc w:val="left"/>
              <w:rPr>
                <w:b/>
                <w:bCs/>
                <w:color w:val="000000"/>
                <w:lang w:eastAsia="en-GB"/>
              </w:rPr>
            </w:pPr>
            <w:r w:rsidRPr="008273F0">
              <w:rPr>
                <w:b/>
                <w:bCs/>
                <w:color w:val="000000"/>
                <w:lang w:eastAsia="en-GB"/>
              </w:rPr>
              <w:t>LIQUIDITY RATIOS:</w:t>
            </w:r>
          </w:p>
        </w:tc>
        <w:tc>
          <w:tcPr>
            <w:tcW w:w="1610" w:type="dxa"/>
            <w:tcBorders>
              <w:top w:val="nil"/>
              <w:left w:val="nil"/>
              <w:bottom w:val="single" w:sz="4" w:space="0" w:color="auto"/>
              <w:right w:val="single" w:sz="4" w:space="0" w:color="auto"/>
            </w:tcBorders>
            <w:shd w:val="clear" w:color="000000" w:fill="FFFFFF"/>
            <w:noWrap/>
            <w:vAlign w:val="bottom"/>
            <w:hideMark/>
          </w:tcPr>
          <w:p w14:paraId="2E50B807" w14:textId="77777777" w:rsidR="008273F0" w:rsidRPr="008273F0" w:rsidRDefault="008273F0" w:rsidP="008273F0">
            <w:pPr>
              <w:spacing w:line="240" w:lineRule="auto"/>
              <w:jc w:val="right"/>
              <w:rPr>
                <w:b/>
                <w:bCs/>
                <w:color w:val="000000"/>
                <w:lang w:eastAsia="en-GB"/>
              </w:rPr>
            </w:pPr>
            <w:r w:rsidRPr="008273F0">
              <w:rPr>
                <w:b/>
                <w:bCs/>
                <w:color w:val="000000"/>
                <w:lang w:eastAsia="en-GB"/>
              </w:rPr>
              <w:t>2022</w:t>
            </w:r>
          </w:p>
        </w:tc>
        <w:tc>
          <w:tcPr>
            <w:tcW w:w="1610" w:type="dxa"/>
            <w:tcBorders>
              <w:top w:val="nil"/>
              <w:left w:val="nil"/>
              <w:bottom w:val="single" w:sz="4" w:space="0" w:color="auto"/>
              <w:right w:val="single" w:sz="4" w:space="0" w:color="auto"/>
            </w:tcBorders>
            <w:shd w:val="clear" w:color="000000" w:fill="FFFFFF"/>
            <w:noWrap/>
            <w:vAlign w:val="bottom"/>
            <w:hideMark/>
          </w:tcPr>
          <w:p w14:paraId="69B0A906" w14:textId="77777777" w:rsidR="008273F0" w:rsidRPr="008273F0" w:rsidRDefault="008273F0" w:rsidP="008273F0">
            <w:pPr>
              <w:spacing w:line="240" w:lineRule="auto"/>
              <w:jc w:val="right"/>
              <w:rPr>
                <w:b/>
                <w:bCs/>
                <w:color w:val="000000"/>
                <w:lang w:eastAsia="en-GB"/>
              </w:rPr>
            </w:pPr>
            <w:r w:rsidRPr="008273F0">
              <w:rPr>
                <w:b/>
                <w:bCs/>
                <w:color w:val="000000"/>
                <w:lang w:eastAsia="en-GB"/>
              </w:rPr>
              <w:t>2021</w:t>
            </w:r>
          </w:p>
        </w:tc>
      </w:tr>
      <w:tr w:rsidR="008273F0" w:rsidRPr="008273F0" w14:paraId="30929144" w14:textId="77777777" w:rsidTr="008273F0">
        <w:trPr>
          <w:trHeight w:val="312"/>
        </w:trPr>
        <w:tc>
          <w:tcPr>
            <w:tcW w:w="5900" w:type="dxa"/>
            <w:tcBorders>
              <w:top w:val="nil"/>
              <w:left w:val="single" w:sz="4" w:space="0" w:color="auto"/>
              <w:bottom w:val="single" w:sz="4" w:space="0" w:color="auto"/>
              <w:right w:val="single" w:sz="4" w:space="0" w:color="auto"/>
            </w:tcBorders>
            <w:shd w:val="clear" w:color="000000" w:fill="FFFFFF"/>
            <w:noWrap/>
            <w:vAlign w:val="bottom"/>
            <w:hideMark/>
          </w:tcPr>
          <w:p w14:paraId="7EE27EFA" w14:textId="77777777" w:rsidR="008273F0" w:rsidRPr="008273F0" w:rsidRDefault="008273F0" w:rsidP="008273F0">
            <w:pPr>
              <w:spacing w:line="240" w:lineRule="auto"/>
              <w:jc w:val="left"/>
              <w:rPr>
                <w:b/>
                <w:bCs/>
                <w:color w:val="000000"/>
                <w:lang w:eastAsia="en-GB"/>
              </w:rPr>
            </w:pPr>
            <w:r w:rsidRPr="008273F0">
              <w:rPr>
                <w:b/>
                <w:bCs/>
                <w:color w:val="000000"/>
                <w:lang w:eastAsia="en-GB"/>
              </w:rPr>
              <w:t>Current Ratio</w:t>
            </w:r>
          </w:p>
        </w:tc>
        <w:tc>
          <w:tcPr>
            <w:tcW w:w="1610" w:type="dxa"/>
            <w:tcBorders>
              <w:top w:val="nil"/>
              <w:left w:val="nil"/>
              <w:bottom w:val="single" w:sz="4" w:space="0" w:color="auto"/>
              <w:right w:val="single" w:sz="4" w:space="0" w:color="auto"/>
            </w:tcBorders>
            <w:shd w:val="clear" w:color="000000" w:fill="FFFFFF"/>
            <w:noWrap/>
            <w:vAlign w:val="bottom"/>
            <w:hideMark/>
          </w:tcPr>
          <w:p w14:paraId="522E39BA" w14:textId="77777777" w:rsidR="008273F0" w:rsidRPr="008273F0" w:rsidRDefault="008273F0" w:rsidP="008273F0">
            <w:pPr>
              <w:spacing w:line="240" w:lineRule="auto"/>
              <w:jc w:val="right"/>
              <w:rPr>
                <w:color w:val="000000"/>
                <w:lang w:eastAsia="en-GB"/>
              </w:rPr>
            </w:pPr>
            <w:r w:rsidRPr="008273F0">
              <w:rPr>
                <w:color w:val="000000"/>
                <w:lang w:eastAsia="en-GB"/>
              </w:rPr>
              <w:t>1.62</w:t>
            </w:r>
          </w:p>
        </w:tc>
        <w:tc>
          <w:tcPr>
            <w:tcW w:w="1610" w:type="dxa"/>
            <w:tcBorders>
              <w:top w:val="nil"/>
              <w:left w:val="nil"/>
              <w:bottom w:val="single" w:sz="4" w:space="0" w:color="auto"/>
              <w:right w:val="single" w:sz="4" w:space="0" w:color="auto"/>
            </w:tcBorders>
            <w:shd w:val="clear" w:color="000000" w:fill="FFFFFF"/>
            <w:noWrap/>
            <w:vAlign w:val="bottom"/>
            <w:hideMark/>
          </w:tcPr>
          <w:p w14:paraId="5269669E" w14:textId="77777777" w:rsidR="008273F0" w:rsidRPr="008273F0" w:rsidRDefault="008273F0" w:rsidP="008273F0">
            <w:pPr>
              <w:spacing w:line="240" w:lineRule="auto"/>
              <w:jc w:val="right"/>
              <w:rPr>
                <w:color w:val="000000"/>
                <w:lang w:eastAsia="en-GB"/>
              </w:rPr>
            </w:pPr>
            <w:r w:rsidRPr="008273F0">
              <w:rPr>
                <w:color w:val="000000"/>
                <w:lang w:eastAsia="en-GB"/>
              </w:rPr>
              <w:t>1.69</w:t>
            </w:r>
          </w:p>
        </w:tc>
      </w:tr>
      <w:tr w:rsidR="008273F0" w:rsidRPr="008273F0" w14:paraId="60DF30F1" w14:textId="77777777" w:rsidTr="008273F0">
        <w:trPr>
          <w:trHeight w:val="312"/>
        </w:trPr>
        <w:tc>
          <w:tcPr>
            <w:tcW w:w="5900" w:type="dxa"/>
            <w:tcBorders>
              <w:top w:val="nil"/>
              <w:left w:val="single" w:sz="4" w:space="0" w:color="auto"/>
              <w:bottom w:val="single" w:sz="4" w:space="0" w:color="auto"/>
              <w:right w:val="single" w:sz="4" w:space="0" w:color="auto"/>
            </w:tcBorders>
            <w:shd w:val="clear" w:color="000000" w:fill="FFFFFF"/>
            <w:noWrap/>
            <w:vAlign w:val="bottom"/>
            <w:hideMark/>
          </w:tcPr>
          <w:p w14:paraId="01DBBDB1" w14:textId="77777777" w:rsidR="008273F0" w:rsidRPr="008273F0" w:rsidRDefault="008273F0" w:rsidP="008273F0">
            <w:pPr>
              <w:spacing w:line="240" w:lineRule="auto"/>
              <w:jc w:val="left"/>
              <w:rPr>
                <w:color w:val="000000"/>
                <w:lang w:eastAsia="en-GB"/>
              </w:rPr>
            </w:pPr>
            <w:r w:rsidRPr="008273F0">
              <w:rPr>
                <w:color w:val="000000"/>
                <w:lang w:eastAsia="en-GB"/>
              </w:rPr>
              <w:t>Current Assets/Current Liabilities</w:t>
            </w:r>
          </w:p>
        </w:tc>
        <w:tc>
          <w:tcPr>
            <w:tcW w:w="1610" w:type="dxa"/>
            <w:tcBorders>
              <w:top w:val="nil"/>
              <w:left w:val="nil"/>
              <w:bottom w:val="single" w:sz="4" w:space="0" w:color="auto"/>
              <w:right w:val="single" w:sz="4" w:space="0" w:color="auto"/>
            </w:tcBorders>
            <w:shd w:val="clear" w:color="000000" w:fill="FFFFFF"/>
            <w:noWrap/>
            <w:vAlign w:val="bottom"/>
            <w:hideMark/>
          </w:tcPr>
          <w:p w14:paraId="6608D690" w14:textId="77777777" w:rsidR="008273F0" w:rsidRPr="008273F0" w:rsidRDefault="008273F0" w:rsidP="008273F0">
            <w:pPr>
              <w:spacing w:line="240" w:lineRule="auto"/>
              <w:jc w:val="left"/>
              <w:rPr>
                <w:color w:val="000000"/>
                <w:lang w:eastAsia="en-GB"/>
              </w:rPr>
            </w:pPr>
            <w:r w:rsidRPr="008273F0">
              <w:rPr>
                <w:color w:val="000000"/>
                <w:lang w:eastAsia="en-GB"/>
              </w:rPr>
              <w:t> </w:t>
            </w:r>
          </w:p>
        </w:tc>
        <w:tc>
          <w:tcPr>
            <w:tcW w:w="1610" w:type="dxa"/>
            <w:tcBorders>
              <w:top w:val="nil"/>
              <w:left w:val="nil"/>
              <w:bottom w:val="single" w:sz="4" w:space="0" w:color="auto"/>
              <w:right w:val="single" w:sz="4" w:space="0" w:color="auto"/>
            </w:tcBorders>
            <w:shd w:val="clear" w:color="000000" w:fill="FFFFFF"/>
            <w:noWrap/>
            <w:vAlign w:val="bottom"/>
            <w:hideMark/>
          </w:tcPr>
          <w:p w14:paraId="7C1C330B" w14:textId="77777777" w:rsidR="008273F0" w:rsidRPr="008273F0" w:rsidRDefault="008273F0" w:rsidP="008273F0">
            <w:pPr>
              <w:spacing w:line="240" w:lineRule="auto"/>
              <w:jc w:val="left"/>
              <w:rPr>
                <w:color w:val="000000"/>
                <w:lang w:eastAsia="en-GB"/>
              </w:rPr>
            </w:pPr>
            <w:r w:rsidRPr="008273F0">
              <w:rPr>
                <w:color w:val="000000"/>
                <w:lang w:eastAsia="en-GB"/>
              </w:rPr>
              <w:t> </w:t>
            </w:r>
          </w:p>
        </w:tc>
      </w:tr>
      <w:tr w:rsidR="008273F0" w:rsidRPr="008273F0" w14:paraId="584E1B10" w14:textId="77777777" w:rsidTr="008273F0">
        <w:trPr>
          <w:trHeight w:val="312"/>
        </w:trPr>
        <w:tc>
          <w:tcPr>
            <w:tcW w:w="5900" w:type="dxa"/>
            <w:tcBorders>
              <w:top w:val="nil"/>
              <w:left w:val="single" w:sz="4" w:space="0" w:color="auto"/>
              <w:bottom w:val="single" w:sz="4" w:space="0" w:color="auto"/>
              <w:right w:val="single" w:sz="4" w:space="0" w:color="auto"/>
            </w:tcBorders>
            <w:shd w:val="clear" w:color="000000" w:fill="FFFFFF"/>
            <w:noWrap/>
            <w:vAlign w:val="bottom"/>
            <w:hideMark/>
          </w:tcPr>
          <w:p w14:paraId="6D6588CE" w14:textId="77777777" w:rsidR="008273F0" w:rsidRPr="008273F0" w:rsidRDefault="008273F0" w:rsidP="008273F0">
            <w:pPr>
              <w:spacing w:line="240" w:lineRule="auto"/>
              <w:jc w:val="left"/>
              <w:rPr>
                <w:b/>
                <w:bCs/>
                <w:color w:val="000000"/>
                <w:lang w:eastAsia="en-GB"/>
              </w:rPr>
            </w:pPr>
            <w:r w:rsidRPr="008273F0">
              <w:rPr>
                <w:b/>
                <w:bCs/>
                <w:color w:val="000000"/>
                <w:lang w:eastAsia="en-GB"/>
              </w:rPr>
              <w:t>Quick Ratio (or Acid Test Ratio)</w:t>
            </w:r>
          </w:p>
        </w:tc>
        <w:tc>
          <w:tcPr>
            <w:tcW w:w="1610" w:type="dxa"/>
            <w:tcBorders>
              <w:top w:val="nil"/>
              <w:left w:val="nil"/>
              <w:bottom w:val="single" w:sz="4" w:space="0" w:color="auto"/>
              <w:right w:val="single" w:sz="4" w:space="0" w:color="auto"/>
            </w:tcBorders>
            <w:shd w:val="clear" w:color="000000" w:fill="FFFFFF"/>
            <w:noWrap/>
            <w:vAlign w:val="bottom"/>
            <w:hideMark/>
          </w:tcPr>
          <w:p w14:paraId="6B3E3F51" w14:textId="77777777" w:rsidR="008273F0" w:rsidRPr="008273F0" w:rsidRDefault="008273F0" w:rsidP="008273F0">
            <w:pPr>
              <w:spacing w:line="240" w:lineRule="auto"/>
              <w:jc w:val="right"/>
              <w:rPr>
                <w:color w:val="000000"/>
                <w:lang w:eastAsia="en-GB"/>
              </w:rPr>
            </w:pPr>
            <w:r w:rsidRPr="008273F0">
              <w:rPr>
                <w:color w:val="000000"/>
                <w:lang w:eastAsia="en-GB"/>
              </w:rPr>
              <w:t>1.36</w:t>
            </w:r>
          </w:p>
        </w:tc>
        <w:tc>
          <w:tcPr>
            <w:tcW w:w="1610" w:type="dxa"/>
            <w:tcBorders>
              <w:top w:val="nil"/>
              <w:left w:val="nil"/>
              <w:bottom w:val="single" w:sz="4" w:space="0" w:color="auto"/>
              <w:right w:val="single" w:sz="4" w:space="0" w:color="auto"/>
            </w:tcBorders>
            <w:shd w:val="clear" w:color="000000" w:fill="FFFFFF"/>
            <w:noWrap/>
            <w:vAlign w:val="bottom"/>
            <w:hideMark/>
          </w:tcPr>
          <w:p w14:paraId="4E1009A0" w14:textId="77777777" w:rsidR="008273F0" w:rsidRPr="008273F0" w:rsidRDefault="008273F0" w:rsidP="008273F0">
            <w:pPr>
              <w:spacing w:line="240" w:lineRule="auto"/>
              <w:jc w:val="right"/>
              <w:rPr>
                <w:color w:val="000000"/>
                <w:lang w:eastAsia="en-GB"/>
              </w:rPr>
            </w:pPr>
            <w:r w:rsidRPr="008273F0">
              <w:rPr>
                <w:color w:val="000000"/>
                <w:lang w:eastAsia="en-GB"/>
              </w:rPr>
              <w:t>1.49</w:t>
            </w:r>
          </w:p>
        </w:tc>
      </w:tr>
      <w:tr w:rsidR="008273F0" w:rsidRPr="008273F0" w14:paraId="20199FAF" w14:textId="77777777" w:rsidTr="008273F0">
        <w:trPr>
          <w:trHeight w:val="312"/>
        </w:trPr>
        <w:tc>
          <w:tcPr>
            <w:tcW w:w="5900" w:type="dxa"/>
            <w:tcBorders>
              <w:top w:val="nil"/>
              <w:left w:val="single" w:sz="4" w:space="0" w:color="auto"/>
              <w:bottom w:val="single" w:sz="4" w:space="0" w:color="auto"/>
              <w:right w:val="single" w:sz="4" w:space="0" w:color="auto"/>
            </w:tcBorders>
            <w:shd w:val="clear" w:color="000000" w:fill="FFFFFF"/>
            <w:noWrap/>
            <w:vAlign w:val="bottom"/>
            <w:hideMark/>
          </w:tcPr>
          <w:p w14:paraId="477109C8" w14:textId="77777777" w:rsidR="008273F0" w:rsidRPr="008273F0" w:rsidRDefault="008273F0" w:rsidP="008273F0">
            <w:pPr>
              <w:spacing w:line="240" w:lineRule="auto"/>
              <w:jc w:val="left"/>
              <w:rPr>
                <w:color w:val="000000"/>
                <w:lang w:eastAsia="en-GB"/>
              </w:rPr>
            </w:pPr>
            <w:r w:rsidRPr="008273F0">
              <w:rPr>
                <w:color w:val="000000"/>
                <w:lang w:eastAsia="en-GB"/>
              </w:rPr>
              <w:t>(Current Assets-Inventories)/Current Liabilities</w:t>
            </w:r>
          </w:p>
        </w:tc>
        <w:tc>
          <w:tcPr>
            <w:tcW w:w="1610" w:type="dxa"/>
            <w:tcBorders>
              <w:top w:val="nil"/>
              <w:left w:val="nil"/>
              <w:bottom w:val="single" w:sz="4" w:space="0" w:color="auto"/>
              <w:right w:val="single" w:sz="4" w:space="0" w:color="auto"/>
            </w:tcBorders>
            <w:shd w:val="clear" w:color="000000" w:fill="FFFFFF"/>
            <w:noWrap/>
            <w:vAlign w:val="bottom"/>
            <w:hideMark/>
          </w:tcPr>
          <w:p w14:paraId="569116BF" w14:textId="77777777" w:rsidR="008273F0" w:rsidRPr="008273F0" w:rsidRDefault="008273F0" w:rsidP="008273F0">
            <w:pPr>
              <w:spacing w:line="240" w:lineRule="auto"/>
              <w:jc w:val="left"/>
              <w:rPr>
                <w:color w:val="000000"/>
                <w:lang w:eastAsia="en-GB"/>
              </w:rPr>
            </w:pPr>
            <w:r w:rsidRPr="008273F0">
              <w:rPr>
                <w:color w:val="000000"/>
                <w:lang w:eastAsia="en-GB"/>
              </w:rPr>
              <w:t> </w:t>
            </w:r>
          </w:p>
        </w:tc>
        <w:tc>
          <w:tcPr>
            <w:tcW w:w="1610" w:type="dxa"/>
            <w:tcBorders>
              <w:top w:val="nil"/>
              <w:left w:val="nil"/>
              <w:bottom w:val="single" w:sz="4" w:space="0" w:color="auto"/>
              <w:right w:val="single" w:sz="4" w:space="0" w:color="auto"/>
            </w:tcBorders>
            <w:shd w:val="clear" w:color="000000" w:fill="FFFFFF"/>
            <w:noWrap/>
            <w:vAlign w:val="bottom"/>
            <w:hideMark/>
          </w:tcPr>
          <w:p w14:paraId="1722761B" w14:textId="77777777" w:rsidR="008273F0" w:rsidRPr="008273F0" w:rsidRDefault="008273F0" w:rsidP="008273F0">
            <w:pPr>
              <w:spacing w:line="240" w:lineRule="auto"/>
              <w:jc w:val="left"/>
              <w:rPr>
                <w:color w:val="000000"/>
                <w:lang w:eastAsia="en-GB"/>
              </w:rPr>
            </w:pPr>
            <w:r w:rsidRPr="008273F0">
              <w:rPr>
                <w:color w:val="000000"/>
                <w:lang w:eastAsia="en-GB"/>
              </w:rPr>
              <w:t> </w:t>
            </w:r>
          </w:p>
        </w:tc>
      </w:tr>
      <w:tr w:rsidR="008273F0" w:rsidRPr="008273F0" w14:paraId="1D41021C" w14:textId="77777777" w:rsidTr="008273F0">
        <w:trPr>
          <w:trHeight w:val="312"/>
        </w:trPr>
        <w:tc>
          <w:tcPr>
            <w:tcW w:w="5900" w:type="dxa"/>
            <w:tcBorders>
              <w:top w:val="nil"/>
              <w:left w:val="single" w:sz="4" w:space="0" w:color="auto"/>
              <w:bottom w:val="single" w:sz="4" w:space="0" w:color="auto"/>
              <w:right w:val="single" w:sz="4" w:space="0" w:color="auto"/>
            </w:tcBorders>
            <w:shd w:val="clear" w:color="000000" w:fill="FFFFFF"/>
            <w:noWrap/>
            <w:vAlign w:val="bottom"/>
            <w:hideMark/>
          </w:tcPr>
          <w:p w14:paraId="120FC70E" w14:textId="77777777" w:rsidR="008273F0" w:rsidRPr="008273F0" w:rsidRDefault="008273F0" w:rsidP="008273F0">
            <w:pPr>
              <w:spacing w:line="240" w:lineRule="auto"/>
              <w:jc w:val="left"/>
              <w:rPr>
                <w:b/>
                <w:bCs/>
                <w:color w:val="000000"/>
                <w:lang w:eastAsia="en-GB"/>
              </w:rPr>
            </w:pPr>
            <w:r w:rsidRPr="008273F0">
              <w:rPr>
                <w:b/>
                <w:bCs/>
                <w:color w:val="000000"/>
                <w:lang w:eastAsia="en-GB"/>
              </w:rPr>
              <w:t>Cash Ratio</w:t>
            </w:r>
          </w:p>
        </w:tc>
        <w:tc>
          <w:tcPr>
            <w:tcW w:w="1610" w:type="dxa"/>
            <w:tcBorders>
              <w:top w:val="nil"/>
              <w:left w:val="nil"/>
              <w:bottom w:val="single" w:sz="4" w:space="0" w:color="auto"/>
              <w:right w:val="single" w:sz="4" w:space="0" w:color="auto"/>
            </w:tcBorders>
            <w:shd w:val="clear" w:color="000000" w:fill="FFFFFF"/>
            <w:noWrap/>
            <w:vAlign w:val="bottom"/>
            <w:hideMark/>
          </w:tcPr>
          <w:p w14:paraId="02542CB2" w14:textId="77777777" w:rsidR="008273F0" w:rsidRPr="008273F0" w:rsidRDefault="008273F0" w:rsidP="008273F0">
            <w:pPr>
              <w:spacing w:line="240" w:lineRule="auto"/>
              <w:jc w:val="right"/>
              <w:rPr>
                <w:color w:val="000000"/>
                <w:lang w:eastAsia="en-GB"/>
              </w:rPr>
            </w:pPr>
            <w:r w:rsidRPr="008273F0">
              <w:rPr>
                <w:color w:val="000000"/>
                <w:lang w:eastAsia="en-GB"/>
              </w:rPr>
              <w:t>0.43</w:t>
            </w:r>
          </w:p>
        </w:tc>
        <w:tc>
          <w:tcPr>
            <w:tcW w:w="1610" w:type="dxa"/>
            <w:tcBorders>
              <w:top w:val="nil"/>
              <w:left w:val="nil"/>
              <w:bottom w:val="single" w:sz="4" w:space="0" w:color="auto"/>
              <w:right w:val="single" w:sz="4" w:space="0" w:color="auto"/>
            </w:tcBorders>
            <w:shd w:val="clear" w:color="000000" w:fill="FFFFFF"/>
            <w:noWrap/>
            <w:vAlign w:val="bottom"/>
            <w:hideMark/>
          </w:tcPr>
          <w:p w14:paraId="72435C83" w14:textId="77777777" w:rsidR="008273F0" w:rsidRPr="008273F0" w:rsidRDefault="008273F0" w:rsidP="008273F0">
            <w:pPr>
              <w:spacing w:line="240" w:lineRule="auto"/>
              <w:jc w:val="right"/>
              <w:rPr>
                <w:color w:val="000000"/>
                <w:lang w:eastAsia="en-GB"/>
              </w:rPr>
            </w:pPr>
            <w:r w:rsidRPr="008273F0">
              <w:rPr>
                <w:color w:val="000000"/>
                <w:lang w:eastAsia="en-GB"/>
              </w:rPr>
              <w:t>0.55</w:t>
            </w:r>
          </w:p>
        </w:tc>
      </w:tr>
      <w:tr w:rsidR="008273F0" w:rsidRPr="008273F0" w14:paraId="405E2F1D" w14:textId="77777777" w:rsidTr="008273F0">
        <w:trPr>
          <w:trHeight w:val="312"/>
        </w:trPr>
        <w:tc>
          <w:tcPr>
            <w:tcW w:w="5900" w:type="dxa"/>
            <w:tcBorders>
              <w:top w:val="nil"/>
              <w:left w:val="single" w:sz="4" w:space="0" w:color="auto"/>
              <w:bottom w:val="single" w:sz="4" w:space="0" w:color="auto"/>
              <w:right w:val="single" w:sz="4" w:space="0" w:color="auto"/>
            </w:tcBorders>
            <w:shd w:val="clear" w:color="000000" w:fill="FFFFFF"/>
            <w:noWrap/>
            <w:vAlign w:val="bottom"/>
            <w:hideMark/>
          </w:tcPr>
          <w:p w14:paraId="61FAA198" w14:textId="77777777" w:rsidR="008273F0" w:rsidRPr="008273F0" w:rsidRDefault="008273F0" w:rsidP="008273F0">
            <w:pPr>
              <w:spacing w:line="240" w:lineRule="auto"/>
              <w:jc w:val="left"/>
              <w:rPr>
                <w:color w:val="000000"/>
                <w:lang w:eastAsia="en-GB"/>
              </w:rPr>
            </w:pPr>
            <w:r w:rsidRPr="008273F0">
              <w:rPr>
                <w:color w:val="000000"/>
                <w:lang w:eastAsia="en-GB"/>
              </w:rPr>
              <w:t>Cash/Current Liabilities</w:t>
            </w:r>
          </w:p>
        </w:tc>
        <w:tc>
          <w:tcPr>
            <w:tcW w:w="1610" w:type="dxa"/>
            <w:tcBorders>
              <w:top w:val="nil"/>
              <w:left w:val="nil"/>
              <w:bottom w:val="single" w:sz="4" w:space="0" w:color="auto"/>
              <w:right w:val="single" w:sz="4" w:space="0" w:color="auto"/>
            </w:tcBorders>
            <w:shd w:val="clear" w:color="000000" w:fill="FFFFFF"/>
            <w:noWrap/>
            <w:vAlign w:val="bottom"/>
            <w:hideMark/>
          </w:tcPr>
          <w:p w14:paraId="6716319D" w14:textId="77777777" w:rsidR="008273F0" w:rsidRPr="008273F0" w:rsidRDefault="008273F0" w:rsidP="008273F0">
            <w:pPr>
              <w:spacing w:line="240" w:lineRule="auto"/>
              <w:jc w:val="left"/>
              <w:rPr>
                <w:color w:val="000000"/>
                <w:lang w:eastAsia="en-GB"/>
              </w:rPr>
            </w:pPr>
            <w:r w:rsidRPr="008273F0">
              <w:rPr>
                <w:color w:val="000000"/>
                <w:lang w:eastAsia="en-GB"/>
              </w:rPr>
              <w:t> </w:t>
            </w:r>
          </w:p>
        </w:tc>
        <w:tc>
          <w:tcPr>
            <w:tcW w:w="1610" w:type="dxa"/>
            <w:tcBorders>
              <w:top w:val="nil"/>
              <w:left w:val="nil"/>
              <w:bottom w:val="single" w:sz="4" w:space="0" w:color="auto"/>
              <w:right w:val="single" w:sz="4" w:space="0" w:color="auto"/>
            </w:tcBorders>
            <w:shd w:val="clear" w:color="000000" w:fill="FFFFFF"/>
            <w:noWrap/>
            <w:vAlign w:val="bottom"/>
            <w:hideMark/>
          </w:tcPr>
          <w:p w14:paraId="597A355E" w14:textId="77777777" w:rsidR="008273F0" w:rsidRPr="008273F0" w:rsidRDefault="008273F0" w:rsidP="008273F0">
            <w:pPr>
              <w:spacing w:line="240" w:lineRule="auto"/>
              <w:jc w:val="left"/>
              <w:rPr>
                <w:color w:val="000000"/>
                <w:lang w:eastAsia="en-GB"/>
              </w:rPr>
            </w:pPr>
            <w:r w:rsidRPr="008273F0">
              <w:rPr>
                <w:color w:val="000000"/>
                <w:lang w:eastAsia="en-GB"/>
              </w:rPr>
              <w:t> </w:t>
            </w:r>
          </w:p>
        </w:tc>
      </w:tr>
    </w:tbl>
    <w:p w14:paraId="6D43F723" w14:textId="29BCC13E" w:rsidR="00B12020" w:rsidRPr="00CD6CC0" w:rsidRDefault="00B12020">
      <w:pPr>
        <w:jc w:val="center"/>
        <w:rPr>
          <w:b/>
        </w:rPr>
      </w:pPr>
    </w:p>
    <w:p w14:paraId="636CD965" w14:textId="77777777" w:rsidR="00B12020" w:rsidRPr="00CD6CC0" w:rsidRDefault="00D93CD1">
      <w:pPr>
        <w:rPr>
          <w:b/>
        </w:rPr>
      </w:pPr>
      <w:r w:rsidRPr="00CD6CC0">
        <w:rPr>
          <w:b/>
        </w:rPr>
        <w:t xml:space="preserve">Gearing ratios of business </w:t>
      </w:r>
    </w:p>
    <w:p w14:paraId="61DCF63E" w14:textId="77777777" w:rsidR="00B12020" w:rsidRPr="00CD6CC0" w:rsidRDefault="00D93CD1">
      <w:r w:rsidRPr="00CD6CC0">
        <w:t>An identified measurement and the formulation of this type of analysis for every individual business are fundamentally structured for evaluating the optimised concept of capital positioning purpose which is accountable for the values and other associated growth concerning the business's financial availability</w:t>
      </w:r>
      <w:r w:rsidR="00493AC6">
        <w:t xml:space="preserve"> </w:t>
      </w:r>
      <w:r w:rsidR="00493AC6">
        <w:rPr>
          <w:color w:val="222222"/>
          <w:shd w:val="clear" w:color="auto" w:fill="FFFFFF"/>
        </w:rPr>
        <w:t xml:space="preserve">(Bindseil, </w:t>
      </w:r>
      <w:r w:rsidR="00493AC6" w:rsidRPr="005B7785">
        <w:rPr>
          <w:color w:val="222222"/>
          <w:shd w:val="clear" w:color="auto" w:fill="FFFFFF"/>
        </w:rPr>
        <w:t>2020</w:t>
      </w:r>
      <w:r w:rsidR="00493AC6">
        <w:rPr>
          <w:color w:val="222222"/>
          <w:shd w:val="clear" w:color="auto" w:fill="FFFFFF"/>
        </w:rPr>
        <w:t>)</w:t>
      </w:r>
      <w:r w:rsidRPr="00CD6CC0">
        <w:t>. It also provides an opportunity for recognising the Outsourcing capital risk and the optimised market capitalisation structure that is accountable for business values. Such analysis of the business of Nokia Oyj has been provided.</w:t>
      </w:r>
    </w:p>
    <w:tbl>
      <w:tblPr>
        <w:tblW w:w="9120" w:type="dxa"/>
        <w:tblLook w:val="04A0" w:firstRow="1" w:lastRow="0" w:firstColumn="1" w:lastColumn="0" w:noHBand="0" w:noVBand="1"/>
      </w:tblPr>
      <w:tblGrid>
        <w:gridCol w:w="5900"/>
        <w:gridCol w:w="1610"/>
        <w:gridCol w:w="1610"/>
      </w:tblGrid>
      <w:tr w:rsidR="008273F0" w:rsidRPr="008273F0" w14:paraId="1F58A706" w14:textId="77777777" w:rsidTr="008273F0">
        <w:trPr>
          <w:trHeight w:val="312"/>
        </w:trPr>
        <w:tc>
          <w:tcPr>
            <w:tcW w:w="5900"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14:paraId="15672D38" w14:textId="77777777" w:rsidR="008273F0" w:rsidRPr="008273F0" w:rsidRDefault="008273F0" w:rsidP="008273F0">
            <w:pPr>
              <w:spacing w:line="240" w:lineRule="auto"/>
              <w:jc w:val="left"/>
              <w:rPr>
                <w:color w:val="000000"/>
                <w:lang w:eastAsia="en-GB"/>
              </w:rPr>
            </w:pPr>
            <w:r w:rsidRPr="008273F0">
              <w:rPr>
                <w:color w:val="000000"/>
                <w:lang w:eastAsia="en-GB"/>
              </w:rPr>
              <w:t> </w:t>
            </w:r>
          </w:p>
        </w:tc>
        <w:tc>
          <w:tcPr>
            <w:tcW w:w="3220" w:type="dxa"/>
            <w:gridSpan w:val="2"/>
            <w:tcBorders>
              <w:top w:val="single" w:sz="4" w:space="0" w:color="auto"/>
              <w:left w:val="nil"/>
              <w:bottom w:val="single" w:sz="4" w:space="0" w:color="auto"/>
              <w:right w:val="single" w:sz="4" w:space="0" w:color="auto"/>
            </w:tcBorders>
            <w:shd w:val="clear" w:color="000000" w:fill="FFFFFF"/>
            <w:noWrap/>
            <w:vAlign w:val="bottom"/>
            <w:hideMark/>
          </w:tcPr>
          <w:p w14:paraId="323E6941" w14:textId="77777777" w:rsidR="008273F0" w:rsidRPr="008273F0" w:rsidRDefault="008273F0" w:rsidP="008273F0">
            <w:pPr>
              <w:spacing w:line="240" w:lineRule="auto"/>
              <w:jc w:val="center"/>
              <w:rPr>
                <w:b/>
                <w:bCs/>
                <w:color w:val="000000"/>
                <w:lang w:eastAsia="en-GB"/>
              </w:rPr>
            </w:pPr>
            <w:r w:rsidRPr="008273F0">
              <w:rPr>
                <w:b/>
                <w:bCs/>
                <w:color w:val="000000"/>
                <w:lang w:eastAsia="en-GB"/>
              </w:rPr>
              <w:t>Nokia Oyj</w:t>
            </w:r>
          </w:p>
        </w:tc>
      </w:tr>
      <w:tr w:rsidR="008273F0" w:rsidRPr="008273F0" w14:paraId="2C6839DF" w14:textId="77777777" w:rsidTr="008273F0">
        <w:trPr>
          <w:trHeight w:val="312"/>
        </w:trPr>
        <w:tc>
          <w:tcPr>
            <w:tcW w:w="5900" w:type="dxa"/>
            <w:tcBorders>
              <w:top w:val="nil"/>
              <w:left w:val="single" w:sz="4" w:space="0" w:color="auto"/>
              <w:bottom w:val="single" w:sz="4" w:space="0" w:color="auto"/>
              <w:right w:val="single" w:sz="4" w:space="0" w:color="auto"/>
            </w:tcBorders>
            <w:shd w:val="clear" w:color="000000" w:fill="C4BD97"/>
            <w:noWrap/>
            <w:vAlign w:val="bottom"/>
            <w:hideMark/>
          </w:tcPr>
          <w:p w14:paraId="270C64CD" w14:textId="77777777" w:rsidR="008273F0" w:rsidRPr="008273F0" w:rsidRDefault="008273F0" w:rsidP="008273F0">
            <w:pPr>
              <w:spacing w:line="240" w:lineRule="auto"/>
              <w:jc w:val="left"/>
              <w:rPr>
                <w:b/>
                <w:bCs/>
                <w:color w:val="000000"/>
                <w:lang w:eastAsia="en-GB"/>
              </w:rPr>
            </w:pPr>
            <w:r w:rsidRPr="008273F0">
              <w:rPr>
                <w:b/>
                <w:bCs/>
                <w:color w:val="000000"/>
                <w:lang w:eastAsia="en-GB"/>
              </w:rPr>
              <w:t>LEVERAGE or GEARING RATIOS Input:</w:t>
            </w:r>
          </w:p>
        </w:tc>
        <w:tc>
          <w:tcPr>
            <w:tcW w:w="1610" w:type="dxa"/>
            <w:tcBorders>
              <w:top w:val="nil"/>
              <w:left w:val="nil"/>
              <w:bottom w:val="single" w:sz="4" w:space="0" w:color="auto"/>
              <w:right w:val="single" w:sz="4" w:space="0" w:color="auto"/>
            </w:tcBorders>
            <w:shd w:val="clear" w:color="000000" w:fill="C4BD97"/>
            <w:noWrap/>
            <w:vAlign w:val="bottom"/>
            <w:hideMark/>
          </w:tcPr>
          <w:p w14:paraId="2183DB39" w14:textId="77777777" w:rsidR="008273F0" w:rsidRPr="008273F0" w:rsidRDefault="008273F0" w:rsidP="008273F0">
            <w:pPr>
              <w:spacing w:line="240" w:lineRule="auto"/>
              <w:jc w:val="right"/>
              <w:rPr>
                <w:b/>
                <w:bCs/>
                <w:color w:val="000000"/>
                <w:lang w:eastAsia="en-GB"/>
              </w:rPr>
            </w:pPr>
            <w:r w:rsidRPr="008273F0">
              <w:rPr>
                <w:b/>
                <w:bCs/>
                <w:color w:val="000000"/>
                <w:lang w:eastAsia="en-GB"/>
              </w:rPr>
              <w:t>2022</w:t>
            </w:r>
          </w:p>
        </w:tc>
        <w:tc>
          <w:tcPr>
            <w:tcW w:w="1610" w:type="dxa"/>
            <w:tcBorders>
              <w:top w:val="nil"/>
              <w:left w:val="nil"/>
              <w:bottom w:val="single" w:sz="4" w:space="0" w:color="auto"/>
              <w:right w:val="single" w:sz="4" w:space="0" w:color="auto"/>
            </w:tcBorders>
            <w:shd w:val="clear" w:color="000000" w:fill="C4BD97"/>
            <w:noWrap/>
            <w:vAlign w:val="bottom"/>
            <w:hideMark/>
          </w:tcPr>
          <w:p w14:paraId="5A7DEFE0" w14:textId="77777777" w:rsidR="008273F0" w:rsidRPr="008273F0" w:rsidRDefault="008273F0" w:rsidP="008273F0">
            <w:pPr>
              <w:spacing w:line="240" w:lineRule="auto"/>
              <w:jc w:val="right"/>
              <w:rPr>
                <w:b/>
                <w:bCs/>
                <w:color w:val="000000"/>
                <w:lang w:eastAsia="en-GB"/>
              </w:rPr>
            </w:pPr>
            <w:r w:rsidRPr="008273F0">
              <w:rPr>
                <w:b/>
                <w:bCs/>
                <w:color w:val="000000"/>
                <w:lang w:eastAsia="en-GB"/>
              </w:rPr>
              <w:t>2021</w:t>
            </w:r>
          </w:p>
        </w:tc>
      </w:tr>
      <w:tr w:rsidR="008273F0" w:rsidRPr="008273F0" w14:paraId="5C666F32" w14:textId="77777777" w:rsidTr="008273F0">
        <w:trPr>
          <w:trHeight w:val="312"/>
        </w:trPr>
        <w:tc>
          <w:tcPr>
            <w:tcW w:w="5900" w:type="dxa"/>
            <w:tcBorders>
              <w:top w:val="nil"/>
              <w:left w:val="single" w:sz="4" w:space="0" w:color="auto"/>
              <w:bottom w:val="single" w:sz="4" w:space="0" w:color="auto"/>
              <w:right w:val="single" w:sz="4" w:space="0" w:color="auto"/>
            </w:tcBorders>
            <w:shd w:val="clear" w:color="000000" w:fill="C4BD97"/>
            <w:noWrap/>
            <w:vAlign w:val="bottom"/>
            <w:hideMark/>
          </w:tcPr>
          <w:p w14:paraId="3580DD27" w14:textId="77777777" w:rsidR="008273F0" w:rsidRPr="008273F0" w:rsidRDefault="008273F0" w:rsidP="008273F0">
            <w:pPr>
              <w:spacing w:line="240" w:lineRule="auto"/>
              <w:jc w:val="left"/>
              <w:rPr>
                <w:color w:val="000000"/>
                <w:lang w:eastAsia="en-GB"/>
              </w:rPr>
            </w:pPr>
            <w:r w:rsidRPr="008273F0">
              <w:rPr>
                <w:color w:val="000000"/>
                <w:lang w:eastAsia="en-GB"/>
              </w:rPr>
              <w:t>Total Debt</w:t>
            </w:r>
          </w:p>
        </w:tc>
        <w:tc>
          <w:tcPr>
            <w:tcW w:w="1610" w:type="dxa"/>
            <w:tcBorders>
              <w:top w:val="nil"/>
              <w:left w:val="nil"/>
              <w:bottom w:val="single" w:sz="4" w:space="0" w:color="auto"/>
              <w:right w:val="single" w:sz="4" w:space="0" w:color="auto"/>
            </w:tcBorders>
            <w:shd w:val="clear" w:color="000000" w:fill="C4BD97"/>
            <w:noWrap/>
            <w:vAlign w:val="bottom"/>
            <w:hideMark/>
          </w:tcPr>
          <w:p w14:paraId="2BB10367" w14:textId="77777777" w:rsidR="008273F0" w:rsidRPr="008273F0" w:rsidRDefault="008273F0" w:rsidP="008273F0">
            <w:pPr>
              <w:spacing w:line="240" w:lineRule="auto"/>
              <w:jc w:val="right"/>
              <w:rPr>
                <w:color w:val="000000"/>
                <w:lang w:eastAsia="en-GB"/>
              </w:rPr>
            </w:pPr>
            <w:r w:rsidRPr="008273F0">
              <w:rPr>
                <w:color w:val="000000"/>
                <w:lang w:eastAsia="en-GB"/>
              </w:rPr>
              <w:t>8,743</w:t>
            </w:r>
          </w:p>
        </w:tc>
        <w:tc>
          <w:tcPr>
            <w:tcW w:w="1610" w:type="dxa"/>
            <w:tcBorders>
              <w:top w:val="nil"/>
              <w:left w:val="nil"/>
              <w:bottom w:val="single" w:sz="4" w:space="0" w:color="auto"/>
              <w:right w:val="single" w:sz="4" w:space="0" w:color="auto"/>
            </w:tcBorders>
            <w:shd w:val="clear" w:color="000000" w:fill="C4BD97"/>
            <w:noWrap/>
            <w:vAlign w:val="bottom"/>
            <w:hideMark/>
          </w:tcPr>
          <w:p w14:paraId="40DC3EEA" w14:textId="77777777" w:rsidR="008273F0" w:rsidRPr="008273F0" w:rsidRDefault="008273F0" w:rsidP="008273F0">
            <w:pPr>
              <w:spacing w:line="240" w:lineRule="auto"/>
              <w:jc w:val="right"/>
              <w:rPr>
                <w:color w:val="000000"/>
                <w:lang w:eastAsia="en-GB"/>
              </w:rPr>
            </w:pPr>
            <w:r w:rsidRPr="008273F0">
              <w:rPr>
                <w:color w:val="000000"/>
                <w:lang w:eastAsia="en-GB"/>
              </w:rPr>
              <w:t>10,486</w:t>
            </w:r>
          </w:p>
        </w:tc>
      </w:tr>
      <w:tr w:rsidR="008273F0" w:rsidRPr="008273F0" w14:paraId="152B3CE5" w14:textId="77777777" w:rsidTr="008273F0">
        <w:trPr>
          <w:trHeight w:val="312"/>
        </w:trPr>
        <w:tc>
          <w:tcPr>
            <w:tcW w:w="5900" w:type="dxa"/>
            <w:tcBorders>
              <w:top w:val="nil"/>
              <w:left w:val="single" w:sz="4" w:space="0" w:color="auto"/>
              <w:bottom w:val="single" w:sz="4" w:space="0" w:color="auto"/>
              <w:right w:val="single" w:sz="4" w:space="0" w:color="auto"/>
            </w:tcBorders>
            <w:shd w:val="clear" w:color="000000" w:fill="C4BD97"/>
            <w:noWrap/>
            <w:vAlign w:val="bottom"/>
            <w:hideMark/>
          </w:tcPr>
          <w:p w14:paraId="60C4C959" w14:textId="77777777" w:rsidR="008273F0" w:rsidRPr="008273F0" w:rsidRDefault="008273F0" w:rsidP="008273F0">
            <w:pPr>
              <w:spacing w:line="240" w:lineRule="auto"/>
              <w:jc w:val="left"/>
              <w:rPr>
                <w:color w:val="000000"/>
                <w:lang w:eastAsia="en-GB"/>
              </w:rPr>
            </w:pPr>
            <w:r w:rsidRPr="008273F0">
              <w:rPr>
                <w:color w:val="000000"/>
                <w:lang w:eastAsia="en-GB"/>
              </w:rPr>
              <w:t>Total Equity</w:t>
            </w:r>
          </w:p>
        </w:tc>
        <w:tc>
          <w:tcPr>
            <w:tcW w:w="1610" w:type="dxa"/>
            <w:tcBorders>
              <w:top w:val="nil"/>
              <w:left w:val="nil"/>
              <w:bottom w:val="single" w:sz="4" w:space="0" w:color="auto"/>
              <w:right w:val="single" w:sz="4" w:space="0" w:color="auto"/>
            </w:tcBorders>
            <w:shd w:val="clear" w:color="000000" w:fill="C4BD97"/>
            <w:noWrap/>
            <w:vAlign w:val="bottom"/>
            <w:hideMark/>
          </w:tcPr>
          <w:p w14:paraId="786D42A8" w14:textId="77777777" w:rsidR="008273F0" w:rsidRPr="008273F0" w:rsidRDefault="008273F0" w:rsidP="008273F0">
            <w:pPr>
              <w:spacing w:line="240" w:lineRule="auto"/>
              <w:jc w:val="right"/>
              <w:rPr>
                <w:color w:val="000000"/>
                <w:lang w:eastAsia="en-GB"/>
              </w:rPr>
            </w:pPr>
            <w:r w:rsidRPr="008273F0">
              <w:rPr>
                <w:color w:val="000000"/>
                <w:lang w:eastAsia="en-GB"/>
              </w:rPr>
              <w:t>21,426</w:t>
            </w:r>
          </w:p>
        </w:tc>
        <w:tc>
          <w:tcPr>
            <w:tcW w:w="1610" w:type="dxa"/>
            <w:tcBorders>
              <w:top w:val="nil"/>
              <w:left w:val="nil"/>
              <w:bottom w:val="single" w:sz="4" w:space="0" w:color="auto"/>
              <w:right w:val="single" w:sz="4" w:space="0" w:color="auto"/>
            </w:tcBorders>
            <w:shd w:val="clear" w:color="000000" w:fill="C4BD97"/>
            <w:noWrap/>
            <w:vAlign w:val="bottom"/>
            <w:hideMark/>
          </w:tcPr>
          <w:p w14:paraId="12A31361" w14:textId="77777777" w:rsidR="008273F0" w:rsidRPr="008273F0" w:rsidRDefault="008273F0" w:rsidP="008273F0">
            <w:pPr>
              <w:spacing w:line="240" w:lineRule="auto"/>
              <w:jc w:val="right"/>
              <w:rPr>
                <w:color w:val="000000"/>
                <w:lang w:eastAsia="en-GB"/>
              </w:rPr>
            </w:pPr>
            <w:r w:rsidRPr="008273F0">
              <w:rPr>
                <w:color w:val="000000"/>
                <w:lang w:eastAsia="en-GB"/>
              </w:rPr>
              <w:t>17,462</w:t>
            </w:r>
          </w:p>
        </w:tc>
      </w:tr>
      <w:tr w:rsidR="008273F0" w:rsidRPr="008273F0" w14:paraId="7165C414" w14:textId="77777777" w:rsidTr="008273F0">
        <w:trPr>
          <w:trHeight w:val="312"/>
        </w:trPr>
        <w:tc>
          <w:tcPr>
            <w:tcW w:w="5900" w:type="dxa"/>
            <w:tcBorders>
              <w:top w:val="nil"/>
              <w:left w:val="single" w:sz="4" w:space="0" w:color="auto"/>
              <w:bottom w:val="single" w:sz="4" w:space="0" w:color="auto"/>
              <w:right w:val="single" w:sz="4" w:space="0" w:color="auto"/>
            </w:tcBorders>
            <w:shd w:val="clear" w:color="000000" w:fill="C4BD97"/>
            <w:noWrap/>
            <w:vAlign w:val="bottom"/>
            <w:hideMark/>
          </w:tcPr>
          <w:p w14:paraId="36CBC9B3" w14:textId="77777777" w:rsidR="008273F0" w:rsidRPr="008273F0" w:rsidRDefault="008273F0" w:rsidP="008273F0">
            <w:pPr>
              <w:spacing w:line="240" w:lineRule="auto"/>
              <w:jc w:val="left"/>
              <w:rPr>
                <w:color w:val="000000"/>
                <w:lang w:eastAsia="en-GB"/>
              </w:rPr>
            </w:pPr>
            <w:r w:rsidRPr="008273F0">
              <w:rPr>
                <w:color w:val="000000"/>
                <w:lang w:eastAsia="en-GB"/>
              </w:rPr>
              <w:t>Total Assets</w:t>
            </w:r>
          </w:p>
        </w:tc>
        <w:tc>
          <w:tcPr>
            <w:tcW w:w="1610" w:type="dxa"/>
            <w:tcBorders>
              <w:top w:val="nil"/>
              <w:left w:val="nil"/>
              <w:bottom w:val="single" w:sz="4" w:space="0" w:color="auto"/>
              <w:right w:val="single" w:sz="4" w:space="0" w:color="auto"/>
            </w:tcBorders>
            <w:shd w:val="clear" w:color="000000" w:fill="C4BD97"/>
            <w:noWrap/>
            <w:vAlign w:val="bottom"/>
            <w:hideMark/>
          </w:tcPr>
          <w:p w14:paraId="4305ADD2" w14:textId="77777777" w:rsidR="008273F0" w:rsidRPr="008273F0" w:rsidRDefault="008273F0" w:rsidP="008273F0">
            <w:pPr>
              <w:spacing w:line="240" w:lineRule="auto"/>
              <w:jc w:val="right"/>
              <w:rPr>
                <w:color w:val="000000"/>
                <w:lang w:eastAsia="en-GB"/>
              </w:rPr>
            </w:pPr>
            <w:r w:rsidRPr="008273F0">
              <w:rPr>
                <w:color w:val="000000"/>
                <w:lang w:eastAsia="en-GB"/>
              </w:rPr>
              <w:t>42,943</w:t>
            </w:r>
          </w:p>
        </w:tc>
        <w:tc>
          <w:tcPr>
            <w:tcW w:w="1610" w:type="dxa"/>
            <w:tcBorders>
              <w:top w:val="nil"/>
              <w:left w:val="nil"/>
              <w:bottom w:val="single" w:sz="4" w:space="0" w:color="auto"/>
              <w:right w:val="single" w:sz="4" w:space="0" w:color="auto"/>
            </w:tcBorders>
            <w:shd w:val="clear" w:color="000000" w:fill="C4BD97"/>
            <w:noWrap/>
            <w:vAlign w:val="bottom"/>
            <w:hideMark/>
          </w:tcPr>
          <w:p w14:paraId="4BEA2A4E" w14:textId="77777777" w:rsidR="008273F0" w:rsidRPr="008273F0" w:rsidRDefault="008273F0" w:rsidP="008273F0">
            <w:pPr>
              <w:spacing w:line="240" w:lineRule="auto"/>
              <w:jc w:val="right"/>
              <w:rPr>
                <w:color w:val="000000"/>
                <w:lang w:eastAsia="en-GB"/>
              </w:rPr>
            </w:pPr>
            <w:r w:rsidRPr="008273F0">
              <w:rPr>
                <w:color w:val="000000"/>
                <w:lang w:eastAsia="en-GB"/>
              </w:rPr>
              <w:t>40,049</w:t>
            </w:r>
          </w:p>
        </w:tc>
      </w:tr>
      <w:tr w:rsidR="008273F0" w:rsidRPr="008273F0" w14:paraId="0E68125F" w14:textId="77777777" w:rsidTr="008273F0">
        <w:trPr>
          <w:trHeight w:val="312"/>
        </w:trPr>
        <w:tc>
          <w:tcPr>
            <w:tcW w:w="5900" w:type="dxa"/>
            <w:tcBorders>
              <w:top w:val="nil"/>
              <w:left w:val="single" w:sz="4" w:space="0" w:color="auto"/>
              <w:bottom w:val="single" w:sz="4" w:space="0" w:color="auto"/>
              <w:right w:val="single" w:sz="4" w:space="0" w:color="auto"/>
            </w:tcBorders>
            <w:shd w:val="clear" w:color="000000" w:fill="C4BD97"/>
            <w:noWrap/>
            <w:vAlign w:val="bottom"/>
            <w:hideMark/>
          </w:tcPr>
          <w:p w14:paraId="682039FC" w14:textId="77777777" w:rsidR="008273F0" w:rsidRPr="008273F0" w:rsidRDefault="008273F0" w:rsidP="008273F0">
            <w:pPr>
              <w:spacing w:line="240" w:lineRule="auto"/>
              <w:jc w:val="left"/>
              <w:rPr>
                <w:color w:val="000000"/>
                <w:lang w:eastAsia="en-GB"/>
              </w:rPr>
            </w:pPr>
            <w:r w:rsidRPr="008273F0">
              <w:rPr>
                <w:color w:val="000000"/>
                <w:lang w:eastAsia="en-GB"/>
              </w:rPr>
              <w:t>EBIT (Operating income)</w:t>
            </w:r>
          </w:p>
        </w:tc>
        <w:tc>
          <w:tcPr>
            <w:tcW w:w="1610" w:type="dxa"/>
            <w:tcBorders>
              <w:top w:val="nil"/>
              <w:left w:val="nil"/>
              <w:bottom w:val="single" w:sz="4" w:space="0" w:color="auto"/>
              <w:right w:val="single" w:sz="4" w:space="0" w:color="auto"/>
            </w:tcBorders>
            <w:shd w:val="clear" w:color="000000" w:fill="C4BD97"/>
            <w:noWrap/>
            <w:vAlign w:val="bottom"/>
            <w:hideMark/>
          </w:tcPr>
          <w:p w14:paraId="375D692A" w14:textId="77777777" w:rsidR="008273F0" w:rsidRPr="008273F0" w:rsidRDefault="008273F0" w:rsidP="008273F0">
            <w:pPr>
              <w:spacing w:line="240" w:lineRule="auto"/>
              <w:jc w:val="right"/>
              <w:rPr>
                <w:color w:val="000000"/>
                <w:lang w:eastAsia="en-GB"/>
              </w:rPr>
            </w:pPr>
            <w:r w:rsidRPr="008273F0">
              <w:rPr>
                <w:color w:val="000000"/>
                <w:lang w:eastAsia="en-GB"/>
              </w:rPr>
              <w:t>2,318</w:t>
            </w:r>
          </w:p>
        </w:tc>
        <w:tc>
          <w:tcPr>
            <w:tcW w:w="1610" w:type="dxa"/>
            <w:tcBorders>
              <w:top w:val="nil"/>
              <w:left w:val="nil"/>
              <w:bottom w:val="single" w:sz="4" w:space="0" w:color="auto"/>
              <w:right w:val="single" w:sz="4" w:space="0" w:color="auto"/>
            </w:tcBorders>
            <w:shd w:val="clear" w:color="000000" w:fill="C4BD97"/>
            <w:noWrap/>
            <w:vAlign w:val="bottom"/>
            <w:hideMark/>
          </w:tcPr>
          <w:p w14:paraId="15984A53" w14:textId="77777777" w:rsidR="008273F0" w:rsidRPr="008273F0" w:rsidRDefault="008273F0" w:rsidP="008273F0">
            <w:pPr>
              <w:spacing w:line="240" w:lineRule="auto"/>
              <w:jc w:val="right"/>
              <w:rPr>
                <w:color w:val="000000"/>
                <w:lang w:eastAsia="en-GB"/>
              </w:rPr>
            </w:pPr>
            <w:r w:rsidRPr="008273F0">
              <w:rPr>
                <w:color w:val="000000"/>
                <w:lang w:eastAsia="en-GB"/>
              </w:rPr>
              <w:t>2,158</w:t>
            </w:r>
          </w:p>
        </w:tc>
      </w:tr>
      <w:tr w:rsidR="008273F0" w:rsidRPr="008273F0" w14:paraId="40F3B2DE" w14:textId="77777777" w:rsidTr="008273F0">
        <w:trPr>
          <w:trHeight w:val="312"/>
        </w:trPr>
        <w:tc>
          <w:tcPr>
            <w:tcW w:w="5900" w:type="dxa"/>
            <w:tcBorders>
              <w:top w:val="nil"/>
              <w:left w:val="single" w:sz="4" w:space="0" w:color="auto"/>
              <w:bottom w:val="single" w:sz="4" w:space="0" w:color="auto"/>
              <w:right w:val="single" w:sz="4" w:space="0" w:color="auto"/>
            </w:tcBorders>
            <w:shd w:val="clear" w:color="000000" w:fill="C4BD97"/>
            <w:noWrap/>
            <w:vAlign w:val="bottom"/>
            <w:hideMark/>
          </w:tcPr>
          <w:p w14:paraId="49956D2D" w14:textId="77777777" w:rsidR="008273F0" w:rsidRPr="008273F0" w:rsidRDefault="008273F0" w:rsidP="008273F0">
            <w:pPr>
              <w:spacing w:line="240" w:lineRule="auto"/>
              <w:jc w:val="left"/>
              <w:rPr>
                <w:color w:val="000000"/>
                <w:lang w:eastAsia="en-GB"/>
              </w:rPr>
            </w:pPr>
            <w:r w:rsidRPr="008273F0">
              <w:rPr>
                <w:color w:val="000000"/>
                <w:lang w:eastAsia="en-GB"/>
              </w:rPr>
              <w:t>Interest Expense</w:t>
            </w:r>
          </w:p>
        </w:tc>
        <w:tc>
          <w:tcPr>
            <w:tcW w:w="1610" w:type="dxa"/>
            <w:tcBorders>
              <w:top w:val="nil"/>
              <w:left w:val="nil"/>
              <w:bottom w:val="single" w:sz="4" w:space="0" w:color="auto"/>
              <w:right w:val="single" w:sz="4" w:space="0" w:color="auto"/>
            </w:tcBorders>
            <w:shd w:val="clear" w:color="000000" w:fill="C4BD97"/>
            <w:noWrap/>
            <w:vAlign w:val="bottom"/>
            <w:hideMark/>
          </w:tcPr>
          <w:p w14:paraId="048A26B3" w14:textId="77777777" w:rsidR="008273F0" w:rsidRPr="008273F0" w:rsidRDefault="008273F0" w:rsidP="008273F0">
            <w:pPr>
              <w:spacing w:line="240" w:lineRule="auto"/>
              <w:jc w:val="right"/>
              <w:rPr>
                <w:color w:val="000000"/>
                <w:lang w:eastAsia="en-GB"/>
              </w:rPr>
            </w:pPr>
            <w:r w:rsidRPr="008273F0">
              <w:rPr>
                <w:color w:val="000000"/>
                <w:lang w:eastAsia="en-GB"/>
              </w:rPr>
              <w:t>194</w:t>
            </w:r>
          </w:p>
        </w:tc>
        <w:tc>
          <w:tcPr>
            <w:tcW w:w="1610" w:type="dxa"/>
            <w:tcBorders>
              <w:top w:val="nil"/>
              <w:left w:val="nil"/>
              <w:bottom w:val="single" w:sz="4" w:space="0" w:color="auto"/>
              <w:right w:val="single" w:sz="4" w:space="0" w:color="auto"/>
            </w:tcBorders>
            <w:shd w:val="clear" w:color="000000" w:fill="C4BD97"/>
            <w:noWrap/>
            <w:vAlign w:val="bottom"/>
            <w:hideMark/>
          </w:tcPr>
          <w:p w14:paraId="42FB6237" w14:textId="77777777" w:rsidR="008273F0" w:rsidRPr="008273F0" w:rsidRDefault="008273F0" w:rsidP="008273F0">
            <w:pPr>
              <w:spacing w:line="240" w:lineRule="auto"/>
              <w:jc w:val="right"/>
              <w:rPr>
                <w:color w:val="000000"/>
                <w:lang w:eastAsia="en-GB"/>
              </w:rPr>
            </w:pPr>
            <w:r w:rsidRPr="008273F0">
              <w:rPr>
                <w:color w:val="000000"/>
                <w:lang w:eastAsia="en-GB"/>
              </w:rPr>
              <w:t>284</w:t>
            </w:r>
          </w:p>
        </w:tc>
      </w:tr>
      <w:tr w:rsidR="008273F0" w:rsidRPr="008273F0" w14:paraId="63DFC04F" w14:textId="77777777" w:rsidTr="008273F0">
        <w:trPr>
          <w:trHeight w:val="312"/>
        </w:trPr>
        <w:tc>
          <w:tcPr>
            <w:tcW w:w="5900" w:type="dxa"/>
            <w:tcBorders>
              <w:top w:val="nil"/>
              <w:left w:val="single" w:sz="4" w:space="0" w:color="auto"/>
              <w:bottom w:val="single" w:sz="4" w:space="0" w:color="auto"/>
              <w:right w:val="single" w:sz="4" w:space="0" w:color="auto"/>
            </w:tcBorders>
            <w:shd w:val="clear" w:color="000000" w:fill="FFFFFF"/>
            <w:noWrap/>
            <w:vAlign w:val="bottom"/>
            <w:hideMark/>
          </w:tcPr>
          <w:p w14:paraId="6021D526" w14:textId="77777777" w:rsidR="008273F0" w:rsidRPr="008273F0" w:rsidRDefault="008273F0" w:rsidP="008273F0">
            <w:pPr>
              <w:spacing w:line="240" w:lineRule="auto"/>
              <w:jc w:val="left"/>
              <w:rPr>
                <w:b/>
                <w:bCs/>
                <w:color w:val="000000"/>
                <w:lang w:eastAsia="en-GB"/>
              </w:rPr>
            </w:pPr>
            <w:r w:rsidRPr="008273F0">
              <w:rPr>
                <w:b/>
                <w:bCs/>
                <w:color w:val="000000"/>
                <w:lang w:eastAsia="en-GB"/>
              </w:rPr>
              <w:t>LEVERAGE RATIOS:</w:t>
            </w:r>
          </w:p>
        </w:tc>
        <w:tc>
          <w:tcPr>
            <w:tcW w:w="1610" w:type="dxa"/>
            <w:tcBorders>
              <w:top w:val="nil"/>
              <w:left w:val="nil"/>
              <w:bottom w:val="single" w:sz="4" w:space="0" w:color="auto"/>
              <w:right w:val="single" w:sz="4" w:space="0" w:color="auto"/>
            </w:tcBorders>
            <w:shd w:val="clear" w:color="000000" w:fill="FFFFFF"/>
            <w:noWrap/>
            <w:vAlign w:val="bottom"/>
            <w:hideMark/>
          </w:tcPr>
          <w:p w14:paraId="0CFAFF3B" w14:textId="77777777" w:rsidR="008273F0" w:rsidRPr="008273F0" w:rsidRDefault="008273F0" w:rsidP="008273F0">
            <w:pPr>
              <w:spacing w:line="240" w:lineRule="auto"/>
              <w:jc w:val="right"/>
              <w:rPr>
                <w:b/>
                <w:bCs/>
                <w:color w:val="000000"/>
                <w:lang w:eastAsia="en-GB"/>
              </w:rPr>
            </w:pPr>
            <w:r w:rsidRPr="008273F0">
              <w:rPr>
                <w:b/>
                <w:bCs/>
                <w:color w:val="000000"/>
                <w:lang w:eastAsia="en-GB"/>
              </w:rPr>
              <w:t>2022</w:t>
            </w:r>
          </w:p>
        </w:tc>
        <w:tc>
          <w:tcPr>
            <w:tcW w:w="1610" w:type="dxa"/>
            <w:tcBorders>
              <w:top w:val="nil"/>
              <w:left w:val="nil"/>
              <w:bottom w:val="single" w:sz="4" w:space="0" w:color="auto"/>
              <w:right w:val="single" w:sz="4" w:space="0" w:color="auto"/>
            </w:tcBorders>
            <w:shd w:val="clear" w:color="000000" w:fill="FFFFFF"/>
            <w:noWrap/>
            <w:vAlign w:val="bottom"/>
            <w:hideMark/>
          </w:tcPr>
          <w:p w14:paraId="141E278B" w14:textId="77777777" w:rsidR="008273F0" w:rsidRPr="008273F0" w:rsidRDefault="008273F0" w:rsidP="008273F0">
            <w:pPr>
              <w:spacing w:line="240" w:lineRule="auto"/>
              <w:jc w:val="right"/>
              <w:rPr>
                <w:b/>
                <w:bCs/>
                <w:color w:val="000000"/>
                <w:lang w:eastAsia="en-GB"/>
              </w:rPr>
            </w:pPr>
            <w:r w:rsidRPr="008273F0">
              <w:rPr>
                <w:b/>
                <w:bCs/>
                <w:color w:val="000000"/>
                <w:lang w:eastAsia="en-GB"/>
              </w:rPr>
              <w:t>2021</w:t>
            </w:r>
          </w:p>
        </w:tc>
      </w:tr>
      <w:tr w:rsidR="008273F0" w:rsidRPr="008273F0" w14:paraId="7A6D5AD0" w14:textId="77777777" w:rsidTr="008273F0">
        <w:trPr>
          <w:trHeight w:val="312"/>
        </w:trPr>
        <w:tc>
          <w:tcPr>
            <w:tcW w:w="5900" w:type="dxa"/>
            <w:tcBorders>
              <w:top w:val="nil"/>
              <w:left w:val="single" w:sz="4" w:space="0" w:color="auto"/>
              <w:bottom w:val="single" w:sz="4" w:space="0" w:color="auto"/>
              <w:right w:val="single" w:sz="4" w:space="0" w:color="auto"/>
            </w:tcBorders>
            <w:shd w:val="clear" w:color="000000" w:fill="FFFFFF"/>
            <w:noWrap/>
            <w:vAlign w:val="bottom"/>
            <w:hideMark/>
          </w:tcPr>
          <w:p w14:paraId="19E1751D" w14:textId="77777777" w:rsidR="008273F0" w:rsidRPr="008273F0" w:rsidRDefault="008273F0" w:rsidP="008273F0">
            <w:pPr>
              <w:spacing w:line="240" w:lineRule="auto"/>
              <w:jc w:val="left"/>
              <w:rPr>
                <w:b/>
                <w:bCs/>
                <w:color w:val="000000"/>
                <w:lang w:eastAsia="en-GB"/>
              </w:rPr>
            </w:pPr>
            <w:r w:rsidRPr="008273F0">
              <w:rPr>
                <w:b/>
                <w:bCs/>
                <w:color w:val="000000"/>
                <w:lang w:eastAsia="en-GB"/>
              </w:rPr>
              <w:t>Debt/Equity Ratio</w:t>
            </w:r>
          </w:p>
        </w:tc>
        <w:tc>
          <w:tcPr>
            <w:tcW w:w="1610" w:type="dxa"/>
            <w:tcBorders>
              <w:top w:val="nil"/>
              <w:left w:val="nil"/>
              <w:bottom w:val="single" w:sz="4" w:space="0" w:color="auto"/>
              <w:right w:val="single" w:sz="4" w:space="0" w:color="auto"/>
            </w:tcBorders>
            <w:shd w:val="clear" w:color="000000" w:fill="FFFFFF"/>
            <w:noWrap/>
            <w:vAlign w:val="bottom"/>
            <w:hideMark/>
          </w:tcPr>
          <w:p w14:paraId="795687EA" w14:textId="77777777" w:rsidR="008273F0" w:rsidRPr="008273F0" w:rsidRDefault="008273F0" w:rsidP="008273F0">
            <w:pPr>
              <w:spacing w:line="240" w:lineRule="auto"/>
              <w:jc w:val="right"/>
              <w:rPr>
                <w:color w:val="000000"/>
                <w:lang w:eastAsia="en-GB"/>
              </w:rPr>
            </w:pPr>
            <w:r w:rsidRPr="008273F0">
              <w:rPr>
                <w:color w:val="000000"/>
                <w:lang w:eastAsia="en-GB"/>
              </w:rPr>
              <w:t>0.41</w:t>
            </w:r>
          </w:p>
        </w:tc>
        <w:tc>
          <w:tcPr>
            <w:tcW w:w="1610" w:type="dxa"/>
            <w:tcBorders>
              <w:top w:val="nil"/>
              <w:left w:val="nil"/>
              <w:bottom w:val="single" w:sz="4" w:space="0" w:color="auto"/>
              <w:right w:val="single" w:sz="4" w:space="0" w:color="auto"/>
            </w:tcBorders>
            <w:shd w:val="clear" w:color="000000" w:fill="FFFFFF"/>
            <w:noWrap/>
            <w:vAlign w:val="bottom"/>
            <w:hideMark/>
          </w:tcPr>
          <w:p w14:paraId="07A9068F" w14:textId="77777777" w:rsidR="008273F0" w:rsidRPr="008273F0" w:rsidRDefault="008273F0" w:rsidP="008273F0">
            <w:pPr>
              <w:spacing w:line="240" w:lineRule="auto"/>
              <w:jc w:val="right"/>
              <w:rPr>
                <w:color w:val="000000"/>
                <w:lang w:eastAsia="en-GB"/>
              </w:rPr>
            </w:pPr>
            <w:r w:rsidRPr="008273F0">
              <w:rPr>
                <w:color w:val="000000"/>
                <w:lang w:eastAsia="en-GB"/>
              </w:rPr>
              <w:t>0.60</w:t>
            </w:r>
          </w:p>
        </w:tc>
      </w:tr>
      <w:tr w:rsidR="008273F0" w:rsidRPr="008273F0" w14:paraId="36B3B58E" w14:textId="77777777" w:rsidTr="008273F0">
        <w:trPr>
          <w:trHeight w:val="312"/>
        </w:trPr>
        <w:tc>
          <w:tcPr>
            <w:tcW w:w="5900" w:type="dxa"/>
            <w:tcBorders>
              <w:top w:val="nil"/>
              <w:left w:val="single" w:sz="4" w:space="0" w:color="auto"/>
              <w:bottom w:val="single" w:sz="4" w:space="0" w:color="auto"/>
              <w:right w:val="single" w:sz="4" w:space="0" w:color="auto"/>
            </w:tcBorders>
            <w:shd w:val="clear" w:color="000000" w:fill="FFFFFF"/>
            <w:noWrap/>
            <w:vAlign w:val="bottom"/>
            <w:hideMark/>
          </w:tcPr>
          <w:p w14:paraId="5041C69C" w14:textId="77777777" w:rsidR="008273F0" w:rsidRPr="008273F0" w:rsidRDefault="008273F0" w:rsidP="008273F0">
            <w:pPr>
              <w:spacing w:line="240" w:lineRule="auto"/>
              <w:jc w:val="left"/>
              <w:rPr>
                <w:color w:val="000000"/>
                <w:lang w:eastAsia="en-GB"/>
              </w:rPr>
            </w:pPr>
            <w:r w:rsidRPr="008273F0">
              <w:rPr>
                <w:color w:val="000000"/>
                <w:lang w:eastAsia="en-GB"/>
              </w:rPr>
              <w:t>Total Debt/Total Equity</w:t>
            </w:r>
          </w:p>
        </w:tc>
        <w:tc>
          <w:tcPr>
            <w:tcW w:w="1610" w:type="dxa"/>
            <w:tcBorders>
              <w:top w:val="nil"/>
              <w:left w:val="nil"/>
              <w:bottom w:val="single" w:sz="4" w:space="0" w:color="auto"/>
              <w:right w:val="single" w:sz="4" w:space="0" w:color="auto"/>
            </w:tcBorders>
            <w:shd w:val="clear" w:color="000000" w:fill="FFFFFF"/>
            <w:noWrap/>
            <w:vAlign w:val="bottom"/>
            <w:hideMark/>
          </w:tcPr>
          <w:p w14:paraId="066D41FE" w14:textId="77777777" w:rsidR="008273F0" w:rsidRPr="008273F0" w:rsidRDefault="008273F0" w:rsidP="008273F0">
            <w:pPr>
              <w:spacing w:line="240" w:lineRule="auto"/>
              <w:jc w:val="left"/>
              <w:rPr>
                <w:color w:val="000000"/>
                <w:lang w:eastAsia="en-GB"/>
              </w:rPr>
            </w:pPr>
            <w:r w:rsidRPr="008273F0">
              <w:rPr>
                <w:color w:val="000000"/>
                <w:lang w:eastAsia="en-GB"/>
              </w:rPr>
              <w:t> </w:t>
            </w:r>
          </w:p>
        </w:tc>
        <w:tc>
          <w:tcPr>
            <w:tcW w:w="1610" w:type="dxa"/>
            <w:tcBorders>
              <w:top w:val="nil"/>
              <w:left w:val="nil"/>
              <w:bottom w:val="single" w:sz="4" w:space="0" w:color="auto"/>
              <w:right w:val="single" w:sz="4" w:space="0" w:color="auto"/>
            </w:tcBorders>
            <w:shd w:val="clear" w:color="000000" w:fill="FFFFFF"/>
            <w:noWrap/>
            <w:vAlign w:val="bottom"/>
            <w:hideMark/>
          </w:tcPr>
          <w:p w14:paraId="28894F4B" w14:textId="77777777" w:rsidR="008273F0" w:rsidRPr="008273F0" w:rsidRDefault="008273F0" w:rsidP="008273F0">
            <w:pPr>
              <w:spacing w:line="240" w:lineRule="auto"/>
              <w:jc w:val="left"/>
              <w:rPr>
                <w:color w:val="000000"/>
                <w:lang w:eastAsia="en-GB"/>
              </w:rPr>
            </w:pPr>
            <w:r w:rsidRPr="008273F0">
              <w:rPr>
                <w:color w:val="000000"/>
                <w:lang w:eastAsia="en-GB"/>
              </w:rPr>
              <w:t> </w:t>
            </w:r>
          </w:p>
        </w:tc>
      </w:tr>
      <w:tr w:rsidR="008273F0" w:rsidRPr="008273F0" w14:paraId="6504A18D" w14:textId="77777777" w:rsidTr="008273F0">
        <w:trPr>
          <w:trHeight w:val="312"/>
        </w:trPr>
        <w:tc>
          <w:tcPr>
            <w:tcW w:w="5900" w:type="dxa"/>
            <w:tcBorders>
              <w:top w:val="nil"/>
              <w:left w:val="single" w:sz="4" w:space="0" w:color="auto"/>
              <w:bottom w:val="single" w:sz="4" w:space="0" w:color="auto"/>
              <w:right w:val="single" w:sz="4" w:space="0" w:color="auto"/>
            </w:tcBorders>
            <w:shd w:val="clear" w:color="000000" w:fill="FFFFFF"/>
            <w:noWrap/>
            <w:vAlign w:val="bottom"/>
            <w:hideMark/>
          </w:tcPr>
          <w:p w14:paraId="2748E31A" w14:textId="77777777" w:rsidR="008273F0" w:rsidRPr="008273F0" w:rsidRDefault="008273F0" w:rsidP="008273F0">
            <w:pPr>
              <w:spacing w:line="240" w:lineRule="auto"/>
              <w:jc w:val="left"/>
              <w:rPr>
                <w:b/>
                <w:bCs/>
                <w:color w:val="000000"/>
                <w:lang w:eastAsia="en-GB"/>
              </w:rPr>
            </w:pPr>
            <w:r w:rsidRPr="008273F0">
              <w:rPr>
                <w:b/>
                <w:bCs/>
                <w:color w:val="000000"/>
                <w:lang w:eastAsia="en-GB"/>
              </w:rPr>
              <w:t>Debt/Capital Ratio</w:t>
            </w:r>
          </w:p>
        </w:tc>
        <w:tc>
          <w:tcPr>
            <w:tcW w:w="1610" w:type="dxa"/>
            <w:tcBorders>
              <w:top w:val="nil"/>
              <w:left w:val="nil"/>
              <w:bottom w:val="single" w:sz="4" w:space="0" w:color="auto"/>
              <w:right w:val="single" w:sz="4" w:space="0" w:color="auto"/>
            </w:tcBorders>
            <w:shd w:val="clear" w:color="000000" w:fill="FFFFFF"/>
            <w:noWrap/>
            <w:vAlign w:val="bottom"/>
            <w:hideMark/>
          </w:tcPr>
          <w:p w14:paraId="323D201B" w14:textId="77777777" w:rsidR="008273F0" w:rsidRPr="008273F0" w:rsidRDefault="008273F0" w:rsidP="008273F0">
            <w:pPr>
              <w:spacing w:line="240" w:lineRule="auto"/>
              <w:jc w:val="right"/>
              <w:rPr>
                <w:color w:val="000000"/>
                <w:lang w:eastAsia="en-GB"/>
              </w:rPr>
            </w:pPr>
            <w:r w:rsidRPr="008273F0">
              <w:rPr>
                <w:color w:val="000000"/>
                <w:lang w:eastAsia="en-GB"/>
              </w:rPr>
              <w:t>0.29</w:t>
            </w:r>
          </w:p>
        </w:tc>
        <w:tc>
          <w:tcPr>
            <w:tcW w:w="1610" w:type="dxa"/>
            <w:tcBorders>
              <w:top w:val="nil"/>
              <w:left w:val="nil"/>
              <w:bottom w:val="single" w:sz="4" w:space="0" w:color="auto"/>
              <w:right w:val="single" w:sz="4" w:space="0" w:color="auto"/>
            </w:tcBorders>
            <w:shd w:val="clear" w:color="000000" w:fill="FFFFFF"/>
            <w:noWrap/>
            <w:vAlign w:val="bottom"/>
            <w:hideMark/>
          </w:tcPr>
          <w:p w14:paraId="6E058678" w14:textId="77777777" w:rsidR="008273F0" w:rsidRPr="008273F0" w:rsidRDefault="008273F0" w:rsidP="008273F0">
            <w:pPr>
              <w:spacing w:line="240" w:lineRule="auto"/>
              <w:jc w:val="right"/>
              <w:rPr>
                <w:color w:val="000000"/>
                <w:lang w:eastAsia="en-GB"/>
              </w:rPr>
            </w:pPr>
            <w:r w:rsidRPr="008273F0">
              <w:rPr>
                <w:color w:val="000000"/>
                <w:lang w:eastAsia="en-GB"/>
              </w:rPr>
              <w:t>0.38</w:t>
            </w:r>
          </w:p>
        </w:tc>
      </w:tr>
      <w:tr w:rsidR="008273F0" w:rsidRPr="008273F0" w14:paraId="6323C7DB" w14:textId="77777777" w:rsidTr="008273F0">
        <w:trPr>
          <w:trHeight w:val="312"/>
        </w:trPr>
        <w:tc>
          <w:tcPr>
            <w:tcW w:w="5900" w:type="dxa"/>
            <w:tcBorders>
              <w:top w:val="nil"/>
              <w:left w:val="single" w:sz="4" w:space="0" w:color="auto"/>
              <w:bottom w:val="single" w:sz="4" w:space="0" w:color="auto"/>
              <w:right w:val="single" w:sz="4" w:space="0" w:color="auto"/>
            </w:tcBorders>
            <w:shd w:val="clear" w:color="000000" w:fill="FFFFFF"/>
            <w:noWrap/>
            <w:vAlign w:val="bottom"/>
            <w:hideMark/>
          </w:tcPr>
          <w:p w14:paraId="7DB69714" w14:textId="080CF486" w:rsidR="008273F0" w:rsidRPr="008273F0" w:rsidRDefault="008273F0" w:rsidP="008273F0">
            <w:pPr>
              <w:spacing w:line="240" w:lineRule="auto"/>
              <w:jc w:val="left"/>
              <w:rPr>
                <w:color w:val="000000"/>
                <w:lang w:eastAsia="en-GB"/>
              </w:rPr>
            </w:pPr>
            <w:r w:rsidRPr="008273F0">
              <w:rPr>
                <w:color w:val="000000"/>
                <w:lang w:eastAsia="en-GB"/>
              </w:rPr>
              <w:t>Total Debt/(Tot</w:t>
            </w:r>
            <w:r w:rsidR="006F3CF0">
              <w:rPr>
                <w:color w:val="000000"/>
                <w:lang w:eastAsia="en-GB"/>
              </w:rPr>
              <w:t xml:space="preserve">al </w:t>
            </w:r>
            <w:r w:rsidRPr="008273F0">
              <w:rPr>
                <w:color w:val="000000"/>
                <w:lang w:eastAsia="en-GB"/>
              </w:rPr>
              <w:t>Equity+Tot</w:t>
            </w:r>
            <w:r w:rsidR="006F3CF0">
              <w:rPr>
                <w:color w:val="000000"/>
                <w:lang w:eastAsia="en-GB"/>
              </w:rPr>
              <w:t xml:space="preserve">al </w:t>
            </w:r>
            <w:r w:rsidRPr="008273F0">
              <w:rPr>
                <w:color w:val="000000"/>
                <w:lang w:eastAsia="en-GB"/>
              </w:rPr>
              <w:t>Debt)</w:t>
            </w:r>
          </w:p>
        </w:tc>
        <w:tc>
          <w:tcPr>
            <w:tcW w:w="1610" w:type="dxa"/>
            <w:tcBorders>
              <w:top w:val="nil"/>
              <w:left w:val="nil"/>
              <w:bottom w:val="single" w:sz="4" w:space="0" w:color="auto"/>
              <w:right w:val="single" w:sz="4" w:space="0" w:color="auto"/>
            </w:tcBorders>
            <w:shd w:val="clear" w:color="000000" w:fill="FFFFFF"/>
            <w:noWrap/>
            <w:vAlign w:val="bottom"/>
            <w:hideMark/>
          </w:tcPr>
          <w:p w14:paraId="60CED9F1" w14:textId="77777777" w:rsidR="008273F0" w:rsidRPr="008273F0" w:rsidRDefault="008273F0" w:rsidP="008273F0">
            <w:pPr>
              <w:spacing w:line="240" w:lineRule="auto"/>
              <w:jc w:val="left"/>
              <w:rPr>
                <w:color w:val="000000"/>
                <w:lang w:eastAsia="en-GB"/>
              </w:rPr>
            </w:pPr>
            <w:r w:rsidRPr="008273F0">
              <w:rPr>
                <w:color w:val="000000"/>
                <w:lang w:eastAsia="en-GB"/>
              </w:rPr>
              <w:t> </w:t>
            </w:r>
          </w:p>
        </w:tc>
        <w:tc>
          <w:tcPr>
            <w:tcW w:w="1610" w:type="dxa"/>
            <w:tcBorders>
              <w:top w:val="nil"/>
              <w:left w:val="nil"/>
              <w:bottom w:val="single" w:sz="4" w:space="0" w:color="auto"/>
              <w:right w:val="single" w:sz="4" w:space="0" w:color="auto"/>
            </w:tcBorders>
            <w:shd w:val="clear" w:color="000000" w:fill="FFFFFF"/>
            <w:noWrap/>
            <w:vAlign w:val="bottom"/>
            <w:hideMark/>
          </w:tcPr>
          <w:p w14:paraId="7A8BE02B" w14:textId="77777777" w:rsidR="008273F0" w:rsidRPr="008273F0" w:rsidRDefault="008273F0" w:rsidP="008273F0">
            <w:pPr>
              <w:spacing w:line="240" w:lineRule="auto"/>
              <w:jc w:val="left"/>
              <w:rPr>
                <w:color w:val="000000"/>
                <w:lang w:eastAsia="en-GB"/>
              </w:rPr>
            </w:pPr>
            <w:r w:rsidRPr="008273F0">
              <w:rPr>
                <w:color w:val="000000"/>
                <w:lang w:eastAsia="en-GB"/>
              </w:rPr>
              <w:t> </w:t>
            </w:r>
          </w:p>
        </w:tc>
      </w:tr>
      <w:tr w:rsidR="008273F0" w:rsidRPr="008273F0" w14:paraId="7AECFD1A" w14:textId="77777777" w:rsidTr="008273F0">
        <w:trPr>
          <w:trHeight w:val="312"/>
        </w:trPr>
        <w:tc>
          <w:tcPr>
            <w:tcW w:w="5900" w:type="dxa"/>
            <w:tcBorders>
              <w:top w:val="nil"/>
              <w:left w:val="single" w:sz="4" w:space="0" w:color="auto"/>
              <w:bottom w:val="single" w:sz="4" w:space="0" w:color="auto"/>
              <w:right w:val="single" w:sz="4" w:space="0" w:color="auto"/>
            </w:tcBorders>
            <w:shd w:val="clear" w:color="000000" w:fill="FFFFFF"/>
            <w:noWrap/>
            <w:vAlign w:val="bottom"/>
            <w:hideMark/>
          </w:tcPr>
          <w:p w14:paraId="6EB70EAC" w14:textId="77777777" w:rsidR="008273F0" w:rsidRPr="008273F0" w:rsidRDefault="008273F0" w:rsidP="008273F0">
            <w:pPr>
              <w:spacing w:line="240" w:lineRule="auto"/>
              <w:jc w:val="left"/>
              <w:rPr>
                <w:b/>
                <w:bCs/>
                <w:color w:val="000000"/>
                <w:lang w:eastAsia="en-GB"/>
              </w:rPr>
            </w:pPr>
            <w:r w:rsidRPr="008273F0">
              <w:rPr>
                <w:b/>
                <w:bCs/>
                <w:color w:val="000000"/>
                <w:lang w:eastAsia="en-GB"/>
              </w:rPr>
              <w:t>Equity Multiplier</w:t>
            </w:r>
          </w:p>
        </w:tc>
        <w:tc>
          <w:tcPr>
            <w:tcW w:w="1610" w:type="dxa"/>
            <w:tcBorders>
              <w:top w:val="nil"/>
              <w:left w:val="nil"/>
              <w:bottom w:val="single" w:sz="4" w:space="0" w:color="auto"/>
              <w:right w:val="single" w:sz="4" w:space="0" w:color="auto"/>
            </w:tcBorders>
            <w:shd w:val="clear" w:color="000000" w:fill="FFFFFF"/>
            <w:noWrap/>
            <w:vAlign w:val="bottom"/>
            <w:hideMark/>
          </w:tcPr>
          <w:p w14:paraId="7FBACED2" w14:textId="77777777" w:rsidR="008273F0" w:rsidRPr="008273F0" w:rsidRDefault="008273F0" w:rsidP="008273F0">
            <w:pPr>
              <w:spacing w:line="240" w:lineRule="auto"/>
              <w:jc w:val="right"/>
              <w:rPr>
                <w:color w:val="000000"/>
                <w:lang w:eastAsia="en-GB"/>
              </w:rPr>
            </w:pPr>
            <w:r w:rsidRPr="008273F0">
              <w:rPr>
                <w:color w:val="000000"/>
                <w:lang w:eastAsia="en-GB"/>
              </w:rPr>
              <w:t>2.00</w:t>
            </w:r>
          </w:p>
        </w:tc>
        <w:tc>
          <w:tcPr>
            <w:tcW w:w="1610" w:type="dxa"/>
            <w:tcBorders>
              <w:top w:val="nil"/>
              <w:left w:val="nil"/>
              <w:bottom w:val="single" w:sz="4" w:space="0" w:color="auto"/>
              <w:right w:val="single" w:sz="4" w:space="0" w:color="auto"/>
            </w:tcBorders>
            <w:shd w:val="clear" w:color="000000" w:fill="FFFFFF"/>
            <w:noWrap/>
            <w:vAlign w:val="bottom"/>
            <w:hideMark/>
          </w:tcPr>
          <w:p w14:paraId="3C9D55AF" w14:textId="77777777" w:rsidR="008273F0" w:rsidRPr="008273F0" w:rsidRDefault="008273F0" w:rsidP="008273F0">
            <w:pPr>
              <w:spacing w:line="240" w:lineRule="auto"/>
              <w:jc w:val="right"/>
              <w:rPr>
                <w:color w:val="000000"/>
                <w:lang w:eastAsia="en-GB"/>
              </w:rPr>
            </w:pPr>
            <w:r w:rsidRPr="008273F0">
              <w:rPr>
                <w:color w:val="000000"/>
                <w:lang w:eastAsia="en-GB"/>
              </w:rPr>
              <w:t>2.29</w:t>
            </w:r>
          </w:p>
        </w:tc>
      </w:tr>
      <w:tr w:rsidR="008273F0" w:rsidRPr="008273F0" w14:paraId="61CFC9B1" w14:textId="77777777" w:rsidTr="008273F0">
        <w:trPr>
          <w:trHeight w:val="312"/>
        </w:trPr>
        <w:tc>
          <w:tcPr>
            <w:tcW w:w="5900" w:type="dxa"/>
            <w:tcBorders>
              <w:top w:val="nil"/>
              <w:left w:val="single" w:sz="4" w:space="0" w:color="auto"/>
              <w:bottom w:val="single" w:sz="4" w:space="0" w:color="auto"/>
              <w:right w:val="single" w:sz="4" w:space="0" w:color="auto"/>
            </w:tcBorders>
            <w:shd w:val="clear" w:color="000000" w:fill="FFFFFF"/>
            <w:noWrap/>
            <w:vAlign w:val="bottom"/>
            <w:hideMark/>
          </w:tcPr>
          <w:p w14:paraId="70B6C92D" w14:textId="77777777" w:rsidR="008273F0" w:rsidRPr="008273F0" w:rsidRDefault="008273F0" w:rsidP="008273F0">
            <w:pPr>
              <w:spacing w:line="240" w:lineRule="auto"/>
              <w:jc w:val="left"/>
              <w:rPr>
                <w:color w:val="000000"/>
                <w:lang w:eastAsia="en-GB"/>
              </w:rPr>
            </w:pPr>
            <w:r w:rsidRPr="008273F0">
              <w:rPr>
                <w:color w:val="000000"/>
                <w:lang w:eastAsia="en-GB"/>
              </w:rPr>
              <w:t>Total Assets/Total Equity</w:t>
            </w:r>
          </w:p>
        </w:tc>
        <w:tc>
          <w:tcPr>
            <w:tcW w:w="1610" w:type="dxa"/>
            <w:tcBorders>
              <w:top w:val="nil"/>
              <w:left w:val="nil"/>
              <w:bottom w:val="single" w:sz="4" w:space="0" w:color="auto"/>
              <w:right w:val="single" w:sz="4" w:space="0" w:color="auto"/>
            </w:tcBorders>
            <w:shd w:val="clear" w:color="000000" w:fill="FFFFFF"/>
            <w:noWrap/>
            <w:vAlign w:val="bottom"/>
            <w:hideMark/>
          </w:tcPr>
          <w:p w14:paraId="2F50B192" w14:textId="77777777" w:rsidR="008273F0" w:rsidRPr="008273F0" w:rsidRDefault="008273F0" w:rsidP="008273F0">
            <w:pPr>
              <w:spacing w:line="240" w:lineRule="auto"/>
              <w:jc w:val="left"/>
              <w:rPr>
                <w:color w:val="000000"/>
                <w:lang w:eastAsia="en-GB"/>
              </w:rPr>
            </w:pPr>
            <w:r w:rsidRPr="008273F0">
              <w:rPr>
                <w:color w:val="000000"/>
                <w:lang w:eastAsia="en-GB"/>
              </w:rPr>
              <w:t> </w:t>
            </w:r>
          </w:p>
        </w:tc>
        <w:tc>
          <w:tcPr>
            <w:tcW w:w="1610" w:type="dxa"/>
            <w:tcBorders>
              <w:top w:val="nil"/>
              <w:left w:val="nil"/>
              <w:bottom w:val="single" w:sz="4" w:space="0" w:color="auto"/>
              <w:right w:val="single" w:sz="4" w:space="0" w:color="auto"/>
            </w:tcBorders>
            <w:shd w:val="clear" w:color="000000" w:fill="FFFFFF"/>
            <w:noWrap/>
            <w:vAlign w:val="bottom"/>
            <w:hideMark/>
          </w:tcPr>
          <w:p w14:paraId="45B8E902" w14:textId="77777777" w:rsidR="008273F0" w:rsidRPr="008273F0" w:rsidRDefault="008273F0" w:rsidP="008273F0">
            <w:pPr>
              <w:spacing w:line="240" w:lineRule="auto"/>
              <w:jc w:val="left"/>
              <w:rPr>
                <w:color w:val="000000"/>
                <w:lang w:eastAsia="en-GB"/>
              </w:rPr>
            </w:pPr>
            <w:r w:rsidRPr="008273F0">
              <w:rPr>
                <w:color w:val="000000"/>
                <w:lang w:eastAsia="en-GB"/>
              </w:rPr>
              <w:t> </w:t>
            </w:r>
          </w:p>
        </w:tc>
      </w:tr>
    </w:tbl>
    <w:p w14:paraId="42252715" w14:textId="04572509" w:rsidR="00B12020" w:rsidRPr="00CD6CC0" w:rsidRDefault="00B12020" w:rsidP="008273F0">
      <w:pPr>
        <w:jc w:val="center"/>
        <w:rPr>
          <w:b/>
        </w:rPr>
      </w:pPr>
    </w:p>
    <w:p w14:paraId="265916B0" w14:textId="77777777" w:rsidR="00B12020" w:rsidRPr="00CD6CC0" w:rsidRDefault="00D93CD1">
      <w:pPr>
        <w:rPr>
          <w:b/>
        </w:rPr>
      </w:pPr>
      <w:r w:rsidRPr="00CD6CC0">
        <w:rPr>
          <w:b/>
        </w:rPr>
        <w:lastRenderedPageBreak/>
        <w:t xml:space="preserve">Efficiency ratios of business </w:t>
      </w:r>
    </w:p>
    <w:p w14:paraId="42C83168" w14:textId="77777777" w:rsidR="00B12020" w:rsidRPr="00CD6CC0" w:rsidRDefault="00D93CD1">
      <w:r w:rsidRPr="00CD6CC0">
        <w:t>For the processing of identifying a basic relation related to individual elements of current assets and current liability, this type of identification has been measured that represents the efficiency structure of the business and other accountable processing support of the business mainly</w:t>
      </w:r>
      <w:r w:rsidR="00493AC6">
        <w:t xml:space="preserve"> </w:t>
      </w:r>
      <w:r w:rsidR="00493AC6">
        <w:rPr>
          <w:color w:val="000000" w:themeColor="text1"/>
          <w:lang w:val="en-US"/>
        </w:rPr>
        <w:t>(Britton and Waterston,</w:t>
      </w:r>
      <w:r w:rsidR="00493AC6" w:rsidRPr="005129C3">
        <w:rPr>
          <w:color w:val="000000" w:themeColor="text1"/>
          <w:lang w:val="en-US"/>
        </w:rPr>
        <w:t xml:space="preserve"> 2020</w:t>
      </w:r>
      <w:r w:rsidR="00493AC6">
        <w:rPr>
          <w:color w:val="000000" w:themeColor="text1"/>
          <w:lang w:val="en-US"/>
        </w:rPr>
        <w:t>)</w:t>
      </w:r>
      <w:r w:rsidRPr="00CD6CC0">
        <w:t>. It has been initiated to recognise the period related to financial element aspects that measure the comparative development and other progressive values on a specific basis. Such analysis of the business of Nokia Oyj has been provided.</w:t>
      </w:r>
    </w:p>
    <w:tbl>
      <w:tblPr>
        <w:tblW w:w="9204" w:type="dxa"/>
        <w:tblLook w:val="04A0" w:firstRow="1" w:lastRow="0" w:firstColumn="1" w:lastColumn="0" w:noHBand="0" w:noVBand="1"/>
      </w:tblPr>
      <w:tblGrid>
        <w:gridCol w:w="5984"/>
        <w:gridCol w:w="1610"/>
        <w:gridCol w:w="1610"/>
      </w:tblGrid>
      <w:tr w:rsidR="00746F4F" w:rsidRPr="00746F4F" w14:paraId="2520A249" w14:textId="77777777" w:rsidTr="00746F4F">
        <w:trPr>
          <w:trHeight w:val="312"/>
        </w:trPr>
        <w:tc>
          <w:tcPr>
            <w:tcW w:w="5984"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14:paraId="2BA4B0A2" w14:textId="77777777" w:rsidR="00746F4F" w:rsidRPr="00746F4F" w:rsidRDefault="00746F4F" w:rsidP="00746F4F">
            <w:pPr>
              <w:spacing w:line="240" w:lineRule="auto"/>
              <w:jc w:val="left"/>
              <w:rPr>
                <w:color w:val="000000"/>
                <w:lang w:eastAsia="en-GB"/>
              </w:rPr>
            </w:pPr>
            <w:r w:rsidRPr="00746F4F">
              <w:rPr>
                <w:color w:val="000000"/>
                <w:lang w:eastAsia="en-GB"/>
              </w:rPr>
              <w:t> </w:t>
            </w:r>
          </w:p>
        </w:tc>
        <w:tc>
          <w:tcPr>
            <w:tcW w:w="3220" w:type="dxa"/>
            <w:gridSpan w:val="2"/>
            <w:tcBorders>
              <w:top w:val="single" w:sz="4" w:space="0" w:color="auto"/>
              <w:left w:val="nil"/>
              <w:bottom w:val="single" w:sz="4" w:space="0" w:color="auto"/>
              <w:right w:val="single" w:sz="4" w:space="0" w:color="000000"/>
            </w:tcBorders>
            <w:shd w:val="clear" w:color="000000" w:fill="FFFFFF"/>
            <w:noWrap/>
            <w:vAlign w:val="bottom"/>
            <w:hideMark/>
          </w:tcPr>
          <w:p w14:paraId="681913FC" w14:textId="77777777" w:rsidR="00746F4F" w:rsidRPr="00746F4F" w:rsidRDefault="00746F4F" w:rsidP="00746F4F">
            <w:pPr>
              <w:spacing w:line="240" w:lineRule="auto"/>
              <w:jc w:val="center"/>
              <w:rPr>
                <w:b/>
                <w:bCs/>
                <w:color w:val="000000"/>
                <w:lang w:eastAsia="en-GB"/>
              </w:rPr>
            </w:pPr>
            <w:r w:rsidRPr="00746F4F">
              <w:rPr>
                <w:b/>
                <w:bCs/>
                <w:color w:val="000000"/>
                <w:lang w:eastAsia="en-GB"/>
              </w:rPr>
              <w:t>Nokia Oyj</w:t>
            </w:r>
          </w:p>
        </w:tc>
      </w:tr>
      <w:tr w:rsidR="00746F4F" w:rsidRPr="00746F4F" w14:paraId="5FB3E4C0" w14:textId="77777777" w:rsidTr="00746F4F">
        <w:trPr>
          <w:trHeight w:val="312"/>
        </w:trPr>
        <w:tc>
          <w:tcPr>
            <w:tcW w:w="5984" w:type="dxa"/>
            <w:tcBorders>
              <w:top w:val="nil"/>
              <w:left w:val="single" w:sz="4" w:space="0" w:color="auto"/>
              <w:bottom w:val="single" w:sz="4" w:space="0" w:color="auto"/>
              <w:right w:val="single" w:sz="4" w:space="0" w:color="auto"/>
            </w:tcBorders>
            <w:shd w:val="clear" w:color="000000" w:fill="C4BD97"/>
            <w:noWrap/>
            <w:vAlign w:val="bottom"/>
            <w:hideMark/>
          </w:tcPr>
          <w:p w14:paraId="6FFE8808" w14:textId="77777777" w:rsidR="00746F4F" w:rsidRPr="00746F4F" w:rsidRDefault="00746F4F" w:rsidP="00746F4F">
            <w:pPr>
              <w:spacing w:line="240" w:lineRule="auto"/>
              <w:jc w:val="left"/>
              <w:rPr>
                <w:b/>
                <w:bCs/>
                <w:color w:val="000000"/>
                <w:lang w:eastAsia="en-GB"/>
              </w:rPr>
            </w:pPr>
            <w:r w:rsidRPr="00746F4F">
              <w:rPr>
                <w:b/>
                <w:bCs/>
                <w:color w:val="000000"/>
                <w:lang w:eastAsia="en-GB"/>
              </w:rPr>
              <w:t>Input data for Working Capital Or EFFICIENCY Ratios:</w:t>
            </w:r>
          </w:p>
        </w:tc>
        <w:tc>
          <w:tcPr>
            <w:tcW w:w="1610" w:type="dxa"/>
            <w:tcBorders>
              <w:top w:val="nil"/>
              <w:left w:val="nil"/>
              <w:bottom w:val="single" w:sz="4" w:space="0" w:color="auto"/>
              <w:right w:val="single" w:sz="4" w:space="0" w:color="auto"/>
            </w:tcBorders>
            <w:shd w:val="clear" w:color="000000" w:fill="C4BD97"/>
            <w:noWrap/>
            <w:vAlign w:val="bottom"/>
            <w:hideMark/>
          </w:tcPr>
          <w:p w14:paraId="12B59FFB" w14:textId="77777777" w:rsidR="00746F4F" w:rsidRPr="00746F4F" w:rsidRDefault="00746F4F" w:rsidP="00746F4F">
            <w:pPr>
              <w:spacing w:line="240" w:lineRule="auto"/>
              <w:jc w:val="right"/>
              <w:rPr>
                <w:b/>
                <w:bCs/>
                <w:color w:val="000000"/>
                <w:lang w:eastAsia="en-GB"/>
              </w:rPr>
            </w:pPr>
            <w:r w:rsidRPr="00746F4F">
              <w:rPr>
                <w:b/>
                <w:bCs/>
                <w:color w:val="000000"/>
                <w:lang w:eastAsia="en-GB"/>
              </w:rPr>
              <w:t>2,022</w:t>
            </w:r>
          </w:p>
        </w:tc>
        <w:tc>
          <w:tcPr>
            <w:tcW w:w="1610" w:type="dxa"/>
            <w:tcBorders>
              <w:top w:val="nil"/>
              <w:left w:val="nil"/>
              <w:bottom w:val="single" w:sz="4" w:space="0" w:color="auto"/>
              <w:right w:val="single" w:sz="4" w:space="0" w:color="auto"/>
            </w:tcBorders>
            <w:shd w:val="clear" w:color="000000" w:fill="C4BD97"/>
            <w:noWrap/>
            <w:vAlign w:val="bottom"/>
            <w:hideMark/>
          </w:tcPr>
          <w:p w14:paraId="5CC72A70" w14:textId="77777777" w:rsidR="00746F4F" w:rsidRPr="00746F4F" w:rsidRDefault="00746F4F" w:rsidP="00746F4F">
            <w:pPr>
              <w:spacing w:line="240" w:lineRule="auto"/>
              <w:jc w:val="right"/>
              <w:rPr>
                <w:b/>
                <w:bCs/>
                <w:color w:val="000000"/>
                <w:lang w:eastAsia="en-GB"/>
              </w:rPr>
            </w:pPr>
            <w:r w:rsidRPr="00746F4F">
              <w:rPr>
                <w:b/>
                <w:bCs/>
                <w:color w:val="000000"/>
                <w:lang w:eastAsia="en-GB"/>
              </w:rPr>
              <w:t>2,021</w:t>
            </w:r>
          </w:p>
        </w:tc>
      </w:tr>
      <w:tr w:rsidR="00746F4F" w:rsidRPr="00746F4F" w14:paraId="3366B805" w14:textId="77777777" w:rsidTr="00746F4F">
        <w:trPr>
          <w:trHeight w:val="312"/>
        </w:trPr>
        <w:tc>
          <w:tcPr>
            <w:tcW w:w="5984" w:type="dxa"/>
            <w:tcBorders>
              <w:top w:val="nil"/>
              <w:left w:val="single" w:sz="4" w:space="0" w:color="auto"/>
              <w:bottom w:val="single" w:sz="4" w:space="0" w:color="auto"/>
              <w:right w:val="single" w:sz="4" w:space="0" w:color="auto"/>
            </w:tcBorders>
            <w:shd w:val="clear" w:color="000000" w:fill="C4BD97"/>
            <w:noWrap/>
            <w:vAlign w:val="bottom"/>
            <w:hideMark/>
          </w:tcPr>
          <w:p w14:paraId="135B8054" w14:textId="77777777" w:rsidR="00746F4F" w:rsidRPr="00746F4F" w:rsidRDefault="00746F4F" w:rsidP="00746F4F">
            <w:pPr>
              <w:spacing w:line="240" w:lineRule="auto"/>
              <w:jc w:val="left"/>
              <w:rPr>
                <w:color w:val="000000"/>
                <w:lang w:eastAsia="en-GB"/>
              </w:rPr>
            </w:pPr>
            <w:r w:rsidRPr="00746F4F">
              <w:rPr>
                <w:color w:val="000000"/>
                <w:lang w:eastAsia="en-GB"/>
              </w:rPr>
              <w:t>Inventories</w:t>
            </w:r>
          </w:p>
        </w:tc>
        <w:tc>
          <w:tcPr>
            <w:tcW w:w="1610" w:type="dxa"/>
            <w:tcBorders>
              <w:top w:val="nil"/>
              <w:left w:val="nil"/>
              <w:bottom w:val="single" w:sz="4" w:space="0" w:color="auto"/>
              <w:right w:val="single" w:sz="4" w:space="0" w:color="auto"/>
            </w:tcBorders>
            <w:shd w:val="clear" w:color="000000" w:fill="C4BD97"/>
            <w:noWrap/>
            <w:vAlign w:val="bottom"/>
            <w:hideMark/>
          </w:tcPr>
          <w:p w14:paraId="3856E38B" w14:textId="77777777" w:rsidR="00746F4F" w:rsidRPr="00746F4F" w:rsidRDefault="00746F4F" w:rsidP="00746F4F">
            <w:pPr>
              <w:spacing w:line="240" w:lineRule="auto"/>
              <w:jc w:val="right"/>
              <w:rPr>
                <w:color w:val="000000"/>
                <w:lang w:eastAsia="en-GB"/>
              </w:rPr>
            </w:pPr>
            <w:r w:rsidRPr="00746F4F">
              <w:rPr>
                <w:color w:val="000000"/>
                <w:lang w:eastAsia="en-GB"/>
              </w:rPr>
              <w:t>3,265</w:t>
            </w:r>
          </w:p>
        </w:tc>
        <w:tc>
          <w:tcPr>
            <w:tcW w:w="1610" w:type="dxa"/>
            <w:tcBorders>
              <w:top w:val="nil"/>
              <w:left w:val="nil"/>
              <w:bottom w:val="single" w:sz="4" w:space="0" w:color="auto"/>
              <w:right w:val="single" w:sz="4" w:space="0" w:color="auto"/>
            </w:tcBorders>
            <w:shd w:val="clear" w:color="000000" w:fill="C4BD97"/>
            <w:noWrap/>
            <w:vAlign w:val="bottom"/>
            <w:hideMark/>
          </w:tcPr>
          <w:p w14:paraId="78641AD8" w14:textId="77777777" w:rsidR="00746F4F" w:rsidRPr="00746F4F" w:rsidRDefault="00746F4F" w:rsidP="00746F4F">
            <w:pPr>
              <w:spacing w:line="240" w:lineRule="auto"/>
              <w:jc w:val="right"/>
              <w:rPr>
                <w:color w:val="000000"/>
                <w:lang w:eastAsia="en-GB"/>
              </w:rPr>
            </w:pPr>
            <w:r w:rsidRPr="00746F4F">
              <w:rPr>
                <w:color w:val="000000"/>
                <w:lang w:eastAsia="en-GB"/>
              </w:rPr>
              <w:t>2,392</w:t>
            </w:r>
          </w:p>
        </w:tc>
      </w:tr>
      <w:tr w:rsidR="00746F4F" w:rsidRPr="00746F4F" w14:paraId="029DB734" w14:textId="77777777" w:rsidTr="00746F4F">
        <w:trPr>
          <w:trHeight w:val="312"/>
        </w:trPr>
        <w:tc>
          <w:tcPr>
            <w:tcW w:w="5984" w:type="dxa"/>
            <w:tcBorders>
              <w:top w:val="nil"/>
              <w:left w:val="single" w:sz="4" w:space="0" w:color="auto"/>
              <w:bottom w:val="single" w:sz="4" w:space="0" w:color="auto"/>
              <w:right w:val="single" w:sz="4" w:space="0" w:color="auto"/>
            </w:tcBorders>
            <w:shd w:val="clear" w:color="000000" w:fill="C4BD97"/>
            <w:noWrap/>
            <w:vAlign w:val="bottom"/>
            <w:hideMark/>
          </w:tcPr>
          <w:p w14:paraId="06AE72DC" w14:textId="77777777" w:rsidR="00746F4F" w:rsidRPr="00746F4F" w:rsidRDefault="00746F4F" w:rsidP="00746F4F">
            <w:pPr>
              <w:spacing w:line="240" w:lineRule="auto"/>
              <w:jc w:val="left"/>
              <w:rPr>
                <w:color w:val="000000"/>
                <w:lang w:eastAsia="en-GB"/>
              </w:rPr>
            </w:pPr>
            <w:r w:rsidRPr="00746F4F">
              <w:rPr>
                <w:color w:val="000000"/>
                <w:lang w:eastAsia="en-GB"/>
              </w:rPr>
              <w:t>Account Receivables</w:t>
            </w:r>
          </w:p>
        </w:tc>
        <w:tc>
          <w:tcPr>
            <w:tcW w:w="1610" w:type="dxa"/>
            <w:tcBorders>
              <w:top w:val="nil"/>
              <w:left w:val="nil"/>
              <w:bottom w:val="single" w:sz="4" w:space="0" w:color="auto"/>
              <w:right w:val="single" w:sz="4" w:space="0" w:color="auto"/>
            </w:tcBorders>
            <w:shd w:val="clear" w:color="000000" w:fill="C4BD97"/>
            <w:noWrap/>
            <w:vAlign w:val="bottom"/>
            <w:hideMark/>
          </w:tcPr>
          <w:p w14:paraId="6D7909A2" w14:textId="77777777" w:rsidR="00746F4F" w:rsidRPr="00746F4F" w:rsidRDefault="00746F4F" w:rsidP="00746F4F">
            <w:pPr>
              <w:spacing w:line="240" w:lineRule="auto"/>
              <w:jc w:val="right"/>
              <w:rPr>
                <w:color w:val="000000"/>
                <w:lang w:eastAsia="en-GB"/>
              </w:rPr>
            </w:pPr>
            <w:r w:rsidRPr="00746F4F">
              <w:rPr>
                <w:color w:val="000000"/>
                <w:lang w:eastAsia="en-GB"/>
              </w:rPr>
              <w:t>5549</w:t>
            </w:r>
          </w:p>
        </w:tc>
        <w:tc>
          <w:tcPr>
            <w:tcW w:w="1610" w:type="dxa"/>
            <w:tcBorders>
              <w:top w:val="nil"/>
              <w:left w:val="nil"/>
              <w:bottom w:val="single" w:sz="4" w:space="0" w:color="auto"/>
              <w:right w:val="single" w:sz="4" w:space="0" w:color="auto"/>
            </w:tcBorders>
            <w:shd w:val="clear" w:color="000000" w:fill="C4BD97"/>
            <w:noWrap/>
            <w:vAlign w:val="bottom"/>
            <w:hideMark/>
          </w:tcPr>
          <w:p w14:paraId="57737008" w14:textId="77777777" w:rsidR="00746F4F" w:rsidRPr="00746F4F" w:rsidRDefault="00746F4F" w:rsidP="00746F4F">
            <w:pPr>
              <w:spacing w:line="240" w:lineRule="auto"/>
              <w:jc w:val="right"/>
              <w:rPr>
                <w:color w:val="000000"/>
                <w:lang w:eastAsia="en-GB"/>
              </w:rPr>
            </w:pPr>
            <w:r w:rsidRPr="00746F4F">
              <w:rPr>
                <w:color w:val="000000"/>
                <w:lang w:eastAsia="en-GB"/>
              </w:rPr>
              <w:t>5382</w:t>
            </w:r>
          </w:p>
        </w:tc>
      </w:tr>
      <w:tr w:rsidR="00746F4F" w:rsidRPr="00746F4F" w14:paraId="326076A0" w14:textId="77777777" w:rsidTr="00746F4F">
        <w:trPr>
          <w:trHeight w:val="312"/>
        </w:trPr>
        <w:tc>
          <w:tcPr>
            <w:tcW w:w="5984" w:type="dxa"/>
            <w:tcBorders>
              <w:top w:val="nil"/>
              <w:left w:val="single" w:sz="4" w:space="0" w:color="auto"/>
              <w:bottom w:val="single" w:sz="4" w:space="0" w:color="auto"/>
              <w:right w:val="single" w:sz="4" w:space="0" w:color="auto"/>
            </w:tcBorders>
            <w:shd w:val="clear" w:color="000000" w:fill="C4BD97"/>
            <w:noWrap/>
            <w:vAlign w:val="bottom"/>
            <w:hideMark/>
          </w:tcPr>
          <w:p w14:paraId="778A06A0" w14:textId="77777777" w:rsidR="00746F4F" w:rsidRPr="00746F4F" w:rsidRDefault="00746F4F" w:rsidP="00746F4F">
            <w:pPr>
              <w:spacing w:line="240" w:lineRule="auto"/>
              <w:jc w:val="left"/>
              <w:rPr>
                <w:color w:val="000000"/>
                <w:lang w:eastAsia="en-GB"/>
              </w:rPr>
            </w:pPr>
            <w:r w:rsidRPr="00746F4F">
              <w:rPr>
                <w:color w:val="000000"/>
                <w:lang w:eastAsia="en-GB"/>
              </w:rPr>
              <w:t>Account Payables</w:t>
            </w:r>
          </w:p>
        </w:tc>
        <w:tc>
          <w:tcPr>
            <w:tcW w:w="1610" w:type="dxa"/>
            <w:tcBorders>
              <w:top w:val="nil"/>
              <w:left w:val="nil"/>
              <w:bottom w:val="single" w:sz="4" w:space="0" w:color="auto"/>
              <w:right w:val="single" w:sz="4" w:space="0" w:color="auto"/>
            </w:tcBorders>
            <w:shd w:val="clear" w:color="000000" w:fill="C4BD97"/>
            <w:noWrap/>
            <w:vAlign w:val="bottom"/>
            <w:hideMark/>
          </w:tcPr>
          <w:p w14:paraId="052D25F0" w14:textId="77777777" w:rsidR="00746F4F" w:rsidRPr="00746F4F" w:rsidRDefault="00746F4F" w:rsidP="00746F4F">
            <w:pPr>
              <w:spacing w:line="240" w:lineRule="auto"/>
              <w:jc w:val="right"/>
              <w:rPr>
                <w:color w:val="000000"/>
                <w:lang w:eastAsia="en-GB"/>
              </w:rPr>
            </w:pPr>
            <w:r w:rsidRPr="00746F4F">
              <w:rPr>
                <w:color w:val="000000"/>
                <w:lang w:eastAsia="en-GB"/>
              </w:rPr>
              <w:t>4730</w:t>
            </w:r>
          </w:p>
        </w:tc>
        <w:tc>
          <w:tcPr>
            <w:tcW w:w="1610" w:type="dxa"/>
            <w:tcBorders>
              <w:top w:val="nil"/>
              <w:left w:val="nil"/>
              <w:bottom w:val="single" w:sz="4" w:space="0" w:color="auto"/>
              <w:right w:val="single" w:sz="4" w:space="0" w:color="auto"/>
            </w:tcBorders>
            <w:shd w:val="clear" w:color="000000" w:fill="C4BD97"/>
            <w:noWrap/>
            <w:vAlign w:val="bottom"/>
            <w:hideMark/>
          </w:tcPr>
          <w:p w14:paraId="30150B55" w14:textId="77777777" w:rsidR="00746F4F" w:rsidRPr="00746F4F" w:rsidRDefault="00746F4F" w:rsidP="00746F4F">
            <w:pPr>
              <w:spacing w:line="240" w:lineRule="auto"/>
              <w:jc w:val="right"/>
              <w:rPr>
                <w:color w:val="000000"/>
                <w:lang w:eastAsia="en-GB"/>
              </w:rPr>
            </w:pPr>
            <w:r w:rsidRPr="00746F4F">
              <w:rPr>
                <w:color w:val="000000"/>
                <w:lang w:eastAsia="en-GB"/>
              </w:rPr>
              <w:t>3679</w:t>
            </w:r>
          </w:p>
        </w:tc>
      </w:tr>
      <w:tr w:rsidR="00746F4F" w:rsidRPr="00746F4F" w14:paraId="31AE6FC9" w14:textId="77777777" w:rsidTr="00746F4F">
        <w:trPr>
          <w:trHeight w:val="312"/>
        </w:trPr>
        <w:tc>
          <w:tcPr>
            <w:tcW w:w="5984" w:type="dxa"/>
            <w:tcBorders>
              <w:top w:val="nil"/>
              <w:left w:val="single" w:sz="4" w:space="0" w:color="auto"/>
              <w:bottom w:val="single" w:sz="4" w:space="0" w:color="auto"/>
              <w:right w:val="single" w:sz="4" w:space="0" w:color="auto"/>
            </w:tcBorders>
            <w:shd w:val="clear" w:color="000000" w:fill="C4BD97"/>
            <w:noWrap/>
            <w:vAlign w:val="bottom"/>
            <w:hideMark/>
          </w:tcPr>
          <w:p w14:paraId="39B39B30" w14:textId="77777777" w:rsidR="00746F4F" w:rsidRPr="00746F4F" w:rsidRDefault="00746F4F" w:rsidP="00746F4F">
            <w:pPr>
              <w:spacing w:line="240" w:lineRule="auto"/>
              <w:jc w:val="left"/>
              <w:rPr>
                <w:color w:val="000000"/>
                <w:lang w:eastAsia="en-GB"/>
              </w:rPr>
            </w:pPr>
            <w:r w:rsidRPr="00746F4F">
              <w:rPr>
                <w:color w:val="000000"/>
                <w:lang w:eastAsia="en-GB"/>
              </w:rPr>
              <w:t>Purchases</w:t>
            </w:r>
          </w:p>
        </w:tc>
        <w:tc>
          <w:tcPr>
            <w:tcW w:w="1610" w:type="dxa"/>
            <w:tcBorders>
              <w:top w:val="nil"/>
              <w:left w:val="nil"/>
              <w:bottom w:val="single" w:sz="4" w:space="0" w:color="auto"/>
              <w:right w:val="single" w:sz="4" w:space="0" w:color="auto"/>
            </w:tcBorders>
            <w:shd w:val="clear" w:color="000000" w:fill="C4BD97"/>
            <w:noWrap/>
            <w:vAlign w:val="bottom"/>
            <w:hideMark/>
          </w:tcPr>
          <w:p w14:paraId="3A5549B8" w14:textId="77777777" w:rsidR="00746F4F" w:rsidRPr="00746F4F" w:rsidRDefault="00746F4F" w:rsidP="00746F4F">
            <w:pPr>
              <w:spacing w:line="240" w:lineRule="auto"/>
              <w:jc w:val="right"/>
              <w:rPr>
                <w:color w:val="000000"/>
                <w:lang w:eastAsia="en-GB"/>
              </w:rPr>
            </w:pPr>
            <w:r w:rsidRPr="00746F4F">
              <w:rPr>
                <w:color w:val="000000"/>
                <w:lang w:eastAsia="en-GB"/>
              </w:rPr>
              <w:t>14,689</w:t>
            </w:r>
          </w:p>
        </w:tc>
        <w:tc>
          <w:tcPr>
            <w:tcW w:w="1610" w:type="dxa"/>
            <w:tcBorders>
              <w:top w:val="nil"/>
              <w:left w:val="nil"/>
              <w:bottom w:val="single" w:sz="4" w:space="0" w:color="auto"/>
              <w:right w:val="single" w:sz="4" w:space="0" w:color="auto"/>
            </w:tcBorders>
            <w:shd w:val="clear" w:color="000000" w:fill="C4BD97"/>
            <w:noWrap/>
            <w:vAlign w:val="bottom"/>
            <w:hideMark/>
          </w:tcPr>
          <w:p w14:paraId="74F9E40B" w14:textId="77777777" w:rsidR="00746F4F" w:rsidRPr="00746F4F" w:rsidRDefault="00746F4F" w:rsidP="00746F4F">
            <w:pPr>
              <w:spacing w:line="240" w:lineRule="auto"/>
              <w:jc w:val="right"/>
              <w:rPr>
                <w:color w:val="000000"/>
                <w:lang w:eastAsia="en-GB"/>
              </w:rPr>
            </w:pPr>
            <w:r w:rsidRPr="00746F4F">
              <w:rPr>
                <w:color w:val="000000"/>
                <w:lang w:eastAsia="en-GB"/>
              </w:rPr>
              <w:t>13,368</w:t>
            </w:r>
          </w:p>
        </w:tc>
      </w:tr>
      <w:tr w:rsidR="00746F4F" w:rsidRPr="00746F4F" w14:paraId="717BA71E" w14:textId="77777777" w:rsidTr="00746F4F">
        <w:trPr>
          <w:trHeight w:val="312"/>
        </w:trPr>
        <w:tc>
          <w:tcPr>
            <w:tcW w:w="5984" w:type="dxa"/>
            <w:tcBorders>
              <w:top w:val="nil"/>
              <w:left w:val="single" w:sz="4" w:space="0" w:color="auto"/>
              <w:bottom w:val="single" w:sz="4" w:space="0" w:color="auto"/>
              <w:right w:val="single" w:sz="4" w:space="0" w:color="auto"/>
            </w:tcBorders>
            <w:shd w:val="clear" w:color="000000" w:fill="C4BD97"/>
            <w:noWrap/>
            <w:vAlign w:val="bottom"/>
            <w:hideMark/>
          </w:tcPr>
          <w:p w14:paraId="0C033A2E" w14:textId="77777777" w:rsidR="00746F4F" w:rsidRPr="00746F4F" w:rsidRDefault="00746F4F" w:rsidP="00746F4F">
            <w:pPr>
              <w:spacing w:line="240" w:lineRule="auto"/>
              <w:jc w:val="left"/>
              <w:rPr>
                <w:color w:val="000000"/>
                <w:lang w:eastAsia="en-GB"/>
              </w:rPr>
            </w:pPr>
            <w:r w:rsidRPr="00746F4F">
              <w:rPr>
                <w:color w:val="000000"/>
                <w:lang w:eastAsia="en-GB"/>
              </w:rPr>
              <w:t>Sales</w:t>
            </w:r>
          </w:p>
        </w:tc>
        <w:tc>
          <w:tcPr>
            <w:tcW w:w="1610" w:type="dxa"/>
            <w:tcBorders>
              <w:top w:val="nil"/>
              <w:left w:val="nil"/>
              <w:bottom w:val="single" w:sz="4" w:space="0" w:color="auto"/>
              <w:right w:val="single" w:sz="4" w:space="0" w:color="auto"/>
            </w:tcBorders>
            <w:shd w:val="clear" w:color="000000" w:fill="C4BD97"/>
            <w:noWrap/>
            <w:vAlign w:val="bottom"/>
            <w:hideMark/>
          </w:tcPr>
          <w:p w14:paraId="72DBA71D" w14:textId="77777777" w:rsidR="00746F4F" w:rsidRPr="00746F4F" w:rsidRDefault="00746F4F" w:rsidP="00746F4F">
            <w:pPr>
              <w:spacing w:line="240" w:lineRule="auto"/>
              <w:jc w:val="right"/>
              <w:rPr>
                <w:color w:val="000000"/>
                <w:lang w:eastAsia="en-GB"/>
              </w:rPr>
            </w:pPr>
            <w:r w:rsidRPr="00746F4F">
              <w:rPr>
                <w:color w:val="000000"/>
                <w:lang w:eastAsia="en-GB"/>
              </w:rPr>
              <w:t>24,911</w:t>
            </w:r>
          </w:p>
        </w:tc>
        <w:tc>
          <w:tcPr>
            <w:tcW w:w="1610" w:type="dxa"/>
            <w:tcBorders>
              <w:top w:val="nil"/>
              <w:left w:val="nil"/>
              <w:bottom w:val="single" w:sz="4" w:space="0" w:color="auto"/>
              <w:right w:val="single" w:sz="4" w:space="0" w:color="auto"/>
            </w:tcBorders>
            <w:shd w:val="clear" w:color="000000" w:fill="C4BD97"/>
            <w:noWrap/>
            <w:vAlign w:val="bottom"/>
            <w:hideMark/>
          </w:tcPr>
          <w:p w14:paraId="6FA6EA69" w14:textId="77777777" w:rsidR="00746F4F" w:rsidRPr="00746F4F" w:rsidRDefault="00746F4F" w:rsidP="00746F4F">
            <w:pPr>
              <w:spacing w:line="240" w:lineRule="auto"/>
              <w:jc w:val="right"/>
              <w:rPr>
                <w:color w:val="000000"/>
                <w:lang w:eastAsia="en-GB"/>
              </w:rPr>
            </w:pPr>
            <w:r w:rsidRPr="00746F4F">
              <w:rPr>
                <w:color w:val="000000"/>
                <w:lang w:eastAsia="en-GB"/>
              </w:rPr>
              <w:t>22,202</w:t>
            </w:r>
          </w:p>
        </w:tc>
      </w:tr>
      <w:tr w:rsidR="00746F4F" w:rsidRPr="00746F4F" w14:paraId="4A5E7210" w14:textId="77777777" w:rsidTr="00746F4F">
        <w:trPr>
          <w:trHeight w:val="312"/>
        </w:trPr>
        <w:tc>
          <w:tcPr>
            <w:tcW w:w="5984" w:type="dxa"/>
            <w:tcBorders>
              <w:top w:val="nil"/>
              <w:left w:val="single" w:sz="4" w:space="0" w:color="auto"/>
              <w:bottom w:val="single" w:sz="4" w:space="0" w:color="auto"/>
              <w:right w:val="single" w:sz="4" w:space="0" w:color="auto"/>
            </w:tcBorders>
            <w:shd w:val="clear" w:color="000000" w:fill="FFFFFF"/>
            <w:noWrap/>
            <w:vAlign w:val="bottom"/>
            <w:hideMark/>
          </w:tcPr>
          <w:p w14:paraId="2FC7162C" w14:textId="77777777" w:rsidR="00746F4F" w:rsidRPr="00746F4F" w:rsidRDefault="00746F4F" w:rsidP="00746F4F">
            <w:pPr>
              <w:spacing w:line="240" w:lineRule="auto"/>
              <w:jc w:val="left"/>
              <w:rPr>
                <w:b/>
                <w:bCs/>
                <w:color w:val="000000"/>
                <w:lang w:eastAsia="en-GB"/>
              </w:rPr>
            </w:pPr>
            <w:r w:rsidRPr="00746F4F">
              <w:rPr>
                <w:b/>
                <w:bCs/>
                <w:color w:val="000000"/>
                <w:lang w:eastAsia="en-GB"/>
              </w:rPr>
              <w:t>WORKING CAPITAL RATIOS:</w:t>
            </w:r>
          </w:p>
        </w:tc>
        <w:tc>
          <w:tcPr>
            <w:tcW w:w="1610" w:type="dxa"/>
            <w:tcBorders>
              <w:top w:val="nil"/>
              <w:left w:val="nil"/>
              <w:bottom w:val="single" w:sz="4" w:space="0" w:color="auto"/>
              <w:right w:val="single" w:sz="4" w:space="0" w:color="auto"/>
            </w:tcBorders>
            <w:shd w:val="clear" w:color="000000" w:fill="FFFFFF"/>
            <w:noWrap/>
            <w:vAlign w:val="bottom"/>
            <w:hideMark/>
          </w:tcPr>
          <w:p w14:paraId="03AA5B99" w14:textId="77777777" w:rsidR="00746F4F" w:rsidRPr="00746F4F" w:rsidRDefault="00746F4F" w:rsidP="00746F4F">
            <w:pPr>
              <w:spacing w:line="240" w:lineRule="auto"/>
              <w:jc w:val="right"/>
              <w:rPr>
                <w:b/>
                <w:bCs/>
                <w:color w:val="000000"/>
                <w:lang w:eastAsia="en-GB"/>
              </w:rPr>
            </w:pPr>
            <w:r w:rsidRPr="00746F4F">
              <w:rPr>
                <w:b/>
                <w:bCs/>
                <w:color w:val="000000"/>
                <w:lang w:eastAsia="en-GB"/>
              </w:rPr>
              <w:t>2022</w:t>
            </w:r>
          </w:p>
        </w:tc>
        <w:tc>
          <w:tcPr>
            <w:tcW w:w="1610" w:type="dxa"/>
            <w:tcBorders>
              <w:top w:val="nil"/>
              <w:left w:val="nil"/>
              <w:bottom w:val="single" w:sz="4" w:space="0" w:color="auto"/>
              <w:right w:val="single" w:sz="4" w:space="0" w:color="auto"/>
            </w:tcBorders>
            <w:shd w:val="clear" w:color="000000" w:fill="FFFFFF"/>
            <w:noWrap/>
            <w:vAlign w:val="bottom"/>
            <w:hideMark/>
          </w:tcPr>
          <w:p w14:paraId="3988A63E" w14:textId="77777777" w:rsidR="00746F4F" w:rsidRPr="00746F4F" w:rsidRDefault="00746F4F" w:rsidP="00746F4F">
            <w:pPr>
              <w:spacing w:line="240" w:lineRule="auto"/>
              <w:jc w:val="right"/>
              <w:rPr>
                <w:b/>
                <w:bCs/>
                <w:color w:val="000000"/>
                <w:lang w:eastAsia="en-GB"/>
              </w:rPr>
            </w:pPr>
            <w:r w:rsidRPr="00746F4F">
              <w:rPr>
                <w:b/>
                <w:bCs/>
                <w:color w:val="000000"/>
                <w:lang w:eastAsia="en-GB"/>
              </w:rPr>
              <w:t>2021</w:t>
            </w:r>
          </w:p>
        </w:tc>
      </w:tr>
      <w:tr w:rsidR="00746F4F" w:rsidRPr="00746F4F" w14:paraId="6F0FBA25" w14:textId="77777777" w:rsidTr="00746F4F">
        <w:trPr>
          <w:trHeight w:val="312"/>
        </w:trPr>
        <w:tc>
          <w:tcPr>
            <w:tcW w:w="5984" w:type="dxa"/>
            <w:tcBorders>
              <w:top w:val="nil"/>
              <w:left w:val="single" w:sz="4" w:space="0" w:color="auto"/>
              <w:bottom w:val="single" w:sz="4" w:space="0" w:color="auto"/>
              <w:right w:val="single" w:sz="4" w:space="0" w:color="auto"/>
            </w:tcBorders>
            <w:shd w:val="clear" w:color="000000" w:fill="FFFFFF"/>
            <w:noWrap/>
            <w:vAlign w:val="bottom"/>
            <w:hideMark/>
          </w:tcPr>
          <w:p w14:paraId="244AABFA" w14:textId="77777777" w:rsidR="00746F4F" w:rsidRPr="00746F4F" w:rsidRDefault="00746F4F" w:rsidP="00746F4F">
            <w:pPr>
              <w:spacing w:line="240" w:lineRule="auto"/>
              <w:jc w:val="left"/>
              <w:rPr>
                <w:b/>
                <w:bCs/>
                <w:color w:val="000000"/>
                <w:lang w:eastAsia="en-GB"/>
              </w:rPr>
            </w:pPr>
            <w:r w:rsidRPr="00746F4F">
              <w:rPr>
                <w:b/>
                <w:bCs/>
                <w:color w:val="000000"/>
                <w:lang w:eastAsia="en-GB"/>
              </w:rPr>
              <w:t>Inventory Days</w:t>
            </w:r>
          </w:p>
        </w:tc>
        <w:tc>
          <w:tcPr>
            <w:tcW w:w="1610" w:type="dxa"/>
            <w:tcBorders>
              <w:top w:val="nil"/>
              <w:left w:val="nil"/>
              <w:bottom w:val="single" w:sz="4" w:space="0" w:color="auto"/>
              <w:right w:val="single" w:sz="4" w:space="0" w:color="auto"/>
            </w:tcBorders>
            <w:shd w:val="clear" w:color="000000" w:fill="FFFFFF"/>
            <w:noWrap/>
            <w:vAlign w:val="bottom"/>
            <w:hideMark/>
          </w:tcPr>
          <w:p w14:paraId="5FB45954" w14:textId="77777777" w:rsidR="00746F4F" w:rsidRPr="00746F4F" w:rsidRDefault="00746F4F" w:rsidP="00746F4F">
            <w:pPr>
              <w:spacing w:line="240" w:lineRule="auto"/>
              <w:jc w:val="right"/>
              <w:rPr>
                <w:color w:val="000000"/>
                <w:lang w:eastAsia="en-GB"/>
              </w:rPr>
            </w:pPr>
            <w:r w:rsidRPr="00746F4F">
              <w:rPr>
                <w:color w:val="000000"/>
                <w:lang w:eastAsia="en-GB"/>
              </w:rPr>
              <w:t>80.02</w:t>
            </w:r>
          </w:p>
        </w:tc>
        <w:tc>
          <w:tcPr>
            <w:tcW w:w="1610" w:type="dxa"/>
            <w:tcBorders>
              <w:top w:val="nil"/>
              <w:left w:val="nil"/>
              <w:bottom w:val="single" w:sz="4" w:space="0" w:color="auto"/>
              <w:right w:val="single" w:sz="4" w:space="0" w:color="auto"/>
            </w:tcBorders>
            <w:shd w:val="clear" w:color="000000" w:fill="FFFFFF"/>
            <w:noWrap/>
            <w:vAlign w:val="bottom"/>
            <w:hideMark/>
          </w:tcPr>
          <w:p w14:paraId="24D3DE9C" w14:textId="77777777" w:rsidR="00746F4F" w:rsidRPr="00746F4F" w:rsidRDefault="00746F4F" w:rsidP="00746F4F">
            <w:pPr>
              <w:spacing w:line="240" w:lineRule="auto"/>
              <w:jc w:val="right"/>
              <w:rPr>
                <w:color w:val="000000"/>
                <w:lang w:eastAsia="en-GB"/>
              </w:rPr>
            </w:pPr>
            <w:r w:rsidRPr="00746F4F">
              <w:rPr>
                <w:color w:val="000000"/>
                <w:lang w:eastAsia="en-GB"/>
              </w:rPr>
              <w:t>64.42</w:t>
            </w:r>
          </w:p>
        </w:tc>
      </w:tr>
      <w:tr w:rsidR="00746F4F" w:rsidRPr="00746F4F" w14:paraId="645D6580" w14:textId="77777777" w:rsidTr="00746F4F">
        <w:trPr>
          <w:trHeight w:val="312"/>
        </w:trPr>
        <w:tc>
          <w:tcPr>
            <w:tcW w:w="5984" w:type="dxa"/>
            <w:tcBorders>
              <w:top w:val="nil"/>
              <w:left w:val="single" w:sz="4" w:space="0" w:color="auto"/>
              <w:bottom w:val="single" w:sz="4" w:space="0" w:color="auto"/>
              <w:right w:val="single" w:sz="4" w:space="0" w:color="auto"/>
            </w:tcBorders>
            <w:shd w:val="clear" w:color="000000" w:fill="FFFFFF"/>
            <w:noWrap/>
            <w:vAlign w:val="bottom"/>
            <w:hideMark/>
          </w:tcPr>
          <w:p w14:paraId="4965157A" w14:textId="77777777" w:rsidR="00746F4F" w:rsidRPr="00746F4F" w:rsidRDefault="00746F4F" w:rsidP="00746F4F">
            <w:pPr>
              <w:spacing w:line="240" w:lineRule="auto"/>
              <w:jc w:val="left"/>
              <w:rPr>
                <w:color w:val="000000"/>
                <w:lang w:eastAsia="en-GB"/>
              </w:rPr>
            </w:pPr>
            <w:r w:rsidRPr="00746F4F">
              <w:rPr>
                <w:color w:val="000000"/>
                <w:lang w:eastAsia="en-GB"/>
              </w:rPr>
              <w:t>(Inventories/Purchases) x 360</w:t>
            </w:r>
          </w:p>
        </w:tc>
        <w:tc>
          <w:tcPr>
            <w:tcW w:w="1610" w:type="dxa"/>
            <w:tcBorders>
              <w:top w:val="nil"/>
              <w:left w:val="nil"/>
              <w:bottom w:val="single" w:sz="4" w:space="0" w:color="auto"/>
              <w:right w:val="single" w:sz="4" w:space="0" w:color="auto"/>
            </w:tcBorders>
            <w:shd w:val="clear" w:color="000000" w:fill="FFFFFF"/>
            <w:noWrap/>
            <w:vAlign w:val="bottom"/>
            <w:hideMark/>
          </w:tcPr>
          <w:p w14:paraId="45F5C2DC" w14:textId="77777777" w:rsidR="00746F4F" w:rsidRPr="00746F4F" w:rsidRDefault="00746F4F" w:rsidP="00746F4F">
            <w:pPr>
              <w:spacing w:line="240" w:lineRule="auto"/>
              <w:jc w:val="left"/>
              <w:rPr>
                <w:color w:val="000000"/>
                <w:lang w:eastAsia="en-GB"/>
              </w:rPr>
            </w:pPr>
            <w:r w:rsidRPr="00746F4F">
              <w:rPr>
                <w:color w:val="000000"/>
                <w:lang w:eastAsia="en-GB"/>
              </w:rPr>
              <w:t> </w:t>
            </w:r>
          </w:p>
        </w:tc>
        <w:tc>
          <w:tcPr>
            <w:tcW w:w="1610" w:type="dxa"/>
            <w:tcBorders>
              <w:top w:val="nil"/>
              <w:left w:val="nil"/>
              <w:bottom w:val="single" w:sz="4" w:space="0" w:color="auto"/>
              <w:right w:val="single" w:sz="4" w:space="0" w:color="auto"/>
            </w:tcBorders>
            <w:shd w:val="clear" w:color="000000" w:fill="FFFFFF"/>
            <w:noWrap/>
            <w:vAlign w:val="bottom"/>
            <w:hideMark/>
          </w:tcPr>
          <w:p w14:paraId="00414E16" w14:textId="77777777" w:rsidR="00746F4F" w:rsidRPr="00746F4F" w:rsidRDefault="00746F4F" w:rsidP="00746F4F">
            <w:pPr>
              <w:spacing w:line="240" w:lineRule="auto"/>
              <w:jc w:val="left"/>
              <w:rPr>
                <w:color w:val="000000"/>
                <w:lang w:eastAsia="en-GB"/>
              </w:rPr>
            </w:pPr>
            <w:r w:rsidRPr="00746F4F">
              <w:rPr>
                <w:color w:val="000000"/>
                <w:lang w:eastAsia="en-GB"/>
              </w:rPr>
              <w:t> </w:t>
            </w:r>
          </w:p>
        </w:tc>
      </w:tr>
      <w:tr w:rsidR="00746F4F" w:rsidRPr="00746F4F" w14:paraId="0830B183" w14:textId="77777777" w:rsidTr="00746F4F">
        <w:trPr>
          <w:trHeight w:val="312"/>
        </w:trPr>
        <w:tc>
          <w:tcPr>
            <w:tcW w:w="5984" w:type="dxa"/>
            <w:tcBorders>
              <w:top w:val="nil"/>
              <w:left w:val="single" w:sz="4" w:space="0" w:color="auto"/>
              <w:bottom w:val="single" w:sz="4" w:space="0" w:color="auto"/>
              <w:right w:val="single" w:sz="4" w:space="0" w:color="auto"/>
            </w:tcBorders>
            <w:shd w:val="clear" w:color="000000" w:fill="FFFFFF"/>
            <w:noWrap/>
            <w:vAlign w:val="bottom"/>
            <w:hideMark/>
          </w:tcPr>
          <w:p w14:paraId="6E0BD297" w14:textId="77777777" w:rsidR="00746F4F" w:rsidRPr="00746F4F" w:rsidRDefault="00746F4F" w:rsidP="00746F4F">
            <w:pPr>
              <w:spacing w:line="240" w:lineRule="auto"/>
              <w:jc w:val="left"/>
              <w:rPr>
                <w:b/>
                <w:bCs/>
                <w:color w:val="000000"/>
                <w:lang w:eastAsia="en-GB"/>
              </w:rPr>
            </w:pPr>
            <w:r w:rsidRPr="00746F4F">
              <w:rPr>
                <w:b/>
                <w:bCs/>
                <w:color w:val="000000"/>
                <w:lang w:eastAsia="en-GB"/>
              </w:rPr>
              <w:t>Account Receivable Days</w:t>
            </w:r>
          </w:p>
        </w:tc>
        <w:tc>
          <w:tcPr>
            <w:tcW w:w="1610" w:type="dxa"/>
            <w:tcBorders>
              <w:top w:val="nil"/>
              <w:left w:val="nil"/>
              <w:bottom w:val="single" w:sz="4" w:space="0" w:color="auto"/>
              <w:right w:val="single" w:sz="4" w:space="0" w:color="auto"/>
            </w:tcBorders>
            <w:shd w:val="clear" w:color="000000" w:fill="FFFFFF"/>
            <w:noWrap/>
            <w:vAlign w:val="bottom"/>
            <w:hideMark/>
          </w:tcPr>
          <w:p w14:paraId="569AD314" w14:textId="77777777" w:rsidR="00746F4F" w:rsidRPr="00746F4F" w:rsidRDefault="00746F4F" w:rsidP="00746F4F">
            <w:pPr>
              <w:spacing w:line="240" w:lineRule="auto"/>
              <w:jc w:val="right"/>
              <w:rPr>
                <w:color w:val="000000"/>
                <w:lang w:eastAsia="en-GB"/>
              </w:rPr>
            </w:pPr>
            <w:r w:rsidRPr="00746F4F">
              <w:rPr>
                <w:color w:val="000000"/>
                <w:lang w:eastAsia="en-GB"/>
              </w:rPr>
              <w:t>80.19</w:t>
            </w:r>
          </w:p>
        </w:tc>
        <w:tc>
          <w:tcPr>
            <w:tcW w:w="1610" w:type="dxa"/>
            <w:tcBorders>
              <w:top w:val="nil"/>
              <w:left w:val="nil"/>
              <w:bottom w:val="single" w:sz="4" w:space="0" w:color="auto"/>
              <w:right w:val="single" w:sz="4" w:space="0" w:color="auto"/>
            </w:tcBorders>
            <w:shd w:val="clear" w:color="000000" w:fill="FFFFFF"/>
            <w:noWrap/>
            <w:vAlign w:val="bottom"/>
            <w:hideMark/>
          </w:tcPr>
          <w:p w14:paraId="0CA09995" w14:textId="77777777" w:rsidR="00746F4F" w:rsidRPr="00746F4F" w:rsidRDefault="00746F4F" w:rsidP="00746F4F">
            <w:pPr>
              <w:spacing w:line="240" w:lineRule="auto"/>
              <w:jc w:val="right"/>
              <w:rPr>
                <w:color w:val="000000"/>
                <w:lang w:eastAsia="en-GB"/>
              </w:rPr>
            </w:pPr>
            <w:r w:rsidRPr="00746F4F">
              <w:rPr>
                <w:color w:val="000000"/>
                <w:lang w:eastAsia="en-GB"/>
              </w:rPr>
              <w:t>87.27</w:t>
            </w:r>
          </w:p>
        </w:tc>
      </w:tr>
      <w:tr w:rsidR="00746F4F" w:rsidRPr="00746F4F" w14:paraId="01313E32" w14:textId="77777777" w:rsidTr="00746F4F">
        <w:trPr>
          <w:trHeight w:val="312"/>
        </w:trPr>
        <w:tc>
          <w:tcPr>
            <w:tcW w:w="5984" w:type="dxa"/>
            <w:tcBorders>
              <w:top w:val="nil"/>
              <w:left w:val="single" w:sz="4" w:space="0" w:color="auto"/>
              <w:bottom w:val="single" w:sz="4" w:space="0" w:color="auto"/>
              <w:right w:val="single" w:sz="4" w:space="0" w:color="auto"/>
            </w:tcBorders>
            <w:shd w:val="clear" w:color="000000" w:fill="FFFFFF"/>
            <w:noWrap/>
            <w:vAlign w:val="bottom"/>
            <w:hideMark/>
          </w:tcPr>
          <w:p w14:paraId="4F16B3E6" w14:textId="77777777" w:rsidR="00746F4F" w:rsidRPr="00746F4F" w:rsidRDefault="00746F4F" w:rsidP="00746F4F">
            <w:pPr>
              <w:spacing w:line="240" w:lineRule="auto"/>
              <w:jc w:val="left"/>
              <w:rPr>
                <w:color w:val="000000"/>
                <w:lang w:eastAsia="en-GB"/>
              </w:rPr>
            </w:pPr>
            <w:r w:rsidRPr="00746F4F">
              <w:rPr>
                <w:color w:val="000000"/>
                <w:lang w:eastAsia="en-GB"/>
              </w:rPr>
              <w:t>(Account Receivable/Sales) x 360</w:t>
            </w:r>
          </w:p>
        </w:tc>
        <w:tc>
          <w:tcPr>
            <w:tcW w:w="1610" w:type="dxa"/>
            <w:tcBorders>
              <w:top w:val="nil"/>
              <w:left w:val="nil"/>
              <w:bottom w:val="single" w:sz="4" w:space="0" w:color="auto"/>
              <w:right w:val="single" w:sz="4" w:space="0" w:color="auto"/>
            </w:tcBorders>
            <w:shd w:val="clear" w:color="000000" w:fill="FFFFFF"/>
            <w:noWrap/>
            <w:vAlign w:val="bottom"/>
            <w:hideMark/>
          </w:tcPr>
          <w:p w14:paraId="35005912" w14:textId="77777777" w:rsidR="00746F4F" w:rsidRPr="00746F4F" w:rsidRDefault="00746F4F" w:rsidP="00746F4F">
            <w:pPr>
              <w:spacing w:line="240" w:lineRule="auto"/>
              <w:jc w:val="left"/>
              <w:rPr>
                <w:color w:val="000000"/>
                <w:lang w:eastAsia="en-GB"/>
              </w:rPr>
            </w:pPr>
            <w:r w:rsidRPr="00746F4F">
              <w:rPr>
                <w:color w:val="000000"/>
                <w:lang w:eastAsia="en-GB"/>
              </w:rPr>
              <w:t> </w:t>
            </w:r>
          </w:p>
        </w:tc>
        <w:tc>
          <w:tcPr>
            <w:tcW w:w="1610" w:type="dxa"/>
            <w:tcBorders>
              <w:top w:val="nil"/>
              <w:left w:val="nil"/>
              <w:bottom w:val="single" w:sz="4" w:space="0" w:color="auto"/>
              <w:right w:val="single" w:sz="4" w:space="0" w:color="auto"/>
            </w:tcBorders>
            <w:shd w:val="clear" w:color="000000" w:fill="FFFFFF"/>
            <w:noWrap/>
            <w:vAlign w:val="bottom"/>
            <w:hideMark/>
          </w:tcPr>
          <w:p w14:paraId="6965CB32" w14:textId="77777777" w:rsidR="00746F4F" w:rsidRPr="00746F4F" w:rsidRDefault="00746F4F" w:rsidP="00746F4F">
            <w:pPr>
              <w:spacing w:line="240" w:lineRule="auto"/>
              <w:jc w:val="left"/>
              <w:rPr>
                <w:color w:val="000000"/>
                <w:lang w:eastAsia="en-GB"/>
              </w:rPr>
            </w:pPr>
            <w:r w:rsidRPr="00746F4F">
              <w:rPr>
                <w:color w:val="000000"/>
                <w:lang w:eastAsia="en-GB"/>
              </w:rPr>
              <w:t> </w:t>
            </w:r>
          </w:p>
        </w:tc>
      </w:tr>
      <w:tr w:rsidR="00746F4F" w:rsidRPr="00746F4F" w14:paraId="5E9947B6" w14:textId="77777777" w:rsidTr="00746F4F">
        <w:trPr>
          <w:trHeight w:val="312"/>
        </w:trPr>
        <w:tc>
          <w:tcPr>
            <w:tcW w:w="5984" w:type="dxa"/>
            <w:tcBorders>
              <w:top w:val="nil"/>
              <w:left w:val="single" w:sz="4" w:space="0" w:color="auto"/>
              <w:bottom w:val="single" w:sz="4" w:space="0" w:color="auto"/>
              <w:right w:val="single" w:sz="4" w:space="0" w:color="auto"/>
            </w:tcBorders>
            <w:shd w:val="clear" w:color="000000" w:fill="FFFFFF"/>
            <w:noWrap/>
            <w:vAlign w:val="bottom"/>
            <w:hideMark/>
          </w:tcPr>
          <w:p w14:paraId="592BAF65" w14:textId="77777777" w:rsidR="00746F4F" w:rsidRPr="00746F4F" w:rsidRDefault="00746F4F" w:rsidP="00746F4F">
            <w:pPr>
              <w:spacing w:line="240" w:lineRule="auto"/>
              <w:jc w:val="left"/>
              <w:rPr>
                <w:b/>
                <w:bCs/>
                <w:color w:val="000000"/>
                <w:lang w:eastAsia="en-GB"/>
              </w:rPr>
            </w:pPr>
            <w:r w:rsidRPr="00746F4F">
              <w:rPr>
                <w:b/>
                <w:bCs/>
                <w:color w:val="000000"/>
                <w:lang w:eastAsia="en-GB"/>
              </w:rPr>
              <w:t>Account Payable Days</w:t>
            </w:r>
          </w:p>
        </w:tc>
        <w:tc>
          <w:tcPr>
            <w:tcW w:w="1610" w:type="dxa"/>
            <w:tcBorders>
              <w:top w:val="nil"/>
              <w:left w:val="nil"/>
              <w:bottom w:val="single" w:sz="4" w:space="0" w:color="auto"/>
              <w:right w:val="single" w:sz="4" w:space="0" w:color="auto"/>
            </w:tcBorders>
            <w:shd w:val="clear" w:color="000000" w:fill="FFFFFF"/>
            <w:noWrap/>
            <w:vAlign w:val="bottom"/>
            <w:hideMark/>
          </w:tcPr>
          <w:p w14:paraId="7BF4AE79" w14:textId="77777777" w:rsidR="00746F4F" w:rsidRPr="00746F4F" w:rsidRDefault="00746F4F" w:rsidP="00746F4F">
            <w:pPr>
              <w:spacing w:line="240" w:lineRule="auto"/>
              <w:jc w:val="right"/>
              <w:rPr>
                <w:color w:val="000000"/>
                <w:lang w:eastAsia="en-GB"/>
              </w:rPr>
            </w:pPr>
            <w:r w:rsidRPr="00746F4F">
              <w:rPr>
                <w:color w:val="000000"/>
                <w:lang w:eastAsia="en-GB"/>
              </w:rPr>
              <w:t>115.92</w:t>
            </w:r>
          </w:p>
        </w:tc>
        <w:tc>
          <w:tcPr>
            <w:tcW w:w="1610" w:type="dxa"/>
            <w:tcBorders>
              <w:top w:val="nil"/>
              <w:left w:val="nil"/>
              <w:bottom w:val="single" w:sz="4" w:space="0" w:color="auto"/>
              <w:right w:val="single" w:sz="4" w:space="0" w:color="auto"/>
            </w:tcBorders>
            <w:shd w:val="clear" w:color="000000" w:fill="FFFFFF"/>
            <w:noWrap/>
            <w:vAlign w:val="bottom"/>
            <w:hideMark/>
          </w:tcPr>
          <w:p w14:paraId="74D65C21" w14:textId="77777777" w:rsidR="00746F4F" w:rsidRPr="00746F4F" w:rsidRDefault="00746F4F" w:rsidP="00746F4F">
            <w:pPr>
              <w:spacing w:line="240" w:lineRule="auto"/>
              <w:jc w:val="right"/>
              <w:rPr>
                <w:color w:val="000000"/>
                <w:lang w:eastAsia="en-GB"/>
              </w:rPr>
            </w:pPr>
            <w:r w:rsidRPr="00746F4F">
              <w:rPr>
                <w:color w:val="000000"/>
                <w:lang w:eastAsia="en-GB"/>
              </w:rPr>
              <w:t>99.08</w:t>
            </w:r>
          </w:p>
        </w:tc>
      </w:tr>
      <w:tr w:rsidR="00746F4F" w:rsidRPr="00746F4F" w14:paraId="45DFD935" w14:textId="77777777" w:rsidTr="00746F4F">
        <w:trPr>
          <w:trHeight w:val="312"/>
        </w:trPr>
        <w:tc>
          <w:tcPr>
            <w:tcW w:w="5984" w:type="dxa"/>
            <w:tcBorders>
              <w:top w:val="nil"/>
              <w:left w:val="single" w:sz="4" w:space="0" w:color="auto"/>
              <w:bottom w:val="single" w:sz="4" w:space="0" w:color="auto"/>
              <w:right w:val="single" w:sz="4" w:space="0" w:color="auto"/>
            </w:tcBorders>
            <w:shd w:val="clear" w:color="000000" w:fill="FFFFFF"/>
            <w:noWrap/>
            <w:vAlign w:val="bottom"/>
            <w:hideMark/>
          </w:tcPr>
          <w:p w14:paraId="3960F659" w14:textId="77777777" w:rsidR="00746F4F" w:rsidRPr="00746F4F" w:rsidRDefault="00746F4F" w:rsidP="00746F4F">
            <w:pPr>
              <w:spacing w:line="240" w:lineRule="auto"/>
              <w:jc w:val="left"/>
              <w:rPr>
                <w:color w:val="000000"/>
                <w:lang w:eastAsia="en-GB"/>
              </w:rPr>
            </w:pPr>
            <w:r w:rsidRPr="00746F4F">
              <w:rPr>
                <w:color w:val="000000"/>
                <w:lang w:eastAsia="en-GB"/>
              </w:rPr>
              <w:t>(Account Payable Days/Purchases) x 360</w:t>
            </w:r>
          </w:p>
        </w:tc>
        <w:tc>
          <w:tcPr>
            <w:tcW w:w="1610" w:type="dxa"/>
            <w:tcBorders>
              <w:top w:val="nil"/>
              <w:left w:val="nil"/>
              <w:bottom w:val="single" w:sz="4" w:space="0" w:color="auto"/>
              <w:right w:val="single" w:sz="4" w:space="0" w:color="auto"/>
            </w:tcBorders>
            <w:shd w:val="clear" w:color="000000" w:fill="FFFFFF"/>
            <w:noWrap/>
            <w:vAlign w:val="bottom"/>
            <w:hideMark/>
          </w:tcPr>
          <w:p w14:paraId="57D77704" w14:textId="77777777" w:rsidR="00746F4F" w:rsidRPr="00746F4F" w:rsidRDefault="00746F4F" w:rsidP="00746F4F">
            <w:pPr>
              <w:spacing w:line="240" w:lineRule="auto"/>
              <w:jc w:val="left"/>
              <w:rPr>
                <w:color w:val="000000"/>
                <w:lang w:eastAsia="en-GB"/>
              </w:rPr>
            </w:pPr>
            <w:r w:rsidRPr="00746F4F">
              <w:rPr>
                <w:color w:val="000000"/>
                <w:lang w:eastAsia="en-GB"/>
              </w:rPr>
              <w:t> </w:t>
            </w:r>
          </w:p>
        </w:tc>
        <w:tc>
          <w:tcPr>
            <w:tcW w:w="1610" w:type="dxa"/>
            <w:tcBorders>
              <w:top w:val="nil"/>
              <w:left w:val="nil"/>
              <w:bottom w:val="single" w:sz="4" w:space="0" w:color="auto"/>
              <w:right w:val="single" w:sz="4" w:space="0" w:color="auto"/>
            </w:tcBorders>
            <w:shd w:val="clear" w:color="000000" w:fill="FFFFFF"/>
            <w:noWrap/>
            <w:vAlign w:val="bottom"/>
            <w:hideMark/>
          </w:tcPr>
          <w:p w14:paraId="7FFDC79D" w14:textId="77777777" w:rsidR="00746F4F" w:rsidRPr="00746F4F" w:rsidRDefault="00746F4F" w:rsidP="00746F4F">
            <w:pPr>
              <w:spacing w:line="240" w:lineRule="auto"/>
              <w:jc w:val="left"/>
              <w:rPr>
                <w:color w:val="000000"/>
                <w:lang w:eastAsia="en-GB"/>
              </w:rPr>
            </w:pPr>
            <w:r w:rsidRPr="00746F4F">
              <w:rPr>
                <w:color w:val="000000"/>
                <w:lang w:eastAsia="en-GB"/>
              </w:rPr>
              <w:t> </w:t>
            </w:r>
          </w:p>
        </w:tc>
      </w:tr>
    </w:tbl>
    <w:p w14:paraId="151C49F6" w14:textId="7D3053F5" w:rsidR="00B12020" w:rsidRPr="00CD6CC0" w:rsidRDefault="00B12020" w:rsidP="005C0225">
      <w:pPr>
        <w:jc w:val="center"/>
        <w:rPr>
          <w:b/>
        </w:rPr>
      </w:pPr>
    </w:p>
    <w:p w14:paraId="794E1A69" w14:textId="62D075A1" w:rsidR="00B12020" w:rsidRPr="00CD6CC0" w:rsidRDefault="00D93CD1" w:rsidP="00493AC6">
      <w:pPr>
        <w:pStyle w:val="Heading2"/>
      </w:pPr>
      <w:bookmarkStart w:id="10" w:name="_Toc162217002"/>
      <w:r w:rsidRPr="00CD6CC0">
        <w:t>2.2 Evaluation of computed ratios associated with business positioning</w:t>
      </w:r>
      <w:bookmarkEnd w:id="10"/>
    </w:p>
    <w:p w14:paraId="44582940" w14:textId="45DBB323" w:rsidR="00B12020" w:rsidRPr="00CD6CC0" w:rsidRDefault="00D93CD1">
      <w:r w:rsidRPr="00CD6CC0">
        <w:t xml:space="preserve">As per the basic recognitions based on the current computed analysis as above the following analysis has been provided with the processing of which the general compatibility measurement including the value positioning approach of the business can be determined. It has been initiated to establish the generally identified positioning approach of the business </w:t>
      </w:r>
      <w:r w:rsidR="00254DDD" w:rsidRPr="00CD6CC0">
        <w:t>and</w:t>
      </w:r>
      <w:r w:rsidRPr="00CD6CC0">
        <w:t xml:space="preserve"> recognise the trending positioning support in this business in the current position which can be optimised for the value initiative and other growth support. </w:t>
      </w:r>
    </w:p>
    <w:p w14:paraId="053366E0" w14:textId="77777777" w:rsidR="00B12020" w:rsidRPr="00CD6CC0" w:rsidRDefault="00D93CD1">
      <w:r w:rsidRPr="00CD6CC0">
        <w:t xml:space="preserve">As per the primary identified analysis, the following interpretations are provided, </w:t>
      </w:r>
    </w:p>
    <w:p w14:paraId="1FFE6510" w14:textId="3FFB25C9" w:rsidR="00B12020" w:rsidRPr="00CD6CC0" w:rsidRDefault="00D93CD1">
      <w:r w:rsidRPr="00CD6CC0">
        <w:rPr>
          <w:b/>
        </w:rPr>
        <w:t xml:space="preserve">Profitability ratios of business: </w:t>
      </w:r>
      <w:r w:rsidRPr="00CD6CC0">
        <w:t xml:space="preserve">Concerning current accounting financial structure indicates the volume of Gross profit margin of the business is expanded in the current period with the level of 0.01% basis that represents a certain volume of growth only. On the other hand, the operating margin represents a declining approach while the net profit margin ultimately represents more than </w:t>
      </w:r>
      <w:r w:rsidRPr="00CD6CC0">
        <w:lastRenderedPageBreak/>
        <w:t xml:space="preserve">10% expansions in the current period. The overall return on equity position also represents a growth level of 11% and the return on assets position indicates around 6% growth currently. </w:t>
      </w:r>
    </w:p>
    <w:p w14:paraId="7D77C770" w14:textId="384A8F03" w:rsidR="00B12020" w:rsidRPr="00CD6CC0" w:rsidRDefault="00D93CD1">
      <w:r w:rsidRPr="00CD6CC0">
        <w:t xml:space="preserve">A fundamental concept related to the theoretical approach represents the basic revenue progress provided and the opportunity for the business profitability expansions which ultimately initiate a proper volume of support for the business growth. According to the basic analysis support, it is measurable that with the implementations of 5G equipment processing a proper Telecom gear approach has been initiated by the management of this </w:t>
      </w:r>
      <w:r w:rsidR="00254DDD" w:rsidRPr="00CD6CC0">
        <w:t>business</w:t>
      </w:r>
      <w:r w:rsidRPr="00CD6CC0">
        <w:t xml:space="preserve"> which ultimately formulates a proper volume of revenue development and compatibility initiative</w:t>
      </w:r>
      <w:r w:rsidR="00493AC6">
        <w:t xml:space="preserve"> (</w:t>
      </w:r>
      <w:r w:rsidR="00493AC6">
        <w:rPr>
          <w:lang w:val="en-IN"/>
        </w:rPr>
        <w:t>Nokia, 2022</w:t>
      </w:r>
      <w:r w:rsidR="00493AC6" w:rsidRPr="00F5614F">
        <w:rPr>
          <w:lang w:val="en-IN"/>
        </w:rPr>
        <w:t>)</w:t>
      </w:r>
      <w:r w:rsidRPr="00CD6CC0">
        <w:t xml:space="preserve">. The primary volume of marketing demand expansions and the present initiative of capital expenditure of 18.8 billion provide a proper opportunity for the business to expand the networking engagement purpose. It ultimately impacts positively for the formulated expansions of business revenue and profitability development initiative purpose (reuters.com, 2024).  </w:t>
      </w:r>
    </w:p>
    <w:p w14:paraId="772B0F77" w14:textId="1BD5F1B3" w:rsidR="00B12020" w:rsidRPr="00CD6CC0" w:rsidRDefault="00D93CD1">
      <w:r w:rsidRPr="00CD6CC0">
        <w:rPr>
          <w:b/>
        </w:rPr>
        <w:t xml:space="preserve">Liquidity ratios of business: </w:t>
      </w:r>
      <w:r w:rsidRPr="00CD6CC0">
        <w:t>The fundamental identifications related to the current accounting statement indicate the optimised liquidity approach which can be identified through the current ratio measurement basis which indicates the declining positions of business liquidity currently. In the earlier period, the volume of the current ratio indicated a growth of 1.69 times currently it has declined to 1.62 Times. The level of quick ratio on the other side indicates a declining approach also from the level of 1.49 times to the level of 1.36 times. Under the present positions, the cash ratio has also declined from 0.55 times to the level of 0.43 times</w:t>
      </w:r>
      <w:r w:rsidR="00493AC6">
        <w:t xml:space="preserve"> (</w:t>
      </w:r>
      <w:r w:rsidR="00493AC6">
        <w:rPr>
          <w:lang w:val="en-IN"/>
        </w:rPr>
        <w:t>Nokia, 2022</w:t>
      </w:r>
      <w:r w:rsidR="00493AC6" w:rsidRPr="00F5614F">
        <w:rPr>
          <w:lang w:val="en-IN"/>
        </w:rPr>
        <w:t>)</w:t>
      </w:r>
      <w:r w:rsidRPr="00CD6CC0">
        <w:t xml:space="preserve">. </w:t>
      </w:r>
    </w:p>
    <w:p w14:paraId="49FD4B21" w14:textId="77777777" w:rsidR="00B12020" w:rsidRPr="00CD6CC0" w:rsidRDefault="00D93CD1">
      <w:r w:rsidRPr="00CD6CC0">
        <w:t xml:space="preserve">As per the general principles, the liquidity position of individual businesses is generally declined due to reasons of expanded current liability position or due to the circumstances of insufficient current asset structure that ultimately impose liquidity positioning approach of the business. According to the current analysis, volatility positions of the market and the financial flexibility issues in Nokia are initially a certain level of insufficient cash flow engagement approach in the business that mainly declines the Liquidity structure of the business associated with the current accountability position (Fitchratings.com, 2024). </w:t>
      </w:r>
    </w:p>
    <w:p w14:paraId="1538176B" w14:textId="54E95BF9" w:rsidR="00B12020" w:rsidRPr="00CD6CC0" w:rsidRDefault="00D93CD1">
      <w:r w:rsidRPr="00CD6CC0">
        <w:rPr>
          <w:b/>
        </w:rPr>
        <w:t xml:space="preserve">Gearing ratios of business: </w:t>
      </w:r>
      <w:r w:rsidRPr="00CD6CC0">
        <w:t xml:space="preserve">The fundamental initiative of this </w:t>
      </w:r>
      <w:r w:rsidR="00254DDD" w:rsidRPr="00CD6CC0">
        <w:t>analysis</w:t>
      </w:r>
      <w:r w:rsidRPr="00CD6CC0">
        <w:t xml:space="preserve"> generally represents a declining approach in the current accounting period due to some of the networking issues in this business. As per the analysis the debt-equity position of the business while in the earlier period was indicating 0.60 times growth indicator currently it declined to the level of 0.41 times. On the other hand, the debt-capital ratio position of the business also represents are general level of </w:t>
      </w:r>
      <w:r w:rsidRPr="00CD6CC0">
        <w:lastRenderedPageBreak/>
        <w:t xml:space="preserve">declining positions from the value of 0.38 times to the level of 0.29 times currently. Associated with the present measurements the equity multiplier value of the business currently represents the general 2.29 times to the level of 2.00 times only that represents the general level of capital insufficiency positions in this business on an insufficiency basis. </w:t>
      </w:r>
    </w:p>
    <w:p w14:paraId="23E722F6" w14:textId="516E3FFF" w:rsidR="00B12020" w:rsidRPr="00CD6CC0" w:rsidRDefault="00D93CD1">
      <w:r w:rsidRPr="00CD6CC0">
        <w:t xml:space="preserve">The fundamental councils related to the declining approach of this measurement indicate a general position of decline in debt capital structure compared to the equity capital position which is fundamentally good due to the declining stage of outsourcing financial values. </w:t>
      </w:r>
      <w:r w:rsidR="00CD6CC0" w:rsidRPr="00CD6CC0">
        <w:t>However,</w:t>
      </w:r>
      <w:r w:rsidRPr="00CD6CC0">
        <w:t xml:space="preserve"> in the case of this </w:t>
      </w:r>
      <w:r w:rsidR="0076678B" w:rsidRPr="00CD6CC0">
        <w:t>business</w:t>
      </w:r>
      <w:r w:rsidRPr="00CD6CC0">
        <w:t xml:space="preserve"> generally the positioning level of equity is not sufficient concerning the generated positioning approach of the debt capital structure which ultimately initiates a certain volume of significant challenges for the capital positioning</w:t>
      </w:r>
      <w:r w:rsidR="00493AC6">
        <w:t xml:space="preserve"> (</w:t>
      </w:r>
      <w:r w:rsidR="00493AC6">
        <w:rPr>
          <w:lang w:val="en-IN"/>
        </w:rPr>
        <w:t>Nokia, 2022</w:t>
      </w:r>
      <w:r w:rsidR="00493AC6" w:rsidRPr="00F5614F">
        <w:rPr>
          <w:lang w:val="en-IN"/>
        </w:rPr>
        <w:t>)</w:t>
      </w:r>
      <w:r w:rsidRPr="00CD6CC0">
        <w:t>. Regarding the present operating performances, the declined revenue structure is generally decreasing the capital positioning approach of the business in the market currently with the declining share pricing positions that ultimately initiate a significant volume of challenging approaches for the capital formulation approach in this business (Fildes, 2022). Even the present competitive market negativity has also initiated a certain volume of challenging approaches for the business as well.</w:t>
      </w:r>
    </w:p>
    <w:p w14:paraId="75350EF5" w14:textId="673DD40F" w:rsidR="00B12020" w:rsidRPr="00CD6CC0" w:rsidRDefault="00D93CD1">
      <w:r w:rsidRPr="00CD6CC0">
        <w:rPr>
          <w:b/>
        </w:rPr>
        <w:t xml:space="preserve">Efficiency ratios of business: </w:t>
      </w:r>
      <w:r w:rsidRPr="00CD6CC0">
        <w:t xml:space="preserve">The fundamental initiative regarding the present analysis represents a certain volume of differentiation as the inventory days represent an expanded position from the level of 64.42 days to the level </w:t>
      </w:r>
      <w:r w:rsidR="00CD6CC0" w:rsidRPr="00CD6CC0">
        <w:t>of 80.02</w:t>
      </w:r>
      <w:r w:rsidRPr="00CD6CC0">
        <w:t xml:space="preserve"> days currently. On the other hand, the accounting receivable period of the business indicates the period from 87.27 days to 80.19 days which indicates the general declining approach regarding the collection processing. Associated with the present analysis the accounting payable of the business in the present position indicates generally declining results from the level of 99.08 days to the level of 115.92 days that initiate a certain level of challenging approach for the business. </w:t>
      </w:r>
    </w:p>
    <w:p w14:paraId="0F8BB3CF" w14:textId="0FC3A143" w:rsidR="00B12020" w:rsidRPr="00CD6CC0" w:rsidRDefault="00D93CD1">
      <w:r w:rsidRPr="00CD6CC0">
        <w:t>The fundamental positions regarding the theoretical identification indicate while the primary market demand is declined overall inventory days are expanded. Even the same consequences are also noticed related to the accounts receivable which indicates the collection Period of the business is generally expanded while it indicates the insufficiency position as the business is incapable of formulating proper collection initiative on behalf of credit sales</w:t>
      </w:r>
      <w:r w:rsidR="00493AC6">
        <w:t xml:space="preserve"> (</w:t>
      </w:r>
      <w:r w:rsidR="00493AC6">
        <w:rPr>
          <w:lang w:val="en-IN"/>
        </w:rPr>
        <w:t>Nokia, 2022</w:t>
      </w:r>
      <w:r w:rsidR="00493AC6" w:rsidRPr="00F5614F">
        <w:rPr>
          <w:lang w:val="en-IN"/>
        </w:rPr>
        <w:t>)</w:t>
      </w:r>
      <w:r w:rsidRPr="00CD6CC0">
        <w:t xml:space="preserve">. The primary identifications of the current expanded payable position of the business mainly indicate the insufficient volume of liquidity position which represents the incapability of proper payment initiative support. Under the present situation due to the competitive market environment and a </w:t>
      </w:r>
      <w:r w:rsidRPr="00CD6CC0">
        <w:lastRenderedPageBreak/>
        <w:t xml:space="preserve">significant </w:t>
      </w:r>
      <w:r w:rsidR="0076678B" w:rsidRPr="00CD6CC0">
        <w:t>number</w:t>
      </w:r>
      <w:r w:rsidRPr="00CD6CC0">
        <w:t xml:space="preserve"> of declining positions regarding the market demand of this particular business mainly initiate this type of challenging approach which ultimately imposes a negative impact on the efficiency position of the business presently. In the present period, the management of Nokia has decided to cut up to 14000 jobs at the present situation due to the declining level of 5G networking demand in the developed market position (bbc.com, 2023). It also indicates one of the primary reasons behind this declining efficiency position in this business which ultimately imposes a certain volume of challenging approach for the business operating accountability. </w:t>
      </w:r>
    </w:p>
    <w:p w14:paraId="7D7DC7C4" w14:textId="428E1798" w:rsidR="00B12020" w:rsidRPr="00CD6CC0" w:rsidRDefault="00D93CD1" w:rsidP="00493AC6">
      <w:pPr>
        <w:pStyle w:val="Heading2"/>
      </w:pPr>
      <w:bookmarkStart w:id="11" w:name="_Toc162217003"/>
      <w:r w:rsidRPr="00CD6CC0">
        <w:t>2.3 A comparative analysis of the financial position of Nokia Oyj with its competitor</w:t>
      </w:r>
      <w:bookmarkEnd w:id="11"/>
    </w:p>
    <w:p w14:paraId="5D65938D" w14:textId="77777777" w:rsidR="00B12020" w:rsidRPr="00CD6CC0" w:rsidRDefault="00D93CD1">
      <w:r w:rsidRPr="00CD6CC0">
        <w:t xml:space="preserve">One of the primary features of accounting ratio analysis is to provide benchmarking support with the initiative work which a general comparative analysis including the optimise positioning approach of the business can be realised which is accountable for the determination of the business's strategic initiative. The identified engagement of the present market structure related to the United Kingdom indicates the presence of </w:t>
      </w:r>
      <w:r w:rsidRPr="00CD6CC0">
        <w:rPr>
          <w:b/>
        </w:rPr>
        <w:t xml:space="preserve">Huawei </w:t>
      </w:r>
      <w:r w:rsidRPr="00CD6CC0">
        <w:t xml:space="preserve">as the potential competitor for </w:t>
      </w:r>
      <w:r w:rsidRPr="00CD6CC0">
        <w:rPr>
          <w:b/>
        </w:rPr>
        <w:t xml:space="preserve">Nokia </w:t>
      </w:r>
      <w:r w:rsidRPr="00CD6CC0">
        <w:t xml:space="preserve">with the optimised revenue positions and other factors that ultimately initiate a challenging approach for the business. </w:t>
      </w:r>
    </w:p>
    <w:p w14:paraId="1CDA710D" w14:textId="12D358BA" w:rsidR="00B12020" w:rsidRPr="00CD6CC0" w:rsidRDefault="00D93CD1">
      <w:pPr>
        <w:rPr>
          <w:b/>
        </w:rPr>
      </w:pPr>
      <w:r w:rsidRPr="00CD6CC0">
        <w:rPr>
          <w:b/>
        </w:rPr>
        <w:t xml:space="preserve">Profitability ratios of business  </w:t>
      </w:r>
    </w:p>
    <w:p w14:paraId="032FB7A0" w14:textId="420D08E4" w:rsidR="00B12020" w:rsidRPr="00CD6CC0" w:rsidRDefault="00007C4E" w:rsidP="00C744A3">
      <w:pPr>
        <w:jc w:val="center"/>
        <w:rPr>
          <w:b/>
        </w:rPr>
      </w:pPr>
      <w:r w:rsidRPr="00007C4E">
        <w:rPr>
          <w:noProof/>
        </w:rPr>
        <w:drawing>
          <wp:inline distT="0" distB="0" distL="0" distR="0" wp14:anchorId="0D0128F4" wp14:editId="35F7B980">
            <wp:extent cx="6457874" cy="3002280"/>
            <wp:effectExtent l="0" t="0" r="635" b="7620"/>
            <wp:docPr id="68977740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6545819" cy="3043166"/>
                    </a:xfrm>
                    <a:prstGeom prst="rect">
                      <a:avLst/>
                    </a:prstGeom>
                    <a:noFill/>
                    <a:ln>
                      <a:noFill/>
                    </a:ln>
                  </pic:spPr>
                </pic:pic>
              </a:graphicData>
            </a:graphic>
          </wp:inline>
        </w:drawing>
      </w:r>
    </w:p>
    <w:p w14:paraId="58A41591" w14:textId="41F84F88" w:rsidR="00B12020" w:rsidRPr="00CD6CC0" w:rsidRDefault="00D93CD1">
      <w:pPr>
        <w:rPr>
          <w:b/>
        </w:rPr>
      </w:pPr>
      <w:r w:rsidRPr="00CD6CC0">
        <w:rPr>
          <w:b/>
        </w:rPr>
        <w:t xml:space="preserve">Interpretation: </w:t>
      </w:r>
      <w:r w:rsidRPr="00CD6CC0">
        <w:t xml:space="preserve">According to the present analysis support it can be recognised that at the present situation, the profitability margin level of the business in some prospects represents a developed position for the competitor, while in some other cases, it provides a positive positioning support </w:t>
      </w:r>
      <w:r w:rsidRPr="00CD6CC0">
        <w:lastRenderedPageBreak/>
        <w:t xml:space="preserve">for the Nokia. From the general analysis, it can be recognised that in the present situation, the gross profit margin for Nokia is allowed a 41% growth indicator while the same for Huawei is indicated at around 44%. On the other side, the operating margin indicates a progressive position for the business Nokia with up to 9% growth, Net profit margin with 17% growth, return on equity with up to 20% growth and return on assets with up to 10% growth support </w:t>
      </w:r>
      <w:r w:rsidR="0076678B" w:rsidRPr="00CD6CC0">
        <w:t>compared</w:t>
      </w:r>
      <w:r w:rsidRPr="00CD6CC0">
        <w:t xml:space="preserve"> to the current profitability position of the competitor</w:t>
      </w:r>
      <w:r w:rsidR="00493AC6">
        <w:t xml:space="preserve"> (</w:t>
      </w:r>
      <w:r w:rsidR="00493AC6">
        <w:rPr>
          <w:lang w:val="en-IN"/>
        </w:rPr>
        <w:t xml:space="preserve">Huawei, </w:t>
      </w:r>
      <w:r w:rsidR="00493AC6" w:rsidRPr="007676B3">
        <w:rPr>
          <w:lang w:val="en-IN"/>
        </w:rPr>
        <w:t>2022)</w:t>
      </w:r>
      <w:r w:rsidRPr="00CD6CC0">
        <w:t xml:space="preserve">. It indicates the optimised market efficiency c and some of the basic innovation approaches in this </w:t>
      </w:r>
      <w:r w:rsidR="0076678B" w:rsidRPr="00CD6CC0">
        <w:t>business</w:t>
      </w:r>
      <w:r w:rsidRPr="00CD6CC0">
        <w:t xml:space="preserve"> provide this type of expanded profit positioning support compared to the competitor. </w:t>
      </w:r>
    </w:p>
    <w:p w14:paraId="29DC4E78" w14:textId="2963BA7E" w:rsidR="00B12020" w:rsidRPr="00CD6CC0" w:rsidRDefault="00D93CD1">
      <w:pPr>
        <w:rPr>
          <w:b/>
        </w:rPr>
      </w:pPr>
      <w:r w:rsidRPr="00CD6CC0">
        <w:rPr>
          <w:b/>
        </w:rPr>
        <w:t>Liquidity ratios of business</w:t>
      </w:r>
    </w:p>
    <w:p w14:paraId="03BB2691" w14:textId="6C7E8A41" w:rsidR="00B12020" w:rsidRPr="00CD6CC0" w:rsidRDefault="00C744A3">
      <w:pPr>
        <w:jc w:val="center"/>
        <w:rPr>
          <w:b/>
        </w:rPr>
      </w:pPr>
      <w:r w:rsidRPr="00C744A3">
        <w:rPr>
          <w:noProof/>
        </w:rPr>
        <w:drawing>
          <wp:inline distT="0" distB="0" distL="0" distR="0" wp14:anchorId="097A84B6" wp14:editId="23EDFD94">
            <wp:extent cx="6446520" cy="2114402"/>
            <wp:effectExtent l="0" t="0" r="0" b="635"/>
            <wp:docPr id="1125353498"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6510299" cy="2135321"/>
                    </a:xfrm>
                    <a:prstGeom prst="rect">
                      <a:avLst/>
                    </a:prstGeom>
                    <a:noFill/>
                    <a:ln>
                      <a:noFill/>
                    </a:ln>
                  </pic:spPr>
                </pic:pic>
              </a:graphicData>
            </a:graphic>
          </wp:inline>
        </w:drawing>
      </w:r>
    </w:p>
    <w:p w14:paraId="3DC33B67" w14:textId="77777777" w:rsidR="00B12020" w:rsidRPr="00CD6CC0" w:rsidRDefault="00D93CD1">
      <w:r w:rsidRPr="00CD6CC0">
        <w:rPr>
          <w:b/>
        </w:rPr>
        <w:t xml:space="preserve">Interpretation: </w:t>
      </w:r>
      <w:r w:rsidRPr="00CD6CC0">
        <w:t>The fundamental initiative regarding the liquidity position of the business indicates a certain volume of discriminations and optimised progress for the competitor compared to the financial liquidity approach of Nokia. At the present situation, the current ratio of volume of the competitor is indicating the growth of 1.80 times developed positions while Nokia is gaining only 1.62 Times. The quick ratio structure of the competitor indicates a growth of 1.42 times while the same for Nokia is around 1.36 times only</w:t>
      </w:r>
      <w:r w:rsidR="00493AC6">
        <w:t xml:space="preserve"> (</w:t>
      </w:r>
      <w:r w:rsidR="00493AC6">
        <w:rPr>
          <w:lang w:val="en-IN"/>
        </w:rPr>
        <w:t xml:space="preserve">Nokia, </w:t>
      </w:r>
      <w:r w:rsidR="00493AC6" w:rsidRPr="00F5614F">
        <w:rPr>
          <w:lang w:val="en-IN"/>
        </w:rPr>
        <w:t>2022)</w:t>
      </w:r>
      <w:r w:rsidRPr="00CD6CC0">
        <w:t xml:space="preserve">. The general identification of this measurement indicates the overall liquidity earning position of the business is not sufficient under the present competitive market environment due to the expanded level of current liability. The overall volume of outsourcing financial values and constantly expanded level of liabilities initiated a certain volume of challenging approaches for Nokia which ultimately declined the financial capability initiative. </w:t>
      </w:r>
    </w:p>
    <w:p w14:paraId="7537BCFD" w14:textId="77777777" w:rsidR="0076678B" w:rsidRDefault="0076678B">
      <w:pPr>
        <w:rPr>
          <w:b/>
        </w:rPr>
      </w:pPr>
    </w:p>
    <w:p w14:paraId="7C1846A3" w14:textId="77777777" w:rsidR="004F59E2" w:rsidRDefault="004F59E2">
      <w:pPr>
        <w:rPr>
          <w:b/>
        </w:rPr>
      </w:pPr>
    </w:p>
    <w:p w14:paraId="73A30806" w14:textId="77777777" w:rsidR="00C744A3" w:rsidRDefault="00C744A3">
      <w:pPr>
        <w:rPr>
          <w:b/>
        </w:rPr>
      </w:pPr>
    </w:p>
    <w:p w14:paraId="05CAB723" w14:textId="71A21F98" w:rsidR="00B12020" w:rsidRPr="00CD6CC0" w:rsidRDefault="00D93CD1">
      <w:pPr>
        <w:rPr>
          <w:b/>
        </w:rPr>
      </w:pPr>
      <w:r w:rsidRPr="00CD6CC0">
        <w:rPr>
          <w:b/>
        </w:rPr>
        <w:lastRenderedPageBreak/>
        <w:t>Gearing ratios of business</w:t>
      </w:r>
    </w:p>
    <w:p w14:paraId="4CE06F96" w14:textId="55698333" w:rsidR="00B12020" w:rsidRPr="00CD6CC0" w:rsidRDefault="00F1761F">
      <w:pPr>
        <w:jc w:val="center"/>
        <w:rPr>
          <w:b/>
        </w:rPr>
      </w:pPr>
      <w:r w:rsidRPr="00F1761F">
        <w:rPr>
          <w:noProof/>
        </w:rPr>
        <w:drawing>
          <wp:inline distT="0" distB="0" distL="0" distR="0" wp14:anchorId="6084CAC2" wp14:editId="412AD519">
            <wp:extent cx="6442515" cy="2263140"/>
            <wp:effectExtent l="0" t="0" r="0" b="3810"/>
            <wp:docPr id="515714338"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6449706" cy="2265666"/>
                    </a:xfrm>
                    <a:prstGeom prst="rect">
                      <a:avLst/>
                    </a:prstGeom>
                    <a:noFill/>
                    <a:ln>
                      <a:noFill/>
                    </a:ln>
                  </pic:spPr>
                </pic:pic>
              </a:graphicData>
            </a:graphic>
          </wp:inline>
        </w:drawing>
      </w:r>
    </w:p>
    <w:p w14:paraId="5BC6A3A7" w14:textId="77777777" w:rsidR="004C1376" w:rsidRDefault="00D93CD1">
      <w:r w:rsidRPr="00CD6CC0">
        <w:rPr>
          <w:b/>
        </w:rPr>
        <w:t xml:space="preserve">Interpretation: </w:t>
      </w:r>
      <w:r w:rsidRPr="00CD6CC0">
        <w:t xml:space="preserve">The primary analysis related to this </w:t>
      </w:r>
      <w:r w:rsidR="0076678B" w:rsidRPr="00CD6CC0">
        <w:t>measurement</w:t>
      </w:r>
      <w:r w:rsidRPr="00CD6CC0">
        <w:t xml:space="preserve"> indicates an optimised development position for the competitor compared to the financial gaining approach in the case of Nokia. It can be identified that the debt-equity position for the competitor is indicating 0.45 times growth indicator while the same for Nokia is around 0.41 times only. The financial value related to the debt-capital position of the business indicates a level of growth up to 0.29 times while the competitor is gaining 0.31 Times</w:t>
      </w:r>
      <w:r w:rsidR="00493AC6">
        <w:t xml:space="preserve"> (</w:t>
      </w:r>
      <w:r w:rsidR="00493AC6">
        <w:rPr>
          <w:lang w:val="en-IN"/>
        </w:rPr>
        <w:t xml:space="preserve">Nokia, </w:t>
      </w:r>
      <w:r w:rsidR="00493AC6" w:rsidRPr="00F5614F">
        <w:rPr>
          <w:lang w:val="en-IN"/>
        </w:rPr>
        <w:t>2022)</w:t>
      </w:r>
      <w:r w:rsidRPr="00CD6CC0">
        <w:t>. Therefore, it can be recognised that at the present situation overall optimised capital approach is noticed in the case of competitor with a sustainable marketing stability support regarding the market capitalised value which is influential for engaging a proper volume of stakeholders as well.</w:t>
      </w:r>
    </w:p>
    <w:p w14:paraId="5925BE55" w14:textId="43AC0A17" w:rsidR="00B12020" w:rsidRDefault="004C1376">
      <w:pPr>
        <w:rPr>
          <w:b/>
          <w:bCs/>
        </w:rPr>
      </w:pPr>
      <w:r w:rsidRPr="004C1376">
        <w:rPr>
          <w:b/>
          <w:bCs/>
        </w:rPr>
        <w:t>Working Capital or Efficiency Ratios</w:t>
      </w:r>
      <w:r w:rsidR="00D93CD1" w:rsidRPr="004C1376">
        <w:rPr>
          <w:b/>
          <w:bCs/>
        </w:rPr>
        <w:t xml:space="preserve"> </w:t>
      </w:r>
    </w:p>
    <w:p w14:paraId="76508ABF" w14:textId="4301E62D" w:rsidR="004C1376" w:rsidRPr="004C1376" w:rsidRDefault="004C1376">
      <w:pPr>
        <w:rPr>
          <w:b/>
          <w:bCs/>
        </w:rPr>
      </w:pPr>
      <w:r w:rsidRPr="004C1376">
        <w:rPr>
          <w:noProof/>
        </w:rPr>
        <w:drawing>
          <wp:inline distT="0" distB="0" distL="0" distR="0" wp14:anchorId="2ABD592C" wp14:editId="608F20F2">
            <wp:extent cx="6537867" cy="2171700"/>
            <wp:effectExtent l="0" t="0" r="0" b="0"/>
            <wp:docPr id="47248576"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6607282" cy="2194758"/>
                    </a:xfrm>
                    <a:prstGeom prst="rect">
                      <a:avLst/>
                    </a:prstGeom>
                    <a:noFill/>
                    <a:ln>
                      <a:noFill/>
                    </a:ln>
                  </pic:spPr>
                </pic:pic>
              </a:graphicData>
            </a:graphic>
          </wp:inline>
        </w:drawing>
      </w:r>
    </w:p>
    <w:p w14:paraId="1803B1DA" w14:textId="7D1FF0C2" w:rsidR="00B12020" w:rsidRPr="00CD6CC0" w:rsidRDefault="00D93CD1" w:rsidP="00493AC6">
      <w:pPr>
        <w:pStyle w:val="Heading2"/>
      </w:pPr>
      <w:bookmarkStart w:id="12" w:name="_Toc162217004"/>
      <w:r w:rsidRPr="00CD6CC0">
        <w:t>2.4 A recommendation for improving the financial management of the company</w:t>
      </w:r>
      <w:bookmarkEnd w:id="12"/>
      <w:r w:rsidRPr="00CD6CC0">
        <w:t xml:space="preserve"> </w:t>
      </w:r>
    </w:p>
    <w:p w14:paraId="60CAAC0B" w14:textId="77777777" w:rsidR="00B12020" w:rsidRPr="00CD6CC0" w:rsidRDefault="00D93CD1">
      <w:r w:rsidRPr="00CD6CC0">
        <w:t xml:space="preserve">Under the present situation to initiate a positive financial management development support the managerial department needs to consider the following on a specific basis. </w:t>
      </w:r>
    </w:p>
    <w:p w14:paraId="5A371682" w14:textId="77777777" w:rsidR="00B12020" w:rsidRPr="00CD6CC0" w:rsidRDefault="00D93CD1">
      <w:pPr>
        <w:numPr>
          <w:ilvl w:val="0"/>
          <w:numId w:val="1"/>
        </w:numPr>
      </w:pPr>
      <w:r w:rsidRPr="00CD6CC0">
        <w:lastRenderedPageBreak/>
        <w:t xml:space="preserve">Importance to positive financial planning including a proper outlining of short-term and long-term goals with revenue positive is the ultimate approach for business financial progress. </w:t>
      </w:r>
    </w:p>
    <w:p w14:paraId="0E676461" w14:textId="77777777" w:rsidR="00B12020" w:rsidRPr="00CD6CC0" w:rsidRDefault="00D93CD1">
      <w:pPr>
        <w:numPr>
          <w:ilvl w:val="0"/>
          <w:numId w:val="1"/>
        </w:numPr>
      </w:pPr>
      <w:r w:rsidRPr="00CD6CC0">
        <w:t>Identifying the general significance of budgetary applications including the cash flow management approach also needs to be initiated in this business currently for future values</w:t>
      </w:r>
      <w:r w:rsidR="00493AC6">
        <w:t xml:space="preserve"> </w:t>
      </w:r>
      <w:r w:rsidR="00493AC6">
        <w:rPr>
          <w:color w:val="000000" w:themeColor="text1"/>
          <w:shd w:val="clear" w:color="auto" w:fill="FFFFFF"/>
        </w:rPr>
        <w:t>(</w:t>
      </w:r>
      <w:r w:rsidR="00493AC6" w:rsidRPr="005B39AD">
        <w:rPr>
          <w:color w:val="000000" w:themeColor="text1"/>
          <w:shd w:val="clear" w:color="auto" w:fill="FFFFFF"/>
        </w:rPr>
        <w:t>Carey</w:t>
      </w:r>
      <w:r w:rsidR="00493AC6" w:rsidRPr="005B39AD">
        <w:rPr>
          <w:i/>
          <w:color w:val="000000" w:themeColor="text1"/>
          <w:shd w:val="clear" w:color="auto" w:fill="FFFFFF"/>
        </w:rPr>
        <w:t xml:space="preserve"> et al.,</w:t>
      </w:r>
      <w:r w:rsidR="00493AC6">
        <w:rPr>
          <w:color w:val="000000" w:themeColor="text1"/>
          <w:shd w:val="clear" w:color="auto" w:fill="FFFFFF"/>
        </w:rPr>
        <w:t xml:space="preserve"> 2017)</w:t>
      </w:r>
      <w:r w:rsidRPr="00CD6CC0">
        <w:t xml:space="preserve">. </w:t>
      </w:r>
    </w:p>
    <w:p w14:paraId="2F8286FA" w14:textId="77777777" w:rsidR="00B12020" w:rsidRPr="00CD6CC0" w:rsidRDefault="00D93CD1">
      <w:pPr>
        <w:numPr>
          <w:ilvl w:val="0"/>
          <w:numId w:val="1"/>
        </w:numPr>
      </w:pPr>
      <w:r w:rsidRPr="00CD6CC0">
        <w:t xml:space="preserve">Establishing support for the key performance indicators including a proper volume of risk management approach also needs to be formulated in this business so that a proper volume up optimised development as well as some of the cost controlling attributes can be maintained. </w:t>
      </w:r>
    </w:p>
    <w:p w14:paraId="3D80DEF7" w14:textId="77777777" w:rsidR="00B12020" w:rsidRPr="00CD6CC0" w:rsidRDefault="00D93CD1">
      <w:pPr>
        <w:numPr>
          <w:ilvl w:val="0"/>
          <w:numId w:val="1"/>
        </w:numPr>
      </w:pPr>
      <w:r w:rsidRPr="00CD6CC0">
        <w:t xml:space="preserve">A general initiative of development strategy including the current tax implications and planning is also required to be initiated in this business with continuous monitoring support and adjustments so that every individual project can be optimised and concerning opportunities can be implemented. </w:t>
      </w:r>
    </w:p>
    <w:p w14:paraId="13F681C6" w14:textId="77777777" w:rsidR="00B12020" w:rsidRPr="00CD6CC0" w:rsidRDefault="00D93CD1">
      <w:pPr>
        <w:numPr>
          <w:ilvl w:val="0"/>
          <w:numId w:val="1"/>
        </w:numPr>
      </w:pPr>
      <w:r w:rsidRPr="00CD6CC0">
        <w:t xml:space="preserve">Under present competitive market environment, the application of primary observations of the competitor's position and strategic approach is required to be initiated in a specific base in this business so that operating accountability can be achieved more easily. </w:t>
      </w:r>
    </w:p>
    <w:p w14:paraId="72DD4CD0" w14:textId="7030C5C3" w:rsidR="00B12020" w:rsidRPr="00CD6CC0" w:rsidRDefault="00D93CD1" w:rsidP="00493AC6">
      <w:pPr>
        <w:pStyle w:val="Heading1"/>
      </w:pPr>
      <w:bookmarkStart w:id="13" w:name="_Toc162217005"/>
      <w:r w:rsidRPr="00CD6CC0">
        <w:t>Part 3) Applied Investment appraisal processing associated with business performance</w:t>
      </w:r>
      <w:bookmarkEnd w:id="13"/>
    </w:p>
    <w:p w14:paraId="2ED8B722" w14:textId="4FBF435E" w:rsidR="00B12020" w:rsidRPr="00CD6CC0" w:rsidRDefault="00D93CD1" w:rsidP="00493AC6">
      <w:pPr>
        <w:pStyle w:val="Heading2"/>
      </w:pPr>
      <w:bookmarkStart w:id="14" w:name="_Toc162217006"/>
      <w:r w:rsidRPr="00CD6CC0">
        <w:t>3.1.1 Computation of Payback period, accounting rate of return, and the net present value of projects</w:t>
      </w:r>
      <w:bookmarkEnd w:id="14"/>
      <w:r w:rsidRPr="00CD6CC0">
        <w:t xml:space="preserve"> </w:t>
      </w:r>
    </w:p>
    <w:p w14:paraId="4AF658A9" w14:textId="425A469C" w:rsidR="00B12020" w:rsidRPr="00CD6CC0" w:rsidRDefault="00D93CD1">
      <w:r w:rsidRPr="00CD6CC0">
        <w:t xml:space="preserve">Under the Financial Management concept, the initiative of project evaluation is defined as an investment appraisal process. The applicability of this </w:t>
      </w:r>
      <w:r w:rsidR="0076678B" w:rsidRPr="00CD6CC0">
        <w:t>concept</w:t>
      </w:r>
      <w:r w:rsidRPr="00CD6CC0">
        <w:t xml:space="preserve"> is generally initiated to provide some specific guidance to management regarding project investment decisions. The primary applications and the processing support of this type of method are also influential for project compatibility and business value initiative purpose as it </w:t>
      </w:r>
      <w:r w:rsidR="00CD6CC0" w:rsidRPr="00CD6CC0">
        <w:t>follows</w:t>
      </w:r>
      <w:r w:rsidRPr="00CD6CC0">
        <w:t xml:space="preserve"> the concept of time value for recognising the actual cash positioning purpose</w:t>
      </w:r>
      <w:r w:rsidR="00493AC6">
        <w:t xml:space="preserve"> (</w:t>
      </w:r>
      <w:r w:rsidR="00493AC6">
        <w:rPr>
          <w:color w:val="000000" w:themeColor="text1"/>
          <w:shd w:val="clear" w:color="auto" w:fill="FFFFFF"/>
        </w:rPr>
        <w:t xml:space="preserve">Shim, </w:t>
      </w:r>
      <w:r w:rsidR="00493AC6" w:rsidRPr="00955120">
        <w:rPr>
          <w:color w:val="000000" w:themeColor="text1"/>
          <w:shd w:val="clear" w:color="auto" w:fill="FFFFFF"/>
        </w:rPr>
        <w:t>2022</w:t>
      </w:r>
      <w:r w:rsidR="00493AC6">
        <w:rPr>
          <w:color w:val="000000" w:themeColor="text1"/>
          <w:shd w:val="clear" w:color="auto" w:fill="FFFFFF"/>
        </w:rPr>
        <w:t>)</w:t>
      </w:r>
      <w:r w:rsidRPr="00CD6CC0">
        <w:t xml:space="preserve">. </w:t>
      </w:r>
    </w:p>
    <w:p w14:paraId="67B425E8" w14:textId="0D9F654A" w:rsidR="00B12020" w:rsidRPr="00CD6CC0" w:rsidRDefault="00D93CD1">
      <w:pPr>
        <w:rPr>
          <w:b/>
        </w:rPr>
      </w:pPr>
      <w:r w:rsidRPr="00CD6CC0">
        <w:t xml:space="preserve">The general applicability of this type of method is mainly categorized into four different aspects related to net present value, payback period, accounting rate of return </w:t>
      </w:r>
      <w:r w:rsidR="00320EA6" w:rsidRPr="00CD6CC0">
        <w:t>and</w:t>
      </w:r>
      <w:r w:rsidRPr="00CD6CC0">
        <w:t xml:space="preserve"> internal rate of return. In relation to the present identification for this </w:t>
      </w:r>
      <w:r w:rsidR="00320EA6" w:rsidRPr="00CD6CC0">
        <w:t>business</w:t>
      </w:r>
      <w:r w:rsidRPr="00CD6CC0">
        <w:t xml:space="preserve"> project mainly the first three methods have been applied so that the compatibility level associated with both projects can be recognised. Such computed measurements are provided. </w:t>
      </w:r>
    </w:p>
    <w:p w14:paraId="051F1F4F" w14:textId="77777777" w:rsidR="00B12020" w:rsidRPr="00CD6CC0" w:rsidRDefault="00D93CD1">
      <w:pPr>
        <w:rPr>
          <w:b/>
        </w:rPr>
      </w:pPr>
      <w:r w:rsidRPr="00CD6CC0">
        <w:rPr>
          <w:b/>
        </w:rPr>
        <w:lastRenderedPageBreak/>
        <w:t xml:space="preserve">Computing Pay-Back period of both projects </w:t>
      </w:r>
    </w:p>
    <w:p w14:paraId="1600CE01" w14:textId="4DB15B13" w:rsidR="00B12020" w:rsidRPr="00CD6CC0" w:rsidRDefault="00D93CD1">
      <w:r w:rsidRPr="00CD6CC0">
        <w:t xml:space="preserve">This </w:t>
      </w:r>
      <w:r w:rsidR="0076678B" w:rsidRPr="00CD6CC0">
        <w:t>analysis</w:t>
      </w:r>
      <w:r w:rsidRPr="00CD6CC0">
        <w:t xml:space="preserve"> provides significance to the time of recovery approach for individual projects for recognising the contemporary positioning growth of individual project positions. </w:t>
      </w:r>
    </w:p>
    <w:p w14:paraId="37EBA799" w14:textId="77777777" w:rsidR="00B12020" w:rsidRPr="00CD6CC0" w:rsidRDefault="00D93CD1">
      <w:r w:rsidRPr="00CD6CC0">
        <w:rPr>
          <w:b/>
        </w:rPr>
        <w:t xml:space="preserve">Project A </w:t>
      </w:r>
    </w:p>
    <w:tbl>
      <w:tblPr>
        <w:tblStyle w:val="GridTable5Dark-Accent6"/>
        <w:tblW w:w="7800" w:type="dxa"/>
        <w:jc w:val="center"/>
        <w:tblLayout w:type="fixed"/>
        <w:tblLook w:val="0600" w:firstRow="0" w:lastRow="0" w:firstColumn="0" w:lastColumn="0" w:noHBand="1" w:noVBand="1"/>
      </w:tblPr>
      <w:tblGrid>
        <w:gridCol w:w="1135"/>
        <w:gridCol w:w="3052"/>
        <w:gridCol w:w="3613"/>
      </w:tblGrid>
      <w:tr w:rsidR="00B12020" w:rsidRPr="00CD6CC0" w14:paraId="50C1D3A3" w14:textId="77777777" w:rsidTr="00FE0C84">
        <w:trPr>
          <w:trHeight w:val="79"/>
          <w:jc w:val="center"/>
        </w:trPr>
        <w:tc>
          <w:tcPr>
            <w:tcW w:w="1135" w:type="dxa"/>
          </w:tcPr>
          <w:p w14:paraId="66896B00" w14:textId="56255B59" w:rsidR="00B12020" w:rsidRPr="00CD6CC0" w:rsidRDefault="00D93CD1" w:rsidP="00CD6CC0">
            <w:pPr>
              <w:spacing w:line="360" w:lineRule="auto"/>
              <w:jc w:val="center"/>
              <w:rPr>
                <w:b/>
              </w:rPr>
            </w:pPr>
            <w:r w:rsidRPr="00CD6CC0">
              <w:rPr>
                <w:b/>
              </w:rPr>
              <w:t>Period</w:t>
            </w:r>
          </w:p>
        </w:tc>
        <w:tc>
          <w:tcPr>
            <w:tcW w:w="3052" w:type="dxa"/>
          </w:tcPr>
          <w:p w14:paraId="40DAD7B6" w14:textId="26248D4A" w:rsidR="00B12020" w:rsidRPr="00CD6CC0" w:rsidRDefault="00D93CD1" w:rsidP="00CD6CC0">
            <w:pPr>
              <w:spacing w:line="360" w:lineRule="auto"/>
              <w:jc w:val="center"/>
              <w:rPr>
                <w:b/>
              </w:rPr>
            </w:pPr>
            <w:r w:rsidRPr="00CD6CC0">
              <w:rPr>
                <w:b/>
              </w:rPr>
              <w:t>Cash flow</w:t>
            </w:r>
          </w:p>
        </w:tc>
        <w:tc>
          <w:tcPr>
            <w:tcW w:w="3613" w:type="dxa"/>
          </w:tcPr>
          <w:p w14:paraId="26922C7F" w14:textId="1FC84C97" w:rsidR="00B12020" w:rsidRPr="00CD6CC0" w:rsidRDefault="00D93CD1" w:rsidP="00CD6CC0">
            <w:pPr>
              <w:spacing w:line="360" w:lineRule="auto"/>
              <w:jc w:val="center"/>
              <w:rPr>
                <w:b/>
              </w:rPr>
            </w:pPr>
            <w:r w:rsidRPr="00CD6CC0">
              <w:rPr>
                <w:b/>
              </w:rPr>
              <w:t>Cumulative cash flow</w:t>
            </w:r>
          </w:p>
        </w:tc>
      </w:tr>
      <w:tr w:rsidR="00CD6CC0" w:rsidRPr="00CD6CC0" w14:paraId="28760508" w14:textId="77777777" w:rsidTr="00FE0C84">
        <w:trPr>
          <w:trHeight w:val="79"/>
          <w:jc w:val="center"/>
        </w:trPr>
        <w:tc>
          <w:tcPr>
            <w:tcW w:w="1135" w:type="dxa"/>
          </w:tcPr>
          <w:p w14:paraId="36E0E357" w14:textId="16F989FE" w:rsidR="00CD6CC0" w:rsidRPr="00CD6CC0" w:rsidRDefault="00CD6CC0" w:rsidP="00C43AAA">
            <w:pPr>
              <w:spacing w:line="360" w:lineRule="auto"/>
              <w:jc w:val="center"/>
            </w:pPr>
            <w:r w:rsidRPr="00CD6CC0">
              <w:t>1</w:t>
            </w:r>
          </w:p>
        </w:tc>
        <w:tc>
          <w:tcPr>
            <w:tcW w:w="3052" w:type="dxa"/>
          </w:tcPr>
          <w:p w14:paraId="6C7E5340" w14:textId="29B8AAFC" w:rsidR="00CD6CC0" w:rsidRPr="00CD6CC0" w:rsidRDefault="00CD6CC0" w:rsidP="00CD6CC0">
            <w:pPr>
              <w:spacing w:line="360" w:lineRule="auto"/>
              <w:jc w:val="center"/>
            </w:pPr>
            <w:r w:rsidRPr="00CD6CC0">
              <w:t>2500</w:t>
            </w:r>
          </w:p>
        </w:tc>
        <w:tc>
          <w:tcPr>
            <w:tcW w:w="3613" w:type="dxa"/>
          </w:tcPr>
          <w:p w14:paraId="454CA580" w14:textId="42950733" w:rsidR="00CD6CC0" w:rsidRPr="00CD6CC0" w:rsidRDefault="00CD6CC0" w:rsidP="00CD6CC0">
            <w:pPr>
              <w:spacing w:line="360" w:lineRule="auto"/>
              <w:jc w:val="center"/>
            </w:pPr>
            <w:r w:rsidRPr="00CD6CC0">
              <w:t>2500</w:t>
            </w:r>
          </w:p>
        </w:tc>
      </w:tr>
      <w:tr w:rsidR="00CD6CC0" w:rsidRPr="00CD6CC0" w14:paraId="285A1D4A" w14:textId="77777777" w:rsidTr="00FE0C84">
        <w:trPr>
          <w:trHeight w:val="79"/>
          <w:jc w:val="center"/>
        </w:trPr>
        <w:tc>
          <w:tcPr>
            <w:tcW w:w="1135" w:type="dxa"/>
          </w:tcPr>
          <w:p w14:paraId="52ABBC1A" w14:textId="722E42C4" w:rsidR="00CD6CC0" w:rsidRPr="00CD6CC0" w:rsidRDefault="00CD6CC0" w:rsidP="00C43AAA">
            <w:pPr>
              <w:spacing w:line="360" w:lineRule="auto"/>
              <w:jc w:val="center"/>
            </w:pPr>
            <w:r w:rsidRPr="00CD6CC0">
              <w:t>2</w:t>
            </w:r>
          </w:p>
        </w:tc>
        <w:tc>
          <w:tcPr>
            <w:tcW w:w="3052" w:type="dxa"/>
          </w:tcPr>
          <w:p w14:paraId="215C1421" w14:textId="2C8456B2" w:rsidR="00CD6CC0" w:rsidRPr="00CD6CC0" w:rsidRDefault="00CD6CC0" w:rsidP="00CD6CC0">
            <w:pPr>
              <w:spacing w:line="360" w:lineRule="auto"/>
              <w:jc w:val="center"/>
            </w:pPr>
            <w:r w:rsidRPr="00CD6CC0">
              <w:t>2000</w:t>
            </w:r>
          </w:p>
        </w:tc>
        <w:tc>
          <w:tcPr>
            <w:tcW w:w="3613" w:type="dxa"/>
          </w:tcPr>
          <w:p w14:paraId="647CF1EE" w14:textId="027F6C0C" w:rsidR="00CD6CC0" w:rsidRPr="00CD6CC0" w:rsidRDefault="00CD6CC0" w:rsidP="00CD6CC0">
            <w:pPr>
              <w:spacing w:line="360" w:lineRule="auto"/>
              <w:jc w:val="center"/>
            </w:pPr>
            <w:r w:rsidRPr="00CD6CC0">
              <w:t>4500</w:t>
            </w:r>
          </w:p>
        </w:tc>
      </w:tr>
      <w:tr w:rsidR="00CD6CC0" w:rsidRPr="00CD6CC0" w14:paraId="7B790499" w14:textId="77777777" w:rsidTr="00FE0C84">
        <w:trPr>
          <w:trHeight w:val="79"/>
          <w:jc w:val="center"/>
        </w:trPr>
        <w:tc>
          <w:tcPr>
            <w:tcW w:w="1135" w:type="dxa"/>
          </w:tcPr>
          <w:p w14:paraId="242273F4" w14:textId="26B14670" w:rsidR="00CD6CC0" w:rsidRPr="00CD6CC0" w:rsidRDefault="00CD6CC0" w:rsidP="00C43AAA">
            <w:pPr>
              <w:spacing w:line="360" w:lineRule="auto"/>
              <w:jc w:val="center"/>
            </w:pPr>
            <w:r w:rsidRPr="00CD6CC0">
              <w:t>3</w:t>
            </w:r>
          </w:p>
        </w:tc>
        <w:tc>
          <w:tcPr>
            <w:tcW w:w="3052" w:type="dxa"/>
          </w:tcPr>
          <w:p w14:paraId="58C729D6" w14:textId="6BFEB9A3" w:rsidR="00CD6CC0" w:rsidRPr="00CD6CC0" w:rsidRDefault="00CD6CC0" w:rsidP="00CD6CC0">
            <w:pPr>
              <w:spacing w:line="360" w:lineRule="auto"/>
              <w:jc w:val="center"/>
            </w:pPr>
            <w:r w:rsidRPr="00CD6CC0">
              <w:t>1000</w:t>
            </w:r>
          </w:p>
        </w:tc>
        <w:tc>
          <w:tcPr>
            <w:tcW w:w="3613" w:type="dxa"/>
          </w:tcPr>
          <w:p w14:paraId="6B9CDA8B" w14:textId="350CBBA8" w:rsidR="00CD6CC0" w:rsidRPr="00CD6CC0" w:rsidRDefault="00CD6CC0" w:rsidP="00CD6CC0">
            <w:pPr>
              <w:spacing w:line="360" w:lineRule="auto"/>
              <w:jc w:val="center"/>
            </w:pPr>
            <w:r w:rsidRPr="00CD6CC0">
              <w:t>5500</w:t>
            </w:r>
          </w:p>
        </w:tc>
      </w:tr>
      <w:tr w:rsidR="00CD6CC0" w:rsidRPr="00CD6CC0" w14:paraId="4FB2D777" w14:textId="77777777" w:rsidTr="00FE0C84">
        <w:trPr>
          <w:trHeight w:val="79"/>
          <w:jc w:val="center"/>
        </w:trPr>
        <w:tc>
          <w:tcPr>
            <w:tcW w:w="1135" w:type="dxa"/>
          </w:tcPr>
          <w:p w14:paraId="6CB25665" w14:textId="71C50DFF" w:rsidR="00CD6CC0" w:rsidRPr="00CD6CC0" w:rsidRDefault="00CD6CC0" w:rsidP="00C43AAA">
            <w:pPr>
              <w:spacing w:line="360" w:lineRule="auto"/>
              <w:jc w:val="center"/>
            </w:pPr>
            <w:r w:rsidRPr="00CD6CC0">
              <w:t>4</w:t>
            </w:r>
          </w:p>
        </w:tc>
        <w:tc>
          <w:tcPr>
            <w:tcW w:w="3052" w:type="dxa"/>
          </w:tcPr>
          <w:p w14:paraId="10A9416D" w14:textId="6ACC6E21" w:rsidR="00CD6CC0" w:rsidRPr="00CD6CC0" w:rsidRDefault="00CD6CC0" w:rsidP="00CD6CC0">
            <w:pPr>
              <w:spacing w:line="360" w:lineRule="auto"/>
              <w:jc w:val="center"/>
            </w:pPr>
            <w:r>
              <w:t>(</w:t>
            </w:r>
            <w:r w:rsidRPr="00CD6CC0">
              <w:t>-442</w:t>
            </w:r>
            <w:r>
              <w:t>)</w:t>
            </w:r>
          </w:p>
        </w:tc>
        <w:tc>
          <w:tcPr>
            <w:tcW w:w="3613" w:type="dxa"/>
          </w:tcPr>
          <w:p w14:paraId="483FB941" w14:textId="6A3F652C" w:rsidR="00CD6CC0" w:rsidRPr="00CD6CC0" w:rsidRDefault="00CD6CC0" w:rsidP="00CD6CC0">
            <w:pPr>
              <w:spacing w:line="360" w:lineRule="auto"/>
              <w:jc w:val="center"/>
            </w:pPr>
            <w:r>
              <w:t>5</w:t>
            </w:r>
            <w:r w:rsidRPr="00CD6CC0">
              <w:t>058</w:t>
            </w:r>
          </w:p>
        </w:tc>
      </w:tr>
    </w:tbl>
    <w:p w14:paraId="1B00DCCE" w14:textId="77777777" w:rsidR="00B12020" w:rsidRPr="00CD6CC0" w:rsidRDefault="00B12020"/>
    <w:p w14:paraId="0B2385E2" w14:textId="1C19CC48" w:rsidR="00B12020" w:rsidRPr="00CD6CC0" w:rsidRDefault="00D93CD1">
      <w:pPr>
        <w:rPr>
          <w:b/>
        </w:rPr>
      </w:pPr>
      <w:r w:rsidRPr="00CD6CC0">
        <w:rPr>
          <w:b/>
        </w:rPr>
        <w:t>Payback period = E + B / C</w:t>
      </w:r>
    </w:p>
    <w:p w14:paraId="6CD3E7AC" w14:textId="2C8D637B" w:rsidR="00B12020" w:rsidRPr="00CD6CC0" w:rsidRDefault="00D93CD1">
      <w:r w:rsidRPr="00CD6CC0">
        <w:t>E = Year before the completion of investment recovery</w:t>
      </w:r>
    </w:p>
    <w:p w14:paraId="186B90A5" w14:textId="4F6B2159" w:rsidR="00B12020" w:rsidRPr="00CD6CC0" w:rsidRDefault="00D93CD1">
      <w:r w:rsidRPr="00CD6CC0">
        <w:t>B = Amount left to be recovered compared to project investmen</w:t>
      </w:r>
      <w:r w:rsidR="00CA5B0B">
        <w:t>t</w:t>
      </w:r>
    </w:p>
    <w:p w14:paraId="7198D7CA" w14:textId="6B13816B" w:rsidR="00B12020" w:rsidRPr="00CD6CC0" w:rsidRDefault="00D93CD1">
      <w:r w:rsidRPr="00CD6CC0">
        <w:t>C = Cash inflow during the final recovery of project value</w:t>
      </w:r>
    </w:p>
    <w:p w14:paraId="0F9B5606" w14:textId="77777777" w:rsidR="00B12020" w:rsidRPr="00CD6CC0" w:rsidRDefault="00D93CD1">
      <w:r w:rsidRPr="00CD6CC0">
        <w:t xml:space="preserve">With the processing of the above formula, it can be considered that the primary value of the payback period for this project will be; 2 years + (5000 - 4500) / 1000 or 2 years + 0.50 or 2 years and 6 months </w:t>
      </w:r>
    </w:p>
    <w:p w14:paraId="553FDE8C" w14:textId="77777777" w:rsidR="00B12020" w:rsidRPr="00CD6CC0" w:rsidRDefault="00D93CD1">
      <w:pPr>
        <w:rPr>
          <w:b/>
        </w:rPr>
      </w:pPr>
      <w:r w:rsidRPr="00CD6CC0">
        <w:rPr>
          <w:b/>
        </w:rPr>
        <w:t xml:space="preserve">Project B </w:t>
      </w:r>
    </w:p>
    <w:tbl>
      <w:tblPr>
        <w:tblStyle w:val="GridTable5Dark-Accent6"/>
        <w:tblW w:w="7995" w:type="dxa"/>
        <w:jc w:val="center"/>
        <w:tblLayout w:type="fixed"/>
        <w:tblLook w:val="0600" w:firstRow="0" w:lastRow="0" w:firstColumn="0" w:lastColumn="0" w:noHBand="1" w:noVBand="1"/>
      </w:tblPr>
      <w:tblGrid>
        <w:gridCol w:w="1290"/>
        <w:gridCol w:w="3045"/>
        <w:gridCol w:w="3660"/>
      </w:tblGrid>
      <w:tr w:rsidR="00B12020" w:rsidRPr="00005013" w14:paraId="54055CCD" w14:textId="77777777" w:rsidTr="00CD6CC0">
        <w:trPr>
          <w:trHeight w:val="20"/>
          <w:jc w:val="center"/>
        </w:trPr>
        <w:tc>
          <w:tcPr>
            <w:tcW w:w="1290" w:type="dxa"/>
          </w:tcPr>
          <w:p w14:paraId="0E498DCF" w14:textId="329448E2" w:rsidR="00B12020" w:rsidRPr="00005013" w:rsidRDefault="00CD6CC0" w:rsidP="00CD6CC0">
            <w:pPr>
              <w:spacing w:line="360" w:lineRule="auto"/>
              <w:jc w:val="center"/>
              <w:rPr>
                <w:b/>
              </w:rPr>
            </w:pPr>
            <w:r w:rsidRPr="00005013">
              <w:rPr>
                <w:b/>
              </w:rPr>
              <w:t>Period</w:t>
            </w:r>
          </w:p>
        </w:tc>
        <w:tc>
          <w:tcPr>
            <w:tcW w:w="3045" w:type="dxa"/>
          </w:tcPr>
          <w:p w14:paraId="36D1F5B9" w14:textId="13C20C1D" w:rsidR="00B12020" w:rsidRPr="00005013" w:rsidRDefault="00CD6CC0" w:rsidP="00CD6CC0">
            <w:pPr>
              <w:spacing w:line="360" w:lineRule="auto"/>
              <w:jc w:val="center"/>
              <w:rPr>
                <w:b/>
              </w:rPr>
            </w:pPr>
            <w:r w:rsidRPr="00005013">
              <w:rPr>
                <w:b/>
              </w:rPr>
              <w:t>Cash flow</w:t>
            </w:r>
          </w:p>
        </w:tc>
        <w:tc>
          <w:tcPr>
            <w:tcW w:w="3660" w:type="dxa"/>
          </w:tcPr>
          <w:p w14:paraId="2FCC848A" w14:textId="77F001B8" w:rsidR="00B12020" w:rsidRPr="00005013" w:rsidRDefault="00D93CD1" w:rsidP="00CD6CC0">
            <w:pPr>
              <w:spacing w:line="360" w:lineRule="auto"/>
              <w:jc w:val="center"/>
              <w:rPr>
                <w:b/>
              </w:rPr>
            </w:pPr>
            <w:r w:rsidRPr="00005013">
              <w:rPr>
                <w:b/>
              </w:rPr>
              <w:t>Cumulative cash flow</w:t>
            </w:r>
          </w:p>
        </w:tc>
      </w:tr>
      <w:tr w:rsidR="00B12020" w:rsidRPr="00005013" w14:paraId="7BF49A59" w14:textId="77777777" w:rsidTr="00CD6CC0">
        <w:trPr>
          <w:trHeight w:val="20"/>
          <w:jc w:val="center"/>
        </w:trPr>
        <w:tc>
          <w:tcPr>
            <w:tcW w:w="1290" w:type="dxa"/>
          </w:tcPr>
          <w:p w14:paraId="6CC606ED" w14:textId="667D624A" w:rsidR="00B12020" w:rsidRPr="00005013" w:rsidRDefault="00D93CD1" w:rsidP="00CA5B0B">
            <w:pPr>
              <w:spacing w:line="360" w:lineRule="auto"/>
              <w:jc w:val="center"/>
            </w:pPr>
            <w:r w:rsidRPr="00005013">
              <w:t>1</w:t>
            </w:r>
          </w:p>
        </w:tc>
        <w:tc>
          <w:tcPr>
            <w:tcW w:w="3045" w:type="dxa"/>
          </w:tcPr>
          <w:p w14:paraId="0404A5DE" w14:textId="4E322057" w:rsidR="00B12020" w:rsidRPr="00005013" w:rsidRDefault="00D93CD1" w:rsidP="00CD6CC0">
            <w:pPr>
              <w:spacing w:line="360" w:lineRule="auto"/>
              <w:jc w:val="center"/>
            </w:pPr>
            <w:r w:rsidRPr="00005013">
              <w:t>1500</w:t>
            </w:r>
          </w:p>
        </w:tc>
        <w:tc>
          <w:tcPr>
            <w:tcW w:w="3660" w:type="dxa"/>
          </w:tcPr>
          <w:p w14:paraId="415BDB30" w14:textId="165F15A1" w:rsidR="00B12020" w:rsidRPr="00005013" w:rsidRDefault="00D93CD1" w:rsidP="00CD6CC0">
            <w:pPr>
              <w:spacing w:line="360" w:lineRule="auto"/>
              <w:jc w:val="center"/>
            </w:pPr>
            <w:r w:rsidRPr="00005013">
              <w:t>1500</w:t>
            </w:r>
          </w:p>
        </w:tc>
      </w:tr>
      <w:tr w:rsidR="00B12020" w:rsidRPr="00005013" w14:paraId="4662F4CB" w14:textId="77777777" w:rsidTr="00CD6CC0">
        <w:trPr>
          <w:trHeight w:val="20"/>
          <w:jc w:val="center"/>
        </w:trPr>
        <w:tc>
          <w:tcPr>
            <w:tcW w:w="1290" w:type="dxa"/>
          </w:tcPr>
          <w:p w14:paraId="71D24755" w14:textId="28F552FC" w:rsidR="00B12020" w:rsidRPr="00005013" w:rsidRDefault="00D93CD1" w:rsidP="00CA5B0B">
            <w:pPr>
              <w:spacing w:line="360" w:lineRule="auto"/>
              <w:jc w:val="center"/>
            </w:pPr>
            <w:r w:rsidRPr="00005013">
              <w:t>2</w:t>
            </w:r>
          </w:p>
        </w:tc>
        <w:tc>
          <w:tcPr>
            <w:tcW w:w="3045" w:type="dxa"/>
          </w:tcPr>
          <w:p w14:paraId="2B078396" w14:textId="2596DD09" w:rsidR="00B12020" w:rsidRPr="00005013" w:rsidRDefault="00D93CD1" w:rsidP="00CD6CC0">
            <w:pPr>
              <w:spacing w:line="360" w:lineRule="auto"/>
              <w:jc w:val="center"/>
            </w:pPr>
            <w:r w:rsidRPr="00005013">
              <w:t>1000</w:t>
            </w:r>
          </w:p>
        </w:tc>
        <w:tc>
          <w:tcPr>
            <w:tcW w:w="3660" w:type="dxa"/>
          </w:tcPr>
          <w:p w14:paraId="5A4FE722" w14:textId="60FFD921" w:rsidR="00B12020" w:rsidRPr="00005013" w:rsidRDefault="00D93CD1" w:rsidP="00CD6CC0">
            <w:pPr>
              <w:spacing w:line="360" w:lineRule="auto"/>
              <w:jc w:val="center"/>
            </w:pPr>
            <w:r w:rsidRPr="00005013">
              <w:t>2500</w:t>
            </w:r>
          </w:p>
        </w:tc>
      </w:tr>
      <w:tr w:rsidR="00B12020" w:rsidRPr="00005013" w14:paraId="5C929BEF" w14:textId="77777777" w:rsidTr="00CD6CC0">
        <w:trPr>
          <w:trHeight w:val="20"/>
          <w:jc w:val="center"/>
        </w:trPr>
        <w:tc>
          <w:tcPr>
            <w:tcW w:w="1290" w:type="dxa"/>
          </w:tcPr>
          <w:p w14:paraId="5D55E9BC" w14:textId="772386BF" w:rsidR="00B12020" w:rsidRPr="00005013" w:rsidRDefault="00D93CD1" w:rsidP="00CA5B0B">
            <w:pPr>
              <w:spacing w:line="360" w:lineRule="auto"/>
              <w:jc w:val="center"/>
            </w:pPr>
            <w:r w:rsidRPr="00005013">
              <w:t>3</w:t>
            </w:r>
          </w:p>
        </w:tc>
        <w:tc>
          <w:tcPr>
            <w:tcW w:w="3045" w:type="dxa"/>
          </w:tcPr>
          <w:p w14:paraId="43F4B0E8" w14:textId="3634E08A" w:rsidR="00B12020" w:rsidRPr="00005013" w:rsidRDefault="00D93CD1" w:rsidP="00CD6CC0">
            <w:pPr>
              <w:spacing w:line="360" w:lineRule="auto"/>
              <w:jc w:val="center"/>
            </w:pPr>
            <w:r w:rsidRPr="00005013">
              <w:t>1000</w:t>
            </w:r>
          </w:p>
        </w:tc>
        <w:tc>
          <w:tcPr>
            <w:tcW w:w="3660" w:type="dxa"/>
          </w:tcPr>
          <w:p w14:paraId="1D33856E" w14:textId="3D076D7B" w:rsidR="00B12020" w:rsidRPr="00005013" w:rsidRDefault="00CD6CC0" w:rsidP="00CD6CC0">
            <w:pPr>
              <w:spacing w:line="360" w:lineRule="auto"/>
              <w:jc w:val="center"/>
            </w:pPr>
            <w:r w:rsidRPr="00005013">
              <w:t>3</w:t>
            </w:r>
            <w:r w:rsidR="00D93CD1" w:rsidRPr="00005013">
              <w:t>500</w:t>
            </w:r>
          </w:p>
        </w:tc>
      </w:tr>
      <w:tr w:rsidR="00B12020" w:rsidRPr="00005013" w14:paraId="6C30FA8E" w14:textId="77777777" w:rsidTr="00CD6CC0">
        <w:trPr>
          <w:trHeight w:val="20"/>
          <w:jc w:val="center"/>
        </w:trPr>
        <w:tc>
          <w:tcPr>
            <w:tcW w:w="1290" w:type="dxa"/>
          </w:tcPr>
          <w:p w14:paraId="7F750AE5" w14:textId="1568F8F5" w:rsidR="00B12020" w:rsidRPr="00005013" w:rsidRDefault="00D93CD1" w:rsidP="00CA5B0B">
            <w:pPr>
              <w:spacing w:line="360" w:lineRule="auto"/>
              <w:jc w:val="center"/>
            </w:pPr>
            <w:r w:rsidRPr="00005013">
              <w:t>4</w:t>
            </w:r>
          </w:p>
        </w:tc>
        <w:tc>
          <w:tcPr>
            <w:tcW w:w="3045" w:type="dxa"/>
          </w:tcPr>
          <w:p w14:paraId="482FE2AF" w14:textId="625A1DC4" w:rsidR="00B12020" w:rsidRPr="00005013" w:rsidRDefault="00CD6CC0" w:rsidP="00CD6CC0">
            <w:pPr>
              <w:spacing w:line="360" w:lineRule="auto"/>
              <w:jc w:val="center"/>
            </w:pPr>
            <w:r w:rsidRPr="00005013">
              <w:t>(</w:t>
            </w:r>
            <w:r w:rsidR="00D93CD1" w:rsidRPr="00005013">
              <w:t>-470</w:t>
            </w:r>
            <w:r w:rsidRPr="00005013">
              <w:t>)</w:t>
            </w:r>
          </w:p>
        </w:tc>
        <w:tc>
          <w:tcPr>
            <w:tcW w:w="3660" w:type="dxa"/>
          </w:tcPr>
          <w:p w14:paraId="70183833" w14:textId="5BEA0D27" w:rsidR="00B12020" w:rsidRPr="00005013" w:rsidRDefault="00D93CD1" w:rsidP="00CD6CC0">
            <w:pPr>
              <w:spacing w:line="360" w:lineRule="auto"/>
              <w:jc w:val="center"/>
            </w:pPr>
            <w:r w:rsidRPr="00005013">
              <w:t>303</w:t>
            </w:r>
            <w:r w:rsidR="00CA5B0B" w:rsidRPr="00005013">
              <w:t>0</w:t>
            </w:r>
          </w:p>
        </w:tc>
      </w:tr>
    </w:tbl>
    <w:p w14:paraId="2E090782" w14:textId="77777777" w:rsidR="00B12020" w:rsidRPr="00CD6CC0" w:rsidRDefault="00B12020">
      <w:pPr>
        <w:rPr>
          <w:b/>
        </w:rPr>
      </w:pPr>
    </w:p>
    <w:p w14:paraId="2B71CBB0" w14:textId="46A18E08" w:rsidR="00B12020" w:rsidRPr="00CD6CC0" w:rsidRDefault="00D93CD1">
      <w:r w:rsidRPr="00CD6CC0">
        <w:t xml:space="preserve">Associated with the present identification the same formula of Payback period is also applied for this </w:t>
      </w:r>
      <w:r w:rsidR="00254DDD" w:rsidRPr="00CD6CC0">
        <w:t>project</w:t>
      </w:r>
      <w:r w:rsidRPr="00CD6CC0">
        <w:t xml:space="preserve"> which </w:t>
      </w:r>
      <w:r w:rsidR="0076678B" w:rsidRPr="00CD6CC0">
        <w:t>indicates</w:t>
      </w:r>
      <w:r w:rsidR="0076678B">
        <w:t>:</w:t>
      </w:r>
    </w:p>
    <w:p w14:paraId="479FE106" w14:textId="32B8133D" w:rsidR="00B12020" w:rsidRPr="00CD6CC0" w:rsidRDefault="00D93CD1">
      <w:pPr>
        <w:rPr>
          <w:b/>
        </w:rPr>
      </w:pPr>
      <w:r w:rsidRPr="00CD6CC0">
        <w:rPr>
          <w:b/>
        </w:rPr>
        <w:t>Payback period = E + B / C</w:t>
      </w:r>
    </w:p>
    <w:p w14:paraId="5B8884F6" w14:textId="76AC1A06" w:rsidR="00B12020" w:rsidRPr="00CD6CC0" w:rsidRDefault="00D93CD1">
      <w:r w:rsidRPr="00CD6CC0">
        <w:t>E = Year before the completion of investment recovery</w:t>
      </w:r>
    </w:p>
    <w:p w14:paraId="1F61ACC8" w14:textId="0019FE1F" w:rsidR="00B12020" w:rsidRPr="00CD6CC0" w:rsidRDefault="00D93CD1">
      <w:r w:rsidRPr="00CD6CC0">
        <w:t>B = Amount left to be recovered compared to project investment</w:t>
      </w:r>
    </w:p>
    <w:p w14:paraId="012E3F37" w14:textId="1EEC9864" w:rsidR="00B12020" w:rsidRPr="00CD6CC0" w:rsidRDefault="00D93CD1">
      <w:r w:rsidRPr="00CD6CC0">
        <w:t>C = Cash inflow during the final recovery of project value</w:t>
      </w:r>
    </w:p>
    <w:p w14:paraId="663BCA30" w14:textId="77777777" w:rsidR="00B12020" w:rsidRPr="00CD6CC0" w:rsidRDefault="00D93CD1">
      <w:pPr>
        <w:rPr>
          <w:b/>
        </w:rPr>
      </w:pPr>
      <w:r w:rsidRPr="00CD6CC0">
        <w:lastRenderedPageBreak/>
        <w:t xml:space="preserve">As per the present identification support the payback period related to the project will be; 0 years + (1000 - 1500) / 1500 or 0 years + 0.3333 or 0 years and 4 months </w:t>
      </w:r>
    </w:p>
    <w:p w14:paraId="1EC88FE6" w14:textId="77777777" w:rsidR="00B12020" w:rsidRPr="00CD6CC0" w:rsidRDefault="00D93CD1">
      <w:pPr>
        <w:rPr>
          <w:b/>
        </w:rPr>
      </w:pPr>
      <w:r w:rsidRPr="00CD6CC0">
        <w:rPr>
          <w:b/>
        </w:rPr>
        <w:t xml:space="preserve">Computing Accounting rate of return of both projects </w:t>
      </w:r>
    </w:p>
    <w:p w14:paraId="0F451E2F" w14:textId="3252A435" w:rsidR="00B12020" w:rsidRPr="00CD6CC0" w:rsidRDefault="00D93CD1">
      <w:r w:rsidRPr="00CD6CC0">
        <w:t xml:space="preserve">As per the present operating approach, the applied identification related to the current accounting rate of return related to individual projects can be identified </w:t>
      </w:r>
      <w:r w:rsidR="00254DDD" w:rsidRPr="00CD6CC0">
        <w:t>through.</w:t>
      </w:r>
      <w:r w:rsidRPr="00CD6CC0">
        <w:t xml:space="preserve"> </w:t>
      </w:r>
    </w:p>
    <w:p w14:paraId="69A3AA51" w14:textId="696D1077" w:rsidR="00B12020" w:rsidRPr="00CD6CC0" w:rsidRDefault="00D93CD1">
      <w:r w:rsidRPr="00CD6CC0">
        <w:t>Accounting rate of return= (Average annual profit x 100) / Investment</w:t>
      </w:r>
    </w:p>
    <w:p w14:paraId="46C9DCF0" w14:textId="77777777" w:rsidR="00B12020" w:rsidRPr="00CD6CC0" w:rsidRDefault="00D93CD1">
      <w:pPr>
        <w:rPr>
          <w:b/>
        </w:rPr>
      </w:pPr>
      <w:r w:rsidRPr="00CD6CC0">
        <w:rPr>
          <w:b/>
        </w:rPr>
        <w:t xml:space="preserve">Project A </w:t>
      </w:r>
    </w:p>
    <w:p w14:paraId="492DB229" w14:textId="6019D7EB" w:rsidR="00B12020" w:rsidRPr="00CD6CC0" w:rsidRDefault="00D93CD1">
      <w:r w:rsidRPr="00CD6CC0">
        <w:t xml:space="preserve">With the application of the above processing, the value of such measurement will </w:t>
      </w:r>
      <w:r w:rsidR="00254DDD" w:rsidRPr="00CD6CC0">
        <w:t>be</w:t>
      </w:r>
      <w:r w:rsidR="00282769">
        <w:t>:</w:t>
      </w:r>
    </w:p>
    <w:p w14:paraId="7918B9F7" w14:textId="68295E56" w:rsidR="00B12020" w:rsidRPr="00CD6CC0" w:rsidRDefault="00D93CD1">
      <w:r w:rsidRPr="00CD6CC0">
        <w:t>Average annual profit = {2500 + 2000 + 1000 + (-442)} / 4 = 1264.5 million</w:t>
      </w:r>
    </w:p>
    <w:p w14:paraId="44A32839" w14:textId="4B133CF3" w:rsidR="00B12020" w:rsidRPr="00CD6CC0" w:rsidRDefault="00D93CD1">
      <w:r w:rsidRPr="00CD6CC0">
        <w:t>Investment = 5000 million</w:t>
      </w:r>
    </w:p>
    <w:p w14:paraId="424AF756" w14:textId="33363A70" w:rsidR="00B12020" w:rsidRPr="00CD6CC0" w:rsidRDefault="00D93CD1">
      <w:r w:rsidRPr="00CD6CC0">
        <w:t>ARR = (1264.5 million x 100)/ 5000 million = 25.29%</w:t>
      </w:r>
    </w:p>
    <w:p w14:paraId="50FF75E8" w14:textId="77777777" w:rsidR="00B12020" w:rsidRPr="00CD6CC0" w:rsidRDefault="00D93CD1">
      <w:pPr>
        <w:rPr>
          <w:b/>
        </w:rPr>
      </w:pPr>
      <w:r w:rsidRPr="00CD6CC0">
        <w:rPr>
          <w:b/>
        </w:rPr>
        <w:t xml:space="preserve">Project B </w:t>
      </w:r>
    </w:p>
    <w:p w14:paraId="735B330C" w14:textId="77777777" w:rsidR="00B12020" w:rsidRPr="00CD6CC0" w:rsidRDefault="00D93CD1">
      <w:r w:rsidRPr="00CD6CC0">
        <w:t xml:space="preserve">The identification of the same processing is also initiated for the computation of the accounting rate of return for another project, which resulted to </w:t>
      </w:r>
    </w:p>
    <w:p w14:paraId="0CC25789" w14:textId="5C4E53A2" w:rsidR="00B12020" w:rsidRPr="00CD6CC0" w:rsidRDefault="00D93CD1">
      <w:r w:rsidRPr="00CD6CC0">
        <w:t>Average annual profit = {1500 + 1000+ 1000 + (-470)} / 4 = 757.5 million</w:t>
      </w:r>
    </w:p>
    <w:p w14:paraId="16A4E622" w14:textId="4F79A93F" w:rsidR="00B12020" w:rsidRPr="00CD6CC0" w:rsidRDefault="00D93CD1">
      <w:r w:rsidRPr="00CD6CC0">
        <w:t>Investment = 1000 million</w:t>
      </w:r>
    </w:p>
    <w:p w14:paraId="4F1D6524" w14:textId="1672DC49" w:rsidR="00B12020" w:rsidRPr="00CD6CC0" w:rsidRDefault="00D93CD1">
      <w:pPr>
        <w:rPr>
          <w:b/>
        </w:rPr>
      </w:pPr>
      <w:r w:rsidRPr="00CD6CC0">
        <w:t>ARR = (757.5 million x 100)/ 1000 million = 75.75%</w:t>
      </w:r>
    </w:p>
    <w:p w14:paraId="35BDF829" w14:textId="77777777" w:rsidR="00B12020" w:rsidRPr="00CD6CC0" w:rsidRDefault="00D93CD1">
      <w:pPr>
        <w:rPr>
          <w:b/>
        </w:rPr>
      </w:pPr>
      <w:r w:rsidRPr="00CD6CC0">
        <w:rPr>
          <w:b/>
        </w:rPr>
        <w:t xml:space="preserve">Computing Net present value of both project </w:t>
      </w:r>
    </w:p>
    <w:p w14:paraId="53E60DD1" w14:textId="77777777" w:rsidR="00B12020" w:rsidRPr="00CD6CC0" w:rsidRDefault="00D93CD1">
      <w:r w:rsidRPr="00CD6CC0">
        <w:t xml:space="preserve">With importance to the time value concept, this measurement has been initiated for recognising the overall recovery approach of business total cash flow formulations from the project after the reductions of initial investment value. </w:t>
      </w:r>
    </w:p>
    <w:p w14:paraId="3BACEB5C" w14:textId="77777777" w:rsidR="00B12020" w:rsidRDefault="00D93CD1">
      <w:pPr>
        <w:rPr>
          <w:b/>
        </w:rPr>
      </w:pPr>
      <w:r w:rsidRPr="00CD6CC0">
        <w:rPr>
          <w:b/>
        </w:rPr>
        <w:t xml:space="preserve">Project A </w:t>
      </w:r>
    </w:p>
    <w:tbl>
      <w:tblPr>
        <w:tblW w:w="5960" w:type="dxa"/>
        <w:jc w:val="center"/>
        <w:tblLook w:val="04A0" w:firstRow="1" w:lastRow="0" w:firstColumn="1" w:lastColumn="0" w:noHBand="0" w:noVBand="1"/>
      </w:tblPr>
      <w:tblGrid>
        <w:gridCol w:w="980"/>
        <w:gridCol w:w="1080"/>
        <w:gridCol w:w="2420"/>
        <w:gridCol w:w="1480"/>
      </w:tblGrid>
      <w:tr w:rsidR="00E40F72" w:rsidRPr="00E40F72" w14:paraId="38A7C534" w14:textId="77777777" w:rsidTr="00E40F72">
        <w:trPr>
          <w:trHeight w:val="312"/>
          <w:jc w:val="center"/>
        </w:trPr>
        <w:tc>
          <w:tcPr>
            <w:tcW w:w="98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4FCDEA6B" w14:textId="31D6453C" w:rsidR="00E40F72" w:rsidRPr="00E40F72" w:rsidRDefault="00E40F72" w:rsidP="00E40F72">
            <w:pPr>
              <w:spacing w:line="240" w:lineRule="auto"/>
              <w:jc w:val="center"/>
              <w:rPr>
                <w:b/>
                <w:bCs/>
                <w:color w:val="000000"/>
                <w:lang w:eastAsia="en-GB"/>
              </w:rPr>
            </w:pPr>
            <w:r w:rsidRPr="00E40F72">
              <w:rPr>
                <w:b/>
                <w:bCs/>
                <w:color w:val="000000"/>
                <w:lang w:eastAsia="en-GB"/>
              </w:rPr>
              <w:t>Period</w:t>
            </w:r>
          </w:p>
        </w:tc>
        <w:tc>
          <w:tcPr>
            <w:tcW w:w="1080" w:type="dxa"/>
            <w:tcBorders>
              <w:top w:val="single" w:sz="4" w:space="0" w:color="auto"/>
              <w:left w:val="nil"/>
              <w:bottom w:val="single" w:sz="4" w:space="0" w:color="auto"/>
              <w:right w:val="single" w:sz="4" w:space="0" w:color="auto"/>
            </w:tcBorders>
            <w:shd w:val="clear" w:color="auto" w:fill="auto"/>
            <w:noWrap/>
            <w:vAlign w:val="bottom"/>
            <w:hideMark/>
          </w:tcPr>
          <w:p w14:paraId="29A6EB61" w14:textId="77777777" w:rsidR="00E40F72" w:rsidRPr="00E40F72" w:rsidRDefault="00E40F72" w:rsidP="00E40F72">
            <w:pPr>
              <w:spacing w:line="240" w:lineRule="auto"/>
              <w:jc w:val="center"/>
              <w:rPr>
                <w:b/>
                <w:bCs/>
                <w:color w:val="000000"/>
                <w:lang w:eastAsia="en-GB"/>
              </w:rPr>
            </w:pPr>
            <w:r w:rsidRPr="00E40F72">
              <w:rPr>
                <w:b/>
                <w:bCs/>
                <w:color w:val="000000"/>
                <w:lang w:eastAsia="en-GB"/>
              </w:rPr>
              <w:t xml:space="preserve">Cash flow </w:t>
            </w:r>
          </w:p>
        </w:tc>
        <w:tc>
          <w:tcPr>
            <w:tcW w:w="2420" w:type="dxa"/>
            <w:tcBorders>
              <w:top w:val="single" w:sz="4" w:space="0" w:color="auto"/>
              <w:left w:val="nil"/>
              <w:bottom w:val="single" w:sz="4" w:space="0" w:color="auto"/>
              <w:right w:val="single" w:sz="4" w:space="0" w:color="auto"/>
            </w:tcBorders>
            <w:shd w:val="clear" w:color="auto" w:fill="auto"/>
            <w:noWrap/>
            <w:vAlign w:val="bottom"/>
            <w:hideMark/>
          </w:tcPr>
          <w:p w14:paraId="03A0C048" w14:textId="77777777" w:rsidR="00E40F72" w:rsidRPr="00E40F72" w:rsidRDefault="00E40F72" w:rsidP="00E40F72">
            <w:pPr>
              <w:spacing w:line="240" w:lineRule="auto"/>
              <w:jc w:val="center"/>
              <w:rPr>
                <w:b/>
                <w:bCs/>
                <w:color w:val="000000"/>
                <w:lang w:eastAsia="en-GB"/>
              </w:rPr>
            </w:pPr>
            <w:r w:rsidRPr="00E40F72">
              <w:rPr>
                <w:b/>
                <w:bCs/>
                <w:color w:val="000000"/>
                <w:lang w:eastAsia="en-GB"/>
              </w:rPr>
              <w:t>Discounting factor</w:t>
            </w:r>
          </w:p>
        </w:tc>
        <w:tc>
          <w:tcPr>
            <w:tcW w:w="1480" w:type="dxa"/>
            <w:tcBorders>
              <w:top w:val="single" w:sz="4" w:space="0" w:color="auto"/>
              <w:left w:val="nil"/>
              <w:bottom w:val="single" w:sz="4" w:space="0" w:color="auto"/>
              <w:right w:val="single" w:sz="4" w:space="0" w:color="auto"/>
            </w:tcBorders>
            <w:shd w:val="clear" w:color="auto" w:fill="auto"/>
            <w:noWrap/>
            <w:vAlign w:val="bottom"/>
            <w:hideMark/>
          </w:tcPr>
          <w:p w14:paraId="48FD4E0B" w14:textId="77777777" w:rsidR="00E40F72" w:rsidRPr="00E40F72" w:rsidRDefault="00E40F72" w:rsidP="00E40F72">
            <w:pPr>
              <w:spacing w:line="240" w:lineRule="auto"/>
              <w:jc w:val="center"/>
              <w:rPr>
                <w:b/>
                <w:bCs/>
                <w:color w:val="000000"/>
                <w:lang w:eastAsia="en-GB"/>
              </w:rPr>
            </w:pPr>
            <w:r w:rsidRPr="00E40F72">
              <w:rPr>
                <w:b/>
                <w:bCs/>
                <w:color w:val="000000"/>
                <w:lang w:eastAsia="en-GB"/>
              </w:rPr>
              <w:t xml:space="preserve">Present value </w:t>
            </w:r>
          </w:p>
        </w:tc>
      </w:tr>
      <w:tr w:rsidR="00E40F72" w:rsidRPr="00E40F72" w14:paraId="768C0EF7" w14:textId="77777777" w:rsidTr="00E40F72">
        <w:trPr>
          <w:trHeight w:val="312"/>
          <w:jc w:val="center"/>
        </w:trPr>
        <w:tc>
          <w:tcPr>
            <w:tcW w:w="980" w:type="dxa"/>
            <w:tcBorders>
              <w:top w:val="nil"/>
              <w:left w:val="single" w:sz="4" w:space="0" w:color="auto"/>
              <w:bottom w:val="single" w:sz="4" w:space="0" w:color="auto"/>
              <w:right w:val="single" w:sz="4" w:space="0" w:color="auto"/>
            </w:tcBorders>
            <w:shd w:val="clear" w:color="auto" w:fill="auto"/>
            <w:noWrap/>
            <w:vAlign w:val="bottom"/>
            <w:hideMark/>
          </w:tcPr>
          <w:p w14:paraId="17452121" w14:textId="77777777" w:rsidR="00E40F72" w:rsidRPr="00E40F72" w:rsidRDefault="00E40F72" w:rsidP="00E40F72">
            <w:pPr>
              <w:spacing w:line="240" w:lineRule="auto"/>
              <w:jc w:val="right"/>
              <w:rPr>
                <w:color w:val="000000"/>
                <w:lang w:eastAsia="en-GB"/>
              </w:rPr>
            </w:pPr>
            <w:r w:rsidRPr="00E40F72">
              <w:rPr>
                <w:color w:val="000000"/>
                <w:lang w:eastAsia="en-GB"/>
              </w:rPr>
              <w:t>1</w:t>
            </w:r>
          </w:p>
        </w:tc>
        <w:tc>
          <w:tcPr>
            <w:tcW w:w="1080" w:type="dxa"/>
            <w:tcBorders>
              <w:top w:val="nil"/>
              <w:left w:val="nil"/>
              <w:bottom w:val="single" w:sz="4" w:space="0" w:color="auto"/>
              <w:right w:val="single" w:sz="4" w:space="0" w:color="auto"/>
            </w:tcBorders>
            <w:shd w:val="clear" w:color="auto" w:fill="auto"/>
            <w:noWrap/>
            <w:vAlign w:val="bottom"/>
            <w:hideMark/>
          </w:tcPr>
          <w:p w14:paraId="52149C2B" w14:textId="77777777" w:rsidR="00E40F72" w:rsidRPr="00E40F72" w:rsidRDefault="00E40F72" w:rsidP="00E40F72">
            <w:pPr>
              <w:spacing w:line="240" w:lineRule="auto"/>
              <w:jc w:val="right"/>
              <w:rPr>
                <w:color w:val="000000"/>
                <w:lang w:eastAsia="en-GB"/>
              </w:rPr>
            </w:pPr>
            <w:r w:rsidRPr="00E40F72">
              <w:rPr>
                <w:color w:val="000000"/>
                <w:lang w:eastAsia="en-GB"/>
              </w:rPr>
              <w:t>2500</w:t>
            </w:r>
          </w:p>
        </w:tc>
        <w:tc>
          <w:tcPr>
            <w:tcW w:w="2420" w:type="dxa"/>
            <w:tcBorders>
              <w:top w:val="nil"/>
              <w:left w:val="nil"/>
              <w:bottom w:val="single" w:sz="4" w:space="0" w:color="auto"/>
              <w:right w:val="single" w:sz="4" w:space="0" w:color="auto"/>
            </w:tcBorders>
            <w:shd w:val="clear" w:color="auto" w:fill="auto"/>
            <w:noWrap/>
            <w:vAlign w:val="bottom"/>
            <w:hideMark/>
          </w:tcPr>
          <w:p w14:paraId="7BB80BC3" w14:textId="77777777" w:rsidR="00E40F72" w:rsidRPr="00E40F72" w:rsidRDefault="00E40F72" w:rsidP="00E40F72">
            <w:pPr>
              <w:spacing w:line="240" w:lineRule="auto"/>
              <w:jc w:val="right"/>
              <w:rPr>
                <w:color w:val="000000"/>
                <w:lang w:eastAsia="en-GB"/>
              </w:rPr>
            </w:pPr>
            <w:r w:rsidRPr="00E40F72">
              <w:rPr>
                <w:color w:val="000000"/>
                <w:lang w:eastAsia="en-GB"/>
              </w:rPr>
              <w:t>0.992</w:t>
            </w:r>
          </w:p>
        </w:tc>
        <w:tc>
          <w:tcPr>
            <w:tcW w:w="1480" w:type="dxa"/>
            <w:tcBorders>
              <w:top w:val="nil"/>
              <w:left w:val="nil"/>
              <w:bottom w:val="single" w:sz="4" w:space="0" w:color="auto"/>
              <w:right w:val="single" w:sz="4" w:space="0" w:color="auto"/>
            </w:tcBorders>
            <w:shd w:val="clear" w:color="auto" w:fill="auto"/>
            <w:noWrap/>
            <w:vAlign w:val="bottom"/>
            <w:hideMark/>
          </w:tcPr>
          <w:p w14:paraId="5EA8387D" w14:textId="77777777" w:rsidR="00E40F72" w:rsidRPr="00E40F72" w:rsidRDefault="00E40F72" w:rsidP="00E40F72">
            <w:pPr>
              <w:spacing w:line="240" w:lineRule="auto"/>
              <w:jc w:val="right"/>
              <w:rPr>
                <w:color w:val="000000"/>
                <w:lang w:eastAsia="en-GB"/>
              </w:rPr>
            </w:pPr>
            <w:r w:rsidRPr="00E40F72">
              <w:rPr>
                <w:color w:val="000000"/>
                <w:lang w:eastAsia="en-GB"/>
              </w:rPr>
              <w:t>2480.00</w:t>
            </w:r>
          </w:p>
        </w:tc>
      </w:tr>
      <w:tr w:rsidR="00E40F72" w:rsidRPr="00E40F72" w14:paraId="12A99F0C" w14:textId="77777777" w:rsidTr="00E40F72">
        <w:trPr>
          <w:trHeight w:val="312"/>
          <w:jc w:val="center"/>
        </w:trPr>
        <w:tc>
          <w:tcPr>
            <w:tcW w:w="980" w:type="dxa"/>
            <w:tcBorders>
              <w:top w:val="nil"/>
              <w:left w:val="single" w:sz="4" w:space="0" w:color="auto"/>
              <w:bottom w:val="single" w:sz="4" w:space="0" w:color="auto"/>
              <w:right w:val="single" w:sz="4" w:space="0" w:color="auto"/>
            </w:tcBorders>
            <w:shd w:val="clear" w:color="auto" w:fill="auto"/>
            <w:noWrap/>
            <w:vAlign w:val="bottom"/>
            <w:hideMark/>
          </w:tcPr>
          <w:p w14:paraId="762707B9" w14:textId="77777777" w:rsidR="00E40F72" w:rsidRPr="00E40F72" w:rsidRDefault="00E40F72" w:rsidP="00E40F72">
            <w:pPr>
              <w:spacing w:line="240" w:lineRule="auto"/>
              <w:jc w:val="right"/>
              <w:rPr>
                <w:color w:val="000000"/>
                <w:lang w:eastAsia="en-GB"/>
              </w:rPr>
            </w:pPr>
            <w:r w:rsidRPr="00E40F72">
              <w:rPr>
                <w:color w:val="000000"/>
                <w:lang w:eastAsia="en-GB"/>
              </w:rPr>
              <w:t>2</w:t>
            </w:r>
          </w:p>
        </w:tc>
        <w:tc>
          <w:tcPr>
            <w:tcW w:w="1080" w:type="dxa"/>
            <w:tcBorders>
              <w:top w:val="nil"/>
              <w:left w:val="nil"/>
              <w:bottom w:val="single" w:sz="4" w:space="0" w:color="auto"/>
              <w:right w:val="single" w:sz="4" w:space="0" w:color="auto"/>
            </w:tcBorders>
            <w:shd w:val="clear" w:color="auto" w:fill="auto"/>
            <w:noWrap/>
            <w:vAlign w:val="bottom"/>
            <w:hideMark/>
          </w:tcPr>
          <w:p w14:paraId="526036EC" w14:textId="77777777" w:rsidR="00E40F72" w:rsidRPr="00E40F72" w:rsidRDefault="00E40F72" w:rsidP="00E40F72">
            <w:pPr>
              <w:spacing w:line="240" w:lineRule="auto"/>
              <w:jc w:val="right"/>
              <w:rPr>
                <w:color w:val="000000"/>
                <w:lang w:eastAsia="en-GB"/>
              </w:rPr>
            </w:pPr>
            <w:r w:rsidRPr="00E40F72">
              <w:rPr>
                <w:color w:val="000000"/>
                <w:lang w:eastAsia="en-GB"/>
              </w:rPr>
              <w:t>2000</w:t>
            </w:r>
          </w:p>
        </w:tc>
        <w:tc>
          <w:tcPr>
            <w:tcW w:w="2420" w:type="dxa"/>
            <w:tcBorders>
              <w:top w:val="nil"/>
              <w:left w:val="nil"/>
              <w:bottom w:val="single" w:sz="4" w:space="0" w:color="auto"/>
              <w:right w:val="single" w:sz="4" w:space="0" w:color="auto"/>
            </w:tcBorders>
            <w:shd w:val="clear" w:color="auto" w:fill="auto"/>
            <w:noWrap/>
            <w:vAlign w:val="bottom"/>
            <w:hideMark/>
          </w:tcPr>
          <w:p w14:paraId="5027D92B" w14:textId="77777777" w:rsidR="00E40F72" w:rsidRPr="00E40F72" w:rsidRDefault="00E40F72" w:rsidP="00E40F72">
            <w:pPr>
              <w:spacing w:line="240" w:lineRule="auto"/>
              <w:jc w:val="right"/>
              <w:rPr>
                <w:color w:val="000000"/>
                <w:lang w:eastAsia="en-GB"/>
              </w:rPr>
            </w:pPr>
            <w:r w:rsidRPr="00E40F72">
              <w:rPr>
                <w:color w:val="000000"/>
                <w:lang w:eastAsia="en-GB"/>
              </w:rPr>
              <w:t>0.985</w:t>
            </w:r>
          </w:p>
        </w:tc>
        <w:tc>
          <w:tcPr>
            <w:tcW w:w="1480" w:type="dxa"/>
            <w:tcBorders>
              <w:top w:val="nil"/>
              <w:left w:val="nil"/>
              <w:bottom w:val="single" w:sz="4" w:space="0" w:color="auto"/>
              <w:right w:val="single" w:sz="4" w:space="0" w:color="auto"/>
            </w:tcBorders>
            <w:shd w:val="clear" w:color="auto" w:fill="auto"/>
            <w:noWrap/>
            <w:vAlign w:val="bottom"/>
            <w:hideMark/>
          </w:tcPr>
          <w:p w14:paraId="23C333DE" w14:textId="77777777" w:rsidR="00E40F72" w:rsidRPr="00E40F72" w:rsidRDefault="00E40F72" w:rsidP="00E40F72">
            <w:pPr>
              <w:spacing w:line="240" w:lineRule="auto"/>
              <w:jc w:val="right"/>
              <w:rPr>
                <w:color w:val="000000"/>
                <w:lang w:eastAsia="en-GB"/>
              </w:rPr>
            </w:pPr>
            <w:r w:rsidRPr="00E40F72">
              <w:rPr>
                <w:color w:val="000000"/>
                <w:lang w:eastAsia="en-GB"/>
              </w:rPr>
              <w:t>1970.00</w:t>
            </w:r>
          </w:p>
        </w:tc>
      </w:tr>
      <w:tr w:rsidR="00E40F72" w:rsidRPr="00E40F72" w14:paraId="1F8D7BC7" w14:textId="77777777" w:rsidTr="00E40F72">
        <w:trPr>
          <w:trHeight w:val="312"/>
          <w:jc w:val="center"/>
        </w:trPr>
        <w:tc>
          <w:tcPr>
            <w:tcW w:w="980" w:type="dxa"/>
            <w:tcBorders>
              <w:top w:val="nil"/>
              <w:left w:val="single" w:sz="4" w:space="0" w:color="auto"/>
              <w:bottom w:val="single" w:sz="4" w:space="0" w:color="auto"/>
              <w:right w:val="single" w:sz="4" w:space="0" w:color="auto"/>
            </w:tcBorders>
            <w:shd w:val="clear" w:color="auto" w:fill="auto"/>
            <w:noWrap/>
            <w:vAlign w:val="bottom"/>
            <w:hideMark/>
          </w:tcPr>
          <w:p w14:paraId="10474935" w14:textId="77777777" w:rsidR="00E40F72" w:rsidRPr="00E40F72" w:rsidRDefault="00E40F72" w:rsidP="00E40F72">
            <w:pPr>
              <w:spacing w:line="240" w:lineRule="auto"/>
              <w:jc w:val="right"/>
              <w:rPr>
                <w:b/>
                <w:bCs/>
                <w:color w:val="000000"/>
                <w:lang w:eastAsia="en-GB"/>
              </w:rPr>
            </w:pPr>
            <w:r w:rsidRPr="00E40F72">
              <w:rPr>
                <w:b/>
                <w:bCs/>
                <w:color w:val="000000"/>
                <w:lang w:eastAsia="en-GB"/>
              </w:rPr>
              <w:t>3</w:t>
            </w:r>
          </w:p>
        </w:tc>
        <w:tc>
          <w:tcPr>
            <w:tcW w:w="1080" w:type="dxa"/>
            <w:tcBorders>
              <w:top w:val="nil"/>
              <w:left w:val="nil"/>
              <w:bottom w:val="single" w:sz="4" w:space="0" w:color="auto"/>
              <w:right w:val="single" w:sz="4" w:space="0" w:color="auto"/>
            </w:tcBorders>
            <w:shd w:val="clear" w:color="auto" w:fill="auto"/>
            <w:noWrap/>
            <w:vAlign w:val="bottom"/>
            <w:hideMark/>
          </w:tcPr>
          <w:p w14:paraId="19D0326D" w14:textId="77777777" w:rsidR="00E40F72" w:rsidRPr="00E40F72" w:rsidRDefault="00E40F72" w:rsidP="00E40F72">
            <w:pPr>
              <w:spacing w:line="240" w:lineRule="auto"/>
              <w:jc w:val="right"/>
              <w:rPr>
                <w:b/>
                <w:bCs/>
                <w:color w:val="000000"/>
                <w:lang w:eastAsia="en-GB"/>
              </w:rPr>
            </w:pPr>
            <w:r w:rsidRPr="00E40F72">
              <w:rPr>
                <w:b/>
                <w:bCs/>
                <w:color w:val="000000"/>
                <w:lang w:eastAsia="en-GB"/>
              </w:rPr>
              <w:t>1000</w:t>
            </w:r>
          </w:p>
        </w:tc>
        <w:tc>
          <w:tcPr>
            <w:tcW w:w="2420" w:type="dxa"/>
            <w:tcBorders>
              <w:top w:val="nil"/>
              <w:left w:val="nil"/>
              <w:bottom w:val="single" w:sz="4" w:space="0" w:color="auto"/>
              <w:right w:val="single" w:sz="4" w:space="0" w:color="auto"/>
            </w:tcBorders>
            <w:shd w:val="clear" w:color="auto" w:fill="auto"/>
            <w:noWrap/>
            <w:vAlign w:val="bottom"/>
            <w:hideMark/>
          </w:tcPr>
          <w:p w14:paraId="632B2D9A" w14:textId="77777777" w:rsidR="00E40F72" w:rsidRPr="00E40F72" w:rsidRDefault="00E40F72" w:rsidP="00E40F72">
            <w:pPr>
              <w:spacing w:line="240" w:lineRule="auto"/>
              <w:jc w:val="right"/>
              <w:rPr>
                <w:color w:val="000000"/>
                <w:lang w:eastAsia="en-GB"/>
              </w:rPr>
            </w:pPr>
            <w:r w:rsidRPr="00E40F72">
              <w:rPr>
                <w:color w:val="000000"/>
                <w:lang w:eastAsia="en-GB"/>
              </w:rPr>
              <w:t>0.977</w:t>
            </w:r>
          </w:p>
        </w:tc>
        <w:tc>
          <w:tcPr>
            <w:tcW w:w="1480" w:type="dxa"/>
            <w:tcBorders>
              <w:top w:val="nil"/>
              <w:left w:val="nil"/>
              <w:bottom w:val="single" w:sz="4" w:space="0" w:color="auto"/>
              <w:right w:val="single" w:sz="4" w:space="0" w:color="auto"/>
            </w:tcBorders>
            <w:shd w:val="clear" w:color="auto" w:fill="auto"/>
            <w:noWrap/>
            <w:vAlign w:val="bottom"/>
            <w:hideMark/>
          </w:tcPr>
          <w:p w14:paraId="0A815B05" w14:textId="77777777" w:rsidR="00E40F72" w:rsidRPr="00E40F72" w:rsidRDefault="00E40F72" w:rsidP="00E40F72">
            <w:pPr>
              <w:spacing w:line="240" w:lineRule="auto"/>
              <w:jc w:val="right"/>
              <w:rPr>
                <w:color w:val="000000"/>
                <w:lang w:eastAsia="en-GB"/>
              </w:rPr>
            </w:pPr>
            <w:r w:rsidRPr="00E40F72">
              <w:rPr>
                <w:color w:val="000000"/>
                <w:lang w:eastAsia="en-GB"/>
              </w:rPr>
              <w:t>977.00</w:t>
            </w:r>
          </w:p>
        </w:tc>
      </w:tr>
      <w:tr w:rsidR="00E40F72" w:rsidRPr="00E40F72" w14:paraId="7E45EB93" w14:textId="77777777" w:rsidTr="00E40F72">
        <w:trPr>
          <w:trHeight w:val="312"/>
          <w:jc w:val="center"/>
        </w:trPr>
        <w:tc>
          <w:tcPr>
            <w:tcW w:w="980" w:type="dxa"/>
            <w:tcBorders>
              <w:top w:val="nil"/>
              <w:left w:val="single" w:sz="4" w:space="0" w:color="auto"/>
              <w:bottom w:val="single" w:sz="4" w:space="0" w:color="auto"/>
              <w:right w:val="single" w:sz="4" w:space="0" w:color="auto"/>
            </w:tcBorders>
            <w:shd w:val="clear" w:color="auto" w:fill="auto"/>
            <w:noWrap/>
            <w:vAlign w:val="bottom"/>
            <w:hideMark/>
          </w:tcPr>
          <w:p w14:paraId="11D2342C" w14:textId="77777777" w:rsidR="00E40F72" w:rsidRPr="00E40F72" w:rsidRDefault="00E40F72" w:rsidP="00E40F72">
            <w:pPr>
              <w:spacing w:line="240" w:lineRule="auto"/>
              <w:jc w:val="right"/>
              <w:rPr>
                <w:color w:val="000000"/>
                <w:lang w:eastAsia="en-GB"/>
              </w:rPr>
            </w:pPr>
            <w:r w:rsidRPr="00E40F72">
              <w:rPr>
                <w:color w:val="000000"/>
                <w:lang w:eastAsia="en-GB"/>
              </w:rPr>
              <w:t>4</w:t>
            </w:r>
          </w:p>
        </w:tc>
        <w:tc>
          <w:tcPr>
            <w:tcW w:w="1080" w:type="dxa"/>
            <w:tcBorders>
              <w:top w:val="nil"/>
              <w:left w:val="nil"/>
              <w:bottom w:val="single" w:sz="4" w:space="0" w:color="auto"/>
              <w:right w:val="single" w:sz="4" w:space="0" w:color="auto"/>
            </w:tcBorders>
            <w:shd w:val="clear" w:color="auto" w:fill="auto"/>
            <w:noWrap/>
            <w:vAlign w:val="bottom"/>
            <w:hideMark/>
          </w:tcPr>
          <w:p w14:paraId="48283C46" w14:textId="77777777" w:rsidR="00E40F72" w:rsidRPr="00E40F72" w:rsidRDefault="00E40F72" w:rsidP="00E40F72">
            <w:pPr>
              <w:spacing w:line="240" w:lineRule="auto"/>
              <w:jc w:val="right"/>
              <w:rPr>
                <w:color w:val="000000"/>
                <w:lang w:eastAsia="en-GB"/>
              </w:rPr>
            </w:pPr>
            <w:r w:rsidRPr="00E40F72">
              <w:rPr>
                <w:color w:val="000000"/>
                <w:lang w:eastAsia="en-GB"/>
              </w:rPr>
              <w:t>-442</w:t>
            </w:r>
          </w:p>
        </w:tc>
        <w:tc>
          <w:tcPr>
            <w:tcW w:w="2420" w:type="dxa"/>
            <w:tcBorders>
              <w:top w:val="nil"/>
              <w:left w:val="nil"/>
              <w:bottom w:val="single" w:sz="4" w:space="0" w:color="auto"/>
              <w:right w:val="single" w:sz="4" w:space="0" w:color="auto"/>
            </w:tcBorders>
            <w:shd w:val="clear" w:color="auto" w:fill="auto"/>
            <w:noWrap/>
            <w:vAlign w:val="bottom"/>
            <w:hideMark/>
          </w:tcPr>
          <w:p w14:paraId="4A9D1D6D" w14:textId="77777777" w:rsidR="00E40F72" w:rsidRPr="00E40F72" w:rsidRDefault="00E40F72" w:rsidP="00E40F72">
            <w:pPr>
              <w:spacing w:line="240" w:lineRule="auto"/>
              <w:jc w:val="right"/>
              <w:rPr>
                <w:color w:val="000000"/>
                <w:lang w:eastAsia="en-GB"/>
              </w:rPr>
            </w:pPr>
            <w:r w:rsidRPr="00E40F72">
              <w:rPr>
                <w:color w:val="000000"/>
                <w:lang w:eastAsia="en-GB"/>
              </w:rPr>
              <w:t>0.97</w:t>
            </w:r>
          </w:p>
        </w:tc>
        <w:tc>
          <w:tcPr>
            <w:tcW w:w="1480" w:type="dxa"/>
            <w:tcBorders>
              <w:top w:val="nil"/>
              <w:left w:val="nil"/>
              <w:bottom w:val="single" w:sz="4" w:space="0" w:color="auto"/>
              <w:right w:val="single" w:sz="4" w:space="0" w:color="auto"/>
            </w:tcBorders>
            <w:shd w:val="clear" w:color="auto" w:fill="auto"/>
            <w:noWrap/>
            <w:vAlign w:val="bottom"/>
            <w:hideMark/>
          </w:tcPr>
          <w:p w14:paraId="087EA9D4" w14:textId="77777777" w:rsidR="00E40F72" w:rsidRPr="00E40F72" w:rsidRDefault="00E40F72" w:rsidP="00E40F72">
            <w:pPr>
              <w:spacing w:line="240" w:lineRule="auto"/>
              <w:jc w:val="right"/>
              <w:rPr>
                <w:color w:val="000000"/>
                <w:lang w:eastAsia="en-GB"/>
              </w:rPr>
            </w:pPr>
            <w:r w:rsidRPr="00E40F72">
              <w:rPr>
                <w:color w:val="000000"/>
                <w:lang w:eastAsia="en-GB"/>
              </w:rPr>
              <w:t>-428.74</w:t>
            </w:r>
          </w:p>
        </w:tc>
      </w:tr>
      <w:tr w:rsidR="00E40F72" w:rsidRPr="00E40F72" w14:paraId="4E084D78" w14:textId="77777777" w:rsidTr="00E40F72">
        <w:trPr>
          <w:trHeight w:val="312"/>
          <w:jc w:val="center"/>
        </w:trPr>
        <w:tc>
          <w:tcPr>
            <w:tcW w:w="980" w:type="dxa"/>
            <w:tcBorders>
              <w:top w:val="nil"/>
              <w:left w:val="single" w:sz="4" w:space="0" w:color="auto"/>
              <w:bottom w:val="single" w:sz="4" w:space="0" w:color="auto"/>
              <w:right w:val="single" w:sz="4" w:space="0" w:color="auto"/>
            </w:tcBorders>
            <w:shd w:val="clear" w:color="auto" w:fill="auto"/>
            <w:noWrap/>
            <w:vAlign w:val="bottom"/>
            <w:hideMark/>
          </w:tcPr>
          <w:p w14:paraId="5B6B6421" w14:textId="77777777" w:rsidR="00E40F72" w:rsidRPr="00E40F72" w:rsidRDefault="00E40F72" w:rsidP="00E40F72">
            <w:pPr>
              <w:spacing w:line="240" w:lineRule="auto"/>
              <w:jc w:val="left"/>
              <w:rPr>
                <w:color w:val="000000"/>
                <w:lang w:eastAsia="en-GB"/>
              </w:rPr>
            </w:pPr>
            <w:r w:rsidRPr="00E40F72">
              <w:rPr>
                <w:color w:val="000000"/>
                <w:lang w:eastAsia="en-GB"/>
              </w:rPr>
              <w:t> </w:t>
            </w:r>
          </w:p>
        </w:tc>
        <w:tc>
          <w:tcPr>
            <w:tcW w:w="1080" w:type="dxa"/>
            <w:tcBorders>
              <w:top w:val="nil"/>
              <w:left w:val="nil"/>
              <w:bottom w:val="single" w:sz="4" w:space="0" w:color="auto"/>
              <w:right w:val="single" w:sz="4" w:space="0" w:color="auto"/>
            </w:tcBorders>
            <w:shd w:val="clear" w:color="auto" w:fill="auto"/>
            <w:noWrap/>
            <w:vAlign w:val="bottom"/>
            <w:hideMark/>
          </w:tcPr>
          <w:p w14:paraId="41ED3E66" w14:textId="77777777" w:rsidR="00E40F72" w:rsidRPr="00E40F72" w:rsidRDefault="00E40F72" w:rsidP="00E40F72">
            <w:pPr>
              <w:spacing w:line="240" w:lineRule="auto"/>
              <w:jc w:val="left"/>
              <w:rPr>
                <w:color w:val="000000"/>
                <w:lang w:eastAsia="en-GB"/>
              </w:rPr>
            </w:pPr>
            <w:r w:rsidRPr="00E40F72">
              <w:rPr>
                <w:color w:val="000000"/>
                <w:lang w:eastAsia="en-GB"/>
              </w:rPr>
              <w:t> </w:t>
            </w:r>
          </w:p>
        </w:tc>
        <w:tc>
          <w:tcPr>
            <w:tcW w:w="2420" w:type="dxa"/>
            <w:tcBorders>
              <w:top w:val="nil"/>
              <w:left w:val="nil"/>
              <w:bottom w:val="single" w:sz="4" w:space="0" w:color="auto"/>
              <w:right w:val="single" w:sz="4" w:space="0" w:color="auto"/>
            </w:tcBorders>
            <w:shd w:val="clear" w:color="auto" w:fill="auto"/>
            <w:noWrap/>
            <w:vAlign w:val="bottom"/>
            <w:hideMark/>
          </w:tcPr>
          <w:p w14:paraId="457FA4EC" w14:textId="77777777" w:rsidR="00E40F72" w:rsidRPr="00E40F72" w:rsidRDefault="00E40F72" w:rsidP="00E40F72">
            <w:pPr>
              <w:spacing w:line="240" w:lineRule="auto"/>
              <w:jc w:val="left"/>
              <w:rPr>
                <w:color w:val="000000"/>
                <w:lang w:eastAsia="en-GB"/>
              </w:rPr>
            </w:pPr>
            <w:r w:rsidRPr="00E40F72">
              <w:rPr>
                <w:color w:val="000000"/>
                <w:lang w:eastAsia="en-GB"/>
              </w:rPr>
              <w:t xml:space="preserve">Present value </w:t>
            </w:r>
          </w:p>
        </w:tc>
        <w:tc>
          <w:tcPr>
            <w:tcW w:w="1480" w:type="dxa"/>
            <w:tcBorders>
              <w:top w:val="nil"/>
              <w:left w:val="nil"/>
              <w:bottom w:val="single" w:sz="4" w:space="0" w:color="auto"/>
              <w:right w:val="single" w:sz="4" w:space="0" w:color="auto"/>
            </w:tcBorders>
            <w:shd w:val="clear" w:color="auto" w:fill="auto"/>
            <w:noWrap/>
            <w:vAlign w:val="bottom"/>
            <w:hideMark/>
          </w:tcPr>
          <w:p w14:paraId="4CE6D1B8" w14:textId="77777777" w:rsidR="00E40F72" w:rsidRPr="00E40F72" w:rsidRDefault="00E40F72" w:rsidP="00E40F72">
            <w:pPr>
              <w:spacing w:line="240" w:lineRule="auto"/>
              <w:jc w:val="right"/>
              <w:rPr>
                <w:color w:val="000000"/>
                <w:lang w:eastAsia="en-GB"/>
              </w:rPr>
            </w:pPr>
            <w:r w:rsidRPr="00E40F72">
              <w:rPr>
                <w:color w:val="000000"/>
                <w:lang w:eastAsia="en-GB"/>
              </w:rPr>
              <w:t>4998.26</w:t>
            </w:r>
          </w:p>
        </w:tc>
      </w:tr>
      <w:tr w:rsidR="00E40F72" w:rsidRPr="00E40F72" w14:paraId="07C8E645" w14:textId="77777777" w:rsidTr="00E40F72">
        <w:trPr>
          <w:trHeight w:val="312"/>
          <w:jc w:val="center"/>
        </w:trPr>
        <w:tc>
          <w:tcPr>
            <w:tcW w:w="980" w:type="dxa"/>
            <w:tcBorders>
              <w:top w:val="nil"/>
              <w:left w:val="single" w:sz="4" w:space="0" w:color="auto"/>
              <w:bottom w:val="single" w:sz="4" w:space="0" w:color="auto"/>
              <w:right w:val="single" w:sz="4" w:space="0" w:color="auto"/>
            </w:tcBorders>
            <w:shd w:val="clear" w:color="auto" w:fill="auto"/>
            <w:noWrap/>
            <w:vAlign w:val="bottom"/>
            <w:hideMark/>
          </w:tcPr>
          <w:p w14:paraId="2F90D554" w14:textId="77777777" w:rsidR="00E40F72" w:rsidRPr="00E40F72" w:rsidRDefault="00E40F72" w:rsidP="00E40F72">
            <w:pPr>
              <w:spacing w:line="240" w:lineRule="auto"/>
              <w:jc w:val="left"/>
              <w:rPr>
                <w:color w:val="000000"/>
                <w:lang w:eastAsia="en-GB"/>
              </w:rPr>
            </w:pPr>
            <w:r w:rsidRPr="00E40F72">
              <w:rPr>
                <w:color w:val="000000"/>
                <w:lang w:eastAsia="en-GB"/>
              </w:rPr>
              <w:t> </w:t>
            </w:r>
          </w:p>
        </w:tc>
        <w:tc>
          <w:tcPr>
            <w:tcW w:w="1080" w:type="dxa"/>
            <w:tcBorders>
              <w:top w:val="nil"/>
              <w:left w:val="nil"/>
              <w:bottom w:val="single" w:sz="4" w:space="0" w:color="auto"/>
              <w:right w:val="single" w:sz="4" w:space="0" w:color="auto"/>
            </w:tcBorders>
            <w:shd w:val="clear" w:color="auto" w:fill="auto"/>
            <w:noWrap/>
            <w:vAlign w:val="bottom"/>
            <w:hideMark/>
          </w:tcPr>
          <w:p w14:paraId="6254BE19" w14:textId="77777777" w:rsidR="00E40F72" w:rsidRPr="00E40F72" w:rsidRDefault="00E40F72" w:rsidP="00E40F72">
            <w:pPr>
              <w:spacing w:line="240" w:lineRule="auto"/>
              <w:jc w:val="left"/>
              <w:rPr>
                <w:color w:val="000000"/>
                <w:lang w:eastAsia="en-GB"/>
              </w:rPr>
            </w:pPr>
            <w:r w:rsidRPr="00E40F72">
              <w:rPr>
                <w:color w:val="000000"/>
                <w:lang w:eastAsia="en-GB"/>
              </w:rPr>
              <w:t> </w:t>
            </w:r>
          </w:p>
        </w:tc>
        <w:tc>
          <w:tcPr>
            <w:tcW w:w="2420" w:type="dxa"/>
            <w:tcBorders>
              <w:top w:val="nil"/>
              <w:left w:val="nil"/>
              <w:bottom w:val="single" w:sz="4" w:space="0" w:color="auto"/>
              <w:right w:val="single" w:sz="4" w:space="0" w:color="auto"/>
            </w:tcBorders>
            <w:shd w:val="clear" w:color="auto" w:fill="auto"/>
            <w:noWrap/>
            <w:vAlign w:val="bottom"/>
            <w:hideMark/>
          </w:tcPr>
          <w:p w14:paraId="680DA2F7" w14:textId="77777777" w:rsidR="00E40F72" w:rsidRPr="00E40F72" w:rsidRDefault="00E40F72" w:rsidP="00E40F72">
            <w:pPr>
              <w:spacing w:line="240" w:lineRule="auto"/>
              <w:jc w:val="left"/>
              <w:rPr>
                <w:color w:val="000000"/>
                <w:lang w:eastAsia="en-GB"/>
              </w:rPr>
            </w:pPr>
            <w:r w:rsidRPr="00E40F72">
              <w:rPr>
                <w:color w:val="000000"/>
                <w:lang w:eastAsia="en-GB"/>
              </w:rPr>
              <w:t xml:space="preserve">Less: Initial investment </w:t>
            </w:r>
          </w:p>
        </w:tc>
        <w:tc>
          <w:tcPr>
            <w:tcW w:w="1480" w:type="dxa"/>
            <w:tcBorders>
              <w:top w:val="nil"/>
              <w:left w:val="nil"/>
              <w:bottom w:val="single" w:sz="4" w:space="0" w:color="auto"/>
              <w:right w:val="single" w:sz="4" w:space="0" w:color="auto"/>
            </w:tcBorders>
            <w:shd w:val="clear" w:color="auto" w:fill="auto"/>
            <w:noWrap/>
            <w:vAlign w:val="bottom"/>
            <w:hideMark/>
          </w:tcPr>
          <w:p w14:paraId="6E31CE6C" w14:textId="77777777" w:rsidR="00E40F72" w:rsidRPr="00E40F72" w:rsidRDefault="00E40F72" w:rsidP="00E40F72">
            <w:pPr>
              <w:spacing w:line="240" w:lineRule="auto"/>
              <w:jc w:val="right"/>
              <w:rPr>
                <w:color w:val="000000"/>
                <w:lang w:eastAsia="en-GB"/>
              </w:rPr>
            </w:pPr>
            <w:r w:rsidRPr="00E40F72">
              <w:rPr>
                <w:color w:val="000000"/>
                <w:lang w:eastAsia="en-GB"/>
              </w:rPr>
              <w:t>5000.00</w:t>
            </w:r>
          </w:p>
        </w:tc>
      </w:tr>
      <w:tr w:rsidR="00E40F72" w:rsidRPr="00E40F72" w14:paraId="35085BFC" w14:textId="77777777" w:rsidTr="00E40F72">
        <w:trPr>
          <w:trHeight w:val="312"/>
          <w:jc w:val="center"/>
        </w:trPr>
        <w:tc>
          <w:tcPr>
            <w:tcW w:w="980" w:type="dxa"/>
            <w:tcBorders>
              <w:top w:val="nil"/>
              <w:left w:val="single" w:sz="4" w:space="0" w:color="auto"/>
              <w:bottom w:val="single" w:sz="4" w:space="0" w:color="auto"/>
              <w:right w:val="single" w:sz="4" w:space="0" w:color="auto"/>
            </w:tcBorders>
            <w:shd w:val="clear" w:color="auto" w:fill="auto"/>
            <w:noWrap/>
            <w:vAlign w:val="bottom"/>
            <w:hideMark/>
          </w:tcPr>
          <w:p w14:paraId="4136A13C" w14:textId="77777777" w:rsidR="00E40F72" w:rsidRPr="00E40F72" w:rsidRDefault="00E40F72" w:rsidP="00E40F72">
            <w:pPr>
              <w:spacing w:line="240" w:lineRule="auto"/>
              <w:jc w:val="left"/>
              <w:rPr>
                <w:color w:val="000000"/>
                <w:lang w:eastAsia="en-GB"/>
              </w:rPr>
            </w:pPr>
            <w:r w:rsidRPr="00E40F72">
              <w:rPr>
                <w:color w:val="000000"/>
                <w:lang w:eastAsia="en-GB"/>
              </w:rPr>
              <w:t> </w:t>
            </w:r>
          </w:p>
        </w:tc>
        <w:tc>
          <w:tcPr>
            <w:tcW w:w="1080" w:type="dxa"/>
            <w:tcBorders>
              <w:top w:val="nil"/>
              <w:left w:val="nil"/>
              <w:bottom w:val="single" w:sz="4" w:space="0" w:color="auto"/>
              <w:right w:val="single" w:sz="4" w:space="0" w:color="auto"/>
            </w:tcBorders>
            <w:shd w:val="clear" w:color="auto" w:fill="auto"/>
            <w:noWrap/>
            <w:vAlign w:val="bottom"/>
            <w:hideMark/>
          </w:tcPr>
          <w:p w14:paraId="67D44F2A" w14:textId="77777777" w:rsidR="00E40F72" w:rsidRPr="00E40F72" w:rsidRDefault="00E40F72" w:rsidP="00E40F72">
            <w:pPr>
              <w:spacing w:line="240" w:lineRule="auto"/>
              <w:jc w:val="left"/>
              <w:rPr>
                <w:color w:val="000000"/>
                <w:lang w:eastAsia="en-GB"/>
              </w:rPr>
            </w:pPr>
            <w:r w:rsidRPr="00E40F72">
              <w:rPr>
                <w:color w:val="000000"/>
                <w:lang w:eastAsia="en-GB"/>
              </w:rPr>
              <w:t> </w:t>
            </w:r>
          </w:p>
        </w:tc>
        <w:tc>
          <w:tcPr>
            <w:tcW w:w="2420" w:type="dxa"/>
            <w:tcBorders>
              <w:top w:val="nil"/>
              <w:left w:val="nil"/>
              <w:bottom w:val="single" w:sz="4" w:space="0" w:color="auto"/>
              <w:right w:val="single" w:sz="4" w:space="0" w:color="auto"/>
            </w:tcBorders>
            <w:shd w:val="clear" w:color="auto" w:fill="auto"/>
            <w:noWrap/>
            <w:vAlign w:val="bottom"/>
            <w:hideMark/>
          </w:tcPr>
          <w:p w14:paraId="56EDEC54" w14:textId="77777777" w:rsidR="00E40F72" w:rsidRPr="00E40F72" w:rsidRDefault="00E40F72" w:rsidP="00E40F72">
            <w:pPr>
              <w:spacing w:line="240" w:lineRule="auto"/>
              <w:jc w:val="left"/>
              <w:rPr>
                <w:color w:val="000000"/>
                <w:lang w:eastAsia="en-GB"/>
              </w:rPr>
            </w:pPr>
            <w:r w:rsidRPr="00E40F72">
              <w:rPr>
                <w:color w:val="000000"/>
                <w:lang w:eastAsia="en-GB"/>
              </w:rPr>
              <w:t xml:space="preserve">Net present value </w:t>
            </w:r>
          </w:p>
        </w:tc>
        <w:tc>
          <w:tcPr>
            <w:tcW w:w="1480" w:type="dxa"/>
            <w:tcBorders>
              <w:top w:val="nil"/>
              <w:left w:val="nil"/>
              <w:bottom w:val="single" w:sz="4" w:space="0" w:color="auto"/>
              <w:right w:val="single" w:sz="4" w:space="0" w:color="auto"/>
            </w:tcBorders>
            <w:shd w:val="clear" w:color="auto" w:fill="auto"/>
            <w:noWrap/>
            <w:vAlign w:val="bottom"/>
            <w:hideMark/>
          </w:tcPr>
          <w:p w14:paraId="009025D7" w14:textId="77777777" w:rsidR="00E40F72" w:rsidRPr="00E40F72" w:rsidRDefault="00E40F72" w:rsidP="00E40F72">
            <w:pPr>
              <w:spacing w:line="240" w:lineRule="auto"/>
              <w:jc w:val="right"/>
              <w:rPr>
                <w:color w:val="000000"/>
                <w:lang w:eastAsia="en-GB"/>
              </w:rPr>
            </w:pPr>
            <w:r w:rsidRPr="00E40F72">
              <w:rPr>
                <w:color w:val="000000"/>
                <w:lang w:eastAsia="en-GB"/>
              </w:rPr>
              <w:t>-1.74</w:t>
            </w:r>
          </w:p>
        </w:tc>
      </w:tr>
    </w:tbl>
    <w:p w14:paraId="73CDF97E" w14:textId="1ADFA84F" w:rsidR="00CD6CC0" w:rsidRPr="00CD6CC0" w:rsidRDefault="00CD6CC0" w:rsidP="00E40F72">
      <w:pPr>
        <w:jc w:val="left"/>
      </w:pPr>
    </w:p>
    <w:p w14:paraId="344DD97C" w14:textId="77777777" w:rsidR="006D339F" w:rsidRDefault="006D339F">
      <w:pPr>
        <w:rPr>
          <w:b/>
        </w:rPr>
      </w:pPr>
    </w:p>
    <w:p w14:paraId="3FE94525" w14:textId="04EDDD42" w:rsidR="00B12020" w:rsidRDefault="00D93CD1">
      <w:pPr>
        <w:rPr>
          <w:b/>
        </w:rPr>
      </w:pPr>
      <w:r w:rsidRPr="00CD6CC0">
        <w:rPr>
          <w:b/>
        </w:rPr>
        <w:lastRenderedPageBreak/>
        <w:t xml:space="preserve">Project B </w:t>
      </w:r>
    </w:p>
    <w:tbl>
      <w:tblPr>
        <w:tblW w:w="5960" w:type="dxa"/>
        <w:jc w:val="center"/>
        <w:tblLook w:val="04A0" w:firstRow="1" w:lastRow="0" w:firstColumn="1" w:lastColumn="0" w:noHBand="0" w:noVBand="1"/>
      </w:tblPr>
      <w:tblGrid>
        <w:gridCol w:w="980"/>
        <w:gridCol w:w="1080"/>
        <w:gridCol w:w="2420"/>
        <w:gridCol w:w="1480"/>
      </w:tblGrid>
      <w:tr w:rsidR="00C23CA6" w:rsidRPr="00C23CA6" w14:paraId="2838E56C" w14:textId="77777777" w:rsidTr="00C23CA6">
        <w:trPr>
          <w:trHeight w:val="312"/>
          <w:jc w:val="center"/>
        </w:trPr>
        <w:tc>
          <w:tcPr>
            <w:tcW w:w="98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539C6269" w14:textId="77777777" w:rsidR="00C23CA6" w:rsidRPr="00C23CA6" w:rsidRDefault="00C23CA6" w:rsidP="00C23CA6">
            <w:pPr>
              <w:spacing w:line="240" w:lineRule="auto"/>
              <w:jc w:val="center"/>
              <w:rPr>
                <w:b/>
                <w:bCs/>
                <w:color w:val="000000"/>
                <w:lang w:eastAsia="en-GB"/>
              </w:rPr>
            </w:pPr>
            <w:r w:rsidRPr="00C23CA6">
              <w:rPr>
                <w:b/>
                <w:bCs/>
                <w:color w:val="000000"/>
                <w:lang w:eastAsia="en-GB"/>
              </w:rPr>
              <w:t xml:space="preserve">Period </w:t>
            </w:r>
          </w:p>
        </w:tc>
        <w:tc>
          <w:tcPr>
            <w:tcW w:w="1080" w:type="dxa"/>
            <w:tcBorders>
              <w:top w:val="single" w:sz="4" w:space="0" w:color="auto"/>
              <w:left w:val="nil"/>
              <w:bottom w:val="single" w:sz="4" w:space="0" w:color="auto"/>
              <w:right w:val="single" w:sz="4" w:space="0" w:color="auto"/>
            </w:tcBorders>
            <w:shd w:val="clear" w:color="auto" w:fill="auto"/>
            <w:noWrap/>
            <w:vAlign w:val="bottom"/>
            <w:hideMark/>
          </w:tcPr>
          <w:p w14:paraId="317827D1" w14:textId="77777777" w:rsidR="00C23CA6" w:rsidRPr="00C23CA6" w:rsidRDefault="00C23CA6" w:rsidP="00C23CA6">
            <w:pPr>
              <w:spacing w:line="240" w:lineRule="auto"/>
              <w:jc w:val="center"/>
              <w:rPr>
                <w:b/>
                <w:bCs/>
                <w:color w:val="000000"/>
                <w:lang w:eastAsia="en-GB"/>
              </w:rPr>
            </w:pPr>
            <w:r w:rsidRPr="00C23CA6">
              <w:rPr>
                <w:b/>
                <w:bCs/>
                <w:color w:val="000000"/>
                <w:lang w:eastAsia="en-GB"/>
              </w:rPr>
              <w:t xml:space="preserve">Cash flow </w:t>
            </w:r>
          </w:p>
        </w:tc>
        <w:tc>
          <w:tcPr>
            <w:tcW w:w="2420" w:type="dxa"/>
            <w:tcBorders>
              <w:top w:val="single" w:sz="4" w:space="0" w:color="auto"/>
              <w:left w:val="nil"/>
              <w:bottom w:val="single" w:sz="4" w:space="0" w:color="auto"/>
              <w:right w:val="single" w:sz="4" w:space="0" w:color="auto"/>
            </w:tcBorders>
            <w:shd w:val="clear" w:color="auto" w:fill="auto"/>
            <w:noWrap/>
            <w:vAlign w:val="bottom"/>
            <w:hideMark/>
          </w:tcPr>
          <w:p w14:paraId="699C5650" w14:textId="77777777" w:rsidR="00C23CA6" w:rsidRPr="00C23CA6" w:rsidRDefault="00C23CA6" w:rsidP="00C23CA6">
            <w:pPr>
              <w:spacing w:line="240" w:lineRule="auto"/>
              <w:jc w:val="center"/>
              <w:rPr>
                <w:b/>
                <w:bCs/>
                <w:color w:val="000000"/>
                <w:lang w:eastAsia="en-GB"/>
              </w:rPr>
            </w:pPr>
            <w:r w:rsidRPr="00C23CA6">
              <w:rPr>
                <w:b/>
                <w:bCs/>
                <w:color w:val="000000"/>
                <w:lang w:eastAsia="en-GB"/>
              </w:rPr>
              <w:t>Discounting factor</w:t>
            </w:r>
          </w:p>
        </w:tc>
        <w:tc>
          <w:tcPr>
            <w:tcW w:w="1480" w:type="dxa"/>
            <w:tcBorders>
              <w:top w:val="single" w:sz="4" w:space="0" w:color="auto"/>
              <w:left w:val="nil"/>
              <w:bottom w:val="single" w:sz="4" w:space="0" w:color="auto"/>
              <w:right w:val="single" w:sz="4" w:space="0" w:color="auto"/>
            </w:tcBorders>
            <w:shd w:val="clear" w:color="auto" w:fill="auto"/>
            <w:noWrap/>
            <w:vAlign w:val="bottom"/>
            <w:hideMark/>
          </w:tcPr>
          <w:p w14:paraId="2DA82FA7" w14:textId="77777777" w:rsidR="00C23CA6" w:rsidRPr="00C23CA6" w:rsidRDefault="00C23CA6" w:rsidP="00C23CA6">
            <w:pPr>
              <w:spacing w:line="240" w:lineRule="auto"/>
              <w:jc w:val="center"/>
              <w:rPr>
                <w:b/>
                <w:bCs/>
                <w:color w:val="000000"/>
                <w:lang w:eastAsia="en-GB"/>
              </w:rPr>
            </w:pPr>
            <w:r w:rsidRPr="00C23CA6">
              <w:rPr>
                <w:b/>
                <w:bCs/>
                <w:color w:val="000000"/>
                <w:lang w:eastAsia="en-GB"/>
              </w:rPr>
              <w:t xml:space="preserve">Present value </w:t>
            </w:r>
          </w:p>
        </w:tc>
      </w:tr>
      <w:tr w:rsidR="00C23CA6" w:rsidRPr="00C23CA6" w14:paraId="462BBA05" w14:textId="77777777" w:rsidTr="00C23CA6">
        <w:trPr>
          <w:trHeight w:val="312"/>
          <w:jc w:val="center"/>
        </w:trPr>
        <w:tc>
          <w:tcPr>
            <w:tcW w:w="980" w:type="dxa"/>
            <w:tcBorders>
              <w:top w:val="nil"/>
              <w:left w:val="single" w:sz="4" w:space="0" w:color="auto"/>
              <w:bottom w:val="single" w:sz="4" w:space="0" w:color="auto"/>
              <w:right w:val="single" w:sz="4" w:space="0" w:color="auto"/>
            </w:tcBorders>
            <w:shd w:val="clear" w:color="auto" w:fill="auto"/>
            <w:noWrap/>
            <w:vAlign w:val="bottom"/>
            <w:hideMark/>
          </w:tcPr>
          <w:p w14:paraId="29C62C37" w14:textId="77777777" w:rsidR="00C23CA6" w:rsidRPr="00C23CA6" w:rsidRDefault="00C23CA6" w:rsidP="00C23CA6">
            <w:pPr>
              <w:spacing w:line="240" w:lineRule="auto"/>
              <w:jc w:val="right"/>
              <w:rPr>
                <w:color w:val="000000"/>
                <w:lang w:eastAsia="en-GB"/>
              </w:rPr>
            </w:pPr>
            <w:r w:rsidRPr="00C23CA6">
              <w:rPr>
                <w:color w:val="000000"/>
                <w:lang w:eastAsia="en-GB"/>
              </w:rPr>
              <w:t>1</w:t>
            </w:r>
          </w:p>
        </w:tc>
        <w:tc>
          <w:tcPr>
            <w:tcW w:w="1080" w:type="dxa"/>
            <w:tcBorders>
              <w:top w:val="nil"/>
              <w:left w:val="nil"/>
              <w:bottom w:val="single" w:sz="4" w:space="0" w:color="auto"/>
              <w:right w:val="single" w:sz="4" w:space="0" w:color="auto"/>
            </w:tcBorders>
            <w:shd w:val="clear" w:color="auto" w:fill="auto"/>
            <w:noWrap/>
            <w:vAlign w:val="bottom"/>
            <w:hideMark/>
          </w:tcPr>
          <w:p w14:paraId="329AF480" w14:textId="77777777" w:rsidR="00C23CA6" w:rsidRPr="00C23CA6" w:rsidRDefault="00C23CA6" w:rsidP="00C23CA6">
            <w:pPr>
              <w:spacing w:line="240" w:lineRule="auto"/>
              <w:jc w:val="right"/>
              <w:rPr>
                <w:color w:val="000000"/>
                <w:lang w:eastAsia="en-GB"/>
              </w:rPr>
            </w:pPr>
            <w:r w:rsidRPr="00C23CA6">
              <w:rPr>
                <w:color w:val="000000"/>
                <w:lang w:eastAsia="en-GB"/>
              </w:rPr>
              <w:t>1500</w:t>
            </w:r>
          </w:p>
        </w:tc>
        <w:tc>
          <w:tcPr>
            <w:tcW w:w="2420" w:type="dxa"/>
            <w:tcBorders>
              <w:top w:val="nil"/>
              <w:left w:val="nil"/>
              <w:bottom w:val="single" w:sz="4" w:space="0" w:color="auto"/>
              <w:right w:val="single" w:sz="4" w:space="0" w:color="auto"/>
            </w:tcBorders>
            <w:shd w:val="clear" w:color="auto" w:fill="auto"/>
            <w:noWrap/>
            <w:vAlign w:val="bottom"/>
            <w:hideMark/>
          </w:tcPr>
          <w:p w14:paraId="7DA2A704" w14:textId="77777777" w:rsidR="00C23CA6" w:rsidRPr="00C23CA6" w:rsidRDefault="00C23CA6" w:rsidP="00C23CA6">
            <w:pPr>
              <w:spacing w:line="240" w:lineRule="auto"/>
              <w:jc w:val="right"/>
              <w:rPr>
                <w:color w:val="000000"/>
                <w:lang w:eastAsia="en-GB"/>
              </w:rPr>
            </w:pPr>
            <w:r w:rsidRPr="00C23CA6">
              <w:rPr>
                <w:color w:val="000000"/>
                <w:lang w:eastAsia="en-GB"/>
              </w:rPr>
              <w:t>0.992</w:t>
            </w:r>
          </w:p>
        </w:tc>
        <w:tc>
          <w:tcPr>
            <w:tcW w:w="1480" w:type="dxa"/>
            <w:tcBorders>
              <w:top w:val="nil"/>
              <w:left w:val="nil"/>
              <w:bottom w:val="single" w:sz="4" w:space="0" w:color="auto"/>
              <w:right w:val="single" w:sz="4" w:space="0" w:color="auto"/>
            </w:tcBorders>
            <w:shd w:val="clear" w:color="auto" w:fill="auto"/>
            <w:noWrap/>
            <w:vAlign w:val="bottom"/>
            <w:hideMark/>
          </w:tcPr>
          <w:p w14:paraId="63EE4075" w14:textId="77777777" w:rsidR="00C23CA6" w:rsidRPr="00C23CA6" w:rsidRDefault="00C23CA6" w:rsidP="00C23CA6">
            <w:pPr>
              <w:spacing w:line="240" w:lineRule="auto"/>
              <w:jc w:val="right"/>
              <w:rPr>
                <w:color w:val="000000"/>
                <w:lang w:eastAsia="en-GB"/>
              </w:rPr>
            </w:pPr>
            <w:r w:rsidRPr="00C23CA6">
              <w:rPr>
                <w:color w:val="000000"/>
                <w:lang w:eastAsia="en-GB"/>
              </w:rPr>
              <w:t>1488.00</w:t>
            </w:r>
          </w:p>
        </w:tc>
      </w:tr>
      <w:tr w:rsidR="00C23CA6" w:rsidRPr="00C23CA6" w14:paraId="6D0476E8" w14:textId="77777777" w:rsidTr="00C23CA6">
        <w:trPr>
          <w:trHeight w:val="312"/>
          <w:jc w:val="center"/>
        </w:trPr>
        <w:tc>
          <w:tcPr>
            <w:tcW w:w="980" w:type="dxa"/>
            <w:tcBorders>
              <w:top w:val="nil"/>
              <w:left w:val="single" w:sz="4" w:space="0" w:color="auto"/>
              <w:bottom w:val="single" w:sz="4" w:space="0" w:color="auto"/>
              <w:right w:val="single" w:sz="4" w:space="0" w:color="auto"/>
            </w:tcBorders>
            <w:shd w:val="clear" w:color="auto" w:fill="auto"/>
            <w:noWrap/>
            <w:vAlign w:val="bottom"/>
            <w:hideMark/>
          </w:tcPr>
          <w:p w14:paraId="168C32C7" w14:textId="77777777" w:rsidR="00C23CA6" w:rsidRPr="00C23CA6" w:rsidRDefault="00C23CA6" w:rsidP="00C23CA6">
            <w:pPr>
              <w:spacing w:line="240" w:lineRule="auto"/>
              <w:jc w:val="right"/>
              <w:rPr>
                <w:color w:val="000000"/>
                <w:lang w:eastAsia="en-GB"/>
              </w:rPr>
            </w:pPr>
            <w:r w:rsidRPr="00C23CA6">
              <w:rPr>
                <w:color w:val="000000"/>
                <w:lang w:eastAsia="en-GB"/>
              </w:rPr>
              <w:t>2</w:t>
            </w:r>
          </w:p>
        </w:tc>
        <w:tc>
          <w:tcPr>
            <w:tcW w:w="1080" w:type="dxa"/>
            <w:tcBorders>
              <w:top w:val="nil"/>
              <w:left w:val="nil"/>
              <w:bottom w:val="single" w:sz="4" w:space="0" w:color="auto"/>
              <w:right w:val="single" w:sz="4" w:space="0" w:color="auto"/>
            </w:tcBorders>
            <w:shd w:val="clear" w:color="auto" w:fill="auto"/>
            <w:noWrap/>
            <w:vAlign w:val="bottom"/>
            <w:hideMark/>
          </w:tcPr>
          <w:p w14:paraId="1B84B16B" w14:textId="77777777" w:rsidR="00C23CA6" w:rsidRPr="00C23CA6" w:rsidRDefault="00C23CA6" w:rsidP="00C23CA6">
            <w:pPr>
              <w:spacing w:line="240" w:lineRule="auto"/>
              <w:jc w:val="right"/>
              <w:rPr>
                <w:color w:val="000000"/>
                <w:lang w:eastAsia="en-GB"/>
              </w:rPr>
            </w:pPr>
            <w:r w:rsidRPr="00C23CA6">
              <w:rPr>
                <w:color w:val="000000"/>
                <w:lang w:eastAsia="en-GB"/>
              </w:rPr>
              <w:t>1000</w:t>
            </w:r>
          </w:p>
        </w:tc>
        <w:tc>
          <w:tcPr>
            <w:tcW w:w="2420" w:type="dxa"/>
            <w:tcBorders>
              <w:top w:val="nil"/>
              <w:left w:val="nil"/>
              <w:bottom w:val="single" w:sz="4" w:space="0" w:color="auto"/>
              <w:right w:val="single" w:sz="4" w:space="0" w:color="auto"/>
            </w:tcBorders>
            <w:shd w:val="clear" w:color="auto" w:fill="auto"/>
            <w:noWrap/>
            <w:vAlign w:val="bottom"/>
            <w:hideMark/>
          </w:tcPr>
          <w:p w14:paraId="4C972765" w14:textId="77777777" w:rsidR="00C23CA6" w:rsidRPr="00C23CA6" w:rsidRDefault="00C23CA6" w:rsidP="00C23CA6">
            <w:pPr>
              <w:spacing w:line="240" w:lineRule="auto"/>
              <w:jc w:val="right"/>
              <w:rPr>
                <w:color w:val="000000"/>
                <w:lang w:eastAsia="en-GB"/>
              </w:rPr>
            </w:pPr>
            <w:r w:rsidRPr="00C23CA6">
              <w:rPr>
                <w:color w:val="000000"/>
                <w:lang w:eastAsia="en-GB"/>
              </w:rPr>
              <w:t>0.985</w:t>
            </w:r>
          </w:p>
        </w:tc>
        <w:tc>
          <w:tcPr>
            <w:tcW w:w="1480" w:type="dxa"/>
            <w:tcBorders>
              <w:top w:val="nil"/>
              <w:left w:val="nil"/>
              <w:bottom w:val="single" w:sz="4" w:space="0" w:color="auto"/>
              <w:right w:val="single" w:sz="4" w:space="0" w:color="auto"/>
            </w:tcBorders>
            <w:shd w:val="clear" w:color="auto" w:fill="auto"/>
            <w:noWrap/>
            <w:vAlign w:val="bottom"/>
            <w:hideMark/>
          </w:tcPr>
          <w:p w14:paraId="5DCF1925" w14:textId="77777777" w:rsidR="00C23CA6" w:rsidRPr="00C23CA6" w:rsidRDefault="00C23CA6" w:rsidP="00C23CA6">
            <w:pPr>
              <w:spacing w:line="240" w:lineRule="auto"/>
              <w:jc w:val="right"/>
              <w:rPr>
                <w:color w:val="000000"/>
                <w:lang w:eastAsia="en-GB"/>
              </w:rPr>
            </w:pPr>
            <w:r w:rsidRPr="00C23CA6">
              <w:rPr>
                <w:color w:val="000000"/>
                <w:lang w:eastAsia="en-GB"/>
              </w:rPr>
              <w:t>985.00</w:t>
            </w:r>
          </w:p>
        </w:tc>
      </w:tr>
      <w:tr w:rsidR="00C23CA6" w:rsidRPr="00C23CA6" w14:paraId="42909713" w14:textId="77777777" w:rsidTr="00C23CA6">
        <w:trPr>
          <w:trHeight w:val="312"/>
          <w:jc w:val="center"/>
        </w:trPr>
        <w:tc>
          <w:tcPr>
            <w:tcW w:w="980" w:type="dxa"/>
            <w:tcBorders>
              <w:top w:val="nil"/>
              <w:left w:val="single" w:sz="4" w:space="0" w:color="auto"/>
              <w:bottom w:val="single" w:sz="4" w:space="0" w:color="auto"/>
              <w:right w:val="single" w:sz="4" w:space="0" w:color="auto"/>
            </w:tcBorders>
            <w:shd w:val="clear" w:color="auto" w:fill="auto"/>
            <w:noWrap/>
            <w:vAlign w:val="bottom"/>
            <w:hideMark/>
          </w:tcPr>
          <w:p w14:paraId="5F5293A5" w14:textId="77777777" w:rsidR="00C23CA6" w:rsidRPr="00C23CA6" w:rsidRDefault="00C23CA6" w:rsidP="00C23CA6">
            <w:pPr>
              <w:spacing w:line="240" w:lineRule="auto"/>
              <w:jc w:val="right"/>
              <w:rPr>
                <w:b/>
                <w:bCs/>
                <w:color w:val="000000"/>
                <w:lang w:eastAsia="en-GB"/>
              </w:rPr>
            </w:pPr>
            <w:r w:rsidRPr="00C23CA6">
              <w:rPr>
                <w:b/>
                <w:bCs/>
                <w:color w:val="000000"/>
                <w:lang w:eastAsia="en-GB"/>
              </w:rPr>
              <w:t>3</w:t>
            </w:r>
          </w:p>
        </w:tc>
        <w:tc>
          <w:tcPr>
            <w:tcW w:w="1080" w:type="dxa"/>
            <w:tcBorders>
              <w:top w:val="nil"/>
              <w:left w:val="nil"/>
              <w:bottom w:val="single" w:sz="4" w:space="0" w:color="auto"/>
              <w:right w:val="single" w:sz="4" w:space="0" w:color="auto"/>
            </w:tcBorders>
            <w:shd w:val="clear" w:color="auto" w:fill="auto"/>
            <w:noWrap/>
            <w:vAlign w:val="bottom"/>
            <w:hideMark/>
          </w:tcPr>
          <w:p w14:paraId="7DF71A66" w14:textId="77777777" w:rsidR="00C23CA6" w:rsidRPr="00C23CA6" w:rsidRDefault="00C23CA6" w:rsidP="00C23CA6">
            <w:pPr>
              <w:spacing w:line="240" w:lineRule="auto"/>
              <w:jc w:val="right"/>
              <w:rPr>
                <w:b/>
                <w:bCs/>
                <w:color w:val="000000"/>
                <w:lang w:eastAsia="en-GB"/>
              </w:rPr>
            </w:pPr>
            <w:r w:rsidRPr="00C23CA6">
              <w:rPr>
                <w:b/>
                <w:bCs/>
                <w:color w:val="000000"/>
                <w:lang w:eastAsia="en-GB"/>
              </w:rPr>
              <w:t>1000</w:t>
            </w:r>
          </w:p>
        </w:tc>
        <w:tc>
          <w:tcPr>
            <w:tcW w:w="2420" w:type="dxa"/>
            <w:tcBorders>
              <w:top w:val="nil"/>
              <w:left w:val="nil"/>
              <w:bottom w:val="single" w:sz="4" w:space="0" w:color="auto"/>
              <w:right w:val="single" w:sz="4" w:space="0" w:color="auto"/>
            </w:tcBorders>
            <w:shd w:val="clear" w:color="auto" w:fill="auto"/>
            <w:noWrap/>
            <w:vAlign w:val="bottom"/>
            <w:hideMark/>
          </w:tcPr>
          <w:p w14:paraId="0BBCA5C2" w14:textId="77777777" w:rsidR="00C23CA6" w:rsidRPr="00C23CA6" w:rsidRDefault="00C23CA6" w:rsidP="00C23CA6">
            <w:pPr>
              <w:spacing w:line="240" w:lineRule="auto"/>
              <w:jc w:val="right"/>
              <w:rPr>
                <w:color w:val="000000"/>
                <w:lang w:eastAsia="en-GB"/>
              </w:rPr>
            </w:pPr>
            <w:r w:rsidRPr="00C23CA6">
              <w:rPr>
                <w:color w:val="000000"/>
                <w:lang w:eastAsia="en-GB"/>
              </w:rPr>
              <w:t>0.977</w:t>
            </w:r>
          </w:p>
        </w:tc>
        <w:tc>
          <w:tcPr>
            <w:tcW w:w="1480" w:type="dxa"/>
            <w:tcBorders>
              <w:top w:val="nil"/>
              <w:left w:val="nil"/>
              <w:bottom w:val="single" w:sz="4" w:space="0" w:color="auto"/>
              <w:right w:val="single" w:sz="4" w:space="0" w:color="auto"/>
            </w:tcBorders>
            <w:shd w:val="clear" w:color="auto" w:fill="auto"/>
            <w:noWrap/>
            <w:vAlign w:val="bottom"/>
            <w:hideMark/>
          </w:tcPr>
          <w:p w14:paraId="5F2FA9C3" w14:textId="77777777" w:rsidR="00C23CA6" w:rsidRPr="00C23CA6" w:rsidRDefault="00C23CA6" w:rsidP="00C23CA6">
            <w:pPr>
              <w:spacing w:line="240" w:lineRule="auto"/>
              <w:jc w:val="right"/>
              <w:rPr>
                <w:color w:val="000000"/>
                <w:lang w:eastAsia="en-GB"/>
              </w:rPr>
            </w:pPr>
            <w:r w:rsidRPr="00C23CA6">
              <w:rPr>
                <w:color w:val="000000"/>
                <w:lang w:eastAsia="en-GB"/>
              </w:rPr>
              <w:t>977.00</w:t>
            </w:r>
          </w:p>
        </w:tc>
      </w:tr>
      <w:tr w:rsidR="00C23CA6" w:rsidRPr="00C23CA6" w14:paraId="1AA4EAC3" w14:textId="77777777" w:rsidTr="00C23CA6">
        <w:trPr>
          <w:trHeight w:val="312"/>
          <w:jc w:val="center"/>
        </w:trPr>
        <w:tc>
          <w:tcPr>
            <w:tcW w:w="980" w:type="dxa"/>
            <w:tcBorders>
              <w:top w:val="nil"/>
              <w:left w:val="single" w:sz="4" w:space="0" w:color="auto"/>
              <w:bottom w:val="single" w:sz="4" w:space="0" w:color="auto"/>
              <w:right w:val="single" w:sz="4" w:space="0" w:color="auto"/>
            </w:tcBorders>
            <w:shd w:val="clear" w:color="auto" w:fill="auto"/>
            <w:noWrap/>
            <w:vAlign w:val="bottom"/>
            <w:hideMark/>
          </w:tcPr>
          <w:p w14:paraId="400089B2" w14:textId="77777777" w:rsidR="00C23CA6" w:rsidRPr="00C23CA6" w:rsidRDefault="00C23CA6" w:rsidP="00C23CA6">
            <w:pPr>
              <w:spacing w:line="240" w:lineRule="auto"/>
              <w:jc w:val="right"/>
              <w:rPr>
                <w:color w:val="000000"/>
                <w:lang w:eastAsia="en-GB"/>
              </w:rPr>
            </w:pPr>
            <w:r w:rsidRPr="00C23CA6">
              <w:rPr>
                <w:color w:val="000000"/>
                <w:lang w:eastAsia="en-GB"/>
              </w:rPr>
              <w:t>4</w:t>
            </w:r>
          </w:p>
        </w:tc>
        <w:tc>
          <w:tcPr>
            <w:tcW w:w="1080" w:type="dxa"/>
            <w:tcBorders>
              <w:top w:val="nil"/>
              <w:left w:val="nil"/>
              <w:bottom w:val="single" w:sz="4" w:space="0" w:color="auto"/>
              <w:right w:val="single" w:sz="4" w:space="0" w:color="auto"/>
            </w:tcBorders>
            <w:shd w:val="clear" w:color="auto" w:fill="auto"/>
            <w:noWrap/>
            <w:vAlign w:val="bottom"/>
            <w:hideMark/>
          </w:tcPr>
          <w:p w14:paraId="6FAF4AAD" w14:textId="77777777" w:rsidR="00C23CA6" w:rsidRPr="00C23CA6" w:rsidRDefault="00C23CA6" w:rsidP="00C23CA6">
            <w:pPr>
              <w:spacing w:line="240" w:lineRule="auto"/>
              <w:jc w:val="right"/>
              <w:rPr>
                <w:color w:val="000000"/>
                <w:lang w:eastAsia="en-GB"/>
              </w:rPr>
            </w:pPr>
            <w:r w:rsidRPr="00C23CA6">
              <w:rPr>
                <w:color w:val="000000"/>
                <w:lang w:eastAsia="en-GB"/>
              </w:rPr>
              <w:t>-470</w:t>
            </w:r>
          </w:p>
        </w:tc>
        <w:tc>
          <w:tcPr>
            <w:tcW w:w="2420" w:type="dxa"/>
            <w:tcBorders>
              <w:top w:val="nil"/>
              <w:left w:val="nil"/>
              <w:bottom w:val="single" w:sz="4" w:space="0" w:color="auto"/>
              <w:right w:val="single" w:sz="4" w:space="0" w:color="auto"/>
            </w:tcBorders>
            <w:shd w:val="clear" w:color="auto" w:fill="auto"/>
            <w:noWrap/>
            <w:vAlign w:val="bottom"/>
            <w:hideMark/>
          </w:tcPr>
          <w:p w14:paraId="32D0C6F5" w14:textId="77777777" w:rsidR="00C23CA6" w:rsidRPr="00C23CA6" w:rsidRDefault="00C23CA6" w:rsidP="00C23CA6">
            <w:pPr>
              <w:spacing w:line="240" w:lineRule="auto"/>
              <w:jc w:val="right"/>
              <w:rPr>
                <w:color w:val="000000"/>
                <w:lang w:eastAsia="en-GB"/>
              </w:rPr>
            </w:pPr>
            <w:r w:rsidRPr="00C23CA6">
              <w:rPr>
                <w:color w:val="000000"/>
                <w:lang w:eastAsia="en-GB"/>
              </w:rPr>
              <w:t>0.97</w:t>
            </w:r>
          </w:p>
        </w:tc>
        <w:tc>
          <w:tcPr>
            <w:tcW w:w="1480" w:type="dxa"/>
            <w:tcBorders>
              <w:top w:val="nil"/>
              <w:left w:val="nil"/>
              <w:bottom w:val="single" w:sz="4" w:space="0" w:color="auto"/>
              <w:right w:val="single" w:sz="4" w:space="0" w:color="auto"/>
            </w:tcBorders>
            <w:shd w:val="clear" w:color="auto" w:fill="auto"/>
            <w:noWrap/>
            <w:vAlign w:val="bottom"/>
            <w:hideMark/>
          </w:tcPr>
          <w:p w14:paraId="0E6D8571" w14:textId="77777777" w:rsidR="00C23CA6" w:rsidRPr="00C23CA6" w:rsidRDefault="00C23CA6" w:rsidP="00C23CA6">
            <w:pPr>
              <w:spacing w:line="240" w:lineRule="auto"/>
              <w:jc w:val="right"/>
              <w:rPr>
                <w:color w:val="000000"/>
                <w:lang w:eastAsia="en-GB"/>
              </w:rPr>
            </w:pPr>
            <w:r w:rsidRPr="00C23CA6">
              <w:rPr>
                <w:color w:val="000000"/>
                <w:lang w:eastAsia="en-GB"/>
              </w:rPr>
              <w:t>-455.90</w:t>
            </w:r>
          </w:p>
        </w:tc>
      </w:tr>
      <w:tr w:rsidR="00C23CA6" w:rsidRPr="00C23CA6" w14:paraId="60F0D8CD" w14:textId="77777777" w:rsidTr="00C23CA6">
        <w:trPr>
          <w:trHeight w:val="312"/>
          <w:jc w:val="center"/>
        </w:trPr>
        <w:tc>
          <w:tcPr>
            <w:tcW w:w="980" w:type="dxa"/>
            <w:tcBorders>
              <w:top w:val="nil"/>
              <w:left w:val="single" w:sz="4" w:space="0" w:color="auto"/>
              <w:bottom w:val="single" w:sz="4" w:space="0" w:color="auto"/>
              <w:right w:val="single" w:sz="4" w:space="0" w:color="auto"/>
            </w:tcBorders>
            <w:shd w:val="clear" w:color="auto" w:fill="auto"/>
            <w:noWrap/>
            <w:vAlign w:val="bottom"/>
            <w:hideMark/>
          </w:tcPr>
          <w:p w14:paraId="43CF02D9" w14:textId="77777777" w:rsidR="00C23CA6" w:rsidRPr="00C23CA6" w:rsidRDefault="00C23CA6" w:rsidP="00C23CA6">
            <w:pPr>
              <w:spacing w:line="240" w:lineRule="auto"/>
              <w:jc w:val="left"/>
              <w:rPr>
                <w:color w:val="000000"/>
                <w:lang w:eastAsia="en-GB"/>
              </w:rPr>
            </w:pPr>
            <w:r w:rsidRPr="00C23CA6">
              <w:rPr>
                <w:color w:val="000000"/>
                <w:lang w:eastAsia="en-GB"/>
              </w:rPr>
              <w:t> </w:t>
            </w:r>
          </w:p>
        </w:tc>
        <w:tc>
          <w:tcPr>
            <w:tcW w:w="1080" w:type="dxa"/>
            <w:tcBorders>
              <w:top w:val="nil"/>
              <w:left w:val="nil"/>
              <w:bottom w:val="single" w:sz="4" w:space="0" w:color="auto"/>
              <w:right w:val="single" w:sz="4" w:space="0" w:color="auto"/>
            </w:tcBorders>
            <w:shd w:val="clear" w:color="auto" w:fill="auto"/>
            <w:noWrap/>
            <w:vAlign w:val="bottom"/>
            <w:hideMark/>
          </w:tcPr>
          <w:p w14:paraId="77AD07A9" w14:textId="77777777" w:rsidR="00C23CA6" w:rsidRPr="00C23CA6" w:rsidRDefault="00C23CA6" w:rsidP="00C23CA6">
            <w:pPr>
              <w:spacing w:line="240" w:lineRule="auto"/>
              <w:jc w:val="left"/>
              <w:rPr>
                <w:color w:val="000000"/>
                <w:lang w:eastAsia="en-GB"/>
              </w:rPr>
            </w:pPr>
            <w:r w:rsidRPr="00C23CA6">
              <w:rPr>
                <w:color w:val="000000"/>
                <w:lang w:eastAsia="en-GB"/>
              </w:rPr>
              <w:t> </w:t>
            </w:r>
          </w:p>
        </w:tc>
        <w:tc>
          <w:tcPr>
            <w:tcW w:w="2420" w:type="dxa"/>
            <w:tcBorders>
              <w:top w:val="nil"/>
              <w:left w:val="nil"/>
              <w:bottom w:val="single" w:sz="4" w:space="0" w:color="auto"/>
              <w:right w:val="single" w:sz="4" w:space="0" w:color="auto"/>
            </w:tcBorders>
            <w:shd w:val="clear" w:color="auto" w:fill="auto"/>
            <w:noWrap/>
            <w:vAlign w:val="bottom"/>
            <w:hideMark/>
          </w:tcPr>
          <w:p w14:paraId="440BCD83" w14:textId="77777777" w:rsidR="00C23CA6" w:rsidRPr="00C23CA6" w:rsidRDefault="00C23CA6" w:rsidP="00C23CA6">
            <w:pPr>
              <w:spacing w:line="240" w:lineRule="auto"/>
              <w:jc w:val="left"/>
              <w:rPr>
                <w:color w:val="000000"/>
                <w:lang w:eastAsia="en-GB"/>
              </w:rPr>
            </w:pPr>
            <w:r w:rsidRPr="00C23CA6">
              <w:rPr>
                <w:color w:val="000000"/>
                <w:lang w:eastAsia="en-GB"/>
              </w:rPr>
              <w:t xml:space="preserve">Present value </w:t>
            </w:r>
          </w:p>
        </w:tc>
        <w:tc>
          <w:tcPr>
            <w:tcW w:w="1480" w:type="dxa"/>
            <w:tcBorders>
              <w:top w:val="nil"/>
              <w:left w:val="nil"/>
              <w:bottom w:val="single" w:sz="4" w:space="0" w:color="auto"/>
              <w:right w:val="single" w:sz="4" w:space="0" w:color="auto"/>
            </w:tcBorders>
            <w:shd w:val="clear" w:color="auto" w:fill="auto"/>
            <w:noWrap/>
            <w:vAlign w:val="bottom"/>
            <w:hideMark/>
          </w:tcPr>
          <w:p w14:paraId="13D802D1" w14:textId="77777777" w:rsidR="00C23CA6" w:rsidRPr="00C23CA6" w:rsidRDefault="00C23CA6" w:rsidP="00C23CA6">
            <w:pPr>
              <w:spacing w:line="240" w:lineRule="auto"/>
              <w:jc w:val="right"/>
              <w:rPr>
                <w:color w:val="000000"/>
                <w:lang w:eastAsia="en-GB"/>
              </w:rPr>
            </w:pPr>
            <w:r w:rsidRPr="00C23CA6">
              <w:rPr>
                <w:color w:val="000000"/>
                <w:lang w:eastAsia="en-GB"/>
              </w:rPr>
              <w:t>2994.10</w:t>
            </w:r>
          </w:p>
        </w:tc>
      </w:tr>
      <w:tr w:rsidR="00C23CA6" w:rsidRPr="00C23CA6" w14:paraId="073964A6" w14:textId="77777777" w:rsidTr="00C23CA6">
        <w:trPr>
          <w:trHeight w:val="312"/>
          <w:jc w:val="center"/>
        </w:trPr>
        <w:tc>
          <w:tcPr>
            <w:tcW w:w="980" w:type="dxa"/>
            <w:tcBorders>
              <w:top w:val="nil"/>
              <w:left w:val="single" w:sz="4" w:space="0" w:color="auto"/>
              <w:bottom w:val="single" w:sz="4" w:space="0" w:color="auto"/>
              <w:right w:val="single" w:sz="4" w:space="0" w:color="auto"/>
            </w:tcBorders>
            <w:shd w:val="clear" w:color="auto" w:fill="auto"/>
            <w:noWrap/>
            <w:vAlign w:val="bottom"/>
            <w:hideMark/>
          </w:tcPr>
          <w:p w14:paraId="12BA1840" w14:textId="77777777" w:rsidR="00C23CA6" w:rsidRPr="00C23CA6" w:rsidRDefault="00C23CA6" w:rsidP="00C23CA6">
            <w:pPr>
              <w:spacing w:line="240" w:lineRule="auto"/>
              <w:jc w:val="left"/>
              <w:rPr>
                <w:color w:val="000000"/>
                <w:lang w:eastAsia="en-GB"/>
              </w:rPr>
            </w:pPr>
            <w:r w:rsidRPr="00C23CA6">
              <w:rPr>
                <w:color w:val="000000"/>
                <w:lang w:eastAsia="en-GB"/>
              </w:rPr>
              <w:t> </w:t>
            </w:r>
          </w:p>
        </w:tc>
        <w:tc>
          <w:tcPr>
            <w:tcW w:w="1080" w:type="dxa"/>
            <w:tcBorders>
              <w:top w:val="nil"/>
              <w:left w:val="nil"/>
              <w:bottom w:val="single" w:sz="4" w:space="0" w:color="auto"/>
              <w:right w:val="single" w:sz="4" w:space="0" w:color="auto"/>
            </w:tcBorders>
            <w:shd w:val="clear" w:color="auto" w:fill="auto"/>
            <w:noWrap/>
            <w:vAlign w:val="bottom"/>
            <w:hideMark/>
          </w:tcPr>
          <w:p w14:paraId="084118AF" w14:textId="77777777" w:rsidR="00C23CA6" w:rsidRPr="00C23CA6" w:rsidRDefault="00C23CA6" w:rsidP="00C23CA6">
            <w:pPr>
              <w:spacing w:line="240" w:lineRule="auto"/>
              <w:jc w:val="left"/>
              <w:rPr>
                <w:color w:val="000000"/>
                <w:lang w:eastAsia="en-GB"/>
              </w:rPr>
            </w:pPr>
            <w:r w:rsidRPr="00C23CA6">
              <w:rPr>
                <w:color w:val="000000"/>
                <w:lang w:eastAsia="en-GB"/>
              </w:rPr>
              <w:t> </w:t>
            </w:r>
          </w:p>
        </w:tc>
        <w:tc>
          <w:tcPr>
            <w:tcW w:w="2420" w:type="dxa"/>
            <w:tcBorders>
              <w:top w:val="nil"/>
              <w:left w:val="nil"/>
              <w:bottom w:val="single" w:sz="4" w:space="0" w:color="auto"/>
              <w:right w:val="single" w:sz="4" w:space="0" w:color="auto"/>
            </w:tcBorders>
            <w:shd w:val="clear" w:color="auto" w:fill="auto"/>
            <w:noWrap/>
            <w:vAlign w:val="bottom"/>
            <w:hideMark/>
          </w:tcPr>
          <w:p w14:paraId="445CA55A" w14:textId="77777777" w:rsidR="00C23CA6" w:rsidRPr="00C23CA6" w:rsidRDefault="00C23CA6" w:rsidP="00C23CA6">
            <w:pPr>
              <w:spacing w:line="240" w:lineRule="auto"/>
              <w:jc w:val="left"/>
              <w:rPr>
                <w:color w:val="000000"/>
                <w:lang w:eastAsia="en-GB"/>
              </w:rPr>
            </w:pPr>
            <w:r w:rsidRPr="00C23CA6">
              <w:rPr>
                <w:color w:val="000000"/>
                <w:lang w:eastAsia="en-GB"/>
              </w:rPr>
              <w:t xml:space="preserve">Less: Initial investment </w:t>
            </w:r>
          </w:p>
        </w:tc>
        <w:tc>
          <w:tcPr>
            <w:tcW w:w="1480" w:type="dxa"/>
            <w:tcBorders>
              <w:top w:val="nil"/>
              <w:left w:val="nil"/>
              <w:bottom w:val="single" w:sz="4" w:space="0" w:color="auto"/>
              <w:right w:val="single" w:sz="4" w:space="0" w:color="auto"/>
            </w:tcBorders>
            <w:shd w:val="clear" w:color="auto" w:fill="auto"/>
            <w:noWrap/>
            <w:vAlign w:val="bottom"/>
            <w:hideMark/>
          </w:tcPr>
          <w:p w14:paraId="314034E1" w14:textId="77777777" w:rsidR="00C23CA6" w:rsidRPr="00C23CA6" w:rsidRDefault="00C23CA6" w:rsidP="00C23CA6">
            <w:pPr>
              <w:spacing w:line="240" w:lineRule="auto"/>
              <w:jc w:val="right"/>
              <w:rPr>
                <w:color w:val="000000"/>
                <w:lang w:eastAsia="en-GB"/>
              </w:rPr>
            </w:pPr>
            <w:r w:rsidRPr="00C23CA6">
              <w:rPr>
                <w:color w:val="000000"/>
                <w:lang w:eastAsia="en-GB"/>
              </w:rPr>
              <w:t>1000.00</w:t>
            </w:r>
          </w:p>
        </w:tc>
      </w:tr>
      <w:tr w:rsidR="00C23CA6" w:rsidRPr="00C23CA6" w14:paraId="54376E2A" w14:textId="77777777" w:rsidTr="00C23CA6">
        <w:trPr>
          <w:trHeight w:val="312"/>
          <w:jc w:val="center"/>
        </w:trPr>
        <w:tc>
          <w:tcPr>
            <w:tcW w:w="980" w:type="dxa"/>
            <w:tcBorders>
              <w:top w:val="nil"/>
              <w:left w:val="single" w:sz="4" w:space="0" w:color="auto"/>
              <w:bottom w:val="single" w:sz="4" w:space="0" w:color="auto"/>
              <w:right w:val="single" w:sz="4" w:space="0" w:color="auto"/>
            </w:tcBorders>
            <w:shd w:val="clear" w:color="auto" w:fill="auto"/>
            <w:noWrap/>
            <w:vAlign w:val="bottom"/>
            <w:hideMark/>
          </w:tcPr>
          <w:p w14:paraId="3FD6DDAA" w14:textId="77777777" w:rsidR="00C23CA6" w:rsidRPr="00C23CA6" w:rsidRDefault="00C23CA6" w:rsidP="00C23CA6">
            <w:pPr>
              <w:spacing w:line="240" w:lineRule="auto"/>
              <w:jc w:val="left"/>
              <w:rPr>
                <w:color w:val="000000"/>
                <w:lang w:eastAsia="en-GB"/>
              </w:rPr>
            </w:pPr>
            <w:r w:rsidRPr="00C23CA6">
              <w:rPr>
                <w:color w:val="000000"/>
                <w:lang w:eastAsia="en-GB"/>
              </w:rPr>
              <w:t> </w:t>
            </w:r>
          </w:p>
        </w:tc>
        <w:tc>
          <w:tcPr>
            <w:tcW w:w="1080" w:type="dxa"/>
            <w:tcBorders>
              <w:top w:val="nil"/>
              <w:left w:val="nil"/>
              <w:bottom w:val="single" w:sz="4" w:space="0" w:color="auto"/>
              <w:right w:val="single" w:sz="4" w:space="0" w:color="auto"/>
            </w:tcBorders>
            <w:shd w:val="clear" w:color="auto" w:fill="auto"/>
            <w:noWrap/>
            <w:vAlign w:val="bottom"/>
            <w:hideMark/>
          </w:tcPr>
          <w:p w14:paraId="3102A6CA" w14:textId="77777777" w:rsidR="00C23CA6" w:rsidRPr="00C23CA6" w:rsidRDefault="00C23CA6" w:rsidP="00C23CA6">
            <w:pPr>
              <w:spacing w:line="240" w:lineRule="auto"/>
              <w:jc w:val="left"/>
              <w:rPr>
                <w:color w:val="000000"/>
                <w:lang w:eastAsia="en-GB"/>
              </w:rPr>
            </w:pPr>
            <w:r w:rsidRPr="00C23CA6">
              <w:rPr>
                <w:color w:val="000000"/>
                <w:lang w:eastAsia="en-GB"/>
              </w:rPr>
              <w:t> </w:t>
            </w:r>
          </w:p>
        </w:tc>
        <w:tc>
          <w:tcPr>
            <w:tcW w:w="2420" w:type="dxa"/>
            <w:tcBorders>
              <w:top w:val="nil"/>
              <w:left w:val="nil"/>
              <w:bottom w:val="single" w:sz="4" w:space="0" w:color="auto"/>
              <w:right w:val="single" w:sz="4" w:space="0" w:color="auto"/>
            </w:tcBorders>
            <w:shd w:val="clear" w:color="auto" w:fill="auto"/>
            <w:noWrap/>
            <w:vAlign w:val="bottom"/>
            <w:hideMark/>
          </w:tcPr>
          <w:p w14:paraId="4DC559AA" w14:textId="77777777" w:rsidR="00C23CA6" w:rsidRPr="00C23CA6" w:rsidRDefault="00C23CA6" w:rsidP="00C23CA6">
            <w:pPr>
              <w:spacing w:line="240" w:lineRule="auto"/>
              <w:jc w:val="left"/>
              <w:rPr>
                <w:color w:val="000000"/>
                <w:lang w:eastAsia="en-GB"/>
              </w:rPr>
            </w:pPr>
            <w:r w:rsidRPr="00C23CA6">
              <w:rPr>
                <w:color w:val="000000"/>
                <w:lang w:eastAsia="en-GB"/>
              </w:rPr>
              <w:t xml:space="preserve">Net present value </w:t>
            </w:r>
          </w:p>
        </w:tc>
        <w:tc>
          <w:tcPr>
            <w:tcW w:w="1480" w:type="dxa"/>
            <w:tcBorders>
              <w:top w:val="nil"/>
              <w:left w:val="nil"/>
              <w:bottom w:val="single" w:sz="4" w:space="0" w:color="auto"/>
              <w:right w:val="single" w:sz="4" w:space="0" w:color="auto"/>
            </w:tcBorders>
            <w:shd w:val="clear" w:color="auto" w:fill="auto"/>
            <w:noWrap/>
            <w:vAlign w:val="bottom"/>
            <w:hideMark/>
          </w:tcPr>
          <w:p w14:paraId="270DB723" w14:textId="77777777" w:rsidR="00C23CA6" w:rsidRPr="00C23CA6" w:rsidRDefault="00C23CA6" w:rsidP="00C23CA6">
            <w:pPr>
              <w:spacing w:line="240" w:lineRule="auto"/>
              <w:jc w:val="right"/>
              <w:rPr>
                <w:color w:val="000000"/>
                <w:lang w:eastAsia="en-GB"/>
              </w:rPr>
            </w:pPr>
            <w:r w:rsidRPr="00C23CA6">
              <w:rPr>
                <w:color w:val="000000"/>
                <w:lang w:eastAsia="en-GB"/>
              </w:rPr>
              <w:t>1994.10</w:t>
            </w:r>
          </w:p>
        </w:tc>
      </w:tr>
    </w:tbl>
    <w:p w14:paraId="730E6558" w14:textId="5D520872" w:rsidR="00B12020" w:rsidRPr="00CD6CC0" w:rsidRDefault="00B12020"/>
    <w:p w14:paraId="0A52D70F" w14:textId="185524D1" w:rsidR="00B12020" w:rsidRPr="00CD6CC0" w:rsidRDefault="00D93CD1" w:rsidP="00860D9C">
      <w:pPr>
        <w:pStyle w:val="Heading2"/>
      </w:pPr>
      <w:bookmarkStart w:id="15" w:name="_Toc162217007"/>
      <w:r w:rsidRPr="00CD6CC0">
        <w:t>3.1.2 Evaluate the results for identification and the recommendations behind the selected project</w:t>
      </w:r>
      <w:bookmarkEnd w:id="15"/>
      <w:r w:rsidRPr="00CD6CC0">
        <w:t xml:space="preserve"> </w:t>
      </w:r>
    </w:p>
    <w:p w14:paraId="51F65113" w14:textId="37B41186" w:rsidR="00E926DE" w:rsidRPr="00E926DE" w:rsidRDefault="00D93CD1" w:rsidP="00E926DE">
      <w:r w:rsidRPr="00CD6CC0">
        <w:t xml:space="preserve">The fundamental initiative and the processing support of current measurement indicates the financial positioning support concerning the individual project compatibility approach that is recognisable for managing positioning support and comparative evaluation support associated with the individual projects. Overall computed measurements related to individual projects of the business investment represent the position of </w:t>
      </w:r>
      <w:r w:rsidR="00B446D7">
        <w:rPr>
          <w:b/>
        </w:rPr>
        <w:fldChar w:fldCharType="begin"/>
      </w:r>
      <w:r w:rsidR="00B446D7">
        <w:rPr>
          <w:b/>
        </w:rPr>
        <w:instrText xml:space="preserve"> LINK </w:instrText>
      </w:r>
      <w:r w:rsidR="00ED5DA5">
        <w:rPr>
          <w:b/>
        </w:rPr>
        <w:instrText xml:space="preserve">Excel.Sheet.12 "D:\\MBA International Business\\TERM 1\\LCMB7002 - Financial Management\\ASSESSMENT\\READY TO SUBMIT IT\\Financial Management_TASK 2.xlsx" Sheet1!R8C16:R11C18 </w:instrText>
      </w:r>
      <w:r w:rsidR="00B446D7">
        <w:rPr>
          <w:b/>
        </w:rPr>
        <w:instrText xml:space="preserve">\a \f 5 \h  \* MERGEFORMAT </w:instrText>
      </w:r>
      <w:r w:rsidR="00B446D7">
        <w:rPr>
          <w:b/>
        </w:rPr>
        <w:fldChar w:fldCharType="separate"/>
      </w:r>
    </w:p>
    <w:p w14:paraId="012C6DEA" w14:textId="77777777" w:rsidR="00AD5AAC" w:rsidRPr="00CD6CC0" w:rsidRDefault="00B446D7" w:rsidP="00AD5AAC">
      <w:pPr>
        <w:jc w:val="center"/>
        <w:rPr>
          <w:b/>
        </w:rPr>
      </w:pPr>
      <w:r>
        <w:rPr>
          <w:b/>
        </w:rPr>
        <w:fldChar w:fldCharType="end"/>
      </w:r>
    </w:p>
    <w:tbl>
      <w:tblPr>
        <w:tblStyle w:val="TableGrid"/>
        <w:tblW w:w="0" w:type="auto"/>
        <w:jc w:val="center"/>
        <w:tblLook w:val="04A0" w:firstRow="1" w:lastRow="0" w:firstColumn="1" w:lastColumn="0" w:noHBand="0" w:noVBand="1"/>
      </w:tblPr>
      <w:tblGrid>
        <w:gridCol w:w="1620"/>
        <w:gridCol w:w="1620"/>
        <w:gridCol w:w="1760"/>
      </w:tblGrid>
      <w:tr w:rsidR="00AD5AAC" w:rsidRPr="00AD5AAC" w14:paraId="25483EA3" w14:textId="77777777" w:rsidTr="00AD5AAC">
        <w:trPr>
          <w:trHeight w:val="312"/>
          <w:jc w:val="center"/>
        </w:trPr>
        <w:tc>
          <w:tcPr>
            <w:tcW w:w="1620" w:type="dxa"/>
            <w:noWrap/>
            <w:hideMark/>
          </w:tcPr>
          <w:p w14:paraId="208164AE" w14:textId="4D05C9B0" w:rsidR="00AD5AAC" w:rsidRPr="00AD5AAC" w:rsidRDefault="00AD5AAC" w:rsidP="00AD5AAC">
            <w:pPr>
              <w:jc w:val="center"/>
              <w:rPr>
                <w:b/>
              </w:rPr>
            </w:pPr>
            <w:r w:rsidRPr="00AD5AAC">
              <w:rPr>
                <w:b/>
              </w:rPr>
              <w:t>El</w:t>
            </w:r>
            <w:r>
              <w:rPr>
                <w:b/>
              </w:rPr>
              <w:t>e</w:t>
            </w:r>
            <w:r w:rsidRPr="00AD5AAC">
              <w:rPr>
                <w:b/>
              </w:rPr>
              <w:t>ment</w:t>
            </w:r>
          </w:p>
        </w:tc>
        <w:tc>
          <w:tcPr>
            <w:tcW w:w="1620" w:type="dxa"/>
            <w:noWrap/>
            <w:hideMark/>
          </w:tcPr>
          <w:p w14:paraId="1F00234F" w14:textId="77777777" w:rsidR="00AD5AAC" w:rsidRPr="00AD5AAC" w:rsidRDefault="00AD5AAC" w:rsidP="00AD5AAC">
            <w:pPr>
              <w:jc w:val="center"/>
              <w:rPr>
                <w:b/>
              </w:rPr>
            </w:pPr>
            <w:r w:rsidRPr="00AD5AAC">
              <w:rPr>
                <w:b/>
              </w:rPr>
              <w:t>Project A</w:t>
            </w:r>
          </w:p>
        </w:tc>
        <w:tc>
          <w:tcPr>
            <w:tcW w:w="1760" w:type="dxa"/>
            <w:noWrap/>
            <w:hideMark/>
          </w:tcPr>
          <w:p w14:paraId="6357403D" w14:textId="10CC28F5" w:rsidR="00AD5AAC" w:rsidRPr="00AD5AAC" w:rsidRDefault="00AD5AAC" w:rsidP="00AD5AAC">
            <w:pPr>
              <w:jc w:val="center"/>
              <w:rPr>
                <w:b/>
              </w:rPr>
            </w:pPr>
            <w:r w:rsidRPr="00AD5AAC">
              <w:rPr>
                <w:b/>
              </w:rPr>
              <w:t>P</w:t>
            </w:r>
            <w:r>
              <w:rPr>
                <w:b/>
              </w:rPr>
              <w:t>ro</w:t>
            </w:r>
            <w:r w:rsidRPr="00AD5AAC">
              <w:rPr>
                <w:b/>
              </w:rPr>
              <w:t>ject B</w:t>
            </w:r>
          </w:p>
        </w:tc>
      </w:tr>
      <w:tr w:rsidR="00AD5AAC" w:rsidRPr="00AD5AAC" w14:paraId="57F1EB3B" w14:textId="77777777" w:rsidTr="00AD5AAC">
        <w:trPr>
          <w:trHeight w:val="312"/>
          <w:jc w:val="center"/>
        </w:trPr>
        <w:tc>
          <w:tcPr>
            <w:tcW w:w="1620" w:type="dxa"/>
            <w:noWrap/>
            <w:hideMark/>
          </w:tcPr>
          <w:p w14:paraId="5F97C689" w14:textId="77777777" w:rsidR="00AD5AAC" w:rsidRPr="00AD5AAC" w:rsidRDefault="00AD5AAC" w:rsidP="00AD5AAC">
            <w:pPr>
              <w:jc w:val="center"/>
              <w:rPr>
                <w:bCs/>
              </w:rPr>
            </w:pPr>
            <w:r w:rsidRPr="00AD5AAC">
              <w:rPr>
                <w:bCs/>
              </w:rPr>
              <w:t>Payback period</w:t>
            </w:r>
          </w:p>
        </w:tc>
        <w:tc>
          <w:tcPr>
            <w:tcW w:w="1620" w:type="dxa"/>
            <w:noWrap/>
            <w:hideMark/>
          </w:tcPr>
          <w:p w14:paraId="5CA84F02" w14:textId="77777777" w:rsidR="00AD5AAC" w:rsidRPr="00AD5AAC" w:rsidRDefault="00AD5AAC" w:rsidP="00AD5AAC">
            <w:pPr>
              <w:jc w:val="center"/>
              <w:rPr>
                <w:bCs/>
              </w:rPr>
            </w:pPr>
            <w:r w:rsidRPr="00AD5AAC">
              <w:rPr>
                <w:bCs/>
              </w:rPr>
              <w:t>2 years 6 month</w:t>
            </w:r>
          </w:p>
        </w:tc>
        <w:tc>
          <w:tcPr>
            <w:tcW w:w="1760" w:type="dxa"/>
            <w:noWrap/>
            <w:hideMark/>
          </w:tcPr>
          <w:p w14:paraId="3FEBE661" w14:textId="77777777" w:rsidR="00AD5AAC" w:rsidRPr="00AD5AAC" w:rsidRDefault="00AD5AAC" w:rsidP="00AD5AAC">
            <w:pPr>
              <w:jc w:val="center"/>
              <w:rPr>
                <w:bCs/>
              </w:rPr>
            </w:pPr>
            <w:r w:rsidRPr="00AD5AAC">
              <w:rPr>
                <w:bCs/>
              </w:rPr>
              <w:t>0 years 4 months</w:t>
            </w:r>
          </w:p>
        </w:tc>
      </w:tr>
      <w:tr w:rsidR="00AD5AAC" w:rsidRPr="00AD5AAC" w14:paraId="4C5A6D1D" w14:textId="77777777" w:rsidTr="00AD5AAC">
        <w:trPr>
          <w:trHeight w:val="312"/>
          <w:jc w:val="center"/>
        </w:trPr>
        <w:tc>
          <w:tcPr>
            <w:tcW w:w="1620" w:type="dxa"/>
            <w:noWrap/>
            <w:hideMark/>
          </w:tcPr>
          <w:p w14:paraId="76DA2806" w14:textId="77777777" w:rsidR="00AD5AAC" w:rsidRPr="00AD5AAC" w:rsidRDefault="00AD5AAC" w:rsidP="00AD5AAC">
            <w:pPr>
              <w:jc w:val="center"/>
              <w:rPr>
                <w:bCs/>
              </w:rPr>
            </w:pPr>
            <w:r w:rsidRPr="00AD5AAC">
              <w:rPr>
                <w:bCs/>
              </w:rPr>
              <w:t>ARR</w:t>
            </w:r>
          </w:p>
        </w:tc>
        <w:tc>
          <w:tcPr>
            <w:tcW w:w="1620" w:type="dxa"/>
            <w:noWrap/>
            <w:hideMark/>
          </w:tcPr>
          <w:p w14:paraId="2A3E561B" w14:textId="77777777" w:rsidR="00AD5AAC" w:rsidRPr="00AD5AAC" w:rsidRDefault="00AD5AAC" w:rsidP="00AD5AAC">
            <w:pPr>
              <w:jc w:val="center"/>
              <w:rPr>
                <w:bCs/>
              </w:rPr>
            </w:pPr>
            <w:r w:rsidRPr="00AD5AAC">
              <w:rPr>
                <w:bCs/>
              </w:rPr>
              <w:t>25.29%</w:t>
            </w:r>
          </w:p>
        </w:tc>
        <w:tc>
          <w:tcPr>
            <w:tcW w:w="1760" w:type="dxa"/>
            <w:noWrap/>
            <w:hideMark/>
          </w:tcPr>
          <w:p w14:paraId="347A2140" w14:textId="77777777" w:rsidR="00AD5AAC" w:rsidRPr="00AD5AAC" w:rsidRDefault="00AD5AAC" w:rsidP="00AD5AAC">
            <w:pPr>
              <w:jc w:val="center"/>
              <w:rPr>
                <w:bCs/>
              </w:rPr>
            </w:pPr>
            <w:r w:rsidRPr="00AD5AAC">
              <w:rPr>
                <w:bCs/>
              </w:rPr>
              <w:t>75.75%</w:t>
            </w:r>
          </w:p>
        </w:tc>
      </w:tr>
      <w:tr w:rsidR="00AD5AAC" w:rsidRPr="00AD5AAC" w14:paraId="78A880AD" w14:textId="77777777" w:rsidTr="00AD5AAC">
        <w:trPr>
          <w:trHeight w:val="312"/>
          <w:jc w:val="center"/>
        </w:trPr>
        <w:tc>
          <w:tcPr>
            <w:tcW w:w="1620" w:type="dxa"/>
            <w:noWrap/>
            <w:hideMark/>
          </w:tcPr>
          <w:p w14:paraId="4418DBB5" w14:textId="77777777" w:rsidR="00AD5AAC" w:rsidRPr="00AD5AAC" w:rsidRDefault="00AD5AAC" w:rsidP="00AD5AAC">
            <w:pPr>
              <w:jc w:val="center"/>
              <w:rPr>
                <w:bCs/>
              </w:rPr>
            </w:pPr>
            <w:r w:rsidRPr="00AD5AAC">
              <w:rPr>
                <w:bCs/>
              </w:rPr>
              <w:t>NPV</w:t>
            </w:r>
          </w:p>
        </w:tc>
        <w:tc>
          <w:tcPr>
            <w:tcW w:w="1620" w:type="dxa"/>
            <w:noWrap/>
            <w:hideMark/>
          </w:tcPr>
          <w:p w14:paraId="08B1975C" w14:textId="77777777" w:rsidR="00AD5AAC" w:rsidRPr="00AD5AAC" w:rsidRDefault="00AD5AAC" w:rsidP="00AD5AAC">
            <w:pPr>
              <w:jc w:val="center"/>
              <w:rPr>
                <w:bCs/>
              </w:rPr>
            </w:pPr>
            <w:r w:rsidRPr="00AD5AAC">
              <w:rPr>
                <w:bCs/>
              </w:rPr>
              <w:t xml:space="preserve"> (-1.74)</w:t>
            </w:r>
          </w:p>
        </w:tc>
        <w:tc>
          <w:tcPr>
            <w:tcW w:w="1760" w:type="dxa"/>
            <w:noWrap/>
            <w:hideMark/>
          </w:tcPr>
          <w:p w14:paraId="2008476A" w14:textId="77777777" w:rsidR="00AD5AAC" w:rsidRPr="00AD5AAC" w:rsidRDefault="00AD5AAC" w:rsidP="00AD5AAC">
            <w:pPr>
              <w:jc w:val="center"/>
              <w:rPr>
                <w:bCs/>
              </w:rPr>
            </w:pPr>
            <w:r w:rsidRPr="00AD5AAC">
              <w:rPr>
                <w:bCs/>
              </w:rPr>
              <w:t>1994.1</w:t>
            </w:r>
          </w:p>
        </w:tc>
      </w:tr>
    </w:tbl>
    <w:p w14:paraId="33BBB616" w14:textId="77777777" w:rsidR="00B12020" w:rsidRPr="00CD6CC0" w:rsidRDefault="00B12020"/>
    <w:p w14:paraId="434544CE" w14:textId="77777777" w:rsidR="00B12020" w:rsidRPr="00CD6CC0" w:rsidRDefault="00D93CD1">
      <w:r w:rsidRPr="00CD6CC0">
        <w:t>According to the basic evaluation support, it is fundamentally identifiable that the application of the Payback period represents the comparative analysis related to individual projects concerning accounting competency that indicates the overall recovery time of project investment cost associated with the level of financial values. Generally, a project with a low level of a period is accepted by the management as it represents a comparatively early recovery positioning support associated with the financial values</w:t>
      </w:r>
      <w:r w:rsidR="00493AC6">
        <w:t xml:space="preserve"> (</w:t>
      </w:r>
      <w:r w:rsidR="00493AC6">
        <w:rPr>
          <w:color w:val="000000" w:themeColor="text1"/>
          <w:shd w:val="clear" w:color="auto" w:fill="FFFFFF"/>
        </w:rPr>
        <w:t xml:space="preserve">Alkaabi and Nobanee, </w:t>
      </w:r>
      <w:r w:rsidR="00493AC6" w:rsidRPr="00955120">
        <w:rPr>
          <w:color w:val="000000" w:themeColor="text1"/>
          <w:shd w:val="clear" w:color="auto" w:fill="FFFFFF"/>
        </w:rPr>
        <w:t>2019</w:t>
      </w:r>
      <w:r w:rsidR="00493AC6">
        <w:rPr>
          <w:color w:val="000000" w:themeColor="text1"/>
          <w:shd w:val="clear" w:color="auto" w:fill="FFFFFF"/>
        </w:rPr>
        <w:t>)</w:t>
      </w:r>
      <w:r w:rsidRPr="00CD6CC0">
        <w:t xml:space="preserve">. From that aspect, it can be recognised that the presence situation project will be supportive for the business as it represents a comparatively lower period approach regarding the recovery of investment value. The application of the accounting rate of return method generally provides significance to the returning position of </w:t>
      </w:r>
      <w:r w:rsidRPr="00CD6CC0">
        <w:lastRenderedPageBreak/>
        <w:t>the business associated with the cost of capital value positioning support. Generally, a project with a higher volume of return is accepted due to a significant volume of financial accountability support. Under the present situation, the significance and importance of Project B will be supportive for the management to initiate a contemporary growth positioning benefit</w:t>
      </w:r>
      <w:r w:rsidR="00493AC6">
        <w:t xml:space="preserve"> (</w:t>
      </w:r>
      <w:r w:rsidR="00493AC6" w:rsidRPr="00955120">
        <w:rPr>
          <w:color w:val="000000" w:themeColor="text1"/>
          <w:shd w:val="clear" w:color="auto" w:fill="FFFFFF"/>
        </w:rPr>
        <w:t>B</w:t>
      </w:r>
      <w:r w:rsidR="00493AC6">
        <w:rPr>
          <w:color w:val="000000" w:themeColor="text1"/>
          <w:shd w:val="clear" w:color="auto" w:fill="FFFFFF"/>
        </w:rPr>
        <w:t xml:space="preserve">righam and Houston, </w:t>
      </w:r>
      <w:r w:rsidR="00493AC6" w:rsidRPr="00955120">
        <w:rPr>
          <w:color w:val="000000" w:themeColor="text1"/>
          <w:shd w:val="clear" w:color="auto" w:fill="FFFFFF"/>
        </w:rPr>
        <w:t>2021</w:t>
      </w:r>
      <w:r w:rsidR="00493AC6">
        <w:rPr>
          <w:color w:val="000000" w:themeColor="text1"/>
          <w:shd w:val="clear" w:color="auto" w:fill="FFFFFF"/>
        </w:rPr>
        <w:t>)</w:t>
      </w:r>
      <w:r w:rsidRPr="00CD6CC0">
        <w:t xml:space="preserve">. Depending on the basic identified analysis support it can be considered that the net present value concept generally provides significance to the time value approach for recognising the financial recovery approach in respect of individual projects. A project with a higher volume of financial net present value concept represents the contemporary growth and development initiative for business investment processing which is beneficial for business values. Depending on the present measurement and analysis support it can be recognised that the overall net present value approach from </w:t>
      </w:r>
      <w:r w:rsidRPr="00877A70">
        <w:t>Project B</w:t>
      </w:r>
      <w:r w:rsidRPr="00CD6CC0">
        <w:t xml:space="preserve"> is comparatively supportive and influential for initiating investment and business furtherance initiative purposes. </w:t>
      </w:r>
    </w:p>
    <w:p w14:paraId="536D725E" w14:textId="7434F6B4" w:rsidR="00B12020" w:rsidRPr="00CD6CC0" w:rsidRDefault="00D93CD1">
      <w:r w:rsidRPr="00CD6CC0">
        <w:t xml:space="preserve">Therefore, in respect of all the above computations and analysis support it is recognisable that initiating an investment over </w:t>
      </w:r>
      <w:r w:rsidRPr="00877A70">
        <w:rPr>
          <w:bCs/>
        </w:rPr>
        <w:t>project B</w:t>
      </w:r>
      <w:r w:rsidRPr="00CD6CC0">
        <w:t xml:space="preserve"> will be sufficient and influential for the business management presently due to proper returning support, early recovery support </w:t>
      </w:r>
      <w:r w:rsidR="0076678B" w:rsidRPr="00CD6CC0">
        <w:t>and</w:t>
      </w:r>
      <w:r w:rsidRPr="00CD6CC0">
        <w:t xml:space="preserve"> a higher volume of net present value support. </w:t>
      </w:r>
    </w:p>
    <w:p w14:paraId="28C970B1" w14:textId="5744FF12" w:rsidR="00B12020" w:rsidRPr="00CD6CC0" w:rsidRDefault="00D93CD1" w:rsidP="00860D9C">
      <w:pPr>
        <w:pStyle w:val="Heading2"/>
      </w:pPr>
      <w:bookmarkStart w:id="16" w:name="_Toc162217008"/>
      <w:r w:rsidRPr="00CD6CC0">
        <w:t>3.2 Computation of net present value with the revised financial estimations for both project</w:t>
      </w:r>
      <w:r w:rsidR="00860D9C">
        <w:t>”</w:t>
      </w:r>
      <w:bookmarkEnd w:id="16"/>
    </w:p>
    <w:p w14:paraId="52F50965" w14:textId="44C1A2C8" w:rsidR="00B12020" w:rsidRPr="00CD6CC0" w:rsidRDefault="00D93CD1">
      <w:r w:rsidRPr="00CD6CC0">
        <w:t xml:space="preserve">In respect of general market positions and other associated market initiatives, the management estimated that the probable volume of initial investment value if expanded with 10% support and if the cash flow volume is also expanded with an additional 10% on an annual basis, therefore, the revised net present </w:t>
      </w:r>
      <w:r w:rsidR="00CD6CC0" w:rsidRPr="00CD6CC0">
        <w:t>value for</w:t>
      </w:r>
      <w:r w:rsidRPr="00CD6CC0">
        <w:t xml:space="preserve"> an individual project will be</w:t>
      </w:r>
      <w:r w:rsidR="0076678B">
        <w:t>:</w:t>
      </w:r>
      <w:r w:rsidRPr="00CD6CC0">
        <w:t xml:space="preserve"> </w:t>
      </w:r>
    </w:p>
    <w:p w14:paraId="1D765264" w14:textId="77777777" w:rsidR="00B12020" w:rsidRDefault="00D93CD1">
      <w:pPr>
        <w:rPr>
          <w:b/>
        </w:rPr>
      </w:pPr>
      <w:r w:rsidRPr="00CD6CC0">
        <w:rPr>
          <w:b/>
        </w:rPr>
        <w:t xml:space="preserve">Project A </w:t>
      </w:r>
    </w:p>
    <w:tbl>
      <w:tblPr>
        <w:tblW w:w="8020" w:type="dxa"/>
        <w:jc w:val="center"/>
        <w:tblLook w:val="04A0" w:firstRow="1" w:lastRow="0" w:firstColumn="1" w:lastColumn="0" w:noHBand="0" w:noVBand="1"/>
      </w:tblPr>
      <w:tblGrid>
        <w:gridCol w:w="1360"/>
        <w:gridCol w:w="1820"/>
        <w:gridCol w:w="2800"/>
        <w:gridCol w:w="2040"/>
      </w:tblGrid>
      <w:tr w:rsidR="00AD5AAC" w:rsidRPr="00AD5AAC" w14:paraId="22936AC6" w14:textId="77777777" w:rsidTr="00AD5AAC">
        <w:trPr>
          <w:trHeight w:val="312"/>
          <w:jc w:val="center"/>
        </w:trPr>
        <w:tc>
          <w:tcPr>
            <w:tcW w:w="136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AE9A160" w14:textId="77777777" w:rsidR="00AD5AAC" w:rsidRPr="00AD5AAC" w:rsidRDefault="00AD5AAC" w:rsidP="00AD5AAC">
            <w:pPr>
              <w:spacing w:line="240" w:lineRule="auto"/>
              <w:jc w:val="center"/>
              <w:rPr>
                <w:b/>
                <w:bCs/>
                <w:color w:val="000000"/>
                <w:lang w:eastAsia="en-GB"/>
              </w:rPr>
            </w:pPr>
            <w:r w:rsidRPr="00AD5AAC">
              <w:rPr>
                <w:b/>
                <w:bCs/>
                <w:color w:val="000000"/>
                <w:lang w:eastAsia="en-GB"/>
              </w:rPr>
              <w:t xml:space="preserve">Period </w:t>
            </w:r>
          </w:p>
        </w:tc>
        <w:tc>
          <w:tcPr>
            <w:tcW w:w="1820" w:type="dxa"/>
            <w:tcBorders>
              <w:top w:val="single" w:sz="4" w:space="0" w:color="auto"/>
              <w:left w:val="nil"/>
              <w:bottom w:val="single" w:sz="4" w:space="0" w:color="auto"/>
              <w:right w:val="single" w:sz="4" w:space="0" w:color="auto"/>
            </w:tcBorders>
            <w:shd w:val="clear" w:color="auto" w:fill="auto"/>
            <w:noWrap/>
            <w:vAlign w:val="bottom"/>
            <w:hideMark/>
          </w:tcPr>
          <w:p w14:paraId="3FE09E97" w14:textId="77777777" w:rsidR="00AD5AAC" w:rsidRPr="00AD5AAC" w:rsidRDefault="00AD5AAC" w:rsidP="00AD5AAC">
            <w:pPr>
              <w:spacing w:line="240" w:lineRule="auto"/>
              <w:jc w:val="center"/>
              <w:rPr>
                <w:b/>
                <w:bCs/>
                <w:color w:val="000000"/>
                <w:lang w:eastAsia="en-GB"/>
              </w:rPr>
            </w:pPr>
            <w:r w:rsidRPr="00AD5AAC">
              <w:rPr>
                <w:b/>
                <w:bCs/>
                <w:color w:val="000000"/>
                <w:lang w:eastAsia="en-GB"/>
              </w:rPr>
              <w:t xml:space="preserve">Cash flow </w:t>
            </w:r>
          </w:p>
        </w:tc>
        <w:tc>
          <w:tcPr>
            <w:tcW w:w="2800" w:type="dxa"/>
            <w:tcBorders>
              <w:top w:val="single" w:sz="4" w:space="0" w:color="auto"/>
              <w:left w:val="nil"/>
              <w:bottom w:val="single" w:sz="4" w:space="0" w:color="auto"/>
              <w:right w:val="single" w:sz="4" w:space="0" w:color="auto"/>
            </w:tcBorders>
            <w:shd w:val="clear" w:color="auto" w:fill="auto"/>
            <w:noWrap/>
            <w:vAlign w:val="bottom"/>
            <w:hideMark/>
          </w:tcPr>
          <w:p w14:paraId="2730E1F8" w14:textId="77777777" w:rsidR="00AD5AAC" w:rsidRPr="00AD5AAC" w:rsidRDefault="00AD5AAC" w:rsidP="00AD5AAC">
            <w:pPr>
              <w:spacing w:line="240" w:lineRule="auto"/>
              <w:jc w:val="center"/>
              <w:rPr>
                <w:b/>
                <w:bCs/>
                <w:color w:val="000000"/>
                <w:lang w:eastAsia="en-GB"/>
              </w:rPr>
            </w:pPr>
            <w:r w:rsidRPr="00AD5AAC">
              <w:rPr>
                <w:b/>
                <w:bCs/>
                <w:color w:val="000000"/>
                <w:lang w:eastAsia="en-GB"/>
              </w:rPr>
              <w:t>Discounting factor</w:t>
            </w:r>
          </w:p>
        </w:tc>
        <w:tc>
          <w:tcPr>
            <w:tcW w:w="2040" w:type="dxa"/>
            <w:tcBorders>
              <w:top w:val="single" w:sz="4" w:space="0" w:color="auto"/>
              <w:left w:val="nil"/>
              <w:bottom w:val="single" w:sz="4" w:space="0" w:color="auto"/>
              <w:right w:val="single" w:sz="4" w:space="0" w:color="auto"/>
            </w:tcBorders>
            <w:shd w:val="clear" w:color="auto" w:fill="auto"/>
            <w:noWrap/>
            <w:vAlign w:val="bottom"/>
            <w:hideMark/>
          </w:tcPr>
          <w:p w14:paraId="1959BC24" w14:textId="77777777" w:rsidR="00AD5AAC" w:rsidRPr="00AD5AAC" w:rsidRDefault="00AD5AAC" w:rsidP="00AD5AAC">
            <w:pPr>
              <w:spacing w:line="240" w:lineRule="auto"/>
              <w:jc w:val="center"/>
              <w:rPr>
                <w:b/>
                <w:bCs/>
                <w:color w:val="000000"/>
                <w:lang w:eastAsia="en-GB"/>
              </w:rPr>
            </w:pPr>
            <w:r w:rsidRPr="00AD5AAC">
              <w:rPr>
                <w:b/>
                <w:bCs/>
                <w:color w:val="000000"/>
                <w:lang w:eastAsia="en-GB"/>
              </w:rPr>
              <w:t xml:space="preserve">Present value </w:t>
            </w:r>
          </w:p>
        </w:tc>
      </w:tr>
      <w:tr w:rsidR="00AD5AAC" w:rsidRPr="00AD5AAC" w14:paraId="7D5405B2" w14:textId="77777777" w:rsidTr="00AD5AAC">
        <w:trPr>
          <w:trHeight w:val="312"/>
          <w:jc w:val="center"/>
        </w:trPr>
        <w:tc>
          <w:tcPr>
            <w:tcW w:w="1360" w:type="dxa"/>
            <w:tcBorders>
              <w:top w:val="nil"/>
              <w:left w:val="single" w:sz="4" w:space="0" w:color="auto"/>
              <w:bottom w:val="single" w:sz="4" w:space="0" w:color="auto"/>
              <w:right w:val="single" w:sz="4" w:space="0" w:color="auto"/>
            </w:tcBorders>
            <w:shd w:val="clear" w:color="auto" w:fill="auto"/>
            <w:noWrap/>
            <w:vAlign w:val="bottom"/>
            <w:hideMark/>
          </w:tcPr>
          <w:p w14:paraId="0C740287" w14:textId="77777777" w:rsidR="00AD5AAC" w:rsidRPr="00AD5AAC" w:rsidRDefault="00AD5AAC" w:rsidP="00AD5AAC">
            <w:pPr>
              <w:spacing w:line="240" w:lineRule="auto"/>
              <w:jc w:val="right"/>
              <w:rPr>
                <w:color w:val="000000"/>
                <w:lang w:eastAsia="en-GB"/>
              </w:rPr>
            </w:pPr>
            <w:r w:rsidRPr="00AD5AAC">
              <w:rPr>
                <w:color w:val="000000"/>
                <w:lang w:eastAsia="en-GB"/>
              </w:rPr>
              <w:t>1</w:t>
            </w:r>
          </w:p>
        </w:tc>
        <w:tc>
          <w:tcPr>
            <w:tcW w:w="1820" w:type="dxa"/>
            <w:tcBorders>
              <w:top w:val="nil"/>
              <w:left w:val="nil"/>
              <w:bottom w:val="single" w:sz="4" w:space="0" w:color="auto"/>
              <w:right w:val="single" w:sz="4" w:space="0" w:color="auto"/>
            </w:tcBorders>
            <w:shd w:val="clear" w:color="auto" w:fill="auto"/>
            <w:noWrap/>
            <w:vAlign w:val="bottom"/>
            <w:hideMark/>
          </w:tcPr>
          <w:p w14:paraId="5991AB4A" w14:textId="77777777" w:rsidR="00AD5AAC" w:rsidRPr="00AD5AAC" w:rsidRDefault="00AD5AAC" w:rsidP="00AD5AAC">
            <w:pPr>
              <w:spacing w:line="240" w:lineRule="auto"/>
              <w:jc w:val="right"/>
              <w:rPr>
                <w:color w:val="000000"/>
                <w:lang w:eastAsia="en-GB"/>
              </w:rPr>
            </w:pPr>
            <w:r w:rsidRPr="00AD5AAC">
              <w:rPr>
                <w:color w:val="000000"/>
                <w:lang w:eastAsia="en-GB"/>
              </w:rPr>
              <w:t>2750</w:t>
            </w:r>
          </w:p>
        </w:tc>
        <w:tc>
          <w:tcPr>
            <w:tcW w:w="2800" w:type="dxa"/>
            <w:tcBorders>
              <w:top w:val="nil"/>
              <w:left w:val="nil"/>
              <w:bottom w:val="single" w:sz="4" w:space="0" w:color="auto"/>
              <w:right w:val="single" w:sz="4" w:space="0" w:color="auto"/>
            </w:tcBorders>
            <w:shd w:val="clear" w:color="auto" w:fill="auto"/>
            <w:noWrap/>
            <w:vAlign w:val="bottom"/>
            <w:hideMark/>
          </w:tcPr>
          <w:p w14:paraId="44652334" w14:textId="77777777" w:rsidR="00AD5AAC" w:rsidRPr="00AD5AAC" w:rsidRDefault="00AD5AAC" w:rsidP="00AD5AAC">
            <w:pPr>
              <w:spacing w:line="240" w:lineRule="auto"/>
              <w:jc w:val="right"/>
              <w:rPr>
                <w:color w:val="000000"/>
                <w:lang w:eastAsia="en-GB"/>
              </w:rPr>
            </w:pPr>
            <w:r w:rsidRPr="00AD5AAC">
              <w:rPr>
                <w:color w:val="000000"/>
                <w:lang w:eastAsia="en-GB"/>
              </w:rPr>
              <w:t>0.992</w:t>
            </w:r>
          </w:p>
        </w:tc>
        <w:tc>
          <w:tcPr>
            <w:tcW w:w="2040" w:type="dxa"/>
            <w:tcBorders>
              <w:top w:val="nil"/>
              <w:left w:val="nil"/>
              <w:bottom w:val="single" w:sz="4" w:space="0" w:color="auto"/>
              <w:right w:val="single" w:sz="4" w:space="0" w:color="auto"/>
            </w:tcBorders>
            <w:shd w:val="clear" w:color="auto" w:fill="auto"/>
            <w:noWrap/>
            <w:vAlign w:val="bottom"/>
            <w:hideMark/>
          </w:tcPr>
          <w:p w14:paraId="77045C40" w14:textId="77777777" w:rsidR="00AD5AAC" w:rsidRPr="00AD5AAC" w:rsidRDefault="00AD5AAC" w:rsidP="00AD5AAC">
            <w:pPr>
              <w:spacing w:line="240" w:lineRule="auto"/>
              <w:jc w:val="right"/>
              <w:rPr>
                <w:color w:val="000000"/>
                <w:lang w:eastAsia="en-GB"/>
              </w:rPr>
            </w:pPr>
            <w:r w:rsidRPr="00AD5AAC">
              <w:rPr>
                <w:color w:val="000000"/>
                <w:lang w:eastAsia="en-GB"/>
              </w:rPr>
              <w:t>2728.00</w:t>
            </w:r>
          </w:p>
        </w:tc>
      </w:tr>
      <w:tr w:rsidR="00AD5AAC" w:rsidRPr="00AD5AAC" w14:paraId="696D5628" w14:textId="77777777" w:rsidTr="00AD5AAC">
        <w:trPr>
          <w:trHeight w:val="312"/>
          <w:jc w:val="center"/>
        </w:trPr>
        <w:tc>
          <w:tcPr>
            <w:tcW w:w="1360" w:type="dxa"/>
            <w:tcBorders>
              <w:top w:val="nil"/>
              <w:left w:val="single" w:sz="4" w:space="0" w:color="auto"/>
              <w:bottom w:val="single" w:sz="4" w:space="0" w:color="auto"/>
              <w:right w:val="single" w:sz="4" w:space="0" w:color="auto"/>
            </w:tcBorders>
            <w:shd w:val="clear" w:color="auto" w:fill="auto"/>
            <w:noWrap/>
            <w:vAlign w:val="bottom"/>
            <w:hideMark/>
          </w:tcPr>
          <w:p w14:paraId="1B6B8703" w14:textId="77777777" w:rsidR="00AD5AAC" w:rsidRPr="00AD5AAC" w:rsidRDefault="00AD5AAC" w:rsidP="00AD5AAC">
            <w:pPr>
              <w:spacing w:line="240" w:lineRule="auto"/>
              <w:jc w:val="right"/>
              <w:rPr>
                <w:color w:val="000000"/>
                <w:lang w:eastAsia="en-GB"/>
              </w:rPr>
            </w:pPr>
            <w:r w:rsidRPr="00AD5AAC">
              <w:rPr>
                <w:color w:val="000000"/>
                <w:lang w:eastAsia="en-GB"/>
              </w:rPr>
              <w:t>2</w:t>
            </w:r>
          </w:p>
        </w:tc>
        <w:tc>
          <w:tcPr>
            <w:tcW w:w="1820" w:type="dxa"/>
            <w:tcBorders>
              <w:top w:val="nil"/>
              <w:left w:val="nil"/>
              <w:bottom w:val="single" w:sz="4" w:space="0" w:color="auto"/>
              <w:right w:val="single" w:sz="4" w:space="0" w:color="auto"/>
            </w:tcBorders>
            <w:shd w:val="clear" w:color="auto" w:fill="auto"/>
            <w:noWrap/>
            <w:vAlign w:val="bottom"/>
            <w:hideMark/>
          </w:tcPr>
          <w:p w14:paraId="07272F9F" w14:textId="77777777" w:rsidR="00AD5AAC" w:rsidRPr="00AD5AAC" w:rsidRDefault="00AD5AAC" w:rsidP="00AD5AAC">
            <w:pPr>
              <w:spacing w:line="240" w:lineRule="auto"/>
              <w:jc w:val="right"/>
              <w:rPr>
                <w:color w:val="000000"/>
                <w:lang w:eastAsia="en-GB"/>
              </w:rPr>
            </w:pPr>
            <w:r w:rsidRPr="00AD5AAC">
              <w:rPr>
                <w:color w:val="000000"/>
                <w:lang w:eastAsia="en-GB"/>
              </w:rPr>
              <w:t>2200</w:t>
            </w:r>
          </w:p>
        </w:tc>
        <w:tc>
          <w:tcPr>
            <w:tcW w:w="2800" w:type="dxa"/>
            <w:tcBorders>
              <w:top w:val="nil"/>
              <w:left w:val="nil"/>
              <w:bottom w:val="single" w:sz="4" w:space="0" w:color="auto"/>
              <w:right w:val="single" w:sz="4" w:space="0" w:color="auto"/>
            </w:tcBorders>
            <w:shd w:val="clear" w:color="auto" w:fill="auto"/>
            <w:noWrap/>
            <w:vAlign w:val="bottom"/>
            <w:hideMark/>
          </w:tcPr>
          <w:p w14:paraId="055A9CB7" w14:textId="77777777" w:rsidR="00AD5AAC" w:rsidRPr="00AD5AAC" w:rsidRDefault="00AD5AAC" w:rsidP="00AD5AAC">
            <w:pPr>
              <w:spacing w:line="240" w:lineRule="auto"/>
              <w:jc w:val="right"/>
              <w:rPr>
                <w:color w:val="000000"/>
                <w:lang w:eastAsia="en-GB"/>
              </w:rPr>
            </w:pPr>
            <w:r w:rsidRPr="00AD5AAC">
              <w:rPr>
                <w:color w:val="000000"/>
                <w:lang w:eastAsia="en-GB"/>
              </w:rPr>
              <w:t>0.985</w:t>
            </w:r>
          </w:p>
        </w:tc>
        <w:tc>
          <w:tcPr>
            <w:tcW w:w="2040" w:type="dxa"/>
            <w:tcBorders>
              <w:top w:val="nil"/>
              <w:left w:val="nil"/>
              <w:bottom w:val="single" w:sz="4" w:space="0" w:color="auto"/>
              <w:right w:val="single" w:sz="4" w:space="0" w:color="auto"/>
            </w:tcBorders>
            <w:shd w:val="clear" w:color="auto" w:fill="auto"/>
            <w:noWrap/>
            <w:vAlign w:val="bottom"/>
            <w:hideMark/>
          </w:tcPr>
          <w:p w14:paraId="003AC392" w14:textId="77777777" w:rsidR="00AD5AAC" w:rsidRPr="00AD5AAC" w:rsidRDefault="00AD5AAC" w:rsidP="00AD5AAC">
            <w:pPr>
              <w:spacing w:line="240" w:lineRule="auto"/>
              <w:jc w:val="right"/>
              <w:rPr>
                <w:color w:val="000000"/>
                <w:lang w:eastAsia="en-GB"/>
              </w:rPr>
            </w:pPr>
            <w:r w:rsidRPr="00AD5AAC">
              <w:rPr>
                <w:color w:val="000000"/>
                <w:lang w:eastAsia="en-GB"/>
              </w:rPr>
              <w:t>2167.00</w:t>
            </w:r>
          </w:p>
        </w:tc>
      </w:tr>
      <w:tr w:rsidR="00AD5AAC" w:rsidRPr="00AD5AAC" w14:paraId="49BBF8AC" w14:textId="77777777" w:rsidTr="00AD5AAC">
        <w:trPr>
          <w:trHeight w:val="312"/>
          <w:jc w:val="center"/>
        </w:trPr>
        <w:tc>
          <w:tcPr>
            <w:tcW w:w="1360" w:type="dxa"/>
            <w:tcBorders>
              <w:top w:val="nil"/>
              <w:left w:val="single" w:sz="4" w:space="0" w:color="auto"/>
              <w:bottom w:val="single" w:sz="4" w:space="0" w:color="auto"/>
              <w:right w:val="single" w:sz="4" w:space="0" w:color="auto"/>
            </w:tcBorders>
            <w:shd w:val="clear" w:color="auto" w:fill="auto"/>
            <w:noWrap/>
            <w:vAlign w:val="bottom"/>
            <w:hideMark/>
          </w:tcPr>
          <w:p w14:paraId="228F3D7D" w14:textId="77777777" w:rsidR="00AD5AAC" w:rsidRPr="00AD5AAC" w:rsidRDefault="00AD5AAC" w:rsidP="00AD5AAC">
            <w:pPr>
              <w:spacing w:line="240" w:lineRule="auto"/>
              <w:jc w:val="right"/>
              <w:rPr>
                <w:b/>
                <w:bCs/>
                <w:color w:val="000000"/>
                <w:lang w:eastAsia="en-GB"/>
              </w:rPr>
            </w:pPr>
            <w:r w:rsidRPr="00AD5AAC">
              <w:rPr>
                <w:b/>
                <w:bCs/>
                <w:color w:val="000000"/>
                <w:lang w:eastAsia="en-GB"/>
              </w:rPr>
              <w:t>3</w:t>
            </w:r>
          </w:p>
        </w:tc>
        <w:tc>
          <w:tcPr>
            <w:tcW w:w="1820" w:type="dxa"/>
            <w:tcBorders>
              <w:top w:val="nil"/>
              <w:left w:val="nil"/>
              <w:bottom w:val="single" w:sz="4" w:space="0" w:color="auto"/>
              <w:right w:val="single" w:sz="4" w:space="0" w:color="auto"/>
            </w:tcBorders>
            <w:shd w:val="clear" w:color="auto" w:fill="auto"/>
            <w:noWrap/>
            <w:vAlign w:val="bottom"/>
            <w:hideMark/>
          </w:tcPr>
          <w:p w14:paraId="6C36970F" w14:textId="77777777" w:rsidR="00AD5AAC" w:rsidRPr="00AD5AAC" w:rsidRDefault="00AD5AAC" w:rsidP="00AD5AAC">
            <w:pPr>
              <w:spacing w:line="240" w:lineRule="auto"/>
              <w:jc w:val="right"/>
              <w:rPr>
                <w:b/>
                <w:bCs/>
                <w:color w:val="000000"/>
                <w:lang w:eastAsia="en-GB"/>
              </w:rPr>
            </w:pPr>
            <w:r w:rsidRPr="00AD5AAC">
              <w:rPr>
                <w:b/>
                <w:bCs/>
                <w:color w:val="000000"/>
                <w:lang w:eastAsia="en-GB"/>
              </w:rPr>
              <w:t>1100</w:t>
            </w:r>
          </w:p>
        </w:tc>
        <w:tc>
          <w:tcPr>
            <w:tcW w:w="2800" w:type="dxa"/>
            <w:tcBorders>
              <w:top w:val="nil"/>
              <w:left w:val="nil"/>
              <w:bottom w:val="single" w:sz="4" w:space="0" w:color="auto"/>
              <w:right w:val="single" w:sz="4" w:space="0" w:color="auto"/>
            </w:tcBorders>
            <w:shd w:val="clear" w:color="auto" w:fill="auto"/>
            <w:noWrap/>
            <w:vAlign w:val="bottom"/>
            <w:hideMark/>
          </w:tcPr>
          <w:p w14:paraId="054E1290" w14:textId="77777777" w:rsidR="00AD5AAC" w:rsidRPr="00AD5AAC" w:rsidRDefault="00AD5AAC" w:rsidP="00AD5AAC">
            <w:pPr>
              <w:spacing w:line="240" w:lineRule="auto"/>
              <w:jc w:val="right"/>
              <w:rPr>
                <w:color w:val="000000"/>
                <w:lang w:eastAsia="en-GB"/>
              </w:rPr>
            </w:pPr>
            <w:r w:rsidRPr="00AD5AAC">
              <w:rPr>
                <w:color w:val="000000"/>
                <w:lang w:eastAsia="en-GB"/>
              </w:rPr>
              <w:t>0.977</w:t>
            </w:r>
          </w:p>
        </w:tc>
        <w:tc>
          <w:tcPr>
            <w:tcW w:w="2040" w:type="dxa"/>
            <w:tcBorders>
              <w:top w:val="nil"/>
              <w:left w:val="nil"/>
              <w:bottom w:val="single" w:sz="4" w:space="0" w:color="auto"/>
              <w:right w:val="single" w:sz="4" w:space="0" w:color="auto"/>
            </w:tcBorders>
            <w:shd w:val="clear" w:color="auto" w:fill="auto"/>
            <w:noWrap/>
            <w:vAlign w:val="bottom"/>
            <w:hideMark/>
          </w:tcPr>
          <w:p w14:paraId="1F2AD862" w14:textId="77777777" w:rsidR="00AD5AAC" w:rsidRPr="00AD5AAC" w:rsidRDefault="00AD5AAC" w:rsidP="00AD5AAC">
            <w:pPr>
              <w:spacing w:line="240" w:lineRule="auto"/>
              <w:jc w:val="right"/>
              <w:rPr>
                <w:color w:val="000000"/>
                <w:lang w:eastAsia="en-GB"/>
              </w:rPr>
            </w:pPr>
            <w:r w:rsidRPr="00AD5AAC">
              <w:rPr>
                <w:color w:val="000000"/>
                <w:lang w:eastAsia="en-GB"/>
              </w:rPr>
              <w:t>1074.70</w:t>
            </w:r>
          </w:p>
        </w:tc>
      </w:tr>
      <w:tr w:rsidR="00AD5AAC" w:rsidRPr="00AD5AAC" w14:paraId="4689B290" w14:textId="77777777" w:rsidTr="00AD5AAC">
        <w:trPr>
          <w:trHeight w:val="312"/>
          <w:jc w:val="center"/>
        </w:trPr>
        <w:tc>
          <w:tcPr>
            <w:tcW w:w="1360" w:type="dxa"/>
            <w:tcBorders>
              <w:top w:val="nil"/>
              <w:left w:val="single" w:sz="4" w:space="0" w:color="auto"/>
              <w:bottom w:val="single" w:sz="4" w:space="0" w:color="auto"/>
              <w:right w:val="single" w:sz="4" w:space="0" w:color="auto"/>
            </w:tcBorders>
            <w:shd w:val="clear" w:color="auto" w:fill="auto"/>
            <w:noWrap/>
            <w:vAlign w:val="bottom"/>
            <w:hideMark/>
          </w:tcPr>
          <w:p w14:paraId="4B3FCCDA" w14:textId="77777777" w:rsidR="00AD5AAC" w:rsidRPr="00AD5AAC" w:rsidRDefault="00AD5AAC" w:rsidP="00AD5AAC">
            <w:pPr>
              <w:spacing w:line="240" w:lineRule="auto"/>
              <w:jc w:val="right"/>
              <w:rPr>
                <w:color w:val="000000"/>
                <w:lang w:eastAsia="en-GB"/>
              </w:rPr>
            </w:pPr>
            <w:r w:rsidRPr="00AD5AAC">
              <w:rPr>
                <w:color w:val="000000"/>
                <w:lang w:eastAsia="en-GB"/>
              </w:rPr>
              <w:t>4</w:t>
            </w:r>
          </w:p>
        </w:tc>
        <w:tc>
          <w:tcPr>
            <w:tcW w:w="1820" w:type="dxa"/>
            <w:tcBorders>
              <w:top w:val="nil"/>
              <w:left w:val="nil"/>
              <w:bottom w:val="single" w:sz="4" w:space="0" w:color="auto"/>
              <w:right w:val="single" w:sz="4" w:space="0" w:color="auto"/>
            </w:tcBorders>
            <w:shd w:val="clear" w:color="auto" w:fill="auto"/>
            <w:noWrap/>
            <w:vAlign w:val="bottom"/>
            <w:hideMark/>
          </w:tcPr>
          <w:p w14:paraId="69A2B663" w14:textId="77777777" w:rsidR="00AD5AAC" w:rsidRPr="00AD5AAC" w:rsidRDefault="00AD5AAC" w:rsidP="00AD5AAC">
            <w:pPr>
              <w:spacing w:line="240" w:lineRule="auto"/>
              <w:jc w:val="right"/>
              <w:rPr>
                <w:color w:val="000000"/>
                <w:lang w:eastAsia="en-GB"/>
              </w:rPr>
            </w:pPr>
            <w:r w:rsidRPr="00AD5AAC">
              <w:rPr>
                <w:color w:val="000000"/>
                <w:lang w:eastAsia="en-GB"/>
              </w:rPr>
              <w:t>-486.2</w:t>
            </w:r>
          </w:p>
        </w:tc>
        <w:tc>
          <w:tcPr>
            <w:tcW w:w="2800" w:type="dxa"/>
            <w:tcBorders>
              <w:top w:val="nil"/>
              <w:left w:val="nil"/>
              <w:bottom w:val="single" w:sz="4" w:space="0" w:color="auto"/>
              <w:right w:val="single" w:sz="4" w:space="0" w:color="auto"/>
            </w:tcBorders>
            <w:shd w:val="clear" w:color="auto" w:fill="auto"/>
            <w:noWrap/>
            <w:vAlign w:val="bottom"/>
            <w:hideMark/>
          </w:tcPr>
          <w:p w14:paraId="223BE316" w14:textId="77777777" w:rsidR="00AD5AAC" w:rsidRPr="00AD5AAC" w:rsidRDefault="00AD5AAC" w:rsidP="00AD5AAC">
            <w:pPr>
              <w:spacing w:line="240" w:lineRule="auto"/>
              <w:jc w:val="right"/>
              <w:rPr>
                <w:color w:val="000000"/>
                <w:lang w:eastAsia="en-GB"/>
              </w:rPr>
            </w:pPr>
            <w:r w:rsidRPr="00AD5AAC">
              <w:rPr>
                <w:color w:val="000000"/>
                <w:lang w:eastAsia="en-GB"/>
              </w:rPr>
              <w:t>0.97</w:t>
            </w:r>
          </w:p>
        </w:tc>
        <w:tc>
          <w:tcPr>
            <w:tcW w:w="2040" w:type="dxa"/>
            <w:tcBorders>
              <w:top w:val="nil"/>
              <w:left w:val="nil"/>
              <w:bottom w:val="single" w:sz="4" w:space="0" w:color="auto"/>
              <w:right w:val="single" w:sz="4" w:space="0" w:color="auto"/>
            </w:tcBorders>
            <w:shd w:val="clear" w:color="auto" w:fill="auto"/>
            <w:noWrap/>
            <w:vAlign w:val="bottom"/>
            <w:hideMark/>
          </w:tcPr>
          <w:p w14:paraId="6E8384C7" w14:textId="77777777" w:rsidR="00AD5AAC" w:rsidRPr="00AD5AAC" w:rsidRDefault="00AD5AAC" w:rsidP="00AD5AAC">
            <w:pPr>
              <w:spacing w:line="240" w:lineRule="auto"/>
              <w:jc w:val="right"/>
              <w:rPr>
                <w:color w:val="000000"/>
                <w:lang w:eastAsia="en-GB"/>
              </w:rPr>
            </w:pPr>
            <w:r w:rsidRPr="00AD5AAC">
              <w:rPr>
                <w:color w:val="000000"/>
                <w:lang w:eastAsia="en-GB"/>
              </w:rPr>
              <w:t>-471.61</w:t>
            </w:r>
          </w:p>
        </w:tc>
      </w:tr>
      <w:tr w:rsidR="00AD5AAC" w:rsidRPr="00AD5AAC" w14:paraId="4E622EB4" w14:textId="77777777" w:rsidTr="00AD5AAC">
        <w:trPr>
          <w:trHeight w:val="312"/>
          <w:jc w:val="center"/>
        </w:trPr>
        <w:tc>
          <w:tcPr>
            <w:tcW w:w="1360" w:type="dxa"/>
            <w:tcBorders>
              <w:top w:val="nil"/>
              <w:left w:val="single" w:sz="4" w:space="0" w:color="auto"/>
              <w:bottom w:val="single" w:sz="4" w:space="0" w:color="auto"/>
              <w:right w:val="single" w:sz="4" w:space="0" w:color="auto"/>
            </w:tcBorders>
            <w:shd w:val="clear" w:color="auto" w:fill="auto"/>
            <w:noWrap/>
            <w:vAlign w:val="bottom"/>
            <w:hideMark/>
          </w:tcPr>
          <w:p w14:paraId="2B942A49" w14:textId="77777777" w:rsidR="00AD5AAC" w:rsidRPr="00AD5AAC" w:rsidRDefault="00AD5AAC" w:rsidP="00AD5AAC">
            <w:pPr>
              <w:spacing w:line="240" w:lineRule="auto"/>
              <w:jc w:val="left"/>
              <w:rPr>
                <w:color w:val="000000"/>
                <w:lang w:eastAsia="en-GB"/>
              </w:rPr>
            </w:pPr>
            <w:r w:rsidRPr="00AD5AAC">
              <w:rPr>
                <w:color w:val="000000"/>
                <w:lang w:eastAsia="en-GB"/>
              </w:rPr>
              <w:t> </w:t>
            </w:r>
          </w:p>
        </w:tc>
        <w:tc>
          <w:tcPr>
            <w:tcW w:w="1820" w:type="dxa"/>
            <w:tcBorders>
              <w:top w:val="nil"/>
              <w:left w:val="nil"/>
              <w:bottom w:val="single" w:sz="4" w:space="0" w:color="auto"/>
              <w:right w:val="single" w:sz="4" w:space="0" w:color="auto"/>
            </w:tcBorders>
            <w:shd w:val="clear" w:color="auto" w:fill="auto"/>
            <w:noWrap/>
            <w:vAlign w:val="bottom"/>
            <w:hideMark/>
          </w:tcPr>
          <w:p w14:paraId="6E27028A" w14:textId="77777777" w:rsidR="00AD5AAC" w:rsidRPr="00AD5AAC" w:rsidRDefault="00AD5AAC" w:rsidP="00AD5AAC">
            <w:pPr>
              <w:spacing w:line="240" w:lineRule="auto"/>
              <w:jc w:val="left"/>
              <w:rPr>
                <w:color w:val="000000"/>
                <w:lang w:eastAsia="en-GB"/>
              </w:rPr>
            </w:pPr>
            <w:r w:rsidRPr="00AD5AAC">
              <w:rPr>
                <w:color w:val="000000"/>
                <w:lang w:eastAsia="en-GB"/>
              </w:rPr>
              <w:t> </w:t>
            </w:r>
          </w:p>
        </w:tc>
        <w:tc>
          <w:tcPr>
            <w:tcW w:w="2800" w:type="dxa"/>
            <w:tcBorders>
              <w:top w:val="nil"/>
              <w:left w:val="nil"/>
              <w:bottom w:val="single" w:sz="4" w:space="0" w:color="auto"/>
              <w:right w:val="single" w:sz="4" w:space="0" w:color="auto"/>
            </w:tcBorders>
            <w:shd w:val="clear" w:color="auto" w:fill="auto"/>
            <w:noWrap/>
            <w:vAlign w:val="bottom"/>
            <w:hideMark/>
          </w:tcPr>
          <w:p w14:paraId="69996808" w14:textId="77777777" w:rsidR="00AD5AAC" w:rsidRPr="00AD5AAC" w:rsidRDefault="00AD5AAC" w:rsidP="00AD5AAC">
            <w:pPr>
              <w:spacing w:line="240" w:lineRule="auto"/>
              <w:jc w:val="left"/>
              <w:rPr>
                <w:color w:val="000000"/>
                <w:lang w:eastAsia="en-GB"/>
              </w:rPr>
            </w:pPr>
            <w:r w:rsidRPr="00AD5AAC">
              <w:rPr>
                <w:color w:val="000000"/>
                <w:lang w:eastAsia="en-GB"/>
              </w:rPr>
              <w:t xml:space="preserve">Present value </w:t>
            </w:r>
          </w:p>
        </w:tc>
        <w:tc>
          <w:tcPr>
            <w:tcW w:w="2040" w:type="dxa"/>
            <w:tcBorders>
              <w:top w:val="nil"/>
              <w:left w:val="nil"/>
              <w:bottom w:val="single" w:sz="4" w:space="0" w:color="auto"/>
              <w:right w:val="single" w:sz="4" w:space="0" w:color="auto"/>
            </w:tcBorders>
            <w:shd w:val="clear" w:color="auto" w:fill="auto"/>
            <w:noWrap/>
            <w:vAlign w:val="bottom"/>
            <w:hideMark/>
          </w:tcPr>
          <w:p w14:paraId="3D38FD82" w14:textId="77777777" w:rsidR="00AD5AAC" w:rsidRPr="00AD5AAC" w:rsidRDefault="00AD5AAC" w:rsidP="00AD5AAC">
            <w:pPr>
              <w:spacing w:line="240" w:lineRule="auto"/>
              <w:jc w:val="right"/>
              <w:rPr>
                <w:color w:val="000000"/>
                <w:lang w:eastAsia="en-GB"/>
              </w:rPr>
            </w:pPr>
            <w:r w:rsidRPr="00AD5AAC">
              <w:rPr>
                <w:color w:val="000000"/>
                <w:lang w:eastAsia="en-GB"/>
              </w:rPr>
              <w:t>5498.09</w:t>
            </w:r>
          </w:p>
        </w:tc>
      </w:tr>
      <w:tr w:rsidR="00AD5AAC" w:rsidRPr="00AD5AAC" w14:paraId="1A8E5313" w14:textId="77777777" w:rsidTr="00AD5AAC">
        <w:trPr>
          <w:trHeight w:val="312"/>
          <w:jc w:val="center"/>
        </w:trPr>
        <w:tc>
          <w:tcPr>
            <w:tcW w:w="1360" w:type="dxa"/>
            <w:tcBorders>
              <w:top w:val="nil"/>
              <w:left w:val="single" w:sz="4" w:space="0" w:color="auto"/>
              <w:bottom w:val="single" w:sz="4" w:space="0" w:color="auto"/>
              <w:right w:val="single" w:sz="4" w:space="0" w:color="auto"/>
            </w:tcBorders>
            <w:shd w:val="clear" w:color="auto" w:fill="auto"/>
            <w:noWrap/>
            <w:vAlign w:val="bottom"/>
            <w:hideMark/>
          </w:tcPr>
          <w:p w14:paraId="27A69E5C" w14:textId="77777777" w:rsidR="00AD5AAC" w:rsidRPr="00AD5AAC" w:rsidRDefault="00AD5AAC" w:rsidP="00AD5AAC">
            <w:pPr>
              <w:spacing w:line="240" w:lineRule="auto"/>
              <w:jc w:val="left"/>
              <w:rPr>
                <w:color w:val="000000"/>
                <w:lang w:eastAsia="en-GB"/>
              </w:rPr>
            </w:pPr>
            <w:r w:rsidRPr="00AD5AAC">
              <w:rPr>
                <w:color w:val="000000"/>
                <w:lang w:eastAsia="en-GB"/>
              </w:rPr>
              <w:t> </w:t>
            </w:r>
          </w:p>
        </w:tc>
        <w:tc>
          <w:tcPr>
            <w:tcW w:w="1820" w:type="dxa"/>
            <w:tcBorders>
              <w:top w:val="nil"/>
              <w:left w:val="nil"/>
              <w:bottom w:val="single" w:sz="4" w:space="0" w:color="auto"/>
              <w:right w:val="single" w:sz="4" w:space="0" w:color="auto"/>
            </w:tcBorders>
            <w:shd w:val="clear" w:color="auto" w:fill="auto"/>
            <w:noWrap/>
            <w:vAlign w:val="bottom"/>
            <w:hideMark/>
          </w:tcPr>
          <w:p w14:paraId="3E1609A3" w14:textId="77777777" w:rsidR="00AD5AAC" w:rsidRPr="00AD5AAC" w:rsidRDefault="00AD5AAC" w:rsidP="00AD5AAC">
            <w:pPr>
              <w:spacing w:line="240" w:lineRule="auto"/>
              <w:jc w:val="left"/>
              <w:rPr>
                <w:color w:val="000000"/>
                <w:lang w:eastAsia="en-GB"/>
              </w:rPr>
            </w:pPr>
            <w:r w:rsidRPr="00AD5AAC">
              <w:rPr>
                <w:color w:val="000000"/>
                <w:lang w:eastAsia="en-GB"/>
              </w:rPr>
              <w:t> </w:t>
            </w:r>
          </w:p>
        </w:tc>
        <w:tc>
          <w:tcPr>
            <w:tcW w:w="2800" w:type="dxa"/>
            <w:tcBorders>
              <w:top w:val="nil"/>
              <w:left w:val="nil"/>
              <w:bottom w:val="single" w:sz="4" w:space="0" w:color="auto"/>
              <w:right w:val="single" w:sz="4" w:space="0" w:color="auto"/>
            </w:tcBorders>
            <w:shd w:val="clear" w:color="auto" w:fill="auto"/>
            <w:noWrap/>
            <w:vAlign w:val="bottom"/>
            <w:hideMark/>
          </w:tcPr>
          <w:p w14:paraId="6E7C805D" w14:textId="77777777" w:rsidR="00AD5AAC" w:rsidRPr="00AD5AAC" w:rsidRDefault="00AD5AAC" w:rsidP="00AD5AAC">
            <w:pPr>
              <w:spacing w:line="240" w:lineRule="auto"/>
              <w:jc w:val="left"/>
              <w:rPr>
                <w:color w:val="000000"/>
                <w:lang w:eastAsia="en-GB"/>
              </w:rPr>
            </w:pPr>
            <w:r w:rsidRPr="00AD5AAC">
              <w:rPr>
                <w:color w:val="000000"/>
                <w:lang w:eastAsia="en-GB"/>
              </w:rPr>
              <w:t xml:space="preserve">Less: Initial investment </w:t>
            </w:r>
          </w:p>
        </w:tc>
        <w:tc>
          <w:tcPr>
            <w:tcW w:w="2040" w:type="dxa"/>
            <w:tcBorders>
              <w:top w:val="nil"/>
              <w:left w:val="nil"/>
              <w:bottom w:val="single" w:sz="4" w:space="0" w:color="auto"/>
              <w:right w:val="single" w:sz="4" w:space="0" w:color="auto"/>
            </w:tcBorders>
            <w:shd w:val="clear" w:color="auto" w:fill="auto"/>
            <w:noWrap/>
            <w:vAlign w:val="bottom"/>
            <w:hideMark/>
          </w:tcPr>
          <w:p w14:paraId="39555AEF" w14:textId="77777777" w:rsidR="00AD5AAC" w:rsidRPr="00AD5AAC" w:rsidRDefault="00AD5AAC" w:rsidP="00AD5AAC">
            <w:pPr>
              <w:spacing w:line="240" w:lineRule="auto"/>
              <w:jc w:val="right"/>
              <w:rPr>
                <w:color w:val="000000"/>
                <w:lang w:eastAsia="en-GB"/>
              </w:rPr>
            </w:pPr>
            <w:r w:rsidRPr="00AD5AAC">
              <w:rPr>
                <w:color w:val="000000"/>
                <w:lang w:eastAsia="en-GB"/>
              </w:rPr>
              <w:t>5500.00</w:t>
            </w:r>
          </w:p>
        </w:tc>
      </w:tr>
      <w:tr w:rsidR="00AD5AAC" w:rsidRPr="00AD5AAC" w14:paraId="719F225C" w14:textId="77777777" w:rsidTr="00AD5AAC">
        <w:trPr>
          <w:trHeight w:val="312"/>
          <w:jc w:val="center"/>
        </w:trPr>
        <w:tc>
          <w:tcPr>
            <w:tcW w:w="1360" w:type="dxa"/>
            <w:tcBorders>
              <w:top w:val="nil"/>
              <w:left w:val="single" w:sz="4" w:space="0" w:color="auto"/>
              <w:bottom w:val="single" w:sz="4" w:space="0" w:color="auto"/>
              <w:right w:val="single" w:sz="4" w:space="0" w:color="auto"/>
            </w:tcBorders>
            <w:shd w:val="clear" w:color="auto" w:fill="auto"/>
            <w:noWrap/>
            <w:vAlign w:val="bottom"/>
            <w:hideMark/>
          </w:tcPr>
          <w:p w14:paraId="6115C7FB" w14:textId="77777777" w:rsidR="00AD5AAC" w:rsidRPr="00AD5AAC" w:rsidRDefault="00AD5AAC" w:rsidP="00AD5AAC">
            <w:pPr>
              <w:spacing w:line="240" w:lineRule="auto"/>
              <w:jc w:val="left"/>
              <w:rPr>
                <w:color w:val="000000"/>
                <w:lang w:eastAsia="en-GB"/>
              </w:rPr>
            </w:pPr>
            <w:r w:rsidRPr="00AD5AAC">
              <w:rPr>
                <w:color w:val="000000"/>
                <w:lang w:eastAsia="en-GB"/>
              </w:rPr>
              <w:t> </w:t>
            </w:r>
          </w:p>
        </w:tc>
        <w:tc>
          <w:tcPr>
            <w:tcW w:w="1820" w:type="dxa"/>
            <w:tcBorders>
              <w:top w:val="nil"/>
              <w:left w:val="nil"/>
              <w:bottom w:val="single" w:sz="4" w:space="0" w:color="auto"/>
              <w:right w:val="single" w:sz="4" w:space="0" w:color="auto"/>
            </w:tcBorders>
            <w:shd w:val="clear" w:color="auto" w:fill="auto"/>
            <w:noWrap/>
            <w:vAlign w:val="bottom"/>
            <w:hideMark/>
          </w:tcPr>
          <w:p w14:paraId="1BA5DE59" w14:textId="77777777" w:rsidR="00AD5AAC" w:rsidRPr="00AD5AAC" w:rsidRDefault="00AD5AAC" w:rsidP="00AD5AAC">
            <w:pPr>
              <w:spacing w:line="240" w:lineRule="auto"/>
              <w:jc w:val="left"/>
              <w:rPr>
                <w:color w:val="000000"/>
                <w:lang w:eastAsia="en-GB"/>
              </w:rPr>
            </w:pPr>
            <w:r w:rsidRPr="00AD5AAC">
              <w:rPr>
                <w:color w:val="000000"/>
                <w:lang w:eastAsia="en-GB"/>
              </w:rPr>
              <w:t> </w:t>
            </w:r>
          </w:p>
        </w:tc>
        <w:tc>
          <w:tcPr>
            <w:tcW w:w="2800" w:type="dxa"/>
            <w:tcBorders>
              <w:top w:val="nil"/>
              <w:left w:val="nil"/>
              <w:bottom w:val="single" w:sz="4" w:space="0" w:color="auto"/>
              <w:right w:val="single" w:sz="4" w:space="0" w:color="auto"/>
            </w:tcBorders>
            <w:shd w:val="clear" w:color="auto" w:fill="auto"/>
            <w:noWrap/>
            <w:vAlign w:val="bottom"/>
            <w:hideMark/>
          </w:tcPr>
          <w:p w14:paraId="454FC0F7" w14:textId="77777777" w:rsidR="00AD5AAC" w:rsidRPr="00AD5AAC" w:rsidRDefault="00AD5AAC" w:rsidP="00AD5AAC">
            <w:pPr>
              <w:spacing w:line="240" w:lineRule="auto"/>
              <w:jc w:val="left"/>
              <w:rPr>
                <w:color w:val="000000"/>
                <w:lang w:eastAsia="en-GB"/>
              </w:rPr>
            </w:pPr>
            <w:r w:rsidRPr="00AD5AAC">
              <w:rPr>
                <w:color w:val="000000"/>
                <w:lang w:eastAsia="en-GB"/>
              </w:rPr>
              <w:t xml:space="preserve">Net present value </w:t>
            </w:r>
          </w:p>
        </w:tc>
        <w:tc>
          <w:tcPr>
            <w:tcW w:w="2040" w:type="dxa"/>
            <w:tcBorders>
              <w:top w:val="nil"/>
              <w:left w:val="nil"/>
              <w:bottom w:val="single" w:sz="4" w:space="0" w:color="auto"/>
              <w:right w:val="single" w:sz="4" w:space="0" w:color="auto"/>
            </w:tcBorders>
            <w:shd w:val="clear" w:color="auto" w:fill="auto"/>
            <w:noWrap/>
            <w:vAlign w:val="bottom"/>
            <w:hideMark/>
          </w:tcPr>
          <w:p w14:paraId="1FAAAC42" w14:textId="77777777" w:rsidR="00AD5AAC" w:rsidRPr="00AD5AAC" w:rsidRDefault="00AD5AAC" w:rsidP="00AD5AAC">
            <w:pPr>
              <w:spacing w:line="240" w:lineRule="auto"/>
              <w:jc w:val="right"/>
              <w:rPr>
                <w:color w:val="000000"/>
                <w:lang w:eastAsia="en-GB"/>
              </w:rPr>
            </w:pPr>
            <w:r w:rsidRPr="00AD5AAC">
              <w:rPr>
                <w:color w:val="000000"/>
                <w:lang w:eastAsia="en-GB"/>
              </w:rPr>
              <w:t>-1.91</w:t>
            </w:r>
          </w:p>
        </w:tc>
      </w:tr>
    </w:tbl>
    <w:p w14:paraId="73E48418" w14:textId="77777777" w:rsidR="008E1B2D" w:rsidRDefault="008E1B2D" w:rsidP="00AD5AAC">
      <w:pPr>
        <w:jc w:val="center"/>
        <w:rPr>
          <w:b/>
        </w:rPr>
      </w:pPr>
    </w:p>
    <w:p w14:paraId="00CCEA2F" w14:textId="77777777" w:rsidR="00AD5AAC" w:rsidRDefault="00AD5AAC">
      <w:pPr>
        <w:rPr>
          <w:b/>
        </w:rPr>
      </w:pPr>
    </w:p>
    <w:p w14:paraId="52381942" w14:textId="77777777" w:rsidR="00241CC7" w:rsidRDefault="00241CC7">
      <w:pPr>
        <w:rPr>
          <w:b/>
        </w:rPr>
      </w:pPr>
    </w:p>
    <w:p w14:paraId="3E6A7A0E" w14:textId="27F3E229" w:rsidR="00B12020" w:rsidRDefault="00D93CD1">
      <w:pPr>
        <w:rPr>
          <w:b/>
        </w:rPr>
      </w:pPr>
      <w:r w:rsidRPr="00CD6CC0">
        <w:rPr>
          <w:b/>
        </w:rPr>
        <w:lastRenderedPageBreak/>
        <w:t xml:space="preserve">Project B </w:t>
      </w:r>
    </w:p>
    <w:tbl>
      <w:tblPr>
        <w:tblW w:w="8020" w:type="dxa"/>
        <w:jc w:val="center"/>
        <w:tblLook w:val="04A0" w:firstRow="1" w:lastRow="0" w:firstColumn="1" w:lastColumn="0" w:noHBand="0" w:noVBand="1"/>
      </w:tblPr>
      <w:tblGrid>
        <w:gridCol w:w="1360"/>
        <w:gridCol w:w="1820"/>
        <w:gridCol w:w="2800"/>
        <w:gridCol w:w="2040"/>
      </w:tblGrid>
      <w:tr w:rsidR="00AD5AAC" w:rsidRPr="00AD5AAC" w14:paraId="71DAD902" w14:textId="77777777" w:rsidTr="00AD5AAC">
        <w:trPr>
          <w:trHeight w:val="312"/>
          <w:jc w:val="center"/>
        </w:trPr>
        <w:tc>
          <w:tcPr>
            <w:tcW w:w="136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4FC8DFF4" w14:textId="77777777" w:rsidR="00AD5AAC" w:rsidRPr="00AD5AAC" w:rsidRDefault="00AD5AAC" w:rsidP="00AD5AAC">
            <w:pPr>
              <w:spacing w:line="240" w:lineRule="auto"/>
              <w:jc w:val="center"/>
              <w:rPr>
                <w:b/>
                <w:bCs/>
                <w:color w:val="000000"/>
                <w:lang w:eastAsia="en-GB"/>
              </w:rPr>
            </w:pPr>
            <w:r w:rsidRPr="00AD5AAC">
              <w:rPr>
                <w:b/>
                <w:bCs/>
                <w:color w:val="000000"/>
                <w:lang w:eastAsia="en-GB"/>
              </w:rPr>
              <w:t xml:space="preserve">Period </w:t>
            </w:r>
          </w:p>
        </w:tc>
        <w:tc>
          <w:tcPr>
            <w:tcW w:w="1820" w:type="dxa"/>
            <w:tcBorders>
              <w:top w:val="single" w:sz="4" w:space="0" w:color="auto"/>
              <w:left w:val="nil"/>
              <w:bottom w:val="single" w:sz="4" w:space="0" w:color="auto"/>
              <w:right w:val="single" w:sz="4" w:space="0" w:color="auto"/>
            </w:tcBorders>
            <w:shd w:val="clear" w:color="auto" w:fill="auto"/>
            <w:noWrap/>
            <w:vAlign w:val="bottom"/>
            <w:hideMark/>
          </w:tcPr>
          <w:p w14:paraId="6844684F" w14:textId="77777777" w:rsidR="00AD5AAC" w:rsidRPr="00AD5AAC" w:rsidRDefault="00AD5AAC" w:rsidP="00AD5AAC">
            <w:pPr>
              <w:spacing w:line="240" w:lineRule="auto"/>
              <w:jc w:val="center"/>
              <w:rPr>
                <w:b/>
                <w:bCs/>
                <w:color w:val="000000"/>
                <w:lang w:eastAsia="en-GB"/>
              </w:rPr>
            </w:pPr>
            <w:r w:rsidRPr="00AD5AAC">
              <w:rPr>
                <w:b/>
                <w:bCs/>
                <w:color w:val="000000"/>
                <w:lang w:eastAsia="en-GB"/>
              </w:rPr>
              <w:t xml:space="preserve">Cash flow </w:t>
            </w:r>
          </w:p>
        </w:tc>
        <w:tc>
          <w:tcPr>
            <w:tcW w:w="2800" w:type="dxa"/>
            <w:tcBorders>
              <w:top w:val="single" w:sz="4" w:space="0" w:color="auto"/>
              <w:left w:val="nil"/>
              <w:bottom w:val="single" w:sz="4" w:space="0" w:color="auto"/>
              <w:right w:val="single" w:sz="4" w:space="0" w:color="auto"/>
            </w:tcBorders>
            <w:shd w:val="clear" w:color="auto" w:fill="auto"/>
            <w:noWrap/>
            <w:vAlign w:val="bottom"/>
            <w:hideMark/>
          </w:tcPr>
          <w:p w14:paraId="23628248" w14:textId="77777777" w:rsidR="00AD5AAC" w:rsidRPr="00AD5AAC" w:rsidRDefault="00AD5AAC" w:rsidP="00AD5AAC">
            <w:pPr>
              <w:spacing w:line="240" w:lineRule="auto"/>
              <w:jc w:val="center"/>
              <w:rPr>
                <w:b/>
                <w:bCs/>
                <w:color w:val="000000"/>
                <w:lang w:eastAsia="en-GB"/>
              </w:rPr>
            </w:pPr>
            <w:r w:rsidRPr="00AD5AAC">
              <w:rPr>
                <w:b/>
                <w:bCs/>
                <w:color w:val="000000"/>
                <w:lang w:eastAsia="en-GB"/>
              </w:rPr>
              <w:t>Discounting factor</w:t>
            </w:r>
          </w:p>
        </w:tc>
        <w:tc>
          <w:tcPr>
            <w:tcW w:w="2040" w:type="dxa"/>
            <w:tcBorders>
              <w:top w:val="single" w:sz="4" w:space="0" w:color="auto"/>
              <w:left w:val="nil"/>
              <w:bottom w:val="single" w:sz="4" w:space="0" w:color="auto"/>
              <w:right w:val="single" w:sz="4" w:space="0" w:color="auto"/>
            </w:tcBorders>
            <w:shd w:val="clear" w:color="auto" w:fill="auto"/>
            <w:noWrap/>
            <w:vAlign w:val="bottom"/>
            <w:hideMark/>
          </w:tcPr>
          <w:p w14:paraId="152CC6FF" w14:textId="77777777" w:rsidR="00AD5AAC" w:rsidRPr="00AD5AAC" w:rsidRDefault="00AD5AAC" w:rsidP="00AD5AAC">
            <w:pPr>
              <w:spacing w:line="240" w:lineRule="auto"/>
              <w:jc w:val="center"/>
              <w:rPr>
                <w:b/>
                <w:bCs/>
                <w:color w:val="000000"/>
                <w:lang w:eastAsia="en-GB"/>
              </w:rPr>
            </w:pPr>
            <w:r w:rsidRPr="00AD5AAC">
              <w:rPr>
                <w:b/>
                <w:bCs/>
                <w:color w:val="000000"/>
                <w:lang w:eastAsia="en-GB"/>
              </w:rPr>
              <w:t xml:space="preserve">Present value </w:t>
            </w:r>
          </w:p>
        </w:tc>
      </w:tr>
      <w:tr w:rsidR="00AD5AAC" w:rsidRPr="00AD5AAC" w14:paraId="160B8107" w14:textId="77777777" w:rsidTr="00AD5AAC">
        <w:trPr>
          <w:trHeight w:val="312"/>
          <w:jc w:val="center"/>
        </w:trPr>
        <w:tc>
          <w:tcPr>
            <w:tcW w:w="1360" w:type="dxa"/>
            <w:tcBorders>
              <w:top w:val="nil"/>
              <w:left w:val="single" w:sz="4" w:space="0" w:color="auto"/>
              <w:bottom w:val="single" w:sz="4" w:space="0" w:color="auto"/>
              <w:right w:val="single" w:sz="4" w:space="0" w:color="auto"/>
            </w:tcBorders>
            <w:shd w:val="clear" w:color="auto" w:fill="auto"/>
            <w:noWrap/>
            <w:vAlign w:val="bottom"/>
            <w:hideMark/>
          </w:tcPr>
          <w:p w14:paraId="73C420A7" w14:textId="77777777" w:rsidR="00AD5AAC" w:rsidRPr="00AD5AAC" w:rsidRDefault="00AD5AAC" w:rsidP="00AD5AAC">
            <w:pPr>
              <w:spacing w:line="240" w:lineRule="auto"/>
              <w:jc w:val="right"/>
              <w:rPr>
                <w:color w:val="000000"/>
                <w:lang w:eastAsia="en-GB"/>
              </w:rPr>
            </w:pPr>
            <w:r w:rsidRPr="00AD5AAC">
              <w:rPr>
                <w:color w:val="000000"/>
                <w:lang w:eastAsia="en-GB"/>
              </w:rPr>
              <w:t>1</w:t>
            </w:r>
          </w:p>
        </w:tc>
        <w:tc>
          <w:tcPr>
            <w:tcW w:w="1820" w:type="dxa"/>
            <w:tcBorders>
              <w:top w:val="nil"/>
              <w:left w:val="nil"/>
              <w:bottom w:val="single" w:sz="4" w:space="0" w:color="auto"/>
              <w:right w:val="single" w:sz="4" w:space="0" w:color="auto"/>
            </w:tcBorders>
            <w:shd w:val="clear" w:color="auto" w:fill="auto"/>
            <w:noWrap/>
            <w:vAlign w:val="bottom"/>
            <w:hideMark/>
          </w:tcPr>
          <w:p w14:paraId="46259B7B" w14:textId="77777777" w:rsidR="00AD5AAC" w:rsidRPr="00AD5AAC" w:rsidRDefault="00AD5AAC" w:rsidP="00AD5AAC">
            <w:pPr>
              <w:spacing w:line="240" w:lineRule="auto"/>
              <w:jc w:val="right"/>
              <w:rPr>
                <w:color w:val="000000"/>
                <w:lang w:eastAsia="en-GB"/>
              </w:rPr>
            </w:pPr>
            <w:r w:rsidRPr="00AD5AAC">
              <w:rPr>
                <w:color w:val="000000"/>
                <w:lang w:eastAsia="en-GB"/>
              </w:rPr>
              <w:t>1650</w:t>
            </w:r>
          </w:p>
        </w:tc>
        <w:tc>
          <w:tcPr>
            <w:tcW w:w="2800" w:type="dxa"/>
            <w:tcBorders>
              <w:top w:val="nil"/>
              <w:left w:val="nil"/>
              <w:bottom w:val="single" w:sz="4" w:space="0" w:color="auto"/>
              <w:right w:val="single" w:sz="4" w:space="0" w:color="auto"/>
            </w:tcBorders>
            <w:shd w:val="clear" w:color="auto" w:fill="auto"/>
            <w:noWrap/>
            <w:vAlign w:val="bottom"/>
            <w:hideMark/>
          </w:tcPr>
          <w:p w14:paraId="2BCA9E6B" w14:textId="77777777" w:rsidR="00AD5AAC" w:rsidRPr="00AD5AAC" w:rsidRDefault="00AD5AAC" w:rsidP="00AD5AAC">
            <w:pPr>
              <w:spacing w:line="240" w:lineRule="auto"/>
              <w:jc w:val="right"/>
              <w:rPr>
                <w:color w:val="000000"/>
                <w:lang w:eastAsia="en-GB"/>
              </w:rPr>
            </w:pPr>
            <w:r w:rsidRPr="00AD5AAC">
              <w:rPr>
                <w:color w:val="000000"/>
                <w:lang w:eastAsia="en-GB"/>
              </w:rPr>
              <w:t>0.992</w:t>
            </w:r>
          </w:p>
        </w:tc>
        <w:tc>
          <w:tcPr>
            <w:tcW w:w="2040" w:type="dxa"/>
            <w:tcBorders>
              <w:top w:val="nil"/>
              <w:left w:val="nil"/>
              <w:bottom w:val="single" w:sz="4" w:space="0" w:color="auto"/>
              <w:right w:val="single" w:sz="4" w:space="0" w:color="auto"/>
            </w:tcBorders>
            <w:shd w:val="clear" w:color="auto" w:fill="auto"/>
            <w:noWrap/>
            <w:vAlign w:val="bottom"/>
            <w:hideMark/>
          </w:tcPr>
          <w:p w14:paraId="172C3575" w14:textId="77777777" w:rsidR="00AD5AAC" w:rsidRPr="00AD5AAC" w:rsidRDefault="00AD5AAC" w:rsidP="00AD5AAC">
            <w:pPr>
              <w:spacing w:line="240" w:lineRule="auto"/>
              <w:jc w:val="right"/>
              <w:rPr>
                <w:color w:val="000000"/>
                <w:lang w:eastAsia="en-GB"/>
              </w:rPr>
            </w:pPr>
            <w:r w:rsidRPr="00AD5AAC">
              <w:rPr>
                <w:color w:val="000000"/>
                <w:lang w:eastAsia="en-GB"/>
              </w:rPr>
              <w:t>1636.80</w:t>
            </w:r>
          </w:p>
        </w:tc>
      </w:tr>
      <w:tr w:rsidR="00AD5AAC" w:rsidRPr="00AD5AAC" w14:paraId="28F31A53" w14:textId="77777777" w:rsidTr="00AD5AAC">
        <w:trPr>
          <w:trHeight w:val="312"/>
          <w:jc w:val="center"/>
        </w:trPr>
        <w:tc>
          <w:tcPr>
            <w:tcW w:w="1360" w:type="dxa"/>
            <w:tcBorders>
              <w:top w:val="nil"/>
              <w:left w:val="single" w:sz="4" w:space="0" w:color="auto"/>
              <w:bottom w:val="single" w:sz="4" w:space="0" w:color="auto"/>
              <w:right w:val="single" w:sz="4" w:space="0" w:color="auto"/>
            </w:tcBorders>
            <w:shd w:val="clear" w:color="auto" w:fill="auto"/>
            <w:noWrap/>
            <w:vAlign w:val="bottom"/>
            <w:hideMark/>
          </w:tcPr>
          <w:p w14:paraId="5261B3DF" w14:textId="77777777" w:rsidR="00AD5AAC" w:rsidRPr="00AD5AAC" w:rsidRDefault="00AD5AAC" w:rsidP="00AD5AAC">
            <w:pPr>
              <w:spacing w:line="240" w:lineRule="auto"/>
              <w:jc w:val="right"/>
              <w:rPr>
                <w:color w:val="000000"/>
                <w:lang w:eastAsia="en-GB"/>
              </w:rPr>
            </w:pPr>
            <w:r w:rsidRPr="00AD5AAC">
              <w:rPr>
                <w:color w:val="000000"/>
                <w:lang w:eastAsia="en-GB"/>
              </w:rPr>
              <w:t>2</w:t>
            </w:r>
          </w:p>
        </w:tc>
        <w:tc>
          <w:tcPr>
            <w:tcW w:w="1820" w:type="dxa"/>
            <w:tcBorders>
              <w:top w:val="nil"/>
              <w:left w:val="nil"/>
              <w:bottom w:val="single" w:sz="4" w:space="0" w:color="auto"/>
              <w:right w:val="single" w:sz="4" w:space="0" w:color="auto"/>
            </w:tcBorders>
            <w:shd w:val="clear" w:color="auto" w:fill="auto"/>
            <w:noWrap/>
            <w:vAlign w:val="bottom"/>
            <w:hideMark/>
          </w:tcPr>
          <w:p w14:paraId="093E530C" w14:textId="77777777" w:rsidR="00AD5AAC" w:rsidRPr="00AD5AAC" w:rsidRDefault="00AD5AAC" w:rsidP="00AD5AAC">
            <w:pPr>
              <w:spacing w:line="240" w:lineRule="auto"/>
              <w:jc w:val="right"/>
              <w:rPr>
                <w:color w:val="000000"/>
                <w:lang w:eastAsia="en-GB"/>
              </w:rPr>
            </w:pPr>
            <w:r w:rsidRPr="00AD5AAC">
              <w:rPr>
                <w:color w:val="000000"/>
                <w:lang w:eastAsia="en-GB"/>
              </w:rPr>
              <w:t>1100</w:t>
            </w:r>
          </w:p>
        </w:tc>
        <w:tc>
          <w:tcPr>
            <w:tcW w:w="2800" w:type="dxa"/>
            <w:tcBorders>
              <w:top w:val="nil"/>
              <w:left w:val="nil"/>
              <w:bottom w:val="single" w:sz="4" w:space="0" w:color="auto"/>
              <w:right w:val="single" w:sz="4" w:space="0" w:color="auto"/>
            </w:tcBorders>
            <w:shd w:val="clear" w:color="auto" w:fill="auto"/>
            <w:noWrap/>
            <w:vAlign w:val="bottom"/>
            <w:hideMark/>
          </w:tcPr>
          <w:p w14:paraId="3704AF74" w14:textId="77777777" w:rsidR="00AD5AAC" w:rsidRPr="00AD5AAC" w:rsidRDefault="00AD5AAC" w:rsidP="00AD5AAC">
            <w:pPr>
              <w:spacing w:line="240" w:lineRule="auto"/>
              <w:jc w:val="right"/>
              <w:rPr>
                <w:color w:val="000000"/>
                <w:lang w:eastAsia="en-GB"/>
              </w:rPr>
            </w:pPr>
            <w:r w:rsidRPr="00AD5AAC">
              <w:rPr>
                <w:color w:val="000000"/>
                <w:lang w:eastAsia="en-GB"/>
              </w:rPr>
              <w:t>0.985</w:t>
            </w:r>
          </w:p>
        </w:tc>
        <w:tc>
          <w:tcPr>
            <w:tcW w:w="2040" w:type="dxa"/>
            <w:tcBorders>
              <w:top w:val="nil"/>
              <w:left w:val="nil"/>
              <w:bottom w:val="single" w:sz="4" w:space="0" w:color="auto"/>
              <w:right w:val="single" w:sz="4" w:space="0" w:color="auto"/>
            </w:tcBorders>
            <w:shd w:val="clear" w:color="auto" w:fill="auto"/>
            <w:noWrap/>
            <w:vAlign w:val="bottom"/>
            <w:hideMark/>
          </w:tcPr>
          <w:p w14:paraId="49CBC28B" w14:textId="77777777" w:rsidR="00AD5AAC" w:rsidRPr="00AD5AAC" w:rsidRDefault="00AD5AAC" w:rsidP="00AD5AAC">
            <w:pPr>
              <w:spacing w:line="240" w:lineRule="auto"/>
              <w:jc w:val="right"/>
              <w:rPr>
                <w:color w:val="000000"/>
                <w:lang w:eastAsia="en-GB"/>
              </w:rPr>
            </w:pPr>
            <w:r w:rsidRPr="00AD5AAC">
              <w:rPr>
                <w:color w:val="000000"/>
                <w:lang w:eastAsia="en-GB"/>
              </w:rPr>
              <w:t>1083.50</w:t>
            </w:r>
          </w:p>
        </w:tc>
      </w:tr>
      <w:tr w:rsidR="00AD5AAC" w:rsidRPr="00AD5AAC" w14:paraId="35D8951E" w14:textId="77777777" w:rsidTr="00AD5AAC">
        <w:trPr>
          <w:trHeight w:val="312"/>
          <w:jc w:val="center"/>
        </w:trPr>
        <w:tc>
          <w:tcPr>
            <w:tcW w:w="1360" w:type="dxa"/>
            <w:tcBorders>
              <w:top w:val="nil"/>
              <w:left w:val="single" w:sz="4" w:space="0" w:color="auto"/>
              <w:bottom w:val="single" w:sz="4" w:space="0" w:color="auto"/>
              <w:right w:val="single" w:sz="4" w:space="0" w:color="auto"/>
            </w:tcBorders>
            <w:shd w:val="clear" w:color="auto" w:fill="auto"/>
            <w:noWrap/>
            <w:vAlign w:val="bottom"/>
            <w:hideMark/>
          </w:tcPr>
          <w:p w14:paraId="1145B51A" w14:textId="77777777" w:rsidR="00AD5AAC" w:rsidRPr="00AD5AAC" w:rsidRDefault="00AD5AAC" w:rsidP="00AD5AAC">
            <w:pPr>
              <w:spacing w:line="240" w:lineRule="auto"/>
              <w:jc w:val="right"/>
              <w:rPr>
                <w:b/>
                <w:bCs/>
                <w:color w:val="000000"/>
                <w:lang w:eastAsia="en-GB"/>
              </w:rPr>
            </w:pPr>
            <w:r w:rsidRPr="00AD5AAC">
              <w:rPr>
                <w:b/>
                <w:bCs/>
                <w:color w:val="000000"/>
                <w:lang w:eastAsia="en-GB"/>
              </w:rPr>
              <w:t>3</w:t>
            </w:r>
          </w:p>
        </w:tc>
        <w:tc>
          <w:tcPr>
            <w:tcW w:w="1820" w:type="dxa"/>
            <w:tcBorders>
              <w:top w:val="nil"/>
              <w:left w:val="nil"/>
              <w:bottom w:val="single" w:sz="4" w:space="0" w:color="auto"/>
              <w:right w:val="single" w:sz="4" w:space="0" w:color="auto"/>
            </w:tcBorders>
            <w:shd w:val="clear" w:color="auto" w:fill="auto"/>
            <w:noWrap/>
            <w:vAlign w:val="bottom"/>
            <w:hideMark/>
          </w:tcPr>
          <w:p w14:paraId="3A415CD8" w14:textId="77777777" w:rsidR="00AD5AAC" w:rsidRPr="00AD5AAC" w:rsidRDefault="00AD5AAC" w:rsidP="00AD5AAC">
            <w:pPr>
              <w:spacing w:line="240" w:lineRule="auto"/>
              <w:jc w:val="right"/>
              <w:rPr>
                <w:b/>
                <w:bCs/>
                <w:color w:val="000000"/>
                <w:lang w:eastAsia="en-GB"/>
              </w:rPr>
            </w:pPr>
            <w:r w:rsidRPr="00AD5AAC">
              <w:rPr>
                <w:b/>
                <w:bCs/>
                <w:color w:val="000000"/>
                <w:lang w:eastAsia="en-GB"/>
              </w:rPr>
              <w:t>1100</w:t>
            </w:r>
          </w:p>
        </w:tc>
        <w:tc>
          <w:tcPr>
            <w:tcW w:w="2800" w:type="dxa"/>
            <w:tcBorders>
              <w:top w:val="nil"/>
              <w:left w:val="nil"/>
              <w:bottom w:val="single" w:sz="4" w:space="0" w:color="auto"/>
              <w:right w:val="single" w:sz="4" w:space="0" w:color="auto"/>
            </w:tcBorders>
            <w:shd w:val="clear" w:color="auto" w:fill="auto"/>
            <w:noWrap/>
            <w:vAlign w:val="bottom"/>
            <w:hideMark/>
          </w:tcPr>
          <w:p w14:paraId="78939F5C" w14:textId="77777777" w:rsidR="00AD5AAC" w:rsidRPr="00AD5AAC" w:rsidRDefault="00AD5AAC" w:rsidP="00AD5AAC">
            <w:pPr>
              <w:spacing w:line="240" w:lineRule="auto"/>
              <w:jc w:val="right"/>
              <w:rPr>
                <w:color w:val="000000"/>
                <w:lang w:eastAsia="en-GB"/>
              </w:rPr>
            </w:pPr>
            <w:r w:rsidRPr="00AD5AAC">
              <w:rPr>
                <w:color w:val="000000"/>
                <w:lang w:eastAsia="en-GB"/>
              </w:rPr>
              <w:t>0.977</w:t>
            </w:r>
          </w:p>
        </w:tc>
        <w:tc>
          <w:tcPr>
            <w:tcW w:w="2040" w:type="dxa"/>
            <w:tcBorders>
              <w:top w:val="nil"/>
              <w:left w:val="nil"/>
              <w:bottom w:val="single" w:sz="4" w:space="0" w:color="auto"/>
              <w:right w:val="single" w:sz="4" w:space="0" w:color="auto"/>
            </w:tcBorders>
            <w:shd w:val="clear" w:color="auto" w:fill="auto"/>
            <w:noWrap/>
            <w:vAlign w:val="bottom"/>
            <w:hideMark/>
          </w:tcPr>
          <w:p w14:paraId="525584E8" w14:textId="77777777" w:rsidR="00AD5AAC" w:rsidRPr="00AD5AAC" w:rsidRDefault="00AD5AAC" w:rsidP="00AD5AAC">
            <w:pPr>
              <w:spacing w:line="240" w:lineRule="auto"/>
              <w:jc w:val="right"/>
              <w:rPr>
                <w:color w:val="000000"/>
                <w:lang w:eastAsia="en-GB"/>
              </w:rPr>
            </w:pPr>
            <w:r w:rsidRPr="00AD5AAC">
              <w:rPr>
                <w:color w:val="000000"/>
                <w:lang w:eastAsia="en-GB"/>
              </w:rPr>
              <w:t>1074.70</w:t>
            </w:r>
          </w:p>
        </w:tc>
      </w:tr>
      <w:tr w:rsidR="00AD5AAC" w:rsidRPr="00AD5AAC" w14:paraId="42367409" w14:textId="77777777" w:rsidTr="00AD5AAC">
        <w:trPr>
          <w:trHeight w:val="312"/>
          <w:jc w:val="center"/>
        </w:trPr>
        <w:tc>
          <w:tcPr>
            <w:tcW w:w="1360" w:type="dxa"/>
            <w:tcBorders>
              <w:top w:val="nil"/>
              <w:left w:val="single" w:sz="4" w:space="0" w:color="auto"/>
              <w:bottom w:val="single" w:sz="4" w:space="0" w:color="auto"/>
              <w:right w:val="single" w:sz="4" w:space="0" w:color="auto"/>
            </w:tcBorders>
            <w:shd w:val="clear" w:color="auto" w:fill="auto"/>
            <w:noWrap/>
            <w:vAlign w:val="bottom"/>
            <w:hideMark/>
          </w:tcPr>
          <w:p w14:paraId="50DD7BC3" w14:textId="77777777" w:rsidR="00AD5AAC" w:rsidRPr="00AD5AAC" w:rsidRDefault="00AD5AAC" w:rsidP="00AD5AAC">
            <w:pPr>
              <w:spacing w:line="240" w:lineRule="auto"/>
              <w:jc w:val="right"/>
              <w:rPr>
                <w:color w:val="000000"/>
                <w:lang w:eastAsia="en-GB"/>
              </w:rPr>
            </w:pPr>
            <w:r w:rsidRPr="00AD5AAC">
              <w:rPr>
                <w:color w:val="000000"/>
                <w:lang w:eastAsia="en-GB"/>
              </w:rPr>
              <w:t>4</w:t>
            </w:r>
          </w:p>
        </w:tc>
        <w:tc>
          <w:tcPr>
            <w:tcW w:w="1820" w:type="dxa"/>
            <w:tcBorders>
              <w:top w:val="nil"/>
              <w:left w:val="nil"/>
              <w:bottom w:val="single" w:sz="4" w:space="0" w:color="auto"/>
              <w:right w:val="single" w:sz="4" w:space="0" w:color="auto"/>
            </w:tcBorders>
            <w:shd w:val="clear" w:color="auto" w:fill="auto"/>
            <w:noWrap/>
            <w:vAlign w:val="bottom"/>
            <w:hideMark/>
          </w:tcPr>
          <w:p w14:paraId="5BE1B5D7" w14:textId="77777777" w:rsidR="00AD5AAC" w:rsidRPr="00AD5AAC" w:rsidRDefault="00AD5AAC" w:rsidP="00AD5AAC">
            <w:pPr>
              <w:spacing w:line="240" w:lineRule="auto"/>
              <w:jc w:val="right"/>
              <w:rPr>
                <w:color w:val="000000"/>
                <w:lang w:eastAsia="en-GB"/>
              </w:rPr>
            </w:pPr>
            <w:r w:rsidRPr="00AD5AAC">
              <w:rPr>
                <w:color w:val="000000"/>
                <w:lang w:eastAsia="en-GB"/>
              </w:rPr>
              <w:t>-517</w:t>
            </w:r>
          </w:p>
        </w:tc>
        <w:tc>
          <w:tcPr>
            <w:tcW w:w="2800" w:type="dxa"/>
            <w:tcBorders>
              <w:top w:val="nil"/>
              <w:left w:val="nil"/>
              <w:bottom w:val="single" w:sz="4" w:space="0" w:color="auto"/>
              <w:right w:val="single" w:sz="4" w:space="0" w:color="auto"/>
            </w:tcBorders>
            <w:shd w:val="clear" w:color="auto" w:fill="auto"/>
            <w:noWrap/>
            <w:vAlign w:val="bottom"/>
            <w:hideMark/>
          </w:tcPr>
          <w:p w14:paraId="7D09D650" w14:textId="77777777" w:rsidR="00AD5AAC" w:rsidRPr="00AD5AAC" w:rsidRDefault="00AD5AAC" w:rsidP="00AD5AAC">
            <w:pPr>
              <w:spacing w:line="240" w:lineRule="auto"/>
              <w:jc w:val="right"/>
              <w:rPr>
                <w:color w:val="000000"/>
                <w:lang w:eastAsia="en-GB"/>
              </w:rPr>
            </w:pPr>
            <w:r w:rsidRPr="00AD5AAC">
              <w:rPr>
                <w:color w:val="000000"/>
                <w:lang w:eastAsia="en-GB"/>
              </w:rPr>
              <w:t>0.97</w:t>
            </w:r>
          </w:p>
        </w:tc>
        <w:tc>
          <w:tcPr>
            <w:tcW w:w="2040" w:type="dxa"/>
            <w:tcBorders>
              <w:top w:val="nil"/>
              <w:left w:val="nil"/>
              <w:bottom w:val="single" w:sz="4" w:space="0" w:color="auto"/>
              <w:right w:val="single" w:sz="4" w:space="0" w:color="auto"/>
            </w:tcBorders>
            <w:shd w:val="clear" w:color="auto" w:fill="auto"/>
            <w:noWrap/>
            <w:vAlign w:val="bottom"/>
            <w:hideMark/>
          </w:tcPr>
          <w:p w14:paraId="7D6FB9C3" w14:textId="77777777" w:rsidR="00AD5AAC" w:rsidRPr="00AD5AAC" w:rsidRDefault="00AD5AAC" w:rsidP="00AD5AAC">
            <w:pPr>
              <w:spacing w:line="240" w:lineRule="auto"/>
              <w:jc w:val="right"/>
              <w:rPr>
                <w:color w:val="000000"/>
                <w:lang w:eastAsia="en-GB"/>
              </w:rPr>
            </w:pPr>
            <w:r w:rsidRPr="00AD5AAC">
              <w:rPr>
                <w:color w:val="000000"/>
                <w:lang w:eastAsia="en-GB"/>
              </w:rPr>
              <w:t>-501.49</w:t>
            </w:r>
          </w:p>
        </w:tc>
      </w:tr>
      <w:tr w:rsidR="00AD5AAC" w:rsidRPr="00AD5AAC" w14:paraId="5F9FA912" w14:textId="77777777" w:rsidTr="00AD5AAC">
        <w:trPr>
          <w:trHeight w:val="312"/>
          <w:jc w:val="center"/>
        </w:trPr>
        <w:tc>
          <w:tcPr>
            <w:tcW w:w="1360" w:type="dxa"/>
            <w:tcBorders>
              <w:top w:val="nil"/>
              <w:left w:val="single" w:sz="4" w:space="0" w:color="auto"/>
              <w:bottom w:val="single" w:sz="4" w:space="0" w:color="auto"/>
              <w:right w:val="single" w:sz="4" w:space="0" w:color="auto"/>
            </w:tcBorders>
            <w:shd w:val="clear" w:color="auto" w:fill="auto"/>
            <w:noWrap/>
            <w:vAlign w:val="bottom"/>
            <w:hideMark/>
          </w:tcPr>
          <w:p w14:paraId="3E0E6366" w14:textId="77777777" w:rsidR="00AD5AAC" w:rsidRPr="00AD5AAC" w:rsidRDefault="00AD5AAC" w:rsidP="00AD5AAC">
            <w:pPr>
              <w:spacing w:line="240" w:lineRule="auto"/>
              <w:jc w:val="left"/>
              <w:rPr>
                <w:color w:val="000000"/>
                <w:lang w:eastAsia="en-GB"/>
              </w:rPr>
            </w:pPr>
            <w:r w:rsidRPr="00AD5AAC">
              <w:rPr>
                <w:color w:val="000000"/>
                <w:lang w:eastAsia="en-GB"/>
              </w:rPr>
              <w:t> </w:t>
            </w:r>
          </w:p>
        </w:tc>
        <w:tc>
          <w:tcPr>
            <w:tcW w:w="1820" w:type="dxa"/>
            <w:tcBorders>
              <w:top w:val="nil"/>
              <w:left w:val="nil"/>
              <w:bottom w:val="single" w:sz="4" w:space="0" w:color="auto"/>
              <w:right w:val="single" w:sz="4" w:space="0" w:color="auto"/>
            </w:tcBorders>
            <w:shd w:val="clear" w:color="auto" w:fill="auto"/>
            <w:noWrap/>
            <w:vAlign w:val="bottom"/>
            <w:hideMark/>
          </w:tcPr>
          <w:p w14:paraId="490809A2" w14:textId="77777777" w:rsidR="00AD5AAC" w:rsidRPr="00AD5AAC" w:rsidRDefault="00AD5AAC" w:rsidP="00AD5AAC">
            <w:pPr>
              <w:spacing w:line="240" w:lineRule="auto"/>
              <w:jc w:val="left"/>
              <w:rPr>
                <w:color w:val="000000"/>
                <w:lang w:eastAsia="en-GB"/>
              </w:rPr>
            </w:pPr>
            <w:r w:rsidRPr="00AD5AAC">
              <w:rPr>
                <w:color w:val="000000"/>
                <w:lang w:eastAsia="en-GB"/>
              </w:rPr>
              <w:t> </w:t>
            </w:r>
          </w:p>
        </w:tc>
        <w:tc>
          <w:tcPr>
            <w:tcW w:w="2800" w:type="dxa"/>
            <w:tcBorders>
              <w:top w:val="nil"/>
              <w:left w:val="nil"/>
              <w:bottom w:val="single" w:sz="4" w:space="0" w:color="auto"/>
              <w:right w:val="single" w:sz="4" w:space="0" w:color="auto"/>
            </w:tcBorders>
            <w:shd w:val="clear" w:color="auto" w:fill="auto"/>
            <w:noWrap/>
            <w:vAlign w:val="bottom"/>
            <w:hideMark/>
          </w:tcPr>
          <w:p w14:paraId="546673ED" w14:textId="77777777" w:rsidR="00AD5AAC" w:rsidRPr="00AD5AAC" w:rsidRDefault="00AD5AAC" w:rsidP="00AD5AAC">
            <w:pPr>
              <w:spacing w:line="240" w:lineRule="auto"/>
              <w:jc w:val="left"/>
              <w:rPr>
                <w:color w:val="000000"/>
                <w:lang w:eastAsia="en-GB"/>
              </w:rPr>
            </w:pPr>
            <w:r w:rsidRPr="00AD5AAC">
              <w:rPr>
                <w:color w:val="000000"/>
                <w:lang w:eastAsia="en-GB"/>
              </w:rPr>
              <w:t xml:space="preserve">Present value </w:t>
            </w:r>
          </w:p>
        </w:tc>
        <w:tc>
          <w:tcPr>
            <w:tcW w:w="2040" w:type="dxa"/>
            <w:tcBorders>
              <w:top w:val="nil"/>
              <w:left w:val="nil"/>
              <w:bottom w:val="single" w:sz="4" w:space="0" w:color="auto"/>
              <w:right w:val="single" w:sz="4" w:space="0" w:color="auto"/>
            </w:tcBorders>
            <w:shd w:val="clear" w:color="auto" w:fill="auto"/>
            <w:noWrap/>
            <w:vAlign w:val="bottom"/>
            <w:hideMark/>
          </w:tcPr>
          <w:p w14:paraId="797A3066" w14:textId="77777777" w:rsidR="00AD5AAC" w:rsidRPr="00AD5AAC" w:rsidRDefault="00AD5AAC" w:rsidP="00AD5AAC">
            <w:pPr>
              <w:spacing w:line="240" w:lineRule="auto"/>
              <w:jc w:val="right"/>
              <w:rPr>
                <w:color w:val="000000"/>
                <w:lang w:eastAsia="en-GB"/>
              </w:rPr>
            </w:pPr>
            <w:r w:rsidRPr="00AD5AAC">
              <w:rPr>
                <w:color w:val="000000"/>
                <w:lang w:eastAsia="en-GB"/>
              </w:rPr>
              <w:t>3293.51</w:t>
            </w:r>
          </w:p>
        </w:tc>
      </w:tr>
      <w:tr w:rsidR="00AD5AAC" w:rsidRPr="00AD5AAC" w14:paraId="4D7B52AF" w14:textId="77777777" w:rsidTr="00AD5AAC">
        <w:trPr>
          <w:trHeight w:val="312"/>
          <w:jc w:val="center"/>
        </w:trPr>
        <w:tc>
          <w:tcPr>
            <w:tcW w:w="1360" w:type="dxa"/>
            <w:tcBorders>
              <w:top w:val="nil"/>
              <w:left w:val="single" w:sz="4" w:space="0" w:color="auto"/>
              <w:bottom w:val="single" w:sz="4" w:space="0" w:color="auto"/>
              <w:right w:val="single" w:sz="4" w:space="0" w:color="auto"/>
            </w:tcBorders>
            <w:shd w:val="clear" w:color="auto" w:fill="auto"/>
            <w:noWrap/>
            <w:vAlign w:val="bottom"/>
            <w:hideMark/>
          </w:tcPr>
          <w:p w14:paraId="0B2606A9" w14:textId="77777777" w:rsidR="00AD5AAC" w:rsidRPr="00AD5AAC" w:rsidRDefault="00AD5AAC" w:rsidP="00AD5AAC">
            <w:pPr>
              <w:spacing w:line="240" w:lineRule="auto"/>
              <w:jc w:val="left"/>
              <w:rPr>
                <w:color w:val="000000"/>
                <w:lang w:eastAsia="en-GB"/>
              </w:rPr>
            </w:pPr>
            <w:r w:rsidRPr="00AD5AAC">
              <w:rPr>
                <w:color w:val="000000"/>
                <w:lang w:eastAsia="en-GB"/>
              </w:rPr>
              <w:t> </w:t>
            </w:r>
          </w:p>
        </w:tc>
        <w:tc>
          <w:tcPr>
            <w:tcW w:w="1820" w:type="dxa"/>
            <w:tcBorders>
              <w:top w:val="nil"/>
              <w:left w:val="nil"/>
              <w:bottom w:val="single" w:sz="4" w:space="0" w:color="auto"/>
              <w:right w:val="single" w:sz="4" w:space="0" w:color="auto"/>
            </w:tcBorders>
            <w:shd w:val="clear" w:color="auto" w:fill="auto"/>
            <w:noWrap/>
            <w:vAlign w:val="bottom"/>
            <w:hideMark/>
          </w:tcPr>
          <w:p w14:paraId="4CDA432E" w14:textId="77777777" w:rsidR="00AD5AAC" w:rsidRPr="00AD5AAC" w:rsidRDefault="00AD5AAC" w:rsidP="00AD5AAC">
            <w:pPr>
              <w:spacing w:line="240" w:lineRule="auto"/>
              <w:jc w:val="left"/>
              <w:rPr>
                <w:color w:val="000000"/>
                <w:lang w:eastAsia="en-GB"/>
              </w:rPr>
            </w:pPr>
            <w:r w:rsidRPr="00AD5AAC">
              <w:rPr>
                <w:color w:val="000000"/>
                <w:lang w:eastAsia="en-GB"/>
              </w:rPr>
              <w:t> </w:t>
            </w:r>
          </w:p>
        </w:tc>
        <w:tc>
          <w:tcPr>
            <w:tcW w:w="2800" w:type="dxa"/>
            <w:tcBorders>
              <w:top w:val="nil"/>
              <w:left w:val="nil"/>
              <w:bottom w:val="single" w:sz="4" w:space="0" w:color="auto"/>
              <w:right w:val="single" w:sz="4" w:space="0" w:color="auto"/>
            </w:tcBorders>
            <w:shd w:val="clear" w:color="auto" w:fill="auto"/>
            <w:noWrap/>
            <w:vAlign w:val="bottom"/>
            <w:hideMark/>
          </w:tcPr>
          <w:p w14:paraId="6C5027FB" w14:textId="77777777" w:rsidR="00AD5AAC" w:rsidRPr="00AD5AAC" w:rsidRDefault="00AD5AAC" w:rsidP="00AD5AAC">
            <w:pPr>
              <w:spacing w:line="240" w:lineRule="auto"/>
              <w:jc w:val="left"/>
              <w:rPr>
                <w:color w:val="000000"/>
                <w:lang w:eastAsia="en-GB"/>
              </w:rPr>
            </w:pPr>
            <w:r w:rsidRPr="00AD5AAC">
              <w:rPr>
                <w:color w:val="000000"/>
                <w:lang w:eastAsia="en-GB"/>
              </w:rPr>
              <w:t xml:space="preserve">Less: Initial investment </w:t>
            </w:r>
          </w:p>
        </w:tc>
        <w:tc>
          <w:tcPr>
            <w:tcW w:w="2040" w:type="dxa"/>
            <w:tcBorders>
              <w:top w:val="nil"/>
              <w:left w:val="nil"/>
              <w:bottom w:val="single" w:sz="4" w:space="0" w:color="auto"/>
              <w:right w:val="single" w:sz="4" w:space="0" w:color="auto"/>
            </w:tcBorders>
            <w:shd w:val="clear" w:color="auto" w:fill="auto"/>
            <w:noWrap/>
            <w:vAlign w:val="bottom"/>
            <w:hideMark/>
          </w:tcPr>
          <w:p w14:paraId="5A1AB414" w14:textId="77777777" w:rsidR="00AD5AAC" w:rsidRPr="00AD5AAC" w:rsidRDefault="00AD5AAC" w:rsidP="00AD5AAC">
            <w:pPr>
              <w:spacing w:line="240" w:lineRule="auto"/>
              <w:jc w:val="right"/>
              <w:rPr>
                <w:color w:val="000000"/>
                <w:lang w:eastAsia="en-GB"/>
              </w:rPr>
            </w:pPr>
            <w:r w:rsidRPr="00AD5AAC">
              <w:rPr>
                <w:color w:val="000000"/>
                <w:lang w:eastAsia="en-GB"/>
              </w:rPr>
              <w:t>1100.00</w:t>
            </w:r>
          </w:p>
        </w:tc>
      </w:tr>
      <w:tr w:rsidR="00AD5AAC" w:rsidRPr="00AD5AAC" w14:paraId="6FB8A021" w14:textId="77777777" w:rsidTr="00AD5AAC">
        <w:trPr>
          <w:trHeight w:val="312"/>
          <w:jc w:val="center"/>
        </w:trPr>
        <w:tc>
          <w:tcPr>
            <w:tcW w:w="1360" w:type="dxa"/>
            <w:tcBorders>
              <w:top w:val="nil"/>
              <w:left w:val="single" w:sz="4" w:space="0" w:color="auto"/>
              <w:bottom w:val="single" w:sz="4" w:space="0" w:color="auto"/>
              <w:right w:val="single" w:sz="4" w:space="0" w:color="auto"/>
            </w:tcBorders>
            <w:shd w:val="clear" w:color="auto" w:fill="auto"/>
            <w:noWrap/>
            <w:vAlign w:val="bottom"/>
            <w:hideMark/>
          </w:tcPr>
          <w:p w14:paraId="0F1FE13D" w14:textId="77777777" w:rsidR="00AD5AAC" w:rsidRPr="00AD5AAC" w:rsidRDefault="00AD5AAC" w:rsidP="00AD5AAC">
            <w:pPr>
              <w:spacing w:line="240" w:lineRule="auto"/>
              <w:jc w:val="left"/>
              <w:rPr>
                <w:color w:val="000000"/>
                <w:lang w:eastAsia="en-GB"/>
              </w:rPr>
            </w:pPr>
            <w:r w:rsidRPr="00AD5AAC">
              <w:rPr>
                <w:color w:val="000000"/>
                <w:lang w:eastAsia="en-GB"/>
              </w:rPr>
              <w:t> </w:t>
            </w:r>
          </w:p>
        </w:tc>
        <w:tc>
          <w:tcPr>
            <w:tcW w:w="1820" w:type="dxa"/>
            <w:tcBorders>
              <w:top w:val="nil"/>
              <w:left w:val="nil"/>
              <w:bottom w:val="single" w:sz="4" w:space="0" w:color="auto"/>
              <w:right w:val="single" w:sz="4" w:space="0" w:color="auto"/>
            </w:tcBorders>
            <w:shd w:val="clear" w:color="auto" w:fill="auto"/>
            <w:noWrap/>
            <w:vAlign w:val="bottom"/>
            <w:hideMark/>
          </w:tcPr>
          <w:p w14:paraId="55109695" w14:textId="77777777" w:rsidR="00AD5AAC" w:rsidRPr="00AD5AAC" w:rsidRDefault="00AD5AAC" w:rsidP="00AD5AAC">
            <w:pPr>
              <w:spacing w:line="240" w:lineRule="auto"/>
              <w:jc w:val="left"/>
              <w:rPr>
                <w:color w:val="000000"/>
                <w:lang w:eastAsia="en-GB"/>
              </w:rPr>
            </w:pPr>
            <w:r w:rsidRPr="00AD5AAC">
              <w:rPr>
                <w:color w:val="000000"/>
                <w:lang w:eastAsia="en-GB"/>
              </w:rPr>
              <w:t> </w:t>
            </w:r>
          </w:p>
        </w:tc>
        <w:tc>
          <w:tcPr>
            <w:tcW w:w="2800" w:type="dxa"/>
            <w:tcBorders>
              <w:top w:val="nil"/>
              <w:left w:val="nil"/>
              <w:bottom w:val="single" w:sz="4" w:space="0" w:color="auto"/>
              <w:right w:val="single" w:sz="4" w:space="0" w:color="auto"/>
            </w:tcBorders>
            <w:shd w:val="clear" w:color="auto" w:fill="auto"/>
            <w:noWrap/>
            <w:vAlign w:val="bottom"/>
            <w:hideMark/>
          </w:tcPr>
          <w:p w14:paraId="786DBF85" w14:textId="77777777" w:rsidR="00AD5AAC" w:rsidRPr="00AD5AAC" w:rsidRDefault="00AD5AAC" w:rsidP="00AD5AAC">
            <w:pPr>
              <w:spacing w:line="240" w:lineRule="auto"/>
              <w:jc w:val="left"/>
              <w:rPr>
                <w:color w:val="000000"/>
                <w:lang w:eastAsia="en-GB"/>
              </w:rPr>
            </w:pPr>
            <w:r w:rsidRPr="00AD5AAC">
              <w:rPr>
                <w:color w:val="000000"/>
                <w:lang w:eastAsia="en-GB"/>
              </w:rPr>
              <w:t xml:space="preserve">Net present value </w:t>
            </w:r>
          </w:p>
        </w:tc>
        <w:tc>
          <w:tcPr>
            <w:tcW w:w="2040" w:type="dxa"/>
            <w:tcBorders>
              <w:top w:val="nil"/>
              <w:left w:val="nil"/>
              <w:bottom w:val="single" w:sz="4" w:space="0" w:color="auto"/>
              <w:right w:val="single" w:sz="4" w:space="0" w:color="auto"/>
            </w:tcBorders>
            <w:shd w:val="clear" w:color="auto" w:fill="auto"/>
            <w:noWrap/>
            <w:vAlign w:val="bottom"/>
            <w:hideMark/>
          </w:tcPr>
          <w:p w14:paraId="25595903" w14:textId="77777777" w:rsidR="00AD5AAC" w:rsidRPr="00AD5AAC" w:rsidRDefault="00AD5AAC" w:rsidP="00AD5AAC">
            <w:pPr>
              <w:spacing w:line="240" w:lineRule="auto"/>
              <w:jc w:val="right"/>
              <w:rPr>
                <w:color w:val="000000"/>
                <w:lang w:eastAsia="en-GB"/>
              </w:rPr>
            </w:pPr>
            <w:r w:rsidRPr="00AD5AAC">
              <w:rPr>
                <w:color w:val="000000"/>
                <w:lang w:eastAsia="en-GB"/>
              </w:rPr>
              <w:t>2193.51</w:t>
            </w:r>
          </w:p>
        </w:tc>
      </w:tr>
    </w:tbl>
    <w:p w14:paraId="4A9AD0C1" w14:textId="77777777" w:rsidR="00B12020" w:rsidRPr="00CD6CC0" w:rsidRDefault="00B12020">
      <w:pPr>
        <w:rPr>
          <w:b/>
        </w:rPr>
      </w:pPr>
    </w:p>
    <w:p w14:paraId="30474DDD" w14:textId="71EEBE6A" w:rsidR="00B12020" w:rsidRPr="00CD6CC0" w:rsidRDefault="00D93CD1">
      <w:pPr>
        <w:rPr>
          <w:b/>
        </w:rPr>
      </w:pPr>
      <w:r w:rsidRPr="00CD6CC0">
        <w:t xml:space="preserve">In a related to the present identified </w:t>
      </w:r>
      <w:r w:rsidR="0076678B" w:rsidRPr="00CD6CC0">
        <w:t>analysis,</w:t>
      </w:r>
      <w:r w:rsidRPr="00CD6CC0">
        <w:t xml:space="preserve"> it is mainly recognised that with the expansions of initial investment value by 10% and with the expected expansions of 10% annual cash flow for both the project the proper volume of net present value approach is mainly noticed in respect of project B only. It fundamentally indicates with the revised values no such specific alterations regarding the project selections are mainly initiated and the primary results related to both the basic and revised approach are indicating the same results</w:t>
      </w:r>
      <w:r w:rsidR="00493AC6">
        <w:t xml:space="preserve"> (</w:t>
      </w:r>
      <w:r w:rsidR="00493AC6">
        <w:rPr>
          <w:color w:val="000000" w:themeColor="text1"/>
          <w:shd w:val="clear" w:color="auto" w:fill="FFFFFF"/>
        </w:rPr>
        <w:t xml:space="preserve">Shapiro and Hanouna, </w:t>
      </w:r>
      <w:r w:rsidR="00493AC6" w:rsidRPr="00955120">
        <w:rPr>
          <w:color w:val="000000" w:themeColor="text1"/>
          <w:shd w:val="clear" w:color="auto" w:fill="FFFFFF"/>
        </w:rPr>
        <w:t>2019</w:t>
      </w:r>
      <w:r w:rsidR="00493AC6">
        <w:rPr>
          <w:color w:val="000000" w:themeColor="text1"/>
          <w:shd w:val="clear" w:color="auto" w:fill="FFFFFF"/>
        </w:rPr>
        <w:t>)</w:t>
      </w:r>
      <w:r w:rsidRPr="00CD6CC0">
        <w:t xml:space="preserve">. </w:t>
      </w:r>
      <w:r w:rsidR="00CD6CC0" w:rsidRPr="00CD6CC0">
        <w:t>Therefore,</w:t>
      </w:r>
      <w:r w:rsidRPr="00CD6CC0">
        <w:t xml:space="preserve"> initiating an investment in project B will be sufficient and supportive for the management presently. </w:t>
      </w:r>
    </w:p>
    <w:p w14:paraId="3A82D148" w14:textId="36CEA128" w:rsidR="00B12020" w:rsidRPr="00CD6CC0" w:rsidRDefault="00D93CD1" w:rsidP="00860D9C">
      <w:pPr>
        <w:pStyle w:val="Heading2"/>
      </w:pPr>
      <w:bookmarkStart w:id="17" w:name="_Toc162217009"/>
      <w:r w:rsidRPr="00CD6CC0">
        <w:t>3.3 Identify the advantages and shortcomings of individual investment appraisal methods</w:t>
      </w:r>
      <w:bookmarkEnd w:id="17"/>
    </w:p>
    <w:p w14:paraId="47A38143" w14:textId="77777777" w:rsidR="00B12020" w:rsidRPr="00CD6CC0" w:rsidRDefault="00D93CD1">
      <w:pPr>
        <w:rPr>
          <w:b/>
        </w:rPr>
      </w:pPr>
      <w:r w:rsidRPr="00CD6CC0">
        <w:rPr>
          <w:b/>
        </w:rPr>
        <w:t>Pay-Back period</w:t>
      </w:r>
    </w:p>
    <w:p w14:paraId="66A2B377" w14:textId="2F26E516" w:rsidR="00B12020" w:rsidRPr="00CD6CC0" w:rsidRDefault="00D93CD1">
      <w:r w:rsidRPr="00CD6CC0">
        <w:rPr>
          <w:b/>
        </w:rPr>
        <w:t xml:space="preserve">Advantages: </w:t>
      </w:r>
      <w:r w:rsidRPr="00CD6CC0">
        <w:t xml:space="preserve">The primary engagement of this </w:t>
      </w:r>
      <w:r w:rsidR="00254DDD" w:rsidRPr="00CD6CC0">
        <w:t>method</w:t>
      </w:r>
      <w:r w:rsidRPr="00CD6CC0">
        <w:t xml:space="preserve"> compared to other methods is identified as the most simplified and approachable processing which is accountable for determining the business compatibility for every individual project. It is used to provide quick assessment support regarding the compatibility level of the individual project so that the initial investment can proceed</w:t>
      </w:r>
      <w:r w:rsidR="00493AC6">
        <w:t xml:space="preserve"> (</w:t>
      </w:r>
      <w:r w:rsidR="00493AC6">
        <w:rPr>
          <w:color w:val="000000" w:themeColor="text1"/>
          <w:shd w:val="clear" w:color="auto" w:fill="FFFFFF"/>
        </w:rPr>
        <w:t xml:space="preserve">Brigham and Daves, </w:t>
      </w:r>
      <w:r w:rsidR="00493AC6" w:rsidRPr="00955120">
        <w:rPr>
          <w:color w:val="000000" w:themeColor="text1"/>
          <w:shd w:val="clear" w:color="auto" w:fill="FFFFFF"/>
        </w:rPr>
        <w:t>2018</w:t>
      </w:r>
      <w:r w:rsidR="00493AC6">
        <w:rPr>
          <w:color w:val="000000" w:themeColor="text1"/>
          <w:shd w:val="clear" w:color="auto" w:fill="FFFFFF"/>
        </w:rPr>
        <w:t>)</w:t>
      </w:r>
      <w:r w:rsidRPr="00CD6CC0">
        <w:t xml:space="preserve">. It also allowed to determination of a positive amount of risk assessment support which is accountable through the recognition of low recovery period engagement of investment cost. </w:t>
      </w:r>
    </w:p>
    <w:p w14:paraId="18896AF6" w14:textId="33C14BCE" w:rsidR="00D55311" w:rsidRPr="00CE63EC" w:rsidRDefault="00D93CD1">
      <w:r w:rsidRPr="00CD6CC0">
        <w:rPr>
          <w:b/>
        </w:rPr>
        <w:t xml:space="preserve">Shortcomings: </w:t>
      </w:r>
      <w:r w:rsidRPr="00CD6CC0">
        <w:t xml:space="preserve">The presence of this type of analysis generally ignores the time value concept which is accountable for business financial value processing reasons. It also ignores the general volume of cash flows after the payback period and generally determines the basic recovery time cash flows which is not practically effective for business project compatibility determination purposes. It is also subjected to the </w:t>
      </w:r>
      <w:r w:rsidR="00CD6CC0" w:rsidRPr="00CD6CC0">
        <w:t>cut-off</w:t>
      </w:r>
      <w:r w:rsidRPr="00CD6CC0">
        <w:t xml:space="preserve"> on an arbitrary basis which is unable to provide a proper compatibility evaluation benefit.</w:t>
      </w:r>
    </w:p>
    <w:p w14:paraId="47397E00" w14:textId="7765D42B" w:rsidR="00B12020" w:rsidRPr="00CD6CC0" w:rsidRDefault="00D93CD1">
      <w:pPr>
        <w:rPr>
          <w:b/>
        </w:rPr>
      </w:pPr>
      <w:r w:rsidRPr="00CD6CC0">
        <w:rPr>
          <w:b/>
        </w:rPr>
        <w:lastRenderedPageBreak/>
        <w:t>Accounting rate of return</w:t>
      </w:r>
    </w:p>
    <w:p w14:paraId="03A39C65" w14:textId="77777777" w:rsidR="00B12020" w:rsidRPr="00CD6CC0" w:rsidRDefault="00D93CD1">
      <w:r w:rsidRPr="00CD6CC0">
        <w:rPr>
          <w:b/>
        </w:rPr>
        <w:t xml:space="preserve">Advantages: </w:t>
      </w:r>
      <w:r w:rsidRPr="00CD6CC0">
        <w:t>With providing a general significance to the time value of money concept it has been initiated for recognising the discounted positioning support of cash flows and also formulating significance to the entire cash flow positioning support for project compatibility and also the consistency determination reason. It has been applied for maintaining and objectified decision-making purposes which are accountable for business value development</w:t>
      </w:r>
      <w:r w:rsidR="00493AC6">
        <w:t xml:space="preserve"> (</w:t>
      </w:r>
      <w:r w:rsidR="00493AC6">
        <w:rPr>
          <w:color w:val="000000" w:themeColor="text1"/>
          <w:shd w:val="clear" w:color="auto" w:fill="FFFFFF"/>
        </w:rPr>
        <w:t xml:space="preserve">Madura, </w:t>
      </w:r>
      <w:r w:rsidR="00493AC6" w:rsidRPr="00955120">
        <w:rPr>
          <w:color w:val="000000" w:themeColor="text1"/>
          <w:shd w:val="clear" w:color="auto" w:fill="FFFFFF"/>
        </w:rPr>
        <w:t>2020</w:t>
      </w:r>
      <w:r w:rsidR="00493AC6">
        <w:rPr>
          <w:color w:val="000000" w:themeColor="text1"/>
          <w:shd w:val="clear" w:color="auto" w:fill="FFFFFF"/>
        </w:rPr>
        <w:t>)</w:t>
      </w:r>
      <w:r w:rsidRPr="00CD6CC0">
        <w:t xml:space="preserve">. </w:t>
      </w:r>
    </w:p>
    <w:p w14:paraId="36B392BA" w14:textId="77777777" w:rsidR="00B12020" w:rsidRPr="00CD6CC0" w:rsidRDefault="00D93CD1">
      <w:r w:rsidRPr="00CD6CC0">
        <w:rPr>
          <w:b/>
        </w:rPr>
        <w:t xml:space="preserve">Shortcomings: </w:t>
      </w:r>
      <w:r w:rsidRPr="00CD6CC0">
        <w:t xml:space="preserve">The processing of this analysis generally initiates a complex approach for initiating decisions where the volume of investment level is generally differentiated on large aspects. It assumes the constant discount rate position which is unable to provide a compatibility approach to the market positioning. The applicability of this type of analysis is sometimes subjected to buyers which is incapable of effective business compatibility. </w:t>
      </w:r>
    </w:p>
    <w:p w14:paraId="2210C0B7" w14:textId="77777777" w:rsidR="00B12020" w:rsidRPr="00CD6CC0" w:rsidRDefault="00D93CD1">
      <w:pPr>
        <w:rPr>
          <w:b/>
        </w:rPr>
      </w:pPr>
      <w:r w:rsidRPr="00CD6CC0">
        <w:rPr>
          <w:b/>
        </w:rPr>
        <w:t>Net present value</w:t>
      </w:r>
    </w:p>
    <w:p w14:paraId="77BDE978" w14:textId="77777777" w:rsidR="00B12020" w:rsidRPr="00CD6CC0" w:rsidRDefault="00D93CD1">
      <w:r w:rsidRPr="00CD6CC0">
        <w:rPr>
          <w:b/>
        </w:rPr>
        <w:t xml:space="preserve">Advantages: </w:t>
      </w:r>
      <w:r w:rsidRPr="00CD6CC0">
        <w:t>The primary identified approach of this method provides some simplified calculation support which is accountable for maintaining a proper volume of comparative analysis including the business decision-making attribute positioning purpose. It also provides focus on the accounting metric in a comparative developing basis which is optimised for the stakeholder's perspectives</w:t>
      </w:r>
      <w:r w:rsidR="00493AC6">
        <w:t xml:space="preserve"> (</w:t>
      </w:r>
      <w:r w:rsidR="00493AC6" w:rsidRPr="00955120">
        <w:rPr>
          <w:color w:val="000000" w:themeColor="text1"/>
          <w:shd w:val="clear" w:color="auto" w:fill="FFFFFF"/>
        </w:rPr>
        <w:t>Block</w:t>
      </w:r>
      <w:r w:rsidR="00493AC6">
        <w:rPr>
          <w:color w:val="000000" w:themeColor="text1"/>
          <w:shd w:val="clear" w:color="auto" w:fill="FFFFFF"/>
        </w:rPr>
        <w:t xml:space="preserve"> </w:t>
      </w:r>
      <w:r w:rsidR="00493AC6" w:rsidRPr="00493AC6">
        <w:rPr>
          <w:i/>
          <w:color w:val="000000" w:themeColor="text1"/>
          <w:shd w:val="clear" w:color="auto" w:fill="FFFFFF"/>
        </w:rPr>
        <w:t>et al.,</w:t>
      </w:r>
      <w:r w:rsidR="00493AC6">
        <w:rPr>
          <w:color w:val="000000" w:themeColor="text1"/>
          <w:shd w:val="clear" w:color="auto" w:fill="FFFFFF"/>
        </w:rPr>
        <w:t xml:space="preserve"> 2018)</w:t>
      </w:r>
      <w:r w:rsidRPr="00CD6CC0">
        <w:t xml:space="preserve">. </w:t>
      </w:r>
    </w:p>
    <w:p w14:paraId="4BB29B40" w14:textId="77777777" w:rsidR="00B12020" w:rsidRPr="00CD6CC0" w:rsidRDefault="00D93CD1">
      <w:r w:rsidRPr="00CD6CC0">
        <w:rPr>
          <w:b/>
        </w:rPr>
        <w:t xml:space="preserve">Shortcomings: </w:t>
      </w:r>
      <w:r w:rsidRPr="00CD6CC0">
        <w:t xml:space="preserve"> It generally ignores the time value concept of money which is unable to provide a compatibility determination structure of the business's overall financial gain. It also realises the basic accounting figures while considering the approval principles which are sometimes unable to provide the accurate positioning of project compatibility. It also ignores the general volume of cash flow positioning approach which is insufficient for maintaining the business value positioning growth. </w:t>
      </w:r>
    </w:p>
    <w:p w14:paraId="1DFACD6E" w14:textId="72871EE3" w:rsidR="00B12020" w:rsidRPr="00CD6CC0" w:rsidRDefault="00D93CD1" w:rsidP="00860D9C">
      <w:pPr>
        <w:pStyle w:val="Heading2"/>
      </w:pPr>
      <w:bookmarkStart w:id="18" w:name="_Toc162217010"/>
      <w:r w:rsidRPr="00CD6CC0">
        <w:t>3.4 Identification of non-financial factors that management should consider in a business</w:t>
      </w:r>
      <w:bookmarkEnd w:id="18"/>
      <w:r w:rsidRPr="00CD6CC0">
        <w:t xml:space="preserve"> </w:t>
      </w:r>
    </w:p>
    <w:p w14:paraId="39A7AD02" w14:textId="77777777" w:rsidR="00B12020" w:rsidRPr="00254DDD" w:rsidRDefault="00D93CD1">
      <w:pPr>
        <w:rPr>
          <w:color w:val="000000" w:themeColor="text1"/>
        </w:rPr>
      </w:pPr>
      <w:r w:rsidRPr="00254DDD">
        <w:rPr>
          <w:color w:val="000000" w:themeColor="text1"/>
        </w:rPr>
        <w:t>Concerning the basic operating engagement, the managerial department of the business needs to provide a primary focus on the market trend or the market demand approach in a specific order as the dynamic market positions lead to the opportunity for business revenue expansions. Recognising the specific importance of the customer needs in formulating the competitive landscape is one of the primary significant in a business that the management should consider for an optimised development and positioning purpose</w:t>
      </w:r>
      <w:r w:rsidR="00493AC6" w:rsidRPr="00254DDD">
        <w:rPr>
          <w:color w:val="000000" w:themeColor="text1"/>
        </w:rPr>
        <w:t xml:space="preserve"> (</w:t>
      </w:r>
      <w:r w:rsidR="00493AC6" w:rsidRPr="00254DDD">
        <w:rPr>
          <w:color w:val="000000" w:themeColor="text1"/>
          <w:shd w:val="clear" w:color="auto" w:fill="FFFFFF"/>
        </w:rPr>
        <w:t xml:space="preserve">Finkler </w:t>
      </w:r>
      <w:r w:rsidR="00493AC6" w:rsidRPr="00254DDD">
        <w:rPr>
          <w:i/>
          <w:color w:val="000000" w:themeColor="text1"/>
          <w:shd w:val="clear" w:color="auto" w:fill="FFFFFF"/>
        </w:rPr>
        <w:t>et al.,</w:t>
      </w:r>
      <w:r w:rsidR="00493AC6" w:rsidRPr="00254DDD">
        <w:rPr>
          <w:color w:val="000000" w:themeColor="text1"/>
          <w:shd w:val="clear" w:color="auto" w:fill="FFFFFF"/>
        </w:rPr>
        <w:t xml:space="preserve"> 2022)</w:t>
      </w:r>
      <w:r w:rsidRPr="00254DDD">
        <w:rPr>
          <w:color w:val="000000" w:themeColor="text1"/>
        </w:rPr>
        <w:t xml:space="preserve">. </w:t>
      </w:r>
    </w:p>
    <w:p w14:paraId="70A4FA78" w14:textId="77777777" w:rsidR="00B12020" w:rsidRPr="00254DDD" w:rsidRDefault="00D93CD1">
      <w:pPr>
        <w:rPr>
          <w:color w:val="000000" w:themeColor="text1"/>
        </w:rPr>
      </w:pPr>
      <w:r w:rsidRPr="00254DDD">
        <w:rPr>
          <w:color w:val="000000" w:themeColor="text1"/>
        </w:rPr>
        <w:lastRenderedPageBreak/>
        <w:t>In the current area of Technical Advancement importance of the technology formulations including AI engagement is also necessary for the formulations of productions and other initiated engagements. Compliances of regulatory approach including the formulations of human resources need to be initiated in the business for maintenance of cultural development as well as employee satisfaction purpose which ultimately formulates the internal operating development properly</w:t>
      </w:r>
      <w:r w:rsidR="00493AC6" w:rsidRPr="00254DDD">
        <w:rPr>
          <w:color w:val="000000" w:themeColor="text1"/>
        </w:rPr>
        <w:t xml:space="preserve"> (</w:t>
      </w:r>
      <w:r w:rsidR="00493AC6" w:rsidRPr="00254DDD">
        <w:rPr>
          <w:color w:val="000000" w:themeColor="text1"/>
          <w:shd w:val="clear" w:color="auto" w:fill="FFFFFF"/>
        </w:rPr>
        <w:t xml:space="preserve">Jones </w:t>
      </w:r>
      <w:r w:rsidR="00493AC6" w:rsidRPr="00254DDD">
        <w:rPr>
          <w:i/>
          <w:color w:val="000000" w:themeColor="text1"/>
          <w:shd w:val="clear" w:color="auto" w:fill="FFFFFF"/>
        </w:rPr>
        <w:t xml:space="preserve">et al., </w:t>
      </w:r>
      <w:r w:rsidR="00493AC6" w:rsidRPr="00254DDD">
        <w:rPr>
          <w:color w:val="000000" w:themeColor="text1"/>
          <w:shd w:val="clear" w:color="auto" w:fill="FFFFFF"/>
        </w:rPr>
        <w:t>2018)</w:t>
      </w:r>
      <w:r w:rsidRPr="00254DDD">
        <w:rPr>
          <w:color w:val="000000" w:themeColor="text1"/>
        </w:rPr>
        <w:t xml:space="preserve">. With providing significance to risk management approach importance of environment and social impact is also necessary which are generally initiated to formulate the strategic partnership of business in a compatible </w:t>
      </w:r>
      <w:r w:rsidR="00CD6CC0" w:rsidRPr="00254DDD">
        <w:rPr>
          <w:color w:val="000000" w:themeColor="text1"/>
        </w:rPr>
        <w:t>basis</w:t>
      </w:r>
      <w:r w:rsidRPr="00254DDD">
        <w:rPr>
          <w:color w:val="000000" w:themeColor="text1"/>
        </w:rPr>
        <w:t xml:space="preserve">. </w:t>
      </w:r>
    </w:p>
    <w:p w14:paraId="0429B825" w14:textId="77777777" w:rsidR="00493AC6" w:rsidRDefault="00493AC6">
      <w:pPr>
        <w:rPr>
          <w:b/>
        </w:rPr>
      </w:pPr>
      <w:r>
        <w:rPr>
          <w:b/>
        </w:rPr>
        <w:br w:type="page"/>
      </w:r>
    </w:p>
    <w:p w14:paraId="4F8A224E" w14:textId="01EA9815" w:rsidR="00B12020" w:rsidRPr="00CD6CC0" w:rsidRDefault="00D93CD1" w:rsidP="00860D9C">
      <w:pPr>
        <w:pStyle w:val="Heading1"/>
      </w:pPr>
      <w:bookmarkStart w:id="19" w:name="_Toc162217011"/>
      <w:r w:rsidRPr="00CD6CC0">
        <w:lastRenderedPageBreak/>
        <w:t>Conclusion</w:t>
      </w:r>
      <w:bookmarkEnd w:id="19"/>
    </w:p>
    <w:p w14:paraId="0152F364" w14:textId="77777777" w:rsidR="00B12020" w:rsidRDefault="00D93CD1">
      <w:r w:rsidRPr="00CD6CC0">
        <w:t>Overall, the above analysis mai</w:t>
      </w:r>
      <w:r w:rsidR="00493AC6">
        <w:t>nly indicates that the current m</w:t>
      </w:r>
      <w:r w:rsidRPr="00CD6CC0">
        <w:t xml:space="preserve">arketing positions and the overall initiative related to the business of Nokia indicate the optimised value positioning growth in the general market structure. The present financial structure indicates are stable growth position and compared to the competitor it is also supportive and influential for gaining the optimised market of opportunity. The present operating value including the investment appraisal concept which is mainly analysed in this report also represents the contemporary positioning approach in a systematic manner which is influential for the establishing support a business values in a proper basis. </w:t>
      </w:r>
    </w:p>
    <w:p w14:paraId="664FE9C4" w14:textId="77777777" w:rsidR="00860D9C" w:rsidRDefault="00860D9C">
      <w:r>
        <w:br w:type="page"/>
      </w:r>
    </w:p>
    <w:p w14:paraId="22C7E504" w14:textId="77777777" w:rsidR="00860D9C" w:rsidRDefault="00860D9C" w:rsidP="00860D9C">
      <w:pPr>
        <w:pStyle w:val="Heading1"/>
      </w:pPr>
      <w:bookmarkStart w:id="20" w:name="_Toc162217012"/>
      <w:r>
        <w:lastRenderedPageBreak/>
        <w:t>References</w:t>
      </w:r>
      <w:bookmarkEnd w:id="20"/>
      <w:r>
        <w:t xml:space="preserve"> </w:t>
      </w:r>
    </w:p>
    <w:p w14:paraId="69A97D1A" w14:textId="54299F69" w:rsidR="00860D9C" w:rsidRPr="00860D9C" w:rsidRDefault="00860D9C" w:rsidP="00860D9C">
      <w:pPr>
        <w:pStyle w:val="NoSpacing"/>
        <w:spacing w:line="360" w:lineRule="auto"/>
        <w:jc w:val="both"/>
        <w:rPr>
          <w:rFonts w:ascii="Times New Roman" w:hAnsi="Times New Roman" w:cs="Times New Roman"/>
          <w:sz w:val="24"/>
          <w:szCs w:val="24"/>
          <w:shd w:val="clear" w:color="auto" w:fill="FFFFFF"/>
        </w:rPr>
      </w:pPr>
      <w:r w:rsidRPr="00860D9C">
        <w:rPr>
          <w:rFonts w:ascii="Times New Roman" w:hAnsi="Times New Roman" w:cs="Times New Roman"/>
          <w:sz w:val="24"/>
          <w:szCs w:val="24"/>
          <w:shd w:val="clear" w:color="auto" w:fill="FFFFFF"/>
        </w:rPr>
        <w:t xml:space="preserve">Alkaabi, H. and Nobanee, H. </w:t>
      </w:r>
      <w:r w:rsidR="00036C9B">
        <w:rPr>
          <w:rFonts w:ascii="Times New Roman" w:hAnsi="Times New Roman" w:cs="Times New Roman"/>
          <w:sz w:val="24"/>
          <w:szCs w:val="24"/>
          <w:shd w:val="clear" w:color="auto" w:fill="FFFFFF"/>
        </w:rPr>
        <w:t>(</w:t>
      </w:r>
      <w:r w:rsidRPr="00860D9C">
        <w:rPr>
          <w:rFonts w:ascii="Times New Roman" w:hAnsi="Times New Roman" w:cs="Times New Roman"/>
          <w:sz w:val="24"/>
          <w:szCs w:val="24"/>
          <w:shd w:val="clear" w:color="auto" w:fill="FFFFFF"/>
        </w:rPr>
        <w:t>2019</w:t>
      </w:r>
      <w:r w:rsidR="00036C9B">
        <w:rPr>
          <w:rFonts w:ascii="Times New Roman" w:hAnsi="Times New Roman" w:cs="Times New Roman"/>
          <w:sz w:val="24"/>
          <w:szCs w:val="24"/>
          <w:shd w:val="clear" w:color="auto" w:fill="FFFFFF"/>
        </w:rPr>
        <w:t>)</w:t>
      </w:r>
      <w:r w:rsidRPr="00860D9C">
        <w:rPr>
          <w:rFonts w:ascii="Times New Roman" w:hAnsi="Times New Roman" w:cs="Times New Roman"/>
          <w:sz w:val="24"/>
          <w:szCs w:val="24"/>
          <w:shd w:val="clear" w:color="auto" w:fill="FFFFFF"/>
        </w:rPr>
        <w:t xml:space="preserve"> A study on financial management in promoting sustainable business practices &amp; development. </w:t>
      </w:r>
      <w:r w:rsidRPr="00860D9C">
        <w:rPr>
          <w:rFonts w:ascii="Times New Roman" w:hAnsi="Times New Roman" w:cs="Times New Roman"/>
          <w:i/>
          <w:iCs/>
          <w:sz w:val="24"/>
          <w:szCs w:val="24"/>
          <w:shd w:val="clear" w:color="auto" w:fill="FFFFFF"/>
        </w:rPr>
        <w:t>Available at SSRN 3472415</w:t>
      </w:r>
      <w:r w:rsidRPr="00860D9C">
        <w:rPr>
          <w:rFonts w:ascii="Times New Roman" w:hAnsi="Times New Roman" w:cs="Times New Roman"/>
          <w:sz w:val="24"/>
          <w:szCs w:val="24"/>
          <w:shd w:val="clear" w:color="auto" w:fill="FFFFFF"/>
        </w:rPr>
        <w:t>.</w:t>
      </w:r>
    </w:p>
    <w:p w14:paraId="2631468F" w14:textId="72666FC3" w:rsidR="00860D9C" w:rsidRPr="00860D9C" w:rsidRDefault="00860D9C" w:rsidP="00860D9C">
      <w:pPr>
        <w:pStyle w:val="NoSpacing"/>
        <w:spacing w:line="360" w:lineRule="auto"/>
        <w:jc w:val="both"/>
        <w:rPr>
          <w:rFonts w:ascii="Times New Roman" w:hAnsi="Times New Roman" w:cs="Times New Roman"/>
          <w:sz w:val="24"/>
          <w:szCs w:val="24"/>
        </w:rPr>
      </w:pPr>
      <w:r w:rsidRPr="00860D9C">
        <w:rPr>
          <w:rFonts w:ascii="Times New Roman" w:hAnsi="Times New Roman" w:cs="Times New Roman"/>
          <w:sz w:val="24"/>
          <w:szCs w:val="24"/>
        </w:rPr>
        <w:t xml:space="preserve">Atrill, P. and McLaney, E. </w:t>
      </w:r>
      <w:r w:rsidR="00036C9B">
        <w:rPr>
          <w:rFonts w:ascii="Times New Roman" w:hAnsi="Times New Roman" w:cs="Times New Roman"/>
          <w:sz w:val="24"/>
          <w:szCs w:val="24"/>
        </w:rPr>
        <w:t>(</w:t>
      </w:r>
      <w:r w:rsidRPr="00860D9C">
        <w:rPr>
          <w:rFonts w:ascii="Times New Roman" w:hAnsi="Times New Roman" w:cs="Times New Roman"/>
          <w:sz w:val="24"/>
          <w:szCs w:val="24"/>
        </w:rPr>
        <w:t>2018</w:t>
      </w:r>
      <w:r w:rsidR="00036C9B">
        <w:rPr>
          <w:rFonts w:ascii="Times New Roman" w:hAnsi="Times New Roman" w:cs="Times New Roman"/>
          <w:sz w:val="24"/>
          <w:szCs w:val="24"/>
        </w:rPr>
        <w:t>)</w:t>
      </w:r>
      <w:r w:rsidRPr="00860D9C">
        <w:rPr>
          <w:rFonts w:ascii="Times New Roman" w:hAnsi="Times New Roman" w:cs="Times New Roman"/>
          <w:sz w:val="24"/>
          <w:szCs w:val="24"/>
        </w:rPr>
        <w:t xml:space="preserve"> Accounting and Finance for Non-Specialists. 11th Ed. Harlow: Pearson </w:t>
      </w:r>
    </w:p>
    <w:p w14:paraId="4B6C95F1" w14:textId="5EDA6F31" w:rsidR="00860D9C" w:rsidRPr="00860D9C" w:rsidRDefault="00860D9C" w:rsidP="00860D9C">
      <w:pPr>
        <w:pStyle w:val="NoSpacing"/>
        <w:spacing w:line="360" w:lineRule="auto"/>
        <w:jc w:val="both"/>
        <w:rPr>
          <w:rFonts w:ascii="Times New Roman" w:eastAsia="Times New Roman" w:hAnsi="Times New Roman" w:cs="Times New Roman"/>
          <w:sz w:val="24"/>
          <w:szCs w:val="24"/>
          <w:lang w:val="en-IN" w:eastAsia="en-IN"/>
        </w:rPr>
      </w:pPr>
      <w:r w:rsidRPr="00860D9C">
        <w:rPr>
          <w:rFonts w:ascii="Times New Roman" w:eastAsia="Times New Roman" w:hAnsi="Times New Roman" w:cs="Times New Roman"/>
          <w:sz w:val="24"/>
          <w:szCs w:val="24"/>
          <w:lang w:val="en-IN" w:eastAsia="en-IN"/>
        </w:rPr>
        <w:t xml:space="preserve">bbc.com (2023) Nokia to axe up to 14,000 jobs to cut costs. </w:t>
      </w:r>
      <w:r w:rsidRPr="00860D9C">
        <w:rPr>
          <w:rFonts w:ascii="Times New Roman" w:eastAsia="Times New Roman" w:hAnsi="Times New Roman" w:cs="Times New Roman"/>
          <w:i/>
          <w:iCs/>
          <w:sz w:val="24"/>
          <w:szCs w:val="24"/>
          <w:lang w:val="en-IN" w:eastAsia="en-IN"/>
        </w:rPr>
        <w:t>BBC News</w:t>
      </w:r>
      <w:r w:rsidRPr="00860D9C">
        <w:rPr>
          <w:rFonts w:ascii="Times New Roman" w:eastAsia="Times New Roman" w:hAnsi="Times New Roman" w:cs="Times New Roman"/>
          <w:sz w:val="24"/>
          <w:szCs w:val="24"/>
          <w:lang w:val="en-IN" w:eastAsia="en-IN"/>
        </w:rPr>
        <w:t>. [online] 19 Oct. Available at: https://www.bbc.com/news/business-67153676 [Accessed 24 Mar. 2024].</w:t>
      </w:r>
    </w:p>
    <w:p w14:paraId="1FC12F05" w14:textId="03DAD014" w:rsidR="00860D9C" w:rsidRPr="00860D9C" w:rsidRDefault="00860D9C" w:rsidP="00860D9C">
      <w:pPr>
        <w:pStyle w:val="NoSpacing"/>
        <w:spacing w:line="360" w:lineRule="auto"/>
        <w:jc w:val="both"/>
        <w:rPr>
          <w:rFonts w:ascii="Times New Roman" w:hAnsi="Times New Roman" w:cs="Times New Roman"/>
          <w:color w:val="222222"/>
          <w:sz w:val="24"/>
          <w:szCs w:val="24"/>
          <w:shd w:val="clear" w:color="auto" w:fill="FFFFFF"/>
        </w:rPr>
      </w:pPr>
      <w:r w:rsidRPr="00860D9C">
        <w:rPr>
          <w:rFonts w:ascii="Times New Roman" w:hAnsi="Times New Roman" w:cs="Times New Roman"/>
          <w:color w:val="222222"/>
          <w:sz w:val="24"/>
          <w:szCs w:val="24"/>
          <w:shd w:val="clear" w:color="auto" w:fill="FFFFFF"/>
        </w:rPr>
        <w:t>Biddle, G.C., Ma, M.L. and Song, F.M</w:t>
      </w:r>
      <w:r w:rsidR="00036C9B">
        <w:rPr>
          <w:rFonts w:ascii="Times New Roman" w:hAnsi="Times New Roman" w:cs="Times New Roman"/>
          <w:color w:val="222222"/>
          <w:sz w:val="24"/>
          <w:szCs w:val="24"/>
          <w:shd w:val="clear" w:color="auto" w:fill="FFFFFF"/>
        </w:rPr>
        <w:t>.</w:t>
      </w:r>
      <w:r w:rsidRPr="00860D9C">
        <w:rPr>
          <w:rFonts w:ascii="Times New Roman" w:hAnsi="Times New Roman" w:cs="Times New Roman"/>
          <w:color w:val="222222"/>
          <w:sz w:val="24"/>
          <w:szCs w:val="24"/>
          <w:shd w:val="clear" w:color="auto" w:fill="FFFFFF"/>
        </w:rPr>
        <w:t xml:space="preserve"> </w:t>
      </w:r>
      <w:r w:rsidR="00036C9B">
        <w:rPr>
          <w:rFonts w:ascii="Times New Roman" w:hAnsi="Times New Roman" w:cs="Times New Roman"/>
          <w:color w:val="222222"/>
          <w:sz w:val="24"/>
          <w:szCs w:val="24"/>
          <w:shd w:val="clear" w:color="auto" w:fill="FFFFFF"/>
        </w:rPr>
        <w:t>(</w:t>
      </w:r>
      <w:r w:rsidRPr="00860D9C">
        <w:rPr>
          <w:rFonts w:ascii="Times New Roman" w:hAnsi="Times New Roman" w:cs="Times New Roman"/>
          <w:color w:val="222222"/>
          <w:sz w:val="24"/>
          <w:szCs w:val="24"/>
          <w:shd w:val="clear" w:color="auto" w:fill="FFFFFF"/>
        </w:rPr>
        <w:t>2022</w:t>
      </w:r>
      <w:r w:rsidR="00036C9B">
        <w:rPr>
          <w:rFonts w:ascii="Times New Roman" w:hAnsi="Times New Roman" w:cs="Times New Roman"/>
          <w:color w:val="222222"/>
          <w:sz w:val="24"/>
          <w:szCs w:val="24"/>
          <w:shd w:val="clear" w:color="auto" w:fill="FFFFFF"/>
        </w:rPr>
        <w:t>)</w:t>
      </w:r>
      <w:r w:rsidRPr="00860D9C">
        <w:rPr>
          <w:rFonts w:ascii="Times New Roman" w:hAnsi="Times New Roman" w:cs="Times New Roman"/>
          <w:color w:val="222222"/>
          <w:sz w:val="24"/>
          <w:szCs w:val="24"/>
          <w:shd w:val="clear" w:color="auto" w:fill="FFFFFF"/>
        </w:rPr>
        <w:t xml:space="preserve"> Accounting conservatism and bankruptcy risk. </w:t>
      </w:r>
      <w:r w:rsidRPr="00860D9C">
        <w:rPr>
          <w:rFonts w:ascii="Times New Roman" w:hAnsi="Times New Roman" w:cs="Times New Roman"/>
          <w:i/>
          <w:iCs/>
          <w:color w:val="222222"/>
          <w:sz w:val="24"/>
          <w:szCs w:val="24"/>
          <w:shd w:val="clear" w:color="auto" w:fill="FFFFFF"/>
        </w:rPr>
        <w:t>Journal of Accounting, Auditing &amp; Finance</w:t>
      </w:r>
      <w:r w:rsidRPr="00860D9C">
        <w:rPr>
          <w:rFonts w:ascii="Times New Roman" w:hAnsi="Times New Roman" w:cs="Times New Roman"/>
          <w:color w:val="222222"/>
          <w:sz w:val="24"/>
          <w:szCs w:val="24"/>
          <w:shd w:val="clear" w:color="auto" w:fill="FFFFFF"/>
        </w:rPr>
        <w:t>, </w:t>
      </w:r>
      <w:r w:rsidRPr="00860D9C">
        <w:rPr>
          <w:rFonts w:ascii="Times New Roman" w:hAnsi="Times New Roman" w:cs="Times New Roman"/>
          <w:i/>
          <w:iCs/>
          <w:color w:val="222222"/>
          <w:sz w:val="24"/>
          <w:szCs w:val="24"/>
          <w:shd w:val="clear" w:color="auto" w:fill="FFFFFF"/>
        </w:rPr>
        <w:t>37</w:t>
      </w:r>
      <w:r w:rsidRPr="00860D9C">
        <w:rPr>
          <w:rFonts w:ascii="Times New Roman" w:hAnsi="Times New Roman" w:cs="Times New Roman"/>
          <w:color w:val="222222"/>
          <w:sz w:val="24"/>
          <w:szCs w:val="24"/>
          <w:shd w:val="clear" w:color="auto" w:fill="FFFFFF"/>
        </w:rPr>
        <w:t>(2), pp.295-323.</w:t>
      </w:r>
    </w:p>
    <w:p w14:paraId="51359EF1" w14:textId="43D3A7C0" w:rsidR="00860D9C" w:rsidRPr="00860D9C" w:rsidRDefault="00860D9C" w:rsidP="00860D9C">
      <w:pPr>
        <w:pStyle w:val="NoSpacing"/>
        <w:spacing w:line="360" w:lineRule="auto"/>
        <w:jc w:val="both"/>
        <w:rPr>
          <w:rFonts w:ascii="Times New Roman" w:hAnsi="Times New Roman" w:cs="Times New Roman"/>
          <w:color w:val="222222"/>
          <w:sz w:val="24"/>
          <w:szCs w:val="24"/>
          <w:shd w:val="clear" w:color="auto" w:fill="FFFFFF"/>
        </w:rPr>
      </w:pPr>
      <w:r w:rsidRPr="00860D9C">
        <w:rPr>
          <w:rFonts w:ascii="Times New Roman" w:hAnsi="Times New Roman" w:cs="Times New Roman"/>
          <w:color w:val="222222"/>
          <w:sz w:val="24"/>
          <w:szCs w:val="24"/>
          <w:shd w:val="clear" w:color="auto" w:fill="FFFFFF"/>
        </w:rPr>
        <w:t xml:space="preserve">Bindseil, U. </w:t>
      </w:r>
      <w:r w:rsidR="00036C9B">
        <w:rPr>
          <w:rFonts w:ascii="Times New Roman" w:hAnsi="Times New Roman" w:cs="Times New Roman"/>
          <w:color w:val="222222"/>
          <w:sz w:val="24"/>
          <w:szCs w:val="24"/>
          <w:shd w:val="clear" w:color="auto" w:fill="FFFFFF"/>
        </w:rPr>
        <w:t>(</w:t>
      </w:r>
      <w:r w:rsidRPr="00860D9C">
        <w:rPr>
          <w:rFonts w:ascii="Times New Roman" w:hAnsi="Times New Roman" w:cs="Times New Roman"/>
          <w:color w:val="222222"/>
          <w:sz w:val="24"/>
          <w:szCs w:val="24"/>
          <w:shd w:val="clear" w:color="auto" w:fill="FFFFFF"/>
        </w:rPr>
        <w:t>2020</w:t>
      </w:r>
      <w:r w:rsidR="00036C9B">
        <w:rPr>
          <w:rFonts w:ascii="Times New Roman" w:hAnsi="Times New Roman" w:cs="Times New Roman"/>
          <w:color w:val="222222"/>
          <w:sz w:val="24"/>
          <w:szCs w:val="24"/>
          <w:shd w:val="clear" w:color="auto" w:fill="FFFFFF"/>
        </w:rPr>
        <w:t>)</w:t>
      </w:r>
      <w:r w:rsidRPr="00860D9C">
        <w:rPr>
          <w:rFonts w:ascii="Times New Roman" w:hAnsi="Times New Roman" w:cs="Times New Roman"/>
          <w:color w:val="222222"/>
          <w:sz w:val="24"/>
          <w:szCs w:val="24"/>
          <w:shd w:val="clear" w:color="auto" w:fill="FFFFFF"/>
        </w:rPr>
        <w:t xml:space="preserve"> Tiered CBDC and the financial system. </w:t>
      </w:r>
      <w:r w:rsidRPr="00860D9C">
        <w:rPr>
          <w:rFonts w:ascii="Times New Roman" w:hAnsi="Times New Roman" w:cs="Times New Roman"/>
          <w:i/>
          <w:iCs/>
          <w:color w:val="222222"/>
          <w:sz w:val="24"/>
          <w:szCs w:val="24"/>
          <w:shd w:val="clear" w:color="auto" w:fill="FFFFFF"/>
        </w:rPr>
        <w:t>Available at SSRN 3513422</w:t>
      </w:r>
      <w:r w:rsidRPr="00860D9C">
        <w:rPr>
          <w:rFonts w:ascii="Times New Roman" w:hAnsi="Times New Roman" w:cs="Times New Roman"/>
          <w:color w:val="222222"/>
          <w:sz w:val="24"/>
          <w:szCs w:val="24"/>
          <w:shd w:val="clear" w:color="auto" w:fill="FFFFFF"/>
        </w:rPr>
        <w:t>.</w:t>
      </w:r>
    </w:p>
    <w:p w14:paraId="111F725F" w14:textId="78888997" w:rsidR="00860D9C" w:rsidRPr="00860D9C" w:rsidRDefault="00860D9C" w:rsidP="00860D9C">
      <w:pPr>
        <w:pStyle w:val="NoSpacing"/>
        <w:spacing w:line="360" w:lineRule="auto"/>
        <w:jc w:val="both"/>
        <w:rPr>
          <w:rFonts w:ascii="Times New Roman" w:hAnsi="Times New Roman" w:cs="Times New Roman"/>
          <w:sz w:val="24"/>
          <w:szCs w:val="24"/>
          <w:shd w:val="clear" w:color="auto" w:fill="FFFFFF"/>
        </w:rPr>
      </w:pPr>
      <w:r w:rsidRPr="00860D9C">
        <w:rPr>
          <w:rFonts w:ascii="Times New Roman" w:hAnsi="Times New Roman" w:cs="Times New Roman"/>
          <w:sz w:val="24"/>
          <w:szCs w:val="24"/>
          <w:shd w:val="clear" w:color="auto" w:fill="FFFFFF"/>
        </w:rPr>
        <w:t xml:space="preserve">Block, S.B., Hirt, G.A. and Danielsen, B.R. </w:t>
      </w:r>
      <w:r w:rsidR="00036C9B">
        <w:rPr>
          <w:rFonts w:ascii="Times New Roman" w:hAnsi="Times New Roman" w:cs="Times New Roman"/>
          <w:sz w:val="24"/>
          <w:szCs w:val="24"/>
          <w:shd w:val="clear" w:color="auto" w:fill="FFFFFF"/>
        </w:rPr>
        <w:t>(</w:t>
      </w:r>
      <w:r w:rsidRPr="00860D9C">
        <w:rPr>
          <w:rFonts w:ascii="Times New Roman" w:hAnsi="Times New Roman" w:cs="Times New Roman"/>
          <w:sz w:val="24"/>
          <w:szCs w:val="24"/>
          <w:shd w:val="clear" w:color="auto" w:fill="FFFFFF"/>
        </w:rPr>
        <w:t>2018</w:t>
      </w:r>
      <w:r w:rsidR="00036C9B">
        <w:rPr>
          <w:rFonts w:ascii="Times New Roman" w:hAnsi="Times New Roman" w:cs="Times New Roman"/>
          <w:sz w:val="24"/>
          <w:szCs w:val="24"/>
          <w:shd w:val="clear" w:color="auto" w:fill="FFFFFF"/>
        </w:rPr>
        <w:t>)</w:t>
      </w:r>
      <w:r w:rsidRPr="00860D9C">
        <w:rPr>
          <w:rFonts w:ascii="Times New Roman" w:hAnsi="Times New Roman" w:cs="Times New Roman"/>
          <w:sz w:val="24"/>
          <w:szCs w:val="24"/>
          <w:shd w:val="clear" w:color="auto" w:fill="FFFFFF"/>
        </w:rPr>
        <w:t> </w:t>
      </w:r>
      <w:r w:rsidRPr="00860D9C">
        <w:rPr>
          <w:rFonts w:ascii="Times New Roman" w:hAnsi="Times New Roman" w:cs="Times New Roman"/>
          <w:i/>
          <w:iCs/>
          <w:sz w:val="24"/>
          <w:szCs w:val="24"/>
          <w:shd w:val="clear" w:color="auto" w:fill="FFFFFF"/>
        </w:rPr>
        <w:t>Foundations of financial management</w:t>
      </w:r>
      <w:r w:rsidRPr="00860D9C">
        <w:rPr>
          <w:rFonts w:ascii="Times New Roman" w:hAnsi="Times New Roman" w:cs="Times New Roman"/>
          <w:sz w:val="24"/>
          <w:szCs w:val="24"/>
          <w:shd w:val="clear" w:color="auto" w:fill="FFFFFF"/>
        </w:rPr>
        <w:t>. McGraw-Hill Education..</w:t>
      </w:r>
    </w:p>
    <w:p w14:paraId="7E7372C9" w14:textId="1E79EA43" w:rsidR="00860D9C" w:rsidRPr="00860D9C" w:rsidRDefault="00860D9C" w:rsidP="00860D9C">
      <w:pPr>
        <w:pStyle w:val="NoSpacing"/>
        <w:spacing w:line="360" w:lineRule="auto"/>
        <w:jc w:val="both"/>
        <w:rPr>
          <w:rFonts w:ascii="Times New Roman" w:hAnsi="Times New Roman" w:cs="Times New Roman"/>
          <w:sz w:val="24"/>
          <w:szCs w:val="24"/>
          <w:shd w:val="clear" w:color="auto" w:fill="FFFFFF"/>
        </w:rPr>
      </w:pPr>
      <w:r w:rsidRPr="00860D9C">
        <w:rPr>
          <w:rFonts w:ascii="Times New Roman" w:hAnsi="Times New Roman" w:cs="Times New Roman"/>
          <w:sz w:val="24"/>
          <w:szCs w:val="24"/>
          <w:shd w:val="clear" w:color="auto" w:fill="FFFFFF"/>
        </w:rPr>
        <w:t xml:space="preserve">Brigham, E.F. and Daves, P.R. </w:t>
      </w:r>
      <w:r w:rsidR="00036C9B">
        <w:rPr>
          <w:rFonts w:ascii="Times New Roman" w:hAnsi="Times New Roman" w:cs="Times New Roman"/>
          <w:sz w:val="24"/>
          <w:szCs w:val="24"/>
          <w:shd w:val="clear" w:color="auto" w:fill="FFFFFF"/>
        </w:rPr>
        <w:t>(</w:t>
      </w:r>
      <w:r w:rsidRPr="00860D9C">
        <w:rPr>
          <w:rFonts w:ascii="Times New Roman" w:hAnsi="Times New Roman" w:cs="Times New Roman"/>
          <w:sz w:val="24"/>
          <w:szCs w:val="24"/>
          <w:shd w:val="clear" w:color="auto" w:fill="FFFFFF"/>
        </w:rPr>
        <w:t>2018</w:t>
      </w:r>
      <w:r w:rsidR="00036C9B">
        <w:rPr>
          <w:rFonts w:ascii="Times New Roman" w:hAnsi="Times New Roman" w:cs="Times New Roman"/>
          <w:sz w:val="24"/>
          <w:szCs w:val="24"/>
          <w:shd w:val="clear" w:color="auto" w:fill="FFFFFF"/>
        </w:rPr>
        <w:t>)</w:t>
      </w:r>
      <w:r w:rsidRPr="00860D9C">
        <w:rPr>
          <w:rFonts w:ascii="Times New Roman" w:hAnsi="Times New Roman" w:cs="Times New Roman"/>
          <w:sz w:val="24"/>
          <w:szCs w:val="24"/>
          <w:shd w:val="clear" w:color="auto" w:fill="FFFFFF"/>
        </w:rPr>
        <w:t> </w:t>
      </w:r>
      <w:r w:rsidRPr="00860D9C">
        <w:rPr>
          <w:rFonts w:ascii="Times New Roman" w:hAnsi="Times New Roman" w:cs="Times New Roman"/>
          <w:i/>
          <w:iCs/>
          <w:sz w:val="24"/>
          <w:szCs w:val="24"/>
          <w:shd w:val="clear" w:color="auto" w:fill="FFFFFF"/>
        </w:rPr>
        <w:t>Intermediate financial management</w:t>
      </w:r>
      <w:r w:rsidRPr="00860D9C">
        <w:rPr>
          <w:rFonts w:ascii="Times New Roman" w:hAnsi="Times New Roman" w:cs="Times New Roman"/>
          <w:sz w:val="24"/>
          <w:szCs w:val="24"/>
          <w:shd w:val="clear" w:color="auto" w:fill="FFFFFF"/>
        </w:rPr>
        <w:t xml:space="preserve">. Cengage Learning. </w:t>
      </w:r>
    </w:p>
    <w:p w14:paraId="2E0785C7" w14:textId="311BF705" w:rsidR="00860D9C" w:rsidRPr="00860D9C" w:rsidRDefault="00860D9C" w:rsidP="00860D9C">
      <w:pPr>
        <w:pStyle w:val="NoSpacing"/>
        <w:spacing w:line="360" w:lineRule="auto"/>
        <w:jc w:val="both"/>
        <w:rPr>
          <w:rFonts w:ascii="Times New Roman" w:hAnsi="Times New Roman" w:cs="Times New Roman"/>
          <w:sz w:val="24"/>
          <w:szCs w:val="24"/>
          <w:shd w:val="clear" w:color="auto" w:fill="FFFFFF"/>
        </w:rPr>
      </w:pPr>
      <w:r w:rsidRPr="00860D9C">
        <w:rPr>
          <w:rFonts w:ascii="Times New Roman" w:hAnsi="Times New Roman" w:cs="Times New Roman"/>
          <w:sz w:val="24"/>
          <w:szCs w:val="24"/>
          <w:shd w:val="clear" w:color="auto" w:fill="FFFFFF"/>
        </w:rPr>
        <w:t xml:space="preserve">Brigham, E.F. and Houston, J.F. </w:t>
      </w:r>
      <w:r w:rsidR="00036C9B">
        <w:rPr>
          <w:rFonts w:ascii="Times New Roman" w:hAnsi="Times New Roman" w:cs="Times New Roman"/>
          <w:sz w:val="24"/>
          <w:szCs w:val="24"/>
          <w:shd w:val="clear" w:color="auto" w:fill="FFFFFF"/>
        </w:rPr>
        <w:t>(</w:t>
      </w:r>
      <w:r w:rsidRPr="00860D9C">
        <w:rPr>
          <w:rFonts w:ascii="Times New Roman" w:hAnsi="Times New Roman" w:cs="Times New Roman"/>
          <w:sz w:val="24"/>
          <w:szCs w:val="24"/>
          <w:shd w:val="clear" w:color="auto" w:fill="FFFFFF"/>
        </w:rPr>
        <w:t>2021</w:t>
      </w:r>
      <w:r w:rsidR="00036C9B">
        <w:rPr>
          <w:rFonts w:ascii="Times New Roman" w:hAnsi="Times New Roman" w:cs="Times New Roman"/>
          <w:sz w:val="24"/>
          <w:szCs w:val="24"/>
          <w:shd w:val="clear" w:color="auto" w:fill="FFFFFF"/>
        </w:rPr>
        <w:t>)</w:t>
      </w:r>
      <w:r w:rsidRPr="00860D9C">
        <w:rPr>
          <w:rFonts w:ascii="Times New Roman" w:hAnsi="Times New Roman" w:cs="Times New Roman"/>
          <w:sz w:val="24"/>
          <w:szCs w:val="24"/>
          <w:shd w:val="clear" w:color="auto" w:fill="FFFFFF"/>
        </w:rPr>
        <w:t> </w:t>
      </w:r>
      <w:r w:rsidRPr="00860D9C">
        <w:rPr>
          <w:rFonts w:ascii="Times New Roman" w:hAnsi="Times New Roman" w:cs="Times New Roman"/>
          <w:i/>
          <w:iCs/>
          <w:sz w:val="24"/>
          <w:szCs w:val="24"/>
          <w:shd w:val="clear" w:color="auto" w:fill="FFFFFF"/>
        </w:rPr>
        <w:t>Fundamentals of financial management</w:t>
      </w:r>
      <w:r w:rsidRPr="00860D9C">
        <w:rPr>
          <w:rFonts w:ascii="Times New Roman" w:hAnsi="Times New Roman" w:cs="Times New Roman"/>
          <w:sz w:val="24"/>
          <w:szCs w:val="24"/>
          <w:shd w:val="clear" w:color="auto" w:fill="FFFFFF"/>
        </w:rPr>
        <w:t>. Cengage Learning.</w:t>
      </w:r>
    </w:p>
    <w:p w14:paraId="71A3E766" w14:textId="112EF766" w:rsidR="00860D9C" w:rsidRPr="00860D9C" w:rsidRDefault="00860D9C" w:rsidP="00860D9C">
      <w:pPr>
        <w:pStyle w:val="NoSpacing"/>
        <w:spacing w:line="360" w:lineRule="auto"/>
        <w:jc w:val="both"/>
        <w:rPr>
          <w:rFonts w:ascii="Times New Roman" w:hAnsi="Times New Roman" w:cs="Times New Roman"/>
          <w:sz w:val="24"/>
          <w:szCs w:val="24"/>
          <w:lang w:val="en-US"/>
        </w:rPr>
      </w:pPr>
      <w:r w:rsidRPr="00860D9C">
        <w:rPr>
          <w:rFonts w:ascii="Times New Roman" w:hAnsi="Times New Roman" w:cs="Times New Roman"/>
          <w:sz w:val="24"/>
          <w:szCs w:val="24"/>
          <w:lang w:val="en-US"/>
        </w:rPr>
        <w:t xml:space="preserve">Britton, A. and Waterston, C. </w:t>
      </w:r>
      <w:r w:rsidR="00036C9B">
        <w:rPr>
          <w:rFonts w:ascii="Times New Roman" w:hAnsi="Times New Roman" w:cs="Times New Roman"/>
          <w:sz w:val="24"/>
          <w:szCs w:val="24"/>
          <w:lang w:val="en-US"/>
        </w:rPr>
        <w:t>(</w:t>
      </w:r>
      <w:r w:rsidRPr="00860D9C">
        <w:rPr>
          <w:rFonts w:ascii="Times New Roman" w:hAnsi="Times New Roman" w:cs="Times New Roman"/>
          <w:sz w:val="24"/>
          <w:szCs w:val="24"/>
          <w:lang w:val="en-US"/>
        </w:rPr>
        <w:t>2020</w:t>
      </w:r>
      <w:r w:rsidR="00036C9B">
        <w:rPr>
          <w:rFonts w:ascii="Times New Roman" w:hAnsi="Times New Roman" w:cs="Times New Roman"/>
          <w:sz w:val="24"/>
          <w:szCs w:val="24"/>
          <w:lang w:val="en-US"/>
        </w:rPr>
        <w:t>)</w:t>
      </w:r>
      <w:r w:rsidRPr="00860D9C">
        <w:rPr>
          <w:rFonts w:ascii="Times New Roman" w:hAnsi="Times New Roman" w:cs="Times New Roman"/>
          <w:sz w:val="24"/>
          <w:szCs w:val="24"/>
          <w:lang w:val="en-US"/>
        </w:rPr>
        <w:t xml:space="preserve"> </w:t>
      </w:r>
      <w:r w:rsidRPr="00860D9C">
        <w:rPr>
          <w:rFonts w:ascii="Times New Roman" w:hAnsi="Times New Roman" w:cs="Times New Roman"/>
          <w:i/>
          <w:iCs/>
          <w:sz w:val="24"/>
          <w:szCs w:val="24"/>
          <w:lang w:val="en-US"/>
        </w:rPr>
        <w:t>Financial accounting</w:t>
      </w:r>
      <w:r w:rsidRPr="00860D9C">
        <w:rPr>
          <w:rFonts w:ascii="Times New Roman" w:hAnsi="Times New Roman" w:cs="Times New Roman"/>
          <w:sz w:val="24"/>
          <w:szCs w:val="24"/>
          <w:lang w:val="en-US"/>
        </w:rPr>
        <w:t>. Harlow: Financial Times Prentice Hall.</w:t>
      </w:r>
    </w:p>
    <w:p w14:paraId="37F13887" w14:textId="4BEA7E52" w:rsidR="00860D9C" w:rsidRPr="00860D9C" w:rsidRDefault="00860D9C" w:rsidP="00860D9C">
      <w:pPr>
        <w:pStyle w:val="NoSpacing"/>
        <w:spacing w:line="360" w:lineRule="auto"/>
        <w:jc w:val="both"/>
        <w:rPr>
          <w:rFonts w:ascii="Times New Roman" w:hAnsi="Times New Roman" w:cs="Times New Roman"/>
          <w:sz w:val="24"/>
          <w:szCs w:val="24"/>
          <w:shd w:val="clear" w:color="auto" w:fill="FFFFFF"/>
        </w:rPr>
      </w:pPr>
      <w:r w:rsidRPr="00860D9C">
        <w:rPr>
          <w:rFonts w:ascii="Times New Roman" w:hAnsi="Times New Roman" w:cs="Times New Roman"/>
          <w:sz w:val="24"/>
          <w:szCs w:val="24"/>
          <w:shd w:val="clear" w:color="auto" w:fill="FFFFFF"/>
        </w:rPr>
        <w:t xml:space="preserve">Carey, M., Knowles, C. and Towers-Clark, J. </w:t>
      </w:r>
      <w:r w:rsidR="00036C9B">
        <w:rPr>
          <w:rFonts w:ascii="Times New Roman" w:hAnsi="Times New Roman" w:cs="Times New Roman"/>
          <w:sz w:val="24"/>
          <w:szCs w:val="24"/>
          <w:shd w:val="clear" w:color="auto" w:fill="FFFFFF"/>
        </w:rPr>
        <w:t>(</w:t>
      </w:r>
      <w:r w:rsidRPr="00860D9C">
        <w:rPr>
          <w:rFonts w:ascii="Times New Roman" w:hAnsi="Times New Roman" w:cs="Times New Roman"/>
          <w:sz w:val="24"/>
          <w:szCs w:val="24"/>
          <w:shd w:val="clear" w:color="auto" w:fill="FFFFFF"/>
        </w:rPr>
        <w:t>2017</w:t>
      </w:r>
      <w:r w:rsidR="00036C9B">
        <w:rPr>
          <w:rFonts w:ascii="Times New Roman" w:hAnsi="Times New Roman" w:cs="Times New Roman"/>
          <w:sz w:val="24"/>
          <w:szCs w:val="24"/>
          <w:shd w:val="clear" w:color="auto" w:fill="FFFFFF"/>
        </w:rPr>
        <w:t>)</w:t>
      </w:r>
      <w:r w:rsidRPr="00860D9C">
        <w:rPr>
          <w:rFonts w:ascii="Times New Roman" w:hAnsi="Times New Roman" w:cs="Times New Roman"/>
          <w:sz w:val="24"/>
          <w:szCs w:val="24"/>
          <w:shd w:val="clear" w:color="auto" w:fill="FFFFFF"/>
        </w:rPr>
        <w:t> </w:t>
      </w:r>
      <w:r w:rsidRPr="00860D9C">
        <w:rPr>
          <w:rFonts w:ascii="Times New Roman" w:hAnsi="Times New Roman" w:cs="Times New Roman"/>
          <w:i/>
          <w:iCs/>
          <w:sz w:val="24"/>
          <w:szCs w:val="24"/>
          <w:shd w:val="clear" w:color="auto" w:fill="FFFFFF"/>
        </w:rPr>
        <w:t>Accounting: a smart approach</w:t>
      </w:r>
      <w:r w:rsidRPr="00860D9C">
        <w:rPr>
          <w:rFonts w:ascii="Times New Roman" w:hAnsi="Times New Roman" w:cs="Times New Roman"/>
          <w:sz w:val="24"/>
          <w:szCs w:val="24"/>
          <w:shd w:val="clear" w:color="auto" w:fill="FFFFFF"/>
        </w:rPr>
        <w:t>. Oxford University Press.</w:t>
      </w:r>
    </w:p>
    <w:p w14:paraId="3C127247" w14:textId="42EAF274" w:rsidR="00860D9C" w:rsidRPr="00860D9C" w:rsidRDefault="00860D9C" w:rsidP="00860D9C">
      <w:pPr>
        <w:pStyle w:val="NoSpacing"/>
        <w:spacing w:line="360" w:lineRule="auto"/>
        <w:jc w:val="both"/>
        <w:rPr>
          <w:rFonts w:ascii="Times New Roman" w:hAnsi="Times New Roman" w:cs="Times New Roman"/>
          <w:sz w:val="24"/>
          <w:szCs w:val="24"/>
        </w:rPr>
      </w:pPr>
      <w:r w:rsidRPr="00860D9C">
        <w:rPr>
          <w:rFonts w:ascii="Times New Roman" w:hAnsi="Times New Roman" w:cs="Times New Roman"/>
          <w:sz w:val="24"/>
          <w:szCs w:val="24"/>
        </w:rPr>
        <w:t xml:space="preserve">Drury, C. </w:t>
      </w:r>
      <w:r w:rsidR="00036C9B">
        <w:rPr>
          <w:rFonts w:ascii="Times New Roman" w:hAnsi="Times New Roman" w:cs="Times New Roman"/>
          <w:sz w:val="24"/>
          <w:szCs w:val="24"/>
        </w:rPr>
        <w:t>(</w:t>
      </w:r>
      <w:r w:rsidRPr="00860D9C">
        <w:rPr>
          <w:rFonts w:ascii="Times New Roman" w:hAnsi="Times New Roman" w:cs="Times New Roman"/>
          <w:sz w:val="24"/>
          <w:szCs w:val="24"/>
        </w:rPr>
        <w:t>2022</w:t>
      </w:r>
      <w:r w:rsidR="00036C9B">
        <w:rPr>
          <w:rFonts w:ascii="Times New Roman" w:hAnsi="Times New Roman" w:cs="Times New Roman"/>
          <w:sz w:val="24"/>
          <w:szCs w:val="24"/>
        </w:rPr>
        <w:t>)</w:t>
      </w:r>
      <w:r w:rsidRPr="00860D9C">
        <w:rPr>
          <w:rFonts w:ascii="Times New Roman" w:hAnsi="Times New Roman" w:cs="Times New Roman"/>
          <w:sz w:val="24"/>
          <w:szCs w:val="24"/>
        </w:rPr>
        <w:t xml:space="preserve"> Management and Cost Accounting. 9th Ed. Cengage Learning.</w:t>
      </w:r>
    </w:p>
    <w:p w14:paraId="2AB6E277" w14:textId="77777777" w:rsidR="00860D9C" w:rsidRPr="00860D9C" w:rsidRDefault="00860D9C" w:rsidP="00860D9C">
      <w:pPr>
        <w:pStyle w:val="NoSpacing"/>
        <w:spacing w:line="360" w:lineRule="auto"/>
        <w:jc w:val="both"/>
        <w:rPr>
          <w:rFonts w:ascii="Times New Roman" w:eastAsia="Times New Roman" w:hAnsi="Times New Roman" w:cs="Times New Roman"/>
          <w:sz w:val="24"/>
          <w:szCs w:val="24"/>
          <w:lang w:val="en-IN" w:eastAsia="en-IN"/>
        </w:rPr>
      </w:pPr>
      <w:r w:rsidRPr="00860D9C">
        <w:rPr>
          <w:rFonts w:ascii="Times New Roman" w:eastAsia="Times New Roman" w:hAnsi="Times New Roman" w:cs="Times New Roman"/>
          <w:sz w:val="24"/>
          <w:szCs w:val="24"/>
          <w:lang w:val="en-IN" w:eastAsia="en-IN"/>
        </w:rPr>
        <w:t xml:space="preserve">Fildes, N. (2022). Nokia slows decline in networks business. </w:t>
      </w:r>
      <w:r w:rsidRPr="00860D9C">
        <w:rPr>
          <w:rFonts w:ascii="Times New Roman" w:eastAsia="Times New Roman" w:hAnsi="Times New Roman" w:cs="Times New Roman"/>
          <w:i/>
          <w:iCs/>
          <w:sz w:val="24"/>
          <w:szCs w:val="24"/>
          <w:lang w:val="en-IN" w:eastAsia="en-IN"/>
        </w:rPr>
        <w:t>Financial Times</w:t>
      </w:r>
      <w:r w:rsidRPr="00860D9C">
        <w:rPr>
          <w:rFonts w:ascii="Times New Roman" w:eastAsia="Times New Roman" w:hAnsi="Times New Roman" w:cs="Times New Roman"/>
          <w:sz w:val="24"/>
          <w:szCs w:val="24"/>
          <w:lang w:val="en-IN" w:eastAsia="en-IN"/>
        </w:rPr>
        <w:t>. [online] 27 Apr. Available at: https://www.ft.com/content/9e8647e2-2b4c-11e7-bc4b-5528796fe35c [Accessed 24 Mar. 2024].</w:t>
      </w:r>
    </w:p>
    <w:p w14:paraId="451AAC72" w14:textId="453CAE10" w:rsidR="00860D9C" w:rsidRPr="00860D9C" w:rsidRDefault="00860D9C" w:rsidP="00860D9C">
      <w:pPr>
        <w:pStyle w:val="NoSpacing"/>
        <w:spacing w:line="360" w:lineRule="auto"/>
        <w:jc w:val="both"/>
        <w:rPr>
          <w:rFonts w:ascii="Times New Roman" w:hAnsi="Times New Roman" w:cs="Times New Roman"/>
          <w:sz w:val="24"/>
          <w:szCs w:val="24"/>
          <w:shd w:val="clear" w:color="auto" w:fill="FFFFFF"/>
        </w:rPr>
      </w:pPr>
      <w:r w:rsidRPr="00860D9C">
        <w:rPr>
          <w:rFonts w:ascii="Times New Roman" w:hAnsi="Times New Roman" w:cs="Times New Roman"/>
          <w:sz w:val="24"/>
          <w:szCs w:val="24"/>
          <w:shd w:val="clear" w:color="auto" w:fill="FFFFFF"/>
        </w:rPr>
        <w:t>Finkler, S.A., Calabrese, T.D. and Smith, D.L.</w:t>
      </w:r>
      <w:r w:rsidR="00036C9B">
        <w:rPr>
          <w:rFonts w:ascii="Times New Roman" w:hAnsi="Times New Roman" w:cs="Times New Roman"/>
          <w:sz w:val="24"/>
          <w:szCs w:val="24"/>
          <w:shd w:val="clear" w:color="auto" w:fill="FFFFFF"/>
        </w:rPr>
        <w:t xml:space="preserve"> (</w:t>
      </w:r>
      <w:r w:rsidRPr="00860D9C">
        <w:rPr>
          <w:rFonts w:ascii="Times New Roman" w:hAnsi="Times New Roman" w:cs="Times New Roman"/>
          <w:sz w:val="24"/>
          <w:szCs w:val="24"/>
          <w:shd w:val="clear" w:color="auto" w:fill="FFFFFF"/>
        </w:rPr>
        <w:t>2022</w:t>
      </w:r>
      <w:r w:rsidR="00036C9B">
        <w:rPr>
          <w:rFonts w:ascii="Times New Roman" w:hAnsi="Times New Roman" w:cs="Times New Roman"/>
          <w:sz w:val="24"/>
          <w:szCs w:val="24"/>
          <w:shd w:val="clear" w:color="auto" w:fill="FFFFFF"/>
        </w:rPr>
        <w:t>)</w:t>
      </w:r>
      <w:r w:rsidRPr="00860D9C">
        <w:rPr>
          <w:rFonts w:ascii="Times New Roman" w:hAnsi="Times New Roman" w:cs="Times New Roman"/>
          <w:sz w:val="24"/>
          <w:szCs w:val="24"/>
          <w:shd w:val="clear" w:color="auto" w:fill="FFFFFF"/>
        </w:rPr>
        <w:t> </w:t>
      </w:r>
      <w:r w:rsidRPr="00860D9C">
        <w:rPr>
          <w:rFonts w:ascii="Times New Roman" w:hAnsi="Times New Roman" w:cs="Times New Roman"/>
          <w:i/>
          <w:iCs/>
          <w:sz w:val="24"/>
          <w:szCs w:val="24"/>
          <w:shd w:val="clear" w:color="auto" w:fill="FFFFFF"/>
        </w:rPr>
        <w:t>Financial management for public, health, and not-for-profit organizations</w:t>
      </w:r>
      <w:r w:rsidRPr="00860D9C">
        <w:rPr>
          <w:rFonts w:ascii="Times New Roman" w:hAnsi="Times New Roman" w:cs="Times New Roman"/>
          <w:sz w:val="24"/>
          <w:szCs w:val="24"/>
          <w:shd w:val="clear" w:color="auto" w:fill="FFFFFF"/>
        </w:rPr>
        <w:t>. CQ Press.</w:t>
      </w:r>
    </w:p>
    <w:p w14:paraId="2B567A9D" w14:textId="77777777" w:rsidR="00860D9C" w:rsidRPr="00860D9C" w:rsidRDefault="00860D9C" w:rsidP="00860D9C">
      <w:pPr>
        <w:pStyle w:val="NoSpacing"/>
        <w:spacing w:line="360" w:lineRule="auto"/>
        <w:jc w:val="both"/>
        <w:rPr>
          <w:rFonts w:ascii="Times New Roman" w:eastAsia="Times New Roman" w:hAnsi="Times New Roman" w:cs="Times New Roman"/>
          <w:sz w:val="24"/>
          <w:szCs w:val="24"/>
          <w:lang w:val="en-IN" w:eastAsia="en-IN"/>
        </w:rPr>
      </w:pPr>
      <w:r w:rsidRPr="00860D9C">
        <w:rPr>
          <w:rFonts w:ascii="Times New Roman" w:eastAsia="Times New Roman" w:hAnsi="Times New Roman" w:cs="Times New Roman"/>
          <w:sz w:val="24"/>
          <w:szCs w:val="24"/>
          <w:lang w:val="en-IN" w:eastAsia="en-IN"/>
        </w:rPr>
        <w:t>Fitchratings.com. (2024). Available at: https://www.fitchratings.com/research/corporate-finance/fitch-affirms-nokia-at-bbb-outlook-stable-19-09-2023 [Accessed 24 Mar. 2024].</w:t>
      </w:r>
    </w:p>
    <w:p w14:paraId="2FAAB3C6" w14:textId="77777777" w:rsidR="00860D9C" w:rsidRPr="00860D9C" w:rsidRDefault="00860D9C" w:rsidP="00860D9C">
      <w:pPr>
        <w:pStyle w:val="NoSpacing"/>
        <w:spacing w:line="360" w:lineRule="auto"/>
        <w:jc w:val="both"/>
        <w:rPr>
          <w:rFonts w:ascii="Times New Roman" w:eastAsia="Times New Roman" w:hAnsi="Times New Roman" w:cs="Times New Roman"/>
          <w:sz w:val="24"/>
          <w:szCs w:val="24"/>
          <w:lang w:val="en-IN" w:eastAsia="en-IN"/>
        </w:rPr>
      </w:pPr>
      <w:r w:rsidRPr="00860D9C">
        <w:rPr>
          <w:rFonts w:ascii="Times New Roman" w:eastAsia="Times New Roman" w:hAnsi="Times New Roman" w:cs="Times New Roman"/>
          <w:sz w:val="24"/>
          <w:szCs w:val="24"/>
          <w:lang w:val="en-IN" w:eastAsia="en-IN"/>
        </w:rPr>
        <w:t xml:space="preserve">Huawei (2022). </w:t>
      </w:r>
      <w:r w:rsidRPr="00860D9C">
        <w:rPr>
          <w:rFonts w:ascii="Times New Roman" w:eastAsia="Times New Roman" w:hAnsi="Times New Roman" w:cs="Times New Roman"/>
          <w:i/>
          <w:iCs/>
          <w:sz w:val="24"/>
          <w:szCs w:val="24"/>
          <w:lang w:val="en-IN" w:eastAsia="en-IN"/>
        </w:rPr>
        <w:t>Huawei Annual Report</w:t>
      </w:r>
      <w:r w:rsidRPr="00860D9C">
        <w:rPr>
          <w:rFonts w:ascii="Times New Roman" w:eastAsia="Times New Roman" w:hAnsi="Times New Roman" w:cs="Times New Roman"/>
          <w:sz w:val="24"/>
          <w:szCs w:val="24"/>
          <w:lang w:val="en-IN" w:eastAsia="en-IN"/>
        </w:rPr>
        <w:t>. [online] huawei. Available at: https://www.huawei.com/en/annual-report [Accessed 24 Mar. 2024].</w:t>
      </w:r>
    </w:p>
    <w:p w14:paraId="42BF8B7F" w14:textId="01AF2BA0" w:rsidR="00860D9C" w:rsidRPr="00860D9C" w:rsidRDefault="00860D9C" w:rsidP="00860D9C">
      <w:pPr>
        <w:pStyle w:val="NoSpacing"/>
        <w:spacing w:line="360" w:lineRule="auto"/>
        <w:jc w:val="both"/>
        <w:rPr>
          <w:rFonts w:ascii="Times New Roman" w:hAnsi="Times New Roman" w:cs="Times New Roman"/>
          <w:sz w:val="24"/>
          <w:szCs w:val="24"/>
          <w:shd w:val="clear" w:color="auto" w:fill="FFFFFF"/>
        </w:rPr>
      </w:pPr>
      <w:r w:rsidRPr="00860D9C">
        <w:rPr>
          <w:rFonts w:ascii="Times New Roman" w:hAnsi="Times New Roman" w:cs="Times New Roman"/>
          <w:sz w:val="24"/>
          <w:szCs w:val="24"/>
          <w:shd w:val="clear" w:color="auto" w:fill="FFFFFF"/>
        </w:rPr>
        <w:t xml:space="preserve">Jones, C., Finkler, S.A., Kovner, C.T. and Mose, J. </w:t>
      </w:r>
      <w:r w:rsidR="00036C9B">
        <w:rPr>
          <w:rFonts w:ascii="Times New Roman" w:hAnsi="Times New Roman" w:cs="Times New Roman"/>
          <w:sz w:val="24"/>
          <w:szCs w:val="24"/>
          <w:shd w:val="clear" w:color="auto" w:fill="FFFFFF"/>
        </w:rPr>
        <w:t>(</w:t>
      </w:r>
      <w:r w:rsidRPr="00860D9C">
        <w:rPr>
          <w:rFonts w:ascii="Times New Roman" w:hAnsi="Times New Roman" w:cs="Times New Roman"/>
          <w:sz w:val="24"/>
          <w:szCs w:val="24"/>
          <w:shd w:val="clear" w:color="auto" w:fill="FFFFFF"/>
        </w:rPr>
        <w:t>2018</w:t>
      </w:r>
      <w:r w:rsidR="00036C9B">
        <w:rPr>
          <w:rFonts w:ascii="Times New Roman" w:hAnsi="Times New Roman" w:cs="Times New Roman"/>
          <w:sz w:val="24"/>
          <w:szCs w:val="24"/>
          <w:shd w:val="clear" w:color="auto" w:fill="FFFFFF"/>
        </w:rPr>
        <w:t>)</w:t>
      </w:r>
      <w:r w:rsidRPr="00860D9C">
        <w:rPr>
          <w:rFonts w:ascii="Times New Roman" w:hAnsi="Times New Roman" w:cs="Times New Roman"/>
          <w:sz w:val="24"/>
          <w:szCs w:val="24"/>
          <w:shd w:val="clear" w:color="auto" w:fill="FFFFFF"/>
        </w:rPr>
        <w:t> </w:t>
      </w:r>
      <w:r w:rsidRPr="00860D9C">
        <w:rPr>
          <w:rFonts w:ascii="Times New Roman" w:hAnsi="Times New Roman" w:cs="Times New Roman"/>
          <w:i/>
          <w:iCs/>
          <w:sz w:val="24"/>
          <w:szCs w:val="24"/>
          <w:shd w:val="clear" w:color="auto" w:fill="FFFFFF"/>
        </w:rPr>
        <w:t>Financial Management for Nurse Managers and Executives-E-Book</w:t>
      </w:r>
      <w:r w:rsidRPr="00860D9C">
        <w:rPr>
          <w:rFonts w:ascii="Times New Roman" w:hAnsi="Times New Roman" w:cs="Times New Roman"/>
          <w:sz w:val="24"/>
          <w:szCs w:val="24"/>
          <w:shd w:val="clear" w:color="auto" w:fill="FFFFFF"/>
        </w:rPr>
        <w:t>. Elsevier Health Sciences.</w:t>
      </w:r>
    </w:p>
    <w:p w14:paraId="49575570" w14:textId="7E26710A" w:rsidR="00860D9C" w:rsidRPr="00860D9C" w:rsidRDefault="00860D9C" w:rsidP="00860D9C">
      <w:pPr>
        <w:pStyle w:val="NoSpacing"/>
        <w:spacing w:line="360" w:lineRule="auto"/>
        <w:jc w:val="both"/>
        <w:rPr>
          <w:rFonts w:ascii="Times New Roman" w:hAnsi="Times New Roman" w:cs="Times New Roman"/>
          <w:sz w:val="24"/>
          <w:szCs w:val="24"/>
          <w:shd w:val="clear" w:color="auto" w:fill="FFFFFF"/>
        </w:rPr>
      </w:pPr>
      <w:r w:rsidRPr="00860D9C">
        <w:rPr>
          <w:rFonts w:ascii="Times New Roman" w:hAnsi="Times New Roman" w:cs="Times New Roman"/>
          <w:sz w:val="24"/>
          <w:szCs w:val="24"/>
          <w:shd w:val="clear" w:color="auto" w:fill="FFFFFF"/>
        </w:rPr>
        <w:lastRenderedPageBreak/>
        <w:t xml:space="preserve">Madura, J. </w:t>
      </w:r>
      <w:r w:rsidR="00036C9B">
        <w:rPr>
          <w:rFonts w:ascii="Times New Roman" w:hAnsi="Times New Roman" w:cs="Times New Roman"/>
          <w:sz w:val="24"/>
          <w:szCs w:val="24"/>
          <w:shd w:val="clear" w:color="auto" w:fill="FFFFFF"/>
        </w:rPr>
        <w:t>(</w:t>
      </w:r>
      <w:r w:rsidRPr="00860D9C">
        <w:rPr>
          <w:rFonts w:ascii="Times New Roman" w:hAnsi="Times New Roman" w:cs="Times New Roman"/>
          <w:sz w:val="24"/>
          <w:szCs w:val="24"/>
          <w:shd w:val="clear" w:color="auto" w:fill="FFFFFF"/>
        </w:rPr>
        <w:t>2020</w:t>
      </w:r>
      <w:r w:rsidR="00036C9B">
        <w:rPr>
          <w:rFonts w:ascii="Times New Roman" w:hAnsi="Times New Roman" w:cs="Times New Roman"/>
          <w:sz w:val="24"/>
          <w:szCs w:val="24"/>
          <w:shd w:val="clear" w:color="auto" w:fill="FFFFFF"/>
        </w:rPr>
        <w:t>)</w:t>
      </w:r>
      <w:r w:rsidRPr="00860D9C">
        <w:rPr>
          <w:rFonts w:ascii="Times New Roman" w:hAnsi="Times New Roman" w:cs="Times New Roman"/>
          <w:sz w:val="24"/>
          <w:szCs w:val="24"/>
          <w:shd w:val="clear" w:color="auto" w:fill="FFFFFF"/>
        </w:rPr>
        <w:t> </w:t>
      </w:r>
      <w:r w:rsidRPr="00860D9C">
        <w:rPr>
          <w:rFonts w:ascii="Times New Roman" w:hAnsi="Times New Roman" w:cs="Times New Roman"/>
          <w:i/>
          <w:iCs/>
          <w:sz w:val="24"/>
          <w:szCs w:val="24"/>
          <w:shd w:val="clear" w:color="auto" w:fill="FFFFFF"/>
        </w:rPr>
        <w:t>International financial management</w:t>
      </w:r>
      <w:r w:rsidRPr="00860D9C">
        <w:rPr>
          <w:rFonts w:ascii="Times New Roman" w:hAnsi="Times New Roman" w:cs="Times New Roman"/>
          <w:sz w:val="24"/>
          <w:szCs w:val="24"/>
          <w:shd w:val="clear" w:color="auto" w:fill="FFFFFF"/>
        </w:rPr>
        <w:t>. Cengage Learning.</w:t>
      </w:r>
    </w:p>
    <w:p w14:paraId="36757C69" w14:textId="77777777" w:rsidR="00860D9C" w:rsidRPr="00860D9C" w:rsidRDefault="00860D9C" w:rsidP="00860D9C">
      <w:pPr>
        <w:pStyle w:val="NoSpacing"/>
        <w:spacing w:line="360" w:lineRule="auto"/>
        <w:jc w:val="both"/>
        <w:rPr>
          <w:rFonts w:ascii="Times New Roman" w:eastAsia="Times New Roman" w:hAnsi="Times New Roman" w:cs="Times New Roman"/>
          <w:sz w:val="24"/>
          <w:szCs w:val="24"/>
          <w:lang w:val="en-IN" w:eastAsia="en-IN"/>
        </w:rPr>
      </w:pPr>
      <w:r w:rsidRPr="00860D9C">
        <w:rPr>
          <w:rFonts w:ascii="Times New Roman" w:eastAsia="Times New Roman" w:hAnsi="Times New Roman" w:cs="Times New Roman"/>
          <w:sz w:val="24"/>
          <w:szCs w:val="24"/>
          <w:lang w:val="en-IN" w:eastAsia="en-IN"/>
        </w:rPr>
        <w:t xml:space="preserve">Nokia (2022). </w:t>
      </w:r>
      <w:r w:rsidRPr="00860D9C">
        <w:rPr>
          <w:rFonts w:ascii="Times New Roman" w:eastAsia="Times New Roman" w:hAnsi="Times New Roman" w:cs="Times New Roman"/>
          <w:i/>
          <w:iCs/>
          <w:sz w:val="24"/>
          <w:szCs w:val="24"/>
          <w:lang w:val="en-IN" w:eastAsia="en-IN"/>
        </w:rPr>
        <w:t>We are Nokia | Nokia</w:t>
      </w:r>
      <w:r w:rsidRPr="00860D9C">
        <w:rPr>
          <w:rFonts w:ascii="Times New Roman" w:eastAsia="Times New Roman" w:hAnsi="Times New Roman" w:cs="Times New Roman"/>
          <w:sz w:val="24"/>
          <w:szCs w:val="24"/>
          <w:lang w:val="en-IN" w:eastAsia="en-IN"/>
        </w:rPr>
        <w:t>. [online] Nokia. Available at: https://www.nokia.com/we-are-nokia/ [Accessed 24 Mar. 2024].</w:t>
      </w:r>
    </w:p>
    <w:p w14:paraId="54329000" w14:textId="77777777" w:rsidR="00860D9C" w:rsidRPr="00860D9C" w:rsidRDefault="00860D9C" w:rsidP="00860D9C">
      <w:pPr>
        <w:pStyle w:val="NoSpacing"/>
        <w:spacing w:line="360" w:lineRule="auto"/>
        <w:jc w:val="both"/>
        <w:rPr>
          <w:rFonts w:ascii="Times New Roman" w:eastAsia="Times New Roman" w:hAnsi="Times New Roman" w:cs="Times New Roman"/>
          <w:sz w:val="24"/>
          <w:szCs w:val="24"/>
          <w:lang w:val="en-IN" w:eastAsia="en-IN"/>
        </w:rPr>
      </w:pPr>
      <w:r w:rsidRPr="00860D9C">
        <w:rPr>
          <w:rFonts w:ascii="Times New Roman" w:eastAsia="Times New Roman" w:hAnsi="Times New Roman" w:cs="Times New Roman"/>
          <w:sz w:val="24"/>
          <w:szCs w:val="24"/>
          <w:lang w:val="en-IN" w:eastAsia="en-IN"/>
        </w:rPr>
        <w:t xml:space="preserve">Nokia (2023). </w:t>
      </w:r>
      <w:r w:rsidRPr="00860D9C">
        <w:rPr>
          <w:rFonts w:ascii="Times New Roman" w:eastAsia="Times New Roman" w:hAnsi="Times New Roman" w:cs="Times New Roman"/>
          <w:i/>
          <w:iCs/>
          <w:sz w:val="24"/>
          <w:szCs w:val="24"/>
          <w:lang w:val="en-IN" w:eastAsia="en-IN"/>
        </w:rPr>
        <w:t>Our history | Nokia</w:t>
      </w:r>
      <w:r w:rsidRPr="00860D9C">
        <w:rPr>
          <w:rFonts w:ascii="Times New Roman" w:eastAsia="Times New Roman" w:hAnsi="Times New Roman" w:cs="Times New Roman"/>
          <w:sz w:val="24"/>
          <w:szCs w:val="24"/>
          <w:lang w:val="en-IN" w:eastAsia="en-IN"/>
        </w:rPr>
        <w:t>. [online] Nokia. Available at: https://www.nokia.com/we-are-nokia/our-history/ [Accessed 24 Mar. 2024].</w:t>
      </w:r>
    </w:p>
    <w:p w14:paraId="32CB3142" w14:textId="77777777" w:rsidR="00860D9C" w:rsidRPr="00860D9C" w:rsidRDefault="00860D9C" w:rsidP="00860D9C">
      <w:pPr>
        <w:pStyle w:val="NoSpacing"/>
        <w:spacing w:line="360" w:lineRule="auto"/>
        <w:jc w:val="both"/>
        <w:rPr>
          <w:rFonts w:ascii="Times New Roman" w:eastAsia="Times New Roman" w:hAnsi="Times New Roman" w:cs="Times New Roman"/>
          <w:sz w:val="24"/>
          <w:szCs w:val="24"/>
          <w:lang w:val="en-IN" w:eastAsia="en-IN"/>
        </w:rPr>
      </w:pPr>
      <w:r w:rsidRPr="00860D9C">
        <w:rPr>
          <w:rFonts w:ascii="Times New Roman" w:eastAsia="Times New Roman" w:hAnsi="Times New Roman" w:cs="Times New Roman"/>
          <w:sz w:val="24"/>
          <w:szCs w:val="24"/>
          <w:lang w:val="en-IN" w:eastAsia="en-IN"/>
        </w:rPr>
        <w:t xml:space="preserve">Nokia. (2022). </w:t>
      </w:r>
      <w:r w:rsidRPr="00860D9C">
        <w:rPr>
          <w:rFonts w:ascii="Times New Roman" w:eastAsia="Times New Roman" w:hAnsi="Times New Roman" w:cs="Times New Roman"/>
          <w:i/>
          <w:iCs/>
          <w:sz w:val="24"/>
          <w:szCs w:val="24"/>
          <w:lang w:val="en-IN" w:eastAsia="en-IN"/>
        </w:rPr>
        <w:t>Results &amp; reports | Nokia</w:t>
      </w:r>
      <w:r w:rsidRPr="00860D9C">
        <w:rPr>
          <w:rFonts w:ascii="Times New Roman" w:eastAsia="Times New Roman" w:hAnsi="Times New Roman" w:cs="Times New Roman"/>
          <w:sz w:val="24"/>
          <w:szCs w:val="24"/>
          <w:lang w:val="en-IN" w:eastAsia="en-IN"/>
        </w:rPr>
        <w:t>. [online] Available at: https://www.nokia.com/about-us/investors/results-reports/ [Accessed 24 Mar. 2024].</w:t>
      </w:r>
    </w:p>
    <w:p w14:paraId="382D81FA" w14:textId="77777777" w:rsidR="00860D9C" w:rsidRPr="00860D9C" w:rsidRDefault="00860D9C" w:rsidP="00860D9C">
      <w:pPr>
        <w:pStyle w:val="NoSpacing"/>
        <w:spacing w:line="360" w:lineRule="auto"/>
        <w:jc w:val="both"/>
        <w:rPr>
          <w:rFonts w:ascii="Times New Roman" w:eastAsia="Times New Roman" w:hAnsi="Times New Roman" w:cs="Times New Roman"/>
          <w:sz w:val="24"/>
          <w:szCs w:val="24"/>
          <w:lang w:val="en-IN" w:eastAsia="en-IN"/>
        </w:rPr>
      </w:pPr>
      <w:r w:rsidRPr="00860D9C">
        <w:rPr>
          <w:rFonts w:ascii="Times New Roman" w:eastAsia="Times New Roman" w:hAnsi="Times New Roman" w:cs="Times New Roman"/>
          <w:sz w:val="24"/>
          <w:szCs w:val="24"/>
          <w:lang w:val="en-IN" w:eastAsia="en-IN"/>
        </w:rPr>
        <w:t>reuters.com (2024). Available at: https://www.reuters.com/business/media-telecom/nokia-q4-operating-profit-down-27-beats-forecast-2024-01-25/ [Accessed 24 Mar. 2024].</w:t>
      </w:r>
    </w:p>
    <w:p w14:paraId="44E014DC" w14:textId="1704486E" w:rsidR="00860D9C" w:rsidRPr="00860D9C" w:rsidRDefault="00860D9C" w:rsidP="00860D9C">
      <w:pPr>
        <w:pStyle w:val="NoSpacing"/>
        <w:spacing w:line="360" w:lineRule="auto"/>
        <w:jc w:val="both"/>
        <w:rPr>
          <w:rFonts w:ascii="Times New Roman" w:hAnsi="Times New Roman" w:cs="Times New Roman"/>
          <w:sz w:val="24"/>
          <w:szCs w:val="24"/>
          <w:shd w:val="clear" w:color="auto" w:fill="FFFFFF"/>
        </w:rPr>
      </w:pPr>
      <w:r w:rsidRPr="00860D9C">
        <w:rPr>
          <w:rFonts w:ascii="Times New Roman" w:hAnsi="Times New Roman" w:cs="Times New Roman"/>
          <w:sz w:val="24"/>
          <w:szCs w:val="24"/>
          <w:shd w:val="clear" w:color="auto" w:fill="FFFFFF"/>
        </w:rPr>
        <w:t xml:space="preserve">Shapiro, A.C. and Hanouna, P. </w:t>
      </w:r>
      <w:r w:rsidR="00036C9B">
        <w:rPr>
          <w:rFonts w:ascii="Times New Roman" w:hAnsi="Times New Roman" w:cs="Times New Roman"/>
          <w:sz w:val="24"/>
          <w:szCs w:val="24"/>
          <w:shd w:val="clear" w:color="auto" w:fill="FFFFFF"/>
        </w:rPr>
        <w:t>(</w:t>
      </w:r>
      <w:r w:rsidRPr="00860D9C">
        <w:rPr>
          <w:rFonts w:ascii="Times New Roman" w:hAnsi="Times New Roman" w:cs="Times New Roman"/>
          <w:sz w:val="24"/>
          <w:szCs w:val="24"/>
          <w:shd w:val="clear" w:color="auto" w:fill="FFFFFF"/>
        </w:rPr>
        <w:t>2019</w:t>
      </w:r>
      <w:r w:rsidR="00036C9B">
        <w:rPr>
          <w:rFonts w:ascii="Times New Roman" w:hAnsi="Times New Roman" w:cs="Times New Roman"/>
          <w:sz w:val="24"/>
          <w:szCs w:val="24"/>
          <w:shd w:val="clear" w:color="auto" w:fill="FFFFFF"/>
        </w:rPr>
        <w:t xml:space="preserve">) </w:t>
      </w:r>
      <w:r w:rsidRPr="00860D9C">
        <w:rPr>
          <w:rFonts w:ascii="Times New Roman" w:hAnsi="Times New Roman" w:cs="Times New Roman"/>
          <w:i/>
          <w:iCs/>
          <w:sz w:val="24"/>
          <w:szCs w:val="24"/>
          <w:shd w:val="clear" w:color="auto" w:fill="FFFFFF"/>
        </w:rPr>
        <w:t>Multinational financial management</w:t>
      </w:r>
      <w:r w:rsidRPr="00860D9C">
        <w:rPr>
          <w:rFonts w:ascii="Times New Roman" w:hAnsi="Times New Roman" w:cs="Times New Roman"/>
          <w:sz w:val="24"/>
          <w:szCs w:val="24"/>
          <w:shd w:val="clear" w:color="auto" w:fill="FFFFFF"/>
        </w:rPr>
        <w:t>. John Wiley &amp; Sons.</w:t>
      </w:r>
    </w:p>
    <w:p w14:paraId="638D08DF" w14:textId="74401349" w:rsidR="00860D9C" w:rsidRPr="00860D9C" w:rsidRDefault="00860D9C" w:rsidP="00860D9C">
      <w:pPr>
        <w:pStyle w:val="NoSpacing"/>
        <w:spacing w:line="360" w:lineRule="auto"/>
        <w:jc w:val="both"/>
        <w:rPr>
          <w:rFonts w:ascii="Times New Roman" w:hAnsi="Times New Roman" w:cs="Times New Roman"/>
          <w:sz w:val="24"/>
          <w:szCs w:val="24"/>
          <w:shd w:val="clear" w:color="auto" w:fill="FFFFFF"/>
        </w:rPr>
      </w:pPr>
      <w:r w:rsidRPr="00860D9C">
        <w:rPr>
          <w:rFonts w:ascii="Times New Roman" w:hAnsi="Times New Roman" w:cs="Times New Roman"/>
          <w:sz w:val="24"/>
          <w:szCs w:val="24"/>
          <w:shd w:val="clear" w:color="auto" w:fill="FFFFFF"/>
        </w:rPr>
        <w:t xml:space="preserve">Shim, J.K. </w:t>
      </w:r>
      <w:r w:rsidR="00036C9B">
        <w:rPr>
          <w:rFonts w:ascii="Times New Roman" w:hAnsi="Times New Roman" w:cs="Times New Roman"/>
          <w:sz w:val="24"/>
          <w:szCs w:val="24"/>
          <w:shd w:val="clear" w:color="auto" w:fill="FFFFFF"/>
        </w:rPr>
        <w:t>(</w:t>
      </w:r>
      <w:r w:rsidRPr="00860D9C">
        <w:rPr>
          <w:rFonts w:ascii="Times New Roman" w:hAnsi="Times New Roman" w:cs="Times New Roman"/>
          <w:sz w:val="24"/>
          <w:szCs w:val="24"/>
          <w:shd w:val="clear" w:color="auto" w:fill="FFFFFF"/>
        </w:rPr>
        <w:t>2022</w:t>
      </w:r>
      <w:r w:rsidR="00036C9B">
        <w:rPr>
          <w:rFonts w:ascii="Times New Roman" w:hAnsi="Times New Roman" w:cs="Times New Roman"/>
          <w:sz w:val="24"/>
          <w:szCs w:val="24"/>
          <w:shd w:val="clear" w:color="auto" w:fill="FFFFFF"/>
        </w:rPr>
        <w:t>)</w:t>
      </w:r>
      <w:r w:rsidRPr="00860D9C">
        <w:rPr>
          <w:rFonts w:ascii="Times New Roman" w:hAnsi="Times New Roman" w:cs="Times New Roman"/>
          <w:sz w:val="24"/>
          <w:szCs w:val="24"/>
          <w:shd w:val="clear" w:color="auto" w:fill="FFFFFF"/>
        </w:rPr>
        <w:t> </w:t>
      </w:r>
      <w:r w:rsidRPr="00860D9C">
        <w:rPr>
          <w:rFonts w:ascii="Times New Roman" w:hAnsi="Times New Roman" w:cs="Times New Roman"/>
          <w:i/>
          <w:iCs/>
          <w:sz w:val="24"/>
          <w:szCs w:val="24"/>
          <w:shd w:val="clear" w:color="auto" w:fill="FFFFFF"/>
        </w:rPr>
        <w:t>Financial management</w:t>
      </w:r>
      <w:r w:rsidRPr="00860D9C">
        <w:rPr>
          <w:rFonts w:ascii="Times New Roman" w:hAnsi="Times New Roman" w:cs="Times New Roman"/>
          <w:sz w:val="24"/>
          <w:szCs w:val="24"/>
          <w:shd w:val="clear" w:color="auto" w:fill="FFFFFF"/>
        </w:rPr>
        <w:t>. Professor of Finance and Accounting Queens College City University of New York.</w:t>
      </w:r>
    </w:p>
    <w:p w14:paraId="349A41C2" w14:textId="0C976493" w:rsidR="00860D9C" w:rsidRPr="00860D9C" w:rsidRDefault="00860D9C" w:rsidP="00860D9C">
      <w:pPr>
        <w:pStyle w:val="NoSpacing"/>
        <w:spacing w:line="360" w:lineRule="auto"/>
        <w:jc w:val="both"/>
        <w:rPr>
          <w:rFonts w:ascii="Times New Roman" w:hAnsi="Times New Roman" w:cs="Times New Roman"/>
          <w:sz w:val="24"/>
          <w:szCs w:val="24"/>
          <w:shd w:val="clear" w:color="auto" w:fill="FFFFFF"/>
        </w:rPr>
      </w:pPr>
      <w:r w:rsidRPr="00860D9C">
        <w:rPr>
          <w:rFonts w:ascii="Times New Roman" w:hAnsi="Times New Roman" w:cs="Times New Roman"/>
          <w:sz w:val="24"/>
          <w:szCs w:val="24"/>
          <w:shd w:val="clear" w:color="auto" w:fill="FFFFFF"/>
        </w:rPr>
        <w:t xml:space="preserve">Spiteri, S. </w:t>
      </w:r>
      <w:r w:rsidR="00036C9B">
        <w:rPr>
          <w:rFonts w:ascii="Times New Roman" w:hAnsi="Times New Roman" w:cs="Times New Roman"/>
          <w:sz w:val="24"/>
          <w:szCs w:val="24"/>
          <w:shd w:val="clear" w:color="auto" w:fill="FFFFFF"/>
        </w:rPr>
        <w:t>(</w:t>
      </w:r>
      <w:r w:rsidRPr="00860D9C">
        <w:rPr>
          <w:rFonts w:ascii="Times New Roman" w:hAnsi="Times New Roman" w:cs="Times New Roman"/>
          <w:sz w:val="24"/>
          <w:szCs w:val="24"/>
          <w:shd w:val="clear" w:color="auto" w:fill="FFFFFF"/>
        </w:rPr>
        <w:t>2020</w:t>
      </w:r>
      <w:r w:rsidR="00036C9B">
        <w:rPr>
          <w:rFonts w:ascii="Times New Roman" w:hAnsi="Times New Roman" w:cs="Times New Roman"/>
          <w:sz w:val="24"/>
          <w:szCs w:val="24"/>
          <w:shd w:val="clear" w:color="auto" w:fill="FFFFFF"/>
        </w:rPr>
        <w:t>)</w:t>
      </w:r>
      <w:r w:rsidRPr="00860D9C">
        <w:rPr>
          <w:rFonts w:ascii="Times New Roman" w:hAnsi="Times New Roman" w:cs="Times New Roman"/>
          <w:sz w:val="24"/>
          <w:szCs w:val="24"/>
          <w:shd w:val="clear" w:color="auto" w:fill="FFFFFF"/>
        </w:rPr>
        <w:t> Financial Accounting: From Its Basics to Financial Reporting and Analysis. Cambridge Scholars Publishing.</w:t>
      </w:r>
    </w:p>
    <w:p w14:paraId="1CD974CA" w14:textId="6DE9812F" w:rsidR="00860D9C" w:rsidRPr="00860D9C" w:rsidRDefault="00860D9C" w:rsidP="00860D9C">
      <w:pPr>
        <w:pStyle w:val="NoSpacing"/>
        <w:spacing w:line="360" w:lineRule="auto"/>
        <w:jc w:val="both"/>
        <w:rPr>
          <w:rFonts w:ascii="Times New Roman" w:hAnsi="Times New Roman" w:cs="Times New Roman"/>
          <w:sz w:val="24"/>
          <w:szCs w:val="24"/>
        </w:rPr>
      </w:pPr>
      <w:r w:rsidRPr="00860D9C">
        <w:rPr>
          <w:rFonts w:ascii="Times New Roman" w:hAnsi="Times New Roman" w:cs="Times New Roman"/>
          <w:sz w:val="24"/>
          <w:szCs w:val="24"/>
        </w:rPr>
        <w:t xml:space="preserve">Weetman, P. </w:t>
      </w:r>
      <w:r w:rsidR="00036C9B">
        <w:rPr>
          <w:rFonts w:ascii="Times New Roman" w:hAnsi="Times New Roman" w:cs="Times New Roman"/>
          <w:sz w:val="24"/>
          <w:szCs w:val="24"/>
        </w:rPr>
        <w:t>(</w:t>
      </w:r>
      <w:r w:rsidRPr="00860D9C">
        <w:rPr>
          <w:rFonts w:ascii="Times New Roman" w:hAnsi="Times New Roman" w:cs="Times New Roman"/>
          <w:sz w:val="24"/>
          <w:szCs w:val="24"/>
        </w:rPr>
        <w:t>2019</w:t>
      </w:r>
      <w:r w:rsidR="00036C9B">
        <w:rPr>
          <w:rFonts w:ascii="Times New Roman" w:hAnsi="Times New Roman" w:cs="Times New Roman"/>
          <w:sz w:val="24"/>
          <w:szCs w:val="24"/>
        </w:rPr>
        <w:t>)</w:t>
      </w:r>
      <w:r w:rsidRPr="00860D9C">
        <w:rPr>
          <w:rFonts w:ascii="Times New Roman" w:hAnsi="Times New Roman" w:cs="Times New Roman"/>
          <w:sz w:val="24"/>
          <w:szCs w:val="24"/>
        </w:rPr>
        <w:t xml:space="preserve"> Financial and Management Accounting: An Introduction.Harlow: Pearson</w:t>
      </w:r>
    </w:p>
    <w:p w14:paraId="5D621D88" w14:textId="77777777" w:rsidR="00860D9C" w:rsidRDefault="00860D9C" w:rsidP="00860D9C">
      <w:pPr>
        <w:rPr>
          <w:color w:val="000000" w:themeColor="text1"/>
          <w:shd w:val="clear" w:color="auto" w:fill="FFFFFF"/>
        </w:rPr>
      </w:pPr>
    </w:p>
    <w:p w14:paraId="1813D46F" w14:textId="77777777" w:rsidR="00860D9C" w:rsidRPr="007676B3" w:rsidRDefault="00860D9C" w:rsidP="00860D9C">
      <w:pPr>
        <w:spacing w:after="240"/>
        <w:rPr>
          <w:lang w:val="en-IN"/>
        </w:rPr>
      </w:pPr>
    </w:p>
    <w:p w14:paraId="4BC95AA0" w14:textId="77777777" w:rsidR="00860D9C" w:rsidRPr="00F5614F" w:rsidRDefault="00860D9C" w:rsidP="00860D9C">
      <w:pPr>
        <w:spacing w:after="240"/>
        <w:rPr>
          <w:b/>
          <w:lang w:val="en-IN"/>
        </w:rPr>
      </w:pPr>
    </w:p>
    <w:p w14:paraId="06A67DBA" w14:textId="77777777" w:rsidR="00860D9C" w:rsidRPr="00F5614F" w:rsidRDefault="00860D9C" w:rsidP="00860D9C">
      <w:pPr>
        <w:spacing w:after="240"/>
        <w:rPr>
          <w:lang w:val="en-IN"/>
        </w:rPr>
      </w:pPr>
    </w:p>
    <w:p w14:paraId="3C31F4A1" w14:textId="77777777" w:rsidR="00860D9C" w:rsidRPr="00F5614F" w:rsidRDefault="00860D9C" w:rsidP="00860D9C">
      <w:pPr>
        <w:spacing w:after="240"/>
        <w:rPr>
          <w:lang w:val="en-IN"/>
        </w:rPr>
      </w:pPr>
    </w:p>
    <w:p w14:paraId="638296D5" w14:textId="77777777" w:rsidR="00860D9C" w:rsidRPr="00696CEB" w:rsidRDefault="00860D9C" w:rsidP="00860D9C">
      <w:pPr>
        <w:spacing w:after="240"/>
        <w:rPr>
          <w:lang w:val="en-IN"/>
        </w:rPr>
      </w:pPr>
    </w:p>
    <w:p w14:paraId="23E15B1F" w14:textId="77777777" w:rsidR="00860D9C" w:rsidRPr="00567137" w:rsidRDefault="00860D9C" w:rsidP="00860D9C">
      <w:pPr>
        <w:spacing w:after="240"/>
        <w:rPr>
          <w:lang w:val="en-IN"/>
        </w:rPr>
      </w:pPr>
    </w:p>
    <w:p w14:paraId="177183C3" w14:textId="77777777" w:rsidR="00860D9C" w:rsidRPr="00D45C15" w:rsidRDefault="00860D9C" w:rsidP="00860D9C">
      <w:pPr>
        <w:spacing w:after="240"/>
        <w:rPr>
          <w:lang w:val="en-IN"/>
        </w:rPr>
      </w:pPr>
    </w:p>
    <w:p w14:paraId="78D89EF6" w14:textId="77777777" w:rsidR="00860D9C" w:rsidRPr="00D45C15" w:rsidRDefault="00860D9C" w:rsidP="00860D9C">
      <w:pPr>
        <w:spacing w:after="240"/>
        <w:rPr>
          <w:lang w:val="en-IN"/>
        </w:rPr>
      </w:pPr>
    </w:p>
    <w:p w14:paraId="29573C61" w14:textId="77777777" w:rsidR="00860D9C" w:rsidRDefault="00860D9C" w:rsidP="00860D9C"/>
    <w:p w14:paraId="12B41634" w14:textId="77777777" w:rsidR="00860D9C" w:rsidRPr="00860D9C" w:rsidRDefault="00860D9C" w:rsidP="00860D9C"/>
    <w:sectPr w:rsidR="00860D9C" w:rsidRPr="00860D9C">
      <w:footerReference w:type="default" r:id="rId17"/>
      <w:pgSz w:w="12240" w:h="15840"/>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6044FA3" w14:textId="77777777" w:rsidR="00121786" w:rsidRDefault="00121786" w:rsidP="00860D9C">
      <w:pPr>
        <w:spacing w:line="240" w:lineRule="auto"/>
      </w:pPr>
      <w:r>
        <w:separator/>
      </w:r>
    </w:p>
  </w:endnote>
  <w:endnote w:type="continuationSeparator" w:id="0">
    <w:p w14:paraId="3917F9EA" w14:textId="77777777" w:rsidR="00121786" w:rsidRDefault="00121786" w:rsidP="00860D9C">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989746519"/>
      <w:docPartObj>
        <w:docPartGallery w:val="Page Numbers (Bottom of Page)"/>
        <w:docPartUnique/>
      </w:docPartObj>
    </w:sdtPr>
    <w:sdtEndPr>
      <w:rPr>
        <w:noProof/>
      </w:rPr>
    </w:sdtEndPr>
    <w:sdtContent>
      <w:p w14:paraId="2CE437E2" w14:textId="77777777" w:rsidR="00860D9C" w:rsidRDefault="00860D9C">
        <w:pPr>
          <w:pStyle w:val="Footer"/>
          <w:jc w:val="right"/>
        </w:pPr>
        <w:r>
          <w:fldChar w:fldCharType="begin"/>
        </w:r>
        <w:r>
          <w:instrText xml:space="preserve"> PAGE   \* MERGEFORMAT </w:instrText>
        </w:r>
        <w:r>
          <w:fldChar w:fldCharType="separate"/>
        </w:r>
        <w:r>
          <w:rPr>
            <w:noProof/>
          </w:rPr>
          <w:t>24</w:t>
        </w:r>
        <w:r>
          <w:rPr>
            <w:noProof/>
          </w:rPr>
          <w:fldChar w:fldCharType="end"/>
        </w:r>
      </w:p>
    </w:sdtContent>
  </w:sdt>
  <w:p w14:paraId="4A409F9C" w14:textId="77777777" w:rsidR="00860D9C" w:rsidRDefault="00860D9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5B4F543" w14:textId="77777777" w:rsidR="00121786" w:rsidRDefault="00121786" w:rsidP="00860D9C">
      <w:pPr>
        <w:spacing w:line="240" w:lineRule="auto"/>
      </w:pPr>
      <w:r>
        <w:separator/>
      </w:r>
    </w:p>
  </w:footnote>
  <w:footnote w:type="continuationSeparator" w:id="0">
    <w:p w14:paraId="67C1A0EA" w14:textId="77777777" w:rsidR="00121786" w:rsidRDefault="00121786" w:rsidP="00860D9C">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8234E8C"/>
    <w:multiLevelType w:val="multilevel"/>
    <w:tmpl w:val="21423DC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393D1842"/>
    <w:multiLevelType w:val="multilevel"/>
    <w:tmpl w:val="B14C3C4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15:restartNumberingAfterBreak="0">
    <w:nsid w:val="53093EE0"/>
    <w:multiLevelType w:val="multilevel"/>
    <w:tmpl w:val="A9F83BF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16cid:durableId="1125000941">
    <w:abstractNumId w:val="2"/>
  </w:num>
  <w:num w:numId="2" w16cid:durableId="1238321570">
    <w:abstractNumId w:val="0"/>
  </w:num>
  <w:num w:numId="3" w16cid:durableId="59351682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6"/>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12020"/>
    <w:rsid w:val="00005013"/>
    <w:rsid w:val="00007C4E"/>
    <w:rsid w:val="00036C9B"/>
    <w:rsid w:val="00037E45"/>
    <w:rsid w:val="000B3552"/>
    <w:rsid w:val="00121786"/>
    <w:rsid w:val="00183928"/>
    <w:rsid w:val="0018451D"/>
    <w:rsid w:val="001C31F8"/>
    <w:rsid w:val="00241CC7"/>
    <w:rsid w:val="00254DDD"/>
    <w:rsid w:val="00282769"/>
    <w:rsid w:val="002A27B4"/>
    <w:rsid w:val="002D3A04"/>
    <w:rsid w:val="00306CB2"/>
    <w:rsid w:val="00320EA6"/>
    <w:rsid w:val="003C4DAC"/>
    <w:rsid w:val="003D083E"/>
    <w:rsid w:val="003D48DC"/>
    <w:rsid w:val="00435E39"/>
    <w:rsid w:val="00474806"/>
    <w:rsid w:val="00493AC6"/>
    <w:rsid w:val="004C1376"/>
    <w:rsid w:val="004F59E2"/>
    <w:rsid w:val="00540208"/>
    <w:rsid w:val="00563788"/>
    <w:rsid w:val="005673F6"/>
    <w:rsid w:val="005A15AD"/>
    <w:rsid w:val="005C0225"/>
    <w:rsid w:val="00673800"/>
    <w:rsid w:val="006A010E"/>
    <w:rsid w:val="006D339F"/>
    <w:rsid w:val="006E130E"/>
    <w:rsid w:val="006F3CF0"/>
    <w:rsid w:val="00715F26"/>
    <w:rsid w:val="00746F4F"/>
    <w:rsid w:val="00747CAF"/>
    <w:rsid w:val="0076678B"/>
    <w:rsid w:val="007F1955"/>
    <w:rsid w:val="00800EDA"/>
    <w:rsid w:val="008273F0"/>
    <w:rsid w:val="0085764F"/>
    <w:rsid w:val="00860D9C"/>
    <w:rsid w:val="00877A70"/>
    <w:rsid w:val="008E1B2D"/>
    <w:rsid w:val="0092182B"/>
    <w:rsid w:val="00982687"/>
    <w:rsid w:val="009B218D"/>
    <w:rsid w:val="00A320B3"/>
    <w:rsid w:val="00A33C51"/>
    <w:rsid w:val="00A61260"/>
    <w:rsid w:val="00AB0D1C"/>
    <w:rsid w:val="00AD5AAC"/>
    <w:rsid w:val="00AF7B9F"/>
    <w:rsid w:val="00B12020"/>
    <w:rsid w:val="00B446D7"/>
    <w:rsid w:val="00B45918"/>
    <w:rsid w:val="00BB6F62"/>
    <w:rsid w:val="00C23CA6"/>
    <w:rsid w:val="00C43AAA"/>
    <w:rsid w:val="00C52FF0"/>
    <w:rsid w:val="00C7187C"/>
    <w:rsid w:val="00C744A3"/>
    <w:rsid w:val="00CA4C0F"/>
    <w:rsid w:val="00CA5B0B"/>
    <w:rsid w:val="00CC24C5"/>
    <w:rsid w:val="00CD6CC0"/>
    <w:rsid w:val="00CE63EC"/>
    <w:rsid w:val="00D1759D"/>
    <w:rsid w:val="00D55311"/>
    <w:rsid w:val="00D71372"/>
    <w:rsid w:val="00D93CD1"/>
    <w:rsid w:val="00DB26C1"/>
    <w:rsid w:val="00DF6B19"/>
    <w:rsid w:val="00E05379"/>
    <w:rsid w:val="00E40F72"/>
    <w:rsid w:val="00E46797"/>
    <w:rsid w:val="00E926DE"/>
    <w:rsid w:val="00ED5DA5"/>
    <w:rsid w:val="00F1761F"/>
    <w:rsid w:val="00FD6951"/>
    <w:rsid w:val="00FE0C84"/>
    <w:rsid w:val="00FF174D"/>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7AC4F68"/>
  <w15:docId w15:val="{0FE899AF-E500-42BA-BA82-010AAAA95B8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sz w:val="24"/>
        <w:szCs w:val="24"/>
        <w:lang w:val="en-IN" w:eastAsia="en-IN" w:bidi="ar-SA"/>
      </w:rPr>
    </w:rPrDefault>
    <w:pPrDefault>
      <w:pPr>
        <w:spacing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Pr>
      <w:lang w:val="en-GB"/>
    </w:rPr>
  </w:style>
  <w:style w:type="paragraph" w:styleId="Heading1">
    <w:name w:val="heading 1"/>
    <w:basedOn w:val="Normal"/>
    <w:next w:val="Normal"/>
    <w:rsid w:val="00493AC6"/>
    <w:pPr>
      <w:outlineLvl w:val="0"/>
    </w:pPr>
    <w:rPr>
      <w:b/>
    </w:rPr>
  </w:style>
  <w:style w:type="paragraph" w:styleId="Heading2">
    <w:name w:val="heading 2"/>
    <w:basedOn w:val="Normal"/>
    <w:next w:val="Normal"/>
    <w:rsid w:val="00493AC6"/>
    <w:pPr>
      <w:outlineLvl w:val="1"/>
    </w:pPr>
    <w:rPr>
      <w:b/>
    </w:rPr>
  </w:style>
  <w:style w:type="paragraph" w:styleId="Heading3">
    <w:name w:val="heading 3"/>
    <w:basedOn w:val="Normal"/>
    <w:next w:val="Normal"/>
    <w:pPr>
      <w:keepNext/>
      <w:keepLines/>
      <w:spacing w:before="320" w:after="80"/>
      <w:outlineLvl w:val="2"/>
    </w:pPr>
    <w:rPr>
      <w:color w:val="434343"/>
      <w:sz w:val="28"/>
      <w:szCs w:val="28"/>
    </w:rPr>
  </w:style>
  <w:style w:type="paragraph" w:styleId="Heading4">
    <w:name w:val="heading 4"/>
    <w:basedOn w:val="Normal"/>
    <w:next w:val="Normal"/>
    <w:pPr>
      <w:keepNext/>
      <w:keepLines/>
      <w:spacing w:before="280" w:after="80"/>
      <w:outlineLvl w:val="3"/>
    </w:pPr>
    <w:rPr>
      <w:color w:val="666666"/>
    </w:rPr>
  </w:style>
  <w:style w:type="paragraph" w:styleId="Heading5">
    <w:name w:val="heading 5"/>
    <w:basedOn w:val="Normal"/>
    <w:next w:val="Normal"/>
    <w:pPr>
      <w:keepNext/>
      <w:keepLines/>
      <w:spacing w:before="240" w:after="80"/>
      <w:outlineLvl w:val="4"/>
    </w:pPr>
    <w:rPr>
      <w:color w:val="666666"/>
      <w:sz w:val="22"/>
      <w:szCs w:val="22"/>
    </w:rPr>
  </w:style>
  <w:style w:type="paragraph" w:styleId="Heading6">
    <w:name w:val="heading 6"/>
    <w:basedOn w:val="Normal"/>
    <w:next w:val="Normal"/>
    <w:pPr>
      <w:keepNext/>
      <w:keepLines/>
      <w:spacing w:before="240" w:after="80"/>
      <w:outlineLvl w:val="5"/>
    </w:pPr>
    <w:rPr>
      <w:i/>
      <w:color w:val="666666"/>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spacing w:after="60"/>
    </w:pPr>
    <w:rPr>
      <w:sz w:val="52"/>
      <w:szCs w:val="52"/>
    </w:rPr>
  </w:style>
  <w:style w:type="paragraph" w:styleId="Subtitle">
    <w:name w:val="Subtitle"/>
    <w:basedOn w:val="Normal"/>
    <w:next w:val="Normal"/>
    <w:pPr>
      <w:keepNext/>
      <w:keepLines/>
      <w:spacing w:after="320"/>
    </w:pPr>
    <w:rPr>
      <w:rFonts w:ascii="Arial" w:eastAsia="Arial" w:hAnsi="Arial" w:cs="Arial"/>
      <w:color w:val="666666"/>
      <w:sz w:val="30"/>
      <w:szCs w:val="30"/>
    </w:rPr>
  </w:style>
  <w:style w:type="table" w:customStyle="1" w:styleId="a">
    <w:basedOn w:val="TableNormal"/>
    <w:tblPr>
      <w:tblStyleRowBandSize w:val="1"/>
      <w:tblStyleColBandSize w:val="1"/>
      <w:tblCellMar>
        <w:top w:w="100" w:type="dxa"/>
        <w:left w:w="100" w:type="dxa"/>
        <w:bottom w:w="100" w:type="dxa"/>
        <w:right w:w="100" w:type="dxa"/>
      </w:tblCellMar>
    </w:tblPr>
  </w:style>
  <w:style w:type="table" w:customStyle="1" w:styleId="a0">
    <w:basedOn w:val="TableNormal"/>
    <w:tblPr>
      <w:tblStyleRowBandSize w:val="1"/>
      <w:tblStyleColBandSize w:val="1"/>
      <w:tblCellMar>
        <w:top w:w="100" w:type="dxa"/>
        <w:left w:w="100" w:type="dxa"/>
        <w:bottom w:w="100" w:type="dxa"/>
        <w:right w:w="100" w:type="dxa"/>
      </w:tblCellMar>
    </w:tblPr>
  </w:style>
  <w:style w:type="table" w:customStyle="1" w:styleId="a1">
    <w:basedOn w:val="TableNormal"/>
    <w:tblPr>
      <w:tblStyleRowBandSize w:val="1"/>
      <w:tblStyleColBandSize w:val="1"/>
      <w:tblCellMar>
        <w:top w:w="100" w:type="dxa"/>
        <w:left w:w="100" w:type="dxa"/>
        <w:bottom w:w="100" w:type="dxa"/>
        <w:right w:w="100" w:type="dxa"/>
      </w:tblCellMar>
    </w:tblPr>
  </w:style>
  <w:style w:type="table" w:customStyle="1" w:styleId="a2">
    <w:basedOn w:val="TableNormal"/>
    <w:tblPr>
      <w:tblStyleRowBandSize w:val="1"/>
      <w:tblStyleColBandSize w:val="1"/>
      <w:tblCellMar>
        <w:top w:w="100" w:type="dxa"/>
        <w:left w:w="100" w:type="dxa"/>
        <w:bottom w:w="100" w:type="dxa"/>
        <w:right w:w="100" w:type="dxa"/>
      </w:tblCellMar>
    </w:tblPr>
  </w:style>
  <w:style w:type="table" w:customStyle="1" w:styleId="a3">
    <w:basedOn w:val="TableNormal"/>
    <w:tblPr>
      <w:tblStyleRowBandSize w:val="1"/>
      <w:tblStyleColBandSize w:val="1"/>
      <w:tblCellMar>
        <w:top w:w="100" w:type="dxa"/>
        <w:left w:w="100" w:type="dxa"/>
        <w:bottom w:w="100" w:type="dxa"/>
        <w:right w:w="100" w:type="dxa"/>
      </w:tblCellMar>
    </w:tblPr>
  </w:style>
  <w:style w:type="table" w:customStyle="1" w:styleId="a4">
    <w:basedOn w:val="TableNormal"/>
    <w:tblPr>
      <w:tblStyleRowBandSize w:val="1"/>
      <w:tblStyleColBandSize w:val="1"/>
      <w:tblCellMar>
        <w:top w:w="100" w:type="dxa"/>
        <w:left w:w="100" w:type="dxa"/>
        <w:bottom w:w="100" w:type="dxa"/>
        <w:right w:w="100" w:type="dxa"/>
      </w:tblCellMar>
    </w:tblPr>
  </w:style>
  <w:style w:type="table" w:customStyle="1" w:styleId="a5">
    <w:basedOn w:val="TableNormal"/>
    <w:tblPr>
      <w:tblStyleRowBandSize w:val="1"/>
      <w:tblStyleColBandSize w:val="1"/>
      <w:tblCellMar>
        <w:top w:w="100" w:type="dxa"/>
        <w:left w:w="100" w:type="dxa"/>
        <w:bottom w:w="100" w:type="dxa"/>
        <w:right w:w="100" w:type="dxa"/>
      </w:tblCellMar>
    </w:tblPr>
  </w:style>
  <w:style w:type="table" w:styleId="GridTable5Dark-Accent2">
    <w:name w:val="Grid Table 5 Dark Accent 2"/>
    <w:basedOn w:val="TableNormal"/>
    <w:uiPriority w:val="50"/>
    <w:rsid w:val="00CD6CC0"/>
    <w:pPr>
      <w:spacing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F2DBDB" w:themeFill="accent2"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C0504D" w:themeFill="accent2"/>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C0504D" w:themeFill="accent2"/>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C0504D" w:themeFill="accent2"/>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C0504D" w:themeFill="accent2"/>
      </w:tcPr>
    </w:tblStylePr>
    <w:tblStylePr w:type="band1Vert">
      <w:tblPr/>
      <w:tcPr>
        <w:shd w:val="clear" w:color="auto" w:fill="E5B8B7" w:themeFill="accent2" w:themeFillTint="66"/>
      </w:tcPr>
    </w:tblStylePr>
    <w:tblStylePr w:type="band1Horz">
      <w:tblPr/>
      <w:tcPr>
        <w:shd w:val="clear" w:color="auto" w:fill="E5B8B7" w:themeFill="accent2" w:themeFillTint="66"/>
      </w:tcPr>
    </w:tblStylePr>
  </w:style>
  <w:style w:type="table" w:styleId="GridTable5Dark-Accent3">
    <w:name w:val="Grid Table 5 Dark Accent 3"/>
    <w:basedOn w:val="TableNormal"/>
    <w:uiPriority w:val="50"/>
    <w:rsid w:val="00CD6CC0"/>
    <w:pPr>
      <w:spacing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EAF1DD" w:themeFill="accent3"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9BBB59" w:themeFill="accent3"/>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9BBB59" w:themeFill="accent3"/>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9BBB59" w:themeFill="accent3"/>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9BBB59" w:themeFill="accent3"/>
      </w:tcPr>
    </w:tblStylePr>
    <w:tblStylePr w:type="band1Vert">
      <w:tblPr/>
      <w:tcPr>
        <w:shd w:val="clear" w:color="auto" w:fill="D6E3BC" w:themeFill="accent3" w:themeFillTint="66"/>
      </w:tcPr>
    </w:tblStylePr>
    <w:tblStylePr w:type="band1Horz">
      <w:tblPr/>
      <w:tcPr>
        <w:shd w:val="clear" w:color="auto" w:fill="D6E3BC" w:themeFill="accent3" w:themeFillTint="66"/>
      </w:tcPr>
    </w:tblStylePr>
  </w:style>
  <w:style w:type="table" w:styleId="GridTable5Dark-Accent4">
    <w:name w:val="Grid Table 5 Dark Accent 4"/>
    <w:basedOn w:val="TableNormal"/>
    <w:uiPriority w:val="50"/>
    <w:rsid w:val="00CD6CC0"/>
    <w:pPr>
      <w:spacing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E5DFEC" w:themeFill="accent4"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8064A2" w:themeFill="accent4"/>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8064A2" w:themeFill="accent4"/>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8064A2" w:themeFill="accent4"/>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8064A2" w:themeFill="accent4"/>
      </w:tcPr>
    </w:tblStylePr>
    <w:tblStylePr w:type="band1Vert">
      <w:tblPr/>
      <w:tcPr>
        <w:shd w:val="clear" w:color="auto" w:fill="CCC0D9" w:themeFill="accent4" w:themeFillTint="66"/>
      </w:tcPr>
    </w:tblStylePr>
    <w:tblStylePr w:type="band1Horz">
      <w:tblPr/>
      <w:tcPr>
        <w:shd w:val="clear" w:color="auto" w:fill="CCC0D9" w:themeFill="accent4" w:themeFillTint="66"/>
      </w:tcPr>
    </w:tblStylePr>
  </w:style>
  <w:style w:type="table" w:styleId="GridTable5Dark-Accent6">
    <w:name w:val="Grid Table 5 Dark Accent 6"/>
    <w:basedOn w:val="TableNormal"/>
    <w:uiPriority w:val="50"/>
    <w:rsid w:val="00CD6CC0"/>
    <w:pPr>
      <w:spacing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FDE9D9" w:themeFill="accent6"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F79646" w:themeFill="accent6"/>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F79646" w:themeFill="accent6"/>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F79646" w:themeFill="accent6"/>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F79646" w:themeFill="accent6"/>
      </w:tcPr>
    </w:tblStylePr>
    <w:tblStylePr w:type="band1Vert">
      <w:tblPr/>
      <w:tcPr>
        <w:shd w:val="clear" w:color="auto" w:fill="FBD4B4" w:themeFill="accent6" w:themeFillTint="66"/>
      </w:tcPr>
    </w:tblStylePr>
    <w:tblStylePr w:type="band1Horz">
      <w:tblPr/>
      <w:tcPr>
        <w:shd w:val="clear" w:color="auto" w:fill="FBD4B4" w:themeFill="accent6" w:themeFillTint="66"/>
      </w:tcPr>
    </w:tblStylePr>
  </w:style>
  <w:style w:type="paragraph" w:styleId="NoSpacing">
    <w:name w:val="No Spacing"/>
    <w:uiPriority w:val="1"/>
    <w:qFormat/>
    <w:rsid w:val="00860D9C"/>
    <w:pPr>
      <w:spacing w:line="240" w:lineRule="auto"/>
      <w:jc w:val="left"/>
    </w:pPr>
    <w:rPr>
      <w:rFonts w:asciiTheme="minorHAnsi" w:eastAsiaTheme="minorHAnsi" w:hAnsiTheme="minorHAnsi" w:cstheme="minorBidi"/>
      <w:sz w:val="22"/>
      <w:szCs w:val="22"/>
      <w:lang w:val="en-GB" w:eastAsia="en-US"/>
    </w:rPr>
  </w:style>
  <w:style w:type="paragraph" w:styleId="TOCHeading">
    <w:name w:val="TOC Heading"/>
    <w:basedOn w:val="Heading1"/>
    <w:next w:val="Normal"/>
    <w:uiPriority w:val="39"/>
    <w:unhideWhenUsed/>
    <w:qFormat/>
    <w:rsid w:val="00860D9C"/>
    <w:pPr>
      <w:keepNext/>
      <w:keepLines/>
      <w:spacing w:before="240" w:line="259" w:lineRule="auto"/>
      <w:jc w:val="left"/>
      <w:outlineLvl w:val="9"/>
    </w:pPr>
    <w:rPr>
      <w:rFonts w:asciiTheme="majorHAnsi" w:eastAsiaTheme="majorEastAsia" w:hAnsiTheme="majorHAnsi" w:cstheme="majorBidi"/>
      <w:b w:val="0"/>
      <w:color w:val="365F91" w:themeColor="accent1" w:themeShade="BF"/>
      <w:sz w:val="32"/>
      <w:szCs w:val="32"/>
      <w:lang w:val="en-US" w:eastAsia="en-US"/>
    </w:rPr>
  </w:style>
  <w:style w:type="paragraph" w:styleId="TOC1">
    <w:name w:val="toc 1"/>
    <w:basedOn w:val="Normal"/>
    <w:next w:val="Normal"/>
    <w:autoRedefine/>
    <w:uiPriority w:val="39"/>
    <w:unhideWhenUsed/>
    <w:rsid w:val="00860D9C"/>
    <w:pPr>
      <w:spacing w:after="100"/>
    </w:pPr>
  </w:style>
  <w:style w:type="paragraph" w:styleId="TOC2">
    <w:name w:val="toc 2"/>
    <w:basedOn w:val="Normal"/>
    <w:next w:val="Normal"/>
    <w:autoRedefine/>
    <w:uiPriority w:val="39"/>
    <w:unhideWhenUsed/>
    <w:rsid w:val="00860D9C"/>
    <w:pPr>
      <w:spacing w:after="100"/>
      <w:ind w:left="240"/>
    </w:pPr>
  </w:style>
  <w:style w:type="character" w:styleId="Hyperlink">
    <w:name w:val="Hyperlink"/>
    <w:basedOn w:val="DefaultParagraphFont"/>
    <w:uiPriority w:val="99"/>
    <w:unhideWhenUsed/>
    <w:rsid w:val="00860D9C"/>
    <w:rPr>
      <w:color w:val="0000FF" w:themeColor="hyperlink"/>
      <w:u w:val="single"/>
    </w:rPr>
  </w:style>
  <w:style w:type="paragraph" w:styleId="Header">
    <w:name w:val="header"/>
    <w:basedOn w:val="Normal"/>
    <w:link w:val="HeaderChar"/>
    <w:uiPriority w:val="99"/>
    <w:unhideWhenUsed/>
    <w:rsid w:val="00860D9C"/>
    <w:pPr>
      <w:tabs>
        <w:tab w:val="center" w:pos="4513"/>
        <w:tab w:val="right" w:pos="9026"/>
      </w:tabs>
      <w:spacing w:line="240" w:lineRule="auto"/>
    </w:pPr>
  </w:style>
  <w:style w:type="character" w:customStyle="1" w:styleId="HeaderChar">
    <w:name w:val="Header Char"/>
    <w:basedOn w:val="DefaultParagraphFont"/>
    <w:link w:val="Header"/>
    <w:uiPriority w:val="99"/>
    <w:rsid w:val="00860D9C"/>
    <w:rPr>
      <w:lang w:val="en-GB"/>
    </w:rPr>
  </w:style>
  <w:style w:type="paragraph" w:styleId="Footer">
    <w:name w:val="footer"/>
    <w:basedOn w:val="Normal"/>
    <w:link w:val="FooterChar"/>
    <w:uiPriority w:val="99"/>
    <w:unhideWhenUsed/>
    <w:rsid w:val="00860D9C"/>
    <w:pPr>
      <w:tabs>
        <w:tab w:val="center" w:pos="4513"/>
        <w:tab w:val="right" w:pos="9026"/>
      </w:tabs>
      <w:spacing w:line="240" w:lineRule="auto"/>
    </w:pPr>
  </w:style>
  <w:style w:type="character" w:customStyle="1" w:styleId="FooterChar">
    <w:name w:val="Footer Char"/>
    <w:basedOn w:val="DefaultParagraphFont"/>
    <w:link w:val="Footer"/>
    <w:uiPriority w:val="99"/>
    <w:rsid w:val="00860D9C"/>
    <w:rPr>
      <w:lang w:val="en-GB"/>
    </w:rPr>
  </w:style>
  <w:style w:type="table" w:styleId="TableGrid">
    <w:name w:val="Table Grid"/>
    <w:basedOn w:val="TableNormal"/>
    <w:uiPriority w:val="39"/>
    <w:rsid w:val="00B446D7"/>
    <w:pPr>
      <w:spacing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5491898">
      <w:bodyDiv w:val="1"/>
      <w:marLeft w:val="0"/>
      <w:marRight w:val="0"/>
      <w:marTop w:val="0"/>
      <w:marBottom w:val="0"/>
      <w:divBdr>
        <w:top w:val="none" w:sz="0" w:space="0" w:color="auto"/>
        <w:left w:val="none" w:sz="0" w:space="0" w:color="auto"/>
        <w:bottom w:val="none" w:sz="0" w:space="0" w:color="auto"/>
        <w:right w:val="none" w:sz="0" w:space="0" w:color="auto"/>
      </w:divBdr>
    </w:div>
    <w:div w:id="194078938">
      <w:bodyDiv w:val="1"/>
      <w:marLeft w:val="0"/>
      <w:marRight w:val="0"/>
      <w:marTop w:val="0"/>
      <w:marBottom w:val="0"/>
      <w:divBdr>
        <w:top w:val="none" w:sz="0" w:space="0" w:color="auto"/>
        <w:left w:val="none" w:sz="0" w:space="0" w:color="auto"/>
        <w:bottom w:val="none" w:sz="0" w:space="0" w:color="auto"/>
        <w:right w:val="none" w:sz="0" w:space="0" w:color="auto"/>
      </w:divBdr>
    </w:div>
    <w:div w:id="256717561">
      <w:bodyDiv w:val="1"/>
      <w:marLeft w:val="0"/>
      <w:marRight w:val="0"/>
      <w:marTop w:val="0"/>
      <w:marBottom w:val="0"/>
      <w:divBdr>
        <w:top w:val="none" w:sz="0" w:space="0" w:color="auto"/>
        <w:left w:val="none" w:sz="0" w:space="0" w:color="auto"/>
        <w:bottom w:val="none" w:sz="0" w:space="0" w:color="auto"/>
        <w:right w:val="none" w:sz="0" w:space="0" w:color="auto"/>
      </w:divBdr>
    </w:div>
    <w:div w:id="270017613">
      <w:bodyDiv w:val="1"/>
      <w:marLeft w:val="0"/>
      <w:marRight w:val="0"/>
      <w:marTop w:val="0"/>
      <w:marBottom w:val="0"/>
      <w:divBdr>
        <w:top w:val="none" w:sz="0" w:space="0" w:color="auto"/>
        <w:left w:val="none" w:sz="0" w:space="0" w:color="auto"/>
        <w:bottom w:val="none" w:sz="0" w:space="0" w:color="auto"/>
        <w:right w:val="none" w:sz="0" w:space="0" w:color="auto"/>
      </w:divBdr>
    </w:div>
    <w:div w:id="400493676">
      <w:bodyDiv w:val="1"/>
      <w:marLeft w:val="0"/>
      <w:marRight w:val="0"/>
      <w:marTop w:val="0"/>
      <w:marBottom w:val="0"/>
      <w:divBdr>
        <w:top w:val="none" w:sz="0" w:space="0" w:color="auto"/>
        <w:left w:val="none" w:sz="0" w:space="0" w:color="auto"/>
        <w:bottom w:val="none" w:sz="0" w:space="0" w:color="auto"/>
        <w:right w:val="none" w:sz="0" w:space="0" w:color="auto"/>
      </w:divBdr>
    </w:div>
    <w:div w:id="526529683">
      <w:bodyDiv w:val="1"/>
      <w:marLeft w:val="0"/>
      <w:marRight w:val="0"/>
      <w:marTop w:val="0"/>
      <w:marBottom w:val="0"/>
      <w:divBdr>
        <w:top w:val="none" w:sz="0" w:space="0" w:color="auto"/>
        <w:left w:val="none" w:sz="0" w:space="0" w:color="auto"/>
        <w:bottom w:val="none" w:sz="0" w:space="0" w:color="auto"/>
        <w:right w:val="none" w:sz="0" w:space="0" w:color="auto"/>
      </w:divBdr>
    </w:div>
    <w:div w:id="555170173">
      <w:bodyDiv w:val="1"/>
      <w:marLeft w:val="0"/>
      <w:marRight w:val="0"/>
      <w:marTop w:val="0"/>
      <w:marBottom w:val="0"/>
      <w:divBdr>
        <w:top w:val="none" w:sz="0" w:space="0" w:color="auto"/>
        <w:left w:val="none" w:sz="0" w:space="0" w:color="auto"/>
        <w:bottom w:val="none" w:sz="0" w:space="0" w:color="auto"/>
        <w:right w:val="none" w:sz="0" w:space="0" w:color="auto"/>
      </w:divBdr>
    </w:div>
    <w:div w:id="628583568">
      <w:bodyDiv w:val="1"/>
      <w:marLeft w:val="0"/>
      <w:marRight w:val="0"/>
      <w:marTop w:val="0"/>
      <w:marBottom w:val="0"/>
      <w:divBdr>
        <w:top w:val="none" w:sz="0" w:space="0" w:color="auto"/>
        <w:left w:val="none" w:sz="0" w:space="0" w:color="auto"/>
        <w:bottom w:val="none" w:sz="0" w:space="0" w:color="auto"/>
        <w:right w:val="none" w:sz="0" w:space="0" w:color="auto"/>
      </w:divBdr>
    </w:div>
    <w:div w:id="645820700">
      <w:bodyDiv w:val="1"/>
      <w:marLeft w:val="0"/>
      <w:marRight w:val="0"/>
      <w:marTop w:val="0"/>
      <w:marBottom w:val="0"/>
      <w:divBdr>
        <w:top w:val="none" w:sz="0" w:space="0" w:color="auto"/>
        <w:left w:val="none" w:sz="0" w:space="0" w:color="auto"/>
        <w:bottom w:val="none" w:sz="0" w:space="0" w:color="auto"/>
        <w:right w:val="none" w:sz="0" w:space="0" w:color="auto"/>
      </w:divBdr>
    </w:div>
    <w:div w:id="677852912">
      <w:bodyDiv w:val="1"/>
      <w:marLeft w:val="0"/>
      <w:marRight w:val="0"/>
      <w:marTop w:val="0"/>
      <w:marBottom w:val="0"/>
      <w:divBdr>
        <w:top w:val="none" w:sz="0" w:space="0" w:color="auto"/>
        <w:left w:val="none" w:sz="0" w:space="0" w:color="auto"/>
        <w:bottom w:val="none" w:sz="0" w:space="0" w:color="auto"/>
        <w:right w:val="none" w:sz="0" w:space="0" w:color="auto"/>
      </w:divBdr>
    </w:div>
    <w:div w:id="747847016">
      <w:bodyDiv w:val="1"/>
      <w:marLeft w:val="0"/>
      <w:marRight w:val="0"/>
      <w:marTop w:val="0"/>
      <w:marBottom w:val="0"/>
      <w:divBdr>
        <w:top w:val="none" w:sz="0" w:space="0" w:color="auto"/>
        <w:left w:val="none" w:sz="0" w:space="0" w:color="auto"/>
        <w:bottom w:val="none" w:sz="0" w:space="0" w:color="auto"/>
        <w:right w:val="none" w:sz="0" w:space="0" w:color="auto"/>
      </w:divBdr>
    </w:div>
    <w:div w:id="772478635">
      <w:bodyDiv w:val="1"/>
      <w:marLeft w:val="0"/>
      <w:marRight w:val="0"/>
      <w:marTop w:val="0"/>
      <w:marBottom w:val="0"/>
      <w:divBdr>
        <w:top w:val="none" w:sz="0" w:space="0" w:color="auto"/>
        <w:left w:val="none" w:sz="0" w:space="0" w:color="auto"/>
        <w:bottom w:val="none" w:sz="0" w:space="0" w:color="auto"/>
        <w:right w:val="none" w:sz="0" w:space="0" w:color="auto"/>
      </w:divBdr>
    </w:div>
    <w:div w:id="880090955">
      <w:bodyDiv w:val="1"/>
      <w:marLeft w:val="0"/>
      <w:marRight w:val="0"/>
      <w:marTop w:val="0"/>
      <w:marBottom w:val="0"/>
      <w:divBdr>
        <w:top w:val="none" w:sz="0" w:space="0" w:color="auto"/>
        <w:left w:val="none" w:sz="0" w:space="0" w:color="auto"/>
        <w:bottom w:val="none" w:sz="0" w:space="0" w:color="auto"/>
        <w:right w:val="none" w:sz="0" w:space="0" w:color="auto"/>
      </w:divBdr>
    </w:div>
    <w:div w:id="1146699989">
      <w:bodyDiv w:val="1"/>
      <w:marLeft w:val="0"/>
      <w:marRight w:val="0"/>
      <w:marTop w:val="0"/>
      <w:marBottom w:val="0"/>
      <w:divBdr>
        <w:top w:val="none" w:sz="0" w:space="0" w:color="auto"/>
        <w:left w:val="none" w:sz="0" w:space="0" w:color="auto"/>
        <w:bottom w:val="none" w:sz="0" w:space="0" w:color="auto"/>
        <w:right w:val="none" w:sz="0" w:space="0" w:color="auto"/>
      </w:divBdr>
    </w:div>
    <w:div w:id="1164665288">
      <w:bodyDiv w:val="1"/>
      <w:marLeft w:val="0"/>
      <w:marRight w:val="0"/>
      <w:marTop w:val="0"/>
      <w:marBottom w:val="0"/>
      <w:divBdr>
        <w:top w:val="none" w:sz="0" w:space="0" w:color="auto"/>
        <w:left w:val="none" w:sz="0" w:space="0" w:color="auto"/>
        <w:bottom w:val="none" w:sz="0" w:space="0" w:color="auto"/>
        <w:right w:val="none" w:sz="0" w:space="0" w:color="auto"/>
      </w:divBdr>
    </w:div>
    <w:div w:id="1194731596">
      <w:bodyDiv w:val="1"/>
      <w:marLeft w:val="0"/>
      <w:marRight w:val="0"/>
      <w:marTop w:val="0"/>
      <w:marBottom w:val="0"/>
      <w:divBdr>
        <w:top w:val="none" w:sz="0" w:space="0" w:color="auto"/>
        <w:left w:val="none" w:sz="0" w:space="0" w:color="auto"/>
        <w:bottom w:val="none" w:sz="0" w:space="0" w:color="auto"/>
        <w:right w:val="none" w:sz="0" w:space="0" w:color="auto"/>
      </w:divBdr>
    </w:div>
    <w:div w:id="1265109826">
      <w:bodyDiv w:val="1"/>
      <w:marLeft w:val="0"/>
      <w:marRight w:val="0"/>
      <w:marTop w:val="0"/>
      <w:marBottom w:val="0"/>
      <w:divBdr>
        <w:top w:val="none" w:sz="0" w:space="0" w:color="auto"/>
        <w:left w:val="none" w:sz="0" w:space="0" w:color="auto"/>
        <w:bottom w:val="none" w:sz="0" w:space="0" w:color="auto"/>
        <w:right w:val="none" w:sz="0" w:space="0" w:color="auto"/>
      </w:divBdr>
    </w:div>
    <w:div w:id="1509441782">
      <w:bodyDiv w:val="1"/>
      <w:marLeft w:val="0"/>
      <w:marRight w:val="0"/>
      <w:marTop w:val="0"/>
      <w:marBottom w:val="0"/>
      <w:divBdr>
        <w:top w:val="none" w:sz="0" w:space="0" w:color="auto"/>
        <w:left w:val="none" w:sz="0" w:space="0" w:color="auto"/>
        <w:bottom w:val="none" w:sz="0" w:space="0" w:color="auto"/>
        <w:right w:val="none" w:sz="0" w:space="0" w:color="auto"/>
      </w:divBdr>
    </w:div>
    <w:div w:id="1527597788">
      <w:bodyDiv w:val="1"/>
      <w:marLeft w:val="0"/>
      <w:marRight w:val="0"/>
      <w:marTop w:val="0"/>
      <w:marBottom w:val="0"/>
      <w:divBdr>
        <w:top w:val="none" w:sz="0" w:space="0" w:color="auto"/>
        <w:left w:val="none" w:sz="0" w:space="0" w:color="auto"/>
        <w:bottom w:val="none" w:sz="0" w:space="0" w:color="auto"/>
        <w:right w:val="none" w:sz="0" w:space="0" w:color="auto"/>
      </w:divBdr>
    </w:div>
    <w:div w:id="1537234877">
      <w:bodyDiv w:val="1"/>
      <w:marLeft w:val="0"/>
      <w:marRight w:val="0"/>
      <w:marTop w:val="0"/>
      <w:marBottom w:val="0"/>
      <w:divBdr>
        <w:top w:val="none" w:sz="0" w:space="0" w:color="auto"/>
        <w:left w:val="none" w:sz="0" w:space="0" w:color="auto"/>
        <w:bottom w:val="none" w:sz="0" w:space="0" w:color="auto"/>
        <w:right w:val="none" w:sz="0" w:space="0" w:color="auto"/>
      </w:divBdr>
    </w:div>
    <w:div w:id="1550872298">
      <w:bodyDiv w:val="1"/>
      <w:marLeft w:val="0"/>
      <w:marRight w:val="0"/>
      <w:marTop w:val="0"/>
      <w:marBottom w:val="0"/>
      <w:divBdr>
        <w:top w:val="none" w:sz="0" w:space="0" w:color="auto"/>
        <w:left w:val="none" w:sz="0" w:space="0" w:color="auto"/>
        <w:bottom w:val="none" w:sz="0" w:space="0" w:color="auto"/>
        <w:right w:val="none" w:sz="0" w:space="0" w:color="auto"/>
      </w:divBdr>
    </w:div>
    <w:div w:id="1604612029">
      <w:bodyDiv w:val="1"/>
      <w:marLeft w:val="0"/>
      <w:marRight w:val="0"/>
      <w:marTop w:val="0"/>
      <w:marBottom w:val="0"/>
      <w:divBdr>
        <w:top w:val="none" w:sz="0" w:space="0" w:color="auto"/>
        <w:left w:val="none" w:sz="0" w:space="0" w:color="auto"/>
        <w:bottom w:val="none" w:sz="0" w:space="0" w:color="auto"/>
        <w:right w:val="none" w:sz="0" w:space="0" w:color="auto"/>
      </w:divBdr>
    </w:div>
    <w:div w:id="1610161110">
      <w:bodyDiv w:val="1"/>
      <w:marLeft w:val="0"/>
      <w:marRight w:val="0"/>
      <w:marTop w:val="0"/>
      <w:marBottom w:val="0"/>
      <w:divBdr>
        <w:top w:val="none" w:sz="0" w:space="0" w:color="auto"/>
        <w:left w:val="none" w:sz="0" w:space="0" w:color="auto"/>
        <w:bottom w:val="none" w:sz="0" w:space="0" w:color="auto"/>
        <w:right w:val="none" w:sz="0" w:space="0" w:color="auto"/>
      </w:divBdr>
    </w:div>
    <w:div w:id="1623655239">
      <w:bodyDiv w:val="1"/>
      <w:marLeft w:val="0"/>
      <w:marRight w:val="0"/>
      <w:marTop w:val="0"/>
      <w:marBottom w:val="0"/>
      <w:divBdr>
        <w:top w:val="none" w:sz="0" w:space="0" w:color="auto"/>
        <w:left w:val="none" w:sz="0" w:space="0" w:color="auto"/>
        <w:bottom w:val="none" w:sz="0" w:space="0" w:color="auto"/>
        <w:right w:val="none" w:sz="0" w:space="0" w:color="auto"/>
      </w:divBdr>
    </w:div>
    <w:div w:id="1633054136">
      <w:bodyDiv w:val="1"/>
      <w:marLeft w:val="0"/>
      <w:marRight w:val="0"/>
      <w:marTop w:val="0"/>
      <w:marBottom w:val="0"/>
      <w:divBdr>
        <w:top w:val="none" w:sz="0" w:space="0" w:color="auto"/>
        <w:left w:val="none" w:sz="0" w:space="0" w:color="auto"/>
        <w:bottom w:val="none" w:sz="0" w:space="0" w:color="auto"/>
        <w:right w:val="none" w:sz="0" w:space="0" w:color="auto"/>
      </w:divBdr>
    </w:div>
    <w:div w:id="1795253566">
      <w:bodyDiv w:val="1"/>
      <w:marLeft w:val="0"/>
      <w:marRight w:val="0"/>
      <w:marTop w:val="0"/>
      <w:marBottom w:val="0"/>
      <w:divBdr>
        <w:top w:val="none" w:sz="0" w:space="0" w:color="auto"/>
        <w:left w:val="none" w:sz="0" w:space="0" w:color="auto"/>
        <w:bottom w:val="none" w:sz="0" w:space="0" w:color="auto"/>
        <w:right w:val="none" w:sz="0" w:space="0" w:color="auto"/>
      </w:divBdr>
    </w:div>
    <w:div w:id="1893031306">
      <w:bodyDiv w:val="1"/>
      <w:marLeft w:val="0"/>
      <w:marRight w:val="0"/>
      <w:marTop w:val="0"/>
      <w:marBottom w:val="0"/>
      <w:divBdr>
        <w:top w:val="none" w:sz="0" w:space="0" w:color="auto"/>
        <w:left w:val="none" w:sz="0" w:space="0" w:color="auto"/>
        <w:bottom w:val="none" w:sz="0" w:space="0" w:color="auto"/>
        <w:right w:val="none" w:sz="0" w:space="0" w:color="auto"/>
      </w:divBdr>
    </w:div>
    <w:div w:id="1907491220">
      <w:bodyDiv w:val="1"/>
      <w:marLeft w:val="0"/>
      <w:marRight w:val="0"/>
      <w:marTop w:val="0"/>
      <w:marBottom w:val="0"/>
      <w:divBdr>
        <w:top w:val="none" w:sz="0" w:space="0" w:color="auto"/>
        <w:left w:val="none" w:sz="0" w:space="0" w:color="auto"/>
        <w:bottom w:val="none" w:sz="0" w:space="0" w:color="auto"/>
        <w:right w:val="none" w:sz="0" w:space="0" w:color="auto"/>
      </w:divBdr>
    </w:div>
    <w:div w:id="1999646756">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emf"/><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image" Target="media/image9.emf"/><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image" Target="media/image8.emf"/><Relationship Id="rId10" Type="http://schemas.openxmlformats.org/officeDocument/2006/relationships/image" Target="media/image3.png"/><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067255E-C3A6-4690-B3EB-F4DC1CAB191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136</TotalTime>
  <Pages>25</Pages>
  <Words>6523</Words>
  <Characters>37185</Characters>
  <Application>Microsoft Office Word</Application>
  <DocSecurity>0</DocSecurity>
  <Lines>309</Lines>
  <Paragraphs>87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43621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antonio fernandez ramos</cp:lastModifiedBy>
  <cp:revision>82</cp:revision>
  <dcterms:created xsi:type="dcterms:W3CDTF">2024-03-24T18:01:00Z</dcterms:created>
  <dcterms:modified xsi:type="dcterms:W3CDTF">2024-04-16T09:42:00Z</dcterms:modified>
</cp:coreProperties>
</file>