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F5E32" w14:textId="77777777" w:rsidR="00FB1110" w:rsidRPr="00FB1110" w:rsidRDefault="00FB1110" w:rsidP="00FB1110">
      <w:pPr>
        <w:shd w:val="clear" w:color="auto" w:fill="FFFFFF"/>
        <w:spacing w:after="150" w:line="240" w:lineRule="auto"/>
        <w:outlineLvl w:val="0"/>
        <w:rPr>
          <w:rFonts w:ascii="Open Sans" w:eastAsia="Times New Roman" w:hAnsi="Open Sans" w:cs="Open Sans"/>
          <w:b/>
          <w:bCs/>
          <w:color w:val="142B40"/>
          <w:kern w:val="36"/>
          <w:sz w:val="48"/>
          <w:szCs w:val="48"/>
          <w:lang w:eastAsia="en-GB"/>
        </w:rPr>
      </w:pPr>
      <w:r w:rsidRPr="00FB1110">
        <w:rPr>
          <w:rFonts w:ascii="Open Sans" w:eastAsia="Times New Roman" w:hAnsi="Open Sans" w:cs="Open Sans"/>
          <w:b/>
          <w:bCs/>
          <w:color w:val="142B40"/>
          <w:kern w:val="36"/>
          <w:sz w:val="48"/>
          <w:szCs w:val="48"/>
          <w:lang w:eastAsia="en-GB"/>
        </w:rPr>
        <w:t>KFC Franchise Costs &amp; Fees</w:t>
      </w:r>
    </w:p>
    <w:p w14:paraId="0C2D7A69" w14:textId="77777777" w:rsidR="00FB1110" w:rsidRPr="00FB1110" w:rsidRDefault="00FB1110" w:rsidP="00FB1110">
      <w:pPr>
        <w:shd w:val="clear" w:color="auto" w:fill="FFFFFF"/>
        <w:spacing w:after="0" w:line="240" w:lineRule="auto"/>
        <w:jc w:val="right"/>
        <w:rPr>
          <w:rFonts w:ascii="Open Sans" w:eastAsia="Times New Roman" w:hAnsi="Open Sans" w:cs="Open Sans"/>
          <w:color w:val="626E7A"/>
          <w:sz w:val="24"/>
          <w:szCs w:val="24"/>
          <w:lang w:eastAsia="en-GB"/>
        </w:rPr>
      </w:pPr>
      <w:hyperlink r:id="rId4" w:history="1">
        <w:r w:rsidRPr="00FB1110">
          <w:rPr>
            <w:rFonts w:ascii="Open Sans" w:eastAsia="Times New Roman" w:hAnsi="Open Sans" w:cs="Open Sans"/>
            <w:caps/>
            <w:color w:val="2487B2"/>
            <w:sz w:val="34"/>
            <w:szCs w:val="34"/>
            <w:u w:val="single"/>
            <w:lang w:eastAsia="en-GB"/>
          </w:rPr>
          <w:t>FOOD FRANCHISES</w:t>
        </w:r>
      </w:hyperlink>
    </w:p>
    <w:p w14:paraId="561E5DE8" w14:textId="746707BA" w:rsidR="00FB1110" w:rsidRPr="00FB1110" w:rsidRDefault="00FB1110" w:rsidP="00FB1110">
      <w:pPr>
        <w:shd w:val="clear" w:color="auto" w:fill="FFFFFF"/>
        <w:spacing w:line="240" w:lineRule="auto"/>
        <w:jc w:val="center"/>
        <w:rPr>
          <w:rFonts w:ascii="Open Sans" w:eastAsia="Times New Roman" w:hAnsi="Open Sans" w:cs="Open Sans"/>
          <w:color w:val="626E7A"/>
          <w:sz w:val="24"/>
          <w:szCs w:val="24"/>
          <w:lang w:eastAsia="en-GB"/>
        </w:rPr>
      </w:pPr>
      <w:r w:rsidRPr="00FB1110">
        <w:rPr>
          <w:rFonts w:ascii="Open Sans" w:eastAsia="Times New Roman" w:hAnsi="Open Sans" w:cs="Open Sans"/>
          <w:noProof/>
          <w:color w:val="626E7A"/>
          <w:sz w:val="24"/>
          <w:szCs w:val="24"/>
          <w:lang w:eastAsia="en-GB"/>
        </w:rPr>
        <w:drawing>
          <wp:inline distT="0" distB="0" distL="0" distR="0" wp14:anchorId="10C78989" wp14:editId="56809740">
            <wp:extent cx="2647950" cy="1670050"/>
            <wp:effectExtent l="0" t="0" r="0" b="6350"/>
            <wp:docPr id="4" name="Picture 4" descr="KFC Franch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FC Franchi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7950" cy="1670050"/>
                    </a:xfrm>
                    <a:prstGeom prst="rect">
                      <a:avLst/>
                    </a:prstGeom>
                    <a:noFill/>
                    <a:ln>
                      <a:noFill/>
                    </a:ln>
                  </pic:spPr>
                </pic:pic>
              </a:graphicData>
            </a:graphic>
          </wp:inline>
        </w:drawing>
      </w:r>
    </w:p>
    <w:p w14:paraId="66056FE3" w14:textId="77777777" w:rsidR="00FB1110" w:rsidRPr="00FB1110" w:rsidRDefault="00FB1110" w:rsidP="00FB1110">
      <w:pPr>
        <w:shd w:val="clear" w:color="auto" w:fill="FFFFFF"/>
        <w:spacing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Year Business Began: </w:t>
      </w:r>
      <w:r w:rsidRPr="00FB1110">
        <w:rPr>
          <w:rFonts w:ascii="Open Sans" w:eastAsia="Times New Roman" w:hAnsi="Open Sans" w:cs="Open Sans"/>
          <w:color w:val="626E7A"/>
          <w:sz w:val="24"/>
          <w:szCs w:val="24"/>
          <w:lang w:eastAsia="en-GB"/>
        </w:rPr>
        <w:t>1939</w:t>
      </w:r>
    </w:p>
    <w:p w14:paraId="79A232CD"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Franchising Since:</w:t>
      </w:r>
      <w:r w:rsidRPr="00FB1110">
        <w:rPr>
          <w:rFonts w:ascii="Open Sans" w:eastAsia="Times New Roman" w:hAnsi="Open Sans" w:cs="Open Sans"/>
          <w:color w:val="626E7A"/>
          <w:sz w:val="24"/>
          <w:szCs w:val="24"/>
          <w:lang w:eastAsia="en-GB"/>
        </w:rPr>
        <w:t> 1952</w:t>
      </w:r>
    </w:p>
    <w:p w14:paraId="5E83CC6B"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Headquarters:</w:t>
      </w:r>
      <w:r w:rsidRPr="00FB1110">
        <w:rPr>
          <w:rFonts w:ascii="Open Sans" w:eastAsia="Times New Roman" w:hAnsi="Open Sans" w:cs="Open Sans"/>
          <w:color w:val="626E7A"/>
          <w:sz w:val="24"/>
          <w:szCs w:val="24"/>
          <w:lang w:eastAsia="en-GB"/>
        </w:rPr>
        <w:t> Louisville, Kentucky</w:t>
      </w:r>
    </w:p>
    <w:p w14:paraId="01461F15"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Estimated Number of Units:</w:t>
      </w:r>
      <w:r w:rsidRPr="00FB1110">
        <w:rPr>
          <w:rFonts w:ascii="Open Sans" w:eastAsia="Times New Roman" w:hAnsi="Open Sans" w:cs="Open Sans"/>
          <w:color w:val="626E7A"/>
          <w:sz w:val="24"/>
          <w:szCs w:val="24"/>
          <w:lang w:eastAsia="en-GB"/>
        </w:rPr>
        <w:t> 26,935</w:t>
      </w:r>
    </w:p>
    <w:p w14:paraId="7A2325EB"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Franchise Description:</w:t>
      </w:r>
      <w:r w:rsidRPr="00FB1110">
        <w:rPr>
          <w:rFonts w:ascii="Open Sans" w:eastAsia="Times New Roman" w:hAnsi="Open Sans" w:cs="Open Sans"/>
          <w:color w:val="626E7A"/>
          <w:sz w:val="24"/>
          <w:szCs w:val="24"/>
          <w:lang w:eastAsia="en-GB"/>
        </w:rPr>
        <w:t> The franchisor is KFC US, LLC (KFCLLC) whose parent is YUM! Brands, Inc. Franchisees operate a dine-in and carryout KFC outlet, which prepares and sells chicken and other approved menu items. The Franchise Agreement grants franchisees a license to use (</w:t>
      </w:r>
      <w:proofErr w:type="spellStart"/>
      <w:r w:rsidRPr="00FB1110">
        <w:rPr>
          <w:rFonts w:ascii="Open Sans" w:eastAsia="Times New Roman" w:hAnsi="Open Sans" w:cs="Open Sans"/>
          <w:color w:val="626E7A"/>
          <w:sz w:val="24"/>
          <w:szCs w:val="24"/>
          <w:lang w:eastAsia="en-GB"/>
        </w:rPr>
        <w:t>i</w:t>
      </w:r>
      <w:proofErr w:type="spellEnd"/>
      <w:r w:rsidRPr="00FB1110">
        <w:rPr>
          <w:rFonts w:ascii="Open Sans" w:eastAsia="Times New Roman" w:hAnsi="Open Sans" w:cs="Open Sans"/>
          <w:color w:val="626E7A"/>
          <w:sz w:val="24"/>
          <w:szCs w:val="24"/>
          <w:lang w:eastAsia="en-GB"/>
        </w:rPr>
        <w:t xml:space="preserve">) certain KFC trademarks, trade names, service marks, </w:t>
      </w:r>
      <w:proofErr w:type="gramStart"/>
      <w:r w:rsidRPr="00FB1110">
        <w:rPr>
          <w:rFonts w:ascii="Open Sans" w:eastAsia="Times New Roman" w:hAnsi="Open Sans" w:cs="Open Sans"/>
          <w:color w:val="626E7A"/>
          <w:sz w:val="24"/>
          <w:szCs w:val="24"/>
          <w:lang w:eastAsia="en-GB"/>
        </w:rPr>
        <w:t>logos</w:t>
      </w:r>
      <w:proofErr w:type="gramEnd"/>
      <w:r w:rsidRPr="00FB1110">
        <w:rPr>
          <w:rFonts w:ascii="Open Sans" w:eastAsia="Times New Roman" w:hAnsi="Open Sans" w:cs="Open Sans"/>
          <w:color w:val="626E7A"/>
          <w:sz w:val="24"/>
          <w:szCs w:val="24"/>
          <w:lang w:eastAsia="en-GB"/>
        </w:rPr>
        <w:t xml:space="preserve"> and commercial symbols the franchisor periodically authorizes, including the “KFC” and “Kentucky Fried Chicken” marks; and (ii) the proprietary business </w:t>
      </w:r>
      <w:r w:rsidRPr="00FB1110">
        <w:rPr>
          <w:rFonts w:ascii="Open Sans" w:eastAsia="Times New Roman" w:hAnsi="Open Sans" w:cs="Open Sans"/>
          <w:color w:val="626E7A"/>
          <w:sz w:val="24"/>
          <w:szCs w:val="24"/>
          <w:lang w:eastAsia="en-GB"/>
        </w:rPr>
        <w:lastRenderedPageBreak/>
        <w:t>formats, methods, procedures, designs, layouts, standards and specifications the franchisor authorizes, solely in connection with the operation of the outlet.</w:t>
      </w:r>
    </w:p>
    <w:p w14:paraId="2F28F360"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Training Overview:</w:t>
      </w:r>
      <w:r w:rsidRPr="00FB1110">
        <w:rPr>
          <w:rFonts w:ascii="Open Sans" w:eastAsia="Times New Roman" w:hAnsi="Open Sans" w:cs="Open Sans"/>
          <w:color w:val="626E7A"/>
          <w:sz w:val="24"/>
          <w:szCs w:val="24"/>
          <w:lang w:eastAsia="en-GB"/>
        </w:rPr>
        <w:t xml:space="preserve"> Franchisees (or if they are an entity, the control person) must attend and complete, to the franchisor’s satisfaction, the initial training program offered by KFCLLC on the operation of an outlet. Franchisees may designate a key operator to complete the Key Operator Restaurant Training. At the franchisor’s direction, other employees of franchisees must attend and complete the training program to KFCLLC’s satisfaction. All training programs will be scheduled, as needed, at KFCLLC's designated national, </w:t>
      </w:r>
      <w:proofErr w:type="gramStart"/>
      <w:r w:rsidRPr="00FB1110">
        <w:rPr>
          <w:rFonts w:ascii="Open Sans" w:eastAsia="Times New Roman" w:hAnsi="Open Sans" w:cs="Open Sans"/>
          <w:color w:val="626E7A"/>
          <w:sz w:val="24"/>
          <w:szCs w:val="24"/>
          <w:lang w:eastAsia="en-GB"/>
        </w:rPr>
        <w:t>regional</w:t>
      </w:r>
      <w:proofErr w:type="gramEnd"/>
      <w:r w:rsidRPr="00FB1110">
        <w:rPr>
          <w:rFonts w:ascii="Open Sans" w:eastAsia="Times New Roman" w:hAnsi="Open Sans" w:cs="Open Sans"/>
          <w:color w:val="626E7A"/>
          <w:sz w:val="24"/>
          <w:szCs w:val="24"/>
          <w:lang w:eastAsia="en-GB"/>
        </w:rPr>
        <w:t xml:space="preserve"> or divisional offices or other places as the franchisor may designate. Training programs include computer-based training through its Learning Zone program, written material, on-the-job training at other outlets and classroom instruction. The individual who completes the Key Operator Restaurant Training will train employees at the outlet. The franchisor may require franchisees and their employees attend and complete additional and ongoing refresher training courses, programs and seminars at such times and locations that KFCLLC reasonably requires.</w:t>
      </w:r>
    </w:p>
    <w:p w14:paraId="510D710E"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Territory Granted:</w:t>
      </w:r>
      <w:r w:rsidRPr="00FB1110">
        <w:rPr>
          <w:rFonts w:ascii="Open Sans" w:eastAsia="Times New Roman" w:hAnsi="Open Sans" w:cs="Open Sans"/>
          <w:color w:val="626E7A"/>
          <w:sz w:val="24"/>
          <w:szCs w:val="24"/>
          <w:lang w:eastAsia="en-GB"/>
        </w:rPr>
        <w:t xml:space="preserve"> Franchisees will not receive an exclusive territory. However, so long as franchisees </w:t>
      </w:r>
      <w:proofErr w:type="gramStart"/>
      <w:r w:rsidRPr="00FB1110">
        <w:rPr>
          <w:rFonts w:ascii="Open Sans" w:eastAsia="Times New Roman" w:hAnsi="Open Sans" w:cs="Open Sans"/>
          <w:color w:val="626E7A"/>
          <w:sz w:val="24"/>
          <w:szCs w:val="24"/>
          <w:lang w:eastAsia="en-GB"/>
        </w:rPr>
        <w:t>are in compliance with</w:t>
      </w:r>
      <w:proofErr w:type="gramEnd"/>
      <w:r w:rsidRPr="00FB1110">
        <w:rPr>
          <w:rFonts w:ascii="Open Sans" w:eastAsia="Times New Roman" w:hAnsi="Open Sans" w:cs="Open Sans"/>
          <w:color w:val="626E7A"/>
          <w:sz w:val="24"/>
          <w:szCs w:val="24"/>
          <w:lang w:eastAsia="en-GB"/>
        </w:rPr>
        <w:t xml:space="preserve"> the Franchise Agreement, they will have a protected territory of the smaller of (</w:t>
      </w:r>
      <w:proofErr w:type="spellStart"/>
      <w:r w:rsidRPr="00FB1110">
        <w:rPr>
          <w:rFonts w:ascii="Open Sans" w:eastAsia="Times New Roman" w:hAnsi="Open Sans" w:cs="Open Sans"/>
          <w:color w:val="626E7A"/>
          <w:sz w:val="24"/>
          <w:szCs w:val="24"/>
          <w:lang w:eastAsia="en-GB"/>
        </w:rPr>
        <w:t>i</w:t>
      </w:r>
      <w:proofErr w:type="spellEnd"/>
      <w:r w:rsidRPr="00FB1110">
        <w:rPr>
          <w:rFonts w:ascii="Open Sans" w:eastAsia="Times New Roman" w:hAnsi="Open Sans" w:cs="Open Sans"/>
          <w:color w:val="626E7A"/>
          <w:sz w:val="24"/>
          <w:szCs w:val="24"/>
          <w:lang w:eastAsia="en-GB"/>
        </w:rPr>
        <w:t>) a radius of 1.5 miles of the outlet, or (ii) an area around the outlet where 30,000 people reside, or, in the case of a metropolitan area containing more than 100,000 people, within which 30,000 people reside or work (the protected territory). The franchisee’s rights with respect to the protected territory will not be dependent upon achievement of a certain sales volume, market penetration or other performance factors. Within the protected territory, the franchisor will not use, or permit others to use in selling food products, any of the marks that franchisees have the right to use under the Franchise Agreement, except for (a) special event sales and (b) in some cases, food products (other than chicken in whole pieces) using the name or image of Colonel Sanders. Franchisees may only sell approved products at the outlet except for (</w:t>
      </w:r>
      <w:proofErr w:type="spellStart"/>
      <w:r w:rsidRPr="00FB1110">
        <w:rPr>
          <w:rFonts w:ascii="Open Sans" w:eastAsia="Times New Roman" w:hAnsi="Open Sans" w:cs="Open Sans"/>
          <w:color w:val="626E7A"/>
          <w:sz w:val="24"/>
          <w:szCs w:val="24"/>
          <w:lang w:eastAsia="en-GB"/>
        </w:rPr>
        <w:t>i</w:t>
      </w:r>
      <w:proofErr w:type="spellEnd"/>
      <w:r w:rsidRPr="00FB1110">
        <w:rPr>
          <w:rFonts w:ascii="Open Sans" w:eastAsia="Times New Roman" w:hAnsi="Open Sans" w:cs="Open Sans"/>
          <w:color w:val="626E7A"/>
          <w:sz w:val="24"/>
          <w:szCs w:val="24"/>
          <w:lang w:eastAsia="en-GB"/>
        </w:rPr>
        <w:t>) catering and special event sales and (ii) delivery sales made only in accordance with KFCLLC’s catering and special events procedures and under a form it requires.</w:t>
      </w:r>
    </w:p>
    <w:p w14:paraId="0BB7155C"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lastRenderedPageBreak/>
        <w:t>Obligations and Restrictions:</w:t>
      </w:r>
      <w:r w:rsidRPr="00FB1110">
        <w:rPr>
          <w:rFonts w:ascii="Open Sans" w:eastAsia="Times New Roman" w:hAnsi="Open Sans" w:cs="Open Sans"/>
          <w:color w:val="626E7A"/>
          <w:sz w:val="24"/>
          <w:szCs w:val="24"/>
          <w:lang w:eastAsia="en-GB"/>
        </w:rPr>
        <w:t xml:space="preserve"> During the term of the Franchise Agreement, the franchisee or a </w:t>
      </w:r>
      <w:proofErr w:type="gramStart"/>
      <w:r w:rsidRPr="00FB1110">
        <w:rPr>
          <w:rFonts w:ascii="Open Sans" w:eastAsia="Times New Roman" w:hAnsi="Open Sans" w:cs="Open Sans"/>
          <w:color w:val="626E7A"/>
          <w:sz w:val="24"/>
          <w:szCs w:val="24"/>
          <w:lang w:eastAsia="en-GB"/>
        </w:rPr>
        <w:t>fully-trained</w:t>
      </w:r>
      <w:proofErr w:type="gramEnd"/>
      <w:r w:rsidRPr="00FB1110">
        <w:rPr>
          <w:rFonts w:ascii="Open Sans" w:eastAsia="Times New Roman" w:hAnsi="Open Sans" w:cs="Open Sans"/>
          <w:color w:val="626E7A"/>
          <w:sz w:val="24"/>
          <w:szCs w:val="24"/>
          <w:lang w:eastAsia="en-GB"/>
        </w:rPr>
        <w:t xml:space="preserve"> and qualified manager must devote full time to the management and operation of the outlet. If franchisees are a corporation, entity, partnership or have more than one owner, they must also designate a ‘Control Person,’ who is the individual with the authority to and actively direct the business affairs of a corporation or entity with respect to the outlet. Individual owners and individual owners’ spouses must also sign the Guaranty or Spousal Consent (as applicable) in their individual capacities. Franchisees must sell all required products as the franchisor periodically designates. Franchisees may not deliver any product from the outlet or anywhere. Franchisees may cater and make sales at special events, only if franchisees meet the franchisor’s catering and special event procedures; and in the case of catering and special event sales involving delivery, sign an addendum required by KFCLLC.</w:t>
      </w:r>
    </w:p>
    <w:p w14:paraId="09BB13C9"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Term of Agreement and Renewal: </w:t>
      </w:r>
      <w:r w:rsidRPr="00FB1110">
        <w:rPr>
          <w:rFonts w:ascii="Open Sans" w:eastAsia="Times New Roman" w:hAnsi="Open Sans" w:cs="Open Sans"/>
          <w:color w:val="626E7A"/>
          <w:sz w:val="24"/>
          <w:szCs w:val="24"/>
          <w:lang w:eastAsia="en-GB"/>
        </w:rPr>
        <w:t xml:space="preserve">The length of the initial franchise term is 20 years. If they meet the requirements franchisees can </w:t>
      </w:r>
      <w:proofErr w:type="gramStart"/>
      <w:r w:rsidRPr="00FB1110">
        <w:rPr>
          <w:rFonts w:ascii="Open Sans" w:eastAsia="Times New Roman" w:hAnsi="Open Sans" w:cs="Open Sans"/>
          <w:color w:val="626E7A"/>
          <w:sz w:val="24"/>
          <w:szCs w:val="24"/>
          <w:lang w:eastAsia="en-GB"/>
        </w:rPr>
        <w:t>renew, but</w:t>
      </w:r>
      <w:proofErr w:type="gramEnd"/>
      <w:r w:rsidRPr="00FB1110">
        <w:rPr>
          <w:rFonts w:ascii="Open Sans" w:eastAsia="Times New Roman" w:hAnsi="Open Sans" w:cs="Open Sans"/>
          <w:color w:val="626E7A"/>
          <w:sz w:val="24"/>
          <w:szCs w:val="24"/>
          <w:lang w:eastAsia="en-GB"/>
        </w:rPr>
        <w:t xml:space="preserve"> may be asked to sign a contract with materially different terms and conditions than the original contract.</w:t>
      </w:r>
    </w:p>
    <w:p w14:paraId="68F2C3AF"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Financial Assistance: </w:t>
      </w:r>
      <w:r w:rsidRPr="00FB1110">
        <w:rPr>
          <w:rFonts w:ascii="Open Sans" w:eastAsia="Times New Roman" w:hAnsi="Open Sans" w:cs="Open Sans"/>
          <w:color w:val="626E7A"/>
          <w:sz w:val="24"/>
          <w:szCs w:val="24"/>
          <w:lang w:eastAsia="en-GB"/>
        </w:rPr>
        <w:t>YUM offers an optional lending assistance program for qualified minorities.</w:t>
      </w:r>
      <w:r w:rsidRPr="00FB1110">
        <w:rPr>
          <w:rFonts w:ascii="Open Sans" w:eastAsia="Times New Roman" w:hAnsi="Open Sans" w:cs="Open Sans"/>
          <w:b/>
          <w:bCs/>
          <w:color w:val="142B40"/>
          <w:sz w:val="24"/>
          <w:szCs w:val="24"/>
          <w:lang w:eastAsia="en-GB"/>
        </w:rPr>
        <w:t> </w:t>
      </w:r>
      <w:r w:rsidRPr="00FB1110">
        <w:rPr>
          <w:rFonts w:ascii="Open Sans" w:eastAsia="Times New Roman" w:hAnsi="Open Sans" w:cs="Open Sans"/>
          <w:color w:val="626E7A"/>
          <w:sz w:val="24"/>
          <w:szCs w:val="24"/>
          <w:lang w:eastAsia="en-GB"/>
        </w:rPr>
        <w:t>The YUM Minority Assistance Program covers financing for new minority franchisees purchasing an existing outlet, purchasing an existing company-owned outlet, or developing a new outlet. YUM will guarantee 25% of the principal of the franchised business loan, up to a maximum of $3,000,000 per loan or franchisee. YUM can discontinue the YUM Minority Lending Assistance Program at any time. Except as described, KFCLCC does not offer, directly or indirectly, any arrangements for financing a franchisee’s initial investment or the continuing operation of the KFC business.</w:t>
      </w:r>
    </w:p>
    <w:p w14:paraId="4449FD38" w14:textId="77777777" w:rsidR="00FB1110" w:rsidRPr="00FB1110" w:rsidRDefault="00FB1110" w:rsidP="00FB1110">
      <w:pPr>
        <w:shd w:val="clear" w:color="auto" w:fill="FFFFFF"/>
        <w:spacing w:line="240" w:lineRule="auto"/>
        <w:rPr>
          <w:rFonts w:ascii="Open Sans" w:eastAsia="Times New Roman" w:hAnsi="Open Sans" w:cs="Open Sans"/>
          <w:color w:val="626E7A"/>
          <w:sz w:val="24"/>
          <w:szCs w:val="24"/>
          <w:lang w:eastAsia="en-GB"/>
        </w:rPr>
      </w:pPr>
      <w:r w:rsidRPr="00FB1110">
        <w:rPr>
          <w:rFonts w:ascii="Open Sans" w:eastAsia="Times New Roman" w:hAnsi="Open Sans" w:cs="Open Sans"/>
          <w:b/>
          <w:bCs/>
          <w:color w:val="142B40"/>
          <w:sz w:val="24"/>
          <w:szCs w:val="24"/>
          <w:lang w:eastAsia="en-GB"/>
        </w:rPr>
        <w:t>Investment Tables:</w:t>
      </w:r>
    </w:p>
    <w:tbl>
      <w:tblPr>
        <w:tblW w:w="12300" w:type="dxa"/>
        <w:tblCellMar>
          <w:top w:w="15" w:type="dxa"/>
          <w:left w:w="15" w:type="dxa"/>
          <w:bottom w:w="15" w:type="dxa"/>
          <w:right w:w="15" w:type="dxa"/>
        </w:tblCellMar>
        <w:tblLook w:val="04A0" w:firstRow="1" w:lastRow="0" w:firstColumn="1" w:lastColumn="0" w:noHBand="0" w:noVBand="1"/>
      </w:tblPr>
      <w:tblGrid>
        <w:gridCol w:w="7982"/>
        <w:gridCol w:w="2159"/>
        <w:gridCol w:w="2159"/>
      </w:tblGrid>
      <w:tr w:rsidR="00FB1110" w:rsidRPr="00FB1110" w14:paraId="1C0DAEA9" w14:textId="77777777" w:rsidTr="00FB1110">
        <w:trPr>
          <w:tblHeader/>
        </w:trPr>
        <w:tc>
          <w:tcPr>
            <w:tcW w:w="0" w:type="auto"/>
            <w:gridSpan w:val="3"/>
            <w:tcBorders>
              <w:top w:val="nil"/>
              <w:left w:val="nil"/>
              <w:bottom w:val="nil"/>
              <w:right w:val="nil"/>
            </w:tcBorders>
            <w:shd w:val="clear" w:color="auto" w:fill="D9D8D7"/>
            <w:tcMar>
              <w:top w:w="150" w:type="dxa"/>
              <w:left w:w="150" w:type="dxa"/>
              <w:bottom w:w="150" w:type="dxa"/>
              <w:right w:w="150" w:type="dxa"/>
            </w:tcMar>
            <w:vAlign w:val="center"/>
            <w:hideMark/>
          </w:tcPr>
          <w:p w14:paraId="658435B8" w14:textId="77777777" w:rsidR="00FB1110" w:rsidRPr="00FB1110" w:rsidRDefault="00FB1110" w:rsidP="00FB1110">
            <w:pPr>
              <w:shd w:val="clear" w:color="auto" w:fill="2487B2"/>
              <w:spacing w:before="300" w:after="300" w:line="240" w:lineRule="auto"/>
              <w:rPr>
                <w:rFonts w:ascii="Times New Roman" w:eastAsia="Times New Roman" w:hAnsi="Times New Roman" w:cs="Times New Roman"/>
                <w:color w:val="FFFFFF"/>
                <w:sz w:val="21"/>
                <w:szCs w:val="21"/>
                <w:lang w:eastAsia="en-GB"/>
              </w:rPr>
            </w:pPr>
            <w:r w:rsidRPr="00FB1110">
              <w:rPr>
                <w:rFonts w:ascii="Times New Roman" w:eastAsia="Times New Roman" w:hAnsi="Times New Roman" w:cs="Times New Roman"/>
                <w:color w:val="FFFFFF"/>
                <w:sz w:val="21"/>
                <w:szCs w:val="21"/>
                <w:lang w:eastAsia="en-GB"/>
              </w:rPr>
              <w:lastRenderedPageBreak/>
              <w:t>Estimated Initial Investment</w:t>
            </w:r>
          </w:p>
        </w:tc>
      </w:tr>
      <w:tr w:rsidR="00FB1110" w:rsidRPr="00FB1110" w14:paraId="53EB735D" w14:textId="77777777" w:rsidTr="00FB1110">
        <w:trPr>
          <w:tblHeader/>
        </w:trPr>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53F24290" w14:textId="77777777" w:rsidR="00FB1110" w:rsidRPr="00FB1110" w:rsidRDefault="00FB1110" w:rsidP="00FB1110">
            <w:pPr>
              <w:spacing w:before="300" w:after="300" w:line="240" w:lineRule="auto"/>
              <w:jc w:val="center"/>
              <w:rPr>
                <w:rFonts w:ascii="Times New Roman" w:eastAsia="Times New Roman" w:hAnsi="Times New Roman" w:cs="Times New Roman"/>
                <w:b/>
                <w:bCs/>
                <w:color w:val="2F587C"/>
                <w:sz w:val="21"/>
                <w:szCs w:val="21"/>
                <w:lang w:eastAsia="en-GB"/>
              </w:rPr>
            </w:pPr>
            <w:r w:rsidRPr="00FB1110">
              <w:rPr>
                <w:rFonts w:ascii="Times New Roman" w:eastAsia="Times New Roman" w:hAnsi="Times New Roman" w:cs="Times New Roman"/>
                <w:b/>
                <w:bCs/>
                <w:color w:val="2F587C"/>
                <w:sz w:val="21"/>
                <w:szCs w:val="21"/>
                <w:lang w:eastAsia="en-GB"/>
              </w:rPr>
              <w:t>Name of Fee</w:t>
            </w:r>
          </w:p>
        </w:tc>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0FF07EDC" w14:textId="77777777" w:rsidR="00FB1110" w:rsidRPr="00FB1110" w:rsidRDefault="00FB1110" w:rsidP="00FB1110">
            <w:pPr>
              <w:spacing w:before="300" w:after="300" w:line="240" w:lineRule="auto"/>
              <w:jc w:val="center"/>
              <w:rPr>
                <w:rFonts w:ascii="Times New Roman" w:eastAsia="Times New Roman" w:hAnsi="Times New Roman" w:cs="Times New Roman"/>
                <w:b/>
                <w:bCs/>
                <w:color w:val="2F587C"/>
                <w:sz w:val="21"/>
                <w:szCs w:val="21"/>
                <w:lang w:eastAsia="en-GB"/>
              </w:rPr>
            </w:pPr>
            <w:r w:rsidRPr="00FB1110">
              <w:rPr>
                <w:rFonts w:ascii="Times New Roman" w:eastAsia="Times New Roman" w:hAnsi="Times New Roman" w:cs="Times New Roman"/>
                <w:b/>
                <w:bCs/>
                <w:color w:val="2F587C"/>
                <w:sz w:val="21"/>
                <w:szCs w:val="21"/>
                <w:lang w:eastAsia="en-GB"/>
              </w:rPr>
              <w:t>Low</w:t>
            </w:r>
          </w:p>
        </w:tc>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183F6AA8" w14:textId="77777777" w:rsidR="00FB1110" w:rsidRPr="00FB1110" w:rsidRDefault="00FB1110" w:rsidP="00FB1110">
            <w:pPr>
              <w:spacing w:before="300" w:after="300" w:line="240" w:lineRule="auto"/>
              <w:jc w:val="center"/>
              <w:rPr>
                <w:rFonts w:ascii="Times New Roman" w:eastAsia="Times New Roman" w:hAnsi="Times New Roman" w:cs="Times New Roman"/>
                <w:b/>
                <w:bCs/>
                <w:color w:val="2F587C"/>
                <w:sz w:val="21"/>
                <w:szCs w:val="21"/>
                <w:lang w:eastAsia="en-GB"/>
              </w:rPr>
            </w:pPr>
            <w:r w:rsidRPr="00FB1110">
              <w:rPr>
                <w:rFonts w:ascii="Times New Roman" w:eastAsia="Times New Roman" w:hAnsi="Times New Roman" w:cs="Times New Roman"/>
                <w:b/>
                <w:bCs/>
                <w:color w:val="2F587C"/>
                <w:sz w:val="21"/>
                <w:szCs w:val="21"/>
                <w:lang w:eastAsia="en-GB"/>
              </w:rPr>
              <w:t>High</w:t>
            </w:r>
          </w:p>
        </w:tc>
      </w:tr>
      <w:tr w:rsidR="00FB1110" w:rsidRPr="00FB1110" w14:paraId="6CBF52ED"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AB5A9CE"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Application &amp; Background Check Fee (per person)</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63FF057"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$300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DF435C4"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w:t>
            </w:r>
          </w:p>
        </w:tc>
      </w:tr>
      <w:tr w:rsidR="00FB1110" w:rsidRPr="00FB1110" w14:paraId="3DAA4F24"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2DD4D2E"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Deposit Fee</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7EE69395"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$20,000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EB8ABF9"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$20,000</w:t>
            </w:r>
          </w:p>
        </w:tc>
      </w:tr>
      <w:tr w:rsidR="00FB1110" w:rsidRPr="00FB1110" w14:paraId="73A5A8BA"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9AAF045"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Option Fee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DD058E3"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$25,000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CEEE3CA"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$25,000</w:t>
            </w:r>
          </w:p>
        </w:tc>
      </w:tr>
      <w:tr w:rsidR="00FB1110" w:rsidRPr="00FB1110" w14:paraId="3FA3B8D2"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546DA96"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Training Expenses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7A3C7F6F"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7DF1C872"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$8,000</w:t>
            </w:r>
          </w:p>
        </w:tc>
      </w:tr>
      <w:tr w:rsidR="00FB1110" w:rsidRPr="00FB1110" w14:paraId="24232747"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6F6306D"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Permits, Licenses, and Security Deposits</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DAC7ACC"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CEFBC99"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$100,000</w:t>
            </w:r>
          </w:p>
        </w:tc>
      </w:tr>
      <w:tr w:rsidR="00FB1110" w:rsidRPr="00FB1110" w14:paraId="5DCC4E65"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73A6A5A2"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lastRenderedPageBreak/>
              <w:t>Real Property</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5B2D25B2"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$400,000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E0C0297"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$1,100,000</w:t>
            </w:r>
          </w:p>
        </w:tc>
      </w:tr>
      <w:tr w:rsidR="00FB1110" w:rsidRPr="00FB1110" w14:paraId="649838FE"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1E85622"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Building &amp; Site Costs</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93CF6DF"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$534,000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2D79C69"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$1,300,000</w:t>
            </w:r>
          </w:p>
        </w:tc>
      </w:tr>
      <w:tr w:rsidR="00FB1110" w:rsidRPr="00FB1110" w14:paraId="45499D27"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ECF41BD"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Equipment, Signage, and Décor, POS &amp; MERIT</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019C4DB"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$329,000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7A1CD30"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$500,000</w:t>
            </w:r>
          </w:p>
        </w:tc>
      </w:tr>
      <w:tr w:rsidR="00FB1110" w:rsidRPr="00FB1110" w14:paraId="32892C2C"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41EBE88"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Start-up Inventory</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A802753"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$10,000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1714C4E"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$10,000</w:t>
            </w:r>
          </w:p>
        </w:tc>
      </w:tr>
      <w:tr w:rsidR="00FB1110" w:rsidRPr="00FB1110" w14:paraId="370BE1F5"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537053AC"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Grand Opening Expense</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746D676"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39E32B4"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$5,000</w:t>
            </w:r>
          </w:p>
        </w:tc>
      </w:tr>
      <w:tr w:rsidR="00FB1110" w:rsidRPr="00FB1110" w14:paraId="442E8E8D"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5DE8412E"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lastRenderedPageBreak/>
              <w:t>Insurance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2195EFF"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$7,250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25E3BF3"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$10,050</w:t>
            </w:r>
          </w:p>
        </w:tc>
      </w:tr>
      <w:tr w:rsidR="00FB1110" w:rsidRPr="00FB1110" w14:paraId="34AB101F"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491F96AE"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Miscellaneous Costs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5BE47AC9"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747483C"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$10,000</w:t>
            </w:r>
          </w:p>
        </w:tc>
      </w:tr>
      <w:tr w:rsidR="00FB1110" w:rsidRPr="00FB1110" w14:paraId="2CE2ACF4"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1964570"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Additional Funds</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CF29ACD"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2297E65"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$75,000</w:t>
            </w:r>
          </w:p>
        </w:tc>
      </w:tr>
      <w:tr w:rsidR="00FB1110" w:rsidRPr="00FB1110" w14:paraId="61C78D75"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F11D254"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b/>
                <w:bCs/>
                <w:color w:val="142B40"/>
                <w:sz w:val="21"/>
                <w:szCs w:val="21"/>
                <w:lang w:eastAsia="en-GB"/>
              </w:rPr>
              <w:t>ESTIMATED TOTAL*</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9BE9125"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b/>
                <w:bCs/>
                <w:color w:val="142B40"/>
                <w:sz w:val="21"/>
                <w:szCs w:val="21"/>
                <w:lang w:eastAsia="en-GB"/>
              </w:rPr>
              <w:t>$1,440,600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5ED30DDC" w14:textId="77777777" w:rsidR="00FB1110" w:rsidRPr="00FB1110" w:rsidRDefault="00FB1110" w:rsidP="00FB1110">
            <w:pPr>
              <w:spacing w:before="300" w:after="300" w:line="240" w:lineRule="auto"/>
              <w:jc w:val="center"/>
              <w:rPr>
                <w:rFonts w:ascii="Times New Roman" w:eastAsia="Times New Roman" w:hAnsi="Times New Roman" w:cs="Times New Roman"/>
                <w:sz w:val="21"/>
                <w:szCs w:val="21"/>
                <w:lang w:eastAsia="en-GB"/>
              </w:rPr>
            </w:pPr>
            <w:r w:rsidRPr="00FB1110">
              <w:rPr>
                <w:rFonts w:ascii="Times New Roman" w:eastAsia="Times New Roman" w:hAnsi="Times New Roman" w:cs="Times New Roman"/>
                <w:b/>
                <w:bCs/>
                <w:color w:val="142B40"/>
                <w:sz w:val="21"/>
                <w:szCs w:val="21"/>
                <w:lang w:eastAsia="en-GB"/>
              </w:rPr>
              <w:t>$3,163,550</w:t>
            </w:r>
          </w:p>
        </w:tc>
      </w:tr>
    </w:tbl>
    <w:p w14:paraId="3F8AA7DB"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color w:val="626E7A"/>
          <w:sz w:val="24"/>
          <w:szCs w:val="24"/>
          <w:lang w:eastAsia="en-GB"/>
        </w:rPr>
        <w:t>*The estimated initial investment range covers new “traditional” restaurant types. There is a separate FDD for “express” restaurant types.</w:t>
      </w:r>
    </w:p>
    <w:p w14:paraId="45565B0B" w14:textId="77777777" w:rsidR="00FB1110" w:rsidRPr="00FB1110" w:rsidRDefault="00FB1110" w:rsidP="00FB1110">
      <w:pPr>
        <w:shd w:val="clear" w:color="auto" w:fill="FFFFFF"/>
        <w:spacing w:line="240" w:lineRule="auto"/>
        <w:rPr>
          <w:rFonts w:ascii="Open Sans" w:eastAsia="Times New Roman" w:hAnsi="Open Sans" w:cs="Open Sans"/>
          <w:color w:val="626E7A"/>
          <w:sz w:val="24"/>
          <w:szCs w:val="24"/>
          <w:lang w:eastAsia="en-GB"/>
        </w:rPr>
      </w:pPr>
    </w:p>
    <w:tbl>
      <w:tblPr>
        <w:tblW w:w="12300" w:type="dxa"/>
        <w:tblCellMar>
          <w:top w:w="15" w:type="dxa"/>
          <w:left w:w="15" w:type="dxa"/>
          <w:bottom w:w="15" w:type="dxa"/>
          <w:right w:w="15" w:type="dxa"/>
        </w:tblCellMar>
        <w:tblLook w:val="04A0" w:firstRow="1" w:lastRow="0" w:firstColumn="1" w:lastColumn="0" w:noHBand="0" w:noVBand="1"/>
      </w:tblPr>
      <w:tblGrid>
        <w:gridCol w:w="6388"/>
        <w:gridCol w:w="5912"/>
      </w:tblGrid>
      <w:tr w:rsidR="00FB1110" w:rsidRPr="00FB1110" w14:paraId="2D8F562F" w14:textId="77777777" w:rsidTr="00FB1110">
        <w:trPr>
          <w:tblHeader/>
        </w:trPr>
        <w:tc>
          <w:tcPr>
            <w:tcW w:w="0" w:type="auto"/>
            <w:gridSpan w:val="2"/>
            <w:tcBorders>
              <w:top w:val="nil"/>
              <w:left w:val="nil"/>
              <w:bottom w:val="nil"/>
              <w:right w:val="nil"/>
            </w:tcBorders>
            <w:shd w:val="clear" w:color="auto" w:fill="D9D8D7"/>
            <w:tcMar>
              <w:top w:w="150" w:type="dxa"/>
              <w:left w:w="150" w:type="dxa"/>
              <w:bottom w:w="150" w:type="dxa"/>
              <w:right w:w="150" w:type="dxa"/>
            </w:tcMar>
            <w:vAlign w:val="center"/>
            <w:hideMark/>
          </w:tcPr>
          <w:p w14:paraId="1CEF90B6" w14:textId="77777777" w:rsidR="00FB1110" w:rsidRPr="00FB1110" w:rsidRDefault="00FB1110" w:rsidP="00FB1110">
            <w:pPr>
              <w:shd w:val="clear" w:color="auto" w:fill="2487B2"/>
              <w:spacing w:before="300" w:after="300" w:line="240" w:lineRule="auto"/>
              <w:rPr>
                <w:rFonts w:ascii="Times New Roman" w:eastAsia="Times New Roman" w:hAnsi="Times New Roman" w:cs="Times New Roman"/>
                <w:color w:val="FFFFFF"/>
                <w:sz w:val="21"/>
                <w:szCs w:val="21"/>
                <w:lang w:eastAsia="en-GB"/>
              </w:rPr>
            </w:pPr>
            <w:r w:rsidRPr="00FB1110">
              <w:rPr>
                <w:rFonts w:ascii="Times New Roman" w:eastAsia="Times New Roman" w:hAnsi="Times New Roman" w:cs="Times New Roman"/>
                <w:color w:val="FFFFFF"/>
                <w:sz w:val="21"/>
                <w:szCs w:val="21"/>
                <w:lang w:eastAsia="en-GB"/>
              </w:rPr>
              <w:lastRenderedPageBreak/>
              <w:t>Other Fees</w:t>
            </w:r>
          </w:p>
        </w:tc>
      </w:tr>
      <w:tr w:rsidR="00FB1110" w:rsidRPr="00FB1110" w14:paraId="1DD50DB6" w14:textId="77777777" w:rsidTr="00FB1110">
        <w:trPr>
          <w:tblHeader/>
        </w:trPr>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6EEA0829" w14:textId="77777777" w:rsidR="00FB1110" w:rsidRPr="00FB1110" w:rsidRDefault="00FB1110" w:rsidP="00FB1110">
            <w:pPr>
              <w:spacing w:before="300" w:after="300" w:line="240" w:lineRule="auto"/>
              <w:jc w:val="center"/>
              <w:rPr>
                <w:rFonts w:ascii="Times New Roman" w:eastAsia="Times New Roman" w:hAnsi="Times New Roman" w:cs="Times New Roman"/>
                <w:b/>
                <w:bCs/>
                <w:color w:val="2F587C"/>
                <w:sz w:val="21"/>
                <w:szCs w:val="21"/>
                <w:lang w:eastAsia="en-GB"/>
              </w:rPr>
            </w:pPr>
            <w:r w:rsidRPr="00FB1110">
              <w:rPr>
                <w:rFonts w:ascii="Times New Roman" w:eastAsia="Times New Roman" w:hAnsi="Times New Roman" w:cs="Times New Roman"/>
                <w:b/>
                <w:bCs/>
                <w:color w:val="2F587C"/>
                <w:sz w:val="21"/>
                <w:szCs w:val="21"/>
                <w:lang w:eastAsia="en-GB"/>
              </w:rPr>
              <w:t>Type of Fee</w:t>
            </w:r>
          </w:p>
        </w:tc>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23480ADA" w14:textId="77777777" w:rsidR="00FB1110" w:rsidRPr="00FB1110" w:rsidRDefault="00FB1110" w:rsidP="00FB1110">
            <w:pPr>
              <w:spacing w:before="300" w:after="300" w:line="240" w:lineRule="auto"/>
              <w:jc w:val="center"/>
              <w:rPr>
                <w:rFonts w:ascii="Times New Roman" w:eastAsia="Times New Roman" w:hAnsi="Times New Roman" w:cs="Times New Roman"/>
                <w:b/>
                <w:bCs/>
                <w:color w:val="2F587C"/>
                <w:sz w:val="21"/>
                <w:szCs w:val="21"/>
                <w:lang w:eastAsia="en-GB"/>
              </w:rPr>
            </w:pPr>
            <w:r w:rsidRPr="00FB1110">
              <w:rPr>
                <w:rFonts w:ascii="Times New Roman" w:eastAsia="Times New Roman" w:hAnsi="Times New Roman" w:cs="Times New Roman"/>
                <w:b/>
                <w:bCs/>
                <w:color w:val="2F587C"/>
                <w:sz w:val="21"/>
                <w:szCs w:val="21"/>
                <w:lang w:eastAsia="en-GB"/>
              </w:rPr>
              <w:t>Amount</w:t>
            </w:r>
          </w:p>
        </w:tc>
      </w:tr>
      <w:tr w:rsidR="00FB1110" w:rsidRPr="00FB1110" w14:paraId="2F7F223E"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17BC1A8"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Royalty</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53C108E5"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4% to 5% of gross revenue</w:t>
            </w:r>
            <w:r w:rsidRPr="00FB1110">
              <w:rPr>
                <w:rFonts w:ascii="Times New Roman" w:eastAsia="Times New Roman" w:hAnsi="Times New Roman" w:cs="Times New Roman"/>
                <w:sz w:val="21"/>
                <w:szCs w:val="21"/>
                <w:vertAlign w:val="subscript"/>
                <w:lang w:eastAsia="en-GB"/>
              </w:rPr>
              <w:t> </w:t>
            </w:r>
            <w:r w:rsidRPr="00FB1110">
              <w:rPr>
                <w:rFonts w:ascii="Times New Roman" w:eastAsia="Times New Roman" w:hAnsi="Times New Roman" w:cs="Times New Roman"/>
                <w:sz w:val="21"/>
                <w:szCs w:val="21"/>
                <w:lang w:eastAsia="en-GB"/>
              </w:rPr>
              <w:t>or a minimum of $1,350, whichever is greater, per month (minimum fee subject to adjustment based upon the Consumer Price Index).</w:t>
            </w:r>
          </w:p>
        </w:tc>
      </w:tr>
      <w:tr w:rsidR="00FB1110" w:rsidRPr="00FB1110" w14:paraId="37A273EB"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B517153"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National Co-op (advertising)</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E755DF6"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4.5% of gross revenue.</w:t>
            </w:r>
          </w:p>
        </w:tc>
      </w:tr>
      <w:tr w:rsidR="00FB1110" w:rsidRPr="00FB1110" w14:paraId="6B4EC374"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E45D822"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Renewal, if applicable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881816C"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$9,000 (subject to adjustment based upon the Consumer Price Index).</w:t>
            </w:r>
          </w:p>
        </w:tc>
      </w:tr>
      <w:tr w:rsidR="00FB1110" w:rsidRPr="00FB1110" w14:paraId="2466D44C"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47AD3453"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Transfer to an Existing KFC LLC Franchisee</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5ABD1F4E"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$4,500 for the first outlet and $2,250 for each additional outlet in the same transaction.</w:t>
            </w:r>
          </w:p>
        </w:tc>
      </w:tr>
      <w:tr w:rsidR="00FB1110" w:rsidRPr="00FB1110" w14:paraId="4DE328BE"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7EB1CBC"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lastRenderedPageBreak/>
              <w:t>Transfer to a New KFC LLC Franchisee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1BA29D2"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$9,000 for the first outlet and $4,500 for each additional outlet in the same transaction.</w:t>
            </w:r>
          </w:p>
        </w:tc>
      </w:tr>
      <w:tr w:rsidR="00FB1110" w:rsidRPr="00FB1110" w14:paraId="61A5F050"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E9ED77E"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Audit</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4EBDC7C7"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Entire cost of audit, including expenses of auditing personnel.</w:t>
            </w:r>
          </w:p>
        </w:tc>
      </w:tr>
      <w:tr w:rsidR="00FB1110" w:rsidRPr="00FB1110" w14:paraId="04631CD1"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60110CB"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Additional Refresh/Training</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1EE0C84"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$500 per person per week.</w:t>
            </w:r>
          </w:p>
        </w:tc>
      </w:tr>
      <w:tr w:rsidR="00FB1110" w:rsidRPr="00FB1110" w14:paraId="4A1D7C83"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95530E0"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Costs, Expenses and Attorneys' Fees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440EF00"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Will vary.</w:t>
            </w:r>
          </w:p>
        </w:tc>
      </w:tr>
      <w:tr w:rsidR="00FB1110" w:rsidRPr="00FB1110" w14:paraId="31B88104"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83E7931"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Indemnification</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FBC3134"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Will vary.</w:t>
            </w:r>
          </w:p>
        </w:tc>
      </w:tr>
      <w:tr w:rsidR="00FB1110" w:rsidRPr="00FB1110" w14:paraId="0992759F"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E3A4A3A"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lastRenderedPageBreak/>
              <w:t>Late Royalty Payments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D3E4964"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1.5% per month.</w:t>
            </w:r>
          </w:p>
        </w:tc>
      </w:tr>
      <w:tr w:rsidR="00FB1110" w:rsidRPr="00FB1110" w14:paraId="11EE3305"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52B704A4"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Restaurant Operations Compliance Check – comprised of two categories: (1) Food Safety Compliance Check and (2) Brand Standards Compliance Check Re-evaluation</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5239E40A"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$262.18 to $327.53 per re-evaluation.</w:t>
            </w:r>
          </w:p>
        </w:tc>
      </w:tr>
      <w:tr w:rsidR="00FB1110" w:rsidRPr="00FB1110" w14:paraId="5E24D60B"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7A28030E"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Support Services and Software Maintenance for KFCLLC's MERIT System</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C0A31C9"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$190.33 per unit/per month.</w:t>
            </w:r>
          </w:p>
        </w:tc>
      </w:tr>
      <w:tr w:rsidR="00FB1110" w:rsidRPr="00FB1110" w14:paraId="02770E97" w14:textId="77777777" w:rsidTr="00FB1110">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6343EBC"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One System Fund Fee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5D578ADC"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$180 per outlet/per month (plus applicable tax and shipping) (reoccurring payments).</w:t>
            </w:r>
          </w:p>
        </w:tc>
      </w:tr>
      <w:tr w:rsidR="00FB1110" w:rsidRPr="00FB1110" w14:paraId="7B619600" w14:textId="77777777" w:rsidTr="00FB1110">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C776337"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lastRenderedPageBreak/>
              <w:t>Digital Fee </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7B25FCD6" w14:textId="77777777" w:rsidR="00FB1110" w:rsidRPr="00FB1110" w:rsidRDefault="00FB1110" w:rsidP="00FB1110">
            <w:pPr>
              <w:spacing w:before="300" w:after="300" w:line="240" w:lineRule="auto"/>
              <w:rPr>
                <w:rFonts w:ascii="Times New Roman" w:eastAsia="Times New Roman" w:hAnsi="Times New Roman" w:cs="Times New Roman"/>
                <w:sz w:val="21"/>
                <w:szCs w:val="21"/>
                <w:lang w:eastAsia="en-GB"/>
              </w:rPr>
            </w:pPr>
            <w:r w:rsidRPr="00FB1110">
              <w:rPr>
                <w:rFonts w:ascii="Times New Roman" w:eastAsia="Times New Roman" w:hAnsi="Times New Roman" w:cs="Times New Roman"/>
                <w:sz w:val="21"/>
                <w:szCs w:val="21"/>
                <w:lang w:eastAsia="en-GB"/>
              </w:rPr>
              <w:t>3.5% of gross revenue collected from all digital orders. </w:t>
            </w:r>
          </w:p>
        </w:tc>
      </w:tr>
    </w:tbl>
    <w:p w14:paraId="69C46C5E" w14:textId="77777777" w:rsidR="00FB1110" w:rsidRPr="00FB1110" w:rsidRDefault="00FB1110" w:rsidP="00FB1110">
      <w:pPr>
        <w:shd w:val="clear" w:color="auto" w:fill="FFFFFF"/>
        <w:spacing w:before="150" w:after="30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i/>
          <w:iCs/>
          <w:color w:val="626E7A"/>
          <w:sz w:val="24"/>
          <w:szCs w:val="24"/>
          <w:lang w:eastAsia="en-GB"/>
        </w:rPr>
        <w:t>The above information has been compiled from the FDD of KFC. Year of FDD: 2022.</w:t>
      </w:r>
    </w:p>
    <w:p w14:paraId="2F7E416B" w14:textId="77777777" w:rsidR="00FB1110" w:rsidRPr="00FB1110" w:rsidRDefault="00FB1110" w:rsidP="00FB1110">
      <w:pPr>
        <w:shd w:val="clear" w:color="auto" w:fill="FFFFFF"/>
        <w:spacing w:before="150" w:line="390" w:lineRule="atLeast"/>
        <w:rPr>
          <w:rFonts w:ascii="Open Sans" w:eastAsia="Times New Roman" w:hAnsi="Open Sans" w:cs="Open Sans"/>
          <w:color w:val="626E7A"/>
          <w:sz w:val="24"/>
          <w:szCs w:val="24"/>
          <w:lang w:eastAsia="en-GB"/>
        </w:rPr>
      </w:pPr>
      <w:r w:rsidRPr="00FB1110">
        <w:rPr>
          <w:rFonts w:ascii="Open Sans" w:eastAsia="Times New Roman" w:hAnsi="Open Sans" w:cs="Open Sans"/>
          <w:b/>
          <w:bCs/>
          <w:i/>
          <w:iCs/>
          <w:color w:val="142B40"/>
          <w:sz w:val="24"/>
          <w:szCs w:val="24"/>
          <w:lang w:eastAsia="en-GB"/>
        </w:rPr>
        <w:t>NOTE: </w:t>
      </w:r>
      <w:r w:rsidRPr="00FB1110">
        <w:rPr>
          <w:rFonts w:ascii="Open Sans" w:eastAsia="Times New Roman" w:hAnsi="Open Sans" w:cs="Open Sans"/>
          <w:i/>
          <w:iCs/>
          <w:color w:val="626E7A"/>
          <w:sz w:val="24"/>
          <w:szCs w:val="24"/>
          <w:lang w:eastAsia="en-GB"/>
        </w:rPr>
        <w:t>FDD pages are provided for informational purposes only. It is an overview of what is contained in the full document, which is to be given to the prospective franchisee by the franchise--and receipt of which must be formally notarized between the parties. If you are interested in getting in touch with a franchise company, please search our listings via the "Industry" pages accessible from the drop-down menu above.</w:t>
      </w:r>
    </w:p>
    <w:p w14:paraId="6724D907" w14:textId="77777777" w:rsidR="00013874" w:rsidRDefault="00013874"/>
    <w:sectPr w:rsidR="00013874" w:rsidSect="00FB111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110"/>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5112B"/>
    <w:rsid w:val="00853D1F"/>
    <w:rsid w:val="008558B5"/>
    <w:rsid w:val="008A1DAB"/>
    <w:rsid w:val="008D4739"/>
    <w:rsid w:val="008F6B0E"/>
    <w:rsid w:val="009015AC"/>
    <w:rsid w:val="00924EC6"/>
    <w:rsid w:val="0092503F"/>
    <w:rsid w:val="0093469B"/>
    <w:rsid w:val="00934CA5"/>
    <w:rsid w:val="009433DB"/>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B1110"/>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5042"/>
  <w15:chartTrackingRefBased/>
  <w15:docId w15:val="{2D7322EE-9E0E-485E-B4E8-EC763679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B11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B11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B111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11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B111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B1110"/>
    <w:rPr>
      <w:rFonts w:ascii="Times New Roman" w:eastAsia="Times New Roman" w:hAnsi="Times New Roman" w:cs="Times New Roman"/>
      <w:b/>
      <w:bCs/>
      <w:sz w:val="27"/>
      <w:szCs w:val="27"/>
      <w:lang w:eastAsia="en-GB"/>
    </w:rPr>
  </w:style>
  <w:style w:type="character" w:customStyle="1" w:styleId="fdd-type-large">
    <w:name w:val="fdd-type-large"/>
    <w:basedOn w:val="DefaultParagraphFont"/>
    <w:rsid w:val="00FB1110"/>
  </w:style>
  <w:style w:type="character" w:styleId="Hyperlink">
    <w:name w:val="Hyperlink"/>
    <w:basedOn w:val="DefaultParagraphFont"/>
    <w:uiPriority w:val="99"/>
    <w:semiHidden/>
    <w:unhideWhenUsed/>
    <w:rsid w:val="00FB1110"/>
    <w:rPr>
      <w:color w:val="0000FF"/>
      <w:u w:val="single"/>
    </w:rPr>
  </w:style>
  <w:style w:type="paragraph" w:styleId="NormalWeb">
    <w:name w:val="Normal (Web)"/>
    <w:basedOn w:val="Normal"/>
    <w:uiPriority w:val="99"/>
    <w:semiHidden/>
    <w:unhideWhenUsed/>
    <w:rsid w:val="00FB11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067619">
      <w:bodyDiv w:val="1"/>
      <w:marLeft w:val="0"/>
      <w:marRight w:val="0"/>
      <w:marTop w:val="0"/>
      <w:marBottom w:val="0"/>
      <w:divBdr>
        <w:top w:val="none" w:sz="0" w:space="0" w:color="auto"/>
        <w:left w:val="none" w:sz="0" w:space="0" w:color="auto"/>
        <w:bottom w:val="none" w:sz="0" w:space="0" w:color="auto"/>
        <w:right w:val="none" w:sz="0" w:space="0" w:color="auto"/>
      </w:divBdr>
      <w:divsChild>
        <w:div w:id="73206102">
          <w:marLeft w:val="0"/>
          <w:marRight w:val="0"/>
          <w:marTop w:val="150"/>
          <w:marBottom w:val="0"/>
          <w:divBdr>
            <w:top w:val="none" w:sz="0" w:space="0" w:color="auto"/>
            <w:left w:val="none" w:sz="0" w:space="0" w:color="auto"/>
            <w:bottom w:val="none" w:sz="0" w:space="0" w:color="auto"/>
            <w:right w:val="none" w:sz="0" w:space="0" w:color="auto"/>
          </w:divBdr>
          <w:divsChild>
            <w:div w:id="912541888">
              <w:marLeft w:val="0"/>
              <w:marRight w:val="0"/>
              <w:marTop w:val="0"/>
              <w:marBottom w:val="0"/>
              <w:divBdr>
                <w:top w:val="none" w:sz="0" w:space="0" w:color="auto"/>
                <w:left w:val="none" w:sz="0" w:space="0" w:color="auto"/>
                <w:bottom w:val="none" w:sz="0" w:space="0" w:color="auto"/>
                <w:right w:val="none" w:sz="0" w:space="0" w:color="auto"/>
              </w:divBdr>
            </w:div>
            <w:div w:id="246619265">
              <w:marLeft w:val="0"/>
              <w:marRight w:val="0"/>
              <w:marTop w:val="150"/>
              <w:marBottom w:val="0"/>
              <w:divBdr>
                <w:top w:val="none" w:sz="0" w:space="0" w:color="auto"/>
                <w:left w:val="none" w:sz="0" w:space="0" w:color="auto"/>
                <w:bottom w:val="none" w:sz="0" w:space="0" w:color="auto"/>
                <w:right w:val="none" w:sz="0" w:space="0" w:color="auto"/>
              </w:divBdr>
            </w:div>
          </w:divsChild>
        </w:div>
        <w:div w:id="1868520660">
          <w:marLeft w:val="0"/>
          <w:marRight w:val="0"/>
          <w:marTop w:val="150"/>
          <w:marBottom w:val="0"/>
          <w:divBdr>
            <w:top w:val="none" w:sz="0" w:space="0" w:color="auto"/>
            <w:left w:val="none" w:sz="0" w:space="0" w:color="auto"/>
            <w:bottom w:val="none" w:sz="0" w:space="0" w:color="auto"/>
            <w:right w:val="none" w:sz="0" w:space="0" w:color="auto"/>
          </w:divBdr>
          <w:divsChild>
            <w:div w:id="754671058">
              <w:marLeft w:val="0"/>
              <w:marRight w:val="0"/>
              <w:marTop w:val="0"/>
              <w:marBottom w:val="0"/>
              <w:divBdr>
                <w:top w:val="none" w:sz="0" w:space="0" w:color="auto"/>
                <w:left w:val="none" w:sz="0" w:space="0" w:color="auto"/>
                <w:bottom w:val="none" w:sz="0" w:space="0" w:color="auto"/>
                <w:right w:val="none" w:sz="0" w:space="0" w:color="auto"/>
              </w:divBdr>
              <w:divsChild>
                <w:div w:id="185215631">
                  <w:marLeft w:val="0"/>
                  <w:marRight w:val="0"/>
                  <w:marTop w:val="0"/>
                  <w:marBottom w:val="0"/>
                  <w:divBdr>
                    <w:top w:val="none" w:sz="0" w:space="0" w:color="auto"/>
                    <w:left w:val="none" w:sz="0" w:space="0" w:color="auto"/>
                    <w:bottom w:val="none" w:sz="0" w:space="0" w:color="auto"/>
                    <w:right w:val="none" w:sz="0" w:space="0" w:color="auto"/>
                  </w:divBdr>
                  <w:divsChild>
                    <w:div w:id="1155490552">
                      <w:marLeft w:val="0"/>
                      <w:marRight w:val="0"/>
                      <w:marTop w:val="0"/>
                      <w:marBottom w:val="300"/>
                      <w:divBdr>
                        <w:top w:val="single" w:sz="6" w:space="15" w:color="E3E3E3"/>
                        <w:left w:val="single" w:sz="6" w:space="15" w:color="E3E3E3"/>
                        <w:bottom w:val="single" w:sz="6" w:space="15" w:color="E3E3E3"/>
                        <w:right w:val="single" w:sz="6" w:space="15" w:color="E3E3E3"/>
                      </w:divBdr>
                    </w:div>
                    <w:div w:id="1657537433">
                      <w:marLeft w:val="0"/>
                      <w:marRight w:val="0"/>
                      <w:marTop w:val="225"/>
                      <w:marBottom w:val="0"/>
                      <w:divBdr>
                        <w:top w:val="none" w:sz="0" w:space="0" w:color="auto"/>
                        <w:left w:val="none" w:sz="0" w:space="0" w:color="auto"/>
                        <w:bottom w:val="none" w:sz="0" w:space="0" w:color="auto"/>
                        <w:right w:val="none" w:sz="0" w:space="0" w:color="auto"/>
                      </w:divBdr>
                    </w:div>
                  </w:divsChild>
                </w:div>
                <w:div w:id="1155104751">
                  <w:marLeft w:val="0"/>
                  <w:marRight w:val="540"/>
                  <w:marTop w:val="0"/>
                  <w:marBottom w:val="750"/>
                  <w:divBdr>
                    <w:top w:val="none" w:sz="0" w:space="0" w:color="auto"/>
                    <w:left w:val="none" w:sz="0" w:space="0" w:color="auto"/>
                    <w:bottom w:val="none" w:sz="0" w:space="0" w:color="auto"/>
                    <w:right w:val="none" w:sz="0" w:space="0" w:color="auto"/>
                  </w:divBdr>
                  <w:divsChild>
                    <w:div w:id="889153077">
                      <w:marLeft w:val="0"/>
                      <w:marRight w:val="0"/>
                      <w:marTop w:val="600"/>
                      <w:marBottom w:val="600"/>
                      <w:divBdr>
                        <w:top w:val="single" w:sz="6" w:space="0" w:color="E6E4E3"/>
                        <w:left w:val="single" w:sz="6" w:space="0" w:color="E6E4E3"/>
                        <w:bottom w:val="single" w:sz="6" w:space="0" w:color="E6E4E3"/>
                        <w:right w:val="single" w:sz="6" w:space="0" w:color="E6E4E3"/>
                      </w:divBdr>
                      <w:divsChild>
                        <w:div w:id="1933203121">
                          <w:marLeft w:val="0"/>
                          <w:marRight w:val="0"/>
                          <w:marTop w:val="0"/>
                          <w:marBottom w:val="0"/>
                          <w:divBdr>
                            <w:top w:val="none" w:sz="0" w:space="0" w:color="auto"/>
                            <w:left w:val="none" w:sz="0" w:space="0" w:color="auto"/>
                            <w:bottom w:val="single" w:sz="6" w:space="2" w:color="E9E9E9"/>
                            <w:right w:val="none" w:sz="0" w:space="0" w:color="auto"/>
                          </w:divBdr>
                          <w:divsChild>
                            <w:div w:id="790782332">
                              <w:marLeft w:val="0"/>
                              <w:marRight w:val="0"/>
                              <w:marTop w:val="0"/>
                              <w:marBottom w:val="0"/>
                              <w:divBdr>
                                <w:top w:val="none" w:sz="0" w:space="0" w:color="auto"/>
                                <w:left w:val="none" w:sz="0" w:space="0" w:color="auto"/>
                                <w:bottom w:val="none" w:sz="0" w:space="0" w:color="auto"/>
                                <w:right w:val="none" w:sz="0" w:space="0" w:color="auto"/>
                              </w:divBdr>
                            </w:div>
                          </w:divsChild>
                        </w:div>
                        <w:div w:id="1505777331">
                          <w:marLeft w:val="0"/>
                          <w:marRight w:val="0"/>
                          <w:marTop w:val="0"/>
                          <w:marBottom w:val="0"/>
                          <w:divBdr>
                            <w:top w:val="none" w:sz="0" w:space="0" w:color="auto"/>
                            <w:left w:val="none" w:sz="0" w:space="0" w:color="auto"/>
                            <w:bottom w:val="single" w:sz="6" w:space="2" w:color="E9E9E9"/>
                            <w:right w:val="none" w:sz="0" w:space="0" w:color="auto"/>
                          </w:divBdr>
                          <w:divsChild>
                            <w:div w:id="1694763565">
                              <w:marLeft w:val="0"/>
                              <w:marRight w:val="0"/>
                              <w:marTop w:val="0"/>
                              <w:marBottom w:val="0"/>
                              <w:divBdr>
                                <w:top w:val="none" w:sz="0" w:space="0" w:color="auto"/>
                                <w:left w:val="none" w:sz="0" w:space="0" w:color="auto"/>
                                <w:bottom w:val="none" w:sz="0" w:space="0" w:color="auto"/>
                                <w:right w:val="none" w:sz="0" w:space="0" w:color="auto"/>
                              </w:divBdr>
                            </w:div>
                          </w:divsChild>
                        </w:div>
                        <w:div w:id="539754544">
                          <w:marLeft w:val="0"/>
                          <w:marRight w:val="0"/>
                          <w:marTop w:val="0"/>
                          <w:marBottom w:val="0"/>
                          <w:divBdr>
                            <w:top w:val="none" w:sz="0" w:space="0" w:color="auto"/>
                            <w:left w:val="none" w:sz="0" w:space="0" w:color="auto"/>
                            <w:bottom w:val="single" w:sz="6" w:space="2" w:color="E9E9E9"/>
                            <w:right w:val="none" w:sz="0" w:space="0" w:color="auto"/>
                          </w:divBdr>
                          <w:divsChild>
                            <w:div w:id="123176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834024">
                      <w:marLeft w:val="0"/>
                      <w:marRight w:val="0"/>
                      <w:marTop w:val="0"/>
                      <w:marBottom w:val="0"/>
                      <w:divBdr>
                        <w:top w:val="none" w:sz="0" w:space="0" w:color="auto"/>
                        <w:left w:val="none" w:sz="0" w:space="0" w:color="auto"/>
                        <w:bottom w:val="none" w:sz="0" w:space="0" w:color="auto"/>
                        <w:right w:val="none" w:sz="0" w:space="0" w:color="auto"/>
                      </w:divBdr>
                      <w:divsChild>
                        <w:div w:id="832064586">
                          <w:marLeft w:val="0"/>
                          <w:marRight w:val="0"/>
                          <w:marTop w:val="0"/>
                          <w:marBottom w:val="0"/>
                          <w:divBdr>
                            <w:top w:val="none" w:sz="0" w:space="0" w:color="auto"/>
                            <w:left w:val="none" w:sz="0" w:space="0" w:color="auto"/>
                            <w:bottom w:val="none" w:sz="0" w:space="0" w:color="auto"/>
                            <w:right w:val="none" w:sz="0" w:space="0" w:color="auto"/>
                          </w:divBdr>
                        </w:div>
                      </w:divsChild>
                    </w:div>
                    <w:div w:id="1735084983">
                      <w:marLeft w:val="0"/>
                      <w:marRight w:val="0"/>
                      <w:marTop w:val="0"/>
                      <w:marBottom w:val="0"/>
                      <w:divBdr>
                        <w:top w:val="none" w:sz="0" w:space="0" w:color="auto"/>
                        <w:left w:val="none" w:sz="0" w:space="0" w:color="auto"/>
                        <w:bottom w:val="none" w:sz="0" w:space="0" w:color="auto"/>
                        <w:right w:val="none" w:sz="0" w:space="0" w:color="auto"/>
                      </w:divBdr>
                      <w:divsChild>
                        <w:div w:id="68991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s://www.franchisedirect.com/foodfranchises/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1150</Words>
  <Characters>6561</Characters>
  <Application>Microsoft Office Word</Application>
  <DocSecurity>0</DocSecurity>
  <Lines>54</Lines>
  <Paragraphs>15</Paragraphs>
  <ScaleCrop>false</ScaleCrop>
  <Company/>
  <LinksUpToDate>false</LinksUpToDate>
  <CharactersWithSpaces>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2022-09-23T10:18:00Z</dcterms:created>
  <dcterms:modified xsi:type="dcterms:W3CDTF">2022-09-23T10:22:00Z</dcterms:modified>
</cp:coreProperties>
</file>