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36C" w:rsidRPr="009211BB" w:rsidRDefault="0016036C" w:rsidP="0016036C">
      <w:r w:rsidRPr="009211BB">
        <w:t>To implement government policy of regenerating seaside towns which have become economically deprived, Parliament enacted the Coastal Renewal Act 2016 (the Act), establishing the Seaside Development Commission (the commission) with the remit of reviving seaside towns.</w:t>
      </w:r>
    </w:p>
    <w:p w:rsidR="0016036C" w:rsidRPr="009211BB" w:rsidRDefault="0016036C" w:rsidP="0016036C">
      <w:r w:rsidRPr="009211BB">
        <w:t>Section 7 of the Act gives the Commission the power to make grants to businesses wishing to build new piers in seaside towns with a population of 20,000 or more inhabitants. The Commission is required to have regard to whether the proposed new piers will contribute to boosting local employment.</w:t>
      </w:r>
    </w:p>
    <w:p w:rsidR="0016036C" w:rsidRPr="009211BB" w:rsidRDefault="0016036C" w:rsidP="0016036C">
      <w:r w:rsidRPr="009211BB">
        <w:t>Section 32 of the Act further provides that any decision of the Commission relating to a grant ‘shall not be questioned in any legal proceedings whatsoever’.</w:t>
      </w:r>
    </w:p>
    <w:p w:rsidR="0016036C" w:rsidRDefault="0016036C" w:rsidP="0016036C">
      <w:r w:rsidRPr="009211BB">
        <w:t>The following events have occurred:</w:t>
      </w:r>
    </w:p>
    <w:p w:rsidR="0016036C" w:rsidRDefault="0016036C" w:rsidP="0016036C">
      <w:pPr>
        <w:pStyle w:val="NoSpacing"/>
        <w:numPr>
          <w:ilvl w:val="0"/>
          <w:numId w:val="1"/>
        </w:numPr>
      </w:pPr>
      <w:proofErr w:type="spellStart"/>
      <w:r>
        <w:t>Pitson</w:t>
      </w:r>
      <w:proofErr w:type="spellEnd"/>
      <w:r>
        <w:t xml:space="preserve"> Enterprises Ltd (‘</w:t>
      </w:r>
      <w:proofErr w:type="spellStart"/>
      <w:r>
        <w:t>Pitson</w:t>
      </w:r>
      <w:proofErr w:type="spellEnd"/>
      <w:r>
        <w:t xml:space="preserve">’) has applied for a grant to build a new pier in Kenton-on-Sea. The Commission has rejected its application on the grounds that Kenton-on-Sea has a population of under 20,000. </w:t>
      </w:r>
      <w:bookmarkStart w:id="0" w:name="_GoBack"/>
      <w:bookmarkEnd w:id="0"/>
      <w:r>
        <w:t>While at the time of the 2011 census Kenton-on-Sea had a population of 19,875, a new housing estate has recently been built and the town’s population is now just over 20,000.</w:t>
      </w:r>
    </w:p>
    <w:p w:rsidR="0016036C" w:rsidRDefault="0016036C" w:rsidP="0016036C">
      <w:pPr>
        <w:pStyle w:val="NoSpacing"/>
        <w:numPr>
          <w:ilvl w:val="0"/>
          <w:numId w:val="1"/>
        </w:numPr>
      </w:pPr>
      <w:r>
        <w:t xml:space="preserve"> </w:t>
      </w:r>
      <w:proofErr w:type="spellStart"/>
      <w:r>
        <w:t>Fairwood</w:t>
      </w:r>
      <w:proofErr w:type="spellEnd"/>
      <w:r>
        <w:t xml:space="preserve"> Developments Ltd (‘</w:t>
      </w:r>
      <w:proofErr w:type="spellStart"/>
      <w:r>
        <w:t>Fairwood</w:t>
      </w:r>
      <w:proofErr w:type="spellEnd"/>
      <w:r>
        <w:t>’) has successfully applied for a grant to build a new pier in Collingwood. , however Collingwood is not a seaside town, and the proposed pier is being constructed over dry land. The Low Taxation Forum (‘the LTF’), a nationwide pressure group which campaigns for lower taxes and cuts in government spending, believes that this is an appalling waste of money. It has also discovered that the Commission’s chief executive is a close friend of one of Fairview’s main</w:t>
      </w:r>
    </w:p>
    <w:p w:rsidR="0016036C" w:rsidRDefault="0016036C" w:rsidP="0016036C">
      <w:pPr>
        <w:pStyle w:val="NoSpacing"/>
      </w:pPr>
      <w:r>
        <w:t xml:space="preserve">                      Shareholders.</w:t>
      </w:r>
    </w:p>
    <w:p w:rsidR="0016036C" w:rsidRDefault="0016036C" w:rsidP="0016036C">
      <w:pPr>
        <w:pStyle w:val="NoSpacing"/>
        <w:numPr>
          <w:ilvl w:val="0"/>
          <w:numId w:val="1"/>
        </w:numPr>
      </w:pPr>
      <w:r>
        <w:t xml:space="preserve"> Mayer Initiatives Plc (‘Mayer’) has applied for a grant to build a new pier in Port Alfred. The Commission has rejected its application on the grounds that it wanted to give preference to small businesses and Mayer is too large a business. The Commission further stated that Mayer’s application was rejected on the instructions of the Secretary of State for Communities and Local Government, who considered that Mayer was an unsuitable applicant.</w:t>
      </w:r>
    </w:p>
    <w:p w:rsidR="0016036C" w:rsidRDefault="0016036C" w:rsidP="0016036C">
      <w:pPr>
        <w:pStyle w:val="NoSpacing"/>
        <w:ind w:left="1080"/>
      </w:pPr>
    </w:p>
    <w:p w:rsidR="0016036C" w:rsidRDefault="0016036C" w:rsidP="0016036C">
      <w:pPr>
        <w:pStyle w:val="NoSpacing"/>
        <w:rPr>
          <w:b/>
        </w:rPr>
      </w:pPr>
      <w:r>
        <w:t xml:space="preserve"> </w:t>
      </w:r>
      <w:r>
        <w:rPr>
          <w:b/>
        </w:rPr>
        <w:t xml:space="preserve">Advise </w:t>
      </w:r>
      <w:proofErr w:type="spellStart"/>
      <w:r>
        <w:rPr>
          <w:b/>
        </w:rPr>
        <w:t>Pitson</w:t>
      </w:r>
      <w:proofErr w:type="spellEnd"/>
      <w:r w:rsidRPr="009F25F6">
        <w:rPr>
          <w:b/>
        </w:rPr>
        <w:t>, the LTF and Mayer whether each may make a claim for</w:t>
      </w:r>
      <w:r>
        <w:rPr>
          <w:b/>
        </w:rPr>
        <w:t xml:space="preserve"> judicial review (25 marks)</w:t>
      </w:r>
    </w:p>
    <w:p w:rsidR="0016036C" w:rsidRDefault="0016036C" w:rsidP="0016036C">
      <w:pPr>
        <w:pStyle w:val="NoSpacing"/>
        <w:rPr>
          <w:b/>
        </w:rPr>
      </w:pPr>
    </w:p>
    <w:p w:rsidR="0016036C" w:rsidRDefault="0016036C" w:rsidP="0016036C">
      <w:pPr>
        <w:pStyle w:val="NoSpacing"/>
        <w:rPr>
          <w:color w:val="FF0000"/>
        </w:rPr>
      </w:pPr>
      <w:r w:rsidRPr="00797925">
        <w:rPr>
          <w:color w:val="FF0000"/>
          <w:u w:val="single"/>
        </w:rPr>
        <w:t>Amenability/ Eligibility</w:t>
      </w:r>
      <w:r w:rsidRPr="00B63355">
        <w:rPr>
          <w:color w:val="FF0000"/>
        </w:rPr>
        <w:t xml:space="preserve"> </w:t>
      </w:r>
    </w:p>
    <w:p w:rsidR="00D86E0F" w:rsidRDefault="0016036C" w:rsidP="0016036C">
      <w:pPr>
        <w:pStyle w:val="NoSpacing"/>
        <w:rPr>
          <w:color w:val="FF0000"/>
        </w:rPr>
      </w:pPr>
      <w:r w:rsidRPr="00B63355">
        <w:rPr>
          <w:color w:val="FF0000"/>
        </w:rPr>
        <w:t xml:space="preserve">The Seaside Development Commission (‘the Commission’) is a public law body as it is exercising statutory functions under the Coastal Renewal Act 2016 (‘the Act’) to award discretionary grants for regenerating seaside towns. Disbursing public funds in this way is a public rather than private law matter, so the Commission is amenable to judicial review (O’Reilly v </w:t>
      </w:r>
      <w:proofErr w:type="spellStart"/>
      <w:r w:rsidRPr="00B63355">
        <w:rPr>
          <w:color w:val="FF0000"/>
        </w:rPr>
        <w:t>Mackman</w:t>
      </w:r>
      <w:proofErr w:type="spellEnd"/>
      <w:r w:rsidRPr="00B63355">
        <w:rPr>
          <w:color w:val="FF0000"/>
        </w:rPr>
        <w:t xml:space="preserve"> (1983)). </w:t>
      </w:r>
    </w:p>
    <w:p w:rsidR="00D86E0F" w:rsidRDefault="0016036C" w:rsidP="0016036C">
      <w:pPr>
        <w:pStyle w:val="NoSpacing"/>
        <w:rPr>
          <w:color w:val="FF0000"/>
        </w:rPr>
      </w:pPr>
      <w:r w:rsidRPr="00B63355">
        <w:rPr>
          <w:color w:val="FF0000"/>
        </w:rPr>
        <w:t>Rogan and Mayer are directly affected by the decision, as their grant applications have been rejected. They therefore have ‘sufficient interest’ in the decisions to bring judicial review claims (</w:t>
      </w:r>
      <w:proofErr w:type="gramStart"/>
      <w:r w:rsidRPr="00B63355">
        <w:rPr>
          <w:color w:val="FF0000"/>
        </w:rPr>
        <w:t>s.31(</w:t>
      </w:r>
      <w:proofErr w:type="gramEnd"/>
      <w:r w:rsidRPr="00B63355">
        <w:rPr>
          <w:color w:val="FF0000"/>
        </w:rPr>
        <w:t xml:space="preserve">3) SCA 1981). </w:t>
      </w:r>
    </w:p>
    <w:p w:rsidR="00D86E0F" w:rsidRDefault="0016036C" w:rsidP="0016036C">
      <w:pPr>
        <w:pStyle w:val="NoSpacing"/>
        <w:rPr>
          <w:color w:val="FF0000"/>
        </w:rPr>
      </w:pPr>
      <w:r w:rsidRPr="00B63355">
        <w:rPr>
          <w:color w:val="FF0000"/>
        </w:rPr>
        <w:t xml:space="preserve">The position of the LTF, as a pressure group, needs further analysis. The factors the court considers are outlined in cases such as R v Foreign Secretary, ex p. World Development Movement Ltd (1995) - </w:t>
      </w:r>
      <w:r w:rsidRPr="00B63355">
        <w:rPr>
          <w:color w:val="FF0000"/>
        </w:rPr>
        <w:sym w:font="Symbol" w:char="F0B7"/>
      </w:r>
      <w:r w:rsidRPr="00B63355">
        <w:rPr>
          <w:color w:val="FF0000"/>
        </w:rPr>
        <w:t xml:space="preserve"> The need to uphold the rule of law </w:t>
      </w:r>
    </w:p>
    <w:p w:rsidR="00D86E0F" w:rsidRDefault="0016036C" w:rsidP="0016036C">
      <w:pPr>
        <w:pStyle w:val="NoSpacing"/>
        <w:rPr>
          <w:color w:val="FF0000"/>
        </w:rPr>
      </w:pPr>
      <w:r w:rsidRPr="00B63355">
        <w:rPr>
          <w:color w:val="FF0000"/>
        </w:rPr>
        <w:sym w:font="Symbol" w:char="F0B7"/>
      </w:r>
      <w:r w:rsidRPr="00B63355">
        <w:rPr>
          <w:color w:val="FF0000"/>
        </w:rPr>
        <w:t xml:space="preserve"> Whether any other body was likely to bring a challenge </w:t>
      </w:r>
    </w:p>
    <w:p w:rsidR="00D86E0F" w:rsidRDefault="0016036C" w:rsidP="0016036C">
      <w:pPr>
        <w:pStyle w:val="NoSpacing"/>
        <w:rPr>
          <w:color w:val="FF0000"/>
        </w:rPr>
      </w:pPr>
      <w:r w:rsidRPr="00B63355">
        <w:rPr>
          <w:color w:val="FF0000"/>
        </w:rPr>
        <w:sym w:font="Symbol" w:char="F0B7"/>
      </w:r>
      <w:r w:rsidRPr="00B63355">
        <w:rPr>
          <w:color w:val="FF0000"/>
        </w:rPr>
        <w:t xml:space="preserve"> The role of the pressure group involved. The LTF, as a nationwide pressure group which campaigns on tax and public spending issues, is not a ‘busy-body’ and the court would be unlikely to reject a valid claim simply on the grounds of standing. Also its claim involves potential bias, an issue that is closely linked to the rule of law. </w:t>
      </w:r>
    </w:p>
    <w:p w:rsidR="0016036C" w:rsidRDefault="0016036C" w:rsidP="0016036C">
      <w:pPr>
        <w:pStyle w:val="NoSpacing"/>
        <w:rPr>
          <w:color w:val="FF0000"/>
        </w:rPr>
      </w:pPr>
      <w:r w:rsidRPr="00B63355">
        <w:rPr>
          <w:color w:val="FF0000"/>
        </w:rPr>
        <w:lastRenderedPageBreak/>
        <w:t xml:space="preserve">Ouster clause </w:t>
      </w:r>
      <w:r w:rsidR="00D86E0F">
        <w:rPr>
          <w:color w:val="FF0000"/>
        </w:rPr>
        <w:t xml:space="preserve">- </w:t>
      </w:r>
      <w:r w:rsidRPr="00B63355">
        <w:rPr>
          <w:color w:val="FF0000"/>
        </w:rPr>
        <w:t xml:space="preserve">The Act contains a potential obstacle to judicial review proceedings for all three claimants, namely an ouster clause excluding the jurisdiction of the courts. However, courts are hostile to such clauses and in </w:t>
      </w:r>
      <w:proofErr w:type="spellStart"/>
      <w:r w:rsidRPr="00B63355">
        <w:rPr>
          <w:color w:val="FF0000"/>
        </w:rPr>
        <w:t>Anisminic</w:t>
      </w:r>
      <w:proofErr w:type="spellEnd"/>
      <w:r w:rsidRPr="00B63355">
        <w:rPr>
          <w:color w:val="FF0000"/>
        </w:rPr>
        <w:t xml:space="preserve"> v FCC (1969) the House of Lords made it clear that complete ouster clauses will not protect ‘nullities’ (decisions that were never valid) and it is the court’s function to decide upon the validity of a decision. The ouster clause will therefore be ineffective. </w:t>
      </w:r>
    </w:p>
    <w:p w:rsidR="0016036C" w:rsidRDefault="0016036C" w:rsidP="0016036C">
      <w:pPr>
        <w:pStyle w:val="NoSpacing"/>
        <w:rPr>
          <w:color w:val="FF0000"/>
        </w:rPr>
      </w:pPr>
      <w:r w:rsidRPr="00B63355">
        <w:rPr>
          <w:color w:val="FF0000"/>
        </w:rPr>
        <w:t xml:space="preserve">Timing </w:t>
      </w:r>
    </w:p>
    <w:p w:rsidR="0016036C" w:rsidRDefault="0016036C" w:rsidP="0016036C">
      <w:pPr>
        <w:pStyle w:val="NoSpacing"/>
        <w:rPr>
          <w:color w:val="FF0000"/>
        </w:rPr>
      </w:pPr>
      <w:r w:rsidRPr="00B63355">
        <w:rPr>
          <w:color w:val="FF0000"/>
        </w:rPr>
        <w:t xml:space="preserve">All the claims must be brought promptly and in any event within three months (s.31 SCA 1981 and CPR r 54.5). Grounds Lord </w:t>
      </w:r>
      <w:proofErr w:type="spellStart"/>
      <w:r w:rsidRPr="00B63355">
        <w:rPr>
          <w:color w:val="FF0000"/>
        </w:rPr>
        <w:t>Diplock</w:t>
      </w:r>
      <w:proofErr w:type="spellEnd"/>
      <w:r w:rsidRPr="00B63355">
        <w:rPr>
          <w:color w:val="FF0000"/>
        </w:rPr>
        <w:t xml:space="preserve"> identified the traditional grounds of review as illegality, irrationality and procedural impropriety (CCSU v Minister for the Civil Service (1985)); these will be applied as relevant: </w:t>
      </w:r>
    </w:p>
    <w:p w:rsidR="00D86E0F" w:rsidRPr="00D86E0F" w:rsidRDefault="00D86E0F" w:rsidP="00D86E0F">
      <w:pPr>
        <w:pStyle w:val="NoSpacing"/>
        <w:rPr>
          <w:color w:val="FF0000"/>
          <w:u w:val="single"/>
        </w:rPr>
      </w:pPr>
      <w:r w:rsidRPr="00D86E0F">
        <w:rPr>
          <w:color w:val="FF0000"/>
          <w:u w:val="single"/>
        </w:rPr>
        <w:t>PITSON</w:t>
      </w:r>
    </w:p>
    <w:p w:rsidR="0016036C" w:rsidRDefault="0016036C" w:rsidP="00D86E0F">
      <w:pPr>
        <w:pStyle w:val="NoSpacing"/>
        <w:rPr>
          <w:color w:val="FF0000"/>
        </w:rPr>
      </w:pPr>
      <w:r w:rsidRPr="00B63355">
        <w:rPr>
          <w:color w:val="FF0000"/>
        </w:rPr>
        <w:t xml:space="preserve"> Illegality ‘Jurisdictional’ error of fact/error of law</w:t>
      </w:r>
      <w:r w:rsidR="00D86E0F">
        <w:rPr>
          <w:color w:val="FF0000"/>
        </w:rPr>
        <w:t>:</w:t>
      </w:r>
      <w:r w:rsidRPr="00B63355">
        <w:rPr>
          <w:color w:val="FF0000"/>
        </w:rPr>
        <w:t xml:space="preserve"> The Commission has made a mistake concerning the number of people living in Kenton-on-Sea, incorrectly believing as a result that its population is too low to qualify for a grant. This is an error of fact that goes to the heart of its jurisdiction to award grants (R v Home Secretary, ex p. Khawaja (1984)). Accordingly, it is jurisdictional and so is reviewable. The Commission might have misinterpreted the Act and think that it requires the population to be assessed by reference to the figures in the census. If so, this is likely to be an error of law which is reviewable (</w:t>
      </w:r>
      <w:proofErr w:type="spellStart"/>
      <w:r w:rsidRPr="00B63355">
        <w:rPr>
          <w:color w:val="FF0000"/>
        </w:rPr>
        <w:t>Anisminic</w:t>
      </w:r>
      <w:proofErr w:type="spellEnd"/>
      <w:r w:rsidRPr="00B63355">
        <w:rPr>
          <w:color w:val="FF0000"/>
        </w:rPr>
        <w:t xml:space="preserve"> (above)).</w:t>
      </w:r>
    </w:p>
    <w:p w:rsidR="00D86E0F" w:rsidRPr="00D86E0F" w:rsidRDefault="0016036C" w:rsidP="00D86E0F">
      <w:pPr>
        <w:pStyle w:val="NoSpacing"/>
        <w:rPr>
          <w:color w:val="FF0000"/>
          <w:u w:val="single"/>
        </w:rPr>
      </w:pPr>
      <w:r w:rsidRPr="00D86E0F">
        <w:rPr>
          <w:color w:val="FF0000"/>
          <w:u w:val="single"/>
        </w:rPr>
        <w:t>The LTF</w:t>
      </w:r>
    </w:p>
    <w:p w:rsidR="00D86E0F" w:rsidRDefault="0016036C" w:rsidP="00D86E0F">
      <w:pPr>
        <w:pStyle w:val="NoSpacing"/>
        <w:rPr>
          <w:color w:val="FF0000"/>
        </w:rPr>
      </w:pPr>
      <w:r w:rsidRPr="00B63355">
        <w:rPr>
          <w:color w:val="FF0000"/>
        </w:rPr>
        <w:t xml:space="preserve"> Illegality ‘Jurisdictional’ challenge</w:t>
      </w:r>
      <w:r w:rsidR="00D86E0F">
        <w:rPr>
          <w:color w:val="FF0000"/>
        </w:rPr>
        <w:t>:</w:t>
      </w:r>
      <w:r w:rsidRPr="00B63355">
        <w:rPr>
          <w:color w:val="FF0000"/>
        </w:rPr>
        <w:t xml:space="preserve"> If it makes the grant to Fairview, the Commission will be exceeding its powers under the Act and acting without legal authority (A-G v Fulham Corporation (1921)). It only has the power under the Act to give grants for the construction of piers in seaside towns. (If impro</w:t>
      </w:r>
      <w:r w:rsidR="00D86E0F">
        <w:rPr>
          <w:color w:val="FF0000"/>
        </w:rPr>
        <w:t>bably it believed that Port Alfred</w:t>
      </w:r>
      <w:r w:rsidRPr="00B63355">
        <w:rPr>
          <w:color w:val="FF0000"/>
        </w:rPr>
        <w:t xml:space="preserve"> was a seaside town, then it would have made a jurisdictional error of fact (above)).</w:t>
      </w:r>
    </w:p>
    <w:p w:rsidR="00D86E0F" w:rsidRDefault="0016036C" w:rsidP="00D86E0F">
      <w:pPr>
        <w:pStyle w:val="NoSpacing"/>
        <w:rPr>
          <w:color w:val="FF0000"/>
        </w:rPr>
      </w:pPr>
      <w:r w:rsidRPr="00B63355">
        <w:rPr>
          <w:color w:val="FF0000"/>
        </w:rPr>
        <w:t xml:space="preserve"> Procedural impropriety Rule against bias</w:t>
      </w:r>
      <w:r w:rsidR="00D86E0F">
        <w:rPr>
          <w:color w:val="FF0000"/>
        </w:rPr>
        <w:t>:</w:t>
      </w:r>
      <w:r w:rsidRPr="00B63355">
        <w:rPr>
          <w:color w:val="FF0000"/>
        </w:rPr>
        <w:t xml:space="preserve"> A decision can be challenged if the decision-maker is biased. In this case, the Commission’s chief executive is a close friend of one of Fairview’s main shareholders. His interest in the matter probably falls short of a direct interest which would automatically disqualify him, as there is no evidence that the chief executive has a financial stake in Rogan (Dimes v Grand Junction Canal (1852)). As his interest falls short of a direct interest, the LTF would argue that it was still sufficient to lead a fair-minded and impartial observer to conclude that there was a ‘real possibility’ that the decision-maker had been biased (Porter v Magill (2002)). On the facts, this is likely to be the case in view of the friendship between the two people. </w:t>
      </w:r>
    </w:p>
    <w:p w:rsidR="0016036C" w:rsidRDefault="0016036C" w:rsidP="00D86E0F">
      <w:pPr>
        <w:pStyle w:val="NoSpacing"/>
        <w:rPr>
          <w:color w:val="FF0000"/>
        </w:rPr>
      </w:pPr>
      <w:r w:rsidRPr="00B63355">
        <w:rPr>
          <w:color w:val="FF0000"/>
        </w:rPr>
        <w:t>Irrationality</w:t>
      </w:r>
      <w:r w:rsidR="00D86E0F">
        <w:rPr>
          <w:color w:val="FF0000"/>
        </w:rPr>
        <w:t>:</w:t>
      </w:r>
      <w:r w:rsidRPr="00B63355">
        <w:rPr>
          <w:color w:val="FF0000"/>
        </w:rPr>
        <w:t xml:space="preserve"> The power to make grants is discretionary but the Commission must act rationally. Having regard to relevant considerations only, its decision may be so unreasonable that no reasonable body could have reached it (Associated Provincial Picture Houses v Wednesbury Corporation (1948)). Although the threshold is high, it could arguably be reached, as making a grant to an inland town cannot conceivably help to revive seaside towns. The decision also seems to be outrageous in its defiance of logic (CCSU). </w:t>
      </w:r>
    </w:p>
    <w:p w:rsidR="00D86E0F" w:rsidRDefault="00D86E0F" w:rsidP="00D86E0F">
      <w:pPr>
        <w:pStyle w:val="NoSpacing"/>
        <w:rPr>
          <w:color w:val="FF0000"/>
        </w:rPr>
      </w:pPr>
    </w:p>
    <w:p w:rsidR="00D86E0F" w:rsidRPr="00D86E0F" w:rsidRDefault="0016036C" w:rsidP="00D86E0F">
      <w:pPr>
        <w:pStyle w:val="NoSpacing"/>
        <w:rPr>
          <w:color w:val="FF0000"/>
          <w:u w:val="single"/>
        </w:rPr>
      </w:pPr>
      <w:r w:rsidRPr="00D86E0F">
        <w:rPr>
          <w:color w:val="FF0000"/>
          <w:u w:val="single"/>
        </w:rPr>
        <w:t xml:space="preserve"> Mayer </w:t>
      </w:r>
    </w:p>
    <w:p w:rsidR="00D86E0F" w:rsidRDefault="0016036C" w:rsidP="00D86E0F">
      <w:pPr>
        <w:pStyle w:val="NoSpacing"/>
        <w:rPr>
          <w:color w:val="FF0000"/>
        </w:rPr>
      </w:pPr>
      <w:r w:rsidRPr="00B63355">
        <w:rPr>
          <w:color w:val="FF0000"/>
        </w:rPr>
        <w:t>Illegality Ulterior purpose</w:t>
      </w:r>
      <w:r w:rsidR="00D86E0F">
        <w:rPr>
          <w:color w:val="FF0000"/>
        </w:rPr>
        <w:t>:</w:t>
      </w:r>
      <w:r w:rsidRPr="00B63355">
        <w:rPr>
          <w:color w:val="FF0000"/>
        </w:rPr>
        <w:t xml:space="preserve"> Public bodies will be acting illegally if they use their powers for an improper or unauthorised purpose (Congreve v Home Office (1976)). The purpose of the Act is the regeneration of economically deprived seaside towns</w:t>
      </w:r>
      <w:r w:rsidR="00D86E0F">
        <w:rPr>
          <w:color w:val="FF0000"/>
        </w:rPr>
        <w:t xml:space="preserve">. </w:t>
      </w:r>
      <w:r w:rsidRPr="00B63355">
        <w:rPr>
          <w:color w:val="FF0000"/>
        </w:rPr>
        <w:t>The Commission’s reasons indicate that the decision also had the purpose of giving preference to small businesses; this seems irrelevant to the purpose of the Act. Accordingly, it seems the Commission had an ulterior motive (Sydney Municipal Council v Campbell (1925)). Alternatively, the Commission may have taken into account an irrelevant consideration by considering the needs of small businesses (</w:t>
      </w:r>
      <w:proofErr w:type="spellStart"/>
      <w:r w:rsidRPr="00B63355">
        <w:rPr>
          <w:color w:val="FF0000"/>
        </w:rPr>
        <w:t>Padfield</w:t>
      </w:r>
      <w:proofErr w:type="spellEnd"/>
      <w:r w:rsidRPr="00B63355">
        <w:rPr>
          <w:color w:val="FF0000"/>
        </w:rPr>
        <w:t xml:space="preserve"> v Minister of Agriculture (1968)).</w:t>
      </w:r>
    </w:p>
    <w:p w:rsidR="0016036C" w:rsidRDefault="0016036C" w:rsidP="00D86E0F">
      <w:pPr>
        <w:pStyle w:val="NoSpacing"/>
        <w:rPr>
          <w:color w:val="FF0000"/>
        </w:rPr>
      </w:pPr>
      <w:r w:rsidRPr="00B63355">
        <w:rPr>
          <w:color w:val="FF0000"/>
        </w:rPr>
        <w:t xml:space="preserve"> Unauthorised delegation</w:t>
      </w:r>
      <w:r w:rsidR="00D86E0F">
        <w:rPr>
          <w:color w:val="FF0000"/>
        </w:rPr>
        <w:t>:</w:t>
      </w:r>
      <w:r w:rsidRPr="00B63355">
        <w:rPr>
          <w:color w:val="FF0000"/>
        </w:rPr>
        <w:t xml:space="preserve"> A discretionary power must normally be exercised by the body to which it has been granted, unless it has been authorised to sub-delegate it. Here the Commission has effectively delegated its discretion to the Secretary of State and this is ultra vires as there is no </w:t>
      </w:r>
      <w:r w:rsidRPr="00B63355">
        <w:rPr>
          <w:color w:val="FF0000"/>
        </w:rPr>
        <w:lastRenderedPageBreak/>
        <w:t xml:space="preserve">statutory authority allowing the Commission to delegate its power in this way. Additionally, if the </w:t>
      </w:r>
      <w:proofErr w:type="gramStart"/>
      <w:r w:rsidRPr="00B63355">
        <w:rPr>
          <w:color w:val="FF0000"/>
        </w:rPr>
        <w:t>person</w:t>
      </w:r>
      <w:proofErr w:type="gramEnd"/>
      <w:r w:rsidRPr="00B63355">
        <w:rPr>
          <w:color w:val="FF0000"/>
        </w:rPr>
        <w:t xml:space="preserve"> or body to which the discretion has been unlawfully delegated purports to exercise it, its decision will also be ultra vires (Lavender v MHLG (1970)).</w:t>
      </w:r>
    </w:p>
    <w:p w:rsidR="00D86E0F" w:rsidRDefault="00D86E0F" w:rsidP="0016036C">
      <w:pPr>
        <w:pStyle w:val="NoSpacing"/>
        <w:ind w:left="1080"/>
        <w:rPr>
          <w:color w:val="FF0000"/>
        </w:rPr>
      </w:pPr>
    </w:p>
    <w:p w:rsidR="00D86E0F" w:rsidRDefault="00D86E0F" w:rsidP="0016036C">
      <w:pPr>
        <w:pStyle w:val="NoSpacing"/>
        <w:ind w:left="1080"/>
        <w:rPr>
          <w:color w:val="FF0000"/>
        </w:rPr>
      </w:pPr>
    </w:p>
    <w:p w:rsidR="00D86E0F" w:rsidRDefault="00D86E0F" w:rsidP="0016036C">
      <w:pPr>
        <w:pStyle w:val="NoSpacing"/>
        <w:ind w:left="1080"/>
        <w:rPr>
          <w:color w:val="FF0000"/>
        </w:rPr>
      </w:pPr>
    </w:p>
    <w:p w:rsidR="0016036C" w:rsidRPr="00D86E0F" w:rsidRDefault="0016036C" w:rsidP="0016036C">
      <w:pPr>
        <w:pStyle w:val="NoSpacing"/>
        <w:ind w:left="1080"/>
        <w:rPr>
          <w:color w:val="FF0000"/>
          <w:u w:val="single"/>
        </w:rPr>
      </w:pPr>
      <w:r w:rsidRPr="00D86E0F">
        <w:rPr>
          <w:color w:val="FF0000"/>
          <w:u w:val="single"/>
        </w:rPr>
        <w:t>Remedy</w:t>
      </w:r>
    </w:p>
    <w:p w:rsidR="0016036C" w:rsidRPr="00B63355" w:rsidRDefault="0016036C" w:rsidP="0016036C">
      <w:pPr>
        <w:pStyle w:val="NoSpacing"/>
        <w:ind w:left="1080"/>
        <w:rPr>
          <w:color w:val="FF0000"/>
        </w:rPr>
      </w:pPr>
      <w:r w:rsidRPr="00B63355">
        <w:rPr>
          <w:color w:val="FF0000"/>
        </w:rPr>
        <w:t xml:space="preserve"> Each claimant should apply for judicial review and a quashing order.</w:t>
      </w:r>
    </w:p>
    <w:p w:rsidR="0016036C" w:rsidRDefault="0016036C" w:rsidP="0016036C">
      <w:pPr>
        <w:pStyle w:val="NoSpacing"/>
        <w:ind w:left="1080"/>
        <w:rPr>
          <w:color w:val="FF0000"/>
        </w:rPr>
      </w:pPr>
    </w:p>
    <w:p w:rsidR="00F96EFD" w:rsidRDefault="00F96EFD"/>
    <w:sectPr w:rsidR="00F96EF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036C" w:rsidRDefault="0016036C" w:rsidP="0016036C">
      <w:pPr>
        <w:spacing w:after="0" w:line="240" w:lineRule="auto"/>
      </w:pPr>
      <w:r>
        <w:separator/>
      </w:r>
    </w:p>
  </w:endnote>
  <w:endnote w:type="continuationSeparator" w:id="0">
    <w:p w:rsidR="0016036C" w:rsidRDefault="0016036C" w:rsidP="00160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036C" w:rsidRDefault="0016036C" w:rsidP="0016036C">
      <w:pPr>
        <w:spacing w:after="0" w:line="240" w:lineRule="auto"/>
      </w:pPr>
      <w:r>
        <w:separator/>
      </w:r>
    </w:p>
  </w:footnote>
  <w:footnote w:type="continuationSeparator" w:id="0">
    <w:p w:rsidR="0016036C" w:rsidRDefault="0016036C" w:rsidP="001603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036C" w:rsidRDefault="0016036C">
    <w:pPr>
      <w:pStyle w:val="Header"/>
    </w:pPr>
    <w:r>
      <w:t>Judicial review problem question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164986"/>
    <w:multiLevelType w:val="hybridMultilevel"/>
    <w:tmpl w:val="9440E476"/>
    <w:lvl w:ilvl="0" w:tplc="443ACC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5B7448"/>
    <w:multiLevelType w:val="hybridMultilevel"/>
    <w:tmpl w:val="0734D06E"/>
    <w:lvl w:ilvl="0" w:tplc="147673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8C71EF"/>
    <w:multiLevelType w:val="hybridMultilevel"/>
    <w:tmpl w:val="DCB4A440"/>
    <w:lvl w:ilvl="0" w:tplc="DAAA2B6A">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36C"/>
    <w:rsid w:val="0016036C"/>
    <w:rsid w:val="00466000"/>
    <w:rsid w:val="00D86E0F"/>
    <w:rsid w:val="00F96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2A1394-2949-408A-90DC-3E1BB4E06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3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036C"/>
    <w:pPr>
      <w:spacing w:after="0" w:line="240" w:lineRule="auto"/>
    </w:pPr>
  </w:style>
  <w:style w:type="paragraph" w:styleId="Header">
    <w:name w:val="header"/>
    <w:basedOn w:val="Normal"/>
    <w:link w:val="HeaderChar"/>
    <w:uiPriority w:val="99"/>
    <w:unhideWhenUsed/>
    <w:rsid w:val="00160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36C"/>
  </w:style>
  <w:style w:type="paragraph" w:styleId="Footer">
    <w:name w:val="footer"/>
    <w:basedOn w:val="Normal"/>
    <w:link w:val="FooterChar"/>
    <w:uiPriority w:val="99"/>
    <w:unhideWhenUsed/>
    <w:rsid w:val="00160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3</cp:revision>
  <dcterms:created xsi:type="dcterms:W3CDTF">2020-11-23T14:59:00Z</dcterms:created>
  <dcterms:modified xsi:type="dcterms:W3CDTF">2020-12-08T09:58:00Z</dcterms:modified>
</cp:coreProperties>
</file>