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1EFC6" w14:textId="77777777" w:rsidR="00D46E6D" w:rsidRPr="009F055A" w:rsidRDefault="00D46E6D" w:rsidP="00D46E6D">
      <w:pPr>
        <w:jc w:val="center"/>
        <w:rPr>
          <w:b/>
          <w:bCs/>
        </w:rPr>
      </w:pPr>
      <w:r w:rsidRPr="009F055A">
        <w:rPr>
          <w:b/>
          <w:bCs/>
        </w:rPr>
        <w:t>Introduction and Rationale</w:t>
      </w:r>
    </w:p>
    <w:p w14:paraId="675860DC" w14:textId="77777777" w:rsidR="00D46E6D" w:rsidRDefault="00D46E6D" w:rsidP="00D46E6D">
      <w:pPr>
        <w:jc w:val="both"/>
        <w:rPr>
          <w:rFonts w:ascii="Calibri" w:hAnsi="Calibri" w:cs="Calibri"/>
          <w:sz w:val="24"/>
          <w:szCs w:val="24"/>
        </w:rPr>
      </w:pPr>
      <w:r w:rsidRPr="003F2AAE">
        <w:rPr>
          <w:rFonts w:ascii="Calibri" w:hAnsi="Calibri" w:cs="Calibri"/>
          <w:sz w:val="24"/>
          <w:szCs w:val="24"/>
        </w:rPr>
        <w:t xml:space="preserve">This research seeks to explore the role that secondary schools in Wales play in shaping the career aspirations of teenagers, with </w:t>
      </w:r>
      <w:r>
        <w:rPr>
          <w:rFonts w:ascii="Calibri" w:hAnsi="Calibri" w:cs="Calibri"/>
          <w:sz w:val="24"/>
          <w:szCs w:val="24"/>
        </w:rPr>
        <w:t xml:space="preserve">a </w:t>
      </w:r>
      <w:r w:rsidRPr="003F2AAE">
        <w:rPr>
          <w:rFonts w:ascii="Calibri" w:hAnsi="Calibri" w:cs="Calibri"/>
          <w:sz w:val="24"/>
          <w:szCs w:val="24"/>
        </w:rPr>
        <w:t xml:space="preserve">particular </w:t>
      </w:r>
      <w:r>
        <w:rPr>
          <w:rFonts w:ascii="Calibri" w:hAnsi="Calibri" w:cs="Calibri"/>
          <w:sz w:val="24"/>
          <w:szCs w:val="24"/>
        </w:rPr>
        <w:t>focus on</w:t>
      </w:r>
      <w:r w:rsidRPr="003F2AAE">
        <w:rPr>
          <w:rFonts w:ascii="Calibri" w:hAnsi="Calibri" w:cs="Calibri"/>
          <w:sz w:val="24"/>
          <w:szCs w:val="24"/>
        </w:rPr>
        <w:t xml:space="preserve"> educational environments and institutional practices.</w:t>
      </w:r>
    </w:p>
    <w:p w14:paraId="4488C145" w14:textId="77777777" w:rsidR="00D46E6D" w:rsidRPr="00BE00C3" w:rsidRDefault="00D46E6D" w:rsidP="00D46E6D">
      <w:pPr>
        <w:jc w:val="both"/>
        <w:rPr>
          <w:rFonts w:ascii="Calibri" w:hAnsi="Calibri" w:cs="Calibri"/>
          <w:sz w:val="24"/>
          <w:szCs w:val="24"/>
        </w:rPr>
      </w:pPr>
      <w:r w:rsidRPr="00BE00C3">
        <w:rPr>
          <w:rFonts w:ascii="Calibri" w:hAnsi="Calibri" w:cs="Calibri"/>
          <w:sz w:val="24"/>
          <w:szCs w:val="24"/>
        </w:rPr>
        <w:t xml:space="preserve">Research shows that how teenagers perceive their futures significantly influences their engagement with education, motivation to pursue </w:t>
      </w:r>
      <w:proofErr w:type="gramStart"/>
      <w:r w:rsidRPr="00BE00C3">
        <w:rPr>
          <w:rFonts w:ascii="Calibri" w:hAnsi="Calibri" w:cs="Calibri"/>
          <w:sz w:val="24"/>
          <w:szCs w:val="24"/>
        </w:rPr>
        <w:t>particular pathways</w:t>
      </w:r>
      <w:proofErr w:type="gramEnd"/>
      <w:r w:rsidRPr="00BE00C3">
        <w:rPr>
          <w:rFonts w:ascii="Calibri" w:hAnsi="Calibri" w:cs="Calibri"/>
          <w:sz w:val="24"/>
          <w:szCs w:val="24"/>
        </w:rPr>
        <w:t>, and eventual access to meaningful and sustainable employment (Ashby and Schoon, 2010). Understanding how these perceptions are formed is therefore crucial</w:t>
      </w:r>
      <w:r>
        <w:rPr>
          <w:rFonts w:ascii="Calibri" w:hAnsi="Calibri" w:cs="Calibri"/>
          <w:sz w:val="24"/>
          <w:szCs w:val="24"/>
        </w:rPr>
        <w:t xml:space="preserve">, </w:t>
      </w:r>
      <w:r w:rsidRPr="00BE00C3">
        <w:rPr>
          <w:rFonts w:ascii="Calibri" w:hAnsi="Calibri" w:cs="Calibri"/>
          <w:sz w:val="24"/>
          <w:szCs w:val="24"/>
        </w:rPr>
        <w:t>not only for supporting individual career development</w:t>
      </w:r>
      <w:r>
        <w:rPr>
          <w:rFonts w:ascii="Calibri" w:hAnsi="Calibri" w:cs="Calibri"/>
          <w:sz w:val="24"/>
          <w:szCs w:val="24"/>
        </w:rPr>
        <w:t>,</w:t>
      </w:r>
      <w:r w:rsidRPr="00BE00C3">
        <w:rPr>
          <w:rFonts w:ascii="Calibri" w:hAnsi="Calibri" w:cs="Calibri"/>
          <w:sz w:val="24"/>
          <w:szCs w:val="24"/>
        </w:rPr>
        <w:t xml:space="preserve"> but also for promoting broader goals of social mobility and equity (Hughes et al., 2016).</w:t>
      </w:r>
    </w:p>
    <w:p w14:paraId="4D6B5CBE" w14:textId="77777777" w:rsidR="00D46E6D" w:rsidRPr="00ED0ED3" w:rsidRDefault="00D46E6D" w:rsidP="00D46E6D">
      <w:pPr>
        <w:jc w:val="both"/>
        <w:rPr>
          <w:rFonts w:ascii="Calibri" w:hAnsi="Calibri" w:cs="Calibri"/>
          <w:sz w:val="24"/>
          <w:szCs w:val="24"/>
        </w:rPr>
      </w:pPr>
      <w:r w:rsidRPr="00ED0ED3">
        <w:rPr>
          <w:rFonts w:ascii="Calibri" w:hAnsi="Calibri" w:cs="Calibri"/>
          <w:sz w:val="24"/>
          <w:szCs w:val="24"/>
        </w:rPr>
        <w:t>In the post-COVID-19 context, secondary schools in Wales face additional challenges, including rising absenteeism, increased exclusions, and widening gaps in core skills (</w:t>
      </w:r>
      <w:r w:rsidRPr="00EA4D28">
        <w:rPr>
          <w:rFonts w:ascii="Calibri" w:hAnsi="Calibri" w:cs="Calibri"/>
          <w:sz w:val="24"/>
          <w:szCs w:val="24"/>
        </w:rPr>
        <w:t>Institute for Fiscal Studies</w:t>
      </w:r>
      <w:r>
        <w:rPr>
          <w:rFonts w:ascii="Calibri" w:hAnsi="Calibri" w:cs="Calibri"/>
          <w:sz w:val="24"/>
          <w:szCs w:val="24"/>
        </w:rPr>
        <w:t xml:space="preserve"> (IFS), 2024</w:t>
      </w:r>
      <w:r w:rsidRPr="00ED0ED3">
        <w:rPr>
          <w:rFonts w:ascii="Calibri" w:hAnsi="Calibri" w:cs="Calibri"/>
          <w:sz w:val="24"/>
          <w:szCs w:val="24"/>
        </w:rPr>
        <w:t>). These factors are closely linked to reduced aspirations (Scott et al., 2013) and a heightened risk of young people becoming classified as “Not in Education, Employment or Training (NEET)” (</w:t>
      </w:r>
      <w:r>
        <w:rPr>
          <w:rFonts w:ascii="Calibri" w:hAnsi="Calibri" w:cs="Calibri"/>
          <w:sz w:val="24"/>
          <w:szCs w:val="24"/>
        </w:rPr>
        <w:t>Furlong, 2006</w:t>
      </w:r>
      <w:r w:rsidRPr="00ED0ED3">
        <w:rPr>
          <w:rFonts w:ascii="Calibri" w:hAnsi="Calibri" w:cs="Calibri"/>
          <w:sz w:val="24"/>
          <w:szCs w:val="24"/>
        </w:rPr>
        <w:t>). NEET status, in turn, is associated with a range of long-term negative outcomes, including poor mental health (Vogel, 2015), criminal involvement (Staff &amp; Kreager, 2008), and higher mortality rates (World Health Organisation, 2012).</w:t>
      </w:r>
    </w:p>
    <w:p w14:paraId="2AD1B559" w14:textId="77777777" w:rsidR="00D46E6D" w:rsidRPr="00ED0ED3" w:rsidRDefault="00D46E6D" w:rsidP="00D46E6D">
      <w:pPr>
        <w:jc w:val="both"/>
        <w:rPr>
          <w:rFonts w:ascii="Calibri" w:hAnsi="Calibri" w:cs="Calibri"/>
          <w:sz w:val="24"/>
          <w:szCs w:val="24"/>
        </w:rPr>
      </w:pPr>
      <w:r w:rsidRPr="00ED0ED3">
        <w:rPr>
          <w:rFonts w:ascii="Calibri" w:hAnsi="Calibri" w:cs="Calibri"/>
          <w:sz w:val="24"/>
          <w:szCs w:val="24"/>
        </w:rPr>
        <w:t>In response, the Welsh Government has implemented various policy measures aimed at raising aspirations</w:t>
      </w:r>
      <w:r>
        <w:rPr>
          <w:rFonts w:ascii="Calibri" w:hAnsi="Calibri" w:cs="Calibri"/>
          <w:sz w:val="24"/>
          <w:szCs w:val="24"/>
        </w:rPr>
        <w:t xml:space="preserve">, </w:t>
      </w:r>
      <w:r w:rsidRPr="00ED0ED3">
        <w:rPr>
          <w:rFonts w:ascii="Calibri" w:hAnsi="Calibri" w:cs="Calibri"/>
          <w:sz w:val="24"/>
          <w:szCs w:val="24"/>
        </w:rPr>
        <w:t>particularly among disadvantaged youth (W</w:t>
      </w:r>
      <w:r>
        <w:rPr>
          <w:rFonts w:ascii="Calibri" w:hAnsi="Calibri" w:cs="Calibri"/>
          <w:sz w:val="24"/>
          <w:szCs w:val="24"/>
        </w:rPr>
        <w:t>elsh Government</w:t>
      </w:r>
      <w:r w:rsidRPr="00ED0ED3">
        <w:rPr>
          <w:rFonts w:ascii="Calibri" w:hAnsi="Calibri" w:cs="Calibri"/>
          <w:sz w:val="24"/>
          <w:szCs w:val="24"/>
        </w:rPr>
        <w:t xml:space="preserve">, 2023). A </w:t>
      </w:r>
      <w:r>
        <w:rPr>
          <w:rFonts w:ascii="Calibri" w:hAnsi="Calibri" w:cs="Calibri"/>
          <w:sz w:val="24"/>
          <w:szCs w:val="24"/>
        </w:rPr>
        <w:t>significant</w:t>
      </w:r>
      <w:r w:rsidRPr="00ED0ED3">
        <w:rPr>
          <w:rFonts w:ascii="Calibri" w:hAnsi="Calibri" w:cs="Calibri"/>
          <w:sz w:val="24"/>
          <w:szCs w:val="24"/>
        </w:rPr>
        <w:t xml:space="preserve"> development is the Curriculum for Wales (2022), which replaces the National Curriculum (1988) and mandates the inclusion of Careers and Work-related Education for learners aged 3–16. This policy aims to better equip students for the demands of an evolving labour market (W</w:t>
      </w:r>
      <w:r>
        <w:rPr>
          <w:rFonts w:ascii="Calibri" w:hAnsi="Calibri" w:cs="Calibri"/>
          <w:sz w:val="24"/>
          <w:szCs w:val="24"/>
        </w:rPr>
        <w:t>elsh Government</w:t>
      </w:r>
      <w:r w:rsidRPr="00ED0ED3">
        <w:rPr>
          <w:rFonts w:ascii="Calibri" w:hAnsi="Calibri" w:cs="Calibri"/>
          <w:sz w:val="24"/>
          <w:szCs w:val="24"/>
        </w:rPr>
        <w:t>, 2024).</w:t>
      </w:r>
    </w:p>
    <w:p w14:paraId="4A26E662" w14:textId="77777777" w:rsidR="00D46E6D" w:rsidRPr="00ED0ED3" w:rsidRDefault="00D46E6D" w:rsidP="00D46E6D">
      <w:pPr>
        <w:jc w:val="both"/>
        <w:rPr>
          <w:rFonts w:ascii="Calibri" w:hAnsi="Calibri" w:cs="Calibri"/>
          <w:sz w:val="24"/>
          <w:szCs w:val="24"/>
        </w:rPr>
      </w:pPr>
      <w:r w:rsidRPr="00ED0ED3">
        <w:rPr>
          <w:rFonts w:ascii="Calibri" w:hAnsi="Calibri" w:cs="Calibri"/>
          <w:sz w:val="24"/>
          <w:szCs w:val="24"/>
        </w:rPr>
        <w:t>More broadly, education is increasingly recognised as a foundation for promoting ambition and addressing both local and global challenges (Donaldson, 2015). Given that future careers are expected to span several decades</w:t>
      </w:r>
      <w:r>
        <w:rPr>
          <w:rFonts w:ascii="Calibri" w:hAnsi="Calibri" w:cs="Calibri"/>
          <w:sz w:val="24"/>
          <w:szCs w:val="24"/>
        </w:rPr>
        <w:t>,</w:t>
      </w:r>
      <w:r w:rsidRPr="00ED0ED3">
        <w:rPr>
          <w:rFonts w:ascii="Calibri" w:hAnsi="Calibri" w:cs="Calibri"/>
          <w:sz w:val="24"/>
          <w:szCs w:val="24"/>
        </w:rPr>
        <w:t xml:space="preserve"> </w:t>
      </w:r>
      <w:r w:rsidRPr="00DE2A73">
        <w:rPr>
          <w:rFonts w:ascii="Calibri" w:hAnsi="Calibri" w:cs="Calibri"/>
          <w:sz w:val="24"/>
          <w:szCs w:val="24"/>
        </w:rPr>
        <w:t>in response to shifting population trends and economic developments</w:t>
      </w:r>
      <w:r w:rsidRPr="00ED0ED3">
        <w:rPr>
          <w:rFonts w:ascii="Calibri" w:hAnsi="Calibri" w:cs="Calibri"/>
          <w:sz w:val="24"/>
          <w:szCs w:val="24"/>
        </w:rPr>
        <w:t xml:space="preserve"> (</w:t>
      </w:r>
      <w:r>
        <w:rPr>
          <w:rFonts w:ascii="Calibri" w:hAnsi="Calibri" w:cs="Calibri"/>
          <w:sz w:val="24"/>
          <w:szCs w:val="24"/>
        </w:rPr>
        <w:t>IFS, 2023</w:t>
      </w:r>
      <w:r w:rsidRPr="00ED0ED3">
        <w:rPr>
          <w:rFonts w:ascii="Calibri" w:hAnsi="Calibri" w:cs="Calibri"/>
          <w:sz w:val="24"/>
          <w:szCs w:val="24"/>
        </w:rPr>
        <w:t>), it is critical that young people are prepared not just for work, but for fulfilling and sustainable employment. Schools are uniquely positioned to support this development, making their role in shaping aspirations a matter of both national and international concern.</w:t>
      </w:r>
    </w:p>
    <w:p w14:paraId="1D3F98CD" w14:textId="1D3152AF" w:rsidR="00D46E6D" w:rsidRDefault="00D46E6D" w:rsidP="00D46E6D">
      <w:pPr>
        <w:jc w:val="center"/>
        <w:rPr>
          <w:b/>
          <w:bCs/>
        </w:rPr>
      </w:pPr>
      <w:r w:rsidRPr="0037650E">
        <w:rPr>
          <w:b/>
          <w:bCs/>
        </w:rPr>
        <w:t>Literature Review</w:t>
      </w:r>
    </w:p>
    <w:p w14:paraId="2BD5B003" w14:textId="77777777" w:rsidR="00D46E6D" w:rsidRPr="0037650E" w:rsidRDefault="00D46E6D" w:rsidP="00D46E6D">
      <w:pPr>
        <w:jc w:val="both"/>
      </w:pPr>
      <w:r>
        <w:t>It is asserted that t</w:t>
      </w:r>
      <w:r w:rsidRPr="0037650E">
        <w:t>eenage aspirations play a fundamental role in shaping future educational and occupational outcomes</w:t>
      </w:r>
      <w:r>
        <w:t xml:space="preserve"> (</w:t>
      </w:r>
      <w:r w:rsidRPr="00907B87">
        <w:t>Ashby and Schoon, 2010</w:t>
      </w:r>
      <w:r>
        <w:t>)</w:t>
      </w:r>
      <w:r w:rsidRPr="0037650E">
        <w:t>, yet they remain a complex and sometimes misunderstood element of youth development</w:t>
      </w:r>
      <w:r w:rsidRPr="003837AE">
        <w:t xml:space="preserve"> </w:t>
      </w:r>
      <w:r>
        <w:t>(</w:t>
      </w:r>
      <w:r w:rsidRPr="00907B87">
        <w:t>St Clair et al. 2011</w:t>
      </w:r>
      <w:r w:rsidRPr="003837AE">
        <w:t>)</w:t>
      </w:r>
      <w:r w:rsidRPr="0037650E">
        <w:t xml:space="preserve">. Within the context of secondary education, </w:t>
      </w:r>
      <w:r>
        <w:t xml:space="preserve">it has been acknowledged that </w:t>
      </w:r>
      <w:r w:rsidRPr="0037650E">
        <w:t>aspirations are not only indicative of personal ambition</w:t>
      </w:r>
      <w:r>
        <w:t xml:space="preserve"> </w:t>
      </w:r>
      <w:r w:rsidRPr="0037650E">
        <w:t>but also serve as a critical lens through which broader socio-economic and educational structures can be examined</w:t>
      </w:r>
      <w:r>
        <w:t xml:space="preserve"> (</w:t>
      </w:r>
      <w:r w:rsidRPr="00907B87">
        <w:t>Hughes, et al., 2016</w:t>
      </w:r>
      <w:r>
        <w:t>)</w:t>
      </w:r>
      <w:r w:rsidRPr="0037650E">
        <w:t xml:space="preserve">. </w:t>
      </w:r>
    </w:p>
    <w:p w14:paraId="3FCE3E21" w14:textId="77777777" w:rsidR="00D46E6D" w:rsidRPr="0037650E" w:rsidRDefault="00D46E6D" w:rsidP="00D46E6D">
      <w:pPr>
        <w:jc w:val="both"/>
      </w:pPr>
      <w:r>
        <w:t>It is widely recognised that Aspiration is a complex and multifaceted concept (</w:t>
      </w:r>
      <w:r w:rsidRPr="00217160">
        <w:t>St Clair et al. 2011</w:t>
      </w:r>
      <w:r>
        <w:t xml:space="preserve">), </w:t>
      </w:r>
      <w:r w:rsidRPr="0037650E">
        <w:t>with</w:t>
      </w:r>
      <w:r>
        <w:t xml:space="preserve"> an</w:t>
      </w:r>
      <w:r w:rsidRPr="0037650E">
        <w:t xml:space="preserve"> important distinction</w:t>
      </w:r>
      <w:r>
        <w:t xml:space="preserve"> made</w:t>
      </w:r>
      <w:r w:rsidRPr="0037650E">
        <w:t xml:space="preserve"> between the goals young people hold and the extent to which they believe these are attainable (</w:t>
      </w:r>
      <w:r w:rsidRPr="00217160">
        <w:t>Croll, 2008</w:t>
      </w:r>
      <w:r w:rsidRPr="0037650E">
        <w:t xml:space="preserve">). </w:t>
      </w:r>
      <w:r>
        <w:t>It is proposed that a</w:t>
      </w:r>
      <w:r w:rsidRPr="0037650E">
        <w:t xml:space="preserve">spirations can begin to form in early childhood, evolving </w:t>
      </w:r>
      <w:r>
        <w:t>as</w:t>
      </w:r>
      <w:r w:rsidRPr="0037650E">
        <w:t xml:space="preserve"> a young person </w:t>
      </w:r>
      <w:r>
        <w:t>develops their</w:t>
      </w:r>
      <w:r w:rsidRPr="0037650E">
        <w:t xml:space="preserve"> understanding of the world and their </w:t>
      </w:r>
      <w:r w:rsidRPr="0037650E">
        <w:lastRenderedPageBreak/>
        <w:t>place within it (</w:t>
      </w:r>
      <w:r w:rsidRPr="00217160">
        <w:t>Vondracek et al., 2019</w:t>
      </w:r>
      <w:r w:rsidRPr="0037650E">
        <w:t xml:space="preserve">). However, </w:t>
      </w:r>
      <w:r>
        <w:t xml:space="preserve">research indicates that these </w:t>
      </w:r>
      <w:r w:rsidRPr="0037650E">
        <w:t>aspirations are susceptible to change, particularly during adolescence, as young people engage with new experiences and social contexts (</w:t>
      </w:r>
      <w:r w:rsidRPr="00217160">
        <w:t>Schoon et al., 2010</w:t>
      </w:r>
      <w:r w:rsidRPr="0037650E">
        <w:t>).</w:t>
      </w:r>
    </w:p>
    <w:p w14:paraId="66324610" w14:textId="1E03F07C" w:rsidR="00D46E6D" w:rsidRPr="0037650E" w:rsidRDefault="00D46E6D" w:rsidP="00D46E6D">
      <w:pPr>
        <w:rPr>
          <w:b/>
          <w:bCs/>
        </w:rPr>
      </w:pPr>
      <w:r>
        <w:rPr>
          <w:b/>
          <w:bCs/>
        </w:rPr>
        <w:t xml:space="preserve">Factors that </w:t>
      </w:r>
      <w:r w:rsidRPr="0037650E">
        <w:rPr>
          <w:b/>
          <w:bCs/>
        </w:rPr>
        <w:t>Influence Teenage Aspirations</w:t>
      </w:r>
    </w:p>
    <w:p w14:paraId="31B6B7FE" w14:textId="77777777" w:rsidR="00D46E6D" w:rsidRPr="00101989" w:rsidRDefault="00D46E6D" w:rsidP="00D46E6D">
      <w:pPr>
        <w:jc w:val="both"/>
        <w:rPr>
          <w:b/>
          <w:bCs/>
          <w:color w:val="FF0000"/>
        </w:rPr>
      </w:pPr>
      <w:r>
        <w:t xml:space="preserve">Numerous </w:t>
      </w:r>
      <w:r w:rsidRPr="0037650E">
        <w:t xml:space="preserve">studies have </w:t>
      </w:r>
      <w:r>
        <w:t>highlighted</w:t>
      </w:r>
      <w:r w:rsidRPr="0037650E">
        <w:t xml:space="preserve"> the varied </w:t>
      </w:r>
      <w:r>
        <w:t>influences on teenage</w:t>
      </w:r>
      <w:r w:rsidRPr="0037650E">
        <w:t xml:space="preserve"> aspirations</w:t>
      </w:r>
      <w:r>
        <w:t xml:space="preserve">. </w:t>
      </w:r>
      <w:r w:rsidRPr="0037650E">
        <w:t>These include family expectations (</w:t>
      </w:r>
      <w:r w:rsidRPr="008F3DB2">
        <w:t>Damon, 2009</w:t>
      </w:r>
      <w:r w:rsidRPr="0037650E">
        <w:t>), role models (</w:t>
      </w:r>
      <w:proofErr w:type="spellStart"/>
      <w:r w:rsidRPr="008F3DB2">
        <w:t>Chlosta</w:t>
      </w:r>
      <w:proofErr w:type="spellEnd"/>
      <w:r w:rsidRPr="008F3DB2">
        <w:t xml:space="preserve"> et al., 2012</w:t>
      </w:r>
      <w:r w:rsidRPr="0037650E">
        <w:t>), peer relationships (</w:t>
      </w:r>
      <w:r w:rsidRPr="008F3DB2">
        <w:t>Cheryan et al., 2015</w:t>
      </w:r>
      <w:r w:rsidRPr="0037650E">
        <w:t xml:space="preserve">), and </w:t>
      </w:r>
      <w:r>
        <w:t xml:space="preserve">direct </w:t>
      </w:r>
      <w:r w:rsidRPr="0037650E">
        <w:t>educational experiences (</w:t>
      </w:r>
      <w:bookmarkStart w:id="0" w:name="_Hlk195453798"/>
      <w:r w:rsidRPr="008F3DB2">
        <w:t>Ashby and Schoon, 2010; Hughes et al., 2016</w:t>
      </w:r>
      <w:r w:rsidRPr="0037650E">
        <w:t xml:space="preserve">). </w:t>
      </w:r>
      <w:bookmarkEnd w:id="0"/>
      <w:r w:rsidRPr="0037650E">
        <w:t xml:space="preserve">Socio-economic status is </w:t>
      </w:r>
      <w:r>
        <w:t xml:space="preserve">considered </w:t>
      </w:r>
      <w:r w:rsidRPr="0037650E">
        <w:t>a particularly strong determinant, affecting both the nature of young people’s goals and their beliefs about attainability (</w:t>
      </w:r>
      <w:r w:rsidRPr="008F3DB2">
        <w:t>Scott, et al, 2013</w:t>
      </w:r>
      <w:r w:rsidRPr="0037650E">
        <w:t>). Contrary to</w:t>
      </w:r>
      <w:r>
        <w:t xml:space="preserve"> traditional</w:t>
      </w:r>
      <w:r w:rsidRPr="0037650E">
        <w:t xml:space="preserve"> deficit-oriented assumptions</w:t>
      </w:r>
      <w:r>
        <w:t xml:space="preserve"> (</w:t>
      </w:r>
      <w:r w:rsidRPr="008F3DB2">
        <w:t>Keniston, 1965</w:t>
      </w:r>
      <w:r>
        <w:t>)</w:t>
      </w:r>
      <w:r w:rsidRPr="0037650E">
        <w:t xml:space="preserve">, research has shown that </w:t>
      </w:r>
      <w:r>
        <w:t>teenagers, including those from disadvantaged backgrounds</w:t>
      </w:r>
      <w:r w:rsidRPr="0037650E">
        <w:t xml:space="preserve"> hold high aspirations</w:t>
      </w:r>
      <w:r>
        <w:t xml:space="preserve"> for themselves (</w:t>
      </w:r>
      <w:proofErr w:type="spellStart"/>
      <w:r w:rsidRPr="008F3DB2">
        <w:rPr>
          <w:sz w:val="24"/>
          <w:szCs w:val="24"/>
        </w:rPr>
        <w:t>Kintrea</w:t>
      </w:r>
      <w:proofErr w:type="spellEnd"/>
      <w:r w:rsidRPr="008F3DB2">
        <w:rPr>
          <w:sz w:val="24"/>
          <w:szCs w:val="24"/>
        </w:rPr>
        <w:t>, et al., 2011)</w:t>
      </w:r>
      <w:r w:rsidRPr="008F3DB2">
        <w:t xml:space="preserve">, </w:t>
      </w:r>
      <w:r>
        <w:t>although it is acknowledged that</w:t>
      </w:r>
      <w:r w:rsidRPr="0037650E">
        <w:t xml:space="preserve"> their ability to pursue them may be hindered by systemic barriers and negative experiences (</w:t>
      </w:r>
      <w:r w:rsidRPr="008F3DB2">
        <w:t>Goodman and Gregg, 2010</w:t>
      </w:r>
      <w:r w:rsidRPr="0037650E">
        <w:t xml:space="preserve">). Consequently, </w:t>
      </w:r>
      <w:r>
        <w:t xml:space="preserve">it is argued that </w:t>
      </w:r>
      <w:r w:rsidRPr="0037650E">
        <w:t>the career choices young people make may not always accurately reflect their true aspirations (</w:t>
      </w:r>
      <w:r w:rsidRPr="008F3DB2">
        <w:t>Carter-Wall and Whitfield, 2012</w:t>
      </w:r>
      <w:r w:rsidRPr="0037650E">
        <w:t>).</w:t>
      </w:r>
    </w:p>
    <w:p w14:paraId="49BD5F7E" w14:textId="77777777" w:rsidR="00D46E6D" w:rsidRPr="0037650E" w:rsidRDefault="00D46E6D" w:rsidP="00D46E6D">
      <w:pPr>
        <w:rPr>
          <w:b/>
          <w:bCs/>
        </w:rPr>
      </w:pPr>
      <w:r w:rsidRPr="0037650E">
        <w:rPr>
          <w:b/>
          <w:bCs/>
        </w:rPr>
        <w:t>The Role of Education and Theoretical Perspectives</w:t>
      </w:r>
    </w:p>
    <w:p w14:paraId="010544E9" w14:textId="77777777" w:rsidR="00D46E6D" w:rsidRPr="0037650E" w:rsidRDefault="00D46E6D" w:rsidP="00D46E6D">
      <w:pPr>
        <w:jc w:val="both"/>
      </w:pPr>
      <w:r w:rsidRPr="00AD419F">
        <w:t>Education is often regarded as a significant factor in both the formation and realisation of teenage aspirations (</w:t>
      </w:r>
      <w:r w:rsidRPr="00A3161C">
        <w:t>Damon, 2009; Hughes, et al., 2016</w:t>
      </w:r>
      <w:r w:rsidRPr="00AD419F">
        <w:t>). The topic of teenage aspirations speaks to the very purpose of education itself. Historically, education has been understood through many lenses</w:t>
      </w:r>
      <w:r>
        <w:t>.</w:t>
      </w:r>
      <w:r w:rsidRPr="00AD419F">
        <w:t xml:space="preserve"> From the standpoint of Human Capital Theory (</w:t>
      </w:r>
      <w:r w:rsidRPr="00A3161C">
        <w:t>Becker, 1964</w:t>
      </w:r>
      <w:r w:rsidRPr="00AD419F">
        <w:t xml:space="preserve">), education serves as an investment in future economic productivity. In contrast, critical and progressive educational theorists (e.g., </w:t>
      </w:r>
      <w:r w:rsidRPr="00A3161C">
        <w:t>Freire, 1968; Dewey, 1916; Wagner, 2008</w:t>
      </w:r>
      <w:r w:rsidRPr="00AD419F">
        <w:t xml:space="preserve">) </w:t>
      </w:r>
      <w:r>
        <w:t xml:space="preserve">have </w:t>
      </w:r>
      <w:r w:rsidRPr="00AD419F">
        <w:t>argue</w:t>
      </w:r>
      <w:r>
        <w:t>d</w:t>
      </w:r>
      <w:r w:rsidRPr="00AD419F">
        <w:t xml:space="preserve"> that education should promote personal fulfilment, social justice, and </w:t>
      </w:r>
      <w:r>
        <w:t>citizenship</w:t>
      </w:r>
      <w:r w:rsidRPr="00AD419F">
        <w:t>.</w:t>
      </w:r>
      <w:r>
        <w:t xml:space="preserve"> </w:t>
      </w:r>
      <w:r w:rsidRPr="0037650E">
        <w:t>These broader interpretations align with more holistic understandings of aspiration, which see career goals not as isolated outcomes, but as reflections of self-concept and social opportunity</w:t>
      </w:r>
      <w:r>
        <w:t xml:space="preserve"> (</w:t>
      </w:r>
      <w:proofErr w:type="spellStart"/>
      <w:r w:rsidRPr="00A3161C">
        <w:t>Kintrea</w:t>
      </w:r>
      <w:proofErr w:type="spellEnd"/>
      <w:r w:rsidRPr="00A3161C">
        <w:t>, 2011</w:t>
      </w:r>
      <w:r>
        <w:t>)</w:t>
      </w:r>
      <w:r w:rsidRPr="0037650E">
        <w:t xml:space="preserve">. Hughes et al. (2016) emphasise the crucial role schools play in this process, through curriculum, guidance, and mentoring. However, </w:t>
      </w:r>
      <w:r w:rsidRPr="00A3161C">
        <w:t xml:space="preserve">some scholars argue </w:t>
      </w:r>
      <w:r w:rsidRPr="0037650E">
        <w:t xml:space="preserve">that education systems </w:t>
      </w:r>
      <w:r>
        <w:t>have the potential to</w:t>
      </w:r>
      <w:r w:rsidRPr="0037650E">
        <w:t xml:space="preserve"> reinforce existing inequalities if they fail to address the real barriers facing students (</w:t>
      </w:r>
      <w:r w:rsidRPr="00A3161C">
        <w:t>Damon, 2009</w:t>
      </w:r>
      <w:r w:rsidRPr="0037650E">
        <w:t>).</w:t>
      </w:r>
    </w:p>
    <w:p w14:paraId="423153D8" w14:textId="77777777" w:rsidR="00D46E6D" w:rsidRDefault="00D46E6D" w:rsidP="00D46E6D">
      <w:pPr>
        <w:jc w:val="both"/>
      </w:pPr>
      <w:r>
        <w:t>It is asserted that, in general, t</w:t>
      </w:r>
      <w:r w:rsidRPr="0037650E">
        <w:t xml:space="preserve">wo main frameworks dominate </w:t>
      </w:r>
      <w:r>
        <w:t>educational</w:t>
      </w:r>
      <w:r w:rsidRPr="0037650E">
        <w:t xml:space="preserve"> policy discourse: the deficit model and the growth (or asset-based) model (</w:t>
      </w:r>
      <w:r w:rsidRPr="0037677B">
        <w:t>Webster-Stratton et al., 2008</w:t>
      </w:r>
      <w:r w:rsidRPr="0037650E">
        <w:t>). The deficit model assumes that low aspirations among disadvantaged youth reflect a lack of motivation, leading to interventions that often miss the root causes of underachievement (</w:t>
      </w:r>
      <w:r w:rsidRPr="00042715">
        <w:t>Valencia, 2010</w:t>
      </w:r>
      <w:r w:rsidRPr="0037650E">
        <w:t xml:space="preserve">). In contrast, the growth model maintains that all young people </w:t>
      </w:r>
      <w:r>
        <w:t>are aspirational</w:t>
      </w:r>
      <w:r w:rsidRPr="0037650E">
        <w:t>, but that structural barriers often prevent these from being realised (</w:t>
      </w:r>
      <w:r w:rsidRPr="00042715">
        <w:t>Burgess, 2019</w:t>
      </w:r>
      <w:r w:rsidRPr="0037650E">
        <w:t>). The latter approach is more consistent with recent educational thinking in Wales</w:t>
      </w:r>
      <w:r>
        <w:t xml:space="preserve"> (</w:t>
      </w:r>
      <w:r w:rsidRPr="00042715">
        <w:t>Moore, 2021</w:t>
      </w:r>
      <w:r>
        <w:t>)</w:t>
      </w:r>
      <w:r w:rsidRPr="0037650E">
        <w:t>.</w:t>
      </w:r>
    </w:p>
    <w:p w14:paraId="796A5DF5" w14:textId="77777777" w:rsidR="00D46E6D" w:rsidRPr="0037650E" w:rsidRDefault="00D46E6D" w:rsidP="00D46E6D">
      <w:pPr>
        <w:rPr>
          <w:b/>
          <w:bCs/>
        </w:rPr>
      </w:pPr>
      <w:r w:rsidRPr="0037650E">
        <w:rPr>
          <w:b/>
          <w:bCs/>
        </w:rPr>
        <w:t>Policy Context and the Curriculum for Wales</w:t>
      </w:r>
    </w:p>
    <w:p w14:paraId="00A3792B" w14:textId="77777777" w:rsidR="00D46E6D" w:rsidRPr="0037650E" w:rsidRDefault="00D46E6D" w:rsidP="00D46E6D">
      <w:pPr>
        <w:jc w:val="both"/>
      </w:pPr>
      <w:r w:rsidRPr="0037650E">
        <w:t xml:space="preserve">The </w:t>
      </w:r>
      <w:r w:rsidRPr="0037677B">
        <w:t xml:space="preserve">Curriculum for Wales (2022) </w:t>
      </w:r>
      <w:r w:rsidRPr="0037650E">
        <w:t>explicitly recognises the role of aspiration in promoting both individual and national prosperity</w:t>
      </w:r>
      <w:r>
        <w:t xml:space="preserve"> </w:t>
      </w:r>
      <w:r w:rsidRPr="00F24BD2">
        <w:t>(</w:t>
      </w:r>
      <w:r w:rsidRPr="00D34038">
        <w:t>Welsh Government</w:t>
      </w:r>
      <w:r w:rsidRPr="00F24BD2">
        <w:t xml:space="preserve">, 2023). </w:t>
      </w:r>
      <w:r>
        <w:t>Replacing the National Curriculum (1988) in Wales, the new purpose-driven curriculum</w:t>
      </w:r>
      <w:r w:rsidRPr="0037650E">
        <w:t xml:space="preserve"> seeks to create learners who are "ambitious, capable" and well-prepared for life and work</w:t>
      </w:r>
      <w:r>
        <w:t xml:space="preserve"> (</w:t>
      </w:r>
      <w:r w:rsidRPr="00F24BD2">
        <w:t>Donaldson, 2015</w:t>
      </w:r>
      <w:r>
        <w:t>)</w:t>
      </w:r>
      <w:r w:rsidRPr="0037650E">
        <w:t xml:space="preserve">, aligning with the growth model </w:t>
      </w:r>
      <w:r>
        <w:t xml:space="preserve">of aspirations </w:t>
      </w:r>
      <w:r w:rsidRPr="0037650E">
        <w:t>by emphasising equity, well-being, and personal development</w:t>
      </w:r>
      <w:r>
        <w:t xml:space="preserve"> (Welsh Government</w:t>
      </w:r>
      <w:r w:rsidRPr="00F24BD2">
        <w:t>, 2015</w:t>
      </w:r>
      <w:r>
        <w:t>)</w:t>
      </w:r>
      <w:r w:rsidRPr="0037650E">
        <w:t xml:space="preserve">. Research </w:t>
      </w:r>
      <w:r>
        <w:t>indicates</w:t>
      </w:r>
      <w:r w:rsidRPr="0037650E">
        <w:t xml:space="preserve"> that educational policy, when successfully implemented, can shape not only the structure of schooling but also young people’s beliefs about </w:t>
      </w:r>
      <w:r w:rsidRPr="0037650E">
        <w:lastRenderedPageBreak/>
        <w:t>what is possible (</w:t>
      </w:r>
      <w:proofErr w:type="spellStart"/>
      <w:r w:rsidRPr="00F24BD2">
        <w:t>Viennet</w:t>
      </w:r>
      <w:proofErr w:type="spellEnd"/>
      <w:r w:rsidRPr="00F24BD2">
        <w:t>, 2017)</w:t>
      </w:r>
      <w:r>
        <w:t>.</w:t>
      </w:r>
      <w:r w:rsidRPr="00F24BD2">
        <w:t xml:space="preserve"> </w:t>
      </w:r>
      <w:r w:rsidRPr="0037650E">
        <w:t>However,</w:t>
      </w:r>
      <w:r>
        <w:t xml:space="preserve"> it is contended that</w:t>
      </w:r>
      <w:r w:rsidRPr="0037650E">
        <w:t xml:space="preserve"> this depends on schools’ ability to operationalise such policies effectively</w:t>
      </w:r>
      <w:r>
        <w:t xml:space="preserve"> (</w:t>
      </w:r>
      <w:r w:rsidRPr="00F24BD2">
        <w:t>Ball, 2021</w:t>
      </w:r>
      <w:r w:rsidRPr="0037650E">
        <w:t xml:space="preserve">). </w:t>
      </w:r>
      <w:r>
        <w:t xml:space="preserve">This is </w:t>
      </w:r>
      <w:r w:rsidRPr="0037650E">
        <w:t>something this study aims to investigate.</w:t>
      </w:r>
    </w:p>
    <w:p w14:paraId="1A6C0F29" w14:textId="77777777" w:rsidR="00D46E6D" w:rsidRPr="0037650E" w:rsidRDefault="00D46E6D" w:rsidP="00D46E6D">
      <w:pPr>
        <w:rPr>
          <w:b/>
          <w:bCs/>
        </w:rPr>
      </w:pPr>
      <w:r w:rsidRPr="0037650E">
        <w:rPr>
          <w:b/>
          <w:bCs/>
        </w:rPr>
        <w:t>Gaps and Contribution to the Field</w:t>
      </w:r>
    </w:p>
    <w:p w14:paraId="3E8E55A3" w14:textId="77777777" w:rsidR="00D46E6D" w:rsidRPr="0037650E" w:rsidRDefault="00D46E6D" w:rsidP="00D46E6D">
      <w:pPr>
        <w:jc w:val="both"/>
      </w:pPr>
      <w:r w:rsidRPr="00D34038">
        <w:t>Although aspiration has received increasing attention in both policy and practice</w:t>
      </w:r>
      <w:r w:rsidRPr="00F941F9">
        <w:t xml:space="preserve">, gaps remain in understanding how these concepts </w:t>
      </w:r>
      <w:r>
        <w:t>manifest in the everyday experiences of secondary pupils</w:t>
      </w:r>
      <w:r w:rsidRPr="00F941F9">
        <w:t>, particularly those from disadvantaged backgrounds (</w:t>
      </w:r>
      <w:r w:rsidRPr="00F24BD2">
        <w:t>Moore, 2021</w:t>
      </w:r>
      <w:r w:rsidRPr="00F941F9">
        <w:t>). The proposed research seeks to contribute to the field by exploring how aspirations are socially constructed (</w:t>
      </w:r>
      <w:r w:rsidRPr="00F24BD2">
        <w:t>Bronfenbrenner, 1998</w:t>
      </w:r>
      <w:r w:rsidRPr="00F941F9">
        <w:t>), shaped by both individual traits (</w:t>
      </w:r>
      <w:r w:rsidRPr="00F24BD2">
        <w:t>Vondracek, 2019</w:t>
      </w:r>
      <w:r w:rsidRPr="00F941F9">
        <w:t>) and institutional contexts (</w:t>
      </w:r>
      <w:r w:rsidRPr="00F24BD2">
        <w:t>Hughes, et al; 2016</w:t>
      </w:r>
      <w:r w:rsidRPr="00F941F9">
        <w:t xml:space="preserve">). Through a mixed-methods approach, the study will examine </w:t>
      </w:r>
      <w:r w:rsidRPr="00745E56">
        <w:t xml:space="preserve">how </w:t>
      </w:r>
      <w:r>
        <w:t>schools in Wales</w:t>
      </w:r>
      <w:r w:rsidRPr="00745E56">
        <w:t xml:space="preserve"> perceive and implement policies related to aspiration</w:t>
      </w:r>
      <w:r w:rsidRPr="00F941F9">
        <w:t xml:space="preserve">, </w:t>
      </w:r>
      <w:r>
        <w:t>providing</w:t>
      </w:r>
      <w:r w:rsidRPr="00F941F9">
        <w:t xml:space="preserve"> insights into the effectiveness of current strategies and interventions. Ultimately, the research aims to support more equitable educational outcomes and inform policy development that addresses the root causes of aspiration erosion and NEET status</w:t>
      </w:r>
      <w:r>
        <w:t xml:space="preserve">, </w:t>
      </w:r>
      <w:r w:rsidRPr="00745E56">
        <w:t>thus contributing to social mobility and reducing occupational disparities.</w:t>
      </w:r>
      <w:r>
        <w:rPr>
          <w:b/>
          <w:bCs/>
        </w:rPr>
        <w:t xml:space="preserve"> </w:t>
      </w:r>
    </w:p>
    <w:p w14:paraId="2FDD843C" w14:textId="53E8988E" w:rsidR="00D46E6D" w:rsidRPr="00D46E6D" w:rsidRDefault="00D46E6D" w:rsidP="00D46E6D">
      <w:pPr>
        <w:jc w:val="center"/>
        <w:rPr>
          <w:b/>
          <w:bCs/>
        </w:rPr>
      </w:pPr>
      <w:r w:rsidRPr="00D46E6D">
        <w:rPr>
          <w:b/>
          <w:bCs/>
        </w:rPr>
        <w:t>Positionality and Philosophical Stance</w:t>
      </w:r>
    </w:p>
    <w:p w14:paraId="1D3DB1E1" w14:textId="3133EB7A" w:rsidR="00D46E6D" w:rsidRPr="007803B8" w:rsidRDefault="00D46E6D" w:rsidP="00D46E6D">
      <w:pPr>
        <w:jc w:val="both"/>
      </w:pPr>
      <w:r w:rsidRPr="007803B8">
        <w:t>Research philosophy refers to the core beliefs and assumptions that shape how knowledge is understood and how research is conducted (Cohen et al., 2011). It includes ontology (beliefs about reality), epistemology (beliefs about knowledge), and the research paradigm that guides methodological choices (Hitchcock &amp; Hughes, 1995). These philosophical foundations are closely linked to the researcher’s worldview and positionality, described as the unique lens through which they interpret the world (Denscombe, 2010). Research is never entirely neutral; it is influenced by both fixed elements of identity, such as gender, race, and nationality, and more fluid, contextual factors like political beliefs and personal experiences (Holmes, 2020; Savin-Baden &amp; Major, 2013). In fields like education—shaped by complex social, cultural, and political dynamics—acknowledging these influences is particularly important (Cohen et al., 2011). Recognising and reflecting on positionality ensures greater transparency, ethical awareness, and integrity throughout the research process (Rowe, 2014).</w:t>
      </w:r>
    </w:p>
    <w:p w14:paraId="62DDD762" w14:textId="77777777" w:rsidR="00D46E6D" w:rsidRPr="007803B8" w:rsidRDefault="00D46E6D" w:rsidP="00D46E6D">
      <w:pPr>
        <w:jc w:val="both"/>
      </w:pPr>
      <w:r w:rsidRPr="007803B8">
        <w:t>As a novice researcher with a background in education and a strong interest in equity and inclusion, I recognise that my understanding of the world is shaped by my experiences as both a practitioner and a student (Thomas, 2017). This research adopts a relativist ontological stance, based on the belief that reality is socially constructed and context dependent. This contrasts with a realist perspective, which assumes that reality is objective and external to the researcher (Cohen et al., 2011). A relativist ontology aligns with a constructivist epistemology, which sees knowledge as created through individuals’ interactions with the world (Scotland, 2012). Rather than being passively received, knowledge is actively constructed by people within their social contexts. Therefore, the knowledge generated in this research is likely to be co-constructed through collaboration between the researcher and participants (Lincoln &amp; Guba, 1985).</w:t>
      </w:r>
    </w:p>
    <w:p w14:paraId="739CB1DA" w14:textId="77777777" w:rsidR="00D46E6D" w:rsidRPr="007803B8" w:rsidRDefault="00D46E6D" w:rsidP="00D46E6D">
      <w:pPr>
        <w:jc w:val="both"/>
      </w:pPr>
      <w:r w:rsidRPr="007803B8">
        <w:t xml:space="preserve">This constructivist stance contrasts with rationalist and empiricist traditions, which assume that social phenomena can be studied in the same way as natural sciences—through experimentation, empirical evidence, and logical reasoning (Comte, 1853). These traditions are embedded within a positivist paradigm, which assumes the existence of a single, observable reality that can be measured and analysed objectively. Positivist approaches rely on scientific </w:t>
      </w:r>
      <w:r w:rsidRPr="007803B8">
        <w:lastRenderedPageBreak/>
        <w:t>methods aimed at uncovering laws or patterns, often associated with reliability, objectivity, and replication.</w:t>
      </w:r>
    </w:p>
    <w:p w14:paraId="5D5FDD92" w14:textId="77777777" w:rsidR="00D46E6D" w:rsidRPr="007803B8" w:rsidRDefault="00D46E6D" w:rsidP="00D46E6D">
      <w:pPr>
        <w:jc w:val="both"/>
      </w:pPr>
      <w:r w:rsidRPr="007803B8">
        <w:t>However, such approaches are based on several assumptions: that all events have causes that can be predicted and controlled (determinism); that knowledge must be based on observation and experience (empiricism); that explanations should be as simple as possible (parsimony); and that findings should be generalisable to broader populations (generality). While these principles underpin scientific inquiry, they may not fully capture the complexity and subjectivity inherent in human experience, particularly in educational research.</w:t>
      </w:r>
    </w:p>
    <w:p w14:paraId="41C4211A" w14:textId="77777777" w:rsidR="00D46E6D" w:rsidRPr="007803B8" w:rsidRDefault="00D46E6D" w:rsidP="00D46E6D">
      <w:pPr>
        <w:jc w:val="both"/>
      </w:pPr>
      <w:r w:rsidRPr="007803B8">
        <w:t>In contrast, this study is situated within an interpretivist paradigm, which views reality as subjective and socially constructed. Interpretivism emphasises understanding how individuals make sense of their experiences and the meanings they attach to them (Schwandt, 1994). This perspective aligns with the aim of this research—to explore personal experiences and perceptions, rather than uncover universal truths. It allows for rich, contextualised insights that are particularly important when researching complex social issues such as equity and inclusion in education.</w:t>
      </w:r>
    </w:p>
    <w:p w14:paraId="1C36ADFA" w14:textId="77777777" w:rsidR="00D46E6D" w:rsidRPr="007803B8" w:rsidRDefault="00D46E6D" w:rsidP="00D46E6D">
      <w:pPr>
        <w:jc w:val="both"/>
      </w:pPr>
      <w:r w:rsidRPr="007803B8">
        <w:t>However, while interpretivism provides depth, it may limit the ability to examine broader trends or patterns. Therefore, a pragmatic paradigm is also appropriate, offering flexibility and balance between the qualitative and quantitative dimensions of the research. Pragmatism does not commit to a single philosophical position but instead focuses on what works best to answer the research questions (Creswell &amp; Plano Clark, 2018). This stance supports the use of mixed methods, integrating the strengths of both positivist and interpretivist approaches to produce a more comprehensive understanding of the research problem.</w:t>
      </w:r>
    </w:p>
    <w:p w14:paraId="78BD06E4" w14:textId="77777777" w:rsidR="00D46E6D" w:rsidRPr="007803B8" w:rsidRDefault="00D46E6D" w:rsidP="00D46E6D">
      <w:pPr>
        <w:jc w:val="both"/>
      </w:pPr>
      <w:r w:rsidRPr="007803B8">
        <w:t>A pragmatic mixed methods design allows for the collection of both numerical data to identify trends and patterns, and qualitative data to explore underlying meanings and participant perspectives. This approach is particularly suited to the context of educational research, where both measurable outcomes and lived experiences matter. It enables the researcher to address different aspects of a research problem in a practical and purposeful way.</w:t>
      </w:r>
    </w:p>
    <w:p w14:paraId="06BE4614" w14:textId="77777777" w:rsidR="00D46E6D" w:rsidRPr="007803B8" w:rsidRDefault="00D46E6D" w:rsidP="00D46E6D">
      <w:pPr>
        <w:jc w:val="both"/>
      </w:pPr>
      <w:r w:rsidRPr="007803B8">
        <w:t>This perspective also acknowledges the influence of my own positionality throughout the research process—from the questions I ask, to how I engage with participants, interpret findings, and draw conclusions. I aim to remain critically reflexive, continuously examining how my assumptions, values, and background shape the study. While I strive for fairness and rigour, I accept that complete neutrality is neither achievable nor desirable in social research. Reflexivity ensures that I remain transparent about these influences, ultimately enhancing the credibility and ethical grounding of the research.</w:t>
      </w:r>
    </w:p>
    <w:p w14:paraId="48EB1EBF" w14:textId="20E62996" w:rsidR="00D46E6D" w:rsidRPr="00D46E6D" w:rsidRDefault="00D46E6D" w:rsidP="00D46E6D">
      <w:pPr>
        <w:jc w:val="center"/>
        <w:rPr>
          <w:b/>
          <w:bCs/>
        </w:rPr>
      </w:pPr>
      <w:r w:rsidRPr="00D46E6D">
        <w:rPr>
          <w:b/>
          <w:bCs/>
        </w:rPr>
        <w:t>Method</w:t>
      </w:r>
      <w:r>
        <w:rPr>
          <w:b/>
          <w:bCs/>
        </w:rPr>
        <w:t>ology</w:t>
      </w:r>
    </w:p>
    <w:p w14:paraId="01C5D7D2" w14:textId="77777777" w:rsidR="00D46E6D" w:rsidRDefault="00D46E6D" w:rsidP="00D46E6D">
      <w:pPr>
        <w:jc w:val="both"/>
      </w:pPr>
      <w:r w:rsidRPr="00B678D0">
        <w:t xml:space="preserve">The purpose of this research is to examine the role education plays in shaping the aspirations of teenagers in Wales. To address this, the study will adopt a mixed-methods explanatory case study design, used to explore three research questions outlined in the following section. </w:t>
      </w:r>
      <w:r w:rsidRPr="00701F6E">
        <w:t>According to Cohen et al. (2011), a researcher’s methodological approach is influenced by their philosophical stance. As previously discussed, this study is grounded in an interpretivist–pragmatist position, allowing for methodological flexibility.</w:t>
      </w:r>
      <w:r>
        <w:t xml:space="preserve"> </w:t>
      </w:r>
      <w:r w:rsidRPr="0014613F">
        <w:t xml:space="preserve">While mixed methods research is often associated with a pragmatic paradigm (Biesta, 2010; Morgan, 2007), it is best understood as a methodological approach that draws on the strengths of both qualitative and quantitative traditions. This </w:t>
      </w:r>
      <w:r w:rsidRPr="0014613F">
        <w:lastRenderedPageBreak/>
        <w:t>flexibility aligns well with a case study strategy (Yin, 2018), allowing for an in-depth, context-sensitive exploration of complex social phenomena.</w:t>
      </w:r>
    </w:p>
    <w:p w14:paraId="1DF53D67" w14:textId="77777777" w:rsidR="00D46E6D" w:rsidRDefault="00D46E6D" w:rsidP="00D46E6D">
      <w:pPr>
        <w:jc w:val="both"/>
      </w:pPr>
      <w:r w:rsidRPr="00196F9B">
        <w:t xml:space="preserve">It has been argued that </w:t>
      </w:r>
      <w:r>
        <w:t>m</w:t>
      </w:r>
      <w:r w:rsidRPr="00196F9B">
        <w:t xml:space="preserve">ixed methods research </w:t>
      </w:r>
      <w:r>
        <w:t>represents</w:t>
      </w:r>
      <w:r w:rsidRPr="00196F9B">
        <w:t xml:space="preserve"> a third research paradigm that aims to transcend the traditional dichotomy between quantitative and qualitative research (Denscombe, 2008; Morgan, 2007). Traditionally </w:t>
      </w:r>
      <w:r w:rsidRPr="008B72C3">
        <w:t xml:space="preserve">a divide between these traditions has been widely acknowledged </w:t>
      </w:r>
      <w:r w:rsidRPr="00196F9B">
        <w:t>(Denzin &amp; Lincoln, 2005), although this rift is increasingly viewed as artificial</w:t>
      </w:r>
      <w:r>
        <w:t xml:space="preserve"> and unhelpful</w:t>
      </w:r>
      <w:r w:rsidRPr="00196F9B">
        <w:t xml:space="preserve"> (Bryman, 2006; </w:t>
      </w:r>
      <w:proofErr w:type="spellStart"/>
      <w:r w:rsidRPr="00196F9B">
        <w:t>Tashakkori</w:t>
      </w:r>
      <w:proofErr w:type="spellEnd"/>
      <w:r w:rsidRPr="00196F9B">
        <w:t xml:space="preserve"> &amp; Teddlie, 2010). </w:t>
      </w:r>
      <w:r w:rsidRPr="008B72C3">
        <w:t>The polarisation of quantitative and qualitative methods has therefore been challenged by scholars who argue for greater integration and flexibility (</w:t>
      </w:r>
      <w:proofErr w:type="spellStart"/>
      <w:r w:rsidRPr="008B72C3">
        <w:t>Ercikan</w:t>
      </w:r>
      <w:proofErr w:type="spellEnd"/>
      <w:r w:rsidRPr="008B72C3">
        <w:t xml:space="preserve"> &amp; Roth, 2006).</w:t>
      </w:r>
    </w:p>
    <w:p w14:paraId="64414F0B" w14:textId="77777777" w:rsidR="00D46E6D" w:rsidRPr="005D065A" w:rsidRDefault="00D46E6D" w:rsidP="00D46E6D">
      <w:pPr>
        <w:jc w:val="both"/>
      </w:pPr>
      <w:r>
        <w:t xml:space="preserve">There is much debate regarding the effectiveness and validity of mixed methods research. Proponents argue that </w:t>
      </w:r>
      <w:r w:rsidRPr="00196F9B">
        <w:t xml:space="preserve">better-quality work is produced </w:t>
      </w:r>
      <w:r>
        <w:t xml:space="preserve">when </w:t>
      </w:r>
      <w:r w:rsidRPr="00196F9B">
        <w:t xml:space="preserve">a range of methods </w:t>
      </w:r>
      <w:r>
        <w:t>is</w:t>
      </w:r>
      <w:r w:rsidRPr="00196F9B">
        <w:t xml:space="preserve"> considered and </w:t>
      </w:r>
      <w:r w:rsidRPr="005D065A">
        <w:t xml:space="preserve">selected based on the research aims and context </w:t>
      </w:r>
      <w:r w:rsidRPr="00196F9B">
        <w:t>(Patton, 2002; Seale, 1999; Seale et al., 2007).</w:t>
      </w:r>
      <w:r w:rsidRPr="00F35AFA">
        <w:t xml:space="preserve"> </w:t>
      </w:r>
      <w:r w:rsidRPr="005D065A">
        <w:t>However, critics caution that using qualitative and quantitative methods in parallel may lead to epistemological and ontological ambiguity, potentially causing confusion about the underlying assumptions of the research (Greene, 2008, p. 18).</w:t>
      </w:r>
      <w:r w:rsidRPr="00D9429B">
        <w:t xml:space="preserve"> </w:t>
      </w:r>
      <w:r w:rsidRPr="005D065A">
        <w:t>Others suggest that this approach risks ignoring philosophical foundations altogether in favour of what Pierre (2014, p. 9) calls a “brute methodology.”</w:t>
      </w:r>
      <w:r>
        <w:t xml:space="preserve">  </w:t>
      </w:r>
      <w:r w:rsidRPr="005D065A">
        <w:t>In response to these criticisms, the idea of methodological integration</w:t>
      </w:r>
      <w:r w:rsidRPr="00B97E60">
        <w:t xml:space="preserve"> has emerged</w:t>
      </w:r>
      <w:r>
        <w:t xml:space="preserve">, where it is argued that </w:t>
      </w:r>
      <w:r w:rsidRPr="00F35AFA">
        <w:t xml:space="preserve">mixed methods can be more than </w:t>
      </w:r>
      <w:r>
        <w:t>merely about</w:t>
      </w:r>
      <w:r w:rsidRPr="00F35AFA">
        <w:t xml:space="preserve"> “adding” two data types</w:t>
      </w:r>
      <w:r>
        <w:t xml:space="preserve"> but generating a richer and contextual understanding of the research problem </w:t>
      </w:r>
      <w:r w:rsidRPr="00F35AFA">
        <w:t>(Denscombe 2008)</w:t>
      </w:r>
      <w:r>
        <w:t>.</w:t>
      </w:r>
      <w:r w:rsidRPr="00F35AFA">
        <w:t xml:space="preserve"> </w:t>
      </w:r>
      <w:r>
        <w:t xml:space="preserve">Nevertheless, </w:t>
      </w:r>
      <w:r w:rsidRPr="005D065A">
        <w:t>the challenge of how to effectively integrate qualitative and quantitative approaches remains an open question (</w:t>
      </w:r>
      <w:proofErr w:type="spellStart"/>
      <w:r w:rsidRPr="005D065A">
        <w:t>Baškarada</w:t>
      </w:r>
      <w:proofErr w:type="spellEnd"/>
      <w:r w:rsidRPr="005D065A">
        <w:t xml:space="preserve"> et al., 2017). As Schwandt (2000) notes, all research is subject to interpretation and th</w:t>
      </w:r>
      <w:r>
        <w:t>erefore</w:t>
      </w:r>
      <w:r w:rsidRPr="005D065A">
        <w:t xml:space="preserve"> inherently subjective, regardless of method.</w:t>
      </w:r>
    </w:p>
    <w:p w14:paraId="3882336F" w14:textId="77777777" w:rsidR="00D46E6D" w:rsidRPr="00367202" w:rsidRDefault="00D46E6D" w:rsidP="00D46E6D">
      <w:pPr>
        <w:jc w:val="both"/>
      </w:pPr>
      <w:r w:rsidRPr="001D3A22">
        <w:t xml:space="preserve">Cohen, et al., </w:t>
      </w:r>
      <w:r>
        <w:t>(</w:t>
      </w:r>
      <w:r w:rsidRPr="001D3A22">
        <w:t>201</w:t>
      </w:r>
      <w:r>
        <w:t>1)</w:t>
      </w:r>
      <w:r w:rsidRPr="001D3A22">
        <w:t xml:space="preserve"> argue that methodological pragmatism </w:t>
      </w:r>
      <w:r>
        <w:t>helps to reconcile concerns about artificial integration and epistemological tension.</w:t>
      </w:r>
      <w:r w:rsidRPr="00B97E60">
        <w:t xml:space="preserve"> Pragmatism prioritises the research question, enabling flexibility and practicality </w:t>
      </w:r>
      <w:r>
        <w:t>to address</w:t>
      </w:r>
      <w:r w:rsidRPr="00B97E60">
        <w:t xml:space="preserve"> complex, </w:t>
      </w:r>
      <w:r>
        <w:t>contextual</w:t>
      </w:r>
      <w:r w:rsidRPr="00B97E60">
        <w:t xml:space="preserve"> problems.</w:t>
      </w:r>
      <w:r>
        <w:t xml:space="preserve"> Through adopting this stance, m</w:t>
      </w:r>
      <w:r w:rsidRPr="00367202">
        <w:t xml:space="preserve">ixed methods research, </w:t>
      </w:r>
      <w:r>
        <w:t>regards</w:t>
      </w:r>
      <w:r w:rsidRPr="00367202">
        <w:t xml:space="preserve"> knowledge </w:t>
      </w:r>
      <w:r>
        <w:t>as</w:t>
      </w:r>
      <w:r w:rsidRPr="00367202">
        <w:t xml:space="preserve"> both </w:t>
      </w:r>
      <w:r>
        <w:t>“</w:t>
      </w:r>
      <w:r w:rsidRPr="00367202">
        <w:t>objective and socially constructed</w:t>
      </w:r>
      <w:r>
        <w:t>”</w:t>
      </w:r>
      <w:r w:rsidRPr="00367202">
        <w:t xml:space="preserve"> (Cohen et al., 2011, p. 21), making it especially suitable for educational research. Combining qualitative and quantitative approaches </w:t>
      </w:r>
      <w:r>
        <w:t xml:space="preserve">therefore </w:t>
      </w:r>
      <w:r w:rsidRPr="00367202">
        <w:t>allows for a more comprehensive understanding of the research problem (Biesta, 2017).</w:t>
      </w:r>
      <w:r>
        <w:t xml:space="preserve"> As such</w:t>
      </w:r>
      <w:r w:rsidRPr="00367202">
        <w:t xml:space="preserve"> the two traditions are </w:t>
      </w:r>
      <w:r>
        <w:t xml:space="preserve">viewed </w:t>
      </w:r>
      <w:r w:rsidRPr="00367202">
        <w:t xml:space="preserve">not necessarily </w:t>
      </w:r>
      <w:r>
        <w:t xml:space="preserve">as being </w:t>
      </w:r>
      <w:r w:rsidRPr="00367202">
        <w:t>in opposition, but rather can complement each other, offering reciprocal insights into the phenomenon under investigation (Denscombe, 2008).</w:t>
      </w:r>
    </w:p>
    <w:p w14:paraId="75FC0C60" w14:textId="77777777" w:rsidR="00D46E6D" w:rsidRPr="00F92D67" w:rsidRDefault="00D46E6D" w:rsidP="00D46E6D">
      <w:pPr>
        <w:jc w:val="both"/>
        <w:rPr>
          <w:kern w:val="0"/>
          <w14:ligatures w14:val="none"/>
        </w:rPr>
      </w:pPr>
      <w:r>
        <w:t xml:space="preserve">A case study approach aligns </w:t>
      </w:r>
      <w:r w:rsidRPr="00191D8B">
        <w:t>with both interpretivist and pragmatist</w:t>
      </w:r>
      <w:r>
        <w:t xml:space="preserve"> </w:t>
      </w:r>
      <w:r w:rsidRPr="00191D8B">
        <w:t>traditions (Yin, 2018).</w:t>
      </w:r>
      <w:r>
        <w:t xml:space="preserve"> </w:t>
      </w:r>
      <w:r w:rsidRPr="00580A81">
        <w:t xml:space="preserve">Case studies </w:t>
      </w:r>
      <w:r>
        <w:t>have been</w:t>
      </w:r>
      <w:r w:rsidRPr="00580A81">
        <w:t xml:space="preserve"> defined as “a method of developing a complete understanding of a process, programme, event or activity” (Wholey et al., 1994, p. 163), and are particularly well-suited to mixed methods research, allowing for a layered, contextually situated analysis. Case study research is </w:t>
      </w:r>
      <w:r>
        <w:t xml:space="preserve">generally </w:t>
      </w:r>
      <w:r w:rsidRPr="00580A81">
        <w:t>understood to be evidence-led and methodologically inclusive, often combining qualitative and quantitative techniques (Simons, 2009).</w:t>
      </w:r>
      <w:r>
        <w:t xml:space="preserve"> </w:t>
      </w:r>
      <w:r>
        <w:rPr>
          <w:kern w:val="0"/>
          <w14:ligatures w14:val="none"/>
        </w:rPr>
        <w:t>In the context of this research, a</w:t>
      </w:r>
      <w:r w:rsidRPr="00A021A2">
        <w:rPr>
          <w:kern w:val="0"/>
          <w14:ligatures w14:val="none"/>
        </w:rPr>
        <w:t xml:space="preserve"> case study </w:t>
      </w:r>
      <w:r>
        <w:rPr>
          <w:kern w:val="0"/>
          <w14:ligatures w14:val="none"/>
        </w:rPr>
        <w:t>focussing on</w:t>
      </w:r>
      <w:r w:rsidRPr="00A021A2">
        <w:rPr>
          <w:kern w:val="0"/>
          <w14:ligatures w14:val="none"/>
        </w:rPr>
        <w:t xml:space="preserve"> teenagers in Wales</w:t>
      </w:r>
      <w:r>
        <w:rPr>
          <w:kern w:val="0"/>
          <w14:ligatures w14:val="none"/>
        </w:rPr>
        <w:t xml:space="preserve"> will</w:t>
      </w:r>
      <w:r w:rsidRPr="00580A81">
        <w:rPr>
          <w:kern w:val="0"/>
          <w14:ligatures w14:val="none"/>
        </w:rPr>
        <w:t xml:space="preserve"> enable a rich exploration of aspirations,</w:t>
      </w:r>
      <w:r w:rsidRPr="00580A81">
        <w:t xml:space="preserve"> </w:t>
      </w:r>
      <w:r w:rsidRPr="00580A81">
        <w:rPr>
          <w:kern w:val="0"/>
          <w14:ligatures w14:val="none"/>
        </w:rPr>
        <w:t xml:space="preserve">considering </w:t>
      </w:r>
      <w:r>
        <w:rPr>
          <w:kern w:val="0"/>
          <w14:ligatures w14:val="none"/>
        </w:rPr>
        <w:t>a range of</w:t>
      </w:r>
      <w:r w:rsidRPr="00580A81">
        <w:rPr>
          <w:kern w:val="0"/>
          <w14:ligatures w14:val="none"/>
        </w:rPr>
        <w:t xml:space="preserve"> social, cultural, and educational influences</w:t>
      </w:r>
      <w:r>
        <w:rPr>
          <w:kern w:val="0"/>
          <w14:ligatures w14:val="none"/>
        </w:rPr>
        <w:t xml:space="preserve">. </w:t>
      </w:r>
      <w:r w:rsidRPr="00580A81">
        <w:rPr>
          <w:kern w:val="0"/>
          <w14:ligatures w14:val="none"/>
        </w:rPr>
        <w:t xml:space="preserve">This approach allows for the use of multiple data sources and methods, supporting a </w:t>
      </w:r>
      <w:r>
        <w:rPr>
          <w:kern w:val="0"/>
          <w14:ligatures w14:val="none"/>
        </w:rPr>
        <w:t>comprehensive</w:t>
      </w:r>
      <w:r w:rsidRPr="00580A81">
        <w:rPr>
          <w:kern w:val="0"/>
          <w14:ligatures w14:val="none"/>
        </w:rPr>
        <w:t xml:space="preserve"> examination of the issue from different perspectives (Robson, 1993).</w:t>
      </w:r>
    </w:p>
    <w:p w14:paraId="6173C405" w14:textId="77777777" w:rsidR="00D46E6D" w:rsidRDefault="00D46E6D" w:rsidP="00D46E6D">
      <w:pPr>
        <w:jc w:val="both"/>
        <w:rPr>
          <w:kern w:val="0"/>
          <w14:ligatures w14:val="none"/>
        </w:rPr>
      </w:pPr>
      <w:r w:rsidRPr="00F92D67">
        <w:rPr>
          <w:kern w:val="0"/>
          <w14:ligatures w14:val="none"/>
        </w:rPr>
        <w:t xml:space="preserve">In this study, qualitative methods </w:t>
      </w:r>
      <w:r>
        <w:rPr>
          <w:kern w:val="0"/>
          <w14:ligatures w14:val="none"/>
        </w:rPr>
        <w:t>including</w:t>
      </w:r>
      <w:r w:rsidRPr="00F92D67">
        <w:rPr>
          <w:kern w:val="0"/>
          <w14:ligatures w14:val="none"/>
        </w:rPr>
        <w:t xml:space="preserve"> semi-structured interviews will be used to explore </w:t>
      </w:r>
      <w:r>
        <w:rPr>
          <w:kern w:val="0"/>
          <w14:ligatures w14:val="none"/>
        </w:rPr>
        <w:t xml:space="preserve">the lived </w:t>
      </w:r>
      <w:r w:rsidRPr="00F92D67">
        <w:rPr>
          <w:kern w:val="0"/>
          <w14:ligatures w14:val="none"/>
        </w:rPr>
        <w:t>experiences of teenagers, capturing the context-specific ways education influences their aspirations (Yin, 20</w:t>
      </w:r>
      <w:r>
        <w:rPr>
          <w:kern w:val="0"/>
          <w14:ligatures w14:val="none"/>
        </w:rPr>
        <w:t>18</w:t>
      </w:r>
      <w:r w:rsidRPr="00F92D67">
        <w:rPr>
          <w:kern w:val="0"/>
          <w14:ligatures w14:val="none"/>
        </w:rPr>
        <w:t xml:space="preserve">; Simons, 1996). While this approach offers depth and insight, it is </w:t>
      </w:r>
      <w:r w:rsidRPr="00F92D67">
        <w:rPr>
          <w:kern w:val="0"/>
          <w14:ligatures w14:val="none"/>
        </w:rPr>
        <w:lastRenderedPageBreak/>
        <w:t xml:space="preserve">vulnerable to bias and limited generalisability (Nisbet &amp; Watts, 1984; Cohen et al., 2011). To complement this, quantitative data drawn from </w:t>
      </w:r>
      <w:r>
        <w:rPr>
          <w:kern w:val="0"/>
          <w14:ligatures w14:val="none"/>
        </w:rPr>
        <w:t xml:space="preserve">policy analysis and survey </w:t>
      </w:r>
      <w:r w:rsidRPr="00F92D67">
        <w:rPr>
          <w:kern w:val="0"/>
          <w14:ligatures w14:val="none"/>
        </w:rPr>
        <w:t xml:space="preserve">will allow for broader analysis of trends across </w:t>
      </w:r>
      <w:r>
        <w:rPr>
          <w:kern w:val="0"/>
          <w14:ligatures w14:val="none"/>
        </w:rPr>
        <w:t>larger cohorts</w:t>
      </w:r>
      <w:r w:rsidRPr="00F92D67">
        <w:rPr>
          <w:kern w:val="0"/>
          <w14:ligatures w14:val="none"/>
        </w:rPr>
        <w:t>, adding rigour and enhancing validity through triangulation (Mertens, 2007; Cohen et al., 2013). The integration of both enables a more comprehensive understanding of the research problem.</w:t>
      </w:r>
    </w:p>
    <w:p w14:paraId="32F35AAA" w14:textId="77777777" w:rsidR="00366D8D" w:rsidRPr="00F92D67" w:rsidRDefault="00366D8D" w:rsidP="00D46E6D">
      <w:pPr>
        <w:jc w:val="both"/>
        <w:rPr>
          <w:kern w:val="0"/>
          <w14:ligatures w14:val="none"/>
        </w:rPr>
      </w:pPr>
    </w:p>
    <w:p w14:paraId="67C0AEE1" w14:textId="77777777" w:rsidR="00366D8D" w:rsidRPr="00D715C7" w:rsidRDefault="00366D8D" w:rsidP="00366D8D">
      <w:pPr>
        <w:jc w:val="center"/>
      </w:pPr>
      <w:r w:rsidRPr="00D715C7">
        <w:rPr>
          <w:b/>
          <w:bCs/>
        </w:rPr>
        <w:t>Research Questions and Rationale</w:t>
      </w:r>
    </w:p>
    <w:p w14:paraId="6601E89E" w14:textId="77777777" w:rsidR="00366D8D" w:rsidRPr="00177DF6" w:rsidRDefault="00366D8D" w:rsidP="00366D8D">
      <w:pPr>
        <w:jc w:val="both"/>
      </w:pPr>
      <w:r w:rsidRPr="00177DF6">
        <w:t xml:space="preserve">The aim of this research is to explore the role of schools in shaping the aspirations of teenagers in Wales. Adopting a mixed methods approach, the study </w:t>
      </w:r>
      <w:r>
        <w:t xml:space="preserve">will </w:t>
      </w:r>
      <w:r w:rsidRPr="00177DF6">
        <w:t xml:space="preserve">draw on both interpretivist and pragmatic paradigms, combining qualitative depth with quantitative breadth to gain a comprehensive understanding of this complex issue (Simon, 2009). </w:t>
      </w:r>
    </w:p>
    <w:p w14:paraId="7245F167" w14:textId="77777777" w:rsidR="00366D8D" w:rsidRPr="005F082D" w:rsidRDefault="00366D8D" w:rsidP="00366D8D">
      <w:pPr>
        <w:jc w:val="both"/>
      </w:pPr>
      <w:r>
        <w:t xml:space="preserve">According to Thomas (2017) research design should suit its purpose, and </w:t>
      </w:r>
      <w:proofErr w:type="gramStart"/>
      <w:r>
        <w:t>take into account</w:t>
      </w:r>
      <w:proofErr w:type="gramEnd"/>
      <w:r>
        <w:t xml:space="preserve"> practical considerations such as time, resources, and access to participants. </w:t>
      </w:r>
      <w:r w:rsidRPr="005F082D">
        <w:t>In line with this, the study will take the form of an explanatory case study. Unlike exploratory case studies, which investigate phenomena that are not yet well understood, explanatory case studies aim to deepen understanding of an existing issue. In this case, the research focuses on understanding teenage aspirations and their relationship to educational experiences in Welsh secondary schools.</w:t>
      </w:r>
    </w:p>
    <w:p w14:paraId="004AEDDD" w14:textId="77777777" w:rsidR="00366D8D" w:rsidRPr="00D715C7" w:rsidRDefault="00366D8D" w:rsidP="00366D8D">
      <w:pPr>
        <w:jc w:val="both"/>
      </w:pPr>
      <w:r w:rsidRPr="00405441">
        <w:t xml:space="preserve">Cohen, et al., </w:t>
      </w:r>
      <w:r>
        <w:t>(2011, p, 16) argue</w:t>
      </w:r>
      <w:r w:rsidRPr="00405441">
        <w:t xml:space="preserve"> that the “process of “</w:t>
      </w:r>
      <w:r w:rsidRPr="00405441">
        <w:rPr>
          <w:i/>
          <w:iCs/>
        </w:rPr>
        <w:t>operationalisation</w:t>
      </w:r>
      <w:r w:rsidRPr="00405441">
        <w:t xml:space="preserve">” is crucial for </w:t>
      </w:r>
      <w:r>
        <w:t xml:space="preserve">conducting </w:t>
      </w:r>
      <w:r w:rsidRPr="00405441">
        <w:t>effective research</w:t>
      </w:r>
      <w:r>
        <w:t xml:space="preserve"> design</w:t>
      </w:r>
      <w:r w:rsidRPr="00405441">
        <w:t>”</w:t>
      </w:r>
      <w:r>
        <w:t xml:space="preserve">. </w:t>
      </w:r>
      <w:r w:rsidRPr="005F082D">
        <w:t>To ensure clarity and alignment with the overarching research aim, three research questions (RQs) have been developed. Each question addresses a different dimension of the topic, allowing for exploration from institutional, staff, and student perspectives.</w:t>
      </w:r>
      <w:bookmarkStart w:id="1" w:name="_Hlk195775949"/>
    </w:p>
    <w:p w14:paraId="5593EB0F" w14:textId="77777777" w:rsidR="00366D8D" w:rsidRPr="00D715C7" w:rsidRDefault="00366D8D" w:rsidP="00366D8D">
      <w:pPr>
        <w:jc w:val="both"/>
        <w:rPr>
          <w:b/>
          <w:bCs/>
        </w:rPr>
      </w:pPr>
      <w:r w:rsidRPr="00D715C7">
        <w:rPr>
          <w:b/>
          <w:bCs/>
        </w:rPr>
        <w:t>Research Questions</w:t>
      </w:r>
    </w:p>
    <w:p w14:paraId="26AD8BFF" w14:textId="77777777" w:rsidR="00366D8D" w:rsidRPr="00D715C7" w:rsidRDefault="00366D8D" w:rsidP="00366D8D">
      <w:pPr>
        <w:numPr>
          <w:ilvl w:val="0"/>
          <w:numId w:val="1"/>
        </w:numPr>
        <w:jc w:val="both"/>
      </w:pPr>
      <w:r w:rsidRPr="00D715C7">
        <w:rPr>
          <w:b/>
          <w:bCs/>
        </w:rPr>
        <w:t>RQ1:</w:t>
      </w:r>
      <w:r w:rsidRPr="00D715C7">
        <w:t xml:space="preserve"> </w:t>
      </w:r>
      <w:r w:rsidRPr="00D715C7">
        <w:rPr>
          <w:i/>
          <w:iCs/>
        </w:rPr>
        <w:t>How do school programmes and policies facilitate the development of students’ aspirations?</w:t>
      </w:r>
    </w:p>
    <w:p w14:paraId="6AE08CED" w14:textId="77777777" w:rsidR="00366D8D" w:rsidRPr="00D715C7" w:rsidRDefault="00366D8D" w:rsidP="00366D8D">
      <w:pPr>
        <w:numPr>
          <w:ilvl w:val="0"/>
          <w:numId w:val="1"/>
        </w:numPr>
        <w:jc w:val="both"/>
      </w:pPr>
      <w:r w:rsidRPr="00D715C7">
        <w:rPr>
          <w:b/>
          <w:bCs/>
        </w:rPr>
        <w:t>RQ2:</w:t>
      </w:r>
      <w:r w:rsidRPr="00D715C7">
        <w:t xml:space="preserve"> </w:t>
      </w:r>
      <w:r w:rsidRPr="00D715C7">
        <w:rPr>
          <w:i/>
          <w:iCs/>
        </w:rPr>
        <w:t>How do students perceive their school’s impact on their aspirations?</w:t>
      </w:r>
    </w:p>
    <w:p w14:paraId="438B5164" w14:textId="77777777" w:rsidR="00366D8D" w:rsidRDefault="00366D8D" w:rsidP="00366D8D">
      <w:pPr>
        <w:numPr>
          <w:ilvl w:val="0"/>
          <w:numId w:val="1"/>
        </w:numPr>
        <w:jc w:val="both"/>
      </w:pPr>
      <w:r w:rsidRPr="00D715C7">
        <w:rPr>
          <w:b/>
          <w:bCs/>
        </w:rPr>
        <w:t>RQ3:</w:t>
      </w:r>
      <w:r w:rsidRPr="00D715C7">
        <w:t xml:space="preserve"> </w:t>
      </w:r>
      <w:r w:rsidRPr="00D715C7">
        <w:rPr>
          <w:i/>
          <w:iCs/>
        </w:rPr>
        <w:t>How do teachers and school staff perceive they contribute to the shaping of teenage aspirations?</w:t>
      </w:r>
      <w:bookmarkEnd w:id="1"/>
    </w:p>
    <w:p w14:paraId="52BE3561" w14:textId="77777777" w:rsidR="00366D8D" w:rsidRPr="00464E64" w:rsidRDefault="00366D8D" w:rsidP="00366D8D">
      <w:pPr>
        <w:ind w:left="720"/>
        <w:jc w:val="both"/>
      </w:pPr>
    </w:p>
    <w:p w14:paraId="6612B216" w14:textId="77777777" w:rsidR="00366D8D" w:rsidRPr="00046904" w:rsidRDefault="00366D8D" w:rsidP="00366D8D">
      <w:pPr>
        <w:rPr>
          <w:b/>
          <w:bCs/>
        </w:rPr>
      </w:pPr>
      <w:r w:rsidRPr="00046904">
        <w:rPr>
          <w:b/>
          <w:bCs/>
        </w:rPr>
        <w:t>RQ1: How do school programmes and policies facilitate the development of students’ aspirations?</w:t>
      </w:r>
    </w:p>
    <w:p w14:paraId="7646ECC0" w14:textId="77777777" w:rsidR="00366D8D" w:rsidRPr="00F65A0A" w:rsidRDefault="00366D8D" w:rsidP="00366D8D">
      <w:pPr>
        <w:jc w:val="both"/>
      </w:pPr>
      <w:r>
        <w:t>T</w:t>
      </w:r>
      <w:r w:rsidRPr="00F65A0A">
        <w:t xml:space="preserve">his question explores the institutional approach to supporting student aspirations through formal and informal </w:t>
      </w:r>
      <w:r>
        <w:t>processes</w:t>
      </w:r>
      <w:r w:rsidRPr="00F65A0A">
        <w:t xml:space="preserve">, including school policies, careers education, and enrichment programmes. The rationale for this question </w:t>
      </w:r>
      <w:r>
        <w:t xml:space="preserve">is to gain an </w:t>
      </w:r>
      <w:r w:rsidRPr="00F65A0A">
        <w:t>understanding</w:t>
      </w:r>
      <w:r>
        <w:t xml:space="preserve"> of</w:t>
      </w:r>
      <w:r w:rsidRPr="00F65A0A">
        <w:t xml:space="preserve"> how the broader structur</w:t>
      </w:r>
      <w:r>
        <w:t>es</w:t>
      </w:r>
      <w:r w:rsidRPr="00F65A0A">
        <w:t xml:space="preserve"> and polic</w:t>
      </w:r>
      <w:r>
        <w:t xml:space="preserve">ies </w:t>
      </w:r>
      <w:r w:rsidRPr="00F65A0A">
        <w:t xml:space="preserve">within schools aligns with national </w:t>
      </w:r>
      <w:r>
        <w:t>priorities</w:t>
      </w:r>
      <w:r w:rsidRPr="00F65A0A">
        <w:t xml:space="preserve"> a</w:t>
      </w:r>
      <w:r>
        <w:t>long with the impact on</w:t>
      </w:r>
      <w:r w:rsidRPr="00F65A0A">
        <w:t xml:space="preserve"> individual student outcomes</w:t>
      </w:r>
      <w:r>
        <w:t xml:space="preserve"> (Ball 2021)</w:t>
      </w:r>
      <w:r w:rsidRPr="00F65A0A">
        <w:t>.</w:t>
      </w:r>
    </w:p>
    <w:p w14:paraId="19F57E22" w14:textId="77777777" w:rsidR="00366D8D" w:rsidRDefault="00366D8D" w:rsidP="00366D8D">
      <w:pPr>
        <w:jc w:val="both"/>
      </w:pPr>
      <w:r w:rsidRPr="00F65A0A">
        <w:t>Aligned with a pragmatic paradigm, this question will be addressed using a combination of qualitative and quantitative methods</w:t>
      </w:r>
      <w:r>
        <w:t xml:space="preserve"> (</w:t>
      </w:r>
      <w:r w:rsidRPr="00196F9B">
        <w:t>Denscombe, 20</w:t>
      </w:r>
      <w:r>
        <w:t>10)</w:t>
      </w:r>
      <w:r w:rsidRPr="00F65A0A">
        <w:t>. On the qualitative side, interviews with school leaders will provide insight into the intent and perceived impact of school policies and programmes related to aspiration-</w:t>
      </w:r>
      <w:r>
        <w:t>development</w:t>
      </w:r>
      <w:r w:rsidRPr="00F65A0A">
        <w:t xml:space="preserve">. From a quantitative perspective, content analysis of school documents (e.g., careers curriculum, extracurricular offerings, partnerships </w:t>
      </w:r>
      <w:r w:rsidRPr="00F65A0A">
        <w:lastRenderedPageBreak/>
        <w:t xml:space="preserve">with employers or </w:t>
      </w:r>
      <w:r>
        <w:t>post-16 institutions</w:t>
      </w:r>
      <w:r w:rsidRPr="00F65A0A">
        <w:t>) will help quantify the presence and frequency of aspiration-focused interventions. This mixed approach allows for triangulation of perspectives and enhances the reliability of findings</w:t>
      </w:r>
      <w:r>
        <w:t xml:space="preserve"> (Cohen et al., 2011)</w:t>
      </w:r>
      <w:r w:rsidRPr="00F65A0A">
        <w:t>.</w:t>
      </w:r>
    </w:p>
    <w:p w14:paraId="79F4A5E8" w14:textId="77777777" w:rsidR="00366D8D" w:rsidRPr="00F65A0A" w:rsidRDefault="00366D8D" w:rsidP="00366D8D">
      <w:pPr>
        <w:jc w:val="both"/>
      </w:pPr>
    </w:p>
    <w:p w14:paraId="398DA107" w14:textId="77777777" w:rsidR="00366D8D" w:rsidRPr="00EE1D4B" w:rsidRDefault="00366D8D" w:rsidP="00366D8D">
      <w:r w:rsidRPr="00046904">
        <w:rPr>
          <w:b/>
          <w:bCs/>
        </w:rPr>
        <w:t>RQ2: How do students perceive their school’s impact on their aspirations?</w:t>
      </w:r>
    </w:p>
    <w:p w14:paraId="09676B2E" w14:textId="77777777" w:rsidR="00366D8D" w:rsidRPr="00EE1D4B" w:rsidRDefault="00366D8D" w:rsidP="00366D8D">
      <w:pPr>
        <w:jc w:val="both"/>
      </w:pPr>
      <w:r w:rsidRPr="00EE1D4B">
        <w:t>Teenagers’ aspirations are often shaped by a range of interrelated factors, including personal experiences, family background, peer influence, and school culture</w:t>
      </w:r>
      <w:r>
        <w:t xml:space="preserve"> (St Clair, et al., 2011)</w:t>
      </w:r>
      <w:r w:rsidRPr="00EE1D4B">
        <w:t xml:space="preserve">. To explore how students make meaning of their school’s role in shaping these aspirations, this question sits within the interpretivist paradigm. This paradigm prioritises understanding subjective experiences and perspectives </w:t>
      </w:r>
      <w:r>
        <w:t>(Creswell, 2018) and</w:t>
      </w:r>
      <w:r w:rsidRPr="00EE1D4B">
        <w:t xml:space="preserve"> is well-suited to exploring how students interpret and internalise the messages and opportunities presented by their schools.</w:t>
      </w:r>
    </w:p>
    <w:p w14:paraId="5F876AD2" w14:textId="77777777" w:rsidR="00366D8D" w:rsidRPr="00EE1D4B" w:rsidRDefault="00366D8D" w:rsidP="00366D8D">
      <w:pPr>
        <w:jc w:val="both"/>
      </w:pPr>
      <w:r w:rsidRPr="00EE1D4B">
        <w:t xml:space="preserve">Qualitative data will be collected through focus groups or semi-structured interviews, allowing for in-depth discussion of how students experience school in relation to their future </w:t>
      </w:r>
      <w:r>
        <w:t xml:space="preserve">career </w:t>
      </w:r>
      <w:r w:rsidRPr="00EE1D4B">
        <w:t xml:space="preserve">goals. These discussions will also likely </w:t>
      </w:r>
      <w:r>
        <w:t>address</w:t>
      </w:r>
      <w:r w:rsidRPr="00EE1D4B">
        <w:t xml:space="preserve"> external factors</w:t>
      </w:r>
      <w:r>
        <w:t xml:space="preserve"> </w:t>
      </w:r>
      <w:r w:rsidRPr="00EE1D4B">
        <w:t>that intersect with school-based experiences</w:t>
      </w:r>
      <w:r>
        <w:t xml:space="preserve"> </w:t>
      </w:r>
      <w:r w:rsidRPr="00EE1D4B">
        <w:t xml:space="preserve">such as </w:t>
      </w:r>
      <w:r>
        <w:t>peer/</w:t>
      </w:r>
      <w:r w:rsidRPr="00EE1D4B">
        <w:t>parental</w:t>
      </w:r>
      <w:r>
        <w:t xml:space="preserve"> </w:t>
      </w:r>
      <w:r w:rsidRPr="00EE1D4B">
        <w:t>influence</w:t>
      </w:r>
      <w:r>
        <w:t xml:space="preserve"> (Ashby and Schoon, 2010)</w:t>
      </w:r>
      <w:r w:rsidRPr="00EE1D4B">
        <w:t xml:space="preserve"> or societal expectations</w:t>
      </w:r>
      <w:r>
        <w:t xml:space="preserve"> (Damon, 2009). </w:t>
      </w:r>
      <w:r w:rsidRPr="00EE1D4B">
        <w:t>To supplement th</w:t>
      </w:r>
      <w:r>
        <w:t>e findings</w:t>
      </w:r>
      <w:r w:rsidRPr="00EE1D4B">
        <w:t xml:space="preserve">, quantitative data </w:t>
      </w:r>
      <w:r>
        <w:t>generated through</w:t>
      </w:r>
      <w:r w:rsidRPr="00EE1D4B">
        <w:t xml:space="preserve"> student surveys (using Likert-scale and multiple-choice questions) will help capture broader patterns across a larger sample. Statistical analysis </w:t>
      </w:r>
      <w:r>
        <w:t>could potentially</w:t>
      </w:r>
      <w:r w:rsidRPr="00EE1D4B">
        <w:t xml:space="preserve"> identify trends across </w:t>
      </w:r>
      <w:r>
        <w:t>specific groups of students including age and gender (</w:t>
      </w:r>
      <w:proofErr w:type="spellStart"/>
      <w:r>
        <w:t>Kintrea</w:t>
      </w:r>
      <w:proofErr w:type="spellEnd"/>
      <w:r>
        <w:t xml:space="preserve">, et al., 2011). </w:t>
      </w:r>
      <w:r w:rsidRPr="00EE1D4B">
        <w:t>Furthermore, comparison with longitudinal data (e.g., pupil destinations post-16) can offer additional insights into how perceptions align with actual outcomes</w:t>
      </w:r>
      <w:r>
        <w:t xml:space="preserve"> (</w:t>
      </w:r>
      <w:r w:rsidRPr="009F31AE">
        <w:rPr>
          <w:bCs/>
        </w:rPr>
        <w:t>Abbott-Chapman</w:t>
      </w:r>
      <w:r>
        <w:rPr>
          <w:bCs/>
        </w:rPr>
        <w:t>, et al., 2014).</w:t>
      </w:r>
    </w:p>
    <w:p w14:paraId="6919F372" w14:textId="77777777" w:rsidR="00366D8D" w:rsidRDefault="00366D8D" w:rsidP="00366D8D"/>
    <w:p w14:paraId="239D519B" w14:textId="77777777" w:rsidR="00366D8D" w:rsidRPr="004071B5" w:rsidRDefault="00366D8D" w:rsidP="00366D8D">
      <w:r w:rsidRPr="00D715C7">
        <w:rPr>
          <w:b/>
          <w:bCs/>
        </w:rPr>
        <w:t>RQ3: How do teachers and school staff perceive they contribute to the shaping of teenage aspirations?</w:t>
      </w:r>
    </w:p>
    <w:p w14:paraId="65505E14" w14:textId="77777777" w:rsidR="00366D8D" w:rsidRPr="00D715C7" w:rsidRDefault="00366D8D" w:rsidP="00366D8D">
      <w:pPr>
        <w:jc w:val="both"/>
      </w:pPr>
      <w:r>
        <w:t xml:space="preserve">This question will explore the role of staff including teachers, pastoral workers and careers advisers, in influencing student aspirations through everyday interactions.  These interactions could include </w:t>
      </w:r>
      <w:r w:rsidRPr="00D715C7">
        <w:t>subject teaching,</w:t>
      </w:r>
      <w:r>
        <w:t xml:space="preserve"> learning support, extra-curricular activities,</w:t>
      </w:r>
      <w:r w:rsidRPr="00D715C7">
        <w:t xml:space="preserve"> and</w:t>
      </w:r>
      <w:r>
        <w:t xml:space="preserve"> bespoke</w:t>
      </w:r>
      <w:r w:rsidRPr="00D715C7">
        <w:t xml:space="preserve"> </w:t>
      </w:r>
      <w:r>
        <w:t>specific career or mentorship interventions</w:t>
      </w:r>
      <w:r w:rsidRPr="00D715C7">
        <w:t xml:space="preserve">. </w:t>
      </w:r>
      <w:r>
        <w:t xml:space="preserve">Like RQ2, </w:t>
      </w:r>
      <w:r w:rsidRPr="00D715C7">
        <w:t xml:space="preserve">this question aligns with an </w:t>
      </w:r>
      <w:r w:rsidRPr="004071B5">
        <w:t>interpretivist paradigm</w:t>
      </w:r>
      <w:r w:rsidRPr="00D715C7">
        <w:t>, as it focuses on capturing individual and shared perspectives</w:t>
      </w:r>
      <w:r>
        <w:t xml:space="preserve"> (Cohen et al., 2011)</w:t>
      </w:r>
      <w:r w:rsidRPr="00D715C7">
        <w:t>.</w:t>
      </w:r>
    </w:p>
    <w:p w14:paraId="57361D00" w14:textId="77777777" w:rsidR="00366D8D" w:rsidRPr="00D715C7" w:rsidRDefault="00366D8D" w:rsidP="00366D8D">
      <w:pPr>
        <w:jc w:val="both"/>
      </w:pPr>
      <w:r>
        <w:t>To answer RQ3, qualitative d</w:t>
      </w:r>
      <w:r w:rsidRPr="00D715C7">
        <w:t xml:space="preserve">ata will be collected using </w:t>
      </w:r>
      <w:r w:rsidRPr="004071B5">
        <w:t>semi-structured interviews</w:t>
      </w:r>
      <w:r w:rsidRPr="00D715C7">
        <w:t xml:space="preserve"> with key staff members, allowing for exploration of their roles, responsibilities, and perceived impact. </w:t>
      </w:r>
      <w:r w:rsidRPr="004071B5">
        <w:t>Focus groups</w:t>
      </w:r>
      <w:r w:rsidRPr="00D715C7">
        <w:t xml:space="preserve"> may also be employed to facilitate dialogue and uncover common themes or </w:t>
      </w:r>
      <w:r>
        <w:t>even contending</w:t>
      </w:r>
      <w:r w:rsidRPr="00D715C7">
        <w:t xml:space="preserve"> views among </w:t>
      </w:r>
      <w:r>
        <w:t>staff in different roles (Simons, 2009).</w:t>
      </w:r>
    </w:p>
    <w:p w14:paraId="52036CE1" w14:textId="77777777" w:rsidR="00366D8D" w:rsidRPr="00D715C7" w:rsidRDefault="00366D8D" w:rsidP="00366D8D">
      <w:pPr>
        <w:jc w:val="both"/>
      </w:pPr>
      <w:r w:rsidRPr="004C30EA">
        <w:t>A quantitative element, such as a staff survey,</w:t>
      </w:r>
      <w:r w:rsidRPr="00D715C7">
        <w:t xml:space="preserve"> w</w:t>
      </w:r>
      <w:r>
        <w:t>ould</w:t>
      </w:r>
      <w:r w:rsidRPr="00D715C7">
        <w:t xml:space="preserve"> complement the qualitative findings</w:t>
      </w:r>
      <w:r>
        <w:t xml:space="preserve"> (Yin, 2018)</w:t>
      </w:r>
      <w:r w:rsidRPr="00D715C7">
        <w:t>. Using scaled questions, the survey c</w:t>
      </w:r>
      <w:r>
        <w:t>ould be used to</w:t>
      </w:r>
      <w:r w:rsidRPr="00D715C7">
        <w:t xml:space="preserve"> measure staff perceptions of the importance and effectiveness of various activities related to aspiration-building (classroom teaching, mentoring, extracurricular involvement). The data may also reveal gaps between intention and practice, or between different staff groups.</w:t>
      </w:r>
    </w:p>
    <w:p w14:paraId="6874D272" w14:textId="77777777" w:rsidR="00366D8D" w:rsidRPr="00D715C7" w:rsidRDefault="00366D8D" w:rsidP="00366D8D">
      <w:pPr>
        <w:jc w:val="both"/>
      </w:pPr>
    </w:p>
    <w:p w14:paraId="64BA5008" w14:textId="77777777" w:rsidR="00366D8D" w:rsidRPr="00D715C7" w:rsidRDefault="00366D8D" w:rsidP="00366D8D">
      <w:pPr>
        <w:jc w:val="center"/>
        <w:rPr>
          <w:b/>
          <w:bCs/>
        </w:rPr>
      </w:pPr>
      <w:r>
        <w:rPr>
          <w:b/>
          <w:bCs/>
        </w:rPr>
        <w:t>Conclusion</w:t>
      </w:r>
    </w:p>
    <w:p w14:paraId="5A9D1CF8" w14:textId="77777777" w:rsidR="00366D8D" w:rsidRPr="00F951E9" w:rsidRDefault="00366D8D" w:rsidP="00366D8D">
      <w:pPr>
        <w:jc w:val="both"/>
      </w:pPr>
      <w:r w:rsidRPr="00F951E9">
        <w:lastRenderedPageBreak/>
        <w:t xml:space="preserve">This study adopts a mixed methods design to capture the complexity of how schools shape aspirations from </w:t>
      </w:r>
      <w:r>
        <w:t>different perspectives</w:t>
      </w:r>
      <w:r w:rsidRPr="00F951E9">
        <w:t>. Each research question focuses on a different stakeholder group</w:t>
      </w:r>
      <w:r>
        <w:t xml:space="preserve">: </w:t>
      </w:r>
      <w:r w:rsidRPr="00F951E9">
        <w:t>leaders</w:t>
      </w:r>
      <w:r>
        <w:t xml:space="preserve"> and </w:t>
      </w:r>
      <w:r w:rsidRPr="00F951E9">
        <w:t>policymakers (RQ1)</w:t>
      </w:r>
      <w:r>
        <w:t xml:space="preserve">; </w:t>
      </w:r>
      <w:r w:rsidRPr="00F951E9">
        <w:t>students (RQ2)</w:t>
      </w:r>
      <w:r>
        <w:t xml:space="preserve">; </w:t>
      </w:r>
      <w:r w:rsidRPr="00F951E9">
        <w:t>and teachers</w:t>
      </w:r>
      <w:r>
        <w:t xml:space="preserve"> and support </w:t>
      </w:r>
      <w:r w:rsidRPr="00F951E9">
        <w:t>staff (RQ3)</w:t>
      </w:r>
      <w:r>
        <w:t>. This</w:t>
      </w:r>
      <w:r w:rsidRPr="00F951E9">
        <w:t xml:space="preserve"> allows for triangulation of perspectives and thematic overlap</w:t>
      </w:r>
      <w:r>
        <w:t xml:space="preserve"> (Gibson, 2017)</w:t>
      </w:r>
      <w:r w:rsidRPr="00F951E9">
        <w:t xml:space="preserve">. By combining policy analysis, interview data, and survey responses, the research </w:t>
      </w:r>
      <w:r>
        <w:t>aims</w:t>
      </w:r>
      <w:r w:rsidRPr="00F951E9">
        <w:t xml:space="preserve"> to develop a more comprehensive understanding of </w:t>
      </w:r>
      <w:r>
        <w:t xml:space="preserve">teenage </w:t>
      </w:r>
      <w:r w:rsidRPr="00F951E9">
        <w:t xml:space="preserve">aspiration formation in </w:t>
      </w:r>
      <w:r>
        <w:t>a Welsh context.</w:t>
      </w:r>
    </w:p>
    <w:p w14:paraId="586D3CAB" w14:textId="77777777" w:rsidR="00366D8D" w:rsidRPr="00F951E9" w:rsidRDefault="00366D8D" w:rsidP="00366D8D">
      <w:pPr>
        <w:jc w:val="both"/>
      </w:pPr>
      <w:r w:rsidRPr="00F951E9">
        <w:t>Informed by educational theory, sociology, and developmental psychology, this interdisciplinary approach reflects the multifaceted nature of aspiration development</w:t>
      </w:r>
      <w:r>
        <w:t xml:space="preserve"> (St Clair, et al., 2011)</w:t>
      </w:r>
      <w:r w:rsidRPr="00F951E9">
        <w:t>. Moreover, by combining interpretivist and pragmatic paradigms, the study values both individual perspectives and practical outcomes</w:t>
      </w:r>
      <w:r>
        <w:t xml:space="preserve">, </w:t>
      </w:r>
      <w:r w:rsidRPr="00F951E9">
        <w:t>ultimately aiming to inform policy and practice in education.</w:t>
      </w:r>
    </w:p>
    <w:p w14:paraId="1666D353" w14:textId="4876C345" w:rsidR="00366D8D" w:rsidRDefault="00366D8D">
      <w:r>
        <w:br w:type="page"/>
      </w:r>
    </w:p>
    <w:p w14:paraId="0F2E08BC" w14:textId="44E97A9E" w:rsidR="00D46E6D" w:rsidRPr="00366D8D" w:rsidRDefault="00366D8D">
      <w:pPr>
        <w:rPr>
          <w:b/>
          <w:bCs/>
        </w:rPr>
      </w:pPr>
      <w:r w:rsidRPr="00366D8D">
        <w:rPr>
          <w:b/>
          <w:bCs/>
        </w:rPr>
        <w:lastRenderedPageBreak/>
        <w:t>References:</w:t>
      </w:r>
    </w:p>
    <w:p w14:paraId="323750A5" w14:textId="77777777" w:rsidR="00366D8D" w:rsidRPr="00366D8D" w:rsidRDefault="00366D8D" w:rsidP="00366D8D">
      <w:pPr>
        <w:jc w:val="both"/>
        <w:rPr>
          <w:rFonts w:ascii="Calibri" w:hAnsi="Calibri" w:cs="Calibri"/>
        </w:rPr>
      </w:pPr>
      <w:r w:rsidRPr="00366D8D">
        <w:rPr>
          <w:rFonts w:ascii="Calibri" w:hAnsi="Calibri" w:cs="Calibri"/>
        </w:rPr>
        <w:t xml:space="preserve">Abbott-Chapman, J., Gall, S., </w:t>
      </w:r>
      <w:proofErr w:type="spellStart"/>
      <w:r w:rsidRPr="00366D8D">
        <w:rPr>
          <w:rFonts w:ascii="Calibri" w:hAnsi="Calibri" w:cs="Calibri"/>
        </w:rPr>
        <w:t>Ollington</w:t>
      </w:r>
      <w:proofErr w:type="spellEnd"/>
      <w:r w:rsidRPr="00366D8D">
        <w:rPr>
          <w:rFonts w:ascii="Calibri" w:hAnsi="Calibri" w:cs="Calibri"/>
        </w:rPr>
        <w:t xml:space="preserve">, N., Martin, K., Dwyer, T. and Venn, A., 2014. The longitudinal association of childhood school engagement with adult educational and occupational achievement: Findings from an Australian national study. </w:t>
      </w:r>
      <w:r w:rsidRPr="00366D8D">
        <w:rPr>
          <w:rFonts w:ascii="Calibri" w:hAnsi="Calibri" w:cs="Calibri"/>
          <w:i/>
          <w:iCs/>
        </w:rPr>
        <w:t>British Educational Research Journal</w:t>
      </w:r>
      <w:r w:rsidRPr="00366D8D">
        <w:rPr>
          <w:rFonts w:ascii="Calibri" w:hAnsi="Calibri" w:cs="Calibri"/>
        </w:rPr>
        <w:t>, 40(1), pp.102–120. https://doi.org/10.1002/berj.3031</w:t>
      </w:r>
    </w:p>
    <w:p w14:paraId="0F1D9EFD" w14:textId="77777777" w:rsidR="00366D8D" w:rsidRPr="00366D8D" w:rsidRDefault="00366D8D" w:rsidP="00366D8D">
      <w:pPr>
        <w:jc w:val="both"/>
        <w:rPr>
          <w:rFonts w:ascii="Calibri" w:hAnsi="Calibri" w:cs="Calibri"/>
        </w:rPr>
      </w:pPr>
      <w:r w:rsidRPr="00366D8D">
        <w:rPr>
          <w:rFonts w:ascii="Calibri" w:hAnsi="Calibri" w:cs="Calibri"/>
        </w:rPr>
        <w:t xml:space="preserve">Anderson, C., 2010. Presenting and evaluating qualitative research. </w:t>
      </w:r>
      <w:r w:rsidRPr="00366D8D">
        <w:rPr>
          <w:rFonts w:ascii="Calibri" w:hAnsi="Calibri" w:cs="Calibri"/>
          <w:i/>
          <w:iCs/>
        </w:rPr>
        <w:t>American Journal of Pharmaceutical Education</w:t>
      </w:r>
      <w:r w:rsidRPr="00366D8D">
        <w:rPr>
          <w:rFonts w:ascii="Calibri" w:hAnsi="Calibri" w:cs="Calibri"/>
        </w:rPr>
        <w:t>, 74(8), p.141.</w:t>
      </w:r>
    </w:p>
    <w:p w14:paraId="7E69099A" w14:textId="77777777" w:rsidR="00366D8D" w:rsidRPr="00366D8D" w:rsidRDefault="00366D8D" w:rsidP="00366D8D">
      <w:pPr>
        <w:jc w:val="both"/>
        <w:rPr>
          <w:rFonts w:ascii="Calibri" w:hAnsi="Calibri" w:cs="Calibri"/>
        </w:rPr>
      </w:pPr>
      <w:r w:rsidRPr="00366D8D">
        <w:rPr>
          <w:rFonts w:ascii="Calibri" w:hAnsi="Calibri" w:cs="Calibri"/>
        </w:rPr>
        <w:t xml:space="preserve">Ashby, J.S. and Schoon, I., 2010. Career success: The role of teenage career aspirations, ambition value and gender in predicting adult social status and earnings. </w:t>
      </w:r>
      <w:r w:rsidRPr="00366D8D">
        <w:rPr>
          <w:rFonts w:ascii="Calibri" w:hAnsi="Calibri" w:cs="Calibri"/>
          <w:i/>
          <w:iCs/>
        </w:rPr>
        <w:t>Journal of Vocational Behaviour</w:t>
      </w:r>
      <w:r w:rsidRPr="00366D8D">
        <w:rPr>
          <w:rFonts w:ascii="Calibri" w:hAnsi="Calibri" w:cs="Calibri"/>
        </w:rPr>
        <w:t>, 77(3), pp.350–360.</w:t>
      </w:r>
    </w:p>
    <w:p w14:paraId="1EA253E8" w14:textId="77777777" w:rsidR="00366D8D" w:rsidRPr="00366D8D" w:rsidRDefault="00366D8D" w:rsidP="00366D8D">
      <w:pPr>
        <w:jc w:val="both"/>
        <w:rPr>
          <w:rFonts w:ascii="Calibri" w:hAnsi="Calibri" w:cs="Calibri"/>
        </w:rPr>
      </w:pPr>
      <w:r w:rsidRPr="00366D8D">
        <w:rPr>
          <w:rFonts w:ascii="Calibri" w:hAnsi="Calibri" w:cs="Calibri"/>
        </w:rPr>
        <w:t xml:space="preserve">Ball, S.J., 2021. </w:t>
      </w:r>
      <w:r w:rsidRPr="00366D8D">
        <w:rPr>
          <w:rFonts w:ascii="Calibri" w:hAnsi="Calibri" w:cs="Calibri"/>
          <w:i/>
          <w:iCs/>
        </w:rPr>
        <w:t>The education debate</w:t>
      </w:r>
      <w:r w:rsidRPr="00366D8D">
        <w:rPr>
          <w:rFonts w:ascii="Calibri" w:hAnsi="Calibri" w:cs="Calibri"/>
        </w:rPr>
        <w:t>. Bristol: Policy Press.</w:t>
      </w:r>
    </w:p>
    <w:p w14:paraId="5479A19A" w14:textId="77777777" w:rsidR="00366D8D" w:rsidRPr="00366D8D" w:rsidRDefault="00366D8D" w:rsidP="00366D8D">
      <w:pPr>
        <w:jc w:val="both"/>
        <w:rPr>
          <w:rFonts w:ascii="Calibri" w:hAnsi="Calibri" w:cs="Calibri"/>
        </w:rPr>
      </w:pPr>
      <w:r w:rsidRPr="00366D8D">
        <w:rPr>
          <w:rFonts w:ascii="Calibri" w:hAnsi="Calibri" w:cs="Calibri"/>
        </w:rPr>
        <w:t xml:space="preserve">Becker, G.S., 2009. </w:t>
      </w:r>
      <w:r w:rsidRPr="00366D8D">
        <w:rPr>
          <w:rFonts w:ascii="Calibri" w:hAnsi="Calibri" w:cs="Calibri"/>
          <w:i/>
          <w:iCs/>
        </w:rPr>
        <w:t>Human capital: A theoretical and empirical analysis, with special reference to education</w:t>
      </w:r>
      <w:r w:rsidRPr="00366D8D">
        <w:rPr>
          <w:rFonts w:ascii="Calibri" w:hAnsi="Calibri" w:cs="Calibri"/>
        </w:rPr>
        <w:t>. Chicago: University of Chicago Press.</w:t>
      </w:r>
    </w:p>
    <w:p w14:paraId="5939853C" w14:textId="77777777" w:rsidR="00366D8D" w:rsidRPr="00366D8D" w:rsidRDefault="00366D8D" w:rsidP="00366D8D">
      <w:pPr>
        <w:jc w:val="both"/>
        <w:rPr>
          <w:rFonts w:ascii="Calibri" w:hAnsi="Calibri" w:cs="Calibri"/>
        </w:rPr>
      </w:pPr>
      <w:r w:rsidRPr="00366D8D">
        <w:rPr>
          <w:rFonts w:ascii="Calibri" w:hAnsi="Calibri" w:cs="Calibri"/>
        </w:rPr>
        <w:t xml:space="preserve">Biesta, G., 2010. Pragmatism and the philosophical foundations of mixed methods research. In: A. </w:t>
      </w:r>
      <w:proofErr w:type="spellStart"/>
      <w:r w:rsidRPr="00366D8D">
        <w:rPr>
          <w:rFonts w:ascii="Calibri" w:hAnsi="Calibri" w:cs="Calibri"/>
        </w:rPr>
        <w:t>Tashakkori</w:t>
      </w:r>
      <w:proofErr w:type="spellEnd"/>
      <w:r w:rsidRPr="00366D8D">
        <w:rPr>
          <w:rFonts w:ascii="Calibri" w:hAnsi="Calibri" w:cs="Calibri"/>
        </w:rPr>
        <w:t xml:space="preserve"> and C. Teddlie, eds. </w:t>
      </w:r>
      <w:r w:rsidRPr="00366D8D">
        <w:rPr>
          <w:rFonts w:ascii="Calibri" w:hAnsi="Calibri" w:cs="Calibri"/>
          <w:i/>
          <w:iCs/>
        </w:rPr>
        <w:t xml:space="preserve">SAGE Handbook of Mixed Methods in Social &amp; </w:t>
      </w:r>
      <w:proofErr w:type="spellStart"/>
      <w:r w:rsidRPr="00366D8D">
        <w:rPr>
          <w:rFonts w:ascii="Calibri" w:hAnsi="Calibri" w:cs="Calibri"/>
          <w:i/>
          <w:iCs/>
        </w:rPr>
        <w:t>Behavioral</w:t>
      </w:r>
      <w:proofErr w:type="spellEnd"/>
      <w:r w:rsidRPr="00366D8D">
        <w:rPr>
          <w:rFonts w:ascii="Calibri" w:hAnsi="Calibri" w:cs="Calibri"/>
          <w:i/>
          <w:iCs/>
        </w:rPr>
        <w:t xml:space="preserve"> Research</w:t>
      </w:r>
      <w:r w:rsidRPr="00366D8D">
        <w:rPr>
          <w:rFonts w:ascii="Calibri" w:hAnsi="Calibri" w:cs="Calibri"/>
        </w:rPr>
        <w:t>. 2nd ed. Thousand Oaks, CA: Sage, pp.95–118.</w:t>
      </w:r>
    </w:p>
    <w:p w14:paraId="0EB9250B" w14:textId="77777777" w:rsidR="00366D8D" w:rsidRPr="00366D8D" w:rsidRDefault="00366D8D" w:rsidP="00366D8D">
      <w:pPr>
        <w:jc w:val="both"/>
        <w:rPr>
          <w:rFonts w:ascii="Calibri" w:hAnsi="Calibri" w:cs="Calibri"/>
        </w:rPr>
      </w:pPr>
      <w:r w:rsidRPr="00366D8D">
        <w:rPr>
          <w:rFonts w:ascii="Calibri" w:hAnsi="Calibri" w:cs="Calibri"/>
        </w:rPr>
        <w:t xml:space="preserve">Bronfenbrenner, U. and Morris, P.A., 1998. The ecology of developmental processes. In: W. Damon and R.M. Lerner, eds. </w:t>
      </w:r>
      <w:r w:rsidRPr="00366D8D">
        <w:rPr>
          <w:rFonts w:ascii="Calibri" w:hAnsi="Calibri" w:cs="Calibri"/>
          <w:i/>
          <w:iCs/>
        </w:rPr>
        <w:t>Handbook of Child Psychology: Vol. 1. Theoretical Models of Human Development</w:t>
      </w:r>
      <w:r w:rsidRPr="00366D8D">
        <w:rPr>
          <w:rFonts w:ascii="Calibri" w:hAnsi="Calibri" w:cs="Calibri"/>
        </w:rPr>
        <w:t>. 5th ed. New York: Wiley, pp.993–1028.</w:t>
      </w:r>
    </w:p>
    <w:p w14:paraId="6FCECD17" w14:textId="77777777" w:rsidR="00366D8D" w:rsidRPr="00366D8D" w:rsidRDefault="00366D8D" w:rsidP="00366D8D">
      <w:pPr>
        <w:jc w:val="both"/>
        <w:rPr>
          <w:rFonts w:ascii="Calibri" w:hAnsi="Calibri" w:cs="Calibri"/>
        </w:rPr>
      </w:pPr>
      <w:r w:rsidRPr="00366D8D">
        <w:rPr>
          <w:rFonts w:ascii="Calibri" w:hAnsi="Calibri" w:cs="Calibri"/>
        </w:rPr>
        <w:t xml:space="preserve">Burgess, R., 2019. From a social deficit to a social asset model. </w:t>
      </w:r>
      <w:r w:rsidRPr="00366D8D">
        <w:rPr>
          <w:rFonts w:ascii="Calibri" w:hAnsi="Calibri" w:cs="Calibri"/>
          <w:i/>
          <w:iCs/>
        </w:rPr>
        <w:t>Unpublished manuscript</w:t>
      </w:r>
      <w:r w:rsidRPr="00366D8D">
        <w:rPr>
          <w:rFonts w:ascii="Calibri" w:hAnsi="Calibri" w:cs="Calibri"/>
        </w:rPr>
        <w:t>.</w:t>
      </w:r>
    </w:p>
    <w:p w14:paraId="6B9EF11A" w14:textId="77777777" w:rsidR="00366D8D" w:rsidRPr="00366D8D" w:rsidRDefault="00366D8D" w:rsidP="00366D8D">
      <w:pPr>
        <w:jc w:val="both"/>
        <w:rPr>
          <w:rFonts w:ascii="Calibri" w:hAnsi="Calibri" w:cs="Calibri"/>
        </w:rPr>
      </w:pPr>
      <w:r w:rsidRPr="00366D8D">
        <w:rPr>
          <w:rFonts w:ascii="Calibri" w:hAnsi="Calibri" w:cs="Calibri"/>
        </w:rPr>
        <w:t xml:space="preserve">Carter-Wall, C. and Whitfield, G., 2012. </w:t>
      </w:r>
      <w:r w:rsidRPr="00366D8D">
        <w:rPr>
          <w:rFonts w:ascii="Calibri" w:hAnsi="Calibri" w:cs="Calibri"/>
          <w:i/>
          <w:iCs/>
        </w:rPr>
        <w:t>The role of aspirations, attitudes and behaviour in closing the educational attainment gap</w:t>
      </w:r>
      <w:r w:rsidRPr="00366D8D">
        <w:rPr>
          <w:rFonts w:ascii="Calibri" w:hAnsi="Calibri" w:cs="Calibri"/>
        </w:rPr>
        <w:t>. York: Joseph Rowntree Foundation.</w:t>
      </w:r>
    </w:p>
    <w:p w14:paraId="4B945520" w14:textId="77777777" w:rsidR="00366D8D" w:rsidRPr="00366D8D" w:rsidRDefault="00366D8D" w:rsidP="00366D8D">
      <w:pPr>
        <w:jc w:val="both"/>
        <w:rPr>
          <w:rFonts w:ascii="Calibri" w:hAnsi="Calibri" w:cs="Calibri"/>
        </w:rPr>
      </w:pPr>
      <w:r w:rsidRPr="00366D8D">
        <w:rPr>
          <w:rFonts w:ascii="Calibri" w:hAnsi="Calibri" w:cs="Calibri"/>
        </w:rPr>
        <w:t xml:space="preserve">Cheryan, S., Master, A. and Meltzoff, A.N., 2015. Cultural stereotypes as gatekeepers: Increasing girls’ interest in computer science and engineering by diversifying stereotypes. </w:t>
      </w:r>
      <w:r w:rsidRPr="00366D8D">
        <w:rPr>
          <w:rFonts w:ascii="Calibri" w:hAnsi="Calibri" w:cs="Calibri"/>
          <w:i/>
          <w:iCs/>
        </w:rPr>
        <w:t>Frontiers in Psychology</w:t>
      </w:r>
      <w:r w:rsidRPr="00366D8D">
        <w:rPr>
          <w:rFonts w:ascii="Calibri" w:hAnsi="Calibri" w:cs="Calibri"/>
        </w:rPr>
        <w:t>, 6, p.49.</w:t>
      </w:r>
    </w:p>
    <w:p w14:paraId="14928F02" w14:textId="77777777" w:rsidR="00366D8D" w:rsidRPr="00366D8D" w:rsidRDefault="00366D8D" w:rsidP="00366D8D">
      <w:pPr>
        <w:jc w:val="both"/>
        <w:rPr>
          <w:rFonts w:ascii="Calibri" w:hAnsi="Calibri" w:cs="Calibri"/>
        </w:rPr>
      </w:pPr>
      <w:proofErr w:type="spellStart"/>
      <w:r w:rsidRPr="00366D8D">
        <w:rPr>
          <w:rFonts w:ascii="Calibri" w:hAnsi="Calibri" w:cs="Calibri"/>
        </w:rPr>
        <w:t>Chlosta</w:t>
      </w:r>
      <w:proofErr w:type="spellEnd"/>
      <w:r w:rsidRPr="00366D8D">
        <w:rPr>
          <w:rFonts w:ascii="Calibri" w:hAnsi="Calibri" w:cs="Calibri"/>
        </w:rPr>
        <w:t xml:space="preserve">, S., Patzelt, H., Klein, S.B. and Dormann, C., 2012. Parental role models and the decision to become self-employed: The moderating effect of personality. </w:t>
      </w:r>
      <w:r w:rsidRPr="00366D8D">
        <w:rPr>
          <w:rFonts w:ascii="Calibri" w:hAnsi="Calibri" w:cs="Calibri"/>
          <w:i/>
          <w:iCs/>
        </w:rPr>
        <w:t>Small Business Economics</w:t>
      </w:r>
      <w:r w:rsidRPr="00366D8D">
        <w:rPr>
          <w:rFonts w:ascii="Calibri" w:hAnsi="Calibri" w:cs="Calibri"/>
        </w:rPr>
        <w:t>, 38(1), pp.121–138.</w:t>
      </w:r>
    </w:p>
    <w:p w14:paraId="55850628" w14:textId="77777777" w:rsidR="00366D8D" w:rsidRPr="00366D8D" w:rsidRDefault="00366D8D" w:rsidP="00366D8D">
      <w:pPr>
        <w:jc w:val="both"/>
        <w:rPr>
          <w:rFonts w:ascii="Calibri" w:hAnsi="Calibri" w:cs="Calibri"/>
        </w:rPr>
      </w:pPr>
      <w:r w:rsidRPr="00366D8D">
        <w:rPr>
          <w:rFonts w:ascii="Calibri" w:hAnsi="Calibri" w:cs="Calibri"/>
        </w:rPr>
        <w:t xml:space="preserve">Cohen, L., Manion, L. and Morrison, K., 2011. </w:t>
      </w:r>
      <w:r w:rsidRPr="00366D8D">
        <w:rPr>
          <w:rFonts w:ascii="Calibri" w:hAnsi="Calibri" w:cs="Calibri"/>
          <w:i/>
          <w:iCs/>
        </w:rPr>
        <w:t>Research methods in education</w:t>
      </w:r>
      <w:r w:rsidRPr="00366D8D">
        <w:rPr>
          <w:rFonts w:ascii="Calibri" w:hAnsi="Calibri" w:cs="Calibri"/>
        </w:rPr>
        <w:t>. 7th ed. London: Routledge.</w:t>
      </w:r>
    </w:p>
    <w:p w14:paraId="6B4A22D7" w14:textId="77777777" w:rsidR="00366D8D" w:rsidRPr="00366D8D" w:rsidRDefault="00366D8D" w:rsidP="00366D8D">
      <w:pPr>
        <w:jc w:val="both"/>
        <w:rPr>
          <w:rFonts w:ascii="Calibri" w:hAnsi="Calibri" w:cs="Calibri"/>
        </w:rPr>
      </w:pPr>
      <w:r w:rsidRPr="00366D8D">
        <w:rPr>
          <w:rFonts w:ascii="Calibri" w:hAnsi="Calibri" w:cs="Calibri"/>
        </w:rPr>
        <w:t xml:space="preserve">Comte, A., 1853. </w:t>
      </w:r>
      <w:r w:rsidRPr="00366D8D">
        <w:rPr>
          <w:rFonts w:ascii="Calibri" w:hAnsi="Calibri" w:cs="Calibri"/>
          <w:i/>
          <w:iCs/>
        </w:rPr>
        <w:t>The positive philosophy of Auguste Comte</w:t>
      </w:r>
      <w:r w:rsidRPr="00366D8D">
        <w:rPr>
          <w:rFonts w:ascii="Calibri" w:hAnsi="Calibri" w:cs="Calibri"/>
        </w:rPr>
        <w:t>. London: Chapman.</w:t>
      </w:r>
    </w:p>
    <w:p w14:paraId="16278B0B" w14:textId="77777777" w:rsidR="00366D8D" w:rsidRPr="00366D8D" w:rsidRDefault="00366D8D" w:rsidP="00366D8D">
      <w:pPr>
        <w:jc w:val="both"/>
        <w:rPr>
          <w:rFonts w:ascii="Calibri" w:hAnsi="Calibri" w:cs="Calibri"/>
        </w:rPr>
      </w:pPr>
      <w:r w:rsidRPr="00366D8D">
        <w:rPr>
          <w:rFonts w:ascii="Calibri" w:hAnsi="Calibri" w:cs="Calibri"/>
        </w:rPr>
        <w:t xml:space="preserve">Creswell, J.W. and Plano Clark, V.L., 2011. </w:t>
      </w:r>
      <w:r w:rsidRPr="00366D8D">
        <w:rPr>
          <w:rFonts w:ascii="Calibri" w:hAnsi="Calibri" w:cs="Calibri"/>
          <w:i/>
          <w:iCs/>
        </w:rPr>
        <w:t>Designing and conducting mixed methods research</w:t>
      </w:r>
      <w:r w:rsidRPr="00366D8D">
        <w:rPr>
          <w:rFonts w:ascii="Calibri" w:hAnsi="Calibri" w:cs="Calibri"/>
        </w:rPr>
        <w:t>. 2nd ed. Thousand Oaks, CA: Sage.</w:t>
      </w:r>
    </w:p>
    <w:p w14:paraId="060DDF12" w14:textId="77777777" w:rsidR="00366D8D" w:rsidRPr="00366D8D" w:rsidRDefault="00366D8D" w:rsidP="00366D8D">
      <w:pPr>
        <w:jc w:val="both"/>
        <w:rPr>
          <w:rFonts w:ascii="Calibri" w:hAnsi="Calibri" w:cs="Calibri"/>
        </w:rPr>
      </w:pPr>
      <w:r w:rsidRPr="00366D8D">
        <w:rPr>
          <w:rFonts w:ascii="Calibri" w:hAnsi="Calibri" w:cs="Calibri"/>
        </w:rPr>
        <w:t xml:space="preserve">Creswell, J.W. and Plano Clark, V.L., 2018. </w:t>
      </w:r>
      <w:r w:rsidRPr="00366D8D">
        <w:rPr>
          <w:rFonts w:ascii="Calibri" w:hAnsi="Calibri" w:cs="Calibri"/>
          <w:i/>
          <w:iCs/>
        </w:rPr>
        <w:t>Designing and conducting mixed methods research</w:t>
      </w:r>
      <w:r w:rsidRPr="00366D8D">
        <w:rPr>
          <w:rFonts w:ascii="Calibri" w:hAnsi="Calibri" w:cs="Calibri"/>
        </w:rPr>
        <w:t>. 3rd ed. Thousand Oaks, CA: Sage.</w:t>
      </w:r>
    </w:p>
    <w:p w14:paraId="5D33603F" w14:textId="77777777" w:rsidR="00366D8D" w:rsidRPr="00366D8D" w:rsidRDefault="00366D8D" w:rsidP="00366D8D">
      <w:pPr>
        <w:jc w:val="both"/>
        <w:rPr>
          <w:rFonts w:ascii="Calibri" w:hAnsi="Calibri" w:cs="Calibri"/>
        </w:rPr>
      </w:pPr>
      <w:r w:rsidRPr="00366D8D">
        <w:rPr>
          <w:rFonts w:ascii="Calibri" w:hAnsi="Calibri" w:cs="Calibri"/>
        </w:rPr>
        <w:t xml:space="preserve">Cribb, J., Emmerson, C., Johnson, P. and Karjalainen, H., 2023. </w:t>
      </w:r>
      <w:r w:rsidRPr="00366D8D">
        <w:rPr>
          <w:rFonts w:ascii="Calibri" w:hAnsi="Calibri" w:cs="Calibri"/>
          <w:i/>
          <w:iCs/>
        </w:rPr>
        <w:t>The future of the state pension</w:t>
      </w:r>
      <w:r w:rsidRPr="00366D8D">
        <w:rPr>
          <w:rFonts w:ascii="Calibri" w:hAnsi="Calibri" w:cs="Calibri"/>
        </w:rPr>
        <w:t xml:space="preserve">. Institute for Fiscal Studies. Available at: </w:t>
      </w:r>
      <w:hyperlink r:id="rId6" w:tgtFrame="_new" w:history="1">
        <w:r w:rsidRPr="00366D8D">
          <w:rPr>
            <w:rStyle w:val="Hyperlink"/>
            <w:rFonts w:ascii="Calibri" w:hAnsi="Calibri" w:cs="Calibri"/>
          </w:rPr>
          <w:t>https://ifs.org.uk/publications/future-state-pension</w:t>
        </w:r>
      </w:hyperlink>
      <w:r w:rsidRPr="00366D8D">
        <w:rPr>
          <w:rFonts w:ascii="Calibri" w:hAnsi="Calibri" w:cs="Calibri"/>
        </w:rPr>
        <w:t xml:space="preserve"> [Accessed 15 Apr. 2025].</w:t>
      </w:r>
    </w:p>
    <w:p w14:paraId="17003F42" w14:textId="77777777" w:rsidR="00366D8D" w:rsidRPr="00366D8D" w:rsidRDefault="00366D8D" w:rsidP="00366D8D">
      <w:pPr>
        <w:jc w:val="both"/>
        <w:rPr>
          <w:rFonts w:ascii="Calibri" w:hAnsi="Calibri" w:cs="Calibri"/>
        </w:rPr>
      </w:pPr>
      <w:r w:rsidRPr="00366D8D">
        <w:rPr>
          <w:rFonts w:ascii="Calibri" w:hAnsi="Calibri" w:cs="Calibri"/>
        </w:rPr>
        <w:lastRenderedPageBreak/>
        <w:t xml:space="preserve">Croll, P., 2008. Occupational choice, socio-economic status and educational attainment: A study of the occupational choices and destinations of young people in the British Household Panel Survey. </w:t>
      </w:r>
      <w:r w:rsidRPr="00366D8D">
        <w:rPr>
          <w:rFonts w:ascii="Calibri" w:hAnsi="Calibri" w:cs="Calibri"/>
          <w:i/>
          <w:iCs/>
        </w:rPr>
        <w:t>Research Papers in Education</w:t>
      </w:r>
      <w:r w:rsidRPr="00366D8D">
        <w:rPr>
          <w:rFonts w:ascii="Calibri" w:hAnsi="Calibri" w:cs="Calibri"/>
        </w:rPr>
        <w:t>, 23(3), pp.243–268.</w:t>
      </w:r>
    </w:p>
    <w:p w14:paraId="7F878FCE" w14:textId="77777777" w:rsidR="00366D8D" w:rsidRPr="00366D8D" w:rsidRDefault="00366D8D" w:rsidP="00366D8D">
      <w:pPr>
        <w:jc w:val="both"/>
        <w:rPr>
          <w:rFonts w:ascii="Calibri" w:hAnsi="Calibri" w:cs="Calibri"/>
        </w:rPr>
      </w:pPr>
      <w:r w:rsidRPr="00366D8D">
        <w:rPr>
          <w:rFonts w:ascii="Calibri" w:hAnsi="Calibri" w:cs="Calibri"/>
        </w:rPr>
        <w:t xml:space="preserve">Damon, W., 2009. </w:t>
      </w:r>
      <w:r w:rsidRPr="00366D8D">
        <w:rPr>
          <w:rFonts w:ascii="Calibri" w:hAnsi="Calibri" w:cs="Calibri"/>
          <w:i/>
          <w:iCs/>
        </w:rPr>
        <w:t>The path to purpose: How young people find their calling in life</w:t>
      </w:r>
      <w:r w:rsidRPr="00366D8D">
        <w:rPr>
          <w:rFonts w:ascii="Calibri" w:hAnsi="Calibri" w:cs="Calibri"/>
        </w:rPr>
        <w:t>. New York: Simon &amp; Schuster.</w:t>
      </w:r>
    </w:p>
    <w:p w14:paraId="0EA4C0F5" w14:textId="77777777" w:rsidR="00366D8D" w:rsidRPr="00366D8D" w:rsidRDefault="00366D8D" w:rsidP="00366D8D">
      <w:pPr>
        <w:jc w:val="both"/>
        <w:rPr>
          <w:rFonts w:ascii="Calibri" w:hAnsi="Calibri" w:cs="Calibri"/>
        </w:rPr>
      </w:pPr>
      <w:r w:rsidRPr="00366D8D">
        <w:rPr>
          <w:rFonts w:ascii="Calibri" w:hAnsi="Calibri" w:cs="Calibri"/>
        </w:rPr>
        <w:t xml:space="preserve">Denscombe, M., 2010. </w:t>
      </w:r>
      <w:r w:rsidRPr="00366D8D">
        <w:rPr>
          <w:rFonts w:ascii="Calibri" w:hAnsi="Calibri" w:cs="Calibri"/>
          <w:i/>
          <w:iCs/>
        </w:rPr>
        <w:t>The good research guide: For small-scale social research projects</w:t>
      </w:r>
      <w:r w:rsidRPr="00366D8D">
        <w:rPr>
          <w:rFonts w:ascii="Calibri" w:hAnsi="Calibri" w:cs="Calibri"/>
        </w:rPr>
        <w:t>. 4th ed. Maidenhead: Open University Press.</w:t>
      </w:r>
    </w:p>
    <w:p w14:paraId="618B38DD" w14:textId="77777777" w:rsidR="00366D8D" w:rsidRPr="00366D8D" w:rsidRDefault="00366D8D" w:rsidP="00366D8D">
      <w:pPr>
        <w:jc w:val="both"/>
        <w:rPr>
          <w:rFonts w:ascii="Calibri" w:hAnsi="Calibri" w:cs="Calibri"/>
        </w:rPr>
      </w:pPr>
      <w:r w:rsidRPr="00366D8D">
        <w:rPr>
          <w:rFonts w:ascii="Calibri" w:hAnsi="Calibri" w:cs="Calibri"/>
        </w:rPr>
        <w:t xml:space="preserve">Dewey, J., 2016. Excerpts from Democracy and Education (1916). </w:t>
      </w:r>
      <w:r w:rsidRPr="00366D8D">
        <w:rPr>
          <w:rFonts w:ascii="Calibri" w:hAnsi="Calibri" w:cs="Calibri"/>
          <w:i/>
          <w:iCs/>
        </w:rPr>
        <w:t>Schools</w:t>
      </w:r>
      <w:r w:rsidRPr="00366D8D">
        <w:rPr>
          <w:rFonts w:ascii="Calibri" w:hAnsi="Calibri" w:cs="Calibri"/>
        </w:rPr>
        <w:t>, 13(1), pp.127–139.</w:t>
      </w:r>
    </w:p>
    <w:p w14:paraId="35116987" w14:textId="77777777" w:rsidR="00366D8D" w:rsidRPr="00366D8D" w:rsidRDefault="00366D8D" w:rsidP="00366D8D">
      <w:pPr>
        <w:jc w:val="both"/>
        <w:rPr>
          <w:rFonts w:ascii="Calibri" w:hAnsi="Calibri" w:cs="Calibri"/>
        </w:rPr>
      </w:pPr>
      <w:r w:rsidRPr="00366D8D">
        <w:rPr>
          <w:rFonts w:ascii="Calibri" w:hAnsi="Calibri" w:cs="Calibri"/>
        </w:rPr>
        <w:t xml:space="preserve">Donaldson, G., 2015. </w:t>
      </w:r>
      <w:r w:rsidRPr="00366D8D">
        <w:rPr>
          <w:rFonts w:ascii="Calibri" w:hAnsi="Calibri" w:cs="Calibri"/>
          <w:i/>
          <w:iCs/>
        </w:rPr>
        <w:t>Successful futures: Independent review of curriculum and assessment arrangements in Wales</w:t>
      </w:r>
      <w:r w:rsidRPr="00366D8D">
        <w:rPr>
          <w:rFonts w:ascii="Calibri" w:hAnsi="Calibri" w:cs="Calibri"/>
        </w:rPr>
        <w:t>. Cardiff: Welsh Government.</w:t>
      </w:r>
    </w:p>
    <w:p w14:paraId="780A2174" w14:textId="77777777" w:rsidR="00366D8D" w:rsidRPr="00366D8D" w:rsidRDefault="00366D8D" w:rsidP="00366D8D">
      <w:pPr>
        <w:jc w:val="both"/>
        <w:rPr>
          <w:rFonts w:ascii="Calibri" w:hAnsi="Calibri" w:cs="Calibri"/>
        </w:rPr>
      </w:pPr>
      <w:r w:rsidRPr="00366D8D">
        <w:rPr>
          <w:rFonts w:ascii="Calibri" w:hAnsi="Calibri" w:cs="Calibri"/>
        </w:rPr>
        <w:t xml:space="preserve">Freire, P., 1996. </w:t>
      </w:r>
      <w:r w:rsidRPr="00366D8D">
        <w:rPr>
          <w:rFonts w:ascii="Calibri" w:hAnsi="Calibri" w:cs="Calibri"/>
          <w:i/>
          <w:iCs/>
        </w:rPr>
        <w:t>Pedagogy of the oppressed</w:t>
      </w:r>
      <w:r w:rsidRPr="00366D8D">
        <w:rPr>
          <w:rFonts w:ascii="Calibri" w:hAnsi="Calibri" w:cs="Calibri"/>
        </w:rPr>
        <w:t>. Revised ed. New York: Continuum.</w:t>
      </w:r>
    </w:p>
    <w:p w14:paraId="37B24EEF" w14:textId="77777777" w:rsidR="00366D8D" w:rsidRPr="00366D8D" w:rsidRDefault="00366D8D" w:rsidP="00366D8D">
      <w:pPr>
        <w:jc w:val="both"/>
        <w:rPr>
          <w:rFonts w:ascii="Calibri" w:hAnsi="Calibri" w:cs="Calibri"/>
        </w:rPr>
      </w:pPr>
      <w:r w:rsidRPr="00366D8D">
        <w:rPr>
          <w:rFonts w:ascii="Calibri" w:hAnsi="Calibri" w:cs="Calibri"/>
        </w:rPr>
        <w:t xml:space="preserve">Furlong, A., 2006. Not a very NEET solution: Representing problematic labour market transitions among early school-leavers. </w:t>
      </w:r>
      <w:r w:rsidRPr="00366D8D">
        <w:rPr>
          <w:rFonts w:ascii="Calibri" w:hAnsi="Calibri" w:cs="Calibri"/>
          <w:i/>
          <w:iCs/>
        </w:rPr>
        <w:t>Work, Employment and Society</w:t>
      </w:r>
      <w:r w:rsidRPr="00366D8D">
        <w:rPr>
          <w:rFonts w:ascii="Calibri" w:hAnsi="Calibri" w:cs="Calibri"/>
        </w:rPr>
        <w:t>, 20(3), pp.553–569.</w:t>
      </w:r>
    </w:p>
    <w:p w14:paraId="4E8B00F6" w14:textId="77777777" w:rsidR="00366D8D" w:rsidRPr="00366D8D" w:rsidRDefault="00366D8D" w:rsidP="00366D8D">
      <w:pPr>
        <w:jc w:val="both"/>
        <w:rPr>
          <w:rFonts w:ascii="Calibri" w:hAnsi="Calibri" w:cs="Calibri"/>
        </w:rPr>
      </w:pPr>
      <w:r w:rsidRPr="00366D8D">
        <w:rPr>
          <w:rFonts w:ascii="Calibri" w:hAnsi="Calibri" w:cs="Calibri"/>
        </w:rPr>
        <w:t xml:space="preserve">Goodman, A., Gregg, P. and Chowdry, H., eds., 2010. </w:t>
      </w:r>
      <w:r w:rsidRPr="00366D8D">
        <w:rPr>
          <w:rFonts w:ascii="Calibri" w:hAnsi="Calibri" w:cs="Calibri"/>
          <w:i/>
          <w:iCs/>
        </w:rPr>
        <w:t>Poorer children's educational attainment: How important are attitudes and behaviour?</w:t>
      </w:r>
      <w:r w:rsidRPr="00366D8D">
        <w:rPr>
          <w:rFonts w:ascii="Calibri" w:hAnsi="Calibri" w:cs="Calibri"/>
        </w:rPr>
        <w:t xml:space="preserve"> York: Joseph Rowntree Foundation.</w:t>
      </w:r>
    </w:p>
    <w:p w14:paraId="45B0CAEA" w14:textId="77777777" w:rsidR="00366D8D" w:rsidRPr="00366D8D" w:rsidRDefault="00366D8D" w:rsidP="00366D8D">
      <w:pPr>
        <w:jc w:val="both"/>
        <w:rPr>
          <w:rFonts w:ascii="Calibri" w:hAnsi="Calibri" w:cs="Calibri"/>
        </w:rPr>
      </w:pPr>
      <w:r w:rsidRPr="00366D8D">
        <w:rPr>
          <w:rFonts w:ascii="Calibri" w:hAnsi="Calibri" w:cs="Calibri"/>
        </w:rPr>
        <w:t xml:space="preserve">Hitchcock, G. and Hughes, D., 1995. </w:t>
      </w:r>
      <w:r w:rsidRPr="00366D8D">
        <w:rPr>
          <w:rFonts w:ascii="Calibri" w:hAnsi="Calibri" w:cs="Calibri"/>
          <w:i/>
          <w:iCs/>
        </w:rPr>
        <w:t>Research and the teacher: A qualitative introduction to school-based research</w:t>
      </w:r>
      <w:r w:rsidRPr="00366D8D">
        <w:rPr>
          <w:rFonts w:ascii="Calibri" w:hAnsi="Calibri" w:cs="Calibri"/>
        </w:rPr>
        <w:t>. London: Routledge.</w:t>
      </w:r>
    </w:p>
    <w:p w14:paraId="2A653BEA" w14:textId="77777777" w:rsidR="00366D8D" w:rsidRPr="00366D8D" w:rsidRDefault="00366D8D" w:rsidP="00366D8D">
      <w:pPr>
        <w:jc w:val="both"/>
        <w:rPr>
          <w:rFonts w:ascii="Calibri" w:hAnsi="Calibri" w:cs="Calibri"/>
        </w:rPr>
      </w:pPr>
      <w:r w:rsidRPr="00366D8D">
        <w:rPr>
          <w:rFonts w:ascii="Calibri" w:hAnsi="Calibri" w:cs="Calibri"/>
        </w:rPr>
        <w:t xml:space="preserve">Holmes, A.G.D., 2020. Researcher positionality: A consideration of its influence and place in qualitative research. </w:t>
      </w:r>
      <w:r w:rsidRPr="00366D8D">
        <w:rPr>
          <w:rFonts w:ascii="Calibri" w:hAnsi="Calibri" w:cs="Calibri"/>
          <w:i/>
          <w:iCs/>
        </w:rPr>
        <w:t>International Journal of Qualitative Methods</w:t>
      </w:r>
      <w:r w:rsidRPr="00366D8D">
        <w:rPr>
          <w:rFonts w:ascii="Calibri" w:hAnsi="Calibri" w:cs="Calibri"/>
        </w:rPr>
        <w:t>, 19, pp.1–8.</w:t>
      </w:r>
    </w:p>
    <w:p w14:paraId="08B84FBC" w14:textId="77777777" w:rsidR="00366D8D" w:rsidRPr="00366D8D" w:rsidRDefault="00366D8D" w:rsidP="00366D8D">
      <w:pPr>
        <w:jc w:val="both"/>
        <w:rPr>
          <w:rFonts w:ascii="Calibri" w:hAnsi="Calibri" w:cs="Calibri"/>
        </w:rPr>
      </w:pPr>
      <w:r w:rsidRPr="00366D8D">
        <w:rPr>
          <w:rFonts w:ascii="Calibri" w:hAnsi="Calibri" w:cs="Calibri"/>
        </w:rPr>
        <w:t xml:space="preserve">Hughes, D., Mann, A., Barnes, S-A., Baldauf, B. and McKeown, R., 2016. </w:t>
      </w:r>
      <w:r w:rsidRPr="00366D8D">
        <w:rPr>
          <w:rFonts w:ascii="Calibri" w:hAnsi="Calibri" w:cs="Calibri"/>
          <w:i/>
          <w:iCs/>
        </w:rPr>
        <w:t>Careers education: International literature review</w:t>
      </w:r>
      <w:r w:rsidRPr="00366D8D">
        <w:rPr>
          <w:rFonts w:ascii="Calibri" w:hAnsi="Calibri" w:cs="Calibri"/>
        </w:rPr>
        <w:t>. London: Education Endowment Foundation.</w:t>
      </w:r>
    </w:p>
    <w:p w14:paraId="21D79CF7" w14:textId="77777777" w:rsidR="00366D8D" w:rsidRPr="00366D8D" w:rsidRDefault="00366D8D" w:rsidP="00366D8D">
      <w:pPr>
        <w:jc w:val="both"/>
        <w:rPr>
          <w:rFonts w:ascii="Calibri" w:hAnsi="Calibri" w:cs="Calibri"/>
        </w:rPr>
      </w:pPr>
      <w:r w:rsidRPr="00366D8D">
        <w:rPr>
          <w:rFonts w:ascii="Calibri" w:hAnsi="Calibri" w:cs="Calibri"/>
        </w:rPr>
        <w:t xml:space="preserve">Institute for Fiscal Studies, 2024. </w:t>
      </w:r>
      <w:r w:rsidRPr="00366D8D">
        <w:rPr>
          <w:rFonts w:ascii="Calibri" w:hAnsi="Calibri" w:cs="Calibri"/>
          <w:i/>
          <w:iCs/>
        </w:rPr>
        <w:t>Major challenges for education in Wales</w:t>
      </w:r>
      <w:r w:rsidRPr="00366D8D">
        <w:rPr>
          <w:rFonts w:ascii="Calibri" w:hAnsi="Calibri" w:cs="Calibri"/>
        </w:rPr>
        <w:t xml:space="preserve">. Available at: </w:t>
      </w:r>
      <w:hyperlink r:id="rId7" w:tgtFrame="_new" w:history="1">
        <w:r w:rsidRPr="00366D8D">
          <w:rPr>
            <w:rStyle w:val="Hyperlink"/>
            <w:rFonts w:ascii="Calibri" w:hAnsi="Calibri" w:cs="Calibri"/>
          </w:rPr>
          <w:t>https://ifs.org.uk/sites/default/files/2024-03/Major-challenges-for-education-in-Wales-IFS-REPORT_0.pdf</w:t>
        </w:r>
      </w:hyperlink>
      <w:r w:rsidRPr="00366D8D">
        <w:rPr>
          <w:rFonts w:ascii="Calibri" w:hAnsi="Calibri" w:cs="Calibri"/>
        </w:rPr>
        <w:t xml:space="preserve"> [Accessed 23 Nov. 2024].</w:t>
      </w:r>
    </w:p>
    <w:p w14:paraId="67AD7603" w14:textId="77777777" w:rsidR="00366D8D" w:rsidRPr="00366D8D" w:rsidRDefault="00366D8D" w:rsidP="00366D8D">
      <w:pPr>
        <w:jc w:val="both"/>
        <w:rPr>
          <w:rFonts w:ascii="Calibri" w:hAnsi="Calibri" w:cs="Calibri"/>
        </w:rPr>
      </w:pPr>
      <w:proofErr w:type="spellStart"/>
      <w:r w:rsidRPr="00366D8D">
        <w:rPr>
          <w:rFonts w:ascii="Calibri" w:hAnsi="Calibri" w:cs="Calibri"/>
        </w:rPr>
        <w:t>Kintrea</w:t>
      </w:r>
      <w:proofErr w:type="spellEnd"/>
      <w:r w:rsidRPr="00366D8D">
        <w:rPr>
          <w:rFonts w:ascii="Calibri" w:hAnsi="Calibri" w:cs="Calibri"/>
        </w:rPr>
        <w:t xml:space="preserve">, K., St Clair, R. and Houston, M., 2011. </w:t>
      </w:r>
      <w:r w:rsidRPr="00366D8D">
        <w:rPr>
          <w:rFonts w:ascii="Calibri" w:hAnsi="Calibri" w:cs="Calibri"/>
          <w:i/>
          <w:iCs/>
        </w:rPr>
        <w:t>The influence of parents, places and poverty on educational attitudes and aspirations</w:t>
      </w:r>
      <w:r w:rsidRPr="00366D8D">
        <w:rPr>
          <w:rFonts w:ascii="Calibri" w:hAnsi="Calibri" w:cs="Calibri"/>
        </w:rPr>
        <w:t>. York: Joseph Rowntree Foundation.</w:t>
      </w:r>
    </w:p>
    <w:p w14:paraId="04953978" w14:textId="77777777" w:rsidR="00366D8D" w:rsidRPr="00366D8D" w:rsidRDefault="00366D8D" w:rsidP="00366D8D">
      <w:pPr>
        <w:jc w:val="both"/>
        <w:rPr>
          <w:rFonts w:ascii="Calibri" w:hAnsi="Calibri" w:cs="Calibri"/>
        </w:rPr>
      </w:pPr>
      <w:r w:rsidRPr="00366D8D">
        <w:rPr>
          <w:rFonts w:ascii="Calibri" w:hAnsi="Calibri" w:cs="Calibri"/>
        </w:rPr>
        <w:t xml:space="preserve">Lincoln, Y.S. and Guba, E.G., 1985. </w:t>
      </w:r>
      <w:r w:rsidRPr="00366D8D">
        <w:rPr>
          <w:rFonts w:ascii="Calibri" w:hAnsi="Calibri" w:cs="Calibri"/>
          <w:i/>
          <w:iCs/>
        </w:rPr>
        <w:t>Naturalistic inquiry</w:t>
      </w:r>
      <w:r w:rsidRPr="00366D8D">
        <w:rPr>
          <w:rFonts w:ascii="Calibri" w:hAnsi="Calibri" w:cs="Calibri"/>
        </w:rPr>
        <w:t>. Beverly Hills, CA: Sage.</w:t>
      </w:r>
    </w:p>
    <w:p w14:paraId="6BCA650B" w14:textId="77777777" w:rsidR="00366D8D" w:rsidRPr="00366D8D" w:rsidRDefault="00366D8D" w:rsidP="00366D8D">
      <w:pPr>
        <w:jc w:val="both"/>
        <w:rPr>
          <w:rFonts w:ascii="Calibri" w:hAnsi="Calibri" w:cs="Calibri"/>
        </w:rPr>
      </w:pPr>
      <w:r w:rsidRPr="00366D8D">
        <w:rPr>
          <w:rFonts w:ascii="Calibri" w:hAnsi="Calibri" w:cs="Calibri"/>
        </w:rPr>
        <w:t xml:space="preserve">Moore, K., 2020. </w:t>
      </w:r>
      <w:r w:rsidRPr="00366D8D">
        <w:rPr>
          <w:rFonts w:ascii="Calibri" w:hAnsi="Calibri" w:cs="Calibri"/>
          <w:i/>
          <w:iCs/>
        </w:rPr>
        <w:t>Reporting on poverty: News media narratives and third sector communications in Wales</w:t>
      </w:r>
      <w:r w:rsidRPr="00366D8D">
        <w:rPr>
          <w:rFonts w:ascii="Calibri" w:hAnsi="Calibri" w:cs="Calibri"/>
        </w:rPr>
        <w:t>. Cardiff: Cardiff University Press.</w:t>
      </w:r>
    </w:p>
    <w:p w14:paraId="4E933687" w14:textId="77777777" w:rsidR="00366D8D" w:rsidRPr="00366D8D" w:rsidRDefault="00366D8D" w:rsidP="00366D8D">
      <w:pPr>
        <w:jc w:val="both"/>
        <w:rPr>
          <w:rFonts w:ascii="Calibri" w:hAnsi="Calibri" w:cs="Calibri"/>
        </w:rPr>
      </w:pPr>
      <w:r w:rsidRPr="00366D8D">
        <w:rPr>
          <w:rFonts w:ascii="Calibri" w:hAnsi="Calibri" w:cs="Calibri"/>
        </w:rPr>
        <w:t xml:space="preserve">Robson, C., 1993. </w:t>
      </w:r>
      <w:r w:rsidRPr="00366D8D">
        <w:rPr>
          <w:rFonts w:ascii="Calibri" w:hAnsi="Calibri" w:cs="Calibri"/>
          <w:i/>
          <w:iCs/>
        </w:rPr>
        <w:t>Real world research: A resource for social scientists and practitioner researchers</w:t>
      </w:r>
      <w:r w:rsidRPr="00366D8D">
        <w:rPr>
          <w:rFonts w:ascii="Calibri" w:hAnsi="Calibri" w:cs="Calibri"/>
        </w:rPr>
        <w:t>. Oxford: Blackwell Publishers Inc.</w:t>
      </w:r>
    </w:p>
    <w:p w14:paraId="009FC9AA" w14:textId="77777777" w:rsidR="00366D8D" w:rsidRPr="00366D8D" w:rsidRDefault="00366D8D" w:rsidP="00366D8D">
      <w:pPr>
        <w:jc w:val="both"/>
        <w:rPr>
          <w:rFonts w:ascii="Calibri" w:hAnsi="Calibri" w:cs="Calibri"/>
        </w:rPr>
      </w:pPr>
      <w:r w:rsidRPr="00366D8D">
        <w:rPr>
          <w:rFonts w:ascii="Calibri" w:hAnsi="Calibri" w:cs="Calibri"/>
        </w:rPr>
        <w:t xml:space="preserve">Rowe, A., 2014. Situated knowledge and the expert-novice distinction: Implications for research and knowledge production. </w:t>
      </w:r>
      <w:r w:rsidRPr="00366D8D">
        <w:rPr>
          <w:rFonts w:ascii="Calibri" w:hAnsi="Calibri" w:cs="Calibri"/>
          <w:i/>
          <w:iCs/>
        </w:rPr>
        <w:t>Qualitative Research</w:t>
      </w:r>
      <w:r w:rsidRPr="00366D8D">
        <w:rPr>
          <w:rFonts w:ascii="Calibri" w:hAnsi="Calibri" w:cs="Calibri"/>
        </w:rPr>
        <w:t>, 14(2), pp.137–153.</w:t>
      </w:r>
    </w:p>
    <w:p w14:paraId="0D083276" w14:textId="77777777" w:rsidR="00366D8D" w:rsidRPr="00366D8D" w:rsidRDefault="00366D8D" w:rsidP="00366D8D">
      <w:pPr>
        <w:jc w:val="both"/>
        <w:rPr>
          <w:rFonts w:ascii="Calibri" w:hAnsi="Calibri" w:cs="Calibri"/>
        </w:rPr>
      </w:pPr>
      <w:r w:rsidRPr="00366D8D">
        <w:rPr>
          <w:rFonts w:ascii="Calibri" w:hAnsi="Calibri" w:cs="Calibri"/>
        </w:rPr>
        <w:t xml:space="preserve">Savin-Baden, M. and Major, C.H., 2013. </w:t>
      </w:r>
      <w:r w:rsidRPr="00366D8D">
        <w:rPr>
          <w:rFonts w:ascii="Calibri" w:hAnsi="Calibri" w:cs="Calibri"/>
          <w:i/>
          <w:iCs/>
        </w:rPr>
        <w:t>Qualitative research: The essential guide to theory and practice</w:t>
      </w:r>
      <w:r w:rsidRPr="00366D8D">
        <w:rPr>
          <w:rFonts w:ascii="Calibri" w:hAnsi="Calibri" w:cs="Calibri"/>
        </w:rPr>
        <w:t>. London: Routledge.</w:t>
      </w:r>
    </w:p>
    <w:p w14:paraId="0E849916" w14:textId="77777777" w:rsidR="00366D8D" w:rsidRPr="00366D8D" w:rsidRDefault="00366D8D" w:rsidP="00366D8D">
      <w:pPr>
        <w:jc w:val="both"/>
        <w:rPr>
          <w:rFonts w:ascii="Calibri" w:hAnsi="Calibri" w:cs="Calibri"/>
        </w:rPr>
      </w:pPr>
      <w:r w:rsidRPr="00366D8D">
        <w:rPr>
          <w:rFonts w:ascii="Calibri" w:hAnsi="Calibri" w:cs="Calibri"/>
        </w:rPr>
        <w:t xml:space="preserve">Schwandt, T.A., 1994. Constructivist, interpretivist approaches to human inquiry. In: N.K. Denzin and Y.S. Lincoln, eds. </w:t>
      </w:r>
      <w:r w:rsidRPr="00366D8D">
        <w:rPr>
          <w:rFonts w:ascii="Calibri" w:hAnsi="Calibri" w:cs="Calibri"/>
          <w:i/>
          <w:iCs/>
        </w:rPr>
        <w:t>Handbook of Qualitative Research</w:t>
      </w:r>
      <w:r w:rsidRPr="00366D8D">
        <w:rPr>
          <w:rFonts w:ascii="Calibri" w:hAnsi="Calibri" w:cs="Calibri"/>
        </w:rPr>
        <w:t>. Thousand Oaks, CA: Sage, pp.118–137.</w:t>
      </w:r>
    </w:p>
    <w:p w14:paraId="0FF19329" w14:textId="77777777" w:rsidR="00366D8D" w:rsidRPr="00366D8D" w:rsidRDefault="00366D8D" w:rsidP="00366D8D">
      <w:pPr>
        <w:jc w:val="both"/>
        <w:rPr>
          <w:rFonts w:ascii="Calibri" w:hAnsi="Calibri" w:cs="Calibri"/>
        </w:rPr>
      </w:pPr>
      <w:r w:rsidRPr="00366D8D">
        <w:rPr>
          <w:rFonts w:ascii="Calibri" w:hAnsi="Calibri" w:cs="Calibri"/>
        </w:rPr>
        <w:lastRenderedPageBreak/>
        <w:t xml:space="preserve">Scotland, J., 2012. Exploring the philosophical underpinnings of research: Relating ontology and epistemology to the methodology and methods of the scientific, interpretive, and critical research paradigms. </w:t>
      </w:r>
      <w:r w:rsidRPr="00366D8D">
        <w:rPr>
          <w:rFonts w:ascii="Calibri" w:hAnsi="Calibri" w:cs="Calibri"/>
          <w:i/>
          <w:iCs/>
        </w:rPr>
        <w:t>English Language Teaching</w:t>
      </w:r>
      <w:r w:rsidRPr="00366D8D">
        <w:rPr>
          <w:rFonts w:ascii="Calibri" w:hAnsi="Calibri" w:cs="Calibri"/>
        </w:rPr>
        <w:t>, 5(9), pp.9–16.</w:t>
      </w:r>
    </w:p>
    <w:p w14:paraId="41A74387" w14:textId="77777777" w:rsidR="00366D8D" w:rsidRPr="00366D8D" w:rsidRDefault="00366D8D" w:rsidP="00366D8D">
      <w:pPr>
        <w:jc w:val="both"/>
        <w:rPr>
          <w:rFonts w:ascii="Calibri" w:hAnsi="Calibri" w:cs="Calibri"/>
        </w:rPr>
      </w:pPr>
      <w:r w:rsidRPr="00366D8D">
        <w:rPr>
          <w:rFonts w:ascii="Calibri" w:hAnsi="Calibri" w:cs="Calibri"/>
        </w:rPr>
        <w:t xml:space="preserve">Scott, J., Fowler, D., McGorry, P., Birchwood, M., Killackey, E., Christensen, H., </w:t>
      </w:r>
      <w:proofErr w:type="spellStart"/>
      <w:r w:rsidRPr="00366D8D">
        <w:rPr>
          <w:rFonts w:ascii="Calibri" w:hAnsi="Calibri" w:cs="Calibri"/>
        </w:rPr>
        <w:t>Glozier</w:t>
      </w:r>
      <w:proofErr w:type="spellEnd"/>
      <w:r w:rsidRPr="00366D8D">
        <w:rPr>
          <w:rFonts w:ascii="Calibri" w:hAnsi="Calibri" w:cs="Calibri"/>
        </w:rPr>
        <w:t xml:space="preserve">, N., Yung, A., Power, P., Nordentoft, M. and Singh, S., 2013. Adolescents and young adults who are not in employment, education, or training. </w:t>
      </w:r>
      <w:r w:rsidRPr="00366D8D">
        <w:rPr>
          <w:rFonts w:ascii="Calibri" w:hAnsi="Calibri" w:cs="Calibri"/>
          <w:i/>
          <w:iCs/>
        </w:rPr>
        <w:t>British Medical Journal</w:t>
      </w:r>
      <w:r w:rsidRPr="00366D8D">
        <w:rPr>
          <w:rFonts w:ascii="Calibri" w:hAnsi="Calibri" w:cs="Calibri"/>
        </w:rPr>
        <w:t>, 347, f5270.</w:t>
      </w:r>
    </w:p>
    <w:p w14:paraId="48D67A01" w14:textId="77777777" w:rsidR="00366D8D" w:rsidRPr="00366D8D" w:rsidRDefault="00366D8D" w:rsidP="00366D8D">
      <w:pPr>
        <w:jc w:val="both"/>
        <w:rPr>
          <w:rFonts w:ascii="Calibri" w:hAnsi="Calibri" w:cs="Calibri"/>
        </w:rPr>
      </w:pPr>
      <w:r w:rsidRPr="00366D8D">
        <w:rPr>
          <w:rFonts w:ascii="Calibri" w:hAnsi="Calibri" w:cs="Calibri"/>
        </w:rPr>
        <w:t xml:space="preserve">Simons, H., 2009. </w:t>
      </w:r>
      <w:r w:rsidRPr="00366D8D">
        <w:rPr>
          <w:rFonts w:ascii="Calibri" w:hAnsi="Calibri" w:cs="Calibri"/>
          <w:i/>
          <w:iCs/>
        </w:rPr>
        <w:t>Case study research in practice</w:t>
      </w:r>
      <w:r w:rsidRPr="00366D8D">
        <w:rPr>
          <w:rFonts w:ascii="Calibri" w:hAnsi="Calibri" w:cs="Calibri"/>
        </w:rPr>
        <w:t>. London: Sage.</w:t>
      </w:r>
    </w:p>
    <w:p w14:paraId="6713665B" w14:textId="77777777" w:rsidR="00366D8D" w:rsidRPr="00366D8D" w:rsidRDefault="00366D8D" w:rsidP="00366D8D">
      <w:pPr>
        <w:jc w:val="both"/>
        <w:rPr>
          <w:rFonts w:ascii="Calibri" w:hAnsi="Calibri" w:cs="Calibri"/>
        </w:rPr>
      </w:pPr>
      <w:r w:rsidRPr="00366D8D">
        <w:rPr>
          <w:rFonts w:ascii="Calibri" w:hAnsi="Calibri" w:cs="Calibri"/>
        </w:rPr>
        <w:t xml:space="preserve">Staff, J. and Kreager, D.A., 2008. Too cool for school? Violence, peer status and high school dropout. </w:t>
      </w:r>
      <w:r w:rsidRPr="00366D8D">
        <w:rPr>
          <w:rFonts w:ascii="Calibri" w:hAnsi="Calibri" w:cs="Calibri"/>
          <w:i/>
          <w:iCs/>
        </w:rPr>
        <w:t>Social Forces</w:t>
      </w:r>
      <w:r w:rsidRPr="00366D8D">
        <w:rPr>
          <w:rFonts w:ascii="Calibri" w:hAnsi="Calibri" w:cs="Calibri"/>
        </w:rPr>
        <w:t>, 87(1), pp.445–471.</w:t>
      </w:r>
    </w:p>
    <w:p w14:paraId="6E4AA3C5" w14:textId="77777777" w:rsidR="00366D8D" w:rsidRPr="00366D8D" w:rsidRDefault="00366D8D" w:rsidP="00366D8D">
      <w:pPr>
        <w:jc w:val="both"/>
        <w:rPr>
          <w:rFonts w:ascii="Calibri" w:hAnsi="Calibri" w:cs="Calibri"/>
        </w:rPr>
      </w:pPr>
      <w:r w:rsidRPr="00366D8D">
        <w:rPr>
          <w:rFonts w:ascii="Calibri" w:hAnsi="Calibri" w:cs="Calibri"/>
        </w:rPr>
        <w:t xml:space="preserve">St Clair, R. and Benjamin, A., 2011. Performing desires: The dilemma of aspirations and educational attainment. </w:t>
      </w:r>
      <w:r w:rsidRPr="00366D8D">
        <w:rPr>
          <w:rFonts w:ascii="Calibri" w:hAnsi="Calibri" w:cs="Calibri"/>
          <w:i/>
          <w:iCs/>
        </w:rPr>
        <w:t>British Educational Research Journal</w:t>
      </w:r>
      <w:r w:rsidRPr="00366D8D">
        <w:rPr>
          <w:rFonts w:ascii="Calibri" w:hAnsi="Calibri" w:cs="Calibri"/>
        </w:rPr>
        <w:t>, 37(3), pp.501–517.</w:t>
      </w:r>
    </w:p>
    <w:p w14:paraId="4079C04A" w14:textId="77777777" w:rsidR="00366D8D" w:rsidRPr="00366D8D" w:rsidRDefault="00366D8D" w:rsidP="00366D8D">
      <w:pPr>
        <w:jc w:val="both"/>
        <w:rPr>
          <w:rFonts w:ascii="Calibri" w:hAnsi="Calibri" w:cs="Calibri"/>
        </w:rPr>
      </w:pPr>
      <w:r w:rsidRPr="00366D8D">
        <w:rPr>
          <w:rFonts w:ascii="Calibri" w:hAnsi="Calibri" w:cs="Calibri"/>
        </w:rPr>
        <w:t xml:space="preserve">Stake, R.E., 1995. </w:t>
      </w:r>
      <w:r w:rsidRPr="00366D8D">
        <w:rPr>
          <w:rFonts w:ascii="Calibri" w:hAnsi="Calibri" w:cs="Calibri"/>
          <w:i/>
          <w:iCs/>
        </w:rPr>
        <w:t>The art of case study research</w:t>
      </w:r>
      <w:r w:rsidRPr="00366D8D">
        <w:rPr>
          <w:rFonts w:ascii="Calibri" w:hAnsi="Calibri" w:cs="Calibri"/>
        </w:rPr>
        <w:t>. Thousand Oaks, CA: Sage.</w:t>
      </w:r>
    </w:p>
    <w:p w14:paraId="19D2BD50" w14:textId="77777777" w:rsidR="00366D8D" w:rsidRPr="00366D8D" w:rsidRDefault="00366D8D" w:rsidP="00366D8D">
      <w:pPr>
        <w:jc w:val="both"/>
        <w:rPr>
          <w:rFonts w:ascii="Calibri" w:hAnsi="Calibri" w:cs="Calibri"/>
        </w:rPr>
      </w:pPr>
      <w:proofErr w:type="spellStart"/>
      <w:r w:rsidRPr="00366D8D">
        <w:rPr>
          <w:rFonts w:ascii="Calibri" w:hAnsi="Calibri" w:cs="Calibri"/>
        </w:rPr>
        <w:t>Tashakkori</w:t>
      </w:r>
      <w:proofErr w:type="spellEnd"/>
      <w:r w:rsidRPr="00366D8D">
        <w:rPr>
          <w:rFonts w:ascii="Calibri" w:hAnsi="Calibri" w:cs="Calibri"/>
        </w:rPr>
        <w:t xml:space="preserve">, A. and Teddlie, C., 2010. </w:t>
      </w:r>
      <w:r w:rsidRPr="00366D8D">
        <w:rPr>
          <w:rFonts w:ascii="Calibri" w:hAnsi="Calibri" w:cs="Calibri"/>
          <w:i/>
          <w:iCs/>
        </w:rPr>
        <w:t xml:space="preserve">SAGE handbook of mixed methods in social &amp; </w:t>
      </w:r>
      <w:proofErr w:type="spellStart"/>
      <w:r w:rsidRPr="00366D8D">
        <w:rPr>
          <w:rFonts w:ascii="Calibri" w:hAnsi="Calibri" w:cs="Calibri"/>
          <w:i/>
          <w:iCs/>
        </w:rPr>
        <w:t>behavioral</w:t>
      </w:r>
      <w:proofErr w:type="spellEnd"/>
      <w:r w:rsidRPr="00366D8D">
        <w:rPr>
          <w:rFonts w:ascii="Calibri" w:hAnsi="Calibri" w:cs="Calibri"/>
          <w:i/>
          <w:iCs/>
        </w:rPr>
        <w:t xml:space="preserve"> research</w:t>
      </w:r>
      <w:r w:rsidRPr="00366D8D">
        <w:rPr>
          <w:rFonts w:ascii="Calibri" w:hAnsi="Calibri" w:cs="Calibri"/>
        </w:rPr>
        <w:t>. 2nd ed. Thousand Oaks, CA: Sage.</w:t>
      </w:r>
    </w:p>
    <w:p w14:paraId="44B56527" w14:textId="77777777" w:rsidR="00366D8D" w:rsidRPr="00366D8D" w:rsidRDefault="00366D8D" w:rsidP="00366D8D">
      <w:pPr>
        <w:jc w:val="both"/>
        <w:rPr>
          <w:rFonts w:ascii="Calibri" w:hAnsi="Calibri" w:cs="Calibri"/>
        </w:rPr>
      </w:pPr>
      <w:r w:rsidRPr="00366D8D">
        <w:rPr>
          <w:rFonts w:ascii="Calibri" w:hAnsi="Calibri" w:cs="Calibri"/>
        </w:rPr>
        <w:t xml:space="preserve">Thomas, G., 2017. </w:t>
      </w:r>
      <w:r w:rsidRPr="00366D8D">
        <w:rPr>
          <w:rFonts w:ascii="Calibri" w:hAnsi="Calibri" w:cs="Calibri"/>
          <w:i/>
          <w:iCs/>
        </w:rPr>
        <w:t>How to do your research project: A guide for students</w:t>
      </w:r>
      <w:r w:rsidRPr="00366D8D">
        <w:rPr>
          <w:rFonts w:ascii="Calibri" w:hAnsi="Calibri" w:cs="Calibri"/>
        </w:rPr>
        <w:t>. 3rd ed. London: Sage.</w:t>
      </w:r>
    </w:p>
    <w:p w14:paraId="7DF660C1" w14:textId="77777777" w:rsidR="00366D8D" w:rsidRPr="00366D8D" w:rsidRDefault="00366D8D" w:rsidP="00366D8D">
      <w:pPr>
        <w:jc w:val="both"/>
        <w:rPr>
          <w:rFonts w:ascii="Calibri" w:hAnsi="Calibri" w:cs="Calibri"/>
        </w:rPr>
      </w:pPr>
      <w:r w:rsidRPr="00366D8D">
        <w:rPr>
          <w:rFonts w:ascii="Calibri" w:hAnsi="Calibri" w:cs="Calibri"/>
        </w:rPr>
        <w:t xml:space="preserve">Valencia, R.R., 2010. </w:t>
      </w:r>
      <w:r w:rsidRPr="00366D8D">
        <w:rPr>
          <w:rFonts w:ascii="Calibri" w:hAnsi="Calibri" w:cs="Calibri"/>
          <w:i/>
          <w:iCs/>
        </w:rPr>
        <w:t>Dismantling contemporary deficit thinking: Educational thought and practice</w:t>
      </w:r>
      <w:r w:rsidRPr="00366D8D">
        <w:rPr>
          <w:rFonts w:ascii="Calibri" w:hAnsi="Calibri" w:cs="Calibri"/>
        </w:rPr>
        <w:t>. New York: Routledge.</w:t>
      </w:r>
    </w:p>
    <w:p w14:paraId="6FEAD947" w14:textId="77777777" w:rsidR="00366D8D" w:rsidRPr="00366D8D" w:rsidRDefault="00366D8D" w:rsidP="00366D8D">
      <w:pPr>
        <w:jc w:val="both"/>
        <w:rPr>
          <w:rFonts w:ascii="Calibri" w:hAnsi="Calibri" w:cs="Calibri"/>
        </w:rPr>
      </w:pPr>
      <w:r w:rsidRPr="00366D8D">
        <w:rPr>
          <w:rFonts w:ascii="Calibri" w:hAnsi="Calibri" w:cs="Calibri"/>
        </w:rPr>
        <w:t xml:space="preserve">Vogel, P., 2015. </w:t>
      </w:r>
      <w:r w:rsidRPr="00366D8D">
        <w:rPr>
          <w:rFonts w:ascii="Calibri" w:hAnsi="Calibri" w:cs="Calibri"/>
          <w:i/>
          <w:iCs/>
        </w:rPr>
        <w:t>Generation Jobless? Turning the youth unemployment crisis into opportunity</w:t>
      </w:r>
      <w:r w:rsidRPr="00366D8D">
        <w:rPr>
          <w:rFonts w:ascii="Calibri" w:hAnsi="Calibri" w:cs="Calibri"/>
        </w:rPr>
        <w:t>. Berlin: Springer.</w:t>
      </w:r>
    </w:p>
    <w:p w14:paraId="1F9E5ABA" w14:textId="77777777" w:rsidR="00366D8D" w:rsidRPr="00366D8D" w:rsidRDefault="00366D8D" w:rsidP="00366D8D">
      <w:pPr>
        <w:jc w:val="both"/>
        <w:rPr>
          <w:rFonts w:ascii="Calibri" w:hAnsi="Calibri" w:cs="Calibri"/>
        </w:rPr>
      </w:pPr>
      <w:r w:rsidRPr="00366D8D">
        <w:rPr>
          <w:rFonts w:ascii="Calibri" w:hAnsi="Calibri" w:cs="Calibri"/>
        </w:rPr>
        <w:t xml:space="preserve">Vondracek, F.W., Lerner, R.M. and Schulenberg, J.E., 2019. </w:t>
      </w:r>
      <w:r w:rsidRPr="00366D8D">
        <w:rPr>
          <w:rFonts w:ascii="Calibri" w:hAnsi="Calibri" w:cs="Calibri"/>
          <w:i/>
          <w:iCs/>
        </w:rPr>
        <w:t>Career development: A life-span developmental approach</w:t>
      </w:r>
      <w:r w:rsidRPr="00366D8D">
        <w:rPr>
          <w:rFonts w:ascii="Calibri" w:hAnsi="Calibri" w:cs="Calibri"/>
        </w:rPr>
        <w:t>. London: Routledge.</w:t>
      </w:r>
    </w:p>
    <w:p w14:paraId="190B54A2" w14:textId="77777777" w:rsidR="00366D8D" w:rsidRPr="00366D8D" w:rsidRDefault="00366D8D" w:rsidP="00366D8D">
      <w:pPr>
        <w:jc w:val="both"/>
        <w:rPr>
          <w:rFonts w:ascii="Calibri" w:hAnsi="Calibri" w:cs="Calibri"/>
        </w:rPr>
      </w:pPr>
      <w:r w:rsidRPr="00366D8D">
        <w:rPr>
          <w:rFonts w:ascii="Calibri" w:hAnsi="Calibri" w:cs="Calibri"/>
        </w:rPr>
        <w:t xml:space="preserve">Wagner, T., 2008. </w:t>
      </w:r>
      <w:r w:rsidRPr="00366D8D">
        <w:rPr>
          <w:rFonts w:ascii="Calibri" w:hAnsi="Calibri" w:cs="Calibri"/>
          <w:i/>
          <w:iCs/>
        </w:rPr>
        <w:t>The global achievement gap: Why even our best schools don't teach the new survival skills our children need—and what we can do about it</w:t>
      </w:r>
      <w:r w:rsidRPr="00366D8D">
        <w:rPr>
          <w:rFonts w:ascii="Calibri" w:hAnsi="Calibri" w:cs="Calibri"/>
        </w:rPr>
        <w:t>. New York: Basic Books.</w:t>
      </w:r>
    </w:p>
    <w:p w14:paraId="62BA9421" w14:textId="77777777" w:rsidR="00366D8D" w:rsidRPr="00366D8D" w:rsidRDefault="00366D8D" w:rsidP="00366D8D">
      <w:pPr>
        <w:jc w:val="both"/>
        <w:rPr>
          <w:rFonts w:ascii="Calibri" w:hAnsi="Calibri" w:cs="Calibri"/>
        </w:rPr>
      </w:pPr>
      <w:r w:rsidRPr="00366D8D">
        <w:rPr>
          <w:rFonts w:ascii="Calibri" w:hAnsi="Calibri" w:cs="Calibri"/>
        </w:rPr>
        <w:t xml:space="preserve">Webster-Stratton, C., Reid, M.J. and </w:t>
      </w:r>
      <w:proofErr w:type="spellStart"/>
      <w:r w:rsidRPr="00366D8D">
        <w:rPr>
          <w:rFonts w:ascii="Calibri" w:hAnsi="Calibri" w:cs="Calibri"/>
        </w:rPr>
        <w:t>Stoolmiller</w:t>
      </w:r>
      <w:proofErr w:type="spellEnd"/>
      <w:r w:rsidRPr="00366D8D">
        <w:rPr>
          <w:rFonts w:ascii="Calibri" w:hAnsi="Calibri" w:cs="Calibri"/>
        </w:rPr>
        <w:t xml:space="preserve">, M., 2008. Preventing conduct problems and improving school readiness: Evaluation of the Incredible Years teacher and child training programs in high-risk schools. </w:t>
      </w:r>
      <w:r w:rsidRPr="00366D8D">
        <w:rPr>
          <w:rFonts w:ascii="Calibri" w:hAnsi="Calibri" w:cs="Calibri"/>
          <w:i/>
          <w:iCs/>
        </w:rPr>
        <w:t>Journal of Child Psychology and Psychiatry</w:t>
      </w:r>
      <w:r w:rsidRPr="00366D8D">
        <w:rPr>
          <w:rFonts w:ascii="Calibri" w:hAnsi="Calibri" w:cs="Calibri"/>
        </w:rPr>
        <w:t>, 49(5), pp.471–488.</w:t>
      </w:r>
    </w:p>
    <w:p w14:paraId="2AD1A88E" w14:textId="77777777" w:rsidR="00366D8D" w:rsidRPr="00366D8D" w:rsidRDefault="00366D8D" w:rsidP="00366D8D">
      <w:pPr>
        <w:jc w:val="both"/>
        <w:rPr>
          <w:rFonts w:ascii="Calibri" w:hAnsi="Calibri" w:cs="Calibri"/>
        </w:rPr>
      </w:pPr>
      <w:r w:rsidRPr="00366D8D">
        <w:rPr>
          <w:rFonts w:ascii="Calibri" w:hAnsi="Calibri" w:cs="Calibri"/>
        </w:rPr>
        <w:t xml:space="preserve">Welsh Government, 2023. </w:t>
      </w:r>
      <w:r w:rsidRPr="00366D8D">
        <w:rPr>
          <w:rFonts w:ascii="Calibri" w:hAnsi="Calibri" w:cs="Calibri"/>
          <w:i/>
          <w:iCs/>
        </w:rPr>
        <w:t>Our national mission: High standards and aspirations for all</w:t>
      </w:r>
      <w:r w:rsidRPr="00366D8D">
        <w:rPr>
          <w:rFonts w:ascii="Calibri" w:hAnsi="Calibri" w:cs="Calibri"/>
        </w:rPr>
        <w:t xml:space="preserve">. Available at: </w:t>
      </w:r>
      <w:hyperlink r:id="rId8" w:tgtFrame="_new" w:history="1">
        <w:r w:rsidRPr="00366D8D">
          <w:rPr>
            <w:rStyle w:val="Hyperlink"/>
            <w:rFonts w:ascii="Calibri" w:hAnsi="Calibri" w:cs="Calibri"/>
          </w:rPr>
          <w:t>https://www.gov.wales/our-national-mission-high-standards-and-aspirations-all-html</w:t>
        </w:r>
      </w:hyperlink>
      <w:r w:rsidRPr="00366D8D">
        <w:rPr>
          <w:rFonts w:ascii="Calibri" w:hAnsi="Calibri" w:cs="Calibri"/>
        </w:rPr>
        <w:t xml:space="preserve"> [Accessed 4 Apr. 2024].</w:t>
      </w:r>
    </w:p>
    <w:p w14:paraId="483C1F02" w14:textId="77777777" w:rsidR="00366D8D" w:rsidRPr="00366D8D" w:rsidRDefault="00366D8D" w:rsidP="00366D8D">
      <w:pPr>
        <w:jc w:val="both"/>
        <w:rPr>
          <w:rFonts w:ascii="Calibri" w:hAnsi="Calibri" w:cs="Calibri"/>
        </w:rPr>
      </w:pPr>
      <w:r w:rsidRPr="00366D8D">
        <w:rPr>
          <w:rFonts w:ascii="Calibri" w:hAnsi="Calibri" w:cs="Calibri"/>
        </w:rPr>
        <w:t xml:space="preserve">Welsh Government, 2024. </w:t>
      </w:r>
      <w:r w:rsidRPr="00366D8D">
        <w:rPr>
          <w:rFonts w:ascii="Calibri" w:hAnsi="Calibri" w:cs="Calibri"/>
          <w:i/>
          <w:iCs/>
        </w:rPr>
        <w:t>Cross-cutting themes for designing your curriculum: Careers and work-related experiences</w:t>
      </w:r>
      <w:r w:rsidRPr="00366D8D">
        <w:rPr>
          <w:rFonts w:ascii="Calibri" w:hAnsi="Calibri" w:cs="Calibri"/>
        </w:rPr>
        <w:t xml:space="preserve">. Available at: </w:t>
      </w:r>
      <w:hyperlink r:id="rId9" w:anchor="careers-and-work-related-experiences" w:tgtFrame="_new" w:history="1">
        <w:r w:rsidRPr="00366D8D">
          <w:rPr>
            <w:rStyle w:val="Hyperlink"/>
            <w:rFonts w:ascii="Calibri" w:hAnsi="Calibri" w:cs="Calibri"/>
          </w:rPr>
          <w:t>https://hwb.gov.wales/curriculum-for-wales/designing-your-curriculum/cross-cutting-themes-for-designing-your-curriculum#careers-and-work-related-experiences</w:t>
        </w:r>
      </w:hyperlink>
      <w:r w:rsidRPr="00366D8D">
        <w:rPr>
          <w:rFonts w:ascii="Calibri" w:hAnsi="Calibri" w:cs="Calibri"/>
        </w:rPr>
        <w:t xml:space="preserve"> [Accessed 8 Nov. 2024].</w:t>
      </w:r>
    </w:p>
    <w:p w14:paraId="457E7E3F" w14:textId="77777777" w:rsidR="00366D8D" w:rsidRPr="00366D8D" w:rsidRDefault="00366D8D" w:rsidP="00366D8D">
      <w:pPr>
        <w:jc w:val="both"/>
        <w:rPr>
          <w:rFonts w:ascii="Calibri" w:hAnsi="Calibri" w:cs="Calibri"/>
        </w:rPr>
      </w:pPr>
      <w:r w:rsidRPr="00366D8D">
        <w:rPr>
          <w:rFonts w:ascii="Calibri" w:hAnsi="Calibri" w:cs="Calibri"/>
        </w:rPr>
        <w:t xml:space="preserve">Well-being of Future Generations (Wales) Act 2015. Available at: </w:t>
      </w:r>
      <w:hyperlink r:id="rId10" w:tgtFrame="_new" w:history="1">
        <w:r w:rsidRPr="00366D8D">
          <w:rPr>
            <w:rStyle w:val="Hyperlink"/>
            <w:rFonts w:ascii="Calibri" w:hAnsi="Calibri" w:cs="Calibri"/>
          </w:rPr>
          <w:t>https://www.legislation.gov.uk/anaw/2015/2/enacted</w:t>
        </w:r>
      </w:hyperlink>
      <w:r w:rsidRPr="00366D8D">
        <w:rPr>
          <w:rFonts w:ascii="Calibri" w:hAnsi="Calibri" w:cs="Calibri"/>
        </w:rPr>
        <w:t xml:space="preserve"> [Accessed 12 Sep. 2023].</w:t>
      </w:r>
    </w:p>
    <w:p w14:paraId="20BE0DA8" w14:textId="77777777" w:rsidR="00366D8D" w:rsidRPr="00366D8D" w:rsidRDefault="00366D8D" w:rsidP="00366D8D">
      <w:pPr>
        <w:jc w:val="both"/>
        <w:rPr>
          <w:rFonts w:ascii="Calibri" w:hAnsi="Calibri" w:cs="Calibri"/>
        </w:rPr>
      </w:pPr>
      <w:r w:rsidRPr="00366D8D">
        <w:rPr>
          <w:rFonts w:ascii="Calibri" w:hAnsi="Calibri" w:cs="Calibri"/>
        </w:rPr>
        <w:t xml:space="preserve">Wholey, J.S., </w:t>
      </w:r>
      <w:proofErr w:type="spellStart"/>
      <w:r w:rsidRPr="00366D8D">
        <w:rPr>
          <w:rFonts w:ascii="Calibri" w:hAnsi="Calibri" w:cs="Calibri"/>
        </w:rPr>
        <w:t>Hatry</w:t>
      </w:r>
      <w:proofErr w:type="spellEnd"/>
      <w:r w:rsidRPr="00366D8D">
        <w:rPr>
          <w:rFonts w:ascii="Calibri" w:hAnsi="Calibri" w:cs="Calibri"/>
        </w:rPr>
        <w:t xml:space="preserve">, H.P. and Newcomer, K.E., 1994. </w:t>
      </w:r>
      <w:r w:rsidRPr="00366D8D">
        <w:rPr>
          <w:rFonts w:ascii="Calibri" w:hAnsi="Calibri" w:cs="Calibri"/>
          <w:i/>
          <w:iCs/>
        </w:rPr>
        <w:t>Journal of Health Economics</w:t>
      </w:r>
      <w:r w:rsidRPr="00366D8D">
        <w:rPr>
          <w:rFonts w:ascii="Calibri" w:hAnsi="Calibri" w:cs="Calibri"/>
        </w:rPr>
        <w:t>, 14(1), pp.81–105.</w:t>
      </w:r>
    </w:p>
    <w:p w14:paraId="613E280F" w14:textId="4E00E394" w:rsidR="00366D8D" w:rsidRPr="00366D8D" w:rsidRDefault="00366D8D" w:rsidP="00366D8D">
      <w:pPr>
        <w:jc w:val="both"/>
        <w:rPr>
          <w:rFonts w:ascii="Calibri" w:hAnsi="Calibri" w:cs="Calibri"/>
        </w:rPr>
      </w:pPr>
      <w:r w:rsidRPr="00366D8D">
        <w:rPr>
          <w:rFonts w:ascii="Calibri" w:hAnsi="Calibri" w:cs="Calibri"/>
        </w:rPr>
        <w:t xml:space="preserve">Yin, R.K., 2018. </w:t>
      </w:r>
      <w:r w:rsidRPr="00366D8D">
        <w:rPr>
          <w:rFonts w:ascii="Calibri" w:hAnsi="Calibri" w:cs="Calibri"/>
          <w:i/>
          <w:iCs/>
        </w:rPr>
        <w:t>Case study research and applications: Design and methods</w:t>
      </w:r>
      <w:r w:rsidRPr="00366D8D">
        <w:rPr>
          <w:rFonts w:ascii="Calibri" w:hAnsi="Calibri" w:cs="Calibri"/>
        </w:rPr>
        <w:t>. 6th ed. Thousand Oaks, CA: Sage.</w:t>
      </w:r>
    </w:p>
    <w:sectPr w:rsidR="00366D8D" w:rsidRPr="00366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954BCC"/>
    <w:multiLevelType w:val="multilevel"/>
    <w:tmpl w:val="09BC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68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E6D"/>
    <w:rsid w:val="00366D8D"/>
    <w:rsid w:val="0078447A"/>
    <w:rsid w:val="00A12B91"/>
    <w:rsid w:val="00C868AB"/>
    <w:rsid w:val="00D46E6D"/>
    <w:rsid w:val="00F81BB8"/>
    <w:rsid w:val="00FC3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92256"/>
  <w15:chartTrackingRefBased/>
  <w15:docId w15:val="{C6F33054-8CEA-4F30-AF72-4BCF9943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E6D"/>
  </w:style>
  <w:style w:type="paragraph" w:styleId="Heading1">
    <w:name w:val="heading 1"/>
    <w:basedOn w:val="Normal"/>
    <w:next w:val="Normal"/>
    <w:link w:val="Heading1Char"/>
    <w:uiPriority w:val="9"/>
    <w:qFormat/>
    <w:rsid w:val="00D46E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6E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6E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6E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6E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6E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E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E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E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E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6E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6E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E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E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E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E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E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E6D"/>
    <w:rPr>
      <w:rFonts w:eastAsiaTheme="majorEastAsia" w:cstheme="majorBidi"/>
      <w:color w:val="272727" w:themeColor="text1" w:themeTint="D8"/>
    </w:rPr>
  </w:style>
  <w:style w:type="paragraph" w:styleId="Title">
    <w:name w:val="Title"/>
    <w:basedOn w:val="Normal"/>
    <w:next w:val="Normal"/>
    <w:link w:val="TitleChar"/>
    <w:uiPriority w:val="10"/>
    <w:qFormat/>
    <w:rsid w:val="00D46E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E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E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E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E6D"/>
    <w:pPr>
      <w:spacing w:before="160"/>
      <w:jc w:val="center"/>
    </w:pPr>
    <w:rPr>
      <w:i/>
      <w:iCs/>
      <w:color w:val="404040" w:themeColor="text1" w:themeTint="BF"/>
    </w:rPr>
  </w:style>
  <w:style w:type="character" w:customStyle="1" w:styleId="QuoteChar">
    <w:name w:val="Quote Char"/>
    <w:basedOn w:val="DefaultParagraphFont"/>
    <w:link w:val="Quote"/>
    <w:uiPriority w:val="29"/>
    <w:rsid w:val="00D46E6D"/>
    <w:rPr>
      <w:i/>
      <w:iCs/>
      <w:color w:val="404040" w:themeColor="text1" w:themeTint="BF"/>
    </w:rPr>
  </w:style>
  <w:style w:type="paragraph" w:styleId="ListParagraph">
    <w:name w:val="List Paragraph"/>
    <w:basedOn w:val="Normal"/>
    <w:uiPriority w:val="34"/>
    <w:qFormat/>
    <w:rsid w:val="00D46E6D"/>
    <w:pPr>
      <w:ind w:left="720"/>
      <w:contextualSpacing/>
    </w:pPr>
  </w:style>
  <w:style w:type="character" w:styleId="IntenseEmphasis">
    <w:name w:val="Intense Emphasis"/>
    <w:basedOn w:val="DefaultParagraphFont"/>
    <w:uiPriority w:val="21"/>
    <w:qFormat/>
    <w:rsid w:val="00D46E6D"/>
    <w:rPr>
      <w:i/>
      <w:iCs/>
      <w:color w:val="0F4761" w:themeColor="accent1" w:themeShade="BF"/>
    </w:rPr>
  </w:style>
  <w:style w:type="paragraph" w:styleId="IntenseQuote">
    <w:name w:val="Intense Quote"/>
    <w:basedOn w:val="Normal"/>
    <w:next w:val="Normal"/>
    <w:link w:val="IntenseQuoteChar"/>
    <w:uiPriority w:val="30"/>
    <w:qFormat/>
    <w:rsid w:val="00D46E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6E6D"/>
    <w:rPr>
      <w:i/>
      <w:iCs/>
      <w:color w:val="0F4761" w:themeColor="accent1" w:themeShade="BF"/>
    </w:rPr>
  </w:style>
  <w:style w:type="character" w:styleId="IntenseReference">
    <w:name w:val="Intense Reference"/>
    <w:basedOn w:val="DefaultParagraphFont"/>
    <w:uiPriority w:val="32"/>
    <w:qFormat/>
    <w:rsid w:val="00D46E6D"/>
    <w:rPr>
      <w:b/>
      <w:bCs/>
      <w:smallCaps/>
      <w:color w:val="0F4761" w:themeColor="accent1" w:themeShade="BF"/>
      <w:spacing w:val="5"/>
    </w:rPr>
  </w:style>
  <w:style w:type="character" w:styleId="Hyperlink">
    <w:name w:val="Hyperlink"/>
    <w:basedOn w:val="DefaultParagraphFont"/>
    <w:uiPriority w:val="99"/>
    <w:unhideWhenUsed/>
    <w:rsid w:val="00366D8D"/>
    <w:rPr>
      <w:color w:val="467886" w:themeColor="hyperlink"/>
      <w:u w:val="single"/>
    </w:rPr>
  </w:style>
  <w:style w:type="character" w:styleId="UnresolvedMention">
    <w:name w:val="Unresolved Mention"/>
    <w:basedOn w:val="DefaultParagraphFont"/>
    <w:uiPriority w:val="99"/>
    <w:semiHidden/>
    <w:unhideWhenUsed/>
    <w:rsid w:val="00366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54755">
      <w:bodyDiv w:val="1"/>
      <w:marLeft w:val="0"/>
      <w:marRight w:val="0"/>
      <w:marTop w:val="0"/>
      <w:marBottom w:val="0"/>
      <w:divBdr>
        <w:top w:val="none" w:sz="0" w:space="0" w:color="auto"/>
        <w:left w:val="none" w:sz="0" w:space="0" w:color="auto"/>
        <w:bottom w:val="none" w:sz="0" w:space="0" w:color="auto"/>
        <w:right w:val="none" w:sz="0" w:space="0" w:color="auto"/>
      </w:divBdr>
    </w:div>
    <w:div w:id="22538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our-national-mission-high-standards-and-aspirations-all-html" TargetMode="External"/><Relationship Id="rId3" Type="http://schemas.openxmlformats.org/officeDocument/2006/relationships/styles" Target="styles.xml"/><Relationship Id="rId7" Type="http://schemas.openxmlformats.org/officeDocument/2006/relationships/hyperlink" Target="https://ifs.org.uk/sites/default/files/2024-03/Major-challenges-for-education-in-Wales-IFS-REPORT_0.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fs.org.uk/publications/future-state-pensio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egislation.gov.uk/anaw/2015/2/enacted" TargetMode="External"/><Relationship Id="rId4" Type="http://schemas.openxmlformats.org/officeDocument/2006/relationships/settings" Target="settings.xml"/><Relationship Id="rId9" Type="http://schemas.openxmlformats.org/officeDocument/2006/relationships/hyperlink" Target="https://hwb.gov.wales/curriculum-for-wales/designing-your-curriculum/cross-cutting-themes-for-designing-your-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BAB28-C744-450D-B96C-DA8D1698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5165</Words>
  <Characters>29443</Characters>
  <Application>Microsoft Office Word</Application>
  <DocSecurity>0</DocSecurity>
  <Lines>245</Lines>
  <Paragraphs>69</Paragraphs>
  <ScaleCrop>false</ScaleCrop>
  <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bamsey</dc:creator>
  <cp:keywords/>
  <dc:description/>
  <cp:lastModifiedBy>jo bamsey</cp:lastModifiedBy>
  <cp:revision>2</cp:revision>
  <dcterms:created xsi:type="dcterms:W3CDTF">2025-04-16T16:01:00Z</dcterms:created>
  <dcterms:modified xsi:type="dcterms:W3CDTF">2025-04-17T14:13:00Z</dcterms:modified>
</cp:coreProperties>
</file>