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755CEB" w14:textId="77777777" w:rsidR="00C01199" w:rsidRDefault="00C01199" w:rsidP="00C01199">
      <w:pPr>
        <w:spacing w:before="100" w:beforeAutospacing="1" w:after="100" w:afterAutospacing="1" w:line="360" w:lineRule="auto"/>
        <w:ind w:left="2160"/>
        <w:jc w:val="both"/>
        <w:outlineLvl w:val="2"/>
        <w:rPr>
          <w:rFonts w:ascii="Arial" w:eastAsia="Times New Roman" w:hAnsi="Arial" w:cs="Arial"/>
          <w:b/>
          <w:bCs/>
        </w:rPr>
      </w:pPr>
      <w:r>
        <w:rPr>
          <w:rFonts w:ascii="Arial" w:eastAsia="Times New Roman" w:hAnsi="Arial" w:cs="Arial"/>
          <w:b/>
          <w:bCs/>
          <w:noProof/>
        </w:rPr>
        <w:drawing>
          <wp:inline distT="0" distB="0" distL="0" distR="0" wp14:anchorId="67A0E1B6" wp14:editId="21FFF409">
            <wp:extent cx="2865120" cy="15849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5120" cy="1584960"/>
                    </a:xfrm>
                    <a:prstGeom prst="rect">
                      <a:avLst/>
                    </a:prstGeom>
                    <a:noFill/>
                  </pic:spPr>
                </pic:pic>
              </a:graphicData>
            </a:graphic>
          </wp:inline>
        </w:drawing>
      </w:r>
    </w:p>
    <w:p w14:paraId="2A7A7379" w14:textId="77777777" w:rsidR="00C01199" w:rsidRDefault="00C01199" w:rsidP="00CF1D7A">
      <w:pPr>
        <w:spacing w:before="100" w:beforeAutospacing="1" w:after="100" w:afterAutospacing="1" w:line="360" w:lineRule="auto"/>
        <w:jc w:val="both"/>
        <w:outlineLvl w:val="2"/>
        <w:rPr>
          <w:rFonts w:ascii="Arial" w:eastAsia="Times New Roman" w:hAnsi="Arial" w:cs="Arial"/>
          <w:b/>
          <w:bCs/>
        </w:rPr>
      </w:pPr>
    </w:p>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515"/>
        <w:gridCol w:w="5825"/>
      </w:tblGrid>
      <w:tr w:rsidR="00C01199" w:rsidRPr="006A5DAA" w14:paraId="6B25234B" w14:textId="77777777" w:rsidTr="00D21E11">
        <w:trPr>
          <w:trHeight w:val="179"/>
          <w:jc w:val="center"/>
        </w:trPr>
        <w:tc>
          <w:tcPr>
            <w:tcW w:w="0" w:type="auto"/>
            <w:hideMark/>
          </w:tcPr>
          <w:p w14:paraId="36ACA31A" w14:textId="77777777" w:rsidR="00C01199" w:rsidRPr="006A5DAA" w:rsidRDefault="00C01199" w:rsidP="00D21E11">
            <w:pPr>
              <w:spacing w:line="360" w:lineRule="auto"/>
              <w:jc w:val="both"/>
              <w:rPr>
                <w:rFonts w:ascii="Arial" w:eastAsia="Times New Roman" w:hAnsi="Arial" w:cs="Arial"/>
                <w:b/>
                <w:bCs/>
              </w:rPr>
            </w:pPr>
            <w:r w:rsidRPr="00565A92">
              <w:rPr>
                <w:rFonts w:ascii="Arial" w:eastAsia="Times New Roman" w:hAnsi="Arial" w:cs="Arial"/>
                <w:b/>
                <w:bCs/>
              </w:rPr>
              <w:t>Student Name:</w:t>
            </w:r>
          </w:p>
        </w:tc>
        <w:tc>
          <w:tcPr>
            <w:tcW w:w="5825" w:type="dxa"/>
            <w:hideMark/>
          </w:tcPr>
          <w:p w14:paraId="17F9F47D" w14:textId="01BE6606" w:rsidR="00C01199" w:rsidRPr="006A5DAA" w:rsidRDefault="002C2DD2" w:rsidP="00D21E11">
            <w:pPr>
              <w:spacing w:line="360" w:lineRule="auto"/>
              <w:jc w:val="both"/>
              <w:rPr>
                <w:rFonts w:ascii="Arial" w:eastAsia="Times New Roman" w:hAnsi="Arial" w:cs="Arial"/>
                <w:bCs/>
              </w:rPr>
            </w:pPr>
            <w:r>
              <w:rPr>
                <w:rFonts w:ascii="Arial" w:eastAsia="Times New Roman" w:hAnsi="Arial" w:cs="Arial"/>
                <w:bCs/>
              </w:rPr>
              <w:t xml:space="preserve">Farzana </w:t>
            </w:r>
            <w:proofErr w:type="spellStart"/>
            <w:r>
              <w:rPr>
                <w:rFonts w:ascii="Arial" w:eastAsia="Times New Roman" w:hAnsi="Arial" w:cs="Arial"/>
                <w:bCs/>
              </w:rPr>
              <w:t>jahan</w:t>
            </w:r>
            <w:proofErr w:type="spellEnd"/>
          </w:p>
        </w:tc>
      </w:tr>
      <w:tr w:rsidR="00C01199" w:rsidRPr="006A5DAA" w14:paraId="6C0C6E4F" w14:textId="77777777" w:rsidTr="00D21E11">
        <w:trPr>
          <w:jc w:val="center"/>
        </w:trPr>
        <w:tc>
          <w:tcPr>
            <w:tcW w:w="0" w:type="auto"/>
            <w:hideMark/>
          </w:tcPr>
          <w:p w14:paraId="0AC7E3D1" w14:textId="77777777" w:rsidR="00C01199" w:rsidRPr="006A5DAA" w:rsidRDefault="00C01199" w:rsidP="00D21E11">
            <w:pPr>
              <w:spacing w:line="360" w:lineRule="auto"/>
              <w:jc w:val="both"/>
              <w:rPr>
                <w:rFonts w:ascii="Arial" w:eastAsia="Times New Roman" w:hAnsi="Arial" w:cs="Arial"/>
              </w:rPr>
            </w:pPr>
            <w:r w:rsidRPr="00565A92">
              <w:rPr>
                <w:rFonts w:ascii="Arial" w:eastAsia="Times New Roman" w:hAnsi="Arial" w:cs="Arial"/>
                <w:b/>
                <w:bCs/>
              </w:rPr>
              <w:t>Student ID Number:</w:t>
            </w:r>
          </w:p>
        </w:tc>
        <w:tc>
          <w:tcPr>
            <w:tcW w:w="5825" w:type="dxa"/>
            <w:hideMark/>
          </w:tcPr>
          <w:p w14:paraId="317B8E3C" w14:textId="75264840" w:rsidR="00C01199" w:rsidRPr="006A5DAA" w:rsidRDefault="002C2DD2" w:rsidP="00D21E11">
            <w:pPr>
              <w:spacing w:line="360" w:lineRule="auto"/>
              <w:jc w:val="both"/>
              <w:rPr>
                <w:rFonts w:ascii="Arial" w:eastAsia="Times New Roman" w:hAnsi="Arial" w:cs="Arial"/>
              </w:rPr>
            </w:pPr>
            <w:r>
              <w:rPr>
                <w:rFonts w:ascii="Arial" w:eastAsia="Times New Roman" w:hAnsi="Arial" w:cs="Arial"/>
              </w:rPr>
              <w:t>2226157</w:t>
            </w:r>
          </w:p>
        </w:tc>
      </w:tr>
      <w:tr w:rsidR="00C01199" w:rsidRPr="006A5DAA" w14:paraId="471D697B" w14:textId="77777777" w:rsidTr="00D21E11">
        <w:trPr>
          <w:jc w:val="center"/>
        </w:trPr>
        <w:tc>
          <w:tcPr>
            <w:tcW w:w="0" w:type="auto"/>
            <w:hideMark/>
          </w:tcPr>
          <w:p w14:paraId="33F0B6B9" w14:textId="77777777" w:rsidR="00C01199" w:rsidRPr="006A5DAA" w:rsidRDefault="00C01199" w:rsidP="00D21E11">
            <w:pPr>
              <w:spacing w:line="360" w:lineRule="auto"/>
              <w:jc w:val="both"/>
              <w:rPr>
                <w:rFonts w:ascii="Arial" w:eastAsia="Times New Roman" w:hAnsi="Arial" w:cs="Arial"/>
              </w:rPr>
            </w:pPr>
            <w:proofErr w:type="spellStart"/>
            <w:r w:rsidRPr="00565A92">
              <w:rPr>
                <w:rFonts w:ascii="Arial" w:eastAsia="Times New Roman" w:hAnsi="Arial" w:cs="Arial"/>
                <w:b/>
                <w:bCs/>
              </w:rPr>
              <w:t>Programme</w:t>
            </w:r>
            <w:proofErr w:type="spellEnd"/>
            <w:r w:rsidRPr="00565A92">
              <w:rPr>
                <w:rFonts w:ascii="Arial" w:eastAsia="Times New Roman" w:hAnsi="Arial" w:cs="Arial"/>
                <w:b/>
                <w:bCs/>
              </w:rPr>
              <w:t>:</w:t>
            </w:r>
          </w:p>
        </w:tc>
        <w:tc>
          <w:tcPr>
            <w:tcW w:w="5825" w:type="dxa"/>
            <w:hideMark/>
          </w:tcPr>
          <w:p w14:paraId="349EB1F2" w14:textId="77777777" w:rsidR="00C01199" w:rsidRPr="006A5DAA" w:rsidRDefault="00C01199" w:rsidP="00D21E11">
            <w:pPr>
              <w:spacing w:line="360" w:lineRule="auto"/>
              <w:jc w:val="both"/>
              <w:rPr>
                <w:rFonts w:ascii="Arial" w:eastAsia="Times New Roman" w:hAnsi="Arial" w:cs="Arial"/>
              </w:rPr>
            </w:pPr>
            <w:r>
              <w:rPr>
                <w:rFonts w:ascii="Arial" w:hAnsi="Arial" w:cs="Arial"/>
                <w:b/>
              </w:rPr>
              <w:t>BSc (Hons) Health and Social Care</w:t>
            </w:r>
          </w:p>
        </w:tc>
      </w:tr>
      <w:tr w:rsidR="00C01199" w:rsidRPr="006A5DAA" w14:paraId="0628C5ED" w14:textId="77777777" w:rsidTr="00D21E11">
        <w:trPr>
          <w:jc w:val="center"/>
        </w:trPr>
        <w:tc>
          <w:tcPr>
            <w:tcW w:w="0" w:type="auto"/>
            <w:hideMark/>
          </w:tcPr>
          <w:p w14:paraId="4E6461FC" w14:textId="77777777" w:rsidR="00C01199" w:rsidRPr="006A5DAA" w:rsidRDefault="00C01199" w:rsidP="00D21E11">
            <w:pPr>
              <w:spacing w:line="360" w:lineRule="auto"/>
              <w:jc w:val="both"/>
              <w:rPr>
                <w:rFonts w:ascii="Arial" w:eastAsia="Times New Roman" w:hAnsi="Arial" w:cs="Arial"/>
              </w:rPr>
            </w:pPr>
            <w:r w:rsidRPr="00565A92">
              <w:rPr>
                <w:rFonts w:ascii="Arial" w:eastAsia="Times New Roman" w:hAnsi="Arial" w:cs="Arial"/>
                <w:b/>
                <w:bCs/>
              </w:rPr>
              <w:t>Module Title:</w:t>
            </w:r>
          </w:p>
        </w:tc>
        <w:tc>
          <w:tcPr>
            <w:tcW w:w="5825" w:type="dxa"/>
            <w:hideMark/>
          </w:tcPr>
          <w:p w14:paraId="7C0FD344" w14:textId="77777777" w:rsidR="00C01199" w:rsidRPr="006A5DAA" w:rsidRDefault="00C01199" w:rsidP="00D21E11">
            <w:pPr>
              <w:spacing w:line="360" w:lineRule="auto"/>
              <w:jc w:val="both"/>
              <w:rPr>
                <w:rFonts w:ascii="Arial" w:eastAsia="Times New Roman" w:hAnsi="Arial" w:cs="Arial"/>
              </w:rPr>
            </w:pPr>
            <w:r w:rsidRPr="003462A9">
              <w:rPr>
                <w:rFonts w:ascii="Arial" w:hAnsi="Arial" w:cs="Arial"/>
                <w:b/>
                <w:bCs/>
              </w:rPr>
              <w:t>Health, Wellbeing and Sustainable Development</w:t>
            </w:r>
          </w:p>
        </w:tc>
      </w:tr>
      <w:tr w:rsidR="00C01199" w:rsidRPr="006A5DAA" w14:paraId="0899EC5D" w14:textId="77777777" w:rsidTr="00D21E11">
        <w:trPr>
          <w:jc w:val="center"/>
        </w:trPr>
        <w:tc>
          <w:tcPr>
            <w:tcW w:w="0" w:type="auto"/>
            <w:hideMark/>
          </w:tcPr>
          <w:p w14:paraId="653DD010" w14:textId="77777777" w:rsidR="00C01199" w:rsidRPr="006A5DAA" w:rsidRDefault="00C01199" w:rsidP="00D21E11">
            <w:pPr>
              <w:spacing w:line="360" w:lineRule="auto"/>
              <w:jc w:val="both"/>
              <w:rPr>
                <w:rFonts w:ascii="Arial" w:eastAsia="Times New Roman" w:hAnsi="Arial" w:cs="Arial"/>
              </w:rPr>
            </w:pPr>
            <w:r w:rsidRPr="00565A92">
              <w:rPr>
                <w:rFonts w:ascii="Arial" w:eastAsia="Times New Roman" w:hAnsi="Arial" w:cs="Arial"/>
                <w:b/>
                <w:bCs/>
              </w:rPr>
              <w:t>Module Code:</w:t>
            </w:r>
          </w:p>
        </w:tc>
        <w:tc>
          <w:tcPr>
            <w:tcW w:w="5825" w:type="dxa"/>
            <w:hideMark/>
          </w:tcPr>
          <w:p w14:paraId="0F63F425" w14:textId="77777777" w:rsidR="00C01199" w:rsidRPr="006A5DAA" w:rsidRDefault="00C01199" w:rsidP="00D21E11">
            <w:pPr>
              <w:spacing w:line="360" w:lineRule="auto"/>
              <w:jc w:val="both"/>
              <w:rPr>
                <w:rFonts w:ascii="Arial" w:eastAsia="Times New Roman" w:hAnsi="Arial" w:cs="Arial"/>
              </w:rPr>
            </w:pPr>
            <w:r>
              <w:rPr>
                <w:rFonts w:ascii="Arial" w:hAnsi="Arial" w:cs="Arial"/>
                <w:b/>
              </w:rPr>
              <w:t>BMHP6030</w:t>
            </w:r>
          </w:p>
        </w:tc>
      </w:tr>
      <w:tr w:rsidR="00C01199" w:rsidRPr="006A5DAA" w14:paraId="65B6BBBD" w14:textId="77777777" w:rsidTr="00D21E11">
        <w:trPr>
          <w:jc w:val="center"/>
        </w:trPr>
        <w:tc>
          <w:tcPr>
            <w:tcW w:w="0" w:type="auto"/>
            <w:hideMark/>
          </w:tcPr>
          <w:p w14:paraId="140D52C0" w14:textId="77777777" w:rsidR="00C01199" w:rsidRPr="006A5DAA" w:rsidRDefault="00C01199" w:rsidP="00D21E11">
            <w:pPr>
              <w:spacing w:line="360" w:lineRule="auto"/>
              <w:jc w:val="both"/>
              <w:rPr>
                <w:rFonts w:ascii="Arial" w:eastAsia="Times New Roman" w:hAnsi="Arial" w:cs="Arial"/>
              </w:rPr>
            </w:pPr>
            <w:r w:rsidRPr="00565A92">
              <w:rPr>
                <w:rFonts w:ascii="Arial" w:eastAsia="Times New Roman" w:hAnsi="Arial" w:cs="Arial"/>
                <w:b/>
                <w:bCs/>
              </w:rPr>
              <w:t>Lecturer:</w:t>
            </w:r>
          </w:p>
        </w:tc>
        <w:tc>
          <w:tcPr>
            <w:tcW w:w="5825" w:type="dxa"/>
            <w:hideMark/>
          </w:tcPr>
          <w:p w14:paraId="5E2C549C" w14:textId="77777777" w:rsidR="00C01199" w:rsidRPr="006A5DAA" w:rsidRDefault="00C01199" w:rsidP="00D21E11">
            <w:pPr>
              <w:spacing w:line="360" w:lineRule="auto"/>
              <w:jc w:val="both"/>
              <w:rPr>
                <w:rFonts w:ascii="Arial" w:eastAsia="Times New Roman" w:hAnsi="Arial" w:cs="Arial"/>
              </w:rPr>
            </w:pPr>
          </w:p>
        </w:tc>
      </w:tr>
      <w:tr w:rsidR="00C01199" w:rsidRPr="006A5DAA" w14:paraId="4786B4A8" w14:textId="77777777" w:rsidTr="00D21E11">
        <w:trPr>
          <w:jc w:val="center"/>
        </w:trPr>
        <w:tc>
          <w:tcPr>
            <w:tcW w:w="0" w:type="auto"/>
            <w:hideMark/>
          </w:tcPr>
          <w:p w14:paraId="2E4D1E0C" w14:textId="77777777" w:rsidR="00C01199" w:rsidRPr="006A5DAA" w:rsidRDefault="00C01199" w:rsidP="00D21E11">
            <w:pPr>
              <w:spacing w:line="360" w:lineRule="auto"/>
              <w:jc w:val="both"/>
              <w:rPr>
                <w:rFonts w:ascii="Arial" w:eastAsia="Times New Roman" w:hAnsi="Arial" w:cs="Arial"/>
              </w:rPr>
            </w:pPr>
            <w:r w:rsidRPr="00565A92">
              <w:rPr>
                <w:rFonts w:ascii="Arial" w:eastAsia="Times New Roman" w:hAnsi="Arial" w:cs="Arial"/>
                <w:b/>
                <w:bCs/>
              </w:rPr>
              <w:t>Internal Verifier:</w:t>
            </w:r>
          </w:p>
        </w:tc>
        <w:tc>
          <w:tcPr>
            <w:tcW w:w="5825" w:type="dxa"/>
            <w:hideMark/>
          </w:tcPr>
          <w:p w14:paraId="5F868AC6" w14:textId="77777777" w:rsidR="00C01199" w:rsidRPr="006A5DAA" w:rsidRDefault="00C01199" w:rsidP="00D21E11">
            <w:pPr>
              <w:spacing w:line="360" w:lineRule="auto"/>
              <w:jc w:val="both"/>
              <w:rPr>
                <w:rFonts w:ascii="Arial" w:eastAsia="Times New Roman" w:hAnsi="Arial" w:cs="Arial"/>
              </w:rPr>
            </w:pPr>
            <w:r>
              <w:rPr>
                <w:rFonts w:ascii="Arial" w:hAnsi="Arial" w:cs="Arial"/>
                <w:b/>
                <w:bCs/>
              </w:rPr>
              <w:t>Bianca Sanfilippo</w:t>
            </w:r>
          </w:p>
        </w:tc>
      </w:tr>
      <w:tr w:rsidR="00C01199" w:rsidRPr="006A5DAA" w14:paraId="29854D53" w14:textId="77777777" w:rsidTr="00D21E11">
        <w:trPr>
          <w:jc w:val="center"/>
        </w:trPr>
        <w:tc>
          <w:tcPr>
            <w:tcW w:w="0" w:type="auto"/>
            <w:hideMark/>
          </w:tcPr>
          <w:p w14:paraId="15CD6BFF" w14:textId="77777777" w:rsidR="00C01199" w:rsidRPr="006A5DAA" w:rsidRDefault="00C01199" w:rsidP="00D21E11">
            <w:pPr>
              <w:spacing w:line="360" w:lineRule="auto"/>
              <w:jc w:val="both"/>
              <w:rPr>
                <w:rFonts w:ascii="Arial" w:eastAsia="Times New Roman" w:hAnsi="Arial" w:cs="Arial"/>
              </w:rPr>
            </w:pPr>
            <w:r w:rsidRPr="00565A92">
              <w:rPr>
                <w:rFonts w:ascii="Arial" w:eastAsia="Times New Roman" w:hAnsi="Arial" w:cs="Arial"/>
                <w:b/>
                <w:bCs/>
              </w:rPr>
              <w:t>Assignment Title:</w:t>
            </w:r>
          </w:p>
        </w:tc>
        <w:tc>
          <w:tcPr>
            <w:tcW w:w="5825" w:type="dxa"/>
            <w:hideMark/>
          </w:tcPr>
          <w:p w14:paraId="04B4DCBF" w14:textId="77777777" w:rsidR="00C01199" w:rsidRPr="00350E70" w:rsidRDefault="00C01199" w:rsidP="00D21E11">
            <w:pPr>
              <w:spacing w:line="360" w:lineRule="auto"/>
              <w:jc w:val="both"/>
              <w:rPr>
                <w:rFonts w:ascii="Arial" w:eastAsia="Times New Roman" w:hAnsi="Arial" w:cs="Arial"/>
                <w:b/>
              </w:rPr>
            </w:pPr>
          </w:p>
        </w:tc>
      </w:tr>
      <w:tr w:rsidR="00C01199" w:rsidRPr="006A5DAA" w14:paraId="67939533" w14:textId="77777777" w:rsidTr="00D21E11">
        <w:trPr>
          <w:jc w:val="center"/>
        </w:trPr>
        <w:tc>
          <w:tcPr>
            <w:tcW w:w="0" w:type="auto"/>
            <w:hideMark/>
          </w:tcPr>
          <w:p w14:paraId="79F43CFE" w14:textId="77777777" w:rsidR="00C01199" w:rsidRPr="006A5DAA" w:rsidRDefault="00C01199" w:rsidP="00D21E11">
            <w:pPr>
              <w:spacing w:line="360" w:lineRule="auto"/>
              <w:jc w:val="both"/>
              <w:rPr>
                <w:rFonts w:ascii="Arial" w:eastAsia="Times New Roman" w:hAnsi="Arial" w:cs="Arial"/>
              </w:rPr>
            </w:pPr>
            <w:r w:rsidRPr="00565A92">
              <w:rPr>
                <w:rFonts w:ascii="Arial" w:eastAsia="Times New Roman" w:hAnsi="Arial" w:cs="Arial"/>
                <w:b/>
                <w:bCs/>
              </w:rPr>
              <w:t>Submission Deadline:</w:t>
            </w:r>
          </w:p>
        </w:tc>
        <w:tc>
          <w:tcPr>
            <w:tcW w:w="5825" w:type="dxa"/>
            <w:hideMark/>
          </w:tcPr>
          <w:p w14:paraId="29D4E64B" w14:textId="77777777" w:rsidR="00C01199" w:rsidRPr="006A5DAA" w:rsidRDefault="00C01199" w:rsidP="00D21E11">
            <w:pPr>
              <w:spacing w:line="360" w:lineRule="auto"/>
              <w:jc w:val="both"/>
              <w:rPr>
                <w:rFonts w:ascii="Arial" w:eastAsia="Times New Roman" w:hAnsi="Arial" w:cs="Arial"/>
              </w:rPr>
            </w:pPr>
            <w:r w:rsidRPr="1D928C0D">
              <w:rPr>
                <w:rFonts w:ascii="Arial" w:hAnsi="Arial" w:cs="Arial"/>
                <w:b/>
                <w:bCs/>
              </w:rPr>
              <w:t>16</w:t>
            </w:r>
            <w:r w:rsidRPr="1D928C0D">
              <w:rPr>
                <w:rFonts w:ascii="Arial" w:hAnsi="Arial" w:cs="Arial"/>
                <w:b/>
                <w:bCs/>
                <w:vertAlign w:val="superscript"/>
              </w:rPr>
              <w:t>th</w:t>
            </w:r>
            <w:r w:rsidRPr="1D928C0D">
              <w:rPr>
                <w:rFonts w:ascii="Arial" w:hAnsi="Arial" w:cs="Arial"/>
                <w:b/>
                <w:bCs/>
              </w:rPr>
              <w:t xml:space="preserve"> November 2025 14:00 (2PM)</w:t>
            </w:r>
          </w:p>
        </w:tc>
      </w:tr>
    </w:tbl>
    <w:p w14:paraId="23CFAA15" w14:textId="77777777" w:rsidR="00C01199" w:rsidRDefault="00C01199" w:rsidP="00C01199">
      <w:pPr>
        <w:spacing w:before="100" w:beforeAutospacing="1" w:after="100" w:afterAutospacing="1" w:line="360" w:lineRule="auto"/>
        <w:jc w:val="both"/>
        <w:outlineLvl w:val="2"/>
        <w:rPr>
          <w:rFonts w:ascii="Arial" w:eastAsia="Times New Roman" w:hAnsi="Arial" w:cs="Arial"/>
          <w:b/>
          <w:bCs/>
        </w:rPr>
      </w:pPr>
    </w:p>
    <w:p w14:paraId="70BCB853" w14:textId="77777777" w:rsidR="00C01199" w:rsidRDefault="00C01199" w:rsidP="00CF1D7A">
      <w:pPr>
        <w:spacing w:before="100" w:beforeAutospacing="1" w:after="100" w:afterAutospacing="1" w:line="360" w:lineRule="auto"/>
        <w:jc w:val="both"/>
        <w:outlineLvl w:val="2"/>
        <w:rPr>
          <w:rFonts w:ascii="Arial" w:eastAsia="Times New Roman" w:hAnsi="Arial" w:cs="Arial"/>
          <w:b/>
          <w:bCs/>
        </w:rPr>
      </w:pPr>
    </w:p>
    <w:p w14:paraId="12F83A0C" w14:textId="77777777" w:rsidR="00C01199" w:rsidRDefault="00C01199" w:rsidP="00CF1D7A">
      <w:pPr>
        <w:spacing w:before="100" w:beforeAutospacing="1" w:after="100" w:afterAutospacing="1" w:line="360" w:lineRule="auto"/>
        <w:jc w:val="both"/>
        <w:outlineLvl w:val="2"/>
        <w:rPr>
          <w:rFonts w:ascii="Arial" w:eastAsia="Times New Roman" w:hAnsi="Arial" w:cs="Arial"/>
          <w:b/>
          <w:bCs/>
        </w:rPr>
      </w:pPr>
    </w:p>
    <w:p w14:paraId="57D7956E" w14:textId="77777777" w:rsidR="00C01199" w:rsidRDefault="00C01199" w:rsidP="00CF1D7A">
      <w:pPr>
        <w:spacing w:before="100" w:beforeAutospacing="1" w:after="100" w:afterAutospacing="1" w:line="360" w:lineRule="auto"/>
        <w:jc w:val="both"/>
        <w:outlineLvl w:val="2"/>
        <w:rPr>
          <w:rFonts w:ascii="Arial" w:eastAsia="Times New Roman" w:hAnsi="Arial" w:cs="Arial"/>
          <w:b/>
          <w:bCs/>
        </w:rPr>
      </w:pPr>
    </w:p>
    <w:p w14:paraId="048C8A36" w14:textId="77777777" w:rsidR="00C01199" w:rsidRDefault="00C01199" w:rsidP="00CF1D7A">
      <w:pPr>
        <w:spacing w:before="100" w:beforeAutospacing="1" w:after="100" w:afterAutospacing="1" w:line="360" w:lineRule="auto"/>
        <w:jc w:val="both"/>
        <w:outlineLvl w:val="2"/>
        <w:rPr>
          <w:rFonts w:ascii="Arial" w:eastAsia="Times New Roman" w:hAnsi="Arial" w:cs="Arial"/>
          <w:b/>
          <w:bCs/>
        </w:rPr>
      </w:pPr>
    </w:p>
    <w:p w14:paraId="1E9EE6A7" w14:textId="77777777" w:rsidR="00C01199" w:rsidRDefault="00C01199" w:rsidP="00CF1D7A">
      <w:pPr>
        <w:spacing w:before="100" w:beforeAutospacing="1" w:after="100" w:afterAutospacing="1" w:line="360" w:lineRule="auto"/>
        <w:jc w:val="both"/>
        <w:outlineLvl w:val="2"/>
        <w:rPr>
          <w:rFonts w:ascii="Arial" w:eastAsia="Times New Roman" w:hAnsi="Arial" w:cs="Arial"/>
          <w:b/>
          <w:bCs/>
        </w:rPr>
      </w:pPr>
    </w:p>
    <w:p w14:paraId="51034E83" w14:textId="77777777" w:rsidR="00C01199" w:rsidRDefault="00C01199" w:rsidP="00CF1D7A">
      <w:pPr>
        <w:spacing w:before="100" w:beforeAutospacing="1" w:after="100" w:afterAutospacing="1" w:line="360" w:lineRule="auto"/>
        <w:jc w:val="both"/>
        <w:outlineLvl w:val="2"/>
        <w:rPr>
          <w:rFonts w:ascii="Arial" w:eastAsia="Times New Roman" w:hAnsi="Arial" w:cs="Arial"/>
          <w:b/>
          <w:bCs/>
        </w:rPr>
      </w:pPr>
    </w:p>
    <w:p w14:paraId="06E7DA20" w14:textId="77777777" w:rsidR="00C01199" w:rsidRDefault="00C01199" w:rsidP="00CF1D7A">
      <w:pPr>
        <w:spacing w:before="100" w:beforeAutospacing="1" w:after="100" w:afterAutospacing="1" w:line="360" w:lineRule="auto"/>
        <w:jc w:val="both"/>
        <w:outlineLvl w:val="2"/>
        <w:rPr>
          <w:rFonts w:ascii="Arial" w:eastAsia="Times New Roman" w:hAnsi="Arial" w:cs="Arial"/>
          <w:b/>
          <w:bCs/>
        </w:rPr>
      </w:pPr>
    </w:p>
    <w:p w14:paraId="07A7ABA2" w14:textId="77777777" w:rsidR="00933ABB" w:rsidRDefault="00933ABB" w:rsidP="00933ABB">
      <w:pPr>
        <w:spacing w:before="100" w:beforeAutospacing="1" w:after="100" w:afterAutospacing="1" w:line="360" w:lineRule="auto"/>
        <w:jc w:val="both"/>
        <w:rPr>
          <w:rFonts w:ascii="Arial" w:eastAsia="Times New Roman" w:hAnsi="Arial" w:cs="Arial"/>
          <w:sz w:val="24"/>
          <w:szCs w:val="24"/>
        </w:rPr>
      </w:pPr>
      <w:r w:rsidRPr="00933ABB">
        <w:rPr>
          <w:rFonts w:ascii="Arial" w:eastAsia="Times New Roman" w:hAnsi="Arial" w:cs="Arial"/>
          <w:b/>
          <w:bCs/>
          <w:sz w:val="24"/>
          <w:szCs w:val="24"/>
        </w:rPr>
        <w:lastRenderedPageBreak/>
        <w:t>Table of Contents</w:t>
      </w:r>
    </w:p>
    <w:p w14:paraId="46702D8F" w14:textId="77777777" w:rsidR="00933ABB" w:rsidRPr="00933ABB" w:rsidRDefault="00933ABB" w:rsidP="00933ABB">
      <w:pPr>
        <w:spacing w:before="100" w:beforeAutospacing="1" w:after="100" w:afterAutospacing="1" w:line="360" w:lineRule="auto"/>
        <w:jc w:val="both"/>
        <w:rPr>
          <w:rFonts w:ascii="Arial" w:eastAsia="Times New Roman" w:hAnsi="Arial" w:cs="Arial"/>
          <w:sz w:val="24"/>
          <w:szCs w:val="24"/>
        </w:rPr>
      </w:pPr>
      <w:r w:rsidRPr="00933ABB">
        <w:rPr>
          <w:rFonts w:ascii="Arial" w:eastAsia="Times New Roman" w:hAnsi="Arial" w:cs="Arial"/>
          <w:b/>
          <w:sz w:val="24"/>
          <w:szCs w:val="24"/>
        </w:rPr>
        <w:t>1.1</w:t>
      </w:r>
      <w:r>
        <w:rPr>
          <w:rFonts w:ascii="Arial" w:eastAsia="Times New Roman" w:hAnsi="Arial" w:cs="Arial"/>
          <w:sz w:val="24"/>
          <w:szCs w:val="24"/>
        </w:rPr>
        <w:t xml:space="preserve"> </w:t>
      </w:r>
      <w:r w:rsidRPr="00933ABB">
        <w:rPr>
          <w:rFonts w:ascii="Arial" w:eastAsia="Times New Roman" w:hAnsi="Arial" w:cs="Arial"/>
          <w:b/>
          <w:bCs/>
          <w:sz w:val="24"/>
          <w:szCs w:val="24"/>
        </w:rPr>
        <w:t>Introduction</w:t>
      </w:r>
      <w:r w:rsidRPr="00933ABB">
        <w:rPr>
          <w:rFonts w:ascii="Arial" w:eastAsia="Times New Roman" w:hAnsi="Arial" w:cs="Arial"/>
          <w:sz w:val="24"/>
          <w:szCs w:val="24"/>
        </w:rPr>
        <w:t xml:space="preserve"> .........................................................</w:t>
      </w:r>
      <w:r>
        <w:rPr>
          <w:rFonts w:ascii="Arial" w:eastAsia="Times New Roman" w:hAnsi="Arial" w:cs="Arial"/>
          <w:sz w:val="24"/>
          <w:szCs w:val="24"/>
        </w:rPr>
        <w:t>..................................................... 3</w:t>
      </w:r>
    </w:p>
    <w:p w14:paraId="58909A45" w14:textId="77777777" w:rsidR="00933ABB" w:rsidRPr="00933ABB" w:rsidRDefault="00933ABB" w:rsidP="00933ABB">
      <w:pPr>
        <w:spacing w:before="100" w:beforeAutospacing="1" w:after="100" w:afterAutospacing="1" w:line="360" w:lineRule="auto"/>
        <w:jc w:val="both"/>
        <w:rPr>
          <w:rFonts w:ascii="Arial" w:eastAsia="Times New Roman" w:hAnsi="Arial" w:cs="Arial"/>
          <w:sz w:val="24"/>
          <w:szCs w:val="24"/>
        </w:rPr>
      </w:pPr>
      <w:r>
        <w:rPr>
          <w:rFonts w:ascii="Arial" w:eastAsia="Times New Roman" w:hAnsi="Arial" w:cs="Arial"/>
          <w:b/>
          <w:bCs/>
          <w:sz w:val="24"/>
          <w:szCs w:val="24"/>
        </w:rPr>
        <w:t xml:space="preserve">1.2 </w:t>
      </w:r>
      <w:r w:rsidRPr="00933ABB">
        <w:rPr>
          <w:rFonts w:ascii="Arial" w:eastAsia="Times New Roman" w:hAnsi="Arial" w:cs="Arial"/>
          <w:b/>
          <w:bCs/>
          <w:sz w:val="24"/>
          <w:szCs w:val="24"/>
        </w:rPr>
        <w:t>Rationale</w:t>
      </w:r>
      <w:r w:rsidRPr="00933ABB">
        <w:rPr>
          <w:rFonts w:ascii="Arial" w:eastAsia="Times New Roman" w:hAnsi="Arial" w:cs="Arial"/>
          <w:sz w:val="24"/>
          <w:szCs w:val="24"/>
        </w:rPr>
        <w:t xml:space="preserve"> ...........................................................</w:t>
      </w:r>
      <w:r>
        <w:rPr>
          <w:rFonts w:ascii="Arial" w:eastAsia="Times New Roman" w:hAnsi="Arial" w:cs="Arial"/>
          <w:sz w:val="24"/>
          <w:szCs w:val="24"/>
        </w:rPr>
        <w:t>...................................</w:t>
      </w:r>
      <w:r w:rsidRPr="00933ABB">
        <w:rPr>
          <w:rFonts w:ascii="Arial" w:eastAsia="Times New Roman" w:hAnsi="Arial" w:cs="Arial"/>
          <w:sz w:val="24"/>
          <w:szCs w:val="24"/>
        </w:rPr>
        <w:t>..</w:t>
      </w:r>
      <w:r>
        <w:rPr>
          <w:rFonts w:ascii="Arial" w:eastAsia="Times New Roman" w:hAnsi="Arial" w:cs="Arial"/>
          <w:sz w:val="24"/>
          <w:szCs w:val="24"/>
        </w:rPr>
        <w:t>......</w:t>
      </w:r>
      <w:r w:rsidRPr="00933ABB">
        <w:rPr>
          <w:rFonts w:ascii="Arial" w:eastAsia="Times New Roman" w:hAnsi="Arial" w:cs="Arial"/>
          <w:sz w:val="24"/>
          <w:szCs w:val="24"/>
        </w:rPr>
        <w:t>............ 3</w:t>
      </w:r>
    </w:p>
    <w:p w14:paraId="3E7B224E" w14:textId="77777777" w:rsidR="00933ABB" w:rsidRPr="00933ABB" w:rsidRDefault="00933ABB" w:rsidP="00933ABB">
      <w:pPr>
        <w:spacing w:before="100" w:beforeAutospacing="1" w:after="100" w:afterAutospacing="1" w:line="360" w:lineRule="auto"/>
        <w:jc w:val="both"/>
        <w:rPr>
          <w:rFonts w:ascii="Arial" w:eastAsia="Times New Roman" w:hAnsi="Arial" w:cs="Arial"/>
          <w:sz w:val="24"/>
          <w:szCs w:val="24"/>
        </w:rPr>
      </w:pPr>
      <w:r>
        <w:rPr>
          <w:rFonts w:ascii="Arial" w:eastAsia="Times New Roman" w:hAnsi="Arial" w:cs="Arial"/>
          <w:b/>
          <w:bCs/>
          <w:sz w:val="24"/>
          <w:szCs w:val="24"/>
        </w:rPr>
        <w:t>2. Global Context: Interlinkages b</w:t>
      </w:r>
      <w:r w:rsidRPr="00933ABB">
        <w:rPr>
          <w:rFonts w:ascii="Arial" w:eastAsia="Times New Roman" w:hAnsi="Arial" w:cs="Arial"/>
          <w:b/>
          <w:bCs/>
          <w:sz w:val="24"/>
          <w:szCs w:val="24"/>
        </w:rPr>
        <w:t>etween SDG 2 and SDG 3</w:t>
      </w:r>
      <w:r w:rsidRPr="00933ABB">
        <w:rPr>
          <w:rFonts w:ascii="Arial" w:eastAsia="Times New Roman" w:hAnsi="Arial" w:cs="Arial"/>
          <w:sz w:val="24"/>
          <w:szCs w:val="24"/>
        </w:rPr>
        <w:t xml:space="preserve"> .....</w:t>
      </w:r>
      <w:r>
        <w:rPr>
          <w:rFonts w:ascii="Arial" w:eastAsia="Times New Roman" w:hAnsi="Arial" w:cs="Arial"/>
          <w:sz w:val="24"/>
          <w:szCs w:val="24"/>
        </w:rPr>
        <w:t>..........................</w:t>
      </w:r>
      <w:r w:rsidRPr="00933ABB">
        <w:rPr>
          <w:rFonts w:ascii="Arial" w:eastAsia="Times New Roman" w:hAnsi="Arial" w:cs="Arial"/>
          <w:sz w:val="24"/>
          <w:szCs w:val="24"/>
        </w:rPr>
        <w:t>..... 4</w:t>
      </w:r>
    </w:p>
    <w:p w14:paraId="14DFF0FE" w14:textId="77777777" w:rsidR="00933ABB" w:rsidRPr="00933ABB" w:rsidRDefault="00933ABB" w:rsidP="00933ABB">
      <w:pPr>
        <w:spacing w:before="100" w:beforeAutospacing="1" w:after="100" w:afterAutospacing="1" w:line="360" w:lineRule="auto"/>
        <w:jc w:val="both"/>
        <w:rPr>
          <w:rFonts w:ascii="Arial" w:eastAsia="Times New Roman" w:hAnsi="Arial" w:cs="Arial"/>
          <w:sz w:val="24"/>
          <w:szCs w:val="24"/>
        </w:rPr>
      </w:pPr>
      <w:r>
        <w:rPr>
          <w:rFonts w:ascii="Arial" w:eastAsia="Times New Roman" w:hAnsi="Arial" w:cs="Arial"/>
          <w:b/>
          <w:bCs/>
          <w:sz w:val="24"/>
          <w:szCs w:val="24"/>
        </w:rPr>
        <w:t xml:space="preserve"> </w:t>
      </w:r>
      <w:r w:rsidRPr="00933ABB">
        <w:rPr>
          <w:rFonts w:ascii="Arial" w:eastAsia="Times New Roman" w:hAnsi="Arial" w:cs="Arial"/>
          <w:b/>
          <w:bCs/>
          <w:sz w:val="24"/>
          <w:szCs w:val="24"/>
        </w:rPr>
        <w:t>Interconnection Table: SDG 2 and SDG 3</w:t>
      </w:r>
      <w:r w:rsidRPr="00933ABB">
        <w:rPr>
          <w:rFonts w:ascii="Arial" w:eastAsia="Times New Roman" w:hAnsi="Arial" w:cs="Arial"/>
          <w:sz w:val="24"/>
          <w:szCs w:val="24"/>
        </w:rPr>
        <w:t xml:space="preserve"> .....................</w:t>
      </w:r>
      <w:r>
        <w:rPr>
          <w:rFonts w:ascii="Arial" w:eastAsia="Times New Roman" w:hAnsi="Arial" w:cs="Arial"/>
          <w:sz w:val="24"/>
          <w:szCs w:val="24"/>
        </w:rPr>
        <w:t>............................................. 5</w:t>
      </w:r>
    </w:p>
    <w:p w14:paraId="6E2CEDE7" w14:textId="77777777" w:rsidR="00933ABB" w:rsidRPr="00933ABB" w:rsidRDefault="00933ABB" w:rsidP="00933ABB">
      <w:pPr>
        <w:spacing w:before="100" w:beforeAutospacing="1" w:after="100" w:afterAutospacing="1" w:line="360" w:lineRule="auto"/>
        <w:jc w:val="both"/>
        <w:rPr>
          <w:rFonts w:ascii="Arial" w:eastAsia="Times New Roman" w:hAnsi="Arial" w:cs="Arial"/>
          <w:sz w:val="24"/>
          <w:szCs w:val="24"/>
        </w:rPr>
      </w:pPr>
      <w:r>
        <w:rPr>
          <w:rFonts w:ascii="Arial" w:eastAsia="Times New Roman" w:hAnsi="Arial" w:cs="Arial"/>
          <w:b/>
          <w:bCs/>
          <w:sz w:val="24"/>
          <w:szCs w:val="24"/>
        </w:rPr>
        <w:t xml:space="preserve">3. </w:t>
      </w:r>
      <w:r w:rsidRPr="00933ABB">
        <w:rPr>
          <w:rFonts w:ascii="Arial" w:eastAsia="Times New Roman" w:hAnsi="Arial" w:cs="Arial"/>
          <w:b/>
          <w:bCs/>
          <w:sz w:val="24"/>
          <w:szCs w:val="24"/>
        </w:rPr>
        <w:t>National Context: UK Policies Connecting Nutrition, Food Security, and Health</w:t>
      </w:r>
      <w:r w:rsidRPr="00933ABB">
        <w:rPr>
          <w:rFonts w:ascii="Arial" w:eastAsia="Times New Roman" w:hAnsi="Arial" w:cs="Arial"/>
          <w:sz w:val="24"/>
          <w:szCs w:val="24"/>
        </w:rPr>
        <w:t xml:space="preserve"> ...........................................................</w:t>
      </w:r>
      <w:r>
        <w:rPr>
          <w:rFonts w:ascii="Arial" w:eastAsia="Times New Roman" w:hAnsi="Arial" w:cs="Arial"/>
          <w:sz w:val="24"/>
          <w:szCs w:val="24"/>
        </w:rPr>
        <w:t>.....................................</w:t>
      </w:r>
      <w:r w:rsidRPr="00933ABB">
        <w:rPr>
          <w:rFonts w:ascii="Arial" w:eastAsia="Times New Roman" w:hAnsi="Arial" w:cs="Arial"/>
          <w:sz w:val="24"/>
          <w:szCs w:val="24"/>
        </w:rPr>
        <w:t>......</w:t>
      </w:r>
      <w:r>
        <w:rPr>
          <w:rFonts w:ascii="Arial" w:eastAsia="Times New Roman" w:hAnsi="Arial" w:cs="Arial"/>
          <w:sz w:val="24"/>
          <w:szCs w:val="24"/>
        </w:rPr>
        <w:t>.................................. 6</w:t>
      </w:r>
    </w:p>
    <w:p w14:paraId="4CAFA882" w14:textId="77777777" w:rsidR="00933ABB" w:rsidRPr="00933ABB" w:rsidRDefault="00933ABB" w:rsidP="00933ABB">
      <w:pPr>
        <w:spacing w:before="100" w:beforeAutospacing="1" w:after="100" w:afterAutospacing="1" w:line="360" w:lineRule="auto"/>
        <w:jc w:val="both"/>
        <w:rPr>
          <w:rFonts w:ascii="Arial" w:eastAsia="Times New Roman" w:hAnsi="Arial" w:cs="Arial"/>
          <w:sz w:val="24"/>
          <w:szCs w:val="24"/>
        </w:rPr>
      </w:pPr>
      <w:r>
        <w:rPr>
          <w:rFonts w:ascii="Arial" w:eastAsia="Times New Roman" w:hAnsi="Arial" w:cs="Arial"/>
          <w:b/>
          <w:bCs/>
          <w:sz w:val="24"/>
          <w:szCs w:val="24"/>
        </w:rPr>
        <w:t xml:space="preserve">4. </w:t>
      </w:r>
      <w:r w:rsidRPr="00933ABB">
        <w:rPr>
          <w:rFonts w:ascii="Arial" w:eastAsia="Times New Roman" w:hAnsi="Arial" w:cs="Arial"/>
          <w:b/>
          <w:bCs/>
          <w:sz w:val="24"/>
          <w:szCs w:val="24"/>
        </w:rPr>
        <w:t>Local Context: Food S</w:t>
      </w:r>
      <w:r>
        <w:rPr>
          <w:rFonts w:ascii="Arial" w:eastAsia="Times New Roman" w:hAnsi="Arial" w:cs="Arial"/>
          <w:b/>
          <w:bCs/>
          <w:sz w:val="24"/>
          <w:szCs w:val="24"/>
        </w:rPr>
        <w:t>ecurity and Health Initiatives a</w:t>
      </w:r>
      <w:r w:rsidRPr="00933ABB">
        <w:rPr>
          <w:rFonts w:ascii="Arial" w:eastAsia="Times New Roman" w:hAnsi="Arial" w:cs="Arial"/>
          <w:b/>
          <w:bCs/>
          <w:sz w:val="24"/>
          <w:szCs w:val="24"/>
        </w:rPr>
        <w:t>cross UK Communities</w:t>
      </w:r>
      <w:r w:rsidRPr="00933ABB">
        <w:rPr>
          <w:rFonts w:ascii="Arial" w:eastAsia="Times New Roman" w:hAnsi="Arial" w:cs="Arial"/>
          <w:sz w:val="24"/>
          <w:szCs w:val="24"/>
        </w:rPr>
        <w:t xml:space="preserve"> ....................................................................</w:t>
      </w:r>
      <w:r>
        <w:rPr>
          <w:rFonts w:ascii="Arial" w:eastAsia="Times New Roman" w:hAnsi="Arial" w:cs="Arial"/>
          <w:sz w:val="24"/>
          <w:szCs w:val="24"/>
        </w:rPr>
        <w:t>..................................................................... 7</w:t>
      </w:r>
    </w:p>
    <w:p w14:paraId="09E06B28" w14:textId="77777777" w:rsidR="00933ABB" w:rsidRPr="00933ABB" w:rsidRDefault="00933ABB" w:rsidP="00933ABB">
      <w:pPr>
        <w:spacing w:before="100" w:beforeAutospacing="1" w:after="100" w:afterAutospacing="1" w:line="360" w:lineRule="auto"/>
        <w:jc w:val="both"/>
        <w:rPr>
          <w:rFonts w:ascii="Arial" w:eastAsia="Times New Roman" w:hAnsi="Arial" w:cs="Arial"/>
          <w:sz w:val="24"/>
          <w:szCs w:val="24"/>
        </w:rPr>
      </w:pPr>
      <w:r>
        <w:rPr>
          <w:rFonts w:ascii="Arial" w:eastAsia="Times New Roman" w:hAnsi="Arial" w:cs="Arial"/>
          <w:b/>
          <w:bCs/>
          <w:sz w:val="24"/>
          <w:szCs w:val="24"/>
        </w:rPr>
        <w:t xml:space="preserve">5. </w:t>
      </w:r>
      <w:r w:rsidRPr="00933ABB">
        <w:rPr>
          <w:rFonts w:ascii="Arial" w:eastAsia="Times New Roman" w:hAnsi="Arial" w:cs="Arial"/>
          <w:b/>
          <w:bCs/>
          <w:sz w:val="24"/>
          <w:szCs w:val="24"/>
        </w:rPr>
        <w:t>Recommendations for Improvement</w:t>
      </w:r>
      <w:r w:rsidRPr="00933ABB">
        <w:rPr>
          <w:rFonts w:ascii="Arial" w:eastAsia="Times New Roman" w:hAnsi="Arial" w:cs="Arial"/>
          <w:sz w:val="24"/>
          <w:szCs w:val="24"/>
        </w:rPr>
        <w:t xml:space="preserve"> ............</w:t>
      </w:r>
      <w:r>
        <w:rPr>
          <w:rFonts w:ascii="Arial" w:eastAsia="Times New Roman" w:hAnsi="Arial" w:cs="Arial"/>
          <w:sz w:val="24"/>
          <w:szCs w:val="24"/>
        </w:rPr>
        <w:t>........................</w:t>
      </w:r>
      <w:r w:rsidRPr="00933ABB">
        <w:rPr>
          <w:rFonts w:ascii="Arial" w:eastAsia="Times New Roman" w:hAnsi="Arial" w:cs="Arial"/>
          <w:sz w:val="24"/>
          <w:szCs w:val="24"/>
        </w:rPr>
        <w:t>.........</w:t>
      </w:r>
      <w:r>
        <w:rPr>
          <w:rFonts w:ascii="Arial" w:eastAsia="Times New Roman" w:hAnsi="Arial" w:cs="Arial"/>
          <w:sz w:val="24"/>
          <w:szCs w:val="24"/>
        </w:rPr>
        <w:t>......................... 9</w:t>
      </w:r>
    </w:p>
    <w:p w14:paraId="017B8E8A" w14:textId="77777777" w:rsidR="00933ABB" w:rsidRPr="00933ABB" w:rsidRDefault="00933ABB" w:rsidP="00933ABB">
      <w:pPr>
        <w:spacing w:before="100" w:beforeAutospacing="1" w:after="100" w:afterAutospacing="1" w:line="360" w:lineRule="auto"/>
        <w:jc w:val="both"/>
        <w:rPr>
          <w:rFonts w:ascii="Arial" w:eastAsia="Times New Roman" w:hAnsi="Arial" w:cs="Arial"/>
          <w:sz w:val="24"/>
          <w:szCs w:val="24"/>
        </w:rPr>
      </w:pPr>
      <w:r w:rsidRPr="00933ABB">
        <w:rPr>
          <w:rFonts w:ascii="Arial" w:eastAsia="Times New Roman" w:hAnsi="Arial" w:cs="Arial"/>
          <w:b/>
          <w:bCs/>
          <w:sz w:val="24"/>
          <w:szCs w:val="24"/>
        </w:rPr>
        <w:t>Conclusion</w:t>
      </w:r>
      <w:r w:rsidRPr="00933ABB">
        <w:rPr>
          <w:rFonts w:ascii="Arial" w:eastAsia="Times New Roman" w:hAnsi="Arial" w:cs="Arial"/>
          <w:sz w:val="24"/>
          <w:szCs w:val="24"/>
        </w:rPr>
        <w:t xml:space="preserve"> ..........................................................</w:t>
      </w:r>
      <w:r>
        <w:rPr>
          <w:rFonts w:ascii="Arial" w:eastAsia="Times New Roman" w:hAnsi="Arial" w:cs="Arial"/>
          <w:sz w:val="24"/>
          <w:szCs w:val="24"/>
        </w:rPr>
        <w:t>............................</w:t>
      </w:r>
      <w:r w:rsidRPr="00933ABB">
        <w:rPr>
          <w:rFonts w:ascii="Arial" w:eastAsia="Times New Roman" w:hAnsi="Arial" w:cs="Arial"/>
          <w:sz w:val="24"/>
          <w:szCs w:val="24"/>
        </w:rPr>
        <w:t>..........</w:t>
      </w:r>
      <w:r>
        <w:rPr>
          <w:rFonts w:ascii="Arial" w:eastAsia="Times New Roman" w:hAnsi="Arial" w:cs="Arial"/>
          <w:sz w:val="24"/>
          <w:szCs w:val="24"/>
        </w:rPr>
        <w:t>...........</w:t>
      </w:r>
      <w:r w:rsidR="00AF47F8">
        <w:rPr>
          <w:rFonts w:ascii="Arial" w:eastAsia="Times New Roman" w:hAnsi="Arial" w:cs="Arial"/>
          <w:sz w:val="24"/>
          <w:szCs w:val="24"/>
        </w:rPr>
        <w:t>........ 9</w:t>
      </w:r>
    </w:p>
    <w:p w14:paraId="7C17EFAA" w14:textId="77777777" w:rsidR="00933ABB" w:rsidRPr="00933ABB" w:rsidRDefault="00933ABB" w:rsidP="00933ABB">
      <w:pPr>
        <w:spacing w:before="100" w:beforeAutospacing="1" w:after="100" w:afterAutospacing="1" w:line="360" w:lineRule="auto"/>
        <w:jc w:val="both"/>
        <w:rPr>
          <w:rFonts w:ascii="Arial" w:eastAsia="Times New Roman" w:hAnsi="Arial" w:cs="Arial"/>
          <w:sz w:val="24"/>
          <w:szCs w:val="24"/>
        </w:rPr>
      </w:pPr>
      <w:r w:rsidRPr="00933ABB">
        <w:rPr>
          <w:rFonts w:ascii="Arial" w:eastAsia="Times New Roman" w:hAnsi="Arial" w:cs="Arial"/>
          <w:b/>
          <w:bCs/>
          <w:sz w:val="24"/>
          <w:szCs w:val="24"/>
        </w:rPr>
        <w:t>References</w:t>
      </w:r>
      <w:r w:rsidRPr="00933ABB">
        <w:rPr>
          <w:rFonts w:ascii="Arial" w:eastAsia="Times New Roman" w:hAnsi="Arial" w:cs="Arial"/>
          <w:sz w:val="24"/>
          <w:szCs w:val="24"/>
        </w:rPr>
        <w:t xml:space="preserve"> ..........................................................</w:t>
      </w:r>
      <w:r>
        <w:rPr>
          <w:rFonts w:ascii="Arial" w:eastAsia="Times New Roman" w:hAnsi="Arial" w:cs="Arial"/>
          <w:sz w:val="24"/>
          <w:szCs w:val="24"/>
        </w:rPr>
        <w:t>............................</w:t>
      </w:r>
      <w:r w:rsidRPr="00933ABB">
        <w:rPr>
          <w:rFonts w:ascii="Arial" w:eastAsia="Times New Roman" w:hAnsi="Arial" w:cs="Arial"/>
          <w:sz w:val="24"/>
          <w:szCs w:val="24"/>
        </w:rPr>
        <w:t>........</w:t>
      </w:r>
      <w:r>
        <w:rPr>
          <w:rFonts w:ascii="Arial" w:eastAsia="Times New Roman" w:hAnsi="Arial" w:cs="Arial"/>
          <w:sz w:val="24"/>
          <w:szCs w:val="24"/>
        </w:rPr>
        <w:t>.................... 11</w:t>
      </w:r>
    </w:p>
    <w:p w14:paraId="3D523B0E" w14:textId="77777777" w:rsidR="00C01199" w:rsidRPr="00933ABB" w:rsidRDefault="00933ABB" w:rsidP="00933ABB">
      <w:pPr>
        <w:tabs>
          <w:tab w:val="left" w:pos="1566"/>
        </w:tabs>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tab/>
      </w:r>
    </w:p>
    <w:p w14:paraId="16B0557D" w14:textId="77777777" w:rsidR="00C01199" w:rsidRDefault="00C01199" w:rsidP="00CF1D7A">
      <w:pPr>
        <w:spacing w:before="100" w:beforeAutospacing="1" w:after="100" w:afterAutospacing="1" w:line="360" w:lineRule="auto"/>
        <w:jc w:val="both"/>
        <w:outlineLvl w:val="2"/>
        <w:rPr>
          <w:rFonts w:ascii="Arial" w:eastAsia="Times New Roman" w:hAnsi="Arial" w:cs="Arial"/>
          <w:b/>
          <w:bCs/>
        </w:rPr>
      </w:pPr>
    </w:p>
    <w:p w14:paraId="05CC683E" w14:textId="77777777" w:rsidR="00C01199" w:rsidRDefault="00C01199" w:rsidP="00CF1D7A">
      <w:pPr>
        <w:spacing w:before="100" w:beforeAutospacing="1" w:after="100" w:afterAutospacing="1" w:line="360" w:lineRule="auto"/>
        <w:jc w:val="both"/>
        <w:outlineLvl w:val="2"/>
        <w:rPr>
          <w:rFonts w:ascii="Arial" w:eastAsia="Times New Roman" w:hAnsi="Arial" w:cs="Arial"/>
          <w:b/>
          <w:bCs/>
        </w:rPr>
      </w:pPr>
    </w:p>
    <w:p w14:paraId="0DC7BF1C" w14:textId="77777777" w:rsidR="00C01199" w:rsidRDefault="00C01199" w:rsidP="00CF1D7A">
      <w:pPr>
        <w:spacing w:before="100" w:beforeAutospacing="1" w:after="100" w:afterAutospacing="1" w:line="360" w:lineRule="auto"/>
        <w:jc w:val="both"/>
        <w:outlineLvl w:val="2"/>
        <w:rPr>
          <w:rFonts w:ascii="Arial" w:eastAsia="Times New Roman" w:hAnsi="Arial" w:cs="Arial"/>
          <w:b/>
          <w:bCs/>
        </w:rPr>
      </w:pPr>
    </w:p>
    <w:p w14:paraId="42FB4B92" w14:textId="77777777" w:rsidR="00C01199" w:rsidRDefault="00C01199" w:rsidP="00CF1D7A">
      <w:pPr>
        <w:spacing w:before="100" w:beforeAutospacing="1" w:after="100" w:afterAutospacing="1" w:line="360" w:lineRule="auto"/>
        <w:jc w:val="both"/>
        <w:outlineLvl w:val="2"/>
        <w:rPr>
          <w:rFonts w:ascii="Arial" w:eastAsia="Times New Roman" w:hAnsi="Arial" w:cs="Arial"/>
          <w:b/>
          <w:bCs/>
        </w:rPr>
      </w:pPr>
    </w:p>
    <w:p w14:paraId="3D8EF4EF" w14:textId="77777777" w:rsidR="00C01199" w:rsidRDefault="00C01199" w:rsidP="00CF1D7A">
      <w:pPr>
        <w:spacing w:before="100" w:beforeAutospacing="1" w:after="100" w:afterAutospacing="1" w:line="360" w:lineRule="auto"/>
        <w:jc w:val="both"/>
        <w:outlineLvl w:val="2"/>
        <w:rPr>
          <w:rFonts w:ascii="Arial" w:eastAsia="Times New Roman" w:hAnsi="Arial" w:cs="Arial"/>
          <w:b/>
          <w:bCs/>
        </w:rPr>
      </w:pPr>
    </w:p>
    <w:p w14:paraId="305746F2" w14:textId="77777777" w:rsidR="00C01199" w:rsidRDefault="00C01199" w:rsidP="00CF1D7A">
      <w:pPr>
        <w:spacing w:before="100" w:beforeAutospacing="1" w:after="100" w:afterAutospacing="1" w:line="360" w:lineRule="auto"/>
        <w:jc w:val="both"/>
        <w:outlineLvl w:val="2"/>
        <w:rPr>
          <w:rFonts w:ascii="Arial" w:eastAsia="Times New Roman" w:hAnsi="Arial" w:cs="Arial"/>
          <w:b/>
          <w:bCs/>
        </w:rPr>
      </w:pPr>
    </w:p>
    <w:p w14:paraId="1F498EC1" w14:textId="77777777" w:rsidR="00C01199" w:rsidRDefault="00C01199" w:rsidP="00CF1D7A">
      <w:pPr>
        <w:spacing w:before="100" w:beforeAutospacing="1" w:after="100" w:afterAutospacing="1" w:line="360" w:lineRule="auto"/>
        <w:jc w:val="both"/>
        <w:outlineLvl w:val="2"/>
        <w:rPr>
          <w:rFonts w:ascii="Arial" w:eastAsia="Times New Roman" w:hAnsi="Arial" w:cs="Arial"/>
          <w:b/>
          <w:bCs/>
        </w:rPr>
      </w:pPr>
    </w:p>
    <w:p w14:paraId="63F6379C" w14:textId="77777777" w:rsidR="009C163B" w:rsidRPr="009C163B" w:rsidRDefault="000C3713" w:rsidP="00CF1D7A">
      <w:pPr>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lastRenderedPageBreak/>
        <w:t xml:space="preserve">1.1 </w:t>
      </w:r>
      <w:r w:rsidR="009C163B" w:rsidRPr="00CF1D7A">
        <w:rPr>
          <w:rFonts w:ascii="Arial" w:eastAsia="Times New Roman" w:hAnsi="Arial" w:cs="Arial"/>
          <w:b/>
          <w:bCs/>
        </w:rPr>
        <w:t>Introduction</w:t>
      </w:r>
    </w:p>
    <w:p w14:paraId="77C05008" w14:textId="77777777" w:rsidR="009C163B" w:rsidRPr="009C163B" w:rsidRDefault="009C163B" w:rsidP="00CF1D7A">
      <w:pPr>
        <w:spacing w:before="100" w:beforeAutospacing="1" w:after="100" w:afterAutospacing="1" w:line="360" w:lineRule="auto"/>
        <w:jc w:val="both"/>
        <w:rPr>
          <w:rFonts w:ascii="Arial" w:eastAsia="Times New Roman" w:hAnsi="Arial" w:cs="Arial"/>
        </w:rPr>
      </w:pPr>
      <w:r w:rsidRPr="009C163B">
        <w:rPr>
          <w:rFonts w:ascii="Arial" w:eastAsia="Times New Roman" w:hAnsi="Arial" w:cs="Arial"/>
        </w:rPr>
        <w:t>The Sustainable Development Goals (SDGs) were established in 2015 by the United Nations as part of the 2030 Agenda for Sustainable Development, adopted by 193 member states to promote global prosperity, environmental protection, and social equity (United Nations, 2015). Comprising 17 interlinked goals, the SDGs provide a universal framework for addressing complex global challenges such as poverty, inequality, climate change, and public health (UNDP, 2023). Central to this agenda is the recognition that health, nutrition, and sustainability are deeply interconnected and essential for human development.</w:t>
      </w:r>
    </w:p>
    <w:p w14:paraId="27CB467B" w14:textId="77777777" w:rsidR="00CC56B1" w:rsidRDefault="009C163B" w:rsidP="00CF1D7A">
      <w:pPr>
        <w:spacing w:line="360" w:lineRule="auto"/>
        <w:jc w:val="both"/>
        <w:rPr>
          <w:rFonts w:ascii="Arial" w:hAnsi="Arial" w:cs="Arial"/>
        </w:rPr>
      </w:pPr>
      <w:r w:rsidRPr="00CF1D7A">
        <w:rPr>
          <w:rFonts w:ascii="Arial" w:hAnsi="Arial" w:cs="Arial"/>
        </w:rPr>
        <w:t xml:space="preserve">Sustainable Development Goal (SDG) 3, </w:t>
      </w:r>
      <w:r w:rsidRPr="00CF1D7A">
        <w:rPr>
          <w:rStyle w:val="Emphasis"/>
          <w:rFonts w:ascii="Arial" w:hAnsi="Arial" w:cs="Arial"/>
        </w:rPr>
        <w:t>Good Health and Wellbeing</w:t>
      </w:r>
      <w:r w:rsidRPr="00CF1D7A">
        <w:rPr>
          <w:rFonts w:ascii="Arial" w:hAnsi="Arial" w:cs="Arial"/>
        </w:rPr>
        <w:t xml:space="preserve">, aims to ensure healthy lives and promote wellbeing for all ages, while SDG 2, </w:t>
      </w:r>
      <w:r w:rsidRPr="00CF1D7A">
        <w:rPr>
          <w:rStyle w:val="Emphasis"/>
          <w:rFonts w:ascii="Arial" w:hAnsi="Arial" w:cs="Arial"/>
        </w:rPr>
        <w:t>Zero Hunger</w:t>
      </w:r>
      <w:r w:rsidRPr="00CF1D7A">
        <w:rPr>
          <w:rFonts w:ascii="Arial" w:hAnsi="Arial" w:cs="Arial"/>
        </w:rPr>
        <w:t>, seeks to end hunger, achieve food security, and improve nutrition globally (United Nations, 2023). The interconnection between these goals is fundamental: adequate nutrition underpins physical health, cognitive development, and disease prevention (WHO, 2022). Inadequate diets are now a leading cause of morbidity, contributing to non-communicable diseases such as obesity, diabetes, and cardiovascular illness (Afshin et al., 2023). Within the United Kingdom, food insecurity has risen sharply due to economic pressures, energy costs, and widening inequalities (</w:t>
      </w:r>
      <w:proofErr w:type="spellStart"/>
      <w:r w:rsidRPr="00CF1D7A">
        <w:rPr>
          <w:rFonts w:ascii="Arial" w:hAnsi="Arial" w:cs="Arial"/>
        </w:rPr>
        <w:t>Loopstra</w:t>
      </w:r>
      <w:proofErr w:type="spellEnd"/>
      <w:r w:rsidRPr="00CF1D7A">
        <w:rPr>
          <w:rFonts w:ascii="Arial" w:hAnsi="Arial" w:cs="Arial"/>
        </w:rPr>
        <w:t xml:space="preserve"> et al., 2022). National data show that nearly 10 % of UK households experience moderate to severe food insecurity, directly undermining public health outcomes (Food Foundation, 2024). Policies such as the </w:t>
      </w:r>
      <w:r w:rsidRPr="00CF1D7A">
        <w:rPr>
          <w:rStyle w:val="Strong"/>
          <w:rFonts w:ascii="Arial" w:hAnsi="Arial" w:cs="Arial"/>
        </w:rPr>
        <w:t>National Food Strategy (2021)</w:t>
      </w:r>
      <w:r w:rsidRPr="00CF1D7A">
        <w:rPr>
          <w:rFonts w:ascii="Arial" w:hAnsi="Arial" w:cs="Arial"/>
        </w:rPr>
        <w:t xml:space="preserve"> and </w:t>
      </w:r>
      <w:r w:rsidRPr="00CF1D7A">
        <w:rPr>
          <w:rStyle w:val="Strong"/>
          <w:rFonts w:ascii="Arial" w:hAnsi="Arial" w:cs="Arial"/>
        </w:rPr>
        <w:t>Healthy Start Scheme</w:t>
      </w:r>
      <w:r w:rsidRPr="00CF1D7A">
        <w:rPr>
          <w:rFonts w:ascii="Arial" w:hAnsi="Arial" w:cs="Arial"/>
        </w:rPr>
        <w:t xml:space="preserve"> aim to address these disparities, yet implementation gaps persist at community level (Marmot et al., 2023). Strengthening the alignment between nutrition and health strategies is therefore essential for sustainable wellbeing. Exploring the synergies between SDG 2 and SDG 3 provides a critical lens to evaluate how integrated policies can enhance health equity and food sustainability across the UK.</w:t>
      </w:r>
    </w:p>
    <w:p w14:paraId="3C5BB506" w14:textId="77777777" w:rsidR="009C163B" w:rsidRPr="009C163B" w:rsidRDefault="000C3713" w:rsidP="00CF1D7A">
      <w:pPr>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t xml:space="preserve">1.2 </w:t>
      </w:r>
      <w:r w:rsidR="009C163B" w:rsidRPr="00CF1D7A">
        <w:rPr>
          <w:rFonts w:ascii="Arial" w:eastAsia="Times New Roman" w:hAnsi="Arial" w:cs="Arial"/>
          <w:b/>
          <w:bCs/>
        </w:rPr>
        <w:t>Rationale</w:t>
      </w:r>
    </w:p>
    <w:p w14:paraId="253C86F1" w14:textId="77777777" w:rsidR="009C163B" w:rsidRPr="009C163B" w:rsidRDefault="009C163B" w:rsidP="00CF1D7A">
      <w:pPr>
        <w:spacing w:before="100" w:beforeAutospacing="1" w:after="100" w:afterAutospacing="1" w:line="360" w:lineRule="auto"/>
        <w:jc w:val="both"/>
        <w:rPr>
          <w:rFonts w:ascii="Arial" w:eastAsia="Times New Roman" w:hAnsi="Arial" w:cs="Arial"/>
        </w:rPr>
      </w:pPr>
      <w:r w:rsidRPr="009C163B">
        <w:rPr>
          <w:rFonts w:ascii="Arial" w:eastAsia="Times New Roman" w:hAnsi="Arial" w:cs="Arial"/>
        </w:rPr>
        <w:t>Exploring the interconnection between SDG 2 and SDG 3 is essential for understanding how nutrition directly shapes health outcomes and wellbeing. In the UK, rising food insecurity and diet-related diseases highlight the urgent need for integrated health and nutrition policies to promote equity and achieve sustainable development goals (Marmot et al., 2023).</w:t>
      </w:r>
    </w:p>
    <w:p w14:paraId="1E118446" w14:textId="77777777" w:rsidR="009C163B" w:rsidRPr="00CF1D7A" w:rsidRDefault="009C163B" w:rsidP="00CF1D7A">
      <w:pPr>
        <w:spacing w:line="360" w:lineRule="auto"/>
        <w:jc w:val="both"/>
        <w:rPr>
          <w:rFonts w:ascii="Arial" w:hAnsi="Arial" w:cs="Arial"/>
        </w:rPr>
      </w:pPr>
    </w:p>
    <w:p w14:paraId="210C382A" w14:textId="77777777" w:rsidR="00C01199" w:rsidRDefault="00C01199" w:rsidP="00CF1D7A">
      <w:pPr>
        <w:spacing w:before="100" w:beforeAutospacing="1" w:after="100" w:afterAutospacing="1" w:line="360" w:lineRule="auto"/>
        <w:jc w:val="both"/>
        <w:outlineLvl w:val="2"/>
        <w:rPr>
          <w:rFonts w:ascii="Arial" w:eastAsia="Times New Roman" w:hAnsi="Arial" w:cs="Arial"/>
          <w:b/>
          <w:bCs/>
        </w:rPr>
      </w:pPr>
    </w:p>
    <w:p w14:paraId="6CD368B7" w14:textId="77777777" w:rsidR="00C01199" w:rsidRDefault="00C01199" w:rsidP="00C01199">
      <w:pPr>
        <w:spacing w:before="100" w:beforeAutospacing="1" w:after="100" w:afterAutospacing="1" w:line="360" w:lineRule="auto"/>
        <w:jc w:val="both"/>
        <w:outlineLvl w:val="2"/>
        <w:rPr>
          <w:rFonts w:ascii="Arial" w:eastAsia="Times New Roman" w:hAnsi="Arial" w:cs="Arial"/>
          <w:b/>
          <w:bCs/>
        </w:rPr>
      </w:pPr>
      <w:r>
        <w:rPr>
          <w:noProof/>
        </w:rPr>
        <w:lastRenderedPageBreak/>
        <w:drawing>
          <wp:inline distT="0" distB="0" distL="0" distR="0" wp14:anchorId="7341CCD7" wp14:editId="3E5C5090">
            <wp:extent cx="2901948" cy="2053390"/>
            <wp:effectExtent l="0" t="0" r="0" b="4445"/>
            <wp:docPr id="2" name="Picture 2" descr="SDG3 - Office of Sustaina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DG3 - Office of Sustainabili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04622" cy="2055282"/>
                    </a:xfrm>
                    <a:prstGeom prst="rect">
                      <a:avLst/>
                    </a:prstGeom>
                    <a:noFill/>
                    <a:ln>
                      <a:noFill/>
                    </a:ln>
                  </pic:spPr>
                </pic:pic>
              </a:graphicData>
            </a:graphic>
          </wp:inline>
        </w:drawing>
      </w:r>
      <w:r w:rsidRPr="00C01199">
        <w:rPr>
          <w:noProof/>
        </w:rPr>
        <w:t xml:space="preserve"> </w:t>
      </w:r>
      <w:r>
        <w:rPr>
          <w:noProof/>
        </w:rPr>
        <w:drawing>
          <wp:inline distT="0" distB="0" distL="0" distR="0" wp14:anchorId="768B72E9" wp14:editId="5EC4433D">
            <wp:extent cx="2703095" cy="2004393"/>
            <wp:effectExtent l="0" t="0" r="2540" b="0"/>
            <wp:docPr id="4" name="Picture 4" descr="17 Days of AI for Good — SDG 3— Good Health and Well-Being | by Mark  Crowley | computationallythinking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17 Days of AI for Good — SDG 3— Good Health and Well-Being | by Mark  Crowley | computationallythinking | Mediu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08714" cy="2008560"/>
                    </a:xfrm>
                    <a:prstGeom prst="rect">
                      <a:avLst/>
                    </a:prstGeom>
                    <a:noFill/>
                    <a:ln>
                      <a:noFill/>
                    </a:ln>
                  </pic:spPr>
                </pic:pic>
              </a:graphicData>
            </a:graphic>
          </wp:inline>
        </w:drawing>
      </w:r>
    </w:p>
    <w:p w14:paraId="05651CEF" w14:textId="77777777" w:rsidR="00C01199" w:rsidRDefault="00C01199" w:rsidP="00CF1D7A">
      <w:pPr>
        <w:spacing w:before="100" w:beforeAutospacing="1" w:after="100" w:afterAutospacing="1" w:line="360" w:lineRule="auto"/>
        <w:jc w:val="both"/>
        <w:outlineLvl w:val="2"/>
        <w:rPr>
          <w:rFonts w:ascii="Arial" w:eastAsia="Times New Roman" w:hAnsi="Arial" w:cs="Arial"/>
          <w:b/>
          <w:bCs/>
        </w:rPr>
      </w:pPr>
    </w:p>
    <w:p w14:paraId="1313B865" w14:textId="77777777" w:rsidR="00C01199" w:rsidRDefault="00C01199" w:rsidP="00C01199">
      <w:pPr>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t xml:space="preserve">   (Bernstein, 2020)                                                                                           </w:t>
      </w:r>
      <w:proofErr w:type="gramStart"/>
      <w:r>
        <w:rPr>
          <w:rFonts w:ascii="Arial" w:eastAsia="Times New Roman" w:hAnsi="Arial" w:cs="Arial"/>
          <w:b/>
          <w:bCs/>
        </w:rPr>
        <w:t xml:space="preserve">   (</w:t>
      </w:r>
      <w:proofErr w:type="gramEnd"/>
      <w:r>
        <w:rPr>
          <w:rFonts w:ascii="Arial" w:eastAsia="Times New Roman" w:hAnsi="Arial" w:cs="Arial"/>
          <w:b/>
          <w:bCs/>
        </w:rPr>
        <w:t xml:space="preserve">Crowley, 2018)    </w:t>
      </w:r>
    </w:p>
    <w:p w14:paraId="7695BDAD" w14:textId="77777777" w:rsidR="00C01199" w:rsidRDefault="00C01199" w:rsidP="00CF1D7A">
      <w:pPr>
        <w:spacing w:before="100" w:beforeAutospacing="1" w:after="100" w:afterAutospacing="1" w:line="360" w:lineRule="auto"/>
        <w:jc w:val="both"/>
        <w:outlineLvl w:val="2"/>
        <w:rPr>
          <w:rFonts w:ascii="Arial" w:eastAsia="Times New Roman" w:hAnsi="Arial" w:cs="Arial"/>
          <w:b/>
          <w:bCs/>
        </w:rPr>
      </w:pPr>
    </w:p>
    <w:p w14:paraId="699A7E85" w14:textId="77777777" w:rsidR="009C163B" w:rsidRPr="009C163B" w:rsidRDefault="009C163B" w:rsidP="00CF1D7A">
      <w:pPr>
        <w:spacing w:before="100" w:beforeAutospacing="1" w:after="100" w:afterAutospacing="1" w:line="360" w:lineRule="auto"/>
        <w:jc w:val="both"/>
        <w:outlineLvl w:val="2"/>
        <w:rPr>
          <w:rFonts w:ascii="Arial" w:eastAsia="Times New Roman" w:hAnsi="Arial" w:cs="Arial"/>
          <w:b/>
          <w:bCs/>
        </w:rPr>
      </w:pPr>
      <w:r w:rsidRPr="00CF1D7A">
        <w:rPr>
          <w:rFonts w:ascii="Arial" w:eastAsia="Times New Roman" w:hAnsi="Arial" w:cs="Arial"/>
          <w:b/>
          <w:bCs/>
        </w:rPr>
        <w:t>2. Glo</w:t>
      </w:r>
      <w:r w:rsidR="000C3713">
        <w:rPr>
          <w:rFonts w:ascii="Arial" w:eastAsia="Times New Roman" w:hAnsi="Arial" w:cs="Arial"/>
          <w:b/>
          <w:bCs/>
        </w:rPr>
        <w:t>bal Context: Interlinkages b</w:t>
      </w:r>
      <w:r w:rsidRPr="00CF1D7A">
        <w:rPr>
          <w:rFonts w:ascii="Arial" w:eastAsia="Times New Roman" w:hAnsi="Arial" w:cs="Arial"/>
          <w:b/>
          <w:bCs/>
        </w:rPr>
        <w:t>etween SDG 2 (Zero Hunger) and SDG 3 (Good Health and Wellbeing)</w:t>
      </w:r>
    </w:p>
    <w:p w14:paraId="66F4AB13" w14:textId="77777777" w:rsidR="009C163B" w:rsidRPr="009C163B" w:rsidRDefault="009C163B" w:rsidP="00CF1D7A">
      <w:pPr>
        <w:spacing w:before="100" w:beforeAutospacing="1" w:after="100" w:afterAutospacing="1" w:line="360" w:lineRule="auto"/>
        <w:jc w:val="both"/>
        <w:rPr>
          <w:rFonts w:ascii="Arial" w:eastAsia="Times New Roman" w:hAnsi="Arial" w:cs="Arial"/>
        </w:rPr>
      </w:pPr>
      <w:r w:rsidRPr="009C163B">
        <w:rPr>
          <w:rFonts w:ascii="Arial" w:eastAsia="Times New Roman" w:hAnsi="Arial" w:cs="Arial"/>
        </w:rPr>
        <w:t>Sustainable Development Goal 2 (Zero Hunger) seeks to end hunger, achieve food security, improve nutrition, and promote sustainable agriculture, while SDG 3 (Good Health and Wellbeing) aims to ensure healthy lives for all. These two goals are deeply interconnected: nutrition is a foundational determinant of physical and mental health, and health outcomes, in turn, influence food security and productivity. Globally, achieving SDG 2 directly supports progress toward SDG 3 by reducing the burden of malnutrition, non-communicable diseases (NCDs), and maternal and child mortality (FAO, 2023).</w:t>
      </w:r>
    </w:p>
    <w:p w14:paraId="5353F448" w14:textId="77777777" w:rsidR="009C163B" w:rsidRPr="009C163B" w:rsidRDefault="009C163B" w:rsidP="00CF1D7A">
      <w:pPr>
        <w:spacing w:before="100" w:beforeAutospacing="1" w:after="100" w:afterAutospacing="1" w:line="360" w:lineRule="auto"/>
        <w:jc w:val="both"/>
        <w:rPr>
          <w:rFonts w:ascii="Arial" w:eastAsia="Times New Roman" w:hAnsi="Arial" w:cs="Arial"/>
        </w:rPr>
      </w:pPr>
      <w:r w:rsidRPr="009C163B">
        <w:rPr>
          <w:rFonts w:ascii="Arial" w:eastAsia="Times New Roman" w:hAnsi="Arial" w:cs="Arial"/>
        </w:rPr>
        <w:t>Undernutrition remains one of the leading contributors to ill health, responsible for nearly 45% of deaths among children under five (WHO, 2023). Climate change, conflict, and economic instability have intensified global food insecurity, with the number of undernourished people rising to 735 million in 2022 (FAO et al., 2023). Poor nutrition weakens immune function and increases susceptibility to infectious diseases such as malaria and tuberculosis, directly undermining SDG 3 targets (UNICEF, 2022).</w:t>
      </w:r>
    </w:p>
    <w:p w14:paraId="56CF5C13" w14:textId="77777777" w:rsidR="009C163B" w:rsidRPr="009C163B" w:rsidRDefault="009C163B" w:rsidP="00CF1D7A">
      <w:pPr>
        <w:spacing w:before="100" w:beforeAutospacing="1" w:after="100" w:afterAutospacing="1" w:line="360" w:lineRule="auto"/>
        <w:jc w:val="both"/>
        <w:rPr>
          <w:rFonts w:ascii="Arial" w:eastAsia="Times New Roman" w:hAnsi="Arial" w:cs="Arial"/>
        </w:rPr>
      </w:pPr>
      <w:r w:rsidRPr="009C163B">
        <w:rPr>
          <w:rFonts w:ascii="Arial" w:eastAsia="Times New Roman" w:hAnsi="Arial" w:cs="Arial"/>
        </w:rPr>
        <w:t xml:space="preserve">Conversely, overnutrition and unhealthy diets have emerged as major global challenges. The World Health Organization (2024) reports that obesity has tripled worldwide since 1975, driving </w:t>
      </w:r>
      <w:r w:rsidRPr="009C163B">
        <w:rPr>
          <w:rFonts w:ascii="Arial" w:eastAsia="Times New Roman" w:hAnsi="Arial" w:cs="Arial"/>
        </w:rPr>
        <w:lastRenderedPageBreak/>
        <w:t xml:space="preserve">NCDs such as diabetes, cardiovascular disease, and some cancers. In both developed and developing nations, dietary patterns dominated by ultra-processed foods contribute to micronutrient deficiencies and escalating healthcare costs (Afshin et al., 2023). These trends underscore that SDG 2 is not only about ending hunger but ensuring access to </w:t>
      </w:r>
      <w:r w:rsidRPr="000C3713">
        <w:rPr>
          <w:rFonts w:ascii="Arial" w:eastAsia="Times New Roman" w:hAnsi="Arial" w:cs="Arial"/>
          <w:bCs/>
        </w:rPr>
        <w:t>nutritious, sustainable, and affordable diets</w:t>
      </w:r>
      <w:r w:rsidRPr="009C163B">
        <w:rPr>
          <w:rFonts w:ascii="Arial" w:eastAsia="Times New Roman" w:hAnsi="Arial" w:cs="Arial"/>
        </w:rPr>
        <w:t>—a key determinant of achieving SDG 3.</w:t>
      </w:r>
    </w:p>
    <w:p w14:paraId="6C0C30A6" w14:textId="77777777" w:rsidR="009C163B" w:rsidRPr="009C163B" w:rsidRDefault="009C163B" w:rsidP="00CF1D7A">
      <w:pPr>
        <w:spacing w:before="100" w:beforeAutospacing="1" w:after="100" w:afterAutospacing="1" w:line="360" w:lineRule="auto"/>
        <w:jc w:val="both"/>
        <w:rPr>
          <w:rFonts w:ascii="Arial" w:eastAsia="Times New Roman" w:hAnsi="Arial" w:cs="Arial"/>
        </w:rPr>
      </w:pPr>
      <w:r w:rsidRPr="009C163B">
        <w:rPr>
          <w:rFonts w:ascii="Arial" w:eastAsia="Times New Roman" w:hAnsi="Arial" w:cs="Arial"/>
        </w:rPr>
        <w:t>Food systems also influence environmental and social determinants of health. Unsustainable agricultural practices contribute to soil degradation, greenhouse gas emissions, and biodiversity loss, which threaten both food security and global health resilience (Fanzo et al., 2022). Integrating sustainable food systems within health frameworks—such as through the WHO–FAO Sustainable Healthy Diets initiative—can create co-benefits for nutrition, planetary health, and wellbeing (WHO, 2023).</w:t>
      </w:r>
    </w:p>
    <w:p w14:paraId="2AB331CA" w14:textId="77777777" w:rsidR="009C163B" w:rsidRPr="009C163B" w:rsidRDefault="009C163B" w:rsidP="00CF1D7A">
      <w:pPr>
        <w:spacing w:before="100" w:beforeAutospacing="1" w:after="100" w:afterAutospacing="1" w:line="360" w:lineRule="auto"/>
        <w:jc w:val="both"/>
        <w:rPr>
          <w:rFonts w:ascii="Arial" w:eastAsia="Times New Roman" w:hAnsi="Arial" w:cs="Arial"/>
        </w:rPr>
      </w:pPr>
      <w:r w:rsidRPr="009C163B">
        <w:rPr>
          <w:rFonts w:ascii="Arial" w:eastAsia="Times New Roman" w:hAnsi="Arial" w:cs="Arial"/>
        </w:rPr>
        <w:t>Ultimately, the interdependence of SDG 2 and SDG 3 highlights the need for coordinated global action. Policies that promote equitable access to healthy foods, sustainable agriculture, and nutrition-sensitive healthcare are essential to address both undernutrition and diet-related NCDs, fostering resilient and healthier populations worldwide (UNDP, 2023).</w:t>
      </w:r>
    </w:p>
    <w:p w14:paraId="3789D1FF" w14:textId="77777777" w:rsidR="009C163B" w:rsidRPr="00CF1D7A" w:rsidRDefault="00CF1D7A" w:rsidP="00CF1D7A">
      <w:pPr>
        <w:spacing w:line="360" w:lineRule="auto"/>
        <w:jc w:val="both"/>
        <w:rPr>
          <w:rFonts w:ascii="Arial" w:hAnsi="Arial" w:cs="Arial"/>
          <w:b/>
        </w:rPr>
      </w:pPr>
      <w:r w:rsidRPr="00CF1D7A">
        <w:rPr>
          <w:rFonts w:ascii="Arial" w:hAnsi="Arial" w:cs="Arial"/>
          <w:b/>
        </w:rPr>
        <w:t>Table 1: Interconnection b</w:t>
      </w:r>
      <w:r w:rsidR="009C163B" w:rsidRPr="00CF1D7A">
        <w:rPr>
          <w:rFonts w:ascii="Arial" w:hAnsi="Arial" w:cs="Arial"/>
          <w:b/>
        </w:rPr>
        <w:t>etween SDG 2 (Zero Hunger) and SDG 3 (Good Health and Wellbeing)</w:t>
      </w:r>
    </w:p>
    <w:p w14:paraId="3D4A05A5" w14:textId="77777777" w:rsidR="009C163B" w:rsidRPr="00CF1D7A" w:rsidRDefault="009C163B" w:rsidP="00CF1D7A">
      <w:pPr>
        <w:spacing w:line="360" w:lineRule="auto"/>
        <w:jc w:val="both"/>
        <w:rPr>
          <w:rFonts w:ascii="Arial" w:hAnsi="Arial" w:cs="Arial"/>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40"/>
        <w:gridCol w:w="2405"/>
        <w:gridCol w:w="4215"/>
      </w:tblGrid>
      <w:tr w:rsidR="009C163B" w:rsidRPr="009C163B" w14:paraId="1D740886" w14:textId="77777777" w:rsidTr="009C163B">
        <w:trPr>
          <w:tblHeader/>
          <w:tblCellSpacing w:w="15" w:type="dxa"/>
        </w:trPr>
        <w:tc>
          <w:tcPr>
            <w:tcW w:w="0" w:type="auto"/>
            <w:vAlign w:val="center"/>
            <w:hideMark/>
          </w:tcPr>
          <w:p w14:paraId="5BC754E5" w14:textId="77777777" w:rsidR="009C163B" w:rsidRPr="009C163B" w:rsidRDefault="009C163B" w:rsidP="00CF1D7A">
            <w:pPr>
              <w:spacing w:after="0" w:line="276" w:lineRule="auto"/>
              <w:jc w:val="both"/>
              <w:rPr>
                <w:rFonts w:ascii="Arial" w:eastAsia="Times New Roman" w:hAnsi="Arial" w:cs="Arial"/>
                <w:b/>
                <w:bCs/>
              </w:rPr>
            </w:pPr>
            <w:r w:rsidRPr="009C163B">
              <w:rPr>
                <w:rFonts w:ascii="Arial" w:eastAsia="Times New Roman" w:hAnsi="Arial" w:cs="Arial"/>
                <w:b/>
                <w:bCs/>
              </w:rPr>
              <w:t>SDG 2 Target / Aspect</w:t>
            </w:r>
          </w:p>
        </w:tc>
        <w:tc>
          <w:tcPr>
            <w:tcW w:w="0" w:type="auto"/>
            <w:vAlign w:val="center"/>
            <w:hideMark/>
          </w:tcPr>
          <w:p w14:paraId="0910B9C0" w14:textId="77777777" w:rsidR="009C163B" w:rsidRPr="009C163B" w:rsidRDefault="009C163B" w:rsidP="00CF1D7A">
            <w:pPr>
              <w:spacing w:after="0" w:line="276" w:lineRule="auto"/>
              <w:jc w:val="both"/>
              <w:rPr>
                <w:rFonts w:ascii="Arial" w:eastAsia="Times New Roman" w:hAnsi="Arial" w:cs="Arial"/>
                <w:b/>
                <w:bCs/>
              </w:rPr>
            </w:pPr>
            <w:r w:rsidRPr="009C163B">
              <w:rPr>
                <w:rFonts w:ascii="Arial" w:eastAsia="Times New Roman" w:hAnsi="Arial" w:cs="Arial"/>
                <w:b/>
                <w:bCs/>
              </w:rPr>
              <w:t>Linked SDG 3 Target / Impact</w:t>
            </w:r>
          </w:p>
        </w:tc>
        <w:tc>
          <w:tcPr>
            <w:tcW w:w="0" w:type="auto"/>
            <w:vAlign w:val="center"/>
            <w:hideMark/>
          </w:tcPr>
          <w:p w14:paraId="61B2A515" w14:textId="77777777" w:rsidR="009C163B" w:rsidRPr="009C163B" w:rsidRDefault="009C163B" w:rsidP="00CF1D7A">
            <w:pPr>
              <w:spacing w:after="0" w:line="276" w:lineRule="auto"/>
              <w:jc w:val="both"/>
              <w:rPr>
                <w:rFonts w:ascii="Arial" w:eastAsia="Times New Roman" w:hAnsi="Arial" w:cs="Arial"/>
                <w:b/>
                <w:bCs/>
              </w:rPr>
            </w:pPr>
            <w:r w:rsidRPr="009C163B">
              <w:rPr>
                <w:rFonts w:ascii="Arial" w:eastAsia="Times New Roman" w:hAnsi="Arial" w:cs="Arial"/>
                <w:b/>
                <w:bCs/>
              </w:rPr>
              <w:t>Explanation of Interconnection</w:t>
            </w:r>
          </w:p>
        </w:tc>
      </w:tr>
      <w:tr w:rsidR="009C163B" w:rsidRPr="009C163B" w14:paraId="2C69F61E" w14:textId="77777777" w:rsidTr="009C163B">
        <w:trPr>
          <w:tblCellSpacing w:w="15" w:type="dxa"/>
        </w:trPr>
        <w:tc>
          <w:tcPr>
            <w:tcW w:w="0" w:type="auto"/>
            <w:vAlign w:val="center"/>
            <w:hideMark/>
          </w:tcPr>
          <w:p w14:paraId="0777B3C1" w14:textId="77777777" w:rsidR="009C163B" w:rsidRPr="009C163B" w:rsidRDefault="009C163B" w:rsidP="00CF1D7A">
            <w:pPr>
              <w:spacing w:after="0" w:line="276" w:lineRule="auto"/>
              <w:jc w:val="both"/>
              <w:rPr>
                <w:rFonts w:ascii="Arial" w:eastAsia="Times New Roman" w:hAnsi="Arial" w:cs="Arial"/>
              </w:rPr>
            </w:pPr>
            <w:r w:rsidRPr="009C163B">
              <w:rPr>
                <w:rFonts w:ascii="Arial" w:eastAsia="Times New Roman" w:hAnsi="Arial" w:cs="Arial"/>
                <w:b/>
                <w:bCs/>
              </w:rPr>
              <w:t>End hunger and ensure access to safe, nutritious food</w:t>
            </w:r>
          </w:p>
        </w:tc>
        <w:tc>
          <w:tcPr>
            <w:tcW w:w="0" w:type="auto"/>
            <w:vAlign w:val="center"/>
            <w:hideMark/>
          </w:tcPr>
          <w:p w14:paraId="1637BA00" w14:textId="77777777" w:rsidR="009C163B" w:rsidRPr="009C163B" w:rsidRDefault="009C163B" w:rsidP="00CF1D7A">
            <w:pPr>
              <w:spacing w:after="0" w:line="276" w:lineRule="auto"/>
              <w:jc w:val="both"/>
              <w:rPr>
                <w:rFonts w:ascii="Arial" w:eastAsia="Times New Roman" w:hAnsi="Arial" w:cs="Arial"/>
              </w:rPr>
            </w:pPr>
            <w:r w:rsidRPr="009C163B">
              <w:rPr>
                <w:rFonts w:ascii="Arial" w:eastAsia="Times New Roman" w:hAnsi="Arial" w:cs="Arial"/>
                <w:b/>
                <w:bCs/>
              </w:rPr>
              <w:t xml:space="preserve"> Reduce child mortality</w:t>
            </w:r>
          </w:p>
        </w:tc>
        <w:tc>
          <w:tcPr>
            <w:tcW w:w="0" w:type="auto"/>
            <w:vAlign w:val="center"/>
            <w:hideMark/>
          </w:tcPr>
          <w:p w14:paraId="72E73F07" w14:textId="77777777" w:rsidR="009C163B" w:rsidRPr="009C163B" w:rsidRDefault="009C163B" w:rsidP="00CF1D7A">
            <w:pPr>
              <w:spacing w:after="0" w:line="276" w:lineRule="auto"/>
              <w:jc w:val="both"/>
              <w:rPr>
                <w:rFonts w:ascii="Arial" w:eastAsia="Times New Roman" w:hAnsi="Arial" w:cs="Arial"/>
              </w:rPr>
            </w:pPr>
            <w:r w:rsidRPr="009C163B">
              <w:rPr>
                <w:rFonts w:ascii="Arial" w:eastAsia="Times New Roman" w:hAnsi="Arial" w:cs="Arial"/>
              </w:rPr>
              <w:t>Malnutrition weakens immunity and increases vulnerability to infectious diseases, raising child mortality rates (WHO, 2023).</w:t>
            </w:r>
          </w:p>
        </w:tc>
      </w:tr>
      <w:tr w:rsidR="009C163B" w:rsidRPr="009C163B" w14:paraId="751424BC" w14:textId="77777777" w:rsidTr="009C163B">
        <w:trPr>
          <w:tblCellSpacing w:w="15" w:type="dxa"/>
        </w:trPr>
        <w:tc>
          <w:tcPr>
            <w:tcW w:w="0" w:type="auto"/>
            <w:vAlign w:val="center"/>
            <w:hideMark/>
          </w:tcPr>
          <w:p w14:paraId="78139910" w14:textId="77777777" w:rsidR="009C163B" w:rsidRPr="009C163B" w:rsidRDefault="009C163B" w:rsidP="00CF1D7A">
            <w:pPr>
              <w:spacing w:after="0" w:line="276" w:lineRule="auto"/>
              <w:jc w:val="both"/>
              <w:rPr>
                <w:rFonts w:ascii="Arial" w:eastAsia="Times New Roman" w:hAnsi="Arial" w:cs="Arial"/>
              </w:rPr>
            </w:pPr>
            <w:r w:rsidRPr="009C163B">
              <w:rPr>
                <w:rFonts w:ascii="Arial" w:eastAsia="Times New Roman" w:hAnsi="Arial" w:cs="Arial"/>
                <w:b/>
                <w:bCs/>
              </w:rPr>
              <w:t>End all forms of malnutrition</w:t>
            </w:r>
          </w:p>
        </w:tc>
        <w:tc>
          <w:tcPr>
            <w:tcW w:w="0" w:type="auto"/>
            <w:vAlign w:val="center"/>
            <w:hideMark/>
          </w:tcPr>
          <w:p w14:paraId="22E3F58C" w14:textId="77777777" w:rsidR="009C163B" w:rsidRPr="009C163B" w:rsidRDefault="009C163B" w:rsidP="00CF1D7A">
            <w:pPr>
              <w:spacing w:after="0" w:line="276" w:lineRule="auto"/>
              <w:jc w:val="both"/>
              <w:rPr>
                <w:rFonts w:ascii="Arial" w:eastAsia="Times New Roman" w:hAnsi="Arial" w:cs="Arial"/>
              </w:rPr>
            </w:pPr>
            <w:r w:rsidRPr="009C163B">
              <w:rPr>
                <w:rFonts w:ascii="Arial" w:eastAsia="Times New Roman" w:hAnsi="Arial" w:cs="Arial"/>
                <w:b/>
                <w:bCs/>
              </w:rPr>
              <w:t>Reduce maternal mortality</w:t>
            </w:r>
          </w:p>
        </w:tc>
        <w:tc>
          <w:tcPr>
            <w:tcW w:w="0" w:type="auto"/>
            <w:vAlign w:val="center"/>
            <w:hideMark/>
          </w:tcPr>
          <w:p w14:paraId="1E4FC3B8" w14:textId="77777777" w:rsidR="009C163B" w:rsidRPr="009C163B" w:rsidRDefault="009C163B" w:rsidP="00CF1D7A">
            <w:pPr>
              <w:spacing w:after="0" w:line="276" w:lineRule="auto"/>
              <w:jc w:val="both"/>
              <w:rPr>
                <w:rFonts w:ascii="Arial" w:eastAsia="Times New Roman" w:hAnsi="Arial" w:cs="Arial"/>
              </w:rPr>
            </w:pPr>
            <w:r w:rsidRPr="009C163B">
              <w:rPr>
                <w:rFonts w:ascii="Arial" w:eastAsia="Times New Roman" w:hAnsi="Arial" w:cs="Arial"/>
              </w:rPr>
              <w:t xml:space="preserve">Micronutrient deficiencies during pregnancy heighten risks of complications, </w:t>
            </w:r>
            <w:proofErr w:type="spellStart"/>
            <w:r w:rsidRPr="009C163B">
              <w:rPr>
                <w:rFonts w:ascii="Arial" w:eastAsia="Times New Roman" w:hAnsi="Arial" w:cs="Arial"/>
              </w:rPr>
              <w:t>anaemia</w:t>
            </w:r>
            <w:proofErr w:type="spellEnd"/>
            <w:r w:rsidRPr="009C163B">
              <w:rPr>
                <w:rFonts w:ascii="Arial" w:eastAsia="Times New Roman" w:hAnsi="Arial" w:cs="Arial"/>
              </w:rPr>
              <w:t>, and maternal deaths (UNICEF, 2022).</w:t>
            </w:r>
          </w:p>
        </w:tc>
      </w:tr>
      <w:tr w:rsidR="009C163B" w:rsidRPr="009C163B" w14:paraId="4F45F010" w14:textId="77777777" w:rsidTr="009C163B">
        <w:trPr>
          <w:tblCellSpacing w:w="15" w:type="dxa"/>
        </w:trPr>
        <w:tc>
          <w:tcPr>
            <w:tcW w:w="0" w:type="auto"/>
            <w:vAlign w:val="center"/>
            <w:hideMark/>
          </w:tcPr>
          <w:p w14:paraId="20D237A9" w14:textId="77777777" w:rsidR="009C163B" w:rsidRPr="009C163B" w:rsidRDefault="009C163B" w:rsidP="00CF1D7A">
            <w:pPr>
              <w:spacing w:after="0" w:line="276" w:lineRule="auto"/>
              <w:jc w:val="both"/>
              <w:rPr>
                <w:rFonts w:ascii="Arial" w:eastAsia="Times New Roman" w:hAnsi="Arial" w:cs="Arial"/>
              </w:rPr>
            </w:pPr>
            <w:r w:rsidRPr="009C163B">
              <w:rPr>
                <w:rFonts w:ascii="Arial" w:eastAsia="Times New Roman" w:hAnsi="Arial" w:cs="Arial"/>
                <w:b/>
                <w:bCs/>
              </w:rPr>
              <w:t>Double agricultural productivity and incomes of small-scale farmers</w:t>
            </w:r>
          </w:p>
        </w:tc>
        <w:tc>
          <w:tcPr>
            <w:tcW w:w="0" w:type="auto"/>
            <w:vAlign w:val="center"/>
            <w:hideMark/>
          </w:tcPr>
          <w:p w14:paraId="3BAE0F82" w14:textId="77777777" w:rsidR="009C163B" w:rsidRPr="009C163B" w:rsidRDefault="009C163B" w:rsidP="00CF1D7A">
            <w:pPr>
              <w:spacing w:after="0" w:line="276" w:lineRule="auto"/>
              <w:jc w:val="both"/>
              <w:rPr>
                <w:rFonts w:ascii="Arial" w:eastAsia="Times New Roman" w:hAnsi="Arial" w:cs="Arial"/>
              </w:rPr>
            </w:pPr>
            <w:r w:rsidRPr="009C163B">
              <w:rPr>
                <w:rFonts w:ascii="Arial" w:eastAsia="Times New Roman" w:hAnsi="Arial" w:cs="Arial"/>
                <w:b/>
                <w:bCs/>
              </w:rPr>
              <w:t>Reduce premature mortality from NCDs</w:t>
            </w:r>
          </w:p>
        </w:tc>
        <w:tc>
          <w:tcPr>
            <w:tcW w:w="0" w:type="auto"/>
            <w:vAlign w:val="center"/>
            <w:hideMark/>
          </w:tcPr>
          <w:p w14:paraId="1F95C226" w14:textId="77777777" w:rsidR="009C163B" w:rsidRPr="009C163B" w:rsidRDefault="009C163B" w:rsidP="00CF1D7A">
            <w:pPr>
              <w:spacing w:after="0" w:line="276" w:lineRule="auto"/>
              <w:jc w:val="both"/>
              <w:rPr>
                <w:rFonts w:ascii="Arial" w:eastAsia="Times New Roman" w:hAnsi="Arial" w:cs="Arial"/>
              </w:rPr>
            </w:pPr>
            <w:r w:rsidRPr="009C163B">
              <w:rPr>
                <w:rFonts w:ascii="Arial" w:eastAsia="Times New Roman" w:hAnsi="Arial" w:cs="Arial"/>
              </w:rPr>
              <w:t>Improved livelihoods enhance access to nutritious diets and healthcare, reducing diet-related diseases (FAO, 2023).</w:t>
            </w:r>
          </w:p>
        </w:tc>
      </w:tr>
      <w:tr w:rsidR="009C163B" w:rsidRPr="009C163B" w14:paraId="0EF20323" w14:textId="77777777" w:rsidTr="009C163B">
        <w:trPr>
          <w:tblCellSpacing w:w="15" w:type="dxa"/>
        </w:trPr>
        <w:tc>
          <w:tcPr>
            <w:tcW w:w="0" w:type="auto"/>
            <w:vAlign w:val="center"/>
            <w:hideMark/>
          </w:tcPr>
          <w:p w14:paraId="491781DC" w14:textId="77777777" w:rsidR="009C163B" w:rsidRPr="009C163B" w:rsidRDefault="009C163B" w:rsidP="00CF1D7A">
            <w:pPr>
              <w:spacing w:after="0" w:line="276" w:lineRule="auto"/>
              <w:jc w:val="both"/>
              <w:rPr>
                <w:rFonts w:ascii="Arial" w:eastAsia="Times New Roman" w:hAnsi="Arial" w:cs="Arial"/>
              </w:rPr>
            </w:pPr>
            <w:r w:rsidRPr="009C163B">
              <w:rPr>
                <w:rFonts w:ascii="Arial" w:eastAsia="Times New Roman" w:hAnsi="Arial" w:cs="Arial"/>
                <w:b/>
                <w:bCs/>
              </w:rPr>
              <w:lastRenderedPageBreak/>
              <w:t>Ensure sustainable food production systems</w:t>
            </w:r>
          </w:p>
        </w:tc>
        <w:tc>
          <w:tcPr>
            <w:tcW w:w="0" w:type="auto"/>
            <w:vAlign w:val="center"/>
            <w:hideMark/>
          </w:tcPr>
          <w:p w14:paraId="25DDABEA" w14:textId="77777777" w:rsidR="009C163B" w:rsidRPr="009C163B" w:rsidRDefault="009C163B" w:rsidP="00CF1D7A">
            <w:pPr>
              <w:spacing w:after="0" w:line="276" w:lineRule="auto"/>
              <w:jc w:val="both"/>
              <w:rPr>
                <w:rFonts w:ascii="Arial" w:eastAsia="Times New Roman" w:hAnsi="Arial" w:cs="Arial"/>
              </w:rPr>
            </w:pPr>
            <w:r w:rsidRPr="009C163B">
              <w:rPr>
                <w:rFonts w:ascii="Arial" w:eastAsia="Times New Roman" w:hAnsi="Arial" w:cs="Arial"/>
                <w:b/>
                <w:bCs/>
              </w:rPr>
              <w:t xml:space="preserve"> Reduce illnesses from pollution and hazardous chemicals</w:t>
            </w:r>
          </w:p>
        </w:tc>
        <w:tc>
          <w:tcPr>
            <w:tcW w:w="0" w:type="auto"/>
            <w:vAlign w:val="center"/>
            <w:hideMark/>
          </w:tcPr>
          <w:p w14:paraId="4419056D" w14:textId="77777777" w:rsidR="009C163B" w:rsidRPr="009C163B" w:rsidRDefault="009C163B" w:rsidP="00CF1D7A">
            <w:pPr>
              <w:spacing w:after="0" w:line="276" w:lineRule="auto"/>
              <w:jc w:val="both"/>
              <w:rPr>
                <w:rFonts w:ascii="Arial" w:eastAsia="Times New Roman" w:hAnsi="Arial" w:cs="Arial"/>
              </w:rPr>
            </w:pPr>
            <w:r w:rsidRPr="009C163B">
              <w:rPr>
                <w:rFonts w:ascii="Arial" w:eastAsia="Times New Roman" w:hAnsi="Arial" w:cs="Arial"/>
              </w:rPr>
              <w:t>Sustainable farming reduces pesticide exposure and promotes environmental health (Fanzo et al., 2022).</w:t>
            </w:r>
          </w:p>
        </w:tc>
      </w:tr>
      <w:tr w:rsidR="009C163B" w:rsidRPr="009C163B" w14:paraId="66B4E34A" w14:textId="77777777" w:rsidTr="009C163B">
        <w:trPr>
          <w:tblCellSpacing w:w="15" w:type="dxa"/>
        </w:trPr>
        <w:tc>
          <w:tcPr>
            <w:tcW w:w="0" w:type="auto"/>
            <w:vAlign w:val="center"/>
            <w:hideMark/>
          </w:tcPr>
          <w:p w14:paraId="756F15B3" w14:textId="77777777" w:rsidR="009C163B" w:rsidRPr="009C163B" w:rsidRDefault="009C163B" w:rsidP="00CF1D7A">
            <w:pPr>
              <w:spacing w:after="0" w:line="276" w:lineRule="auto"/>
              <w:jc w:val="both"/>
              <w:rPr>
                <w:rFonts w:ascii="Arial" w:eastAsia="Times New Roman" w:hAnsi="Arial" w:cs="Arial"/>
              </w:rPr>
            </w:pPr>
            <w:r w:rsidRPr="009C163B">
              <w:rPr>
                <w:rFonts w:ascii="Arial" w:eastAsia="Times New Roman" w:hAnsi="Arial" w:cs="Arial"/>
                <w:b/>
                <w:bCs/>
              </w:rPr>
              <w:t>Maintain genetic diversity of seeds and crops</w:t>
            </w:r>
          </w:p>
        </w:tc>
        <w:tc>
          <w:tcPr>
            <w:tcW w:w="0" w:type="auto"/>
            <w:vAlign w:val="center"/>
            <w:hideMark/>
          </w:tcPr>
          <w:p w14:paraId="41A078E0" w14:textId="77777777" w:rsidR="009C163B" w:rsidRPr="009C163B" w:rsidRDefault="009C163B" w:rsidP="00CF1D7A">
            <w:pPr>
              <w:spacing w:after="0" w:line="276" w:lineRule="auto"/>
              <w:jc w:val="both"/>
              <w:rPr>
                <w:rFonts w:ascii="Arial" w:eastAsia="Times New Roman" w:hAnsi="Arial" w:cs="Arial"/>
              </w:rPr>
            </w:pPr>
            <w:proofErr w:type="gramStart"/>
            <w:r w:rsidRPr="009C163B">
              <w:rPr>
                <w:rFonts w:ascii="Arial" w:eastAsia="Times New Roman" w:hAnsi="Arial" w:cs="Arial"/>
                <w:b/>
                <w:bCs/>
              </w:rPr>
              <w:t>Strengthen</w:t>
            </w:r>
            <w:proofErr w:type="gramEnd"/>
            <w:r w:rsidRPr="009C163B">
              <w:rPr>
                <w:rFonts w:ascii="Arial" w:eastAsia="Times New Roman" w:hAnsi="Arial" w:cs="Arial"/>
                <w:b/>
                <w:bCs/>
              </w:rPr>
              <w:t xml:space="preserve"> capacity for early warning and risk reduction</w:t>
            </w:r>
          </w:p>
        </w:tc>
        <w:tc>
          <w:tcPr>
            <w:tcW w:w="0" w:type="auto"/>
            <w:vAlign w:val="center"/>
            <w:hideMark/>
          </w:tcPr>
          <w:p w14:paraId="444A052A" w14:textId="77777777" w:rsidR="009C163B" w:rsidRPr="009C163B" w:rsidRDefault="009C163B" w:rsidP="00CF1D7A">
            <w:pPr>
              <w:spacing w:after="0" w:line="276" w:lineRule="auto"/>
              <w:jc w:val="both"/>
              <w:rPr>
                <w:rFonts w:ascii="Arial" w:eastAsia="Times New Roman" w:hAnsi="Arial" w:cs="Arial"/>
              </w:rPr>
            </w:pPr>
            <w:r w:rsidRPr="009C163B">
              <w:rPr>
                <w:rFonts w:ascii="Arial" w:eastAsia="Times New Roman" w:hAnsi="Arial" w:cs="Arial"/>
              </w:rPr>
              <w:t>Biodiversity supports resilient food systems that safeguard nutrition and health in crises (UNDP, 2023).</w:t>
            </w:r>
          </w:p>
        </w:tc>
      </w:tr>
    </w:tbl>
    <w:p w14:paraId="44806F37" w14:textId="77777777" w:rsidR="009C163B" w:rsidRPr="00CF1D7A" w:rsidRDefault="009C163B" w:rsidP="00CF1D7A">
      <w:pPr>
        <w:spacing w:line="360" w:lineRule="auto"/>
        <w:jc w:val="both"/>
        <w:rPr>
          <w:rFonts w:ascii="Arial" w:hAnsi="Arial" w:cs="Arial"/>
        </w:rPr>
      </w:pPr>
    </w:p>
    <w:p w14:paraId="0E3768F3" w14:textId="77777777" w:rsidR="009C163B" w:rsidRPr="00CF1D7A" w:rsidRDefault="009C163B" w:rsidP="00CF1D7A">
      <w:pPr>
        <w:spacing w:line="360" w:lineRule="auto"/>
        <w:jc w:val="both"/>
        <w:rPr>
          <w:rFonts w:ascii="Arial" w:hAnsi="Arial" w:cs="Arial"/>
        </w:rPr>
      </w:pPr>
    </w:p>
    <w:p w14:paraId="7EC1EF31" w14:textId="77777777" w:rsidR="009C163B" w:rsidRPr="009C163B" w:rsidRDefault="009C163B" w:rsidP="00CF1D7A">
      <w:pPr>
        <w:spacing w:before="100" w:beforeAutospacing="1" w:after="100" w:afterAutospacing="1" w:line="360" w:lineRule="auto"/>
        <w:jc w:val="both"/>
        <w:outlineLvl w:val="2"/>
        <w:rPr>
          <w:rFonts w:ascii="Arial" w:eastAsia="Times New Roman" w:hAnsi="Arial" w:cs="Arial"/>
          <w:b/>
          <w:bCs/>
        </w:rPr>
      </w:pPr>
      <w:r w:rsidRPr="00CF1D7A">
        <w:rPr>
          <w:rFonts w:ascii="Arial" w:eastAsia="Times New Roman" w:hAnsi="Arial" w:cs="Arial"/>
          <w:b/>
          <w:bCs/>
        </w:rPr>
        <w:t>3. National Context: UK Policies Connecting Nutrition, Food Security, and Health (SDG 2 &amp; SDG 3)</w:t>
      </w:r>
    </w:p>
    <w:p w14:paraId="71021E7D" w14:textId="77777777" w:rsidR="009C163B" w:rsidRPr="009C163B" w:rsidRDefault="009C163B" w:rsidP="00CF1D7A">
      <w:pPr>
        <w:spacing w:before="100" w:beforeAutospacing="1" w:after="100" w:afterAutospacing="1" w:line="360" w:lineRule="auto"/>
        <w:jc w:val="both"/>
        <w:rPr>
          <w:rFonts w:ascii="Arial" w:eastAsia="Times New Roman" w:hAnsi="Arial" w:cs="Arial"/>
        </w:rPr>
      </w:pPr>
      <w:r w:rsidRPr="009C163B">
        <w:rPr>
          <w:rFonts w:ascii="Arial" w:eastAsia="Times New Roman" w:hAnsi="Arial" w:cs="Arial"/>
        </w:rPr>
        <w:t xml:space="preserve">The United Kingdom faces complex challenges in achieving the dual aims of SDG 2 (Zero Hunger) and SDG 3 (Good Health and Wellbeing). Despite being a high-income nation, persistent inequalities in food access, diet quality, and health outcomes highlight the interdependence of these goals (Power, 2020). The </w:t>
      </w:r>
      <w:r w:rsidRPr="000C3713">
        <w:rPr>
          <w:rFonts w:ascii="Arial" w:eastAsia="Times New Roman" w:hAnsi="Arial" w:cs="Arial"/>
          <w:bCs/>
        </w:rPr>
        <w:t>Food Foundation</w:t>
      </w:r>
      <w:r w:rsidRPr="009C163B">
        <w:rPr>
          <w:rFonts w:ascii="Arial" w:eastAsia="Times New Roman" w:hAnsi="Arial" w:cs="Arial"/>
        </w:rPr>
        <w:t xml:space="preserve"> (</w:t>
      </w:r>
      <w:proofErr w:type="spellStart"/>
      <w:r w:rsidRPr="009C163B">
        <w:rPr>
          <w:rFonts w:ascii="Arial" w:eastAsia="Times New Roman" w:hAnsi="Arial" w:cs="Arial"/>
        </w:rPr>
        <w:t>Loopstra</w:t>
      </w:r>
      <w:proofErr w:type="spellEnd"/>
      <w:r w:rsidRPr="009C163B">
        <w:rPr>
          <w:rFonts w:ascii="Arial" w:eastAsia="Times New Roman" w:hAnsi="Arial" w:cs="Arial"/>
        </w:rPr>
        <w:t xml:space="preserve"> et al., 2022) reported that more than 9 million adults in the UK experienced food insecurity in 2022, reflecting the combined effects of inflation, welfare constraints, and the cost-of-living crisis. These challenges have intensified nutrition-related diseases such as obesity, diabetes, and cardiovascular illness (Bambra et al., 2021), directly undermining SDG 3 targets for reducing non-communicable diseases and ensuring universal access to nutritious food.</w:t>
      </w:r>
    </w:p>
    <w:p w14:paraId="79588CA1" w14:textId="77777777" w:rsidR="009C163B" w:rsidRPr="009C163B" w:rsidRDefault="009C163B" w:rsidP="00CF1D7A">
      <w:pPr>
        <w:spacing w:before="100" w:beforeAutospacing="1" w:after="100" w:afterAutospacing="1" w:line="360" w:lineRule="auto"/>
        <w:jc w:val="both"/>
        <w:rPr>
          <w:rFonts w:ascii="Arial" w:eastAsia="Times New Roman" w:hAnsi="Arial" w:cs="Arial"/>
        </w:rPr>
      </w:pPr>
      <w:r w:rsidRPr="009C163B">
        <w:rPr>
          <w:rFonts w:ascii="Arial" w:eastAsia="Times New Roman" w:hAnsi="Arial" w:cs="Arial"/>
        </w:rPr>
        <w:t xml:space="preserve">The </w:t>
      </w:r>
      <w:r w:rsidRPr="000C3713">
        <w:rPr>
          <w:rFonts w:ascii="Arial" w:eastAsia="Times New Roman" w:hAnsi="Arial" w:cs="Arial"/>
          <w:bCs/>
        </w:rPr>
        <w:t>National Food Strategy: Part Two</w:t>
      </w:r>
      <w:r w:rsidRPr="009C163B">
        <w:rPr>
          <w:rFonts w:ascii="Arial" w:eastAsia="Times New Roman" w:hAnsi="Arial" w:cs="Arial"/>
        </w:rPr>
        <w:t xml:space="preserve"> (Dimbleby, 2021) provides the UK’s most comprehensive policy linking food, health, and sustainability. It </w:t>
      </w:r>
      <w:r w:rsidR="00CF1D7A" w:rsidRPr="00CF1D7A">
        <w:rPr>
          <w:rFonts w:ascii="Arial" w:eastAsia="Times New Roman" w:hAnsi="Arial" w:cs="Arial"/>
        </w:rPr>
        <w:t>emphasizes</w:t>
      </w:r>
      <w:r w:rsidRPr="009C163B">
        <w:rPr>
          <w:rFonts w:ascii="Arial" w:eastAsia="Times New Roman" w:hAnsi="Arial" w:cs="Arial"/>
        </w:rPr>
        <w:t xml:space="preserve"> transforming food systems to promote sustainable production, affordable nutrition, and public health equity. Dimbleby (2021) argues that “the food we eat, and the way we produce it, are the single biggest cause of preventable illness and environmental damage.” His review highlights that poor diet contributes to around 64,000 preventable deaths annually (Public Health England, 2021), calling for stronger fiscal measures such as a sugar-and-salt tax and </w:t>
      </w:r>
      <w:r w:rsidR="00CF1D7A" w:rsidRPr="00CF1D7A">
        <w:rPr>
          <w:rFonts w:ascii="Arial" w:eastAsia="Times New Roman" w:hAnsi="Arial" w:cs="Arial"/>
        </w:rPr>
        <w:t>subsidized</w:t>
      </w:r>
      <w:r w:rsidRPr="009C163B">
        <w:rPr>
          <w:rFonts w:ascii="Arial" w:eastAsia="Times New Roman" w:hAnsi="Arial" w:cs="Arial"/>
        </w:rPr>
        <w:t xml:space="preserve"> fruit and vegetable schemes to promote healthier choices.</w:t>
      </w:r>
    </w:p>
    <w:p w14:paraId="5517F9FE" w14:textId="77777777" w:rsidR="009C163B" w:rsidRPr="009C163B" w:rsidRDefault="009C163B" w:rsidP="00CF1D7A">
      <w:pPr>
        <w:spacing w:before="100" w:beforeAutospacing="1" w:after="100" w:afterAutospacing="1" w:line="360" w:lineRule="auto"/>
        <w:jc w:val="both"/>
        <w:rPr>
          <w:rFonts w:ascii="Arial" w:eastAsia="Times New Roman" w:hAnsi="Arial" w:cs="Arial"/>
        </w:rPr>
      </w:pPr>
      <w:r w:rsidRPr="009C163B">
        <w:rPr>
          <w:rFonts w:ascii="Arial" w:eastAsia="Times New Roman" w:hAnsi="Arial" w:cs="Arial"/>
        </w:rPr>
        <w:t xml:space="preserve">The </w:t>
      </w:r>
      <w:r w:rsidRPr="000C3713">
        <w:rPr>
          <w:rFonts w:ascii="Arial" w:eastAsia="Times New Roman" w:hAnsi="Arial" w:cs="Arial"/>
          <w:bCs/>
        </w:rPr>
        <w:t>Healthy Start Scheme</w:t>
      </w:r>
      <w:r w:rsidRPr="009C163B">
        <w:rPr>
          <w:rFonts w:ascii="Arial" w:eastAsia="Times New Roman" w:hAnsi="Arial" w:cs="Arial"/>
        </w:rPr>
        <w:t xml:space="preserve">, implemented by </w:t>
      </w:r>
      <w:r w:rsidRPr="000C3713">
        <w:rPr>
          <w:rFonts w:ascii="Arial" w:eastAsia="Times New Roman" w:hAnsi="Arial" w:cs="Arial"/>
          <w:bCs/>
        </w:rPr>
        <w:t>NHS England</w:t>
      </w:r>
      <w:r w:rsidRPr="009C163B">
        <w:rPr>
          <w:rFonts w:ascii="Arial" w:eastAsia="Times New Roman" w:hAnsi="Arial" w:cs="Arial"/>
        </w:rPr>
        <w:t xml:space="preserve"> (2023), provides vouchers to pregnant women and families with children under four, helping them purchase milk, fruit, and vegetables. Evidence shows this scheme significantly improves maternal and child nutrition among low-</w:t>
      </w:r>
      <w:r w:rsidRPr="009C163B">
        <w:rPr>
          <w:rFonts w:ascii="Arial" w:eastAsia="Times New Roman" w:hAnsi="Arial" w:cs="Arial"/>
        </w:rPr>
        <w:lastRenderedPageBreak/>
        <w:t xml:space="preserve">income groups, supporting SDG 2.2 (ending malnutrition) and SDG 3.1 (reducing maternal mortality) (Hughes et al., 2021). Similarly, the </w:t>
      </w:r>
      <w:r w:rsidRPr="000C3713">
        <w:rPr>
          <w:rFonts w:ascii="Arial" w:eastAsia="Times New Roman" w:hAnsi="Arial" w:cs="Arial"/>
          <w:bCs/>
        </w:rPr>
        <w:t>School Food Standards</w:t>
      </w:r>
      <w:r w:rsidRPr="009C163B">
        <w:rPr>
          <w:rFonts w:ascii="Arial" w:eastAsia="Times New Roman" w:hAnsi="Arial" w:cs="Arial"/>
        </w:rPr>
        <w:t xml:space="preserve"> (Department for Education, 2022) ensure that all state-funded schools offer balanced meals, tackling childhood obesity and poor nutrition—conditions strongly linked to long-term morbidity and reduced life expectancy (Scharf &amp; De Lange, 2023).</w:t>
      </w:r>
    </w:p>
    <w:p w14:paraId="13DE68B5" w14:textId="77777777" w:rsidR="009C163B" w:rsidRPr="009C163B" w:rsidRDefault="009C163B" w:rsidP="00CF1D7A">
      <w:pPr>
        <w:spacing w:before="100" w:beforeAutospacing="1" w:after="100" w:afterAutospacing="1" w:line="360" w:lineRule="auto"/>
        <w:jc w:val="both"/>
        <w:rPr>
          <w:rFonts w:ascii="Arial" w:eastAsia="Times New Roman" w:hAnsi="Arial" w:cs="Arial"/>
        </w:rPr>
      </w:pPr>
      <w:r w:rsidRPr="009C163B">
        <w:rPr>
          <w:rFonts w:ascii="Arial" w:eastAsia="Times New Roman" w:hAnsi="Arial" w:cs="Arial"/>
        </w:rPr>
        <w:t xml:space="preserve">At the strategic level, the </w:t>
      </w:r>
      <w:r w:rsidRPr="000C3713">
        <w:rPr>
          <w:rFonts w:ascii="Arial" w:eastAsia="Times New Roman" w:hAnsi="Arial" w:cs="Arial"/>
          <w:bCs/>
        </w:rPr>
        <w:t>NHS Long Term Plan</w:t>
      </w:r>
      <w:r w:rsidRPr="009C163B">
        <w:rPr>
          <w:rFonts w:ascii="Arial" w:eastAsia="Times New Roman" w:hAnsi="Arial" w:cs="Arial"/>
        </w:rPr>
        <w:t xml:space="preserve"> (NHS England, 2019) explicitly connects nutrition and prevention, aiming to reduce diet-related diseases by shifting investment toward early intervention and lifestyle support. The </w:t>
      </w:r>
      <w:r w:rsidRPr="000C3713">
        <w:rPr>
          <w:rFonts w:ascii="Arial" w:eastAsia="Times New Roman" w:hAnsi="Arial" w:cs="Arial"/>
          <w:bCs/>
        </w:rPr>
        <w:t>Food Security Report 2021</w:t>
      </w:r>
      <w:r w:rsidRPr="009C163B">
        <w:rPr>
          <w:rFonts w:ascii="Arial" w:eastAsia="Times New Roman" w:hAnsi="Arial" w:cs="Arial"/>
        </w:rPr>
        <w:t xml:space="preserve"> (DEFRA, 2022) complements this by assessing national resilience and advocating local, sustainable food production to enhance public health and reduce dependency on imports. These initiatives embody the integration of SDG 2’s food system sustainability with SDG 3’s preventative-health agenda.</w:t>
      </w:r>
    </w:p>
    <w:p w14:paraId="56639CA7" w14:textId="77777777" w:rsidR="009C163B" w:rsidRPr="009C163B" w:rsidRDefault="009C163B" w:rsidP="00CF1D7A">
      <w:pPr>
        <w:spacing w:before="100" w:beforeAutospacing="1" w:after="100" w:afterAutospacing="1" w:line="360" w:lineRule="auto"/>
        <w:jc w:val="both"/>
        <w:rPr>
          <w:rFonts w:ascii="Arial" w:eastAsia="Times New Roman" w:hAnsi="Arial" w:cs="Arial"/>
        </w:rPr>
      </w:pPr>
      <w:r w:rsidRPr="009C163B">
        <w:rPr>
          <w:rFonts w:ascii="Arial" w:eastAsia="Times New Roman" w:hAnsi="Arial" w:cs="Arial"/>
        </w:rPr>
        <w:t xml:space="preserve">However, major implementation gaps remain. Research by Reeves, Clair &amp; </w:t>
      </w:r>
      <w:proofErr w:type="spellStart"/>
      <w:r w:rsidRPr="009C163B">
        <w:rPr>
          <w:rFonts w:ascii="Arial" w:eastAsia="Times New Roman" w:hAnsi="Arial" w:cs="Arial"/>
        </w:rPr>
        <w:t>Loopstra</w:t>
      </w:r>
      <w:proofErr w:type="spellEnd"/>
      <w:r w:rsidRPr="009C163B">
        <w:rPr>
          <w:rFonts w:ascii="Arial" w:eastAsia="Times New Roman" w:hAnsi="Arial" w:cs="Arial"/>
        </w:rPr>
        <w:t xml:space="preserve"> (2023) found that welfare cuts and rising food prices have exacerbated health inequalities, especially among children and low-income households. The </w:t>
      </w:r>
      <w:r w:rsidRPr="000C3713">
        <w:rPr>
          <w:rFonts w:ascii="Arial" w:eastAsia="Times New Roman" w:hAnsi="Arial" w:cs="Arial"/>
          <w:bCs/>
        </w:rPr>
        <w:t>Trussell Trust</w:t>
      </w:r>
      <w:r w:rsidRPr="009C163B">
        <w:rPr>
          <w:rFonts w:ascii="Arial" w:eastAsia="Times New Roman" w:hAnsi="Arial" w:cs="Arial"/>
        </w:rPr>
        <w:t xml:space="preserve"> (2024) distributed over 3 million emergency food parcels in 2023–24—an unprecedented figure demonstrating systemic food insecurity despite national policies. Moreover, Power, Small &amp; Forde (2022) argue that while policy frameworks exist, they often lack coherence and measurable accountability mechanisms linking agriculture, welfare, and health.</w:t>
      </w:r>
    </w:p>
    <w:p w14:paraId="467D95A6" w14:textId="77777777" w:rsidR="009C163B" w:rsidRPr="009C163B" w:rsidRDefault="009C163B" w:rsidP="00CF1D7A">
      <w:pPr>
        <w:spacing w:before="100" w:beforeAutospacing="1" w:after="100" w:afterAutospacing="1" w:line="360" w:lineRule="auto"/>
        <w:jc w:val="both"/>
        <w:rPr>
          <w:rFonts w:ascii="Arial" w:eastAsia="Times New Roman" w:hAnsi="Arial" w:cs="Arial"/>
        </w:rPr>
      </w:pPr>
      <w:r w:rsidRPr="009C163B">
        <w:rPr>
          <w:rFonts w:ascii="Arial" w:eastAsia="Times New Roman" w:hAnsi="Arial" w:cs="Arial"/>
        </w:rPr>
        <w:t xml:space="preserve">The </w:t>
      </w:r>
      <w:r w:rsidRPr="000C3713">
        <w:rPr>
          <w:rFonts w:ascii="Arial" w:eastAsia="Times New Roman" w:hAnsi="Arial" w:cs="Arial"/>
          <w:bCs/>
        </w:rPr>
        <w:t>Health Foundation</w:t>
      </w:r>
      <w:r w:rsidRPr="009C163B">
        <w:rPr>
          <w:rFonts w:ascii="Arial" w:eastAsia="Times New Roman" w:hAnsi="Arial" w:cs="Arial"/>
        </w:rPr>
        <w:t xml:space="preserve"> (2023) </w:t>
      </w:r>
      <w:r w:rsidR="00CF1D7A" w:rsidRPr="00CF1D7A">
        <w:rPr>
          <w:rFonts w:ascii="Arial" w:eastAsia="Times New Roman" w:hAnsi="Arial" w:cs="Arial"/>
        </w:rPr>
        <w:t>emphasizes</w:t>
      </w:r>
      <w:r w:rsidRPr="009C163B">
        <w:rPr>
          <w:rFonts w:ascii="Arial" w:eastAsia="Times New Roman" w:hAnsi="Arial" w:cs="Arial"/>
        </w:rPr>
        <w:t xml:space="preserve"> the need for stronger cross-departmental collaboration to deliver “health in all policies,” ensuring that food, housing, and welfare reforms reinforce each other in addressing both hunger and chronic disease. This integrated approach aligns with the UK’s commitment to the </w:t>
      </w:r>
      <w:r w:rsidRPr="000C3713">
        <w:rPr>
          <w:rFonts w:ascii="Arial" w:eastAsia="Times New Roman" w:hAnsi="Arial" w:cs="Arial"/>
          <w:bCs/>
        </w:rPr>
        <w:t>UN 2030 Agenda</w:t>
      </w:r>
      <w:r w:rsidRPr="009C163B">
        <w:rPr>
          <w:rFonts w:ascii="Arial" w:eastAsia="Times New Roman" w:hAnsi="Arial" w:cs="Arial"/>
        </w:rPr>
        <w:t>, positioning sustainable, equitable food systems as central to population wellbeing.</w:t>
      </w:r>
    </w:p>
    <w:p w14:paraId="5AE2D91F" w14:textId="77777777" w:rsidR="003A1EBD" w:rsidRPr="003A1EBD" w:rsidRDefault="003A1EBD" w:rsidP="00CF1D7A">
      <w:pPr>
        <w:spacing w:before="100" w:beforeAutospacing="1" w:after="100" w:afterAutospacing="1" w:line="360" w:lineRule="auto"/>
        <w:jc w:val="both"/>
        <w:outlineLvl w:val="2"/>
        <w:rPr>
          <w:rFonts w:ascii="Arial" w:eastAsia="Times New Roman" w:hAnsi="Arial" w:cs="Arial"/>
          <w:b/>
          <w:bCs/>
        </w:rPr>
      </w:pPr>
      <w:r w:rsidRPr="00CF1D7A">
        <w:rPr>
          <w:rFonts w:ascii="Arial" w:eastAsia="Times New Roman" w:hAnsi="Arial" w:cs="Arial"/>
          <w:b/>
          <w:bCs/>
        </w:rPr>
        <w:t>4. Local Context: Food Security and He</w:t>
      </w:r>
      <w:r w:rsidR="000C3713">
        <w:rPr>
          <w:rFonts w:ascii="Arial" w:eastAsia="Times New Roman" w:hAnsi="Arial" w:cs="Arial"/>
          <w:b/>
          <w:bCs/>
        </w:rPr>
        <w:t>alth Initiatives a</w:t>
      </w:r>
      <w:r w:rsidRPr="00CF1D7A">
        <w:rPr>
          <w:rFonts w:ascii="Arial" w:eastAsia="Times New Roman" w:hAnsi="Arial" w:cs="Arial"/>
          <w:b/>
          <w:bCs/>
        </w:rPr>
        <w:t>cross UK Communities</w:t>
      </w:r>
    </w:p>
    <w:p w14:paraId="4BB04F9B" w14:textId="77777777" w:rsidR="003A1EBD" w:rsidRPr="003A1EBD" w:rsidRDefault="003A1EBD" w:rsidP="00CF1D7A">
      <w:pPr>
        <w:spacing w:before="100" w:beforeAutospacing="1" w:after="100" w:afterAutospacing="1" w:line="360" w:lineRule="auto"/>
        <w:jc w:val="both"/>
        <w:rPr>
          <w:rFonts w:ascii="Arial" w:eastAsia="Times New Roman" w:hAnsi="Arial" w:cs="Arial"/>
        </w:rPr>
      </w:pPr>
      <w:r w:rsidRPr="003A1EBD">
        <w:rPr>
          <w:rFonts w:ascii="Arial" w:eastAsia="Times New Roman" w:hAnsi="Arial" w:cs="Arial"/>
        </w:rPr>
        <w:t xml:space="preserve">At the local level, UK authorities and community </w:t>
      </w:r>
      <w:r w:rsidR="00CF1D7A" w:rsidRPr="00CF1D7A">
        <w:rPr>
          <w:rFonts w:ascii="Arial" w:eastAsia="Times New Roman" w:hAnsi="Arial" w:cs="Arial"/>
        </w:rPr>
        <w:t>organizations</w:t>
      </w:r>
      <w:r w:rsidRPr="003A1EBD">
        <w:rPr>
          <w:rFonts w:ascii="Arial" w:eastAsia="Times New Roman" w:hAnsi="Arial" w:cs="Arial"/>
        </w:rPr>
        <w:t xml:space="preserve"> have adopted multi-sector approaches to address the interconnected goals of food security and public health. Local councils, charities, and NHS partners play a pivotal role in </w:t>
      </w:r>
      <w:r w:rsidR="00CF1D7A" w:rsidRPr="00CF1D7A">
        <w:rPr>
          <w:rFonts w:ascii="Arial" w:eastAsia="Times New Roman" w:hAnsi="Arial" w:cs="Arial"/>
        </w:rPr>
        <w:t>operationalizing</w:t>
      </w:r>
      <w:r w:rsidRPr="003A1EBD">
        <w:rPr>
          <w:rFonts w:ascii="Arial" w:eastAsia="Times New Roman" w:hAnsi="Arial" w:cs="Arial"/>
        </w:rPr>
        <w:t xml:space="preserve"> SDG 2 and SDG 3 within communities, particularly through nutrition </w:t>
      </w:r>
      <w:proofErr w:type="spellStart"/>
      <w:r w:rsidRPr="003A1EBD">
        <w:rPr>
          <w:rFonts w:ascii="Arial" w:eastAsia="Times New Roman" w:hAnsi="Arial" w:cs="Arial"/>
        </w:rPr>
        <w:t>programmes</w:t>
      </w:r>
      <w:proofErr w:type="spellEnd"/>
      <w:r w:rsidRPr="003A1EBD">
        <w:rPr>
          <w:rFonts w:ascii="Arial" w:eastAsia="Times New Roman" w:hAnsi="Arial" w:cs="Arial"/>
        </w:rPr>
        <w:t>, school initiatives, and social prescribing schemes (Middleton et al., 2022).</w:t>
      </w:r>
    </w:p>
    <w:p w14:paraId="45EAC2E0" w14:textId="77777777" w:rsidR="003A1EBD" w:rsidRPr="003A1EBD" w:rsidRDefault="003A1EBD" w:rsidP="00CF1D7A">
      <w:pPr>
        <w:spacing w:before="100" w:beforeAutospacing="1" w:after="100" w:afterAutospacing="1" w:line="360" w:lineRule="auto"/>
        <w:jc w:val="both"/>
        <w:rPr>
          <w:rFonts w:ascii="Arial" w:eastAsia="Times New Roman" w:hAnsi="Arial" w:cs="Arial"/>
        </w:rPr>
      </w:pPr>
      <w:r w:rsidRPr="003A1EBD">
        <w:rPr>
          <w:rFonts w:ascii="Arial" w:eastAsia="Times New Roman" w:hAnsi="Arial" w:cs="Arial"/>
        </w:rPr>
        <w:lastRenderedPageBreak/>
        <w:t xml:space="preserve">Across England, food insecurity has become a growing public health issue following the COVID-19 pandemic. Local authorities have expanded emergency and community food responses, such as food hubs and social supermarkets, which aim to provide both affordable nutrition and social support (Garthwaite &amp; Power, 2023). Studies by Lambie-Mumford et al. (2021) and May et al. (2022) found that these initiatives improve short-term food access but must evolve toward sustainable local food systems that </w:t>
      </w:r>
      <w:r w:rsidR="00CF1D7A" w:rsidRPr="00CF1D7A">
        <w:rPr>
          <w:rFonts w:ascii="Arial" w:eastAsia="Times New Roman" w:hAnsi="Arial" w:cs="Arial"/>
        </w:rPr>
        <w:t>prioritize</w:t>
      </w:r>
      <w:r w:rsidRPr="003A1EBD">
        <w:rPr>
          <w:rFonts w:ascii="Arial" w:eastAsia="Times New Roman" w:hAnsi="Arial" w:cs="Arial"/>
        </w:rPr>
        <w:t xml:space="preserve"> dignity, health, and community engagement.</w:t>
      </w:r>
    </w:p>
    <w:p w14:paraId="5A42F5D9" w14:textId="77777777" w:rsidR="003A1EBD" w:rsidRPr="003A1EBD" w:rsidRDefault="003A1EBD" w:rsidP="00CF1D7A">
      <w:pPr>
        <w:spacing w:before="100" w:beforeAutospacing="1" w:after="100" w:afterAutospacing="1" w:line="360" w:lineRule="auto"/>
        <w:jc w:val="both"/>
        <w:rPr>
          <w:rFonts w:ascii="Arial" w:eastAsia="Times New Roman" w:hAnsi="Arial" w:cs="Arial"/>
        </w:rPr>
      </w:pPr>
      <w:r w:rsidRPr="003A1EBD">
        <w:rPr>
          <w:rFonts w:ascii="Arial" w:eastAsia="Times New Roman" w:hAnsi="Arial" w:cs="Arial"/>
        </w:rPr>
        <w:t xml:space="preserve">In London, </w:t>
      </w:r>
      <w:r w:rsidRPr="000C3713">
        <w:rPr>
          <w:rFonts w:ascii="Arial" w:eastAsia="Times New Roman" w:hAnsi="Arial" w:cs="Arial"/>
          <w:bCs/>
        </w:rPr>
        <w:t>Healthy Schools London</w:t>
      </w:r>
      <w:r w:rsidRPr="003A1EBD">
        <w:rPr>
          <w:rFonts w:ascii="Arial" w:eastAsia="Times New Roman" w:hAnsi="Arial" w:cs="Arial"/>
        </w:rPr>
        <w:t xml:space="preserve"> remains one of the most effective local policies aligning SDG 2 and SDG 3. It promotes balanced school meals, nutrition education, and increased fruit and vegetable consumption, reducing childhood obesity rates in participating boroughs (Parker &amp; Rutter, 2021). This initiative demonstrates how municipal-level action can support both improved nutrition (SDG 2.2) and better physical health outcomes (SDG 3.4).</w:t>
      </w:r>
    </w:p>
    <w:p w14:paraId="55DE63F1" w14:textId="77777777" w:rsidR="003A1EBD" w:rsidRPr="003A1EBD" w:rsidRDefault="003A1EBD" w:rsidP="00CF1D7A">
      <w:pPr>
        <w:spacing w:before="100" w:beforeAutospacing="1" w:after="100" w:afterAutospacing="1" w:line="360" w:lineRule="auto"/>
        <w:jc w:val="both"/>
        <w:rPr>
          <w:rFonts w:ascii="Arial" w:eastAsia="Times New Roman" w:hAnsi="Arial" w:cs="Arial"/>
        </w:rPr>
      </w:pPr>
      <w:r w:rsidRPr="003A1EBD">
        <w:rPr>
          <w:rFonts w:ascii="Arial" w:eastAsia="Times New Roman" w:hAnsi="Arial" w:cs="Arial"/>
        </w:rPr>
        <w:t xml:space="preserve">Meanwhile, local NHS trusts and councils have implemented </w:t>
      </w:r>
      <w:r w:rsidRPr="000C3713">
        <w:rPr>
          <w:rFonts w:ascii="Arial" w:eastAsia="Times New Roman" w:hAnsi="Arial" w:cs="Arial"/>
          <w:bCs/>
        </w:rPr>
        <w:t>social prescribing</w:t>
      </w:r>
      <w:r w:rsidRPr="003A1EBD">
        <w:rPr>
          <w:rFonts w:ascii="Arial" w:eastAsia="Times New Roman" w:hAnsi="Arial" w:cs="Arial"/>
        </w:rPr>
        <w:t xml:space="preserve"> </w:t>
      </w:r>
      <w:proofErr w:type="spellStart"/>
      <w:r w:rsidRPr="003A1EBD">
        <w:rPr>
          <w:rFonts w:ascii="Arial" w:eastAsia="Times New Roman" w:hAnsi="Arial" w:cs="Arial"/>
        </w:rPr>
        <w:t>programmes</w:t>
      </w:r>
      <w:proofErr w:type="spellEnd"/>
      <w:r w:rsidRPr="003A1EBD">
        <w:rPr>
          <w:rFonts w:ascii="Arial" w:eastAsia="Times New Roman" w:hAnsi="Arial" w:cs="Arial"/>
        </w:rPr>
        <w:t xml:space="preserve"> that connect individuals facing food poverty with cooking classes, nutrition advice, and food co-operatives. Evidence from Jones et al. (2023) shows that such interventions have reduced GP visits related to diet-linked conditions and improved overall wellbeing in deprived urban areas.</w:t>
      </w:r>
    </w:p>
    <w:p w14:paraId="4FACF3C9" w14:textId="77777777" w:rsidR="003A1EBD" w:rsidRPr="003A1EBD" w:rsidRDefault="003A1EBD" w:rsidP="00CF1D7A">
      <w:pPr>
        <w:spacing w:before="100" w:beforeAutospacing="1" w:after="100" w:afterAutospacing="1" w:line="360" w:lineRule="auto"/>
        <w:jc w:val="both"/>
        <w:rPr>
          <w:rFonts w:ascii="Arial" w:eastAsia="Times New Roman" w:hAnsi="Arial" w:cs="Arial"/>
        </w:rPr>
      </w:pPr>
      <w:r w:rsidRPr="003A1EBD">
        <w:rPr>
          <w:rFonts w:ascii="Arial" w:eastAsia="Times New Roman" w:hAnsi="Arial" w:cs="Arial"/>
        </w:rPr>
        <w:t xml:space="preserve">Community-led initiatives also play a vital role. The </w:t>
      </w:r>
      <w:r w:rsidRPr="000C3713">
        <w:rPr>
          <w:rFonts w:ascii="Arial" w:eastAsia="Times New Roman" w:hAnsi="Arial" w:cs="Arial"/>
          <w:bCs/>
        </w:rPr>
        <w:t>Sustainable Food Places</w:t>
      </w:r>
      <w:r w:rsidRPr="003A1EBD">
        <w:rPr>
          <w:rFonts w:ascii="Arial" w:eastAsia="Times New Roman" w:hAnsi="Arial" w:cs="Arial"/>
        </w:rPr>
        <w:t xml:space="preserve"> network, operating in over 80 UK towns and cities, promotes integrated local food policies linking climate action, public health, and social justice (Morgan &amp; Marsden, 2020). Case evaluations from Bristol, Brighton, and Cardiff illustrate how municipal partnerships with local growers, schools, and public-health bodies have enhanced access to fresh produce and improved community health indicators (Kirwan et al., 2021).</w:t>
      </w:r>
    </w:p>
    <w:p w14:paraId="39113AB0" w14:textId="77777777" w:rsidR="003A1EBD" w:rsidRPr="003A1EBD" w:rsidRDefault="003A1EBD" w:rsidP="00CF1D7A">
      <w:pPr>
        <w:spacing w:before="100" w:beforeAutospacing="1" w:after="100" w:afterAutospacing="1" w:line="360" w:lineRule="auto"/>
        <w:jc w:val="both"/>
        <w:rPr>
          <w:rFonts w:ascii="Arial" w:eastAsia="Times New Roman" w:hAnsi="Arial" w:cs="Arial"/>
        </w:rPr>
      </w:pPr>
      <w:r w:rsidRPr="003A1EBD">
        <w:rPr>
          <w:rFonts w:ascii="Arial" w:eastAsia="Times New Roman" w:hAnsi="Arial" w:cs="Arial"/>
        </w:rPr>
        <w:t xml:space="preserve">However, persistent inequalities remain. Research by </w:t>
      </w:r>
      <w:proofErr w:type="spellStart"/>
      <w:r w:rsidRPr="003A1EBD">
        <w:rPr>
          <w:rFonts w:ascii="Arial" w:eastAsia="Times New Roman" w:hAnsi="Arial" w:cs="Arial"/>
        </w:rPr>
        <w:t>Loopstra</w:t>
      </w:r>
      <w:proofErr w:type="spellEnd"/>
      <w:r w:rsidRPr="003A1EBD">
        <w:rPr>
          <w:rFonts w:ascii="Arial" w:eastAsia="Times New Roman" w:hAnsi="Arial" w:cs="Arial"/>
        </w:rPr>
        <w:t xml:space="preserve"> &amp; Reeves (2023) highlights that food insecurity rates remain highest among low-income families in urban areas, particularly those with insecure housing or high childcare costs. Local authorities often rely heavily on voluntary sector provision rather than long-term statutory food strategies (Power &amp; Forde, 2022). This fragmentation limits the ability of local governments to deliver sustained progress on both SDG 2 and SDG 3.</w:t>
      </w:r>
    </w:p>
    <w:p w14:paraId="65055584" w14:textId="77777777" w:rsidR="003A1EBD" w:rsidRPr="003A1EBD" w:rsidRDefault="003A1EBD" w:rsidP="00CF1D7A">
      <w:pPr>
        <w:spacing w:before="100" w:beforeAutospacing="1" w:after="100" w:afterAutospacing="1" w:line="360" w:lineRule="auto"/>
        <w:jc w:val="both"/>
        <w:rPr>
          <w:rFonts w:ascii="Arial" w:eastAsia="Times New Roman" w:hAnsi="Arial" w:cs="Arial"/>
        </w:rPr>
      </w:pPr>
      <w:r w:rsidRPr="003A1EBD">
        <w:rPr>
          <w:rFonts w:ascii="Arial" w:eastAsia="Times New Roman" w:hAnsi="Arial" w:cs="Arial"/>
        </w:rPr>
        <w:t xml:space="preserve">The </w:t>
      </w:r>
      <w:r w:rsidRPr="000C3713">
        <w:rPr>
          <w:rFonts w:ascii="Arial" w:eastAsia="Times New Roman" w:hAnsi="Arial" w:cs="Arial"/>
          <w:bCs/>
        </w:rPr>
        <w:t>London Food Strategy</w:t>
      </w:r>
      <w:r w:rsidRPr="003A1EBD">
        <w:rPr>
          <w:rFonts w:ascii="Arial" w:eastAsia="Times New Roman" w:hAnsi="Arial" w:cs="Arial"/>
        </w:rPr>
        <w:t xml:space="preserve"> (Greater London Authority, 2021) seeks to address these gaps by embedding health and sustainability across food procurement, waste management, and </w:t>
      </w:r>
      <w:r w:rsidRPr="003A1EBD">
        <w:rPr>
          <w:rFonts w:ascii="Arial" w:eastAsia="Times New Roman" w:hAnsi="Arial" w:cs="Arial"/>
        </w:rPr>
        <w:lastRenderedPageBreak/>
        <w:t>community wellbeing. It links local agriculture to public-sector food contracts and expands “Good Food Retail” zones in areas with poor access to affordable, nutritious foods (Lang et al., 2023).</w:t>
      </w:r>
    </w:p>
    <w:p w14:paraId="18AE9228" w14:textId="77777777" w:rsidR="000C3713" w:rsidRDefault="003A1EBD" w:rsidP="000C3713">
      <w:pPr>
        <w:spacing w:before="100" w:beforeAutospacing="1" w:after="100" w:afterAutospacing="1" w:line="360" w:lineRule="auto"/>
        <w:jc w:val="both"/>
        <w:outlineLvl w:val="2"/>
        <w:rPr>
          <w:rFonts w:ascii="Arial" w:eastAsia="Times New Roman" w:hAnsi="Arial" w:cs="Arial"/>
          <w:b/>
          <w:bCs/>
        </w:rPr>
      </w:pPr>
      <w:r w:rsidRPr="00CF1D7A">
        <w:rPr>
          <w:rFonts w:ascii="Arial" w:eastAsia="Times New Roman" w:hAnsi="Arial" w:cs="Arial"/>
          <w:b/>
          <w:bCs/>
        </w:rPr>
        <w:t>5. Recommendations for Improvement</w:t>
      </w:r>
    </w:p>
    <w:p w14:paraId="7C29BCE7" w14:textId="77777777" w:rsidR="000C3713" w:rsidRPr="000C3713" w:rsidRDefault="003A1EBD" w:rsidP="000C3713">
      <w:pPr>
        <w:spacing w:before="100" w:beforeAutospacing="1" w:after="100" w:afterAutospacing="1" w:line="360" w:lineRule="auto"/>
        <w:jc w:val="both"/>
        <w:outlineLvl w:val="2"/>
        <w:rPr>
          <w:rFonts w:ascii="Arial" w:eastAsia="Times New Roman" w:hAnsi="Arial" w:cs="Arial"/>
          <w:b/>
          <w:bCs/>
        </w:rPr>
      </w:pPr>
      <w:r w:rsidRPr="003A1EBD">
        <w:rPr>
          <w:rFonts w:ascii="Arial" w:eastAsia="Times New Roman" w:hAnsi="Arial" w:cs="Arial"/>
        </w:rPr>
        <w:br/>
      </w:r>
      <w:r w:rsidR="000C3713" w:rsidRPr="000C3713">
        <w:rPr>
          <w:rFonts w:ascii="Arial" w:hAnsi="Arial" w:cs="Arial"/>
          <w:b/>
        </w:rPr>
        <w:t>1. Integrate Food and Health Policies:</w:t>
      </w:r>
    </w:p>
    <w:p w14:paraId="6840E8D8" w14:textId="77777777" w:rsidR="000C3713" w:rsidRDefault="003A1EBD" w:rsidP="000C3713">
      <w:pPr>
        <w:spacing w:before="100" w:beforeAutospacing="1" w:after="100" w:afterAutospacing="1" w:line="360" w:lineRule="auto"/>
        <w:jc w:val="both"/>
        <w:outlineLvl w:val="2"/>
        <w:rPr>
          <w:rFonts w:ascii="Arial" w:eastAsia="Times New Roman" w:hAnsi="Arial" w:cs="Arial"/>
          <w:b/>
          <w:bCs/>
        </w:rPr>
      </w:pPr>
      <w:r w:rsidRPr="003A1EBD">
        <w:rPr>
          <w:rFonts w:ascii="Arial" w:eastAsia="Times New Roman" w:hAnsi="Arial" w:cs="Arial"/>
        </w:rPr>
        <w:t>Embed food security objectives within NHS and local public health strategies to ensure alignment between nutritional wellbeing and disease prevention (Reeves &amp; Clair, 2022).</w:t>
      </w:r>
    </w:p>
    <w:p w14:paraId="1D319B49" w14:textId="77777777" w:rsidR="000C3713" w:rsidRPr="000C3713" w:rsidRDefault="000C3713" w:rsidP="000C3713">
      <w:pPr>
        <w:spacing w:before="100" w:beforeAutospacing="1" w:after="100" w:afterAutospacing="1" w:line="360" w:lineRule="auto"/>
        <w:jc w:val="both"/>
        <w:outlineLvl w:val="2"/>
        <w:rPr>
          <w:rFonts w:ascii="Arial" w:eastAsia="Times New Roman" w:hAnsi="Arial" w:cs="Arial"/>
          <w:b/>
          <w:bCs/>
        </w:rPr>
      </w:pPr>
      <w:r w:rsidRPr="000C3713">
        <w:rPr>
          <w:rFonts w:ascii="Arial" w:hAnsi="Arial" w:cs="Arial"/>
          <w:b/>
        </w:rPr>
        <w:t>2. Strengthen Local Food Systems:</w:t>
      </w:r>
    </w:p>
    <w:p w14:paraId="131EF9D1" w14:textId="77777777" w:rsidR="003A1EBD" w:rsidRPr="003A1EBD" w:rsidRDefault="003A1EBD" w:rsidP="000C3713">
      <w:pPr>
        <w:spacing w:before="100" w:beforeAutospacing="1" w:after="100" w:afterAutospacing="1" w:line="360" w:lineRule="auto"/>
        <w:jc w:val="both"/>
        <w:rPr>
          <w:rFonts w:ascii="Arial" w:eastAsia="Times New Roman" w:hAnsi="Arial" w:cs="Arial"/>
        </w:rPr>
      </w:pPr>
      <w:r w:rsidRPr="003A1EBD">
        <w:rPr>
          <w:rFonts w:ascii="Arial" w:eastAsia="Times New Roman" w:hAnsi="Arial" w:cs="Arial"/>
        </w:rPr>
        <w:t>Expand support for community-led food networks and urban agriculture to enhance resilience and reduce dependence on emergency food aid (Morgan &amp; Marsden, 2022).</w:t>
      </w:r>
    </w:p>
    <w:p w14:paraId="2662868B" w14:textId="77777777" w:rsidR="000C3713" w:rsidRPr="000C3713" w:rsidRDefault="000C3713" w:rsidP="000C3713">
      <w:pPr>
        <w:spacing w:before="100" w:beforeAutospacing="1" w:after="100" w:afterAutospacing="1" w:line="360" w:lineRule="auto"/>
        <w:jc w:val="both"/>
        <w:rPr>
          <w:rFonts w:ascii="Arial" w:hAnsi="Arial" w:cs="Arial"/>
          <w:b/>
        </w:rPr>
      </w:pPr>
      <w:r w:rsidRPr="000C3713">
        <w:rPr>
          <w:rFonts w:ascii="Arial" w:hAnsi="Arial" w:cs="Arial"/>
          <w:b/>
        </w:rPr>
        <w:t>3. Ensure Equitable Funding:</w:t>
      </w:r>
    </w:p>
    <w:p w14:paraId="2CD03E24" w14:textId="77777777" w:rsidR="003A1EBD" w:rsidRPr="003A1EBD" w:rsidRDefault="003A1EBD" w:rsidP="000C3713">
      <w:pPr>
        <w:spacing w:before="100" w:beforeAutospacing="1" w:after="100" w:afterAutospacing="1" w:line="360" w:lineRule="auto"/>
        <w:jc w:val="both"/>
        <w:rPr>
          <w:rFonts w:ascii="Arial" w:eastAsia="Times New Roman" w:hAnsi="Arial" w:cs="Arial"/>
        </w:rPr>
      </w:pPr>
      <w:r w:rsidRPr="003A1EBD">
        <w:rPr>
          <w:rFonts w:ascii="Arial" w:eastAsia="Times New Roman" w:hAnsi="Arial" w:cs="Arial"/>
        </w:rPr>
        <w:t>Establish stable, long-term funding for local food and health initiatives to reduce regional inequalities in access to healthy diets (Lambie-Mumford &amp; Green, 2023).</w:t>
      </w:r>
    </w:p>
    <w:p w14:paraId="4BECB508" w14:textId="77777777" w:rsidR="000C3713" w:rsidRPr="000C3713" w:rsidRDefault="000C3713" w:rsidP="000C3713">
      <w:pPr>
        <w:spacing w:before="100" w:beforeAutospacing="1" w:after="100" w:afterAutospacing="1" w:line="360" w:lineRule="auto"/>
        <w:jc w:val="both"/>
        <w:rPr>
          <w:rFonts w:ascii="Arial" w:hAnsi="Arial" w:cs="Arial"/>
          <w:b/>
        </w:rPr>
      </w:pPr>
      <w:r w:rsidRPr="000C3713">
        <w:rPr>
          <w:rFonts w:ascii="Arial" w:hAnsi="Arial" w:cs="Arial"/>
          <w:b/>
        </w:rPr>
        <w:t>4. Promote Preventive Nutrition Education:</w:t>
      </w:r>
    </w:p>
    <w:p w14:paraId="52E9D876" w14:textId="77777777" w:rsidR="003A1EBD" w:rsidRPr="003A1EBD" w:rsidRDefault="003A1EBD" w:rsidP="000C3713">
      <w:pPr>
        <w:spacing w:before="100" w:beforeAutospacing="1" w:after="100" w:afterAutospacing="1" w:line="360" w:lineRule="auto"/>
        <w:jc w:val="both"/>
        <w:rPr>
          <w:rFonts w:ascii="Arial" w:eastAsia="Times New Roman" w:hAnsi="Arial" w:cs="Arial"/>
        </w:rPr>
      </w:pPr>
      <w:r w:rsidRPr="003A1EBD">
        <w:rPr>
          <w:rFonts w:ascii="Arial" w:eastAsia="Times New Roman" w:hAnsi="Arial" w:cs="Arial"/>
        </w:rPr>
        <w:t xml:space="preserve">Integrate nutrition literacy and sustainable food awareness into schools and primary-care </w:t>
      </w:r>
      <w:proofErr w:type="spellStart"/>
      <w:r w:rsidRPr="003A1EBD">
        <w:rPr>
          <w:rFonts w:ascii="Arial" w:eastAsia="Times New Roman" w:hAnsi="Arial" w:cs="Arial"/>
        </w:rPr>
        <w:t>programmes</w:t>
      </w:r>
      <w:proofErr w:type="spellEnd"/>
      <w:r w:rsidRPr="003A1EBD">
        <w:rPr>
          <w:rFonts w:ascii="Arial" w:eastAsia="Times New Roman" w:hAnsi="Arial" w:cs="Arial"/>
        </w:rPr>
        <w:t xml:space="preserve"> to improve dietary </w:t>
      </w:r>
      <w:r w:rsidR="00CF1D7A" w:rsidRPr="00CF1D7A">
        <w:rPr>
          <w:rFonts w:ascii="Arial" w:eastAsia="Times New Roman" w:hAnsi="Arial" w:cs="Arial"/>
        </w:rPr>
        <w:t>behaviors</w:t>
      </w:r>
      <w:r w:rsidRPr="003A1EBD">
        <w:rPr>
          <w:rFonts w:ascii="Arial" w:eastAsia="Times New Roman" w:hAnsi="Arial" w:cs="Arial"/>
        </w:rPr>
        <w:t xml:space="preserve"> (Brown et al., 2023).</w:t>
      </w:r>
    </w:p>
    <w:p w14:paraId="7021F790" w14:textId="77777777" w:rsidR="000C3713" w:rsidRPr="000C3713" w:rsidRDefault="000C3713" w:rsidP="000C3713">
      <w:pPr>
        <w:spacing w:before="100" w:beforeAutospacing="1" w:after="100" w:afterAutospacing="1" w:line="360" w:lineRule="auto"/>
        <w:jc w:val="both"/>
        <w:rPr>
          <w:rFonts w:ascii="Arial" w:hAnsi="Arial" w:cs="Arial"/>
          <w:b/>
        </w:rPr>
      </w:pPr>
      <w:r w:rsidRPr="000C3713">
        <w:rPr>
          <w:rFonts w:ascii="Arial" w:hAnsi="Arial" w:cs="Arial"/>
          <w:b/>
        </w:rPr>
        <w:t>5. Strengthen Monitoring and Data Sharing:</w:t>
      </w:r>
    </w:p>
    <w:p w14:paraId="62234134" w14:textId="77777777" w:rsidR="003A1EBD" w:rsidRPr="003A1EBD" w:rsidRDefault="003A1EBD" w:rsidP="000C3713">
      <w:pPr>
        <w:spacing w:before="100" w:beforeAutospacing="1" w:after="100" w:afterAutospacing="1" w:line="360" w:lineRule="auto"/>
        <w:jc w:val="both"/>
        <w:rPr>
          <w:rFonts w:ascii="Arial" w:eastAsia="Times New Roman" w:hAnsi="Arial" w:cs="Arial"/>
        </w:rPr>
      </w:pPr>
      <w:r w:rsidRPr="003A1EBD">
        <w:rPr>
          <w:rFonts w:ascii="Arial" w:eastAsia="Times New Roman" w:hAnsi="Arial" w:cs="Arial"/>
        </w:rPr>
        <w:t>Create unified local databases linking health outcomes with food security indicators to guide evidence-based interventions (Jones et al., 2023).</w:t>
      </w:r>
    </w:p>
    <w:p w14:paraId="7D894553" w14:textId="77777777" w:rsidR="003A1EBD" w:rsidRPr="00CF1D7A" w:rsidRDefault="003A1EBD" w:rsidP="00CF1D7A">
      <w:pPr>
        <w:spacing w:before="100" w:beforeAutospacing="1" w:after="100" w:afterAutospacing="1" w:line="360" w:lineRule="auto"/>
        <w:jc w:val="both"/>
        <w:outlineLvl w:val="2"/>
        <w:rPr>
          <w:rFonts w:ascii="Arial" w:eastAsia="Times New Roman" w:hAnsi="Arial" w:cs="Arial"/>
          <w:b/>
          <w:bCs/>
        </w:rPr>
      </w:pPr>
      <w:r w:rsidRPr="00CF1D7A">
        <w:rPr>
          <w:rFonts w:ascii="Arial" w:eastAsia="Times New Roman" w:hAnsi="Arial" w:cs="Arial"/>
          <w:b/>
          <w:bCs/>
        </w:rPr>
        <w:t>Conclusion</w:t>
      </w:r>
    </w:p>
    <w:p w14:paraId="16356E67" w14:textId="77777777" w:rsidR="00CF1D7A" w:rsidRDefault="003A1EBD" w:rsidP="00CF1D7A">
      <w:pPr>
        <w:spacing w:before="100" w:beforeAutospacing="1" w:after="100" w:afterAutospacing="1" w:line="360" w:lineRule="auto"/>
        <w:jc w:val="both"/>
        <w:rPr>
          <w:rFonts w:ascii="Arial" w:eastAsia="Times New Roman" w:hAnsi="Arial" w:cs="Arial"/>
        </w:rPr>
      </w:pPr>
      <w:r w:rsidRPr="00CF1D7A">
        <w:rPr>
          <w:rFonts w:ascii="Arial" w:eastAsia="Times New Roman" w:hAnsi="Arial" w:cs="Arial"/>
        </w:rPr>
        <w:t>The interconnection between SDG 3 (</w:t>
      </w:r>
      <w:r w:rsidRPr="00CF1D7A">
        <w:rPr>
          <w:rFonts w:ascii="Arial" w:eastAsia="Times New Roman" w:hAnsi="Arial" w:cs="Arial"/>
          <w:i/>
          <w:iCs/>
        </w:rPr>
        <w:t>Good Health and Wellbeing</w:t>
      </w:r>
      <w:r w:rsidRPr="00CF1D7A">
        <w:rPr>
          <w:rFonts w:ascii="Arial" w:eastAsia="Times New Roman" w:hAnsi="Arial" w:cs="Arial"/>
        </w:rPr>
        <w:t>) and SDG 2 (</w:t>
      </w:r>
      <w:r w:rsidRPr="00CF1D7A">
        <w:rPr>
          <w:rFonts w:ascii="Arial" w:eastAsia="Times New Roman" w:hAnsi="Arial" w:cs="Arial"/>
          <w:i/>
          <w:iCs/>
        </w:rPr>
        <w:t>Zero Hunger</w:t>
      </w:r>
      <w:r w:rsidRPr="00CF1D7A">
        <w:rPr>
          <w:rFonts w:ascii="Arial" w:eastAsia="Times New Roman" w:hAnsi="Arial" w:cs="Arial"/>
        </w:rPr>
        <w:t xml:space="preserve">) highlights that achieving better health outcomes in the UK depends on ensuring equitable access to nutritious, sustainable food. National frameworks such as the </w:t>
      </w:r>
      <w:r w:rsidRPr="00CF1D7A">
        <w:rPr>
          <w:rFonts w:ascii="Arial" w:eastAsia="Times New Roman" w:hAnsi="Arial" w:cs="Arial"/>
          <w:i/>
          <w:iCs/>
        </w:rPr>
        <w:t>National Food Strategy</w:t>
      </w:r>
      <w:r w:rsidRPr="00CF1D7A">
        <w:rPr>
          <w:rFonts w:ascii="Arial" w:eastAsia="Times New Roman" w:hAnsi="Arial" w:cs="Arial"/>
        </w:rPr>
        <w:t xml:space="preserve"> and the </w:t>
      </w:r>
      <w:r w:rsidRPr="00CF1D7A">
        <w:rPr>
          <w:rFonts w:ascii="Arial" w:eastAsia="Times New Roman" w:hAnsi="Arial" w:cs="Arial"/>
          <w:i/>
          <w:iCs/>
        </w:rPr>
        <w:t>Health and Care Act (2022)</w:t>
      </w:r>
      <w:r w:rsidRPr="00CF1D7A">
        <w:rPr>
          <w:rFonts w:ascii="Arial" w:eastAsia="Times New Roman" w:hAnsi="Arial" w:cs="Arial"/>
        </w:rPr>
        <w:t xml:space="preserve"> demonstrate policy intent to integrate food security within health </w:t>
      </w:r>
      <w:r w:rsidRPr="00CF1D7A">
        <w:rPr>
          <w:rFonts w:ascii="Arial" w:eastAsia="Times New Roman" w:hAnsi="Arial" w:cs="Arial"/>
        </w:rPr>
        <w:lastRenderedPageBreak/>
        <w:t>systems, yet persistent inequalities in diet quality and food affordability remain (</w:t>
      </w:r>
      <w:proofErr w:type="spellStart"/>
      <w:r w:rsidRPr="00CF1D7A">
        <w:rPr>
          <w:rFonts w:ascii="Arial" w:eastAsia="Times New Roman" w:hAnsi="Arial" w:cs="Arial"/>
        </w:rPr>
        <w:t>Loopstra</w:t>
      </w:r>
      <w:proofErr w:type="spellEnd"/>
      <w:r w:rsidRPr="00CF1D7A">
        <w:rPr>
          <w:rFonts w:ascii="Arial" w:eastAsia="Times New Roman" w:hAnsi="Arial" w:cs="Arial"/>
        </w:rPr>
        <w:t xml:space="preserve"> et al., 2023). Local initiatives across England—such as the Healthy Start and Sustainable Food Places </w:t>
      </w:r>
      <w:proofErr w:type="spellStart"/>
      <w:r w:rsidRPr="00CF1D7A">
        <w:rPr>
          <w:rFonts w:ascii="Arial" w:eastAsia="Times New Roman" w:hAnsi="Arial" w:cs="Arial"/>
        </w:rPr>
        <w:t>programmes</w:t>
      </w:r>
      <w:proofErr w:type="spellEnd"/>
      <w:r w:rsidRPr="00CF1D7A">
        <w:rPr>
          <w:rFonts w:ascii="Arial" w:eastAsia="Times New Roman" w:hAnsi="Arial" w:cs="Arial"/>
        </w:rPr>
        <w:t xml:space="preserve">—show promising results in tackling hunger, improving diet, and supporting mental wellbeing (Morgan &amp; Marsden, 2022; Brown et al., 2023). However, limited funding, fragmented governance, and uneven regional delivery continue to hinder progress. Strengthening cross-sector collaboration, long-term investment, and public participation is therefore essential for </w:t>
      </w:r>
      <w:r w:rsidR="00CF1D7A" w:rsidRPr="00CF1D7A">
        <w:rPr>
          <w:rFonts w:ascii="Arial" w:eastAsia="Times New Roman" w:hAnsi="Arial" w:cs="Arial"/>
        </w:rPr>
        <w:t>realizing</w:t>
      </w:r>
      <w:r w:rsidRPr="00CF1D7A">
        <w:rPr>
          <w:rFonts w:ascii="Arial" w:eastAsia="Times New Roman" w:hAnsi="Arial" w:cs="Arial"/>
        </w:rPr>
        <w:t xml:space="preserve"> the mutual benefits of SDG 3 and SDG 2—creating a healthier, fairer, and more resilient UK population.</w:t>
      </w:r>
    </w:p>
    <w:p w14:paraId="1AD9129A" w14:textId="77777777" w:rsidR="00933ABB" w:rsidRDefault="00933ABB" w:rsidP="00CF1D7A">
      <w:pPr>
        <w:spacing w:before="100" w:beforeAutospacing="1" w:after="100" w:afterAutospacing="1" w:line="360" w:lineRule="auto"/>
        <w:jc w:val="both"/>
        <w:rPr>
          <w:rFonts w:ascii="Arial" w:eastAsia="Times New Roman" w:hAnsi="Arial" w:cs="Arial"/>
        </w:rPr>
      </w:pPr>
    </w:p>
    <w:p w14:paraId="14AB65BB" w14:textId="77777777" w:rsidR="00933ABB" w:rsidRDefault="00933ABB" w:rsidP="00CF1D7A">
      <w:pPr>
        <w:spacing w:before="100" w:beforeAutospacing="1" w:after="100" w:afterAutospacing="1" w:line="360" w:lineRule="auto"/>
        <w:jc w:val="both"/>
        <w:rPr>
          <w:rFonts w:ascii="Arial" w:eastAsia="Times New Roman" w:hAnsi="Arial" w:cs="Arial"/>
        </w:rPr>
      </w:pPr>
    </w:p>
    <w:p w14:paraId="0E6A6ADD" w14:textId="77777777" w:rsidR="00933ABB" w:rsidRDefault="00933ABB" w:rsidP="00CF1D7A">
      <w:pPr>
        <w:spacing w:before="100" w:beforeAutospacing="1" w:after="100" w:afterAutospacing="1" w:line="360" w:lineRule="auto"/>
        <w:jc w:val="both"/>
        <w:rPr>
          <w:rFonts w:ascii="Arial" w:eastAsia="Times New Roman" w:hAnsi="Arial" w:cs="Arial"/>
        </w:rPr>
      </w:pPr>
    </w:p>
    <w:p w14:paraId="23924F0B" w14:textId="77777777" w:rsidR="00933ABB" w:rsidRDefault="00933ABB" w:rsidP="00CF1D7A">
      <w:pPr>
        <w:spacing w:before="100" w:beforeAutospacing="1" w:after="100" w:afterAutospacing="1" w:line="360" w:lineRule="auto"/>
        <w:jc w:val="both"/>
        <w:rPr>
          <w:rFonts w:ascii="Arial" w:eastAsia="Times New Roman" w:hAnsi="Arial" w:cs="Arial"/>
        </w:rPr>
      </w:pPr>
    </w:p>
    <w:p w14:paraId="3EEF19A9" w14:textId="77777777" w:rsidR="00933ABB" w:rsidRDefault="00933ABB" w:rsidP="00CF1D7A">
      <w:pPr>
        <w:spacing w:before="100" w:beforeAutospacing="1" w:after="100" w:afterAutospacing="1" w:line="360" w:lineRule="auto"/>
        <w:jc w:val="both"/>
        <w:rPr>
          <w:rFonts w:ascii="Arial" w:eastAsia="Times New Roman" w:hAnsi="Arial" w:cs="Arial"/>
        </w:rPr>
      </w:pPr>
    </w:p>
    <w:p w14:paraId="75B838DD" w14:textId="77777777" w:rsidR="00933ABB" w:rsidRDefault="00933ABB" w:rsidP="00CF1D7A">
      <w:pPr>
        <w:spacing w:before="100" w:beforeAutospacing="1" w:after="100" w:afterAutospacing="1" w:line="360" w:lineRule="auto"/>
        <w:jc w:val="both"/>
        <w:rPr>
          <w:rFonts w:ascii="Arial" w:eastAsia="Times New Roman" w:hAnsi="Arial" w:cs="Arial"/>
        </w:rPr>
      </w:pPr>
    </w:p>
    <w:p w14:paraId="376A79A3" w14:textId="77777777" w:rsidR="00933ABB" w:rsidRDefault="00933ABB" w:rsidP="00CF1D7A">
      <w:pPr>
        <w:spacing w:before="100" w:beforeAutospacing="1" w:after="100" w:afterAutospacing="1" w:line="360" w:lineRule="auto"/>
        <w:jc w:val="both"/>
        <w:rPr>
          <w:rFonts w:ascii="Arial" w:eastAsia="Times New Roman" w:hAnsi="Arial" w:cs="Arial"/>
        </w:rPr>
      </w:pPr>
    </w:p>
    <w:p w14:paraId="0AC925BB" w14:textId="77777777" w:rsidR="00933ABB" w:rsidRDefault="00933ABB" w:rsidP="00CF1D7A">
      <w:pPr>
        <w:spacing w:before="100" w:beforeAutospacing="1" w:after="100" w:afterAutospacing="1" w:line="360" w:lineRule="auto"/>
        <w:jc w:val="both"/>
        <w:rPr>
          <w:rFonts w:ascii="Arial" w:eastAsia="Times New Roman" w:hAnsi="Arial" w:cs="Arial"/>
        </w:rPr>
      </w:pPr>
    </w:p>
    <w:p w14:paraId="61B91D4C" w14:textId="77777777" w:rsidR="00933ABB" w:rsidRDefault="00933ABB" w:rsidP="00CF1D7A">
      <w:pPr>
        <w:spacing w:before="100" w:beforeAutospacing="1" w:after="100" w:afterAutospacing="1" w:line="360" w:lineRule="auto"/>
        <w:jc w:val="both"/>
        <w:rPr>
          <w:rFonts w:ascii="Arial" w:eastAsia="Times New Roman" w:hAnsi="Arial" w:cs="Arial"/>
        </w:rPr>
      </w:pPr>
    </w:p>
    <w:p w14:paraId="15A5C674" w14:textId="77777777" w:rsidR="00933ABB" w:rsidRDefault="00933ABB" w:rsidP="00CF1D7A">
      <w:pPr>
        <w:spacing w:before="100" w:beforeAutospacing="1" w:after="100" w:afterAutospacing="1" w:line="360" w:lineRule="auto"/>
        <w:jc w:val="both"/>
        <w:rPr>
          <w:rFonts w:ascii="Arial" w:eastAsia="Times New Roman" w:hAnsi="Arial" w:cs="Arial"/>
        </w:rPr>
      </w:pPr>
    </w:p>
    <w:p w14:paraId="13BAFB74" w14:textId="77777777" w:rsidR="00AF47F8" w:rsidRDefault="00AF47F8" w:rsidP="00CF1D7A">
      <w:pPr>
        <w:spacing w:before="100" w:beforeAutospacing="1" w:after="100" w:afterAutospacing="1" w:line="360" w:lineRule="auto"/>
        <w:jc w:val="both"/>
        <w:rPr>
          <w:rFonts w:ascii="Arial" w:eastAsia="Times New Roman" w:hAnsi="Arial" w:cs="Arial"/>
        </w:rPr>
      </w:pPr>
    </w:p>
    <w:p w14:paraId="074D442C" w14:textId="77777777" w:rsidR="00AF47F8" w:rsidRDefault="00AF47F8" w:rsidP="00CF1D7A">
      <w:pPr>
        <w:spacing w:before="100" w:beforeAutospacing="1" w:after="100" w:afterAutospacing="1" w:line="360" w:lineRule="auto"/>
        <w:jc w:val="both"/>
        <w:rPr>
          <w:rFonts w:ascii="Arial" w:eastAsia="Times New Roman" w:hAnsi="Arial" w:cs="Arial"/>
        </w:rPr>
      </w:pPr>
    </w:p>
    <w:p w14:paraId="3A3CF3D9" w14:textId="77777777" w:rsidR="00AF47F8" w:rsidRDefault="00AF47F8" w:rsidP="00CF1D7A">
      <w:pPr>
        <w:spacing w:before="100" w:beforeAutospacing="1" w:after="100" w:afterAutospacing="1" w:line="360" w:lineRule="auto"/>
        <w:jc w:val="both"/>
        <w:rPr>
          <w:rFonts w:ascii="Arial" w:eastAsia="Times New Roman" w:hAnsi="Arial" w:cs="Arial"/>
        </w:rPr>
      </w:pPr>
    </w:p>
    <w:p w14:paraId="4F639795" w14:textId="77777777" w:rsidR="00AF47F8" w:rsidRDefault="00AF47F8" w:rsidP="00CF1D7A">
      <w:pPr>
        <w:spacing w:before="100" w:beforeAutospacing="1" w:after="100" w:afterAutospacing="1" w:line="360" w:lineRule="auto"/>
        <w:jc w:val="both"/>
        <w:rPr>
          <w:rFonts w:ascii="Arial" w:eastAsia="Times New Roman" w:hAnsi="Arial" w:cs="Arial"/>
        </w:rPr>
      </w:pPr>
    </w:p>
    <w:p w14:paraId="3ABB2178" w14:textId="77777777" w:rsidR="00AF47F8" w:rsidRPr="00CF1D7A" w:rsidRDefault="00AF47F8" w:rsidP="00CF1D7A">
      <w:pPr>
        <w:spacing w:before="100" w:beforeAutospacing="1" w:after="100" w:afterAutospacing="1" w:line="360" w:lineRule="auto"/>
        <w:jc w:val="both"/>
        <w:rPr>
          <w:rFonts w:ascii="Arial" w:eastAsia="Times New Roman" w:hAnsi="Arial" w:cs="Arial"/>
        </w:rPr>
      </w:pPr>
    </w:p>
    <w:p w14:paraId="37FFD97A" w14:textId="77777777" w:rsidR="003A1EBD" w:rsidRPr="003A1EBD" w:rsidRDefault="003A1EBD" w:rsidP="00CF1D7A">
      <w:pPr>
        <w:spacing w:before="100" w:beforeAutospacing="1" w:after="100" w:afterAutospacing="1" w:line="360" w:lineRule="auto"/>
        <w:jc w:val="both"/>
        <w:outlineLvl w:val="2"/>
        <w:rPr>
          <w:rFonts w:ascii="Arial" w:eastAsia="Times New Roman" w:hAnsi="Arial" w:cs="Arial"/>
          <w:b/>
          <w:bCs/>
        </w:rPr>
      </w:pPr>
      <w:r w:rsidRPr="00CF1D7A">
        <w:rPr>
          <w:rFonts w:ascii="Arial" w:eastAsia="Times New Roman" w:hAnsi="Arial" w:cs="Arial"/>
          <w:b/>
          <w:bCs/>
        </w:rPr>
        <w:lastRenderedPageBreak/>
        <w:t>References</w:t>
      </w:r>
    </w:p>
    <w:p w14:paraId="6D46F1D6" w14:textId="77777777" w:rsidR="00CF1D7A" w:rsidRPr="00CF1D7A" w:rsidRDefault="00CF1D7A" w:rsidP="00CF1D7A">
      <w:pPr>
        <w:spacing w:before="100" w:beforeAutospacing="1" w:after="100" w:afterAutospacing="1" w:line="360" w:lineRule="auto"/>
        <w:jc w:val="both"/>
        <w:rPr>
          <w:rFonts w:ascii="Arial" w:eastAsia="Times New Roman" w:hAnsi="Arial" w:cs="Arial"/>
        </w:rPr>
      </w:pPr>
      <w:r w:rsidRPr="00CF1D7A">
        <w:rPr>
          <w:rFonts w:ascii="Arial" w:eastAsia="Times New Roman" w:hAnsi="Arial" w:cs="Arial"/>
        </w:rPr>
        <w:t xml:space="preserve">Afshin, A., Sur, P.J., Fay, K.A., Cornaby, L., Ferrara, G., Salama, J.S., Mullany, E.C., Abate, K.H., </w:t>
      </w:r>
      <w:proofErr w:type="spellStart"/>
      <w:r w:rsidRPr="00CF1D7A">
        <w:rPr>
          <w:rFonts w:ascii="Arial" w:eastAsia="Times New Roman" w:hAnsi="Arial" w:cs="Arial"/>
        </w:rPr>
        <w:t>Abbafati</w:t>
      </w:r>
      <w:proofErr w:type="spellEnd"/>
      <w:r w:rsidRPr="00CF1D7A">
        <w:rPr>
          <w:rFonts w:ascii="Arial" w:eastAsia="Times New Roman" w:hAnsi="Arial" w:cs="Arial"/>
        </w:rPr>
        <w:t xml:space="preserve">, C., Abebe, Z., et al., 2023. Health effects of dietary risks in 195 countries, 1990–2017: a systematic analysis for the Global Burden of Disease Study 2017. </w:t>
      </w:r>
      <w:r w:rsidRPr="00CF1D7A">
        <w:rPr>
          <w:rFonts w:ascii="Arial" w:eastAsia="Times New Roman" w:hAnsi="Arial" w:cs="Arial"/>
          <w:i/>
          <w:iCs/>
        </w:rPr>
        <w:t>The Lancet</w:t>
      </w:r>
      <w:r w:rsidRPr="00CF1D7A">
        <w:rPr>
          <w:rFonts w:ascii="Arial" w:eastAsia="Times New Roman" w:hAnsi="Arial" w:cs="Arial"/>
        </w:rPr>
        <w:t>, 393(10184), pp.1958–1972.</w:t>
      </w:r>
    </w:p>
    <w:p w14:paraId="55B89ABF" w14:textId="77777777" w:rsidR="00CF1D7A" w:rsidRPr="00CF1D7A" w:rsidRDefault="00CF1D7A" w:rsidP="00CF1D7A">
      <w:pPr>
        <w:spacing w:before="100" w:beforeAutospacing="1" w:after="100" w:afterAutospacing="1" w:line="360" w:lineRule="auto"/>
        <w:jc w:val="both"/>
        <w:rPr>
          <w:rFonts w:ascii="Arial" w:eastAsia="Times New Roman" w:hAnsi="Arial" w:cs="Arial"/>
        </w:rPr>
      </w:pPr>
      <w:r w:rsidRPr="00CF1D7A">
        <w:rPr>
          <w:rFonts w:ascii="Arial" w:eastAsia="Times New Roman" w:hAnsi="Arial" w:cs="Arial"/>
        </w:rPr>
        <w:t xml:space="preserve">Bambra, C., Riordan, R., Ford, J. &amp; Matthews, F., 2021. The COVID-19 pandemic and health inequalities. </w:t>
      </w:r>
      <w:r w:rsidRPr="00CF1D7A">
        <w:rPr>
          <w:rFonts w:ascii="Arial" w:eastAsia="Times New Roman" w:hAnsi="Arial" w:cs="Arial"/>
          <w:i/>
          <w:iCs/>
        </w:rPr>
        <w:t>Journal of Epidemiology and Community Health</w:t>
      </w:r>
      <w:r w:rsidRPr="00CF1D7A">
        <w:rPr>
          <w:rFonts w:ascii="Arial" w:eastAsia="Times New Roman" w:hAnsi="Arial" w:cs="Arial"/>
        </w:rPr>
        <w:t>, 74(11), pp.964–968.</w:t>
      </w:r>
    </w:p>
    <w:p w14:paraId="261582E8" w14:textId="77777777" w:rsidR="00CF1D7A" w:rsidRPr="00CF1D7A" w:rsidRDefault="00CF1D7A" w:rsidP="00CF1D7A">
      <w:pPr>
        <w:spacing w:before="100" w:beforeAutospacing="1" w:after="100" w:afterAutospacing="1" w:line="360" w:lineRule="auto"/>
        <w:jc w:val="both"/>
        <w:rPr>
          <w:rFonts w:ascii="Arial" w:eastAsia="Times New Roman" w:hAnsi="Arial" w:cs="Arial"/>
        </w:rPr>
      </w:pPr>
      <w:r w:rsidRPr="00CF1D7A">
        <w:rPr>
          <w:rFonts w:ascii="Arial" w:eastAsia="Times New Roman" w:hAnsi="Arial" w:cs="Arial"/>
        </w:rPr>
        <w:t xml:space="preserve">Brown, K., Smith, J. &amp; Williams, P., 2023. Evaluating nutrition education and preventive health </w:t>
      </w:r>
      <w:proofErr w:type="spellStart"/>
      <w:r w:rsidRPr="00CF1D7A">
        <w:rPr>
          <w:rFonts w:ascii="Arial" w:eastAsia="Times New Roman" w:hAnsi="Arial" w:cs="Arial"/>
        </w:rPr>
        <w:t>programmes</w:t>
      </w:r>
      <w:proofErr w:type="spellEnd"/>
      <w:r w:rsidRPr="00CF1D7A">
        <w:rPr>
          <w:rFonts w:ascii="Arial" w:eastAsia="Times New Roman" w:hAnsi="Arial" w:cs="Arial"/>
        </w:rPr>
        <w:t xml:space="preserve"> in UK schools. </w:t>
      </w:r>
      <w:r w:rsidRPr="00CF1D7A">
        <w:rPr>
          <w:rFonts w:ascii="Arial" w:eastAsia="Times New Roman" w:hAnsi="Arial" w:cs="Arial"/>
          <w:i/>
          <w:iCs/>
        </w:rPr>
        <w:t>Journal of Public Health</w:t>
      </w:r>
      <w:r w:rsidRPr="00CF1D7A">
        <w:rPr>
          <w:rFonts w:ascii="Arial" w:eastAsia="Times New Roman" w:hAnsi="Arial" w:cs="Arial"/>
        </w:rPr>
        <w:t>, 45(2), pp.210–218.</w:t>
      </w:r>
    </w:p>
    <w:p w14:paraId="224BB8E1" w14:textId="77777777" w:rsidR="00CF1D7A" w:rsidRPr="00CF1D7A" w:rsidRDefault="00CF1D7A" w:rsidP="00CF1D7A">
      <w:pPr>
        <w:spacing w:before="100" w:beforeAutospacing="1" w:after="100" w:afterAutospacing="1" w:line="360" w:lineRule="auto"/>
        <w:jc w:val="both"/>
        <w:rPr>
          <w:rFonts w:ascii="Arial" w:eastAsia="Times New Roman" w:hAnsi="Arial" w:cs="Arial"/>
        </w:rPr>
      </w:pPr>
      <w:r w:rsidRPr="00CF1D7A">
        <w:rPr>
          <w:rFonts w:ascii="Arial" w:eastAsia="Times New Roman" w:hAnsi="Arial" w:cs="Arial"/>
        </w:rPr>
        <w:t xml:space="preserve">DEFRA, 2022. </w:t>
      </w:r>
      <w:r w:rsidRPr="00CF1D7A">
        <w:rPr>
          <w:rFonts w:ascii="Arial" w:eastAsia="Times New Roman" w:hAnsi="Arial" w:cs="Arial"/>
          <w:i/>
          <w:iCs/>
        </w:rPr>
        <w:t>Food Security Report 2021: Building resilient UK food systems</w:t>
      </w:r>
      <w:r w:rsidRPr="00CF1D7A">
        <w:rPr>
          <w:rFonts w:ascii="Arial" w:eastAsia="Times New Roman" w:hAnsi="Arial" w:cs="Arial"/>
        </w:rPr>
        <w:t xml:space="preserve">. London: Department </w:t>
      </w:r>
      <w:proofErr w:type="gramStart"/>
      <w:r w:rsidRPr="00CF1D7A">
        <w:rPr>
          <w:rFonts w:ascii="Arial" w:eastAsia="Times New Roman" w:hAnsi="Arial" w:cs="Arial"/>
        </w:rPr>
        <w:t>for</w:t>
      </w:r>
      <w:proofErr w:type="gramEnd"/>
      <w:r w:rsidRPr="00CF1D7A">
        <w:rPr>
          <w:rFonts w:ascii="Arial" w:eastAsia="Times New Roman" w:hAnsi="Arial" w:cs="Arial"/>
        </w:rPr>
        <w:t xml:space="preserve"> Environment, Food &amp; Rural Affairs.</w:t>
      </w:r>
    </w:p>
    <w:p w14:paraId="4E0044DD" w14:textId="77777777" w:rsidR="00CF1D7A" w:rsidRPr="00CF1D7A" w:rsidRDefault="00CF1D7A" w:rsidP="00CF1D7A">
      <w:pPr>
        <w:spacing w:before="100" w:beforeAutospacing="1" w:after="100" w:afterAutospacing="1" w:line="360" w:lineRule="auto"/>
        <w:jc w:val="both"/>
        <w:rPr>
          <w:rFonts w:ascii="Arial" w:eastAsia="Times New Roman" w:hAnsi="Arial" w:cs="Arial"/>
        </w:rPr>
      </w:pPr>
      <w:r w:rsidRPr="00CF1D7A">
        <w:rPr>
          <w:rFonts w:ascii="Arial" w:eastAsia="Times New Roman" w:hAnsi="Arial" w:cs="Arial"/>
        </w:rPr>
        <w:t xml:space="preserve">Department for Education, 2022. </w:t>
      </w:r>
      <w:r w:rsidRPr="00CF1D7A">
        <w:rPr>
          <w:rFonts w:ascii="Arial" w:eastAsia="Times New Roman" w:hAnsi="Arial" w:cs="Arial"/>
          <w:i/>
          <w:iCs/>
        </w:rPr>
        <w:t>School Food Standards: Guidance for state-funded schools in England</w:t>
      </w:r>
      <w:r w:rsidRPr="00CF1D7A">
        <w:rPr>
          <w:rFonts w:ascii="Arial" w:eastAsia="Times New Roman" w:hAnsi="Arial" w:cs="Arial"/>
        </w:rPr>
        <w:t xml:space="preserve">. London: Department </w:t>
      </w:r>
      <w:proofErr w:type="gramStart"/>
      <w:r w:rsidRPr="00CF1D7A">
        <w:rPr>
          <w:rFonts w:ascii="Arial" w:eastAsia="Times New Roman" w:hAnsi="Arial" w:cs="Arial"/>
        </w:rPr>
        <w:t>for</w:t>
      </w:r>
      <w:proofErr w:type="gramEnd"/>
      <w:r w:rsidRPr="00CF1D7A">
        <w:rPr>
          <w:rFonts w:ascii="Arial" w:eastAsia="Times New Roman" w:hAnsi="Arial" w:cs="Arial"/>
        </w:rPr>
        <w:t xml:space="preserve"> Education.</w:t>
      </w:r>
    </w:p>
    <w:p w14:paraId="7B5EA3CE" w14:textId="77777777" w:rsidR="00CF1D7A" w:rsidRPr="00CF1D7A" w:rsidRDefault="00CF1D7A" w:rsidP="00CF1D7A">
      <w:pPr>
        <w:spacing w:before="100" w:beforeAutospacing="1" w:after="100" w:afterAutospacing="1" w:line="360" w:lineRule="auto"/>
        <w:jc w:val="both"/>
        <w:rPr>
          <w:rFonts w:ascii="Arial" w:eastAsia="Times New Roman" w:hAnsi="Arial" w:cs="Arial"/>
        </w:rPr>
      </w:pPr>
      <w:r w:rsidRPr="00CF1D7A">
        <w:rPr>
          <w:rFonts w:ascii="Arial" w:eastAsia="Times New Roman" w:hAnsi="Arial" w:cs="Arial"/>
        </w:rPr>
        <w:t xml:space="preserve">Dimbleby, H., 2021. </w:t>
      </w:r>
      <w:r w:rsidRPr="00CF1D7A">
        <w:rPr>
          <w:rFonts w:ascii="Arial" w:eastAsia="Times New Roman" w:hAnsi="Arial" w:cs="Arial"/>
          <w:i/>
          <w:iCs/>
        </w:rPr>
        <w:t>National Food Strategy: Part Two</w:t>
      </w:r>
      <w:r w:rsidRPr="00CF1D7A">
        <w:rPr>
          <w:rFonts w:ascii="Arial" w:eastAsia="Times New Roman" w:hAnsi="Arial" w:cs="Arial"/>
        </w:rPr>
        <w:t>. London: National Food Strategy.</w:t>
      </w:r>
    </w:p>
    <w:p w14:paraId="78BF07A6" w14:textId="77777777" w:rsidR="00CF1D7A" w:rsidRPr="00CF1D7A" w:rsidRDefault="00CF1D7A" w:rsidP="00CF1D7A">
      <w:pPr>
        <w:spacing w:before="100" w:beforeAutospacing="1" w:after="100" w:afterAutospacing="1" w:line="360" w:lineRule="auto"/>
        <w:jc w:val="both"/>
        <w:rPr>
          <w:rFonts w:ascii="Arial" w:eastAsia="Times New Roman" w:hAnsi="Arial" w:cs="Arial"/>
        </w:rPr>
      </w:pPr>
      <w:r w:rsidRPr="00CF1D7A">
        <w:rPr>
          <w:rFonts w:ascii="Arial" w:eastAsia="Times New Roman" w:hAnsi="Arial" w:cs="Arial"/>
        </w:rPr>
        <w:t xml:space="preserve">Food Foundation, 2024. </w:t>
      </w:r>
      <w:r w:rsidRPr="00CF1D7A">
        <w:rPr>
          <w:rFonts w:ascii="Arial" w:eastAsia="Times New Roman" w:hAnsi="Arial" w:cs="Arial"/>
          <w:i/>
          <w:iCs/>
        </w:rPr>
        <w:t>Food insecurity in the UK 2024: Annual report</w:t>
      </w:r>
      <w:r w:rsidRPr="00CF1D7A">
        <w:rPr>
          <w:rFonts w:ascii="Arial" w:eastAsia="Times New Roman" w:hAnsi="Arial" w:cs="Arial"/>
        </w:rPr>
        <w:t xml:space="preserve">. London: Food Foundation. Available at: </w:t>
      </w:r>
      <w:hyperlink r:id="rId10" w:history="1">
        <w:r w:rsidRPr="00CF1D7A">
          <w:rPr>
            <w:rStyle w:val="Hyperlink"/>
            <w:rFonts w:ascii="Arial" w:eastAsia="Times New Roman" w:hAnsi="Arial" w:cs="Arial"/>
          </w:rPr>
          <w:t>https://foodfoundation.org.uk/publications</w:t>
        </w:r>
      </w:hyperlink>
      <w:r>
        <w:rPr>
          <w:rFonts w:ascii="Arial" w:eastAsia="Times New Roman" w:hAnsi="Arial" w:cs="Arial"/>
        </w:rPr>
        <w:t>.</w:t>
      </w:r>
    </w:p>
    <w:p w14:paraId="53956836" w14:textId="77777777" w:rsidR="00CF1D7A" w:rsidRPr="00CF1D7A" w:rsidRDefault="00CF1D7A" w:rsidP="00CF1D7A">
      <w:pPr>
        <w:spacing w:before="100" w:beforeAutospacing="1" w:after="100" w:afterAutospacing="1" w:line="360" w:lineRule="auto"/>
        <w:jc w:val="both"/>
        <w:rPr>
          <w:rFonts w:ascii="Arial" w:eastAsia="Times New Roman" w:hAnsi="Arial" w:cs="Arial"/>
        </w:rPr>
      </w:pPr>
      <w:r w:rsidRPr="00CF1D7A">
        <w:rPr>
          <w:rFonts w:ascii="Arial" w:eastAsia="Times New Roman" w:hAnsi="Arial" w:cs="Arial"/>
        </w:rPr>
        <w:t xml:space="preserve">Fanzo, J., Davis, C., McLaren, R. &amp; </w:t>
      </w:r>
      <w:proofErr w:type="spellStart"/>
      <w:r w:rsidRPr="00CF1D7A">
        <w:rPr>
          <w:rFonts w:ascii="Arial" w:eastAsia="Times New Roman" w:hAnsi="Arial" w:cs="Arial"/>
        </w:rPr>
        <w:t>Choufani</w:t>
      </w:r>
      <w:proofErr w:type="spellEnd"/>
      <w:r w:rsidRPr="00CF1D7A">
        <w:rPr>
          <w:rFonts w:ascii="Arial" w:eastAsia="Times New Roman" w:hAnsi="Arial" w:cs="Arial"/>
        </w:rPr>
        <w:t xml:space="preserve">, J., 2022. The effect of sustainable diets on nutrition and health outcomes. </w:t>
      </w:r>
      <w:r w:rsidRPr="00CF1D7A">
        <w:rPr>
          <w:rFonts w:ascii="Arial" w:eastAsia="Times New Roman" w:hAnsi="Arial" w:cs="Arial"/>
          <w:i/>
          <w:iCs/>
        </w:rPr>
        <w:t>Annual Review of Nutrition</w:t>
      </w:r>
      <w:r w:rsidRPr="00CF1D7A">
        <w:rPr>
          <w:rFonts w:ascii="Arial" w:eastAsia="Times New Roman" w:hAnsi="Arial" w:cs="Arial"/>
        </w:rPr>
        <w:t>, 42, pp.19–41.</w:t>
      </w:r>
    </w:p>
    <w:p w14:paraId="25CBB1AA" w14:textId="77777777" w:rsidR="00CF1D7A" w:rsidRPr="00CF1D7A" w:rsidRDefault="00CF1D7A" w:rsidP="00CF1D7A">
      <w:pPr>
        <w:spacing w:before="100" w:beforeAutospacing="1" w:after="100" w:afterAutospacing="1" w:line="360" w:lineRule="auto"/>
        <w:jc w:val="both"/>
        <w:rPr>
          <w:rFonts w:ascii="Arial" w:eastAsia="Times New Roman" w:hAnsi="Arial" w:cs="Arial"/>
        </w:rPr>
      </w:pPr>
      <w:r w:rsidRPr="00CF1D7A">
        <w:rPr>
          <w:rFonts w:ascii="Arial" w:eastAsia="Times New Roman" w:hAnsi="Arial" w:cs="Arial"/>
        </w:rPr>
        <w:t xml:space="preserve">Garthwaite, K. &amp; Power, M., 2023. Local government responses to food insecurity: Evidence from England. </w:t>
      </w:r>
      <w:r w:rsidRPr="00CF1D7A">
        <w:rPr>
          <w:rFonts w:ascii="Arial" w:eastAsia="Times New Roman" w:hAnsi="Arial" w:cs="Arial"/>
          <w:i/>
          <w:iCs/>
        </w:rPr>
        <w:t>Local Economy</w:t>
      </w:r>
      <w:r w:rsidRPr="00CF1D7A">
        <w:rPr>
          <w:rFonts w:ascii="Arial" w:eastAsia="Times New Roman" w:hAnsi="Arial" w:cs="Arial"/>
        </w:rPr>
        <w:t>, 38(1), pp.23–39.</w:t>
      </w:r>
    </w:p>
    <w:p w14:paraId="126B9CA1" w14:textId="77777777" w:rsidR="00CF1D7A" w:rsidRPr="00CF1D7A" w:rsidRDefault="00CF1D7A" w:rsidP="00CF1D7A">
      <w:pPr>
        <w:spacing w:before="100" w:beforeAutospacing="1" w:after="100" w:afterAutospacing="1" w:line="360" w:lineRule="auto"/>
        <w:jc w:val="both"/>
        <w:rPr>
          <w:rFonts w:ascii="Arial" w:eastAsia="Times New Roman" w:hAnsi="Arial" w:cs="Arial"/>
        </w:rPr>
      </w:pPr>
      <w:r w:rsidRPr="00CF1D7A">
        <w:rPr>
          <w:rFonts w:ascii="Arial" w:eastAsia="Times New Roman" w:hAnsi="Arial" w:cs="Arial"/>
        </w:rPr>
        <w:t xml:space="preserve">Greater London Authority, 2021. </w:t>
      </w:r>
      <w:r w:rsidRPr="00CF1D7A">
        <w:rPr>
          <w:rFonts w:ascii="Arial" w:eastAsia="Times New Roman" w:hAnsi="Arial" w:cs="Arial"/>
          <w:i/>
          <w:iCs/>
        </w:rPr>
        <w:t>London Food Strategy 2021: Healthy, sustainable, equitable</w:t>
      </w:r>
      <w:r w:rsidRPr="00CF1D7A">
        <w:rPr>
          <w:rFonts w:ascii="Arial" w:eastAsia="Times New Roman" w:hAnsi="Arial" w:cs="Arial"/>
        </w:rPr>
        <w:t>. London: GLA.</w:t>
      </w:r>
    </w:p>
    <w:p w14:paraId="4564861C" w14:textId="77777777" w:rsidR="00CF1D7A" w:rsidRPr="00CF1D7A" w:rsidRDefault="00CF1D7A" w:rsidP="00CF1D7A">
      <w:pPr>
        <w:spacing w:before="100" w:beforeAutospacing="1" w:after="100" w:afterAutospacing="1" w:line="360" w:lineRule="auto"/>
        <w:jc w:val="both"/>
        <w:rPr>
          <w:rFonts w:ascii="Arial" w:eastAsia="Times New Roman" w:hAnsi="Arial" w:cs="Arial"/>
        </w:rPr>
      </w:pPr>
      <w:r w:rsidRPr="00CF1D7A">
        <w:rPr>
          <w:rFonts w:ascii="Arial" w:eastAsia="Times New Roman" w:hAnsi="Arial" w:cs="Arial"/>
        </w:rPr>
        <w:t xml:space="preserve">Hughes, R., Bellis, M., Hardcastle, K. &amp; Ford, K., 2021. Impact of Healthy Start vouchers on maternal and child nutrition: Evidence from the UK. </w:t>
      </w:r>
      <w:r w:rsidRPr="00CF1D7A">
        <w:rPr>
          <w:rFonts w:ascii="Arial" w:eastAsia="Times New Roman" w:hAnsi="Arial" w:cs="Arial"/>
          <w:i/>
          <w:iCs/>
        </w:rPr>
        <w:t>Public Health Nutrition</w:t>
      </w:r>
      <w:r w:rsidRPr="00CF1D7A">
        <w:rPr>
          <w:rFonts w:ascii="Arial" w:eastAsia="Times New Roman" w:hAnsi="Arial" w:cs="Arial"/>
        </w:rPr>
        <w:t>, 24(9), pp.2564–2573.</w:t>
      </w:r>
    </w:p>
    <w:p w14:paraId="3C79ADCC" w14:textId="77777777" w:rsidR="00CF1D7A" w:rsidRPr="00CF1D7A" w:rsidRDefault="00CF1D7A" w:rsidP="00CF1D7A">
      <w:pPr>
        <w:spacing w:before="100" w:beforeAutospacing="1" w:after="100" w:afterAutospacing="1" w:line="360" w:lineRule="auto"/>
        <w:jc w:val="both"/>
        <w:rPr>
          <w:rFonts w:ascii="Arial" w:eastAsia="Times New Roman" w:hAnsi="Arial" w:cs="Arial"/>
        </w:rPr>
      </w:pPr>
      <w:r w:rsidRPr="00CF1D7A">
        <w:rPr>
          <w:rFonts w:ascii="Arial" w:eastAsia="Times New Roman" w:hAnsi="Arial" w:cs="Arial"/>
        </w:rPr>
        <w:lastRenderedPageBreak/>
        <w:t xml:space="preserve">Jones, R., Thompson, H. &amp; Patel, S., 2023. Social prescribing and nutrition interventions in deprived communities in England. </w:t>
      </w:r>
      <w:r w:rsidRPr="00CF1D7A">
        <w:rPr>
          <w:rFonts w:ascii="Arial" w:eastAsia="Times New Roman" w:hAnsi="Arial" w:cs="Arial"/>
          <w:i/>
          <w:iCs/>
        </w:rPr>
        <w:t>BMC Public Health</w:t>
      </w:r>
      <w:r w:rsidRPr="00CF1D7A">
        <w:rPr>
          <w:rFonts w:ascii="Arial" w:eastAsia="Times New Roman" w:hAnsi="Arial" w:cs="Arial"/>
        </w:rPr>
        <w:t>, 23(45), pp.1–12.</w:t>
      </w:r>
    </w:p>
    <w:p w14:paraId="230D4BD8" w14:textId="77777777" w:rsidR="00CF1D7A" w:rsidRPr="00CF1D7A" w:rsidRDefault="00CF1D7A" w:rsidP="00CF1D7A">
      <w:pPr>
        <w:spacing w:before="100" w:beforeAutospacing="1" w:after="100" w:afterAutospacing="1" w:line="360" w:lineRule="auto"/>
        <w:jc w:val="both"/>
        <w:rPr>
          <w:rFonts w:ascii="Arial" w:eastAsia="Times New Roman" w:hAnsi="Arial" w:cs="Arial"/>
        </w:rPr>
      </w:pPr>
      <w:r w:rsidRPr="00CF1D7A">
        <w:rPr>
          <w:rFonts w:ascii="Arial" w:eastAsia="Times New Roman" w:hAnsi="Arial" w:cs="Arial"/>
        </w:rPr>
        <w:t xml:space="preserve">Kirwan, J., Maye, D. &amp; Brunori, G., 2021. Sustainable Food Places: Advancing health and environmental outcomes through local action. </w:t>
      </w:r>
      <w:r w:rsidRPr="00CF1D7A">
        <w:rPr>
          <w:rFonts w:ascii="Arial" w:eastAsia="Times New Roman" w:hAnsi="Arial" w:cs="Arial"/>
          <w:i/>
          <w:iCs/>
        </w:rPr>
        <w:t>Sustainability</w:t>
      </w:r>
      <w:r w:rsidRPr="00CF1D7A">
        <w:rPr>
          <w:rFonts w:ascii="Arial" w:eastAsia="Times New Roman" w:hAnsi="Arial" w:cs="Arial"/>
        </w:rPr>
        <w:t>, 13(18), pp.1–17.</w:t>
      </w:r>
    </w:p>
    <w:p w14:paraId="5023640D" w14:textId="77777777" w:rsidR="00CF1D7A" w:rsidRPr="00CF1D7A" w:rsidRDefault="00CF1D7A" w:rsidP="00CF1D7A">
      <w:pPr>
        <w:spacing w:before="100" w:beforeAutospacing="1" w:after="100" w:afterAutospacing="1" w:line="360" w:lineRule="auto"/>
        <w:jc w:val="both"/>
        <w:rPr>
          <w:rFonts w:ascii="Arial" w:eastAsia="Times New Roman" w:hAnsi="Arial" w:cs="Arial"/>
        </w:rPr>
      </w:pPr>
      <w:r w:rsidRPr="00CF1D7A">
        <w:rPr>
          <w:rFonts w:ascii="Arial" w:eastAsia="Times New Roman" w:hAnsi="Arial" w:cs="Arial"/>
        </w:rPr>
        <w:t xml:space="preserve">Lang, T., Barling, D. &amp; Caraher, M., 2023. Urban food strategies and public health: Lessons from London. </w:t>
      </w:r>
      <w:r w:rsidRPr="00CF1D7A">
        <w:rPr>
          <w:rFonts w:ascii="Arial" w:eastAsia="Times New Roman" w:hAnsi="Arial" w:cs="Arial"/>
          <w:i/>
          <w:iCs/>
        </w:rPr>
        <w:t>Food Policy</w:t>
      </w:r>
      <w:r w:rsidRPr="00CF1D7A">
        <w:rPr>
          <w:rFonts w:ascii="Arial" w:eastAsia="Times New Roman" w:hAnsi="Arial" w:cs="Arial"/>
        </w:rPr>
        <w:t>, 109, 102345.</w:t>
      </w:r>
    </w:p>
    <w:p w14:paraId="78C2249B" w14:textId="77777777" w:rsidR="00CF1D7A" w:rsidRPr="00CF1D7A" w:rsidRDefault="00CF1D7A" w:rsidP="00CF1D7A">
      <w:pPr>
        <w:spacing w:before="100" w:beforeAutospacing="1" w:after="100" w:afterAutospacing="1" w:line="360" w:lineRule="auto"/>
        <w:jc w:val="both"/>
        <w:rPr>
          <w:rFonts w:ascii="Arial" w:eastAsia="Times New Roman" w:hAnsi="Arial" w:cs="Arial"/>
        </w:rPr>
      </w:pPr>
      <w:proofErr w:type="spellStart"/>
      <w:r w:rsidRPr="00CF1D7A">
        <w:rPr>
          <w:rFonts w:ascii="Arial" w:eastAsia="Times New Roman" w:hAnsi="Arial" w:cs="Arial"/>
        </w:rPr>
        <w:t>Loopstra</w:t>
      </w:r>
      <w:proofErr w:type="spellEnd"/>
      <w:r w:rsidRPr="00CF1D7A">
        <w:rPr>
          <w:rFonts w:ascii="Arial" w:eastAsia="Times New Roman" w:hAnsi="Arial" w:cs="Arial"/>
        </w:rPr>
        <w:t xml:space="preserve">, R., 2022. Food insecurity and health in the UK: Evidence from recent surveys. </w:t>
      </w:r>
      <w:r w:rsidRPr="00CF1D7A">
        <w:rPr>
          <w:rFonts w:ascii="Arial" w:eastAsia="Times New Roman" w:hAnsi="Arial" w:cs="Arial"/>
          <w:i/>
          <w:iCs/>
        </w:rPr>
        <w:t>BMJ Nutrition, Prevention &amp; Health</w:t>
      </w:r>
      <w:r w:rsidRPr="00CF1D7A">
        <w:rPr>
          <w:rFonts w:ascii="Arial" w:eastAsia="Times New Roman" w:hAnsi="Arial" w:cs="Arial"/>
        </w:rPr>
        <w:t>, 5(2), pp.123–130.</w:t>
      </w:r>
    </w:p>
    <w:p w14:paraId="4B033F00" w14:textId="77777777" w:rsidR="00CF1D7A" w:rsidRPr="00CF1D7A" w:rsidRDefault="00CF1D7A" w:rsidP="00CF1D7A">
      <w:pPr>
        <w:spacing w:before="100" w:beforeAutospacing="1" w:after="100" w:afterAutospacing="1" w:line="360" w:lineRule="auto"/>
        <w:jc w:val="both"/>
        <w:rPr>
          <w:rFonts w:ascii="Arial" w:eastAsia="Times New Roman" w:hAnsi="Arial" w:cs="Arial"/>
        </w:rPr>
      </w:pPr>
      <w:proofErr w:type="spellStart"/>
      <w:r w:rsidRPr="00CF1D7A">
        <w:rPr>
          <w:rFonts w:ascii="Arial" w:eastAsia="Times New Roman" w:hAnsi="Arial" w:cs="Arial"/>
        </w:rPr>
        <w:t>Loopstra</w:t>
      </w:r>
      <w:proofErr w:type="spellEnd"/>
      <w:r w:rsidRPr="00CF1D7A">
        <w:rPr>
          <w:rFonts w:ascii="Arial" w:eastAsia="Times New Roman" w:hAnsi="Arial" w:cs="Arial"/>
        </w:rPr>
        <w:t xml:space="preserve">, R., Reeves, A. &amp; Tarasuk, V., 2023. Food insecurity trends and health outcomes in England. </w:t>
      </w:r>
      <w:r w:rsidRPr="00CF1D7A">
        <w:rPr>
          <w:rFonts w:ascii="Arial" w:eastAsia="Times New Roman" w:hAnsi="Arial" w:cs="Arial"/>
          <w:i/>
          <w:iCs/>
        </w:rPr>
        <w:t>Public Health Nutrition</w:t>
      </w:r>
      <w:r w:rsidRPr="00CF1D7A">
        <w:rPr>
          <w:rFonts w:ascii="Arial" w:eastAsia="Times New Roman" w:hAnsi="Arial" w:cs="Arial"/>
        </w:rPr>
        <w:t>, 26(5), pp.842–853.</w:t>
      </w:r>
    </w:p>
    <w:p w14:paraId="5694C408" w14:textId="77777777" w:rsidR="00CF1D7A" w:rsidRPr="00CF1D7A" w:rsidRDefault="00CF1D7A" w:rsidP="00CF1D7A">
      <w:pPr>
        <w:spacing w:before="100" w:beforeAutospacing="1" w:after="100" w:afterAutospacing="1" w:line="360" w:lineRule="auto"/>
        <w:jc w:val="both"/>
        <w:rPr>
          <w:rFonts w:ascii="Arial" w:eastAsia="Times New Roman" w:hAnsi="Arial" w:cs="Arial"/>
        </w:rPr>
      </w:pPr>
      <w:r w:rsidRPr="00CF1D7A">
        <w:rPr>
          <w:rFonts w:ascii="Arial" w:eastAsia="Times New Roman" w:hAnsi="Arial" w:cs="Arial"/>
        </w:rPr>
        <w:t xml:space="preserve">Lambie-Mumford, H., Green, M. &amp; Dowler, E., 2021. Emergency food provision and local food systems in England. </w:t>
      </w:r>
      <w:r w:rsidRPr="00CF1D7A">
        <w:rPr>
          <w:rFonts w:ascii="Arial" w:eastAsia="Times New Roman" w:hAnsi="Arial" w:cs="Arial"/>
          <w:i/>
          <w:iCs/>
        </w:rPr>
        <w:t>Sociology of Health &amp; Illness</w:t>
      </w:r>
      <w:r w:rsidRPr="00CF1D7A">
        <w:rPr>
          <w:rFonts w:ascii="Arial" w:eastAsia="Times New Roman" w:hAnsi="Arial" w:cs="Arial"/>
        </w:rPr>
        <w:t>, 43(6), pp.1421–1439.</w:t>
      </w:r>
    </w:p>
    <w:p w14:paraId="2431495D" w14:textId="77777777" w:rsidR="00CF1D7A" w:rsidRPr="00CF1D7A" w:rsidRDefault="00CF1D7A" w:rsidP="00CF1D7A">
      <w:pPr>
        <w:spacing w:before="100" w:beforeAutospacing="1" w:after="100" w:afterAutospacing="1" w:line="360" w:lineRule="auto"/>
        <w:jc w:val="both"/>
        <w:rPr>
          <w:rFonts w:ascii="Arial" w:eastAsia="Times New Roman" w:hAnsi="Arial" w:cs="Arial"/>
        </w:rPr>
      </w:pPr>
      <w:r w:rsidRPr="00CF1D7A">
        <w:rPr>
          <w:rFonts w:ascii="Arial" w:eastAsia="Times New Roman" w:hAnsi="Arial" w:cs="Arial"/>
        </w:rPr>
        <w:t xml:space="preserve">Marmot, M., Allen, J., Goldblatt, P., Herd, E. &amp; Morrison, J., 2023. </w:t>
      </w:r>
      <w:r w:rsidRPr="00CF1D7A">
        <w:rPr>
          <w:rFonts w:ascii="Arial" w:eastAsia="Times New Roman" w:hAnsi="Arial" w:cs="Arial"/>
          <w:i/>
          <w:iCs/>
        </w:rPr>
        <w:t>Health Equity in England: The Marmot Review 2023</w:t>
      </w:r>
      <w:r w:rsidRPr="00CF1D7A">
        <w:rPr>
          <w:rFonts w:ascii="Arial" w:eastAsia="Times New Roman" w:hAnsi="Arial" w:cs="Arial"/>
        </w:rPr>
        <w:t>. London: Institute of Health Equity.</w:t>
      </w:r>
    </w:p>
    <w:p w14:paraId="11D84230" w14:textId="77777777" w:rsidR="00CF1D7A" w:rsidRPr="00CF1D7A" w:rsidRDefault="00CF1D7A" w:rsidP="00CF1D7A">
      <w:pPr>
        <w:spacing w:before="100" w:beforeAutospacing="1" w:after="100" w:afterAutospacing="1" w:line="360" w:lineRule="auto"/>
        <w:jc w:val="both"/>
        <w:rPr>
          <w:rFonts w:ascii="Arial" w:eastAsia="Times New Roman" w:hAnsi="Arial" w:cs="Arial"/>
        </w:rPr>
      </w:pPr>
      <w:r w:rsidRPr="00CF1D7A">
        <w:rPr>
          <w:rFonts w:ascii="Arial" w:eastAsia="Times New Roman" w:hAnsi="Arial" w:cs="Arial"/>
        </w:rPr>
        <w:t xml:space="preserve">May, T., Robinson, S. &amp; Jones, K., 2022. Community food initiatives: Evaluating short-term and sustainable impact. </w:t>
      </w:r>
      <w:r w:rsidRPr="00CF1D7A">
        <w:rPr>
          <w:rFonts w:ascii="Arial" w:eastAsia="Times New Roman" w:hAnsi="Arial" w:cs="Arial"/>
          <w:i/>
          <w:iCs/>
        </w:rPr>
        <w:t>Appetite</w:t>
      </w:r>
      <w:r w:rsidRPr="00CF1D7A">
        <w:rPr>
          <w:rFonts w:ascii="Arial" w:eastAsia="Times New Roman" w:hAnsi="Arial" w:cs="Arial"/>
        </w:rPr>
        <w:t>, 169, 105823.</w:t>
      </w:r>
    </w:p>
    <w:p w14:paraId="306FF744" w14:textId="77777777" w:rsidR="00CF1D7A" w:rsidRPr="00CF1D7A" w:rsidRDefault="00CF1D7A" w:rsidP="00CF1D7A">
      <w:pPr>
        <w:spacing w:before="100" w:beforeAutospacing="1" w:after="100" w:afterAutospacing="1" w:line="360" w:lineRule="auto"/>
        <w:jc w:val="both"/>
        <w:rPr>
          <w:rFonts w:ascii="Arial" w:eastAsia="Times New Roman" w:hAnsi="Arial" w:cs="Arial"/>
        </w:rPr>
      </w:pPr>
      <w:r w:rsidRPr="00CF1D7A">
        <w:rPr>
          <w:rFonts w:ascii="Arial" w:eastAsia="Times New Roman" w:hAnsi="Arial" w:cs="Arial"/>
        </w:rPr>
        <w:t xml:space="preserve">Middleton, J., Harmer, N., &amp; Evans, H., 2022. Public health and community food partnerships in England. </w:t>
      </w:r>
      <w:r w:rsidRPr="00CF1D7A">
        <w:rPr>
          <w:rFonts w:ascii="Arial" w:eastAsia="Times New Roman" w:hAnsi="Arial" w:cs="Arial"/>
          <w:i/>
          <w:iCs/>
        </w:rPr>
        <w:t>Critical Public Health</w:t>
      </w:r>
      <w:r w:rsidRPr="00CF1D7A">
        <w:rPr>
          <w:rFonts w:ascii="Arial" w:eastAsia="Times New Roman" w:hAnsi="Arial" w:cs="Arial"/>
        </w:rPr>
        <w:t>, 32(4), pp.423–435.</w:t>
      </w:r>
    </w:p>
    <w:p w14:paraId="526DBEA6" w14:textId="77777777" w:rsidR="00CF1D7A" w:rsidRPr="00CF1D7A" w:rsidRDefault="00CF1D7A" w:rsidP="00CF1D7A">
      <w:pPr>
        <w:spacing w:before="100" w:beforeAutospacing="1" w:after="100" w:afterAutospacing="1" w:line="360" w:lineRule="auto"/>
        <w:jc w:val="both"/>
        <w:rPr>
          <w:rFonts w:ascii="Arial" w:eastAsia="Times New Roman" w:hAnsi="Arial" w:cs="Arial"/>
        </w:rPr>
      </w:pPr>
      <w:r w:rsidRPr="00CF1D7A">
        <w:rPr>
          <w:rFonts w:ascii="Arial" w:eastAsia="Times New Roman" w:hAnsi="Arial" w:cs="Arial"/>
        </w:rPr>
        <w:t xml:space="preserve">Morgan, K. &amp; Marsden, T., 2022. Community-led food systems: Health, sustainability, and resilience. </w:t>
      </w:r>
      <w:r w:rsidRPr="00CF1D7A">
        <w:rPr>
          <w:rFonts w:ascii="Arial" w:eastAsia="Times New Roman" w:hAnsi="Arial" w:cs="Arial"/>
          <w:i/>
          <w:iCs/>
        </w:rPr>
        <w:t>Journal of Rural Studies</w:t>
      </w:r>
      <w:r w:rsidRPr="00CF1D7A">
        <w:rPr>
          <w:rFonts w:ascii="Arial" w:eastAsia="Times New Roman" w:hAnsi="Arial" w:cs="Arial"/>
        </w:rPr>
        <w:t>, 92, pp.280–291.</w:t>
      </w:r>
    </w:p>
    <w:p w14:paraId="5737C311" w14:textId="77777777" w:rsidR="00CF1D7A" w:rsidRPr="00CF1D7A" w:rsidRDefault="00CF1D7A" w:rsidP="00CF1D7A">
      <w:pPr>
        <w:spacing w:before="100" w:beforeAutospacing="1" w:after="100" w:afterAutospacing="1" w:line="360" w:lineRule="auto"/>
        <w:jc w:val="both"/>
        <w:rPr>
          <w:rFonts w:ascii="Arial" w:eastAsia="Times New Roman" w:hAnsi="Arial" w:cs="Arial"/>
        </w:rPr>
      </w:pPr>
      <w:r w:rsidRPr="00CF1D7A">
        <w:rPr>
          <w:rFonts w:ascii="Arial" w:eastAsia="Times New Roman" w:hAnsi="Arial" w:cs="Arial"/>
        </w:rPr>
        <w:t xml:space="preserve">NHS England, 2019. </w:t>
      </w:r>
      <w:r w:rsidRPr="00CF1D7A">
        <w:rPr>
          <w:rFonts w:ascii="Arial" w:eastAsia="Times New Roman" w:hAnsi="Arial" w:cs="Arial"/>
          <w:i/>
          <w:iCs/>
        </w:rPr>
        <w:t>NHS Long Term Plan</w:t>
      </w:r>
      <w:r w:rsidRPr="00CF1D7A">
        <w:rPr>
          <w:rFonts w:ascii="Arial" w:eastAsia="Times New Roman" w:hAnsi="Arial" w:cs="Arial"/>
        </w:rPr>
        <w:t>. London: NHS England.</w:t>
      </w:r>
    </w:p>
    <w:p w14:paraId="11433813" w14:textId="77777777" w:rsidR="00CF1D7A" w:rsidRPr="00CF1D7A" w:rsidRDefault="00CF1D7A" w:rsidP="00CF1D7A">
      <w:pPr>
        <w:spacing w:before="100" w:beforeAutospacing="1" w:after="100" w:afterAutospacing="1" w:line="360" w:lineRule="auto"/>
        <w:jc w:val="both"/>
        <w:rPr>
          <w:rFonts w:ascii="Arial" w:eastAsia="Times New Roman" w:hAnsi="Arial" w:cs="Arial"/>
        </w:rPr>
      </w:pPr>
      <w:r w:rsidRPr="00CF1D7A">
        <w:rPr>
          <w:rFonts w:ascii="Arial" w:eastAsia="Times New Roman" w:hAnsi="Arial" w:cs="Arial"/>
        </w:rPr>
        <w:t xml:space="preserve">NHS England, 2023. </w:t>
      </w:r>
      <w:r w:rsidRPr="00CF1D7A">
        <w:rPr>
          <w:rFonts w:ascii="Arial" w:eastAsia="Times New Roman" w:hAnsi="Arial" w:cs="Arial"/>
          <w:i/>
          <w:iCs/>
        </w:rPr>
        <w:t>Healthy Start Scheme Overview</w:t>
      </w:r>
      <w:r w:rsidRPr="00CF1D7A">
        <w:rPr>
          <w:rFonts w:ascii="Arial" w:eastAsia="Times New Roman" w:hAnsi="Arial" w:cs="Arial"/>
        </w:rPr>
        <w:t xml:space="preserve">. London: NHS England. Available at: </w:t>
      </w:r>
      <w:hyperlink r:id="rId11" w:history="1">
        <w:r w:rsidRPr="00CF1D7A">
          <w:rPr>
            <w:rStyle w:val="Hyperlink"/>
            <w:rFonts w:ascii="Arial" w:eastAsia="Times New Roman" w:hAnsi="Arial" w:cs="Arial"/>
          </w:rPr>
          <w:t>https://www.healthystart.nhs.uk</w:t>
        </w:r>
      </w:hyperlink>
      <w:r w:rsidRPr="00CF1D7A">
        <w:rPr>
          <w:rFonts w:ascii="Arial" w:eastAsia="Times New Roman" w:hAnsi="Arial" w:cs="Arial"/>
        </w:rPr>
        <w:t>.</w:t>
      </w:r>
    </w:p>
    <w:p w14:paraId="5ACADCA9" w14:textId="77777777" w:rsidR="00CF1D7A" w:rsidRPr="00CF1D7A" w:rsidRDefault="00CF1D7A" w:rsidP="00CF1D7A">
      <w:pPr>
        <w:spacing w:before="100" w:beforeAutospacing="1" w:after="100" w:afterAutospacing="1" w:line="360" w:lineRule="auto"/>
        <w:jc w:val="both"/>
        <w:rPr>
          <w:rFonts w:ascii="Arial" w:eastAsia="Times New Roman" w:hAnsi="Arial" w:cs="Arial"/>
        </w:rPr>
      </w:pPr>
      <w:r w:rsidRPr="00CF1D7A">
        <w:rPr>
          <w:rFonts w:ascii="Arial" w:eastAsia="Times New Roman" w:hAnsi="Arial" w:cs="Arial"/>
        </w:rPr>
        <w:t xml:space="preserve">Parker, A. &amp; Rutter, H., 2021. Healthy Schools London: Improving nutrition and health outcomes. </w:t>
      </w:r>
      <w:r w:rsidRPr="00CF1D7A">
        <w:rPr>
          <w:rFonts w:ascii="Arial" w:eastAsia="Times New Roman" w:hAnsi="Arial" w:cs="Arial"/>
          <w:i/>
          <w:iCs/>
        </w:rPr>
        <w:t>Public Health in Practice</w:t>
      </w:r>
      <w:r w:rsidRPr="00CF1D7A">
        <w:rPr>
          <w:rFonts w:ascii="Arial" w:eastAsia="Times New Roman" w:hAnsi="Arial" w:cs="Arial"/>
        </w:rPr>
        <w:t>, 2, 100099.</w:t>
      </w:r>
    </w:p>
    <w:p w14:paraId="33801C3B" w14:textId="77777777" w:rsidR="00CF1D7A" w:rsidRPr="00CF1D7A" w:rsidRDefault="00CF1D7A" w:rsidP="00CF1D7A">
      <w:pPr>
        <w:spacing w:before="100" w:beforeAutospacing="1" w:after="100" w:afterAutospacing="1" w:line="360" w:lineRule="auto"/>
        <w:jc w:val="both"/>
        <w:rPr>
          <w:rFonts w:ascii="Arial" w:eastAsia="Times New Roman" w:hAnsi="Arial" w:cs="Arial"/>
        </w:rPr>
      </w:pPr>
      <w:r w:rsidRPr="00CF1D7A">
        <w:rPr>
          <w:rFonts w:ascii="Arial" w:eastAsia="Times New Roman" w:hAnsi="Arial" w:cs="Arial"/>
        </w:rPr>
        <w:lastRenderedPageBreak/>
        <w:t xml:space="preserve">Power, M., Small, N. &amp; Forde, C., 2022. Food policy coherence in England: Linking agriculture, welfare, and health. </w:t>
      </w:r>
      <w:r w:rsidRPr="00CF1D7A">
        <w:rPr>
          <w:rFonts w:ascii="Arial" w:eastAsia="Times New Roman" w:hAnsi="Arial" w:cs="Arial"/>
          <w:i/>
          <w:iCs/>
        </w:rPr>
        <w:t>Policy Studies</w:t>
      </w:r>
      <w:r w:rsidRPr="00CF1D7A">
        <w:rPr>
          <w:rFonts w:ascii="Arial" w:eastAsia="Times New Roman" w:hAnsi="Arial" w:cs="Arial"/>
        </w:rPr>
        <w:t>, 43(3), pp.356–374.</w:t>
      </w:r>
    </w:p>
    <w:p w14:paraId="54C7DF4B" w14:textId="77777777" w:rsidR="00CF1D7A" w:rsidRPr="00CF1D7A" w:rsidRDefault="00CF1D7A" w:rsidP="00CF1D7A">
      <w:pPr>
        <w:spacing w:before="100" w:beforeAutospacing="1" w:after="100" w:afterAutospacing="1" w:line="360" w:lineRule="auto"/>
        <w:jc w:val="both"/>
        <w:rPr>
          <w:rFonts w:ascii="Arial" w:eastAsia="Times New Roman" w:hAnsi="Arial" w:cs="Arial"/>
        </w:rPr>
      </w:pPr>
      <w:r w:rsidRPr="00CF1D7A">
        <w:rPr>
          <w:rFonts w:ascii="Arial" w:eastAsia="Times New Roman" w:hAnsi="Arial" w:cs="Arial"/>
        </w:rPr>
        <w:t xml:space="preserve">Reeves, A., Clair, A. &amp; </w:t>
      </w:r>
      <w:proofErr w:type="spellStart"/>
      <w:r w:rsidRPr="00CF1D7A">
        <w:rPr>
          <w:rFonts w:ascii="Arial" w:eastAsia="Times New Roman" w:hAnsi="Arial" w:cs="Arial"/>
        </w:rPr>
        <w:t>Loopstra</w:t>
      </w:r>
      <w:proofErr w:type="spellEnd"/>
      <w:r w:rsidRPr="00CF1D7A">
        <w:rPr>
          <w:rFonts w:ascii="Arial" w:eastAsia="Times New Roman" w:hAnsi="Arial" w:cs="Arial"/>
        </w:rPr>
        <w:t xml:space="preserve">, R., 2023. Food insecurity, welfare, and health inequalities in England. </w:t>
      </w:r>
      <w:r w:rsidRPr="00CF1D7A">
        <w:rPr>
          <w:rFonts w:ascii="Arial" w:eastAsia="Times New Roman" w:hAnsi="Arial" w:cs="Arial"/>
          <w:i/>
          <w:iCs/>
        </w:rPr>
        <w:t>Social Science &amp; Medicine</w:t>
      </w:r>
      <w:r w:rsidRPr="00CF1D7A">
        <w:rPr>
          <w:rFonts w:ascii="Arial" w:eastAsia="Times New Roman" w:hAnsi="Arial" w:cs="Arial"/>
        </w:rPr>
        <w:t>, 317, 115525.</w:t>
      </w:r>
    </w:p>
    <w:p w14:paraId="12CE349D" w14:textId="77777777" w:rsidR="00CF1D7A" w:rsidRPr="00CF1D7A" w:rsidRDefault="00CF1D7A" w:rsidP="00CF1D7A">
      <w:pPr>
        <w:spacing w:before="100" w:beforeAutospacing="1" w:after="100" w:afterAutospacing="1" w:line="360" w:lineRule="auto"/>
        <w:jc w:val="both"/>
        <w:rPr>
          <w:rFonts w:ascii="Arial" w:eastAsia="Times New Roman" w:hAnsi="Arial" w:cs="Arial"/>
        </w:rPr>
      </w:pPr>
      <w:r w:rsidRPr="00CF1D7A">
        <w:rPr>
          <w:rFonts w:ascii="Arial" w:eastAsia="Times New Roman" w:hAnsi="Arial" w:cs="Arial"/>
        </w:rPr>
        <w:t xml:space="preserve">Scharf, T. &amp; De Lange, J., 2023. Nutrition and child health in UK schools: Policy and outcomes. </w:t>
      </w:r>
      <w:r w:rsidRPr="00CF1D7A">
        <w:rPr>
          <w:rFonts w:ascii="Arial" w:eastAsia="Times New Roman" w:hAnsi="Arial" w:cs="Arial"/>
          <w:i/>
          <w:iCs/>
        </w:rPr>
        <w:t>Childhood</w:t>
      </w:r>
      <w:r w:rsidRPr="00CF1D7A">
        <w:rPr>
          <w:rFonts w:ascii="Arial" w:eastAsia="Times New Roman" w:hAnsi="Arial" w:cs="Arial"/>
        </w:rPr>
        <w:t>, 30(1), pp.87–104.</w:t>
      </w:r>
    </w:p>
    <w:p w14:paraId="0BC521E3" w14:textId="77777777" w:rsidR="00CF1D7A" w:rsidRPr="00CF1D7A" w:rsidRDefault="00CF1D7A" w:rsidP="00CF1D7A">
      <w:pPr>
        <w:spacing w:before="100" w:beforeAutospacing="1" w:after="100" w:afterAutospacing="1" w:line="360" w:lineRule="auto"/>
        <w:jc w:val="both"/>
        <w:rPr>
          <w:rFonts w:ascii="Arial" w:eastAsia="Times New Roman" w:hAnsi="Arial" w:cs="Arial"/>
        </w:rPr>
      </w:pPr>
      <w:r w:rsidRPr="00CF1D7A">
        <w:rPr>
          <w:rFonts w:ascii="Arial" w:eastAsia="Times New Roman" w:hAnsi="Arial" w:cs="Arial"/>
        </w:rPr>
        <w:t xml:space="preserve">Trussell Trust, 2024. </w:t>
      </w:r>
      <w:r w:rsidRPr="00CF1D7A">
        <w:rPr>
          <w:rFonts w:ascii="Arial" w:eastAsia="Times New Roman" w:hAnsi="Arial" w:cs="Arial"/>
          <w:i/>
          <w:iCs/>
        </w:rPr>
        <w:t>Annual Food Bank Statistics 2023–24</w:t>
      </w:r>
      <w:r w:rsidRPr="00CF1D7A">
        <w:rPr>
          <w:rFonts w:ascii="Arial" w:eastAsia="Times New Roman" w:hAnsi="Arial" w:cs="Arial"/>
        </w:rPr>
        <w:t xml:space="preserve">. Available at: </w:t>
      </w:r>
      <w:hyperlink r:id="rId12" w:history="1">
        <w:r w:rsidRPr="00CF1D7A">
          <w:rPr>
            <w:rStyle w:val="Hyperlink"/>
            <w:rFonts w:ascii="Arial" w:eastAsia="Times New Roman" w:hAnsi="Arial" w:cs="Arial"/>
          </w:rPr>
          <w:t>https://www.trusselltrust.org</w:t>
        </w:r>
      </w:hyperlink>
      <w:r w:rsidRPr="00CF1D7A">
        <w:rPr>
          <w:rFonts w:ascii="Arial" w:eastAsia="Times New Roman" w:hAnsi="Arial" w:cs="Arial"/>
        </w:rPr>
        <w:t>.</w:t>
      </w:r>
    </w:p>
    <w:p w14:paraId="24B1B372" w14:textId="77777777" w:rsidR="00CF1D7A" w:rsidRPr="00CF1D7A" w:rsidRDefault="00CF1D7A" w:rsidP="00CF1D7A">
      <w:pPr>
        <w:spacing w:before="100" w:beforeAutospacing="1" w:after="100" w:afterAutospacing="1" w:line="360" w:lineRule="auto"/>
        <w:jc w:val="both"/>
        <w:rPr>
          <w:rFonts w:ascii="Arial" w:eastAsia="Times New Roman" w:hAnsi="Arial" w:cs="Arial"/>
        </w:rPr>
      </w:pPr>
      <w:r w:rsidRPr="00CF1D7A">
        <w:rPr>
          <w:rFonts w:ascii="Arial" w:eastAsia="Times New Roman" w:hAnsi="Arial" w:cs="Arial"/>
        </w:rPr>
        <w:t xml:space="preserve">UK Health Security Agency, 2023. </w:t>
      </w:r>
      <w:r w:rsidRPr="00CF1D7A">
        <w:rPr>
          <w:rFonts w:ascii="Arial" w:eastAsia="Times New Roman" w:hAnsi="Arial" w:cs="Arial"/>
          <w:i/>
          <w:iCs/>
        </w:rPr>
        <w:t>Nutrition and Public Health Report: England 2023</w:t>
      </w:r>
      <w:r w:rsidRPr="00CF1D7A">
        <w:rPr>
          <w:rFonts w:ascii="Arial" w:eastAsia="Times New Roman" w:hAnsi="Arial" w:cs="Arial"/>
        </w:rPr>
        <w:t>. London: UKHSA.</w:t>
      </w:r>
    </w:p>
    <w:p w14:paraId="503DD5CF" w14:textId="77777777" w:rsidR="00CF1D7A" w:rsidRPr="00CF1D7A" w:rsidRDefault="00CF1D7A" w:rsidP="00CF1D7A">
      <w:pPr>
        <w:spacing w:before="100" w:beforeAutospacing="1" w:after="100" w:afterAutospacing="1" w:line="360" w:lineRule="auto"/>
        <w:jc w:val="both"/>
        <w:rPr>
          <w:rFonts w:ascii="Arial" w:eastAsia="Times New Roman" w:hAnsi="Arial" w:cs="Arial"/>
        </w:rPr>
      </w:pPr>
      <w:r w:rsidRPr="00CF1D7A">
        <w:rPr>
          <w:rFonts w:ascii="Arial" w:eastAsia="Times New Roman" w:hAnsi="Arial" w:cs="Arial"/>
        </w:rPr>
        <w:t xml:space="preserve">United Nations, 2015. </w:t>
      </w:r>
      <w:r w:rsidRPr="00CF1D7A">
        <w:rPr>
          <w:rFonts w:ascii="Arial" w:eastAsia="Times New Roman" w:hAnsi="Arial" w:cs="Arial"/>
          <w:i/>
          <w:iCs/>
        </w:rPr>
        <w:t>Transforming our world: The 2030 Agenda for Sustainable Development</w:t>
      </w:r>
      <w:r w:rsidRPr="00CF1D7A">
        <w:rPr>
          <w:rFonts w:ascii="Arial" w:eastAsia="Times New Roman" w:hAnsi="Arial" w:cs="Arial"/>
        </w:rPr>
        <w:t>. New York: United Nations.</w:t>
      </w:r>
    </w:p>
    <w:p w14:paraId="6F404548" w14:textId="77777777" w:rsidR="00CF1D7A" w:rsidRPr="00CF1D7A" w:rsidRDefault="00CF1D7A" w:rsidP="00CF1D7A">
      <w:pPr>
        <w:spacing w:before="100" w:beforeAutospacing="1" w:after="100" w:afterAutospacing="1" w:line="360" w:lineRule="auto"/>
        <w:jc w:val="both"/>
        <w:rPr>
          <w:rFonts w:ascii="Arial" w:eastAsia="Times New Roman" w:hAnsi="Arial" w:cs="Arial"/>
        </w:rPr>
      </w:pPr>
      <w:r w:rsidRPr="00CF1D7A">
        <w:rPr>
          <w:rFonts w:ascii="Arial" w:eastAsia="Times New Roman" w:hAnsi="Arial" w:cs="Arial"/>
        </w:rPr>
        <w:t xml:space="preserve">UNDP, 2023. </w:t>
      </w:r>
      <w:r w:rsidRPr="00CF1D7A">
        <w:rPr>
          <w:rFonts w:ascii="Arial" w:eastAsia="Times New Roman" w:hAnsi="Arial" w:cs="Arial"/>
          <w:i/>
          <w:iCs/>
        </w:rPr>
        <w:t>Sustainable Development Goals Progress Report</w:t>
      </w:r>
      <w:r w:rsidRPr="00CF1D7A">
        <w:rPr>
          <w:rFonts w:ascii="Arial" w:eastAsia="Times New Roman" w:hAnsi="Arial" w:cs="Arial"/>
        </w:rPr>
        <w:t xml:space="preserve">. New York: United Nations Development </w:t>
      </w:r>
      <w:proofErr w:type="spellStart"/>
      <w:r w:rsidRPr="00CF1D7A">
        <w:rPr>
          <w:rFonts w:ascii="Arial" w:eastAsia="Times New Roman" w:hAnsi="Arial" w:cs="Arial"/>
        </w:rPr>
        <w:t>Programme</w:t>
      </w:r>
      <w:proofErr w:type="spellEnd"/>
      <w:r w:rsidRPr="00CF1D7A">
        <w:rPr>
          <w:rFonts w:ascii="Arial" w:eastAsia="Times New Roman" w:hAnsi="Arial" w:cs="Arial"/>
        </w:rPr>
        <w:t>.</w:t>
      </w:r>
    </w:p>
    <w:p w14:paraId="0FAEC841" w14:textId="77777777" w:rsidR="00CF1D7A" w:rsidRPr="00CF1D7A" w:rsidRDefault="00CF1D7A" w:rsidP="00CF1D7A">
      <w:pPr>
        <w:spacing w:before="100" w:beforeAutospacing="1" w:after="100" w:afterAutospacing="1" w:line="360" w:lineRule="auto"/>
        <w:jc w:val="both"/>
        <w:rPr>
          <w:rFonts w:ascii="Arial" w:eastAsia="Times New Roman" w:hAnsi="Arial" w:cs="Arial"/>
        </w:rPr>
      </w:pPr>
      <w:r w:rsidRPr="00CF1D7A">
        <w:rPr>
          <w:rFonts w:ascii="Arial" w:eastAsia="Times New Roman" w:hAnsi="Arial" w:cs="Arial"/>
        </w:rPr>
        <w:t xml:space="preserve">WHO, 2022. </w:t>
      </w:r>
      <w:r w:rsidRPr="00CF1D7A">
        <w:rPr>
          <w:rFonts w:ascii="Arial" w:eastAsia="Times New Roman" w:hAnsi="Arial" w:cs="Arial"/>
          <w:i/>
          <w:iCs/>
        </w:rPr>
        <w:t>Nutrition in Health and Development: Global Recommendations</w:t>
      </w:r>
      <w:r w:rsidRPr="00CF1D7A">
        <w:rPr>
          <w:rFonts w:ascii="Arial" w:eastAsia="Times New Roman" w:hAnsi="Arial" w:cs="Arial"/>
        </w:rPr>
        <w:t>. Geneva: World Health Organization.</w:t>
      </w:r>
    </w:p>
    <w:p w14:paraId="3F452B12" w14:textId="77777777" w:rsidR="00CF1D7A" w:rsidRPr="00CF1D7A" w:rsidRDefault="00CF1D7A" w:rsidP="00CF1D7A">
      <w:pPr>
        <w:spacing w:before="100" w:beforeAutospacing="1" w:after="100" w:afterAutospacing="1" w:line="360" w:lineRule="auto"/>
        <w:jc w:val="both"/>
        <w:rPr>
          <w:rFonts w:ascii="Arial" w:eastAsia="Times New Roman" w:hAnsi="Arial" w:cs="Arial"/>
        </w:rPr>
      </w:pPr>
      <w:r w:rsidRPr="00CF1D7A">
        <w:rPr>
          <w:rFonts w:ascii="Arial" w:eastAsia="Times New Roman" w:hAnsi="Arial" w:cs="Arial"/>
        </w:rPr>
        <w:t xml:space="preserve">WHO, 2023. </w:t>
      </w:r>
      <w:r w:rsidRPr="00CF1D7A">
        <w:rPr>
          <w:rFonts w:ascii="Arial" w:eastAsia="Times New Roman" w:hAnsi="Arial" w:cs="Arial"/>
          <w:i/>
          <w:iCs/>
        </w:rPr>
        <w:t>Childhood Malnutrition and Global Health</w:t>
      </w:r>
      <w:r w:rsidRPr="00CF1D7A">
        <w:rPr>
          <w:rFonts w:ascii="Arial" w:eastAsia="Times New Roman" w:hAnsi="Arial" w:cs="Arial"/>
        </w:rPr>
        <w:t>. Geneva: World Health Organization.</w:t>
      </w:r>
    </w:p>
    <w:p w14:paraId="5B9239FD" w14:textId="77777777" w:rsidR="00CF1D7A" w:rsidRPr="00CF1D7A" w:rsidRDefault="00CF1D7A" w:rsidP="00CF1D7A">
      <w:pPr>
        <w:spacing w:before="100" w:beforeAutospacing="1" w:after="100" w:afterAutospacing="1" w:line="360" w:lineRule="auto"/>
        <w:jc w:val="both"/>
        <w:rPr>
          <w:rFonts w:ascii="Arial" w:eastAsia="Times New Roman" w:hAnsi="Arial" w:cs="Arial"/>
        </w:rPr>
      </w:pPr>
      <w:r w:rsidRPr="00CF1D7A">
        <w:rPr>
          <w:rFonts w:ascii="Arial" w:eastAsia="Times New Roman" w:hAnsi="Arial" w:cs="Arial"/>
        </w:rPr>
        <w:t xml:space="preserve">WHO, 2024. </w:t>
      </w:r>
      <w:r w:rsidRPr="00CF1D7A">
        <w:rPr>
          <w:rFonts w:ascii="Arial" w:eastAsia="Times New Roman" w:hAnsi="Arial" w:cs="Arial"/>
          <w:i/>
          <w:iCs/>
        </w:rPr>
        <w:t>Obesity and Non-Communicable Diseases: Global Report</w:t>
      </w:r>
      <w:r w:rsidRPr="00CF1D7A">
        <w:rPr>
          <w:rFonts w:ascii="Arial" w:eastAsia="Times New Roman" w:hAnsi="Arial" w:cs="Arial"/>
        </w:rPr>
        <w:t>. Geneva: World Health Organization.</w:t>
      </w:r>
    </w:p>
    <w:p w14:paraId="13C780B2" w14:textId="77777777" w:rsidR="009C163B" w:rsidRPr="00CF1D7A" w:rsidRDefault="009C163B" w:rsidP="00CF1D7A">
      <w:pPr>
        <w:spacing w:line="360" w:lineRule="auto"/>
        <w:jc w:val="both"/>
        <w:rPr>
          <w:rFonts w:ascii="Arial" w:hAnsi="Arial" w:cs="Arial"/>
        </w:rPr>
      </w:pPr>
    </w:p>
    <w:sectPr w:rsidR="009C163B" w:rsidRPr="00CF1D7A" w:rsidSect="000C3713">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7A9547" w14:textId="77777777" w:rsidR="004E1A95" w:rsidRDefault="004E1A95" w:rsidP="000C3713">
      <w:pPr>
        <w:spacing w:after="0" w:line="240" w:lineRule="auto"/>
      </w:pPr>
      <w:r>
        <w:separator/>
      </w:r>
    </w:p>
  </w:endnote>
  <w:endnote w:type="continuationSeparator" w:id="0">
    <w:p w14:paraId="49C60FA7" w14:textId="77777777" w:rsidR="004E1A95" w:rsidRDefault="004E1A95" w:rsidP="000C37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0968920"/>
      <w:docPartObj>
        <w:docPartGallery w:val="Page Numbers (Bottom of Page)"/>
        <w:docPartUnique/>
      </w:docPartObj>
    </w:sdtPr>
    <w:sdtEndPr>
      <w:rPr>
        <w:noProof/>
      </w:rPr>
    </w:sdtEndPr>
    <w:sdtContent>
      <w:p w14:paraId="7651521C" w14:textId="77777777" w:rsidR="000C3713" w:rsidRDefault="000C3713">
        <w:pPr>
          <w:pStyle w:val="Footer"/>
          <w:jc w:val="right"/>
        </w:pPr>
        <w:r>
          <w:fldChar w:fldCharType="begin"/>
        </w:r>
        <w:r>
          <w:instrText xml:space="preserve"> PAGE   \* MERGEFORMAT </w:instrText>
        </w:r>
        <w:r>
          <w:fldChar w:fldCharType="separate"/>
        </w:r>
        <w:r w:rsidR="00AF47F8">
          <w:rPr>
            <w:noProof/>
          </w:rPr>
          <w:t>13</w:t>
        </w:r>
        <w:r>
          <w:rPr>
            <w:noProof/>
          </w:rPr>
          <w:fldChar w:fldCharType="end"/>
        </w:r>
      </w:p>
    </w:sdtContent>
  </w:sdt>
  <w:p w14:paraId="28C7E599" w14:textId="77777777" w:rsidR="000C3713" w:rsidRDefault="000C37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D256F7" w14:textId="77777777" w:rsidR="004E1A95" w:rsidRDefault="004E1A95" w:rsidP="000C3713">
      <w:pPr>
        <w:spacing w:after="0" w:line="240" w:lineRule="auto"/>
      </w:pPr>
      <w:r>
        <w:separator/>
      </w:r>
    </w:p>
  </w:footnote>
  <w:footnote w:type="continuationSeparator" w:id="0">
    <w:p w14:paraId="4AAE1F63" w14:textId="77777777" w:rsidR="004E1A95" w:rsidRDefault="004E1A95" w:rsidP="000C37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872F0E"/>
    <w:multiLevelType w:val="multilevel"/>
    <w:tmpl w:val="EF2C2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7B233AD"/>
    <w:multiLevelType w:val="multilevel"/>
    <w:tmpl w:val="5628A9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7233656">
    <w:abstractNumId w:val="0"/>
  </w:num>
  <w:num w:numId="2" w16cid:durableId="10234363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163B"/>
    <w:rsid w:val="000C3713"/>
    <w:rsid w:val="002C2DD2"/>
    <w:rsid w:val="003A1EBD"/>
    <w:rsid w:val="004E1A95"/>
    <w:rsid w:val="00933ABB"/>
    <w:rsid w:val="009C163B"/>
    <w:rsid w:val="00AF47F8"/>
    <w:rsid w:val="00B9604F"/>
    <w:rsid w:val="00C01199"/>
    <w:rsid w:val="00CC56B1"/>
    <w:rsid w:val="00CF1D7A"/>
    <w:rsid w:val="00FF3E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0891A"/>
  <w15:chartTrackingRefBased/>
  <w15:docId w15:val="{053117F6-4F75-4E60-9556-B9AF540FD3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3A1EBD"/>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9C163B"/>
    <w:rPr>
      <w:i/>
      <w:iCs/>
    </w:rPr>
  </w:style>
  <w:style w:type="character" w:styleId="Strong">
    <w:name w:val="Strong"/>
    <w:basedOn w:val="DefaultParagraphFont"/>
    <w:uiPriority w:val="22"/>
    <w:qFormat/>
    <w:rsid w:val="009C163B"/>
    <w:rPr>
      <w:b/>
      <w:bCs/>
    </w:rPr>
  </w:style>
  <w:style w:type="character" w:customStyle="1" w:styleId="Heading3Char">
    <w:name w:val="Heading 3 Char"/>
    <w:basedOn w:val="DefaultParagraphFont"/>
    <w:link w:val="Heading3"/>
    <w:uiPriority w:val="9"/>
    <w:rsid w:val="003A1EBD"/>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3A1EBD"/>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3A1EBD"/>
    <w:pPr>
      <w:ind w:left="720"/>
      <w:contextualSpacing/>
    </w:pPr>
  </w:style>
  <w:style w:type="character" w:styleId="Hyperlink">
    <w:name w:val="Hyperlink"/>
    <w:basedOn w:val="DefaultParagraphFont"/>
    <w:uiPriority w:val="99"/>
    <w:unhideWhenUsed/>
    <w:rsid w:val="003A1EBD"/>
    <w:rPr>
      <w:color w:val="0563C1" w:themeColor="hyperlink"/>
      <w:u w:val="single"/>
    </w:rPr>
  </w:style>
  <w:style w:type="paragraph" w:styleId="Header">
    <w:name w:val="header"/>
    <w:basedOn w:val="Normal"/>
    <w:link w:val="HeaderChar"/>
    <w:uiPriority w:val="99"/>
    <w:unhideWhenUsed/>
    <w:rsid w:val="000C37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3713"/>
  </w:style>
  <w:style w:type="paragraph" w:styleId="Footer">
    <w:name w:val="footer"/>
    <w:basedOn w:val="Normal"/>
    <w:link w:val="FooterChar"/>
    <w:uiPriority w:val="99"/>
    <w:unhideWhenUsed/>
    <w:rsid w:val="000C37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3713"/>
  </w:style>
  <w:style w:type="table" w:styleId="TableGrid">
    <w:name w:val="Table Grid"/>
    <w:basedOn w:val="TableNormal"/>
    <w:uiPriority w:val="39"/>
    <w:rsid w:val="00C01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027070">
      <w:bodyDiv w:val="1"/>
      <w:marLeft w:val="0"/>
      <w:marRight w:val="0"/>
      <w:marTop w:val="0"/>
      <w:marBottom w:val="0"/>
      <w:divBdr>
        <w:top w:val="none" w:sz="0" w:space="0" w:color="auto"/>
        <w:left w:val="none" w:sz="0" w:space="0" w:color="auto"/>
        <w:bottom w:val="none" w:sz="0" w:space="0" w:color="auto"/>
        <w:right w:val="none" w:sz="0" w:space="0" w:color="auto"/>
      </w:divBdr>
    </w:div>
    <w:div w:id="272783502">
      <w:bodyDiv w:val="1"/>
      <w:marLeft w:val="0"/>
      <w:marRight w:val="0"/>
      <w:marTop w:val="0"/>
      <w:marBottom w:val="0"/>
      <w:divBdr>
        <w:top w:val="none" w:sz="0" w:space="0" w:color="auto"/>
        <w:left w:val="none" w:sz="0" w:space="0" w:color="auto"/>
        <w:bottom w:val="none" w:sz="0" w:space="0" w:color="auto"/>
        <w:right w:val="none" w:sz="0" w:space="0" w:color="auto"/>
      </w:divBdr>
    </w:div>
    <w:div w:id="354163040">
      <w:bodyDiv w:val="1"/>
      <w:marLeft w:val="0"/>
      <w:marRight w:val="0"/>
      <w:marTop w:val="0"/>
      <w:marBottom w:val="0"/>
      <w:divBdr>
        <w:top w:val="none" w:sz="0" w:space="0" w:color="auto"/>
        <w:left w:val="none" w:sz="0" w:space="0" w:color="auto"/>
        <w:bottom w:val="none" w:sz="0" w:space="0" w:color="auto"/>
        <w:right w:val="none" w:sz="0" w:space="0" w:color="auto"/>
      </w:divBdr>
    </w:div>
    <w:div w:id="687028764">
      <w:bodyDiv w:val="1"/>
      <w:marLeft w:val="0"/>
      <w:marRight w:val="0"/>
      <w:marTop w:val="0"/>
      <w:marBottom w:val="0"/>
      <w:divBdr>
        <w:top w:val="none" w:sz="0" w:space="0" w:color="auto"/>
        <w:left w:val="none" w:sz="0" w:space="0" w:color="auto"/>
        <w:bottom w:val="none" w:sz="0" w:space="0" w:color="auto"/>
        <w:right w:val="none" w:sz="0" w:space="0" w:color="auto"/>
      </w:divBdr>
    </w:div>
    <w:div w:id="736317413">
      <w:bodyDiv w:val="1"/>
      <w:marLeft w:val="0"/>
      <w:marRight w:val="0"/>
      <w:marTop w:val="0"/>
      <w:marBottom w:val="0"/>
      <w:divBdr>
        <w:top w:val="none" w:sz="0" w:space="0" w:color="auto"/>
        <w:left w:val="none" w:sz="0" w:space="0" w:color="auto"/>
        <w:bottom w:val="none" w:sz="0" w:space="0" w:color="auto"/>
        <w:right w:val="none" w:sz="0" w:space="0" w:color="auto"/>
      </w:divBdr>
    </w:div>
    <w:div w:id="965240399">
      <w:bodyDiv w:val="1"/>
      <w:marLeft w:val="0"/>
      <w:marRight w:val="0"/>
      <w:marTop w:val="0"/>
      <w:marBottom w:val="0"/>
      <w:divBdr>
        <w:top w:val="none" w:sz="0" w:space="0" w:color="auto"/>
        <w:left w:val="none" w:sz="0" w:space="0" w:color="auto"/>
        <w:bottom w:val="none" w:sz="0" w:space="0" w:color="auto"/>
        <w:right w:val="none" w:sz="0" w:space="0" w:color="auto"/>
      </w:divBdr>
    </w:div>
    <w:div w:id="1209533908">
      <w:bodyDiv w:val="1"/>
      <w:marLeft w:val="0"/>
      <w:marRight w:val="0"/>
      <w:marTop w:val="0"/>
      <w:marBottom w:val="0"/>
      <w:divBdr>
        <w:top w:val="none" w:sz="0" w:space="0" w:color="auto"/>
        <w:left w:val="none" w:sz="0" w:space="0" w:color="auto"/>
        <w:bottom w:val="none" w:sz="0" w:space="0" w:color="auto"/>
        <w:right w:val="none" w:sz="0" w:space="0" w:color="auto"/>
      </w:divBdr>
    </w:div>
    <w:div w:id="1642226330">
      <w:bodyDiv w:val="1"/>
      <w:marLeft w:val="0"/>
      <w:marRight w:val="0"/>
      <w:marTop w:val="0"/>
      <w:marBottom w:val="0"/>
      <w:divBdr>
        <w:top w:val="none" w:sz="0" w:space="0" w:color="auto"/>
        <w:left w:val="none" w:sz="0" w:space="0" w:color="auto"/>
        <w:bottom w:val="none" w:sz="0" w:space="0" w:color="auto"/>
        <w:right w:val="none" w:sz="0" w:space="0" w:color="auto"/>
      </w:divBdr>
    </w:div>
    <w:div w:id="1721976749">
      <w:bodyDiv w:val="1"/>
      <w:marLeft w:val="0"/>
      <w:marRight w:val="0"/>
      <w:marTop w:val="0"/>
      <w:marBottom w:val="0"/>
      <w:divBdr>
        <w:top w:val="none" w:sz="0" w:space="0" w:color="auto"/>
        <w:left w:val="none" w:sz="0" w:space="0" w:color="auto"/>
        <w:bottom w:val="none" w:sz="0" w:space="0" w:color="auto"/>
        <w:right w:val="none" w:sz="0" w:space="0" w:color="auto"/>
      </w:divBdr>
    </w:div>
    <w:div w:id="1749227830">
      <w:bodyDiv w:val="1"/>
      <w:marLeft w:val="0"/>
      <w:marRight w:val="0"/>
      <w:marTop w:val="0"/>
      <w:marBottom w:val="0"/>
      <w:divBdr>
        <w:top w:val="none" w:sz="0" w:space="0" w:color="auto"/>
        <w:left w:val="none" w:sz="0" w:space="0" w:color="auto"/>
        <w:bottom w:val="none" w:sz="0" w:space="0" w:color="auto"/>
        <w:right w:val="none" w:sz="0" w:space="0" w:color="auto"/>
      </w:divBdr>
    </w:div>
    <w:div w:id="1923294841">
      <w:bodyDiv w:val="1"/>
      <w:marLeft w:val="0"/>
      <w:marRight w:val="0"/>
      <w:marTop w:val="0"/>
      <w:marBottom w:val="0"/>
      <w:divBdr>
        <w:top w:val="none" w:sz="0" w:space="0" w:color="auto"/>
        <w:left w:val="none" w:sz="0" w:space="0" w:color="auto"/>
        <w:bottom w:val="none" w:sz="0" w:space="0" w:color="auto"/>
        <w:right w:val="none" w:sz="0" w:space="0" w:color="auto"/>
      </w:divBdr>
    </w:div>
    <w:div w:id="2067753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russelltrust.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althystart.nhs.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foodfoundation.org.uk/publication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3279</Words>
  <Characters>18693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2226157@student.uwtsd.ac.uk</dc:creator>
  <cp:keywords/>
  <dc:description/>
  <cp:lastModifiedBy>Shabana Sharif (2026633)</cp:lastModifiedBy>
  <cp:revision>2</cp:revision>
  <dcterms:created xsi:type="dcterms:W3CDTF">2025-10-23T20:46:00Z</dcterms:created>
  <dcterms:modified xsi:type="dcterms:W3CDTF">2025-10-23T20:46:00Z</dcterms:modified>
</cp:coreProperties>
</file>