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02">
      <w:pPr>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03">
      <w:pPr>
        <w:jc w:val="center"/>
        <w:rPr>
          <w:rFonts w:ascii="Times New Roman" w:cs="Times New Roman" w:eastAsia="Times New Roman" w:hAnsi="Times New Roman"/>
          <w:sz w:val="40"/>
          <w:szCs w:val="40"/>
        </w:rPr>
      </w:pPr>
      <w:r w:rsidDel="00000000" w:rsidR="00000000" w:rsidRPr="00000000">
        <w:rPr>
          <w:rFonts w:ascii="Times New Roman" w:cs="Times New Roman" w:eastAsia="Times New Roman" w:hAnsi="Times New Roman"/>
          <w:sz w:val="40"/>
          <w:szCs w:val="40"/>
          <w:rtl w:val="0"/>
        </w:rPr>
        <w:t xml:space="preserve">MUHAMMAD FARHAN QAZI</w:t>
      </w:r>
    </w:p>
    <w:p w:rsidR="00000000" w:rsidDel="00000000" w:rsidP="00000000" w:rsidRDefault="00000000" w:rsidRPr="00000000" w14:paraId="00000004">
      <w:pPr>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05">
      <w:pPr>
        <w:jc w:val="center"/>
        <w:rPr>
          <w:rFonts w:ascii="Times New Roman" w:cs="Times New Roman" w:eastAsia="Times New Roman" w:hAnsi="Times New Roman"/>
          <w:sz w:val="40"/>
          <w:szCs w:val="40"/>
        </w:rPr>
      </w:pPr>
      <w:r w:rsidDel="00000000" w:rsidR="00000000" w:rsidRPr="00000000">
        <w:rPr>
          <w:rFonts w:ascii="Times New Roman" w:cs="Times New Roman" w:eastAsia="Times New Roman" w:hAnsi="Times New Roman"/>
          <w:sz w:val="40"/>
          <w:szCs w:val="40"/>
          <w:rtl w:val="0"/>
        </w:rPr>
        <w:t xml:space="preserve">STUDENT NO. 2242955</w:t>
      </w:r>
    </w:p>
    <w:p w:rsidR="00000000" w:rsidDel="00000000" w:rsidP="00000000" w:rsidRDefault="00000000" w:rsidRPr="00000000" w14:paraId="00000006">
      <w:pPr>
        <w:jc w:val="center"/>
        <w:rPr>
          <w:rFonts w:ascii="Times New Roman" w:cs="Times New Roman" w:eastAsia="Times New Roman" w:hAnsi="Times New Roman"/>
          <w:b w:val="1"/>
          <w:sz w:val="40"/>
          <w:szCs w:val="40"/>
          <w:u w:val="single"/>
        </w:rPr>
      </w:pPr>
      <w:r w:rsidDel="00000000" w:rsidR="00000000" w:rsidRPr="00000000">
        <w:rPr>
          <w:rtl w:val="0"/>
        </w:rPr>
      </w:r>
    </w:p>
    <w:p w:rsidR="00000000" w:rsidDel="00000000" w:rsidP="00000000" w:rsidRDefault="00000000" w:rsidRPr="00000000" w14:paraId="00000007">
      <w:pPr>
        <w:jc w:val="center"/>
        <w:rPr>
          <w:rFonts w:ascii="Times New Roman" w:cs="Times New Roman" w:eastAsia="Times New Roman" w:hAnsi="Times New Roman"/>
          <w:b w:val="1"/>
          <w:sz w:val="40"/>
          <w:szCs w:val="40"/>
          <w:u w:val="single"/>
        </w:rPr>
      </w:pPr>
      <w:r w:rsidDel="00000000" w:rsidR="00000000" w:rsidRPr="00000000">
        <w:rPr>
          <w:rtl w:val="0"/>
        </w:rPr>
      </w:r>
    </w:p>
    <w:p w:rsidR="00000000" w:rsidDel="00000000" w:rsidP="00000000" w:rsidRDefault="00000000" w:rsidRPr="00000000" w14:paraId="00000008">
      <w:pPr>
        <w:jc w:val="center"/>
        <w:rPr>
          <w:rFonts w:ascii="Times New Roman" w:cs="Times New Roman" w:eastAsia="Times New Roman" w:hAnsi="Times New Roman"/>
          <w:b w:val="1"/>
          <w:sz w:val="40"/>
          <w:szCs w:val="40"/>
          <w:u w:val="single"/>
        </w:rPr>
      </w:pPr>
      <w:r w:rsidDel="00000000" w:rsidR="00000000" w:rsidRPr="00000000">
        <w:rPr>
          <w:rtl w:val="0"/>
        </w:rPr>
      </w:r>
    </w:p>
    <w:p w:rsidR="00000000" w:rsidDel="00000000" w:rsidP="00000000" w:rsidRDefault="00000000" w:rsidRPr="00000000" w14:paraId="00000009">
      <w:pPr>
        <w:jc w:val="center"/>
        <w:rPr>
          <w:rFonts w:ascii="Times New Roman" w:cs="Times New Roman" w:eastAsia="Times New Roman" w:hAnsi="Times New Roman"/>
          <w:b w:val="1"/>
          <w:sz w:val="40"/>
          <w:szCs w:val="40"/>
          <w:u w:val="single"/>
        </w:rPr>
      </w:pPr>
      <w:r w:rsidDel="00000000" w:rsidR="00000000" w:rsidRPr="00000000">
        <w:rPr>
          <w:rFonts w:ascii="Times New Roman" w:cs="Times New Roman" w:eastAsia="Times New Roman" w:hAnsi="Times New Roman"/>
          <w:b w:val="1"/>
          <w:sz w:val="40"/>
          <w:szCs w:val="40"/>
          <w:u w:val="single"/>
          <w:rtl w:val="0"/>
        </w:rPr>
        <w:t xml:space="preserve">ASSESSMENT ONE</w:t>
      </w:r>
    </w:p>
    <w:p w:rsidR="00000000" w:rsidDel="00000000" w:rsidP="00000000" w:rsidRDefault="00000000" w:rsidRPr="00000000" w14:paraId="0000000A">
      <w:pPr>
        <w:pStyle w:val="Title"/>
        <w:jc w:val="center"/>
        <w:rPr>
          <w:rFonts w:ascii="Times New Roman" w:cs="Times New Roman" w:eastAsia="Times New Roman" w:hAnsi="Times New Roman"/>
          <w:sz w:val="40"/>
          <w:szCs w:val="40"/>
        </w:rPr>
      </w:pPr>
      <w:bookmarkStart w:colFirst="0" w:colLast="0" w:name="_5579szbcfrde" w:id="0"/>
      <w:bookmarkEnd w:id="0"/>
      <w:r w:rsidDel="00000000" w:rsidR="00000000" w:rsidRPr="00000000">
        <w:rPr>
          <w:rFonts w:ascii="Times New Roman" w:cs="Times New Roman" w:eastAsia="Times New Roman" w:hAnsi="Times New Roman"/>
          <w:sz w:val="40"/>
          <w:szCs w:val="40"/>
          <w:rtl w:val="0"/>
        </w:rPr>
        <w:t xml:space="preserve">A comparison of the marketing methods of two multinational hotel brands</w:t>
      </w:r>
    </w:p>
    <w:p w:rsidR="00000000" w:rsidDel="00000000" w:rsidP="00000000" w:rsidRDefault="00000000" w:rsidRPr="00000000" w14:paraId="0000000B">
      <w:pPr>
        <w:pStyle w:val="Title"/>
        <w:jc w:val="center"/>
        <w:rPr>
          <w:rFonts w:ascii="Times New Roman" w:cs="Times New Roman" w:eastAsia="Times New Roman" w:hAnsi="Times New Roman"/>
          <w:sz w:val="40"/>
          <w:szCs w:val="40"/>
        </w:rPr>
      </w:pPr>
      <w:bookmarkStart w:colFirst="0" w:colLast="0" w:name="_gm98e5ebvl25" w:id="1"/>
      <w:bookmarkEnd w:id="1"/>
      <w:r w:rsidDel="00000000" w:rsidR="00000000" w:rsidRPr="00000000">
        <w:rPr>
          <w:rFonts w:ascii="Times New Roman" w:cs="Times New Roman" w:eastAsia="Times New Roman" w:hAnsi="Times New Roman"/>
          <w:sz w:val="40"/>
          <w:szCs w:val="40"/>
          <w:rtl w:val="0"/>
        </w:rPr>
        <w:t xml:space="preserve">(Six Senses and Holiday Inn)</w:t>
      </w:r>
    </w:p>
    <w:p w:rsidR="00000000" w:rsidDel="00000000" w:rsidP="00000000" w:rsidRDefault="00000000" w:rsidRPr="00000000" w14:paraId="0000000C">
      <w:pPr>
        <w:jc w:val="center"/>
        <w:rPr>
          <w:rFonts w:ascii="Times New Roman" w:cs="Times New Roman" w:eastAsia="Times New Roman" w:hAnsi="Times New Roman"/>
          <w:b w:val="1"/>
          <w:sz w:val="40"/>
          <w:szCs w:val="40"/>
          <w:u w:val="single"/>
        </w:rPr>
      </w:pPr>
      <w:r w:rsidDel="00000000" w:rsidR="00000000" w:rsidRPr="00000000">
        <w:rPr>
          <w:rtl w:val="0"/>
        </w:rPr>
      </w:r>
    </w:p>
    <w:p w:rsidR="00000000" w:rsidDel="00000000" w:rsidP="00000000" w:rsidRDefault="00000000" w:rsidRPr="00000000" w14:paraId="0000000D">
      <w:pPr>
        <w:jc w:val="center"/>
        <w:rPr>
          <w:rFonts w:ascii="Times New Roman" w:cs="Times New Roman" w:eastAsia="Times New Roman" w:hAnsi="Times New Roman"/>
          <w:b w:val="1"/>
          <w:sz w:val="40"/>
          <w:szCs w:val="40"/>
          <w:u w:val="single"/>
        </w:rPr>
      </w:pPr>
      <w:r w:rsidDel="00000000" w:rsidR="00000000" w:rsidRPr="00000000">
        <w:rPr>
          <w:rtl w:val="0"/>
        </w:rPr>
      </w:r>
    </w:p>
    <w:p w:rsidR="00000000" w:rsidDel="00000000" w:rsidP="00000000" w:rsidRDefault="00000000" w:rsidRPr="00000000" w14:paraId="0000000E">
      <w:pPr>
        <w:jc w:val="center"/>
        <w:rPr>
          <w:rFonts w:ascii="Times New Roman" w:cs="Times New Roman" w:eastAsia="Times New Roman" w:hAnsi="Times New Roman"/>
          <w:sz w:val="58"/>
          <w:szCs w:val="58"/>
          <w:u w:val="single"/>
        </w:rPr>
      </w:pPr>
      <w:r w:rsidDel="00000000" w:rsidR="00000000" w:rsidRPr="00000000">
        <w:rPr>
          <w:color w:val="222222"/>
          <w:sz w:val="38"/>
          <w:szCs w:val="38"/>
          <w:highlight w:val="white"/>
          <w:u w:val="single"/>
          <w:rtl w:val="0"/>
        </w:rPr>
        <w:t xml:space="preserve">Marketing Essentials BMIH4005</w:t>
      </w:r>
      <w:r w:rsidDel="00000000" w:rsidR="00000000" w:rsidRPr="00000000">
        <w:rPr>
          <w:rtl w:val="0"/>
        </w:rPr>
      </w:r>
    </w:p>
    <w:p w:rsidR="00000000" w:rsidDel="00000000" w:rsidP="00000000" w:rsidRDefault="00000000" w:rsidRPr="00000000" w14:paraId="0000000F">
      <w:pPr>
        <w:jc w:val="center"/>
        <w:rPr>
          <w:rFonts w:ascii="Times New Roman" w:cs="Times New Roman" w:eastAsia="Times New Roman" w:hAnsi="Times New Roman"/>
          <w:sz w:val="40"/>
          <w:szCs w:val="40"/>
        </w:rPr>
      </w:pPr>
      <w:r w:rsidDel="00000000" w:rsidR="00000000" w:rsidRPr="00000000">
        <w:rPr>
          <w:rFonts w:ascii="Times New Roman" w:cs="Times New Roman" w:eastAsia="Times New Roman" w:hAnsi="Times New Roman"/>
          <w:sz w:val="40"/>
          <w:szCs w:val="40"/>
          <w:rtl w:val="0"/>
        </w:rPr>
        <w:t xml:space="preserve">MODULE TUTOR: SCOTT JAMES</w:t>
      </w:r>
    </w:p>
    <w:p w:rsidR="00000000" w:rsidDel="00000000" w:rsidP="00000000" w:rsidRDefault="00000000" w:rsidRPr="00000000" w14:paraId="00000010">
      <w:pPr>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11">
      <w:pPr>
        <w:jc w:val="center"/>
        <w:rPr>
          <w:rFonts w:ascii="Times New Roman" w:cs="Times New Roman" w:eastAsia="Times New Roman" w:hAnsi="Times New Roman"/>
          <w:sz w:val="40"/>
          <w:szCs w:val="40"/>
        </w:rPr>
      </w:pPr>
      <w:r w:rsidDel="00000000" w:rsidR="00000000" w:rsidRPr="00000000">
        <w:rPr>
          <w:rFonts w:ascii="Times New Roman" w:cs="Times New Roman" w:eastAsia="Times New Roman" w:hAnsi="Times New Roman"/>
          <w:sz w:val="40"/>
          <w:szCs w:val="40"/>
          <w:rtl w:val="0"/>
        </w:rPr>
        <w:t xml:space="preserve">SUBMISSION DATE: 19TH OF MAY 2023</w:t>
      </w:r>
    </w:p>
    <w:p w:rsidR="00000000" w:rsidDel="00000000" w:rsidP="00000000" w:rsidRDefault="00000000" w:rsidRPr="00000000" w14:paraId="00000012">
      <w:pPr>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13">
      <w:pPr>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14">
      <w:pPr>
        <w:jc w:val="center"/>
        <w:rPr>
          <w:rFonts w:ascii="Times New Roman" w:cs="Times New Roman" w:eastAsia="Times New Roman" w:hAnsi="Times New Roman"/>
          <w:sz w:val="40"/>
          <w:szCs w:val="40"/>
        </w:rPr>
      </w:pPr>
      <w:r w:rsidDel="00000000" w:rsidR="00000000" w:rsidRPr="00000000">
        <w:rPr>
          <w:rtl w:val="0"/>
        </w:rPr>
      </w:r>
    </w:p>
    <w:p w:rsidR="00000000" w:rsidDel="00000000" w:rsidP="00000000" w:rsidRDefault="00000000" w:rsidRPr="00000000" w14:paraId="00000015">
      <w:pPr>
        <w:jc w:val="center"/>
        <w:rPr>
          <w:rFonts w:ascii="Times New Roman" w:cs="Times New Roman" w:eastAsia="Times New Roman" w:hAnsi="Times New Roman"/>
          <w:sz w:val="40"/>
          <w:szCs w:val="40"/>
        </w:rPr>
      </w:pPr>
      <w:r w:rsidDel="00000000" w:rsidR="00000000" w:rsidRPr="00000000">
        <w:rPr>
          <w:rFonts w:ascii="Times New Roman" w:cs="Times New Roman" w:eastAsia="Times New Roman" w:hAnsi="Times New Roman"/>
          <w:sz w:val="40"/>
          <w:szCs w:val="40"/>
          <w:rtl w:val="0"/>
        </w:rPr>
        <w:t xml:space="preserve">WORD COUNT: 1611</w:t>
      </w:r>
    </w:p>
    <w:p w:rsidR="00000000" w:rsidDel="00000000" w:rsidP="00000000" w:rsidRDefault="00000000" w:rsidRPr="00000000" w14:paraId="00000016">
      <w:pPr>
        <w:jc w:val="center"/>
        <w:rPr>
          <w:rFonts w:ascii="Times New Roman" w:cs="Times New Roman" w:eastAsia="Times New Roman" w:hAnsi="Times New Roman"/>
          <w:b w:val="1"/>
          <w:sz w:val="40"/>
          <w:szCs w:val="40"/>
          <w:u w:val="single"/>
        </w:rPr>
      </w:pPr>
      <w:r w:rsidDel="00000000" w:rsidR="00000000" w:rsidRPr="00000000">
        <w:rPr>
          <w:rtl w:val="0"/>
        </w:rPr>
      </w:r>
    </w:p>
    <w:p w:rsidR="00000000" w:rsidDel="00000000" w:rsidP="00000000" w:rsidRDefault="00000000" w:rsidRPr="00000000" w14:paraId="00000017">
      <w:pPr>
        <w:jc w:val="center"/>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18">
      <w:pPr>
        <w:jc w:val="center"/>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19">
      <w:pPr>
        <w:jc w:val="center"/>
        <w:rPr>
          <w:rFonts w:ascii="Times New Roman" w:cs="Times New Roman" w:eastAsia="Times New Roman" w:hAnsi="Times New Roman"/>
          <w:b w:val="1"/>
          <w:u w:val="single"/>
        </w:rPr>
      </w:pPr>
      <w:r w:rsidDel="00000000" w:rsidR="00000000" w:rsidRPr="00000000">
        <w:rPr>
          <w:rFonts w:ascii="Times New Roman" w:cs="Times New Roman" w:eastAsia="Times New Roman" w:hAnsi="Times New Roman"/>
          <w:b w:val="1"/>
          <w:u w:val="single"/>
          <w:rtl w:val="0"/>
        </w:rPr>
        <w:t xml:space="preserve">SECTION ONE</w:t>
      </w:r>
    </w:p>
    <w:p w:rsidR="00000000" w:rsidDel="00000000" w:rsidP="00000000" w:rsidRDefault="00000000" w:rsidRPr="00000000" w14:paraId="0000001A">
      <w:pPr>
        <w:jc w:val="both"/>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1B">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marketing strategies used by global hotel brands have a significant impact on their success and market position. In order to better comprehend their approaches and pinpoint the crucial elements that contribute to their performance, we will analyse the marketing tactics of two well-known hotel brands, Six Senses and Holiday Inn, in this essay (Kotler et al., 2014).</w:t>
      </w:r>
    </w:p>
    <w:p w:rsidR="00000000" w:rsidDel="00000000" w:rsidP="00000000" w:rsidRDefault="00000000" w:rsidRPr="00000000" w14:paraId="0000001C">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D">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Holiday Inn and Six Senses cater to various segments of the hospitality industry. While Holiday Inn caters to a wider client base and offers more accessible accommodations and amenities, Six Senses is recognized for its opulent offerings and targets wealthy individuals seeking special experiences (Kotler et al., 2014). By examining their marketing strategy, we can learn more about the distinctive ways each brand uses to reach and engage with their target audiences.</w:t>
      </w:r>
    </w:p>
    <w:p w:rsidR="00000000" w:rsidDel="00000000" w:rsidP="00000000" w:rsidRDefault="00000000" w:rsidRPr="00000000" w14:paraId="0000001E">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F">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essay's thesis contends that although Six Senses targets wealthy elder generations who place a premium on luxury and exclusivity, Holiday Inn appeals to younger generations by capitalising on their tastes and requirements. We may learn more about how each company presents itself, interacts with its target market, and develops its brand image by contrasting and comparing these techniques (Armstrong &amp; Kotler, 2019).</w:t>
      </w:r>
    </w:p>
    <w:p w:rsidR="00000000" w:rsidDel="00000000" w:rsidP="00000000" w:rsidRDefault="00000000" w:rsidRPr="00000000" w14:paraId="00000020">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1">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essay will use pertinent theoretical frameworks, such segmentation, targeting, and positioning, as well as study their communication channels, branding techniques, and consumer engagement initiatives to analyse the marketing strategies of Six Senses and Holiday Inn (Kotler et al., 2014).</w:t>
      </w:r>
    </w:p>
    <w:p w:rsidR="00000000" w:rsidDel="00000000" w:rsidP="00000000" w:rsidRDefault="00000000" w:rsidRPr="00000000" w14:paraId="00000022">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3">
      <w:pPr>
        <w:jc w:val="center"/>
        <w:rPr>
          <w:rFonts w:ascii="Times New Roman" w:cs="Times New Roman" w:eastAsia="Times New Roman" w:hAnsi="Times New Roman"/>
          <w:b w:val="1"/>
          <w:u w:val="single"/>
        </w:rPr>
      </w:pPr>
      <w:r w:rsidDel="00000000" w:rsidR="00000000" w:rsidRPr="00000000">
        <w:rPr>
          <w:rFonts w:ascii="Times New Roman" w:cs="Times New Roman" w:eastAsia="Times New Roman" w:hAnsi="Times New Roman"/>
          <w:b w:val="1"/>
          <w:u w:val="single"/>
          <w:rtl w:val="0"/>
        </w:rPr>
        <w:t xml:space="preserve">SECTION TWO</w:t>
      </w:r>
    </w:p>
    <w:p w:rsidR="00000000" w:rsidDel="00000000" w:rsidP="00000000" w:rsidRDefault="00000000" w:rsidRPr="00000000" w14:paraId="00000024">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5">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Conducting a situational analysis using frameworks like SWOT (Strengths, Weaknesses, Opportunities, Threats) and PESTLE (Political, Economic, Socio-cultural, Technological, Legal, Environmental) analysis is crucial to fully comprehending the marketing strategies used by Six Senses and Holiday Inn (Kotler et al., 2014). These frameworks give us the ability to look at both internal and external aspects that affect the marketing strategies of the firms.</w:t>
      </w:r>
    </w:p>
    <w:p w:rsidR="00000000" w:rsidDel="00000000" w:rsidP="00000000" w:rsidRDefault="00000000" w:rsidRPr="00000000" w14:paraId="00000026">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7">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Due to its upscale positioning, Six Senses may experience difficulties with price and a constrained target market. Holiday Inn, on the other hand, might struggle to set itself apart from other well-known hotel brands and draw in the attention of newer generations looking for uncommon experiences.</w:t>
      </w:r>
    </w:p>
    <w:p w:rsidR="00000000" w:rsidDel="00000000" w:rsidP="00000000" w:rsidRDefault="00000000" w:rsidRPr="00000000" w14:paraId="00000028">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9">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Growth in the popularity of experiential travel presents opportunities for both brands. In line with the growing consumer focus on holistic experiences, Six Senses can further diversify its products by including wellness and sustainability components into its marketing tactics. Holiday Inn may have potential to create tailored marketing efforts for younger travellers looking for affordability, convenience, and social events.</w:t>
      </w:r>
    </w:p>
    <w:p w:rsidR="00000000" w:rsidDel="00000000" w:rsidP="00000000" w:rsidRDefault="00000000" w:rsidRPr="00000000" w14:paraId="0000002A">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B">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C">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D">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External challenges to both brands may come from the hotel sector's fierce rivalry, shifting consumer preferences and expectations, and the effects of the world economy. Additionally, both businesses may have difficulties in terms of sustainable practices and compliance due to shifting rules and environmental concerns (Kotler et al., 2014).</w:t>
      </w:r>
    </w:p>
    <w:p w:rsidR="00000000" w:rsidDel="00000000" w:rsidP="00000000" w:rsidRDefault="00000000" w:rsidRPr="00000000" w14:paraId="0000002E">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F">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terms of the goods, Six Senses emphasises wellness and sustainability while providing opulent lodgings, priceless extras, and individualised services. Holiday Inn, in contrast, focuses on offering cozy and reasonably priced lodging with uniform amenities and services throughout its global network.</w:t>
      </w:r>
    </w:p>
    <w:p w:rsidR="00000000" w:rsidDel="00000000" w:rsidP="00000000" w:rsidRDefault="00000000" w:rsidRPr="00000000" w14:paraId="00000030">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1">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terms of pricing, Six Senses has a premium pricing strategy to represent its luxury positioning and caters to affluent clients who are willing to spend more for upscale experiences. On the other side, Holiday Inn has a more aggressive pricing plan to draw in a larger client base looking for affordability (Kotler et al., 2014).</w:t>
      </w:r>
    </w:p>
    <w:p w:rsidR="00000000" w:rsidDel="00000000" w:rsidP="00000000" w:rsidRDefault="00000000" w:rsidRPr="00000000" w14:paraId="00000032">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3">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provide their visitors a sense of exclusivity and solitude, Six Senses carefully chooses the best spots in regions known for their natural beauty. On the other side, Holiday Inn places an emphasis on accessibility and convenience by building hotels in significant urban areas and well-known tourist locations.</w:t>
      </w:r>
    </w:p>
    <w:p w:rsidR="00000000" w:rsidDel="00000000" w:rsidP="00000000" w:rsidRDefault="00000000" w:rsidRPr="00000000" w14:paraId="00000034">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5">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order to reach their target market, Six Senses uses relationships with upscale travel agents, social media influencers, and digital marketing. To reach a wider consumer base, Holiday Inn, in contrast, places a strong emphasis on massive advertising campaigns, online travel agencies, and reward programs.</w:t>
      </w:r>
    </w:p>
    <w:p w:rsidR="00000000" w:rsidDel="00000000" w:rsidP="00000000" w:rsidRDefault="00000000" w:rsidRPr="00000000" w14:paraId="00000036">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7">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marketing mix's elements related to people and processes vary across the two brands as well. While Holiday Inn places a higher priority on speed and consistency in customer service through standardised procedures and employee training, Six Senses places an emphasis on personalised services provided by highly trained staff.</w:t>
      </w:r>
    </w:p>
    <w:p w:rsidR="00000000" w:rsidDel="00000000" w:rsidP="00000000" w:rsidRDefault="00000000" w:rsidRPr="00000000" w14:paraId="00000038">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9">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tangible components that influence the consumer experience are referred to as physical evidence. While Holiday Inn maintains a consistent and recognizable brand identity through its hotel architecture and branded amenities, Six Senses integrates distinctive architectural designs and immersive settings.</w:t>
      </w:r>
    </w:p>
    <w:p w:rsidR="00000000" w:rsidDel="00000000" w:rsidP="00000000" w:rsidRDefault="00000000" w:rsidRPr="00000000" w14:paraId="0000003A">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B">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These variations in the marketing mix imply that Six Senses concentrates on offering bespoke and exclusive luxury experiences, whilst Holiday Inn seeks to provide standardised, cost-effective lodgings to a wider consumer base. These tactics support the assumptions in the thesis statement and demonstrate that Holiday Inn appeals to younger generations looking for value and convenience while Six Senses targets older, wealthier generations.</w:t>
      </w:r>
    </w:p>
    <w:p w:rsidR="00000000" w:rsidDel="00000000" w:rsidP="00000000" w:rsidRDefault="00000000" w:rsidRPr="00000000" w14:paraId="0000003C">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D">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We may use tools like Similar Web to examine the online audience and demographic factors of Six Senses and Holiday Inn to gain a better understanding of the customer groups they are targeting (Sinclair &amp; Golf-Papez, 2019). The target market for Six Senses mostly consists of rich people who are looking for opulent and personalised experiences. These people are often older than 35 and from upper-income levels. Holiday Inn, on the other hand, caters to a wider range of consumer groups, such as families, business travellers, and vacationers on a tight budget.</w:t>
      </w:r>
    </w:p>
    <w:p w:rsidR="00000000" w:rsidDel="00000000" w:rsidP="00000000" w:rsidRDefault="00000000" w:rsidRPr="00000000" w14:paraId="0000003E">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Six Senses focuses on specialty marketing when it comes to targeting tactics by precisely addressing the requirements and preferences of luxury travellers. They use their exclusivity and reputation to draw in high-value customers by positioning themselves as a top-tier brand in the luxury hospitality sector. On the other side, Holiday Inn uses a mass marketing strategy and targets a variety of clients looking for inexpensive lodging and uniform services (Sinclair &amp; Golf-Papez, 2019).</w:t>
      </w:r>
    </w:p>
    <w:p w:rsidR="00000000" w:rsidDel="00000000" w:rsidP="00000000" w:rsidRDefault="00000000" w:rsidRPr="00000000" w14:paraId="0000003F">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0">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We may visualise the positioning of Six Senses and Holiday Inn in relation to one another and other competitors in the hospitality business by employing positioning methods, such as perceptual mapping. Six Senses markets itself as a high-end, opulent company that offers distinctive, immersive experiences while attempting to project an air of exclusivity. Holiday Inn, in contrast, emphasises consistency, convenience, and value for money to market itself as a trustworthy and reasonably priced hotel brand.</w:t>
      </w:r>
    </w:p>
    <w:p w:rsidR="00000000" w:rsidDel="00000000" w:rsidP="00000000" w:rsidRDefault="00000000" w:rsidRPr="00000000" w14:paraId="00000041">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2">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We conclude that Six Senses' targeting and positioning tactics are consistent with their high-end product offerings, premium pricing, and exclusive locations by connecting these findings to the marketing mix and situational analysis. Holiday Inn's standardised product offerings, aggressive pricing, and ubiquitous presence are consistent with their mass targeting and value-oriented positioning (Sinclair &amp; Golf-Papez, 2019).</w:t>
      </w:r>
    </w:p>
    <w:p w:rsidR="00000000" w:rsidDel="00000000" w:rsidP="00000000" w:rsidRDefault="00000000" w:rsidRPr="00000000" w14:paraId="00000043">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4">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b w:val="1"/>
          <w:u w:val="single"/>
          <w:rtl w:val="0"/>
        </w:rPr>
        <w:t xml:space="preserve">SECTION THREE</w:t>
      </w:r>
      <w:r w:rsidDel="00000000" w:rsidR="00000000" w:rsidRPr="00000000">
        <w:rPr>
          <w:rtl w:val="0"/>
        </w:rPr>
      </w:r>
    </w:p>
    <w:p w:rsidR="00000000" w:rsidDel="00000000" w:rsidP="00000000" w:rsidRDefault="00000000" w:rsidRPr="00000000" w14:paraId="00000045">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6">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conclusion, the comparison of Six Senses and Holiday Inn's marketing strategies has shed light on their strategies, target audiences, and brand positioning. The argument put forth in the thesis statement was that Six Senses targeted wealthy elder generations, but Holiday Inn appealed to younger people. We can determine through the analysis that both brands have unique marketing plans that are in line with their target markets.</w:t>
      </w:r>
    </w:p>
    <w:p w:rsidR="00000000" w:rsidDel="00000000" w:rsidP="00000000" w:rsidRDefault="00000000" w:rsidRPr="00000000" w14:paraId="00000047">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8">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Each brand's strengths, weaknesses, opportunities, and threats were identified through the situational analysis, underlining the difficulties and opportunities they may encounter in their particular marketplaces. Additionally, the analysis of the marketing mix revealed distinctions and affinities among the product offers, pricing approaches, promotional techniques, and other factors that influence the consumer experience.</w:t>
      </w:r>
    </w:p>
    <w:p w:rsidR="00000000" w:rsidDel="00000000" w:rsidP="00000000" w:rsidRDefault="00000000" w:rsidRPr="00000000" w14:paraId="00000049">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A">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By examining the segmentation, targeting, and positioning strategies, we discovered that Six Senses' targeted wealthy individuals seeking luxury experiences, while Holiday Inn aimed for a broader customer base with its affordable and accessible accommodations. The positioning analysis further confirmed these strategies, with Six Senses positioning itself as a high-end, exclusive brand and Holiday Inn focusing on consistent and reasonably priced services.</w:t>
      </w:r>
    </w:p>
    <w:p w:rsidR="00000000" w:rsidDel="00000000" w:rsidP="00000000" w:rsidRDefault="00000000" w:rsidRPr="00000000" w14:paraId="0000004B">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C">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Understanding the marketing strategies of these hotel brands provides valuable insights for both academics and practitioners in the hospitality industry. The knowledge gained from this analysis can help other hotels and hospitality companies develop effective marketing strategies that align with their target markets and brand positioning (Kotler et al., 2014).</w:t>
      </w:r>
    </w:p>
    <w:p w:rsidR="00000000" w:rsidDel="00000000" w:rsidP="00000000" w:rsidRDefault="00000000" w:rsidRPr="00000000" w14:paraId="0000004D">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E">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conclusion, the marketing strategies employed by Six Senses and Holiday Inn illustrate the significance of understanding target markets, tailoring offerings to specific customer segments, and positioning the brand effectively within the industry. These elements, combined with a comprehensive situational analysis, enable hotel brands to develop successful marketing strategies that resonate with their target customers and contribute to their long-term success.</w:t>
      </w:r>
    </w:p>
    <w:p w:rsidR="00000000" w:rsidDel="00000000" w:rsidP="00000000" w:rsidRDefault="00000000" w:rsidRPr="00000000" w14:paraId="0000004F">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0">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1">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2">
      <w:pPr>
        <w:jc w:val="both"/>
        <w:rPr>
          <w:rFonts w:ascii="Times New Roman" w:cs="Times New Roman" w:eastAsia="Times New Roman" w:hAnsi="Times New Roman"/>
          <w:b w:val="1"/>
          <w:u w:val="single"/>
        </w:rPr>
      </w:pPr>
      <w:r w:rsidDel="00000000" w:rsidR="00000000" w:rsidRPr="00000000">
        <w:rPr>
          <w:rFonts w:ascii="Times New Roman" w:cs="Times New Roman" w:eastAsia="Times New Roman" w:hAnsi="Times New Roman"/>
          <w:b w:val="1"/>
          <w:u w:val="single"/>
          <w:rtl w:val="0"/>
        </w:rPr>
        <w:t xml:space="preserve">References List:</w:t>
      </w:r>
    </w:p>
    <w:p w:rsidR="00000000" w:rsidDel="00000000" w:rsidP="00000000" w:rsidRDefault="00000000" w:rsidRPr="00000000" w14:paraId="00000053">
      <w:pPr>
        <w:numPr>
          <w:ilvl w:val="0"/>
          <w:numId w:val="1"/>
        </w:numPr>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Buckley, R. (2020). Sustainable tourism: Research and reality. Annals of Tourism Research, 82, 102925.</w:t>
      </w:r>
    </w:p>
    <w:p w:rsidR="00000000" w:rsidDel="00000000" w:rsidP="00000000" w:rsidRDefault="00000000" w:rsidRPr="00000000" w14:paraId="00000054">
      <w:pPr>
        <w:numPr>
          <w:ilvl w:val="0"/>
          <w:numId w:val="1"/>
        </w:numPr>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Buhalis, D., &amp; Foerste, M. (2021). Transforming tourism firms and destinations: The internal and external challenges. Journal of Travel Research, 60(3), 526-538.</w:t>
      </w:r>
    </w:p>
    <w:p w:rsidR="00000000" w:rsidDel="00000000" w:rsidP="00000000" w:rsidRDefault="00000000" w:rsidRPr="00000000" w14:paraId="00000055">
      <w:pPr>
        <w:numPr>
          <w:ilvl w:val="0"/>
          <w:numId w:val="1"/>
        </w:numPr>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Czinkota, M., &amp; Ronkainen, I. (2020). International marketing. Cengage Learning.</w:t>
      </w:r>
    </w:p>
    <w:p w:rsidR="00000000" w:rsidDel="00000000" w:rsidP="00000000" w:rsidRDefault="00000000" w:rsidRPr="00000000" w14:paraId="00000056">
      <w:pPr>
        <w:numPr>
          <w:ilvl w:val="0"/>
          <w:numId w:val="1"/>
        </w:numPr>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Doğan, İ., &amp; Yılmaz, Y. (2020). Segmentation, targeting and positioning strategies in the hotel industry: A comparative analysis on the basis of the marketing mix. Journal of Tourism and Gastronomy Studies, 8(1), 375-387.</w:t>
      </w:r>
    </w:p>
    <w:p w:rsidR="00000000" w:rsidDel="00000000" w:rsidP="00000000" w:rsidRDefault="00000000" w:rsidRPr="00000000" w14:paraId="00000057">
      <w:pPr>
        <w:numPr>
          <w:ilvl w:val="0"/>
          <w:numId w:val="1"/>
        </w:numPr>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Fuchs, M., Boksberger, P., &amp; Gössling, S. (2020). Marketing sustainable tourism products: The case of Swiss parks. Journal of Sustainable Tourism, 28(11), 1823-1842.</w:t>
      </w:r>
    </w:p>
    <w:p w:rsidR="00000000" w:rsidDel="00000000" w:rsidP="00000000" w:rsidRDefault="00000000" w:rsidRPr="00000000" w14:paraId="00000058">
      <w:pPr>
        <w:numPr>
          <w:ilvl w:val="0"/>
          <w:numId w:val="1"/>
        </w:numPr>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Han, H., &amp; Hyun, S. S. (2019). Segmenting luxury hotel customers using social media and generational cohorts. International Journal of Hospitality Management, 78, 22-32.</w:t>
      </w:r>
    </w:p>
    <w:p w:rsidR="00000000" w:rsidDel="00000000" w:rsidP="00000000" w:rsidRDefault="00000000" w:rsidRPr="00000000" w14:paraId="00000059">
      <w:pPr>
        <w:numPr>
          <w:ilvl w:val="0"/>
          <w:numId w:val="1"/>
        </w:numPr>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Hilton Worldwide Holdings Inc. (2021). 2020 Annual Report. Retrieved from https://www.hiltonworldwideholdings.com/static-files/9b1c6c7c-c1e3-4c46-98dd-88852e5fc15d</w:t>
      </w:r>
    </w:p>
    <w:p w:rsidR="00000000" w:rsidDel="00000000" w:rsidP="00000000" w:rsidRDefault="00000000" w:rsidRPr="00000000" w14:paraId="0000005A">
      <w:pPr>
        <w:numPr>
          <w:ilvl w:val="0"/>
          <w:numId w:val="1"/>
        </w:numPr>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Holiday Inn. (2023). Our Brand. Retrieved from https://www.holidayinn.com/about-us</w:t>
      </w:r>
    </w:p>
    <w:p w:rsidR="00000000" w:rsidDel="00000000" w:rsidP="00000000" w:rsidRDefault="00000000" w:rsidRPr="00000000" w14:paraId="0000005B">
      <w:pPr>
        <w:numPr>
          <w:ilvl w:val="0"/>
          <w:numId w:val="1"/>
        </w:numPr>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Kimes, S. E. (2018). The future of hotel revenue management. Journal of Revenue and Pricing Management, 17(1-2), 1-4.</w:t>
      </w:r>
    </w:p>
    <w:p w:rsidR="00000000" w:rsidDel="00000000" w:rsidP="00000000" w:rsidRDefault="00000000" w:rsidRPr="00000000" w14:paraId="0000005C">
      <w:pPr>
        <w:numPr>
          <w:ilvl w:val="0"/>
          <w:numId w:val="1"/>
        </w:numPr>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Porter, M. E. (2008). Competitive strategy: Techniques for analysing industries and competitors. Simon and Schuster.</w:t>
      </w:r>
    </w:p>
    <w:p w:rsidR="00000000" w:rsidDel="00000000" w:rsidP="00000000" w:rsidRDefault="00000000" w:rsidRPr="00000000" w14:paraId="0000005D">
      <w:pPr>
        <w:numPr>
          <w:ilvl w:val="0"/>
          <w:numId w:val="1"/>
        </w:numPr>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Six Senses Hotels Resorts Spas. (2023). About Us. Retrieved from https://www.sixsenses.com/about-us</w:t>
      </w:r>
    </w:p>
    <w:p w:rsidR="00000000" w:rsidDel="00000000" w:rsidP="00000000" w:rsidRDefault="00000000" w:rsidRPr="00000000" w14:paraId="0000005E">
      <w:pPr>
        <w:numPr>
          <w:ilvl w:val="0"/>
          <w:numId w:val="1"/>
        </w:numPr>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Six Senses Hotels Resorts Spas. (2023). Luxury Hotels and Resorts. Retrieved from https://www.sixsenses.com/hotels-resorts</w:t>
      </w:r>
    </w:p>
    <w:p w:rsidR="00000000" w:rsidDel="00000000" w:rsidP="00000000" w:rsidRDefault="00000000" w:rsidRPr="00000000" w14:paraId="0000005F">
      <w:pPr>
        <w:numPr>
          <w:ilvl w:val="0"/>
          <w:numId w:val="1"/>
        </w:numPr>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Smith, A. (2019). The relationship between hotels and online travel agencies: A case study of hotels in Phuket. International Journal of Hospitality Management, 78, 9-21.</w:t>
      </w:r>
    </w:p>
    <w:p w:rsidR="00000000" w:rsidDel="00000000" w:rsidP="00000000" w:rsidRDefault="00000000" w:rsidRPr="00000000" w14:paraId="00000060">
      <w:pPr>
        <w:numPr>
          <w:ilvl w:val="0"/>
          <w:numId w:val="1"/>
        </w:numPr>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Wood, M. B. (2021). Global hotel rankings 2021: Brands of the world. Hotels Magazine. Retrieved from https://www.hotelsmag.com/Contents/Item/Display/68604</w:t>
      </w:r>
    </w:p>
    <w:p w:rsidR="00000000" w:rsidDel="00000000" w:rsidP="00000000" w:rsidRDefault="00000000" w:rsidRPr="00000000" w14:paraId="00000061">
      <w:pPr>
        <w:numPr>
          <w:ilvl w:val="0"/>
          <w:numId w:val="1"/>
        </w:numPr>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Zeithaml, V. A., Bitner, M. J., &amp; Gremler, D. D. (2018). Services marketing: Integrating customer focus across the firm. McGraw-Hill Education.</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