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D01C0" w14:textId="3461C6FB" w:rsidR="00B84B43" w:rsidRDefault="55934B3A" w:rsidP="0B1B525F">
      <w:pPr>
        <w:spacing w:line="278" w:lineRule="auto"/>
        <w:jc w:val="center"/>
        <w:rPr>
          <w:rFonts w:ascii="Arial Nova" w:eastAsia="Arial Nova" w:hAnsi="Arial Nova" w:cs="Arial Nova"/>
          <w:color w:val="000000" w:themeColor="text1"/>
        </w:rPr>
      </w:pPr>
      <w:r>
        <w:rPr>
          <w:noProof/>
        </w:rPr>
        <w:drawing>
          <wp:inline distT="0" distB="0" distL="0" distR="0" wp14:anchorId="1131A951" wp14:editId="22C2E354">
            <wp:extent cx="3209925" cy="1428750"/>
            <wp:effectExtent l="0" t="0" r="0" b="0"/>
            <wp:docPr id="18933512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51285" name="Picture 1893351285"/>
                    <pic:cNvPicPr/>
                  </pic:nvPicPr>
                  <pic:blipFill>
                    <a:blip r:embed="rId7">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33E1F599" w14:textId="6881BAF0" w:rsidR="00B84B43" w:rsidRDefault="55934B3A" w:rsidP="0B1B525F">
      <w:pPr>
        <w:spacing w:line="278" w:lineRule="auto"/>
        <w:jc w:val="center"/>
        <w:rPr>
          <w:rFonts w:ascii="Arial Nova" w:eastAsia="Arial Nova" w:hAnsi="Arial Nova" w:cs="Arial Nova"/>
          <w:color w:val="000000" w:themeColor="text1"/>
        </w:rPr>
      </w:pPr>
      <w:r w:rsidRPr="0B1B525F">
        <w:rPr>
          <w:rFonts w:ascii="Arial Nova" w:eastAsia="Arial Nova" w:hAnsi="Arial Nova" w:cs="Arial Nova"/>
          <w:color w:val="000000" w:themeColor="text1"/>
        </w:rPr>
        <w:t xml:space="preserve"> </w:t>
      </w:r>
    </w:p>
    <w:p w14:paraId="5AF97546" w14:textId="6F99A161" w:rsidR="00B84B43" w:rsidRDefault="55934B3A" w:rsidP="0B1B525F">
      <w:pPr>
        <w:spacing w:line="278" w:lineRule="auto"/>
        <w:jc w:val="center"/>
        <w:rPr>
          <w:rFonts w:ascii="Arial Nova" w:eastAsia="Arial Nova" w:hAnsi="Arial Nova" w:cs="Arial Nova"/>
          <w:color w:val="000000" w:themeColor="text1"/>
          <w:sz w:val="72"/>
          <w:szCs w:val="72"/>
        </w:rPr>
      </w:pPr>
      <w:r w:rsidRPr="0B1B525F">
        <w:rPr>
          <w:rFonts w:ascii="Arial Nova" w:eastAsia="Arial Nova" w:hAnsi="Arial Nova" w:cs="Arial Nova"/>
          <w:color w:val="000000" w:themeColor="text1"/>
          <w:sz w:val="72"/>
          <w:szCs w:val="72"/>
        </w:rPr>
        <w:t>Cover Page</w:t>
      </w:r>
    </w:p>
    <w:p w14:paraId="7CDF1DA8" w14:textId="34F00E2E" w:rsidR="00B84B43" w:rsidRDefault="00B84B43" w:rsidP="0B1B525F">
      <w:pPr>
        <w:rPr>
          <w:rFonts w:ascii="Arial Nova" w:eastAsia="Arial Nova" w:hAnsi="Arial Nova" w:cs="Arial Nova"/>
          <w:color w:val="000000" w:themeColor="text1"/>
        </w:rPr>
      </w:pPr>
    </w:p>
    <w:p w14:paraId="62BDE334" w14:textId="1EEB80CF" w:rsidR="00B84B43" w:rsidRDefault="00B84B43" w:rsidP="0B1B525F">
      <w:pPr>
        <w:rPr>
          <w:rFonts w:ascii="Arial Nova" w:eastAsia="Arial Nova" w:hAnsi="Arial Nova" w:cs="Arial Nova"/>
          <w:color w:val="000000" w:themeColor="text1"/>
        </w:rPr>
      </w:pPr>
    </w:p>
    <w:p w14:paraId="767A6321" w14:textId="13C17FA4" w:rsidR="00B84B43" w:rsidRDefault="55934B3A" w:rsidP="0B1B525F">
      <w:pPr>
        <w:rPr>
          <w:rFonts w:ascii="Aptos" w:eastAsia="Aptos" w:hAnsi="Aptos" w:cs="Aptos"/>
          <w:color w:val="000000" w:themeColor="text1"/>
        </w:rPr>
      </w:pPr>
      <w:r w:rsidRPr="0B1B525F">
        <w:rPr>
          <w:rFonts w:ascii="Aptos" w:eastAsia="Aptos" w:hAnsi="Aptos" w:cs="Aptos"/>
          <w:b/>
          <w:bCs/>
          <w:color w:val="000000" w:themeColor="text1"/>
        </w:rPr>
        <w:t>BMHP5014 Changemakers: Creativity and Value Creation</w:t>
      </w:r>
    </w:p>
    <w:p w14:paraId="124601AF" w14:textId="094ED397" w:rsidR="00B84B43" w:rsidRDefault="55934B3A" w:rsidP="0B1B525F">
      <w:pPr>
        <w:rPr>
          <w:rFonts w:ascii="Aptos" w:eastAsia="Aptos" w:hAnsi="Aptos" w:cs="Aptos"/>
          <w:color w:val="000000" w:themeColor="text1"/>
        </w:rPr>
      </w:pPr>
      <w:r w:rsidRPr="0B1B525F">
        <w:rPr>
          <w:rFonts w:ascii="Aptos" w:eastAsia="Aptos" w:hAnsi="Aptos" w:cs="Aptos"/>
          <w:b/>
          <w:bCs/>
          <w:color w:val="000000" w:themeColor="text1"/>
        </w:rPr>
        <w:t>Component 2 – Academic Poster &amp; Written Pitch</w:t>
      </w:r>
    </w:p>
    <w:p w14:paraId="3A004A2E" w14:textId="3CE60CF6" w:rsidR="00B84B43" w:rsidRDefault="55934B3A" w:rsidP="0B1B525F">
      <w:pPr>
        <w:rPr>
          <w:rFonts w:ascii="Aptos" w:eastAsia="Aptos" w:hAnsi="Aptos" w:cs="Aptos"/>
          <w:color w:val="000000" w:themeColor="text1"/>
        </w:rPr>
      </w:pPr>
      <w:r w:rsidRPr="0B1B525F">
        <w:rPr>
          <w:rFonts w:ascii="Aptos" w:eastAsia="Aptos" w:hAnsi="Aptos" w:cs="Aptos"/>
          <w:b/>
          <w:bCs/>
          <w:color w:val="000000" w:themeColor="text1"/>
        </w:rPr>
        <w:t>Name</w:t>
      </w:r>
      <w:r w:rsidRPr="0B1B525F">
        <w:rPr>
          <w:rFonts w:ascii="Aptos" w:eastAsia="Aptos" w:hAnsi="Aptos" w:cs="Aptos"/>
          <w:color w:val="000000" w:themeColor="text1"/>
        </w:rPr>
        <w:t xml:space="preserve">: Joan Miller </w:t>
      </w:r>
    </w:p>
    <w:p w14:paraId="4CE51286" w14:textId="495194EB" w:rsidR="00B84B43" w:rsidRDefault="55934B3A" w:rsidP="694269BF">
      <w:pPr>
        <w:rPr>
          <w:rFonts w:ascii="Aptos" w:eastAsia="Aptos" w:hAnsi="Aptos" w:cs="Aptos"/>
          <w:color w:val="000000" w:themeColor="text1"/>
        </w:rPr>
      </w:pPr>
      <w:r w:rsidRPr="694269BF">
        <w:rPr>
          <w:rFonts w:ascii="Aptos" w:eastAsia="Aptos" w:hAnsi="Aptos" w:cs="Aptos"/>
          <w:b/>
          <w:bCs/>
          <w:color w:val="000000" w:themeColor="text1"/>
        </w:rPr>
        <w:t>Student number</w:t>
      </w:r>
      <w:proofErr w:type="gramStart"/>
      <w:r w:rsidRPr="694269BF">
        <w:rPr>
          <w:rFonts w:ascii="Aptos" w:eastAsia="Aptos" w:hAnsi="Aptos" w:cs="Aptos"/>
          <w:b/>
          <w:bCs/>
          <w:color w:val="000000" w:themeColor="text1"/>
        </w:rPr>
        <w:t>:</w:t>
      </w:r>
      <w:r w:rsidRPr="694269BF">
        <w:rPr>
          <w:rFonts w:ascii="Aptos" w:eastAsia="Aptos" w:hAnsi="Aptos" w:cs="Aptos"/>
          <w:color w:val="000000" w:themeColor="text1"/>
        </w:rPr>
        <w:t xml:space="preserve">  </w:t>
      </w:r>
      <w:r w:rsidR="67D6EE65" w:rsidRPr="694269BF">
        <w:rPr>
          <w:rFonts w:ascii="Aptos" w:eastAsia="Aptos" w:hAnsi="Aptos" w:cs="Aptos"/>
          <w:color w:val="000000" w:themeColor="text1"/>
        </w:rPr>
        <w:t>Danni</w:t>
      </w:r>
      <w:proofErr w:type="gramEnd"/>
      <w:r w:rsidR="67D6EE65" w:rsidRPr="694269BF">
        <w:rPr>
          <w:rFonts w:ascii="Aptos" w:eastAsia="Aptos" w:hAnsi="Aptos" w:cs="Aptos"/>
          <w:color w:val="000000" w:themeColor="text1"/>
        </w:rPr>
        <w:t xml:space="preserve"> Dunne</w:t>
      </w:r>
    </w:p>
    <w:p w14:paraId="228168E2" w14:textId="14BF74AC" w:rsidR="00B84B43" w:rsidRDefault="00B84B43" w:rsidP="0B1B525F">
      <w:pPr>
        <w:rPr>
          <w:rFonts w:ascii="Aptos" w:eastAsia="Aptos" w:hAnsi="Aptos" w:cs="Aptos"/>
          <w:color w:val="000000" w:themeColor="text1"/>
        </w:rPr>
      </w:pPr>
    </w:p>
    <w:p w14:paraId="1B9AF259" w14:textId="78EF3B1F" w:rsidR="00B84B43" w:rsidRDefault="00B84B43" w:rsidP="0B1B525F">
      <w:pPr>
        <w:rPr>
          <w:rFonts w:ascii="Aptos" w:eastAsia="Aptos" w:hAnsi="Aptos" w:cs="Aptos"/>
          <w:color w:val="000000" w:themeColor="text1"/>
        </w:rPr>
      </w:pPr>
    </w:p>
    <w:p w14:paraId="10A07C8D" w14:textId="7F7C89AA" w:rsidR="00B84B43" w:rsidRDefault="00B84B43" w:rsidP="0B1B525F">
      <w:pPr>
        <w:rPr>
          <w:rFonts w:ascii="Aptos" w:eastAsia="Aptos" w:hAnsi="Aptos" w:cs="Aptos"/>
          <w:color w:val="000000" w:themeColor="text1"/>
        </w:rPr>
      </w:pPr>
    </w:p>
    <w:p w14:paraId="406FBE34" w14:textId="3E41F3D9" w:rsidR="00B84B43" w:rsidRDefault="00B84B43" w:rsidP="0B1B525F">
      <w:pPr>
        <w:rPr>
          <w:rFonts w:ascii="Aptos" w:eastAsia="Aptos" w:hAnsi="Aptos" w:cs="Aptos"/>
          <w:color w:val="000000" w:themeColor="text1"/>
        </w:rPr>
      </w:pPr>
    </w:p>
    <w:p w14:paraId="5C1A68CC" w14:textId="0CF6CCB1" w:rsidR="00B84B43" w:rsidRDefault="00B84B43" w:rsidP="0B1B525F">
      <w:pPr>
        <w:rPr>
          <w:rFonts w:ascii="Aptos" w:eastAsia="Aptos" w:hAnsi="Aptos" w:cs="Aptos"/>
          <w:color w:val="000000" w:themeColor="text1"/>
        </w:rPr>
      </w:pPr>
    </w:p>
    <w:p w14:paraId="210D6FA2" w14:textId="3D4FAD61" w:rsidR="00B84B43" w:rsidRDefault="00B84B43" w:rsidP="0B1B525F">
      <w:pPr>
        <w:rPr>
          <w:rFonts w:ascii="Aptos" w:eastAsia="Aptos" w:hAnsi="Aptos" w:cs="Aptos"/>
          <w:color w:val="000000" w:themeColor="text1"/>
        </w:rPr>
      </w:pPr>
    </w:p>
    <w:p w14:paraId="4B838C1E" w14:textId="4799C1DA" w:rsidR="00B84B43" w:rsidRDefault="00B84B43" w:rsidP="0B1B525F">
      <w:pPr>
        <w:rPr>
          <w:rFonts w:ascii="Aptos" w:eastAsia="Aptos" w:hAnsi="Aptos" w:cs="Aptos"/>
          <w:color w:val="000000" w:themeColor="text1"/>
        </w:rPr>
      </w:pPr>
    </w:p>
    <w:p w14:paraId="2253E2D2" w14:textId="483D1A15" w:rsidR="00B84B43" w:rsidRDefault="00000000">
      <w:r>
        <w:br w:type="page"/>
      </w:r>
    </w:p>
    <w:p w14:paraId="4B7C672F" w14:textId="15EB4A9F" w:rsidR="115099C9" w:rsidRDefault="115099C9" w:rsidP="694269BF">
      <w:pPr>
        <w:spacing w:line="360" w:lineRule="auto"/>
        <w:rPr>
          <w:rFonts w:ascii="Arial" w:eastAsia="Arial" w:hAnsi="Arial" w:cs="Arial"/>
          <w:b/>
          <w:bCs/>
          <w:color w:val="000000" w:themeColor="text1"/>
        </w:rPr>
      </w:pPr>
      <w:r w:rsidRPr="694269BF">
        <w:rPr>
          <w:rFonts w:ascii="Arial" w:eastAsia="Arial" w:hAnsi="Arial" w:cs="Arial"/>
          <w:b/>
          <w:bCs/>
          <w:color w:val="000000" w:themeColor="text1"/>
        </w:rPr>
        <w:lastRenderedPageBreak/>
        <w:t>Academic Poster</w:t>
      </w:r>
    </w:p>
    <w:p w14:paraId="53697741" w14:textId="5200E4ED" w:rsidR="115099C9" w:rsidRDefault="78CDD9DD" w:rsidP="694269BF">
      <w:pPr>
        <w:spacing w:line="360" w:lineRule="auto"/>
      </w:pPr>
      <w:r>
        <w:rPr>
          <w:noProof/>
        </w:rPr>
        <w:drawing>
          <wp:inline distT="0" distB="0" distL="0" distR="0" wp14:anchorId="706757B4" wp14:editId="0D131AA3">
            <wp:extent cx="5477275" cy="7750158"/>
            <wp:effectExtent l="0" t="0" r="0" b="0"/>
            <wp:docPr id="535432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43267" name="Picture 53543267"/>
                    <pic:cNvPicPr/>
                  </pic:nvPicPr>
                  <pic:blipFill>
                    <a:blip r:embed="rId8">
                      <a:extLst>
                        <a:ext uri="{28A0092B-C50C-407E-A947-70E740481C1C}">
                          <a14:useLocalDpi xmlns:a14="http://schemas.microsoft.com/office/drawing/2010/main"/>
                        </a:ext>
                      </a:extLst>
                    </a:blip>
                    <a:stretch>
                      <a:fillRect/>
                    </a:stretch>
                  </pic:blipFill>
                  <pic:spPr>
                    <a:xfrm>
                      <a:off x="0" y="0"/>
                      <a:ext cx="5477275" cy="7750158"/>
                    </a:xfrm>
                    <a:prstGeom prst="rect">
                      <a:avLst/>
                    </a:prstGeom>
                  </pic:spPr>
                </pic:pic>
              </a:graphicData>
            </a:graphic>
          </wp:inline>
        </w:drawing>
      </w:r>
    </w:p>
    <w:p w14:paraId="065497E6" w14:textId="47713C82" w:rsidR="00B84B43" w:rsidRDefault="3D3906C2" w:rsidP="694269BF">
      <w:pPr>
        <w:spacing w:line="360" w:lineRule="auto"/>
        <w:rPr>
          <w:rFonts w:ascii="Arial" w:eastAsia="Arial" w:hAnsi="Arial" w:cs="Arial"/>
          <w:color w:val="000000" w:themeColor="text1"/>
        </w:rPr>
      </w:pPr>
      <w:r w:rsidRPr="694269BF">
        <w:rPr>
          <w:rFonts w:ascii="Arial" w:eastAsia="Arial" w:hAnsi="Arial" w:cs="Arial"/>
          <w:b/>
          <w:bCs/>
          <w:color w:val="000000" w:themeColor="text1"/>
        </w:rPr>
        <w:lastRenderedPageBreak/>
        <w:t>Written Pitch</w:t>
      </w:r>
    </w:p>
    <w:p w14:paraId="053B17A0" w14:textId="1255F9CF" w:rsidR="00B84B43" w:rsidRDefault="4A769C8D" w:rsidP="694269BF">
      <w:pPr>
        <w:spacing w:before="240" w:after="240" w:line="360" w:lineRule="auto"/>
        <w:rPr>
          <w:rFonts w:ascii="Arial" w:eastAsia="Arial" w:hAnsi="Arial" w:cs="Arial"/>
          <w:b/>
          <w:bCs/>
          <w:i/>
          <w:iCs/>
          <w:sz w:val="22"/>
          <w:szCs w:val="22"/>
        </w:rPr>
      </w:pPr>
      <w:r w:rsidRPr="694269BF">
        <w:rPr>
          <w:rFonts w:ascii="Arial" w:eastAsia="Arial" w:hAnsi="Arial" w:cs="Arial"/>
          <w:b/>
          <w:bCs/>
          <w:i/>
          <w:iCs/>
          <w:sz w:val="22"/>
          <w:szCs w:val="22"/>
        </w:rPr>
        <w:t xml:space="preserve">Pitch for a </w:t>
      </w:r>
      <w:r w:rsidR="16B0C29A" w:rsidRPr="694269BF">
        <w:rPr>
          <w:rFonts w:ascii="Arial" w:eastAsia="Arial" w:hAnsi="Arial" w:cs="Arial"/>
          <w:b/>
          <w:bCs/>
          <w:i/>
          <w:iCs/>
          <w:sz w:val="22"/>
          <w:szCs w:val="22"/>
        </w:rPr>
        <w:t>c</w:t>
      </w:r>
      <w:r w:rsidRPr="694269BF">
        <w:rPr>
          <w:rFonts w:ascii="Arial" w:eastAsia="Arial" w:hAnsi="Arial" w:cs="Arial"/>
          <w:b/>
          <w:bCs/>
          <w:i/>
          <w:iCs/>
          <w:sz w:val="22"/>
          <w:szCs w:val="22"/>
        </w:rPr>
        <w:t xml:space="preserve">ulturally </w:t>
      </w:r>
      <w:r w:rsidR="16E4D523" w:rsidRPr="694269BF">
        <w:rPr>
          <w:rFonts w:ascii="Arial" w:eastAsia="Arial" w:hAnsi="Arial" w:cs="Arial"/>
          <w:b/>
          <w:bCs/>
          <w:i/>
          <w:iCs/>
          <w:sz w:val="22"/>
          <w:szCs w:val="22"/>
        </w:rPr>
        <w:t>t</w:t>
      </w:r>
      <w:r w:rsidRPr="694269BF">
        <w:rPr>
          <w:rFonts w:ascii="Arial" w:eastAsia="Arial" w:hAnsi="Arial" w:cs="Arial"/>
          <w:b/>
          <w:bCs/>
          <w:i/>
          <w:iCs/>
          <w:sz w:val="22"/>
          <w:szCs w:val="22"/>
        </w:rPr>
        <w:t xml:space="preserve">ailored AI </w:t>
      </w:r>
      <w:r w:rsidR="612083CC" w:rsidRPr="694269BF">
        <w:rPr>
          <w:rFonts w:ascii="Arial" w:eastAsia="Arial" w:hAnsi="Arial" w:cs="Arial"/>
          <w:b/>
          <w:bCs/>
          <w:i/>
          <w:iCs/>
          <w:sz w:val="22"/>
          <w:szCs w:val="22"/>
        </w:rPr>
        <w:t>t</w:t>
      </w:r>
      <w:r w:rsidRPr="694269BF">
        <w:rPr>
          <w:rFonts w:ascii="Arial" w:eastAsia="Arial" w:hAnsi="Arial" w:cs="Arial"/>
          <w:b/>
          <w:bCs/>
          <w:i/>
          <w:iCs/>
          <w:sz w:val="22"/>
          <w:szCs w:val="22"/>
        </w:rPr>
        <w:t xml:space="preserve">ool to </w:t>
      </w:r>
      <w:r w:rsidR="13699560" w:rsidRPr="694269BF">
        <w:rPr>
          <w:rFonts w:ascii="Arial" w:eastAsia="Arial" w:hAnsi="Arial" w:cs="Arial"/>
          <w:b/>
          <w:bCs/>
          <w:i/>
          <w:iCs/>
          <w:sz w:val="22"/>
          <w:szCs w:val="22"/>
        </w:rPr>
        <w:t>improve</w:t>
      </w:r>
      <w:r w:rsidRPr="694269BF">
        <w:rPr>
          <w:rFonts w:ascii="Arial" w:eastAsia="Arial" w:hAnsi="Arial" w:cs="Arial"/>
          <w:b/>
          <w:bCs/>
          <w:i/>
          <w:iCs/>
          <w:sz w:val="22"/>
          <w:szCs w:val="22"/>
        </w:rPr>
        <w:t xml:space="preserve"> </w:t>
      </w:r>
      <w:r w:rsidR="5E50597A" w:rsidRPr="694269BF">
        <w:rPr>
          <w:rFonts w:ascii="Arial" w:eastAsia="Arial" w:hAnsi="Arial" w:cs="Arial"/>
          <w:b/>
          <w:bCs/>
          <w:i/>
          <w:iCs/>
          <w:sz w:val="22"/>
          <w:szCs w:val="22"/>
        </w:rPr>
        <w:t>e</w:t>
      </w:r>
      <w:r w:rsidRPr="694269BF">
        <w:rPr>
          <w:rFonts w:ascii="Arial" w:eastAsia="Arial" w:hAnsi="Arial" w:cs="Arial"/>
          <w:b/>
          <w:bCs/>
          <w:i/>
          <w:iCs/>
          <w:sz w:val="22"/>
          <w:szCs w:val="22"/>
        </w:rPr>
        <w:t xml:space="preserve">arly </w:t>
      </w:r>
      <w:r w:rsidR="475AEDFF" w:rsidRPr="694269BF">
        <w:rPr>
          <w:rFonts w:ascii="Arial" w:eastAsia="Arial" w:hAnsi="Arial" w:cs="Arial"/>
          <w:b/>
          <w:bCs/>
          <w:i/>
          <w:iCs/>
          <w:sz w:val="22"/>
          <w:szCs w:val="22"/>
        </w:rPr>
        <w:t>b</w:t>
      </w:r>
      <w:r w:rsidRPr="694269BF">
        <w:rPr>
          <w:rFonts w:ascii="Arial" w:eastAsia="Arial" w:hAnsi="Arial" w:cs="Arial"/>
          <w:b/>
          <w:bCs/>
          <w:i/>
          <w:iCs/>
          <w:sz w:val="22"/>
          <w:szCs w:val="22"/>
        </w:rPr>
        <w:t xml:space="preserve">reast </w:t>
      </w:r>
      <w:r w:rsidR="3C4F1818" w:rsidRPr="694269BF">
        <w:rPr>
          <w:rFonts w:ascii="Arial" w:eastAsia="Arial" w:hAnsi="Arial" w:cs="Arial"/>
          <w:b/>
          <w:bCs/>
          <w:i/>
          <w:iCs/>
          <w:sz w:val="22"/>
          <w:szCs w:val="22"/>
        </w:rPr>
        <w:t>c</w:t>
      </w:r>
      <w:r w:rsidRPr="694269BF">
        <w:rPr>
          <w:rFonts w:ascii="Arial" w:eastAsia="Arial" w:hAnsi="Arial" w:cs="Arial"/>
          <w:b/>
          <w:bCs/>
          <w:i/>
          <w:iCs/>
          <w:sz w:val="22"/>
          <w:szCs w:val="22"/>
        </w:rPr>
        <w:t xml:space="preserve">ancer </w:t>
      </w:r>
      <w:r w:rsidR="5986000C" w:rsidRPr="694269BF">
        <w:rPr>
          <w:rFonts w:ascii="Arial" w:eastAsia="Arial" w:hAnsi="Arial" w:cs="Arial"/>
          <w:b/>
          <w:bCs/>
          <w:i/>
          <w:iCs/>
          <w:sz w:val="22"/>
          <w:szCs w:val="22"/>
        </w:rPr>
        <w:t>d</w:t>
      </w:r>
      <w:r w:rsidRPr="694269BF">
        <w:rPr>
          <w:rFonts w:ascii="Arial" w:eastAsia="Arial" w:hAnsi="Arial" w:cs="Arial"/>
          <w:b/>
          <w:bCs/>
          <w:i/>
          <w:iCs/>
          <w:sz w:val="22"/>
          <w:szCs w:val="22"/>
        </w:rPr>
        <w:t>etection</w:t>
      </w:r>
    </w:p>
    <w:p w14:paraId="2F05D128" w14:textId="57CD83E9" w:rsidR="38CE2F65" w:rsidRDefault="38CE2F65"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 xml:space="preserve">Dear Policymaker, </w:t>
      </w:r>
    </w:p>
    <w:p w14:paraId="789FEC68" w14:textId="418307B2" w:rsidR="1D228C2B" w:rsidRDefault="1D228C2B"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I am reaching out to you, as a policymaker, to propose a pioneering approach to tackling a pressing public health challenge, improving early breast cancer detection among women from ethnic minority and socioeconomically disadvantaged communities in the UK.</w:t>
      </w:r>
    </w:p>
    <w:p w14:paraId="361AE828" w14:textId="761346E6" w:rsidR="1D228C2B" w:rsidRDefault="1D228C2B"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Despite the availability of national screening programmes, significant inequalities in access, uptake, and outcomes persist (Marmot, M., 2020).</w:t>
      </w:r>
      <w:r w:rsidR="0E0541B2" w:rsidRPr="0DFE32A1">
        <w:rPr>
          <w:rFonts w:ascii="Arial" w:eastAsia="Arial" w:hAnsi="Arial" w:cs="Arial"/>
          <w:sz w:val="22"/>
          <w:szCs w:val="22"/>
        </w:rPr>
        <w:t xml:space="preserve"> </w:t>
      </w:r>
      <w:r w:rsidRPr="0DFE32A1">
        <w:rPr>
          <w:rFonts w:ascii="Arial" w:eastAsia="Arial" w:hAnsi="Arial" w:cs="Arial"/>
          <w:sz w:val="22"/>
          <w:szCs w:val="22"/>
        </w:rPr>
        <w:t>Cultural barriers, including stigma, language differences, and mistrust of healthcare services, alongside limited awareness of screening, can discourage timely participation (</w:t>
      </w:r>
      <w:r w:rsidR="459FF9C2" w:rsidRPr="0DFE32A1">
        <w:rPr>
          <w:rFonts w:ascii="Arial" w:eastAsia="Arial" w:hAnsi="Arial" w:cs="Arial"/>
          <w:sz w:val="22"/>
          <w:szCs w:val="22"/>
        </w:rPr>
        <w:t>Public Health England, 2022</w:t>
      </w:r>
      <w:r w:rsidRPr="0DFE32A1">
        <w:rPr>
          <w:rFonts w:ascii="Arial" w:eastAsia="Arial" w:hAnsi="Arial" w:cs="Arial"/>
          <w:sz w:val="22"/>
          <w:szCs w:val="22"/>
        </w:rPr>
        <w:t>). In addition, structural inequalities such as reduced access to primary care, lower health literacy, and competing socioeconomic pressures further delay help-seeking behaviours (</w:t>
      </w:r>
      <w:r w:rsidR="759A7ECF" w:rsidRPr="0DFE32A1">
        <w:rPr>
          <w:rFonts w:ascii="Arial" w:eastAsia="Arial" w:hAnsi="Arial" w:cs="Arial"/>
          <w:sz w:val="22"/>
          <w:szCs w:val="22"/>
        </w:rPr>
        <w:t xml:space="preserve">Bayard </w:t>
      </w:r>
      <w:r w:rsidR="1F3AFBB3" w:rsidRPr="0DFE32A1">
        <w:rPr>
          <w:rFonts w:ascii="Arial" w:eastAsia="Arial" w:hAnsi="Arial" w:cs="Arial"/>
          <w:sz w:val="22"/>
          <w:szCs w:val="22"/>
        </w:rPr>
        <w:t>et al, 202</w:t>
      </w:r>
      <w:r w:rsidR="02AFA6A7" w:rsidRPr="0DFE32A1">
        <w:rPr>
          <w:rFonts w:ascii="Arial" w:eastAsia="Arial" w:hAnsi="Arial" w:cs="Arial"/>
          <w:sz w:val="22"/>
          <w:szCs w:val="22"/>
        </w:rPr>
        <w:t>2</w:t>
      </w:r>
      <w:r w:rsidRPr="0DFE32A1">
        <w:rPr>
          <w:rFonts w:ascii="Arial" w:eastAsia="Arial" w:hAnsi="Arial" w:cs="Arial"/>
          <w:sz w:val="22"/>
          <w:szCs w:val="22"/>
        </w:rPr>
        <w:t>). As a result, women from these groups are more likely to be diagnosed at later stages of breast cancer, leading to more complex treatment pathways and poorer survival outcomes (</w:t>
      </w:r>
      <w:r w:rsidR="222EA751" w:rsidRPr="0DFE32A1">
        <w:rPr>
          <w:rFonts w:ascii="Arial" w:eastAsia="Arial" w:hAnsi="Arial" w:cs="Arial"/>
          <w:color w:val="222222"/>
          <w:sz w:val="22"/>
          <w:szCs w:val="22"/>
        </w:rPr>
        <w:t>Almallah et al, 2024</w:t>
      </w:r>
      <w:r w:rsidRPr="0DFE32A1">
        <w:rPr>
          <w:rFonts w:ascii="Arial" w:eastAsia="Arial" w:hAnsi="Arial" w:cs="Arial"/>
          <w:sz w:val="22"/>
          <w:szCs w:val="22"/>
        </w:rPr>
        <w:t>).</w:t>
      </w:r>
    </w:p>
    <w:p w14:paraId="2D5D4330" w14:textId="26D4ACCB" w:rsidR="00B84B43" w:rsidRDefault="4A769C8D"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To address this, I propose a culturally sensitive, AI-powered digital tool designed to provide tailored education, interactive self-examination guidance, and a visual symptom tracker linked directly to NHS referral pathways</w:t>
      </w:r>
      <w:r w:rsidR="29CB0AC2" w:rsidRPr="694269BF">
        <w:rPr>
          <w:rFonts w:ascii="Arial" w:eastAsia="Arial" w:hAnsi="Arial" w:cs="Arial"/>
          <w:sz w:val="22"/>
          <w:szCs w:val="22"/>
        </w:rPr>
        <w:t>, named KNOWher</w:t>
      </w:r>
      <w:r w:rsidRPr="694269BF">
        <w:rPr>
          <w:rFonts w:ascii="Arial" w:eastAsia="Arial" w:hAnsi="Arial" w:cs="Arial"/>
          <w:sz w:val="22"/>
          <w:szCs w:val="22"/>
        </w:rPr>
        <w:t>.</w:t>
      </w:r>
      <w:r w:rsidR="0AAA0A4F" w:rsidRPr="694269BF">
        <w:rPr>
          <w:rFonts w:ascii="Arial" w:eastAsia="Arial" w:hAnsi="Arial" w:cs="Arial"/>
          <w:sz w:val="22"/>
          <w:szCs w:val="22"/>
        </w:rPr>
        <w:t xml:space="preserve"> Addressing these disparities therefore requires not only improved service provision, but also targeted, culturally sensitive strategies that build trust, raise awareness, and support earlier engagement with screening and diagnostic pathways</w:t>
      </w:r>
      <w:r w:rsidR="0379517E" w:rsidRPr="694269BF">
        <w:rPr>
          <w:rFonts w:ascii="Arial" w:eastAsia="Arial" w:hAnsi="Arial" w:cs="Arial"/>
          <w:sz w:val="22"/>
          <w:szCs w:val="22"/>
        </w:rPr>
        <w:t xml:space="preserve"> (</w:t>
      </w:r>
      <w:r w:rsidR="0379517E" w:rsidRPr="694269BF">
        <w:rPr>
          <w:rFonts w:ascii="Arial" w:eastAsia="Arial" w:hAnsi="Arial" w:cs="Arial"/>
          <w:color w:val="222222"/>
          <w:sz w:val="22"/>
          <w:szCs w:val="22"/>
        </w:rPr>
        <w:t>Chen et al, 2023)</w:t>
      </w:r>
      <w:r w:rsidR="0AAA0A4F" w:rsidRPr="694269BF">
        <w:rPr>
          <w:rFonts w:ascii="Arial" w:eastAsia="Arial" w:hAnsi="Arial" w:cs="Arial"/>
          <w:sz w:val="22"/>
          <w:szCs w:val="22"/>
        </w:rPr>
        <w:t>.</w:t>
      </w:r>
      <w:r w:rsidRPr="694269BF">
        <w:rPr>
          <w:rFonts w:ascii="Arial" w:eastAsia="Arial" w:hAnsi="Arial" w:cs="Arial"/>
          <w:sz w:val="22"/>
          <w:szCs w:val="22"/>
        </w:rPr>
        <w:t xml:space="preserve"> This tool aims to bridge gaps in knowledge, engagement, and access in a way that is culturally respectful and practical</w:t>
      </w:r>
      <w:r w:rsidR="094FF601" w:rsidRPr="694269BF">
        <w:rPr>
          <w:rFonts w:ascii="Arial" w:eastAsia="Arial" w:hAnsi="Arial" w:cs="Arial"/>
          <w:sz w:val="22"/>
          <w:szCs w:val="22"/>
        </w:rPr>
        <w:t xml:space="preserve">. </w:t>
      </w:r>
    </w:p>
    <w:p w14:paraId="6E25C342" w14:textId="6410085E" w:rsidR="00B84B43" w:rsidRDefault="094FF601"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The first key feature of the tool is culturally tailored education. The platform delivers personalised information on breast cancer risks, early signs, and self-examination techniques, ensuring that content respects cultural beliefs, addresses myths, and overcomes language barriers. By providing guidance in a way that is sensitive to diverse communities, the tool encourages understanding and engagement, helping women feel informed and supported in making health decisions (</w:t>
      </w:r>
      <w:r w:rsidR="5CBC8B71" w:rsidRPr="694269BF">
        <w:rPr>
          <w:rFonts w:ascii="Arial" w:eastAsia="Arial" w:hAnsi="Arial" w:cs="Arial"/>
          <w:sz w:val="22"/>
          <w:szCs w:val="22"/>
        </w:rPr>
        <w:t xml:space="preserve">Choi </w:t>
      </w:r>
      <w:r w:rsidRPr="694269BF">
        <w:rPr>
          <w:rFonts w:ascii="Arial" w:eastAsia="Arial" w:hAnsi="Arial" w:cs="Arial"/>
          <w:sz w:val="22"/>
          <w:szCs w:val="22"/>
        </w:rPr>
        <w:t>et al, 20</w:t>
      </w:r>
      <w:r w:rsidR="0050E52D" w:rsidRPr="694269BF">
        <w:rPr>
          <w:rFonts w:ascii="Arial" w:eastAsia="Arial" w:hAnsi="Arial" w:cs="Arial"/>
          <w:sz w:val="22"/>
          <w:szCs w:val="22"/>
        </w:rPr>
        <w:t>26</w:t>
      </w:r>
      <w:r w:rsidRPr="694269BF">
        <w:rPr>
          <w:rFonts w:ascii="Arial" w:eastAsia="Arial" w:hAnsi="Arial" w:cs="Arial"/>
          <w:sz w:val="22"/>
          <w:szCs w:val="22"/>
        </w:rPr>
        <w:t>).</w:t>
      </w:r>
    </w:p>
    <w:p w14:paraId="48593E6D" w14:textId="38E13254" w:rsidR="00B84B43" w:rsidRDefault="094FF601"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The second feature focuses on interactive self-check guidance. The tool provides step-by-step instructions, visual demonstrations, and gamified exercises to encourage routine breast </w:t>
      </w:r>
      <w:r w:rsidRPr="0DFE32A1">
        <w:rPr>
          <w:rFonts w:ascii="Arial" w:eastAsia="Arial" w:hAnsi="Arial" w:cs="Arial"/>
          <w:sz w:val="22"/>
          <w:szCs w:val="22"/>
        </w:rPr>
        <w:lastRenderedPageBreak/>
        <w:t xml:space="preserve">awareness. This approach is particularly valuable for women who may not otherwise perform self-checks due to lack of knowledge, cultural taboos, or uncertainty about the correct techniques. By making the process engaging and easy to follow, the platform promotes consistent self-monitoring and empowers users to take an active role in their health </w:t>
      </w:r>
      <w:r w:rsidR="0618B2DC" w:rsidRPr="0DFE32A1">
        <w:rPr>
          <w:rFonts w:ascii="Arial" w:eastAsia="Arial" w:hAnsi="Arial" w:cs="Arial"/>
          <w:sz w:val="22"/>
          <w:szCs w:val="22"/>
        </w:rPr>
        <w:t>(</w:t>
      </w:r>
      <w:r w:rsidR="0618B2DC" w:rsidRPr="0DFE32A1">
        <w:rPr>
          <w:rFonts w:ascii="Arial" w:eastAsia="Arial" w:hAnsi="Arial" w:cs="Arial"/>
          <w:color w:val="222222"/>
          <w:sz w:val="22"/>
          <w:szCs w:val="22"/>
        </w:rPr>
        <w:t>Chen et al, 2023</w:t>
      </w:r>
      <w:r w:rsidRPr="0DFE32A1">
        <w:rPr>
          <w:rFonts w:ascii="Arial" w:eastAsia="Arial" w:hAnsi="Arial" w:cs="Arial"/>
          <w:sz w:val="22"/>
          <w:szCs w:val="22"/>
        </w:rPr>
        <w:t>).</w:t>
      </w:r>
    </w:p>
    <w:p w14:paraId="1FD78F0E" w14:textId="2536F192" w:rsidR="00B84B43" w:rsidRDefault="094FF601"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A third critical component is the visual symptom tracker, which allows users to log any changes in breast tissue, swelling, or pain. Importantly, the tracker is directly linked to NHS two-week wait referral pathways, ensuring that concerning symptoms prompt timely follow-up. This integration supports early detection, facilitates prompt clinical assessment, and reduces delays in diagnosis, ultimately improving outcomes while easing the burden on NHS services (NHS England, 202</w:t>
      </w:r>
      <w:r w:rsidR="285EE674" w:rsidRPr="0DFE32A1">
        <w:rPr>
          <w:rFonts w:ascii="Arial" w:eastAsia="Arial" w:hAnsi="Arial" w:cs="Arial"/>
          <w:sz w:val="22"/>
          <w:szCs w:val="22"/>
        </w:rPr>
        <w:t>3</w:t>
      </w:r>
      <w:proofErr w:type="gramStart"/>
      <w:r w:rsidRPr="0DFE32A1">
        <w:rPr>
          <w:rFonts w:ascii="Arial" w:eastAsia="Arial" w:hAnsi="Arial" w:cs="Arial"/>
          <w:sz w:val="22"/>
          <w:szCs w:val="22"/>
        </w:rPr>
        <w:t>).</w:t>
      </w:r>
      <w:r w:rsidR="40864E1C" w:rsidRPr="0DFE32A1">
        <w:rPr>
          <w:rFonts w:ascii="Arial" w:eastAsia="Arial" w:hAnsi="Arial" w:cs="Arial"/>
          <w:sz w:val="22"/>
          <w:szCs w:val="22"/>
        </w:rPr>
        <w:t>C</w:t>
      </w:r>
      <w:r w:rsidR="0A2A36A1" w:rsidRPr="0DFE32A1">
        <w:rPr>
          <w:rFonts w:ascii="Arial" w:eastAsia="Arial" w:hAnsi="Arial" w:cs="Arial"/>
          <w:sz w:val="22"/>
          <w:szCs w:val="22"/>
        </w:rPr>
        <w:t>ombining</w:t>
      </w:r>
      <w:proofErr w:type="gramEnd"/>
      <w:r w:rsidR="0A2A36A1" w:rsidRPr="0DFE32A1">
        <w:rPr>
          <w:rFonts w:ascii="Arial" w:eastAsia="Arial" w:hAnsi="Arial" w:cs="Arial"/>
          <w:sz w:val="22"/>
          <w:szCs w:val="22"/>
        </w:rPr>
        <w:t xml:space="preserve"> culturally sensitive education, interactive self-assessment, and direct referral pathways, the tool empowers women to take charge of their health while reducing pressure on NHS services.</w:t>
      </w:r>
    </w:p>
    <w:p w14:paraId="5908725A" w14:textId="5F7493AC" w:rsidR="00B84B43" w:rsidRDefault="0A2A36A1"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The potential impact is women from ethnic minority and lower socioeconomic backgrounds are more likely to receive late-stage breast cancer diagnoses, resulting in poorer survival outcomes </w:t>
      </w:r>
      <w:r w:rsidR="5A52ECBF" w:rsidRPr="0DFE32A1">
        <w:rPr>
          <w:rFonts w:ascii="Arial" w:eastAsia="Arial" w:hAnsi="Arial" w:cs="Arial"/>
          <w:sz w:val="22"/>
          <w:szCs w:val="22"/>
        </w:rPr>
        <w:t>(</w:t>
      </w:r>
      <w:r w:rsidRPr="0DFE32A1">
        <w:rPr>
          <w:rFonts w:ascii="Arial" w:eastAsia="Arial" w:hAnsi="Arial" w:cs="Arial"/>
          <w:sz w:val="22"/>
          <w:szCs w:val="22"/>
        </w:rPr>
        <w:t>Cancer Research UK, 202</w:t>
      </w:r>
      <w:r w:rsidR="083234A4" w:rsidRPr="0DFE32A1">
        <w:rPr>
          <w:rFonts w:ascii="Arial" w:eastAsia="Arial" w:hAnsi="Arial" w:cs="Arial"/>
          <w:sz w:val="22"/>
          <w:szCs w:val="22"/>
        </w:rPr>
        <w:t>3</w:t>
      </w:r>
      <w:r w:rsidRPr="0DFE32A1">
        <w:rPr>
          <w:rFonts w:ascii="Arial" w:eastAsia="Arial" w:hAnsi="Arial" w:cs="Arial"/>
          <w:sz w:val="22"/>
          <w:szCs w:val="22"/>
        </w:rPr>
        <w:t>). Early detection improves prognosis, reduces treatment burden, and can save lives. This platform enables women to engage actively with their health, while clinicians benefit from streamlined referrals and earlier interventions (Topol, 2019).</w:t>
      </w:r>
    </w:p>
    <w:p w14:paraId="3072C392" w14:textId="6ED23E64" w:rsidR="64DDF3AA" w:rsidRDefault="64DDF3AA"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The value and feasibility of this innovation are reinforced by evidence from existing interventions. The ReCITE project in Liverpool successfully increased breast screening attendance among Black and South Asian women, reducing missed appointments by 25% through culturally tailored outreach (UK Research and Innovation, 2025). Similarly, AI and digital tools in healthcare have demonstrated effectiveness in improving early detection and patient engagement (Topol, 2019).</w:t>
      </w:r>
    </w:p>
    <w:p w14:paraId="04782832" w14:textId="4C12AFFB" w:rsidR="64DDF3AA" w:rsidRDefault="64DDF3AA"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Culturally tailored interventions have successfully increased breast screening participation among minority women (Choi et al, 2026). Digital tools leveraging AI have demonstrated effectiveness in improving early detection and patient engagement (Basch et al., 2020). Barriers such as privacy concerns or digital literacy can be mitigated through clear communication, multilingual support, and partnerships with community organisations. The platform is also scalable, with potential adaptation for other at-risk populations, such as men with hereditary breast cancer risk or caregivers supporting family members (Bayard et al., 2022).</w:t>
      </w:r>
    </w:p>
    <w:p w14:paraId="2B12EDBD" w14:textId="4FE9B2CE" w:rsidR="00B84B43" w:rsidRDefault="3FAA4BB9" w:rsidP="694269BF">
      <w:pPr>
        <w:spacing w:before="240" w:after="240" w:line="360" w:lineRule="auto"/>
        <w:rPr>
          <w:rFonts w:ascii="Arial" w:eastAsia="Arial" w:hAnsi="Arial" w:cs="Arial"/>
          <w:b/>
          <w:bCs/>
          <w:sz w:val="22"/>
          <w:szCs w:val="22"/>
        </w:rPr>
      </w:pPr>
      <w:r w:rsidRPr="0DFE32A1">
        <w:rPr>
          <w:rFonts w:ascii="Arial" w:eastAsia="Arial" w:hAnsi="Arial" w:cs="Arial"/>
          <w:b/>
          <w:bCs/>
          <w:sz w:val="22"/>
          <w:szCs w:val="22"/>
        </w:rPr>
        <w:lastRenderedPageBreak/>
        <w:t>Implementation and Timeline</w:t>
      </w:r>
    </w:p>
    <w:p w14:paraId="1FAB6294" w14:textId="24165F77" w:rsidR="2C29FE7D" w:rsidRDefault="2C29FE7D"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The implementation of this intervention will follow a structured, phased approach to ensure effective development, evaluation, and integration into existing </w:t>
      </w:r>
      <w:r w:rsidR="1EE36143" w:rsidRPr="0DFE32A1">
        <w:rPr>
          <w:rFonts w:ascii="Arial" w:eastAsia="Arial" w:hAnsi="Arial" w:cs="Arial"/>
          <w:sz w:val="22"/>
          <w:szCs w:val="22"/>
        </w:rPr>
        <w:t xml:space="preserve">UK </w:t>
      </w:r>
      <w:r w:rsidRPr="0DFE32A1">
        <w:rPr>
          <w:rFonts w:ascii="Arial" w:eastAsia="Arial" w:hAnsi="Arial" w:cs="Arial"/>
          <w:sz w:val="22"/>
          <w:szCs w:val="22"/>
        </w:rPr>
        <w:t>healthcare systems.</w:t>
      </w:r>
    </w:p>
    <w:p w14:paraId="6BE2F0DB" w14:textId="19A3EF78" w:rsidR="00B84B43" w:rsidRDefault="3FAA4BB9"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Implementation would occur in three main phases over twelve months. Phase One – Design and Development (Months 1–4) involves co-creation workshops with community representatives, healthcare professionals, and technology experts to ensure cultural relevance, usability, and clinical safety. Ethical approvals and compliance with GDPR and NHS digital health standards will be obtained (UK Government, 2018).</w:t>
      </w:r>
    </w:p>
    <w:p w14:paraId="549D4C81" w14:textId="527A3057" w:rsidR="00B84B43" w:rsidRDefault="3FAA4BB9"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Phase Two – Pilot Testing (Months 5–8) will be conducted in areas with historically low breast screening uptake. Participants will provide feedback on usability, cultural appropriateness, and educational content, which will inform refinements to the platform (</w:t>
      </w:r>
      <w:r w:rsidR="51594E94" w:rsidRPr="0DFE32A1">
        <w:rPr>
          <w:rFonts w:ascii="Arial" w:eastAsia="Arial" w:hAnsi="Arial" w:cs="Arial"/>
          <w:sz w:val="22"/>
          <w:szCs w:val="22"/>
        </w:rPr>
        <w:t>Zhang</w:t>
      </w:r>
      <w:r w:rsidRPr="0DFE32A1">
        <w:rPr>
          <w:rFonts w:ascii="Arial" w:eastAsia="Arial" w:hAnsi="Arial" w:cs="Arial"/>
          <w:sz w:val="22"/>
          <w:szCs w:val="22"/>
        </w:rPr>
        <w:t xml:space="preserve"> et al, 20</w:t>
      </w:r>
      <w:r w:rsidR="00130774" w:rsidRPr="0DFE32A1">
        <w:rPr>
          <w:rFonts w:ascii="Arial" w:eastAsia="Arial" w:hAnsi="Arial" w:cs="Arial"/>
          <w:sz w:val="22"/>
          <w:szCs w:val="22"/>
        </w:rPr>
        <w:t>22</w:t>
      </w:r>
      <w:r w:rsidRPr="0DFE32A1">
        <w:rPr>
          <w:rFonts w:ascii="Arial" w:eastAsia="Arial" w:hAnsi="Arial" w:cs="Arial"/>
          <w:sz w:val="22"/>
          <w:szCs w:val="22"/>
        </w:rPr>
        <w:t>).</w:t>
      </w:r>
    </w:p>
    <w:p w14:paraId="34F1D8AA" w14:textId="19520905" w:rsidR="00B84B43" w:rsidRDefault="3FAA4BB9"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Phase Three – National Rollout (Months 9–12) will integrate the tool into NHS digital platforms and community outreach programmes, including promotion through GP practices, health visitor services, and local charities. Continuous iterative feedback loops will ensure ongoing improvement, with stakeholders including NHS Trusts, breast cancer charities, community leaders, and technology partners. Compliance with MHRA medical device regulations and NHS digital standards will be maintained throughout (MHRA, </w:t>
      </w:r>
      <w:proofErr w:type="gramStart"/>
      <w:r w:rsidRPr="0DFE32A1">
        <w:rPr>
          <w:rFonts w:ascii="Arial" w:eastAsia="Arial" w:hAnsi="Arial" w:cs="Arial"/>
          <w:sz w:val="22"/>
          <w:szCs w:val="22"/>
        </w:rPr>
        <w:t>2021).</w:t>
      </w:r>
      <w:proofErr w:type="gramEnd"/>
    </w:p>
    <w:p w14:paraId="54F873E1" w14:textId="1E8166D8" w:rsidR="0FAF296F" w:rsidRDefault="0FAF296F"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I hope that you, as a policymaker, will consider this proposal, as this AI-powered, culturally sensitive tool offers a practical and timely solution to reduce inequalities in breast cancer outcomes. This pitch outlines a clear policy approach to addressing disparities in early detection and access to care. By incorporating education, interactive self-assessment, and integrated NHS referral pathways, it empowers women, supports healthcare professionals, and promotes earlier detection among those most at risk.</w:t>
      </w:r>
    </w:p>
    <w:p w14:paraId="48B469A9" w14:textId="05DB8C02" w:rsidR="0FAF296F" w:rsidRDefault="0FAF296F" w:rsidP="0DFE32A1">
      <w:pPr>
        <w:spacing w:before="240" w:after="240" w:line="360" w:lineRule="auto"/>
      </w:pPr>
      <w:r w:rsidRPr="0DFE32A1">
        <w:rPr>
          <w:rFonts w:ascii="Arial" w:eastAsia="Arial" w:hAnsi="Arial" w:cs="Arial"/>
          <w:sz w:val="22"/>
          <w:szCs w:val="22"/>
        </w:rPr>
        <w:t>Policymakers are encouraged to prioritise its implementation within targeted communities and commit to its integration into NHS digital services. Strategic collaboration and sustained investment can ensure that all women have access to the tools, knowledge, and support needed to detect breast cancer early and improve their treatment outcomes.</w:t>
      </w:r>
    </w:p>
    <w:p w14:paraId="05849138" w14:textId="5CC510D2" w:rsidR="00B84B43" w:rsidRDefault="2A5A1E76"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Sincerely</w:t>
      </w:r>
      <w:r w:rsidR="242BF906" w:rsidRPr="0DFE32A1">
        <w:rPr>
          <w:rFonts w:ascii="Arial" w:eastAsia="Arial" w:hAnsi="Arial" w:cs="Arial"/>
          <w:sz w:val="22"/>
          <w:szCs w:val="22"/>
        </w:rPr>
        <w:t>,</w:t>
      </w:r>
      <w:r w:rsidR="6BAAB3EE" w:rsidRPr="0DFE32A1">
        <w:rPr>
          <w:rFonts w:ascii="Arial" w:eastAsia="Arial" w:hAnsi="Arial" w:cs="Arial"/>
          <w:sz w:val="22"/>
          <w:szCs w:val="22"/>
        </w:rPr>
        <w:t xml:space="preserve">  </w:t>
      </w:r>
      <w:r>
        <w:br/>
      </w:r>
      <w:r w:rsidR="242BF906" w:rsidRPr="0DFE32A1">
        <w:rPr>
          <w:rFonts w:ascii="Arial" w:eastAsia="Arial" w:hAnsi="Arial" w:cs="Arial"/>
          <w:sz w:val="22"/>
          <w:szCs w:val="22"/>
        </w:rPr>
        <w:t xml:space="preserve">Joan Miller </w:t>
      </w:r>
    </w:p>
    <w:p w14:paraId="32DA66DE" w14:textId="7F151B21" w:rsidR="2C7978F7" w:rsidRDefault="2C7978F7" w:rsidP="694269BF">
      <w:pPr>
        <w:spacing w:line="360" w:lineRule="auto"/>
        <w:rPr>
          <w:rFonts w:ascii="Arial" w:eastAsia="Arial" w:hAnsi="Arial" w:cs="Arial"/>
        </w:rPr>
      </w:pPr>
      <w:r w:rsidRPr="0DFE32A1">
        <w:rPr>
          <w:rFonts w:ascii="Arial" w:eastAsia="Arial" w:hAnsi="Arial" w:cs="Arial"/>
          <w:b/>
          <w:bCs/>
        </w:rPr>
        <w:lastRenderedPageBreak/>
        <w:t xml:space="preserve">References </w:t>
      </w:r>
      <w:r w:rsidR="7A4BC333" w:rsidRPr="0DFE32A1">
        <w:rPr>
          <w:rFonts w:ascii="Arial" w:eastAsia="Arial" w:hAnsi="Arial" w:cs="Arial"/>
          <w:b/>
          <w:bCs/>
        </w:rPr>
        <w:t>L</w:t>
      </w:r>
      <w:r w:rsidRPr="0DFE32A1">
        <w:rPr>
          <w:rFonts w:ascii="Arial" w:eastAsia="Arial" w:hAnsi="Arial" w:cs="Arial"/>
          <w:b/>
          <w:bCs/>
        </w:rPr>
        <w:t>ist</w:t>
      </w:r>
    </w:p>
    <w:p w14:paraId="7845F830" w14:textId="082807A5"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Almallah, W.R., Bakas, T., Shaughnessy, E. and Morrison, C.F. (2024) ‘Factors and beliefs affecting women diagnosed with breast cancer to initiate cancer treatment: A systematic review’, </w:t>
      </w:r>
      <w:r w:rsidRPr="0DFE32A1">
        <w:rPr>
          <w:rFonts w:ascii="Arial" w:eastAsia="Arial" w:hAnsi="Arial" w:cs="Arial"/>
          <w:i/>
          <w:iCs/>
          <w:sz w:val="22"/>
          <w:szCs w:val="22"/>
        </w:rPr>
        <w:t>Western Journal of Nursing Research</w:t>
      </w:r>
      <w:r w:rsidRPr="0DFE32A1">
        <w:rPr>
          <w:rFonts w:ascii="Arial" w:eastAsia="Arial" w:hAnsi="Arial" w:cs="Arial"/>
          <w:sz w:val="22"/>
          <w:szCs w:val="22"/>
        </w:rPr>
        <w:t>, 46(8), pp. 623–634.</w:t>
      </w:r>
    </w:p>
    <w:p w14:paraId="62CFC0F4" w14:textId="5A3C3522"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Basch, E., Mody, G.N. and Dueck, A.C. (2020) ‘Electronic patient-reported outcomes as digital therapeutics to improve cancer outcomes’, </w:t>
      </w:r>
      <w:r w:rsidRPr="0DFE32A1">
        <w:rPr>
          <w:rFonts w:ascii="Arial" w:eastAsia="Arial" w:hAnsi="Arial" w:cs="Arial"/>
          <w:i/>
          <w:iCs/>
          <w:sz w:val="22"/>
          <w:szCs w:val="22"/>
        </w:rPr>
        <w:t>JCO Oncology Practice</w:t>
      </w:r>
      <w:r w:rsidRPr="0DFE32A1">
        <w:rPr>
          <w:rFonts w:ascii="Arial" w:eastAsia="Arial" w:hAnsi="Arial" w:cs="Arial"/>
          <w:sz w:val="22"/>
          <w:szCs w:val="22"/>
        </w:rPr>
        <w:t>, 16(9), pp. 941–942.</w:t>
      </w:r>
    </w:p>
    <w:p w14:paraId="3DDDEBBE" w14:textId="6DBFA527" w:rsidR="2E8A86C2" w:rsidRDefault="2E8A86C2"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Bayard, S., Fasano, G., Tamimi, R.M. and Oh, P.S (2022). ‘Leveraging electronic health records to address breast cancer </w:t>
      </w:r>
      <w:proofErr w:type="gramStart"/>
      <w:r w:rsidRPr="0DFE32A1">
        <w:rPr>
          <w:rFonts w:ascii="Arial" w:eastAsia="Arial" w:hAnsi="Arial" w:cs="Arial"/>
          <w:sz w:val="22"/>
          <w:szCs w:val="22"/>
        </w:rPr>
        <w:t>disparities;.</w:t>
      </w:r>
      <w:proofErr w:type="gramEnd"/>
      <w:r w:rsidRPr="0DFE32A1">
        <w:rPr>
          <w:rFonts w:ascii="Arial" w:eastAsia="Arial" w:hAnsi="Arial" w:cs="Arial"/>
          <w:sz w:val="22"/>
          <w:szCs w:val="22"/>
        </w:rPr>
        <w:t xml:space="preserve"> Current Breast Cancer Reports, 14(4), pp.199-204.</w:t>
      </w:r>
    </w:p>
    <w:p w14:paraId="5B01120E" w14:textId="321B7575" w:rsidR="6331E9A2" w:rsidRDefault="6331E9A2" w:rsidP="0DFE32A1">
      <w:pPr>
        <w:spacing w:after="0" w:line="360" w:lineRule="auto"/>
        <w:rPr>
          <w:rFonts w:ascii="Arial" w:eastAsia="Arial" w:hAnsi="Arial" w:cs="Arial"/>
          <w:color w:val="000000" w:themeColor="text1"/>
          <w:sz w:val="22"/>
          <w:szCs w:val="22"/>
        </w:rPr>
      </w:pPr>
      <w:r w:rsidRPr="0DFE32A1">
        <w:rPr>
          <w:rFonts w:ascii="Arial" w:eastAsia="Arial" w:hAnsi="Arial" w:cs="Arial"/>
          <w:color w:val="000000" w:themeColor="text1"/>
          <w:sz w:val="22"/>
          <w:szCs w:val="22"/>
        </w:rPr>
        <w:t>Cancer Research UK (2023) New study to investigate breast cancer in ethnic minority groups. Available at: https://news.cancerresearchuk.org/2023/07/11/new-study-to-investigate-breast-cancer-in-ethnic-minority-groups/ (Accessed: 18March 2026).</w:t>
      </w:r>
    </w:p>
    <w:p w14:paraId="0D4CAB0B" w14:textId="47381571"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Chen, T., Kharazmi, E. and Fallah, M. (2023) ‘Race and ethnicity–adjusted age recommendation for initiating breast cancer screening’, </w:t>
      </w:r>
      <w:r w:rsidRPr="0DFE32A1">
        <w:rPr>
          <w:rFonts w:ascii="Arial" w:eastAsia="Arial" w:hAnsi="Arial" w:cs="Arial"/>
          <w:i/>
          <w:iCs/>
          <w:sz w:val="22"/>
          <w:szCs w:val="22"/>
        </w:rPr>
        <w:t>JAMA Network Open</w:t>
      </w:r>
      <w:r w:rsidRPr="0DFE32A1">
        <w:rPr>
          <w:rFonts w:ascii="Arial" w:eastAsia="Arial" w:hAnsi="Arial" w:cs="Arial"/>
          <w:sz w:val="22"/>
          <w:szCs w:val="22"/>
        </w:rPr>
        <w:t>, 6(4), p. e238893.</w:t>
      </w:r>
    </w:p>
    <w:p w14:paraId="30286B65" w14:textId="3472711F"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Choi, A.K., Rapoport, C.S., Korhummel, M., Wells, K.J. and Malcarne, V.L. (2026) ‘Impact of culturally adapted psychosocial interventions on psychosocial outcomes for patients from racial and ethnic minority backgrounds diagnosed with breast cancer: a systematic review’, </w:t>
      </w:r>
      <w:r w:rsidRPr="0DFE32A1">
        <w:rPr>
          <w:rFonts w:ascii="Arial" w:eastAsia="Arial" w:hAnsi="Arial" w:cs="Arial"/>
          <w:i/>
          <w:iCs/>
          <w:sz w:val="22"/>
          <w:szCs w:val="22"/>
        </w:rPr>
        <w:t>Psycho-Oncology</w:t>
      </w:r>
      <w:r w:rsidRPr="0DFE32A1">
        <w:rPr>
          <w:rFonts w:ascii="Arial" w:eastAsia="Arial" w:hAnsi="Arial" w:cs="Arial"/>
          <w:sz w:val="22"/>
          <w:szCs w:val="22"/>
        </w:rPr>
        <w:t>, 35(1), p. e70361.</w:t>
      </w:r>
    </w:p>
    <w:p w14:paraId="2A37180C" w14:textId="6FAD44C7"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Marmot, M. (2020) </w:t>
      </w:r>
      <w:r w:rsidRPr="0DFE32A1">
        <w:rPr>
          <w:rFonts w:ascii="Arial" w:eastAsia="Arial" w:hAnsi="Arial" w:cs="Arial"/>
          <w:i/>
          <w:iCs/>
          <w:sz w:val="22"/>
          <w:szCs w:val="22"/>
        </w:rPr>
        <w:t>Health Equity in England: The Marmot Review 10 Years On</w:t>
      </w:r>
      <w:r w:rsidRPr="0DFE32A1">
        <w:rPr>
          <w:rFonts w:ascii="Arial" w:eastAsia="Arial" w:hAnsi="Arial" w:cs="Arial"/>
          <w:sz w:val="22"/>
          <w:szCs w:val="22"/>
        </w:rPr>
        <w:t>. London: Institute of Health Equity.</w:t>
      </w:r>
    </w:p>
    <w:p w14:paraId="37023E42" w14:textId="238DA490"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MHRA (2021) </w:t>
      </w:r>
      <w:r w:rsidRPr="0DFE32A1">
        <w:rPr>
          <w:rFonts w:ascii="Arial" w:eastAsia="Arial" w:hAnsi="Arial" w:cs="Arial"/>
          <w:i/>
          <w:iCs/>
          <w:sz w:val="22"/>
          <w:szCs w:val="22"/>
        </w:rPr>
        <w:t>Regulating medical devices in the UK</w:t>
      </w:r>
      <w:r w:rsidRPr="0DFE32A1">
        <w:rPr>
          <w:rFonts w:ascii="Arial" w:eastAsia="Arial" w:hAnsi="Arial" w:cs="Arial"/>
          <w:sz w:val="22"/>
          <w:szCs w:val="22"/>
        </w:rPr>
        <w:t xml:space="preserve">. Available at: </w:t>
      </w:r>
      <w:hyperlink r:id="rId9">
        <w:r w:rsidRPr="0DFE32A1">
          <w:rPr>
            <w:rStyle w:val="Hyperlink"/>
            <w:rFonts w:ascii="Arial" w:eastAsia="Arial" w:hAnsi="Arial" w:cs="Arial"/>
            <w:color w:val="auto"/>
            <w:sz w:val="22"/>
            <w:szCs w:val="22"/>
          </w:rPr>
          <w:t>https://www.gov.uk/guidance/regulating-medical-devices-in-the-uk</w:t>
        </w:r>
      </w:hyperlink>
      <w:r w:rsidRPr="0DFE32A1">
        <w:rPr>
          <w:rFonts w:ascii="Arial" w:eastAsia="Arial" w:hAnsi="Arial" w:cs="Arial"/>
          <w:sz w:val="22"/>
          <w:szCs w:val="22"/>
        </w:rPr>
        <w:t xml:space="preserve"> (Accessed: 25 March 2026).</w:t>
      </w:r>
    </w:p>
    <w:p w14:paraId="1DCCFA69" w14:textId="07495DEA"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NHS England (2023) </w:t>
      </w:r>
      <w:r w:rsidRPr="0DFE32A1">
        <w:rPr>
          <w:rFonts w:ascii="Arial" w:eastAsia="Arial" w:hAnsi="Arial" w:cs="Arial"/>
          <w:i/>
          <w:iCs/>
          <w:sz w:val="22"/>
          <w:szCs w:val="22"/>
        </w:rPr>
        <w:t>National Cancer Waiting Times Monitoring Dataset Guidance V12.0</w:t>
      </w:r>
      <w:r w:rsidRPr="0DFE32A1">
        <w:rPr>
          <w:rFonts w:ascii="Arial" w:eastAsia="Arial" w:hAnsi="Arial" w:cs="Arial"/>
          <w:sz w:val="22"/>
          <w:szCs w:val="22"/>
        </w:rPr>
        <w:t xml:space="preserve">. London: NHS England. Available at: </w:t>
      </w:r>
      <w:hyperlink r:id="rId10">
        <w:r w:rsidRPr="0DFE32A1">
          <w:rPr>
            <w:rStyle w:val="Hyperlink"/>
            <w:rFonts w:ascii="Arial" w:eastAsia="Arial" w:hAnsi="Arial" w:cs="Arial"/>
            <w:color w:val="auto"/>
            <w:sz w:val="22"/>
            <w:szCs w:val="22"/>
          </w:rPr>
          <w:t>https://www.england.nhs.uk/wp-content/uploads/2023/08/PRN00654-national-cancer-waiting-times-monitoring-dataset-guidance-v12.pdf</w:t>
        </w:r>
      </w:hyperlink>
      <w:r w:rsidRPr="0DFE32A1">
        <w:rPr>
          <w:rFonts w:ascii="Arial" w:eastAsia="Arial" w:hAnsi="Arial" w:cs="Arial"/>
          <w:sz w:val="22"/>
          <w:szCs w:val="22"/>
        </w:rPr>
        <w:t xml:space="preserve"> (Accessed: 19 March 2026).</w:t>
      </w:r>
    </w:p>
    <w:p w14:paraId="0BB7A946" w14:textId="57ABC505"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Public Health England (2022) </w:t>
      </w:r>
      <w:r w:rsidRPr="0DFE32A1">
        <w:rPr>
          <w:rFonts w:ascii="Arial" w:eastAsia="Arial" w:hAnsi="Arial" w:cs="Arial"/>
          <w:i/>
          <w:iCs/>
          <w:sz w:val="22"/>
          <w:szCs w:val="22"/>
        </w:rPr>
        <w:t>Breast screening: identifying and reducing inequalities</w:t>
      </w:r>
      <w:r w:rsidRPr="0DFE32A1">
        <w:rPr>
          <w:rFonts w:ascii="Arial" w:eastAsia="Arial" w:hAnsi="Arial" w:cs="Arial"/>
          <w:sz w:val="22"/>
          <w:szCs w:val="22"/>
        </w:rPr>
        <w:t xml:space="preserve">. Available at: </w:t>
      </w:r>
      <w:hyperlink r:id="rId11">
        <w:r w:rsidRPr="0DFE32A1">
          <w:rPr>
            <w:rStyle w:val="Hyperlink"/>
            <w:rFonts w:ascii="Arial" w:eastAsia="Arial" w:hAnsi="Arial" w:cs="Arial"/>
            <w:color w:val="auto"/>
            <w:sz w:val="22"/>
            <w:szCs w:val="22"/>
          </w:rPr>
          <w:t>https://www.gov.uk</w:t>
        </w:r>
      </w:hyperlink>
      <w:r w:rsidRPr="0DFE32A1">
        <w:rPr>
          <w:rFonts w:ascii="Arial" w:eastAsia="Arial" w:hAnsi="Arial" w:cs="Arial"/>
          <w:sz w:val="22"/>
          <w:szCs w:val="22"/>
        </w:rPr>
        <w:t xml:space="preserve"> (Accessed: 19 March 2026).</w:t>
      </w:r>
    </w:p>
    <w:p w14:paraId="5FC81A7D" w14:textId="66F53962"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lastRenderedPageBreak/>
        <w:t xml:space="preserve">Topol, E. (2019) </w:t>
      </w:r>
      <w:r w:rsidRPr="0DFE32A1">
        <w:rPr>
          <w:rFonts w:ascii="Arial" w:eastAsia="Arial" w:hAnsi="Arial" w:cs="Arial"/>
          <w:i/>
          <w:iCs/>
          <w:sz w:val="22"/>
          <w:szCs w:val="22"/>
        </w:rPr>
        <w:t>Deep medicine: how artificial intelligence can make healthcare human again</w:t>
      </w:r>
      <w:r w:rsidRPr="0DFE32A1">
        <w:rPr>
          <w:rFonts w:ascii="Arial" w:eastAsia="Arial" w:hAnsi="Arial" w:cs="Arial"/>
          <w:sz w:val="22"/>
          <w:szCs w:val="22"/>
        </w:rPr>
        <w:t>. London: Hachette UK.</w:t>
      </w:r>
    </w:p>
    <w:p w14:paraId="7F279994" w14:textId="02820F49"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UK Government (2018) </w:t>
      </w:r>
      <w:r w:rsidRPr="0DFE32A1">
        <w:rPr>
          <w:rFonts w:ascii="Arial" w:eastAsia="Arial" w:hAnsi="Arial" w:cs="Arial"/>
          <w:i/>
          <w:iCs/>
          <w:sz w:val="22"/>
          <w:szCs w:val="22"/>
        </w:rPr>
        <w:t>Data Protection Act 2018 &amp; GDPR compliance</w:t>
      </w:r>
      <w:r w:rsidRPr="0DFE32A1">
        <w:rPr>
          <w:rFonts w:ascii="Arial" w:eastAsia="Arial" w:hAnsi="Arial" w:cs="Arial"/>
          <w:sz w:val="22"/>
          <w:szCs w:val="22"/>
        </w:rPr>
        <w:t>.</w:t>
      </w:r>
    </w:p>
    <w:p w14:paraId="63252233" w14:textId="53C340BA"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UK Research and Innovation (2025) </w:t>
      </w:r>
      <w:r w:rsidRPr="0DFE32A1">
        <w:rPr>
          <w:rFonts w:ascii="Arial" w:eastAsia="Arial" w:hAnsi="Arial" w:cs="Arial"/>
          <w:i/>
          <w:iCs/>
          <w:sz w:val="22"/>
          <w:szCs w:val="22"/>
        </w:rPr>
        <w:t>Creative health research decreases missed mammograms</w:t>
      </w:r>
      <w:r w:rsidRPr="0DFE32A1">
        <w:rPr>
          <w:rFonts w:ascii="Arial" w:eastAsia="Arial" w:hAnsi="Arial" w:cs="Arial"/>
          <w:sz w:val="22"/>
          <w:szCs w:val="22"/>
        </w:rPr>
        <w:t xml:space="preserve">. Available at: </w:t>
      </w:r>
      <w:hyperlink r:id="rId12">
        <w:r w:rsidRPr="0DFE32A1">
          <w:rPr>
            <w:rStyle w:val="Hyperlink"/>
            <w:rFonts w:ascii="Arial" w:eastAsia="Arial" w:hAnsi="Arial" w:cs="Arial"/>
            <w:color w:val="auto"/>
            <w:sz w:val="22"/>
            <w:szCs w:val="22"/>
          </w:rPr>
          <w:t>https://www.ukri.org/who-we-are/how-we-are-doing/research-outcomes-and-impact/ahrc/creative-health-research-decreases-missed-mammograms/</w:t>
        </w:r>
      </w:hyperlink>
      <w:r w:rsidRPr="0DFE32A1">
        <w:rPr>
          <w:rFonts w:ascii="Arial" w:eastAsia="Arial" w:hAnsi="Arial" w:cs="Arial"/>
          <w:sz w:val="22"/>
          <w:szCs w:val="22"/>
        </w:rPr>
        <w:t xml:space="preserve"> (Accessed: 25 March 2026).</w:t>
      </w:r>
    </w:p>
    <w:p w14:paraId="443AF954" w14:textId="39BC48EC" w:rsidR="694269BF" w:rsidRDefault="15EF7490"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Zhang, C., Przybylek, S., Braksmajer, A. and Liu, Y</w:t>
      </w:r>
      <w:r w:rsidR="278017EA" w:rsidRPr="0DFE32A1">
        <w:rPr>
          <w:rFonts w:ascii="Arial" w:eastAsia="Arial" w:hAnsi="Arial" w:cs="Arial"/>
          <w:sz w:val="22"/>
          <w:szCs w:val="22"/>
        </w:rPr>
        <w:t xml:space="preserve"> (</w:t>
      </w:r>
      <w:r w:rsidRPr="0DFE32A1">
        <w:rPr>
          <w:rFonts w:ascii="Arial" w:eastAsia="Arial" w:hAnsi="Arial" w:cs="Arial"/>
          <w:sz w:val="22"/>
          <w:szCs w:val="22"/>
        </w:rPr>
        <w:t>2022</w:t>
      </w:r>
      <w:r w:rsidR="0BC46E85" w:rsidRPr="0DFE32A1">
        <w:rPr>
          <w:rFonts w:ascii="Arial" w:eastAsia="Arial" w:hAnsi="Arial" w:cs="Arial"/>
          <w:sz w:val="22"/>
          <w:szCs w:val="22"/>
        </w:rPr>
        <w:t>)</w:t>
      </w:r>
      <w:r w:rsidRPr="0DFE32A1">
        <w:rPr>
          <w:rFonts w:ascii="Arial" w:eastAsia="Arial" w:hAnsi="Arial" w:cs="Arial"/>
          <w:sz w:val="22"/>
          <w:szCs w:val="22"/>
        </w:rPr>
        <w:t xml:space="preserve"> An integrated conceptual framework of behavioral intervention technologies to promote healthcare utilization among </w:t>
      </w:r>
      <w:r w:rsidR="1C963DD9" w:rsidRPr="0DFE32A1">
        <w:rPr>
          <w:rFonts w:ascii="Arial" w:eastAsia="Arial" w:hAnsi="Arial" w:cs="Arial"/>
          <w:sz w:val="22"/>
          <w:szCs w:val="22"/>
        </w:rPr>
        <w:t>socially marginalized</w:t>
      </w:r>
      <w:r w:rsidRPr="0DFE32A1">
        <w:rPr>
          <w:rFonts w:ascii="Arial" w:eastAsia="Arial" w:hAnsi="Arial" w:cs="Arial"/>
          <w:sz w:val="22"/>
          <w:szCs w:val="22"/>
        </w:rPr>
        <w:t xml:space="preserve"> populations in the United States. </w:t>
      </w:r>
      <w:r w:rsidRPr="0DFE32A1">
        <w:rPr>
          <w:rFonts w:ascii="Arial" w:eastAsia="Arial" w:hAnsi="Arial" w:cs="Arial"/>
          <w:i/>
          <w:iCs/>
          <w:sz w:val="22"/>
          <w:szCs w:val="22"/>
        </w:rPr>
        <w:t>Journal of nursing studies and patient care</w:t>
      </w:r>
      <w:r w:rsidRPr="0DFE32A1">
        <w:rPr>
          <w:rFonts w:ascii="Arial" w:eastAsia="Arial" w:hAnsi="Arial" w:cs="Arial"/>
          <w:sz w:val="22"/>
          <w:szCs w:val="22"/>
        </w:rPr>
        <w:t xml:space="preserve">, </w:t>
      </w:r>
      <w:r w:rsidRPr="0DFE32A1">
        <w:rPr>
          <w:rFonts w:ascii="Arial" w:eastAsia="Arial" w:hAnsi="Arial" w:cs="Arial"/>
          <w:i/>
          <w:iCs/>
          <w:sz w:val="22"/>
          <w:szCs w:val="22"/>
        </w:rPr>
        <w:t>3</w:t>
      </w:r>
      <w:r w:rsidRPr="0DFE32A1">
        <w:rPr>
          <w:rFonts w:ascii="Arial" w:eastAsia="Arial" w:hAnsi="Arial" w:cs="Arial"/>
          <w:sz w:val="22"/>
          <w:szCs w:val="22"/>
        </w:rPr>
        <w:t>(1), p.12.</w:t>
      </w:r>
    </w:p>
    <w:sectPr w:rsidR="694269BF">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1CB40" w14:textId="77777777" w:rsidR="00456045" w:rsidRDefault="00456045">
      <w:pPr>
        <w:spacing w:after="0" w:line="240" w:lineRule="auto"/>
      </w:pPr>
      <w:r>
        <w:separator/>
      </w:r>
    </w:p>
  </w:endnote>
  <w:endnote w:type="continuationSeparator" w:id="0">
    <w:p w14:paraId="265BC38C" w14:textId="77777777" w:rsidR="00456045" w:rsidRDefault="00456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94269BF" w14:paraId="19F79699" w14:textId="77777777" w:rsidTr="694269BF">
      <w:trPr>
        <w:trHeight w:val="300"/>
      </w:trPr>
      <w:tc>
        <w:tcPr>
          <w:tcW w:w="3120" w:type="dxa"/>
        </w:tcPr>
        <w:p w14:paraId="2714AC64" w14:textId="42845697" w:rsidR="694269BF" w:rsidRDefault="694269BF" w:rsidP="694269BF">
          <w:pPr>
            <w:pStyle w:val="Header"/>
            <w:ind w:left="-115"/>
          </w:pPr>
        </w:p>
      </w:tc>
      <w:tc>
        <w:tcPr>
          <w:tcW w:w="3120" w:type="dxa"/>
        </w:tcPr>
        <w:p w14:paraId="431D3337" w14:textId="2E40E75B" w:rsidR="694269BF" w:rsidRDefault="694269BF" w:rsidP="694269BF">
          <w:pPr>
            <w:pStyle w:val="Header"/>
            <w:jc w:val="center"/>
          </w:pPr>
        </w:p>
      </w:tc>
      <w:tc>
        <w:tcPr>
          <w:tcW w:w="3120" w:type="dxa"/>
        </w:tcPr>
        <w:p w14:paraId="0E6800B2" w14:textId="0B200FA1" w:rsidR="694269BF" w:rsidRDefault="694269BF" w:rsidP="694269BF">
          <w:pPr>
            <w:pStyle w:val="Header"/>
            <w:ind w:right="-115"/>
            <w:jc w:val="right"/>
          </w:pPr>
        </w:p>
      </w:tc>
    </w:tr>
  </w:tbl>
  <w:p w14:paraId="3FACB0C4" w14:textId="2EBA88CB" w:rsidR="694269BF" w:rsidRDefault="694269BF" w:rsidP="69426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EB936" w14:textId="77777777" w:rsidR="00456045" w:rsidRDefault="00456045">
      <w:pPr>
        <w:spacing w:after="0" w:line="240" w:lineRule="auto"/>
      </w:pPr>
      <w:r>
        <w:separator/>
      </w:r>
    </w:p>
  </w:footnote>
  <w:footnote w:type="continuationSeparator" w:id="0">
    <w:p w14:paraId="5CAF528A" w14:textId="77777777" w:rsidR="00456045" w:rsidRDefault="004560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94269BF" w14:paraId="3337AD30" w14:textId="77777777" w:rsidTr="694269BF">
      <w:trPr>
        <w:trHeight w:val="300"/>
      </w:trPr>
      <w:tc>
        <w:tcPr>
          <w:tcW w:w="3120" w:type="dxa"/>
        </w:tcPr>
        <w:p w14:paraId="5FC420C3" w14:textId="29C58D05" w:rsidR="694269BF" w:rsidRDefault="694269BF" w:rsidP="694269BF">
          <w:pPr>
            <w:pStyle w:val="Header"/>
            <w:ind w:left="-115"/>
          </w:pPr>
        </w:p>
      </w:tc>
      <w:tc>
        <w:tcPr>
          <w:tcW w:w="3120" w:type="dxa"/>
        </w:tcPr>
        <w:p w14:paraId="2AF44885" w14:textId="4281EF14" w:rsidR="694269BF" w:rsidRDefault="694269BF" w:rsidP="694269BF">
          <w:pPr>
            <w:pStyle w:val="Header"/>
            <w:jc w:val="center"/>
          </w:pPr>
        </w:p>
      </w:tc>
      <w:tc>
        <w:tcPr>
          <w:tcW w:w="3120" w:type="dxa"/>
        </w:tcPr>
        <w:p w14:paraId="239D4B60" w14:textId="53C29FC3" w:rsidR="694269BF" w:rsidRDefault="694269BF" w:rsidP="694269BF">
          <w:pPr>
            <w:pStyle w:val="Header"/>
            <w:ind w:right="-115"/>
            <w:jc w:val="right"/>
          </w:pPr>
        </w:p>
      </w:tc>
    </w:tr>
  </w:tbl>
  <w:p w14:paraId="5F93AA3F" w14:textId="452DC646" w:rsidR="694269BF" w:rsidRDefault="694269BF" w:rsidP="69426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DFFA"/>
    <w:multiLevelType w:val="hybridMultilevel"/>
    <w:tmpl w:val="85F0EA2A"/>
    <w:lvl w:ilvl="0" w:tplc="F44466D0">
      <w:start w:val="1"/>
      <w:numFmt w:val="decimal"/>
      <w:lvlText w:val="%1."/>
      <w:lvlJc w:val="left"/>
      <w:pPr>
        <w:ind w:left="720" w:hanging="360"/>
      </w:pPr>
    </w:lvl>
    <w:lvl w:ilvl="1" w:tplc="C2D86A40">
      <w:start w:val="1"/>
      <w:numFmt w:val="lowerLetter"/>
      <w:lvlText w:val="%2."/>
      <w:lvlJc w:val="left"/>
      <w:pPr>
        <w:ind w:left="1440" w:hanging="360"/>
      </w:pPr>
    </w:lvl>
    <w:lvl w:ilvl="2" w:tplc="92BA7934">
      <w:start w:val="1"/>
      <w:numFmt w:val="lowerRoman"/>
      <w:lvlText w:val="%3."/>
      <w:lvlJc w:val="right"/>
      <w:pPr>
        <w:ind w:left="2160" w:hanging="180"/>
      </w:pPr>
    </w:lvl>
    <w:lvl w:ilvl="3" w:tplc="5EB8269C">
      <w:start w:val="1"/>
      <w:numFmt w:val="decimal"/>
      <w:lvlText w:val="%4."/>
      <w:lvlJc w:val="left"/>
      <w:pPr>
        <w:ind w:left="2880" w:hanging="360"/>
      </w:pPr>
    </w:lvl>
    <w:lvl w:ilvl="4" w:tplc="A94EBCF0">
      <w:start w:val="1"/>
      <w:numFmt w:val="lowerLetter"/>
      <w:lvlText w:val="%5."/>
      <w:lvlJc w:val="left"/>
      <w:pPr>
        <w:ind w:left="3600" w:hanging="360"/>
      </w:pPr>
    </w:lvl>
    <w:lvl w:ilvl="5" w:tplc="BCB0655A">
      <w:start w:val="1"/>
      <w:numFmt w:val="lowerRoman"/>
      <w:lvlText w:val="%6."/>
      <w:lvlJc w:val="right"/>
      <w:pPr>
        <w:ind w:left="4320" w:hanging="180"/>
      </w:pPr>
    </w:lvl>
    <w:lvl w:ilvl="6" w:tplc="89F28040">
      <w:start w:val="1"/>
      <w:numFmt w:val="decimal"/>
      <w:lvlText w:val="%7."/>
      <w:lvlJc w:val="left"/>
      <w:pPr>
        <w:ind w:left="5040" w:hanging="360"/>
      </w:pPr>
    </w:lvl>
    <w:lvl w:ilvl="7" w:tplc="8F567B02">
      <w:start w:val="1"/>
      <w:numFmt w:val="lowerLetter"/>
      <w:lvlText w:val="%8."/>
      <w:lvlJc w:val="left"/>
      <w:pPr>
        <w:ind w:left="5760" w:hanging="360"/>
      </w:pPr>
    </w:lvl>
    <w:lvl w:ilvl="8" w:tplc="74566516">
      <w:start w:val="1"/>
      <w:numFmt w:val="lowerRoman"/>
      <w:lvlText w:val="%9."/>
      <w:lvlJc w:val="right"/>
      <w:pPr>
        <w:ind w:left="6480" w:hanging="180"/>
      </w:pPr>
    </w:lvl>
  </w:abstractNum>
  <w:abstractNum w:abstractNumId="1" w15:restartNumberingAfterBreak="0">
    <w:nsid w:val="08FDBD37"/>
    <w:multiLevelType w:val="hybridMultilevel"/>
    <w:tmpl w:val="519C61C6"/>
    <w:lvl w:ilvl="0" w:tplc="4C1AFE5E">
      <w:start w:val="1"/>
      <w:numFmt w:val="decimal"/>
      <w:lvlText w:val="%1."/>
      <w:lvlJc w:val="left"/>
      <w:pPr>
        <w:ind w:left="720" w:hanging="360"/>
      </w:pPr>
    </w:lvl>
    <w:lvl w:ilvl="1" w:tplc="224C1824">
      <w:start w:val="1"/>
      <w:numFmt w:val="lowerLetter"/>
      <w:lvlText w:val="%2."/>
      <w:lvlJc w:val="left"/>
      <w:pPr>
        <w:ind w:left="1440" w:hanging="360"/>
      </w:pPr>
    </w:lvl>
    <w:lvl w:ilvl="2" w:tplc="8DFECA10">
      <w:start w:val="1"/>
      <w:numFmt w:val="lowerRoman"/>
      <w:lvlText w:val="%3."/>
      <w:lvlJc w:val="right"/>
      <w:pPr>
        <w:ind w:left="2160" w:hanging="180"/>
      </w:pPr>
    </w:lvl>
    <w:lvl w:ilvl="3" w:tplc="5EF41FBC">
      <w:start w:val="1"/>
      <w:numFmt w:val="decimal"/>
      <w:lvlText w:val="%4."/>
      <w:lvlJc w:val="left"/>
      <w:pPr>
        <w:ind w:left="2880" w:hanging="360"/>
      </w:pPr>
    </w:lvl>
    <w:lvl w:ilvl="4" w:tplc="B8CCF4FA">
      <w:start w:val="1"/>
      <w:numFmt w:val="lowerLetter"/>
      <w:lvlText w:val="%5."/>
      <w:lvlJc w:val="left"/>
      <w:pPr>
        <w:ind w:left="3600" w:hanging="360"/>
      </w:pPr>
    </w:lvl>
    <w:lvl w:ilvl="5" w:tplc="ABCC223C">
      <w:start w:val="1"/>
      <w:numFmt w:val="lowerRoman"/>
      <w:lvlText w:val="%6."/>
      <w:lvlJc w:val="right"/>
      <w:pPr>
        <w:ind w:left="4320" w:hanging="180"/>
      </w:pPr>
    </w:lvl>
    <w:lvl w:ilvl="6" w:tplc="AB3EF0CA">
      <w:start w:val="1"/>
      <w:numFmt w:val="decimal"/>
      <w:lvlText w:val="%7."/>
      <w:lvlJc w:val="left"/>
      <w:pPr>
        <w:ind w:left="5040" w:hanging="360"/>
      </w:pPr>
    </w:lvl>
    <w:lvl w:ilvl="7" w:tplc="24342A9E">
      <w:start w:val="1"/>
      <w:numFmt w:val="lowerLetter"/>
      <w:lvlText w:val="%8."/>
      <w:lvlJc w:val="left"/>
      <w:pPr>
        <w:ind w:left="5760" w:hanging="360"/>
      </w:pPr>
    </w:lvl>
    <w:lvl w:ilvl="8" w:tplc="45DA31F8">
      <w:start w:val="1"/>
      <w:numFmt w:val="lowerRoman"/>
      <w:lvlText w:val="%9."/>
      <w:lvlJc w:val="right"/>
      <w:pPr>
        <w:ind w:left="6480" w:hanging="180"/>
      </w:pPr>
    </w:lvl>
  </w:abstractNum>
  <w:abstractNum w:abstractNumId="2" w15:restartNumberingAfterBreak="0">
    <w:nsid w:val="23199D45"/>
    <w:multiLevelType w:val="hybridMultilevel"/>
    <w:tmpl w:val="50C04D12"/>
    <w:lvl w:ilvl="0" w:tplc="32926BFA">
      <w:start w:val="1"/>
      <w:numFmt w:val="decimal"/>
      <w:lvlText w:val="%1."/>
      <w:lvlJc w:val="left"/>
      <w:pPr>
        <w:ind w:left="720" w:hanging="360"/>
      </w:pPr>
    </w:lvl>
    <w:lvl w:ilvl="1" w:tplc="B72A5342">
      <w:start w:val="1"/>
      <w:numFmt w:val="lowerLetter"/>
      <w:lvlText w:val="%2."/>
      <w:lvlJc w:val="left"/>
      <w:pPr>
        <w:ind w:left="1440" w:hanging="360"/>
      </w:pPr>
    </w:lvl>
    <w:lvl w:ilvl="2" w:tplc="6944F26E">
      <w:start w:val="1"/>
      <w:numFmt w:val="lowerRoman"/>
      <w:lvlText w:val="%3."/>
      <w:lvlJc w:val="right"/>
      <w:pPr>
        <w:ind w:left="2160" w:hanging="180"/>
      </w:pPr>
    </w:lvl>
    <w:lvl w:ilvl="3" w:tplc="24F2B326">
      <w:start w:val="1"/>
      <w:numFmt w:val="decimal"/>
      <w:lvlText w:val="%4."/>
      <w:lvlJc w:val="left"/>
      <w:pPr>
        <w:ind w:left="2880" w:hanging="360"/>
      </w:pPr>
    </w:lvl>
    <w:lvl w:ilvl="4" w:tplc="578873FC">
      <w:start w:val="1"/>
      <w:numFmt w:val="lowerLetter"/>
      <w:lvlText w:val="%5."/>
      <w:lvlJc w:val="left"/>
      <w:pPr>
        <w:ind w:left="3600" w:hanging="360"/>
      </w:pPr>
    </w:lvl>
    <w:lvl w:ilvl="5" w:tplc="E5E63B56">
      <w:start w:val="1"/>
      <w:numFmt w:val="lowerRoman"/>
      <w:lvlText w:val="%6."/>
      <w:lvlJc w:val="right"/>
      <w:pPr>
        <w:ind w:left="4320" w:hanging="180"/>
      </w:pPr>
    </w:lvl>
    <w:lvl w:ilvl="6" w:tplc="B6EE3E72">
      <w:start w:val="1"/>
      <w:numFmt w:val="decimal"/>
      <w:lvlText w:val="%7."/>
      <w:lvlJc w:val="left"/>
      <w:pPr>
        <w:ind w:left="5040" w:hanging="360"/>
      </w:pPr>
    </w:lvl>
    <w:lvl w:ilvl="7" w:tplc="E9BA2C2C">
      <w:start w:val="1"/>
      <w:numFmt w:val="lowerLetter"/>
      <w:lvlText w:val="%8."/>
      <w:lvlJc w:val="left"/>
      <w:pPr>
        <w:ind w:left="5760" w:hanging="360"/>
      </w:pPr>
    </w:lvl>
    <w:lvl w:ilvl="8" w:tplc="D96E045C">
      <w:start w:val="1"/>
      <w:numFmt w:val="lowerRoman"/>
      <w:lvlText w:val="%9."/>
      <w:lvlJc w:val="right"/>
      <w:pPr>
        <w:ind w:left="6480" w:hanging="180"/>
      </w:pPr>
    </w:lvl>
  </w:abstractNum>
  <w:abstractNum w:abstractNumId="3" w15:restartNumberingAfterBreak="0">
    <w:nsid w:val="71B0B545"/>
    <w:multiLevelType w:val="hybridMultilevel"/>
    <w:tmpl w:val="31EC7D2E"/>
    <w:lvl w:ilvl="0" w:tplc="D9EA9052">
      <w:start w:val="1"/>
      <w:numFmt w:val="bullet"/>
      <w:lvlText w:val=""/>
      <w:lvlJc w:val="left"/>
      <w:pPr>
        <w:ind w:left="720" w:hanging="360"/>
      </w:pPr>
      <w:rPr>
        <w:rFonts w:ascii="Symbol" w:hAnsi="Symbol" w:hint="default"/>
      </w:rPr>
    </w:lvl>
    <w:lvl w:ilvl="1" w:tplc="2A5A39AC">
      <w:start w:val="1"/>
      <w:numFmt w:val="bullet"/>
      <w:lvlText w:val="o"/>
      <w:lvlJc w:val="left"/>
      <w:pPr>
        <w:ind w:left="1440" w:hanging="360"/>
      </w:pPr>
      <w:rPr>
        <w:rFonts w:ascii="Courier New" w:hAnsi="Courier New" w:hint="default"/>
      </w:rPr>
    </w:lvl>
    <w:lvl w:ilvl="2" w:tplc="EC2AB3E8">
      <w:start w:val="1"/>
      <w:numFmt w:val="bullet"/>
      <w:lvlText w:val=""/>
      <w:lvlJc w:val="left"/>
      <w:pPr>
        <w:ind w:left="2160" w:hanging="360"/>
      </w:pPr>
      <w:rPr>
        <w:rFonts w:ascii="Wingdings" w:hAnsi="Wingdings" w:hint="default"/>
      </w:rPr>
    </w:lvl>
    <w:lvl w:ilvl="3" w:tplc="5C268912">
      <w:start w:val="1"/>
      <w:numFmt w:val="bullet"/>
      <w:lvlText w:val=""/>
      <w:lvlJc w:val="left"/>
      <w:pPr>
        <w:ind w:left="2880" w:hanging="360"/>
      </w:pPr>
      <w:rPr>
        <w:rFonts w:ascii="Symbol" w:hAnsi="Symbol" w:hint="default"/>
      </w:rPr>
    </w:lvl>
    <w:lvl w:ilvl="4" w:tplc="11A0642C">
      <w:start w:val="1"/>
      <w:numFmt w:val="bullet"/>
      <w:lvlText w:val="o"/>
      <w:lvlJc w:val="left"/>
      <w:pPr>
        <w:ind w:left="3600" w:hanging="360"/>
      </w:pPr>
      <w:rPr>
        <w:rFonts w:ascii="Courier New" w:hAnsi="Courier New" w:hint="default"/>
      </w:rPr>
    </w:lvl>
    <w:lvl w:ilvl="5" w:tplc="4232C98C">
      <w:start w:val="1"/>
      <w:numFmt w:val="bullet"/>
      <w:lvlText w:val=""/>
      <w:lvlJc w:val="left"/>
      <w:pPr>
        <w:ind w:left="4320" w:hanging="360"/>
      </w:pPr>
      <w:rPr>
        <w:rFonts w:ascii="Wingdings" w:hAnsi="Wingdings" w:hint="default"/>
      </w:rPr>
    </w:lvl>
    <w:lvl w:ilvl="6" w:tplc="8ED295F4">
      <w:start w:val="1"/>
      <w:numFmt w:val="bullet"/>
      <w:lvlText w:val=""/>
      <w:lvlJc w:val="left"/>
      <w:pPr>
        <w:ind w:left="5040" w:hanging="360"/>
      </w:pPr>
      <w:rPr>
        <w:rFonts w:ascii="Symbol" w:hAnsi="Symbol" w:hint="default"/>
      </w:rPr>
    </w:lvl>
    <w:lvl w:ilvl="7" w:tplc="38DA7488">
      <w:start w:val="1"/>
      <w:numFmt w:val="bullet"/>
      <w:lvlText w:val="o"/>
      <w:lvlJc w:val="left"/>
      <w:pPr>
        <w:ind w:left="5760" w:hanging="360"/>
      </w:pPr>
      <w:rPr>
        <w:rFonts w:ascii="Courier New" w:hAnsi="Courier New" w:hint="default"/>
      </w:rPr>
    </w:lvl>
    <w:lvl w:ilvl="8" w:tplc="E1A05764">
      <w:start w:val="1"/>
      <w:numFmt w:val="bullet"/>
      <w:lvlText w:val=""/>
      <w:lvlJc w:val="left"/>
      <w:pPr>
        <w:ind w:left="6480" w:hanging="360"/>
      </w:pPr>
      <w:rPr>
        <w:rFonts w:ascii="Wingdings" w:hAnsi="Wingdings" w:hint="default"/>
      </w:rPr>
    </w:lvl>
  </w:abstractNum>
  <w:num w:numId="1" w16cid:durableId="2072577312">
    <w:abstractNumId w:val="0"/>
  </w:num>
  <w:num w:numId="2" w16cid:durableId="1156721341">
    <w:abstractNumId w:val="2"/>
  </w:num>
  <w:num w:numId="3" w16cid:durableId="440497049">
    <w:abstractNumId w:val="1"/>
  </w:num>
  <w:num w:numId="4" w16cid:durableId="90009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B534B7"/>
    <w:rsid w:val="00130774"/>
    <w:rsid w:val="001345D4"/>
    <w:rsid w:val="00456045"/>
    <w:rsid w:val="0050E52D"/>
    <w:rsid w:val="00577A25"/>
    <w:rsid w:val="008B0471"/>
    <w:rsid w:val="00B84B43"/>
    <w:rsid w:val="00E06D80"/>
    <w:rsid w:val="00FC408F"/>
    <w:rsid w:val="01F07A21"/>
    <w:rsid w:val="02AFA6A7"/>
    <w:rsid w:val="0379517E"/>
    <w:rsid w:val="04F840C3"/>
    <w:rsid w:val="0618B2DC"/>
    <w:rsid w:val="06999EBB"/>
    <w:rsid w:val="083234A4"/>
    <w:rsid w:val="094FF601"/>
    <w:rsid w:val="09A2AE39"/>
    <w:rsid w:val="0A2A36A1"/>
    <w:rsid w:val="0AAA0A4F"/>
    <w:rsid w:val="0AE18B34"/>
    <w:rsid w:val="0B1B525F"/>
    <w:rsid w:val="0BC46E85"/>
    <w:rsid w:val="0DFE32A1"/>
    <w:rsid w:val="0E0541B2"/>
    <w:rsid w:val="0EB911BF"/>
    <w:rsid w:val="0FAF296F"/>
    <w:rsid w:val="115099C9"/>
    <w:rsid w:val="13699560"/>
    <w:rsid w:val="15EF7490"/>
    <w:rsid w:val="16B0C29A"/>
    <w:rsid w:val="16E4D523"/>
    <w:rsid w:val="17A32F69"/>
    <w:rsid w:val="1A4B2D04"/>
    <w:rsid w:val="1B37FEF2"/>
    <w:rsid w:val="1C356EF1"/>
    <w:rsid w:val="1C963DD9"/>
    <w:rsid w:val="1D228C2B"/>
    <w:rsid w:val="1D7D99D5"/>
    <w:rsid w:val="1EE36143"/>
    <w:rsid w:val="1F3AFBB3"/>
    <w:rsid w:val="2015A135"/>
    <w:rsid w:val="2040C22C"/>
    <w:rsid w:val="222EA751"/>
    <w:rsid w:val="2239B3B7"/>
    <w:rsid w:val="229F35D8"/>
    <w:rsid w:val="233125F8"/>
    <w:rsid w:val="2371DE69"/>
    <w:rsid w:val="242BF906"/>
    <w:rsid w:val="262EC586"/>
    <w:rsid w:val="26A34048"/>
    <w:rsid w:val="26C016ED"/>
    <w:rsid w:val="278017EA"/>
    <w:rsid w:val="27FD1DD1"/>
    <w:rsid w:val="285EE674"/>
    <w:rsid w:val="299EF649"/>
    <w:rsid w:val="29CB0AC2"/>
    <w:rsid w:val="2A5A1E76"/>
    <w:rsid w:val="2AD449C0"/>
    <w:rsid w:val="2B8581C7"/>
    <w:rsid w:val="2C29FE7D"/>
    <w:rsid w:val="2C7978F7"/>
    <w:rsid w:val="2DABD903"/>
    <w:rsid w:val="2DD23903"/>
    <w:rsid w:val="2DDE36DC"/>
    <w:rsid w:val="2E6420B1"/>
    <w:rsid w:val="2E8A86C2"/>
    <w:rsid w:val="2EAC2333"/>
    <w:rsid w:val="2F5F367F"/>
    <w:rsid w:val="3028F345"/>
    <w:rsid w:val="30395BD4"/>
    <w:rsid w:val="307F6A24"/>
    <w:rsid w:val="30DD79B1"/>
    <w:rsid w:val="3147699C"/>
    <w:rsid w:val="31BD7468"/>
    <w:rsid w:val="3326D478"/>
    <w:rsid w:val="33F00C5D"/>
    <w:rsid w:val="34420061"/>
    <w:rsid w:val="360AB717"/>
    <w:rsid w:val="3684317A"/>
    <w:rsid w:val="3781EE69"/>
    <w:rsid w:val="378A1C91"/>
    <w:rsid w:val="37E99892"/>
    <w:rsid w:val="38BAA9C7"/>
    <w:rsid w:val="38CE2F65"/>
    <w:rsid w:val="3A64C7AE"/>
    <w:rsid w:val="3AE8435A"/>
    <w:rsid w:val="3B6FF698"/>
    <w:rsid w:val="3C0CD547"/>
    <w:rsid w:val="3C12CA16"/>
    <w:rsid w:val="3C4F1818"/>
    <w:rsid w:val="3CECD4E7"/>
    <w:rsid w:val="3D3906C2"/>
    <w:rsid w:val="3F28871A"/>
    <w:rsid w:val="3F531C35"/>
    <w:rsid w:val="3FAA4BB9"/>
    <w:rsid w:val="40864E1C"/>
    <w:rsid w:val="409B144D"/>
    <w:rsid w:val="40B17F20"/>
    <w:rsid w:val="425B24F4"/>
    <w:rsid w:val="42EE9B30"/>
    <w:rsid w:val="44204A32"/>
    <w:rsid w:val="44D89469"/>
    <w:rsid w:val="455624CC"/>
    <w:rsid w:val="459FF9C2"/>
    <w:rsid w:val="475AEDFF"/>
    <w:rsid w:val="47AADBCA"/>
    <w:rsid w:val="48240DDC"/>
    <w:rsid w:val="484D3703"/>
    <w:rsid w:val="4A769C8D"/>
    <w:rsid w:val="4ABF5C70"/>
    <w:rsid w:val="4C974134"/>
    <w:rsid w:val="4D415C21"/>
    <w:rsid w:val="4FCB1A37"/>
    <w:rsid w:val="51594E94"/>
    <w:rsid w:val="53718676"/>
    <w:rsid w:val="538015EE"/>
    <w:rsid w:val="53AD617B"/>
    <w:rsid w:val="54411E72"/>
    <w:rsid w:val="55934B3A"/>
    <w:rsid w:val="5965AB23"/>
    <w:rsid w:val="5986000C"/>
    <w:rsid w:val="5A237850"/>
    <w:rsid w:val="5A52ECBF"/>
    <w:rsid w:val="5B97DA40"/>
    <w:rsid w:val="5CBC8B71"/>
    <w:rsid w:val="5D417707"/>
    <w:rsid w:val="5E50597A"/>
    <w:rsid w:val="5F9A5B1C"/>
    <w:rsid w:val="602647BD"/>
    <w:rsid w:val="60A6046F"/>
    <w:rsid w:val="612083CC"/>
    <w:rsid w:val="63256D4F"/>
    <w:rsid w:val="6331E9A2"/>
    <w:rsid w:val="6433BD96"/>
    <w:rsid w:val="64DDF3AA"/>
    <w:rsid w:val="65EC28EA"/>
    <w:rsid w:val="6740E088"/>
    <w:rsid w:val="67D6EE65"/>
    <w:rsid w:val="694269BF"/>
    <w:rsid w:val="6AF5F023"/>
    <w:rsid w:val="6B44AD39"/>
    <w:rsid w:val="6BAAB3EE"/>
    <w:rsid w:val="6D171ADE"/>
    <w:rsid w:val="6FA449DA"/>
    <w:rsid w:val="72B534B7"/>
    <w:rsid w:val="7322C7F9"/>
    <w:rsid w:val="73A9402B"/>
    <w:rsid w:val="7454B1FB"/>
    <w:rsid w:val="753A17E3"/>
    <w:rsid w:val="759A7ECF"/>
    <w:rsid w:val="76ED6DD2"/>
    <w:rsid w:val="776971ED"/>
    <w:rsid w:val="78CDD9DD"/>
    <w:rsid w:val="78D3DC51"/>
    <w:rsid w:val="7A4BC333"/>
    <w:rsid w:val="7A4EDD2F"/>
    <w:rsid w:val="7BABA7F5"/>
    <w:rsid w:val="7D4FCBF2"/>
    <w:rsid w:val="7E0C4938"/>
    <w:rsid w:val="7E5B9E32"/>
    <w:rsid w:val="7E97C0B8"/>
    <w:rsid w:val="7E9A8585"/>
    <w:rsid w:val="7FB2747F"/>
    <w:rsid w:val="7FDBA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3B244"/>
  <w15:chartTrackingRefBased/>
  <w15:docId w15:val="{87D89BB9-2419-41BA-85E9-71EA011AD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B1B525F"/>
    <w:pPr>
      <w:ind w:left="720"/>
      <w:contextualSpacing/>
    </w:pPr>
  </w:style>
  <w:style w:type="character" w:styleId="Hyperlink">
    <w:name w:val="Hyperlink"/>
    <w:basedOn w:val="DefaultParagraphFont"/>
    <w:uiPriority w:val="99"/>
    <w:unhideWhenUsed/>
    <w:rsid w:val="0EB911BF"/>
    <w:rPr>
      <w:color w:val="467886"/>
      <w:u w:val="single"/>
    </w:rPr>
  </w:style>
  <w:style w:type="paragraph" w:styleId="Header">
    <w:name w:val="header"/>
    <w:basedOn w:val="Normal"/>
    <w:uiPriority w:val="99"/>
    <w:unhideWhenUsed/>
    <w:rsid w:val="694269BF"/>
    <w:pPr>
      <w:tabs>
        <w:tab w:val="center" w:pos="4680"/>
        <w:tab w:val="right" w:pos="9360"/>
      </w:tabs>
      <w:spacing w:after="0" w:line="240" w:lineRule="auto"/>
    </w:pPr>
  </w:style>
  <w:style w:type="paragraph" w:styleId="Footer">
    <w:name w:val="footer"/>
    <w:basedOn w:val="Normal"/>
    <w:uiPriority w:val="99"/>
    <w:unhideWhenUsed/>
    <w:rsid w:val="694269B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kri.org/who-we-are/how-we-are-doing/research-outcomes-and-impact/ahrc/creative-health-research-decreases-missed-mammogra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gland.nhs.uk/wp-content/uploads/2023/08/PRN00654-national-cancer-waiting-times-monitoring-dataset-guidance-v12.pdf" TargetMode="External"/><Relationship Id="rId4" Type="http://schemas.openxmlformats.org/officeDocument/2006/relationships/webSettings" Target="webSettings.xml"/><Relationship Id="rId9" Type="http://schemas.openxmlformats.org/officeDocument/2006/relationships/hyperlink" Target="https://www.gov.uk/guidance/regulating-medical-devices-in-the-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1599</Words>
  <Characters>9103</Characters>
  <Application>Microsoft Office Word</Application>
  <DocSecurity>0</DocSecurity>
  <Lines>154</Lines>
  <Paragraphs>53</Paragraphs>
  <ScaleCrop>false</ScaleCrop>
  <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Joan Miller (2406689)</cp:lastModifiedBy>
  <cp:revision>2</cp:revision>
  <dcterms:created xsi:type="dcterms:W3CDTF">2026-03-29T23:58:00Z</dcterms:created>
  <dcterms:modified xsi:type="dcterms:W3CDTF">2026-03-29T23:58:00Z</dcterms:modified>
</cp:coreProperties>
</file>