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FD2F39" w14:textId="77777777" w:rsidR="00571B51" w:rsidRPr="00E70A69" w:rsidRDefault="00571B51" w:rsidP="00571B51">
      <w:pPr>
        <w:jc w:val="center"/>
        <w:rPr>
          <w:rFonts w:cs="Arial"/>
        </w:rPr>
      </w:pPr>
      <w:r w:rsidRPr="00E70A69">
        <w:rPr>
          <w:rFonts w:cs="Arial"/>
          <w:noProof/>
        </w:rPr>
        <w:drawing>
          <wp:inline distT="0" distB="0" distL="0" distR="0" wp14:anchorId="6DEEC80B" wp14:editId="3EBD7983">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6DDE7F1A" w14:textId="77777777" w:rsidR="00571B51" w:rsidRPr="00E70A69" w:rsidRDefault="00571B51" w:rsidP="00571B51">
      <w:pPr>
        <w:rPr>
          <w:rFonts w:cs="Arial"/>
        </w:rPr>
      </w:pPr>
    </w:p>
    <w:p w14:paraId="0BBEFAF0" w14:textId="77777777" w:rsidR="00571B51" w:rsidRPr="00E70A69" w:rsidRDefault="00571B51" w:rsidP="00571B51">
      <w:pPr>
        <w:jc w:val="center"/>
        <w:rPr>
          <w:rFonts w:cs="Arial"/>
        </w:rPr>
      </w:pPr>
    </w:p>
    <w:p w14:paraId="75B93337" w14:textId="5B450557" w:rsidR="00571B51" w:rsidRPr="003B0C93" w:rsidRDefault="00571B51" w:rsidP="00571B51">
      <w:pPr>
        <w:jc w:val="center"/>
        <w:rPr>
          <w:rFonts w:cs="Arial"/>
          <w:b/>
          <w:bCs/>
          <w:sz w:val="32"/>
          <w:szCs w:val="28"/>
          <w:lang w:val="nl-NL"/>
        </w:rPr>
      </w:pPr>
      <w:r w:rsidRPr="003B0C93">
        <w:rPr>
          <w:rFonts w:cs="Arial"/>
          <w:b/>
          <w:bCs/>
          <w:sz w:val="32"/>
          <w:szCs w:val="28"/>
          <w:lang w:val="nl-NL"/>
        </w:rPr>
        <w:t>Student Name:</w:t>
      </w:r>
      <w:r w:rsidR="008D1425" w:rsidRPr="003B0C93">
        <w:rPr>
          <w:rFonts w:cs="Arial"/>
          <w:sz w:val="32"/>
          <w:szCs w:val="28"/>
          <w:lang w:val="nl-NL"/>
        </w:rPr>
        <w:t xml:space="preserve"> </w:t>
      </w:r>
      <w:r w:rsidR="008D1425" w:rsidRPr="003B0C93">
        <w:rPr>
          <w:rFonts w:cs="Arial"/>
          <w:b/>
          <w:bCs/>
          <w:sz w:val="32"/>
          <w:szCs w:val="28"/>
          <w:lang w:val="nl-NL"/>
        </w:rPr>
        <w:t>M</w:t>
      </w:r>
      <w:r w:rsidR="00202F08" w:rsidRPr="003B0C93">
        <w:rPr>
          <w:rFonts w:cs="Arial"/>
          <w:b/>
          <w:bCs/>
          <w:sz w:val="32"/>
          <w:szCs w:val="28"/>
          <w:lang w:val="nl-NL"/>
        </w:rPr>
        <w:t>d Ala</w:t>
      </w:r>
      <w:r w:rsidR="008D1425" w:rsidRPr="003B0C93">
        <w:rPr>
          <w:rFonts w:cs="Arial"/>
          <w:b/>
          <w:bCs/>
          <w:sz w:val="32"/>
          <w:szCs w:val="28"/>
          <w:lang w:val="nl-NL"/>
        </w:rPr>
        <w:t>min</w:t>
      </w:r>
    </w:p>
    <w:p w14:paraId="5CEEC1BC" w14:textId="30BD2494" w:rsidR="00571B51" w:rsidRPr="003B0C93" w:rsidRDefault="00571B51" w:rsidP="00571B51">
      <w:pPr>
        <w:jc w:val="center"/>
        <w:rPr>
          <w:rFonts w:cs="Arial"/>
          <w:b/>
          <w:bCs/>
          <w:sz w:val="32"/>
          <w:szCs w:val="28"/>
          <w:lang w:val="nl-NL"/>
        </w:rPr>
      </w:pPr>
      <w:r w:rsidRPr="003B0C93">
        <w:rPr>
          <w:rFonts w:cs="Arial"/>
          <w:b/>
          <w:bCs/>
          <w:sz w:val="32"/>
          <w:szCs w:val="28"/>
          <w:lang w:val="nl-NL"/>
        </w:rPr>
        <w:t>Student ID:</w:t>
      </w:r>
      <w:r w:rsidR="00202F08" w:rsidRPr="003B0C93">
        <w:rPr>
          <w:rFonts w:cs="Arial"/>
          <w:b/>
          <w:bCs/>
          <w:sz w:val="32"/>
          <w:szCs w:val="28"/>
          <w:lang w:val="nl-NL"/>
        </w:rPr>
        <w:t xml:space="preserve"> 2434280</w:t>
      </w:r>
    </w:p>
    <w:p w14:paraId="4D4DEAAD" w14:textId="77777777" w:rsidR="00571B51" w:rsidRPr="003B0C93" w:rsidRDefault="00571B51" w:rsidP="00571B51">
      <w:pPr>
        <w:rPr>
          <w:rFonts w:cs="Arial"/>
          <w:sz w:val="32"/>
          <w:szCs w:val="28"/>
          <w:lang w:val="nl-NL"/>
        </w:rPr>
      </w:pPr>
    </w:p>
    <w:p w14:paraId="085ED04D" w14:textId="531B6B72" w:rsidR="00571B51" w:rsidRPr="003B0C93" w:rsidRDefault="00571B51" w:rsidP="00571B51">
      <w:pPr>
        <w:jc w:val="center"/>
        <w:rPr>
          <w:rFonts w:cs="Arial"/>
          <w:b/>
          <w:bCs/>
          <w:sz w:val="32"/>
          <w:szCs w:val="28"/>
        </w:rPr>
      </w:pPr>
      <w:r w:rsidRPr="003B0C93">
        <w:rPr>
          <w:rFonts w:cs="Arial"/>
          <w:b/>
          <w:bCs/>
          <w:sz w:val="32"/>
          <w:szCs w:val="28"/>
        </w:rPr>
        <w:t>Module Name: Marketing Management</w:t>
      </w:r>
    </w:p>
    <w:p w14:paraId="4DEBAC8E" w14:textId="5DF5D273" w:rsidR="00571B51" w:rsidRPr="003B0C93" w:rsidRDefault="00571B51" w:rsidP="00571B51">
      <w:pPr>
        <w:jc w:val="center"/>
        <w:rPr>
          <w:rFonts w:cs="Arial"/>
          <w:b/>
          <w:bCs/>
          <w:sz w:val="32"/>
          <w:szCs w:val="28"/>
        </w:rPr>
      </w:pPr>
      <w:r w:rsidRPr="003B0C93">
        <w:rPr>
          <w:rFonts w:cs="Arial"/>
          <w:b/>
          <w:bCs/>
          <w:sz w:val="32"/>
          <w:szCs w:val="28"/>
        </w:rPr>
        <w:t>Module Code: LCMB7024</w:t>
      </w:r>
    </w:p>
    <w:p w14:paraId="6A6203AB" w14:textId="2FAD4384" w:rsidR="00571B51" w:rsidRPr="003B0C93" w:rsidRDefault="00571B51" w:rsidP="00571B51">
      <w:pPr>
        <w:jc w:val="center"/>
        <w:rPr>
          <w:rFonts w:cs="Arial"/>
          <w:b/>
          <w:bCs/>
          <w:sz w:val="32"/>
          <w:szCs w:val="28"/>
        </w:rPr>
      </w:pPr>
      <w:r w:rsidRPr="003B0C93">
        <w:rPr>
          <w:rFonts w:cs="Arial"/>
          <w:b/>
          <w:bCs/>
          <w:sz w:val="32"/>
          <w:szCs w:val="28"/>
        </w:rPr>
        <w:t>Lecturer’s Name:</w:t>
      </w:r>
      <w:r w:rsidR="001D76D1" w:rsidRPr="003B0C93">
        <w:rPr>
          <w:rFonts w:cs="Arial"/>
          <w:b/>
          <w:bCs/>
          <w:sz w:val="32"/>
          <w:szCs w:val="28"/>
        </w:rPr>
        <w:t xml:space="preserve"> Dr Laila Maazouz</w:t>
      </w:r>
    </w:p>
    <w:p w14:paraId="1748D636" w14:textId="1B360C15" w:rsidR="00571B51" w:rsidRPr="003B0C93" w:rsidRDefault="00571B51" w:rsidP="00571B51">
      <w:pPr>
        <w:jc w:val="center"/>
        <w:rPr>
          <w:rFonts w:cs="Arial"/>
          <w:b/>
          <w:bCs/>
          <w:sz w:val="32"/>
          <w:szCs w:val="28"/>
        </w:rPr>
      </w:pPr>
      <w:r w:rsidRPr="003B0C93">
        <w:rPr>
          <w:rFonts w:cs="Arial"/>
          <w:b/>
          <w:bCs/>
          <w:sz w:val="32"/>
          <w:szCs w:val="28"/>
        </w:rPr>
        <w:t>Work Count:</w:t>
      </w:r>
      <w:r w:rsidR="00B64533" w:rsidRPr="003B0C93">
        <w:rPr>
          <w:rFonts w:cs="Arial"/>
          <w:b/>
          <w:bCs/>
          <w:sz w:val="32"/>
          <w:szCs w:val="28"/>
        </w:rPr>
        <w:t xml:space="preserve"> 27</w:t>
      </w:r>
      <w:r w:rsidR="00C537E8" w:rsidRPr="003B0C93">
        <w:rPr>
          <w:rFonts w:cs="Arial"/>
          <w:b/>
          <w:bCs/>
          <w:sz w:val="32"/>
          <w:szCs w:val="28"/>
        </w:rPr>
        <w:t>17</w:t>
      </w:r>
    </w:p>
    <w:p w14:paraId="604EA4F7" w14:textId="77777777" w:rsidR="00571B51" w:rsidRPr="003B0C93" w:rsidRDefault="00571B51" w:rsidP="00571B51">
      <w:pPr>
        <w:jc w:val="center"/>
        <w:rPr>
          <w:rFonts w:cs="Arial"/>
          <w:b/>
          <w:bCs/>
          <w:sz w:val="32"/>
          <w:szCs w:val="28"/>
        </w:rPr>
      </w:pPr>
      <w:r w:rsidRPr="003B0C93">
        <w:rPr>
          <w:rFonts w:cs="Arial"/>
          <w:b/>
          <w:bCs/>
          <w:sz w:val="32"/>
          <w:szCs w:val="28"/>
        </w:rPr>
        <w:t>Term 1</w:t>
      </w:r>
    </w:p>
    <w:p w14:paraId="00A75ABB" w14:textId="504E6776" w:rsidR="00D838B6" w:rsidRPr="00E70A69" w:rsidRDefault="00571B51" w:rsidP="006C0005">
      <w:pPr>
        <w:rPr>
          <w:rFonts w:cs="Arial"/>
          <w:noProof/>
        </w:rPr>
      </w:pPr>
      <w:r w:rsidRPr="00E70A69">
        <w:rPr>
          <w:rFonts w:cs="Arial"/>
          <w:b/>
          <w:bCs/>
        </w:rPr>
        <w:br w:type="page"/>
      </w:r>
    </w:p>
    <w:sdt>
      <w:sdtPr>
        <w:rPr>
          <w:rFonts w:ascii="Arial" w:eastAsiaTheme="minorHAnsi" w:hAnsi="Arial" w:cs="Arial"/>
          <w:b/>
          <w:bCs/>
          <w:noProof/>
          <w:color w:val="auto"/>
          <w:kern w:val="2"/>
          <w:sz w:val="24"/>
          <w:szCs w:val="24"/>
          <w:lang w:val="en-GB"/>
          <w14:ligatures w14:val="standardContextual"/>
        </w:rPr>
        <w:id w:val="2079267196"/>
        <w:docPartObj>
          <w:docPartGallery w:val="Table of Contents"/>
          <w:docPartUnique/>
        </w:docPartObj>
      </w:sdtPr>
      <w:sdtEndPr/>
      <w:sdtContent>
        <w:p w14:paraId="3D664BCE" w14:textId="77777777" w:rsidR="00EF1C57" w:rsidRPr="00E70A69" w:rsidRDefault="00EF1C57" w:rsidP="00EF1C57">
          <w:pPr>
            <w:pStyle w:val="TOCHeading"/>
            <w:spacing w:line="360" w:lineRule="auto"/>
            <w:jc w:val="center"/>
            <w:rPr>
              <w:rFonts w:ascii="Arial" w:hAnsi="Arial" w:cs="Arial"/>
              <w:b/>
              <w:bCs/>
            </w:rPr>
          </w:pPr>
          <w:r w:rsidRPr="00E70A69">
            <w:rPr>
              <w:rFonts w:ascii="Arial" w:hAnsi="Arial" w:cs="Arial"/>
              <w:b/>
              <w:bCs/>
            </w:rPr>
            <w:t>Contents</w:t>
          </w:r>
        </w:p>
        <w:p w14:paraId="66717C89" w14:textId="7DFD36F4" w:rsidR="002A004E" w:rsidRPr="00E70A69" w:rsidRDefault="00EF1C57">
          <w:pPr>
            <w:pStyle w:val="TOC1"/>
            <w:rPr>
              <w:rFonts w:eastAsiaTheme="minorEastAsia" w:cs="Arial"/>
              <w:b w:val="0"/>
              <w:bCs w:val="0"/>
              <w:lang w:eastAsia="en-GB"/>
            </w:rPr>
          </w:pPr>
          <w:r w:rsidRPr="00E70A69">
            <w:rPr>
              <w:rFonts w:cs="Arial"/>
            </w:rPr>
            <w:fldChar w:fldCharType="begin"/>
          </w:r>
          <w:r w:rsidRPr="00E70A69">
            <w:rPr>
              <w:rFonts w:cs="Arial"/>
            </w:rPr>
            <w:instrText>TOC \o "1-3" \z \u \h</w:instrText>
          </w:r>
          <w:r w:rsidRPr="00E70A69">
            <w:rPr>
              <w:rFonts w:cs="Arial"/>
            </w:rPr>
            <w:fldChar w:fldCharType="separate"/>
          </w:r>
          <w:hyperlink w:anchor="_Toc214411346" w:history="1">
            <w:r w:rsidR="002A004E" w:rsidRPr="00E70A69">
              <w:rPr>
                <w:rStyle w:val="Hyperlink"/>
                <w:rFonts w:cs="Arial"/>
              </w:rPr>
              <w:t>1. Introduction</w:t>
            </w:r>
            <w:r w:rsidR="002A004E" w:rsidRPr="00E70A69">
              <w:rPr>
                <w:rFonts w:cs="Arial"/>
                <w:webHidden/>
              </w:rPr>
              <w:tab/>
            </w:r>
            <w:r w:rsidR="002A004E" w:rsidRPr="00E70A69">
              <w:rPr>
                <w:rFonts w:cs="Arial"/>
                <w:webHidden/>
              </w:rPr>
              <w:fldChar w:fldCharType="begin"/>
            </w:r>
            <w:r w:rsidR="002A004E" w:rsidRPr="00E70A69">
              <w:rPr>
                <w:rFonts w:cs="Arial"/>
                <w:webHidden/>
              </w:rPr>
              <w:instrText xml:space="preserve"> PAGEREF _Toc214411346 \h </w:instrText>
            </w:r>
            <w:r w:rsidR="002A004E" w:rsidRPr="00E70A69">
              <w:rPr>
                <w:rFonts w:cs="Arial"/>
                <w:webHidden/>
              </w:rPr>
            </w:r>
            <w:r w:rsidR="002A004E" w:rsidRPr="00E70A69">
              <w:rPr>
                <w:rFonts w:cs="Arial"/>
                <w:webHidden/>
              </w:rPr>
              <w:fldChar w:fldCharType="separate"/>
            </w:r>
            <w:r w:rsidR="002A004E" w:rsidRPr="00E70A69">
              <w:rPr>
                <w:rFonts w:cs="Arial"/>
                <w:webHidden/>
              </w:rPr>
              <w:t>4</w:t>
            </w:r>
            <w:r w:rsidR="002A004E" w:rsidRPr="00E70A69">
              <w:rPr>
                <w:rFonts w:cs="Arial"/>
                <w:webHidden/>
              </w:rPr>
              <w:fldChar w:fldCharType="end"/>
            </w:r>
          </w:hyperlink>
        </w:p>
        <w:p w14:paraId="2AC38776" w14:textId="7BFA2048" w:rsidR="002A004E" w:rsidRPr="00E70A69" w:rsidRDefault="002A004E">
          <w:pPr>
            <w:pStyle w:val="TOC1"/>
            <w:rPr>
              <w:rFonts w:eastAsiaTheme="minorEastAsia" w:cs="Arial"/>
              <w:b w:val="0"/>
              <w:bCs w:val="0"/>
              <w:lang w:eastAsia="en-GB"/>
            </w:rPr>
          </w:pPr>
          <w:hyperlink w:anchor="_Toc214411347" w:history="1">
            <w:r w:rsidRPr="00E70A69">
              <w:rPr>
                <w:rStyle w:val="Hyperlink"/>
                <w:rFonts w:cs="Arial"/>
              </w:rPr>
              <w:t>2. Task 1: Critical Analysis of the Macro Marketing Environment</w:t>
            </w:r>
            <w:r w:rsidRPr="00E70A69">
              <w:rPr>
                <w:rFonts w:cs="Arial"/>
                <w:webHidden/>
              </w:rPr>
              <w:tab/>
            </w:r>
            <w:r w:rsidRPr="00E70A69">
              <w:rPr>
                <w:rFonts w:cs="Arial"/>
                <w:webHidden/>
              </w:rPr>
              <w:fldChar w:fldCharType="begin"/>
            </w:r>
            <w:r w:rsidRPr="00E70A69">
              <w:rPr>
                <w:rFonts w:cs="Arial"/>
                <w:webHidden/>
              </w:rPr>
              <w:instrText xml:space="preserve"> PAGEREF _Toc214411347 \h </w:instrText>
            </w:r>
            <w:r w:rsidRPr="00E70A69">
              <w:rPr>
                <w:rFonts w:cs="Arial"/>
                <w:webHidden/>
              </w:rPr>
            </w:r>
            <w:r w:rsidRPr="00E70A69">
              <w:rPr>
                <w:rFonts w:cs="Arial"/>
                <w:webHidden/>
              </w:rPr>
              <w:fldChar w:fldCharType="separate"/>
            </w:r>
            <w:r w:rsidRPr="00E70A69">
              <w:rPr>
                <w:rFonts w:cs="Arial"/>
                <w:webHidden/>
              </w:rPr>
              <w:t>5</w:t>
            </w:r>
            <w:r w:rsidRPr="00E70A69">
              <w:rPr>
                <w:rFonts w:cs="Arial"/>
                <w:webHidden/>
              </w:rPr>
              <w:fldChar w:fldCharType="end"/>
            </w:r>
          </w:hyperlink>
        </w:p>
        <w:p w14:paraId="2A307EBA" w14:textId="5B6DA0CA" w:rsidR="002A004E" w:rsidRPr="00E70A69" w:rsidRDefault="002A004E">
          <w:pPr>
            <w:pStyle w:val="TOC2"/>
            <w:tabs>
              <w:tab w:val="right" w:leader="dot" w:pos="9016"/>
            </w:tabs>
            <w:rPr>
              <w:rFonts w:eastAsiaTheme="minorEastAsia" w:cs="Arial"/>
              <w:noProof/>
              <w:kern w:val="2"/>
              <w:szCs w:val="24"/>
              <w:lang w:eastAsia="en-GB"/>
              <w14:ligatures w14:val="standardContextual"/>
            </w:rPr>
          </w:pPr>
          <w:hyperlink w:anchor="_Toc214411348" w:history="1">
            <w:r w:rsidRPr="00E70A69">
              <w:rPr>
                <w:rStyle w:val="Hyperlink"/>
                <w:rFonts w:cs="Arial"/>
                <w:noProof/>
              </w:rPr>
              <w:t>2.1 Overview of the Macro Marketing Environment</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_Toc214411348 \h </w:instrText>
            </w:r>
            <w:r w:rsidRPr="00E70A69">
              <w:rPr>
                <w:rFonts w:cs="Arial"/>
                <w:noProof/>
                <w:webHidden/>
              </w:rPr>
            </w:r>
            <w:r w:rsidRPr="00E70A69">
              <w:rPr>
                <w:rFonts w:cs="Arial"/>
                <w:noProof/>
                <w:webHidden/>
              </w:rPr>
              <w:fldChar w:fldCharType="separate"/>
            </w:r>
            <w:r w:rsidRPr="00E70A69">
              <w:rPr>
                <w:rFonts w:cs="Arial"/>
                <w:noProof/>
                <w:webHidden/>
              </w:rPr>
              <w:t>5</w:t>
            </w:r>
            <w:r w:rsidRPr="00E70A69">
              <w:rPr>
                <w:rFonts w:cs="Arial"/>
                <w:noProof/>
                <w:webHidden/>
              </w:rPr>
              <w:fldChar w:fldCharType="end"/>
            </w:r>
          </w:hyperlink>
        </w:p>
        <w:p w14:paraId="217A7CA4" w14:textId="7991D39B" w:rsidR="002A004E" w:rsidRPr="00E70A69" w:rsidRDefault="002A004E">
          <w:pPr>
            <w:pStyle w:val="TOC2"/>
            <w:tabs>
              <w:tab w:val="right" w:leader="dot" w:pos="9016"/>
            </w:tabs>
            <w:rPr>
              <w:rFonts w:eastAsiaTheme="minorEastAsia" w:cs="Arial"/>
              <w:noProof/>
              <w:kern w:val="2"/>
              <w:szCs w:val="24"/>
              <w:lang w:eastAsia="en-GB"/>
              <w14:ligatures w14:val="standardContextual"/>
            </w:rPr>
          </w:pPr>
          <w:hyperlink w:anchor="_Toc214411349" w:history="1">
            <w:r w:rsidRPr="00E70A69">
              <w:rPr>
                <w:rStyle w:val="Hyperlink"/>
                <w:rFonts w:cs="Arial"/>
                <w:noProof/>
              </w:rPr>
              <w:t>2.2 Selection of Two External Macro Marketing Actors</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_Toc214411349 \h </w:instrText>
            </w:r>
            <w:r w:rsidRPr="00E70A69">
              <w:rPr>
                <w:rFonts w:cs="Arial"/>
                <w:noProof/>
                <w:webHidden/>
              </w:rPr>
            </w:r>
            <w:r w:rsidRPr="00E70A69">
              <w:rPr>
                <w:rFonts w:cs="Arial"/>
                <w:noProof/>
                <w:webHidden/>
              </w:rPr>
              <w:fldChar w:fldCharType="separate"/>
            </w:r>
            <w:r w:rsidRPr="00E70A69">
              <w:rPr>
                <w:rFonts w:cs="Arial"/>
                <w:noProof/>
                <w:webHidden/>
              </w:rPr>
              <w:t>6</w:t>
            </w:r>
            <w:r w:rsidRPr="00E70A69">
              <w:rPr>
                <w:rFonts w:cs="Arial"/>
                <w:noProof/>
                <w:webHidden/>
              </w:rPr>
              <w:fldChar w:fldCharType="end"/>
            </w:r>
          </w:hyperlink>
        </w:p>
        <w:p w14:paraId="730C5599" w14:textId="6264822A" w:rsidR="002A004E" w:rsidRPr="00E70A69" w:rsidRDefault="002A004E">
          <w:pPr>
            <w:pStyle w:val="TOC2"/>
            <w:tabs>
              <w:tab w:val="right" w:leader="dot" w:pos="9016"/>
            </w:tabs>
            <w:rPr>
              <w:rFonts w:eastAsiaTheme="minorEastAsia" w:cs="Arial"/>
              <w:noProof/>
              <w:kern w:val="2"/>
              <w:szCs w:val="24"/>
              <w:lang w:eastAsia="en-GB"/>
              <w14:ligatures w14:val="standardContextual"/>
            </w:rPr>
          </w:pPr>
          <w:hyperlink w:anchor="_Toc214411350" w:history="1">
            <w:r w:rsidRPr="00E70A69">
              <w:rPr>
                <w:rStyle w:val="Hyperlink"/>
                <w:rFonts w:cs="Arial"/>
                <w:noProof/>
              </w:rPr>
              <w:t>2.3 Critical Analysis of Each Actor</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_Toc214411350 \h </w:instrText>
            </w:r>
            <w:r w:rsidRPr="00E70A69">
              <w:rPr>
                <w:rFonts w:cs="Arial"/>
                <w:noProof/>
                <w:webHidden/>
              </w:rPr>
            </w:r>
            <w:r w:rsidRPr="00E70A69">
              <w:rPr>
                <w:rFonts w:cs="Arial"/>
                <w:noProof/>
                <w:webHidden/>
              </w:rPr>
              <w:fldChar w:fldCharType="separate"/>
            </w:r>
            <w:r w:rsidRPr="00E70A69">
              <w:rPr>
                <w:rFonts w:cs="Arial"/>
                <w:noProof/>
                <w:webHidden/>
              </w:rPr>
              <w:t>7</w:t>
            </w:r>
            <w:r w:rsidRPr="00E70A69">
              <w:rPr>
                <w:rFonts w:cs="Arial"/>
                <w:noProof/>
                <w:webHidden/>
              </w:rPr>
              <w:fldChar w:fldCharType="end"/>
            </w:r>
          </w:hyperlink>
        </w:p>
        <w:p w14:paraId="3B3CCD5C" w14:textId="3D022143" w:rsidR="002A004E" w:rsidRPr="00E70A69" w:rsidRDefault="002A004E">
          <w:pPr>
            <w:pStyle w:val="TOC3"/>
            <w:tabs>
              <w:tab w:val="right" w:leader="dot" w:pos="9016"/>
            </w:tabs>
            <w:rPr>
              <w:rFonts w:cs="Arial"/>
              <w:noProof/>
            </w:rPr>
          </w:pPr>
          <w:hyperlink w:anchor="_Toc214411351" w:history="1">
            <w:r w:rsidRPr="00E70A69">
              <w:rPr>
                <w:rStyle w:val="Hyperlink"/>
                <w:rFonts w:cs="Arial"/>
                <w:noProof/>
              </w:rPr>
              <w:t>2.3.2 Actor 2: Social Factors</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_Toc214411351 \h </w:instrText>
            </w:r>
            <w:r w:rsidRPr="00E70A69">
              <w:rPr>
                <w:rFonts w:cs="Arial"/>
                <w:noProof/>
                <w:webHidden/>
              </w:rPr>
            </w:r>
            <w:r w:rsidRPr="00E70A69">
              <w:rPr>
                <w:rFonts w:cs="Arial"/>
                <w:noProof/>
                <w:webHidden/>
              </w:rPr>
              <w:fldChar w:fldCharType="separate"/>
            </w:r>
            <w:r w:rsidRPr="00E70A69">
              <w:rPr>
                <w:rFonts w:cs="Arial"/>
                <w:noProof/>
                <w:webHidden/>
              </w:rPr>
              <w:t>8</w:t>
            </w:r>
            <w:r w:rsidRPr="00E70A69">
              <w:rPr>
                <w:rFonts w:cs="Arial"/>
                <w:noProof/>
                <w:webHidden/>
              </w:rPr>
              <w:fldChar w:fldCharType="end"/>
            </w:r>
          </w:hyperlink>
        </w:p>
        <w:p w14:paraId="269F2927" w14:textId="6E206C15" w:rsidR="002A004E" w:rsidRPr="00E70A69" w:rsidRDefault="002A004E">
          <w:pPr>
            <w:pStyle w:val="TOC1"/>
            <w:rPr>
              <w:rFonts w:eastAsiaTheme="minorEastAsia" w:cs="Arial"/>
              <w:b w:val="0"/>
              <w:bCs w:val="0"/>
              <w:lang w:eastAsia="en-GB"/>
            </w:rPr>
          </w:pPr>
          <w:hyperlink w:anchor="_Toc214411352" w:history="1">
            <w:r w:rsidRPr="00E70A69">
              <w:rPr>
                <w:rStyle w:val="Hyperlink"/>
                <w:rFonts w:cs="Arial"/>
              </w:rPr>
              <w:t>3. Task 2: Strategic Responses of Pioneering and Follower Organisations</w:t>
            </w:r>
            <w:r w:rsidRPr="00E70A69">
              <w:rPr>
                <w:rFonts w:cs="Arial"/>
                <w:webHidden/>
              </w:rPr>
              <w:tab/>
            </w:r>
            <w:r w:rsidRPr="00E70A69">
              <w:rPr>
                <w:rFonts w:cs="Arial"/>
                <w:webHidden/>
              </w:rPr>
              <w:fldChar w:fldCharType="begin"/>
            </w:r>
            <w:r w:rsidRPr="00E70A69">
              <w:rPr>
                <w:rFonts w:cs="Arial"/>
                <w:webHidden/>
              </w:rPr>
              <w:instrText xml:space="preserve"> PAGEREF _Toc214411352 \h </w:instrText>
            </w:r>
            <w:r w:rsidRPr="00E70A69">
              <w:rPr>
                <w:rFonts w:cs="Arial"/>
                <w:webHidden/>
              </w:rPr>
            </w:r>
            <w:r w:rsidRPr="00E70A69">
              <w:rPr>
                <w:rFonts w:cs="Arial"/>
                <w:webHidden/>
              </w:rPr>
              <w:fldChar w:fldCharType="separate"/>
            </w:r>
            <w:r w:rsidRPr="00E70A69">
              <w:rPr>
                <w:rFonts w:cs="Arial"/>
                <w:webHidden/>
              </w:rPr>
              <w:t>10</w:t>
            </w:r>
            <w:r w:rsidRPr="00E70A69">
              <w:rPr>
                <w:rFonts w:cs="Arial"/>
                <w:webHidden/>
              </w:rPr>
              <w:fldChar w:fldCharType="end"/>
            </w:r>
          </w:hyperlink>
        </w:p>
        <w:p w14:paraId="42FA71C5" w14:textId="4DE1BAEB" w:rsidR="002A004E" w:rsidRPr="00E70A69" w:rsidRDefault="002A004E">
          <w:pPr>
            <w:pStyle w:val="TOC2"/>
            <w:tabs>
              <w:tab w:val="right" w:leader="dot" w:pos="9016"/>
            </w:tabs>
            <w:rPr>
              <w:rFonts w:eastAsiaTheme="minorEastAsia" w:cs="Arial"/>
              <w:noProof/>
              <w:kern w:val="2"/>
              <w:szCs w:val="24"/>
              <w:lang w:eastAsia="en-GB"/>
              <w14:ligatures w14:val="standardContextual"/>
            </w:rPr>
          </w:pPr>
          <w:hyperlink w:anchor="_Toc214411353" w:history="1">
            <w:r w:rsidRPr="00E70A69">
              <w:rPr>
                <w:rStyle w:val="Hyperlink"/>
                <w:rFonts w:cs="Arial"/>
                <w:noProof/>
              </w:rPr>
              <w:t>3.1 Pioneering Organisations' Strategic Responses</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_Toc214411353 \h </w:instrText>
            </w:r>
            <w:r w:rsidRPr="00E70A69">
              <w:rPr>
                <w:rFonts w:cs="Arial"/>
                <w:noProof/>
                <w:webHidden/>
              </w:rPr>
            </w:r>
            <w:r w:rsidRPr="00E70A69">
              <w:rPr>
                <w:rFonts w:cs="Arial"/>
                <w:noProof/>
                <w:webHidden/>
              </w:rPr>
              <w:fldChar w:fldCharType="separate"/>
            </w:r>
            <w:r w:rsidRPr="00E70A69">
              <w:rPr>
                <w:rFonts w:cs="Arial"/>
                <w:noProof/>
                <w:webHidden/>
              </w:rPr>
              <w:t>10</w:t>
            </w:r>
            <w:r w:rsidRPr="00E70A69">
              <w:rPr>
                <w:rFonts w:cs="Arial"/>
                <w:noProof/>
                <w:webHidden/>
              </w:rPr>
              <w:fldChar w:fldCharType="end"/>
            </w:r>
          </w:hyperlink>
        </w:p>
        <w:p w14:paraId="1CEB59AD" w14:textId="33ABFD1D" w:rsidR="002A004E" w:rsidRPr="00E70A69" w:rsidRDefault="002A004E">
          <w:pPr>
            <w:pStyle w:val="TOC3"/>
            <w:tabs>
              <w:tab w:val="right" w:leader="dot" w:pos="9016"/>
            </w:tabs>
            <w:rPr>
              <w:rFonts w:cs="Arial"/>
              <w:noProof/>
            </w:rPr>
          </w:pPr>
          <w:hyperlink w:anchor="_Toc214411354" w:history="1">
            <w:r w:rsidRPr="00E70A69">
              <w:rPr>
                <w:rStyle w:val="Hyperlink"/>
                <w:rFonts w:cs="Arial"/>
                <w:noProof/>
              </w:rPr>
              <w:t>3.1.1 Critical Evaluation of Pioneer Response to External Challenges and Opportunities</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_Toc214411354 \h </w:instrText>
            </w:r>
            <w:r w:rsidRPr="00E70A69">
              <w:rPr>
                <w:rFonts w:cs="Arial"/>
                <w:noProof/>
                <w:webHidden/>
              </w:rPr>
            </w:r>
            <w:r w:rsidRPr="00E70A69">
              <w:rPr>
                <w:rFonts w:cs="Arial"/>
                <w:noProof/>
                <w:webHidden/>
              </w:rPr>
              <w:fldChar w:fldCharType="separate"/>
            </w:r>
            <w:r w:rsidRPr="00E70A69">
              <w:rPr>
                <w:rFonts w:cs="Arial"/>
                <w:noProof/>
                <w:webHidden/>
              </w:rPr>
              <w:t>10</w:t>
            </w:r>
            <w:r w:rsidRPr="00E70A69">
              <w:rPr>
                <w:rFonts w:cs="Arial"/>
                <w:noProof/>
                <w:webHidden/>
              </w:rPr>
              <w:fldChar w:fldCharType="end"/>
            </w:r>
          </w:hyperlink>
        </w:p>
        <w:p w14:paraId="0BDC03CA" w14:textId="4B45D2CF" w:rsidR="002A004E" w:rsidRPr="00E70A69" w:rsidRDefault="002A004E">
          <w:pPr>
            <w:pStyle w:val="TOC3"/>
            <w:tabs>
              <w:tab w:val="right" w:leader="dot" w:pos="9016"/>
            </w:tabs>
            <w:rPr>
              <w:rFonts w:cs="Arial"/>
              <w:noProof/>
            </w:rPr>
          </w:pPr>
          <w:hyperlink w:anchor="_Toc214411355" w:history="1">
            <w:r w:rsidRPr="00E70A69">
              <w:rPr>
                <w:rStyle w:val="Hyperlink"/>
                <w:rFonts w:cs="Arial"/>
                <w:noProof/>
              </w:rPr>
              <w:t>3.1.2 Application of Ansoff's Growth Matrix to Apple</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_Toc214411355 \h </w:instrText>
            </w:r>
            <w:r w:rsidRPr="00E70A69">
              <w:rPr>
                <w:rFonts w:cs="Arial"/>
                <w:noProof/>
                <w:webHidden/>
              </w:rPr>
            </w:r>
            <w:r w:rsidRPr="00E70A69">
              <w:rPr>
                <w:rFonts w:cs="Arial"/>
                <w:noProof/>
                <w:webHidden/>
              </w:rPr>
              <w:fldChar w:fldCharType="separate"/>
            </w:r>
            <w:r w:rsidRPr="00E70A69">
              <w:rPr>
                <w:rFonts w:cs="Arial"/>
                <w:noProof/>
                <w:webHidden/>
              </w:rPr>
              <w:t>11</w:t>
            </w:r>
            <w:r w:rsidRPr="00E70A69">
              <w:rPr>
                <w:rFonts w:cs="Arial"/>
                <w:noProof/>
                <w:webHidden/>
              </w:rPr>
              <w:fldChar w:fldCharType="end"/>
            </w:r>
          </w:hyperlink>
        </w:p>
        <w:p w14:paraId="128A09DE" w14:textId="4F05CC8C" w:rsidR="002A004E" w:rsidRPr="00E70A69" w:rsidRDefault="002A004E">
          <w:pPr>
            <w:pStyle w:val="TOC3"/>
            <w:tabs>
              <w:tab w:val="right" w:leader="dot" w:pos="9016"/>
            </w:tabs>
            <w:rPr>
              <w:rFonts w:cs="Arial"/>
              <w:noProof/>
            </w:rPr>
          </w:pPr>
          <w:hyperlink w:anchor="_Toc214411356" w:history="1">
            <w:r w:rsidRPr="00E70A69">
              <w:rPr>
                <w:rStyle w:val="Hyperlink"/>
                <w:rFonts w:cs="Arial"/>
                <w:noProof/>
              </w:rPr>
              <w:t>3.1.3 Industry Examples Supporting Pioneer Analysis</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_Toc214411356 \h </w:instrText>
            </w:r>
            <w:r w:rsidRPr="00E70A69">
              <w:rPr>
                <w:rFonts w:cs="Arial"/>
                <w:noProof/>
                <w:webHidden/>
              </w:rPr>
            </w:r>
            <w:r w:rsidRPr="00E70A69">
              <w:rPr>
                <w:rFonts w:cs="Arial"/>
                <w:noProof/>
                <w:webHidden/>
              </w:rPr>
              <w:fldChar w:fldCharType="separate"/>
            </w:r>
            <w:r w:rsidRPr="00E70A69">
              <w:rPr>
                <w:rFonts w:cs="Arial"/>
                <w:noProof/>
                <w:webHidden/>
              </w:rPr>
              <w:t>12</w:t>
            </w:r>
            <w:r w:rsidRPr="00E70A69">
              <w:rPr>
                <w:rFonts w:cs="Arial"/>
                <w:noProof/>
                <w:webHidden/>
              </w:rPr>
              <w:fldChar w:fldCharType="end"/>
            </w:r>
          </w:hyperlink>
        </w:p>
        <w:p w14:paraId="54A946F0" w14:textId="05BEF5EC" w:rsidR="002A004E" w:rsidRPr="00E70A69" w:rsidRDefault="002A004E">
          <w:pPr>
            <w:pStyle w:val="TOC2"/>
            <w:tabs>
              <w:tab w:val="right" w:leader="dot" w:pos="9016"/>
            </w:tabs>
            <w:rPr>
              <w:rFonts w:eastAsiaTheme="minorEastAsia" w:cs="Arial"/>
              <w:noProof/>
              <w:kern w:val="2"/>
              <w:szCs w:val="24"/>
              <w:lang w:eastAsia="en-GB"/>
              <w14:ligatures w14:val="standardContextual"/>
            </w:rPr>
          </w:pPr>
          <w:hyperlink w:anchor="_Toc214411357" w:history="1">
            <w:r w:rsidRPr="00E70A69">
              <w:rPr>
                <w:rStyle w:val="Hyperlink"/>
                <w:rFonts w:cs="Arial"/>
                <w:noProof/>
              </w:rPr>
              <w:t>3.2 Follower Organisations' Strategic Responses</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_Toc214411357 \h </w:instrText>
            </w:r>
            <w:r w:rsidRPr="00E70A69">
              <w:rPr>
                <w:rFonts w:cs="Arial"/>
                <w:noProof/>
                <w:webHidden/>
              </w:rPr>
            </w:r>
            <w:r w:rsidRPr="00E70A69">
              <w:rPr>
                <w:rFonts w:cs="Arial"/>
                <w:noProof/>
                <w:webHidden/>
              </w:rPr>
              <w:fldChar w:fldCharType="separate"/>
            </w:r>
            <w:r w:rsidRPr="00E70A69">
              <w:rPr>
                <w:rFonts w:cs="Arial"/>
                <w:noProof/>
                <w:webHidden/>
              </w:rPr>
              <w:t>13</w:t>
            </w:r>
            <w:r w:rsidRPr="00E70A69">
              <w:rPr>
                <w:rFonts w:cs="Arial"/>
                <w:noProof/>
                <w:webHidden/>
              </w:rPr>
              <w:fldChar w:fldCharType="end"/>
            </w:r>
          </w:hyperlink>
        </w:p>
        <w:p w14:paraId="7D13555A" w14:textId="694D575A" w:rsidR="002A004E" w:rsidRPr="00E70A69" w:rsidRDefault="002A004E">
          <w:pPr>
            <w:pStyle w:val="TOC3"/>
            <w:tabs>
              <w:tab w:val="right" w:leader="dot" w:pos="9016"/>
            </w:tabs>
            <w:rPr>
              <w:rFonts w:cs="Arial"/>
              <w:noProof/>
            </w:rPr>
          </w:pPr>
          <w:hyperlink w:anchor="_Toc214411358" w:history="1">
            <w:r w:rsidRPr="00E70A69">
              <w:rPr>
                <w:rStyle w:val="Hyperlink"/>
                <w:rFonts w:cs="Arial"/>
                <w:noProof/>
              </w:rPr>
              <w:t>3.2.1 Critical Assessment of Follower Adaptation Strategies</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_Toc214411358 \h </w:instrText>
            </w:r>
            <w:r w:rsidRPr="00E70A69">
              <w:rPr>
                <w:rFonts w:cs="Arial"/>
                <w:noProof/>
                <w:webHidden/>
              </w:rPr>
            </w:r>
            <w:r w:rsidRPr="00E70A69">
              <w:rPr>
                <w:rFonts w:cs="Arial"/>
                <w:noProof/>
                <w:webHidden/>
              </w:rPr>
              <w:fldChar w:fldCharType="separate"/>
            </w:r>
            <w:r w:rsidRPr="00E70A69">
              <w:rPr>
                <w:rFonts w:cs="Arial"/>
                <w:noProof/>
                <w:webHidden/>
              </w:rPr>
              <w:t>13</w:t>
            </w:r>
            <w:r w:rsidRPr="00E70A69">
              <w:rPr>
                <w:rFonts w:cs="Arial"/>
                <w:noProof/>
                <w:webHidden/>
              </w:rPr>
              <w:fldChar w:fldCharType="end"/>
            </w:r>
          </w:hyperlink>
        </w:p>
        <w:p w14:paraId="69BE5AAC" w14:textId="10EE7275" w:rsidR="002A004E" w:rsidRPr="00E70A69" w:rsidRDefault="002A004E">
          <w:pPr>
            <w:pStyle w:val="TOC3"/>
            <w:tabs>
              <w:tab w:val="right" w:leader="dot" w:pos="9016"/>
            </w:tabs>
            <w:rPr>
              <w:rFonts w:cs="Arial"/>
              <w:noProof/>
            </w:rPr>
          </w:pPr>
          <w:hyperlink w:anchor="_Toc214411359" w:history="1">
            <w:r w:rsidRPr="00E70A69">
              <w:rPr>
                <w:rStyle w:val="Hyperlink"/>
                <w:rFonts w:cs="Arial"/>
                <w:noProof/>
              </w:rPr>
              <w:t>3.2.2 Application of Ansoff's Growth Matrix to Xiaomi</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_Toc214411359 \h </w:instrText>
            </w:r>
            <w:r w:rsidRPr="00E70A69">
              <w:rPr>
                <w:rFonts w:cs="Arial"/>
                <w:noProof/>
                <w:webHidden/>
              </w:rPr>
            </w:r>
            <w:r w:rsidRPr="00E70A69">
              <w:rPr>
                <w:rFonts w:cs="Arial"/>
                <w:noProof/>
                <w:webHidden/>
              </w:rPr>
              <w:fldChar w:fldCharType="separate"/>
            </w:r>
            <w:r w:rsidRPr="00E70A69">
              <w:rPr>
                <w:rFonts w:cs="Arial"/>
                <w:noProof/>
                <w:webHidden/>
              </w:rPr>
              <w:t>13</w:t>
            </w:r>
            <w:r w:rsidRPr="00E70A69">
              <w:rPr>
                <w:rFonts w:cs="Arial"/>
                <w:noProof/>
                <w:webHidden/>
              </w:rPr>
              <w:fldChar w:fldCharType="end"/>
            </w:r>
          </w:hyperlink>
        </w:p>
        <w:p w14:paraId="46A977CA" w14:textId="5431ECCA" w:rsidR="002A004E" w:rsidRPr="00E70A69" w:rsidRDefault="002A004E">
          <w:pPr>
            <w:pStyle w:val="TOC3"/>
            <w:tabs>
              <w:tab w:val="right" w:leader="dot" w:pos="9016"/>
            </w:tabs>
            <w:rPr>
              <w:rFonts w:cs="Arial"/>
              <w:noProof/>
            </w:rPr>
          </w:pPr>
          <w:hyperlink w:anchor="_Toc214411360" w:history="1">
            <w:r w:rsidRPr="00E70A69">
              <w:rPr>
                <w:rStyle w:val="Hyperlink"/>
                <w:rFonts w:cs="Arial"/>
                <w:noProof/>
              </w:rPr>
              <w:t>3.2.3 Industry Examples Supporting Follower Analysis</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_Toc214411360 \h </w:instrText>
            </w:r>
            <w:r w:rsidRPr="00E70A69">
              <w:rPr>
                <w:rFonts w:cs="Arial"/>
                <w:noProof/>
                <w:webHidden/>
              </w:rPr>
            </w:r>
            <w:r w:rsidRPr="00E70A69">
              <w:rPr>
                <w:rFonts w:cs="Arial"/>
                <w:noProof/>
                <w:webHidden/>
              </w:rPr>
              <w:fldChar w:fldCharType="separate"/>
            </w:r>
            <w:r w:rsidRPr="00E70A69">
              <w:rPr>
                <w:rFonts w:cs="Arial"/>
                <w:noProof/>
                <w:webHidden/>
              </w:rPr>
              <w:t>15</w:t>
            </w:r>
            <w:r w:rsidRPr="00E70A69">
              <w:rPr>
                <w:rFonts w:cs="Arial"/>
                <w:noProof/>
                <w:webHidden/>
              </w:rPr>
              <w:fldChar w:fldCharType="end"/>
            </w:r>
          </w:hyperlink>
        </w:p>
        <w:p w14:paraId="6E654B29" w14:textId="693B3D39" w:rsidR="002A004E" w:rsidRPr="00E70A69" w:rsidRDefault="002A004E">
          <w:pPr>
            <w:pStyle w:val="TOC1"/>
            <w:rPr>
              <w:rFonts w:eastAsiaTheme="minorEastAsia" w:cs="Arial"/>
              <w:b w:val="0"/>
              <w:bCs w:val="0"/>
              <w:lang w:eastAsia="en-GB"/>
            </w:rPr>
          </w:pPr>
          <w:hyperlink w:anchor="_Toc214411361" w:history="1">
            <w:r w:rsidRPr="00E70A69">
              <w:rPr>
                <w:rStyle w:val="Hyperlink"/>
                <w:rFonts w:cs="Arial"/>
              </w:rPr>
              <w:t>4. Conclusion</w:t>
            </w:r>
            <w:r w:rsidRPr="00E70A69">
              <w:rPr>
                <w:rFonts w:cs="Arial"/>
                <w:webHidden/>
              </w:rPr>
              <w:tab/>
            </w:r>
            <w:r w:rsidRPr="00E70A69">
              <w:rPr>
                <w:rFonts w:cs="Arial"/>
                <w:webHidden/>
              </w:rPr>
              <w:fldChar w:fldCharType="begin"/>
            </w:r>
            <w:r w:rsidRPr="00E70A69">
              <w:rPr>
                <w:rFonts w:cs="Arial"/>
                <w:webHidden/>
              </w:rPr>
              <w:instrText xml:space="preserve"> PAGEREF _Toc214411361 \h </w:instrText>
            </w:r>
            <w:r w:rsidRPr="00E70A69">
              <w:rPr>
                <w:rFonts w:cs="Arial"/>
                <w:webHidden/>
              </w:rPr>
            </w:r>
            <w:r w:rsidRPr="00E70A69">
              <w:rPr>
                <w:rFonts w:cs="Arial"/>
                <w:webHidden/>
              </w:rPr>
              <w:fldChar w:fldCharType="separate"/>
            </w:r>
            <w:r w:rsidRPr="00E70A69">
              <w:rPr>
                <w:rFonts w:cs="Arial"/>
                <w:webHidden/>
              </w:rPr>
              <w:t>15</w:t>
            </w:r>
            <w:r w:rsidRPr="00E70A69">
              <w:rPr>
                <w:rFonts w:cs="Arial"/>
                <w:webHidden/>
              </w:rPr>
              <w:fldChar w:fldCharType="end"/>
            </w:r>
          </w:hyperlink>
        </w:p>
        <w:p w14:paraId="3F014860" w14:textId="01F6CFBC" w:rsidR="002A004E" w:rsidRPr="00E70A69" w:rsidRDefault="002A004E">
          <w:pPr>
            <w:pStyle w:val="TOC1"/>
            <w:rPr>
              <w:rFonts w:eastAsiaTheme="minorEastAsia" w:cs="Arial"/>
              <w:b w:val="0"/>
              <w:bCs w:val="0"/>
              <w:lang w:eastAsia="en-GB"/>
            </w:rPr>
          </w:pPr>
          <w:hyperlink w:anchor="_Toc214411362" w:history="1">
            <w:r w:rsidRPr="00E70A69">
              <w:rPr>
                <w:rStyle w:val="Hyperlink"/>
                <w:rFonts w:cs="Arial"/>
              </w:rPr>
              <w:t>5. References</w:t>
            </w:r>
            <w:r w:rsidRPr="00E70A69">
              <w:rPr>
                <w:rFonts w:cs="Arial"/>
                <w:webHidden/>
              </w:rPr>
              <w:tab/>
            </w:r>
            <w:r w:rsidRPr="00E70A69">
              <w:rPr>
                <w:rFonts w:cs="Arial"/>
                <w:webHidden/>
              </w:rPr>
              <w:fldChar w:fldCharType="begin"/>
            </w:r>
            <w:r w:rsidRPr="00E70A69">
              <w:rPr>
                <w:rFonts w:cs="Arial"/>
                <w:webHidden/>
              </w:rPr>
              <w:instrText xml:space="preserve"> PAGEREF _Toc214411362 \h </w:instrText>
            </w:r>
            <w:r w:rsidRPr="00E70A69">
              <w:rPr>
                <w:rFonts w:cs="Arial"/>
                <w:webHidden/>
              </w:rPr>
            </w:r>
            <w:r w:rsidRPr="00E70A69">
              <w:rPr>
                <w:rFonts w:cs="Arial"/>
                <w:webHidden/>
              </w:rPr>
              <w:fldChar w:fldCharType="separate"/>
            </w:r>
            <w:r w:rsidRPr="00E70A69">
              <w:rPr>
                <w:rFonts w:cs="Arial"/>
                <w:webHidden/>
              </w:rPr>
              <w:t>17</w:t>
            </w:r>
            <w:r w:rsidRPr="00E70A69">
              <w:rPr>
                <w:rFonts w:cs="Arial"/>
                <w:webHidden/>
              </w:rPr>
              <w:fldChar w:fldCharType="end"/>
            </w:r>
          </w:hyperlink>
        </w:p>
        <w:p w14:paraId="5BFD23EF" w14:textId="2F4254AE" w:rsidR="00EF1C57" w:rsidRPr="00E70A69" w:rsidRDefault="00EF1C57" w:rsidP="00EF1C57">
          <w:pPr>
            <w:pStyle w:val="TOC1"/>
            <w:rPr>
              <w:rStyle w:val="Hyperlink"/>
              <w:rFonts w:cs="Arial"/>
              <w:lang w:eastAsia="en-GB"/>
            </w:rPr>
          </w:pPr>
          <w:r w:rsidRPr="00E70A69">
            <w:rPr>
              <w:rFonts w:cs="Arial"/>
            </w:rPr>
            <w:fldChar w:fldCharType="end"/>
          </w:r>
        </w:p>
      </w:sdtContent>
    </w:sdt>
    <w:p w14:paraId="42B0A0D8" w14:textId="77777777" w:rsidR="00646BE4" w:rsidRPr="00E70A69" w:rsidRDefault="00646BE4" w:rsidP="002F24D2">
      <w:pPr>
        <w:suppressAutoHyphens w:val="0"/>
        <w:autoSpaceDN/>
        <w:spacing w:after="0" w:line="240" w:lineRule="auto"/>
        <w:jc w:val="center"/>
        <w:rPr>
          <w:rFonts w:cs="Arial"/>
          <w:b/>
          <w:bCs/>
        </w:rPr>
      </w:pPr>
    </w:p>
    <w:p w14:paraId="547B36AC" w14:textId="77777777" w:rsidR="00646BE4" w:rsidRPr="00E70A69" w:rsidRDefault="00646BE4" w:rsidP="002F24D2">
      <w:pPr>
        <w:suppressAutoHyphens w:val="0"/>
        <w:autoSpaceDN/>
        <w:spacing w:after="0" w:line="240" w:lineRule="auto"/>
        <w:jc w:val="center"/>
        <w:rPr>
          <w:rFonts w:cs="Arial"/>
          <w:b/>
          <w:bCs/>
        </w:rPr>
      </w:pPr>
    </w:p>
    <w:p w14:paraId="49182C5A" w14:textId="77777777" w:rsidR="00646BE4" w:rsidRPr="00E70A69" w:rsidRDefault="00646BE4" w:rsidP="002F24D2">
      <w:pPr>
        <w:suppressAutoHyphens w:val="0"/>
        <w:autoSpaceDN/>
        <w:spacing w:after="0" w:line="240" w:lineRule="auto"/>
        <w:jc w:val="center"/>
        <w:rPr>
          <w:rFonts w:cs="Arial"/>
          <w:b/>
          <w:bCs/>
        </w:rPr>
      </w:pPr>
    </w:p>
    <w:p w14:paraId="6B7A541F" w14:textId="77777777" w:rsidR="00646BE4" w:rsidRPr="00E70A69" w:rsidRDefault="00646BE4" w:rsidP="002F24D2">
      <w:pPr>
        <w:suppressAutoHyphens w:val="0"/>
        <w:autoSpaceDN/>
        <w:spacing w:after="0" w:line="240" w:lineRule="auto"/>
        <w:jc w:val="center"/>
        <w:rPr>
          <w:rFonts w:cs="Arial"/>
          <w:b/>
          <w:bCs/>
        </w:rPr>
      </w:pPr>
    </w:p>
    <w:p w14:paraId="6D32761E" w14:textId="77777777" w:rsidR="00646BE4" w:rsidRPr="00E70A69" w:rsidRDefault="00646BE4" w:rsidP="002F24D2">
      <w:pPr>
        <w:suppressAutoHyphens w:val="0"/>
        <w:autoSpaceDN/>
        <w:spacing w:after="0" w:line="240" w:lineRule="auto"/>
        <w:jc w:val="center"/>
        <w:rPr>
          <w:rFonts w:cs="Arial"/>
          <w:b/>
          <w:bCs/>
        </w:rPr>
      </w:pPr>
    </w:p>
    <w:p w14:paraId="0DFD430F" w14:textId="77777777" w:rsidR="00646BE4" w:rsidRPr="00E70A69" w:rsidRDefault="00646BE4" w:rsidP="002F24D2">
      <w:pPr>
        <w:suppressAutoHyphens w:val="0"/>
        <w:autoSpaceDN/>
        <w:spacing w:after="0" w:line="240" w:lineRule="auto"/>
        <w:jc w:val="center"/>
        <w:rPr>
          <w:rFonts w:cs="Arial"/>
          <w:b/>
          <w:bCs/>
        </w:rPr>
      </w:pPr>
    </w:p>
    <w:p w14:paraId="1C47EA59" w14:textId="77777777" w:rsidR="00646BE4" w:rsidRPr="00E70A69" w:rsidRDefault="00646BE4" w:rsidP="002F24D2">
      <w:pPr>
        <w:suppressAutoHyphens w:val="0"/>
        <w:autoSpaceDN/>
        <w:spacing w:after="0" w:line="240" w:lineRule="auto"/>
        <w:jc w:val="center"/>
        <w:rPr>
          <w:rFonts w:cs="Arial"/>
          <w:b/>
          <w:bCs/>
        </w:rPr>
      </w:pPr>
    </w:p>
    <w:p w14:paraId="352C9EFB" w14:textId="77777777" w:rsidR="00646BE4" w:rsidRPr="00E70A69" w:rsidRDefault="00646BE4" w:rsidP="002F24D2">
      <w:pPr>
        <w:suppressAutoHyphens w:val="0"/>
        <w:autoSpaceDN/>
        <w:spacing w:after="0" w:line="240" w:lineRule="auto"/>
        <w:jc w:val="center"/>
        <w:rPr>
          <w:rFonts w:cs="Arial"/>
          <w:b/>
          <w:bCs/>
        </w:rPr>
      </w:pPr>
    </w:p>
    <w:p w14:paraId="0C95A289" w14:textId="77777777" w:rsidR="00646BE4" w:rsidRPr="00E70A69" w:rsidRDefault="00646BE4" w:rsidP="002F24D2">
      <w:pPr>
        <w:suppressAutoHyphens w:val="0"/>
        <w:autoSpaceDN/>
        <w:spacing w:after="0" w:line="240" w:lineRule="auto"/>
        <w:jc w:val="center"/>
        <w:rPr>
          <w:rFonts w:cs="Arial"/>
          <w:b/>
          <w:bCs/>
        </w:rPr>
      </w:pPr>
    </w:p>
    <w:p w14:paraId="1F372A15" w14:textId="2D611087" w:rsidR="00646BE4" w:rsidRDefault="00646BE4" w:rsidP="002F24D2">
      <w:pPr>
        <w:suppressAutoHyphens w:val="0"/>
        <w:autoSpaceDN/>
        <w:spacing w:after="0" w:line="240" w:lineRule="auto"/>
        <w:jc w:val="center"/>
        <w:rPr>
          <w:rFonts w:cs="Arial"/>
          <w:b/>
          <w:bCs/>
        </w:rPr>
      </w:pPr>
    </w:p>
    <w:p w14:paraId="7FC3C615" w14:textId="149318EE" w:rsidR="00E70A69" w:rsidRDefault="00E70A69" w:rsidP="002F24D2">
      <w:pPr>
        <w:suppressAutoHyphens w:val="0"/>
        <w:autoSpaceDN/>
        <w:spacing w:after="0" w:line="240" w:lineRule="auto"/>
        <w:jc w:val="center"/>
        <w:rPr>
          <w:rFonts w:cs="Arial"/>
          <w:b/>
          <w:bCs/>
        </w:rPr>
      </w:pPr>
    </w:p>
    <w:p w14:paraId="6A301B54" w14:textId="77777777" w:rsidR="00E70A69" w:rsidRPr="00E70A69" w:rsidRDefault="00E70A69" w:rsidP="002F24D2">
      <w:pPr>
        <w:suppressAutoHyphens w:val="0"/>
        <w:autoSpaceDN/>
        <w:spacing w:after="0" w:line="240" w:lineRule="auto"/>
        <w:jc w:val="center"/>
        <w:rPr>
          <w:rFonts w:cs="Arial"/>
          <w:b/>
          <w:bCs/>
        </w:rPr>
      </w:pPr>
    </w:p>
    <w:p w14:paraId="69EB511A" w14:textId="177641A6" w:rsidR="00646BE4" w:rsidRPr="00E70A69" w:rsidRDefault="00646BE4" w:rsidP="00646BE4">
      <w:pPr>
        <w:suppressAutoHyphens w:val="0"/>
        <w:autoSpaceDN/>
        <w:spacing w:after="0" w:line="240" w:lineRule="auto"/>
        <w:rPr>
          <w:rFonts w:cs="Arial"/>
          <w:b/>
          <w:bCs/>
        </w:rPr>
      </w:pPr>
    </w:p>
    <w:p w14:paraId="144453DB" w14:textId="77777777" w:rsidR="00646BE4" w:rsidRPr="00E70A69" w:rsidRDefault="00646BE4" w:rsidP="00646BE4">
      <w:pPr>
        <w:suppressAutoHyphens w:val="0"/>
        <w:autoSpaceDN/>
        <w:spacing w:after="0" w:line="240" w:lineRule="auto"/>
        <w:jc w:val="left"/>
        <w:rPr>
          <w:rFonts w:cs="Arial"/>
          <w:b/>
          <w:bCs/>
          <w:color w:val="002060"/>
          <w:sz w:val="32"/>
          <w:szCs w:val="28"/>
        </w:rPr>
      </w:pPr>
      <w:r w:rsidRPr="00E70A69">
        <w:rPr>
          <w:rFonts w:cs="Arial"/>
          <w:b/>
          <w:bCs/>
          <w:color w:val="002060"/>
          <w:sz w:val="32"/>
          <w:szCs w:val="28"/>
        </w:rPr>
        <w:lastRenderedPageBreak/>
        <w:t>List of Figures</w:t>
      </w:r>
    </w:p>
    <w:p w14:paraId="462B46CD" w14:textId="77777777" w:rsidR="002A004E" w:rsidRPr="00E70A69" w:rsidRDefault="002A004E" w:rsidP="00646BE4">
      <w:pPr>
        <w:suppressAutoHyphens w:val="0"/>
        <w:autoSpaceDN/>
        <w:spacing w:after="0" w:line="240" w:lineRule="auto"/>
        <w:jc w:val="left"/>
        <w:rPr>
          <w:rFonts w:cs="Arial"/>
          <w:b/>
          <w:bCs/>
        </w:rPr>
      </w:pPr>
    </w:p>
    <w:p w14:paraId="3F6F300F" w14:textId="6697018C" w:rsidR="002A004E" w:rsidRPr="00E70A69" w:rsidRDefault="002A004E">
      <w:pPr>
        <w:pStyle w:val="TableofFigures"/>
        <w:tabs>
          <w:tab w:val="right" w:leader="dot" w:pos="9016"/>
        </w:tabs>
        <w:rPr>
          <w:rFonts w:eastAsiaTheme="minorEastAsia" w:cs="Arial"/>
          <w:noProof/>
          <w:kern w:val="2"/>
          <w:szCs w:val="24"/>
          <w:lang w:eastAsia="en-GB"/>
          <w14:ligatures w14:val="standardContextual"/>
        </w:rPr>
      </w:pPr>
      <w:r w:rsidRPr="00E70A69">
        <w:rPr>
          <w:rFonts w:cs="Arial"/>
          <w:b/>
          <w:bCs/>
        </w:rPr>
        <w:fldChar w:fldCharType="begin"/>
      </w:r>
      <w:r w:rsidRPr="00E70A69">
        <w:rPr>
          <w:rFonts w:cs="Arial"/>
          <w:b/>
          <w:bCs/>
        </w:rPr>
        <w:instrText xml:space="preserve"> TOC \h \z \c "Figure" </w:instrText>
      </w:r>
      <w:r w:rsidRPr="00E70A69">
        <w:rPr>
          <w:rFonts w:cs="Arial"/>
          <w:b/>
          <w:bCs/>
        </w:rPr>
        <w:fldChar w:fldCharType="separate"/>
      </w:r>
      <w:hyperlink w:anchor="_Toc214411370" w:history="1">
        <w:r w:rsidRPr="00E70A69">
          <w:rPr>
            <w:rStyle w:val="Hyperlink"/>
            <w:rFonts w:cs="Arial"/>
            <w:noProof/>
          </w:rPr>
          <w:t>Figure 1:  Global Smartphone Market Statistics (2023-2024) (Statista, 2024;Ofcom, 2024; Deloitte, 2024).</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_Toc214411370 \h </w:instrText>
        </w:r>
        <w:r w:rsidRPr="00E70A69">
          <w:rPr>
            <w:rFonts w:cs="Arial"/>
            <w:noProof/>
            <w:webHidden/>
          </w:rPr>
        </w:r>
        <w:r w:rsidRPr="00E70A69">
          <w:rPr>
            <w:rFonts w:cs="Arial"/>
            <w:noProof/>
            <w:webHidden/>
          </w:rPr>
          <w:fldChar w:fldCharType="separate"/>
        </w:r>
        <w:r w:rsidRPr="00E70A69">
          <w:rPr>
            <w:rFonts w:cs="Arial"/>
            <w:noProof/>
            <w:webHidden/>
          </w:rPr>
          <w:t>5</w:t>
        </w:r>
        <w:r w:rsidRPr="00E70A69">
          <w:rPr>
            <w:rFonts w:cs="Arial"/>
            <w:noProof/>
            <w:webHidden/>
          </w:rPr>
          <w:fldChar w:fldCharType="end"/>
        </w:r>
      </w:hyperlink>
    </w:p>
    <w:p w14:paraId="27937E80" w14:textId="46B74959" w:rsidR="002A004E" w:rsidRPr="00E70A69" w:rsidRDefault="002A004E">
      <w:pPr>
        <w:pStyle w:val="TableofFigures"/>
        <w:tabs>
          <w:tab w:val="right" w:leader="dot" w:pos="9016"/>
        </w:tabs>
        <w:rPr>
          <w:rFonts w:eastAsiaTheme="minorEastAsia" w:cs="Arial"/>
          <w:noProof/>
          <w:kern w:val="2"/>
          <w:szCs w:val="24"/>
          <w:lang w:eastAsia="en-GB"/>
          <w14:ligatures w14:val="standardContextual"/>
        </w:rPr>
      </w:pPr>
      <w:hyperlink w:anchor="_Toc214411371" w:history="1">
        <w:r w:rsidRPr="00E70A69">
          <w:rPr>
            <w:rStyle w:val="Hyperlink"/>
            <w:rFonts w:cs="Arial"/>
            <w:noProof/>
          </w:rPr>
          <w:t>Figure 2:  Two External Macro Marketing Actors (Self Made)</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_Toc214411371 \h </w:instrText>
        </w:r>
        <w:r w:rsidRPr="00E70A69">
          <w:rPr>
            <w:rFonts w:cs="Arial"/>
            <w:noProof/>
            <w:webHidden/>
          </w:rPr>
        </w:r>
        <w:r w:rsidRPr="00E70A69">
          <w:rPr>
            <w:rFonts w:cs="Arial"/>
            <w:noProof/>
            <w:webHidden/>
          </w:rPr>
          <w:fldChar w:fldCharType="separate"/>
        </w:r>
        <w:r w:rsidRPr="00E70A69">
          <w:rPr>
            <w:rFonts w:cs="Arial"/>
            <w:noProof/>
            <w:webHidden/>
          </w:rPr>
          <w:t>6</w:t>
        </w:r>
        <w:r w:rsidRPr="00E70A69">
          <w:rPr>
            <w:rFonts w:cs="Arial"/>
            <w:noProof/>
            <w:webHidden/>
          </w:rPr>
          <w:fldChar w:fldCharType="end"/>
        </w:r>
      </w:hyperlink>
    </w:p>
    <w:p w14:paraId="6068C02D" w14:textId="273BCB5C" w:rsidR="002A004E" w:rsidRPr="00E70A69" w:rsidRDefault="002A004E">
      <w:pPr>
        <w:pStyle w:val="TableofFigures"/>
        <w:tabs>
          <w:tab w:val="right" w:leader="dot" w:pos="9016"/>
        </w:tabs>
        <w:rPr>
          <w:rFonts w:eastAsiaTheme="minorEastAsia" w:cs="Arial"/>
          <w:noProof/>
          <w:kern w:val="2"/>
          <w:szCs w:val="24"/>
          <w:lang w:eastAsia="en-GB"/>
          <w14:ligatures w14:val="standardContextual"/>
        </w:rPr>
      </w:pPr>
      <w:hyperlink w:anchor="_Toc214411372" w:history="1">
        <w:r w:rsidRPr="00E70A69">
          <w:rPr>
            <w:rStyle w:val="Hyperlink"/>
            <w:rFonts w:cs="Arial"/>
            <w:noProof/>
          </w:rPr>
          <w:t>Figure 3: Key Statistics and Trends in Global Smartphone Industry (Counterpoint Research, 2023, Statista, 2024, Apple Inc., 2023).</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_Toc214411372 \h </w:instrText>
        </w:r>
        <w:r w:rsidRPr="00E70A69">
          <w:rPr>
            <w:rFonts w:cs="Arial"/>
            <w:noProof/>
            <w:webHidden/>
          </w:rPr>
        </w:r>
        <w:r w:rsidRPr="00E70A69">
          <w:rPr>
            <w:rFonts w:cs="Arial"/>
            <w:noProof/>
            <w:webHidden/>
          </w:rPr>
          <w:fldChar w:fldCharType="separate"/>
        </w:r>
        <w:r w:rsidRPr="00E70A69">
          <w:rPr>
            <w:rFonts w:cs="Arial"/>
            <w:noProof/>
            <w:webHidden/>
          </w:rPr>
          <w:t>8</w:t>
        </w:r>
        <w:r w:rsidRPr="00E70A69">
          <w:rPr>
            <w:rFonts w:cs="Arial"/>
            <w:noProof/>
            <w:webHidden/>
          </w:rPr>
          <w:fldChar w:fldCharType="end"/>
        </w:r>
      </w:hyperlink>
    </w:p>
    <w:p w14:paraId="2DA169B9" w14:textId="4FBC0208" w:rsidR="002A004E" w:rsidRPr="00E70A69" w:rsidRDefault="002A004E">
      <w:pPr>
        <w:pStyle w:val="TableofFigures"/>
        <w:tabs>
          <w:tab w:val="right" w:leader="dot" w:pos="9016"/>
        </w:tabs>
        <w:rPr>
          <w:rFonts w:eastAsiaTheme="minorEastAsia" w:cs="Arial"/>
          <w:noProof/>
          <w:kern w:val="2"/>
          <w:szCs w:val="24"/>
          <w:lang w:eastAsia="en-GB"/>
          <w14:ligatures w14:val="standardContextual"/>
        </w:rPr>
      </w:pPr>
      <w:hyperlink w:anchor="_Toc214411373" w:history="1">
        <w:r w:rsidRPr="00E70A69">
          <w:rPr>
            <w:rStyle w:val="Hyperlink"/>
            <w:rFonts w:cs="Arial"/>
            <w:noProof/>
          </w:rPr>
          <w:t>Figure 4: Social Factors Influencing the UK Smartphone Market (Ofcom, 2023, YouGov, 2023, Statista, 2024, Mintel, 2023).</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_Toc214411373 \h </w:instrText>
        </w:r>
        <w:r w:rsidRPr="00E70A69">
          <w:rPr>
            <w:rFonts w:cs="Arial"/>
            <w:noProof/>
            <w:webHidden/>
          </w:rPr>
        </w:r>
        <w:r w:rsidRPr="00E70A69">
          <w:rPr>
            <w:rFonts w:cs="Arial"/>
            <w:noProof/>
            <w:webHidden/>
          </w:rPr>
          <w:fldChar w:fldCharType="separate"/>
        </w:r>
        <w:r w:rsidRPr="00E70A69">
          <w:rPr>
            <w:rFonts w:cs="Arial"/>
            <w:noProof/>
            <w:webHidden/>
          </w:rPr>
          <w:t>9</w:t>
        </w:r>
        <w:r w:rsidRPr="00E70A69">
          <w:rPr>
            <w:rFonts w:cs="Arial"/>
            <w:noProof/>
            <w:webHidden/>
          </w:rPr>
          <w:fldChar w:fldCharType="end"/>
        </w:r>
      </w:hyperlink>
    </w:p>
    <w:p w14:paraId="24619CD9" w14:textId="69FB4C60" w:rsidR="002A004E" w:rsidRPr="00E70A69" w:rsidRDefault="002A004E">
      <w:pPr>
        <w:pStyle w:val="TableofFigures"/>
        <w:tabs>
          <w:tab w:val="right" w:leader="dot" w:pos="9016"/>
        </w:tabs>
        <w:rPr>
          <w:rFonts w:eastAsiaTheme="minorEastAsia" w:cs="Arial"/>
          <w:noProof/>
          <w:kern w:val="2"/>
          <w:szCs w:val="24"/>
          <w:lang w:eastAsia="en-GB"/>
          <w14:ligatures w14:val="standardContextual"/>
        </w:rPr>
      </w:pPr>
      <w:hyperlink w:anchor="_Toc214411374" w:history="1">
        <w:r w:rsidRPr="00E70A69">
          <w:rPr>
            <w:rStyle w:val="Hyperlink"/>
            <w:rFonts w:cs="Arial"/>
            <w:noProof/>
          </w:rPr>
          <w:t>Figure 5:  The Ansoff's Growth Matrix of Apple (Self Made)</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_Toc214411374 \h </w:instrText>
        </w:r>
        <w:r w:rsidRPr="00E70A69">
          <w:rPr>
            <w:rFonts w:cs="Arial"/>
            <w:noProof/>
            <w:webHidden/>
          </w:rPr>
        </w:r>
        <w:r w:rsidRPr="00E70A69">
          <w:rPr>
            <w:rFonts w:cs="Arial"/>
            <w:noProof/>
            <w:webHidden/>
          </w:rPr>
          <w:fldChar w:fldCharType="separate"/>
        </w:r>
        <w:r w:rsidRPr="00E70A69">
          <w:rPr>
            <w:rFonts w:cs="Arial"/>
            <w:noProof/>
            <w:webHidden/>
          </w:rPr>
          <w:t>11</w:t>
        </w:r>
        <w:r w:rsidRPr="00E70A69">
          <w:rPr>
            <w:rFonts w:cs="Arial"/>
            <w:noProof/>
            <w:webHidden/>
          </w:rPr>
          <w:fldChar w:fldCharType="end"/>
        </w:r>
      </w:hyperlink>
    </w:p>
    <w:p w14:paraId="4FCB04FA" w14:textId="766FF050" w:rsidR="002A004E" w:rsidRPr="00E70A69" w:rsidRDefault="002A004E">
      <w:pPr>
        <w:pStyle w:val="TableofFigures"/>
        <w:tabs>
          <w:tab w:val="right" w:leader="dot" w:pos="9016"/>
        </w:tabs>
        <w:rPr>
          <w:rFonts w:eastAsiaTheme="minorEastAsia" w:cs="Arial"/>
          <w:noProof/>
          <w:kern w:val="2"/>
          <w:szCs w:val="24"/>
          <w:lang w:eastAsia="en-GB"/>
          <w14:ligatures w14:val="standardContextual"/>
        </w:rPr>
      </w:pPr>
      <w:hyperlink w:anchor="_Toc214411375" w:history="1">
        <w:r w:rsidRPr="00E70A69">
          <w:rPr>
            <w:rStyle w:val="Hyperlink"/>
            <w:rFonts w:cs="Arial"/>
            <w:noProof/>
          </w:rPr>
          <w:t>Figure 6: The Ansoff's Growth Matrix of Xiaomi (Self Made)</w:t>
        </w:r>
        <w:r w:rsidRPr="00E70A69">
          <w:rPr>
            <w:rFonts w:cs="Arial"/>
            <w:noProof/>
            <w:webHidden/>
          </w:rPr>
          <w:tab/>
        </w:r>
        <w:r w:rsidRPr="00E70A69">
          <w:rPr>
            <w:rFonts w:cs="Arial"/>
            <w:noProof/>
            <w:webHidden/>
          </w:rPr>
          <w:fldChar w:fldCharType="begin"/>
        </w:r>
        <w:r w:rsidRPr="00E70A69">
          <w:rPr>
            <w:rFonts w:cs="Arial"/>
            <w:noProof/>
            <w:webHidden/>
          </w:rPr>
          <w:instrText xml:space="preserve"> PAGEREF _Toc214411375 \h </w:instrText>
        </w:r>
        <w:r w:rsidRPr="00E70A69">
          <w:rPr>
            <w:rFonts w:cs="Arial"/>
            <w:noProof/>
            <w:webHidden/>
          </w:rPr>
        </w:r>
        <w:r w:rsidRPr="00E70A69">
          <w:rPr>
            <w:rFonts w:cs="Arial"/>
            <w:noProof/>
            <w:webHidden/>
          </w:rPr>
          <w:fldChar w:fldCharType="separate"/>
        </w:r>
        <w:r w:rsidRPr="00E70A69">
          <w:rPr>
            <w:rFonts w:cs="Arial"/>
            <w:noProof/>
            <w:webHidden/>
          </w:rPr>
          <w:t>14</w:t>
        </w:r>
        <w:r w:rsidRPr="00E70A69">
          <w:rPr>
            <w:rFonts w:cs="Arial"/>
            <w:noProof/>
            <w:webHidden/>
          </w:rPr>
          <w:fldChar w:fldCharType="end"/>
        </w:r>
      </w:hyperlink>
    </w:p>
    <w:p w14:paraId="19588003" w14:textId="3A8AC3FC" w:rsidR="00980B26" w:rsidRPr="00E70A69" w:rsidRDefault="002A004E" w:rsidP="00646BE4">
      <w:pPr>
        <w:suppressAutoHyphens w:val="0"/>
        <w:autoSpaceDN/>
        <w:spacing w:after="0" w:line="240" w:lineRule="auto"/>
        <w:jc w:val="left"/>
        <w:rPr>
          <w:rFonts w:cs="Arial"/>
          <w:b/>
          <w:bCs/>
        </w:rPr>
      </w:pPr>
      <w:r w:rsidRPr="00E70A69">
        <w:rPr>
          <w:rFonts w:cs="Arial"/>
          <w:b/>
          <w:bCs/>
        </w:rPr>
        <w:fldChar w:fldCharType="end"/>
      </w:r>
      <w:r w:rsidR="00571B51" w:rsidRPr="00E70A69">
        <w:rPr>
          <w:rFonts w:cs="Arial"/>
          <w:b/>
          <w:bCs/>
        </w:rPr>
        <w:t xml:space="preserve"> </w:t>
      </w:r>
      <w:r w:rsidR="00980B26" w:rsidRPr="00E70A69">
        <w:rPr>
          <w:rFonts w:cs="Arial"/>
          <w:b/>
          <w:bCs/>
        </w:rPr>
        <w:br w:type="page"/>
      </w:r>
    </w:p>
    <w:p w14:paraId="2B10FE35" w14:textId="4495FF63" w:rsidR="000440B0" w:rsidRPr="00E70A69" w:rsidRDefault="00387BE8" w:rsidP="00387BE8">
      <w:pPr>
        <w:pStyle w:val="Heading1"/>
        <w:rPr>
          <w:rFonts w:cs="Arial"/>
        </w:rPr>
      </w:pPr>
      <w:bookmarkStart w:id="0" w:name="_Toc214411346"/>
      <w:r w:rsidRPr="00E70A69">
        <w:rPr>
          <w:rFonts w:cs="Arial"/>
        </w:rPr>
        <w:lastRenderedPageBreak/>
        <w:t>1. Introduction</w:t>
      </w:r>
      <w:bookmarkEnd w:id="0"/>
    </w:p>
    <w:p w14:paraId="75665677" w14:textId="47A5BE70" w:rsidR="00387BE8" w:rsidRPr="00E70A69" w:rsidRDefault="00937522" w:rsidP="00387BE8">
      <w:pPr>
        <w:rPr>
          <w:rFonts w:cs="Arial"/>
        </w:rPr>
      </w:pPr>
      <w:r w:rsidRPr="00E70A69">
        <w:rPr>
          <w:rFonts w:cs="Arial"/>
        </w:rPr>
        <w:t xml:space="preserve">The smart phone business worldwide is one of the </w:t>
      </w:r>
      <w:r w:rsidR="00E70A69" w:rsidRPr="00E70A69">
        <w:rPr>
          <w:rFonts w:cs="Arial"/>
        </w:rPr>
        <w:t>fast-growing</w:t>
      </w:r>
      <w:r w:rsidRPr="00E70A69">
        <w:rPr>
          <w:rFonts w:cs="Arial"/>
        </w:rPr>
        <w:t xml:space="preserve"> industries that are characterised by stiff competition and rapid technological advancement. According to Statista (2024), the industry has reached almost 436 billion in 2024, which points to how companies need to be sensitive to outside forces. Kotler et al. (2020) observe that the knowledge of these macro environment factors will also help organisations to spot opportunities and threats that affect strategic options. This report examines the effect of such forces on a pioneer company, Apple and a follower company, Xiaomi, in the same industry. Apple is an innovation driven organisation that uses first mover strategies like chipsets development and integration of ecosystem (Hooley et al., 2020). Contrarily, Xiaomi is characterised by quick follower innovations that enhance the value of existing tech to provide competitive value to price sensitive customers (Whittington et al., 2023). To compare these opposite approaches, the report compares how technological and social forces impact both companies, how they both reacted strategically to new opportunities and threats, and contrasts the strategies of Apple and Xiaomi expansion to demonstrate how first mover and followers adopt and can maintain a competitive edge in the worldwide smartphone marketplace</w:t>
      </w:r>
      <w:r w:rsidR="00387BE8" w:rsidRPr="00E70A69">
        <w:rPr>
          <w:rFonts w:cs="Arial"/>
        </w:rPr>
        <w:t>.</w:t>
      </w:r>
    </w:p>
    <w:p w14:paraId="15BDB76A" w14:textId="77777777" w:rsidR="00387BE8" w:rsidRPr="00E70A69" w:rsidRDefault="00387BE8" w:rsidP="00387BE8">
      <w:pPr>
        <w:rPr>
          <w:rFonts w:cs="Arial"/>
        </w:rPr>
      </w:pPr>
    </w:p>
    <w:p w14:paraId="60B94313" w14:textId="77777777" w:rsidR="00387BE8" w:rsidRPr="00E70A69" w:rsidRDefault="00387BE8" w:rsidP="00387BE8">
      <w:pPr>
        <w:rPr>
          <w:rFonts w:cs="Arial"/>
        </w:rPr>
      </w:pPr>
    </w:p>
    <w:p w14:paraId="21986AD8" w14:textId="77777777" w:rsidR="00387BE8" w:rsidRPr="00E70A69" w:rsidRDefault="00387BE8" w:rsidP="00387BE8">
      <w:pPr>
        <w:rPr>
          <w:rFonts w:cs="Arial"/>
        </w:rPr>
      </w:pPr>
    </w:p>
    <w:p w14:paraId="26586E45" w14:textId="77777777" w:rsidR="00387BE8" w:rsidRPr="00E70A69" w:rsidRDefault="00387BE8" w:rsidP="00387BE8">
      <w:pPr>
        <w:rPr>
          <w:rFonts w:cs="Arial"/>
        </w:rPr>
      </w:pPr>
    </w:p>
    <w:p w14:paraId="204582BA" w14:textId="77777777" w:rsidR="00387BE8" w:rsidRPr="00E70A69" w:rsidRDefault="00387BE8" w:rsidP="00387BE8">
      <w:pPr>
        <w:rPr>
          <w:rFonts w:cs="Arial"/>
        </w:rPr>
      </w:pPr>
    </w:p>
    <w:p w14:paraId="16754D5D" w14:textId="77777777" w:rsidR="00937522" w:rsidRPr="00E70A69" w:rsidRDefault="00937522" w:rsidP="00387BE8">
      <w:pPr>
        <w:rPr>
          <w:rFonts w:cs="Arial"/>
        </w:rPr>
      </w:pPr>
    </w:p>
    <w:p w14:paraId="17D15D8A" w14:textId="77777777" w:rsidR="00937522" w:rsidRPr="00E70A69" w:rsidRDefault="00937522" w:rsidP="00387BE8">
      <w:pPr>
        <w:rPr>
          <w:rFonts w:cs="Arial"/>
        </w:rPr>
      </w:pPr>
    </w:p>
    <w:p w14:paraId="145C0156" w14:textId="77777777" w:rsidR="00937522" w:rsidRPr="00E70A69" w:rsidRDefault="00937522" w:rsidP="00387BE8">
      <w:pPr>
        <w:rPr>
          <w:rFonts w:cs="Arial"/>
        </w:rPr>
      </w:pPr>
    </w:p>
    <w:p w14:paraId="68D3FE74" w14:textId="77777777" w:rsidR="00937522" w:rsidRPr="00E70A69" w:rsidRDefault="00937522" w:rsidP="00387BE8">
      <w:pPr>
        <w:rPr>
          <w:rFonts w:cs="Arial"/>
        </w:rPr>
      </w:pPr>
    </w:p>
    <w:p w14:paraId="51BD9E78" w14:textId="77777777" w:rsidR="00387BE8" w:rsidRPr="00E70A69" w:rsidRDefault="00387BE8" w:rsidP="00387BE8">
      <w:pPr>
        <w:rPr>
          <w:rFonts w:cs="Arial"/>
        </w:rPr>
      </w:pPr>
    </w:p>
    <w:p w14:paraId="6A4EEDB4" w14:textId="77777777" w:rsidR="00387BE8" w:rsidRPr="00E70A69" w:rsidRDefault="00387BE8" w:rsidP="00387BE8">
      <w:pPr>
        <w:pStyle w:val="Heading1"/>
        <w:rPr>
          <w:rFonts w:cs="Arial"/>
        </w:rPr>
      </w:pPr>
      <w:bookmarkStart w:id="1" w:name="_Toc214411347"/>
      <w:r w:rsidRPr="00E70A69">
        <w:rPr>
          <w:rFonts w:cs="Arial"/>
        </w:rPr>
        <w:lastRenderedPageBreak/>
        <w:t>2. Task 1: Critical Analysis of the Macro Marketing Environment</w:t>
      </w:r>
      <w:bookmarkEnd w:id="1"/>
    </w:p>
    <w:p w14:paraId="710214EA" w14:textId="77777777" w:rsidR="00387BE8" w:rsidRPr="00E70A69" w:rsidRDefault="00387BE8" w:rsidP="00387BE8">
      <w:pPr>
        <w:pStyle w:val="Heading2"/>
        <w:rPr>
          <w:rFonts w:cs="Arial"/>
        </w:rPr>
      </w:pPr>
      <w:bookmarkStart w:id="2" w:name="_Toc214411348"/>
      <w:r w:rsidRPr="00E70A69">
        <w:rPr>
          <w:rFonts w:cs="Arial"/>
        </w:rPr>
        <w:t>2.1 Overview of the Macro Marketing Environment</w:t>
      </w:r>
      <w:bookmarkEnd w:id="2"/>
    </w:p>
    <w:p w14:paraId="4B54A133" w14:textId="77777777" w:rsidR="00387BE8" w:rsidRPr="00E70A69" w:rsidRDefault="00387BE8" w:rsidP="00387BE8">
      <w:pPr>
        <w:rPr>
          <w:rFonts w:cs="Arial"/>
        </w:rPr>
      </w:pPr>
      <w:r w:rsidRPr="00E70A69">
        <w:rPr>
          <w:rFonts w:cs="Arial"/>
        </w:rPr>
        <w:t>The macro marketing environment entails forces that are outside an organisation and have to be adapted to in a strategic manner. In Kotler et al. (2020) these forces are broader forces of movements within society such as technological, economic, political, legal environmental, social, and environmental that directly influence competitiveness behaviour. These forces have increased in the smartphone industry across the world. To illustrate, there was renewed post-pandemic growth in the spread of smartphones, with the latest shipments of over 1.17 billion units in 2023 (Statista, 2024). Smartphone availability in the UK has stood at 95 percent in 2024 in its market, where the smartphone sector was among the most mature in Europe (Ofcom, 2024).</w:t>
      </w:r>
    </w:p>
    <w:p w14:paraId="08B8FBE5" w14:textId="6FA0ECC5" w:rsidR="00387BE8" w:rsidRPr="00E70A69" w:rsidRDefault="00387BE8" w:rsidP="00387BE8">
      <w:pPr>
        <w:jc w:val="center"/>
        <w:rPr>
          <w:rFonts w:cs="Arial"/>
        </w:rPr>
      </w:pPr>
      <w:r w:rsidRPr="00E70A69">
        <w:rPr>
          <w:rFonts w:cs="Arial"/>
          <w:noProof/>
        </w:rPr>
        <w:drawing>
          <wp:inline distT="0" distB="0" distL="0" distR="0" wp14:anchorId="023D790E" wp14:editId="0EE0B2D4">
            <wp:extent cx="5219700" cy="4010025"/>
            <wp:effectExtent l="0" t="0" r="0" b="9525"/>
            <wp:docPr id="157115044" name="Picture 1"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15044" name="Picture 1" descr="A white and blue text on a white background&#10;&#10;AI-generated content may be incorrect."/>
                    <pic:cNvPicPr>
                      <a:picLocks noChangeAspect="1" noChangeArrowheads="1"/>
                    </pic:cNvPicPr>
                  </pic:nvPicPr>
                  <pic:blipFill rotWithShape="1">
                    <a:blip r:embed="rId8">
                      <a:extLst>
                        <a:ext uri="{28A0092B-C50C-407E-A947-70E740481C1C}">
                          <a14:useLocalDpi xmlns:a14="http://schemas.microsoft.com/office/drawing/2010/main" val="0"/>
                        </a:ext>
                      </a:extLst>
                    </a:blip>
                    <a:srcRect l="4654" t="20773" r="4277" b="9262"/>
                    <a:stretch>
                      <a:fillRect/>
                    </a:stretch>
                  </pic:blipFill>
                  <pic:spPr bwMode="auto">
                    <a:xfrm>
                      <a:off x="0" y="0"/>
                      <a:ext cx="5219700" cy="4010025"/>
                    </a:xfrm>
                    <a:prstGeom prst="rect">
                      <a:avLst/>
                    </a:prstGeom>
                    <a:noFill/>
                    <a:ln>
                      <a:noFill/>
                    </a:ln>
                    <a:extLst>
                      <a:ext uri="{53640926-AAD7-44D8-BBD7-CCE9431645EC}">
                        <a14:shadowObscured xmlns:a14="http://schemas.microsoft.com/office/drawing/2010/main"/>
                      </a:ext>
                    </a:extLst>
                  </pic:spPr>
                </pic:pic>
              </a:graphicData>
            </a:graphic>
          </wp:inline>
        </w:drawing>
      </w:r>
    </w:p>
    <w:p w14:paraId="0BADBCFB" w14:textId="6B0FAC8E" w:rsidR="00387BE8" w:rsidRPr="00E70A69" w:rsidRDefault="00387BE8" w:rsidP="00387BE8">
      <w:pPr>
        <w:pStyle w:val="Caption"/>
        <w:jc w:val="center"/>
        <w:rPr>
          <w:rFonts w:cs="Arial"/>
          <w:color w:val="002060"/>
          <w:sz w:val="24"/>
          <w:szCs w:val="24"/>
        </w:rPr>
      </w:pPr>
      <w:bookmarkStart w:id="3" w:name="_Toc214411370"/>
      <w:r w:rsidRPr="00E70A69">
        <w:rPr>
          <w:rFonts w:cs="Arial"/>
          <w:color w:val="002060"/>
          <w:sz w:val="24"/>
          <w:szCs w:val="24"/>
        </w:rPr>
        <w:t xml:space="preserve">Figure </w:t>
      </w:r>
      <w:r w:rsidRPr="00E70A69">
        <w:rPr>
          <w:rFonts w:cs="Arial"/>
          <w:color w:val="002060"/>
          <w:sz w:val="24"/>
          <w:szCs w:val="24"/>
        </w:rPr>
        <w:fldChar w:fldCharType="begin"/>
      </w:r>
      <w:r w:rsidRPr="00E70A69">
        <w:rPr>
          <w:rFonts w:cs="Arial"/>
          <w:color w:val="002060"/>
          <w:sz w:val="24"/>
          <w:szCs w:val="24"/>
        </w:rPr>
        <w:instrText xml:space="preserve"> SEQ Figure \* ARABIC </w:instrText>
      </w:r>
      <w:r w:rsidRPr="00E70A69">
        <w:rPr>
          <w:rFonts w:cs="Arial"/>
          <w:color w:val="002060"/>
          <w:sz w:val="24"/>
          <w:szCs w:val="24"/>
        </w:rPr>
        <w:fldChar w:fldCharType="separate"/>
      </w:r>
      <w:r w:rsidRPr="00E70A69">
        <w:rPr>
          <w:rFonts w:cs="Arial"/>
          <w:noProof/>
          <w:color w:val="002060"/>
          <w:sz w:val="24"/>
          <w:szCs w:val="24"/>
        </w:rPr>
        <w:t>1</w:t>
      </w:r>
      <w:r w:rsidRPr="00E70A69">
        <w:rPr>
          <w:rFonts w:cs="Arial"/>
          <w:color w:val="002060"/>
          <w:sz w:val="24"/>
          <w:szCs w:val="24"/>
        </w:rPr>
        <w:fldChar w:fldCharType="end"/>
      </w:r>
      <w:r w:rsidRPr="00E70A69">
        <w:rPr>
          <w:rFonts w:cs="Arial"/>
          <w:color w:val="002060"/>
          <w:sz w:val="24"/>
          <w:szCs w:val="24"/>
        </w:rPr>
        <w:t xml:space="preserve">:  Global Smartphone </w:t>
      </w:r>
      <w:r w:rsidR="00571B51" w:rsidRPr="00E70A69">
        <w:rPr>
          <w:rFonts w:cs="Arial"/>
          <w:color w:val="002060"/>
          <w:sz w:val="24"/>
          <w:szCs w:val="24"/>
        </w:rPr>
        <w:t xml:space="preserve">Market Statistics (2023-2024) (Statista, </w:t>
      </w:r>
      <w:r w:rsidR="00E70A69" w:rsidRPr="00E70A69">
        <w:rPr>
          <w:rFonts w:cs="Arial"/>
          <w:color w:val="002060"/>
          <w:sz w:val="24"/>
          <w:szCs w:val="24"/>
        </w:rPr>
        <w:t>2024; Ofcom</w:t>
      </w:r>
      <w:r w:rsidR="00571B51" w:rsidRPr="00E70A69">
        <w:rPr>
          <w:rFonts w:cs="Arial"/>
          <w:color w:val="002060"/>
          <w:sz w:val="24"/>
          <w:szCs w:val="24"/>
        </w:rPr>
        <w:t>, 2024;</w:t>
      </w:r>
      <w:r w:rsidR="00571B51" w:rsidRPr="00E70A69">
        <w:rPr>
          <w:rFonts w:cs="Arial"/>
        </w:rPr>
        <w:t xml:space="preserve"> </w:t>
      </w:r>
      <w:r w:rsidR="00571B51" w:rsidRPr="00E70A69">
        <w:rPr>
          <w:rFonts w:cs="Arial"/>
          <w:color w:val="002060"/>
          <w:sz w:val="24"/>
          <w:szCs w:val="24"/>
        </w:rPr>
        <w:t>Deloitte, 2024).</w:t>
      </w:r>
      <w:bookmarkEnd w:id="3"/>
    </w:p>
    <w:p w14:paraId="585D3B03" w14:textId="77777777" w:rsidR="00387BE8" w:rsidRPr="00E70A69" w:rsidRDefault="00387BE8" w:rsidP="00387BE8">
      <w:pPr>
        <w:jc w:val="center"/>
        <w:rPr>
          <w:rFonts w:cs="Arial"/>
        </w:rPr>
      </w:pPr>
    </w:p>
    <w:p w14:paraId="0346EECE" w14:textId="4C39A41E" w:rsidR="00387BE8" w:rsidRPr="00E70A69" w:rsidRDefault="00387BE8" w:rsidP="00387BE8">
      <w:pPr>
        <w:rPr>
          <w:rFonts w:cs="Arial"/>
        </w:rPr>
      </w:pPr>
      <w:r w:rsidRPr="00E70A69">
        <w:rPr>
          <w:rFonts w:cs="Arial"/>
        </w:rPr>
        <w:lastRenderedPageBreak/>
        <w:t xml:space="preserve">The most disruptive player is the technological effect, where 5G uptake is likely to touch 65 per cent of mobile connexions in the UK by 2025 (GSMA, 2024). Meanwhile, the regulatory pressure has been heightened; the Digital Markets Act in the UK (as well as the new rules that govern data-protection) have put additional pressure on ecosystem management, app-store management and consumer privacy. Social trends: improvements in camera and AI additions to devices as well as more mobile gaming and Gen-Z shopping ability further change the demand trend with more than 7 out of 10 millennials in the UK purchasing new devices (Deloitte, 2024). </w:t>
      </w:r>
    </w:p>
    <w:p w14:paraId="2EB91AB9" w14:textId="77777777" w:rsidR="000A15A2" w:rsidRPr="00E70A69" w:rsidRDefault="000A15A2" w:rsidP="000A15A2">
      <w:pPr>
        <w:pStyle w:val="Heading2"/>
        <w:rPr>
          <w:rFonts w:cs="Arial"/>
        </w:rPr>
      </w:pPr>
      <w:bookmarkStart w:id="4" w:name="_Toc214411349"/>
      <w:r w:rsidRPr="00E70A69">
        <w:rPr>
          <w:rFonts w:cs="Arial"/>
        </w:rPr>
        <w:t>2.2 Selection of Two External Macro Marketing Actors</w:t>
      </w:r>
      <w:bookmarkEnd w:id="4"/>
    </w:p>
    <w:p w14:paraId="0E42E56E" w14:textId="118170A5" w:rsidR="000A15A2" w:rsidRPr="00E70A69" w:rsidRDefault="000A15A2" w:rsidP="000A15A2">
      <w:pPr>
        <w:rPr>
          <w:rFonts w:cs="Arial"/>
        </w:rPr>
      </w:pPr>
      <w:r w:rsidRPr="00E70A69">
        <w:rPr>
          <w:rFonts w:cs="Arial"/>
        </w:rPr>
        <w:t xml:space="preserve">This analysis focuses on two factors: technological factors and social factors. Statista (2024) reports that UK smartphone penetration reached 91.7% in 2024. </w:t>
      </w:r>
      <w:r w:rsidR="00F30C5F" w:rsidRPr="00E70A69">
        <w:rPr>
          <w:rFonts w:cs="Arial"/>
        </w:rPr>
        <w:t>The adoption of 5G was 47.3 percent, with an emphasis on the increasing AI imaging, neural processors, custom chips, satellite connexion, and foldable technology</w:t>
      </w:r>
      <w:r w:rsidRPr="00E70A69">
        <w:rPr>
          <w:rFonts w:cs="Arial"/>
        </w:rPr>
        <w:t>.</w:t>
      </w:r>
    </w:p>
    <w:p w14:paraId="19E7635E" w14:textId="06A40D3B" w:rsidR="00A460E1" w:rsidRPr="00E70A69" w:rsidRDefault="00A460E1" w:rsidP="000A15A2">
      <w:pPr>
        <w:rPr>
          <w:rFonts w:cs="Arial"/>
        </w:rPr>
      </w:pPr>
      <w:r w:rsidRPr="00E70A69">
        <w:rPr>
          <w:rFonts w:cs="Arial"/>
          <w:noProof/>
        </w:rPr>
        <w:drawing>
          <wp:inline distT="0" distB="0" distL="0" distR="0" wp14:anchorId="0E14933C" wp14:editId="7AC5C32B">
            <wp:extent cx="5878195" cy="2731325"/>
            <wp:effectExtent l="0" t="0" r="0" b="0"/>
            <wp:docPr id="1786980589" name="Picture 2" descr="A diagram of a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980589" name="Picture 2" descr="A diagram of a market&#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352" t="22604" r="-1345" b="10666"/>
                    <a:stretch>
                      <a:fillRect/>
                    </a:stretch>
                  </pic:blipFill>
                  <pic:spPr bwMode="auto">
                    <a:xfrm>
                      <a:off x="0" y="0"/>
                      <a:ext cx="5887601" cy="2735695"/>
                    </a:xfrm>
                    <a:prstGeom prst="rect">
                      <a:avLst/>
                    </a:prstGeom>
                    <a:noFill/>
                    <a:ln>
                      <a:noFill/>
                    </a:ln>
                    <a:extLst>
                      <a:ext uri="{53640926-AAD7-44D8-BBD7-CCE9431645EC}">
                        <a14:shadowObscured xmlns:a14="http://schemas.microsoft.com/office/drawing/2010/main"/>
                      </a:ext>
                    </a:extLst>
                  </pic:spPr>
                </pic:pic>
              </a:graphicData>
            </a:graphic>
          </wp:inline>
        </w:drawing>
      </w:r>
    </w:p>
    <w:p w14:paraId="623C7285" w14:textId="1FCECBAB" w:rsidR="00A460E1" w:rsidRPr="00E70A69" w:rsidRDefault="00A460E1" w:rsidP="00A460E1">
      <w:pPr>
        <w:pStyle w:val="Caption"/>
        <w:jc w:val="center"/>
        <w:rPr>
          <w:rFonts w:cs="Arial"/>
        </w:rPr>
      </w:pPr>
      <w:bookmarkStart w:id="5" w:name="_Toc214411371"/>
      <w:r w:rsidRPr="00E70A69">
        <w:rPr>
          <w:rFonts w:cs="Arial"/>
          <w:color w:val="002060"/>
          <w:sz w:val="24"/>
          <w:szCs w:val="24"/>
        </w:rPr>
        <w:t xml:space="preserve">Figure </w:t>
      </w:r>
      <w:r w:rsidRPr="00E70A69">
        <w:rPr>
          <w:rFonts w:cs="Arial"/>
          <w:color w:val="002060"/>
          <w:sz w:val="24"/>
          <w:szCs w:val="24"/>
        </w:rPr>
        <w:fldChar w:fldCharType="begin"/>
      </w:r>
      <w:r w:rsidRPr="00E70A69">
        <w:rPr>
          <w:rFonts w:cs="Arial"/>
          <w:color w:val="002060"/>
          <w:sz w:val="24"/>
          <w:szCs w:val="24"/>
        </w:rPr>
        <w:instrText xml:space="preserve"> SEQ Figure \* ARABIC </w:instrText>
      </w:r>
      <w:r w:rsidRPr="00E70A69">
        <w:rPr>
          <w:rFonts w:cs="Arial"/>
          <w:color w:val="002060"/>
          <w:sz w:val="24"/>
          <w:szCs w:val="24"/>
        </w:rPr>
        <w:fldChar w:fldCharType="separate"/>
      </w:r>
      <w:r w:rsidRPr="00E70A69">
        <w:rPr>
          <w:rFonts w:cs="Arial"/>
          <w:noProof/>
          <w:color w:val="002060"/>
          <w:sz w:val="24"/>
          <w:szCs w:val="24"/>
        </w:rPr>
        <w:t>2</w:t>
      </w:r>
      <w:r w:rsidRPr="00E70A69">
        <w:rPr>
          <w:rFonts w:cs="Arial"/>
          <w:color w:val="002060"/>
          <w:sz w:val="24"/>
          <w:szCs w:val="24"/>
        </w:rPr>
        <w:fldChar w:fldCharType="end"/>
      </w:r>
      <w:r w:rsidRPr="00E70A69">
        <w:rPr>
          <w:rFonts w:cs="Arial"/>
          <w:color w:val="002060"/>
          <w:sz w:val="24"/>
          <w:szCs w:val="24"/>
        </w:rPr>
        <w:t>:  Two External Macro Marketing Actors (Self Made)</w:t>
      </w:r>
      <w:bookmarkEnd w:id="5"/>
    </w:p>
    <w:p w14:paraId="343A4830" w14:textId="0E736003" w:rsidR="00937522" w:rsidRPr="00E70A69" w:rsidRDefault="00F30C5F" w:rsidP="000A15A2">
      <w:pPr>
        <w:rPr>
          <w:rFonts w:cs="Arial"/>
        </w:rPr>
      </w:pPr>
      <w:r w:rsidRPr="00E70A69">
        <w:rPr>
          <w:rFonts w:cs="Arial"/>
        </w:rPr>
        <w:t xml:space="preserve">Apple and Xiaomi leadership is influenced by technological transformations, and the fast-follower approach is influenced by the need to adapt to a competitive force produced by social forces. </w:t>
      </w:r>
      <w:r w:rsidR="000A15A2" w:rsidRPr="00E70A69">
        <w:rPr>
          <w:rFonts w:cs="Arial"/>
        </w:rPr>
        <w:t xml:space="preserve">According to Kotler et al. (2021), demographics, lifestyle transformations, and social stratification directly shape smartphone purchasing behaviour. Digital community influence also plays a crucial role. The proliferation of content creation culture through TikTok, Instagram and YouTube </w:t>
      </w:r>
      <w:proofErr w:type="gramStart"/>
      <w:r w:rsidR="000A15A2" w:rsidRPr="00E70A69">
        <w:rPr>
          <w:rFonts w:cs="Arial"/>
        </w:rPr>
        <w:t>has</w:t>
      </w:r>
      <w:proofErr w:type="gramEnd"/>
      <w:r w:rsidR="000A15A2" w:rsidRPr="00E70A69">
        <w:rPr>
          <w:rFonts w:cs="Arial"/>
        </w:rPr>
        <w:t xml:space="preserve"> changed the market. Whittington et al. (2023) note that brand community influence fundamentally </w:t>
      </w:r>
      <w:r w:rsidR="000A15A2" w:rsidRPr="00E70A69">
        <w:rPr>
          <w:rFonts w:cs="Arial"/>
        </w:rPr>
        <w:lastRenderedPageBreak/>
        <w:t>affects product feature prioritisation. These factors heavily influence demand for Apple's iPhone 17 lineup and Xiaomi's flagship series.</w:t>
      </w:r>
    </w:p>
    <w:p w14:paraId="3B0ED170" w14:textId="77777777" w:rsidR="000A15A2" w:rsidRPr="00E70A69" w:rsidRDefault="000A15A2" w:rsidP="000A15A2">
      <w:pPr>
        <w:pStyle w:val="Heading2"/>
        <w:rPr>
          <w:rFonts w:cs="Arial"/>
        </w:rPr>
      </w:pPr>
      <w:bookmarkStart w:id="6" w:name="_Toc214411350"/>
      <w:r w:rsidRPr="00E70A69">
        <w:rPr>
          <w:rFonts w:cs="Arial"/>
        </w:rPr>
        <w:t>2.3 Critical Analysis of Each Actor</w:t>
      </w:r>
      <w:bookmarkEnd w:id="6"/>
    </w:p>
    <w:p w14:paraId="42857F44" w14:textId="77777777" w:rsidR="000A15A2" w:rsidRPr="00E70A69" w:rsidRDefault="000A15A2" w:rsidP="000A15A2">
      <w:pPr>
        <w:rPr>
          <w:rFonts w:cs="Arial"/>
          <w:b/>
          <w:bCs/>
        </w:rPr>
      </w:pPr>
      <w:r w:rsidRPr="00E70A69">
        <w:rPr>
          <w:rFonts w:cs="Arial"/>
          <w:b/>
          <w:bCs/>
        </w:rPr>
        <w:t>2.3.1 Actor 1: Technological Factors</w:t>
      </w:r>
    </w:p>
    <w:p w14:paraId="5AF18A91" w14:textId="77777777" w:rsidR="00933553" w:rsidRPr="00E70A69" w:rsidRDefault="00933553" w:rsidP="00933553">
      <w:pPr>
        <w:rPr>
          <w:rFonts w:cs="Arial"/>
        </w:rPr>
      </w:pPr>
      <w:r w:rsidRPr="00E70A69">
        <w:rPr>
          <w:rFonts w:cs="Arial"/>
        </w:rPr>
        <w:t>The most dynamic macro-environmental force in the smartphone industry is the technological factors. Johnson et al. (2017) saw these factors as the driving force of the cycles of innovation and competitive repositioning. The main tendencies of the contemporary technology involve a number of developments. They are AI computational photography, in-house chipset designs and satellite emergency access. The other trends are foldable and ultra-thin form factor, next-generation network readiness, and innovations with sustainability some degree in mind. According to Statista (2024), they consist of recycled materials and the increased efficiency of the bath. According to Counterpoint Research (2023), shipment of smartphones all over the world stood at 1.17 billion units in the year 2023. It is estimated that AI-based smartphones would constitute 54 percent of shipments in 2027.</w:t>
      </w:r>
    </w:p>
    <w:p w14:paraId="7F5DC2CD" w14:textId="77777777" w:rsidR="00933553" w:rsidRPr="00E70A69" w:rsidRDefault="00933553" w:rsidP="00933553">
      <w:pPr>
        <w:rPr>
          <w:rFonts w:cs="Arial"/>
        </w:rPr>
      </w:pPr>
      <w:r w:rsidRPr="00E70A69">
        <w:rPr>
          <w:rFonts w:cs="Arial"/>
        </w:rPr>
        <w:t>Technological factors present massive opportunities to Apple as the first mover. According to Lieberman and Montgomery (1988), first-mover advantages are caused by high-level manufacturing. Neural engines to perform machine learning activities are integrated into the A-series processors of Apple. The iPhone 17 series incorporates some of the more sophisticated features. These are satellite connectivity, computational photography and ecosystem synchronisation. According to Hooley et al. (2020), the features allow the premium pricing power and enhance brand loyalty. Vertical hardware, software and services differentiation is created through vertical integration. Porter (1985) believes that this distinction cannot be easily imitated by competitors. In response, in 2023, Counterpoint Research (2023) stated that Apple had dominated 50.8% of the UK high end market (over £600) in the UK.</w:t>
      </w:r>
    </w:p>
    <w:p w14:paraId="66CC2CD4" w14:textId="26241039" w:rsidR="00D614C6" w:rsidRPr="00E70A69" w:rsidRDefault="00D614C6" w:rsidP="00933553">
      <w:pPr>
        <w:rPr>
          <w:rFonts w:cs="Arial"/>
        </w:rPr>
      </w:pPr>
      <w:r w:rsidRPr="00E70A69">
        <w:rPr>
          <w:rFonts w:cs="Arial"/>
          <w:noProof/>
        </w:rPr>
        <w:lastRenderedPageBreak/>
        <w:drawing>
          <wp:inline distT="0" distB="0" distL="0" distR="0" wp14:anchorId="508F16B9" wp14:editId="3A768B5B">
            <wp:extent cx="5700156" cy="4929092"/>
            <wp:effectExtent l="0" t="0" r="0" b="5080"/>
            <wp:docPr id="2143971967" name="Picture 1" descr="A screenshot of a phone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971967" name="Picture 1" descr="A screenshot of a phone number&#10;&#10;AI-generated content may be incorrect."/>
                    <pic:cNvPicPr/>
                  </pic:nvPicPr>
                  <pic:blipFill rotWithShape="1">
                    <a:blip r:embed="rId10">
                      <a:extLst>
                        <a:ext uri="{BEBA8EAE-BF5A-486C-A8C5-ECC9F3942E4B}">
                          <a14:imgProps xmlns:a14="http://schemas.microsoft.com/office/drawing/2010/main">
                            <a14:imgLayer r:embed="rId11">
                              <a14:imgEffect>
                                <a14:brightnessContrast bright="20000" contrast="-20000"/>
                              </a14:imgEffect>
                            </a14:imgLayer>
                          </a14:imgProps>
                        </a:ext>
                      </a:extLst>
                    </a:blip>
                    <a:srcRect t="8388" r="547"/>
                    <a:stretch>
                      <a:fillRect/>
                    </a:stretch>
                  </pic:blipFill>
                  <pic:spPr bwMode="auto">
                    <a:xfrm>
                      <a:off x="0" y="0"/>
                      <a:ext cx="5700156" cy="4929092"/>
                    </a:xfrm>
                    <a:prstGeom prst="rect">
                      <a:avLst/>
                    </a:prstGeom>
                    <a:ln>
                      <a:noFill/>
                    </a:ln>
                    <a:extLst>
                      <a:ext uri="{53640926-AAD7-44D8-BBD7-CCE9431645EC}">
                        <a14:shadowObscured xmlns:a14="http://schemas.microsoft.com/office/drawing/2010/main"/>
                      </a:ext>
                    </a:extLst>
                  </pic:spPr>
                </pic:pic>
              </a:graphicData>
            </a:graphic>
          </wp:inline>
        </w:drawing>
      </w:r>
    </w:p>
    <w:p w14:paraId="228A37D3" w14:textId="2D43EFB1" w:rsidR="00D614C6" w:rsidRPr="00E70A69" w:rsidRDefault="00D614C6" w:rsidP="00D614C6">
      <w:pPr>
        <w:pStyle w:val="Caption"/>
        <w:jc w:val="center"/>
        <w:rPr>
          <w:rFonts w:cs="Arial"/>
          <w:sz w:val="24"/>
          <w:szCs w:val="24"/>
        </w:rPr>
      </w:pPr>
      <w:bookmarkStart w:id="7" w:name="_Toc214411372"/>
      <w:r w:rsidRPr="00E70A69">
        <w:rPr>
          <w:rFonts w:cs="Arial"/>
          <w:color w:val="002060"/>
          <w:sz w:val="24"/>
          <w:szCs w:val="24"/>
        </w:rPr>
        <w:t xml:space="preserve">Figure </w:t>
      </w:r>
      <w:r w:rsidRPr="00E70A69">
        <w:rPr>
          <w:rFonts w:cs="Arial"/>
          <w:color w:val="002060"/>
          <w:sz w:val="24"/>
          <w:szCs w:val="24"/>
        </w:rPr>
        <w:fldChar w:fldCharType="begin"/>
      </w:r>
      <w:r w:rsidRPr="00E70A69">
        <w:rPr>
          <w:rFonts w:cs="Arial"/>
          <w:color w:val="002060"/>
          <w:sz w:val="24"/>
          <w:szCs w:val="24"/>
        </w:rPr>
        <w:instrText xml:space="preserve"> SEQ Figure \* ARABIC </w:instrText>
      </w:r>
      <w:r w:rsidRPr="00E70A69">
        <w:rPr>
          <w:rFonts w:cs="Arial"/>
          <w:color w:val="002060"/>
          <w:sz w:val="24"/>
          <w:szCs w:val="24"/>
        </w:rPr>
        <w:fldChar w:fldCharType="separate"/>
      </w:r>
      <w:r w:rsidRPr="00E70A69">
        <w:rPr>
          <w:rFonts w:cs="Arial"/>
          <w:noProof/>
          <w:color w:val="002060"/>
          <w:sz w:val="24"/>
          <w:szCs w:val="24"/>
        </w:rPr>
        <w:t>3</w:t>
      </w:r>
      <w:r w:rsidRPr="00E70A69">
        <w:rPr>
          <w:rFonts w:cs="Arial"/>
          <w:color w:val="002060"/>
          <w:sz w:val="24"/>
          <w:szCs w:val="24"/>
        </w:rPr>
        <w:fldChar w:fldCharType="end"/>
      </w:r>
      <w:r w:rsidRPr="00E70A69">
        <w:rPr>
          <w:rFonts w:cs="Arial"/>
          <w:color w:val="002060"/>
          <w:sz w:val="24"/>
          <w:szCs w:val="24"/>
        </w:rPr>
        <w:t>: Key Statistics and Trends in Global Smartphone Industry</w:t>
      </w:r>
      <w:r w:rsidRPr="00E70A69">
        <w:rPr>
          <w:rFonts w:cs="Arial"/>
          <w:sz w:val="24"/>
          <w:szCs w:val="24"/>
        </w:rPr>
        <w:t xml:space="preserve"> (</w:t>
      </w:r>
      <w:r w:rsidRPr="00E70A69">
        <w:rPr>
          <w:rFonts w:cs="Arial"/>
          <w:color w:val="002060"/>
          <w:sz w:val="24"/>
          <w:szCs w:val="24"/>
        </w:rPr>
        <w:t>Counterpoint Research, 2023, Statista, 2024, Apple Inc., 2023).</w:t>
      </w:r>
      <w:bookmarkEnd w:id="7"/>
    </w:p>
    <w:p w14:paraId="7E7C4249" w14:textId="6BC024BB" w:rsidR="000A15A2" w:rsidRPr="00E70A69" w:rsidRDefault="00933553" w:rsidP="00933553">
      <w:pPr>
        <w:rPr>
          <w:rFonts w:cs="Arial"/>
        </w:rPr>
      </w:pPr>
      <w:r w:rsidRPr="00E70A69">
        <w:rPr>
          <w:rFonts w:cs="Arial"/>
        </w:rPr>
        <w:t>Technological leadership can however be a major threat. In the year 2023, Apple had a total expenditure of 22.61 billion in its research and development. This accounts for 7.8 percent of revenue according to Apple Inc. (2023). This subjects the company to huge financial strain. Specialised components supply chain exposes vulnerability. According to Whittington et al. (2023), advanced semiconductors experience disruptions in the geopolitical arena and manufacturing limitations. Regulation over App Store practises poses a threat to revenues. Kotler et al. (2021) point out that the reduction of the lifespan of products increases the pressure on cost recovery</w:t>
      </w:r>
      <w:r w:rsidR="000A15A2" w:rsidRPr="00E70A69">
        <w:rPr>
          <w:rFonts w:cs="Arial"/>
        </w:rPr>
        <w:t>.</w:t>
      </w:r>
    </w:p>
    <w:p w14:paraId="0007DAEB" w14:textId="77777777" w:rsidR="000A15A2" w:rsidRPr="00E70A69" w:rsidRDefault="000A15A2" w:rsidP="00A460E1">
      <w:pPr>
        <w:pStyle w:val="Heading3"/>
        <w:rPr>
          <w:rFonts w:cs="Arial"/>
        </w:rPr>
      </w:pPr>
      <w:bookmarkStart w:id="8" w:name="_Toc214411351"/>
      <w:r w:rsidRPr="00E70A69">
        <w:rPr>
          <w:rFonts w:cs="Arial"/>
        </w:rPr>
        <w:t>2.3.2 Actor 2: Social Factors</w:t>
      </w:r>
      <w:bookmarkEnd w:id="8"/>
    </w:p>
    <w:p w14:paraId="10864459" w14:textId="77777777" w:rsidR="00B44D85" w:rsidRPr="00E70A69" w:rsidRDefault="00B44D85" w:rsidP="00B44D85">
      <w:pPr>
        <w:rPr>
          <w:rFonts w:cs="Arial"/>
        </w:rPr>
      </w:pPr>
      <w:r w:rsidRPr="00E70A69">
        <w:rPr>
          <w:rFonts w:cs="Arial"/>
        </w:rPr>
        <w:t xml:space="preserve">The demand trends and purchase behaviour of smartphones are primarily influenced by social factors. Kotler et al. (2020) list these as demographic changes and evolution of lifestyles as well as stratification. The importance of the culture of proliferation of </w:t>
      </w:r>
      <w:r w:rsidRPr="00E70A69">
        <w:rPr>
          <w:rFonts w:cs="Arial"/>
        </w:rPr>
        <w:lastRenderedPageBreak/>
        <w:t>content creation and brand community also have a critical impact. According to Ofcom (2023), 98% of the UK 16-34 years-old population are smartphone owners. In addition, 76 percent upgrade in a period of 24 months. This is the generational buying power. There is a 47 percent participation in content creation among the UK smart phone users. This, according to Ofcom (2023), becomes the driving force behind the prioritisation of camera features. In 2023 the mobile gaming participation stood at 62 per cent of the users.</w:t>
      </w:r>
    </w:p>
    <w:p w14:paraId="43634706" w14:textId="55473328" w:rsidR="00D614C6" w:rsidRPr="00E70A69" w:rsidRDefault="00D614C6" w:rsidP="00B44D85">
      <w:pPr>
        <w:rPr>
          <w:rFonts w:cs="Arial"/>
        </w:rPr>
      </w:pPr>
      <w:r w:rsidRPr="00E70A69">
        <w:rPr>
          <w:rFonts w:cs="Arial"/>
          <w:noProof/>
        </w:rPr>
        <w:drawing>
          <wp:inline distT="0" distB="0" distL="0" distR="0" wp14:anchorId="6C9595A5" wp14:editId="69912BB1">
            <wp:extent cx="5510151" cy="5105810"/>
            <wp:effectExtent l="0" t="0" r="0" b="0"/>
            <wp:docPr id="243748311" name="Picture 3" descr="A screenshot of a phone mar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748311" name="Picture 3" descr="A screenshot of a phone market&#10;&#10;AI-generated content may be incorrect."/>
                    <pic:cNvPicPr>
                      <a:picLocks noChangeAspect="1" noChangeArrowheads="1"/>
                    </pic:cNvPicPr>
                  </pic:nvPicPr>
                  <pic:blipFill rotWithShape="1">
                    <a:blip r:embed="rId12">
                      <a:extLst>
                        <a:ext uri="{28A0092B-C50C-407E-A947-70E740481C1C}">
                          <a14:useLocalDpi xmlns:a14="http://schemas.microsoft.com/office/drawing/2010/main" val="0"/>
                        </a:ext>
                      </a:extLst>
                    </a:blip>
                    <a:srcRect l="2072" t="6008" r="1772" b="4891"/>
                    <a:stretch>
                      <a:fillRect/>
                    </a:stretch>
                  </pic:blipFill>
                  <pic:spPr bwMode="auto">
                    <a:xfrm>
                      <a:off x="0" y="0"/>
                      <a:ext cx="5511206" cy="5106788"/>
                    </a:xfrm>
                    <a:prstGeom prst="rect">
                      <a:avLst/>
                    </a:prstGeom>
                    <a:noFill/>
                    <a:ln>
                      <a:noFill/>
                    </a:ln>
                    <a:extLst>
                      <a:ext uri="{53640926-AAD7-44D8-BBD7-CCE9431645EC}">
                        <a14:shadowObscured xmlns:a14="http://schemas.microsoft.com/office/drawing/2010/main"/>
                      </a:ext>
                    </a:extLst>
                  </pic:spPr>
                </pic:pic>
              </a:graphicData>
            </a:graphic>
          </wp:inline>
        </w:drawing>
      </w:r>
    </w:p>
    <w:p w14:paraId="5F68D994" w14:textId="6AA1A56C" w:rsidR="001D2B31" w:rsidRPr="00E70A69" w:rsidRDefault="001D2B31" w:rsidP="001D2B31">
      <w:pPr>
        <w:pStyle w:val="Caption"/>
        <w:jc w:val="center"/>
        <w:rPr>
          <w:rFonts w:cs="Arial"/>
          <w:sz w:val="24"/>
          <w:szCs w:val="24"/>
        </w:rPr>
      </w:pPr>
      <w:bookmarkStart w:id="9" w:name="_Toc214411373"/>
      <w:r w:rsidRPr="00E70A69">
        <w:rPr>
          <w:rFonts w:cs="Arial"/>
          <w:color w:val="002060"/>
          <w:sz w:val="24"/>
          <w:szCs w:val="24"/>
        </w:rPr>
        <w:t xml:space="preserve">Figure </w:t>
      </w:r>
      <w:r w:rsidRPr="00E70A69">
        <w:rPr>
          <w:rFonts w:cs="Arial"/>
          <w:color w:val="002060"/>
          <w:sz w:val="24"/>
          <w:szCs w:val="24"/>
        </w:rPr>
        <w:fldChar w:fldCharType="begin"/>
      </w:r>
      <w:r w:rsidRPr="00E70A69">
        <w:rPr>
          <w:rFonts w:cs="Arial"/>
          <w:color w:val="002060"/>
          <w:sz w:val="24"/>
          <w:szCs w:val="24"/>
        </w:rPr>
        <w:instrText xml:space="preserve"> SEQ Figure \* ARABIC </w:instrText>
      </w:r>
      <w:r w:rsidRPr="00E70A69">
        <w:rPr>
          <w:rFonts w:cs="Arial"/>
          <w:color w:val="002060"/>
          <w:sz w:val="24"/>
          <w:szCs w:val="24"/>
        </w:rPr>
        <w:fldChar w:fldCharType="separate"/>
      </w:r>
      <w:r w:rsidRPr="00E70A69">
        <w:rPr>
          <w:rFonts w:cs="Arial"/>
          <w:noProof/>
          <w:color w:val="002060"/>
          <w:sz w:val="24"/>
          <w:szCs w:val="24"/>
        </w:rPr>
        <w:t>4</w:t>
      </w:r>
      <w:r w:rsidRPr="00E70A69">
        <w:rPr>
          <w:rFonts w:cs="Arial"/>
          <w:color w:val="002060"/>
          <w:sz w:val="24"/>
          <w:szCs w:val="24"/>
        </w:rPr>
        <w:fldChar w:fldCharType="end"/>
      </w:r>
      <w:r w:rsidRPr="00E70A69">
        <w:rPr>
          <w:rFonts w:cs="Arial"/>
          <w:color w:val="002060"/>
          <w:sz w:val="24"/>
          <w:szCs w:val="24"/>
        </w:rPr>
        <w:t>: Social Factors Influencing the UK Smartphone Market (Ofcom, 2023, YouGov, 2023, Statista, 2024, Mintel, 2023).</w:t>
      </w:r>
      <w:bookmarkEnd w:id="9"/>
    </w:p>
    <w:p w14:paraId="7DA5DEFF" w14:textId="77777777" w:rsidR="001D2B31" w:rsidRPr="00E70A69" w:rsidRDefault="001D2B31" w:rsidP="00B44D85">
      <w:pPr>
        <w:rPr>
          <w:rFonts w:cs="Arial"/>
        </w:rPr>
      </w:pPr>
    </w:p>
    <w:p w14:paraId="09F8C2D5" w14:textId="77777777" w:rsidR="00B44D85" w:rsidRPr="00E70A69" w:rsidRDefault="00B44D85" w:rsidP="00B44D85">
      <w:pPr>
        <w:rPr>
          <w:rFonts w:cs="Arial"/>
        </w:rPr>
      </w:pPr>
      <w:r w:rsidRPr="00E70A69">
        <w:rPr>
          <w:rFonts w:cs="Arial"/>
        </w:rPr>
        <w:t xml:space="preserve">In the case of Apple, social factors bring opportunities by providing aspirational brand positioning. According to Hooley et al. (2020), this is aimed at increasing middle classes in the world and domestic already established segments with affluent status. </w:t>
      </w:r>
      <w:r w:rsidRPr="00E70A69">
        <w:rPr>
          <w:rFonts w:cs="Arial"/>
        </w:rPr>
        <w:lastRenderedPageBreak/>
        <w:t>The iPhone 17 Pro is used as a status symbol and a social identity. In their survey of the age group 18-34 years, YouGov (2023) discovered that 68% of respondents feel that owning an iPhone would make them successful and tasteful. Personalised camera features are in keeping with content creator needs. Repeat purchase behaviour is brought about by loyalty in terms of ecosystem participation. Statista (2024) states that the average number of devices used by the population of Apple users in the UK is 3.2 per household. Strong network effects are created by brand community. Ofcom (2023) states that 92 percent of the users of the iPhone in the UK will there again buy Apple devices.</w:t>
      </w:r>
    </w:p>
    <w:p w14:paraId="6654373C" w14:textId="5A59FC9F" w:rsidR="00A460E1" w:rsidRPr="00E70A69" w:rsidRDefault="00B44D85" w:rsidP="000A15A2">
      <w:pPr>
        <w:rPr>
          <w:rFonts w:cs="Arial"/>
        </w:rPr>
      </w:pPr>
      <w:r w:rsidRPr="00E70A69">
        <w:rPr>
          <w:rFonts w:cs="Arial"/>
        </w:rPr>
        <w:t>But social factors pose dangers in emerging markets in terms of price sensitivity. According to Whittington et al. (2023), there are affordability factors that inhibit market penetration. The generation Z is becoming more of a value-for-money generation. According to Mintel (2023), 54% of consumers in the UK amongst the Gen Z believe that specification-price ratio is more crucial than brand heritage. Another risk coming up is premium market saturation within mature economies. According to Ofcom (2023), the UK smartphone replacement stopped at 24 months average and reached 29 months between 2020-2023</w:t>
      </w:r>
      <w:r w:rsidR="000A15A2" w:rsidRPr="00E70A69">
        <w:rPr>
          <w:rFonts w:cs="Arial"/>
        </w:rPr>
        <w:t>.</w:t>
      </w:r>
    </w:p>
    <w:p w14:paraId="7E82CFB0" w14:textId="77777777" w:rsidR="000A15A2" w:rsidRPr="00E70A69" w:rsidRDefault="000A15A2" w:rsidP="00A460E1">
      <w:pPr>
        <w:pStyle w:val="Heading1"/>
        <w:rPr>
          <w:rFonts w:cs="Arial"/>
        </w:rPr>
      </w:pPr>
      <w:bookmarkStart w:id="10" w:name="_Toc214411352"/>
      <w:r w:rsidRPr="00E70A69">
        <w:rPr>
          <w:rFonts w:cs="Arial"/>
        </w:rPr>
        <w:t>3. Task 2: Strategic Responses of Pioneering and Follower Organisations</w:t>
      </w:r>
      <w:bookmarkEnd w:id="10"/>
    </w:p>
    <w:p w14:paraId="7B668E91" w14:textId="77777777" w:rsidR="000A15A2" w:rsidRPr="00E70A69" w:rsidRDefault="000A15A2" w:rsidP="00A460E1">
      <w:pPr>
        <w:pStyle w:val="Heading2"/>
        <w:rPr>
          <w:rFonts w:cs="Arial"/>
        </w:rPr>
      </w:pPr>
      <w:bookmarkStart w:id="11" w:name="_Toc214411353"/>
      <w:r w:rsidRPr="00E70A69">
        <w:rPr>
          <w:rFonts w:cs="Arial"/>
        </w:rPr>
        <w:t>3.1 Pioneering Organisations' Strategic Responses</w:t>
      </w:r>
      <w:bookmarkEnd w:id="11"/>
    </w:p>
    <w:p w14:paraId="29239EB4" w14:textId="77777777" w:rsidR="00C70235" w:rsidRPr="00E70A69" w:rsidRDefault="00C70235" w:rsidP="00A460E1">
      <w:pPr>
        <w:pStyle w:val="Heading3"/>
        <w:rPr>
          <w:rFonts w:cs="Arial"/>
        </w:rPr>
      </w:pPr>
      <w:bookmarkStart w:id="12" w:name="_Toc214411354"/>
      <w:r w:rsidRPr="00E70A69">
        <w:rPr>
          <w:rFonts w:cs="Arial"/>
        </w:rPr>
        <w:t>3.1.1 Critical Evaluation of Pioneer Response to External Challenges and Opportunities</w:t>
      </w:r>
      <w:bookmarkEnd w:id="12"/>
    </w:p>
    <w:p w14:paraId="3C2ADB86" w14:textId="1178EF9A" w:rsidR="00C70235" w:rsidRPr="00E70A69" w:rsidRDefault="00FC449B" w:rsidP="00C70235">
      <w:pPr>
        <w:rPr>
          <w:rFonts w:cs="Arial"/>
        </w:rPr>
      </w:pPr>
      <w:r w:rsidRPr="00E70A69">
        <w:rPr>
          <w:rFonts w:cs="Arial"/>
        </w:rPr>
        <w:t xml:space="preserve">Apple has a powerful differentiation strategy that is designed on design excellence, proprietary technology, lock-in and premium brand positioning of the ecosystem. Porter (1985) maintains that this differentiation allows companies to sell their products at a higher price, and Hooley et al. (2020) assert the importance of a strong brand image. Innovation-based development has enabled Apple to react to changes in technology, as indicated by its 2023 (R&amp;D) investment of 22.61 billion Pounds (Apple Inc., 2023). The graphics performance of the A17 Pro is 43 percent faster (Apple Inc., 2023), and the iPhone 17 family offers AI computational photography, satellite communication and </w:t>
      </w:r>
      <w:proofErr w:type="spellStart"/>
      <w:r w:rsidRPr="00E70A69">
        <w:rPr>
          <w:rFonts w:cs="Arial"/>
        </w:rPr>
        <w:t>ProMotion</w:t>
      </w:r>
      <w:proofErr w:type="spellEnd"/>
      <w:r w:rsidRPr="00E70A69">
        <w:rPr>
          <w:rFonts w:cs="Arial"/>
        </w:rPr>
        <w:t xml:space="preserve"> screens. Whittington et al. (2023) emphasise the </w:t>
      </w:r>
      <w:r w:rsidRPr="00E70A69">
        <w:rPr>
          <w:rFonts w:cs="Arial"/>
        </w:rPr>
        <w:lastRenderedPageBreak/>
        <w:t>construction using titanium as the symbol of the constant innovation. Another aspect that Apple addresses to enhance social appeal includes premium targeting and influencer-based authenticity (Hague, 2019) and is reinforced with first-mover advantages.</w:t>
      </w:r>
    </w:p>
    <w:p w14:paraId="53346730" w14:textId="77777777" w:rsidR="00C70235" w:rsidRPr="00E70A69" w:rsidRDefault="00C70235" w:rsidP="00A460E1">
      <w:pPr>
        <w:pStyle w:val="Heading3"/>
        <w:rPr>
          <w:rFonts w:cs="Arial"/>
        </w:rPr>
      </w:pPr>
      <w:bookmarkStart w:id="13" w:name="_Toc214411355"/>
      <w:r w:rsidRPr="00E70A69">
        <w:rPr>
          <w:rFonts w:cs="Arial"/>
        </w:rPr>
        <w:t>3.1.2 Application of Ansoff's Growth Matrix to Apple</w:t>
      </w:r>
      <w:bookmarkEnd w:id="13"/>
    </w:p>
    <w:p w14:paraId="6F67D92C" w14:textId="405583DE" w:rsidR="00FC449B" w:rsidRPr="00E70A69" w:rsidRDefault="00FC449B" w:rsidP="00FC449B">
      <w:pPr>
        <w:rPr>
          <w:rFonts w:cs="Arial"/>
        </w:rPr>
      </w:pPr>
      <w:r w:rsidRPr="00E70A69">
        <w:rPr>
          <w:rFonts w:cs="Arial"/>
        </w:rPr>
        <w:t xml:space="preserve">The Ansoff's Growth Matrix of Apple is given below: </w:t>
      </w:r>
    </w:p>
    <w:p w14:paraId="62520496" w14:textId="38DAEAA5" w:rsidR="00E01069" w:rsidRPr="00E70A69" w:rsidRDefault="005166A8" w:rsidP="00FC449B">
      <w:pPr>
        <w:rPr>
          <w:rFonts w:cs="Arial"/>
        </w:rPr>
      </w:pPr>
      <w:r w:rsidRPr="00E70A69">
        <w:rPr>
          <w:rFonts w:cs="Arial"/>
          <w:noProof/>
        </w:rPr>
        <w:drawing>
          <wp:inline distT="0" distB="0" distL="0" distR="0" wp14:anchorId="4168910F" wp14:editId="43C8D4CF">
            <wp:extent cx="6210300" cy="4940135"/>
            <wp:effectExtent l="0" t="0" r="0" b="0"/>
            <wp:docPr id="12701386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138665" name="Picture 1" descr="A screenshot of a computer&#10;&#10;AI-generated content may be incorrect."/>
                    <pic:cNvPicPr/>
                  </pic:nvPicPr>
                  <pic:blipFill>
                    <a:blip r:embed="rId13">
                      <a:extLst>
                        <a:ext uri="{BEBA8EAE-BF5A-486C-A8C5-ECC9F3942E4B}">
                          <a14:imgProps xmlns:a14="http://schemas.microsoft.com/office/drawing/2010/main">
                            <a14:imgLayer r:embed="rId14">
                              <a14:imgEffect>
                                <a14:brightnessContrast bright="20000" contrast="-20000"/>
                              </a14:imgEffect>
                            </a14:imgLayer>
                          </a14:imgProps>
                        </a:ext>
                      </a:extLst>
                    </a:blip>
                    <a:stretch>
                      <a:fillRect/>
                    </a:stretch>
                  </pic:blipFill>
                  <pic:spPr>
                    <a:xfrm>
                      <a:off x="0" y="0"/>
                      <a:ext cx="6220363" cy="4948140"/>
                    </a:xfrm>
                    <a:prstGeom prst="rect">
                      <a:avLst/>
                    </a:prstGeom>
                  </pic:spPr>
                </pic:pic>
              </a:graphicData>
            </a:graphic>
          </wp:inline>
        </w:drawing>
      </w:r>
    </w:p>
    <w:p w14:paraId="2C726DF4" w14:textId="4C1411A5" w:rsidR="00E01069" w:rsidRPr="00E70A69" w:rsidRDefault="005166A8" w:rsidP="004508F0">
      <w:pPr>
        <w:pStyle w:val="Caption"/>
        <w:jc w:val="center"/>
        <w:rPr>
          <w:rFonts w:cs="Arial"/>
          <w:color w:val="002060"/>
          <w:sz w:val="24"/>
          <w:szCs w:val="24"/>
        </w:rPr>
      </w:pPr>
      <w:bookmarkStart w:id="14" w:name="_Toc214411374"/>
      <w:r w:rsidRPr="00E70A69">
        <w:rPr>
          <w:rFonts w:cs="Arial"/>
          <w:color w:val="002060"/>
          <w:sz w:val="24"/>
          <w:szCs w:val="24"/>
        </w:rPr>
        <w:t xml:space="preserve">Figure </w:t>
      </w:r>
      <w:r w:rsidRPr="00E70A69">
        <w:rPr>
          <w:rFonts w:cs="Arial"/>
          <w:color w:val="002060"/>
          <w:sz w:val="24"/>
          <w:szCs w:val="24"/>
        </w:rPr>
        <w:fldChar w:fldCharType="begin"/>
      </w:r>
      <w:r w:rsidRPr="00E70A69">
        <w:rPr>
          <w:rFonts w:cs="Arial"/>
          <w:color w:val="002060"/>
          <w:sz w:val="24"/>
          <w:szCs w:val="24"/>
        </w:rPr>
        <w:instrText xml:space="preserve"> SEQ Figure \* ARABIC </w:instrText>
      </w:r>
      <w:r w:rsidRPr="00E70A69">
        <w:rPr>
          <w:rFonts w:cs="Arial"/>
          <w:color w:val="002060"/>
          <w:sz w:val="24"/>
          <w:szCs w:val="24"/>
        </w:rPr>
        <w:fldChar w:fldCharType="separate"/>
      </w:r>
      <w:r w:rsidR="00B64533" w:rsidRPr="00E70A69">
        <w:rPr>
          <w:rFonts w:cs="Arial"/>
          <w:noProof/>
          <w:color w:val="002060"/>
          <w:sz w:val="24"/>
          <w:szCs w:val="24"/>
        </w:rPr>
        <w:t>5</w:t>
      </w:r>
      <w:r w:rsidRPr="00E70A69">
        <w:rPr>
          <w:rFonts w:cs="Arial"/>
          <w:color w:val="002060"/>
          <w:sz w:val="24"/>
          <w:szCs w:val="24"/>
        </w:rPr>
        <w:fldChar w:fldCharType="end"/>
      </w:r>
      <w:r w:rsidRPr="00E70A69">
        <w:rPr>
          <w:rFonts w:cs="Arial"/>
          <w:color w:val="002060"/>
          <w:sz w:val="24"/>
          <w:szCs w:val="24"/>
        </w:rPr>
        <w:t xml:space="preserve">:  </w:t>
      </w:r>
      <w:r w:rsidR="004508F0" w:rsidRPr="00E70A69">
        <w:rPr>
          <w:rFonts w:cs="Arial"/>
          <w:color w:val="002060"/>
          <w:sz w:val="24"/>
          <w:szCs w:val="24"/>
        </w:rPr>
        <w:t>The Ansoff's Growth Matrix of Apple (Self Made)</w:t>
      </w:r>
      <w:bookmarkEnd w:id="14"/>
    </w:p>
    <w:p w14:paraId="4BFA07E2" w14:textId="353E1288" w:rsidR="00C70235" w:rsidRPr="00E70A69" w:rsidRDefault="00C70235" w:rsidP="00C70235">
      <w:pPr>
        <w:rPr>
          <w:rFonts w:cs="Arial"/>
        </w:rPr>
      </w:pPr>
      <w:r w:rsidRPr="00E70A69">
        <w:rPr>
          <w:rFonts w:cs="Arial"/>
          <w:b/>
          <w:bCs/>
        </w:rPr>
        <w:t>Market Penetration</w:t>
      </w:r>
      <w:r w:rsidR="00FC449B" w:rsidRPr="00E70A69">
        <w:rPr>
          <w:rFonts w:cs="Arial"/>
          <w:b/>
          <w:bCs/>
        </w:rPr>
        <w:t xml:space="preserve">: </w:t>
      </w:r>
      <w:r w:rsidR="00FC449B" w:rsidRPr="00E70A69">
        <w:rPr>
          <w:rFonts w:cs="Arial"/>
        </w:rPr>
        <w:t xml:space="preserve">Apple enhances its footprint in the mature markets by ecosystem support and long-term device support. According to statistical data provided by Statista (2024), iOS devices are supported on average up to 6.5 years, in contrast to Android devices, which are not more than 3.2 years. The trade-in schemes enhance customer retention and the UK participation was 42 percent in 2023 (Counterpoint Research, 2023). Kotler et al. (2020) suppose that aboveboard promotional tactics enhance </w:t>
      </w:r>
      <w:r w:rsidR="00FC449B" w:rsidRPr="00E70A69">
        <w:rPr>
          <w:rFonts w:cs="Arial"/>
        </w:rPr>
        <w:lastRenderedPageBreak/>
        <w:t>repeat buying. Statista (2024) claims that the average number of other Apple-based products owned by users in the UK is 2.8, which makes it significantly more expensive to switch</w:t>
      </w:r>
      <w:r w:rsidRPr="00E70A69">
        <w:rPr>
          <w:rFonts w:cs="Arial"/>
        </w:rPr>
        <w:t>.</w:t>
      </w:r>
    </w:p>
    <w:p w14:paraId="520D3AC6" w14:textId="07F02625" w:rsidR="00C70235" w:rsidRPr="00E70A69" w:rsidRDefault="00C70235" w:rsidP="00C70235">
      <w:pPr>
        <w:rPr>
          <w:rFonts w:cs="Arial"/>
        </w:rPr>
      </w:pPr>
      <w:r w:rsidRPr="00E70A69">
        <w:rPr>
          <w:rFonts w:cs="Arial"/>
          <w:b/>
          <w:bCs/>
        </w:rPr>
        <w:t>Market Development</w:t>
      </w:r>
      <w:r w:rsidR="00FC449B" w:rsidRPr="00E70A69">
        <w:rPr>
          <w:rFonts w:cs="Arial"/>
          <w:b/>
          <w:bCs/>
        </w:rPr>
        <w:t xml:space="preserve">: </w:t>
      </w:r>
      <w:r w:rsidR="00FC449B" w:rsidRPr="00E70A69">
        <w:rPr>
          <w:rFonts w:cs="Arial"/>
        </w:rPr>
        <w:t>Apple is encroaching on other areas like India and Southeast Asia where the growth of middle classes has produced demand (Whittington et al., 2023). iPhone SE can attract customers of moderate income without losing brand prestige. According to Hooley et al. (2020), pricing and distribution adaptation to the market development is important. The accessibility is expanded via education programmes and financing opportunities among younger populations</w:t>
      </w:r>
      <w:r w:rsidRPr="00E70A69">
        <w:rPr>
          <w:rFonts w:cs="Arial"/>
        </w:rPr>
        <w:t>.</w:t>
      </w:r>
    </w:p>
    <w:p w14:paraId="60949751" w14:textId="7FC10D2A" w:rsidR="00C70235" w:rsidRPr="00E70A69" w:rsidRDefault="00C70235" w:rsidP="00C70235">
      <w:pPr>
        <w:rPr>
          <w:rFonts w:cs="Arial"/>
        </w:rPr>
      </w:pPr>
      <w:r w:rsidRPr="00E70A69">
        <w:rPr>
          <w:rFonts w:cs="Arial"/>
          <w:b/>
          <w:bCs/>
        </w:rPr>
        <w:t>Product Development</w:t>
      </w:r>
      <w:r w:rsidR="00FC449B" w:rsidRPr="00E70A69">
        <w:rPr>
          <w:rFonts w:cs="Arial"/>
          <w:b/>
          <w:bCs/>
        </w:rPr>
        <w:t xml:space="preserve">: </w:t>
      </w:r>
      <w:r w:rsidR="00FC449B" w:rsidRPr="00E70A69">
        <w:rPr>
          <w:rFonts w:cs="Arial"/>
        </w:rPr>
        <w:t xml:space="preserve">The greatest strategy that Apple has had is constant innovation. The iPhone </w:t>
      </w:r>
      <w:r w:rsidR="00E70A69" w:rsidRPr="00E70A69">
        <w:rPr>
          <w:rFonts w:cs="Arial"/>
        </w:rPr>
        <w:t>17-line</w:t>
      </w:r>
      <w:r w:rsidR="00FC449B" w:rsidRPr="00E70A69">
        <w:rPr>
          <w:rFonts w:cs="Arial"/>
        </w:rPr>
        <w:t xml:space="preserve"> features satellite emergency connectivity as well as AI-driven photography. As Apple Inc. (2023) points out, innovation maintains the overall competitive edge, and it is backed by 98,000 patent applications worldwide. Whittington et al. (202</w:t>
      </w:r>
      <w:r w:rsidR="00937522" w:rsidRPr="00E70A69">
        <w:rPr>
          <w:rFonts w:cs="Arial"/>
        </w:rPr>
        <w:t>3</w:t>
      </w:r>
      <w:r w:rsidR="00FC449B" w:rsidRPr="00E70A69">
        <w:rPr>
          <w:rFonts w:cs="Arial"/>
        </w:rPr>
        <w:t>) suggest that the privacy positioning of the Apple products is another factor that makes the products different. The growth is also based on services, which brings about 85.2 billion in 2023 (Apple Inc., 2023)</w:t>
      </w:r>
      <w:r w:rsidRPr="00E70A69">
        <w:rPr>
          <w:rFonts w:cs="Arial"/>
        </w:rPr>
        <w:t>.</w:t>
      </w:r>
    </w:p>
    <w:p w14:paraId="3F7DF304" w14:textId="3A525E02" w:rsidR="00C70235" w:rsidRPr="00E70A69" w:rsidRDefault="00C70235" w:rsidP="00C70235">
      <w:pPr>
        <w:rPr>
          <w:rFonts w:cs="Arial"/>
        </w:rPr>
      </w:pPr>
      <w:r w:rsidRPr="00E70A69">
        <w:rPr>
          <w:rFonts w:cs="Arial"/>
          <w:b/>
          <w:bCs/>
        </w:rPr>
        <w:t>Diversification</w:t>
      </w:r>
      <w:r w:rsidR="00FC449B" w:rsidRPr="00E70A69">
        <w:rPr>
          <w:rFonts w:cs="Arial"/>
          <w:b/>
          <w:bCs/>
        </w:rPr>
        <w:t xml:space="preserve">: </w:t>
      </w:r>
      <w:r w:rsidR="00FC449B" w:rsidRPr="00E70A69">
        <w:rPr>
          <w:rFonts w:cs="Arial"/>
        </w:rPr>
        <w:t>Apple practises related diversification, by entering the wearables and audio/sub services. Hague (2019) stresses that diversification will minimise the dependence on individual product types. The addition of services like Apple TV+, Fitness+ and AirPods increases customer lock-in. Privacy can be seen as one of the key differentiators, and 73 percent of consumers in the UK mention it as the number one reason (YouGov, 2023). Or Tellis and Golder (1996) also add that diversification remains successful through sustained innovation, not simple enterprise</w:t>
      </w:r>
      <w:r w:rsidRPr="00E70A69">
        <w:rPr>
          <w:rFonts w:cs="Arial"/>
        </w:rPr>
        <w:t>.</w:t>
      </w:r>
    </w:p>
    <w:p w14:paraId="5DE0AC34" w14:textId="77777777" w:rsidR="00C70235" w:rsidRPr="00E70A69" w:rsidRDefault="00C70235" w:rsidP="00A460E1">
      <w:pPr>
        <w:pStyle w:val="Heading3"/>
        <w:rPr>
          <w:rFonts w:cs="Arial"/>
        </w:rPr>
      </w:pPr>
      <w:bookmarkStart w:id="15" w:name="_Toc214411356"/>
      <w:r w:rsidRPr="00E70A69">
        <w:rPr>
          <w:rFonts w:cs="Arial"/>
        </w:rPr>
        <w:t>3.1.3 Industry Examples Supporting Pioneer Analysis</w:t>
      </w:r>
      <w:bookmarkEnd w:id="15"/>
    </w:p>
    <w:p w14:paraId="6E0F6D50" w14:textId="6A905485" w:rsidR="00C70235" w:rsidRPr="00E70A69" w:rsidRDefault="00FC449B" w:rsidP="00C70235">
      <w:pPr>
        <w:rPr>
          <w:rFonts w:cs="Arial"/>
        </w:rPr>
      </w:pPr>
      <w:r w:rsidRPr="00E70A69">
        <w:rPr>
          <w:rFonts w:cs="Arial"/>
        </w:rPr>
        <w:t>Apple enjoyed a 50.8 percent market share of the UK high-end (i.e., above 600) in 2023 (Counterpoint Research, 2023), indicating the success of differentiation. Johnson et al. (2017) affirm that competitors find it challenging to replicate vertical integration. The performance of Apple in all four Ansoff dimensions, which include penetration, development, product innovation, and diversification, proves how robust the multi-directional growth strategy and capacity to react to the changes in the technological and social macro-environment are</w:t>
      </w:r>
      <w:r w:rsidR="00C70235" w:rsidRPr="00E70A69">
        <w:rPr>
          <w:rFonts w:cs="Arial"/>
        </w:rPr>
        <w:t>.</w:t>
      </w:r>
    </w:p>
    <w:p w14:paraId="4E89A717" w14:textId="77777777" w:rsidR="00B64533" w:rsidRPr="00E70A69" w:rsidRDefault="00B64533" w:rsidP="00C70235">
      <w:pPr>
        <w:rPr>
          <w:rFonts w:cs="Arial"/>
        </w:rPr>
      </w:pPr>
    </w:p>
    <w:p w14:paraId="60E190F1" w14:textId="77777777" w:rsidR="00C70235" w:rsidRPr="00E70A69" w:rsidRDefault="00C70235" w:rsidP="00A460E1">
      <w:pPr>
        <w:pStyle w:val="Heading2"/>
        <w:rPr>
          <w:rFonts w:cs="Arial"/>
        </w:rPr>
      </w:pPr>
      <w:bookmarkStart w:id="16" w:name="_Toc214411357"/>
      <w:r w:rsidRPr="00E70A69">
        <w:rPr>
          <w:rFonts w:cs="Arial"/>
        </w:rPr>
        <w:lastRenderedPageBreak/>
        <w:t>3.2 Follower Organisations' Strategic Responses</w:t>
      </w:r>
      <w:bookmarkEnd w:id="16"/>
    </w:p>
    <w:p w14:paraId="4882698F" w14:textId="77777777" w:rsidR="00C70235" w:rsidRPr="00E70A69" w:rsidRDefault="00C70235" w:rsidP="00A460E1">
      <w:pPr>
        <w:pStyle w:val="Heading3"/>
        <w:rPr>
          <w:rFonts w:cs="Arial"/>
        </w:rPr>
      </w:pPr>
      <w:bookmarkStart w:id="17" w:name="_Toc214411358"/>
      <w:r w:rsidRPr="00E70A69">
        <w:rPr>
          <w:rFonts w:cs="Arial"/>
        </w:rPr>
        <w:t>3.2.1 Critical Assessment of Follower Adaptation Strategies</w:t>
      </w:r>
      <w:bookmarkEnd w:id="17"/>
    </w:p>
    <w:p w14:paraId="17DC0C89" w14:textId="01223FBC" w:rsidR="00C70235" w:rsidRPr="00E70A69" w:rsidRDefault="00FC449B" w:rsidP="00C70235">
      <w:pPr>
        <w:rPr>
          <w:rFonts w:cs="Arial"/>
        </w:rPr>
      </w:pPr>
      <w:r w:rsidRPr="00E70A69">
        <w:rPr>
          <w:rFonts w:cs="Arial"/>
        </w:rPr>
        <w:t xml:space="preserve">Xiaomi has a hybrid strategic position that is based on cost leadership and focused differentiation to compete with pioneers. Porter (1985) observes that this combination ranks with price-tracking but quality-sensitive buyers whereas Hooley et al. (2020) note that the followers should minimise the perception gaps between the brands and learn as pioneers. Fast-follower strategy is exploited by Xiaomi to take advantage of established technologies and eliminate the level of uncertainty and allows improving design (Lieberman and Montgomery, 1988; Shankar et al., 1998). It offers devices that come with advanced features like 200MP periscope cameras and oversized sensors, which are supported by </w:t>
      </w:r>
      <w:proofErr w:type="spellStart"/>
      <w:r w:rsidRPr="00E70A69">
        <w:rPr>
          <w:rFonts w:cs="Arial"/>
        </w:rPr>
        <w:t>Xring</w:t>
      </w:r>
      <w:proofErr w:type="spellEnd"/>
      <w:r w:rsidRPr="00E70A69">
        <w:rPr>
          <w:rFonts w:cs="Arial"/>
        </w:rPr>
        <w:t xml:space="preserve"> chipset and </w:t>
      </w:r>
      <w:proofErr w:type="spellStart"/>
      <w:r w:rsidRPr="00E70A69">
        <w:rPr>
          <w:rFonts w:cs="Arial"/>
        </w:rPr>
        <w:t>HyperOS</w:t>
      </w:r>
      <w:proofErr w:type="spellEnd"/>
      <w:r w:rsidRPr="00E70A69">
        <w:rPr>
          <w:rFonts w:cs="Arial"/>
        </w:rPr>
        <w:t xml:space="preserve"> ecosystem development (Xiaomi Corporation, 2023). In the social aspect, Xiaomi markets its products to technologically inclined and young emerging-market customers using low-cost flagship (Kotler et al., 2021) and value messaging (Hague, 2019). Marketing of communities also has a lower cost (Johnson et al., 2017) which strengthens the advantages of being a late-mover (Lieberman and Montgomery, 1988)</w:t>
      </w:r>
      <w:r w:rsidR="00C70235" w:rsidRPr="00E70A69">
        <w:rPr>
          <w:rFonts w:cs="Arial"/>
        </w:rPr>
        <w:t>.</w:t>
      </w:r>
    </w:p>
    <w:p w14:paraId="6FD99D03" w14:textId="77777777" w:rsidR="00C70235" w:rsidRPr="00E70A69" w:rsidRDefault="00C70235" w:rsidP="00A460E1">
      <w:pPr>
        <w:pStyle w:val="Heading3"/>
        <w:rPr>
          <w:rFonts w:cs="Arial"/>
        </w:rPr>
      </w:pPr>
      <w:bookmarkStart w:id="18" w:name="_Toc214411359"/>
      <w:r w:rsidRPr="00E70A69">
        <w:rPr>
          <w:rFonts w:cs="Arial"/>
        </w:rPr>
        <w:t>3.2.2 Application of Ansoff's Growth Matrix to Xiaomi</w:t>
      </w:r>
      <w:bookmarkEnd w:id="18"/>
    </w:p>
    <w:p w14:paraId="7080A37A" w14:textId="3FC47674" w:rsidR="00FC449B" w:rsidRPr="00E70A69" w:rsidRDefault="00FC449B" w:rsidP="00C70235">
      <w:pPr>
        <w:rPr>
          <w:rFonts w:cs="Arial"/>
        </w:rPr>
      </w:pPr>
      <w:r w:rsidRPr="00E70A69">
        <w:rPr>
          <w:rFonts w:cs="Arial"/>
        </w:rPr>
        <w:t xml:space="preserve">The Ansoff's Growth Matrix of Xiaomi is given below: </w:t>
      </w:r>
    </w:p>
    <w:p w14:paraId="0E5E21C6" w14:textId="17DB4504" w:rsidR="00C72B28" w:rsidRPr="00E70A69" w:rsidRDefault="00C72B28" w:rsidP="00C70235">
      <w:pPr>
        <w:rPr>
          <w:rFonts w:cs="Arial"/>
        </w:rPr>
      </w:pPr>
      <w:r w:rsidRPr="00E70A69">
        <w:rPr>
          <w:rFonts w:cs="Arial"/>
          <w:noProof/>
        </w:rPr>
        <w:lastRenderedPageBreak/>
        <w:drawing>
          <wp:inline distT="0" distB="0" distL="0" distR="0" wp14:anchorId="51F3632C" wp14:editId="619A5482">
            <wp:extent cx="6216957" cy="4500748"/>
            <wp:effectExtent l="0" t="0" r="0" b="0"/>
            <wp:docPr id="10122172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217214" name="Picture 1" descr="A screenshot of a computer&#10;&#10;AI-generated content may be incorrect."/>
                    <pic:cNvPicPr/>
                  </pic:nvPicPr>
                  <pic:blipFill>
                    <a:blip r:embed="rId15">
                      <a:extLst>
                        <a:ext uri="{BEBA8EAE-BF5A-486C-A8C5-ECC9F3942E4B}">
                          <a14:imgProps xmlns:a14="http://schemas.microsoft.com/office/drawing/2010/main">
                            <a14:imgLayer r:embed="rId16">
                              <a14:imgEffect>
                                <a14:brightnessContrast bright="20000" contrast="-20000"/>
                              </a14:imgEffect>
                            </a14:imgLayer>
                          </a14:imgProps>
                        </a:ext>
                      </a:extLst>
                    </a:blip>
                    <a:stretch>
                      <a:fillRect/>
                    </a:stretch>
                  </pic:blipFill>
                  <pic:spPr>
                    <a:xfrm>
                      <a:off x="0" y="0"/>
                      <a:ext cx="6252470" cy="4526458"/>
                    </a:xfrm>
                    <a:prstGeom prst="rect">
                      <a:avLst/>
                    </a:prstGeom>
                  </pic:spPr>
                </pic:pic>
              </a:graphicData>
            </a:graphic>
          </wp:inline>
        </w:drawing>
      </w:r>
    </w:p>
    <w:p w14:paraId="7CB88858" w14:textId="78A8DA69" w:rsidR="00C72B28" w:rsidRPr="00E70A69" w:rsidRDefault="00C72B28" w:rsidP="00B64533">
      <w:pPr>
        <w:pStyle w:val="Caption"/>
        <w:jc w:val="center"/>
        <w:rPr>
          <w:rFonts w:cs="Arial"/>
          <w:color w:val="002060"/>
          <w:sz w:val="24"/>
          <w:szCs w:val="24"/>
        </w:rPr>
      </w:pPr>
      <w:bookmarkStart w:id="19" w:name="_Toc214411375"/>
      <w:r w:rsidRPr="00E70A69">
        <w:rPr>
          <w:rFonts w:cs="Arial"/>
          <w:color w:val="002060"/>
          <w:sz w:val="24"/>
          <w:szCs w:val="24"/>
        </w:rPr>
        <w:t xml:space="preserve">Figure </w:t>
      </w:r>
      <w:r w:rsidRPr="00E70A69">
        <w:rPr>
          <w:rFonts w:cs="Arial"/>
          <w:color w:val="002060"/>
          <w:sz w:val="24"/>
          <w:szCs w:val="24"/>
        </w:rPr>
        <w:fldChar w:fldCharType="begin"/>
      </w:r>
      <w:r w:rsidRPr="00E70A69">
        <w:rPr>
          <w:rFonts w:cs="Arial"/>
          <w:color w:val="002060"/>
          <w:sz w:val="24"/>
          <w:szCs w:val="24"/>
        </w:rPr>
        <w:instrText xml:space="preserve"> SEQ Figure \* ARABIC </w:instrText>
      </w:r>
      <w:r w:rsidRPr="00E70A69">
        <w:rPr>
          <w:rFonts w:cs="Arial"/>
          <w:color w:val="002060"/>
          <w:sz w:val="24"/>
          <w:szCs w:val="24"/>
        </w:rPr>
        <w:fldChar w:fldCharType="separate"/>
      </w:r>
      <w:r w:rsidR="00B64533" w:rsidRPr="00E70A69">
        <w:rPr>
          <w:rFonts w:cs="Arial"/>
          <w:noProof/>
          <w:color w:val="002060"/>
          <w:sz w:val="24"/>
          <w:szCs w:val="24"/>
        </w:rPr>
        <w:t>6</w:t>
      </w:r>
      <w:r w:rsidRPr="00E70A69">
        <w:rPr>
          <w:rFonts w:cs="Arial"/>
          <w:color w:val="002060"/>
          <w:sz w:val="24"/>
          <w:szCs w:val="24"/>
        </w:rPr>
        <w:fldChar w:fldCharType="end"/>
      </w:r>
      <w:r w:rsidRPr="00E70A69">
        <w:rPr>
          <w:rFonts w:cs="Arial"/>
          <w:color w:val="002060"/>
          <w:sz w:val="24"/>
          <w:szCs w:val="24"/>
        </w:rPr>
        <w:t>: The Ansoff's Growth Matrix of Xiaomi (Self Made)</w:t>
      </w:r>
      <w:bookmarkEnd w:id="19"/>
    </w:p>
    <w:p w14:paraId="0A69739B" w14:textId="4617D48C" w:rsidR="00C70235" w:rsidRPr="00E70A69" w:rsidRDefault="00C70235" w:rsidP="00C70235">
      <w:pPr>
        <w:rPr>
          <w:rFonts w:cs="Arial"/>
        </w:rPr>
      </w:pPr>
      <w:r w:rsidRPr="00E70A69">
        <w:rPr>
          <w:rFonts w:cs="Arial"/>
          <w:b/>
          <w:bCs/>
        </w:rPr>
        <w:t>Market Penetration</w:t>
      </w:r>
      <w:r w:rsidR="00FC449B" w:rsidRPr="00E70A69">
        <w:rPr>
          <w:rFonts w:cs="Arial"/>
          <w:b/>
          <w:bCs/>
        </w:rPr>
        <w:t xml:space="preserve">: </w:t>
      </w:r>
      <w:r w:rsidR="00FC449B" w:rsidRPr="00E70A69">
        <w:rPr>
          <w:rFonts w:cs="Arial"/>
        </w:rPr>
        <w:t>Xiaomi has a shorter launch time of 6-8 months in comparison with Apple, which has its yearly launch time cycles (IDC, 2023). Penetration is enhanced through flash sales and competitive prices (Whittington et al., 202</w:t>
      </w:r>
      <w:r w:rsidR="00937522" w:rsidRPr="00E70A69">
        <w:rPr>
          <w:rFonts w:cs="Arial"/>
        </w:rPr>
        <w:t>3</w:t>
      </w:r>
      <w:r w:rsidR="00FC449B" w:rsidRPr="00E70A69">
        <w:rPr>
          <w:rFonts w:cs="Arial"/>
        </w:rPr>
        <w:t>). According to Xiaomi Corporation (2023), the devices in the company cost 40-50 per cent less than Apple devices. According to the Counterpoint Research (2023), the UK retail range is between £399-899 and commands a market share of 13.5 percent in the world in 2023 (IDC, 2023)</w:t>
      </w:r>
      <w:r w:rsidRPr="00E70A69">
        <w:rPr>
          <w:rFonts w:cs="Arial"/>
        </w:rPr>
        <w:t>.</w:t>
      </w:r>
    </w:p>
    <w:p w14:paraId="0A84AA00" w14:textId="25A5FA96" w:rsidR="00C70235" w:rsidRPr="00E70A69" w:rsidRDefault="00C70235" w:rsidP="00C70235">
      <w:pPr>
        <w:rPr>
          <w:rFonts w:cs="Arial"/>
        </w:rPr>
      </w:pPr>
      <w:r w:rsidRPr="00E70A69">
        <w:rPr>
          <w:rFonts w:cs="Arial"/>
          <w:b/>
          <w:bCs/>
        </w:rPr>
        <w:t>Market Development</w:t>
      </w:r>
      <w:r w:rsidR="00FC449B" w:rsidRPr="00E70A69">
        <w:rPr>
          <w:rFonts w:cs="Arial"/>
          <w:b/>
          <w:bCs/>
        </w:rPr>
        <w:t xml:space="preserve">: </w:t>
      </w:r>
      <w:r w:rsidR="00FC449B" w:rsidRPr="00E70A69">
        <w:rPr>
          <w:rFonts w:cs="Arial"/>
        </w:rPr>
        <w:t>Xiaomi has a rapid growth in Europe and Asia. The 15, 15T and 15 Ultra appeal to different levels of income. According to the counterpoint research (2023), the market share, retail stores, and UK market grow to 8.3 percent and 2-18 respectively in the period of 2021-2023. According to Hooley et al. (2020), the success of the market development depends on the ability to adjust to the local liking</w:t>
      </w:r>
      <w:r w:rsidRPr="00E70A69">
        <w:rPr>
          <w:rFonts w:cs="Arial"/>
        </w:rPr>
        <w:t>.</w:t>
      </w:r>
    </w:p>
    <w:p w14:paraId="1E7A6751" w14:textId="7949C8B2" w:rsidR="00C70235" w:rsidRPr="00E70A69" w:rsidRDefault="00C70235" w:rsidP="00C70235">
      <w:pPr>
        <w:rPr>
          <w:rFonts w:cs="Arial"/>
        </w:rPr>
      </w:pPr>
      <w:r w:rsidRPr="00E70A69">
        <w:rPr>
          <w:rFonts w:cs="Arial"/>
          <w:b/>
          <w:bCs/>
        </w:rPr>
        <w:lastRenderedPageBreak/>
        <w:t>Product Development</w:t>
      </w:r>
      <w:r w:rsidR="00FC449B" w:rsidRPr="00E70A69">
        <w:rPr>
          <w:rFonts w:cs="Arial"/>
          <w:b/>
          <w:bCs/>
        </w:rPr>
        <w:t xml:space="preserve">: </w:t>
      </w:r>
      <w:r w:rsidR="00FC449B" w:rsidRPr="00E70A69">
        <w:rPr>
          <w:rFonts w:cs="Arial"/>
        </w:rPr>
        <w:t xml:space="preserve">Xiaomi is fast to launch new products containing </w:t>
      </w:r>
      <w:proofErr w:type="spellStart"/>
      <w:r w:rsidR="00FC449B" w:rsidRPr="00E70A69">
        <w:rPr>
          <w:rFonts w:cs="Arial"/>
        </w:rPr>
        <w:t>HyperOS</w:t>
      </w:r>
      <w:proofErr w:type="spellEnd"/>
      <w:r w:rsidR="00FC449B" w:rsidRPr="00E70A69">
        <w:rPr>
          <w:rFonts w:cs="Arial"/>
        </w:rPr>
        <w:t xml:space="preserve"> and </w:t>
      </w:r>
      <w:proofErr w:type="spellStart"/>
      <w:r w:rsidR="00FC449B" w:rsidRPr="00E70A69">
        <w:rPr>
          <w:rFonts w:cs="Arial"/>
        </w:rPr>
        <w:t>Xring</w:t>
      </w:r>
      <w:proofErr w:type="spellEnd"/>
      <w:r w:rsidR="00FC449B" w:rsidRPr="00E70A69">
        <w:rPr>
          <w:rFonts w:cs="Arial"/>
        </w:rPr>
        <w:t xml:space="preserve"> chipsets (Whittington et al., 2023). The UK quality perceptions increased by 68 percent in 2020-2023, according to YouGov (2023). According to Xiaomi Corporation (2023), the company has 4.7 percent net margins on revenue of £32.4 billion</w:t>
      </w:r>
      <w:r w:rsidRPr="00E70A69">
        <w:rPr>
          <w:rFonts w:cs="Arial"/>
        </w:rPr>
        <w:t>.</w:t>
      </w:r>
    </w:p>
    <w:p w14:paraId="58DA536F" w14:textId="654DB2C8" w:rsidR="00C70235" w:rsidRPr="00E70A69" w:rsidRDefault="00C70235" w:rsidP="00FC449B">
      <w:pPr>
        <w:rPr>
          <w:rFonts w:cs="Arial"/>
        </w:rPr>
      </w:pPr>
      <w:r w:rsidRPr="00E70A69">
        <w:rPr>
          <w:rFonts w:cs="Arial"/>
          <w:b/>
          <w:bCs/>
        </w:rPr>
        <w:t>Diversification</w:t>
      </w:r>
      <w:r w:rsidR="00FC449B" w:rsidRPr="00E70A69">
        <w:rPr>
          <w:rFonts w:cs="Arial"/>
          <w:b/>
          <w:bCs/>
        </w:rPr>
        <w:t xml:space="preserve">: </w:t>
      </w:r>
      <w:r w:rsidR="00FC449B" w:rsidRPr="00E70A69">
        <w:rPr>
          <w:rFonts w:cs="Arial"/>
        </w:rPr>
        <w:t>Xiaomi has headways into smart home products, wearables, laptops and EVs. According to Shankar et al. (1998), late- entrant designs can be better than the pioneers. The strategy utilised by Xiaomi has been categorised by Kotler et al. (2020) as frontal and encirclement attack. It has an IoT ecosystem that enhances lock-in of value consumers.</w:t>
      </w:r>
    </w:p>
    <w:p w14:paraId="4ABFAE54" w14:textId="77777777" w:rsidR="00C70235" w:rsidRPr="00E70A69" w:rsidRDefault="00C70235" w:rsidP="00A460E1">
      <w:pPr>
        <w:pStyle w:val="Heading3"/>
        <w:rPr>
          <w:rFonts w:cs="Arial"/>
        </w:rPr>
      </w:pPr>
      <w:bookmarkStart w:id="20" w:name="_Toc214411360"/>
      <w:r w:rsidRPr="00E70A69">
        <w:rPr>
          <w:rFonts w:cs="Arial"/>
        </w:rPr>
        <w:t>3.2.3 Industry Examples Supporting Follower Analysis</w:t>
      </w:r>
      <w:bookmarkEnd w:id="20"/>
    </w:p>
    <w:p w14:paraId="47B0C13E" w14:textId="562717EC" w:rsidR="00A460E1" w:rsidRPr="00E70A69" w:rsidRDefault="00FC449B" w:rsidP="00C70235">
      <w:pPr>
        <w:rPr>
          <w:rFonts w:cs="Arial"/>
        </w:rPr>
      </w:pPr>
      <w:r w:rsidRPr="00E70A69">
        <w:rPr>
          <w:rFonts w:cs="Arial"/>
        </w:rPr>
        <w:t xml:space="preserve">Xiaomi provides a 200MP 15 ultrasonic camera that competes with iPhone 17 Pro, as it demonstrates the strategy of frontal attack. </w:t>
      </w:r>
      <w:proofErr w:type="spellStart"/>
      <w:r w:rsidRPr="00E70A69">
        <w:rPr>
          <w:rFonts w:cs="Arial"/>
        </w:rPr>
        <w:t>HyperOS</w:t>
      </w:r>
      <w:proofErr w:type="spellEnd"/>
      <w:r w:rsidRPr="00E70A69">
        <w:rPr>
          <w:rFonts w:cs="Arial"/>
        </w:rPr>
        <w:t xml:space="preserve"> mimics flawless integration (Hooley et al., 2020). The 13.5 percent share of Xiaomi in the global market is confirmed by IDC (2023). Ansoff strategies are implemented well through retail growth and </w:t>
      </w:r>
      <w:r w:rsidR="00E70A69" w:rsidRPr="00E70A69">
        <w:rPr>
          <w:rFonts w:cs="Arial"/>
        </w:rPr>
        <w:t>better-quality</w:t>
      </w:r>
      <w:r w:rsidRPr="00E70A69">
        <w:rPr>
          <w:rFonts w:cs="Arial"/>
        </w:rPr>
        <w:t xml:space="preserve"> image (YouGov, 2023). These illustrations demonstrate that Xiaomi is able to use the advantages of late movers to be able to challenge innovators using aggressive and multi-dimensional growth strategies</w:t>
      </w:r>
      <w:r w:rsidR="00C70235" w:rsidRPr="00E70A69">
        <w:rPr>
          <w:rFonts w:cs="Arial"/>
        </w:rPr>
        <w:t>.</w:t>
      </w:r>
    </w:p>
    <w:p w14:paraId="229351C4" w14:textId="77777777" w:rsidR="000A15A2" w:rsidRPr="00E70A69" w:rsidRDefault="000A15A2" w:rsidP="00A460E1">
      <w:pPr>
        <w:pStyle w:val="Heading1"/>
        <w:rPr>
          <w:rFonts w:cs="Arial"/>
        </w:rPr>
      </w:pPr>
      <w:bookmarkStart w:id="21" w:name="_Toc214411361"/>
      <w:r w:rsidRPr="00E70A69">
        <w:rPr>
          <w:rFonts w:cs="Arial"/>
        </w:rPr>
        <w:t>4. Conclusion</w:t>
      </w:r>
      <w:bookmarkEnd w:id="21"/>
    </w:p>
    <w:p w14:paraId="08B4A3CC" w14:textId="3770F4B9" w:rsidR="000A15A2" w:rsidRPr="00E70A69" w:rsidRDefault="00910941" w:rsidP="000A15A2">
      <w:pPr>
        <w:rPr>
          <w:rFonts w:cs="Arial"/>
        </w:rPr>
      </w:pPr>
      <w:r w:rsidRPr="00E70A69">
        <w:rPr>
          <w:rFonts w:cs="Arial"/>
        </w:rPr>
        <w:t xml:space="preserve">This report has revealed that there are strong technological and social forces that have shaped the smartphone industry and affected both the innovators and the followers. The more these macro-environment forces aggravate, the more Apple resorts to first-mover innovation to maintain differentiation whereas Xiaomi resorts to fast-follower strategies to capture value-driven opportunities. The discussion revealed that technology innovations bring competitive advantages and threats, neither of which is connected to the latter without going through the strategic decisions made by each company. These dynamics are further supported by social factors that influence the expectations of consumers and contribute to the attractiveness of Apple and affordability of Xiaomi. Using the Growth Matrix by Ansoff showed the various ways that </w:t>
      </w:r>
      <w:r w:rsidR="00937522" w:rsidRPr="00E70A69">
        <w:rPr>
          <w:rFonts w:cs="Arial"/>
        </w:rPr>
        <w:t>both companies</w:t>
      </w:r>
      <w:r w:rsidRPr="00E70A69">
        <w:rPr>
          <w:rFonts w:cs="Arial"/>
        </w:rPr>
        <w:t xml:space="preserve"> employ multi-dimensional paths of growth as either deals with external changes with Apple extending its ecosystem and Xiaomi responding with aggressive pricing and short product cycles. The combination of these strategic </w:t>
      </w:r>
      <w:r w:rsidRPr="00E70A69">
        <w:rPr>
          <w:rFonts w:cs="Arial"/>
        </w:rPr>
        <w:lastRenderedPageBreak/>
        <w:t xml:space="preserve">responses shows that sustained competitiveness in the smartphone sector incumbents requires the constant environmental scanning, dynamic innovation and clearly mapping the locations </w:t>
      </w:r>
      <w:r w:rsidR="00937522" w:rsidRPr="00E70A69">
        <w:rPr>
          <w:rFonts w:cs="Arial"/>
        </w:rPr>
        <w:t>about</w:t>
      </w:r>
      <w:r w:rsidRPr="00E70A69">
        <w:rPr>
          <w:rFonts w:cs="Arial"/>
        </w:rPr>
        <w:t xml:space="preserve"> market strategies and strategic directions.</w:t>
      </w:r>
    </w:p>
    <w:p w14:paraId="5AB460E5" w14:textId="77777777" w:rsidR="00387BE8" w:rsidRPr="00E70A69" w:rsidRDefault="00387BE8" w:rsidP="00387BE8">
      <w:pPr>
        <w:rPr>
          <w:rFonts w:cs="Arial"/>
        </w:rPr>
      </w:pPr>
    </w:p>
    <w:p w14:paraId="3CC737FF" w14:textId="77777777" w:rsidR="00387BE8" w:rsidRPr="00E70A69" w:rsidRDefault="00387BE8" w:rsidP="00387BE8">
      <w:pPr>
        <w:rPr>
          <w:rFonts w:cs="Arial"/>
        </w:rPr>
      </w:pPr>
    </w:p>
    <w:p w14:paraId="3784B81C" w14:textId="77777777" w:rsidR="00387BE8" w:rsidRPr="00E70A69" w:rsidRDefault="00387BE8" w:rsidP="00387BE8">
      <w:pPr>
        <w:rPr>
          <w:rFonts w:cs="Arial"/>
        </w:rPr>
      </w:pPr>
    </w:p>
    <w:p w14:paraId="65AE6833" w14:textId="77777777" w:rsidR="00387BE8" w:rsidRPr="00E70A69" w:rsidRDefault="00387BE8" w:rsidP="00387BE8">
      <w:pPr>
        <w:rPr>
          <w:rFonts w:cs="Arial"/>
        </w:rPr>
      </w:pPr>
    </w:p>
    <w:p w14:paraId="4F64147C" w14:textId="37FA5CA5" w:rsidR="007209AF" w:rsidRPr="00E70A69" w:rsidRDefault="006C0005" w:rsidP="000440B0">
      <w:pPr>
        <w:pStyle w:val="Caption"/>
        <w:jc w:val="center"/>
        <w:rPr>
          <w:rFonts w:cs="Arial"/>
          <w:color w:val="002060"/>
          <w:sz w:val="24"/>
          <w:szCs w:val="24"/>
        </w:rPr>
      </w:pPr>
      <w:r w:rsidRPr="00E70A69">
        <w:rPr>
          <w:rFonts w:cs="Arial"/>
          <w:color w:val="002060"/>
          <w:sz w:val="24"/>
          <w:szCs w:val="24"/>
        </w:rPr>
        <w:t xml:space="preserve"> </w:t>
      </w:r>
    </w:p>
    <w:p w14:paraId="49FD21AD" w14:textId="77777777" w:rsidR="000440B0" w:rsidRPr="00E70A69" w:rsidRDefault="000440B0" w:rsidP="000440B0">
      <w:pPr>
        <w:rPr>
          <w:rFonts w:cs="Arial"/>
          <w:i/>
          <w:iCs/>
          <w:color w:val="002060"/>
        </w:rPr>
      </w:pPr>
    </w:p>
    <w:p w14:paraId="19586911" w14:textId="77777777" w:rsidR="006C0005" w:rsidRPr="00E70A69" w:rsidRDefault="006C0005" w:rsidP="000440B0">
      <w:pPr>
        <w:rPr>
          <w:rFonts w:cs="Arial"/>
          <w:i/>
          <w:iCs/>
          <w:color w:val="002060"/>
        </w:rPr>
      </w:pPr>
    </w:p>
    <w:p w14:paraId="380734AD" w14:textId="77777777" w:rsidR="006C0005" w:rsidRPr="00E70A69" w:rsidRDefault="006C0005" w:rsidP="000440B0">
      <w:pPr>
        <w:rPr>
          <w:rFonts w:cs="Arial"/>
          <w:i/>
          <w:iCs/>
          <w:color w:val="002060"/>
        </w:rPr>
      </w:pPr>
    </w:p>
    <w:p w14:paraId="30E57A25" w14:textId="77777777" w:rsidR="006C0005" w:rsidRPr="00E70A69" w:rsidRDefault="006C0005" w:rsidP="000440B0">
      <w:pPr>
        <w:rPr>
          <w:rFonts w:cs="Arial"/>
          <w:i/>
          <w:iCs/>
          <w:color w:val="002060"/>
        </w:rPr>
      </w:pPr>
    </w:p>
    <w:p w14:paraId="4D22A95D" w14:textId="77777777" w:rsidR="006C0005" w:rsidRPr="00E70A69" w:rsidRDefault="006C0005" w:rsidP="000440B0">
      <w:pPr>
        <w:rPr>
          <w:rFonts w:cs="Arial"/>
          <w:i/>
          <w:iCs/>
          <w:color w:val="002060"/>
        </w:rPr>
      </w:pPr>
    </w:p>
    <w:p w14:paraId="0B6F6496" w14:textId="77777777" w:rsidR="00B64533" w:rsidRPr="00E70A69" w:rsidRDefault="00B64533" w:rsidP="000440B0">
      <w:pPr>
        <w:rPr>
          <w:rFonts w:cs="Arial"/>
          <w:i/>
          <w:iCs/>
          <w:color w:val="002060"/>
        </w:rPr>
      </w:pPr>
    </w:p>
    <w:p w14:paraId="048BE647" w14:textId="77777777" w:rsidR="00B64533" w:rsidRPr="00E70A69" w:rsidRDefault="00B64533" w:rsidP="000440B0">
      <w:pPr>
        <w:rPr>
          <w:rFonts w:cs="Arial"/>
          <w:i/>
          <w:iCs/>
          <w:color w:val="002060"/>
        </w:rPr>
      </w:pPr>
    </w:p>
    <w:p w14:paraId="5BFC5270" w14:textId="77777777" w:rsidR="00B64533" w:rsidRPr="00E70A69" w:rsidRDefault="00B64533" w:rsidP="000440B0">
      <w:pPr>
        <w:rPr>
          <w:rFonts w:cs="Arial"/>
          <w:i/>
          <w:iCs/>
          <w:color w:val="002060"/>
        </w:rPr>
      </w:pPr>
    </w:p>
    <w:p w14:paraId="0D7FC739" w14:textId="77777777" w:rsidR="00B64533" w:rsidRPr="00E70A69" w:rsidRDefault="00B64533" w:rsidP="000440B0">
      <w:pPr>
        <w:rPr>
          <w:rFonts w:cs="Arial"/>
          <w:i/>
          <w:iCs/>
          <w:color w:val="002060"/>
        </w:rPr>
      </w:pPr>
    </w:p>
    <w:p w14:paraId="0234D6A1" w14:textId="77777777" w:rsidR="00B64533" w:rsidRPr="00E70A69" w:rsidRDefault="00B64533" w:rsidP="000440B0">
      <w:pPr>
        <w:rPr>
          <w:rFonts w:cs="Arial"/>
          <w:i/>
          <w:iCs/>
          <w:color w:val="002060"/>
        </w:rPr>
      </w:pPr>
    </w:p>
    <w:p w14:paraId="54EE92F5" w14:textId="77777777" w:rsidR="00B64533" w:rsidRPr="00E70A69" w:rsidRDefault="00B64533" w:rsidP="000440B0">
      <w:pPr>
        <w:rPr>
          <w:rFonts w:cs="Arial"/>
          <w:i/>
          <w:iCs/>
          <w:color w:val="002060"/>
        </w:rPr>
      </w:pPr>
    </w:p>
    <w:p w14:paraId="189A6BC5" w14:textId="77777777" w:rsidR="00B64533" w:rsidRPr="00E70A69" w:rsidRDefault="00B64533" w:rsidP="000440B0">
      <w:pPr>
        <w:rPr>
          <w:rFonts w:cs="Arial"/>
          <w:i/>
          <w:iCs/>
          <w:color w:val="002060"/>
        </w:rPr>
      </w:pPr>
    </w:p>
    <w:p w14:paraId="676B34E5" w14:textId="77777777" w:rsidR="00B64533" w:rsidRPr="00E70A69" w:rsidRDefault="00B64533" w:rsidP="000440B0">
      <w:pPr>
        <w:rPr>
          <w:rFonts w:cs="Arial"/>
          <w:i/>
          <w:iCs/>
          <w:color w:val="002060"/>
        </w:rPr>
      </w:pPr>
    </w:p>
    <w:p w14:paraId="247805A9" w14:textId="77777777" w:rsidR="00B64533" w:rsidRPr="00E70A69" w:rsidRDefault="00B64533" w:rsidP="000440B0">
      <w:pPr>
        <w:rPr>
          <w:rFonts w:cs="Arial"/>
          <w:i/>
          <w:iCs/>
          <w:color w:val="002060"/>
        </w:rPr>
      </w:pPr>
    </w:p>
    <w:p w14:paraId="18D1B507" w14:textId="77777777" w:rsidR="00B64533" w:rsidRPr="00E70A69" w:rsidRDefault="00B64533" w:rsidP="000440B0">
      <w:pPr>
        <w:rPr>
          <w:rFonts w:cs="Arial"/>
          <w:i/>
          <w:iCs/>
          <w:color w:val="002060"/>
        </w:rPr>
      </w:pPr>
    </w:p>
    <w:p w14:paraId="54F9A14C" w14:textId="77777777" w:rsidR="00B64533" w:rsidRPr="00E70A69" w:rsidRDefault="00B64533" w:rsidP="000440B0">
      <w:pPr>
        <w:rPr>
          <w:rFonts w:cs="Arial"/>
          <w:i/>
          <w:iCs/>
          <w:color w:val="002060"/>
        </w:rPr>
      </w:pPr>
    </w:p>
    <w:p w14:paraId="5ADB9E2E" w14:textId="77777777" w:rsidR="006C0005" w:rsidRPr="00E70A69" w:rsidRDefault="006C0005" w:rsidP="000440B0">
      <w:pPr>
        <w:rPr>
          <w:rFonts w:cs="Arial"/>
          <w:i/>
          <w:iCs/>
          <w:color w:val="002060"/>
        </w:rPr>
      </w:pPr>
    </w:p>
    <w:p w14:paraId="53B34645" w14:textId="50E4B6A4" w:rsidR="00922589" w:rsidRPr="00E70A69" w:rsidRDefault="00A460E1" w:rsidP="00A460E1">
      <w:pPr>
        <w:pStyle w:val="Heading1"/>
        <w:rPr>
          <w:rFonts w:cs="Arial"/>
        </w:rPr>
      </w:pPr>
      <w:bookmarkStart w:id="22" w:name="_Toc214411362"/>
      <w:r w:rsidRPr="00E70A69">
        <w:rPr>
          <w:rFonts w:cs="Arial"/>
        </w:rPr>
        <w:lastRenderedPageBreak/>
        <w:t xml:space="preserve">5. </w:t>
      </w:r>
      <w:r w:rsidR="002F24D2" w:rsidRPr="00E70A69">
        <w:rPr>
          <w:rFonts w:cs="Arial"/>
        </w:rPr>
        <w:t>References</w:t>
      </w:r>
      <w:bookmarkEnd w:id="22"/>
    </w:p>
    <w:p w14:paraId="3F8F1511" w14:textId="77777777" w:rsidR="00937522" w:rsidRPr="00E70A69" w:rsidRDefault="00937522" w:rsidP="00937522">
      <w:pPr>
        <w:ind w:left="720" w:hanging="720"/>
        <w:rPr>
          <w:rFonts w:cs="Arial"/>
        </w:rPr>
      </w:pPr>
      <w:r w:rsidRPr="00E70A69">
        <w:rPr>
          <w:rFonts w:cs="Arial"/>
        </w:rPr>
        <w:t xml:space="preserve"> Apple Inc. (2023) </w:t>
      </w:r>
      <w:r w:rsidRPr="00E70A69">
        <w:rPr>
          <w:rFonts w:cs="Arial"/>
          <w:i/>
          <w:iCs/>
        </w:rPr>
        <w:t>Annual Report 2023</w:t>
      </w:r>
      <w:r w:rsidRPr="00E70A69">
        <w:rPr>
          <w:rFonts w:cs="Arial"/>
        </w:rPr>
        <w:t xml:space="preserve">. Cupertino: Apple Inc. Available at: </w:t>
      </w:r>
      <w:hyperlink r:id="rId17" w:history="1">
        <w:r w:rsidRPr="00E70A69">
          <w:rPr>
            <w:rStyle w:val="Hyperlink"/>
            <w:rFonts w:cs="Arial"/>
          </w:rPr>
          <w:t>https://investor.apple.com/investor-relations/default.aspx</w:t>
        </w:r>
      </w:hyperlink>
      <w:r w:rsidRPr="00E70A69">
        <w:rPr>
          <w:rFonts w:cs="Arial"/>
        </w:rPr>
        <w:t xml:space="preserve"> (Accessed: 17 November 2024).</w:t>
      </w:r>
    </w:p>
    <w:p w14:paraId="6F280703" w14:textId="77777777" w:rsidR="00937522" w:rsidRPr="00E70A69" w:rsidRDefault="00937522" w:rsidP="00937522">
      <w:pPr>
        <w:ind w:left="720" w:hanging="720"/>
        <w:rPr>
          <w:rFonts w:cs="Arial"/>
        </w:rPr>
      </w:pPr>
      <w:r w:rsidRPr="00E70A69">
        <w:rPr>
          <w:rFonts w:cs="Arial"/>
        </w:rPr>
        <w:t xml:space="preserve">Counterpoint Research (2023) </w:t>
      </w:r>
      <w:r w:rsidRPr="00E70A69">
        <w:rPr>
          <w:rFonts w:cs="Arial"/>
          <w:i/>
          <w:iCs/>
        </w:rPr>
        <w:t>Global Smartphone Market Share Report Q4 2023</w:t>
      </w:r>
      <w:r w:rsidRPr="00E70A69">
        <w:rPr>
          <w:rFonts w:cs="Arial"/>
        </w:rPr>
        <w:t xml:space="preserve">. Available at: </w:t>
      </w:r>
      <w:hyperlink r:id="rId18" w:history="1">
        <w:r w:rsidRPr="00E70A69">
          <w:rPr>
            <w:rStyle w:val="Hyperlink"/>
            <w:rFonts w:cs="Arial"/>
          </w:rPr>
          <w:t>https://www.counterpointresearch.com</w:t>
        </w:r>
      </w:hyperlink>
      <w:r w:rsidRPr="00E70A69">
        <w:rPr>
          <w:rFonts w:cs="Arial"/>
        </w:rPr>
        <w:t xml:space="preserve"> (Accessed: 17 November 2024).</w:t>
      </w:r>
    </w:p>
    <w:p w14:paraId="6DA1F61F" w14:textId="77777777" w:rsidR="00937522" w:rsidRPr="00E70A69" w:rsidRDefault="00937522" w:rsidP="00937522">
      <w:pPr>
        <w:ind w:left="720" w:hanging="720"/>
        <w:rPr>
          <w:rFonts w:cs="Arial"/>
        </w:rPr>
      </w:pPr>
      <w:r w:rsidRPr="00E70A69">
        <w:rPr>
          <w:rFonts w:cs="Arial"/>
        </w:rPr>
        <w:t>Deloitte (2024) </w:t>
      </w:r>
      <w:r w:rsidRPr="00E70A69">
        <w:rPr>
          <w:rFonts w:cs="Arial"/>
          <w:i/>
          <w:iCs/>
        </w:rPr>
        <w:t>Digital Consumer Trends 2024: UK Results</w:t>
      </w:r>
      <w:r w:rsidRPr="00E70A69">
        <w:rPr>
          <w:rFonts w:cs="Arial"/>
        </w:rPr>
        <w:t>. Available at: </w:t>
      </w:r>
      <w:hyperlink r:id="rId19" w:tgtFrame="_blank" w:history="1">
        <w:r w:rsidRPr="00E70A69">
          <w:rPr>
            <w:rStyle w:val="Hyperlink"/>
            <w:rFonts w:cs="Arial"/>
          </w:rPr>
          <w:t>https://www2.deloitte.com/uk/en/pages/technology-media-and-telecommunications/articles/digital-consumer-trends.html</w:t>
        </w:r>
      </w:hyperlink>
      <w:r w:rsidRPr="00E70A69">
        <w:rPr>
          <w:rFonts w:cs="Arial"/>
        </w:rPr>
        <w:t> (Accessed: 17 November 2025).</w:t>
      </w:r>
    </w:p>
    <w:p w14:paraId="796C0329" w14:textId="77777777" w:rsidR="00937522" w:rsidRPr="00E70A69" w:rsidRDefault="00937522" w:rsidP="00937522">
      <w:pPr>
        <w:ind w:left="720" w:hanging="720"/>
        <w:rPr>
          <w:rFonts w:cs="Arial"/>
        </w:rPr>
      </w:pPr>
      <w:r w:rsidRPr="00E70A69">
        <w:rPr>
          <w:rFonts w:cs="Arial"/>
        </w:rPr>
        <w:t>GSMA (2024) </w:t>
      </w:r>
      <w:r w:rsidRPr="00E70A69">
        <w:rPr>
          <w:rFonts w:cs="Arial"/>
          <w:i/>
          <w:iCs/>
        </w:rPr>
        <w:t>The Mobile Economy 2024: Europe</w:t>
      </w:r>
      <w:r w:rsidRPr="00E70A69">
        <w:rPr>
          <w:rFonts w:cs="Arial"/>
        </w:rPr>
        <w:t>. Available at: </w:t>
      </w:r>
      <w:hyperlink r:id="rId20" w:tgtFrame="_blank" w:history="1">
        <w:r w:rsidRPr="00E70A69">
          <w:rPr>
            <w:rStyle w:val="Hyperlink"/>
            <w:rFonts w:cs="Arial"/>
          </w:rPr>
          <w:t>https://www.gsma.com/mobileeconomy/europe/</w:t>
        </w:r>
      </w:hyperlink>
      <w:r w:rsidRPr="00E70A69">
        <w:rPr>
          <w:rFonts w:cs="Arial"/>
        </w:rPr>
        <w:t> (Accessed: 17 November 2025).</w:t>
      </w:r>
    </w:p>
    <w:p w14:paraId="3FC23E7F" w14:textId="77777777" w:rsidR="00937522" w:rsidRPr="00E70A69" w:rsidRDefault="00937522" w:rsidP="00937522">
      <w:pPr>
        <w:ind w:left="720" w:hanging="720"/>
        <w:rPr>
          <w:rFonts w:cs="Arial"/>
        </w:rPr>
      </w:pPr>
      <w:r w:rsidRPr="00E70A69">
        <w:rPr>
          <w:rFonts w:cs="Arial"/>
        </w:rPr>
        <w:t xml:space="preserve">Hague, P. (2019). </w:t>
      </w:r>
      <w:r w:rsidRPr="00E70A69">
        <w:rPr>
          <w:rFonts w:cs="Arial"/>
          <w:i/>
          <w:iCs/>
        </w:rPr>
        <w:t>The Business Models Handbook: Templates, Theory and Case Studies</w:t>
      </w:r>
      <w:r w:rsidRPr="00E70A69">
        <w:rPr>
          <w:rFonts w:cs="Arial"/>
        </w:rPr>
        <w:t>. London/New York: Kogan Page.</w:t>
      </w:r>
    </w:p>
    <w:p w14:paraId="19E458B1" w14:textId="77777777" w:rsidR="00937522" w:rsidRPr="00E70A69" w:rsidRDefault="00937522" w:rsidP="00937522">
      <w:pPr>
        <w:ind w:left="720" w:hanging="720"/>
        <w:rPr>
          <w:rFonts w:cs="Arial"/>
        </w:rPr>
      </w:pPr>
      <w:r w:rsidRPr="00E70A69">
        <w:rPr>
          <w:rFonts w:cs="Arial"/>
        </w:rPr>
        <w:t xml:space="preserve">Hooley, G. J., </w:t>
      </w:r>
      <w:proofErr w:type="spellStart"/>
      <w:r w:rsidRPr="00E70A69">
        <w:rPr>
          <w:rFonts w:cs="Arial"/>
        </w:rPr>
        <w:t>Nicoulaud</w:t>
      </w:r>
      <w:proofErr w:type="spellEnd"/>
      <w:r w:rsidRPr="00E70A69">
        <w:rPr>
          <w:rFonts w:cs="Arial"/>
        </w:rPr>
        <w:t xml:space="preserve">, B., Rudd, J. M. and Lee, N. (2020) </w:t>
      </w:r>
      <w:r w:rsidRPr="00E70A69">
        <w:rPr>
          <w:rFonts w:cs="Arial"/>
          <w:i/>
          <w:iCs/>
        </w:rPr>
        <w:t>Marketing Strategy and Competitive Positioning</w:t>
      </w:r>
      <w:r w:rsidRPr="00E70A69">
        <w:rPr>
          <w:rFonts w:cs="Arial"/>
        </w:rPr>
        <w:t xml:space="preserve">. 7th </w:t>
      </w:r>
      <w:proofErr w:type="spellStart"/>
      <w:r w:rsidRPr="00E70A69">
        <w:rPr>
          <w:rFonts w:cs="Arial"/>
        </w:rPr>
        <w:t>edn</w:t>
      </w:r>
      <w:proofErr w:type="spellEnd"/>
      <w:r w:rsidRPr="00E70A69">
        <w:rPr>
          <w:rFonts w:cs="Arial"/>
        </w:rPr>
        <w:t>. Harlow: Pearson.</w:t>
      </w:r>
    </w:p>
    <w:p w14:paraId="682B4DDF" w14:textId="77777777" w:rsidR="00937522" w:rsidRPr="00E70A69" w:rsidRDefault="00937522" w:rsidP="00937522">
      <w:pPr>
        <w:ind w:left="720" w:hanging="720"/>
        <w:rPr>
          <w:rFonts w:cs="Arial"/>
        </w:rPr>
      </w:pPr>
      <w:r w:rsidRPr="00E70A69">
        <w:rPr>
          <w:rFonts w:cs="Arial"/>
        </w:rPr>
        <w:t xml:space="preserve">Hooley, G. J., </w:t>
      </w:r>
      <w:proofErr w:type="spellStart"/>
      <w:r w:rsidRPr="00E70A69">
        <w:rPr>
          <w:rFonts w:cs="Arial"/>
        </w:rPr>
        <w:t>Nicoulaud</w:t>
      </w:r>
      <w:proofErr w:type="spellEnd"/>
      <w:r w:rsidRPr="00E70A69">
        <w:rPr>
          <w:rFonts w:cs="Arial"/>
        </w:rPr>
        <w:t xml:space="preserve">, B., Rudd, J. M., &amp; Lee, N. (2020). </w:t>
      </w:r>
      <w:r w:rsidRPr="00E70A69">
        <w:rPr>
          <w:rFonts w:cs="Arial"/>
          <w:i/>
          <w:iCs/>
        </w:rPr>
        <w:t>Marketing strategy and competitive positioning</w:t>
      </w:r>
      <w:r w:rsidRPr="00E70A69">
        <w:rPr>
          <w:rFonts w:cs="Arial"/>
        </w:rPr>
        <w:t>. 7th ed. Harlow: Pearson.</w:t>
      </w:r>
    </w:p>
    <w:p w14:paraId="60576077" w14:textId="77777777" w:rsidR="00937522" w:rsidRPr="00E70A69" w:rsidRDefault="00937522" w:rsidP="00937522">
      <w:pPr>
        <w:ind w:left="720" w:hanging="720"/>
        <w:rPr>
          <w:rFonts w:cs="Arial"/>
        </w:rPr>
      </w:pPr>
      <w:r w:rsidRPr="00E70A69">
        <w:rPr>
          <w:rFonts w:cs="Arial"/>
        </w:rPr>
        <w:t xml:space="preserve">IDC (2023) </w:t>
      </w:r>
      <w:r w:rsidRPr="00E70A69">
        <w:rPr>
          <w:rFonts w:cs="Arial"/>
          <w:i/>
          <w:iCs/>
        </w:rPr>
        <w:t>Worldwide Quarterly Mobile Phone Tracker</w:t>
      </w:r>
      <w:r w:rsidRPr="00E70A69">
        <w:rPr>
          <w:rFonts w:cs="Arial"/>
        </w:rPr>
        <w:t xml:space="preserve">. Available at: </w:t>
      </w:r>
      <w:hyperlink r:id="rId21" w:history="1">
        <w:r w:rsidRPr="00E70A69">
          <w:rPr>
            <w:rStyle w:val="Hyperlink"/>
            <w:rFonts w:cs="Arial"/>
          </w:rPr>
          <w:t>https://www.idc.com/tracker/showproductinfo.jsp?containerId=IDC_P8397</w:t>
        </w:r>
      </w:hyperlink>
      <w:r w:rsidRPr="00E70A69">
        <w:rPr>
          <w:rFonts w:cs="Arial"/>
        </w:rPr>
        <w:t xml:space="preserve"> (Accessed: 17 November 2024).</w:t>
      </w:r>
    </w:p>
    <w:p w14:paraId="131CAA1F" w14:textId="77777777" w:rsidR="00937522" w:rsidRPr="00E70A69" w:rsidRDefault="00937522" w:rsidP="00937522">
      <w:pPr>
        <w:ind w:left="720" w:hanging="720"/>
        <w:rPr>
          <w:rFonts w:cs="Arial"/>
        </w:rPr>
      </w:pPr>
      <w:r w:rsidRPr="00E70A69">
        <w:rPr>
          <w:rFonts w:cs="Arial"/>
        </w:rPr>
        <w:t xml:space="preserve">Johnson, G., Whittington, R., Scholes, K., Angwin, D., &amp; </w:t>
      </w:r>
      <w:proofErr w:type="spellStart"/>
      <w:r w:rsidRPr="00E70A69">
        <w:rPr>
          <w:rFonts w:cs="Arial"/>
        </w:rPr>
        <w:t>Regnér</w:t>
      </w:r>
      <w:proofErr w:type="spellEnd"/>
      <w:r w:rsidRPr="00E70A69">
        <w:rPr>
          <w:rFonts w:cs="Arial"/>
        </w:rPr>
        <w:t xml:space="preserve">, P. (2017). </w:t>
      </w:r>
      <w:r w:rsidRPr="00E70A69">
        <w:rPr>
          <w:rFonts w:cs="Arial"/>
          <w:i/>
          <w:iCs/>
        </w:rPr>
        <w:t>Exploring strategy: text and cases</w:t>
      </w:r>
      <w:r w:rsidRPr="00E70A69">
        <w:rPr>
          <w:rFonts w:cs="Arial"/>
        </w:rPr>
        <w:t>. 11th ed. Harlow: Pearson.</w:t>
      </w:r>
    </w:p>
    <w:p w14:paraId="4DB72886" w14:textId="77777777" w:rsidR="00937522" w:rsidRPr="00E70A69" w:rsidRDefault="00937522" w:rsidP="00937522">
      <w:pPr>
        <w:ind w:left="720" w:hanging="720"/>
        <w:rPr>
          <w:rFonts w:cs="Arial"/>
        </w:rPr>
      </w:pPr>
      <w:r w:rsidRPr="00E70A69">
        <w:rPr>
          <w:rFonts w:cs="Arial"/>
        </w:rPr>
        <w:t xml:space="preserve">Kim, N., </w:t>
      </w:r>
      <w:proofErr w:type="spellStart"/>
      <w:r w:rsidRPr="00E70A69">
        <w:rPr>
          <w:rFonts w:cs="Arial"/>
        </w:rPr>
        <w:t>Im</w:t>
      </w:r>
      <w:proofErr w:type="spellEnd"/>
      <w:r w:rsidRPr="00E70A69">
        <w:rPr>
          <w:rFonts w:cs="Arial"/>
        </w:rPr>
        <w:t>, S. and Slater, S. F. (2013) 'Impact of knowledge type and strategic orientation on new product creativity and advantage in high</w:t>
      </w:r>
      <w:r w:rsidRPr="00E70A69">
        <w:rPr>
          <w:rFonts w:ascii="Cambria Math" w:hAnsi="Cambria Math" w:cs="Cambria Math"/>
        </w:rPr>
        <w:t>‐</w:t>
      </w:r>
      <w:r w:rsidRPr="00E70A69">
        <w:rPr>
          <w:rFonts w:cs="Arial"/>
        </w:rPr>
        <w:t xml:space="preserve">technology firms', </w:t>
      </w:r>
      <w:r w:rsidRPr="00E70A69">
        <w:rPr>
          <w:rFonts w:cs="Arial"/>
          <w:i/>
          <w:iCs/>
        </w:rPr>
        <w:t>Journal of Product Innovation Management</w:t>
      </w:r>
      <w:r w:rsidRPr="00E70A69">
        <w:rPr>
          <w:rFonts w:cs="Arial"/>
        </w:rPr>
        <w:t>, 30(1), pp. 136-153.</w:t>
      </w:r>
    </w:p>
    <w:p w14:paraId="069A7E8A" w14:textId="77777777" w:rsidR="00937522" w:rsidRPr="00E70A69" w:rsidRDefault="00937522" w:rsidP="00937522">
      <w:pPr>
        <w:ind w:left="720" w:hanging="720"/>
        <w:rPr>
          <w:rFonts w:cs="Arial"/>
        </w:rPr>
      </w:pPr>
      <w:r w:rsidRPr="00E70A69">
        <w:rPr>
          <w:rFonts w:cs="Arial"/>
        </w:rPr>
        <w:lastRenderedPageBreak/>
        <w:t xml:space="preserve">Kotler, P., Armstrong, G., Harris, L. and Piercy, N. (2020) </w:t>
      </w:r>
      <w:r w:rsidRPr="00E70A69">
        <w:rPr>
          <w:rFonts w:cs="Arial"/>
          <w:i/>
          <w:iCs/>
        </w:rPr>
        <w:t>Principles of Marketing</w:t>
      </w:r>
      <w:r w:rsidRPr="00E70A69">
        <w:rPr>
          <w:rFonts w:cs="Arial"/>
        </w:rPr>
        <w:t xml:space="preserve">. 8th European </w:t>
      </w:r>
      <w:proofErr w:type="spellStart"/>
      <w:r w:rsidRPr="00E70A69">
        <w:rPr>
          <w:rFonts w:cs="Arial"/>
        </w:rPr>
        <w:t>edn</w:t>
      </w:r>
      <w:proofErr w:type="spellEnd"/>
      <w:r w:rsidRPr="00E70A69">
        <w:rPr>
          <w:rFonts w:cs="Arial"/>
        </w:rPr>
        <w:t>. Harlow: Pearson.</w:t>
      </w:r>
    </w:p>
    <w:p w14:paraId="6FF53026" w14:textId="77777777" w:rsidR="00937522" w:rsidRPr="00E70A69" w:rsidRDefault="00937522" w:rsidP="00937522">
      <w:pPr>
        <w:ind w:left="720" w:hanging="720"/>
        <w:rPr>
          <w:rFonts w:cs="Arial"/>
        </w:rPr>
      </w:pPr>
      <w:r w:rsidRPr="00E70A69">
        <w:rPr>
          <w:rFonts w:cs="Arial"/>
        </w:rPr>
        <w:t xml:space="preserve">Kotler, P., Keller, K., &amp; Chernev, A. (2021). </w:t>
      </w:r>
      <w:r w:rsidRPr="00E70A69">
        <w:rPr>
          <w:rFonts w:cs="Arial"/>
          <w:i/>
          <w:iCs/>
        </w:rPr>
        <w:t>Marketing management</w:t>
      </w:r>
      <w:r w:rsidRPr="00E70A69">
        <w:rPr>
          <w:rFonts w:cs="Arial"/>
        </w:rPr>
        <w:t>. 16th ed. Pearson.</w:t>
      </w:r>
    </w:p>
    <w:p w14:paraId="2C450E9A" w14:textId="77777777" w:rsidR="00937522" w:rsidRPr="00E70A69" w:rsidRDefault="00937522" w:rsidP="00937522">
      <w:pPr>
        <w:ind w:left="720" w:hanging="720"/>
        <w:rPr>
          <w:rFonts w:cs="Arial"/>
        </w:rPr>
      </w:pPr>
      <w:r w:rsidRPr="00E70A69">
        <w:rPr>
          <w:rFonts w:cs="Arial"/>
        </w:rPr>
        <w:t xml:space="preserve">Lieberman, M. B., &amp; Montgomery, D. B. (1988). “First-mover advantages.” </w:t>
      </w:r>
      <w:r w:rsidRPr="00E70A69">
        <w:rPr>
          <w:rFonts w:cs="Arial"/>
          <w:i/>
          <w:iCs/>
        </w:rPr>
        <w:t>Strategic Management Journal</w:t>
      </w:r>
      <w:r w:rsidRPr="00E70A69">
        <w:rPr>
          <w:rFonts w:cs="Arial"/>
        </w:rPr>
        <w:t>, 9(S1), 41–58.</w:t>
      </w:r>
    </w:p>
    <w:p w14:paraId="704DF9E4" w14:textId="77777777" w:rsidR="00937522" w:rsidRPr="00E70A69" w:rsidRDefault="00937522" w:rsidP="00937522">
      <w:pPr>
        <w:ind w:left="720" w:hanging="720"/>
        <w:rPr>
          <w:rFonts w:cs="Arial"/>
        </w:rPr>
      </w:pPr>
      <w:r w:rsidRPr="00E70A69">
        <w:rPr>
          <w:rFonts w:cs="Arial"/>
        </w:rPr>
        <w:t xml:space="preserve">Mintel (2023) </w:t>
      </w:r>
      <w:r w:rsidRPr="00E70A69">
        <w:rPr>
          <w:rFonts w:cs="Arial"/>
          <w:i/>
          <w:iCs/>
        </w:rPr>
        <w:t>Smartphones UK Market Report 2023</w:t>
      </w:r>
      <w:r w:rsidRPr="00E70A69">
        <w:rPr>
          <w:rFonts w:cs="Arial"/>
        </w:rPr>
        <w:t xml:space="preserve">. London: Mintel Group Ltd. Available at: </w:t>
      </w:r>
      <w:hyperlink r:id="rId22" w:history="1">
        <w:r w:rsidRPr="00E70A69">
          <w:rPr>
            <w:rStyle w:val="Hyperlink"/>
            <w:rFonts w:cs="Arial"/>
          </w:rPr>
          <w:t>https://www.mintel.com</w:t>
        </w:r>
      </w:hyperlink>
      <w:r w:rsidRPr="00E70A69">
        <w:rPr>
          <w:rFonts w:cs="Arial"/>
        </w:rPr>
        <w:t xml:space="preserve"> (Accessed: 17 November 2024).</w:t>
      </w:r>
    </w:p>
    <w:p w14:paraId="7A7898C2" w14:textId="77777777" w:rsidR="00937522" w:rsidRPr="00E70A69" w:rsidRDefault="00937522" w:rsidP="00937522">
      <w:pPr>
        <w:ind w:left="720" w:hanging="720"/>
        <w:rPr>
          <w:rFonts w:cs="Arial"/>
        </w:rPr>
      </w:pPr>
      <w:r w:rsidRPr="00E70A69">
        <w:rPr>
          <w:rFonts w:cs="Arial"/>
        </w:rPr>
        <w:t xml:space="preserve">Ofcom (2023) </w:t>
      </w:r>
      <w:r w:rsidRPr="00E70A69">
        <w:rPr>
          <w:rFonts w:cs="Arial"/>
          <w:i/>
          <w:iCs/>
        </w:rPr>
        <w:t>Online Nation 2023 Report</w:t>
      </w:r>
      <w:r w:rsidRPr="00E70A69">
        <w:rPr>
          <w:rFonts w:cs="Arial"/>
        </w:rPr>
        <w:t xml:space="preserve">. London: Office of Communications. Available at: </w:t>
      </w:r>
      <w:hyperlink r:id="rId23" w:history="1">
        <w:r w:rsidRPr="00E70A69">
          <w:rPr>
            <w:rStyle w:val="Hyperlink"/>
            <w:rFonts w:cs="Arial"/>
          </w:rPr>
          <w:t>https://www.ofcom.org.uk/research-and-data/online-research/online-nation</w:t>
        </w:r>
      </w:hyperlink>
      <w:r w:rsidRPr="00E70A69">
        <w:rPr>
          <w:rFonts w:cs="Arial"/>
        </w:rPr>
        <w:t xml:space="preserve"> (Accessed: 17 November 2024).</w:t>
      </w:r>
    </w:p>
    <w:p w14:paraId="7F895145" w14:textId="77777777" w:rsidR="00937522" w:rsidRPr="00E70A69" w:rsidRDefault="00937522" w:rsidP="00937522">
      <w:pPr>
        <w:ind w:left="720" w:hanging="720"/>
        <w:rPr>
          <w:rFonts w:cs="Arial"/>
        </w:rPr>
      </w:pPr>
      <w:r w:rsidRPr="00E70A69">
        <w:rPr>
          <w:rFonts w:cs="Arial"/>
        </w:rPr>
        <w:t xml:space="preserve">Porter, M. E. (1985) </w:t>
      </w:r>
      <w:r w:rsidRPr="00E70A69">
        <w:rPr>
          <w:rFonts w:cs="Arial"/>
          <w:i/>
          <w:iCs/>
        </w:rPr>
        <w:t>Competitive Advantage: Creating and Sustaining Superior Performance</w:t>
      </w:r>
      <w:r w:rsidRPr="00E70A69">
        <w:rPr>
          <w:rFonts w:cs="Arial"/>
        </w:rPr>
        <w:t>. New York: Free Press.</w:t>
      </w:r>
    </w:p>
    <w:p w14:paraId="51FFBB94" w14:textId="77777777" w:rsidR="00937522" w:rsidRPr="00E70A69" w:rsidRDefault="00937522" w:rsidP="00937522">
      <w:pPr>
        <w:ind w:left="720" w:hanging="720"/>
        <w:rPr>
          <w:rFonts w:cs="Arial"/>
        </w:rPr>
      </w:pPr>
      <w:r w:rsidRPr="00E70A69">
        <w:rPr>
          <w:rFonts w:cs="Arial"/>
        </w:rPr>
        <w:t xml:space="preserve">Shankar, V., Carpenter, G. S. and Krishnamurthi, L. (1998) 'Late mover advantage: How innovative late entrants outsell pioneers', </w:t>
      </w:r>
      <w:r w:rsidRPr="00E70A69">
        <w:rPr>
          <w:rFonts w:cs="Arial"/>
          <w:i/>
          <w:iCs/>
        </w:rPr>
        <w:t>Journal of Marketing Research</w:t>
      </w:r>
      <w:r w:rsidRPr="00E70A69">
        <w:rPr>
          <w:rFonts w:cs="Arial"/>
        </w:rPr>
        <w:t>, 35(1), pp. 54-70.</w:t>
      </w:r>
    </w:p>
    <w:p w14:paraId="5ACBEBD0" w14:textId="77777777" w:rsidR="00937522" w:rsidRPr="00E70A69" w:rsidRDefault="00937522" w:rsidP="00937522">
      <w:pPr>
        <w:ind w:left="720" w:hanging="720"/>
        <w:rPr>
          <w:rFonts w:cs="Arial"/>
        </w:rPr>
      </w:pPr>
      <w:r w:rsidRPr="00E70A69">
        <w:rPr>
          <w:rFonts w:cs="Arial"/>
        </w:rPr>
        <w:t xml:space="preserve">Statista (2024) </w:t>
      </w:r>
      <w:r w:rsidRPr="00E70A69">
        <w:rPr>
          <w:rFonts w:cs="Arial"/>
          <w:i/>
          <w:iCs/>
        </w:rPr>
        <w:t>Smartphone Market Statistics and User Behaviour UK</w:t>
      </w:r>
      <w:r w:rsidRPr="00E70A69">
        <w:rPr>
          <w:rFonts w:cs="Arial"/>
        </w:rPr>
        <w:t xml:space="preserve">. Available at: </w:t>
      </w:r>
      <w:hyperlink r:id="rId24" w:history="1">
        <w:r w:rsidRPr="00E70A69">
          <w:rPr>
            <w:rStyle w:val="Hyperlink"/>
            <w:rFonts w:cs="Arial"/>
          </w:rPr>
          <w:t>https://www.statista.com/topics/5411/smartphones-in-the-uk/</w:t>
        </w:r>
      </w:hyperlink>
      <w:r w:rsidRPr="00E70A69">
        <w:rPr>
          <w:rFonts w:cs="Arial"/>
        </w:rPr>
        <w:t xml:space="preserve"> (Accessed: 17 November 2024).</w:t>
      </w:r>
    </w:p>
    <w:p w14:paraId="5C227C9A" w14:textId="77777777" w:rsidR="00937522" w:rsidRPr="00E70A69" w:rsidRDefault="00937522" w:rsidP="00937522">
      <w:pPr>
        <w:ind w:left="720" w:hanging="720"/>
        <w:rPr>
          <w:rFonts w:cs="Arial"/>
        </w:rPr>
      </w:pPr>
      <w:r w:rsidRPr="00E70A69">
        <w:rPr>
          <w:rFonts w:cs="Arial"/>
        </w:rPr>
        <w:t xml:space="preserve">Tellis, G. J. and Golder, P. N. (1996) 'First to market, first to fail? Real causes of enduring market leadership', </w:t>
      </w:r>
      <w:r w:rsidRPr="00E70A69">
        <w:rPr>
          <w:rFonts w:cs="Arial"/>
          <w:i/>
          <w:iCs/>
        </w:rPr>
        <w:t>MIT Sloan Management Review</w:t>
      </w:r>
      <w:r w:rsidRPr="00E70A69">
        <w:rPr>
          <w:rFonts w:cs="Arial"/>
        </w:rPr>
        <w:t>, 37(2), pp. 65-75.</w:t>
      </w:r>
    </w:p>
    <w:p w14:paraId="32130B52" w14:textId="77777777" w:rsidR="00937522" w:rsidRPr="00E70A69" w:rsidRDefault="00937522" w:rsidP="00937522">
      <w:pPr>
        <w:ind w:left="720" w:hanging="720"/>
        <w:rPr>
          <w:rFonts w:cs="Arial"/>
        </w:rPr>
      </w:pPr>
      <w:r w:rsidRPr="00E70A69">
        <w:rPr>
          <w:rFonts w:cs="Arial"/>
        </w:rPr>
        <w:t xml:space="preserve">Whittington, R., </w:t>
      </w:r>
      <w:proofErr w:type="spellStart"/>
      <w:r w:rsidRPr="00E70A69">
        <w:rPr>
          <w:rFonts w:cs="Arial"/>
        </w:rPr>
        <w:t>Regnér</w:t>
      </w:r>
      <w:proofErr w:type="spellEnd"/>
      <w:r w:rsidRPr="00E70A69">
        <w:rPr>
          <w:rFonts w:cs="Arial"/>
        </w:rPr>
        <w:t xml:space="preserve">, P., Angwin, D., Johnson, G. and Scholes, K. (2023) </w:t>
      </w:r>
      <w:r w:rsidRPr="00E70A69">
        <w:rPr>
          <w:rFonts w:cs="Arial"/>
          <w:i/>
          <w:iCs/>
        </w:rPr>
        <w:t>Exploring Strategy: Text and Cases</w:t>
      </w:r>
      <w:r w:rsidRPr="00E70A69">
        <w:rPr>
          <w:rFonts w:cs="Arial"/>
        </w:rPr>
        <w:t xml:space="preserve">. 13th </w:t>
      </w:r>
      <w:proofErr w:type="spellStart"/>
      <w:r w:rsidRPr="00E70A69">
        <w:rPr>
          <w:rFonts w:cs="Arial"/>
        </w:rPr>
        <w:t>edn</w:t>
      </w:r>
      <w:proofErr w:type="spellEnd"/>
      <w:r w:rsidRPr="00E70A69">
        <w:rPr>
          <w:rFonts w:cs="Arial"/>
        </w:rPr>
        <w:t>. Harlow: Pearson.</w:t>
      </w:r>
    </w:p>
    <w:p w14:paraId="1FA6076E" w14:textId="77777777" w:rsidR="00937522" w:rsidRPr="00E70A69" w:rsidRDefault="00937522" w:rsidP="00937522">
      <w:pPr>
        <w:ind w:left="720" w:hanging="720"/>
        <w:rPr>
          <w:rFonts w:cs="Arial"/>
        </w:rPr>
      </w:pPr>
      <w:r w:rsidRPr="00E70A69">
        <w:rPr>
          <w:rFonts w:cs="Arial"/>
        </w:rPr>
        <w:t xml:space="preserve">Xiaomi Corporation (2023) </w:t>
      </w:r>
      <w:r w:rsidRPr="00E70A69">
        <w:rPr>
          <w:rFonts w:cs="Arial"/>
          <w:i/>
          <w:iCs/>
        </w:rPr>
        <w:t>Annual Report 2023</w:t>
      </w:r>
      <w:r w:rsidRPr="00E70A69">
        <w:rPr>
          <w:rFonts w:cs="Arial"/>
        </w:rPr>
        <w:t>. Beijing: Xiaomi Corporation. Available at:</w:t>
      </w:r>
      <w:hyperlink r:id="rId25" w:history="1">
        <w:r w:rsidRPr="00E70A69">
          <w:rPr>
            <w:rStyle w:val="Hyperlink"/>
            <w:rFonts w:cs="Arial"/>
          </w:rPr>
          <w:t>https://ir.mi.com/system/files-encrypted/nasdaq_kms/assets/2024/04/25/5-36-08/2023%20Annual%20Report.pdf</w:t>
        </w:r>
      </w:hyperlink>
      <w:r w:rsidRPr="00E70A69">
        <w:rPr>
          <w:rFonts w:cs="Arial"/>
        </w:rPr>
        <w:t xml:space="preserve">  (Accessed: 17 November 2024).</w:t>
      </w:r>
    </w:p>
    <w:p w14:paraId="3F77DB1B" w14:textId="77777777" w:rsidR="00937522" w:rsidRPr="00E70A69" w:rsidRDefault="00937522" w:rsidP="00937522">
      <w:pPr>
        <w:ind w:left="720" w:hanging="720"/>
        <w:rPr>
          <w:rFonts w:cs="Arial"/>
        </w:rPr>
      </w:pPr>
      <w:r w:rsidRPr="00E70A69">
        <w:rPr>
          <w:rFonts w:cs="Arial"/>
        </w:rPr>
        <w:t xml:space="preserve">YouGov (2023) </w:t>
      </w:r>
      <w:r w:rsidRPr="00E70A69">
        <w:rPr>
          <w:rFonts w:cs="Arial"/>
          <w:i/>
          <w:iCs/>
        </w:rPr>
        <w:t>UK Smartphone Brand Perception Study 2023</w:t>
      </w:r>
      <w:r w:rsidRPr="00E70A69">
        <w:rPr>
          <w:rFonts w:cs="Arial"/>
        </w:rPr>
        <w:t xml:space="preserve">. London: YouGov plc. Available at: </w:t>
      </w:r>
      <w:hyperlink r:id="rId26" w:history="1">
        <w:r w:rsidRPr="00E70A69">
          <w:rPr>
            <w:rStyle w:val="Hyperlink"/>
            <w:rFonts w:cs="Arial"/>
          </w:rPr>
          <w:t>https://yougov.com/articles/48288-telecoms-trends-and-insights-roundup-for-2023</w:t>
        </w:r>
      </w:hyperlink>
      <w:r w:rsidRPr="00E70A69">
        <w:rPr>
          <w:rFonts w:cs="Arial"/>
        </w:rPr>
        <w:t xml:space="preserve">  (Accessed: 17 November 2024).</w:t>
      </w:r>
    </w:p>
    <w:p w14:paraId="5B1203B7" w14:textId="77777777" w:rsidR="007E7B16" w:rsidRPr="00E70A69" w:rsidRDefault="007E7B16" w:rsidP="007E7B16">
      <w:pPr>
        <w:rPr>
          <w:rFonts w:cs="Arial"/>
        </w:rPr>
      </w:pPr>
    </w:p>
    <w:sectPr w:rsidR="007E7B16" w:rsidRPr="00E70A69">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779599" w14:textId="77777777" w:rsidR="00805601" w:rsidRDefault="00805601" w:rsidP="00871BAA">
      <w:pPr>
        <w:spacing w:after="0" w:line="240" w:lineRule="auto"/>
      </w:pPr>
      <w:r>
        <w:separator/>
      </w:r>
    </w:p>
  </w:endnote>
  <w:endnote w:type="continuationSeparator" w:id="0">
    <w:p w14:paraId="6B302698" w14:textId="77777777" w:rsidR="00805601" w:rsidRDefault="00805601" w:rsidP="00871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85719285"/>
      <w:docPartObj>
        <w:docPartGallery w:val="Page Numbers (Bottom of Page)"/>
        <w:docPartUnique/>
      </w:docPartObj>
    </w:sdtPr>
    <w:sdtEndPr>
      <w:rPr>
        <w:rStyle w:val="PageNumber"/>
      </w:rPr>
    </w:sdtEndPr>
    <w:sdtContent>
      <w:p w14:paraId="05B3B1F5" w14:textId="77777777" w:rsidR="00EF1C57" w:rsidRDefault="00EF1C57" w:rsidP="00113E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BEBD8C" w14:textId="77777777" w:rsidR="00EF1C57" w:rsidRDefault="00EF1C57" w:rsidP="00EF1C5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0846511"/>
      <w:docPartObj>
        <w:docPartGallery w:val="Page Numbers (Bottom of Page)"/>
        <w:docPartUnique/>
      </w:docPartObj>
    </w:sdtPr>
    <w:sdtEndPr>
      <w:rPr>
        <w:rStyle w:val="PageNumber"/>
      </w:rPr>
    </w:sdtEndPr>
    <w:sdtContent>
      <w:p w14:paraId="4A14EC97" w14:textId="77777777" w:rsidR="00EF1C57" w:rsidRDefault="00EF1C57" w:rsidP="00261BF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C5496E" w14:textId="77777777" w:rsidR="00EF1C57" w:rsidRDefault="00EF1C57" w:rsidP="00EF1C5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D73B8" w14:textId="77777777" w:rsidR="00805601" w:rsidRDefault="00805601" w:rsidP="00871BAA">
      <w:pPr>
        <w:spacing w:after="0" w:line="240" w:lineRule="auto"/>
      </w:pPr>
      <w:r>
        <w:separator/>
      </w:r>
    </w:p>
  </w:footnote>
  <w:footnote w:type="continuationSeparator" w:id="0">
    <w:p w14:paraId="4FABBCB9" w14:textId="77777777" w:rsidR="00805601" w:rsidRDefault="00805601" w:rsidP="00871B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589"/>
    <w:rsid w:val="00005FCF"/>
    <w:rsid w:val="000164F4"/>
    <w:rsid w:val="00040F5A"/>
    <w:rsid w:val="00043BA4"/>
    <w:rsid w:val="000440B0"/>
    <w:rsid w:val="0006752D"/>
    <w:rsid w:val="00071EA7"/>
    <w:rsid w:val="000A15A2"/>
    <w:rsid w:val="000D3E79"/>
    <w:rsid w:val="000D4F95"/>
    <w:rsid w:val="00106ACC"/>
    <w:rsid w:val="00154C6E"/>
    <w:rsid w:val="0017023B"/>
    <w:rsid w:val="0018681B"/>
    <w:rsid w:val="001B40F8"/>
    <w:rsid w:val="001D2B31"/>
    <w:rsid w:val="001D76D1"/>
    <w:rsid w:val="00201416"/>
    <w:rsid w:val="00202F08"/>
    <w:rsid w:val="00206495"/>
    <w:rsid w:val="00210950"/>
    <w:rsid w:val="00235728"/>
    <w:rsid w:val="00261BFF"/>
    <w:rsid w:val="00276358"/>
    <w:rsid w:val="002A004E"/>
    <w:rsid w:val="002A6743"/>
    <w:rsid w:val="002E5825"/>
    <w:rsid w:val="002F24D2"/>
    <w:rsid w:val="003225D7"/>
    <w:rsid w:val="00343A82"/>
    <w:rsid w:val="00344D00"/>
    <w:rsid w:val="00377890"/>
    <w:rsid w:val="00380AAB"/>
    <w:rsid w:val="00387BE8"/>
    <w:rsid w:val="003A5271"/>
    <w:rsid w:val="003B0C93"/>
    <w:rsid w:val="003E52E5"/>
    <w:rsid w:val="003F3EA5"/>
    <w:rsid w:val="003F719A"/>
    <w:rsid w:val="004100B8"/>
    <w:rsid w:val="004152F8"/>
    <w:rsid w:val="004508F0"/>
    <w:rsid w:val="00481473"/>
    <w:rsid w:val="004E41AF"/>
    <w:rsid w:val="004F52B1"/>
    <w:rsid w:val="005166A8"/>
    <w:rsid w:val="00566AC6"/>
    <w:rsid w:val="00571B51"/>
    <w:rsid w:val="0059011E"/>
    <w:rsid w:val="00607D81"/>
    <w:rsid w:val="00646BE4"/>
    <w:rsid w:val="00647106"/>
    <w:rsid w:val="0067278B"/>
    <w:rsid w:val="006C0005"/>
    <w:rsid w:val="006C1195"/>
    <w:rsid w:val="006D0E69"/>
    <w:rsid w:val="006D2722"/>
    <w:rsid w:val="006E2C7B"/>
    <w:rsid w:val="006F5FF6"/>
    <w:rsid w:val="007077C0"/>
    <w:rsid w:val="007209AF"/>
    <w:rsid w:val="00736E7A"/>
    <w:rsid w:val="00751B59"/>
    <w:rsid w:val="0078759C"/>
    <w:rsid w:val="007A490F"/>
    <w:rsid w:val="007D0535"/>
    <w:rsid w:val="007E7B16"/>
    <w:rsid w:val="00805601"/>
    <w:rsid w:val="0086397C"/>
    <w:rsid w:val="00871BAA"/>
    <w:rsid w:val="0089263E"/>
    <w:rsid w:val="008D1425"/>
    <w:rsid w:val="00910941"/>
    <w:rsid w:val="00922589"/>
    <w:rsid w:val="00933553"/>
    <w:rsid w:val="00937522"/>
    <w:rsid w:val="00976ECA"/>
    <w:rsid w:val="00980B26"/>
    <w:rsid w:val="00985E88"/>
    <w:rsid w:val="009E148D"/>
    <w:rsid w:val="009F16F4"/>
    <w:rsid w:val="00A460E1"/>
    <w:rsid w:val="00A63BD6"/>
    <w:rsid w:val="00A8148E"/>
    <w:rsid w:val="00A814C6"/>
    <w:rsid w:val="00AC2473"/>
    <w:rsid w:val="00AD500D"/>
    <w:rsid w:val="00AF3E58"/>
    <w:rsid w:val="00B228C6"/>
    <w:rsid w:val="00B26296"/>
    <w:rsid w:val="00B44D85"/>
    <w:rsid w:val="00B64533"/>
    <w:rsid w:val="00B67B16"/>
    <w:rsid w:val="00B70B4B"/>
    <w:rsid w:val="00B9351A"/>
    <w:rsid w:val="00BC783E"/>
    <w:rsid w:val="00C075E7"/>
    <w:rsid w:val="00C42068"/>
    <w:rsid w:val="00C47F82"/>
    <w:rsid w:val="00C537E8"/>
    <w:rsid w:val="00C70235"/>
    <w:rsid w:val="00C72B28"/>
    <w:rsid w:val="00CB3EF5"/>
    <w:rsid w:val="00CF6368"/>
    <w:rsid w:val="00D40DC3"/>
    <w:rsid w:val="00D41D6D"/>
    <w:rsid w:val="00D560F5"/>
    <w:rsid w:val="00D614C6"/>
    <w:rsid w:val="00D838B6"/>
    <w:rsid w:val="00DE46CD"/>
    <w:rsid w:val="00E01069"/>
    <w:rsid w:val="00E042F0"/>
    <w:rsid w:val="00E475D5"/>
    <w:rsid w:val="00E70A69"/>
    <w:rsid w:val="00E80BD4"/>
    <w:rsid w:val="00E81974"/>
    <w:rsid w:val="00EB7965"/>
    <w:rsid w:val="00EC6142"/>
    <w:rsid w:val="00EF1C57"/>
    <w:rsid w:val="00EF3BD3"/>
    <w:rsid w:val="00F109D4"/>
    <w:rsid w:val="00F12FBA"/>
    <w:rsid w:val="00F30C5F"/>
    <w:rsid w:val="00FC449B"/>
    <w:rsid w:val="00FE401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985C6"/>
  <w15:chartTrackingRefBased/>
  <w15:docId w15:val="{543C00C2-73BF-7F44-82D4-94DB402B8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005"/>
    <w:pPr>
      <w:suppressAutoHyphens/>
      <w:autoSpaceDN w:val="0"/>
      <w:spacing w:after="160" w:line="360" w:lineRule="auto"/>
      <w:jc w:val="both"/>
    </w:pPr>
    <w:rPr>
      <w:rFonts w:ascii="Arial" w:hAnsi="Arial" w:cs="Times New Roman"/>
      <w:kern w:val="0"/>
      <w:szCs w:val="22"/>
      <w14:ligatures w14:val="none"/>
    </w:rPr>
  </w:style>
  <w:style w:type="paragraph" w:styleId="Heading1">
    <w:name w:val="heading 1"/>
    <w:basedOn w:val="Normal"/>
    <w:next w:val="Normal"/>
    <w:link w:val="Heading1Char"/>
    <w:uiPriority w:val="9"/>
    <w:qFormat/>
    <w:rsid w:val="00980B26"/>
    <w:pPr>
      <w:outlineLvl w:val="0"/>
    </w:pPr>
    <w:rPr>
      <w:b/>
      <w:bCs/>
      <w:sz w:val="32"/>
      <w:szCs w:val="28"/>
    </w:rPr>
  </w:style>
  <w:style w:type="paragraph" w:styleId="Heading2">
    <w:name w:val="heading 2"/>
    <w:basedOn w:val="Normal"/>
    <w:next w:val="Normal"/>
    <w:link w:val="Heading2Char"/>
    <w:uiPriority w:val="9"/>
    <w:unhideWhenUsed/>
    <w:qFormat/>
    <w:rsid w:val="00980B26"/>
    <w:pPr>
      <w:outlineLvl w:val="1"/>
    </w:pPr>
    <w:rPr>
      <w:b/>
      <w:bCs/>
      <w:sz w:val="28"/>
      <w:szCs w:val="24"/>
    </w:rPr>
  </w:style>
  <w:style w:type="paragraph" w:styleId="Heading3">
    <w:name w:val="heading 3"/>
    <w:basedOn w:val="Normal"/>
    <w:next w:val="Normal"/>
    <w:link w:val="Heading3Char"/>
    <w:uiPriority w:val="9"/>
    <w:unhideWhenUsed/>
    <w:qFormat/>
    <w:rsid w:val="00A460E1"/>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semiHidden/>
    <w:unhideWhenUsed/>
    <w:qFormat/>
    <w:rsid w:val="000A15A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26"/>
    <w:rPr>
      <w:rFonts w:asciiTheme="majorBidi" w:hAnsiTheme="majorBidi" w:cs="Times New Roman"/>
      <w:b/>
      <w:bCs/>
      <w:kern w:val="0"/>
      <w:sz w:val="32"/>
      <w:szCs w:val="28"/>
      <w14:ligatures w14:val="none"/>
    </w:rPr>
  </w:style>
  <w:style w:type="character" w:customStyle="1" w:styleId="Heading2Char">
    <w:name w:val="Heading 2 Char"/>
    <w:basedOn w:val="DefaultParagraphFont"/>
    <w:link w:val="Heading2"/>
    <w:uiPriority w:val="9"/>
    <w:rsid w:val="00980B26"/>
    <w:rPr>
      <w:rFonts w:asciiTheme="majorBidi" w:hAnsiTheme="majorBidi" w:cs="Times New Roman"/>
      <w:b/>
      <w:bCs/>
      <w:kern w:val="0"/>
      <w:sz w:val="28"/>
      <w14:ligatures w14:val="none"/>
    </w:rPr>
  </w:style>
  <w:style w:type="table" w:styleId="TableGrid">
    <w:name w:val="Table Grid"/>
    <w:basedOn w:val="TableNormal"/>
    <w:uiPriority w:val="39"/>
    <w:rsid w:val="00980B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1B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BAA"/>
    <w:rPr>
      <w:rFonts w:asciiTheme="majorBidi" w:hAnsiTheme="majorBidi" w:cs="Times New Roman"/>
      <w:kern w:val="0"/>
      <w:szCs w:val="22"/>
      <w:lang w:val="en-GB"/>
      <w14:ligatures w14:val="none"/>
    </w:rPr>
  </w:style>
  <w:style w:type="paragraph" w:styleId="Footer">
    <w:name w:val="footer"/>
    <w:basedOn w:val="Normal"/>
    <w:link w:val="FooterChar"/>
    <w:uiPriority w:val="99"/>
    <w:unhideWhenUsed/>
    <w:rsid w:val="00871B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BAA"/>
    <w:rPr>
      <w:rFonts w:asciiTheme="majorBidi" w:hAnsiTheme="majorBidi" w:cs="Times New Roman"/>
      <w:kern w:val="0"/>
      <w:szCs w:val="22"/>
      <w:lang w:val="en-GB"/>
      <w14:ligatures w14:val="none"/>
    </w:rPr>
  </w:style>
  <w:style w:type="character" w:styleId="Hyperlink">
    <w:name w:val="Hyperlink"/>
    <w:basedOn w:val="DefaultParagraphFont"/>
    <w:uiPriority w:val="99"/>
    <w:unhideWhenUsed/>
    <w:rsid w:val="00EF1C57"/>
    <w:rPr>
      <w:color w:val="0563C1" w:themeColor="hyperlink"/>
      <w:u w:val="single"/>
    </w:rPr>
  </w:style>
  <w:style w:type="paragraph" w:styleId="TOCHeading">
    <w:name w:val="TOC Heading"/>
    <w:basedOn w:val="Heading1"/>
    <w:next w:val="Normal"/>
    <w:uiPriority w:val="39"/>
    <w:unhideWhenUsed/>
    <w:qFormat/>
    <w:rsid w:val="00EF1C57"/>
    <w:pPr>
      <w:keepNext/>
      <w:keepLines/>
      <w:suppressAutoHyphens w:val="0"/>
      <w:autoSpaceDN/>
      <w:spacing w:before="240" w:after="0" w:line="259" w:lineRule="auto"/>
      <w:jc w:val="left"/>
      <w:outlineLvl w:val="9"/>
    </w:pPr>
    <w:rPr>
      <w:rFonts w:asciiTheme="majorHAnsi" w:eastAsiaTheme="majorEastAsia" w:hAnsiTheme="majorHAnsi" w:cstheme="majorBidi"/>
      <w:b w:val="0"/>
      <w:bCs w:val="0"/>
      <w:color w:val="2F5496" w:themeColor="accent1" w:themeShade="BF"/>
      <w:szCs w:val="32"/>
      <w:lang w:val="en-US"/>
    </w:rPr>
  </w:style>
  <w:style w:type="paragraph" w:styleId="TOC1">
    <w:name w:val="toc 1"/>
    <w:basedOn w:val="Normal"/>
    <w:next w:val="Normal"/>
    <w:autoRedefine/>
    <w:uiPriority w:val="39"/>
    <w:unhideWhenUsed/>
    <w:rsid w:val="00EF1C57"/>
    <w:pPr>
      <w:tabs>
        <w:tab w:val="right" w:leader="dot" w:pos="9016"/>
      </w:tabs>
      <w:suppressAutoHyphens w:val="0"/>
      <w:autoSpaceDN/>
      <w:spacing w:after="100"/>
      <w:jc w:val="left"/>
    </w:pPr>
    <w:rPr>
      <w:rFonts w:eastAsiaTheme="minorHAnsi" w:cstheme="majorBidi"/>
      <w:b/>
      <w:bCs/>
      <w:noProof/>
      <w:kern w:val="2"/>
      <w:szCs w:val="24"/>
      <w14:ligatures w14:val="standardContextual"/>
    </w:rPr>
  </w:style>
  <w:style w:type="paragraph" w:styleId="TOC2">
    <w:name w:val="toc 2"/>
    <w:basedOn w:val="Normal"/>
    <w:next w:val="Normal"/>
    <w:autoRedefine/>
    <w:uiPriority w:val="39"/>
    <w:unhideWhenUsed/>
    <w:rsid w:val="00EF1C57"/>
    <w:pPr>
      <w:spacing w:after="100"/>
      <w:ind w:left="240"/>
    </w:pPr>
  </w:style>
  <w:style w:type="character" w:styleId="PageNumber">
    <w:name w:val="page number"/>
    <w:basedOn w:val="DefaultParagraphFont"/>
    <w:uiPriority w:val="99"/>
    <w:semiHidden/>
    <w:unhideWhenUsed/>
    <w:rsid w:val="00EF1C57"/>
  </w:style>
  <w:style w:type="character" w:styleId="UnresolvedMention">
    <w:name w:val="Unresolved Mention"/>
    <w:basedOn w:val="DefaultParagraphFont"/>
    <w:uiPriority w:val="99"/>
    <w:semiHidden/>
    <w:unhideWhenUsed/>
    <w:rsid w:val="00647106"/>
    <w:rPr>
      <w:color w:val="605E5C"/>
      <w:shd w:val="clear" w:color="auto" w:fill="E1DFDD"/>
    </w:rPr>
  </w:style>
  <w:style w:type="character" w:styleId="Strong">
    <w:name w:val="Strong"/>
    <w:basedOn w:val="DefaultParagraphFont"/>
    <w:uiPriority w:val="22"/>
    <w:qFormat/>
    <w:rsid w:val="007209AF"/>
    <w:rPr>
      <w:b/>
      <w:bCs/>
    </w:rPr>
  </w:style>
  <w:style w:type="table" w:styleId="PlainTable1">
    <w:name w:val="Plain Table 1"/>
    <w:basedOn w:val="TableNormal"/>
    <w:uiPriority w:val="41"/>
    <w:rsid w:val="007209A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0440B0"/>
    <w:pPr>
      <w:spacing w:after="200" w:line="240" w:lineRule="auto"/>
    </w:pPr>
    <w:rPr>
      <w:i/>
      <w:iCs/>
      <w:color w:val="44546A" w:themeColor="text2"/>
      <w:sz w:val="18"/>
      <w:szCs w:val="18"/>
    </w:rPr>
  </w:style>
  <w:style w:type="table" w:styleId="TableGridLight">
    <w:name w:val="Grid Table Light"/>
    <w:basedOn w:val="TableNormal"/>
    <w:uiPriority w:val="40"/>
    <w:rsid w:val="00EB796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646BE4"/>
    <w:pPr>
      <w:spacing w:after="0"/>
    </w:pPr>
  </w:style>
  <w:style w:type="paragraph" w:styleId="ListParagraph">
    <w:name w:val="List Paragraph"/>
    <w:basedOn w:val="Normal"/>
    <w:uiPriority w:val="34"/>
    <w:qFormat/>
    <w:rsid w:val="006D2722"/>
    <w:pPr>
      <w:ind w:left="720"/>
      <w:contextualSpacing/>
    </w:pPr>
  </w:style>
  <w:style w:type="character" w:customStyle="1" w:styleId="Heading3Char">
    <w:name w:val="Heading 3 Char"/>
    <w:basedOn w:val="DefaultParagraphFont"/>
    <w:link w:val="Heading3"/>
    <w:uiPriority w:val="9"/>
    <w:rsid w:val="00A460E1"/>
    <w:rPr>
      <w:rFonts w:ascii="Arial" w:eastAsiaTheme="majorEastAsia" w:hAnsi="Arial" w:cstheme="majorBidi"/>
      <w:b/>
      <w:color w:val="000000" w:themeColor="text1"/>
      <w:kern w:val="0"/>
      <w14:ligatures w14:val="none"/>
    </w:rPr>
  </w:style>
  <w:style w:type="character" w:customStyle="1" w:styleId="Heading4Char">
    <w:name w:val="Heading 4 Char"/>
    <w:basedOn w:val="DefaultParagraphFont"/>
    <w:link w:val="Heading4"/>
    <w:uiPriority w:val="9"/>
    <w:semiHidden/>
    <w:rsid w:val="000A15A2"/>
    <w:rPr>
      <w:rFonts w:asciiTheme="majorHAnsi" w:eastAsiaTheme="majorEastAsia" w:hAnsiTheme="majorHAnsi" w:cstheme="majorBidi"/>
      <w:i/>
      <w:iCs/>
      <w:color w:val="2F5496" w:themeColor="accent1" w:themeShade="BF"/>
      <w:kern w:val="0"/>
      <w:szCs w:val="22"/>
      <w14:ligatures w14:val="none"/>
    </w:rPr>
  </w:style>
  <w:style w:type="paragraph" w:styleId="TOC3">
    <w:name w:val="toc 3"/>
    <w:basedOn w:val="Normal"/>
    <w:next w:val="Normal"/>
    <w:autoRedefine/>
    <w:uiPriority w:val="39"/>
    <w:unhideWhenUsed/>
    <w:rsid w:val="002A004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586832">
      <w:bodyDiv w:val="1"/>
      <w:marLeft w:val="0"/>
      <w:marRight w:val="0"/>
      <w:marTop w:val="0"/>
      <w:marBottom w:val="0"/>
      <w:divBdr>
        <w:top w:val="none" w:sz="0" w:space="0" w:color="auto"/>
        <w:left w:val="none" w:sz="0" w:space="0" w:color="auto"/>
        <w:bottom w:val="none" w:sz="0" w:space="0" w:color="auto"/>
        <w:right w:val="none" w:sz="0" w:space="0" w:color="auto"/>
      </w:divBdr>
    </w:div>
    <w:div w:id="36784690">
      <w:bodyDiv w:val="1"/>
      <w:marLeft w:val="0"/>
      <w:marRight w:val="0"/>
      <w:marTop w:val="0"/>
      <w:marBottom w:val="0"/>
      <w:divBdr>
        <w:top w:val="none" w:sz="0" w:space="0" w:color="auto"/>
        <w:left w:val="none" w:sz="0" w:space="0" w:color="auto"/>
        <w:bottom w:val="none" w:sz="0" w:space="0" w:color="auto"/>
        <w:right w:val="none" w:sz="0" w:space="0" w:color="auto"/>
      </w:divBdr>
      <w:divsChild>
        <w:div w:id="757361130">
          <w:marLeft w:val="0"/>
          <w:marRight w:val="0"/>
          <w:marTop w:val="0"/>
          <w:marBottom w:val="0"/>
          <w:divBdr>
            <w:top w:val="none" w:sz="0" w:space="0" w:color="auto"/>
            <w:left w:val="none" w:sz="0" w:space="0" w:color="auto"/>
            <w:bottom w:val="none" w:sz="0" w:space="0" w:color="auto"/>
            <w:right w:val="none" w:sz="0" w:space="0" w:color="auto"/>
          </w:divBdr>
          <w:divsChild>
            <w:div w:id="1113087754">
              <w:marLeft w:val="0"/>
              <w:marRight w:val="0"/>
              <w:marTop w:val="0"/>
              <w:marBottom w:val="0"/>
              <w:divBdr>
                <w:top w:val="none" w:sz="0" w:space="0" w:color="auto"/>
                <w:left w:val="none" w:sz="0" w:space="0" w:color="auto"/>
                <w:bottom w:val="none" w:sz="0" w:space="0" w:color="auto"/>
                <w:right w:val="none" w:sz="0" w:space="0" w:color="auto"/>
              </w:divBdr>
            </w:div>
          </w:divsChild>
        </w:div>
        <w:div w:id="2036881511">
          <w:marLeft w:val="0"/>
          <w:marRight w:val="0"/>
          <w:marTop w:val="0"/>
          <w:marBottom w:val="0"/>
          <w:divBdr>
            <w:top w:val="none" w:sz="0" w:space="0" w:color="auto"/>
            <w:left w:val="none" w:sz="0" w:space="0" w:color="auto"/>
            <w:bottom w:val="none" w:sz="0" w:space="0" w:color="auto"/>
            <w:right w:val="none" w:sz="0" w:space="0" w:color="auto"/>
          </w:divBdr>
          <w:divsChild>
            <w:div w:id="26839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7657490">
      <w:bodyDiv w:val="1"/>
      <w:marLeft w:val="0"/>
      <w:marRight w:val="0"/>
      <w:marTop w:val="0"/>
      <w:marBottom w:val="0"/>
      <w:divBdr>
        <w:top w:val="none" w:sz="0" w:space="0" w:color="auto"/>
        <w:left w:val="none" w:sz="0" w:space="0" w:color="auto"/>
        <w:bottom w:val="none" w:sz="0" w:space="0" w:color="auto"/>
        <w:right w:val="none" w:sz="0" w:space="0" w:color="auto"/>
      </w:divBdr>
    </w:div>
    <w:div w:id="573005916">
      <w:bodyDiv w:val="1"/>
      <w:marLeft w:val="0"/>
      <w:marRight w:val="0"/>
      <w:marTop w:val="0"/>
      <w:marBottom w:val="0"/>
      <w:divBdr>
        <w:top w:val="none" w:sz="0" w:space="0" w:color="auto"/>
        <w:left w:val="none" w:sz="0" w:space="0" w:color="auto"/>
        <w:bottom w:val="none" w:sz="0" w:space="0" w:color="auto"/>
        <w:right w:val="none" w:sz="0" w:space="0" w:color="auto"/>
      </w:divBdr>
    </w:div>
    <w:div w:id="688483524">
      <w:bodyDiv w:val="1"/>
      <w:marLeft w:val="0"/>
      <w:marRight w:val="0"/>
      <w:marTop w:val="0"/>
      <w:marBottom w:val="0"/>
      <w:divBdr>
        <w:top w:val="none" w:sz="0" w:space="0" w:color="auto"/>
        <w:left w:val="none" w:sz="0" w:space="0" w:color="auto"/>
        <w:bottom w:val="none" w:sz="0" w:space="0" w:color="auto"/>
        <w:right w:val="none" w:sz="0" w:space="0" w:color="auto"/>
      </w:divBdr>
    </w:div>
    <w:div w:id="764888056">
      <w:bodyDiv w:val="1"/>
      <w:marLeft w:val="0"/>
      <w:marRight w:val="0"/>
      <w:marTop w:val="0"/>
      <w:marBottom w:val="0"/>
      <w:divBdr>
        <w:top w:val="none" w:sz="0" w:space="0" w:color="auto"/>
        <w:left w:val="none" w:sz="0" w:space="0" w:color="auto"/>
        <w:bottom w:val="none" w:sz="0" w:space="0" w:color="auto"/>
        <w:right w:val="none" w:sz="0" w:space="0" w:color="auto"/>
      </w:divBdr>
    </w:div>
    <w:div w:id="1003819743">
      <w:bodyDiv w:val="1"/>
      <w:marLeft w:val="0"/>
      <w:marRight w:val="0"/>
      <w:marTop w:val="0"/>
      <w:marBottom w:val="0"/>
      <w:divBdr>
        <w:top w:val="none" w:sz="0" w:space="0" w:color="auto"/>
        <w:left w:val="none" w:sz="0" w:space="0" w:color="auto"/>
        <w:bottom w:val="none" w:sz="0" w:space="0" w:color="auto"/>
        <w:right w:val="none" w:sz="0" w:space="0" w:color="auto"/>
      </w:divBdr>
    </w:div>
    <w:div w:id="1025718108">
      <w:bodyDiv w:val="1"/>
      <w:marLeft w:val="0"/>
      <w:marRight w:val="0"/>
      <w:marTop w:val="0"/>
      <w:marBottom w:val="0"/>
      <w:divBdr>
        <w:top w:val="none" w:sz="0" w:space="0" w:color="auto"/>
        <w:left w:val="none" w:sz="0" w:space="0" w:color="auto"/>
        <w:bottom w:val="none" w:sz="0" w:space="0" w:color="auto"/>
        <w:right w:val="none" w:sz="0" w:space="0" w:color="auto"/>
      </w:divBdr>
      <w:divsChild>
        <w:div w:id="2019117927">
          <w:marLeft w:val="0"/>
          <w:marRight w:val="0"/>
          <w:marTop w:val="0"/>
          <w:marBottom w:val="0"/>
          <w:divBdr>
            <w:top w:val="none" w:sz="0" w:space="0" w:color="auto"/>
            <w:left w:val="none" w:sz="0" w:space="0" w:color="auto"/>
            <w:bottom w:val="none" w:sz="0" w:space="0" w:color="auto"/>
            <w:right w:val="none" w:sz="0" w:space="0" w:color="auto"/>
          </w:divBdr>
          <w:divsChild>
            <w:div w:id="32829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970412">
      <w:bodyDiv w:val="1"/>
      <w:marLeft w:val="0"/>
      <w:marRight w:val="0"/>
      <w:marTop w:val="0"/>
      <w:marBottom w:val="0"/>
      <w:divBdr>
        <w:top w:val="none" w:sz="0" w:space="0" w:color="auto"/>
        <w:left w:val="none" w:sz="0" w:space="0" w:color="auto"/>
        <w:bottom w:val="none" w:sz="0" w:space="0" w:color="auto"/>
        <w:right w:val="none" w:sz="0" w:space="0" w:color="auto"/>
      </w:divBdr>
    </w:div>
    <w:div w:id="1386031325">
      <w:bodyDiv w:val="1"/>
      <w:marLeft w:val="0"/>
      <w:marRight w:val="0"/>
      <w:marTop w:val="0"/>
      <w:marBottom w:val="0"/>
      <w:divBdr>
        <w:top w:val="none" w:sz="0" w:space="0" w:color="auto"/>
        <w:left w:val="none" w:sz="0" w:space="0" w:color="auto"/>
        <w:bottom w:val="none" w:sz="0" w:space="0" w:color="auto"/>
        <w:right w:val="none" w:sz="0" w:space="0" w:color="auto"/>
      </w:divBdr>
      <w:divsChild>
        <w:div w:id="599721363">
          <w:marLeft w:val="0"/>
          <w:marRight w:val="0"/>
          <w:marTop w:val="0"/>
          <w:marBottom w:val="0"/>
          <w:divBdr>
            <w:top w:val="none" w:sz="0" w:space="0" w:color="auto"/>
            <w:left w:val="none" w:sz="0" w:space="0" w:color="auto"/>
            <w:bottom w:val="none" w:sz="0" w:space="0" w:color="auto"/>
            <w:right w:val="none" w:sz="0" w:space="0" w:color="auto"/>
          </w:divBdr>
          <w:divsChild>
            <w:div w:id="17966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048491">
      <w:bodyDiv w:val="1"/>
      <w:marLeft w:val="0"/>
      <w:marRight w:val="0"/>
      <w:marTop w:val="0"/>
      <w:marBottom w:val="0"/>
      <w:divBdr>
        <w:top w:val="none" w:sz="0" w:space="0" w:color="auto"/>
        <w:left w:val="none" w:sz="0" w:space="0" w:color="auto"/>
        <w:bottom w:val="none" w:sz="0" w:space="0" w:color="auto"/>
        <w:right w:val="none" w:sz="0" w:space="0" w:color="auto"/>
      </w:divBdr>
      <w:divsChild>
        <w:div w:id="297422652">
          <w:marLeft w:val="0"/>
          <w:marRight w:val="0"/>
          <w:marTop w:val="0"/>
          <w:marBottom w:val="0"/>
          <w:divBdr>
            <w:top w:val="none" w:sz="0" w:space="0" w:color="auto"/>
            <w:left w:val="none" w:sz="0" w:space="0" w:color="auto"/>
            <w:bottom w:val="none" w:sz="0" w:space="0" w:color="auto"/>
            <w:right w:val="none" w:sz="0" w:space="0" w:color="auto"/>
          </w:divBdr>
          <w:divsChild>
            <w:div w:id="1283993867">
              <w:marLeft w:val="0"/>
              <w:marRight w:val="0"/>
              <w:marTop w:val="0"/>
              <w:marBottom w:val="0"/>
              <w:divBdr>
                <w:top w:val="none" w:sz="0" w:space="0" w:color="auto"/>
                <w:left w:val="none" w:sz="0" w:space="0" w:color="auto"/>
                <w:bottom w:val="none" w:sz="0" w:space="0" w:color="auto"/>
                <w:right w:val="none" w:sz="0" w:space="0" w:color="auto"/>
              </w:divBdr>
            </w:div>
          </w:divsChild>
        </w:div>
        <w:div w:id="652638182">
          <w:marLeft w:val="0"/>
          <w:marRight w:val="0"/>
          <w:marTop w:val="0"/>
          <w:marBottom w:val="0"/>
          <w:divBdr>
            <w:top w:val="none" w:sz="0" w:space="0" w:color="auto"/>
            <w:left w:val="none" w:sz="0" w:space="0" w:color="auto"/>
            <w:bottom w:val="none" w:sz="0" w:space="0" w:color="auto"/>
            <w:right w:val="none" w:sz="0" w:space="0" w:color="auto"/>
          </w:divBdr>
          <w:divsChild>
            <w:div w:id="188567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1205803">
      <w:bodyDiv w:val="1"/>
      <w:marLeft w:val="0"/>
      <w:marRight w:val="0"/>
      <w:marTop w:val="0"/>
      <w:marBottom w:val="0"/>
      <w:divBdr>
        <w:top w:val="none" w:sz="0" w:space="0" w:color="auto"/>
        <w:left w:val="none" w:sz="0" w:space="0" w:color="auto"/>
        <w:bottom w:val="none" w:sz="0" w:space="0" w:color="auto"/>
        <w:right w:val="none" w:sz="0" w:space="0" w:color="auto"/>
      </w:divBdr>
      <w:divsChild>
        <w:div w:id="1830754626">
          <w:marLeft w:val="0"/>
          <w:marRight w:val="0"/>
          <w:marTop w:val="0"/>
          <w:marBottom w:val="0"/>
          <w:divBdr>
            <w:top w:val="none" w:sz="0" w:space="0" w:color="auto"/>
            <w:left w:val="none" w:sz="0" w:space="0" w:color="auto"/>
            <w:bottom w:val="none" w:sz="0" w:space="0" w:color="auto"/>
            <w:right w:val="none" w:sz="0" w:space="0" w:color="auto"/>
          </w:divBdr>
          <w:divsChild>
            <w:div w:id="1987078331">
              <w:marLeft w:val="0"/>
              <w:marRight w:val="0"/>
              <w:marTop w:val="0"/>
              <w:marBottom w:val="0"/>
              <w:divBdr>
                <w:top w:val="none" w:sz="0" w:space="0" w:color="auto"/>
                <w:left w:val="none" w:sz="0" w:space="0" w:color="auto"/>
                <w:bottom w:val="none" w:sz="0" w:space="0" w:color="auto"/>
                <w:right w:val="none" w:sz="0" w:space="0" w:color="auto"/>
              </w:divBdr>
            </w:div>
          </w:divsChild>
        </w:div>
        <w:div w:id="1370958330">
          <w:marLeft w:val="0"/>
          <w:marRight w:val="0"/>
          <w:marTop w:val="0"/>
          <w:marBottom w:val="0"/>
          <w:divBdr>
            <w:top w:val="none" w:sz="0" w:space="0" w:color="auto"/>
            <w:left w:val="none" w:sz="0" w:space="0" w:color="auto"/>
            <w:bottom w:val="none" w:sz="0" w:space="0" w:color="auto"/>
            <w:right w:val="none" w:sz="0" w:space="0" w:color="auto"/>
          </w:divBdr>
          <w:divsChild>
            <w:div w:id="184354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651103">
      <w:bodyDiv w:val="1"/>
      <w:marLeft w:val="0"/>
      <w:marRight w:val="0"/>
      <w:marTop w:val="0"/>
      <w:marBottom w:val="0"/>
      <w:divBdr>
        <w:top w:val="none" w:sz="0" w:space="0" w:color="auto"/>
        <w:left w:val="none" w:sz="0" w:space="0" w:color="auto"/>
        <w:bottom w:val="none" w:sz="0" w:space="0" w:color="auto"/>
        <w:right w:val="none" w:sz="0" w:space="0" w:color="auto"/>
      </w:divBdr>
    </w:div>
    <w:div w:id="2052339521">
      <w:bodyDiv w:val="1"/>
      <w:marLeft w:val="0"/>
      <w:marRight w:val="0"/>
      <w:marTop w:val="0"/>
      <w:marBottom w:val="0"/>
      <w:divBdr>
        <w:top w:val="none" w:sz="0" w:space="0" w:color="auto"/>
        <w:left w:val="none" w:sz="0" w:space="0" w:color="auto"/>
        <w:bottom w:val="none" w:sz="0" w:space="0" w:color="auto"/>
        <w:right w:val="none" w:sz="0" w:space="0" w:color="auto"/>
      </w:divBdr>
      <w:divsChild>
        <w:div w:id="751704973">
          <w:marLeft w:val="0"/>
          <w:marRight w:val="0"/>
          <w:marTop w:val="0"/>
          <w:marBottom w:val="0"/>
          <w:divBdr>
            <w:top w:val="none" w:sz="0" w:space="0" w:color="auto"/>
            <w:left w:val="none" w:sz="0" w:space="0" w:color="auto"/>
            <w:bottom w:val="none" w:sz="0" w:space="0" w:color="auto"/>
            <w:right w:val="none" w:sz="0" w:space="0" w:color="auto"/>
          </w:divBdr>
          <w:divsChild>
            <w:div w:id="1627856455">
              <w:marLeft w:val="0"/>
              <w:marRight w:val="0"/>
              <w:marTop w:val="0"/>
              <w:marBottom w:val="0"/>
              <w:divBdr>
                <w:top w:val="none" w:sz="0" w:space="0" w:color="auto"/>
                <w:left w:val="none" w:sz="0" w:space="0" w:color="auto"/>
                <w:bottom w:val="none" w:sz="0" w:space="0" w:color="auto"/>
                <w:right w:val="none" w:sz="0" w:space="0" w:color="auto"/>
              </w:divBdr>
            </w:div>
          </w:divsChild>
        </w:div>
        <w:div w:id="67193067">
          <w:marLeft w:val="0"/>
          <w:marRight w:val="0"/>
          <w:marTop w:val="0"/>
          <w:marBottom w:val="0"/>
          <w:divBdr>
            <w:top w:val="none" w:sz="0" w:space="0" w:color="auto"/>
            <w:left w:val="none" w:sz="0" w:space="0" w:color="auto"/>
            <w:bottom w:val="none" w:sz="0" w:space="0" w:color="auto"/>
            <w:right w:val="none" w:sz="0" w:space="0" w:color="auto"/>
          </w:divBdr>
          <w:divsChild>
            <w:div w:id="135168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counterpointresearch.com" TargetMode="External"/><Relationship Id="rId26" Type="http://schemas.openxmlformats.org/officeDocument/2006/relationships/hyperlink" Target="https://yougov.com/articles/48288-telecoms-trends-and-insights-roundup-for-2023" TargetMode="External"/><Relationship Id="rId3" Type="http://schemas.openxmlformats.org/officeDocument/2006/relationships/settings" Target="settings.xml"/><Relationship Id="rId21" Type="http://schemas.openxmlformats.org/officeDocument/2006/relationships/hyperlink" Target="https://www.idc.com/tracker/showproductinfo.jsp?containerId=IDC_P8397"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investor.apple.com/investor-relations/default.aspx" TargetMode="External"/><Relationship Id="rId25" Type="http://schemas.openxmlformats.org/officeDocument/2006/relationships/hyperlink" Target="https://ir.mi.com/system/files-encrypted/nasdaq_kms/assets/2024/04/25/5-36-08/2023%20Annual%20Report.pdf" TargetMode="External"/><Relationship Id="rId2" Type="http://schemas.openxmlformats.org/officeDocument/2006/relationships/styles" Target="styles.xml"/><Relationship Id="rId16" Type="http://schemas.microsoft.com/office/2007/relationships/hdphoto" Target="media/hdphoto3.wdp"/><Relationship Id="rId20" Type="http://schemas.openxmlformats.org/officeDocument/2006/relationships/hyperlink" Target="https://www.gsma.com/mobileeconomy/europ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1.wdp"/><Relationship Id="rId24" Type="http://schemas.openxmlformats.org/officeDocument/2006/relationships/hyperlink" Target="https://www.statista.com/topics/5411/smartphones-in-the-uk/"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ofcom.org.uk/research-and-data/online-research/online-nation" TargetMode="External"/><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www2.deloitte.com/uk/en/pages/technology-media-and-telecommunications/articles/digital-consumer-trend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hdphoto" Target="media/hdphoto2.wdp"/><Relationship Id="rId22" Type="http://schemas.openxmlformats.org/officeDocument/2006/relationships/hyperlink" Target="https://www.mintel.com"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458C23-6FAC-4552-A1DD-FE9CB74D6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18</Pages>
  <Words>3882</Words>
  <Characters>22133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Alamin (2434280)</cp:lastModifiedBy>
  <cp:revision>5</cp:revision>
  <dcterms:created xsi:type="dcterms:W3CDTF">2025-11-14T11:16:00Z</dcterms:created>
  <dcterms:modified xsi:type="dcterms:W3CDTF">2025-11-19T23:46:00Z</dcterms:modified>
</cp:coreProperties>
</file>