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C8E6CE" w14:textId="77777777" w:rsidR="00543FAD" w:rsidRDefault="00543FAD" w:rsidP="009A1C97">
      <w:pPr>
        <w:pStyle w:val="Title"/>
        <w:jc w:val="center"/>
        <w:rPr>
          <w:color w:val="000000" w:themeColor="text1"/>
          <w:sz w:val="28"/>
          <w:szCs w:val="28"/>
        </w:rPr>
      </w:pPr>
    </w:p>
    <w:p w14:paraId="2E08E1DC" w14:textId="77777777" w:rsidR="00543FAD" w:rsidRDefault="00543FAD" w:rsidP="009A1C97">
      <w:pPr>
        <w:pStyle w:val="Title"/>
        <w:jc w:val="center"/>
        <w:rPr>
          <w:color w:val="000000" w:themeColor="text1"/>
          <w:sz w:val="28"/>
          <w:szCs w:val="28"/>
        </w:rPr>
      </w:pPr>
    </w:p>
    <w:p w14:paraId="58441385" w14:textId="77777777" w:rsidR="00543FAD" w:rsidRDefault="00543FAD" w:rsidP="009A1C97">
      <w:pPr>
        <w:pStyle w:val="Title"/>
        <w:jc w:val="center"/>
        <w:rPr>
          <w:color w:val="000000" w:themeColor="text1"/>
          <w:sz w:val="28"/>
          <w:szCs w:val="28"/>
        </w:rPr>
      </w:pPr>
    </w:p>
    <w:p w14:paraId="3A68D218" w14:textId="4601B334" w:rsidR="009A1C97" w:rsidRPr="00315E2A" w:rsidRDefault="009A1C97" w:rsidP="009A1C97">
      <w:pPr>
        <w:pStyle w:val="Title"/>
        <w:jc w:val="center"/>
        <w:rPr>
          <w:color w:val="000000" w:themeColor="text1"/>
          <w:sz w:val="36"/>
          <w:szCs w:val="36"/>
        </w:rPr>
      </w:pPr>
      <w:r w:rsidRPr="00315E2A">
        <w:rPr>
          <w:color w:val="000000" w:themeColor="text1"/>
          <w:sz w:val="36"/>
          <w:szCs w:val="36"/>
        </w:rPr>
        <w:t>Module Name: Strategic Management and Sustainability</w:t>
      </w:r>
    </w:p>
    <w:p w14:paraId="4EAFEC8F" w14:textId="470CDBA6" w:rsidR="0024474F" w:rsidRPr="00315E2A" w:rsidRDefault="009A1C97" w:rsidP="009A1C97">
      <w:pPr>
        <w:pStyle w:val="Title"/>
        <w:jc w:val="center"/>
        <w:rPr>
          <w:color w:val="000000" w:themeColor="text1"/>
          <w:sz w:val="36"/>
          <w:szCs w:val="36"/>
        </w:rPr>
      </w:pPr>
      <w:r w:rsidRPr="00315E2A">
        <w:rPr>
          <w:color w:val="000000" w:themeColor="text1"/>
          <w:sz w:val="36"/>
          <w:szCs w:val="36"/>
        </w:rPr>
        <w:t>Module Code: LCBB6004</w:t>
      </w:r>
    </w:p>
    <w:p w14:paraId="4E12FD45" w14:textId="1D7A7096" w:rsidR="0024474F" w:rsidRPr="00315E2A" w:rsidRDefault="0024474F" w:rsidP="009A1C97">
      <w:pPr>
        <w:pStyle w:val="Title"/>
        <w:jc w:val="center"/>
        <w:rPr>
          <w:color w:val="000000" w:themeColor="text1"/>
          <w:sz w:val="36"/>
          <w:szCs w:val="36"/>
        </w:rPr>
      </w:pPr>
      <w:r w:rsidRPr="00315E2A">
        <w:rPr>
          <w:color w:val="000000" w:themeColor="text1"/>
          <w:sz w:val="36"/>
          <w:szCs w:val="36"/>
        </w:rPr>
        <w:t>Student Name:</w:t>
      </w:r>
      <w:r w:rsidR="00315E2A">
        <w:rPr>
          <w:color w:val="000000" w:themeColor="text1"/>
          <w:sz w:val="36"/>
          <w:szCs w:val="36"/>
        </w:rPr>
        <w:t xml:space="preserve"> Jannat </w:t>
      </w:r>
      <w:proofErr w:type="spellStart"/>
      <w:r w:rsidR="00315E2A">
        <w:rPr>
          <w:color w:val="000000" w:themeColor="text1"/>
          <w:sz w:val="36"/>
          <w:szCs w:val="36"/>
        </w:rPr>
        <w:t>Jannat</w:t>
      </w:r>
      <w:proofErr w:type="spellEnd"/>
    </w:p>
    <w:p w14:paraId="7856ABFC" w14:textId="433991A9" w:rsidR="0024474F" w:rsidRPr="00315E2A" w:rsidRDefault="0024474F" w:rsidP="009A1C97">
      <w:pPr>
        <w:pStyle w:val="Title"/>
        <w:jc w:val="center"/>
        <w:rPr>
          <w:color w:val="000000" w:themeColor="text1"/>
          <w:sz w:val="36"/>
          <w:szCs w:val="36"/>
        </w:rPr>
      </w:pPr>
      <w:r w:rsidRPr="00315E2A">
        <w:rPr>
          <w:color w:val="000000" w:themeColor="text1"/>
          <w:sz w:val="36"/>
          <w:szCs w:val="36"/>
        </w:rPr>
        <w:t>Student ID:</w:t>
      </w:r>
      <w:r w:rsidR="00315E2A">
        <w:rPr>
          <w:color w:val="000000" w:themeColor="text1"/>
          <w:sz w:val="36"/>
          <w:szCs w:val="36"/>
        </w:rPr>
        <w:t xml:space="preserve"> 2239865</w:t>
      </w:r>
    </w:p>
    <w:p w14:paraId="5FA35EDE" w14:textId="35C5998E" w:rsidR="0024474F" w:rsidRPr="00315E2A" w:rsidRDefault="0024474F" w:rsidP="009A1C97">
      <w:pPr>
        <w:pStyle w:val="Title"/>
        <w:jc w:val="center"/>
        <w:rPr>
          <w:color w:val="000000" w:themeColor="text1"/>
          <w:sz w:val="36"/>
          <w:szCs w:val="36"/>
        </w:rPr>
      </w:pPr>
      <w:r w:rsidRPr="00315E2A">
        <w:rPr>
          <w:color w:val="000000" w:themeColor="text1"/>
          <w:sz w:val="36"/>
          <w:szCs w:val="36"/>
        </w:rPr>
        <w:t>Component 1: Coursework: Written Report</w:t>
      </w:r>
    </w:p>
    <w:p w14:paraId="1A20D237" w14:textId="77777777" w:rsidR="00315E2A" w:rsidRDefault="0024474F" w:rsidP="009A1C97">
      <w:pPr>
        <w:pStyle w:val="Title"/>
        <w:jc w:val="center"/>
        <w:rPr>
          <w:color w:val="000000" w:themeColor="text1"/>
          <w:sz w:val="36"/>
          <w:szCs w:val="36"/>
        </w:rPr>
      </w:pPr>
      <w:r w:rsidRPr="00315E2A">
        <w:rPr>
          <w:color w:val="000000" w:themeColor="text1"/>
          <w:sz w:val="36"/>
          <w:szCs w:val="36"/>
        </w:rPr>
        <w:t>Lecturer’s Name</w:t>
      </w:r>
      <w:r w:rsidR="00315E2A">
        <w:rPr>
          <w:color w:val="000000" w:themeColor="text1"/>
          <w:sz w:val="36"/>
          <w:szCs w:val="36"/>
        </w:rPr>
        <w:t xml:space="preserve">: </w:t>
      </w:r>
      <w:proofErr w:type="spellStart"/>
      <w:r w:rsidR="00315E2A">
        <w:rPr>
          <w:color w:val="000000" w:themeColor="text1"/>
          <w:sz w:val="36"/>
          <w:szCs w:val="36"/>
        </w:rPr>
        <w:t>Rexon</w:t>
      </w:r>
      <w:proofErr w:type="spellEnd"/>
      <w:r w:rsidR="00315E2A">
        <w:rPr>
          <w:color w:val="000000" w:themeColor="text1"/>
          <w:sz w:val="36"/>
          <w:szCs w:val="36"/>
        </w:rPr>
        <w:t xml:space="preserve"> </w:t>
      </w:r>
      <w:proofErr w:type="spellStart"/>
      <w:r w:rsidR="00315E2A">
        <w:rPr>
          <w:color w:val="000000" w:themeColor="text1"/>
          <w:sz w:val="36"/>
          <w:szCs w:val="36"/>
        </w:rPr>
        <w:t>Nting</w:t>
      </w:r>
      <w:proofErr w:type="spellEnd"/>
    </w:p>
    <w:p w14:paraId="600F9F25" w14:textId="08FE2D69" w:rsidR="00DE1A44" w:rsidRPr="00246E46" w:rsidRDefault="00F11187" w:rsidP="009A1C97">
      <w:pPr>
        <w:pStyle w:val="Title"/>
        <w:jc w:val="center"/>
      </w:pPr>
      <w:r w:rsidRPr="00246E46">
        <w:br w:type="page"/>
      </w:r>
    </w:p>
    <w:p w14:paraId="525934DE" w14:textId="77777777" w:rsidR="00DE1A44" w:rsidRPr="00EA72E8" w:rsidRDefault="00000000">
      <w:pPr>
        <w:jc w:val="center"/>
        <w:rPr>
          <w:rFonts w:ascii="Arial" w:eastAsia="Times New Roman" w:hAnsi="Arial"/>
          <w:b/>
          <w:bCs/>
          <w:color w:val="000000" w:themeColor="text1"/>
          <w:szCs w:val="24"/>
        </w:rPr>
      </w:pPr>
      <w:r w:rsidRPr="00EA72E8">
        <w:rPr>
          <w:rFonts w:ascii="Arial" w:eastAsia="Times New Roman" w:hAnsi="Arial"/>
          <w:b/>
          <w:bCs/>
          <w:color w:val="000000" w:themeColor="text1"/>
          <w:szCs w:val="24"/>
        </w:rPr>
        <w:lastRenderedPageBreak/>
        <w:t xml:space="preserve">Executive Summary </w:t>
      </w:r>
    </w:p>
    <w:p w14:paraId="434E0E1A" w14:textId="75F958DA" w:rsidR="00F11187" w:rsidRPr="00EA72E8" w:rsidRDefault="00000000">
      <w:pPr>
        <w:rPr>
          <w:rFonts w:ascii="Arial" w:eastAsia="Times New Roman" w:hAnsi="Arial"/>
          <w:color w:val="000000" w:themeColor="text1"/>
          <w:szCs w:val="24"/>
        </w:rPr>
      </w:pPr>
      <w:r w:rsidRPr="00EA72E8">
        <w:rPr>
          <w:rFonts w:ascii="Arial" w:eastAsia="Times New Roman" w:hAnsi="Arial"/>
          <w:color w:val="000000" w:themeColor="text1"/>
          <w:szCs w:val="24"/>
        </w:rPr>
        <w:t xml:space="preserve">This report examines the strategic position of Morgan Motor Company within the current UK automotive industry and the purposes of forward strategies to ensure a better and sustainable growth. The external analysis highlights increasing the regulatory pressures, technological disruption, and growing demand for sustainable luxury vehicles. Internal assessment represents that Morgan’s heritage, artisanal craftsmanship and strong brand identity delivers massive competitive advantages. Based on the overall findings, strategic suggestions focus on accelerating electrification, improving digital consumer experience, increasing selective international markets and adopting sustainable practices while preserving the unique brand heritage of the company and niche positioning. </w:t>
      </w:r>
    </w:p>
    <w:p w14:paraId="79D29336" w14:textId="77777777" w:rsidR="00F11187" w:rsidRPr="00EA72E8" w:rsidRDefault="00F11187">
      <w:pPr>
        <w:spacing w:line="276" w:lineRule="auto"/>
        <w:jc w:val="left"/>
        <w:rPr>
          <w:rFonts w:ascii="Arial" w:eastAsia="Times New Roman" w:hAnsi="Arial"/>
          <w:color w:val="000000" w:themeColor="text1"/>
          <w:szCs w:val="24"/>
        </w:rPr>
      </w:pPr>
      <w:r w:rsidRPr="00EA72E8">
        <w:rPr>
          <w:rFonts w:ascii="Arial" w:eastAsia="Times New Roman" w:hAnsi="Arial"/>
          <w:color w:val="000000" w:themeColor="text1"/>
          <w:szCs w:val="24"/>
        </w:rPr>
        <w:br w:type="page"/>
      </w:r>
    </w:p>
    <w:sdt>
      <w:sdtPr>
        <w:rPr>
          <w:rFonts w:ascii="Times New Roman" w:eastAsia="Arial" w:hAnsi="Times New Roman" w:cs="Arial"/>
          <w:color w:val="auto"/>
          <w:sz w:val="24"/>
          <w:szCs w:val="22"/>
          <w:lang w:val="en-GB" w:eastAsia="en-ZW"/>
        </w:rPr>
        <w:id w:val="-1035336759"/>
        <w:docPartObj>
          <w:docPartGallery w:val="Table of Contents"/>
          <w:docPartUnique/>
        </w:docPartObj>
      </w:sdtPr>
      <w:sdtEndPr>
        <w:rPr>
          <w:b/>
          <w:bCs/>
          <w:noProof/>
        </w:rPr>
      </w:sdtEndPr>
      <w:sdtContent>
        <w:p w14:paraId="143A6050" w14:textId="28E7D6BD" w:rsidR="00F11187" w:rsidRPr="00F11187" w:rsidRDefault="00F11187" w:rsidP="00F11187">
          <w:pPr>
            <w:pStyle w:val="TOCHeading"/>
            <w:spacing w:line="360" w:lineRule="auto"/>
            <w:jc w:val="center"/>
            <w:rPr>
              <w:rFonts w:ascii="Times New Roman" w:hAnsi="Times New Roman" w:cs="Times New Roman"/>
              <w:b/>
              <w:bCs/>
              <w:color w:val="auto"/>
            </w:rPr>
          </w:pPr>
          <w:r w:rsidRPr="00F11187">
            <w:rPr>
              <w:rFonts w:ascii="Times New Roman" w:hAnsi="Times New Roman" w:cs="Times New Roman"/>
              <w:b/>
              <w:bCs/>
              <w:color w:val="auto"/>
            </w:rPr>
            <w:t>Table of Contents</w:t>
          </w:r>
        </w:p>
        <w:p w14:paraId="36510D52" w14:textId="2608CF49" w:rsidR="00B21C2B" w:rsidRDefault="00F11187">
          <w:pPr>
            <w:pStyle w:val="TOC1"/>
            <w:tabs>
              <w:tab w:val="right" w:leader="dot" w:pos="9350"/>
            </w:tabs>
            <w:rPr>
              <w:rFonts w:asciiTheme="minorHAnsi" w:eastAsiaTheme="minorEastAsia" w:hAnsiTheme="minorHAnsi" w:cstheme="minorBidi"/>
              <w:noProof/>
              <w:kern w:val="2"/>
              <w:szCs w:val="30"/>
              <w:lang w:val="en-IN" w:eastAsia="en-IN" w:bidi="bn-IN"/>
              <w14:ligatures w14:val="standardContextual"/>
            </w:rPr>
          </w:pPr>
          <w:r>
            <w:fldChar w:fldCharType="begin"/>
          </w:r>
          <w:r>
            <w:instrText xml:space="preserve"> TOC \o "1-3" \h \z \u </w:instrText>
          </w:r>
          <w:r>
            <w:fldChar w:fldCharType="separate"/>
          </w:r>
          <w:hyperlink w:anchor="_Toc215174591" w:history="1">
            <w:r w:rsidR="00B21C2B" w:rsidRPr="00863F5F">
              <w:rPr>
                <w:rStyle w:val="Hyperlink"/>
                <w:rFonts w:ascii="Arial" w:hAnsi="Arial"/>
                <w:noProof/>
              </w:rPr>
              <w:t>1. Introduction</w:t>
            </w:r>
            <w:r w:rsidR="00B21C2B">
              <w:rPr>
                <w:noProof/>
                <w:webHidden/>
              </w:rPr>
              <w:tab/>
            </w:r>
            <w:r w:rsidR="00B21C2B">
              <w:rPr>
                <w:noProof/>
                <w:webHidden/>
              </w:rPr>
              <w:fldChar w:fldCharType="begin"/>
            </w:r>
            <w:r w:rsidR="00B21C2B">
              <w:rPr>
                <w:noProof/>
                <w:webHidden/>
              </w:rPr>
              <w:instrText xml:space="preserve"> PAGEREF _Toc215174591 \h </w:instrText>
            </w:r>
            <w:r w:rsidR="00B21C2B">
              <w:rPr>
                <w:noProof/>
                <w:webHidden/>
              </w:rPr>
            </w:r>
            <w:r w:rsidR="00B21C2B">
              <w:rPr>
                <w:noProof/>
                <w:webHidden/>
              </w:rPr>
              <w:fldChar w:fldCharType="separate"/>
            </w:r>
            <w:r w:rsidR="00B21C2B">
              <w:rPr>
                <w:noProof/>
                <w:webHidden/>
              </w:rPr>
              <w:t>4</w:t>
            </w:r>
            <w:r w:rsidR="00B21C2B">
              <w:rPr>
                <w:noProof/>
                <w:webHidden/>
              </w:rPr>
              <w:fldChar w:fldCharType="end"/>
            </w:r>
          </w:hyperlink>
        </w:p>
        <w:p w14:paraId="5E78D49C" w14:textId="48369294" w:rsidR="00B21C2B" w:rsidRDefault="00B21C2B">
          <w:pPr>
            <w:pStyle w:val="TOC2"/>
            <w:tabs>
              <w:tab w:val="right" w:leader="dot" w:pos="9350"/>
            </w:tabs>
            <w:rPr>
              <w:rFonts w:asciiTheme="minorHAnsi" w:eastAsiaTheme="minorEastAsia" w:hAnsiTheme="minorHAnsi" w:cstheme="minorBidi"/>
              <w:noProof/>
              <w:kern w:val="2"/>
              <w:szCs w:val="30"/>
              <w:lang w:val="en-IN" w:eastAsia="en-IN" w:bidi="bn-IN"/>
              <w14:ligatures w14:val="standardContextual"/>
            </w:rPr>
          </w:pPr>
          <w:hyperlink w:anchor="_Toc215174592" w:history="1">
            <w:r w:rsidRPr="00863F5F">
              <w:rPr>
                <w:rStyle w:val="Hyperlink"/>
                <w:rFonts w:ascii="Arial" w:hAnsi="Arial"/>
                <w:noProof/>
              </w:rPr>
              <w:t>1.1 Importance of Strategic Management</w:t>
            </w:r>
            <w:r>
              <w:rPr>
                <w:noProof/>
                <w:webHidden/>
              </w:rPr>
              <w:tab/>
            </w:r>
            <w:r>
              <w:rPr>
                <w:noProof/>
                <w:webHidden/>
              </w:rPr>
              <w:fldChar w:fldCharType="begin"/>
            </w:r>
            <w:r>
              <w:rPr>
                <w:noProof/>
                <w:webHidden/>
              </w:rPr>
              <w:instrText xml:space="preserve"> PAGEREF _Toc215174592 \h </w:instrText>
            </w:r>
            <w:r>
              <w:rPr>
                <w:noProof/>
                <w:webHidden/>
              </w:rPr>
            </w:r>
            <w:r>
              <w:rPr>
                <w:noProof/>
                <w:webHidden/>
              </w:rPr>
              <w:fldChar w:fldCharType="separate"/>
            </w:r>
            <w:r>
              <w:rPr>
                <w:noProof/>
                <w:webHidden/>
              </w:rPr>
              <w:t>4</w:t>
            </w:r>
            <w:r>
              <w:rPr>
                <w:noProof/>
                <w:webHidden/>
              </w:rPr>
              <w:fldChar w:fldCharType="end"/>
            </w:r>
          </w:hyperlink>
        </w:p>
        <w:p w14:paraId="5C814BFF" w14:textId="14A6F7B1" w:rsidR="00B21C2B" w:rsidRDefault="00B21C2B">
          <w:pPr>
            <w:pStyle w:val="TOC2"/>
            <w:tabs>
              <w:tab w:val="right" w:leader="dot" w:pos="9350"/>
            </w:tabs>
            <w:rPr>
              <w:rFonts w:asciiTheme="minorHAnsi" w:eastAsiaTheme="minorEastAsia" w:hAnsiTheme="minorHAnsi" w:cstheme="minorBidi"/>
              <w:noProof/>
              <w:kern w:val="2"/>
              <w:szCs w:val="30"/>
              <w:lang w:val="en-IN" w:eastAsia="en-IN" w:bidi="bn-IN"/>
              <w14:ligatures w14:val="standardContextual"/>
            </w:rPr>
          </w:pPr>
          <w:hyperlink w:anchor="_Toc215174593" w:history="1">
            <w:r w:rsidRPr="00863F5F">
              <w:rPr>
                <w:rStyle w:val="Hyperlink"/>
                <w:rFonts w:ascii="Arial" w:hAnsi="Arial"/>
                <w:noProof/>
              </w:rPr>
              <w:t>1.2 Company Background</w:t>
            </w:r>
            <w:r>
              <w:rPr>
                <w:noProof/>
                <w:webHidden/>
              </w:rPr>
              <w:tab/>
            </w:r>
            <w:r>
              <w:rPr>
                <w:noProof/>
                <w:webHidden/>
              </w:rPr>
              <w:fldChar w:fldCharType="begin"/>
            </w:r>
            <w:r>
              <w:rPr>
                <w:noProof/>
                <w:webHidden/>
              </w:rPr>
              <w:instrText xml:space="preserve"> PAGEREF _Toc215174593 \h </w:instrText>
            </w:r>
            <w:r>
              <w:rPr>
                <w:noProof/>
                <w:webHidden/>
              </w:rPr>
            </w:r>
            <w:r>
              <w:rPr>
                <w:noProof/>
                <w:webHidden/>
              </w:rPr>
              <w:fldChar w:fldCharType="separate"/>
            </w:r>
            <w:r>
              <w:rPr>
                <w:noProof/>
                <w:webHidden/>
              </w:rPr>
              <w:t>4</w:t>
            </w:r>
            <w:r>
              <w:rPr>
                <w:noProof/>
                <w:webHidden/>
              </w:rPr>
              <w:fldChar w:fldCharType="end"/>
            </w:r>
          </w:hyperlink>
        </w:p>
        <w:p w14:paraId="674D61FB" w14:textId="0ED4CDA9" w:rsidR="00B21C2B" w:rsidRDefault="00B21C2B">
          <w:pPr>
            <w:pStyle w:val="TOC2"/>
            <w:tabs>
              <w:tab w:val="right" w:leader="dot" w:pos="9350"/>
            </w:tabs>
            <w:rPr>
              <w:rFonts w:asciiTheme="minorHAnsi" w:eastAsiaTheme="minorEastAsia" w:hAnsiTheme="minorHAnsi" w:cstheme="minorBidi"/>
              <w:noProof/>
              <w:kern w:val="2"/>
              <w:szCs w:val="30"/>
              <w:lang w:val="en-IN" w:eastAsia="en-IN" w:bidi="bn-IN"/>
              <w14:ligatures w14:val="standardContextual"/>
            </w:rPr>
          </w:pPr>
          <w:hyperlink w:anchor="_Toc215174594" w:history="1">
            <w:r w:rsidRPr="00863F5F">
              <w:rPr>
                <w:rStyle w:val="Hyperlink"/>
                <w:rFonts w:ascii="Arial" w:hAnsi="Arial"/>
                <w:noProof/>
              </w:rPr>
              <w:t>1.3 Vision, Mission &amp; Strategic Objectives</w:t>
            </w:r>
            <w:r>
              <w:rPr>
                <w:noProof/>
                <w:webHidden/>
              </w:rPr>
              <w:tab/>
            </w:r>
            <w:r>
              <w:rPr>
                <w:noProof/>
                <w:webHidden/>
              </w:rPr>
              <w:fldChar w:fldCharType="begin"/>
            </w:r>
            <w:r>
              <w:rPr>
                <w:noProof/>
                <w:webHidden/>
              </w:rPr>
              <w:instrText xml:space="preserve"> PAGEREF _Toc215174594 \h </w:instrText>
            </w:r>
            <w:r>
              <w:rPr>
                <w:noProof/>
                <w:webHidden/>
              </w:rPr>
            </w:r>
            <w:r>
              <w:rPr>
                <w:noProof/>
                <w:webHidden/>
              </w:rPr>
              <w:fldChar w:fldCharType="separate"/>
            </w:r>
            <w:r>
              <w:rPr>
                <w:noProof/>
                <w:webHidden/>
              </w:rPr>
              <w:t>4</w:t>
            </w:r>
            <w:r>
              <w:rPr>
                <w:noProof/>
                <w:webHidden/>
              </w:rPr>
              <w:fldChar w:fldCharType="end"/>
            </w:r>
          </w:hyperlink>
        </w:p>
        <w:p w14:paraId="1EB4CD0D" w14:textId="4EACB291" w:rsidR="00B21C2B" w:rsidRDefault="00B21C2B">
          <w:pPr>
            <w:pStyle w:val="TOC1"/>
            <w:tabs>
              <w:tab w:val="right" w:leader="dot" w:pos="9350"/>
            </w:tabs>
            <w:rPr>
              <w:rFonts w:asciiTheme="minorHAnsi" w:eastAsiaTheme="minorEastAsia" w:hAnsiTheme="minorHAnsi" w:cstheme="minorBidi"/>
              <w:noProof/>
              <w:kern w:val="2"/>
              <w:szCs w:val="30"/>
              <w:lang w:val="en-IN" w:eastAsia="en-IN" w:bidi="bn-IN"/>
              <w14:ligatures w14:val="standardContextual"/>
            </w:rPr>
          </w:pPr>
          <w:hyperlink w:anchor="_Toc215174595" w:history="1">
            <w:r w:rsidRPr="00863F5F">
              <w:rPr>
                <w:rStyle w:val="Hyperlink"/>
                <w:rFonts w:ascii="Arial" w:hAnsi="Arial"/>
                <w:noProof/>
              </w:rPr>
              <w:t>2. Strategy Analysis</w:t>
            </w:r>
            <w:r>
              <w:rPr>
                <w:noProof/>
                <w:webHidden/>
              </w:rPr>
              <w:tab/>
            </w:r>
            <w:r>
              <w:rPr>
                <w:noProof/>
                <w:webHidden/>
              </w:rPr>
              <w:fldChar w:fldCharType="begin"/>
            </w:r>
            <w:r>
              <w:rPr>
                <w:noProof/>
                <w:webHidden/>
              </w:rPr>
              <w:instrText xml:space="preserve"> PAGEREF _Toc215174595 \h </w:instrText>
            </w:r>
            <w:r>
              <w:rPr>
                <w:noProof/>
                <w:webHidden/>
              </w:rPr>
            </w:r>
            <w:r>
              <w:rPr>
                <w:noProof/>
                <w:webHidden/>
              </w:rPr>
              <w:fldChar w:fldCharType="separate"/>
            </w:r>
            <w:r>
              <w:rPr>
                <w:noProof/>
                <w:webHidden/>
              </w:rPr>
              <w:t>5</w:t>
            </w:r>
            <w:r>
              <w:rPr>
                <w:noProof/>
                <w:webHidden/>
              </w:rPr>
              <w:fldChar w:fldCharType="end"/>
            </w:r>
          </w:hyperlink>
        </w:p>
        <w:p w14:paraId="192B30A9" w14:textId="29C7355A" w:rsidR="00B21C2B" w:rsidRDefault="00B21C2B">
          <w:pPr>
            <w:pStyle w:val="TOC2"/>
            <w:tabs>
              <w:tab w:val="right" w:leader="dot" w:pos="9350"/>
            </w:tabs>
            <w:rPr>
              <w:rFonts w:asciiTheme="minorHAnsi" w:eastAsiaTheme="minorEastAsia" w:hAnsiTheme="minorHAnsi" w:cstheme="minorBidi"/>
              <w:noProof/>
              <w:kern w:val="2"/>
              <w:szCs w:val="30"/>
              <w:lang w:val="en-IN" w:eastAsia="en-IN" w:bidi="bn-IN"/>
              <w14:ligatures w14:val="standardContextual"/>
            </w:rPr>
          </w:pPr>
          <w:hyperlink w:anchor="_Toc215174596" w:history="1">
            <w:r w:rsidRPr="00863F5F">
              <w:rPr>
                <w:rStyle w:val="Hyperlink"/>
                <w:rFonts w:ascii="Arial" w:hAnsi="Arial"/>
                <w:noProof/>
              </w:rPr>
              <w:t>2.1 External Environment Audit</w:t>
            </w:r>
            <w:r>
              <w:rPr>
                <w:noProof/>
                <w:webHidden/>
              </w:rPr>
              <w:tab/>
            </w:r>
            <w:r>
              <w:rPr>
                <w:noProof/>
                <w:webHidden/>
              </w:rPr>
              <w:fldChar w:fldCharType="begin"/>
            </w:r>
            <w:r>
              <w:rPr>
                <w:noProof/>
                <w:webHidden/>
              </w:rPr>
              <w:instrText xml:space="preserve"> PAGEREF _Toc215174596 \h </w:instrText>
            </w:r>
            <w:r>
              <w:rPr>
                <w:noProof/>
                <w:webHidden/>
              </w:rPr>
            </w:r>
            <w:r>
              <w:rPr>
                <w:noProof/>
                <w:webHidden/>
              </w:rPr>
              <w:fldChar w:fldCharType="separate"/>
            </w:r>
            <w:r>
              <w:rPr>
                <w:noProof/>
                <w:webHidden/>
              </w:rPr>
              <w:t>5</w:t>
            </w:r>
            <w:r>
              <w:rPr>
                <w:noProof/>
                <w:webHidden/>
              </w:rPr>
              <w:fldChar w:fldCharType="end"/>
            </w:r>
          </w:hyperlink>
        </w:p>
        <w:p w14:paraId="28F67B11" w14:textId="4733F21D" w:rsidR="00B21C2B" w:rsidRDefault="00B21C2B">
          <w:pPr>
            <w:pStyle w:val="TOC3"/>
            <w:tabs>
              <w:tab w:val="right" w:leader="dot" w:pos="9350"/>
            </w:tabs>
            <w:rPr>
              <w:rFonts w:asciiTheme="minorHAnsi" w:eastAsiaTheme="minorEastAsia" w:hAnsiTheme="minorHAnsi" w:cstheme="minorBidi"/>
              <w:noProof/>
              <w:kern w:val="2"/>
              <w:szCs w:val="30"/>
              <w:lang w:val="en-IN" w:eastAsia="en-IN" w:bidi="bn-IN"/>
              <w14:ligatures w14:val="standardContextual"/>
            </w:rPr>
          </w:pPr>
          <w:hyperlink w:anchor="_Toc215174597" w:history="1">
            <w:r w:rsidRPr="00863F5F">
              <w:rPr>
                <w:rStyle w:val="Hyperlink"/>
                <w:rFonts w:ascii="Arial" w:hAnsi="Arial"/>
                <w:noProof/>
              </w:rPr>
              <w:t>2.1.1 PESTLE</w:t>
            </w:r>
            <w:r>
              <w:rPr>
                <w:noProof/>
                <w:webHidden/>
              </w:rPr>
              <w:tab/>
            </w:r>
            <w:r>
              <w:rPr>
                <w:noProof/>
                <w:webHidden/>
              </w:rPr>
              <w:fldChar w:fldCharType="begin"/>
            </w:r>
            <w:r>
              <w:rPr>
                <w:noProof/>
                <w:webHidden/>
              </w:rPr>
              <w:instrText xml:space="preserve"> PAGEREF _Toc215174597 \h </w:instrText>
            </w:r>
            <w:r>
              <w:rPr>
                <w:noProof/>
                <w:webHidden/>
              </w:rPr>
            </w:r>
            <w:r>
              <w:rPr>
                <w:noProof/>
                <w:webHidden/>
              </w:rPr>
              <w:fldChar w:fldCharType="separate"/>
            </w:r>
            <w:r>
              <w:rPr>
                <w:noProof/>
                <w:webHidden/>
              </w:rPr>
              <w:t>5</w:t>
            </w:r>
            <w:r>
              <w:rPr>
                <w:noProof/>
                <w:webHidden/>
              </w:rPr>
              <w:fldChar w:fldCharType="end"/>
            </w:r>
          </w:hyperlink>
        </w:p>
        <w:p w14:paraId="12DC1372" w14:textId="4D89DCED" w:rsidR="00B21C2B" w:rsidRDefault="00B21C2B">
          <w:pPr>
            <w:pStyle w:val="TOC3"/>
            <w:tabs>
              <w:tab w:val="right" w:leader="dot" w:pos="9350"/>
            </w:tabs>
            <w:rPr>
              <w:rFonts w:asciiTheme="minorHAnsi" w:eastAsiaTheme="minorEastAsia" w:hAnsiTheme="minorHAnsi" w:cstheme="minorBidi"/>
              <w:noProof/>
              <w:kern w:val="2"/>
              <w:szCs w:val="30"/>
              <w:lang w:val="en-IN" w:eastAsia="en-IN" w:bidi="bn-IN"/>
              <w14:ligatures w14:val="standardContextual"/>
            </w:rPr>
          </w:pPr>
          <w:hyperlink w:anchor="_Toc215174598" w:history="1">
            <w:r w:rsidRPr="00863F5F">
              <w:rPr>
                <w:rStyle w:val="Hyperlink"/>
                <w:rFonts w:ascii="Arial" w:hAnsi="Arial"/>
                <w:noProof/>
              </w:rPr>
              <w:t>2.1.2 Porter’s Five Forces</w:t>
            </w:r>
            <w:r>
              <w:rPr>
                <w:noProof/>
                <w:webHidden/>
              </w:rPr>
              <w:tab/>
            </w:r>
            <w:r>
              <w:rPr>
                <w:noProof/>
                <w:webHidden/>
              </w:rPr>
              <w:fldChar w:fldCharType="begin"/>
            </w:r>
            <w:r>
              <w:rPr>
                <w:noProof/>
                <w:webHidden/>
              </w:rPr>
              <w:instrText xml:space="preserve"> PAGEREF _Toc215174598 \h </w:instrText>
            </w:r>
            <w:r>
              <w:rPr>
                <w:noProof/>
                <w:webHidden/>
              </w:rPr>
            </w:r>
            <w:r>
              <w:rPr>
                <w:noProof/>
                <w:webHidden/>
              </w:rPr>
              <w:fldChar w:fldCharType="separate"/>
            </w:r>
            <w:r>
              <w:rPr>
                <w:noProof/>
                <w:webHidden/>
              </w:rPr>
              <w:t>8</w:t>
            </w:r>
            <w:r>
              <w:rPr>
                <w:noProof/>
                <w:webHidden/>
              </w:rPr>
              <w:fldChar w:fldCharType="end"/>
            </w:r>
          </w:hyperlink>
        </w:p>
        <w:p w14:paraId="1FE2AED8" w14:textId="761D8F26" w:rsidR="00B21C2B" w:rsidRDefault="00B21C2B">
          <w:pPr>
            <w:pStyle w:val="TOC2"/>
            <w:tabs>
              <w:tab w:val="right" w:leader="dot" w:pos="9350"/>
            </w:tabs>
            <w:rPr>
              <w:rFonts w:asciiTheme="minorHAnsi" w:eastAsiaTheme="minorEastAsia" w:hAnsiTheme="minorHAnsi" w:cstheme="minorBidi"/>
              <w:noProof/>
              <w:kern w:val="2"/>
              <w:szCs w:val="30"/>
              <w:lang w:val="en-IN" w:eastAsia="en-IN" w:bidi="bn-IN"/>
              <w14:ligatures w14:val="standardContextual"/>
            </w:rPr>
          </w:pPr>
          <w:hyperlink w:anchor="_Toc215174599" w:history="1">
            <w:r w:rsidRPr="00863F5F">
              <w:rPr>
                <w:rStyle w:val="Hyperlink"/>
                <w:rFonts w:ascii="Arial" w:hAnsi="Arial"/>
                <w:noProof/>
              </w:rPr>
              <w:t>2.2 Internal Environment Audit</w:t>
            </w:r>
            <w:r>
              <w:rPr>
                <w:noProof/>
                <w:webHidden/>
              </w:rPr>
              <w:tab/>
            </w:r>
            <w:r>
              <w:rPr>
                <w:noProof/>
                <w:webHidden/>
              </w:rPr>
              <w:fldChar w:fldCharType="begin"/>
            </w:r>
            <w:r>
              <w:rPr>
                <w:noProof/>
                <w:webHidden/>
              </w:rPr>
              <w:instrText xml:space="preserve"> PAGEREF _Toc215174599 \h </w:instrText>
            </w:r>
            <w:r>
              <w:rPr>
                <w:noProof/>
                <w:webHidden/>
              </w:rPr>
            </w:r>
            <w:r>
              <w:rPr>
                <w:noProof/>
                <w:webHidden/>
              </w:rPr>
              <w:fldChar w:fldCharType="separate"/>
            </w:r>
            <w:r>
              <w:rPr>
                <w:noProof/>
                <w:webHidden/>
              </w:rPr>
              <w:t>9</w:t>
            </w:r>
            <w:r>
              <w:rPr>
                <w:noProof/>
                <w:webHidden/>
              </w:rPr>
              <w:fldChar w:fldCharType="end"/>
            </w:r>
          </w:hyperlink>
        </w:p>
        <w:p w14:paraId="565A514F" w14:textId="78680B55" w:rsidR="00B21C2B" w:rsidRDefault="00B21C2B">
          <w:pPr>
            <w:pStyle w:val="TOC3"/>
            <w:tabs>
              <w:tab w:val="right" w:leader="dot" w:pos="9350"/>
            </w:tabs>
            <w:rPr>
              <w:rFonts w:asciiTheme="minorHAnsi" w:eastAsiaTheme="minorEastAsia" w:hAnsiTheme="minorHAnsi" w:cstheme="minorBidi"/>
              <w:noProof/>
              <w:kern w:val="2"/>
              <w:szCs w:val="30"/>
              <w:lang w:val="en-IN" w:eastAsia="en-IN" w:bidi="bn-IN"/>
              <w14:ligatures w14:val="standardContextual"/>
            </w:rPr>
          </w:pPr>
          <w:hyperlink w:anchor="_Toc215174600" w:history="1">
            <w:r w:rsidRPr="00863F5F">
              <w:rPr>
                <w:rStyle w:val="Hyperlink"/>
                <w:rFonts w:ascii="Arial" w:hAnsi="Arial"/>
                <w:noProof/>
              </w:rPr>
              <w:t>2.2.1 Value Chain Analysis</w:t>
            </w:r>
            <w:r>
              <w:rPr>
                <w:noProof/>
                <w:webHidden/>
              </w:rPr>
              <w:tab/>
            </w:r>
            <w:r>
              <w:rPr>
                <w:noProof/>
                <w:webHidden/>
              </w:rPr>
              <w:fldChar w:fldCharType="begin"/>
            </w:r>
            <w:r>
              <w:rPr>
                <w:noProof/>
                <w:webHidden/>
              </w:rPr>
              <w:instrText xml:space="preserve"> PAGEREF _Toc215174600 \h </w:instrText>
            </w:r>
            <w:r>
              <w:rPr>
                <w:noProof/>
                <w:webHidden/>
              </w:rPr>
            </w:r>
            <w:r>
              <w:rPr>
                <w:noProof/>
                <w:webHidden/>
              </w:rPr>
              <w:fldChar w:fldCharType="separate"/>
            </w:r>
            <w:r>
              <w:rPr>
                <w:noProof/>
                <w:webHidden/>
              </w:rPr>
              <w:t>9</w:t>
            </w:r>
            <w:r>
              <w:rPr>
                <w:noProof/>
                <w:webHidden/>
              </w:rPr>
              <w:fldChar w:fldCharType="end"/>
            </w:r>
          </w:hyperlink>
        </w:p>
        <w:p w14:paraId="61EE306B" w14:textId="52BD752B" w:rsidR="00B21C2B" w:rsidRDefault="00B21C2B">
          <w:pPr>
            <w:pStyle w:val="TOC3"/>
            <w:tabs>
              <w:tab w:val="right" w:leader="dot" w:pos="9350"/>
            </w:tabs>
            <w:rPr>
              <w:rFonts w:asciiTheme="minorHAnsi" w:eastAsiaTheme="minorEastAsia" w:hAnsiTheme="minorHAnsi" w:cstheme="minorBidi"/>
              <w:noProof/>
              <w:kern w:val="2"/>
              <w:szCs w:val="30"/>
              <w:lang w:val="en-IN" w:eastAsia="en-IN" w:bidi="bn-IN"/>
              <w14:ligatures w14:val="standardContextual"/>
            </w:rPr>
          </w:pPr>
          <w:hyperlink w:anchor="_Toc215174601" w:history="1">
            <w:r w:rsidRPr="00863F5F">
              <w:rPr>
                <w:rStyle w:val="Hyperlink"/>
                <w:rFonts w:ascii="Arial" w:hAnsi="Arial"/>
                <w:noProof/>
              </w:rPr>
              <w:t>2.2.2 Internal Resource Analysis: RBV and VRIO Frameworks</w:t>
            </w:r>
            <w:r>
              <w:rPr>
                <w:noProof/>
                <w:webHidden/>
              </w:rPr>
              <w:tab/>
            </w:r>
            <w:r>
              <w:rPr>
                <w:noProof/>
                <w:webHidden/>
              </w:rPr>
              <w:fldChar w:fldCharType="begin"/>
            </w:r>
            <w:r>
              <w:rPr>
                <w:noProof/>
                <w:webHidden/>
              </w:rPr>
              <w:instrText xml:space="preserve"> PAGEREF _Toc215174601 \h </w:instrText>
            </w:r>
            <w:r>
              <w:rPr>
                <w:noProof/>
                <w:webHidden/>
              </w:rPr>
            </w:r>
            <w:r>
              <w:rPr>
                <w:noProof/>
                <w:webHidden/>
              </w:rPr>
              <w:fldChar w:fldCharType="separate"/>
            </w:r>
            <w:r>
              <w:rPr>
                <w:noProof/>
                <w:webHidden/>
              </w:rPr>
              <w:t>10</w:t>
            </w:r>
            <w:r>
              <w:rPr>
                <w:noProof/>
                <w:webHidden/>
              </w:rPr>
              <w:fldChar w:fldCharType="end"/>
            </w:r>
          </w:hyperlink>
        </w:p>
        <w:p w14:paraId="09C46838" w14:textId="6FC93803" w:rsidR="00B21C2B" w:rsidRDefault="00B21C2B">
          <w:pPr>
            <w:pStyle w:val="TOC2"/>
            <w:tabs>
              <w:tab w:val="right" w:leader="dot" w:pos="9350"/>
            </w:tabs>
            <w:rPr>
              <w:rFonts w:asciiTheme="minorHAnsi" w:eastAsiaTheme="minorEastAsia" w:hAnsiTheme="minorHAnsi" w:cstheme="minorBidi"/>
              <w:noProof/>
              <w:kern w:val="2"/>
              <w:szCs w:val="30"/>
              <w:lang w:val="en-IN" w:eastAsia="en-IN" w:bidi="bn-IN"/>
              <w14:ligatures w14:val="standardContextual"/>
            </w:rPr>
          </w:pPr>
          <w:hyperlink w:anchor="_Toc215174602" w:history="1">
            <w:r w:rsidRPr="00863F5F">
              <w:rPr>
                <w:rStyle w:val="Hyperlink"/>
                <w:rFonts w:ascii="Arial" w:hAnsi="Arial"/>
                <w:noProof/>
              </w:rPr>
              <w:t>2.3 SWOT Analysis</w:t>
            </w:r>
            <w:r>
              <w:rPr>
                <w:noProof/>
                <w:webHidden/>
              </w:rPr>
              <w:tab/>
            </w:r>
            <w:r>
              <w:rPr>
                <w:noProof/>
                <w:webHidden/>
              </w:rPr>
              <w:fldChar w:fldCharType="begin"/>
            </w:r>
            <w:r>
              <w:rPr>
                <w:noProof/>
                <w:webHidden/>
              </w:rPr>
              <w:instrText xml:space="preserve"> PAGEREF _Toc215174602 \h </w:instrText>
            </w:r>
            <w:r>
              <w:rPr>
                <w:noProof/>
                <w:webHidden/>
              </w:rPr>
            </w:r>
            <w:r>
              <w:rPr>
                <w:noProof/>
                <w:webHidden/>
              </w:rPr>
              <w:fldChar w:fldCharType="separate"/>
            </w:r>
            <w:r>
              <w:rPr>
                <w:noProof/>
                <w:webHidden/>
              </w:rPr>
              <w:t>13</w:t>
            </w:r>
            <w:r>
              <w:rPr>
                <w:noProof/>
                <w:webHidden/>
              </w:rPr>
              <w:fldChar w:fldCharType="end"/>
            </w:r>
          </w:hyperlink>
        </w:p>
        <w:p w14:paraId="4EDEDCAC" w14:textId="04F26101" w:rsidR="00B21C2B" w:rsidRDefault="00B21C2B">
          <w:pPr>
            <w:pStyle w:val="TOC1"/>
            <w:tabs>
              <w:tab w:val="right" w:leader="dot" w:pos="9350"/>
            </w:tabs>
            <w:rPr>
              <w:rFonts w:asciiTheme="minorHAnsi" w:eastAsiaTheme="minorEastAsia" w:hAnsiTheme="minorHAnsi" w:cstheme="minorBidi"/>
              <w:noProof/>
              <w:kern w:val="2"/>
              <w:szCs w:val="30"/>
              <w:lang w:val="en-IN" w:eastAsia="en-IN" w:bidi="bn-IN"/>
              <w14:ligatures w14:val="standardContextual"/>
            </w:rPr>
          </w:pPr>
          <w:hyperlink w:anchor="_Toc215174603" w:history="1">
            <w:r w:rsidRPr="00863F5F">
              <w:rPr>
                <w:rStyle w:val="Hyperlink"/>
                <w:rFonts w:ascii="Arial" w:hAnsi="Arial"/>
                <w:noProof/>
              </w:rPr>
              <w:t>3. Strategy Formulation</w:t>
            </w:r>
            <w:r>
              <w:rPr>
                <w:noProof/>
                <w:webHidden/>
              </w:rPr>
              <w:tab/>
            </w:r>
            <w:r>
              <w:rPr>
                <w:noProof/>
                <w:webHidden/>
              </w:rPr>
              <w:fldChar w:fldCharType="begin"/>
            </w:r>
            <w:r>
              <w:rPr>
                <w:noProof/>
                <w:webHidden/>
              </w:rPr>
              <w:instrText xml:space="preserve"> PAGEREF _Toc215174603 \h </w:instrText>
            </w:r>
            <w:r>
              <w:rPr>
                <w:noProof/>
                <w:webHidden/>
              </w:rPr>
            </w:r>
            <w:r>
              <w:rPr>
                <w:noProof/>
                <w:webHidden/>
              </w:rPr>
              <w:fldChar w:fldCharType="separate"/>
            </w:r>
            <w:r>
              <w:rPr>
                <w:noProof/>
                <w:webHidden/>
              </w:rPr>
              <w:t>14</w:t>
            </w:r>
            <w:r>
              <w:rPr>
                <w:noProof/>
                <w:webHidden/>
              </w:rPr>
              <w:fldChar w:fldCharType="end"/>
            </w:r>
          </w:hyperlink>
        </w:p>
        <w:p w14:paraId="56C49264" w14:textId="0C630BFA" w:rsidR="00B21C2B" w:rsidRDefault="00B21C2B">
          <w:pPr>
            <w:pStyle w:val="TOC1"/>
            <w:tabs>
              <w:tab w:val="right" w:leader="dot" w:pos="9350"/>
            </w:tabs>
            <w:rPr>
              <w:rFonts w:asciiTheme="minorHAnsi" w:eastAsiaTheme="minorEastAsia" w:hAnsiTheme="minorHAnsi" w:cstheme="minorBidi"/>
              <w:noProof/>
              <w:kern w:val="2"/>
              <w:szCs w:val="30"/>
              <w:lang w:val="en-IN" w:eastAsia="en-IN" w:bidi="bn-IN"/>
              <w14:ligatures w14:val="standardContextual"/>
            </w:rPr>
          </w:pPr>
          <w:hyperlink w:anchor="_Toc215174604" w:history="1">
            <w:r w:rsidRPr="00863F5F">
              <w:rPr>
                <w:rStyle w:val="Hyperlink"/>
                <w:rFonts w:ascii="Arial" w:hAnsi="Arial"/>
                <w:noProof/>
              </w:rPr>
              <w:t>4. Conclusion and Recommendations</w:t>
            </w:r>
            <w:r>
              <w:rPr>
                <w:noProof/>
                <w:webHidden/>
              </w:rPr>
              <w:tab/>
            </w:r>
            <w:r>
              <w:rPr>
                <w:noProof/>
                <w:webHidden/>
              </w:rPr>
              <w:fldChar w:fldCharType="begin"/>
            </w:r>
            <w:r>
              <w:rPr>
                <w:noProof/>
                <w:webHidden/>
              </w:rPr>
              <w:instrText xml:space="preserve"> PAGEREF _Toc215174604 \h </w:instrText>
            </w:r>
            <w:r>
              <w:rPr>
                <w:noProof/>
                <w:webHidden/>
              </w:rPr>
            </w:r>
            <w:r>
              <w:rPr>
                <w:noProof/>
                <w:webHidden/>
              </w:rPr>
              <w:fldChar w:fldCharType="separate"/>
            </w:r>
            <w:r>
              <w:rPr>
                <w:noProof/>
                <w:webHidden/>
              </w:rPr>
              <w:t>17</w:t>
            </w:r>
            <w:r>
              <w:rPr>
                <w:noProof/>
                <w:webHidden/>
              </w:rPr>
              <w:fldChar w:fldCharType="end"/>
            </w:r>
          </w:hyperlink>
        </w:p>
        <w:p w14:paraId="4E30F359" w14:textId="7BD20164" w:rsidR="00B21C2B" w:rsidRDefault="00B21C2B">
          <w:pPr>
            <w:pStyle w:val="TOC1"/>
            <w:tabs>
              <w:tab w:val="right" w:leader="dot" w:pos="9350"/>
            </w:tabs>
            <w:rPr>
              <w:rFonts w:asciiTheme="minorHAnsi" w:eastAsiaTheme="minorEastAsia" w:hAnsiTheme="minorHAnsi" w:cstheme="minorBidi"/>
              <w:noProof/>
              <w:kern w:val="2"/>
              <w:szCs w:val="30"/>
              <w:lang w:val="en-IN" w:eastAsia="en-IN" w:bidi="bn-IN"/>
              <w14:ligatures w14:val="standardContextual"/>
            </w:rPr>
          </w:pPr>
          <w:hyperlink w:anchor="_Toc215174605" w:history="1">
            <w:r w:rsidRPr="00863F5F">
              <w:rPr>
                <w:rStyle w:val="Hyperlink"/>
                <w:rFonts w:ascii="Arial" w:hAnsi="Arial"/>
                <w:noProof/>
              </w:rPr>
              <w:t>References</w:t>
            </w:r>
            <w:r>
              <w:rPr>
                <w:noProof/>
                <w:webHidden/>
              </w:rPr>
              <w:tab/>
            </w:r>
            <w:r>
              <w:rPr>
                <w:noProof/>
                <w:webHidden/>
              </w:rPr>
              <w:fldChar w:fldCharType="begin"/>
            </w:r>
            <w:r>
              <w:rPr>
                <w:noProof/>
                <w:webHidden/>
              </w:rPr>
              <w:instrText xml:space="preserve"> PAGEREF _Toc215174605 \h </w:instrText>
            </w:r>
            <w:r>
              <w:rPr>
                <w:noProof/>
                <w:webHidden/>
              </w:rPr>
            </w:r>
            <w:r>
              <w:rPr>
                <w:noProof/>
                <w:webHidden/>
              </w:rPr>
              <w:fldChar w:fldCharType="separate"/>
            </w:r>
            <w:r>
              <w:rPr>
                <w:noProof/>
                <w:webHidden/>
              </w:rPr>
              <w:t>18</w:t>
            </w:r>
            <w:r>
              <w:rPr>
                <w:noProof/>
                <w:webHidden/>
              </w:rPr>
              <w:fldChar w:fldCharType="end"/>
            </w:r>
          </w:hyperlink>
        </w:p>
        <w:p w14:paraId="1E8D98EF" w14:textId="46F4822F" w:rsidR="00F11187" w:rsidRDefault="00F11187">
          <w:r>
            <w:rPr>
              <w:b/>
              <w:bCs/>
              <w:noProof/>
            </w:rPr>
            <w:fldChar w:fldCharType="end"/>
          </w:r>
        </w:p>
      </w:sdtContent>
    </w:sdt>
    <w:p w14:paraId="69F84EF1" w14:textId="77777777" w:rsidR="00DE1A44" w:rsidRPr="00F11187" w:rsidRDefault="00DE1A44">
      <w:pPr>
        <w:rPr>
          <w:rFonts w:eastAsia="Times New Roman" w:cs="Times New Roman"/>
          <w:szCs w:val="24"/>
        </w:rPr>
      </w:pPr>
    </w:p>
    <w:p w14:paraId="247FD30A" w14:textId="77777777" w:rsidR="00DE1A44" w:rsidRPr="00F11187" w:rsidRDefault="00DE1A44">
      <w:pPr>
        <w:rPr>
          <w:rFonts w:eastAsia="Times New Roman" w:cs="Times New Roman"/>
          <w:szCs w:val="24"/>
        </w:rPr>
      </w:pPr>
    </w:p>
    <w:p w14:paraId="56CFE712" w14:textId="77777777" w:rsidR="00DE1A44" w:rsidRPr="00F11187" w:rsidRDefault="00000000">
      <w:pPr>
        <w:rPr>
          <w:rFonts w:eastAsia="Times New Roman" w:cs="Times New Roman"/>
          <w:b/>
          <w:bCs/>
          <w:sz w:val="32"/>
          <w:szCs w:val="32"/>
        </w:rPr>
      </w:pPr>
      <w:r w:rsidRPr="00F11187">
        <w:br w:type="page"/>
      </w:r>
    </w:p>
    <w:p w14:paraId="00E07F79" w14:textId="77777777" w:rsidR="00DE1A44" w:rsidRPr="00117762" w:rsidRDefault="00000000" w:rsidP="00117762">
      <w:pPr>
        <w:pStyle w:val="Heading1"/>
        <w:spacing w:before="240" w:after="240"/>
        <w:rPr>
          <w:rFonts w:ascii="Arial" w:hAnsi="Arial"/>
          <w:sz w:val="24"/>
          <w:szCs w:val="24"/>
        </w:rPr>
      </w:pPr>
      <w:bookmarkStart w:id="0" w:name="_Toc215174591"/>
      <w:r w:rsidRPr="00117762">
        <w:rPr>
          <w:rFonts w:ascii="Arial" w:hAnsi="Arial"/>
          <w:sz w:val="24"/>
          <w:szCs w:val="24"/>
        </w:rPr>
        <w:lastRenderedPageBreak/>
        <w:t>1. Introduction</w:t>
      </w:r>
      <w:bookmarkEnd w:id="0"/>
      <w:r w:rsidRPr="00117762">
        <w:rPr>
          <w:rFonts w:ascii="Arial" w:hAnsi="Arial"/>
          <w:sz w:val="24"/>
          <w:szCs w:val="24"/>
        </w:rPr>
        <w:t xml:space="preserve"> </w:t>
      </w:r>
    </w:p>
    <w:p w14:paraId="3F8707F1" w14:textId="77777777" w:rsidR="00DE1A44" w:rsidRPr="00117762" w:rsidRDefault="00000000" w:rsidP="00117762">
      <w:pPr>
        <w:pStyle w:val="Heading2"/>
        <w:spacing w:before="240" w:after="240"/>
        <w:rPr>
          <w:rFonts w:ascii="Arial" w:hAnsi="Arial"/>
          <w:szCs w:val="24"/>
        </w:rPr>
      </w:pPr>
      <w:bookmarkStart w:id="1" w:name="_Toc215174592"/>
      <w:r w:rsidRPr="00117762">
        <w:rPr>
          <w:rFonts w:ascii="Arial" w:hAnsi="Arial"/>
          <w:szCs w:val="24"/>
        </w:rPr>
        <w:t>1.1 Importance of Strategic Management</w:t>
      </w:r>
      <w:bookmarkEnd w:id="1"/>
    </w:p>
    <w:p w14:paraId="3A48913A" w14:textId="77777777" w:rsidR="00DE1A44" w:rsidRPr="00117762" w:rsidRDefault="00000000" w:rsidP="00117762">
      <w:pPr>
        <w:spacing w:before="240" w:after="240"/>
        <w:rPr>
          <w:rFonts w:ascii="Arial" w:eastAsia="Times New Roman" w:hAnsi="Arial"/>
          <w:szCs w:val="24"/>
        </w:rPr>
      </w:pPr>
      <w:r w:rsidRPr="00117762">
        <w:rPr>
          <w:rFonts w:ascii="Arial" w:eastAsia="Times New Roman" w:hAnsi="Arial"/>
          <w:szCs w:val="24"/>
        </w:rPr>
        <w:t xml:space="preserve">Strategic management is essential to manage the dynamic environment of the UK automotive industry with the fast changes to electrification, digitalisation and sustainability transforming the competitive environment. A well-developed strategy helps companies to match internal advantages with external possibilities to generate value long-term by planning activities and being adaptable (Mintzberg </w:t>
      </w:r>
      <w:r w:rsidRPr="00117762">
        <w:rPr>
          <w:rFonts w:ascii="Arial" w:eastAsia="Times New Roman" w:hAnsi="Arial"/>
          <w:i/>
          <w:iCs/>
          <w:szCs w:val="24"/>
        </w:rPr>
        <w:t>et al.</w:t>
      </w:r>
      <w:r w:rsidRPr="00117762">
        <w:rPr>
          <w:rFonts w:ascii="Arial" w:eastAsia="Times New Roman" w:hAnsi="Arial"/>
          <w:szCs w:val="24"/>
        </w:rPr>
        <w:t xml:space="preserve"> 2022). Regulatory pressure and shifts in consumer expectations have made strategic orientation and innovation performance the key factors in determining an organisational success in the automotive industry (</w:t>
      </w:r>
      <w:proofErr w:type="spellStart"/>
      <w:r w:rsidRPr="00117762">
        <w:rPr>
          <w:rFonts w:ascii="Arial" w:eastAsia="Times New Roman" w:hAnsi="Arial"/>
          <w:szCs w:val="24"/>
        </w:rPr>
        <w:t>Adiguzel</w:t>
      </w:r>
      <w:proofErr w:type="spellEnd"/>
      <w:r w:rsidRPr="00117762">
        <w:rPr>
          <w:rFonts w:ascii="Arial" w:eastAsia="Times New Roman" w:hAnsi="Arial"/>
          <w:szCs w:val="24"/>
        </w:rPr>
        <w:t xml:space="preserve"> and Sonmez Cakir, 2022). Furthermore, digital transformation has become a strategic necessity which enables companies to redesign the value creation, increase customer experience and streamline production processes according to the global dynamics in the industry (Rêgo </w:t>
      </w:r>
      <w:r w:rsidRPr="00117762">
        <w:rPr>
          <w:rFonts w:ascii="Arial" w:eastAsia="Times New Roman" w:hAnsi="Arial"/>
          <w:i/>
          <w:iCs/>
          <w:szCs w:val="24"/>
        </w:rPr>
        <w:t>et al.</w:t>
      </w:r>
      <w:r w:rsidRPr="00117762">
        <w:rPr>
          <w:rFonts w:ascii="Arial" w:eastAsia="Times New Roman" w:hAnsi="Arial"/>
          <w:szCs w:val="24"/>
        </w:rPr>
        <w:t xml:space="preserve"> 2022). The concept of sustainability is also a key pillar of modern strategic management as it obliges organisations to incorporate the aspects of environmental and social concerns into the long-term plans (Kokol, 2023).</w:t>
      </w:r>
    </w:p>
    <w:p w14:paraId="0CF839DC" w14:textId="77777777" w:rsidR="00DE1A44" w:rsidRPr="00117762" w:rsidRDefault="00000000" w:rsidP="00117762">
      <w:pPr>
        <w:pStyle w:val="Heading2"/>
        <w:spacing w:before="240" w:after="240"/>
        <w:rPr>
          <w:rFonts w:ascii="Arial" w:hAnsi="Arial"/>
          <w:szCs w:val="24"/>
        </w:rPr>
      </w:pPr>
      <w:bookmarkStart w:id="2" w:name="_Toc215174593"/>
      <w:r w:rsidRPr="00117762">
        <w:rPr>
          <w:rFonts w:ascii="Arial" w:hAnsi="Arial"/>
          <w:szCs w:val="24"/>
        </w:rPr>
        <w:t>1.2 Company Background</w:t>
      </w:r>
      <w:bookmarkEnd w:id="2"/>
      <w:r w:rsidRPr="00117762">
        <w:rPr>
          <w:rFonts w:ascii="Arial" w:hAnsi="Arial"/>
          <w:szCs w:val="24"/>
        </w:rPr>
        <w:t xml:space="preserve"> </w:t>
      </w:r>
    </w:p>
    <w:p w14:paraId="29D073F5" w14:textId="7D3E759F" w:rsidR="00DE1A44" w:rsidRPr="00117762" w:rsidRDefault="00000000" w:rsidP="00117762">
      <w:pPr>
        <w:spacing w:before="240" w:after="240"/>
        <w:rPr>
          <w:rFonts w:ascii="Arial" w:eastAsia="Times New Roman" w:hAnsi="Arial"/>
          <w:szCs w:val="24"/>
        </w:rPr>
      </w:pPr>
      <w:r w:rsidRPr="00117762">
        <w:rPr>
          <w:rFonts w:ascii="Arial" w:eastAsia="Times New Roman" w:hAnsi="Arial"/>
          <w:szCs w:val="24"/>
        </w:rPr>
        <w:t xml:space="preserve">Morgan Motor Company is one of the most legendary coachbuilders in the world which was founded in 1909 and known for its handcrafted luxury sports cars that are based on the combination of traditional craftsmanship with modern architecture (Morgan-motor, 2025a). The company is currently owned by </w:t>
      </w:r>
      <w:r w:rsidR="00F11187" w:rsidRPr="00117762">
        <w:rPr>
          <w:rFonts w:ascii="Arial" w:eastAsia="Times New Roman" w:hAnsi="Arial"/>
          <w:szCs w:val="24"/>
        </w:rPr>
        <w:t>Invest industrial</w:t>
      </w:r>
      <w:r w:rsidRPr="00117762">
        <w:rPr>
          <w:rFonts w:ascii="Arial" w:eastAsia="Times New Roman" w:hAnsi="Arial"/>
          <w:szCs w:val="24"/>
        </w:rPr>
        <w:t xml:space="preserve"> and it is placed in a niche market of low-volume, high-heritage automotive production. A unique identity associated with its line of products including the Super 3 and Plus models are based on the philosophy of artisanal production and tailored customer experience (Morgan-motor, 2025b).</w:t>
      </w:r>
    </w:p>
    <w:p w14:paraId="3CFD38F9" w14:textId="77777777" w:rsidR="00DE1A44" w:rsidRPr="00117762" w:rsidRDefault="00000000" w:rsidP="00117762">
      <w:pPr>
        <w:pStyle w:val="Heading2"/>
        <w:spacing w:before="240" w:after="240"/>
        <w:rPr>
          <w:rFonts w:ascii="Arial" w:hAnsi="Arial"/>
          <w:szCs w:val="24"/>
        </w:rPr>
      </w:pPr>
      <w:bookmarkStart w:id="3" w:name="_Toc215174594"/>
      <w:r w:rsidRPr="00117762">
        <w:rPr>
          <w:rFonts w:ascii="Arial" w:hAnsi="Arial"/>
          <w:szCs w:val="24"/>
        </w:rPr>
        <w:t>1.3 Vision, Mission &amp; Strategic Objectives</w:t>
      </w:r>
      <w:bookmarkEnd w:id="3"/>
    </w:p>
    <w:p w14:paraId="597F806C" w14:textId="77777777" w:rsidR="00DE1A44" w:rsidRPr="00117762" w:rsidRDefault="00000000" w:rsidP="00117762">
      <w:pPr>
        <w:spacing w:before="240" w:after="240"/>
        <w:rPr>
          <w:rFonts w:ascii="Arial" w:eastAsia="Times New Roman" w:hAnsi="Arial"/>
          <w:szCs w:val="24"/>
        </w:rPr>
      </w:pPr>
      <w:r w:rsidRPr="00117762">
        <w:rPr>
          <w:rFonts w:ascii="Arial" w:eastAsia="Times New Roman" w:hAnsi="Arial"/>
          <w:szCs w:val="24"/>
        </w:rPr>
        <w:t xml:space="preserve">The vision and mission of Morgan lay stress on craftsmanship, innovation, sustainability and preservation of heritage which are oriented on strategic goals of modernising its </w:t>
      </w:r>
      <w:r w:rsidRPr="00117762">
        <w:rPr>
          <w:rFonts w:ascii="Arial" w:eastAsia="Times New Roman" w:hAnsi="Arial"/>
          <w:szCs w:val="24"/>
        </w:rPr>
        <w:lastRenderedPageBreak/>
        <w:t>production, continuing electrification and the creation of personalised mobility experiences (Morgan-motor, 2025b).</w:t>
      </w:r>
    </w:p>
    <w:p w14:paraId="0B6E9285" w14:textId="77777777" w:rsidR="00DE1A44" w:rsidRPr="00117762" w:rsidRDefault="00000000" w:rsidP="00117762">
      <w:pPr>
        <w:spacing w:before="240" w:after="240"/>
        <w:rPr>
          <w:rFonts w:ascii="Arial" w:eastAsia="Times New Roman" w:hAnsi="Arial"/>
          <w:szCs w:val="24"/>
        </w:rPr>
      </w:pPr>
      <w:r w:rsidRPr="00117762">
        <w:rPr>
          <w:rFonts w:ascii="Arial" w:eastAsia="Times New Roman" w:hAnsi="Arial"/>
          <w:szCs w:val="24"/>
        </w:rPr>
        <w:t>The purpose of this report is to examine the strategic position of Morgan Motor Company in the UK automotive industry and formulate some evidence-based strategic suggestions. The report will provide an analysis of the external business environment and internal business environment, strategic capabilities of the company as well as forward-looking strategies to grow sustainably.</w:t>
      </w:r>
    </w:p>
    <w:p w14:paraId="2BF79F48" w14:textId="77777777" w:rsidR="00DE1A44" w:rsidRPr="00117762" w:rsidRDefault="00000000" w:rsidP="00117762">
      <w:pPr>
        <w:pStyle w:val="Heading1"/>
        <w:spacing w:before="240" w:after="240"/>
        <w:rPr>
          <w:rFonts w:ascii="Arial" w:hAnsi="Arial"/>
          <w:sz w:val="24"/>
          <w:szCs w:val="24"/>
        </w:rPr>
      </w:pPr>
      <w:bookmarkStart w:id="4" w:name="_Toc215174595"/>
      <w:r w:rsidRPr="00117762">
        <w:rPr>
          <w:rFonts w:ascii="Arial" w:hAnsi="Arial"/>
          <w:sz w:val="24"/>
          <w:szCs w:val="24"/>
        </w:rPr>
        <w:t>2. Strategy Analysis</w:t>
      </w:r>
      <w:bookmarkEnd w:id="4"/>
    </w:p>
    <w:p w14:paraId="55A65204" w14:textId="77777777" w:rsidR="00DE1A44" w:rsidRPr="00117762" w:rsidRDefault="00000000" w:rsidP="00117762">
      <w:pPr>
        <w:pStyle w:val="Heading2"/>
        <w:spacing w:before="240" w:after="240"/>
        <w:rPr>
          <w:rFonts w:ascii="Arial" w:hAnsi="Arial"/>
          <w:szCs w:val="24"/>
        </w:rPr>
      </w:pPr>
      <w:bookmarkStart w:id="5" w:name="_Toc215174596"/>
      <w:r w:rsidRPr="00117762">
        <w:rPr>
          <w:rFonts w:ascii="Arial" w:hAnsi="Arial"/>
          <w:szCs w:val="24"/>
        </w:rPr>
        <w:t>2.1 External Environment Audit</w:t>
      </w:r>
      <w:bookmarkEnd w:id="5"/>
    </w:p>
    <w:p w14:paraId="68A53A85" w14:textId="77777777" w:rsidR="00DE1A44" w:rsidRPr="00117762" w:rsidRDefault="00000000" w:rsidP="00117762">
      <w:pPr>
        <w:pStyle w:val="Heading3"/>
        <w:spacing w:before="240" w:after="240"/>
        <w:rPr>
          <w:rFonts w:ascii="Arial" w:hAnsi="Arial"/>
          <w:szCs w:val="24"/>
        </w:rPr>
      </w:pPr>
      <w:bookmarkStart w:id="6" w:name="_Toc215174597"/>
      <w:r w:rsidRPr="00117762">
        <w:rPr>
          <w:rFonts w:ascii="Arial" w:hAnsi="Arial"/>
          <w:szCs w:val="24"/>
        </w:rPr>
        <w:t>2.1.1 PESTLE</w:t>
      </w:r>
      <w:bookmarkEnd w:id="6"/>
    </w:p>
    <w:tbl>
      <w:tblPr>
        <w:tblStyle w:val="a"/>
        <w:tblW w:w="8695" w:type="dxa"/>
        <w:tblInd w:w="0" w:type="dxa"/>
        <w:tblLayout w:type="fixed"/>
        <w:tblLook w:val="0600" w:firstRow="0" w:lastRow="0" w:firstColumn="0" w:lastColumn="0" w:noHBand="1" w:noVBand="1"/>
      </w:tblPr>
      <w:tblGrid>
        <w:gridCol w:w="1655"/>
        <w:gridCol w:w="7040"/>
      </w:tblGrid>
      <w:tr w:rsidR="00DE1A44" w:rsidRPr="00117762" w14:paraId="08136E91" w14:textId="77777777">
        <w:trPr>
          <w:trHeight w:val="515"/>
        </w:trPr>
        <w:tc>
          <w:tcPr>
            <w:tcW w:w="16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5C2DCB4" w14:textId="77777777" w:rsidR="00DE1A44" w:rsidRPr="00117762" w:rsidRDefault="00000000" w:rsidP="00117762">
            <w:pPr>
              <w:spacing w:before="240" w:after="240"/>
              <w:rPr>
                <w:rFonts w:ascii="Arial" w:eastAsia="Times New Roman" w:hAnsi="Arial"/>
                <w:szCs w:val="24"/>
              </w:rPr>
            </w:pPr>
            <w:r w:rsidRPr="00117762">
              <w:rPr>
                <w:rFonts w:ascii="Arial" w:eastAsia="Times New Roman" w:hAnsi="Arial"/>
                <w:b/>
                <w:bCs/>
                <w:szCs w:val="24"/>
              </w:rPr>
              <w:t>Factor</w:t>
            </w:r>
          </w:p>
        </w:tc>
        <w:tc>
          <w:tcPr>
            <w:tcW w:w="70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F99BDCE" w14:textId="77777777" w:rsidR="00DE1A44" w:rsidRPr="00117762" w:rsidRDefault="00000000" w:rsidP="00117762">
            <w:pPr>
              <w:spacing w:before="240" w:after="240"/>
              <w:rPr>
                <w:rFonts w:ascii="Arial" w:eastAsia="Times New Roman" w:hAnsi="Arial"/>
                <w:szCs w:val="24"/>
              </w:rPr>
            </w:pPr>
            <w:r w:rsidRPr="00117762">
              <w:rPr>
                <w:rFonts w:ascii="Arial" w:eastAsia="Times New Roman" w:hAnsi="Arial"/>
                <w:b/>
                <w:bCs/>
                <w:szCs w:val="24"/>
              </w:rPr>
              <w:t>Key Points</w:t>
            </w:r>
          </w:p>
        </w:tc>
      </w:tr>
      <w:tr w:rsidR="00DE1A44" w:rsidRPr="00117762" w14:paraId="77BA2EED" w14:textId="77777777">
        <w:trPr>
          <w:trHeight w:val="515"/>
        </w:trPr>
        <w:tc>
          <w:tcPr>
            <w:tcW w:w="16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C856546" w14:textId="77777777" w:rsidR="00DE1A44" w:rsidRPr="00117762" w:rsidRDefault="00000000" w:rsidP="00117762">
            <w:pPr>
              <w:spacing w:before="240" w:after="240"/>
              <w:rPr>
                <w:rFonts w:ascii="Arial" w:eastAsia="Times New Roman" w:hAnsi="Arial"/>
                <w:szCs w:val="24"/>
              </w:rPr>
            </w:pPr>
            <w:r w:rsidRPr="00117762">
              <w:rPr>
                <w:rFonts w:ascii="Arial" w:eastAsia="Times New Roman" w:hAnsi="Arial"/>
                <w:szCs w:val="24"/>
              </w:rPr>
              <w:t>Political</w:t>
            </w:r>
          </w:p>
        </w:tc>
        <w:tc>
          <w:tcPr>
            <w:tcW w:w="70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48B1BE6" w14:textId="77777777" w:rsidR="00DE1A44" w:rsidRPr="00117762" w:rsidRDefault="00000000" w:rsidP="00117762">
            <w:pPr>
              <w:spacing w:before="240" w:after="240"/>
              <w:rPr>
                <w:rFonts w:ascii="Arial" w:eastAsia="Times New Roman" w:hAnsi="Arial"/>
                <w:szCs w:val="24"/>
              </w:rPr>
            </w:pPr>
            <w:r w:rsidRPr="00117762">
              <w:rPr>
                <w:rFonts w:ascii="Arial" w:eastAsia="Times New Roman" w:hAnsi="Arial"/>
                <w:szCs w:val="24"/>
              </w:rPr>
              <w:t>Brexit trade friction, weak EV incentives (CLEPA, 2025; White, 2025)</w:t>
            </w:r>
          </w:p>
        </w:tc>
      </w:tr>
      <w:tr w:rsidR="00DE1A44" w:rsidRPr="00117762" w14:paraId="05328CEA" w14:textId="77777777">
        <w:trPr>
          <w:trHeight w:val="515"/>
        </w:trPr>
        <w:tc>
          <w:tcPr>
            <w:tcW w:w="16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CA73B46" w14:textId="77777777" w:rsidR="00DE1A44" w:rsidRPr="00117762" w:rsidRDefault="00000000" w:rsidP="00117762">
            <w:pPr>
              <w:spacing w:before="240" w:after="240"/>
              <w:rPr>
                <w:rFonts w:ascii="Arial" w:eastAsia="Times New Roman" w:hAnsi="Arial"/>
                <w:szCs w:val="24"/>
              </w:rPr>
            </w:pPr>
            <w:r w:rsidRPr="00117762">
              <w:rPr>
                <w:rFonts w:ascii="Arial" w:eastAsia="Times New Roman" w:hAnsi="Arial"/>
                <w:szCs w:val="24"/>
              </w:rPr>
              <w:t>Economic</w:t>
            </w:r>
          </w:p>
        </w:tc>
        <w:tc>
          <w:tcPr>
            <w:tcW w:w="70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699CBF6" w14:textId="77777777" w:rsidR="00DE1A44" w:rsidRPr="00117762" w:rsidRDefault="00000000" w:rsidP="00117762">
            <w:pPr>
              <w:spacing w:before="240" w:after="240"/>
              <w:rPr>
                <w:rFonts w:ascii="Arial" w:eastAsia="Times New Roman" w:hAnsi="Arial"/>
                <w:szCs w:val="24"/>
              </w:rPr>
            </w:pPr>
            <w:r w:rsidRPr="00117762">
              <w:rPr>
                <w:rFonts w:ascii="Arial" w:eastAsia="Times New Roman" w:hAnsi="Arial"/>
                <w:szCs w:val="24"/>
              </w:rPr>
              <w:t>Inflation, supply chain stress, stable luxury demand (Deloitte, 2025)</w:t>
            </w:r>
          </w:p>
        </w:tc>
      </w:tr>
      <w:tr w:rsidR="00DE1A44" w:rsidRPr="00117762" w14:paraId="0A11B402" w14:textId="77777777">
        <w:trPr>
          <w:trHeight w:val="515"/>
        </w:trPr>
        <w:tc>
          <w:tcPr>
            <w:tcW w:w="16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5499E3" w14:textId="77777777" w:rsidR="00DE1A44" w:rsidRPr="00117762" w:rsidRDefault="00000000" w:rsidP="00117762">
            <w:pPr>
              <w:spacing w:before="240" w:after="240"/>
              <w:rPr>
                <w:rFonts w:ascii="Arial" w:eastAsia="Times New Roman" w:hAnsi="Arial"/>
                <w:szCs w:val="24"/>
              </w:rPr>
            </w:pPr>
            <w:r w:rsidRPr="00117762">
              <w:rPr>
                <w:rFonts w:ascii="Arial" w:eastAsia="Times New Roman" w:hAnsi="Arial"/>
                <w:szCs w:val="24"/>
              </w:rPr>
              <w:t>Social</w:t>
            </w:r>
          </w:p>
        </w:tc>
        <w:tc>
          <w:tcPr>
            <w:tcW w:w="70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BA09219" w14:textId="77777777" w:rsidR="00DE1A44" w:rsidRPr="00117762" w:rsidRDefault="00000000" w:rsidP="00117762">
            <w:pPr>
              <w:spacing w:before="240" w:after="240"/>
              <w:rPr>
                <w:rFonts w:ascii="Arial" w:eastAsia="Times New Roman" w:hAnsi="Arial"/>
                <w:szCs w:val="24"/>
              </w:rPr>
            </w:pPr>
            <w:r w:rsidRPr="00117762">
              <w:rPr>
                <w:rFonts w:ascii="Arial" w:eastAsia="Times New Roman" w:hAnsi="Arial"/>
                <w:szCs w:val="24"/>
              </w:rPr>
              <w:t>Demand for sustainable, experience-driven luxury (ACEA, 2025)</w:t>
            </w:r>
          </w:p>
        </w:tc>
      </w:tr>
      <w:tr w:rsidR="00DE1A44" w:rsidRPr="00117762" w14:paraId="068FA256" w14:textId="77777777">
        <w:trPr>
          <w:trHeight w:val="515"/>
        </w:trPr>
        <w:tc>
          <w:tcPr>
            <w:tcW w:w="16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4336BFE" w14:textId="77777777" w:rsidR="00DE1A44" w:rsidRPr="00117762" w:rsidRDefault="00000000" w:rsidP="00117762">
            <w:pPr>
              <w:spacing w:before="240" w:after="240"/>
              <w:rPr>
                <w:rFonts w:ascii="Arial" w:eastAsia="Times New Roman" w:hAnsi="Arial"/>
                <w:szCs w:val="24"/>
              </w:rPr>
            </w:pPr>
            <w:r w:rsidRPr="00117762">
              <w:rPr>
                <w:rFonts w:ascii="Arial" w:eastAsia="Times New Roman" w:hAnsi="Arial"/>
                <w:szCs w:val="24"/>
              </w:rPr>
              <w:t>Technological</w:t>
            </w:r>
          </w:p>
        </w:tc>
        <w:tc>
          <w:tcPr>
            <w:tcW w:w="70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3C2E31D" w14:textId="77777777" w:rsidR="00DE1A44" w:rsidRPr="00117762" w:rsidRDefault="00000000" w:rsidP="00117762">
            <w:pPr>
              <w:spacing w:before="240" w:after="240"/>
              <w:rPr>
                <w:rFonts w:ascii="Arial" w:eastAsia="Times New Roman" w:hAnsi="Arial"/>
                <w:szCs w:val="24"/>
              </w:rPr>
            </w:pPr>
            <w:r w:rsidRPr="00117762">
              <w:rPr>
                <w:rFonts w:ascii="Arial" w:eastAsia="Times New Roman" w:hAnsi="Arial"/>
                <w:szCs w:val="24"/>
              </w:rPr>
              <w:t>EV tech, lightweighting, digitalisation challenges (Czerwinski, 2021)</w:t>
            </w:r>
          </w:p>
        </w:tc>
      </w:tr>
      <w:tr w:rsidR="00DE1A44" w:rsidRPr="00117762" w14:paraId="1769176B" w14:textId="77777777">
        <w:trPr>
          <w:trHeight w:val="515"/>
        </w:trPr>
        <w:tc>
          <w:tcPr>
            <w:tcW w:w="16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F5365B4" w14:textId="77777777" w:rsidR="00DE1A44" w:rsidRPr="00117762" w:rsidRDefault="00000000" w:rsidP="00117762">
            <w:pPr>
              <w:spacing w:before="240" w:after="240"/>
              <w:rPr>
                <w:rFonts w:ascii="Arial" w:eastAsia="Times New Roman" w:hAnsi="Arial"/>
                <w:szCs w:val="24"/>
              </w:rPr>
            </w:pPr>
            <w:r w:rsidRPr="00117762">
              <w:rPr>
                <w:rFonts w:ascii="Arial" w:eastAsia="Times New Roman" w:hAnsi="Arial"/>
                <w:szCs w:val="24"/>
              </w:rPr>
              <w:lastRenderedPageBreak/>
              <w:t>Legal</w:t>
            </w:r>
          </w:p>
        </w:tc>
        <w:tc>
          <w:tcPr>
            <w:tcW w:w="70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D718787" w14:textId="77777777" w:rsidR="00DE1A44" w:rsidRPr="00117762" w:rsidRDefault="00000000" w:rsidP="00117762">
            <w:pPr>
              <w:spacing w:before="240" w:after="240"/>
              <w:rPr>
                <w:rFonts w:ascii="Arial" w:eastAsia="Times New Roman" w:hAnsi="Arial"/>
                <w:szCs w:val="24"/>
              </w:rPr>
            </w:pPr>
            <w:r w:rsidRPr="00117762">
              <w:rPr>
                <w:rFonts w:ascii="Arial" w:eastAsia="Times New Roman" w:hAnsi="Arial"/>
                <w:szCs w:val="24"/>
              </w:rPr>
              <w:t>Emission rules, UK-EU divergence (CLEPA, 2025)</w:t>
            </w:r>
          </w:p>
        </w:tc>
      </w:tr>
      <w:tr w:rsidR="00DE1A44" w:rsidRPr="00117762" w14:paraId="56BA041A" w14:textId="77777777">
        <w:trPr>
          <w:trHeight w:val="515"/>
        </w:trPr>
        <w:tc>
          <w:tcPr>
            <w:tcW w:w="16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5B42163" w14:textId="77777777" w:rsidR="00DE1A44" w:rsidRPr="00117762" w:rsidRDefault="00000000" w:rsidP="00117762">
            <w:pPr>
              <w:spacing w:before="240" w:after="240"/>
              <w:rPr>
                <w:rFonts w:ascii="Arial" w:eastAsia="Times New Roman" w:hAnsi="Arial"/>
                <w:szCs w:val="24"/>
              </w:rPr>
            </w:pPr>
            <w:r w:rsidRPr="00117762">
              <w:rPr>
                <w:rFonts w:ascii="Arial" w:eastAsia="Times New Roman" w:hAnsi="Arial"/>
                <w:szCs w:val="24"/>
              </w:rPr>
              <w:t>Environmental</w:t>
            </w:r>
          </w:p>
        </w:tc>
        <w:tc>
          <w:tcPr>
            <w:tcW w:w="70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71B1AC" w14:textId="77777777" w:rsidR="00DE1A44" w:rsidRPr="00117762" w:rsidRDefault="00000000" w:rsidP="00117762">
            <w:pPr>
              <w:spacing w:before="240" w:after="240"/>
              <w:rPr>
                <w:rFonts w:ascii="Arial" w:eastAsia="Times New Roman" w:hAnsi="Arial"/>
                <w:szCs w:val="24"/>
              </w:rPr>
            </w:pPr>
            <w:r w:rsidRPr="00117762">
              <w:rPr>
                <w:rFonts w:ascii="Arial" w:eastAsia="Times New Roman" w:hAnsi="Arial"/>
                <w:szCs w:val="24"/>
              </w:rPr>
              <w:t>Net-zero pressures, sustainable materials (Theimi, 2024)</w:t>
            </w:r>
          </w:p>
        </w:tc>
      </w:tr>
    </w:tbl>
    <w:p w14:paraId="393C3383" w14:textId="77777777" w:rsidR="00DE1A44" w:rsidRPr="00117762" w:rsidRDefault="00000000" w:rsidP="006A6CBC">
      <w:pPr>
        <w:spacing w:before="240" w:after="240"/>
        <w:jc w:val="center"/>
        <w:rPr>
          <w:rFonts w:ascii="Arial" w:eastAsia="Times New Roman" w:hAnsi="Arial"/>
          <w:b/>
          <w:bCs/>
          <w:szCs w:val="24"/>
        </w:rPr>
      </w:pPr>
      <w:r w:rsidRPr="00117762">
        <w:rPr>
          <w:rFonts w:ascii="Arial" w:eastAsia="Times New Roman" w:hAnsi="Arial"/>
          <w:b/>
          <w:bCs/>
          <w:szCs w:val="24"/>
        </w:rPr>
        <w:t>Table 1: PESTLE analysis of the UK Automotive sector</w:t>
      </w:r>
    </w:p>
    <w:p w14:paraId="5590E8CD" w14:textId="77777777" w:rsidR="00DE1A44" w:rsidRPr="00117762" w:rsidRDefault="00000000" w:rsidP="006A6CBC">
      <w:pPr>
        <w:spacing w:before="240" w:after="240"/>
        <w:jc w:val="center"/>
        <w:rPr>
          <w:rFonts w:ascii="Arial" w:eastAsia="Times New Roman" w:hAnsi="Arial"/>
          <w:szCs w:val="24"/>
        </w:rPr>
      </w:pPr>
      <w:r w:rsidRPr="00117762">
        <w:rPr>
          <w:rFonts w:ascii="Arial" w:eastAsia="Times New Roman" w:hAnsi="Arial"/>
          <w:szCs w:val="24"/>
        </w:rPr>
        <w:t>(Source: Self-developed)</w:t>
      </w:r>
    </w:p>
    <w:p w14:paraId="333FF3DD" w14:textId="77777777" w:rsidR="00DE1A44" w:rsidRPr="00117762" w:rsidRDefault="00000000" w:rsidP="00117762">
      <w:pPr>
        <w:spacing w:before="240" w:after="240"/>
        <w:rPr>
          <w:rFonts w:ascii="Arial" w:eastAsia="Times New Roman" w:hAnsi="Arial"/>
          <w:szCs w:val="24"/>
        </w:rPr>
      </w:pPr>
      <w:r w:rsidRPr="00117762">
        <w:rPr>
          <w:rFonts w:ascii="Arial" w:eastAsia="Times New Roman" w:hAnsi="Arial"/>
          <w:szCs w:val="24"/>
        </w:rPr>
        <w:t xml:space="preserve">Post-Brexit regulatory uncertainties and trade frictions are influencing the political context of the UK automotive industry which affects component sourcing and cross-border logistical processes (CLEPA, 2025) [Table 1]. Subsidies on EVs and uneven policies in the industrial sector also constitute a burden on the confidence of investments with regard to niche manufacturing such as Morgan Motor Company (White, 2025). On the economic front, the industry is experiencing inflationary forces, supply chain instability and increased production expenses though the growth in demand is expected to recover gradually as the market returns to normal (Deloitte, 2025; Kelly, 2025) [refers to figure 1]. The impact of such economic circumstances on a luxury brand such as Morgan is increased cost-management difficulties as well as consumer spending in the premium segment. </w:t>
      </w:r>
    </w:p>
    <w:p w14:paraId="377B34A3" w14:textId="77777777" w:rsidR="00DE1A44" w:rsidRPr="00117762" w:rsidRDefault="00000000" w:rsidP="00117762">
      <w:pPr>
        <w:spacing w:before="240" w:after="240"/>
        <w:rPr>
          <w:rFonts w:ascii="Arial" w:eastAsia="Times New Roman" w:hAnsi="Arial"/>
          <w:szCs w:val="24"/>
        </w:rPr>
      </w:pPr>
      <w:r w:rsidRPr="00117762">
        <w:rPr>
          <w:rFonts w:ascii="Arial" w:eastAsia="Times New Roman" w:hAnsi="Arial"/>
          <w:noProof/>
          <w:szCs w:val="24"/>
        </w:rPr>
        <w:lastRenderedPageBreak/>
        <w:drawing>
          <wp:inline distT="114300" distB="114300" distL="114300" distR="114300" wp14:anchorId="7AE6D12C" wp14:editId="03F38245">
            <wp:extent cx="5805224" cy="4195763"/>
            <wp:effectExtent l="12700" t="12700" r="12700" b="1270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805224" cy="4195763"/>
                    </a:xfrm>
                    <a:prstGeom prst="rect">
                      <a:avLst/>
                    </a:prstGeom>
                    <a:ln w="12700">
                      <a:solidFill>
                        <a:srgbClr val="000000"/>
                      </a:solidFill>
                      <a:prstDash val="solid"/>
                    </a:ln>
                  </pic:spPr>
                </pic:pic>
              </a:graphicData>
            </a:graphic>
          </wp:inline>
        </w:drawing>
      </w:r>
    </w:p>
    <w:p w14:paraId="0C9F1268" w14:textId="25E3A0AF" w:rsidR="00DE1A44" w:rsidRPr="00117762" w:rsidRDefault="00000000" w:rsidP="006A6CBC">
      <w:pPr>
        <w:spacing w:before="240" w:after="240"/>
        <w:jc w:val="center"/>
        <w:rPr>
          <w:rFonts w:ascii="Arial" w:eastAsia="Times New Roman" w:hAnsi="Arial"/>
          <w:b/>
          <w:bCs/>
          <w:szCs w:val="24"/>
        </w:rPr>
      </w:pPr>
      <w:r w:rsidRPr="00117762">
        <w:rPr>
          <w:rFonts w:ascii="Arial" w:eastAsia="Times New Roman" w:hAnsi="Arial"/>
          <w:b/>
          <w:bCs/>
          <w:szCs w:val="24"/>
        </w:rPr>
        <w:t>Figure 1: The growth of car registration in the automotive sector in the UK</w:t>
      </w:r>
    </w:p>
    <w:p w14:paraId="4D91D44E" w14:textId="77777777" w:rsidR="00DE1A44" w:rsidRPr="00117762" w:rsidRDefault="00000000" w:rsidP="006A6CBC">
      <w:pPr>
        <w:spacing w:before="240" w:after="240"/>
        <w:jc w:val="center"/>
        <w:rPr>
          <w:rFonts w:ascii="Arial" w:eastAsia="Times New Roman" w:hAnsi="Arial"/>
          <w:szCs w:val="24"/>
        </w:rPr>
      </w:pPr>
      <w:r w:rsidRPr="00117762">
        <w:rPr>
          <w:rFonts w:ascii="Arial" w:eastAsia="Times New Roman" w:hAnsi="Arial"/>
          <w:szCs w:val="24"/>
        </w:rPr>
        <w:t>(Source: Deloitte, 2025)</w:t>
      </w:r>
    </w:p>
    <w:p w14:paraId="6E8A9AD6" w14:textId="77777777" w:rsidR="00DE1A44" w:rsidRPr="00117762" w:rsidRDefault="00000000" w:rsidP="00117762">
      <w:pPr>
        <w:spacing w:before="240" w:after="240"/>
        <w:rPr>
          <w:rFonts w:ascii="Arial" w:eastAsia="Times New Roman" w:hAnsi="Arial"/>
          <w:szCs w:val="24"/>
        </w:rPr>
      </w:pPr>
      <w:r w:rsidRPr="00117762">
        <w:rPr>
          <w:rFonts w:ascii="Arial" w:eastAsia="Times New Roman" w:hAnsi="Arial"/>
          <w:szCs w:val="24"/>
        </w:rPr>
        <w:t xml:space="preserve">Social trends highlight growing consumer demand for sustainable luxury mobility and experience-driven brands which present an opportunity aligned with Morgan’s craftsmanship identity (ACEA, 2025). Technological forces are also very disruptive as the fast development of EV powertrains, digitalisation, lightweight materials and AI-based production demand serious improvements of abilities (Czerwinski, 2021). This gives Morgan a strategic challenge owing to its low-automation production model that is artisanal. A legal effect is due to the rigorous regulations on emissions and inconsistency between the UK and EU regulations on compliance after Brexit which makes it more difficult to export cars (CLEPA, 2025). The environmental forces such as the pledge of net-zero policy and lifecycle emission demand the use of sustainable materials and greener production processes (Theimi, 2024). </w:t>
      </w:r>
    </w:p>
    <w:p w14:paraId="5662F02A" w14:textId="77777777" w:rsidR="00DE1A44" w:rsidRPr="00117762" w:rsidRDefault="00000000" w:rsidP="00117762">
      <w:pPr>
        <w:pStyle w:val="Heading3"/>
        <w:spacing w:before="240" w:after="240"/>
        <w:rPr>
          <w:rFonts w:ascii="Arial" w:hAnsi="Arial"/>
          <w:szCs w:val="24"/>
        </w:rPr>
      </w:pPr>
      <w:bookmarkStart w:id="7" w:name="_Toc215174598"/>
      <w:r w:rsidRPr="00117762">
        <w:rPr>
          <w:rFonts w:ascii="Arial" w:hAnsi="Arial"/>
          <w:szCs w:val="24"/>
        </w:rPr>
        <w:lastRenderedPageBreak/>
        <w:t>2.1.2 Porter’s Five Forces</w:t>
      </w:r>
      <w:bookmarkEnd w:id="7"/>
      <w:r w:rsidRPr="00117762">
        <w:rPr>
          <w:rFonts w:ascii="Arial" w:hAnsi="Arial"/>
          <w:szCs w:val="24"/>
        </w:rPr>
        <w:t xml:space="preserve"> </w:t>
      </w:r>
    </w:p>
    <w:tbl>
      <w:tblPr>
        <w:tblStyle w:val="a0"/>
        <w:tblW w:w="9360" w:type="dxa"/>
        <w:tblInd w:w="0" w:type="dxa"/>
        <w:tblLayout w:type="fixed"/>
        <w:tblLook w:val="0600" w:firstRow="0" w:lastRow="0" w:firstColumn="0" w:lastColumn="0" w:noHBand="1" w:noVBand="1"/>
      </w:tblPr>
      <w:tblGrid>
        <w:gridCol w:w="1406"/>
        <w:gridCol w:w="1406"/>
        <w:gridCol w:w="6548"/>
      </w:tblGrid>
      <w:tr w:rsidR="00DE1A44" w:rsidRPr="00117762" w14:paraId="526F1C0E" w14:textId="77777777">
        <w:trPr>
          <w:trHeight w:val="515"/>
        </w:trPr>
        <w:tc>
          <w:tcPr>
            <w:tcW w:w="14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CA44ECE" w14:textId="77777777" w:rsidR="00DE1A44" w:rsidRPr="00117762" w:rsidRDefault="00000000" w:rsidP="00117762">
            <w:pPr>
              <w:spacing w:before="240" w:after="240"/>
              <w:rPr>
                <w:rFonts w:ascii="Arial" w:eastAsia="Times New Roman" w:hAnsi="Arial"/>
                <w:szCs w:val="24"/>
              </w:rPr>
            </w:pPr>
            <w:r w:rsidRPr="00117762">
              <w:rPr>
                <w:rFonts w:ascii="Arial" w:eastAsia="Times New Roman" w:hAnsi="Arial"/>
                <w:b/>
                <w:bCs/>
                <w:szCs w:val="24"/>
              </w:rPr>
              <w:t>Force</w:t>
            </w:r>
          </w:p>
        </w:tc>
        <w:tc>
          <w:tcPr>
            <w:tcW w:w="14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66FFC9E" w14:textId="77777777" w:rsidR="00DE1A44" w:rsidRPr="00117762" w:rsidRDefault="00000000" w:rsidP="00117762">
            <w:pPr>
              <w:spacing w:before="240" w:after="240"/>
              <w:rPr>
                <w:rFonts w:ascii="Arial" w:eastAsia="Times New Roman" w:hAnsi="Arial"/>
                <w:b/>
                <w:bCs/>
                <w:szCs w:val="24"/>
              </w:rPr>
            </w:pPr>
            <w:r w:rsidRPr="00117762">
              <w:rPr>
                <w:rFonts w:ascii="Arial" w:eastAsia="Times New Roman" w:hAnsi="Arial"/>
                <w:b/>
                <w:bCs/>
                <w:szCs w:val="24"/>
              </w:rPr>
              <w:t>Impact</w:t>
            </w:r>
          </w:p>
        </w:tc>
        <w:tc>
          <w:tcPr>
            <w:tcW w:w="654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13B13B1" w14:textId="77777777" w:rsidR="00DE1A44" w:rsidRPr="00117762" w:rsidRDefault="00000000" w:rsidP="00117762">
            <w:pPr>
              <w:spacing w:before="240" w:after="240"/>
              <w:rPr>
                <w:rFonts w:ascii="Arial" w:eastAsia="Times New Roman" w:hAnsi="Arial"/>
                <w:szCs w:val="24"/>
              </w:rPr>
            </w:pPr>
            <w:r w:rsidRPr="00117762">
              <w:rPr>
                <w:rFonts w:ascii="Arial" w:eastAsia="Times New Roman" w:hAnsi="Arial"/>
                <w:b/>
                <w:bCs/>
                <w:szCs w:val="24"/>
              </w:rPr>
              <w:t>Summary</w:t>
            </w:r>
          </w:p>
        </w:tc>
      </w:tr>
      <w:tr w:rsidR="00DE1A44" w:rsidRPr="00117762" w14:paraId="0E1E6B31" w14:textId="77777777">
        <w:trPr>
          <w:trHeight w:val="800"/>
        </w:trPr>
        <w:tc>
          <w:tcPr>
            <w:tcW w:w="14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B942C1E" w14:textId="77777777" w:rsidR="00DE1A44" w:rsidRPr="00117762" w:rsidRDefault="00000000" w:rsidP="00117762">
            <w:pPr>
              <w:spacing w:before="240" w:after="240"/>
              <w:rPr>
                <w:rFonts w:ascii="Arial" w:eastAsia="Times New Roman" w:hAnsi="Arial"/>
                <w:szCs w:val="24"/>
              </w:rPr>
            </w:pPr>
            <w:r w:rsidRPr="00117762">
              <w:rPr>
                <w:rFonts w:ascii="Arial" w:eastAsia="Times New Roman" w:hAnsi="Arial"/>
                <w:szCs w:val="24"/>
              </w:rPr>
              <w:t>New Entrants</w:t>
            </w:r>
          </w:p>
        </w:tc>
        <w:tc>
          <w:tcPr>
            <w:tcW w:w="14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E6D3079" w14:textId="77777777" w:rsidR="00DE1A44" w:rsidRPr="00117762" w:rsidRDefault="00000000" w:rsidP="00117762">
            <w:pPr>
              <w:spacing w:before="240" w:after="240"/>
              <w:rPr>
                <w:rFonts w:ascii="Arial" w:eastAsia="Times New Roman" w:hAnsi="Arial"/>
                <w:szCs w:val="24"/>
              </w:rPr>
            </w:pPr>
            <w:r w:rsidRPr="00117762">
              <w:rPr>
                <w:rFonts w:ascii="Arial" w:eastAsia="Times New Roman" w:hAnsi="Arial"/>
                <w:szCs w:val="24"/>
              </w:rPr>
              <w:t>Moderate</w:t>
            </w:r>
          </w:p>
        </w:tc>
        <w:tc>
          <w:tcPr>
            <w:tcW w:w="654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DE966ED" w14:textId="77777777" w:rsidR="00DE1A44" w:rsidRPr="00117762" w:rsidRDefault="00000000" w:rsidP="00117762">
            <w:pPr>
              <w:spacing w:before="240" w:after="240"/>
              <w:rPr>
                <w:rFonts w:ascii="Arial" w:eastAsia="Times New Roman" w:hAnsi="Arial"/>
                <w:szCs w:val="24"/>
              </w:rPr>
            </w:pPr>
            <w:r w:rsidRPr="00117762">
              <w:rPr>
                <w:rFonts w:ascii="Arial" w:eastAsia="Times New Roman" w:hAnsi="Arial"/>
                <w:szCs w:val="24"/>
              </w:rPr>
              <w:t>EV startups increase pressure despite heritage barriers (Wang, 2022).</w:t>
            </w:r>
          </w:p>
        </w:tc>
      </w:tr>
      <w:tr w:rsidR="00DE1A44" w:rsidRPr="00117762" w14:paraId="184F93F3" w14:textId="77777777">
        <w:trPr>
          <w:trHeight w:val="800"/>
        </w:trPr>
        <w:tc>
          <w:tcPr>
            <w:tcW w:w="14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002E927" w14:textId="77777777" w:rsidR="00DE1A44" w:rsidRPr="00117762" w:rsidRDefault="00000000" w:rsidP="00117762">
            <w:pPr>
              <w:spacing w:before="240" w:after="240"/>
              <w:rPr>
                <w:rFonts w:ascii="Arial" w:eastAsia="Times New Roman" w:hAnsi="Arial"/>
                <w:szCs w:val="24"/>
              </w:rPr>
            </w:pPr>
            <w:r w:rsidRPr="00117762">
              <w:rPr>
                <w:rFonts w:ascii="Arial" w:eastAsia="Times New Roman" w:hAnsi="Arial"/>
                <w:szCs w:val="24"/>
              </w:rPr>
              <w:t>Supplier Power</w:t>
            </w:r>
          </w:p>
        </w:tc>
        <w:tc>
          <w:tcPr>
            <w:tcW w:w="14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AB75968" w14:textId="77777777" w:rsidR="00DE1A44" w:rsidRPr="00117762" w:rsidRDefault="00000000" w:rsidP="00117762">
            <w:pPr>
              <w:spacing w:before="240" w:after="240"/>
              <w:rPr>
                <w:rFonts w:ascii="Arial" w:eastAsia="Times New Roman" w:hAnsi="Arial"/>
                <w:szCs w:val="24"/>
              </w:rPr>
            </w:pPr>
            <w:r w:rsidRPr="00117762">
              <w:rPr>
                <w:rFonts w:ascii="Arial" w:eastAsia="Times New Roman" w:hAnsi="Arial"/>
                <w:szCs w:val="24"/>
              </w:rPr>
              <w:t xml:space="preserve">High </w:t>
            </w:r>
          </w:p>
        </w:tc>
        <w:tc>
          <w:tcPr>
            <w:tcW w:w="654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6EDB542" w14:textId="77777777" w:rsidR="00DE1A44" w:rsidRPr="00117762" w:rsidRDefault="00000000" w:rsidP="00117762">
            <w:pPr>
              <w:spacing w:before="240" w:after="240"/>
              <w:rPr>
                <w:rFonts w:ascii="Arial" w:eastAsia="Times New Roman" w:hAnsi="Arial"/>
                <w:szCs w:val="24"/>
              </w:rPr>
            </w:pPr>
            <w:r w:rsidRPr="00117762">
              <w:rPr>
                <w:rFonts w:ascii="Arial" w:eastAsia="Times New Roman" w:hAnsi="Arial"/>
                <w:szCs w:val="24"/>
              </w:rPr>
              <w:t>Due to bespoke materials and low volumes (Francis, 2025).</w:t>
            </w:r>
          </w:p>
        </w:tc>
      </w:tr>
      <w:tr w:rsidR="00DE1A44" w:rsidRPr="00117762" w14:paraId="205A7C97" w14:textId="77777777">
        <w:trPr>
          <w:trHeight w:val="800"/>
        </w:trPr>
        <w:tc>
          <w:tcPr>
            <w:tcW w:w="14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FEB8534" w14:textId="77777777" w:rsidR="00DE1A44" w:rsidRPr="00117762" w:rsidRDefault="00000000" w:rsidP="00117762">
            <w:pPr>
              <w:spacing w:before="240" w:after="240"/>
              <w:rPr>
                <w:rFonts w:ascii="Arial" w:eastAsia="Times New Roman" w:hAnsi="Arial"/>
                <w:szCs w:val="24"/>
              </w:rPr>
            </w:pPr>
            <w:r w:rsidRPr="00117762">
              <w:rPr>
                <w:rFonts w:ascii="Arial" w:eastAsia="Times New Roman" w:hAnsi="Arial"/>
                <w:szCs w:val="24"/>
              </w:rPr>
              <w:t>Buyer Power</w:t>
            </w:r>
          </w:p>
        </w:tc>
        <w:tc>
          <w:tcPr>
            <w:tcW w:w="14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961F102" w14:textId="77777777" w:rsidR="00DE1A44" w:rsidRPr="00117762" w:rsidRDefault="00000000" w:rsidP="00117762">
            <w:pPr>
              <w:spacing w:before="240" w:after="240"/>
              <w:rPr>
                <w:rFonts w:ascii="Arial" w:eastAsia="Times New Roman" w:hAnsi="Arial"/>
                <w:szCs w:val="24"/>
              </w:rPr>
            </w:pPr>
            <w:r w:rsidRPr="00117762">
              <w:rPr>
                <w:rFonts w:ascii="Arial" w:eastAsia="Times New Roman" w:hAnsi="Arial"/>
                <w:szCs w:val="24"/>
              </w:rPr>
              <w:t>Moderate</w:t>
            </w:r>
          </w:p>
        </w:tc>
        <w:tc>
          <w:tcPr>
            <w:tcW w:w="654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D67C0C1" w14:textId="77777777" w:rsidR="00DE1A44" w:rsidRPr="00117762" w:rsidRDefault="00000000" w:rsidP="00117762">
            <w:pPr>
              <w:spacing w:before="240" w:after="240"/>
              <w:rPr>
                <w:rFonts w:ascii="Arial" w:eastAsia="Times New Roman" w:hAnsi="Arial"/>
                <w:szCs w:val="24"/>
              </w:rPr>
            </w:pPr>
            <w:r w:rsidRPr="00117762">
              <w:rPr>
                <w:rFonts w:ascii="Arial" w:eastAsia="Times New Roman" w:hAnsi="Arial"/>
                <w:szCs w:val="24"/>
              </w:rPr>
              <w:t>Affluent customers demand personalisation (Manufacturing Digital, 2020).</w:t>
            </w:r>
          </w:p>
        </w:tc>
      </w:tr>
      <w:tr w:rsidR="00DE1A44" w:rsidRPr="00117762" w14:paraId="5217ADDA" w14:textId="77777777">
        <w:trPr>
          <w:trHeight w:val="515"/>
        </w:trPr>
        <w:tc>
          <w:tcPr>
            <w:tcW w:w="14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A6A637A" w14:textId="77777777" w:rsidR="00DE1A44" w:rsidRPr="00117762" w:rsidRDefault="00000000" w:rsidP="00117762">
            <w:pPr>
              <w:spacing w:before="240" w:after="240"/>
              <w:rPr>
                <w:rFonts w:ascii="Arial" w:eastAsia="Times New Roman" w:hAnsi="Arial"/>
                <w:szCs w:val="24"/>
              </w:rPr>
            </w:pPr>
            <w:r w:rsidRPr="00117762">
              <w:rPr>
                <w:rFonts w:ascii="Arial" w:eastAsia="Times New Roman" w:hAnsi="Arial"/>
                <w:szCs w:val="24"/>
              </w:rPr>
              <w:t>Substitutes</w:t>
            </w:r>
          </w:p>
        </w:tc>
        <w:tc>
          <w:tcPr>
            <w:tcW w:w="14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E77291E" w14:textId="77777777" w:rsidR="00DE1A44" w:rsidRPr="00117762" w:rsidRDefault="00000000" w:rsidP="00117762">
            <w:pPr>
              <w:spacing w:before="240" w:after="240"/>
              <w:rPr>
                <w:rFonts w:ascii="Arial" w:eastAsia="Times New Roman" w:hAnsi="Arial"/>
                <w:szCs w:val="24"/>
              </w:rPr>
            </w:pPr>
            <w:r w:rsidRPr="00117762">
              <w:rPr>
                <w:rFonts w:ascii="Arial" w:eastAsia="Times New Roman" w:hAnsi="Arial"/>
                <w:szCs w:val="24"/>
              </w:rPr>
              <w:t>Moderate</w:t>
            </w:r>
          </w:p>
        </w:tc>
        <w:tc>
          <w:tcPr>
            <w:tcW w:w="654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C715005" w14:textId="77777777" w:rsidR="00DE1A44" w:rsidRPr="00117762" w:rsidRDefault="00000000" w:rsidP="00117762">
            <w:pPr>
              <w:spacing w:before="240" w:after="240"/>
              <w:rPr>
                <w:rFonts w:ascii="Arial" w:eastAsia="Times New Roman" w:hAnsi="Arial"/>
                <w:szCs w:val="24"/>
              </w:rPr>
            </w:pPr>
            <w:r w:rsidRPr="00117762">
              <w:rPr>
                <w:rFonts w:ascii="Arial" w:eastAsia="Times New Roman" w:hAnsi="Arial"/>
                <w:szCs w:val="24"/>
              </w:rPr>
              <w:t>Rising luxury EV alternatives (IFS, 2022).</w:t>
            </w:r>
          </w:p>
        </w:tc>
      </w:tr>
      <w:tr w:rsidR="00DE1A44" w:rsidRPr="00117762" w14:paraId="6A699576" w14:textId="77777777">
        <w:trPr>
          <w:trHeight w:val="515"/>
        </w:trPr>
        <w:tc>
          <w:tcPr>
            <w:tcW w:w="14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1755C88" w14:textId="77777777" w:rsidR="00DE1A44" w:rsidRPr="00117762" w:rsidRDefault="00000000" w:rsidP="00117762">
            <w:pPr>
              <w:spacing w:before="240" w:after="240"/>
              <w:rPr>
                <w:rFonts w:ascii="Arial" w:eastAsia="Times New Roman" w:hAnsi="Arial"/>
                <w:szCs w:val="24"/>
              </w:rPr>
            </w:pPr>
            <w:r w:rsidRPr="00117762">
              <w:rPr>
                <w:rFonts w:ascii="Arial" w:eastAsia="Times New Roman" w:hAnsi="Arial"/>
                <w:szCs w:val="24"/>
              </w:rPr>
              <w:t>Rivalry</w:t>
            </w:r>
          </w:p>
        </w:tc>
        <w:tc>
          <w:tcPr>
            <w:tcW w:w="14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E6BD387" w14:textId="77777777" w:rsidR="00DE1A44" w:rsidRPr="00117762" w:rsidRDefault="00000000" w:rsidP="00117762">
            <w:pPr>
              <w:spacing w:before="240" w:after="240"/>
              <w:rPr>
                <w:rFonts w:ascii="Arial" w:eastAsia="Times New Roman" w:hAnsi="Arial"/>
                <w:szCs w:val="24"/>
              </w:rPr>
            </w:pPr>
            <w:r w:rsidRPr="00117762">
              <w:rPr>
                <w:rFonts w:ascii="Arial" w:eastAsia="Times New Roman" w:hAnsi="Arial"/>
                <w:szCs w:val="24"/>
              </w:rPr>
              <w:t>High</w:t>
            </w:r>
          </w:p>
        </w:tc>
        <w:tc>
          <w:tcPr>
            <w:tcW w:w="654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99EC147" w14:textId="77777777" w:rsidR="00DE1A44" w:rsidRPr="00117762" w:rsidRDefault="00000000" w:rsidP="00117762">
            <w:pPr>
              <w:spacing w:before="240" w:after="240"/>
              <w:rPr>
                <w:rFonts w:ascii="Arial" w:eastAsia="Times New Roman" w:hAnsi="Arial"/>
                <w:szCs w:val="24"/>
              </w:rPr>
            </w:pPr>
            <w:r w:rsidRPr="00117762">
              <w:rPr>
                <w:rFonts w:ascii="Arial" w:eastAsia="Times New Roman" w:hAnsi="Arial"/>
                <w:szCs w:val="24"/>
              </w:rPr>
              <w:t>Aston Martin, Lotus, EV startups (</w:t>
            </w:r>
            <w:proofErr w:type="spellStart"/>
            <w:r w:rsidRPr="00117762">
              <w:rPr>
                <w:rFonts w:ascii="Arial" w:eastAsia="Times New Roman" w:hAnsi="Arial"/>
                <w:szCs w:val="24"/>
              </w:rPr>
              <w:t>Investindustrial</w:t>
            </w:r>
            <w:proofErr w:type="spellEnd"/>
            <w:r w:rsidRPr="00117762">
              <w:rPr>
                <w:rFonts w:ascii="Arial" w:eastAsia="Times New Roman" w:hAnsi="Arial"/>
                <w:szCs w:val="24"/>
              </w:rPr>
              <w:t>, 2019).</w:t>
            </w:r>
          </w:p>
        </w:tc>
      </w:tr>
    </w:tbl>
    <w:p w14:paraId="6F97B372" w14:textId="2898130C" w:rsidR="00DE1A44" w:rsidRPr="00117762" w:rsidRDefault="00000000" w:rsidP="006A6CBC">
      <w:pPr>
        <w:spacing w:before="240" w:after="240"/>
        <w:jc w:val="center"/>
        <w:rPr>
          <w:rFonts w:ascii="Arial" w:eastAsia="Times New Roman" w:hAnsi="Arial"/>
          <w:b/>
          <w:bCs/>
          <w:szCs w:val="24"/>
        </w:rPr>
      </w:pPr>
      <w:r w:rsidRPr="00117762">
        <w:rPr>
          <w:rFonts w:ascii="Arial" w:eastAsia="Times New Roman" w:hAnsi="Arial"/>
          <w:b/>
          <w:bCs/>
          <w:szCs w:val="24"/>
        </w:rPr>
        <w:t>Table 2: Porter’s five forces analysis</w:t>
      </w:r>
    </w:p>
    <w:p w14:paraId="29CC059D" w14:textId="77777777" w:rsidR="00DE1A44" w:rsidRPr="00117762" w:rsidRDefault="00000000" w:rsidP="006A6CBC">
      <w:pPr>
        <w:spacing w:before="240" w:after="240"/>
        <w:jc w:val="center"/>
        <w:rPr>
          <w:rFonts w:ascii="Arial" w:eastAsia="Times New Roman" w:hAnsi="Arial"/>
          <w:szCs w:val="24"/>
        </w:rPr>
      </w:pPr>
      <w:r w:rsidRPr="00117762">
        <w:rPr>
          <w:rFonts w:ascii="Arial" w:eastAsia="Times New Roman" w:hAnsi="Arial"/>
          <w:szCs w:val="24"/>
        </w:rPr>
        <w:t>(Source: Self-developed)</w:t>
      </w:r>
    </w:p>
    <w:p w14:paraId="130032C7" w14:textId="7B8E99FE" w:rsidR="00DE1A44" w:rsidRPr="00117762" w:rsidRDefault="00000000" w:rsidP="00117762">
      <w:pPr>
        <w:spacing w:before="240" w:after="240"/>
        <w:rPr>
          <w:rFonts w:ascii="Arial" w:eastAsia="Times New Roman" w:hAnsi="Arial"/>
          <w:szCs w:val="24"/>
        </w:rPr>
      </w:pPr>
      <w:r w:rsidRPr="00117762">
        <w:rPr>
          <w:rFonts w:ascii="Arial" w:eastAsia="Times New Roman" w:hAnsi="Arial"/>
          <w:szCs w:val="24"/>
        </w:rPr>
        <w:t>The threat of new entrants in the UK luxury automotive sector is moderate. Although the capital requirements and regulatory barriers are very high, new EV-related startups venturing in low-volume segments with premium products and services heighten competition pressures (</w:t>
      </w:r>
      <w:proofErr w:type="spellStart"/>
      <w:r w:rsidRPr="00117762">
        <w:rPr>
          <w:rFonts w:ascii="Arial" w:eastAsia="Times New Roman" w:hAnsi="Arial"/>
          <w:szCs w:val="24"/>
        </w:rPr>
        <w:t>Investindustrial</w:t>
      </w:r>
      <w:proofErr w:type="spellEnd"/>
      <w:r w:rsidRPr="00117762">
        <w:rPr>
          <w:rFonts w:ascii="Arial" w:eastAsia="Times New Roman" w:hAnsi="Arial"/>
          <w:szCs w:val="24"/>
        </w:rPr>
        <w:t xml:space="preserve">, 2019) [Table 2]. The heritage of Morgan and the handcrafted production </w:t>
      </w:r>
      <w:r w:rsidR="00F11187" w:rsidRPr="00117762">
        <w:rPr>
          <w:rFonts w:ascii="Arial" w:eastAsia="Times New Roman" w:hAnsi="Arial"/>
          <w:szCs w:val="24"/>
        </w:rPr>
        <w:t>make</w:t>
      </w:r>
      <w:r w:rsidRPr="00117762">
        <w:rPr>
          <w:rFonts w:ascii="Arial" w:eastAsia="Times New Roman" w:hAnsi="Arial"/>
          <w:szCs w:val="24"/>
        </w:rPr>
        <w:t xml:space="preserve"> it considerably difficult to enter through brand-based barriers (Wang, 2022). The power of the suppliers is relatively high due to the use of specialised components, lightweight materials and artisanal inputs that cannot be </w:t>
      </w:r>
      <w:r w:rsidRPr="00117762">
        <w:rPr>
          <w:rFonts w:ascii="Arial" w:eastAsia="Times New Roman" w:hAnsi="Arial"/>
          <w:szCs w:val="24"/>
        </w:rPr>
        <w:lastRenderedPageBreak/>
        <w:t>obtained easily with the help of other suppliers (Francis, 2025). The poor level of production by Morgan also limits its bargaining power among mass manufacturers. Buyer power is moderate since Morgan targets high-income consumers who are interested in exclusivity and customisation (Manufacturing Digital, 2020). Threats of substitutes remain high as luxury EV brands including Rimac, Lotus and rising electric startups have technologically advanced substitutes (IFS, 2022). The niche luxury sports car market has a high level of rivalry. The competitors including Aston Martin and Lotus invest in electrification and innovation which challenges the traditional craftsmanship model of Morgan (</w:t>
      </w:r>
      <w:proofErr w:type="spellStart"/>
      <w:r w:rsidRPr="00117762">
        <w:rPr>
          <w:rFonts w:ascii="Arial" w:eastAsia="Times New Roman" w:hAnsi="Arial"/>
          <w:szCs w:val="24"/>
        </w:rPr>
        <w:t>Investindustrial</w:t>
      </w:r>
      <w:proofErr w:type="spellEnd"/>
      <w:r w:rsidRPr="00117762">
        <w:rPr>
          <w:rFonts w:ascii="Arial" w:eastAsia="Times New Roman" w:hAnsi="Arial"/>
          <w:szCs w:val="24"/>
        </w:rPr>
        <w:t>, 2019).</w:t>
      </w:r>
    </w:p>
    <w:p w14:paraId="09A8AE80" w14:textId="77777777" w:rsidR="00DE1A44" w:rsidRPr="00117762" w:rsidRDefault="00000000" w:rsidP="00117762">
      <w:pPr>
        <w:pStyle w:val="Heading2"/>
        <w:spacing w:before="240" w:after="240"/>
        <w:rPr>
          <w:rFonts w:ascii="Arial" w:hAnsi="Arial"/>
          <w:szCs w:val="24"/>
        </w:rPr>
      </w:pPr>
      <w:bookmarkStart w:id="8" w:name="_Toc215174599"/>
      <w:r w:rsidRPr="00117762">
        <w:rPr>
          <w:rFonts w:ascii="Arial" w:hAnsi="Arial"/>
          <w:szCs w:val="24"/>
        </w:rPr>
        <w:t>2.2 Internal Environment Audit</w:t>
      </w:r>
      <w:bookmarkEnd w:id="8"/>
    </w:p>
    <w:p w14:paraId="273B0C70" w14:textId="77777777" w:rsidR="00DE1A44" w:rsidRPr="00117762" w:rsidRDefault="00000000" w:rsidP="00117762">
      <w:pPr>
        <w:pStyle w:val="Heading3"/>
        <w:spacing w:before="240" w:after="240"/>
        <w:rPr>
          <w:rFonts w:ascii="Arial" w:hAnsi="Arial"/>
          <w:szCs w:val="24"/>
        </w:rPr>
      </w:pPr>
      <w:bookmarkStart w:id="9" w:name="_Toc215174600"/>
      <w:r w:rsidRPr="00117762">
        <w:rPr>
          <w:rFonts w:ascii="Arial" w:hAnsi="Arial"/>
          <w:szCs w:val="24"/>
        </w:rPr>
        <w:t>2.2.1 Value Chain Analysis</w:t>
      </w:r>
      <w:bookmarkEnd w:id="9"/>
      <w:r w:rsidRPr="00117762">
        <w:rPr>
          <w:rFonts w:ascii="Arial" w:hAnsi="Arial"/>
          <w:szCs w:val="24"/>
        </w:rPr>
        <w:t xml:space="preserve"> </w:t>
      </w:r>
    </w:p>
    <w:tbl>
      <w:tblPr>
        <w:tblStyle w:val="a1"/>
        <w:tblW w:w="9705" w:type="dxa"/>
        <w:tblInd w:w="0" w:type="dxa"/>
        <w:tblLayout w:type="fixed"/>
        <w:tblLook w:val="0600" w:firstRow="0" w:lastRow="0" w:firstColumn="0" w:lastColumn="0" w:noHBand="1" w:noVBand="1"/>
      </w:tblPr>
      <w:tblGrid>
        <w:gridCol w:w="2040"/>
        <w:gridCol w:w="7665"/>
      </w:tblGrid>
      <w:tr w:rsidR="00DE1A44" w:rsidRPr="00117762" w14:paraId="4435C442" w14:textId="77777777">
        <w:trPr>
          <w:trHeight w:val="515"/>
        </w:trPr>
        <w:tc>
          <w:tcPr>
            <w:tcW w:w="20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F58F769" w14:textId="77777777" w:rsidR="00DE1A44" w:rsidRPr="00117762" w:rsidRDefault="00000000" w:rsidP="00117762">
            <w:pPr>
              <w:spacing w:before="240" w:after="240"/>
              <w:rPr>
                <w:rFonts w:ascii="Arial" w:eastAsia="Times New Roman" w:hAnsi="Arial"/>
                <w:szCs w:val="24"/>
              </w:rPr>
            </w:pPr>
            <w:r w:rsidRPr="00117762">
              <w:rPr>
                <w:rFonts w:ascii="Arial" w:eastAsia="Times New Roman" w:hAnsi="Arial"/>
                <w:b/>
                <w:bCs/>
                <w:szCs w:val="24"/>
              </w:rPr>
              <w:t>Activity Area</w:t>
            </w:r>
          </w:p>
        </w:tc>
        <w:tc>
          <w:tcPr>
            <w:tcW w:w="76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3183F00" w14:textId="77777777" w:rsidR="00DE1A44" w:rsidRPr="00117762" w:rsidRDefault="00000000" w:rsidP="00117762">
            <w:pPr>
              <w:spacing w:before="240" w:after="240"/>
              <w:rPr>
                <w:rFonts w:ascii="Arial" w:eastAsia="Times New Roman" w:hAnsi="Arial"/>
                <w:szCs w:val="24"/>
              </w:rPr>
            </w:pPr>
            <w:r w:rsidRPr="00117762">
              <w:rPr>
                <w:rFonts w:ascii="Arial" w:eastAsia="Times New Roman" w:hAnsi="Arial"/>
                <w:b/>
                <w:bCs/>
                <w:szCs w:val="24"/>
              </w:rPr>
              <w:t>Key Insights</w:t>
            </w:r>
          </w:p>
        </w:tc>
      </w:tr>
      <w:tr w:rsidR="00DE1A44" w:rsidRPr="00117762" w14:paraId="2679E7E0" w14:textId="77777777">
        <w:trPr>
          <w:trHeight w:val="515"/>
        </w:trPr>
        <w:tc>
          <w:tcPr>
            <w:tcW w:w="20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DB6E8F9" w14:textId="77777777" w:rsidR="00DE1A44" w:rsidRPr="00117762" w:rsidRDefault="00000000" w:rsidP="00117762">
            <w:pPr>
              <w:spacing w:before="240" w:after="240"/>
              <w:rPr>
                <w:rFonts w:ascii="Arial" w:eastAsia="Times New Roman" w:hAnsi="Arial"/>
                <w:szCs w:val="24"/>
              </w:rPr>
            </w:pPr>
            <w:r w:rsidRPr="00117762">
              <w:rPr>
                <w:rFonts w:ascii="Arial" w:eastAsia="Times New Roman" w:hAnsi="Arial"/>
                <w:szCs w:val="24"/>
              </w:rPr>
              <w:t>Operations</w:t>
            </w:r>
          </w:p>
        </w:tc>
        <w:tc>
          <w:tcPr>
            <w:tcW w:w="76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D147FDC" w14:textId="77777777" w:rsidR="00DE1A44" w:rsidRPr="00117762" w:rsidRDefault="00000000" w:rsidP="00117762">
            <w:pPr>
              <w:spacing w:before="240" w:after="240"/>
              <w:rPr>
                <w:rFonts w:ascii="Arial" w:eastAsia="Times New Roman" w:hAnsi="Arial"/>
                <w:szCs w:val="24"/>
              </w:rPr>
            </w:pPr>
            <w:r w:rsidRPr="00117762">
              <w:rPr>
                <w:rFonts w:ascii="Arial" w:eastAsia="Times New Roman" w:hAnsi="Arial"/>
                <w:szCs w:val="24"/>
              </w:rPr>
              <w:t>Hand-built craftsmanship creates differentiation but limits scale (Morgan-motor, 2025c).</w:t>
            </w:r>
          </w:p>
        </w:tc>
      </w:tr>
      <w:tr w:rsidR="00DE1A44" w:rsidRPr="00117762" w14:paraId="073A7889" w14:textId="77777777">
        <w:trPr>
          <w:trHeight w:val="515"/>
        </w:trPr>
        <w:tc>
          <w:tcPr>
            <w:tcW w:w="20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C144C2" w14:textId="77777777" w:rsidR="00DE1A44" w:rsidRPr="00117762" w:rsidRDefault="00000000" w:rsidP="00117762">
            <w:pPr>
              <w:spacing w:before="240" w:after="240"/>
              <w:rPr>
                <w:rFonts w:ascii="Arial" w:eastAsia="Times New Roman" w:hAnsi="Arial"/>
                <w:szCs w:val="24"/>
              </w:rPr>
            </w:pPr>
            <w:r w:rsidRPr="00117762">
              <w:rPr>
                <w:rFonts w:ascii="Arial" w:eastAsia="Times New Roman" w:hAnsi="Arial"/>
                <w:szCs w:val="24"/>
              </w:rPr>
              <w:t>Marketing &amp; Sales</w:t>
            </w:r>
          </w:p>
        </w:tc>
        <w:tc>
          <w:tcPr>
            <w:tcW w:w="76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A778BC8" w14:textId="77777777" w:rsidR="00DE1A44" w:rsidRPr="00117762" w:rsidRDefault="00000000" w:rsidP="00117762">
            <w:pPr>
              <w:spacing w:before="240" w:after="240"/>
              <w:rPr>
                <w:rFonts w:ascii="Arial" w:eastAsia="Times New Roman" w:hAnsi="Arial"/>
                <w:szCs w:val="24"/>
              </w:rPr>
            </w:pPr>
            <w:r w:rsidRPr="00117762">
              <w:rPr>
                <w:rFonts w:ascii="Arial" w:eastAsia="Times New Roman" w:hAnsi="Arial"/>
                <w:szCs w:val="24"/>
              </w:rPr>
              <w:t>Strong experiential branding and heritage storytelling (Morgan-motor, 2025d).</w:t>
            </w:r>
          </w:p>
        </w:tc>
      </w:tr>
      <w:tr w:rsidR="00DE1A44" w:rsidRPr="00117762" w14:paraId="5FF844B8" w14:textId="77777777">
        <w:trPr>
          <w:trHeight w:val="515"/>
        </w:trPr>
        <w:tc>
          <w:tcPr>
            <w:tcW w:w="20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92EE36D" w14:textId="77777777" w:rsidR="00DE1A44" w:rsidRPr="00117762" w:rsidRDefault="00000000" w:rsidP="00117762">
            <w:pPr>
              <w:spacing w:before="240" w:after="240"/>
              <w:rPr>
                <w:rFonts w:ascii="Arial" w:eastAsia="Times New Roman" w:hAnsi="Arial"/>
                <w:szCs w:val="24"/>
              </w:rPr>
            </w:pPr>
            <w:r w:rsidRPr="00117762">
              <w:rPr>
                <w:rFonts w:ascii="Arial" w:eastAsia="Times New Roman" w:hAnsi="Arial"/>
                <w:szCs w:val="24"/>
              </w:rPr>
              <w:t>Customisation</w:t>
            </w:r>
          </w:p>
        </w:tc>
        <w:tc>
          <w:tcPr>
            <w:tcW w:w="76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6D7CDA0" w14:textId="77777777" w:rsidR="00DE1A44" w:rsidRPr="00117762" w:rsidRDefault="00000000" w:rsidP="00117762">
            <w:pPr>
              <w:spacing w:before="240" w:after="240"/>
              <w:rPr>
                <w:rFonts w:ascii="Arial" w:eastAsia="Times New Roman" w:hAnsi="Arial"/>
                <w:szCs w:val="24"/>
              </w:rPr>
            </w:pPr>
            <w:r w:rsidRPr="00117762">
              <w:rPr>
                <w:rFonts w:ascii="Arial" w:eastAsia="Times New Roman" w:hAnsi="Arial"/>
                <w:szCs w:val="24"/>
              </w:rPr>
              <w:t>Digital tools enable bespoke customer co-creation.</w:t>
            </w:r>
          </w:p>
        </w:tc>
      </w:tr>
      <w:tr w:rsidR="00DE1A44" w:rsidRPr="00117762" w14:paraId="4AF23E1F" w14:textId="77777777">
        <w:trPr>
          <w:trHeight w:val="515"/>
        </w:trPr>
        <w:tc>
          <w:tcPr>
            <w:tcW w:w="20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2713FA1" w14:textId="77777777" w:rsidR="00DE1A44" w:rsidRPr="00117762" w:rsidRDefault="00000000" w:rsidP="00117762">
            <w:pPr>
              <w:spacing w:before="240" w:after="240"/>
              <w:rPr>
                <w:rFonts w:ascii="Arial" w:eastAsia="Times New Roman" w:hAnsi="Arial"/>
                <w:szCs w:val="24"/>
              </w:rPr>
            </w:pPr>
            <w:r w:rsidRPr="00117762">
              <w:rPr>
                <w:rFonts w:ascii="Arial" w:eastAsia="Times New Roman" w:hAnsi="Arial"/>
                <w:szCs w:val="24"/>
              </w:rPr>
              <w:t>Support Activities</w:t>
            </w:r>
          </w:p>
        </w:tc>
        <w:tc>
          <w:tcPr>
            <w:tcW w:w="76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DA2D5D5" w14:textId="77777777" w:rsidR="00DE1A44" w:rsidRPr="00117762" w:rsidRDefault="00000000" w:rsidP="00117762">
            <w:pPr>
              <w:spacing w:before="240" w:after="240"/>
              <w:rPr>
                <w:rFonts w:ascii="Arial" w:eastAsia="Times New Roman" w:hAnsi="Arial"/>
                <w:szCs w:val="24"/>
              </w:rPr>
            </w:pPr>
            <w:r w:rsidRPr="00117762">
              <w:rPr>
                <w:rFonts w:ascii="Arial" w:eastAsia="Times New Roman" w:hAnsi="Arial"/>
                <w:szCs w:val="24"/>
              </w:rPr>
              <w:t>Skilled labour strengths though low automation increases costs.</w:t>
            </w:r>
          </w:p>
        </w:tc>
      </w:tr>
    </w:tbl>
    <w:p w14:paraId="4A45FAC3" w14:textId="6D1F730C" w:rsidR="00DE1A44" w:rsidRPr="00117762" w:rsidRDefault="00000000" w:rsidP="006A6CBC">
      <w:pPr>
        <w:spacing w:before="240" w:after="240"/>
        <w:jc w:val="center"/>
        <w:rPr>
          <w:rFonts w:ascii="Arial" w:eastAsia="Times New Roman" w:hAnsi="Arial"/>
          <w:b/>
          <w:bCs/>
          <w:szCs w:val="24"/>
        </w:rPr>
      </w:pPr>
      <w:r w:rsidRPr="00117762">
        <w:rPr>
          <w:rFonts w:ascii="Arial" w:eastAsia="Times New Roman" w:hAnsi="Arial"/>
          <w:b/>
          <w:bCs/>
          <w:szCs w:val="24"/>
        </w:rPr>
        <w:t>Table 3: Value chain analysis of Morgan Motor Company operations</w:t>
      </w:r>
    </w:p>
    <w:p w14:paraId="79B1D9F6" w14:textId="77777777" w:rsidR="00DE1A44" w:rsidRPr="00117762" w:rsidRDefault="00000000" w:rsidP="006A6CBC">
      <w:pPr>
        <w:spacing w:before="240" w:after="240"/>
        <w:jc w:val="center"/>
        <w:rPr>
          <w:rFonts w:ascii="Arial" w:eastAsia="Times New Roman" w:hAnsi="Arial"/>
          <w:szCs w:val="24"/>
        </w:rPr>
      </w:pPr>
      <w:r w:rsidRPr="00117762">
        <w:rPr>
          <w:rFonts w:ascii="Arial" w:eastAsia="Times New Roman" w:hAnsi="Arial"/>
          <w:szCs w:val="24"/>
        </w:rPr>
        <w:t>(Source: Self-developed)</w:t>
      </w:r>
    </w:p>
    <w:p w14:paraId="3703AB61" w14:textId="77777777" w:rsidR="00DE1A44" w:rsidRPr="00117762" w:rsidRDefault="00000000" w:rsidP="00117762">
      <w:pPr>
        <w:spacing w:before="240" w:after="240"/>
        <w:rPr>
          <w:rFonts w:ascii="Arial" w:eastAsia="Times New Roman" w:hAnsi="Arial"/>
          <w:szCs w:val="24"/>
        </w:rPr>
      </w:pPr>
      <w:r w:rsidRPr="00117762">
        <w:rPr>
          <w:rFonts w:ascii="Arial" w:eastAsia="Times New Roman" w:hAnsi="Arial"/>
          <w:szCs w:val="24"/>
        </w:rPr>
        <w:lastRenderedPageBreak/>
        <w:t xml:space="preserve">The value chain of Morgan Motor Company is determined by its own unique combination of traditional craftsmanship and selective modern innovation [Table 3]. The manufacturing made by Morgan is hand-built which is the core of its operations and forms a great differentiation as well as emotional appeal that supports the high positioning of the firm (Morgan-motor, 2025c; </w:t>
      </w:r>
      <w:hyperlink r:id="rId9">
        <w:r w:rsidR="00DE1A44" w:rsidRPr="00117762">
          <w:rPr>
            <w:rFonts w:ascii="Arial" w:eastAsia="Times New Roman" w:hAnsi="Arial"/>
            <w:szCs w:val="24"/>
          </w:rPr>
          <w:t>Ministry of Defence</w:t>
        </w:r>
      </w:hyperlink>
      <w:r w:rsidRPr="00117762">
        <w:rPr>
          <w:rFonts w:ascii="Arial" w:eastAsia="Times New Roman" w:hAnsi="Arial"/>
          <w:szCs w:val="24"/>
        </w:rPr>
        <w:t>, 2025). This craft work, backed by generations of skills in craftsmanship creates loyalty to the customers and brand authenticity. The minimal application of automation limits the efficiency of Morgan to scale production and cost (</w:t>
      </w:r>
      <w:proofErr w:type="spellStart"/>
      <w:r w:rsidRPr="00117762">
        <w:rPr>
          <w:rFonts w:ascii="Arial" w:eastAsia="Times New Roman" w:hAnsi="Arial"/>
          <w:szCs w:val="24"/>
        </w:rPr>
        <w:t>Papulová</w:t>
      </w:r>
      <w:proofErr w:type="spellEnd"/>
      <w:r w:rsidRPr="00117762">
        <w:rPr>
          <w:rFonts w:ascii="Arial" w:eastAsia="Times New Roman" w:hAnsi="Arial"/>
          <w:szCs w:val="24"/>
        </w:rPr>
        <w:t xml:space="preserve"> </w:t>
      </w:r>
      <w:r w:rsidRPr="00117762">
        <w:rPr>
          <w:rFonts w:ascii="Arial" w:eastAsia="Times New Roman" w:hAnsi="Arial"/>
          <w:i/>
          <w:iCs/>
          <w:szCs w:val="24"/>
        </w:rPr>
        <w:t>et al.</w:t>
      </w:r>
      <w:r w:rsidRPr="00117762">
        <w:rPr>
          <w:rFonts w:ascii="Arial" w:eastAsia="Times New Roman" w:hAnsi="Arial"/>
          <w:szCs w:val="24"/>
        </w:rPr>
        <w:t xml:space="preserve"> 2022; HAAS, 2025). The ability to customise products is one of the key strengths in the operational and promotion activities of Morgan. This is in line with current digitisation value chain thinking in which customer experience and digital integration form the main activities of the strategy. The experiential marketing of Morgan including factory tours, heritage narrative and community involvement is valuable which helps in supporting the emotional story of the brand (Morgan-motor, 2025d). In support operations, the focus of the firm on skilled labour, training in craftsmanship and selective utilisation of technology enhances its distinctive value base at the cost of the economies of scale.</w:t>
      </w:r>
    </w:p>
    <w:p w14:paraId="22D26934" w14:textId="77777777" w:rsidR="00DE1A44" w:rsidRPr="00117762" w:rsidRDefault="00000000" w:rsidP="00117762">
      <w:pPr>
        <w:pStyle w:val="Heading3"/>
        <w:spacing w:before="240" w:after="240"/>
        <w:rPr>
          <w:rFonts w:ascii="Arial" w:hAnsi="Arial"/>
          <w:szCs w:val="24"/>
        </w:rPr>
      </w:pPr>
      <w:bookmarkStart w:id="10" w:name="_Toc215174601"/>
      <w:r w:rsidRPr="00117762">
        <w:rPr>
          <w:rFonts w:ascii="Arial" w:hAnsi="Arial"/>
          <w:szCs w:val="24"/>
        </w:rPr>
        <w:t>2.2.2 Internal Resource Analysis: RBV and VRIO Frameworks</w:t>
      </w:r>
      <w:bookmarkEnd w:id="10"/>
      <w:r w:rsidRPr="00117762">
        <w:rPr>
          <w:rFonts w:ascii="Arial" w:hAnsi="Arial"/>
          <w:szCs w:val="24"/>
        </w:rPr>
        <w:t xml:space="preserve"> </w:t>
      </w:r>
    </w:p>
    <w:p w14:paraId="7D1AB5DF" w14:textId="1D55A405" w:rsidR="00DE1A44" w:rsidRPr="00117762" w:rsidRDefault="00F11187" w:rsidP="00117762">
      <w:pPr>
        <w:spacing w:before="240" w:after="240"/>
        <w:rPr>
          <w:rFonts w:ascii="Arial" w:hAnsi="Arial"/>
          <w:b/>
          <w:bCs/>
          <w:szCs w:val="24"/>
        </w:rPr>
      </w:pPr>
      <w:r w:rsidRPr="00117762">
        <w:rPr>
          <w:rFonts w:ascii="Arial" w:hAnsi="Arial"/>
          <w:b/>
          <w:bCs/>
          <w:szCs w:val="24"/>
        </w:rPr>
        <w:t>2.2.2.1. Resource-Based View (RBV) Analysis</w:t>
      </w:r>
    </w:p>
    <w:p w14:paraId="04C01EE1" w14:textId="28BC25A5" w:rsidR="00DE1A44" w:rsidRPr="00117762" w:rsidRDefault="00000000" w:rsidP="00117762">
      <w:pPr>
        <w:spacing w:before="240" w:after="240"/>
        <w:rPr>
          <w:rFonts w:ascii="Arial" w:eastAsia="Times New Roman" w:hAnsi="Arial"/>
          <w:szCs w:val="24"/>
        </w:rPr>
      </w:pPr>
      <w:r w:rsidRPr="00117762">
        <w:rPr>
          <w:rFonts w:ascii="Arial" w:eastAsia="Times New Roman" w:hAnsi="Arial"/>
          <w:szCs w:val="24"/>
        </w:rPr>
        <w:t xml:space="preserve">The Resource-Based View (RBV) emphasises that an organization’s sustainable competitive advantages </w:t>
      </w:r>
      <w:r w:rsidR="00F11187" w:rsidRPr="00117762">
        <w:rPr>
          <w:rFonts w:ascii="Arial" w:eastAsia="Times New Roman" w:hAnsi="Arial"/>
          <w:szCs w:val="24"/>
        </w:rPr>
        <w:t>rely</w:t>
      </w:r>
      <w:r w:rsidRPr="00117762">
        <w:rPr>
          <w:rFonts w:ascii="Arial" w:eastAsia="Times New Roman" w:hAnsi="Arial"/>
          <w:szCs w:val="24"/>
        </w:rPr>
        <w:t xml:space="preserve"> on acquiring and managing rare, valuable, inimitable and non-sustainable sources (Effendi, and </w:t>
      </w:r>
      <w:proofErr w:type="spellStart"/>
      <w:r w:rsidRPr="00117762">
        <w:rPr>
          <w:rFonts w:ascii="Arial" w:eastAsia="Times New Roman" w:hAnsi="Arial"/>
          <w:szCs w:val="24"/>
        </w:rPr>
        <w:t>Putro</w:t>
      </w:r>
      <w:proofErr w:type="spellEnd"/>
      <w:r w:rsidRPr="00117762">
        <w:rPr>
          <w:rFonts w:ascii="Arial" w:eastAsia="Times New Roman" w:hAnsi="Arial"/>
          <w:szCs w:val="24"/>
        </w:rPr>
        <w:t>, 2023).</w:t>
      </w:r>
    </w:p>
    <w:p w14:paraId="596D62BF" w14:textId="77777777" w:rsidR="00DE1A44" w:rsidRPr="00117762" w:rsidRDefault="00000000" w:rsidP="00117762">
      <w:pPr>
        <w:spacing w:before="240" w:after="240"/>
        <w:rPr>
          <w:rFonts w:ascii="Arial" w:hAnsi="Arial"/>
          <w:szCs w:val="24"/>
          <w:highlight w:val="white"/>
        </w:rPr>
      </w:pPr>
      <w:r w:rsidRPr="00117762">
        <w:rPr>
          <w:rFonts w:ascii="Arial" w:eastAsia="Times New Roman" w:hAnsi="Arial"/>
          <w:b/>
          <w:bCs/>
          <w:szCs w:val="24"/>
        </w:rPr>
        <w:t>Valuable:</w:t>
      </w:r>
      <w:r w:rsidRPr="00117762">
        <w:rPr>
          <w:rFonts w:ascii="Arial" w:eastAsia="Times New Roman" w:hAnsi="Arial"/>
          <w:szCs w:val="24"/>
        </w:rPr>
        <w:t xml:space="preserve"> In terms of the Morgan Motor Company, RBV highlights that its strength depends not on the mass production efficiency thus in the uniqueness of its capabilities and resources (Lubis, 2022).</w:t>
      </w:r>
    </w:p>
    <w:p w14:paraId="54721E64" w14:textId="77777777" w:rsidR="00DE1A44" w:rsidRPr="00117762" w:rsidRDefault="00000000" w:rsidP="00117762">
      <w:pPr>
        <w:spacing w:before="240" w:after="240"/>
        <w:rPr>
          <w:rFonts w:ascii="Arial" w:eastAsia="Times New Roman" w:hAnsi="Arial"/>
          <w:szCs w:val="24"/>
        </w:rPr>
      </w:pPr>
      <w:r w:rsidRPr="00117762">
        <w:rPr>
          <w:rFonts w:ascii="Arial" w:eastAsia="Times New Roman" w:hAnsi="Arial"/>
          <w:szCs w:val="24"/>
        </w:rPr>
        <w:t xml:space="preserve"> </w:t>
      </w:r>
      <w:r w:rsidRPr="00117762">
        <w:rPr>
          <w:rFonts w:ascii="Arial" w:eastAsia="Times New Roman" w:hAnsi="Arial"/>
          <w:b/>
          <w:bCs/>
          <w:szCs w:val="24"/>
        </w:rPr>
        <w:t xml:space="preserve">Rare: </w:t>
      </w:r>
      <w:r w:rsidRPr="00117762">
        <w:rPr>
          <w:rFonts w:ascii="Arial" w:eastAsia="Times New Roman" w:hAnsi="Arial"/>
          <w:szCs w:val="24"/>
        </w:rPr>
        <w:t xml:space="preserve">The handcrafted vehicle production of Morgan, long-standing heritage, and distinctive brand identity shows important strategic assets. </w:t>
      </w:r>
    </w:p>
    <w:p w14:paraId="3904B679" w14:textId="77777777" w:rsidR="00DE1A44" w:rsidRPr="00117762" w:rsidRDefault="00000000" w:rsidP="00117762">
      <w:pPr>
        <w:spacing w:before="240" w:after="240"/>
        <w:rPr>
          <w:rFonts w:ascii="Arial" w:eastAsia="Times New Roman" w:hAnsi="Arial"/>
          <w:szCs w:val="24"/>
        </w:rPr>
      </w:pPr>
      <w:r w:rsidRPr="00117762">
        <w:rPr>
          <w:rFonts w:ascii="Arial" w:eastAsia="Times New Roman" w:hAnsi="Arial"/>
          <w:b/>
          <w:bCs/>
          <w:szCs w:val="24"/>
        </w:rPr>
        <w:lastRenderedPageBreak/>
        <w:t>Resources:</w:t>
      </w:r>
      <w:r w:rsidRPr="00117762">
        <w:rPr>
          <w:rFonts w:ascii="Arial" w:eastAsia="Times New Roman" w:hAnsi="Arial"/>
          <w:szCs w:val="24"/>
        </w:rPr>
        <w:t xml:space="preserve"> One of the most important resources is Morgan’s manufacturing expertise. Instead of the competitors who depend hugely on automation, Morgan continues to use conventional coachbuilding methods that are supported by latest engineering.  </w:t>
      </w:r>
    </w:p>
    <w:p w14:paraId="04D91920" w14:textId="77777777" w:rsidR="00DE1A44" w:rsidRPr="00117762" w:rsidRDefault="00000000" w:rsidP="00117762">
      <w:pPr>
        <w:spacing w:before="240" w:after="240"/>
        <w:rPr>
          <w:rFonts w:ascii="Arial" w:hAnsi="Arial"/>
          <w:szCs w:val="24"/>
          <w:highlight w:val="white"/>
        </w:rPr>
      </w:pPr>
      <w:r w:rsidRPr="00117762">
        <w:rPr>
          <w:rFonts w:ascii="Arial" w:eastAsia="Times New Roman" w:hAnsi="Arial"/>
          <w:b/>
          <w:bCs/>
          <w:szCs w:val="24"/>
        </w:rPr>
        <w:t>Inimitable:</w:t>
      </w:r>
      <w:r w:rsidRPr="00117762">
        <w:rPr>
          <w:rFonts w:ascii="Arial" w:eastAsia="Times New Roman" w:hAnsi="Arial"/>
          <w:szCs w:val="24"/>
        </w:rPr>
        <w:t xml:space="preserve"> Hybrid approach of the Morgan Motors occurs strong differentiations and also maintains exclusivity. The brand equity built over more than a century provides an emotional and symbolic value to the customers that improves the customer loyalty and willingness to pay a premium (Santos </w:t>
      </w:r>
      <w:r w:rsidRPr="00117762">
        <w:rPr>
          <w:rFonts w:ascii="Arial" w:eastAsia="Times New Roman" w:hAnsi="Arial"/>
          <w:i/>
          <w:iCs/>
          <w:szCs w:val="24"/>
        </w:rPr>
        <w:t>et al.</w:t>
      </w:r>
      <w:r w:rsidRPr="00117762">
        <w:rPr>
          <w:rFonts w:ascii="Arial" w:eastAsia="Times New Roman" w:hAnsi="Arial"/>
          <w:szCs w:val="24"/>
        </w:rPr>
        <w:t xml:space="preserve"> 2024). </w:t>
      </w:r>
    </w:p>
    <w:p w14:paraId="17A599F3" w14:textId="77777777" w:rsidR="00DE1A44" w:rsidRPr="00117762" w:rsidRDefault="00000000" w:rsidP="00117762">
      <w:pPr>
        <w:spacing w:before="240" w:after="240"/>
        <w:rPr>
          <w:rFonts w:ascii="Arial" w:eastAsia="Times New Roman" w:hAnsi="Arial"/>
          <w:szCs w:val="24"/>
        </w:rPr>
      </w:pPr>
      <w:r w:rsidRPr="00117762">
        <w:rPr>
          <w:rFonts w:ascii="Arial" w:eastAsia="Times New Roman" w:hAnsi="Arial"/>
          <w:b/>
          <w:bCs/>
          <w:szCs w:val="24"/>
        </w:rPr>
        <w:t xml:space="preserve">Non-sustainable: </w:t>
      </w:r>
      <w:r w:rsidRPr="00117762">
        <w:rPr>
          <w:rFonts w:ascii="Arial" w:eastAsia="Times New Roman" w:hAnsi="Arial"/>
          <w:szCs w:val="24"/>
        </w:rPr>
        <w:t xml:space="preserve">While the heritage-oriented craftsmanship delivers differentiation, abilities linked to electrification, digital supply chain integration, and technological scalability needs further enhancement. However, the strategic strength of Morgan Motors lies in intangible uniqueness instead of the operational scale.  </w:t>
      </w:r>
    </w:p>
    <w:p w14:paraId="470FB108" w14:textId="77777777" w:rsidR="00DE1A44" w:rsidRPr="00117762" w:rsidRDefault="00000000" w:rsidP="006A6CBC">
      <w:pPr>
        <w:spacing w:before="240" w:after="240"/>
        <w:jc w:val="center"/>
        <w:rPr>
          <w:rFonts w:ascii="Arial" w:eastAsia="Times New Roman" w:hAnsi="Arial"/>
          <w:szCs w:val="24"/>
        </w:rPr>
      </w:pPr>
      <w:r w:rsidRPr="00117762">
        <w:rPr>
          <w:rFonts w:ascii="Arial" w:eastAsia="Times New Roman" w:hAnsi="Arial"/>
          <w:noProof/>
          <w:szCs w:val="24"/>
        </w:rPr>
        <w:drawing>
          <wp:inline distT="114300" distB="114300" distL="114300" distR="114300" wp14:anchorId="2FD93928" wp14:editId="3B726DD3">
            <wp:extent cx="3700463" cy="3599649"/>
            <wp:effectExtent l="0" t="0" r="0" b="0"/>
            <wp:docPr id="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3700463" cy="3599649"/>
                    </a:xfrm>
                    <a:prstGeom prst="rect">
                      <a:avLst/>
                    </a:prstGeom>
                    <a:ln/>
                  </pic:spPr>
                </pic:pic>
              </a:graphicData>
            </a:graphic>
          </wp:inline>
        </w:drawing>
      </w:r>
    </w:p>
    <w:p w14:paraId="40074AC3" w14:textId="6A8D7C55" w:rsidR="00DE1A44" w:rsidRPr="00117762" w:rsidRDefault="00000000" w:rsidP="006A6CBC">
      <w:pPr>
        <w:spacing w:before="240" w:after="240"/>
        <w:jc w:val="center"/>
        <w:rPr>
          <w:rFonts w:ascii="Arial" w:eastAsia="Times New Roman" w:hAnsi="Arial"/>
          <w:b/>
          <w:bCs/>
          <w:szCs w:val="24"/>
        </w:rPr>
      </w:pPr>
      <w:r w:rsidRPr="00117762">
        <w:rPr>
          <w:rFonts w:ascii="Arial" w:eastAsia="Times New Roman" w:hAnsi="Arial"/>
          <w:b/>
          <w:bCs/>
          <w:szCs w:val="24"/>
        </w:rPr>
        <w:t>Figure 2:</w:t>
      </w:r>
      <w:r w:rsidRPr="00117762">
        <w:rPr>
          <w:rFonts w:ascii="Arial" w:eastAsia="Times New Roman" w:hAnsi="Arial"/>
          <w:szCs w:val="24"/>
        </w:rPr>
        <w:t xml:space="preserve"> </w:t>
      </w:r>
      <w:r w:rsidRPr="00117762">
        <w:rPr>
          <w:rFonts w:ascii="Arial" w:eastAsia="Times New Roman" w:hAnsi="Arial"/>
          <w:b/>
          <w:bCs/>
          <w:szCs w:val="24"/>
        </w:rPr>
        <w:t>Resource-Based View (RBV) framework</w:t>
      </w:r>
    </w:p>
    <w:p w14:paraId="72CBDFEC" w14:textId="77777777" w:rsidR="00DE1A44" w:rsidRPr="00117762" w:rsidRDefault="00000000" w:rsidP="006A6CBC">
      <w:pPr>
        <w:spacing w:before="240" w:after="240"/>
        <w:jc w:val="center"/>
        <w:rPr>
          <w:rFonts w:ascii="Arial" w:hAnsi="Arial"/>
          <w:szCs w:val="24"/>
          <w:highlight w:val="white"/>
        </w:rPr>
      </w:pPr>
      <w:r w:rsidRPr="00117762">
        <w:rPr>
          <w:rFonts w:ascii="Arial" w:eastAsia="Times New Roman" w:hAnsi="Arial"/>
          <w:szCs w:val="24"/>
        </w:rPr>
        <w:t>(Source:</w:t>
      </w:r>
      <w:r w:rsidRPr="00117762">
        <w:rPr>
          <w:rFonts w:ascii="Arial" w:eastAsia="Times New Roman" w:hAnsi="Arial"/>
          <w:b/>
          <w:bCs/>
          <w:szCs w:val="24"/>
        </w:rPr>
        <w:t xml:space="preserve"> </w:t>
      </w:r>
      <w:r w:rsidRPr="00117762">
        <w:rPr>
          <w:rFonts w:ascii="Arial" w:eastAsia="Times New Roman" w:hAnsi="Arial"/>
          <w:szCs w:val="24"/>
        </w:rPr>
        <w:t xml:space="preserve">Effendi, and </w:t>
      </w:r>
      <w:proofErr w:type="spellStart"/>
      <w:r w:rsidRPr="00117762">
        <w:rPr>
          <w:rFonts w:ascii="Arial" w:eastAsia="Times New Roman" w:hAnsi="Arial"/>
          <w:szCs w:val="24"/>
        </w:rPr>
        <w:t>Putro</w:t>
      </w:r>
      <w:proofErr w:type="spellEnd"/>
      <w:r w:rsidRPr="00117762">
        <w:rPr>
          <w:rFonts w:ascii="Arial" w:eastAsia="Times New Roman" w:hAnsi="Arial"/>
          <w:szCs w:val="24"/>
        </w:rPr>
        <w:t>, 2023)</w:t>
      </w:r>
    </w:p>
    <w:p w14:paraId="641D5EB3" w14:textId="77777777" w:rsidR="006A6CBC" w:rsidRDefault="006A6CBC">
      <w:pPr>
        <w:spacing w:line="276" w:lineRule="auto"/>
        <w:jc w:val="left"/>
        <w:rPr>
          <w:rFonts w:ascii="Arial" w:hAnsi="Arial"/>
          <w:b/>
          <w:bCs/>
          <w:szCs w:val="24"/>
        </w:rPr>
      </w:pPr>
      <w:r>
        <w:rPr>
          <w:rFonts w:ascii="Arial" w:hAnsi="Arial"/>
          <w:b/>
          <w:bCs/>
          <w:szCs w:val="24"/>
        </w:rPr>
        <w:br w:type="page"/>
      </w:r>
    </w:p>
    <w:p w14:paraId="125A4CB6" w14:textId="50E7B526" w:rsidR="00DE1A44" w:rsidRPr="00117762" w:rsidRDefault="00F11187" w:rsidP="00117762">
      <w:pPr>
        <w:spacing w:before="240" w:after="240"/>
        <w:rPr>
          <w:rFonts w:ascii="Arial" w:hAnsi="Arial"/>
          <w:b/>
          <w:bCs/>
          <w:szCs w:val="24"/>
        </w:rPr>
      </w:pPr>
      <w:r w:rsidRPr="00117762">
        <w:rPr>
          <w:rFonts w:ascii="Arial" w:hAnsi="Arial"/>
          <w:b/>
          <w:bCs/>
          <w:szCs w:val="24"/>
        </w:rPr>
        <w:lastRenderedPageBreak/>
        <w:t>2.2.2.2. VRIO Framework Analysis</w:t>
      </w:r>
    </w:p>
    <w:p w14:paraId="2D3D8BDB" w14:textId="77777777" w:rsidR="00DE1A44" w:rsidRPr="00117762" w:rsidRDefault="00000000" w:rsidP="00117762">
      <w:pPr>
        <w:spacing w:before="240" w:after="240"/>
        <w:rPr>
          <w:rFonts w:ascii="Arial" w:eastAsia="Times New Roman" w:hAnsi="Arial"/>
          <w:szCs w:val="24"/>
        </w:rPr>
      </w:pPr>
      <w:r w:rsidRPr="00117762">
        <w:rPr>
          <w:rFonts w:ascii="Arial" w:eastAsia="Times New Roman" w:hAnsi="Arial"/>
          <w:szCs w:val="24"/>
        </w:rPr>
        <w:t xml:space="preserve">The VRIO framework evaluates whether the internal resources of Morgan deliver sustained or temporary competitive advantages. </w:t>
      </w:r>
    </w:p>
    <w:tbl>
      <w:tblPr>
        <w:tblStyle w:val="a2"/>
        <w:tblW w:w="933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3150"/>
        <w:gridCol w:w="1005"/>
        <w:gridCol w:w="570"/>
        <w:gridCol w:w="1170"/>
        <w:gridCol w:w="1170"/>
        <w:gridCol w:w="2265"/>
      </w:tblGrid>
      <w:tr w:rsidR="00DE1A44" w:rsidRPr="00117762" w14:paraId="17318AF3" w14:textId="77777777">
        <w:trPr>
          <w:trHeight w:val="570"/>
        </w:trPr>
        <w:tc>
          <w:tcPr>
            <w:tcW w:w="3150" w:type="dxa"/>
            <w:tcBorders>
              <w:top w:val="single" w:sz="8" w:space="0" w:color="000000"/>
              <w:left w:val="single" w:sz="8" w:space="0" w:color="000000"/>
              <w:bottom w:val="single" w:sz="8" w:space="0" w:color="000000"/>
              <w:right w:val="single" w:sz="8" w:space="0" w:color="000000"/>
            </w:tcBorders>
            <w:tcMar>
              <w:top w:w="20" w:type="dxa"/>
              <w:left w:w="20" w:type="dxa"/>
              <w:bottom w:w="20" w:type="dxa"/>
              <w:right w:w="20" w:type="dxa"/>
            </w:tcMar>
          </w:tcPr>
          <w:p w14:paraId="2D2B0AB4" w14:textId="77777777" w:rsidR="00DE1A44" w:rsidRPr="00117762" w:rsidRDefault="00000000" w:rsidP="00117762">
            <w:pPr>
              <w:spacing w:before="240" w:after="240"/>
              <w:rPr>
                <w:rFonts w:ascii="Arial" w:eastAsia="Times New Roman" w:hAnsi="Arial"/>
                <w:b/>
                <w:bCs/>
                <w:szCs w:val="24"/>
              </w:rPr>
            </w:pPr>
            <w:r w:rsidRPr="00117762">
              <w:rPr>
                <w:rFonts w:ascii="Arial" w:eastAsia="Times New Roman" w:hAnsi="Arial"/>
                <w:b/>
                <w:bCs/>
                <w:szCs w:val="24"/>
              </w:rPr>
              <w:t>Resource/Capability</w:t>
            </w:r>
          </w:p>
        </w:tc>
        <w:tc>
          <w:tcPr>
            <w:tcW w:w="1005" w:type="dxa"/>
            <w:tcBorders>
              <w:top w:val="single" w:sz="8" w:space="0" w:color="000000"/>
              <w:left w:val="single" w:sz="8" w:space="0" w:color="000000"/>
              <w:bottom w:val="single" w:sz="8" w:space="0" w:color="000000"/>
              <w:right w:val="single" w:sz="8" w:space="0" w:color="000000"/>
            </w:tcBorders>
            <w:tcMar>
              <w:top w:w="20" w:type="dxa"/>
              <w:left w:w="20" w:type="dxa"/>
              <w:bottom w:w="20" w:type="dxa"/>
              <w:right w:w="20" w:type="dxa"/>
            </w:tcMar>
          </w:tcPr>
          <w:p w14:paraId="6746736E" w14:textId="77777777" w:rsidR="00DE1A44" w:rsidRPr="00117762" w:rsidRDefault="00000000" w:rsidP="00117762">
            <w:pPr>
              <w:spacing w:before="240" w:after="240"/>
              <w:rPr>
                <w:rFonts w:ascii="Arial" w:eastAsia="Times New Roman" w:hAnsi="Arial"/>
                <w:b/>
                <w:bCs/>
                <w:szCs w:val="24"/>
              </w:rPr>
            </w:pPr>
            <w:r w:rsidRPr="00117762">
              <w:rPr>
                <w:rFonts w:ascii="Arial" w:eastAsia="Times New Roman" w:hAnsi="Arial"/>
                <w:b/>
                <w:bCs/>
                <w:szCs w:val="24"/>
              </w:rPr>
              <w:t>Valuable</w:t>
            </w:r>
          </w:p>
        </w:tc>
        <w:tc>
          <w:tcPr>
            <w:tcW w:w="570" w:type="dxa"/>
            <w:tcBorders>
              <w:top w:val="single" w:sz="8" w:space="0" w:color="000000"/>
              <w:left w:val="single" w:sz="8" w:space="0" w:color="000000"/>
              <w:bottom w:val="single" w:sz="8" w:space="0" w:color="000000"/>
              <w:right w:val="single" w:sz="8" w:space="0" w:color="000000"/>
            </w:tcBorders>
            <w:tcMar>
              <w:top w:w="20" w:type="dxa"/>
              <w:left w:w="20" w:type="dxa"/>
              <w:bottom w:w="20" w:type="dxa"/>
              <w:right w:w="20" w:type="dxa"/>
            </w:tcMar>
          </w:tcPr>
          <w:p w14:paraId="14C72D36" w14:textId="77777777" w:rsidR="00DE1A44" w:rsidRPr="00117762" w:rsidRDefault="00000000" w:rsidP="00117762">
            <w:pPr>
              <w:spacing w:before="240" w:after="240"/>
              <w:rPr>
                <w:rFonts w:ascii="Arial" w:eastAsia="Times New Roman" w:hAnsi="Arial"/>
                <w:b/>
                <w:bCs/>
                <w:szCs w:val="24"/>
              </w:rPr>
            </w:pPr>
            <w:r w:rsidRPr="00117762">
              <w:rPr>
                <w:rFonts w:ascii="Arial" w:eastAsia="Times New Roman" w:hAnsi="Arial"/>
                <w:b/>
                <w:bCs/>
                <w:szCs w:val="24"/>
              </w:rPr>
              <w:t>Rare</w:t>
            </w:r>
          </w:p>
        </w:tc>
        <w:tc>
          <w:tcPr>
            <w:tcW w:w="1170" w:type="dxa"/>
            <w:tcBorders>
              <w:top w:val="single" w:sz="8" w:space="0" w:color="000000"/>
              <w:left w:val="single" w:sz="8" w:space="0" w:color="000000"/>
              <w:bottom w:val="single" w:sz="8" w:space="0" w:color="000000"/>
              <w:right w:val="single" w:sz="8" w:space="0" w:color="000000"/>
            </w:tcBorders>
            <w:tcMar>
              <w:top w:w="20" w:type="dxa"/>
              <w:left w:w="20" w:type="dxa"/>
              <w:bottom w:w="20" w:type="dxa"/>
              <w:right w:w="20" w:type="dxa"/>
            </w:tcMar>
          </w:tcPr>
          <w:p w14:paraId="381E39D3" w14:textId="77777777" w:rsidR="00DE1A44" w:rsidRPr="00117762" w:rsidRDefault="00000000" w:rsidP="00117762">
            <w:pPr>
              <w:spacing w:before="240" w:after="240"/>
              <w:rPr>
                <w:rFonts w:ascii="Arial" w:eastAsia="Times New Roman" w:hAnsi="Arial"/>
                <w:b/>
                <w:bCs/>
                <w:szCs w:val="24"/>
              </w:rPr>
            </w:pPr>
            <w:r w:rsidRPr="00117762">
              <w:rPr>
                <w:rFonts w:ascii="Arial" w:eastAsia="Times New Roman" w:hAnsi="Arial"/>
                <w:b/>
                <w:bCs/>
                <w:szCs w:val="24"/>
              </w:rPr>
              <w:t>Inimitable</w:t>
            </w:r>
          </w:p>
        </w:tc>
        <w:tc>
          <w:tcPr>
            <w:tcW w:w="1170" w:type="dxa"/>
            <w:tcBorders>
              <w:top w:val="single" w:sz="8" w:space="0" w:color="000000"/>
              <w:left w:val="single" w:sz="8" w:space="0" w:color="000000"/>
              <w:bottom w:val="single" w:sz="8" w:space="0" w:color="000000"/>
              <w:right w:val="single" w:sz="8" w:space="0" w:color="000000"/>
            </w:tcBorders>
            <w:tcMar>
              <w:top w:w="20" w:type="dxa"/>
              <w:left w:w="20" w:type="dxa"/>
              <w:bottom w:w="20" w:type="dxa"/>
              <w:right w:w="20" w:type="dxa"/>
            </w:tcMar>
          </w:tcPr>
          <w:p w14:paraId="7A9D18E2" w14:textId="77777777" w:rsidR="00DE1A44" w:rsidRPr="00117762" w:rsidRDefault="00000000" w:rsidP="00117762">
            <w:pPr>
              <w:spacing w:before="240" w:after="240"/>
              <w:rPr>
                <w:rFonts w:ascii="Arial" w:eastAsia="Times New Roman" w:hAnsi="Arial"/>
                <w:b/>
                <w:bCs/>
                <w:szCs w:val="24"/>
              </w:rPr>
            </w:pPr>
            <w:r w:rsidRPr="00117762">
              <w:rPr>
                <w:rFonts w:ascii="Arial" w:eastAsia="Times New Roman" w:hAnsi="Arial"/>
                <w:b/>
                <w:bCs/>
                <w:szCs w:val="24"/>
              </w:rPr>
              <w:t>Organised</w:t>
            </w:r>
          </w:p>
        </w:tc>
        <w:tc>
          <w:tcPr>
            <w:tcW w:w="2265" w:type="dxa"/>
            <w:tcBorders>
              <w:top w:val="single" w:sz="8" w:space="0" w:color="000000"/>
              <w:left w:val="single" w:sz="8" w:space="0" w:color="000000"/>
              <w:bottom w:val="single" w:sz="8" w:space="0" w:color="000000"/>
              <w:right w:val="single" w:sz="8" w:space="0" w:color="000000"/>
            </w:tcBorders>
            <w:tcMar>
              <w:top w:w="20" w:type="dxa"/>
              <w:left w:w="20" w:type="dxa"/>
              <w:bottom w:w="20" w:type="dxa"/>
              <w:right w:w="20" w:type="dxa"/>
            </w:tcMar>
          </w:tcPr>
          <w:p w14:paraId="77D09002" w14:textId="77777777" w:rsidR="00DE1A44" w:rsidRPr="00117762" w:rsidRDefault="00000000" w:rsidP="00117762">
            <w:pPr>
              <w:spacing w:before="240" w:after="240"/>
              <w:rPr>
                <w:rFonts w:ascii="Arial" w:eastAsia="Times New Roman" w:hAnsi="Arial"/>
                <w:b/>
                <w:bCs/>
                <w:szCs w:val="24"/>
              </w:rPr>
            </w:pPr>
            <w:r w:rsidRPr="00117762">
              <w:rPr>
                <w:rFonts w:ascii="Arial" w:eastAsia="Times New Roman" w:hAnsi="Arial"/>
                <w:b/>
                <w:bCs/>
                <w:szCs w:val="24"/>
              </w:rPr>
              <w:t>Competitive Implication</w:t>
            </w:r>
          </w:p>
        </w:tc>
      </w:tr>
      <w:tr w:rsidR="00DE1A44" w:rsidRPr="00117762" w14:paraId="41D2218A" w14:textId="77777777">
        <w:trPr>
          <w:trHeight w:val="840"/>
        </w:trPr>
        <w:tc>
          <w:tcPr>
            <w:tcW w:w="3150" w:type="dxa"/>
            <w:tcBorders>
              <w:top w:val="single" w:sz="8" w:space="0" w:color="000000"/>
              <w:left w:val="single" w:sz="8" w:space="0" w:color="000000"/>
              <w:bottom w:val="single" w:sz="8" w:space="0" w:color="000000"/>
              <w:right w:val="single" w:sz="8" w:space="0" w:color="000000"/>
            </w:tcBorders>
            <w:tcMar>
              <w:top w:w="20" w:type="dxa"/>
              <w:left w:w="20" w:type="dxa"/>
              <w:bottom w:w="20" w:type="dxa"/>
              <w:right w:w="20" w:type="dxa"/>
            </w:tcMar>
          </w:tcPr>
          <w:p w14:paraId="62AC473E" w14:textId="77777777" w:rsidR="00DE1A44" w:rsidRPr="00117762" w:rsidRDefault="00000000" w:rsidP="00117762">
            <w:pPr>
              <w:spacing w:before="240" w:after="240"/>
              <w:rPr>
                <w:rFonts w:ascii="Arial" w:eastAsia="Times New Roman" w:hAnsi="Arial"/>
                <w:szCs w:val="24"/>
              </w:rPr>
            </w:pPr>
            <w:r w:rsidRPr="00117762">
              <w:rPr>
                <w:rFonts w:ascii="Arial" w:eastAsia="Times New Roman" w:hAnsi="Arial"/>
                <w:szCs w:val="24"/>
              </w:rPr>
              <w:t>Heritage Brand Identity</w:t>
            </w:r>
          </w:p>
        </w:tc>
        <w:tc>
          <w:tcPr>
            <w:tcW w:w="1005" w:type="dxa"/>
            <w:tcBorders>
              <w:top w:val="single" w:sz="8" w:space="0" w:color="000000"/>
              <w:left w:val="single" w:sz="8" w:space="0" w:color="000000"/>
              <w:bottom w:val="single" w:sz="8" w:space="0" w:color="000000"/>
              <w:right w:val="single" w:sz="8" w:space="0" w:color="000000"/>
            </w:tcBorders>
            <w:tcMar>
              <w:top w:w="20" w:type="dxa"/>
              <w:left w:w="20" w:type="dxa"/>
              <w:bottom w:w="20" w:type="dxa"/>
              <w:right w:w="20" w:type="dxa"/>
            </w:tcMar>
          </w:tcPr>
          <w:p w14:paraId="063613DB" w14:textId="77777777" w:rsidR="00DE1A44" w:rsidRPr="00117762" w:rsidRDefault="00000000" w:rsidP="00117762">
            <w:pPr>
              <w:spacing w:before="240" w:after="240"/>
              <w:rPr>
                <w:rFonts w:ascii="Arial" w:eastAsia="Times New Roman" w:hAnsi="Arial"/>
                <w:szCs w:val="24"/>
              </w:rPr>
            </w:pPr>
            <w:r w:rsidRPr="00117762">
              <w:rPr>
                <w:rFonts w:ascii="Segoe UI Symbol" w:eastAsia="Arial Unicode MS" w:hAnsi="Segoe UI Symbol" w:cs="Segoe UI Symbol"/>
                <w:szCs w:val="24"/>
              </w:rPr>
              <w:t>✓</w:t>
            </w:r>
          </w:p>
        </w:tc>
        <w:tc>
          <w:tcPr>
            <w:tcW w:w="570" w:type="dxa"/>
            <w:tcBorders>
              <w:top w:val="single" w:sz="8" w:space="0" w:color="000000"/>
              <w:left w:val="single" w:sz="8" w:space="0" w:color="000000"/>
              <w:bottom w:val="single" w:sz="8" w:space="0" w:color="000000"/>
              <w:right w:val="single" w:sz="8" w:space="0" w:color="000000"/>
            </w:tcBorders>
            <w:tcMar>
              <w:top w:w="20" w:type="dxa"/>
              <w:left w:w="20" w:type="dxa"/>
              <w:bottom w:w="20" w:type="dxa"/>
              <w:right w:w="20" w:type="dxa"/>
            </w:tcMar>
          </w:tcPr>
          <w:p w14:paraId="63A47579" w14:textId="77777777" w:rsidR="00DE1A44" w:rsidRPr="00117762" w:rsidRDefault="00000000" w:rsidP="00117762">
            <w:pPr>
              <w:spacing w:before="240" w:after="240"/>
              <w:rPr>
                <w:rFonts w:ascii="Arial" w:eastAsia="Times New Roman" w:hAnsi="Arial"/>
                <w:szCs w:val="24"/>
              </w:rPr>
            </w:pPr>
            <w:r w:rsidRPr="00117762">
              <w:rPr>
                <w:rFonts w:ascii="Segoe UI Symbol" w:eastAsia="Arial Unicode MS" w:hAnsi="Segoe UI Symbol" w:cs="Segoe UI Symbol"/>
                <w:szCs w:val="24"/>
              </w:rPr>
              <w:t>✓</w:t>
            </w:r>
          </w:p>
        </w:tc>
        <w:tc>
          <w:tcPr>
            <w:tcW w:w="1170" w:type="dxa"/>
            <w:tcBorders>
              <w:top w:val="single" w:sz="8" w:space="0" w:color="000000"/>
              <w:left w:val="single" w:sz="8" w:space="0" w:color="000000"/>
              <w:bottom w:val="single" w:sz="8" w:space="0" w:color="000000"/>
              <w:right w:val="single" w:sz="8" w:space="0" w:color="000000"/>
            </w:tcBorders>
            <w:tcMar>
              <w:top w:w="20" w:type="dxa"/>
              <w:left w:w="20" w:type="dxa"/>
              <w:bottom w:w="20" w:type="dxa"/>
              <w:right w:w="20" w:type="dxa"/>
            </w:tcMar>
          </w:tcPr>
          <w:p w14:paraId="373B96A6" w14:textId="77777777" w:rsidR="00DE1A44" w:rsidRPr="00117762" w:rsidRDefault="00000000" w:rsidP="00117762">
            <w:pPr>
              <w:spacing w:before="240" w:after="240"/>
              <w:rPr>
                <w:rFonts w:ascii="Arial" w:eastAsia="Times New Roman" w:hAnsi="Arial"/>
                <w:szCs w:val="24"/>
              </w:rPr>
            </w:pPr>
            <w:r w:rsidRPr="00117762">
              <w:rPr>
                <w:rFonts w:ascii="Segoe UI Symbol" w:eastAsia="Arial Unicode MS" w:hAnsi="Segoe UI Symbol" w:cs="Segoe UI Symbol"/>
                <w:szCs w:val="24"/>
              </w:rPr>
              <w:t>✓</w:t>
            </w:r>
          </w:p>
        </w:tc>
        <w:tc>
          <w:tcPr>
            <w:tcW w:w="1170" w:type="dxa"/>
            <w:tcBorders>
              <w:top w:val="single" w:sz="8" w:space="0" w:color="000000"/>
              <w:left w:val="single" w:sz="8" w:space="0" w:color="000000"/>
              <w:bottom w:val="single" w:sz="8" w:space="0" w:color="000000"/>
              <w:right w:val="single" w:sz="8" w:space="0" w:color="000000"/>
            </w:tcBorders>
            <w:tcMar>
              <w:top w:w="20" w:type="dxa"/>
              <w:left w:w="20" w:type="dxa"/>
              <w:bottom w:w="20" w:type="dxa"/>
              <w:right w:w="20" w:type="dxa"/>
            </w:tcMar>
          </w:tcPr>
          <w:p w14:paraId="040F232B" w14:textId="77777777" w:rsidR="00DE1A44" w:rsidRPr="00117762" w:rsidRDefault="00000000" w:rsidP="00117762">
            <w:pPr>
              <w:spacing w:before="240" w:after="240"/>
              <w:rPr>
                <w:rFonts w:ascii="Arial" w:eastAsia="Times New Roman" w:hAnsi="Arial"/>
                <w:szCs w:val="24"/>
              </w:rPr>
            </w:pPr>
            <w:r w:rsidRPr="00117762">
              <w:rPr>
                <w:rFonts w:ascii="Segoe UI Symbol" w:eastAsia="Arial Unicode MS" w:hAnsi="Segoe UI Symbol" w:cs="Segoe UI Symbol"/>
                <w:szCs w:val="24"/>
              </w:rPr>
              <w:t>✓</w:t>
            </w:r>
          </w:p>
        </w:tc>
        <w:tc>
          <w:tcPr>
            <w:tcW w:w="2265" w:type="dxa"/>
            <w:tcBorders>
              <w:top w:val="single" w:sz="8" w:space="0" w:color="000000"/>
              <w:left w:val="single" w:sz="8" w:space="0" w:color="000000"/>
              <w:bottom w:val="single" w:sz="8" w:space="0" w:color="000000"/>
              <w:right w:val="single" w:sz="8" w:space="0" w:color="000000"/>
            </w:tcBorders>
            <w:tcMar>
              <w:top w:w="20" w:type="dxa"/>
              <w:left w:w="20" w:type="dxa"/>
              <w:bottom w:w="20" w:type="dxa"/>
              <w:right w:w="20" w:type="dxa"/>
            </w:tcMar>
          </w:tcPr>
          <w:p w14:paraId="53C4D953" w14:textId="77777777" w:rsidR="00DE1A44" w:rsidRPr="00117762" w:rsidRDefault="00000000" w:rsidP="00117762">
            <w:pPr>
              <w:spacing w:before="240" w:after="240"/>
              <w:rPr>
                <w:rFonts w:ascii="Arial" w:eastAsia="Times New Roman" w:hAnsi="Arial"/>
                <w:szCs w:val="24"/>
              </w:rPr>
            </w:pPr>
            <w:r w:rsidRPr="00117762">
              <w:rPr>
                <w:rFonts w:ascii="Arial" w:eastAsia="Times New Roman" w:hAnsi="Arial"/>
                <w:szCs w:val="24"/>
              </w:rPr>
              <w:t>Sustained Competitive Advantage</w:t>
            </w:r>
          </w:p>
        </w:tc>
      </w:tr>
      <w:tr w:rsidR="00DE1A44" w:rsidRPr="00117762" w14:paraId="3CD211A1" w14:textId="77777777">
        <w:trPr>
          <w:trHeight w:val="840"/>
        </w:trPr>
        <w:tc>
          <w:tcPr>
            <w:tcW w:w="3150" w:type="dxa"/>
            <w:tcBorders>
              <w:top w:val="single" w:sz="8" w:space="0" w:color="000000"/>
              <w:left w:val="single" w:sz="8" w:space="0" w:color="000000"/>
              <w:bottom w:val="single" w:sz="8" w:space="0" w:color="000000"/>
              <w:right w:val="single" w:sz="8" w:space="0" w:color="000000"/>
            </w:tcBorders>
            <w:tcMar>
              <w:top w:w="20" w:type="dxa"/>
              <w:left w:w="20" w:type="dxa"/>
              <w:bottom w:w="20" w:type="dxa"/>
              <w:right w:w="20" w:type="dxa"/>
            </w:tcMar>
          </w:tcPr>
          <w:p w14:paraId="355D838D" w14:textId="77777777" w:rsidR="00DE1A44" w:rsidRPr="00117762" w:rsidRDefault="00000000" w:rsidP="00117762">
            <w:pPr>
              <w:spacing w:before="240" w:after="240"/>
              <w:rPr>
                <w:rFonts w:ascii="Arial" w:eastAsia="Times New Roman" w:hAnsi="Arial"/>
                <w:szCs w:val="24"/>
              </w:rPr>
            </w:pPr>
            <w:r w:rsidRPr="00117762">
              <w:rPr>
                <w:rFonts w:ascii="Arial" w:eastAsia="Times New Roman" w:hAnsi="Arial"/>
                <w:szCs w:val="24"/>
              </w:rPr>
              <w:t>Handcrafted Production Skills</w:t>
            </w:r>
          </w:p>
        </w:tc>
        <w:tc>
          <w:tcPr>
            <w:tcW w:w="1005" w:type="dxa"/>
            <w:tcBorders>
              <w:top w:val="single" w:sz="8" w:space="0" w:color="000000"/>
              <w:left w:val="single" w:sz="8" w:space="0" w:color="000000"/>
              <w:bottom w:val="single" w:sz="8" w:space="0" w:color="000000"/>
              <w:right w:val="single" w:sz="8" w:space="0" w:color="000000"/>
            </w:tcBorders>
            <w:tcMar>
              <w:top w:w="20" w:type="dxa"/>
              <w:left w:w="20" w:type="dxa"/>
              <w:bottom w:w="20" w:type="dxa"/>
              <w:right w:w="20" w:type="dxa"/>
            </w:tcMar>
          </w:tcPr>
          <w:p w14:paraId="5F8C7896" w14:textId="77777777" w:rsidR="00DE1A44" w:rsidRPr="00117762" w:rsidRDefault="00000000" w:rsidP="00117762">
            <w:pPr>
              <w:spacing w:before="240" w:after="240"/>
              <w:rPr>
                <w:rFonts w:ascii="Arial" w:eastAsia="Times New Roman" w:hAnsi="Arial"/>
                <w:szCs w:val="24"/>
              </w:rPr>
            </w:pPr>
            <w:r w:rsidRPr="00117762">
              <w:rPr>
                <w:rFonts w:ascii="Segoe UI Symbol" w:eastAsia="Arial Unicode MS" w:hAnsi="Segoe UI Symbol" w:cs="Segoe UI Symbol"/>
                <w:szCs w:val="24"/>
              </w:rPr>
              <w:t>✓</w:t>
            </w:r>
          </w:p>
        </w:tc>
        <w:tc>
          <w:tcPr>
            <w:tcW w:w="570" w:type="dxa"/>
            <w:tcBorders>
              <w:top w:val="single" w:sz="8" w:space="0" w:color="000000"/>
              <w:left w:val="single" w:sz="8" w:space="0" w:color="000000"/>
              <w:bottom w:val="single" w:sz="8" w:space="0" w:color="000000"/>
              <w:right w:val="single" w:sz="8" w:space="0" w:color="000000"/>
            </w:tcBorders>
            <w:tcMar>
              <w:top w:w="20" w:type="dxa"/>
              <w:left w:w="20" w:type="dxa"/>
              <w:bottom w:w="20" w:type="dxa"/>
              <w:right w:w="20" w:type="dxa"/>
            </w:tcMar>
          </w:tcPr>
          <w:p w14:paraId="2AFAED75" w14:textId="77777777" w:rsidR="00DE1A44" w:rsidRPr="00117762" w:rsidRDefault="00000000" w:rsidP="00117762">
            <w:pPr>
              <w:spacing w:before="240" w:after="240"/>
              <w:rPr>
                <w:rFonts w:ascii="Arial" w:eastAsia="Times New Roman" w:hAnsi="Arial"/>
                <w:szCs w:val="24"/>
              </w:rPr>
            </w:pPr>
            <w:r w:rsidRPr="00117762">
              <w:rPr>
                <w:rFonts w:ascii="Segoe UI Symbol" w:eastAsia="Arial Unicode MS" w:hAnsi="Segoe UI Symbol" w:cs="Segoe UI Symbol"/>
                <w:szCs w:val="24"/>
              </w:rPr>
              <w:t>✓</w:t>
            </w:r>
          </w:p>
        </w:tc>
        <w:tc>
          <w:tcPr>
            <w:tcW w:w="1170" w:type="dxa"/>
            <w:tcBorders>
              <w:top w:val="single" w:sz="8" w:space="0" w:color="000000"/>
              <w:left w:val="single" w:sz="8" w:space="0" w:color="000000"/>
              <w:bottom w:val="single" w:sz="8" w:space="0" w:color="000000"/>
              <w:right w:val="single" w:sz="8" w:space="0" w:color="000000"/>
            </w:tcBorders>
            <w:tcMar>
              <w:top w:w="20" w:type="dxa"/>
              <w:left w:w="20" w:type="dxa"/>
              <w:bottom w:w="20" w:type="dxa"/>
              <w:right w:w="20" w:type="dxa"/>
            </w:tcMar>
          </w:tcPr>
          <w:p w14:paraId="7774689C" w14:textId="77777777" w:rsidR="00DE1A44" w:rsidRPr="00117762" w:rsidRDefault="00000000" w:rsidP="00117762">
            <w:pPr>
              <w:spacing w:before="240" w:after="240"/>
              <w:rPr>
                <w:rFonts w:ascii="Arial" w:eastAsia="Times New Roman" w:hAnsi="Arial"/>
                <w:szCs w:val="24"/>
              </w:rPr>
            </w:pPr>
            <w:r w:rsidRPr="00117762">
              <w:rPr>
                <w:rFonts w:ascii="Segoe UI Symbol" w:eastAsia="Arial Unicode MS" w:hAnsi="Segoe UI Symbol" w:cs="Segoe UI Symbol"/>
                <w:szCs w:val="24"/>
              </w:rPr>
              <w:t>✓</w:t>
            </w:r>
          </w:p>
        </w:tc>
        <w:tc>
          <w:tcPr>
            <w:tcW w:w="1170" w:type="dxa"/>
            <w:tcBorders>
              <w:top w:val="single" w:sz="8" w:space="0" w:color="000000"/>
              <w:left w:val="single" w:sz="8" w:space="0" w:color="000000"/>
              <w:bottom w:val="single" w:sz="8" w:space="0" w:color="000000"/>
              <w:right w:val="single" w:sz="8" w:space="0" w:color="000000"/>
            </w:tcBorders>
            <w:tcMar>
              <w:top w:w="20" w:type="dxa"/>
              <w:left w:w="20" w:type="dxa"/>
              <w:bottom w:w="20" w:type="dxa"/>
              <w:right w:w="20" w:type="dxa"/>
            </w:tcMar>
          </w:tcPr>
          <w:p w14:paraId="47DE10F9" w14:textId="77777777" w:rsidR="00DE1A44" w:rsidRPr="00117762" w:rsidRDefault="00000000" w:rsidP="00117762">
            <w:pPr>
              <w:spacing w:before="240" w:after="240"/>
              <w:rPr>
                <w:rFonts w:ascii="Arial" w:eastAsia="Times New Roman" w:hAnsi="Arial"/>
                <w:szCs w:val="24"/>
              </w:rPr>
            </w:pPr>
            <w:r w:rsidRPr="00117762">
              <w:rPr>
                <w:rFonts w:ascii="Segoe UI Symbol" w:eastAsia="Arial Unicode MS" w:hAnsi="Segoe UI Symbol" w:cs="Segoe UI Symbol"/>
                <w:szCs w:val="24"/>
              </w:rPr>
              <w:t>✓</w:t>
            </w:r>
          </w:p>
        </w:tc>
        <w:tc>
          <w:tcPr>
            <w:tcW w:w="2265" w:type="dxa"/>
            <w:tcBorders>
              <w:top w:val="single" w:sz="8" w:space="0" w:color="000000"/>
              <w:left w:val="single" w:sz="8" w:space="0" w:color="000000"/>
              <w:bottom w:val="single" w:sz="8" w:space="0" w:color="000000"/>
              <w:right w:val="single" w:sz="8" w:space="0" w:color="000000"/>
            </w:tcBorders>
            <w:tcMar>
              <w:top w:w="20" w:type="dxa"/>
              <w:left w:w="20" w:type="dxa"/>
              <w:bottom w:w="20" w:type="dxa"/>
              <w:right w:w="20" w:type="dxa"/>
            </w:tcMar>
          </w:tcPr>
          <w:p w14:paraId="2D3DF44E" w14:textId="77777777" w:rsidR="00DE1A44" w:rsidRPr="00117762" w:rsidRDefault="00000000" w:rsidP="00117762">
            <w:pPr>
              <w:spacing w:before="240" w:after="240"/>
              <w:rPr>
                <w:rFonts w:ascii="Arial" w:eastAsia="Times New Roman" w:hAnsi="Arial"/>
                <w:szCs w:val="24"/>
              </w:rPr>
            </w:pPr>
            <w:r w:rsidRPr="00117762">
              <w:rPr>
                <w:rFonts w:ascii="Arial" w:eastAsia="Times New Roman" w:hAnsi="Arial"/>
                <w:szCs w:val="24"/>
              </w:rPr>
              <w:t>Sustained Competitive Advantage</w:t>
            </w:r>
          </w:p>
        </w:tc>
      </w:tr>
      <w:tr w:rsidR="00DE1A44" w:rsidRPr="00117762" w14:paraId="3A2C387D" w14:textId="77777777">
        <w:trPr>
          <w:trHeight w:val="570"/>
        </w:trPr>
        <w:tc>
          <w:tcPr>
            <w:tcW w:w="3150" w:type="dxa"/>
            <w:tcBorders>
              <w:top w:val="single" w:sz="8" w:space="0" w:color="000000"/>
              <w:left w:val="single" w:sz="8" w:space="0" w:color="000000"/>
              <w:bottom w:val="single" w:sz="8" w:space="0" w:color="000000"/>
              <w:right w:val="single" w:sz="8" w:space="0" w:color="000000"/>
            </w:tcBorders>
            <w:tcMar>
              <w:top w:w="20" w:type="dxa"/>
              <w:left w:w="20" w:type="dxa"/>
              <w:bottom w:w="20" w:type="dxa"/>
              <w:right w:w="20" w:type="dxa"/>
            </w:tcMar>
          </w:tcPr>
          <w:p w14:paraId="61FB174A" w14:textId="77777777" w:rsidR="00DE1A44" w:rsidRPr="00117762" w:rsidRDefault="00000000" w:rsidP="00117762">
            <w:pPr>
              <w:spacing w:before="240" w:after="240"/>
              <w:rPr>
                <w:rFonts w:ascii="Arial" w:eastAsia="Times New Roman" w:hAnsi="Arial"/>
                <w:szCs w:val="24"/>
              </w:rPr>
            </w:pPr>
            <w:r w:rsidRPr="00117762">
              <w:rPr>
                <w:rFonts w:ascii="Arial" w:eastAsia="Times New Roman" w:hAnsi="Arial"/>
                <w:szCs w:val="24"/>
              </w:rPr>
              <w:t>Loyal Niche Customer Base</w:t>
            </w:r>
          </w:p>
        </w:tc>
        <w:tc>
          <w:tcPr>
            <w:tcW w:w="1005" w:type="dxa"/>
            <w:tcBorders>
              <w:top w:val="single" w:sz="8" w:space="0" w:color="000000"/>
              <w:left w:val="single" w:sz="8" w:space="0" w:color="000000"/>
              <w:bottom w:val="single" w:sz="8" w:space="0" w:color="000000"/>
              <w:right w:val="single" w:sz="8" w:space="0" w:color="000000"/>
            </w:tcBorders>
            <w:tcMar>
              <w:top w:w="20" w:type="dxa"/>
              <w:left w:w="20" w:type="dxa"/>
              <w:bottom w:w="20" w:type="dxa"/>
              <w:right w:w="20" w:type="dxa"/>
            </w:tcMar>
          </w:tcPr>
          <w:p w14:paraId="78B96EDC" w14:textId="77777777" w:rsidR="00DE1A44" w:rsidRPr="00117762" w:rsidRDefault="00000000" w:rsidP="00117762">
            <w:pPr>
              <w:spacing w:before="240" w:after="240"/>
              <w:rPr>
                <w:rFonts w:ascii="Arial" w:eastAsia="Times New Roman" w:hAnsi="Arial"/>
                <w:szCs w:val="24"/>
              </w:rPr>
            </w:pPr>
            <w:r w:rsidRPr="00117762">
              <w:rPr>
                <w:rFonts w:ascii="Segoe UI Symbol" w:eastAsia="Arial Unicode MS" w:hAnsi="Segoe UI Symbol" w:cs="Segoe UI Symbol"/>
                <w:szCs w:val="24"/>
              </w:rPr>
              <w:t>✓</w:t>
            </w:r>
          </w:p>
        </w:tc>
        <w:tc>
          <w:tcPr>
            <w:tcW w:w="570" w:type="dxa"/>
            <w:tcBorders>
              <w:top w:val="single" w:sz="8" w:space="0" w:color="000000"/>
              <w:left w:val="single" w:sz="8" w:space="0" w:color="000000"/>
              <w:bottom w:val="single" w:sz="8" w:space="0" w:color="000000"/>
              <w:right w:val="single" w:sz="8" w:space="0" w:color="000000"/>
            </w:tcBorders>
            <w:tcMar>
              <w:top w:w="20" w:type="dxa"/>
              <w:left w:w="20" w:type="dxa"/>
              <w:bottom w:w="20" w:type="dxa"/>
              <w:right w:w="20" w:type="dxa"/>
            </w:tcMar>
          </w:tcPr>
          <w:p w14:paraId="7CDEED39" w14:textId="77777777" w:rsidR="00DE1A44" w:rsidRPr="00117762" w:rsidRDefault="00000000" w:rsidP="00117762">
            <w:pPr>
              <w:spacing w:before="240" w:after="240"/>
              <w:rPr>
                <w:rFonts w:ascii="Arial" w:eastAsia="Times New Roman" w:hAnsi="Arial"/>
                <w:szCs w:val="24"/>
              </w:rPr>
            </w:pPr>
            <w:r w:rsidRPr="00117762">
              <w:rPr>
                <w:rFonts w:ascii="Segoe UI Symbol" w:eastAsia="Arial Unicode MS" w:hAnsi="Segoe UI Symbol" w:cs="Segoe UI Symbol"/>
                <w:szCs w:val="24"/>
              </w:rPr>
              <w:t>✓</w:t>
            </w:r>
          </w:p>
        </w:tc>
        <w:tc>
          <w:tcPr>
            <w:tcW w:w="1170" w:type="dxa"/>
            <w:tcBorders>
              <w:top w:val="single" w:sz="8" w:space="0" w:color="000000"/>
              <w:left w:val="single" w:sz="8" w:space="0" w:color="000000"/>
              <w:bottom w:val="single" w:sz="8" w:space="0" w:color="000000"/>
              <w:right w:val="single" w:sz="8" w:space="0" w:color="000000"/>
            </w:tcBorders>
            <w:tcMar>
              <w:top w:w="20" w:type="dxa"/>
              <w:left w:w="20" w:type="dxa"/>
              <w:bottom w:w="20" w:type="dxa"/>
              <w:right w:w="20" w:type="dxa"/>
            </w:tcMar>
          </w:tcPr>
          <w:p w14:paraId="0F3F94ED" w14:textId="77777777" w:rsidR="00DE1A44" w:rsidRPr="00117762" w:rsidRDefault="00000000" w:rsidP="00117762">
            <w:pPr>
              <w:spacing w:before="240" w:after="240"/>
              <w:rPr>
                <w:rFonts w:ascii="Arial" w:eastAsia="Times New Roman" w:hAnsi="Arial"/>
                <w:szCs w:val="24"/>
              </w:rPr>
            </w:pPr>
            <w:r w:rsidRPr="00117762">
              <w:rPr>
                <w:rFonts w:ascii="Segoe UI Symbol" w:eastAsia="Arial Unicode MS" w:hAnsi="Segoe UI Symbol" w:cs="Segoe UI Symbol"/>
                <w:szCs w:val="24"/>
              </w:rPr>
              <w:t>✓</w:t>
            </w:r>
          </w:p>
        </w:tc>
        <w:tc>
          <w:tcPr>
            <w:tcW w:w="1170" w:type="dxa"/>
            <w:tcBorders>
              <w:top w:val="single" w:sz="8" w:space="0" w:color="000000"/>
              <w:left w:val="single" w:sz="8" w:space="0" w:color="000000"/>
              <w:bottom w:val="single" w:sz="8" w:space="0" w:color="000000"/>
              <w:right w:val="single" w:sz="8" w:space="0" w:color="000000"/>
            </w:tcBorders>
            <w:tcMar>
              <w:top w:w="20" w:type="dxa"/>
              <w:left w:w="20" w:type="dxa"/>
              <w:bottom w:w="20" w:type="dxa"/>
              <w:right w:w="20" w:type="dxa"/>
            </w:tcMar>
          </w:tcPr>
          <w:p w14:paraId="15410D42" w14:textId="77777777" w:rsidR="00DE1A44" w:rsidRPr="00117762" w:rsidRDefault="00000000" w:rsidP="00117762">
            <w:pPr>
              <w:spacing w:before="240" w:after="240"/>
              <w:rPr>
                <w:rFonts w:ascii="Arial" w:eastAsia="Times New Roman" w:hAnsi="Arial"/>
                <w:szCs w:val="24"/>
              </w:rPr>
            </w:pPr>
            <w:r w:rsidRPr="00117762">
              <w:rPr>
                <w:rFonts w:ascii="Arial" w:eastAsia="Times New Roman" w:hAnsi="Arial"/>
                <w:szCs w:val="24"/>
              </w:rPr>
              <w:t>Partial</w:t>
            </w:r>
          </w:p>
        </w:tc>
        <w:tc>
          <w:tcPr>
            <w:tcW w:w="2265" w:type="dxa"/>
            <w:tcBorders>
              <w:top w:val="single" w:sz="8" w:space="0" w:color="000000"/>
              <w:left w:val="single" w:sz="8" w:space="0" w:color="000000"/>
              <w:bottom w:val="single" w:sz="8" w:space="0" w:color="000000"/>
              <w:right w:val="single" w:sz="8" w:space="0" w:color="000000"/>
            </w:tcBorders>
            <w:tcMar>
              <w:top w:w="20" w:type="dxa"/>
              <w:left w:w="20" w:type="dxa"/>
              <w:bottom w:w="20" w:type="dxa"/>
              <w:right w:w="20" w:type="dxa"/>
            </w:tcMar>
          </w:tcPr>
          <w:p w14:paraId="7BA6698D" w14:textId="77777777" w:rsidR="00DE1A44" w:rsidRPr="00117762" w:rsidRDefault="00000000" w:rsidP="00117762">
            <w:pPr>
              <w:spacing w:before="240" w:after="240"/>
              <w:rPr>
                <w:rFonts w:ascii="Arial" w:eastAsia="Times New Roman" w:hAnsi="Arial"/>
                <w:szCs w:val="24"/>
              </w:rPr>
            </w:pPr>
            <w:r w:rsidRPr="00117762">
              <w:rPr>
                <w:rFonts w:ascii="Arial" w:eastAsia="Times New Roman" w:hAnsi="Arial"/>
                <w:szCs w:val="24"/>
              </w:rPr>
              <w:t>Potential Sustained Advantage</w:t>
            </w:r>
          </w:p>
        </w:tc>
      </w:tr>
      <w:tr w:rsidR="00DE1A44" w:rsidRPr="00117762" w14:paraId="667EB3CD" w14:textId="77777777">
        <w:trPr>
          <w:trHeight w:val="570"/>
        </w:trPr>
        <w:tc>
          <w:tcPr>
            <w:tcW w:w="3150" w:type="dxa"/>
            <w:tcBorders>
              <w:top w:val="single" w:sz="8" w:space="0" w:color="000000"/>
              <w:left w:val="single" w:sz="8" w:space="0" w:color="000000"/>
              <w:bottom w:val="single" w:sz="8" w:space="0" w:color="000000"/>
              <w:right w:val="single" w:sz="8" w:space="0" w:color="000000"/>
            </w:tcBorders>
            <w:tcMar>
              <w:top w:w="20" w:type="dxa"/>
              <w:left w:w="20" w:type="dxa"/>
              <w:bottom w:w="20" w:type="dxa"/>
              <w:right w:w="20" w:type="dxa"/>
            </w:tcMar>
          </w:tcPr>
          <w:p w14:paraId="4D7FED66" w14:textId="77777777" w:rsidR="00DE1A44" w:rsidRPr="00117762" w:rsidRDefault="00000000" w:rsidP="00117762">
            <w:pPr>
              <w:spacing w:before="240" w:after="240"/>
              <w:rPr>
                <w:rFonts w:ascii="Arial" w:eastAsia="Times New Roman" w:hAnsi="Arial"/>
                <w:szCs w:val="24"/>
              </w:rPr>
            </w:pPr>
            <w:r w:rsidRPr="00117762">
              <w:rPr>
                <w:rFonts w:ascii="Arial" w:eastAsia="Times New Roman" w:hAnsi="Arial"/>
                <w:szCs w:val="24"/>
              </w:rPr>
              <w:t>Technological Innovation (EV Transition)</w:t>
            </w:r>
          </w:p>
        </w:tc>
        <w:tc>
          <w:tcPr>
            <w:tcW w:w="1005" w:type="dxa"/>
            <w:tcBorders>
              <w:top w:val="single" w:sz="8" w:space="0" w:color="000000"/>
              <w:left w:val="single" w:sz="8" w:space="0" w:color="000000"/>
              <w:bottom w:val="single" w:sz="8" w:space="0" w:color="000000"/>
              <w:right w:val="single" w:sz="8" w:space="0" w:color="000000"/>
            </w:tcBorders>
            <w:tcMar>
              <w:top w:w="20" w:type="dxa"/>
              <w:left w:w="20" w:type="dxa"/>
              <w:bottom w:w="20" w:type="dxa"/>
              <w:right w:w="20" w:type="dxa"/>
            </w:tcMar>
          </w:tcPr>
          <w:p w14:paraId="3FC341AA" w14:textId="77777777" w:rsidR="00DE1A44" w:rsidRPr="00117762" w:rsidRDefault="00000000" w:rsidP="00117762">
            <w:pPr>
              <w:spacing w:before="240" w:after="240"/>
              <w:rPr>
                <w:rFonts w:ascii="Arial" w:eastAsia="Times New Roman" w:hAnsi="Arial"/>
                <w:szCs w:val="24"/>
              </w:rPr>
            </w:pPr>
            <w:r w:rsidRPr="00117762">
              <w:rPr>
                <w:rFonts w:ascii="Segoe UI Symbol" w:eastAsia="Arial Unicode MS" w:hAnsi="Segoe UI Symbol" w:cs="Segoe UI Symbol"/>
                <w:szCs w:val="24"/>
              </w:rPr>
              <w:t>✓</w:t>
            </w:r>
          </w:p>
        </w:tc>
        <w:tc>
          <w:tcPr>
            <w:tcW w:w="570" w:type="dxa"/>
            <w:tcBorders>
              <w:top w:val="single" w:sz="8" w:space="0" w:color="000000"/>
              <w:left w:val="single" w:sz="8" w:space="0" w:color="000000"/>
              <w:bottom w:val="single" w:sz="8" w:space="0" w:color="000000"/>
              <w:right w:val="single" w:sz="8" w:space="0" w:color="000000"/>
            </w:tcBorders>
            <w:tcMar>
              <w:top w:w="20" w:type="dxa"/>
              <w:left w:w="20" w:type="dxa"/>
              <w:bottom w:w="20" w:type="dxa"/>
              <w:right w:w="20" w:type="dxa"/>
            </w:tcMar>
          </w:tcPr>
          <w:p w14:paraId="40BAE7E8" w14:textId="77777777" w:rsidR="00DE1A44" w:rsidRPr="00117762" w:rsidRDefault="00000000" w:rsidP="00117762">
            <w:pPr>
              <w:spacing w:before="240" w:after="240"/>
              <w:rPr>
                <w:rFonts w:ascii="Arial" w:eastAsia="Times New Roman" w:hAnsi="Arial"/>
                <w:szCs w:val="24"/>
              </w:rPr>
            </w:pPr>
            <w:r w:rsidRPr="00117762">
              <w:rPr>
                <w:rFonts w:ascii="Arial" w:eastAsia="Times New Roman" w:hAnsi="Arial"/>
                <w:szCs w:val="24"/>
              </w:rPr>
              <w:t>No</w:t>
            </w:r>
          </w:p>
        </w:tc>
        <w:tc>
          <w:tcPr>
            <w:tcW w:w="1170" w:type="dxa"/>
            <w:tcBorders>
              <w:top w:val="single" w:sz="8" w:space="0" w:color="000000"/>
              <w:left w:val="single" w:sz="8" w:space="0" w:color="000000"/>
              <w:bottom w:val="single" w:sz="8" w:space="0" w:color="000000"/>
              <w:right w:val="single" w:sz="8" w:space="0" w:color="000000"/>
            </w:tcBorders>
            <w:tcMar>
              <w:top w:w="20" w:type="dxa"/>
              <w:left w:w="20" w:type="dxa"/>
              <w:bottom w:w="20" w:type="dxa"/>
              <w:right w:w="20" w:type="dxa"/>
            </w:tcMar>
          </w:tcPr>
          <w:p w14:paraId="5D5F7E41" w14:textId="77777777" w:rsidR="00DE1A44" w:rsidRPr="00117762" w:rsidRDefault="00000000" w:rsidP="00117762">
            <w:pPr>
              <w:spacing w:before="240" w:after="240"/>
              <w:rPr>
                <w:rFonts w:ascii="Arial" w:eastAsia="Times New Roman" w:hAnsi="Arial"/>
                <w:szCs w:val="24"/>
              </w:rPr>
            </w:pPr>
            <w:r w:rsidRPr="00117762">
              <w:rPr>
                <w:rFonts w:ascii="Arial" w:eastAsia="Times New Roman" w:hAnsi="Arial"/>
                <w:szCs w:val="24"/>
              </w:rPr>
              <w:t>No</w:t>
            </w:r>
          </w:p>
        </w:tc>
        <w:tc>
          <w:tcPr>
            <w:tcW w:w="1170" w:type="dxa"/>
            <w:tcBorders>
              <w:top w:val="single" w:sz="8" w:space="0" w:color="000000"/>
              <w:left w:val="single" w:sz="8" w:space="0" w:color="000000"/>
              <w:bottom w:val="single" w:sz="8" w:space="0" w:color="000000"/>
              <w:right w:val="single" w:sz="8" w:space="0" w:color="000000"/>
            </w:tcBorders>
            <w:tcMar>
              <w:top w:w="20" w:type="dxa"/>
              <w:left w:w="20" w:type="dxa"/>
              <w:bottom w:w="20" w:type="dxa"/>
              <w:right w:w="20" w:type="dxa"/>
            </w:tcMar>
          </w:tcPr>
          <w:p w14:paraId="337B6EB0" w14:textId="77777777" w:rsidR="00DE1A44" w:rsidRPr="00117762" w:rsidRDefault="00000000" w:rsidP="00117762">
            <w:pPr>
              <w:spacing w:before="240" w:after="240"/>
              <w:rPr>
                <w:rFonts w:ascii="Arial" w:eastAsia="Times New Roman" w:hAnsi="Arial"/>
                <w:szCs w:val="24"/>
              </w:rPr>
            </w:pPr>
            <w:r w:rsidRPr="00117762">
              <w:rPr>
                <w:rFonts w:ascii="Arial" w:eastAsia="Times New Roman" w:hAnsi="Arial"/>
                <w:szCs w:val="24"/>
              </w:rPr>
              <w:t>No</w:t>
            </w:r>
          </w:p>
        </w:tc>
        <w:tc>
          <w:tcPr>
            <w:tcW w:w="2265" w:type="dxa"/>
            <w:tcBorders>
              <w:top w:val="single" w:sz="8" w:space="0" w:color="000000"/>
              <w:left w:val="single" w:sz="8" w:space="0" w:color="000000"/>
              <w:bottom w:val="single" w:sz="8" w:space="0" w:color="000000"/>
              <w:right w:val="single" w:sz="8" w:space="0" w:color="000000"/>
            </w:tcBorders>
            <w:tcMar>
              <w:top w:w="20" w:type="dxa"/>
              <w:left w:w="20" w:type="dxa"/>
              <w:bottom w:w="20" w:type="dxa"/>
              <w:right w:w="20" w:type="dxa"/>
            </w:tcMar>
          </w:tcPr>
          <w:p w14:paraId="21521F12" w14:textId="77777777" w:rsidR="00DE1A44" w:rsidRPr="00117762" w:rsidRDefault="00000000" w:rsidP="00117762">
            <w:pPr>
              <w:spacing w:before="240" w:after="240"/>
              <w:rPr>
                <w:rFonts w:ascii="Arial" w:eastAsia="Times New Roman" w:hAnsi="Arial"/>
                <w:szCs w:val="24"/>
              </w:rPr>
            </w:pPr>
            <w:r w:rsidRPr="00117762">
              <w:rPr>
                <w:rFonts w:ascii="Arial" w:eastAsia="Times New Roman" w:hAnsi="Arial"/>
                <w:szCs w:val="24"/>
              </w:rPr>
              <w:t>Competitive Parity</w:t>
            </w:r>
          </w:p>
        </w:tc>
      </w:tr>
      <w:tr w:rsidR="00DE1A44" w:rsidRPr="00117762" w14:paraId="374D9720" w14:textId="77777777">
        <w:trPr>
          <w:trHeight w:val="570"/>
        </w:trPr>
        <w:tc>
          <w:tcPr>
            <w:tcW w:w="3150" w:type="dxa"/>
            <w:tcBorders>
              <w:top w:val="single" w:sz="8" w:space="0" w:color="000000"/>
              <w:left w:val="single" w:sz="8" w:space="0" w:color="000000"/>
              <w:bottom w:val="single" w:sz="8" w:space="0" w:color="000000"/>
              <w:right w:val="single" w:sz="8" w:space="0" w:color="000000"/>
            </w:tcBorders>
            <w:tcMar>
              <w:top w:w="20" w:type="dxa"/>
              <w:left w:w="20" w:type="dxa"/>
              <w:bottom w:w="20" w:type="dxa"/>
              <w:right w:w="20" w:type="dxa"/>
            </w:tcMar>
          </w:tcPr>
          <w:p w14:paraId="25C4BD81" w14:textId="77777777" w:rsidR="00DE1A44" w:rsidRPr="00117762" w:rsidRDefault="00000000" w:rsidP="00117762">
            <w:pPr>
              <w:spacing w:before="240" w:after="240"/>
              <w:rPr>
                <w:rFonts w:ascii="Arial" w:eastAsia="Times New Roman" w:hAnsi="Arial"/>
                <w:szCs w:val="24"/>
              </w:rPr>
            </w:pPr>
            <w:r w:rsidRPr="00117762">
              <w:rPr>
                <w:rFonts w:ascii="Arial" w:eastAsia="Times New Roman" w:hAnsi="Arial"/>
                <w:szCs w:val="24"/>
              </w:rPr>
              <w:t>Small-Scale Production Facilities</w:t>
            </w:r>
          </w:p>
        </w:tc>
        <w:tc>
          <w:tcPr>
            <w:tcW w:w="1005" w:type="dxa"/>
            <w:tcBorders>
              <w:top w:val="single" w:sz="8" w:space="0" w:color="000000"/>
              <w:left w:val="single" w:sz="8" w:space="0" w:color="000000"/>
              <w:bottom w:val="single" w:sz="8" w:space="0" w:color="000000"/>
              <w:right w:val="single" w:sz="8" w:space="0" w:color="000000"/>
            </w:tcBorders>
            <w:tcMar>
              <w:top w:w="20" w:type="dxa"/>
              <w:left w:w="20" w:type="dxa"/>
              <w:bottom w:w="20" w:type="dxa"/>
              <w:right w:w="20" w:type="dxa"/>
            </w:tcMar>
          </w:tcPr>
          <w:p w14:paraId="07A6C546" w14:textId="77777777" w:rsidR="00DE1A44" w:rsidRPr="00117762" w:rsidRDefault="00000000" w:rsidP="00117762">
            <w:pPr>
              <w:spacing w:before="240" w:after="240"/>
              <w:rPr>
                <w:rFonts w:ascii="Arial" w:eastAsia="Times New Roman" w:hAnsi="Arial"/>
                <w:szCs w:val="24"/>
              </w:rPr>
            </w:pPr>
            <w:r w:rsidRPr="00117762">
              <w:rPr>
                <w:rFonts w:ascii="Segoe UI Symbol" w:eastAsia="Arial Unicode MS" w:hAnsi="Segoe UI Symbol" w:cs="Segoe UI Symbol"/>
                <w:szCs w:val="24"/>
              </w:rPr>
              <w:t>✓</w:t>
            </w:r>
          </w:p>
        </w:tc>
        <w:tc>
          <w:tcPr>
            <w:tcW w:w="570" w:type="dxa"/>
            <w:tcBorders>
              <w:top w:val="single" w:sz="8" w:space="0" w:color="000000"/>
              <w:left w:val="single" w:sz="8" w:space="0" w:color="000000"/>
              <w:bottom w:val="single" w:sz="8" w:space="0" w:color="000000"/>
              <w:right w:val="single" w:sz="8" w:space="0" w:color="000000"/>
            </w:tcBorders>
            <w:tcMar>
              <w:top w:w="20" w:type="dxa"/>
              <w:left w:w="20" w:type="dxa"/>
              <w:bottom w:w="20" w:type="dxa"/>
              <w:right w:w="20" w:type="dxa"/>
            </w:tcMar>
          </w:tcPr>
          <w:p w14:paraId="23EAC5E1" w14:textId="77777777" w:rsidR="00DE1A44" w:rsidRPr="00117762" w:rsidRDefault="00000000" w:rsidP="00117762">
            <w:pPr>
              <w:spacing w:before="240" w:after="240"/>
              <w:rPr>
                <w:rFonts w:ascii="Arial" w:eastAsia="Times New Roman" w:hAnsi="Arial"/>
                <w:szCs w:val="24"/>
              </w:rPr>
            </w:pPr>
            <w:r w:rsidRPr="00117762">
              <w:rPr>
                <w:rFonts w:ascii="Arial" w:eastAsia="Times New Roman" w:hAnsi="Arial"/>
                <w:szCs w:val="24"/>
              </w:rPr>
              <w:t>No</w:t>
            </w:r>
          </w:p>
        </w:tc>
        <w:tc>
          <w:tcPr>
            <w:tcW w:w="1170" w:type="dxa"/>
            <w:tcBorders>
              <w:top w:val="single" w:sz="8" w:space="0" w:color="000000"/>
              <w:left w:val="single" w:sz="8" w:space="0" w:color="000000"/>
              <w:bottom w:val="single" w:sz="8" w:space="0" w:color="000000"/>
              <w:right w:val="single" w:sz="8" w:space="0" w:color="000000"/>
            </w:tcBorders>
            <w:tcMar>
              <w:top w:w="20" w:type="dxa"/>
              <w:left w:w="20" w:type="dxa"/>
              <w:bottom w:w="20" w:type="dxa"/>
              <w:right w:w="20" w:type="dxa"/>
            </w:tcMar>
          </w:tcPr>
          <w:p w14:paraId="00B60C1A" w14:textId="77777777" w:rsidR="00DE1A44" w:rsidRPr="00117762" w:rsidRDefault="00000000" w:rsidP="00117762">
            <w:pPr>
              <w:spacing w:before="240" w:after="240"/>
              <w:rPr>
                <w:rFonts w:ascii="Arial" w:eastAsia="Times New Roman" w:hAnsi="Arial"/>
                <w:szCs w:val="24"/>
              </w:rPr>
            </w:pPr>
            <w:r w:rsidRPr="00117762">
              <w:rPr>
                <w:rFonts w:ascii="Arial" w:eastAsia="Times New Roman" w:hAnsi="Arial"/>
                <w:szCs w:val="24"/>
              </w:rPr>
              <w:t>No</w:t>
            </w:r>
          </w:p>
        </w:tc>
        <w:tc>
          <w:tcPr>
            <w:tcW w:w="1170" w:type="dxa"/>
            <w:tcBorders>
              <w:top w:val="single" w:sz="8" w:space="0" w:color="000000"/>
              <w:left w:val="single" w:sz="8" w:space="0" w:color="000000"/>
              <w:bottom w:val="single" w:sz="8" w:space="0" w:color="000000"/>
              <w:right w:val="single" w:sz="8" w:space="0" w:color="000000"/>
            </w:tcBorders>
            <w:tcMar>
              <w:top w:w="20" w:type="dxa"/>
              <w:left w:w="20" w:type="dxa"/>
              <w:bottom w:w="20" w:type="dxa"/>
              <w:right w:w="20" w:type="dxa"/>
            </w:tcMar>
          </w:tcPr>
          <w:p w14:paraId="62FB003C" w14:textId="77777777" w:rsidR="00DE1A44" w:rsidRPr="00117762" w:rsidRDefault="00000000" w:rsidP="00117762">
            <w:pPr>
              <w:spacing w:before="240" w:after="240"/>
              <w:rPr>
                <w:rFonts w:ascii="Arial" w:eastAsia="Times New Roman" w:hAnsi="Arial"/>
                <w:szCs w:val="24"/>
              </w:rPr>
            </w:pPr>
            <w:r w:rsidRPr="00117762">
              <w:rPr>
                <w:rFonts w:ascii="Arial" w:eastAsia="Times New Roman" w:hAnsi="Arial"/>
                <w:szCs w:val="24"/>
              </w:rPr>
              <w:t>Yes</w:t>
            </w:r>
          </w:p>
        </w:tc>
        <w:tc>
          <w:tcPr>
            <w:tcW w:w="2265" w:type="dxa"/>
            <w:tcBorders>
              <w:top w:val="single" w:sz="8" w:space="0" w:color="000000"/>
              <w:left w:val="single" w:sz="8" w:space="0" w:color="000000"/>
              <w:bottom w:val="single" w:sz="8" w:space="0" w:color="000000"/>
              <w:right w:val="single" w:sz="8" w:space="0" w:color="000000"/>
            </w:tcBorders>
            <w:tcMar>
              <w:top w:w="20" w:type="dxa"/>
              <w:left w:w="20" w:type="dxa"/>
              <w:bottom w:w="20" w:type="dxa"/>
              <w:right w:w="20" w:type="dxa"/>
            </w:tcMar>
          </w:tcPr>
          <w:p w14:paraId="5244DFE1" w14:textId="77777777" w:rsidR="00DE1A44" w:rsidRPr="00117762" w:rsidRDefault="00000000" w:rsidP="00117762">
            <w:pPr>
              <w:spacing w:before="240" w:after="240"/>
              <w:rPr>
                <w:rFonts w:ascii="Arial" w:eastAsia="Times New Roman" w:hAnsi="Arial"/>
                <w:szCs w:val="24"/>
              </w:rPr>
            </w:pPr>
            <w:r w:rsidRPr="00117762">
              <w:rPr>
                <w:rFonts w:ascii="Arial" w:eastAsia="Times New Roman" w:hAnsi="Arial"/>
                <w:szCs w:val="24"/>
              </w:rPr>
              <w:t>Temporary Advantage</w:t>
            </w:r>
          </w:p>
        </w:tc>
      </w:tr>
    </w:tbl>
    <w:p w14:paraId="36AB7F0B" w14:textId="77777777" w:rsidR="00DE1A44" w:rsidRPr="00117762" w:rsidRDefault="00000000" w:rsidP="006A6CBC">
      <w:pPr>
        <w:spacing w:before="240" w:after="240"/>
        <w:jc w:val="center"/>
        <w:rPr>
          <w:rFonts w:ascii="Arial" w:eastAsia="Times New Roman" w:hAnsi="Arial"/>
          <w:b/>
          <w:bCs/>
          <w:szCs w:val="24"/>
        </w:rPr>
      </w:pPr>
      <w:r w:rsidRPr="00117762">
        <w:rPr>
          <w:rFonts w:ascii="Arial" w:eastAsia="Times New Roman" w:hAnsi="Arial"/>
          <w:b/>
          <w:bCs/>
          <w:szCs w:val="24"/>
        </w:rPr>
        <w:t>Table 4: VRIO Framework Analysis</w:t>
      </w:r>
    </w:p>
    <w:p w14:paraId="6C35895B" w14:textId="77777777" w:rsidR="00DE1A44" w:rsidRPr="00117762" w:rsidRDefault="00000000" w:rsidP="006A6CBC">
      <w:pPr>
        <w:spacing w:before="240" w:after="240"/>
        <w:jc w:val="center"/>
        <w:rPr>
          <w:rFonts w:ascii="Arial" w:eastAsia="Times New Roman" w:hAnsi="Arial"/>
          <w:szCs w:val="24"/>
        </w:rPr>
      </w:pPr>
      <w:r w:rsidRPr="00117762">
        <w:rPr>
          <w:rFonts w:ascii="Arial" w:eastAsia="Times New Roman" w:hAnsi="Arial"/>
          <w:szCs w:val="24"/>
        </w:rPr>
        <w:t>(Source: Self-developed)</w:t>
      </w:r>
    </w:p>
    <w:p w14:paraId="5CE36962" w14:textId="77777777" w:rsidR="00DE1A44" w:rsidRPr="00117762" w:rsidRDefault="00000000" w:rsidP="00117762">
      <w:pPr>
        <w:spacing w:before="240" w:after="240"/>
        <w:rPr>
          <w:rFonts w:ascii="Arial" w:hAnsi="Arial"/>
          <w:szCs w:val="24"/>
          <w:highlight w:val="white"/>
        </w:rPr>
      </w:pPr>
      <w:r w:rsidRPr="00117762">
        <w:rPr>
          <w:rFonts w:ascii="Arial" w:eastAsia="Times New Roman" w:hAnsi="Arial"/>
          <w:szCs w:val="24"/>
        </w:rPr>
        <w:lastRenderedPageBreak/>
        <w:t>The results recommend that Morgan Motors retains a sustained competitive advantage initially through its brand and artisanal craftsmanship. Therefore, technology-based capabilities need improvement to remain competitive in a rapidly evolving automotive landscape (</w:t>
      </w:r>
      <w:r w:rsidRPr="00117762">
        <w:rPr>
          <w:rFonts w:ascii="Arial" w:eastAsia="Times New Roman" w:hAnsi="Arial"/>
          <w:szCs w:val="24"/>
          <w:highlight w:val="white"/>
        </w:rPr>
        <w:t>Lopez-Vega and Moodysson, 2023)</w:t>
      </w:r>
      <w:r w:rsidRPr="00117762">
        <w:rPr>
          <w:rFonts w:ascii="Arial" w:eastAsia="Times New Roman" w:hAnsi="Arial"/>
          <w:szCs w:val="24"/>
        </w:rPr>
        <w:t xml:space="preserve">. </w:t>
      </w:r>
    </w:p>
    <w:p w14:paraId="377DD495" w14:textId="55C6E872" w:rsidR="00DE1A44" w:rsidRPr="006A6CBC" w:rsidRDefault="00000000" w:rsidP="006A6CBC">
      <w:pPr>
        <w:pStyle w:val="Heading2"/>
        <w:spacing w:before="240" w:after="240"/>
        <w:rPr>
          <w:rFonts w:ascii="Arial" w:hAnsi="Arial"/>
          <w:szCs w:val="24"/>
        </w:rPr>
      </w:pPr>
      <w:bookmarkStart w:id="11" w:name="_Toc215174602"/>
      <w:r w:rsidRPr="00117762">
        <w:rPr>
          <w:rFonts w:ascii="Arial" w:hAnsi="Arial"/>
          <w:szCs w:val="24"/>
        </w:rPr>
        <w:t>2.3 SWOT Analysis</w:t>
      </w:r>
      <w:bookmarkEnd w:id="11"/>
      <w:r w:rsidRPr="00117762">
        <w:rPr>
          <w:rFonts w:ascii="Arial" w:hAnsi="Arial"/>
          <w:szCs w:val="24"/>
        </w:rPr>
        <w:t xml:space="preserve"> </w:t>
      </w:r>
    </w:p>
    <w:tbl>
      <w:tblPr>
        <w:tblStyle w:val="a3"/>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DE1A44" w:rsidRPr="00117762" w14:paraId="210FF62C" w14:textId="77777777">
        <w:tc>
          <w:tcPr>
            <w:tcW w:w="4680" w:type="dxa"/>
            <w:tcMar>
              <w:top w:w="100" w:type="dxa"/>
              <w:left w:w="100" w:type="dxa"/>
              <w:bottom w:w="100" w:type="dxa"/>
              <w:right w:w="100" w:type="dxa"/>
            </w:tcMar>
          </w:tcPr>
          <w:p w14:paraId="715123BB" w14:textId="77777777" w:rsidR="00DE1A44" w:rsidRPr="00117762" w:rsidRDefault="00000000" w:rsidP="00117762">
            <w:pPr>
              <w:spacing w:before="240" w:after="240"/>
              <w:rPr>
                <w:rFonts w:ascii="Arial" w:eastAsia="Times New Roman" w:hAnsi="Arial"/>
                <w:b/>
                <w:bCs/>
                <w:szCs w:val="24"/>
              </w:rPr>
            </w:pPr>
            <w:r w:rsidRPr="00117762">
              <w:rPr>
                <w:rFonts w:ascii="Arial" w:eastAsia="Times New Roman" w:hAnsi="Arial"/>
                <w:b/>
                <w:bCs/>
                <w:szCs w:val="24"/>
              </w:rPr>
              <w:t>Strengths</w:t>
            </w:r>
          </w:p>
          <w:p w14:paraId="50D4A156" w14:textId="77777777" w:rsidR="00DE1A44" w:rsidRPr="00117762" w:rsidRDefault="00000000" w:rsidP="00117762">
            <w:pPr>
              <w:numPr>
                <w:ilvl w:val="0"/>
                <w:numId w:val="4"/>
              </w:numPr>
              <w:spacing w:before="240" w:after="240"/>
              <w:ind w:left="0"/>
              <w:rPr>
                <w:rFonts w:ascii="Arial" w:eastAsia="Times New Roman" w:hAnsi="Arial"/>
                <w:szCs w:val="24"/>
              </w:rPr>
            </w:pPr>
            <w:r w:rsidRPr="00117762">
              <w:rPr>
                <w:rFonts w:ascii="Arial" w:eastAsia="Times New Roman" w:hAnsi="Arial"/>
                <w:szCs w:val="24"/>
              </w:rPr>
              <w:t>Strong heritage brand with over a century of craftsmanship, creating exclusivity and emotional value.</w:t>
            </w:r>
          </w:p>
          <w:p w14:paraId="083E495F" w14:textId="77777777" w:rsidR="00DE1A44" w:rsidRPr="00117762" w:rsidRDefault="00000000" w:rsidP="00117762">
            <w:pPr>
              <w:numPr>
                <w:ilvl w:val="0"/>
                <w:numId w:val="4"/>
              </w:numPr>
              <w:spacing w:before="240" w:after="240"/>
              <w:ind w:left="0"/>
              <w:rPr>
                <w:rFonts w:ascii="Arial" w:eastAsia="Times New Roman" w:hAnsi="Arial"/>
                <w:szCs w:val="24"/>
              </w:rPr>
            </w:pPr>
            <w:r w:rsidRPr="00117762">
              <w:rPr>
                <w:rFonts w:ascii="Arial" w:eastAsia="Times New Roman" w:hAnsi="Arial"/>
                <w:szCs w:val="24"/>
              </w:rPr>
              <w:t>Unique hand-built manufacturing process and latest designs, appealing to niche luxury buyers.</w:t>
            </w:r>
          </w:p>
          <w:p w14:paraId="58916EEB" w14:textId="77777777" w:rsidR="00DE1A44" w:rsidRPr="00117762" w:rsidRDefault="00000000" w:rsidP="00117762">
            <w:pPr>
              <w:numPr>
                <w:ilvl w:val="0"/>
                <w:numId w:val="4"/>
              </w:numPr>
              <w:spacing w:before="240" w:after="240"/>
              <w:ind w:left="0"/>
              <w:rPr>
                <w:rFonts w:ascii="Arial" w:eastAsia="Times New Roman" w:hAnsi="Arial"/>
                <w:szCs w:val="24"/>
              </w:rPr>
            </w:pPr>
            <w:r w:rsidRPr="00117762">
              <w:rPr>
                <w:rFonts w:ascii="Arial" w:eastAsia="Times New Roman" w:hAnsi="Arial"/>
                <w:szCs w:val="24"/>
              </w:rPr>
              <w:t xml:space="preserve"> Loyal customer base and strong market identity in luxury and niche automotive segments.</w:t>
            </w:r>
          </w:p>
          <w:p w14:paraId="5E590A0E" w14:textId="77777777" w:rsidR="00DE1A44" w:rsidRPr="00117762" w:rsidRDefault="00000000" w:rsidP="00117762">
            <w:pPr>
              <w:numPr>
                <w:ilvl w:val="0"/>
                <w:numId w:val="4"/>
              </w:numPr>
              <w:spacing w:before="240" w:after="240"/>
              <w:ind w:left="0"/>
              <w:rPr>
                <w:rFonts w:ascii="Arial" w:eastAsia="Times New Roman" w:hAnsi="Arial"/>
                <w:szCs w:val="24"/>
              </w:rPr>
            </w:pPr>
            <w:r w:rsidRPr="00117762">
              <w:rPr>
                <w:rFonts w:ascii="Arial" w:eastAsia="Times New Roman" w:hAnsi="Arial"/>
                <w:szCs w:val="24"/>
              </w:rPr>
              <w:t>Strong engineering partnerships, such as with BMW for powertrains, enhancing product reliability and performance (</w:t>
            </w:r>
            <w:proofErr w:type="spellStart"/>
            <w:r w:rsidRPr="00117762">
              <w:rPr>
                <w:rFonts w:ascii="Arial" w:eastAsia="Times New Roman" w:hAnsi="Arial"/>
                <w:szCs w:val="24"/>
                <w:highlight w:val="white"/>
              </w:rPr>
              <w:t>Kukkamalla</w:t>
            </w:r>
            <w:proofErr w:type="spellEnd"/>
            <w:r w:rsidRPr="00117762">
              <w:rPr>
                <w:rFonts w:ascii="Arial" w:eastAsia="Times New Roman" w:hAnsi="Arial"/>
                <w:szCs w:val="24"/>
                <w:highlight w:val="white"/>
              </w:rPr>
              <w:t xml:space="preserve"> </w:t>
            </w:r>
            <w:r w:rsidRPr="00117762">
              <w:rPr>
                <w:rFonts w:ascii="Arial" w:eastAsia="Times New Roman" w:hAnsi="Arial"/>
                <w:i/>
                <w:iCs/>
                <w:szCs w:val="24"/>
                <w:highlight w:val="white"/>
              </w:rPr>
              <w:t>et al.</w:t>
            </w:r>
            <w:r w:rsidRPr="00117762">
              <w:rPr>
                <w:rFonts w:ascii="Arial" w:eastAsia="Times New Roman" w:hAnsi="Arial"/>
                <w:szCs w:val="24"/>
                <w:highlight w:val="white"/>
              </w:rPr>
              <w:t xml:space="preserve"> 2021)</w:t>
            </w:r>
            <w:r w:rsidRPr="00117762">
              <w:rPr>
                <w:rFonts w:ascii="Arial" w:eastAsia="Times New Roman" w:hAnsi="Arial"/>
                <w:szCs w:val="24"/>
              </w:rPr>
              <w:t>.</w:t>
            </w:r>
          </w:p>
        </w:tc>
        <w:tc>
          <w:tcPr>
            <w:tcW w:w="4680" w:type="dxa"/>
            <w:tcMar>
              <w:top w:w="100" w:type="dxa"/>
              <w:left w:w="100" w:type="dxa"/>
              <w:bottom w:w="100" w:type="dxa"/>
              <w:right w:w="100" w:type="dxa"/>
            </w:tcMar>
          </w:tcPr>
          <w:p w14:paraId="18E3AF61" w14:textId="77777777" w:rsidR="00DE1A44" w:rsidRPr="00117762" w:rsidRDefault="00000000" w:rsidP="00117762">
            <w:pPr>
              <w:spacing w:before="240" w:after="240"/>
              <w:rPr>
                <w:rFonts w:ascii="Arial" w:eastAsia="Times New Roman" w:hAnsi="Arial"/>
                <w:b/>
                <w:bCs/>
                <w:szCs w:val="24"/>
              </w:rPr>
            </w:pPr>
            <w:r w:rsidRPr="00117762">
              <w:rPr>
                <w:rFonts w:ascii="Arial" w:eastAsia="Times New Roman" w:hAnsi="Arial"/>
                <w:b/>
                <w:bCs/>
                <w:szCs w:val="24"/>
              </w:rPr>
              <w:t>Weaknesses</w:t>
            </w:r>
          </w:p>
          <w:p w14:paraId="71CBCC1D" w14:textId="77777777" w:rsidR="00DE1A44" w:rsidRPr="00117762" w:rsidRDefault="00000000" w:rsidP="00117762">
            <w:pPr>
              <w:numPr>
                <w:ilvl w:val="0"/>
                <w:numId w:val="2"/>
              </w:numPr>
              <w:spacing w:before="240" w:after="240"/>
              <w:ind w:left="0"/>
              <w:rPr>
                <w:rFonts w:ascii="Arial" w:eastAsia="Times New Roman" w:hAnsi="Arial"/>
                <w:szCs w:val="24"/>
              </w:rPr>
            </w:pPr>
            <w:r w:rsidRPr="00117762">
              <w:rPr>
                <w:rFonts w:ascii="Arial" w:eastAsia="Times New Roman" w:hAnsi="Arial"/>
                <w:szCs w:val="24"/>
              </w:rPr>
              <w:t>Limited production scale, leading to longer lead times and higher per-unit manufacturing costs.</w:t>
            </w:r>
          </w:p>
          <w:p w14:paraId="3262775C" w14:textId="77777777" w:rsidR="00DE1A44" w:rsidRPr="00117762" w:rsidRDefault="00000000" w:rsidP="00117762">
            <w:pPr>
              <w:numPr>
                <w:ilvl w:val="0"/>
                <w:numId w:val="2"/>
              </w:numPr>
              <w:spacing w:before="240" w:after="240"/>
              <w:ind w:left="0"/>
              <w:rPr>
                <w:rFonts w:ascii="Arial" w:eastAsia="Times New Roman" w:hAnsi="Arial"/>
                <w:szCs w:val="24"/>
              </w:rPr>
            </w:pPr>
            <w:r w:rsidRPr="00117762">
              <w:rPr>
                <w:rFonts w:ascii="Arial" w:eastAsia="Times New Roman" w:hAnsi="Arial"/>
                <w:szCs w:val="24"/>
              </w:rPr>
              <w:t>Slow adoption of electrification and digital manufacturing technologies compared to larger automotive competitors.</w:t>
            </w:r>
          </w:p>
          <w:p w14:paraId="0689E3F6" w14:textId="77777777" w:rsidR="00DE1A44" w:rsidRPr="00117762" w:rsidRDefault="00000000" w:rsidP="00117762">
            <w:pPr>
              <w:numPr>
                <w:ilvl w:val="0"/>
                <w:numId w:val="2"/>
              </w:numPr>
              <w:spacing w:before="240" w:after="240"/>
              <w:ind w:left="0"/>
              <w:rPr>
                <w:rFonts w:ascii="Arial" w:eastAsia="Times New Roman" w:hAnsi="Arial"/>
                <w:szCs w:val="24"/>
              </w:rPr>
            </w:pPr>
            <w:r w:rsidRPr="00117762">
              <w:rPr>
                <w:rFonts w:ascii="Arial" w:eastAsia="Times New Roman" w:hAnsi="Arial"/>
                <w:szCs w:val="24"/>
              </w:rPr>
              <w:t>Limited global dealership network and restricted market reach.</w:t>
            </w:r>
          </w:p>
          <w:p w14:paraId="72FAF82E" w14:textId="77777777" w:rsidR="00DE1A44" w:rsidRPr="00117762" w:rsidRDefault="00000000" w:rsidP="00117762">
            <w:pPr>
              <w:numPr>
                <w:ilvl w:val="0"/>
                <w:numId w:val="2"/>
              </w:numPr>
              <w:spacing w:before="240" w:after="240"/>
              <w:ind w:left="0"/>
              <w:rPr>
                <w:rFonts w:ascii="Arial" w:eastAsia="Times New Roman" w:hAnsi="Arial"/>
                <w:szCs w:val="24"/>
              </w:rPr>
            </w:pPr>
            <w:r w:rsidRPr="00117762">
              <w:rPr>
                <w:rFonts w:ascii="Arial" w:eastAsia="Times New Roman" w:hAnsi="Arial"/>
                <w:szCs w:val="24"/>
              </w:rPr>
              <w:t>Regulatory compliance pressures, especially in emissions and safety standards, pose operational challenges.</w:t>
            </w:r>
          </w:p>
        </w:tc>
      </w:tr>
      <w:tr w:rsidR="00DE1A44" w:rsidRPr="00117762" w14:paraId="7884FD1B" w14:textId="77777777">
        <w:tc>
          <w:tcPr>
            <w:tcW w:w="4680" w:type="dxa"/>
            <w:tcMar>
              <w:top w:w="100" w:type="dxa"/>
              <w:left w:w="100" w:type="dxa"/>
              <w:bottom w:w="100" w:type="dxa"/>
              <w:right w:w="100" w:type="dxa"/>
            </w:tcMar>
          </w:tcPr>
          <w:p w14:paraId="7C63BA64" w14:textId="77777777" w:rsidR="00DE1A44" w:rsidRPr="00117762" w:rsidRDefault="00000000" w:rsidP="00117762">
            <w:pPr>
              <w:spacing w:before="240" w:after="240"/>
              <w:rPr>
                <w:rFonts w:ascii="Arial" w:eastAsia="Times New Roman" w:hAnsi="Arial"/>
                <w:b/>
                <w:bCs/>
                <w:szCs w:val="24"/>
              </w:rPr>
            </w:pPr>
            <w:r w:rsidRPr="00117762">
              <w:rPr>
                <w:rFonts w:ascii="Arial" w:eastAsia="Times New Roman" w:hAnsi="Arial"/>
                <w:b/>
                <w:bCs/>
                <w:szCs w:val="24"/>
              </w:rPr>
              <w:t>Opportunities</w:t>
            </w:r>
          </w:p>
          <w:p w14:paraId="18F28850" w14:textId="77777777" w:rsidR="00DE1A44" w:rsidRPr="00117762" w:rsidRDefault="00000000" w:rsidP="00117762">
            <w:pPr>
              <w:numPr>
                <w:ilvl w:val="0"/>
                <w:numId w:val="1"/>
              </w:numPr>
              <w:spacing w:before="240" w:after="240"/>
              <w:ind w:left="0"/>
              <w:rPr>
                <w:rFonts w:ascii="Arial" w:eastAsia="Times New Roman" w:hAnsi="Arial"/>
                <w:szCs w:val="24"/>
              </w:rPr>
            </w:pPr>
            <w:r w:rsidRPr="00117762">
              <w:rPr>
                <w:rFonts w:ascii="Arial" w:eastAsia="Times New Roman" w:hAnsi="Arial"/>
                <w:szCs w:val="24"/>
              </w:rPr>
              <w:t>Growing demand for personalised luxury vehicles and experiential ownership increases market relevance.</w:t>
            </w:r>
          </w:p>
          <w:p w14:paraId="2B6433D0" w14:textId="77777777" w:rsidR="00DE1A44" w:rsidRPr="00117762" w:rsidRDefault="00000000" w:rsidP="00117762">
            <w:pPr>
              <w:numPr>
                <w:ilvl w:val="0"/>
                <w:numId w:val="1"/>
              </w:numPr>
              <w:spacing w:before="240" w:after="240"/>
              <w:ind w:left="0"/>
              <w:rPr>
                <w:rFonts w:ascii="Arial" w:eastAsia="Times New Roman" w:hAnsi="Arial"/>
                <w:szCs w:val="24"/>
              </w:rPr>
            </w:pPr>
            <w:r w:rsidRPr="00117762">
              <w:rPr>
                <w:rFonts w:ascii="Arial" w:eastAsia="Times New Roman" w:hAnsi="Arial"/>
                <w:szCs w:val="24"/>
              </w:rPr>
              <w:lastRenderedPageBreak/>
              <w:t>Expansion into electric and hybrid vehicle segments could attract younger and sustainability-conscious customers.</w:t>
            </w:r>
          </w:p>
          <w:p w14:paraId="3E2488BB" w14:textId="77777777" w:rsidR="00DE1A44" w:rsidRPr="00117762" w:rsidRDefault="00000000" w:rsidP="00117762">
            <w:pPr>
              <w:numPr>
                <w:ilvl w:val="0"/>
                <w:numId w:val="1"/>
              </w:numPr>
              <w:spacing w:before="240" w:after="240"/>
              <w:ind w:left="0"/>
              <w:rPr>
                <w:rFonts w:ascii="Arial" w:eastAsia="Times New Roman" w:hAnsi="Arial"/>
                <w:szCs w:val="24"/>
              </w:rPr>
            </w:pPr>
            <w:r w:rsidRPr="00117762">
              <w:rPr>
                <w:rFonts w:ascii="Arial" w:eastAsia="Times New Roman" w:hAnsi="Arial"/>
                <w:szCs w:val="24"/>
              </w:rPr>
              <w:t>Strengthening international distribution and strategic partnerships could expand market presence.</w:t>
            </w:r>
          </w:p>
          <w:p w14:paraId="1A9E436E" w14:textId="77777777" w:rsidR="00DE1A44" w:rsidRPr="00117762" w:rsidRDefault="00000000" w:rsidP="00117762">
            <w:pPr>
              <w:numPr>
                <w:ilvl w:val="0"/>
                <w:numId w:val="1"/>
              </w:numPr>
              <w:spacing w:before="240" w:after="240"/>
              <w:ind w:left="0"/>
              <w:rPr>
                <w:rFonts w:ascii="Arial" w:eastAsia="Times New Roman" w:hAnsi="Arial"/>
                <w:szCs w:val="24"/>
              </w:rPr>
            </w:pPr>
            <w:r w:rsidRPr="00117762">
              <w:rPr>
                <w:rFonts w:ascii="Arial" w:eastAsia="Times New Roman" w:hAnsi="Arial"/>
                <w:szCs w:val="24"/>
              </w:rPr>
              <w:t>Digital customer experience, including online configurators and virtual showrooms, can enhance global visibility.</w:t>
            </w:r>
          </w:p>
        </w:tc>
        <w:tc>
          <w:tcPr>
            <w:tcW w:w="4680" w:type="dxa"/>
            <w:tcMar>
              <w:top w:w="100" w:type="dxa"/>
              <w:left w:w="100" w:type="dxa"/>
              <w:bottom w:w="100" w:type="dxa"/>
              <w:right w:w="100" w:type="dxa"/>
            </w:tcMar>
          </w:tcPr>
          <w:p w14:paraId="448D901A" w14:textId="77777777" w:rsidR="00DE1A44" w:rsidRPr="00117762" w:rsidRDefault="00000000" w:rsidP="00117762">
            <w:pPr>
              <w:spacing w:before="240" w:after="240"/>
              <w:rPr>
                <w:rFonts w:ascii="Arial" w:eastAsia="Times New Roman" w:hAnsi="Arial"/>
                <w:b/>
                <w:bCs/>
                <w:szCs w:val="24"/>
              </w:rPr>
            </w:pPr>
            <w:r w:rsidRPr="00117762">
              <w:rPr>
                <w:rFonts w:ascii="Arial" w:eastAsia="Times New Roman" w:hAnsi="Arial"/>
                <w:b/>
                <w:bCs/>
                <w:szCs w:val="24"/>
              </w:rPr>
              <w:lastRenderedPageBreak/>
              <w:t>Threats</w:t>
            </w:r>
          </w:p>
          <w:p w14:paraId="05DE17AE" w14:textId="77777777" w:rsidR="00DE1A44" w:rsidRPr="00117762" w:rsidRDefault="00000000" w:rsidP="00117762">
            <w:pPr>
              <w:numPr>
                <w:ilvl w:val="0"/>
                <w:numId w:val="3"/>
              </w:numPr>
              <w:spacing w:before="240" w:after="240"/>
              <w:ind w:left="0"/>
              <w:rPr>
                <w:rFonts w:ascii="Arial" w:eastAsia="Times New Roman" w:hAnsi="Arial"/>
                <w:szCs w:val="24"/>
              </w:rPr>
            </w:pPr>
            <w:r w:rsidRPr="00117762">
              <w:rPr>
                <w:rFonts w:ascii="Arial" w:eastAsia="Times New Roman" w:hAnsi="Arial"/>
                <w:szCs w:val="24"/>
              </w:rPr>
              <w:t>Huge competition from both legacy luxury brands and new electric vehicle entrants (</w:t>
            </w:r>
            <w:r w:rsidRPr="00117762">
              <w:rPr>
                <w:rFonts w:ascii="Arial" w:eastAsia="Times New Roman" w:hAnsi="Arial"/>
                <w:szCs w:val="24"/>
                <w:highlight w:val="white"/>
              </w:rPr>
              <w:t xml:space="preserve">Li </w:t>
            </w:r>
            <w:r w:rsidRPr="00117762">
              <w:rPr>
                <w:rFonts w:ascii="Arial" w:eastAsia="Times New Roman" w:hAnsi="Arial"/>
                <w:i/>
                <w:iCs/>
                <w:szCs w:val="24"/>
                <w:highlight w:val="white"/>
              </w:rPr>
              <w:t>et al</w:t>
            </w:r>
            <w:r w:rsidRPr="00117762">
              <w:rPr>
                <w:rFonts w:ascii="Arial" w:eastAsia="Times New Roman" w:hAnsi="Arial"/>
                <w:szCs w:val="24"/>
                <w:highlight w:val="white"/>
              </w:rPr>
              <w:t>. 2021)</w:t>
            </w:r>
            <w:r w:rsidRPr="00117762">
              <w:rPr>
                <w:rFonts w:ascii="Arial" w:eastAsia="Times New Roman" w:hAnsi="Arial"/>
                <w:szCs w:val="24"/>
              </w:rPr>
              <w:t>.</w:t>
            </w:r>
          </w:p>
          <w:p w14:paraId="343F26B5" w14:textId="77777777" w:rsidR="00DE1A44" w:rsidRPr="00117762" w:rsidRDefault="00000000" w:rsidP="00117762">
            <w:pPr>
              <w:numPr>
                <w:ilvl w:val="0"/>
                <w:numId w:val="3"/>
              </w:numPr>
              <w:spacing w:before="240" w:after="240"/>
              <w:ind w:left="0"/>
              <w:rPr>
                <w:rFonts w:ascii="Arial" w:eastAsia="Times New Roman" w:hAnsi="Arial"/>
                <w:szCs w:val="24"/>
              </w:rPr>
            </w:pPr>
            <w:r w:rsidRPr="00117762">
              <w:rPr>
                <w:rFonts w:ascii="Arial" w:eastAsia="Times New Roman" w:hAnsi="Arial"/>
                <w:szCs w:val="24"/>
              </w:rPr>
              <w:lastRenderedPageBreak/>
              <w:t xml:space="preserve"> Economic fluctuations may reduce demand for high-priced discretionary luxury products.</w:t>
            </w:r>
          </w:p>
          <w:p w14:paraId="75BCC5F1" w14:textId="77777777" w:rsidR="00DE1A44" w:rsidRPr="00117762" w:rsidRDefault="00000000" w:rsidP="00117762">
            <w:pPr>
              <w:numPr>
                <w:ilvl w:val="0"/>
                <w:numId w:val="3"/>
              </w:numPr>
              <w:spacing w:before="240" w:after="240"/>
              <w:ind w:left="0"/>
              <w:rPr>
                <w:rFonts w:ascii="Arial" w:eastAsia="Times New Roman" w:hAnsi="Arial"/>
                <w:szCs w:val="24"/>
              </w:rPr>
            </w:pPr>
            <w:r w:rsidRPr="00117762">
              <w:rPr>
                <w:rFonts w:ascii="Arial" w:eastAsia="Times New Roman" w:hAnsi="Arial"/>
                <w:szCs w:val="24"/>
              </w:rPr>
              <w:t>Rapid technological advancements may outpace Morgan’s current innovation capacity.</w:t>
            </w:r>
          </w:p>
          <w:p w14:paraId="6602A6BC" w14:textId="77777777" w:rsidR="00DE1A44" w:rsidRPr="00117762" w:rsidRDefault="00000000" w:rsidP="00117762">
            <w:pPr>
              <w:numPr>
                <w:ilvl w:val="0"/>
                <w:numId w:val="3"/>
              </w:numPr>
              <w:spacing w:before="240" w:after="240"/>
              <w:ind w:left="0"/>
              <w:rPr>
                <w:rFonts w:ascii="Arial" w:eastAsia="Times New Roman" w:hAnsi="Arial"/>
                <w:szCs w:val="24"/>
              </w:rPr>
            </w:pPr>
            <w:r w:rsidRPr="00117762">
              <w:rPr>
                <w:rFonts w:ascii="Arial" w:eastAsia="Times New Roman" w:hAnsi="Arial"/>
                <w:szCs w:val="24"/>
              </w:rPr>
              <w:t>Tightening environmental regulations may require accelerated investment in clean technology.</w:t>
            </w:r>
          </w:p>
          <w:p w14:paraId="0EC361A0" w14:textId="77777777" w:rsidR="00DE1A44" w:rsidRPr="00117762" w:rsidRDefault="00DE1A44" w:rsidP="00117762">
            <w:pPr>
              <w:spacing w:before="240" w:after="240"/>
              <w:rPr>
                <w:rFonts w:ascii="Arial" w:eastAsia="Times New Roman" w:hAnsi="Arial"/>
                <w:szCs w:val="24"/>
              </w:rPr>
            </w:pPr>
          </w:p>
        </w:tc>
      </w:tr>
    </w:tbl>
    <w:p w14:paraId="083A9CDC" w14:textId="4AD03B13" w:rsidR="00DE1A44" w:rsidRPr="00117762" w:rsidRDefault="00000000" w:rsidP="006A6CBC">
      <w:pPr>
        <w:spacing w:before="240" w:after="240"/>
        <w:jc w:val="center"/>
        <w:rPr>
          <w:rFonts w:ascii="Arial" w:eastAsia="Times New Roman" w:hAnsi="Arial"/>
          <w:b/>
          <w:bCs/>
          <w:szCs w:val="24"/>
        </w:rPr>
      </w:pPr>
      <w:r w:rsidRPr="00117762">
        <w:rPr>
          <w:rFonts w:ascii="Arial" w:eastAsia="Times New Roman" w:hAnsi="Arial"/>
          <w:b/>
          <w:bCs/>
          <w:szCs w:val="24"/>
        </w:rPr>
        <w:lastRenderedPageBreak/>
        <w:t>Table 5: SWOT Analysis</w:t>
      </w:r>
    </w:p>
    <w:p w14:paraId="4BA06290" w14:textId="77777777" w:rsidR="00DE1A44" w:rsidRPr="00117762" w:rsidRDefault="00000000" w:rsidP="006A6CBC">
      <w:pPr>
        <w:spacing w:before="240" w:after="240"/>
        <w:jc w:val="center"/>
        <w:rPr>
          <w:rFonts w:ascii="Arial" w:hAnsi="Arial"/>
          <w:szCs w:val="24"/>
          <w:highlight w:val="white"/>
        </w:rPr>
      </w:pPr>
      <w:r w:rsidRPr="00117762">
        <w:rPr>
          <w:rFonts w:ascii="Arial" w:eastAsia="Times New Roman" w:hAnsi="Arial"/>
          <w:szCs w:val="24"/>
        </w:rPr>
        <w:t>(Source: Self-developed)</w:t>
      </w:r>
    </w:p>
    <w:p w14:paraId="62F20275" w14:textId="77777777" w:rsidR="00DE1A44" w:rsidRPr="00117762" w:rsidRDefault="00000000" w:rsidP="00117762">
      <w:pPr>
        <w:pStyle w:val="Heading1"/>
        <w:spacing w:before="240" w:after="240"/>
        <w:rPr>
          <w:rFonts w:ascii="Arial" w:hAnsi="Arial"/>
          <w:sz w:val="24"/>
          <w:szCs w:val="24"/>
        </w:rPr>
      </w:pPr>
      <w:bookmarkStart w:id="12" w:name="_Toc215174603"/>
      <w:r w:rsidRPr="00117762">
        <w:rPr>
          <w:rFonts w:ascii="Arial" w:hAnsi="Arial"/>
          <w:sz w:val="24"/>
          <w:szCs w:val="24"/>
        </w:rPr>
        <w:t>3. Strategy Formulation</w:t>
      </w:r>
      <w:bookmarkEnd w:id="12"/>
      <w:r w:rsidRPr="00117762">
        <w:rPr>
          <w:rFonts w:ascii="Arial" w:hAnsi="Arial"/>
          <w:sz w:val="24"/>
          <w:szCs w:val="24"/>
        </w:rPr>
        <w:t xml:space="preserve"> </w:t>
      </w:r>
    </w:p>
    <w:p w14:paraId="79551BAA" w14:textId="77777777" w:rsidR="00DE1A44" w:rsidRPr="00117762" w:rsidRDefault="00000000" w:rsidP="00117762">
      <w:pPr>
        <w:spacing w:before="240" w:after="240"/>
        <w:rPr>
          <w:rFonts w:ascii="Arial" w:eastAsia="Times New Roman" w:hAnsi="Arial"/>
          <w:szCs w:val="24"/>
        </w:rPr>
      </w:pPr>
      <w:r w:rsidRPr="00117762">
        <w:rPr>
          <w:rFonts w:ascii="Arial" w:eastAsia="Times New Roman" w:hAnsi="Arial"/>
          <w:szCs w:val="24"/>
        </w:rPr>
        <w:t>Based on the external and internal strategic assessment of the Morgan Motor Company, it needs to consider that the company operates in a niche automotive segment where the heritage, craftsmanship, and exclusivity are resources of competitive differentiation. Therefore, evolving regulatory needs, increasing electrification trends, and intensified competition from the EV and luxury manufacturers needs Morgan to take future-focused strategic initiatives. However, strategy formulation should balance preservation of the brand identity with the innovation, growth, and operational modernisation (</w:t>
      </w:r>
      <w:proofErr w:type="spellStart"/>
      <w:r w:rsidRPr="00117762">
        <w:rPr>
          <w:rFonts w:ascii="Arial" w:eastAsia="Times New Roman" w:hAnsi="Arial"/>
          <w:szCs w:val="24"/>
          <w:highlight w:val="white"/>
        </w:rPr>
        <w:t>Rachmad</w:t>
      </w:r>
      <w:proofErr w:type="spellEnd"/>
      <w:r w:rsidRPr="00117762">
        <w:rPr>
          <w:rFonts w:ascii="Arial" w:eastAsia="Times New Roman" w:hAnsi="Arial"/>
          <w:szCs w:val="24"/>
          <w:highlight w:val="white"/>
        </w:rPr>
        <w:t>, 2025)</w:t>
      </w:r>
      <w:r w:rsidRPr="00117762">
        <w:rPr>
          <w:rFonts w:ascii="Arial" w:eastAsia="Times New Roman" w:hAnsi="Arial"/>
          <w:szCs w:val="24"/>
        </w:rPr>
        <w:t xml:space="preserve">. In this context, a proper strategic direction for Morgan is a Focused Differentiation Strategy linked with Porter's generic model. This approach also refines the existing niche position of Morgan Motor while improving product innovation as well as enhancing technological ability, Morgan may retain its conventional consumer base and continuously attract new segments requiring classic styling with the latest performance and sustainability features. One important strategic priority is improving electrification and </w:t>
      </w:r>
      <w:r w:rsidRPr="00117762">
        <w:rPr>
          <w:rFonts w:ascii="Arial" w:eastAsia="Times New Roman" w:hAnsi="Arial"/>
          <w:szCs w:val="24"/>
        </w:rPr>
        <w:lastRenderedPageBreak/>
        <w:t xml:space="preserve">hybrid technology integration. With the regulatory shifts towards Zero-emission mobility, especially in the UK and Europe, Morgan should invest in the research and development with the engineering companies such as BMW. Introducing electrified models while retaining the wooden frame and handmade aesthetic of the company helps Morgan to evolve without losing the heritage value. This approach positions the company importantly against the competitors entering the luxury EV niche.  </w:t>
      </w:r>
    </w:p>
    <w:p w14:paraId="51134ECE" w14:textId="77777777" w:rsidR="00DE1A44" w:rsidRPr="00117762" w:rsidRDefault="00000000" w:rsidP="006A6CBC">
      <w:pPr>
        <w:spacing w:before="240" w:after="240"/>
        <w:jc w:val="center"/>
        <w:rPr>
          <w:rFonts w:ascii="Arial" w:eastAsia="Times New Roman" w:hAnsi="Arial"/>
          <w:szCs w:val="24"/>
        </w:rPr>
      </w:pPr>
      <w:r w:rsidRPr="00117762">
        <w:rPr>
          <w:rFonts w:ascii="Arial" w:eastAsia="Times New Roman" w:hAnsi="Arial"/>
          <w:noProof/>
          <w:szCs w:val="24"/>
        </w:rPr>
        <w:drawing>
          <wp:inline distT="114300" distB="114300" distL="114300" distR="114300" wp14:anchorId="2FEC1DA2" wp14:editId="10398B7F">
            <wp:extent cx="5248275" cy="2838450"/>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5248275" cy="2838450"/>
                    </a:xfrm>
                    <a:prstGeom prst="rect">
                      <a:avLst/>
                    </a:prstGeom>
                    <a:ln/>
                  </pic:spPr>
                </pic:pic>
              </a:graphicData>
            </a:graphic>
          </wp:inline>
        </w:drawing>
      </w:r>
    </w:p>
    <w:p w14:paraId="6CC30D06" w14:textId="77777777" w:rsidR="00DE1A44" w:rsidRPr="00117762" w:rsidRDefault="00000000" w:rsidP="006A6CBC">
      <w:pPr>
        <w:spacing w:before="240" w:after="240"/>
        <w:jc w:val="center"/>
        <w:rPr>
          <w:rFonts w:ascii="Arial" w:eastAsia="Times New Roman" w:hAnsi="Arial"/>
          <w:b/>
          <w:bCs/>
          <w:szCs w:val="24"/>
        </w:rPr>
      </w:pPr>
      <w:r w:rsidRPr="00117762">
        <w:rPr>
          <w:rFonts w:ascii="Arial" w:eastAsia="Times New Roman" w:hAnsi="Arial"/>
          <w:b/>
          <w:bCs/>
          <w:szCs w:val="24"/>
        </w:rPr>
        <w:t>Figure 3: Comparative Performance Metrics of XR Technologies in Customer Relationship Management</w:t>
      </w:r>
    </w:p>
    <w:p w14:paraId="11D7975E" w14:textId="77777777" w:rsidR="00DE1A44" w:rsidRPr="00117762" w:rsidRDefault="00000000" w:rsidP="006A6CBC">
      <w:pPr>
        <w:spacing w:before="240" w:after="240"/>
        <w:jc w:val="center"/>
        <w:rPr>
          <w:rFonts w:ascii="Arial" w:eastAsia="Times New Roman" w:hAnsi="Arial"/>
          <w:szCs w:val="24"/>
        </w:rPr>
      </w:pPr>
      <w:r w:rsidRPr="00117762">
        <w:rPr>
          <w:rFonts w:ascii="Arial" w:eastAsia="Times New Roman" w:hAnsi="Arial"/>
          <w:szCs w:val="24"/>
        </w:rPr>
        <w:t xml:space="preserve">(Source: </w:t>
      </w:r>
      <w:proofErr w:type="spellStart"/>
      <w:r w:rsidRPr="00117762">
        <w:rPr>
          <w:rFonts w:ascii="Arial" w:eastAsia="Times New Roman" w:hAnsi="Arial"/>
          <w:szCs w:val="24"/>
          <w:highlight w:val="white"/>
        </w:rPr>
        <w:t>Mutayalwad</w:t>
      </w:r>
      <w:proofErr w:type="spellEnd"/>
      <w:r w:rsidRPr="00117762">
        <w:rPr>
          <w:rFonts w:ascii="Arial" w:eastAsia="Times New Roman" w:hAnsi="Arial"/>
          <w:szCs w:val="24"/>
          <w:highlight w:val="white"/>
        </w:rPr>
        <w:t>, 2025)</w:t>
      </w:r>
    </w:p>
    <w:p w14:paraId="16D6B21D" w14:textId="77777777" w:rsidR="00DE1A44" w:rsidRPr="00117762" w:rsidRDefault="00000000" w:rsidP="00117762">
      <w:pPr>
        <w:spacing w:before="240" w:after="240"/>
        <w:rPr>
          <w:rFonts w:ascii="Arial" w:eastAsia="Times New Roman" w:hAnsi="Arial"/>
          <w:szCs w:val="24"/>
        </w:rPr>
      </w:pPr>
      <w:r w:rsidRPr="00117762">
        <w:rPr>
          <w:rFonts w:ascii="Arial" w:eastAsia="Times New Roman" w:hAnsi="Arial"/>
          <w:szCs w:val="24"/>
        </w:rPr>
        <w:t>A second strategic pillar is the digital transformation and customer experience enhancement. However, Morgan’s consumer value personal engagement, the company also lacks latest digital platforms used through the modern buyers. Adopting virtual configurators, online ordering, augmented reality showroom experiences, and CRM-driven customer relationship systems will gain access to the international markets and also improve the sales processes while managing exclusivity (</w:t>
      </w:r>
      <w:proofErr w:type="spellStart"/>
      <w:r w:rsidRPr="00117762">
        <w:rPr>
          <w:rFonts w:ascii="Arial" w:eastAsia="Times New Roman" w:hAnsi="Arial"/>
          <w:szCs w:val="24"/>
          <w:highlight w:val="white"/>
        </w:rPr>
        <w:t>Mutayalwad</w:t>
      </w:r>
      <w:proofErr w:type="spellEnd"/>
      <w:r w:rsidRPr="00117762">
        <w:rPr>
          <w:rFonts w:ascii="Arial" w:eastAsia="Times New Roman" w:hAnsi="Arial"/>
          <w:szCs w:val="24"/>
          <w:highlight w:val="white"/>
        </w:rPr>
        <w:t>, 2025)</w:t>
      </w:r>
      <w:r w:rsidRPr="00117762">
        <w:rPr>
          <w:rFonts w:ascii="Arial" w:eastAsia="Times New Roman" w:hAnsi="Arial"/>
          <w:szCs w:val="24"/>
        </w:rPr>
        <w:t xml:space="preserve">. In addition, Morgan must pursue selective global market expansion in the future. Instead of the high-volume scaling, the company might improve international dealer and service networks in the regions with the strong luxury needs including North America, the Middle </w:t>
      </w:r>
      <w:r w:rsidRPr="00117762">
        <w:rPr>
          <w:rFonts w:ascii="Arial" w:eastAsia="Times New Roman" w:hAnsi="Arial"/>
          <w:szCs w:val="24"/>
        </w:rPr>
        <w:lastRenderedPageBreak/>
        <w:t>East, and East Asia. This expansion must adopt a controlled as well as partnership-based structure to preserve brand positioning while alleviating regulatory and logistical limitations. Operationally, Morgan should also take the leaner production and supply chain enhancement strategies.</w:t>
      </w:r>
    </w:p>
    <w:p w14:paraId="457BC885" w14:textId="77777777" w:rsidR="00DE1A44" w:rsidRPr="00117762" w:rsidRDefault="00000000" w:rsidP="006A6CBC">
      <w:pPr>
        <w:spacing w:before="240" w:after="240"/>
        <w:jc w:val="center"/>
        <w:rPr>
          <w:rFonts w:ascii="Arial" w:eastAsia="Times New Roman" w:hAnsi="Arial"/>
          <w:szCs w:val="24"/>
        </w:rPr>
      </w:pPr>
      <w:r w:rsidRPr="00117762">
        <w:rPr>
          <w:rFonts w:ascii="Arial" w:eastAsia="Times New Roman" w:hAnsi="Arial"/>
          <w:noProof/>
          <w:szCs w:val="24"/>
        </w:rPr>
        <w:drawing>
          <wp:inline distT="114300" distB="114300" distL="114300" distR="114300" wp14:anchorId="0AA95118" wp14:editId="1C98C3E9">
            <wp:extent cx="5572125" cy="3352800"/>
            <wp:effectExtent l="0" t="0" r="0" b="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2"/>
                    <a:srcRect/>
                    <a:stretch>
                      <a:fillRect/>
                    </a:stretch>
                  </pic:blipFill>
                  <pic:spPr>
                    <a:xfrm>
                      <a:off x="0" y="0"/>
                      <a:ext cx="5572125" cy="3352800"/>
                    </a:xfrm>
                    <a:prstGeom prst="rect">
                      <a:avLst/>
                    </a:prstGeom>
                    <a:ln/>
                  </pic:spPr>
                </pic:pic>
              </a:graphicData>
            </a:graphic>
          </wp:inline>
        </w:drawing>
      </w:r>
    </w:p>
    <w:p w14:paraId="38C862D2" w14:textId="77777777" w:rsidR="00DE1A44" w:rsidRPr="00117762" w:rsidRDefault="00000000" w:rsidP="006A6CBC">
      <w:pPr>
        <w:spacing w:before="240" w:after="240"/>
        <w:jc w:val="center"/>
        <w:rPr>
          <w:rFonts w:ascii="Arial" w:eastAsia="Times New Roman" w:hAnsi="Arial"/>
          <w:b/>
          <w:bCs/>
          <w:szCs w:val="24"/>
        </w:rPr>
      </w:pPr>
      <w:r w:rsidRPr="00117762">
        <w:rPr>
          <w:rFonts w:ascii="Arial" w:eastAsia="Times New Roman" w:hAnsi="Arial"/>
          <w:b/>
          <w:bCs/>
          <w:szCs w:val="24"/>
        </w:rPr>
        <w:t>Figure 4: CRM Convergence Components: Adoption and Performance Metrics</w:t>
      </w:r>
    </w:p>
    <w:p w14:paraId="7A83D738" w14:textId="77777777" w:rsidR="00DE1A44" w:rsidRPr="00117762" w:rsidRDefault="00000000" w:rsidP="006A6CBC">
      <w:pPr>
        <w:spacing w:before="240" w:after="240"/>
        <w:jc w:val="center"/>
        <w:rPr>
          <w:rFonts w:ascii="Arial" w:eastAsia="Times New Roman" w:hAnsi="Arial"/>
          <w:b/>
          <w:bCs/>
          <w:szCs w:val="24"/>
        </w:rPr>
      </w:pPr>
      <w:r w:rsidRPr="00117762">
        <w:rPr>
          <w:rFonts w:ascii="Arial" w:eastAsia="Times New Roman" w:hAnsi="Arial"/>
          <w:szCs w:val="24"/>
        </w:rPr>
        <w:t xml:space="preserve">(Source: </w:t>
      </w:r>
      <w:proofErr w:type="spellStart"/>
      <w:r w:rsidRPr="00117762">
        <w:rPr>
          <w:rFonts w:ascii="Arial" w:eastAsia="Times New Roman" w:hAnsi="Arial"/>
          <w:szCs w:val="24"/>
          <w:highlight w:val="white"/>
        </w:rPr>
        <w:t>Mutayalwad</w:t>
      </w:r>
      <w:proofErr w:type="spellEnd"/>
      <w:r w:rsidRPr="00117762">
        <w:rPr>
          <w:rFonts w:ascii="Arial" w:eastAsia="Times New Roman" w:hAnsi="Arial"/>
          <w:szCs w:val="24"/>
          <w:highlight w:val="white"/>
        </w:rPr>
        <w:t>, 2025)</w:t>
      </w:r>
    </w:p>
    <w:p w14:paraId="2EE483BE" w14:textId="77777777" w:rsidR="00DE1A44" w:rsidRPr="00117762" w:rsidRDefault="00000000" w:rsidP="00117762">
      <w:pPr>
        <w:spacing w:before="240" w:after="240"/>
        <w:rPr>
          <w:rFonts w:ascii="Arial" w:hAnsi="Arial"/>
          <w:szCs w:val="24"/>
          <w:highlight w:val="white"/>
        </w:rPr>
      </w:pPr>
      <w:r w:rsidRPr="00117762">
        <w:rPr>
          <w:rFonts w:ascii="Arial" w:eastAsia="Times New Roman" w:hAnsi="Arial"/>
          <w:szCs w:val="24"/>
        </w:rPr>
        <w:t xml:space="preserve"> While full automation can dilute the brand, strategic adoption of advanced engineering tools including 3D prototyping, digital twins, and modular chassis systems may enhance the overall production efficiency without compromising the craftsmanship (</w:t>
      </w:r>
      <w:r w:rsidRPr="00117762">
        <w:rPr>
          <w:rFonts w:ascii="Arial" w:eastAsia="Times New Roman" w:hAnsi="Arial"/>
          <w:szCs w:val="24"/>
          <w:highlight w:val="white"/>
        </w:rPr>
        <w:t xml:space="preserve">Rahmani </w:t>
      </w:r>
      <w:r w:rsidRPr="00117762">
        <w:rPr>
          <w:rFonts w:ascii="Arial" w:eastAsia="Times New Roman" w:hAnsi="Arial"/>
          <w:i/>
          <w:iCs/>
          <w:szCs w:val="24"/>
          <w:highlight w:val="white"/>
        </w:rPr>
        <w:t>et al.</w:t>
      </w:r>
      <w:r w:rsidRPr="00117762">
        <w:rPr>
          <w:rFonts w:ascii="Arial" w:eastAsia="Times New Roman" w:hAnsi="Arial"/>
          <w:szCs w:val="24"/>
          <w:highlight w:val="white"/>
        </w:rPr>
        <w:t xml:space="preserve"> 2024)</w:t>
      </w:r>
      <w:r w:rsidRPr="00117762">
        <w:rPr>
          <w:rFonts w:ascii="Arial" w:eastAsia="Times New Roman" w:hAnsi="Arial"/>
          <w:szCs w:val="24"/>
        </w:rPr>
        <w:t xml:space="preserve">. This hybrid approach also supports shooter lead times and also minimizes cost pressures. Therefore, sustainability must remain an important strategic frame and Morgan’s handcrafted model reduces industrial waste thus incorporating circular production materials, sustainable energy sources, and carbon-neutral operations will improve the brand credibility among the eco-friendly customers. </w:t>
      </w:r>
    </w:p>
    <w:p w14:paraId="0F9EE85E" w14:textId="77777777" w:rsidR="00DE1A44" w:rsidRPr="00117762" w:rsidRDefault="00000000" w:rsidP="00117762">
      <w:pPr>
        <w:pStyle w:val="Heading1"/>
        <w:spacing w:before="240" w:after="240"/>
        <w:rPr>
          <w:rFonts w:ascii="Arial" w:hAnsi="Arial"/>
          <w:sz w:val="24"/>
          <w:szCs w:val="24"/>
        </w:rPr>
      </w:pPr>
      <w:bookmarkStart w:id="13" w:name="_Toc215174604"/>
      <w:r w:rsidRPr="00117762">
        <w:rPr>
          <w:rFonts w:ascii="Arial" w:hAnsi="Arial"/>
          <w:sz w:val="24"/>
          <w:szCs w:val="24"/>
        </w:rPr>
        <w:lastRenderedPageBreak/>
        <w:t>4. Conclusion and Recommendations</w:t>
      </w:r>
      <w:bookmarkEnd w:id="13"/>
      <w:r w:rsidRPr="00117762">
        <w:rPr>
          <w:rFonts w:ascii="Arial" w:hAnsi="Arial"/>
          <w:sz w:val="24"/>
          <w:szCs w:val="24"/>
        </w:rPr>
        <w:t xml:space="preserve"> </w:t>
      </w:r>
    </w:p>
    <w:p w14:paraId="5E45178B" w14:textId="77777777" w:rsidR="00DE1A44" w:rsidRPr="00117762" w:rsidRDefault="00000000" w:rsidP="00117762">
      <w:pPr>
        <w:spacing w:before="240" w:after="240"/>
        <w:rPr>
          <w:rFonts w:ascii="Arial" w:eastAsia="Times New Roman" w:hAnsi="Arial"/>
          <w:szCs w:val="24"/>
        </w:rPr>
      </w:pPr>
      <w:r w:rsidRPr="00117762">
        <w:rPr>
          <w:rFonts w:ascii="Arial" w:eastAsia="Times New Roman" w:hAnsi="Arial"/>
          <w:szCs w:val="24"/>
        </w:rPr>
        <w:t xml:space="preserve">Morgan Motor Company mostly operates in a rapidly transforming United Kingdom automotive sector where the electrification, regulatory pressures, and shifting consumer expectations are reshaping the overall competitive dynamics. The internal analysis describes that Morgan’s heritage, craftsmanship, and improved production delivers a strong foundation for sustained differentiation, while the external environment shows the requirements for technological advancement, digital transformation, and strategic adaptation. In order to remain competitive and ensure long-term sustainability some targeted actions need to be taken which are given below. </w:t>
      </w:r>
    </w:p>
    <w:p w14:paraId="1BA50E95" w14:textId="77467A59" w:rsidR="00DE1A44" w:rsidRPr="006A6CBC" w:rsidRDefault="00000000" w:rsidP="006A6CBC">
      <w:pPr>
        <w:pStyle w:val="ListParagraph"/>
        <w:numPr>
          <w:ilvl w:val="0"/>
          <w:numId w:val="6"/>
        </w:numPr>
        <w:spacing w:before="240" w:after="240"/>
        <w:rPr>
          <w:rFonts w:ascii="Arial" w:eastAsia="Times New Roman" w:hAnsi="Arial"/>
          <w:szCs w:val="24"/>
        </w:rPr>
      </w:pPr>
      <w:r w:rsidRPr="006A6CBC">
        <w:rPr>
          <w:rFonts w:ascii="Arial" w:eastAsia="Times New Roman" w:hAnsi="Arial"/>
          <w:szCs w:val="24"/>
        </w:rPr>
        <w:t xml:space="preserve">Invest in the electric and hybrid powertrain development through the </w:t>
      </w:r>
      <w:r w:rsidR="00F11187" w:rsidRPr="006A6CBC">
        <w:rPr>
          <w:rFonts w:ascii="Arial" w:eastAsia="Times New Roman" w:hAnsi="Arial"/>
          <w:szCs w:val="24"/>
        </w:rPr>
        <w:t>in-house</w:t>
      </w:r>
      <w:r w:rsidRPr="006A6CBC">
        <w:rPr>
          <w:rFonts w:ascii="Arial" w:eastAsia="Times New Roman" w:hAnsi="Arial"/>
          <w:szCs w:val="24"/>
        </w:rPr>
        <w:t xml:space="preserve"> R&amp;D to meet environmental regulations. </w:t>
      </w:r>
    </w:p>
    <w:p w14:paraId="262D30DD" w14:textId="77777777" w:rsidR="00DE1A44" w:rsidRPr="006A6CBC" w:rsidRDefault="00000000" w:rsidP="006A6CBC">
      <w:pPr>
        <w:pStyle w:val="ListParagraph"/>
        <w:numPr>
          <w:ilvl w:val="0"/>
          <w:numId w:val="6"/>
        </w:numPr>
        <w:spacing w:before="240" w:after="240"/>
        <w:rPr>
          <w:rFonts w:ascii="Arial" w:eastAsia="Times New Roman" w:hAnsi="Arial"/>
          <w:szCs w:val="24"/>
        </w:rPr>
      </w:pPr>
      <w:r w:rsidRPr="006A6CBC">
        <w:rPr>
          <w:rFonts w:ascii="Arial" w:eastAsia="Times New Roman" w:hAnsi="Arial"/>
          <w:szCs w:val="24"/>
        </w:rPr>
        <w:t xml:space="preserve">Apply online vehicle configurations, virtual showroom tours and enhanced CRM systems to increase international access. </w:t>
      </w:r>
    </w:p>
    <w:p w14:paraId="2EB853BF" w14:textId="77777777" w:rsidR="00DE1A44" w:rsidRPr="006A6CBC" w:rsidRDefault="00000000" w:rsidP="006A6CBC">
      <w:pPr>
        <w:pStyle w:val="ListParagraph"/>
        <w:numPr>
          <w:ilvl w:val="0"/>
          <w:numId w:val="6"/>
        </w:numPr>
        <w:spacing w:before="240" w:after="240"/>
        <w:rPr>
          <w:rFonts w:ascii="Arial" w:eastAsia="Times New Roman" w:hAnsi="Arial"/>
          <w:szCs w:val="24"/>
        </w:rPr>
      </w:pPr>
      <w:r w:rsidRPr="006A6CBC">
        <w:rPr>
          <w:rFonts w:ascii="Arial" w:eastAsia="Times New Roman" w:hAnsi="Arial"/>
          <w:szCs w:val="24"/>
        </w:rPr>
        <w:t xml:space="preserve">Increase market into the high-growth luxury markets including North America, the Middle East, and East Asia through dealership partnerships. </w:t>
      </w:r>
    </w:p>
    <w:p w14:paraId="70718879" w14:textId="77777777" w:rsidR="00DE1A44" w:rsidRPr="006A6CBC" w:rsidRDefault="00000000" w:rsidP="006A6CBC">
      <w:pPr>
        <w:pStyle w:val="ListParagraph"/>
        <w:numPr>
          <w:ilvl w:val="0"/>
          <w:numId w:val="6"/>
        </w:numPr>
        <w:spacing w:before="240" w:after="240"/>
        <w:rPr>
          <w:rFonts w:ascii="Arial" w:eastAsia="Times New Roman" w:hAnsi="Arial"/>
          <w:szCs w:val="24"/>
        </w:rPr>
      </w:pPr>
      <w:r w:rsidRPr="006A6CBC">
        <w:rPr>
          <w:rFonts w:ascii="Arial" w:eastAsia="Times New Roman" w:hAnsi="Arial"/>
          <w:szCs w:val="24"/>
        </w:rPr>
        <w:t xml:space="preserve">Adopt selective digital manufacturing tools including 3D prototyping, lean supply chain practices and modular engineering. </w:t>
      </w:r>
    </w:p>
    <w:p w14:paraId="4E8D6BBD" w14:textId="77777777" w:rsidR="00DE1A44" w:rsidRPr="006A6CBC" w:rsidRDefault="00000000" w:rsidP="006A6CBC">
      <w:pPr>
        <w:pStyle w:val="ListParagraph"/>
        <w:numPr>
          <w:ilvl w:val="0"/>
          <w:numId w:val="6"/>
        </w:numPr>
        <w:spacing w:before="240" w:after="240"/>
        <w:rPr>
          <w:rFonts w:ascii="Arial" w:eastAsia="Times New Roman" w:hAnsi="Arial"/>
          <w:szCs w:val="24"/>
        </w:rPr>
      </w:pPr>
      <w:r w:rsidRPr="006A6CBC">
        <w:rPr>
          <w:rFonts w:ascii="Arial" w:hAnsi="Arial"/>
          <w:szCs w:val="24"/>
        </w:rPr>
        <w:br w:type="page"/>
      </w:r>
    </w:p>
    <w:p w14:paraId="11FE4D7F" w14:textId="404E984A" w:rsidR="00F11187" w:rsidRPr="00117762" w:rsidRDefault="00000000" w:rsidP="00117762">
      <w:pPr>
        <w:pStyle w:val="Heading1"/>
        <w:spacing w:before="240" w:after="240"/>
        <w:rPr>
          <w:rFonts w:ascii="Arial" w:hAnsi="Arial"/>
          <w:sz w:val="24"/>
          <w:szCs w:val="24"/>
        </w:rPr>
      </w:pPr>
      <w:bookmarkStart w:id="14" w:name="_Toc215174605"/>
      <w:r w:rsidRPr="00117762">
        <w:rPr>
          <w:rFonts w:ascii="Arial" w:hAnsi="Arial"/>
          <w:sz w:val="24"/>
          <w:szCs w:val="24"/>
        </w:rPr>
        <w:lastRenderedPageBreak/>
        <w:t>References</w:t>
      </w:r>
      <w:bookmarkEnd w:id="14"/>
      <w:r w:rsidRPr="00117762">
        <w:rPr>
          <w:rFonts w:ascii="Arial" w:hAnsi="Arial"/>
          <w:sz w:val="24"/>
          <w:szCs w:val="24"/>
        </w:rPr>
        <w:t xml:space="preserve"> </w:t>
      </w:r>
    </w:p>
    <w:p w14:paraId="63EFBD01" w14:textId="201D6C8D" w:rsidR="00F11187" w:rsidRPr="00117762" w:rsidRDefault="00F11187" w:rsidP="00117762">
      <w:pPr>
        <w:spacing w:before="240" w:after="240"/>
        <w:rPr>
          <w:rFonts w:ascii="Arial" w:hAnsi="Arial"/>
          <w:szCs w:val="24"/>
        </w:rPr>
      </w:pPr>
      <w:r w:rsidRPr="00117762">
        <w:rPr>
          <w:rFonts w:ascii="Arial" w:hAnsi="Arial"/>
          <w:szCs w:val="24"/>
        </w:rPr>
        <w:t>ACEA</w:t>
      </w:r>
      <w:r w:rsidR="00A83D47">
        <w:rPr>
          <w:rFonts w:ascii="Arial" w:hAnsi="Arial"/>
          <w:szCs w:val="24"/>
        </w:rPr>
        <w:t>.</w:t>
      </w:r>
      <w:r w:rsidRPr="00117762">
        <w:rPr>
          <w:rFonts w:ascii="Arial" w:hAnsi="Arial"/>
          <w:szCs w:val="24"/>
        </w:rPr>
        <w:t xml:space="preserve">, 2025. Economic and Market Report: Global and EU auto industry – First half of 2025. Available from: </w:t>
      </w:r>
      <w:hyperlink r:id="rId13">
        <w:r w:rsidRPr="00117762">
          <w:rPr>
            <w:rFonts w:ascii="Arial" w:hAnsi="Arial"/>
            <w:color w:val="1155CC"/>
            <w:szCs w:val="24"/>
            <w:u w:val="single"/>
          </w:rPr>
          <w:t>https://www.acea.auto/publication/economic-and-market-report-global-and-eu-auto-industry-first-half-of-2025/</w:t>
        </w:r>
      </w:hyperlink>
      <w:r w:rsidRPr="00117762">
        <w:rPr>
          <w:rFonts w:ascii="Arial" w:hAnsi="Arial"/>
          <w:szCs w:val="24"/>
        </w:rPr>
        <w:t xml:space="preserve"> Accessed on: 21.11.2025</w:t>
      </w:r>
    </w:p>
    <w:p w14:paraId="7F32AE38" w14:textId="77777777" w:rsidR="00F11187" w:rsidRPr="00117762" w:rsidRDefault="00F11187" w:rsidP="00117762">
      <w:pPr>
        <w:spacing w:before="240" w:after="240"/>
        <w:rPr>
          <w:rFonts w:ascii="Arial" w:hAnsi="Arial"/>
          <w:szCs w:val="24"/>
        </w:rPr>
      </w:pPr>
      <w:proofErr w:type="spellStart"/>
      <w:r w:rsidRPr="00117762">
        <w:rPr>
          <w:rFonts w:ascii="Arial" w:hAnsi="Arial"/>
          <w:szCs w:val="24"/>
        </w:rPr>
        <w:t>Adiguzel</w:t>
      </w:r>
      <w:proofErr w:type="spellEnd"/>
      <w:r w:rsidRPr="00117762">
        <w:rPr>
          <w:rFonts w:ascii="Arial" w:hAnsi="Arial"/>
          <w:szCs w:val="24"/>
        </w:rPr>
        <w:t xml:space="preserve">, Z. and Sonmez Cakir, F., 2022. Examining the effects of strategic orientation and motivation on performance and innovation in the production sector of automobile spare parts. </w:t>
      </w:r>
      <w:r w:rsidRPr="00117762">
        <w:rPr>
          <w:rFonts w:ascii="Arial" w:hAnsi="Arial"/>
          <w:i/>
          <w:iCs/>
          <w:szCs w:val="24"/>
        </w:rPr>
        <w:t>European Journal of Management Studies</w:t>
      </w:r>
      <w:r w:rsidRPr="00117762">
        <w:rPr>
          <w:rFonts w:ascii="Arial" w:hAnsi="Arial"/>
          <w:szCs w:val="24"/>
        </w:rPr>
        <w:t xml:space="preserve">, </w:t>
      </w:r>
      <w:r w:rsidRPr="00117762">
        <w:rPr>
          <w:rFonts w:ascii="Arial" w:hAnsi="Arial"/>
          <w:i/>
          <w:iCs/>
          <w:szCs w:val="24"/>
        </w:rPr>
        <w:t>27</w:t>
      </w:r>
      <w:r w:rsidRPr="00117762">
        <w:rPr>
          <w:rFonts w:ascii="Arial" w:hAnsi="Arial"/>
          <w:szCs w:val="24"/>
        </w:rPr>
        <w:t xml:space="preserve">(2), pp.131-153. DOI </w:t>
      </w:r>
      <w:hyperlink r:id="rId14">
        <w:r w:rsidRPr="00117762">
          <w:rPr>
            <w:rFonts w:ascii="Arial" w:hAnsi="Arial"/>
            <w:color w:val="1155CC"/>
            <w:szCs w:val="24"/>
            <w:u w:val="single"/>
          </w:rPr>
          <w:t>10.1108/EJMS-01-2022-0007</w:t>
        </w:r>
      </w:hyperlink>
    </w:p>
    <w:p w14:paraId="565298E6" w14:textId="5F630A9E" w:rsidR="00F11187" w:rsidRPr="00117762" w:rsidRDefault="00F11187" w:rsidP="00117762">
      <w:pPr>
        <w:spacing w:before="240" w:after="240"/>
        <w:rPr>
          <w:rFonts w:ascii="Arial" w:hAnsi="Arial"/>
          <w:szCs w:val="24"/>
        </w:rPr>
      </w:pPr>
      <w:r w:rsidRPr="00117762">
        <w:rPr>
          <w:rFonts w:ascii="Arial" w:hAnsi="Arial"/>
          <w:szCs w:val="24"/>
        </w:rPr>
        <w:t>CLEPA</w:t>
      </w:r>
      <w:r w:rsidR="00723AA1">
        <w:rPr>
          <w:rFonts w:ascii="Arial" w:hAnsi="Arial"/>
          <w:szCs w:val="24"/>
        </w:rPr>
        <w:t>.</w:t>
      </w:r>
      <w:r w:rsidRPr="00117762">
        <w:rPr>
          <w:rFonts w:ascii="Arial" w:hAnsi="Arial"/>
          <w:szCs w:val="24"/>
        </w:rPr>
        <w:t xml:space="preserve">, 2025. European Automotive Industry statement on Brexit. Available from: </w:t>
      </w:r>
      <w:hyperlink r:id="rId15">
        <w:r w:rsidRPr="00117762">
          <w:rPr>
            <w:rFonts w:ascii="Arial" w:hAnsi="Arial"/>
            <w:color w:val="1155CC"/>
            <w:szCs w:val="24"/>
            <w:u w:val="single"/>
          </w:rPr>
          <w:t>https://www.clepa.eu/wp-content/uploads/2025/03/CLEPA-Position-Paper-on-Brexit.pdf</w:t>
        </w:r>
      </w:hyperlink>
      <w:r w:rsidRPr="00117762">
        <w:rPr>
          <w:rFonts w:ascii="Arial" w:hAnsi="Arial"/>
          <w:szCs w:val="24"/>
        </w:rPr>
        <w:t xml:space="preserve"> Accessed on: 21.11.2025 </w:t>
      </w:r>
    </w:p>
    <w:p w14:paraId="39C08174" w14:textId="77777777" w:rsidR="00F11187" w:rsidRPr="00117762" w:rsidRDefault="00F11187" w:rsidP="00117762">
      <w:pPr>
        <w:spacing w:before="240" w:after="240"/>
        <w:rPr>
          <w:rFonts w:ascii="Arial" w:hAnsi="Arial"/>
          <w:szCs w:val="24"/>
        </w:rPr>
      </w:pPr>
      <w:r w:rsidRPr="00117762">
        <w:rPr>
          <w:rFonts w:ascii="Arial" w:hAnsi="Arial"/>
          <w:szCs w:val="24"/>
        </w:rPr>
        <w:t xml:space="preserve">Czerwinski, F., 2021. Current trends in automotive lightweighting strategies and materials. </w:t>
      </w:r>
      <w:r w:rsidRPr="00117762">
        <w:rPr>
          <w:rFonts w:ascii="Arial" w:hAnsi="Arial"/>
          <w:i/>
          <w:iCs/>
          <w:szCs w:val="24"/>
        </w:rPr>
        <w:t>Materials</w:t>
      </w:r>
      <w:r w:rsidRPr="00117762">
        <w:rPr>
          <w:rFonts w:ascii="Arial" w:hAnsi="Arial"/>
          <w:szCs w:val="24"/>
        </w:rPr>
        <w:t xml:space="preserve">, </w:t>
      </w:r>
      <w:r w:rsidRPr="00117762">
        <w:rPr>
          <w:rFonts w:ascii="Arial" w:hAnsi="Arial"/>
          <w:i/>
          <w:iCs/>
          <w:szCs w:val="24"/>
        </w:rPr>
        <w:t>14</w:t>
      </w:r>
      <w:r w:rsidRPr="00117762">
        <w:rPr>
          <w:rFonts w:ascii="Arial" w:hAnsi="Arial"/>
          <w:szCs w:val="24"/>
        </w:rPr>
        <w:t xml:space="preserve">(21), p.6631. </w:t>
      </w:r>
      <w:hyperlink r:id="rId16">
        <w:r w:rsidRPr="00117762">
          <w:rPr>
            <w:rFonts w:ascii="Arial" w:hAnsi="Arial"/>
            <w:color w:val="1155CC"/>
            <w:szCs w:val="24"/>
            <w:u w:val="single"/>
          </w:rPr>
          <w:t>https://doi.org/10.3390/ma14216631</w:t>
        </w:r>
      </w:hyperlink>
      <w:r w:rsidRPr="00117762">
        <w:rPr>
          <w:rFonts w:ascii="Arial" w:hAnsi="Arial"/>
          <w:szCs w:val="24"/>
        </w:rPr>
        <w:t xml:space="preserve"> </w:t>
      </w:r>
    </w:p>
    <w:p w14:paraId="29330713" w14:textId="759B37FF" w:rsidR="00F11187" w:rsidRPr="00117762" w:rsidRDefault="00F11187" w:rsidP="00117762">
      <w:pPr>
        <w:spacing w:before="240" w:after="240"/>
        <w:rPr>
          <w:rFonts w:ascii="Arial" w:hAnsi="Arial"/>
          <w:szCs w:val="24"/>
        </w:rPr>
      </w:pPr>
      <w:r w:rsidRPr="00117762">
        <w:rPr>
          <w:rFonts w:ascii="Arial" w:hAnsi="Arial"/>
          <w:szCs w:val="24"/>
        </w:rPr>
        <w:t>Deloitte</w:t>
      </w:r>
      <w:r w:rsidR="00723AA1">
        <w:rPr>
          <w:rFonts w:ascii="Arial" w:hAnsi="Arial"/>
          <w:szCs w:val="24"/>
        </w:rPr>
        <w:t>.</w:t>
      </w:r>
      <w:r w:rsidRPr="00117762">
        <w:rPr>
          <w:rFonts w:ascii="Arial" w:hAnsi="Arial"/>
          <w:szCs w:val="24"/>
        </w:rPr>
        <w:t xml:space="preserve">, 2025. Automotive sector quarterly update. Available from: </w:t>
      </w:r>
      <w:hyperlink r:id="rId17">
        <w:r w:rsidRPr="00117762">
          <w:rPr>
            <w:rFonts w:ascii="Arial" w:hAnsi="Arial"/>
            <w:color w:val="1155CC"/>
            <w:szCs w:val="24"/>
            <w:u w:val="single"/>
          </w:rPr>
          <w:t>https://www.deloitte.com/uk/en/Industries/consumer/research/consumer-tracker/automotive-sector.html</w:t>
        </w:r>
      </w:hyperlink>
      <w:r w:rsidRPr="00117762">
        <w:rPr>
          <w:rFonts w:ascii="Arial" w:hAnsi="Arial"/>
          <w:szCs w:val="24"/>
        </w:rPr>
        <w:t xml:space="preserve"> Accessed on: 21.11.2025</w:t>
      </w:r>
    </w:p>
    <w:p w14:paraId="25A325C4" w14:textId="77777777" w:rsidR="00F11187" w:rsidRPr="00117762" w:rsidRDefault="00F11187" w:rsidP="00117762">
      <w:pPr>
        <w:spacing w:before="240" w:after="240"/>
        <w:rPr>
          <w:rFonts w:ascii="Arial" w:hAnsi="Arial"/>
          <w:szCs w:val="24"/>
        </w:rPr>
      </w:pPr>
      <w:hyperlink r:id="rId18">
        <w:r w:rsidRPr="00117762">
          <w:rPr>
            <w:rFonts w:ascii="Arial" w:hAnsi="Arial"/>
            <w:szCs w:val="24"/>
          </w:rPr>
          <w:t>Francis</w:t>
        </w:r>
      </w:hyperlink>
      <w:r w:rsidRPr="00117762">
        <w:rPr>
          <w:rFonts w:ascii="Arial" w:hAnsi="Arial"/>
          <w:szCs w:val="24"/>
        </w:rPr>
        <w:t xml:space="preserve">, T., 2025. Inside The Morgan Factory—Why Bespoke Manufacturing Is Thriving. Available from: </w:t>
      </w:r>
      <w:hyperlink r:id="rId19">
        <w:r w:rsidRPr="00117762">
          <w:rPr>
            <w:rFonts w:ascii="Arial" w:hAnsi="Arial"/>
            <w:color w:val="1155CC"/>
            <w:szCs w:val="24"/>
            <w:u w:val="single"/>
          </w:rPr>
          <w:t>https://www.forbes.com/sites/trinityfrancis/2025/06/27/inside-the-morgan-factory--why-bespoke-manufacturing-is-thriving/</w:t>
        </w:r>
      </w:hyperlink>
      <w:r w:rsidRPr="00117762">
        <w:rPr>
          <w:rFonts w:ascii="Arial" w:hAnsi="Arial"/>
          <w:szCs w:val="24"/>
        </w:rPr>
        <w:t xml:space="preserve"> Accessed on: 21.11.2025</w:t>
      </w:r>
    </w:p>
    <w:p w14:paraId="7EEC9D13" w14:textId="5EC0215A" w:rsidR="00F11187" w:rsidRPr="00117762" w:rsidRDefault="00F11187" w:rsidP="00117762">
      <w:pPr>
        <w:spacing w:before="240" w:after="240"/>
        <w:rPr>
          <w:rFonts w:ascii="Arial" w:hAnsi="Arial"/>
          <w:szCs w:val="24"/>
        </w:rPr>
      </w:pPr>
      <w:r w:rsidRPr="00117762">
        <w:rPr>
          <w:rFonts w:ascii="Arial" w:hAnsi="Arial"/>
          <w:szCs w:val="24"/>
        </w:rPr>
        <w:t>HAAS</w:t>
      </w:r>
      <w:r w:rsidR="00723AA1">
        <w:rPr>
          <w:rFonts w:ascii="Arial" w:hAnsi="Arial"/>
          <w:szCs w:val="24"/>
        </w:rPr>
        <w:t>.</w:t>
      </w:r>
      <w:r w:rsidRPr="00117762">
        <w:rPr>
          <w:rFonts w:ascii="Arial" w:hAnsi="Arial"/>
          <w:szCs w:val="24"/>
        </w:rPr>
        <w:t xml:space="preserve">, 2025. The Evolution of Morgan. Available from: </w:t>
      </w:r>
      <w:hyperlink r:id="rId20">
        <w:r w:rsidRPr="00117762">
          <w:rPr>
            <w:rFonts w:ascii="Arial" w:hAnsi="Arial"/>
            <w:color w:val="1155CC"/>
            <w:szCs w:val="24"/>
            <w:u w:val="single"/>
          </w:rPr>
          <w:t>https://www.haas.co.uk/resources/our-customers/automotive/the-evolution-of-morgan/</w:t>
        </w:r>
      </w:hyperlink>
      <w:r w:rsidRPr="00117762">
        <w:rPr>
          <w:rFonts w:ascii="Arial" w:hAnsi="Arial"/>
          <w:szCs w:val="24"/>
        </w:rPr>
        <w:t xml:space="preserve"> Accessed on: 21.11.2025</w:t>
      </w:r>
    </w:p>
    <w:p w14:paraId="5652F00A" w14:textId="0BCC734F" w:rsidR="00F11187" w:rsidRPr="00117762" w:rsidRDefault="00F11187" w:rsidP="00117762">
      <w:pPr>
        <w:spacing w:before="240" w:after="240"/>
        <w:rPr>
          <w:rFonts w:ascii="Arial" w:hAnsi="Arial"/>
          <w:szCs w:val="24"/>
        </w:rPr>
      </w:pPr>
      <w:r w:rsidRPr="00117762">
        <w:rPr>
          <w:rFonts w:ascii="Arial" w:hAnsi="Arial"/>
          <w:szCs w:val="24"/>
        </w:rPr>
        <w:t>IFS</w:t>
      </w:r>
      <w:r w:rsidR="00723AA1">
        <w:rPr>
          <w:rFonts w:ascii="Arial" w:hAnsi="Arial"/>
          <w:szCs w:val="24"/>
        </w:rPr>
        <w:t>.</w:t>
      </w:r>
      <w:r w:rsidRPr="00117762">
        <w:rPr>
          <w:rFonts w:ascii="Arial" w:hAnsi="Arial"/>
          <w:szCs w:val="24"/>
        </w:rPr>
        <w:t xml:space="preserve">, 2022. The Morgan </w:t>
      </w:r>
      <w:proofErr w:type="gramStart"/>
      <w:r w:rsidRPr="00117762">
        <w:rPr>
          <w:rFonts w:ascii="Arial" w:hAnsi="Arial"/>
          <w:szCs w:val="24"/>
        </w:rPr>
        <w:t>Motor  Company</w:t>
      </w:r>
      <w:proofErr w:type="gramEnd"/>
      <w:r w:rsidRPr="00117762">
        <w:rPr>
          <w:rFonts w:ascii="Arial" w:hAnsi="Arial"/>
          <w:szCs w:val="24"/>
        </w:rPr>
        <w:t xml:space="preserve"> embraces modernity to accelerate tradition. Available from: </w:t>
      </w:r>
      <w:hyperlink r:id="rId21">
        <w:r w:rsidRPr="00117762">
          <w:rPr>
            <w:rFonts w:ascii="Arial" w:hAnsi="Arial"/>
            <w:color w:val="1155CC"/>
            <w:szCs w:val="24"/>
            <w:u w:val="single"/>
          </w:rPr>
          <w:t>https://www.google.com/url?sa=t&amp;source=web&amp;rct=j&amp;opi=89978449&amp;url=https://www.ifs.com/-/media10/assets/2022/02/22/morgan-motor-company-customer-</w:t>
        </w:r>
        <w:r w:rsidRPr="00117762">
          <w:rPr>
            <w:rFonts w:ascii="Arial" w:hAnsi="Arial"/>
            <w:color w:val="1155CC"/>
            <w:szCs w:val="24"/>
            <w:u w:val="single"/>
          </w:rPr>
          <w:lastRenderedPageBreak/>
          <w:t>story.pdf&amp;ved=2ahUKEwjGoMe4hoORAxWHR2wGHTCyD8YQFnoECC0QAQ&amp;usg=AOvVaw0LkRx0IQQ0p0e65hOfDT4P</w:t>
        </w:r>
      </w:hyperlink>
      <w:r w:rsidRPr="00117762">
        <w:rPr>
          <w:rFonts w:ascii="Arial" w:hAnsi="Arial"/>
          <w:szCs w:val="24"/>
        </w:rPr>
        <w:t xml:space="preserve"> Accessed on: 21.11.2025</w:t>
      </w:r>
    </w:p>
    <w:p w14:paraId="46CF9F80" w14:textId="3D70499C" w:rsidR="00F11187" w:rsidRPr="00117762" w:rsidRDefault="00F11187" w:rsidP="00117762">
      <w:pPr>
        <w:spacing w:before="240" w:after="240"/>
        <w:rPr>
          <w:rFonts w:ascii="Arial" w:hAnsi="Arial"/>
          <w:szCs w:val="24"/>
        </w:rPr>
      </w:pPr>
      <w:proofErr w:type="spellStart"/>
      <w:r w:rsidRPr="00117762">
        <w:rPr>
          <w:rFonts w:ascii="Arial" w:hAnsi="Arial"/>
          <w:szCs w:val="24"/>
        </w:rPr>
        <w:t>Investindustrial</w:t>
      </w:r>
      <w:proofErr w:type="spellEnd"/>
      <w:r w:rsidR="00723AA1">
        <w:rPr>
          <w:rFonts w:ascii="Arial" w:hAnsi="Arial"/>
          <w:szCs w:val="24"/>
        </w:rPr>
        <w:t>.</w:t>
      </w:r>
      <w:r w:rsidRPr="00117762">
        <w:rPr>
          <w:rFonts w:ascii="Arial" w:hAnsi="Arial"/>
          <w:szCs w:val="24"/>
        </w:rPr>
        <w:t xml:space="preserve">, 2019. Morgan Motor Company. Available from: </w:t>
      </w:r>
      <w:hyperlink r:id="rId22">
        <w:r w:rsidRPr="00117762">
          <w:rPr>
            <w:rFonts w:ascii="Arial" w:hAnsi="Arial"/>
            <w:color w:val="1155CC"/>
            <w:szCs w:val="24"/>
            <w:u w:val="single"/>
          </w:rPr>
          <w:t>https://www.investindustrial.com/our-business/portfolio-overview/current-portfolio/Morgan-Motor-Company.html</w:t>
        </w:r>
      </w:hyperlink>
      <w:r w:rsidRPr="00117762">
        <w:rPr>
          <w:rFonts w:ascii="Arial" w:hAnsi="Arial"/>
          <w:szCs w:val="24"/>
        </w:rPr>
        <w:t xml:space="preserve"> Accessed on: 21.11.2025</w:t>
      </w:r>
    </w:p>
    <w:p w14:paraId="2626D29C" w14:textId="77777777" w:rsidR="00F11187" w:rsidRPr="00117762" w:rsidRDefault="00F11187" w:rsidP="00117762">
      <w:pPr>
        <w:spacing w:before="240" w:after="240"/>
        <w:rPr>
          <w:rFonts w:ascii="Arial" w:hAnsi="Arial"/>
          <w:szCs w:val="24"/>
        </w:rPr>
      </w:pPr>
      <w:r w:rsidRPr="00117762">
        <w:rPr>
          <w:rFonts w:ascii="Arial" w:hAnsi="Arial"/>
          <w:szCs w:val="24"/>
        </w:rPr>
        <w:t xml:space="preserve">Kelly, M., 2025. UK automotive market under stress, but moving towards return to growth. Available from: </w:t>
      </w:r>
      <w:hyperlink r:id="rId23">
        <w:r w:rsidRPr="00117762">
          <w:rPr>
            <w:rFonts w:ascii="Arial" w:hAnsi="Arial"/>
            <w:color w:val="1155CC"/>
            <w:szCs w:val="24"/>
            <w:u w:val="single"/>
          </w:rPr>
          <w:t>https://www.automotivelogistics.media/lean-logistics/uk-automotive-market-under-stress-but-moving-towards-return-to-growth/647504</w:t>
        </w:r>
      </w:hyperlink>
      <w:r w:rsidRPr="00117762">
        <w:rPr>
          <w:rFonts w:ascii="Arial" w:hAnsi="Arial"/>
          <w:szCs w:val="24"/>
        </w:rPr>
        <w:t xml:space="preserve"> Accessed on: 21.11.2025</w:t>
      </w:r>
    </w:p>
    <w:p w14:paraId="3A6A6DBC" w14:textId="77777777" w:rsidR="00F11187" w:rsidRPr="00117762" w:rsidRDefault="00F11187" w:rsidP="00117762">
      <w:pPr>
        <w:spacing w:before="240" w:after="240"/>
        <w:rPr>
          <w:rFonts w:ascii="Arial" w:hAnsi="Arial"/>
          <w:szCs w:val="24"/>
        </w:rPr>
      </w:pPr>
      <w:r w:rsidRPr="00117762">
        <w:rPr>
          <w:rFonts w:ascii="Arial" w:hAnsi="Arial"/>
          <w:szCs w:val="24"/>
        </w:rPr>
        <w:t xml:space="preserve">Kokol, I.N., 2023. The Concept and Significance of Sustainability in Strategic Management. </w:t>
      </w:r>
      <w:r w:rsidRPr="00117762">
        <w:rPr>
          <w:rFonts w:ascii="Arial" w:hAnsi="Arial"/>
          <w:i/>
          <w:iCs/>
          <w:szCs w:val="24"/>
        </w:rPr>
        <w:t>Journal of Islamic Financial Studies</w:t>
      </w:r>
      <w:r w:rsidRPr="00117762">
        <w:rPr>
          <w:rFonts w:ascii="Arial" w:hAnsi="Arial"/>
          <w:szCs w:val="24"/>
        </w:rPr>
        <w:t xml:space="preserve">, </w:t>
      </w:r>
      <w:r w:rsidRPr="00117762">
        <w:rPr>
          <w:rFonts w:ascii="Arial" w:hAnsi="Arial"/>
          <w:i/>
          <w:iCs/>
          <w:szCs w:val="24"/>
        </w:rPr>
        <w:t>83</w:t>
      </w:r>
      <w:r w:rsidRPr="00117762">
        <w:rPr>
          <w:rFonts w:ascii="Arial" w:hAnsi="Arial"/>
          <w:szCs w:val="24"/>
        </w:rPr>
        <w:t>.</w:t>
      </w:r>
      <w:hyperlink r:id="rId24" w:anchor="page=83">
        <w:r w:rsidRPr="00117762">
          <w:rPr>
            <w:rFonts w:ascii="Arial" w:hAnsi="Arial"/>
            <w:color w:val="1155CC"/>
            <w:szCs w:val="24"/>
            <w:u w:val="single"/>
          </w:rPr>
          <w:t>https://www.researchgate.net/profile/V-Ugur-Tandogan/publication/381614954_Evaluation_of_Motorcycle_Tourism_on_The_Basis_of_Destinations_With_Ahp_and_Vikor_Methods_The_Case_of_Turkey/links/6676b6f61846ca33b8452392/Evaluation-of-Motorcycle-Tourism-on-The-Basis-of-Destinations-With-Ahp-and-Vikor-Methods-The-Case-of-Turkey.pdf#page=83</w:t>
        </w:r>
      </w:hyperlink>
      <w:r w:rsidRPr="00117762">
        <w:rPr>
          <w:rFonts w:ascii="Arial" w:hAnsi="Arial"/>
          <w:szCs w:val="24"/>
        </w:rPr>
        <w:t xml:space="preserve"> </w:t>
      </w:r>
    </w:p>
    <w:p w14:paraId="20008E94" w14:textId="77777777" w:rsidR="00F11187" w:rsidRPr="00117762" w:rsidRDefault="00F11187" w:rsidP="00117762">
      <w:pPr>
        <w:spacing w:before="240" w:after="240"/>
        <w:rPr>
          <w:rFonts w:ascii="Arial" w:hAnsi="Arial"/>
          <w:szCs w:val="24"/>
          <w:highlight w:val="white"/>
        </w:rPr>
      </w:pPr>
      <w:proofErr w:type="spellStart"/>
      <w:r w:rsidRPr="00117762">
        <w:rPr>
          <w:rFonts w:ascii="Arial" w:hAnsi="Arial"/>
          <w:szCs w:val="24"/>
          <w:highlight w:val="white"/>
        </w:rPr>
        <w:t>Kukkamalla</w:t>
      </w:r>
      <w:proofErr w:type="spellEnd"/>
      <w:r w:rsidRPr="00117762">
        <w:rPr>
          <w:rFonts w:ascii="Arial" w:hAnsi="Arial"/>
          <w:szCs w:val="24"/>
          <w:highlight w:val="white"/>
        </w:rPr>
        <w:t xml:space="preserve">, P.K., Bikfalvi, A. and </w:t>
      </w:r>
      <w:proofErr w:type="spellStart"/>
      <w:r w:rsidRPr="00117762">
        <w:rPr>
          <w:rFonts w:ascii="Arial" w:hAnsi="Arial"/>
          <w:szCs w:val="24"/>
          <w:highlight w:val="white"/>
        </w:rPr>
        <w:t>Arbussa</w:t>
      </w:r>
      <w:proofErr w:type="spellEnd"/>
      <w:r w:rsidRPr="00117762">
        <w:rPr>
          <w:rFonts w:ascii="Arial" w:hAnsi="Arial"/>
          <w:szCs w:val="24"/>
          <w:highlight w:val="white"/>
        </w:rPr>
        <w:t xml:space="preserve">, A., 2021. Collaborative partnerships in the automotive industry: key motives and resource integration strategy. </w:t>
      </w:r>
      <w:r w:rsidRPr="00117762">
        <w:rPr>
          <w:rFonts w:ascii="Arial" w:hAnsi="Arial"/>
          <w:i/>
          <w:iCs/>
          <w:szCs w:val="24"/>
          <w:highlight w:val="white"/>
        </w:rPr>
        <w:t>International journal of business innovation and research</w:t>
      </w:r>
      <w:r w:rsidRPr="00117762">
        <w:rPr>
          <w:rFonts w:ascii="Arial" w:hAnsi="Arial"/>
          <w:szCs w:val="24"/>
          <w:highlight w:val="white"/>
        </w:rPr>
        <w:t xml:space="preserve">, </w:t>
      </w:r>
      <w:r w:rsidRPr="00117762">
        <w:rPr>
          <w:rFonts w:ascii="Arial" w:hAnsi="Arial"/>
          <w:i/>
          <w:iCs/>
          <w:szCs w:val="24"/>
          <w:highlight w:val="white"/>
        </w:rPr>
        <w:t>24</w:t>
      </w:r>
      <w:r w:rsidRPr="00117762">
        <w:rPr>
          <w:rFonts w:ascii="Arial" w:hAnsi="Arial"/>
          <w:szCs w:val="24"/>
          <w:highlight w:val="white"/>
        </w:rPr>
        <w:t xml:space="preserve">(4), pp.571-592. </w:t>
      </w:r>
      <w:hyperlink r:id="rId25">
        <w:r w:rsidRPr="00117762">
          <w:rPr>
            <w:rFonts w:ascii="Arial" w:hAnsi="Arial"/>
            <w:color w:val="1155CC"/>
            <w:szCs w:val="24"/>
            <w:highlight w:val="white"/>
            <w:u w:val="single"/>
          </w:rPr>
          <w:t>https://www.researchgate.net/profile/Prasanna-Kukkamalla/publication/350763402_Collaborative_partnerships_in_the_automotive_industry_key_motives_and_resource_integration_strategy/links/6267e3038cb84a40ac8c978c/Collaborative-partnerships-in-the-automotive-industry-key-motives-and-resource-integration-strategy.pdf</w:t>
        </w:r>
      </w:hyperlink>
    </w:p>
    <w:p w14:paraId="506A8FF8" w14:textId="77777777" w:rsidR="00F11187" w:rsidRPr="00117762" w:rsidRDefault="00F11187" w:rsidP="00117762">
      <w:pPr>
        <w:spacing w:before="240" w:after="240"/>
        <w:rPr>
          <w:rFonts w:ascii="Arial" w:hAnsi="Arial"/>
          <w:szCs w:val="24"/>
          <w:highlight w:val="white"/>
        </w:rPr>
      </w:pPr>
      <w:r w:rsidRPr="00117762">
        <w:rPr>
          <w:rFonts w:ascii="Arial" w:hAnsi="Arial"/>
          <w:szCs w:val="24"/>
          <w:highlight w:val="white"/>
        </w:rPr>
        <w:t xml:space="preserve">Li, L., Li, T., Cui, J., Gu, Y. and Zhang, J., 2021, June. To gain a foothold in the luxury EV market for Chinese new car-making forces brands: Resonate with consumers through branding first. In </w:t>
      </w:r>
      <w:r w:rsidRPr="00117762">
        <w:rPr>
          <w:rFonts w:ascii="Arial" w:hAnsi="Arial"/>
          <w:i/>
          <w:iCs/>
          <w:szCs w:val="24"/>
          <w:highlight w:val="white"/>
        </w:rPr>
        <w:t>IOP Conference Series: Earth and Environmental Science</w:t>
      </w:r>
      <w:r w:rsidRPr="00117762">
        <w:rPr>
          <w:rFonts w:ascii="Arial" w:hAnsi="Arial"/>
          <w:szCs w:val="24"/>
          <w:highlight w:val="white"/>
        </w:rPr>
        <w:t xml:space="preserve"> (Vol. 793, No. </w:t>
      </w:r>
      <w:r w:rsidRPr="00117762">
        <w:rPr>
          <w:rFonts w:ascii="Arial" w:hAnsi="Arial"/>
          <w:szCs w:val="24"/>
          <w:highlight w:val="white"/>
        </w:rPr>
        <w:lastRenderedPageBreak/>
        <w:t xml:space="preserve">1, p. 012021). IOP Publishing. </w:t>
      </w:r>
      <w:hyperlink r:id="rId26">
        <w:r w:rsidRPr="00117762">
          <w:rPr>
            <w:rFonts w:ascii="Arial" w:hAnsi="Arial"/>
            <w:color w:val="1155CC"/>
            <w:szCs w:val="24"/>
            <w:highlight w:val="white"/>
            <w:u w:val="single"/>
          </w:rPr>
          <w:t>https://iopscience.iop.org/article/10.1088/1755-1315/793/1/012021/pdf</w:t>
        </w:r>
      </w:hyperlink>
    </w:p>
    <w:p w14:paraId="2321EC85" w14:textId="77777777" w:rsidR="00F11187" w:rsidRPr="00117762" w:rsidRDefault="00F11187" w:rsidP="00117762">
      <w:pPr>
        <w:spacing w:before="240" w:after="240"/>
        <w:rPr>
          <w:rFonts w:ascii="Arial" w:hAnsi="Arial"/>
          <w:szCs w:val="24"/>
          <w:highlight w:val="white"/>
        </w:rPr>
      </w:pPr>
      <w:r w:rsidRPr="00117762">
        <w:rPr>
          <w:rFonts w:ascii="Arial" w:hAnsi="Arial"/>
          <w:szCs w:val="24"/>
          <w:highlight w:val="white"/>
        </w:rPr>
        <w:t xml:space="preserve">Lopez-Vega, H. and Moodysson, J., 2023. Digital transformation of the automotive industry: an integrating framework to analyse technological novelty and breadth. </w:t>
      </w:r>
      <w:r w:rsidRPr="00117762">
        <w:rPr>
          <w:rFonts w:ascii="Arial" w:hAnsi="Arial"/>
          <w:i/>
          <w:iCs/>
          <w:szCs w:val="24"/>
          <w:highlight w:val="white"/>
        </w:rPr>
        <w:t>Industry and innovation</w:t>
      </w:r>
      <w:r w:rsidRPr="00117762">
        <w:rPr>
          <w:rFonts w:ascii="Arial" w:hAnsi="Arial"/>
          <w:szCs w:val="24"/>
          <w:highlight w:val="white"/>
        </w:rPr>
        <w:t xml:space="preserve">, </w:t>
      </w:r>
      <w:r w:rsidRPr="00117762">
        <w:rPr>
          <w:rFonts w:ascii="Arial" w:hAnsi="Arial"/>
          <w:i/>
          <w:iCs/>
          <w:szCs w:val="24"/>
          <w:highlight w:val="white"/>
        </w:rPr>
        <w:t>30</w:t>
      </w:r>
      <w:r w:rsidRPr="00117762">
        <w:rPr>
          <w:rFonts w:ascii="Arial" w:hAnsi="Arial"/>
          <w:szCs w:val="24"/>
          <w:highlight w:val="white"/>
        </w:rPr>
        <w:t xml:space="preserve">(1), pp.67-102. </w:t>
      </w:r>
      <w:hyperlink r:id="rId27">
        <w:r w:rsidRPr="00117762">
          <w:rPr>
            <w:rFonts w:ascii="Arial" w:hAnsi="Arial"/>
            <w:color w:val="1155CC"/>
            <w:szCs w:val="24"/>
            <w:highlight w:val="white"/>
            <w:u w:val="single"/>
          </w:rPr>
          <w:t>https://www.tandfonline.com/doi/pdf/10.1080/13662716.2022.2151873</w:t>
        </w:r>
      </w:hyperlink>
    </w:p>
    <w:p w14:paraId="677B7278" w14:textId="77777777" w:rsidR="00F11187" w:rsidRPr="00117762" w:rsidRDefault="00F11187" w:rsidP="00117762">
      <w:pPr>
        <w:spacing w:before="240" w:after="240"/>
        <w:rPr>
          <w:rFonts w:ascii="Arial" w:hAnsi="Arial"/>
          <w:szCs w:val="24"/>
        </w:rPr>
      </w:pPr>
      <w:r w:rsidRPr="00117762">
        <w:rPr>
          <w:rFonts w:ascii="Arial" w:hAnsi="Arial"/>
          <w:szCs w:val="24"/>
        </w:rPr>
        <w:t xml:space="preserve">Lubis, N.W., 2022. Resource based view (RBV) in improving company strategic capacity. </w:t>
      </w:r>
      <w:r w:rsidRPr="00117762">
        <w:rPr>
          <w:rFonts w:ascii="Arial" w:hAnsi="Arial"/>
          <w:i/>
          <w:iCs/>
          <w:szCs w:val="24"/>
        </w:rPr>
        <w:t>Research Horizon</w:t>
      </w:r>
      <w:r w:rsidRPr="00117762">
        <w:rPr>
          <w:rFonts w:ascii="Arial" w:hAnsi="Arial"/>
          <w:szCs w:val="24"/>
        </w:rPr>
        <w:t xml:space="preserve">, </w:t>
      </w:r>
      <w:r w:rsidRPr="00117762">
        <w:rPr>
          <w:rFonts w:ascii="Arial" w:hAnsi="Arial"/>
          <w:i/>
          <w:iCs/>
          <w:szCs w:val="24"/>
        </w:rPr>
        <w:t>2</w:t>
      </w:r>
      <w:r w:rsidRPr="00117762">
        <w:rPr>
          <w:rFonts w:ascii="Arial" w:hAnsi="Arial"/>
          <w:szCs w:val="24"/>
        </w:rPr>
        <w:t xml:space="preserve">(6), pp.587-596. </w:t>
      </w:r>
      <w:hyperlink r:id="rId28">
        <w:r w:rsidRPr="00117762">
          <w:rPr>
            <w:rFonts w:ascii="Arial" w:hAnsi="Arial"/>
            <w:color w:val="1155CC"/>
            <w:szCs w:val="24"/>
            <w:u w:val="single"/>
          </w:rPr>
          <w:t>https://journal.lifescifi.com/index.php/RH/article/download/85/72</w:t>
        </w:r>
      </w:hyperlink>
    </w:p>
    <w:p w14:paraId="05E362BA" w14:textId="1F8E4E9C" w:rsidR="00F11187" w:rsidRPr="00117762" w:rsidRDefault="00F11187" w:rsidP="00117762">
      <w:pPr>
        <w:spacing w:before="240" w:after="240"/>
        <w:rPr>
          <w:rFonts w:ascii="Arial" w:hAnsi="Arial"/>
          <w:szCs w:val="24"/>
        </w:rPr>
      </w:pPr>
      <w:r w:rsidRPr="00117762">
        <w:rPr>
          <w:rFonts w:ascii="Arial" w:hAnsi="Arial"/>
          <w:szCs w:val="24"/>
        </w:rPr>
        <w:t>Manufacturing digital</w:t>
      </w:r>
      <w:r w:rsidR="007D638F">
        <w:rPr>
          <w:rFonts w:ascii="Arial" w:hAnsi="Arial"/>
          <w:szCs w:val="24"/>
        </w:rPr>
        <w:t>.</w:t>
      </w:r>
      <w:r w:rsidRPr="00117762">
        <w:rPr>
          <w:rFonts w:ascii="Arial" w:hAnsi="Arial"/>
          <w:szCs w:val="24"/>
        </w:rPr>
        <w:t xml:space="preserve">, 2020. Morgan Motor Company Embraces Consumer Customisation with Autodesk's 3D Design Solutions. Available from: </w:t>
      </w:r>
      <w:hyperlink r:id="rId29">
        <w:r w:rsidRPr="00117762">
          <w:rPr>
            <w:rFonts w:ascii="Arial" w:hAnsi="Arial"/>
            <w:color w:val="1155CC"/>
            <w:szCs w:val="24"/>
            <w:u w:val="single"/>
          </w:rPr>
          <w:t>https://manufacturingdigital.com/lean-manufacturing/morgan-motor-company-embraces-consumer-customisation-autodesks-3d-design-solutions</w:t>
        </w:r>
      </w:hyperlink>
      <w:r w:rsidRPr="00117762">
        <w:rPr>
          <w:rFonts w:ascii="Arial" w:hAnsi="Arial"/>
          <w:szCs w:val="24"/>
        </w:rPr>
        <w:t xml:space="preserve"> Accessed on: 21.11.2025</w:t>
      </w:r>
    </w:p>
    <w:p w14:paraId="7F4F3A14" w14:textId="316A7E28" w:rsidR="00F11187" w:rsidRPr="00117762" w:rsidRDefault="00F11187" w:rsidP="00117762">
      <w:pPr>
        <w:spacing w:before="240" w:after="240"/>
        <w:rPr>
          <w:rFonts w:ascii="Arial" w:hAnsi="Arial"/>
          <w:szCs w:val="24"/>
        </w:rPr>
      </w:pPr>
      <w:hyperlink r:id="rId30">
        <w:r w:rsidRPr="00117762">
          <w:rPr>
            <w:rFonts w:ascii="Arial" w:hAnsi="Arial"/>
            <w:szCs w:val="24"/>
          </w:rPr>
          <w:t>Ministry of Defence</w:t>
        </w:r>
      </w:hyperlink>
      <w:r w:rsidR="007D638F">
        <w:rPr>
          <w:rFonts w:ascii="Arial" w:hAnsi="Arial"/>
          <w:szCs w:val="24"/>
        </w:rPr>
        <w:t>.</w:t>
      </w:r>
      <w:r w:rsidRPr="00117762">
        <w:rPr>
          <w:rFonts w:ascii="Arial" w:hAnsi="Arial"/>
          <w:szCs w:val="24"/>
        </w:rPr>
        <w:t xml:space="preserve">, 2025. Morgan Motor Company Ltd. Available from: </w:t>
      </w:r>
      <w:hyperlink r:id="rId31">
        <w:r w:rsidRPr="00117762">
          <w:rPr>
            <w:rFonts w:ascii="Arial" w:hAnsi="Arial"/>
            <w:color w:val="1155CC"/>
            <w:szCs w:val="24"/>
            <w:u w:val="single"/>
          </w:rPr>
          <w:t>https://www.gov.uk/armed-forces-covenant-businesses/morgan-motor-company-ltd</w:t>
        </w:r>
      </w:hyperlink>
      <w:r w:rsidRPr="00117762">
        <w:rPr>
          <w:rFonts w:ascii="Arial" w:hAnsi="Arial"/>
          <w:szCs w:val="24"/>
        </w:rPr>
        <w:t xml:space="preserve"> Accessed on: 21.11.2025</w:t>
      </w:r>
    </w:p>
    <w:p w14:paraId="1D742088" w14:textId="2618A47C" w:rsidR="00F11187" w:rsidRPr="00117762" w:rsidRDefault="00F11187" w:rsidP="00117762">
      <w:pPr>
        <w:spacing w:before="240" w:after="240"/>
        <w:rPr>
          <w:rFonts w:ascii="Arial" w:hAnsi="Arial"/>
          <w:szCs w:val="24"/>
        </w:rPr>
      </w:pPr>
      <w:r w:rsidRPr="00117762">
        <w:rPr>
          <w:rFonts w:ascii="Arial" w:hAnsi="Arial"/>
          <w:szCs w:val="24"/>
        </w:rPr>
        <w:t>Morgan-motor</w:t>
      </w:r>
      <w:r w:rsidR="007D638F">
        <w:rPr>
          <w:rFonts w:ascii="Arial" w:hAnsi="Arial"/>
          <w:szCs w:val="24"/>
        </w:rPr>
        <w:t>.</w:t>
      </w:r>
      <w:r w:rsidRPr="00117762">
        <w:rPr>
          <w:rFonts w:ascii="Arial" w:hAnsi="Arial"/>
          <w:szCs w:val="24"/>
        </w:rPr>
        <w:t xml:space="preserve">, 20025b. Our Story. Available from: </w:t>
      </w:r>
      <w:hyperlink r:id="rId32">
        <w:r w:rsidRPr="00117762">
          <w:rPr>
            <w:rFonts w:ascii="Arial" w:hAnsi="Arial"/>
            <w:color w:val="1155CC"/>
            <w:szCs w:val="24"/>
            <w:u w:val="single"/>
          </w:rPr>
          <w:t>https://morgan-motor.com/our-story/</w:t>
        </w:r>
      </w:hyperlink>
      <w:r w:rsidRPr="00117762">
        <w:rPr>
          <w:rFonts w:ascii="Arial" w:hAnsi="Arial"/>
          <w:szCs w:val="24"/>
        </w:rPr>
        <w:t xml:space="preserve"> Accessed on: 21.11.2025</w:t>
      </w:r>
    </w:p>
    <w:p w14:paraId="0B10C046" w14:textId="1A6AE13F" w:rsidR="00F11187" w:rsidRPr="00117762" w:rsidRDefault="00F11187" w:rsidP="00117762">
      <w:pPr>
        <w:spacing w:before="240" w:after="240"/>
        <w:rPr>
          <w:rFonts w:ascii="Arial" w:hAnsi="Arial"/>
          <w:szCs w:val="24"/>
        </w:rPr>
      </w:pPr>
      <w:r w:rsidRPr="00117762">
        <w:rPr>
          <w:rFonts w:ascii="Arial" w:hAnsi="Arial"/>
          <w:szCs w:val="24"/>
        </w:rPr>
        <w:t>Morgan-motor</w:t>
      </w:r>
      <w:r w:rsidR="007D638F">
        <w:rPr>
          <w:rFonts w:ascii="Arial" w:hAnsi="Arial"/>
          <w:szCs w:val="24"/>
        </w:rPr>
        <w:t>.</w:t>
      </w:r>
      <w:r w:rsidRPr="00117762">
        <w:rPr>
          <w:rFonts w:ascii="Arial" w:hAnsi="Arial"/>
          <w:szCs w:val="24"/>
        </w:rPr>
        <w:t xml:space="preserve">, 2025a. Morgan is the world’s pre-eminent coachbuilder. Available from: </w:t>
      </w:r>
      <w:hyperlink r:id="rId33">
        <w:r w:rsidRPr="00117762">
          <w:rPr>
            <w:rFonts w:ascii="Arial" w:hAnsi="Arial"/>
            <w:color w:val="1155CC"/>
            <w:szCs w:val="24"/>
            <w:u w:val="single"/>
          </w:rPr>
          <w:t>https://morgan-motor.com/</w:t>
        </w:r>
      </w:hyperlink>
      <w:r w:rsidRPr="00117762">
        <w:rPr>
          <w:rFonts w:ascii="Arial" w:hAnsi="Arial"/>
          <w:szCs w:val="24"/>
        </w:rPr>
        <w:t xml:space="preserve"> Accessed on: 21.11.2025</w:t>
      </w:r>
    </w:p>
    <w:p w14:paraId="1CAD001E" w14:textId="114FEA35" w:rsidR="00F11187" w:rsidRPr="00117762" w:rsidRDefault="00F11187" w:rsidP="00117762">
      <w:pPr>
        <w:spacing w:before="240" w:after="240"/>
        <w:rPr>
          <w:rFonts w:ascii="Arial" w:hAnsi="Arial"/>
          <w:szCs w:val="24"/>
        </w:rPr>
      </w:pPr>
      <w:r w:rsidRPr="00117762">
        <w:rPr>
          <w:rFonts w:ascii="Arial" w:hAnsi="Arial"/>
          <w:szCs w:val="24"/>
        </w:rPr>
        <w:t>Morgan-motor</w:t>
      </w:r>
      <w:r w:rsidR="007D638F">
        <w:rPr>
          <w:rFonts w:ascii="Arial" w:hAnsi="Arial"/>
          <w:szCs w:val="24"/>
        </w:rPr>
        <w:t>.</w:t>
      </w:r>
      <w:r w:rsidRPr="00117762">
        <w:rPr>
          <w:rFonts w:ascii="Arial" w:hAnsi="Arial"/>
          <w:szCs w:val="24"/>
        </w:rPr>
        <w:t xml:space="preserve">, 2025c. 21st Century Coachbuilding. Available from: </w:t>
      </w:r>
      <w:hyperlink r:id="rId34">
        <w:r w:rsidRPr="00117762">
          <w:rPr>
            <w:rFonts w:ascii="Arial" w:hAnsi="Arial"/>
            <w:color w:val="1155CC"/>
            <w:szCs w:val="24"/>
            <w:u w:val="single"/>
          </w:rPr>
          <w:t>https://morgan-motor.com/our-story/21st-century-coach-building/</w:t>
        </w:r>
      </w:hyperlink>
      <w:r w:rsidRPr="00117762">
        <w:rPr>
          <w:rFonts w:ascii="Arial" w:hAnsi="Arial"/>
          <w:szCs w:val="24"/>
        </w:rPr>
        <w:t xml:space="preserve"> Accessed on: 21.11.2025</w:t>
      </w:r>
    </w:p>
    <w:p w14:paraId="33EA4BB3" w14:textId="41D8AF32" w:rsidR="00F11187" w:rsidRPr="00117762" w:rsidRDefault="00F11187" w:rsidP="00117762">
      <w:pPr>
        <w:spacing w:before="240" w:after="240"/>
        <w:rPr>
          <w:rFonts w:ascii="Arial" w:hAnsi="Arial"/>
          <w:szCs w:val="24"/>
        </w:rPr>
      </w:pPr>
      <w:r w:rsidRPr="00117762">
        <w:rPr>
          <w:rFonts w:ascii="Arial" w:hAnsi="Arial"/>
          <w:szCs w:val="24"/>
        </w:rPr>
        <w:t>Morgan-motor</w:t>
      </w:r>
      <w:r w:rsidR="007D638F">
        <w:rPr>
          <w:rFonts w:ascii="Arial" w:hAnsi="Arial"/>
          <w:szCs w:val="24"/>
        </w:rPr>
        <w:t>.</w:t>
      </w:r>
      <w:r w:rsidRPr="00117762">
        <w:rPr>
          <w:rFonts w:ascii="Arial" w:hAnsi="Arial"/>
          <w:szCs w:val="24"/>
        </w:rPr>
        <w:t xml:space="preserve">, 2025d. Morgan Experience.  Available from: </w:t>
      </w:r>
      <w:hyperlink r:id="rId35">
        <w:r w:rsidRPr="00117762">
          <w:rPr>
            <w:rFonts w:ascii="Arial" w:hAnsi="Arial"/>
            <w:color w:val="1155CC"/>
            <w:szCs w:val="24"/>
            <w:u w:val="single"/>
          </w:rPr>
          <w:t>https://experience.morgan-motor.com/</w:t>
        </w:r>
      </w:hyperlink>
      <w:r w:rsidRPr="00117762">
        <w:rPr>
          <w:rFonts w:ascii="Arial" w:hAnsi="Arial"/>
          <w:szCs w:val="24"/>
        </w:rPr>
        <w:t xml:space="preserve"> Accessed on: 21.11.2025</w:t>
      </w:r>
    </w:p>
    <w:p w14:paraId="3E66F2D6" w14:textId="77777777" w:rsidR="00F11187" w:rsidRPr="00117762" w:rsidRDefault="00F11187" w:rsidP="00117762">
      <w:pPr>
        <w:spacing w:before="240" w:after="240"/>
        <w:rPr>
          <w:rFonts w:ascii="Arial" w:hAnsi="Arial"/>
          <w:szCs w:val="24"/>
          <w:highlight w:val="white"/>
        </w:rPr>
      </w:pPr>
      <w:proofErr w:type="spellStart"/>
      <w:r w:rsidRPr="00117762">
        <w:rPr>
          <w:rFonts w:ascii="Arial" w:hAnsi="Arial"/>
          <w:szCs w:val="24"/>
          <w:highlight w:val="white"/>
        </w:rPr>
        <w:t>Mutayalwad</w:t>
      </w:r>
      <w:proofErr w:type="spellEnd"/>
      <w:r w:rsidRPr="00117762">
        <w:rPr>
          <w:rFonts w:ascii="Arial" w:hAnsi="Arial"/>
          <w:szCs w:val="24"/>
          <w:highlight w:val="white"/>
        </w:rPr>
        <w:t xml:space="preserve">, D.R.R.R., 2025. The Next Horizon: Emerging Technologies Reshaping Customer Relationship Management. </w:t>
      </w:r>
      <w:r w:rsidRPr="00117762">
        <w:rPr>
          <w:rFonts w:ascii="Arial" w:hAnsi="Arial"/>
          <w:i/>
          <w:iCs/>
          <w:szCs w:val="24"/>
          <w:highlight w:val="white"/>
        </w:rPr>
        <w:t xml:space="preserve">Journal of Computer Science and Technology </w:t>
      </w:r>
      <w:r w:rsidRPr="00117762">
        <w:rPr>
          <w:rFonts w:ascii="Arial" w:hAnsi="Arial"/>
          <w:i/>
          <w:iCs/>
          <w:szCs w:val="24"/>
          <w:highlight w:val="white"/>
        </w:rPr>
        <w:lastRenderedPageBreak/>
        <w:t>Studies</w:t>
      </w:r>
      <w:r w:rsidRPr="00117762">
        <w:rPr>
          <w:rFonts w:ascii="Arial" w:hAnsi="Arial"/>
          <w:szCs w:val="24"/>
          <w:highlight w:val="white"/>
        </w:rPr>
        <w:t xml:space="preserve">, </w:t>
      </w:r>
      <w:r w:rsidRPr="00117762">
        <w:rPr>
          <w:rFonts w:ascii="Arial" w:hAnsi="Arial"/>
          <w:i/>
          <w:iCs/>
          <w:szCs w:val="24"/>
          <w:highlight w:val="white"/>
        </w:rPr>
        <w:t>7</w:t>
      </w:r>
      <w:r w:rsidRPr="00117762">
        <w:rPr>
          <w:rFonts w:ascii="Arial" w:hAnsi="Arial"/>
          <w:szCs w:val="24"/>
          <w:highlight w:val="white"/>
        </w:rPr>
        <w:t xml:space="preserve">(2), pp.576-584. </w:t>
      </w:r>
      <w:hyperlink r:id="rId36">
        <w:r w:rsidRPr="00117762">
          <w:rPr>
            <w:rFonts w:ascii="Arial" w:hAnsi="Arial"/>
            <w:color w:val="1155CC"/>
            <w:szCs w:val="24"/>
            <w:highlight w:val="white"/>
            <w:u w:val="single"/>
          </w:rPr>
          <w:t>https://al-kindipublishers.org/index.php/jcsts/article/download/9272/7933</w:t>
        </w:r>
      </w:hyperlink>
    </w:p>
    <w:p w14:paraId="0E7EC94C" w14:textId="77777777" w:rsidR="00F11187" w:rsidRPr="00117762" w:rsidRDefault="00F11187" w:rsidP="00117762">
      <w:pPr>
        <w:spacing w:before="240" w:after="240"/>
        <w:rPr>
          <w:rFonts w:ascii="Arial" w:hAnsi="Arial"/>
          <w:szCs w:val="24"/>
        </w:rPr>
      </w:pPr>
      <w:proofErr w:type="spellStart"/>
      <w:r w:rsidRPr="00117762">
        <w:rPr>
          <w:rFonts w:ascii="Arial" w:hAnsi="Arial"/>
          <w:szCs w:val="24"/>
        </w:rPr>
        <w:t>Papulová</w:t>
      </w:r>
      <w:proofErr w:type="spellEnd"/>
      <w:r w:rsidRPr="00117762">
        <w:rPr>
          <w:rFonts w:ascii="Arial" w:hAnsi="Arial"/>
          <w:szCs w:val="24"/>
        </w:rPr>
        <w:t xml:space="preserve">, Z., </w:t>
      </w:r>
      <w:proofErr w:type="spellStart"/>
      <w:r w:rsidRPr="00117762">
        <w:rPr>
          <w:rFonts w:ascii="Arial" w:hAnsi="Arial"/>
          <w:szCs w:val="24"/>
        </w:rPr>
        <w:t>Gažová</w:t>
      </w:r>
      <w:proofErr w:type="spellEnd"/>
      <w:r w:rsidRPr="00117762">
        <w:rPr>
          <w:rFonts w:ascii="Arial" w:hAnsi="Arial"/>
          <w:szCs w:val="24"/>
        </w:rPr>
        <w:t xml:space="preserve">, A. and </w:t>
      </w:r>
      <w:proofErr w:type="spellStart"/>
      <w:r w:rsidRPr="00117762">
        <w:rPr>
          <w:rFonts w:ascii="Arial" w:hAnsi="Arial"/>
          <w:szCs w:val="24"/>
        </w:rPr>
        <w:t>Šufliarský</w:t>
      </w:r>
      <w:proofErr w:type="spellEnd"/>
      <w:r w:rsidRPr="00117762">
        <w:rPr>
          <w:rFonts w:ascii="Arial" w:hAnsi="Arial"/>
          <w:szCs w:val="24"/>
        </w:rPr>
        <w:t xml:space="preserve">, Ľ., 2022. Implementation of automation technologies of industry 4.0 in automotive manufacturing companies. </w:t>
      </w:r>
      <w:r w:rsidRPr="00117762">
        <w:rPr>
          <w:rFonts w:ascii="Arial" w:hAnsi="Arial"/>
          <w:i/>
          <w:iCs/>
          <w:szCs w:val="24"/>
        </w:rPr>
        <w:t>Procedia Computer Science</w:t>
      </w:r>
      <w:r w:rsidRPr="00117762">
        <w:rPr>
          <w:rFonts w:ascii="Arial" w:hAnsi="Arial"/>
          <w:szCs w:val="24"/>
        </w:rPr>
        <w:t xml:space="preserve">, </w:t>
      </w:r>
      <w:r w:rsidRPr="00117762">
        <w:rPr>
          <w:rFonts w:ascii="Arial" w:hAnsi="Arial"/>
          <w:i/>
          <w:iCs/>
          <w:szCs w:val="24"/>
        </w:rPr>
        <w:t>200</w:t>
      </w:r>
      <w:r w:rsidRPr="00117762">
        <w:rPr>
          <w:rFonts w:ascii="Arial" w:hAnsi="Arial"/>
          <w:szCs w:val="24"/>
        </w:rPr>
        <w:t>, pp.1488-1497.</w:t>
      </w:r>
      <w:hyperlink r:id="rId37">
        <w:r w:rsidRPr="00117762">
          <w:rPr>
            <w:rFonts w:ascii="Arial" w:hAnsi="Arial"/>
            <w:color w:val="1155CC"/>
            <w:szCs w:val="24"/>
            <w:u w:val="single"/>
          </w:rPr>
          <w:t>https://www.sciencedirect.com/science/article/pii/S1877050922003593</w:t>
        </w:r>
      </w:hyperlink>
      <w:r w:rsidRPr="00117762">
        <w:rPr>
          <w:rFonts w:ascii="Arial" w:hAnsi="Arial"/>
          <w:szCs w:val="24"/>
        </w:rPr>
        <w:t xml:space="preserve"> </w:t>
      </w:r>
    </w:p>
    <w:p w14:paraId="30FD1C03" w14:textId="77777777" w:rsidR="00F11187" w:rsidRPr="00117762" w:rsidRDefault="00F11187" w:rsidP="00117762">
      <w:pPr>
        <w:spacing w:before="240" w:after="240"/>
        <w:rPr>
          <w:rFonts w:ascii="Arial" w:hAnsi="Arial"/>
          <w:szCs w:val="24"/>
          <w:highlight w:val="white"/>
        </w:rPr>
      </w:pPr>
      <w:proofErr w:type="spellStart"/>
      <w:r w:rsidRPr="00117762">
        <w:rPr>
          <w:rFonts w:ascii="Arial" w:hAnsi="Arial"/>
          <w:szCs w:val="24"/>
          <w:highlight w:val="white"/>
        </w:rPr>
        <w:t>Rachmad</w:t>
      </w:r>
      <w:proofErr w:type="spellEnd"/>
      <w:r w:rsidRPr="00117762">
        <w:rPr>
          <w:rFonts w:ascii="Arial" w:hAnsi="Arial"/>
          <w:szCs w:val="24"/>
          <w:highlight w:val="white"/>
        </w:rPr>
        <w:t xml:space="preserve">, Y.E., 2025. Infrastructure and Smart Cities: </w:t>
      </w:r>
      <w:proofErr w:type="spellStart"/>
      <w:r w:rsidRPr="00117762">
        <w:rPr>
          <w:rFonts w:ascii="Arial" w:hAnsi="Arial"/>
          <w:szCs w:val="24"/>
          <w:highlight w:val="white"/>
        </w:rPr>
        <w:t>Danantara’s</w:t>
      </w:r>
      <w:proofErr w:type="spellEnd"/>
      <w:r w:rsidRPr="00117762">
        <w:rPr>
          <w:rFonts w:ascii="Arial" w:hAnsi="Arial"/>
          <w:szCs w:val="24"/>
          <w:highlight w:val="white"/>
        </w:rPr>
        <w:t xml:space="preserve"> Role in Building a Modern Indonesia. </w:t>
      </w:r>
      <w:r w:rsidRPr="00117762">
        <w:rPr>
          <w:rFonts w:ascii="Arial" w:hAnsi="Arial"/>
          <w:i/>
          <w:iCs/>
          <w:szCs w:val="24"/>
          <w:highlight w:val="white"/>
        </w:rPr>
        <w:t>The United Nations Global Compact</w:t>
      </w:r>
      <w:r w:rsidRPr="00117762">
        <w:rPr>
          <w:rFonts w:ascii="Arial" w:hAnsi="Arial"/>
          <w:szCs w:val="24"/>
          <w:highlight w:val="white"/>
        </w:rPr>
        <w:t xml:space="preserve">. </w:t>
      </w:r>
      <w:hyperlink r:id="rId38">
        <w:r w:rsidRPr="00117762">
          <w:rPr>
            <w:rFonts w:ascii="Arial" w:hAnsi="Arial"/>
            <w:color w:val="1155CC"/>
            <w:szCs w:val="24"/>
            <w:highlight w:val="white"/>
            <w:u w:val="single"/>
          </w:rPr>
          <w:t>https://www.researchgate.net/profile/Yoesoep-Rachmad/publication/397356395_Infrastructure_and_Smart_Cities_Danantara's_Role_in_Building_a_Modern_Indonesia/links/6917ed3d480eb767581bbafe/Infrastructure-and-Smart-Cities-Danantaras-Role-in-Building-a-Modern-Indonesia.pdf</w:t>
        </w:r>
      </w:hyperlink>
    </w:p>
    <w:p w14:paraId="792869CA" w14:textId="77777777" w:rsidR="00F11187" w:rsidRPr="00117762" w:rsidRDefault="00F11187" w:rsidP="00117762">
      <w:pPr>
        <w:spacing w:before="240" w:after="240"/>
        <w:rPr>
          <w:rFonts w:ascii="Arial" w:hAnsi="Arial"/>
          <w:szCs w:val="24"/>
          <w:highlight w:val="white"/>
        </w:rPr>
      </w:pPr>
      <w:r w:rsidRPr="00117762">
        <w:rPr>
          <w:rFonts w:ascii="Arial" w:hAnsi="Arial"/>
          <w:szCs w:val="24"/>
          <w:highlight w:val="white"/>
        </w:rPr>
        <w:t xml:space="preserve">Rahmani, R., Jesus, C. and Lopes, S.I., 2024. Implementations of Digital Transformation and Digital Twins: Exploring the Factory of the Future. </w:t>
      </w:r>
      <w:r w:rsidRPr="00117762">
        <w:rPr>
          <w:rFonts w:ascii="Arial" w:hAnsi="Arial"/>
          <w:i/>
          <w:iCs/>
          <w:szCs w:val="24"/>
          <w:highlight w:val="white"/>
        </w:rPr>
        <w:t>Processes</w:t>
      </w:r>
      <w:r w:rsidRPr="00117762">
        <w:rPr>
          <w:rFonts w:ascii="Arial" w:hAnsi="Arial"/>
          <w:szCs w:val="24"/>
          <w:highlight w:val="white"/>
        </w:rPr>
        <w:t xml:space="preserve">, </w:t>
      </w:r>
      <w:r w:rsidRPr="00117762">
        <w:rPr>
          <w:rFonts w:ascii="Arial" w:hAnsi="Arial"/>
          <w:i/>
          <w:iCs/>
          <w:szCs w:val="24"/>
          <w:highlight w:val="white"/>
        </w:rPr>
        <w:t>12</w:t>
      </w:r>
      <w:r w:rsidRPr="00117762">
        <w:rPr>
          <w:rFonts w:ascii="Arial" w:hAnsi="Arial"/>
          <w:szCs w:val="24"/>
          <w:highlight w:val="white"/>
        </w:rPr>
        <w:t xml:space="preserve">(4), p.787. </w:t>
      </w:r>
      <w:hyperlink r:id="rId39">
        <w:r w:rsidRPr="00117762">
          <w:rPr>
            <w:rFonts w:ascii="Arial" w:hAnsi="Arial"/>
            <w:color w:val="1155CC"/>
            <w:szCs w:val="24"/>
            <w:highlight w:val="white"/>
            <w:u w:val="single"/>
          </w:rPr>
          <w:t>https://www.mdpi.com/2227-9717/12/4/787</w:t>
        </w:r>
      </w:hyperlink>
    </w:p>
    <w:p w14:paraId="1E6F6E42" w14:textId="77777777" w:rsidR="00F11187" w:rsidRPr="00117762" w:rsidRDefault="00F11187" w:rsidP="00117762">
      <w:pPr>
        <w:spacing w:before="240" w:after="240"/>
        <w:rPr>
          <w:rFonts w:ascii="Arial" w:hAnsi="Arial"/>
          <w:szCs w:val="24"/>
        </w:rPr>
      </w:pPr>
      <w:r w:rsidRPr="00117762">
        <w:rPr>
          <w:rFonts w:ascii="Arial" w:hAnsi="Arial"/>
          <w:szCs w:val="24"/>
        </w:rPr>
        <w:t xml:space="preserve">Rêgo, B.S., Jayantilal, S., Ferreira, J.J. and </w:t>
      </w:r>
      <w:proofErr w:type="spellStart"/>
      <w:r w:rsidRPr="00117762">
        <w:rPr>
          <w:rFonts w:ascii="Arial" w:hAnsi="Arial"/>
          <w:szCs w:val="24"/>
        </w:rPr>
        <w:t>Carayannis</w:t>
      </w:r>
      <w:proofErr w:type="spellEnd"/>
      <w:r w:rsidRPr="00117762">
        <w:rPr>
          <w:rFonts w:ascii="Arial" w:hAnsi="Arial"/>
          <w:szCs w:val="24"/>
        </w:rPr>
        <w:t xml:space="preserve">, E.G., 2022. Digital transformation and strategic management: A systematic review of the literature. </w:t>
      </w:r>
      <w:r w:rsidRPr="00117762">
        <w:rPr>
          <w:rFonts w:ascii="Arial" w:hAnsi="Arial"/>
          <w:i/>
          <w:iCs/>
          <w:szCs w:val="24"/>
        </w:rPr>
        <w:t>Journal of the Knowledge Economy</w:t>
      </w:r>
      <w:r w:rsidRPr="00117762">
        <w:rPr>
          <w:rFonts w:ascii="Arial" w:hAnsi="Arial"/>
          <w:szCs w:val="24"/>
        </w:rPr>
        <w:t xml:space="preserve">, </w:t>
      </w:r>
      <w:r w:rsidRPr="00117762">
        <w:rPr>
          <w:rFonts w:ascii="Arial" w:hAnsi="Arial"/>
          <w:i/>
          <w:iCs/>
          <w:szCs w:val="24"/>
        </w:rPr>
        <w:t>13</w:t>
      </w:r>
      <w:r w:rsidRPr="00117762">
        <w:rPr>
          <w:rFonts w:ascii="Arial" w:hAnsi="Arial"/>
          <w:szCs w:val="24"/>
        </w:rPr>
        <w:t xml:space="preserve">(4), pp.3195-3222. </w:t>
      </w:r>
      <w:hyperlink r:id="rId40">
        <w:r w:rsidRPr="00117762">
          <w:rPr>
            <w:rFonts w:ascii="Arial" w:hAnsi="Arial"/>
            <w:color w:val="1155CC"/>
            <w:szCs w:val="24"/>
            <w:u w:val="single"/>
          </w:rPr>
          <w:t>https://doi.org/10.1007/s13132-021-00853-3</w:t>
        </w:r>
      </w:hyperlink>
      <w:r w:rsidRPr="00117762">
        <w:rPr>
          <w:rFonts w:ascii="Arial" w:hAnsi="Arial"/>
          <w:szCs w:val="24"/>
        </w:rPr>
        <w:t xml:space="preserve"> </w:t>
      </w:r>
    </w:p>
    <w:p w14:paraId="33E5A7D4" w14:textId="77777777" w:rsidR="00F11187" w:rsidRPr="00117762" w:rsidRDefault="00F11187" w:rsidP="00117762">
      <w:pPr>
        <w:spacing w:before="240" w:after="240"/>
        <w:rPr>
          <w:rFonts w:ascii="Arial" w:hAnsi="Arial"/>
          <w:szCs w:val="24"/>
        </w:rPr>
      </w:pPr>
      <w:r w:rsidRPr="00117762">
        <w:rPr>
          <w:rFonts w:ascii="Arial" w:hAnsi="Arial"/>
          <w:szCs w:val="24"/>
        </w:rPr>
        <w:t xml:space="preserve">Santos, C., Dias, Á.L. and Pereira, L., 2024. Building brand, building value: The impact of customer-based brand equity on airline ticket premium pricing. </w:t>
      </w:r>
      <w:r w:rsidRPr="00117762">
        <w:rPr>
          <w:rFonts w:ascii="Arial" w:hAnsi="Arial"/>
          <w:i/>
          <w:iCs/>
          <w:szCs w:val="24"/>
        </w:rPr>
        <w:t>Systems</w:t>
      </w:r>
      <w:r w:rsidRPr="00117762">
        <w:rPr>
          <w:rFonts w:ascii="Arial" w:hAnsi="Arial"/>
          <w:szCs w:val="24"/>
        </w:rPr>
        <w:t xml:space="preserve">, </w:t>
      </w:r>
      <w:r w:rsidRPr="00117762">
        <w:rPr>
          <w:rFonts w:ascii="Arial" w:hAnsi="Arial"/>
          <w:i/>
          <w:iCs/>
          <w:szCs w:val="24"/>
        </w:rPr>
        <w:t>12</w:t>
      </w:r>
      <w:r w:rsidRPr="00117762">
        <w:rPr>
          <w:rFonts w:ascii="Arial" w:hAnsi="Arial"/>
          <w:szCs w:val="24"/>
        </w:rPr>
        <w:t xml:space="preserve">(12), p.531. </w:t>
      </w:r>
      <w:hyperlink r:id="rId41">
        <w:r w:rsidRPr="00117762">
          <w:rPr>
            <w:rFonts w:ascii="Arial" w:hAnsi="Arial"/>
            <w:color w:val="1155CC"/>
            <w:szCs w:val="24"/>
            <w:u w:val="single"/>
          </w:rPr>
          <w:t>https://www.mdpi.com/2079-8954/12/12/531</w:t>
        </w:r>
      </w:hyperlink>
    </w:p>
    <w:p w14:paraId="0C643F4B" w14:textId="1B4B8BD3" w:rsidR="00F11187" w:rsidRPr="00117762" w:rsidRDefault="00F11187" w:rsidP="00117762">
      <w:pPr>
        <w:spacing w:before="240" w:after="240"/>
        <w:rPr>
          <w:rFonts w:ascii="Arial" w:hAnsi="Arial"/>
          <w:szCs w:val="24"/>
        </w:rPr>
      </w:pPr>
      <w:r w:rsidRPr="00117762">
        <w:rPr>
          <w:rFonts w:ascii="Arial" w:hAnsi="Arial"/>
          <w:szCs w:val="24"/>
        </w:rPr>
        <w:t>Theimi</w:t>
      </w:r>
      <w:r w:rsidR="00663C25">
        <w:rPr>
          <w:rFonts w:ascii="Arial" w:hAnsi="Arial"/>
          <w:szCs w:val="24"/>
        </w:rPr>
        <w:t>.</w:t>
      </w:r>
      <w:r w:rsidRPr="00117762">
        <w:rPr>
          <w:rFonts w:ascii="Arial" w:hAnsi="Arial"/>
          <w:szCs w:val="24"/>
        </w:rPr>
        <w:t xml:space="preserve">, 2024. LANDSCAPE OF THE UK AUTOMOTIVE LABOUR MARKET. Available from: </w:t>
      </w:r>
      <w:hyperlink r:id="rId42">
        <w:r w:rsidRPr="00117762">
          <w:rPr>
            <w:rFonts w:ascii="Arial" w:hAnsi="Arial"/>
            <w:color w:val="1155CC"/>
            <w:szCs w:val="24"/>
            <w:u w:val="single"/>
          </w:rPr>
          <w:t>https://tide.theimi.org.uk/sites/default/files/2024-10/Baseline%20Report%202024%20Summary.pdf</w:t>
        </w:r>
      </w:hyperlink>
      <w:r w:rsidRPr="00117762">
        <w:rPr>
          <w:rFonts w:ascii="Arial" w:hAnsi="Arial"/>
          <w:szCs w:val="24"/>
        </w:rPr>
        <w:t xml:space="preserve"> Accessed on: 21.11.2025</w:t>
      </w:r>
    </w:p>
    <w:p w14:paraId="7CDCDA76" w14:textId="77777777" w:rsidR="00F11187" w:rsidRPr="00117762" w:rsidRDefault="00F11187" w:rsidP="00117762">
      <w:pPr>
        <w:spacing w:before="240" w:after="240"/>
        <w:rPr>
          <w:rFonts w:ascii="Arial" w:hAnsi="Arial"/>
          <w:szCs w:val="24"/>
        </w:rPr>
      </w:pPr>
      <w:r w:rsidRPr="00117762">
        <w:rPr>
          <w:rFonts w:ascii="Arial" w:hAnsi="Arial"/>
          <w:szCs w:val="24"/>
        </w:rPr>
        <w:t xml:space="preserve">Wang, C., 2022. Continuity and Change in Organisations—A Study Based on the Management Framework of Morgan Company. </w:t>
      </w:r>
      <w:r w:rsidRPr="00117762">
        <w:rPr>
          <w:rFonts w:ascii="Arial" w:hAnsi="Arial"/>
          <w:i/>
          <w:iCs/>
          <w:szCs w:val="24"/>
        </w:rPr>
        <w:t xml:space="preserve">Academic Journal of Business &amp; </w:t>
      </w:r>
      <w:r w:rsidRPr="00117762">
        <w:rPr>
          <w:rFonts w:ascii="Arial" w:hAnsi="Arial"/>
          <w:i/>
          <w:iCs/>
          <w:szCs w:val="24"/>
        </w:rPr>
        <w:lastRenderedPageBreak/>
        <w:t>Management</w:t>
      </w:r>
      <w:r w:rsidRPr="00117762">
        <w:rPr>
          <w:rFonts w:ascii="Arial" w:hAnsi="Arial"/>
          <w:szCs w:val="24"/>
        </w:rPr>
        <w:t xml:space="preserve">, </w:t>
      </w:r>
      <w:r w:rsidRPr="00117762">
        <w:rPr>
          <w:rFonts w:ascii="Arial" w:hAnsi="Arial"/>
          <w:i/>
          <w:iCs/>
          <w:szCs w:val="24"/>
        </w:rPr>
        <w:t>4</w:t>
      </w:r>
      <w:r w:rsidRPr="00117762">
        <w:rPr>
          <w:rFonts w:ascii="Arial" w:hAnsi="Arial"/>
          <w:szCs w:val="24"/>
        </w:rPr>
        <w:t>(15), pp.102-106.</w:t>
      </w:r>
      <w:hyperlink r:id="rId43">
        <w:r w:rsidRPr="00117762">
          <w:rPr>
            <w:rFonts w:ascii="Arial" w:hAnsi="Arial"/>
            <w:color w:val="1155CC"/>
            <w:szCs w:val="24"/>
            <w:u w:val="single"/>
          </w:rPr>
          <w:t>https://francis-press.com/uploads/papers/60HOnUEwflNtf3fWydTxsrqknlbvQ5Gi1daI9gjc.pdf</w:t>
        </w:r>
      </w:hyperlink>
      <w:r w:rsidRPr="00117762">
        <w:rPr>
          <w:rFonts w:ascii="Arial" w:hAnsi="Arial"/>
          <w:szCs w:val="24"/>
        </w:rPr>
        <w:t xml:space="preserve"> </w:t>
      </w:r>
    </w:p>
    <w:p w14:paraId="3FB5E63D" w14:textId="77777777" w:rsidR="00F11187" w:rsidRPr="00117762" w:rsidRDefault="00F11187" w:rsidP="00117762">
      <w:pPr>
        <w:spacing w:before="240" w:after="240"/>
        <w:rPr>
          <w:rFonts w:ascii="Arial" w:hAnsi="Arial"/>
          <w:szCs w:val="24"/>
        </w:rPr>
      </w:pPr>
      <w:hyperlink r:id="rId44">
        <w:r w:rsidRPr="00117762">
          <w:rPr>
            <w:rFonts w:ascii="Arial" w:hAnsi="Arial"/>
            <w:szCs w:val="24"/>
          </w:rPr>
          <w:t>White</w:t>
        </w:r>
      </w:hyperlink>
      <w:r w:rsidRPr="00117762">
        <w:rPr>
          <w:rFonts w:ascii="Arial" w:hAnsi="Arial"/>
          <w:szCs w:val="24"/>
        </w:rPr>
        <w:t xml:space="preserve">, J., 2025. Opportunities and challenges ahead for UK auto industry in 2025. Available from: </w:t>
      </w:r>
      <w:hyperlink r:id="rId45">
        <w:r w:rsidRPr="00117762">
          <w:rPr>
            <w:rFonts w:ascii="Arial" w:hAnsi="Arial"/>
            <w:color w:val="1155CC"/>
            <w:szCs w:val="24"/>
            <w:u w:val="single"/>
          </w:rPr>
          <w:t>https://www.ey.com/en_uk/newsroom/2025/01/opportunities-and-challenges-for-uk-automotive-in-2025</w:t>
        </w:r>
      </w:hyperlink>
      <w:r w:rsidRPr="00117762">
        <w:rPr>
          <w:rFonts w:ascii="Arial" w:hAnsi="Arial"/>
          <w:szCs w:val="24"/>
        </w:rPr>
        <w:t xml:space="preserve"> Accessed on: 21.11.2025</w:t>
      </w:r>
    </w:p>
    <w:p w14:paraId="70E19491" w14:textId="77777777" w:rsidR="00DE1A44" w:rsidRPr="00117762" w:rsidRDefault="00DE1A44" w:rsidP="00117762">
      <w:pPr>
        <w:spacing w:before="240" w:after="240"/>
        <w:rPr>
          <w:rFonts w:ascii="Arial" w:eastAsia="Times New Roman" w:hAnsi="Arial"/>
          <w:szCs w:val="24"/>
        </w:rPr>
      </w:pPr>
    </w:p>
    <w:p w14:paraId="190D767D" w14:textId="77777777" w:rsidR="00DE1A44" w:rsidRPr="00117762" w:rsidRDefault="00DE1A44" w:rsidP="00117762">
      <w:pPr>
        <w:spacing w:before="240" w:after="240"/>
        <w:rPr>
          <w:rFonts w:ascii="Arial" w:eastAsia="Times New Roman" w:hAnsi="Arial"/>
          <w:szCs w:val="24"/>
        </w:rPr>
      </w:pPr>
    </w:p>
    <w:p w14:paraId="34875DF8" w14:textId="77777777" w:rsidR="00DE1A44" w:rsidRPr="00117762" w:rsidRDefault="00DE1A44" w:rsidP="00117762">
      <w:pPr>
        <w:spacing w:before="240" w:after="240"/>
        <w:rPr>
          <w:rFonts w:ascii="Arial" w:eastAsia="Times New Roman" w:hAnsi="Arial"/>
          <w:b/>
          <w:bCs/>
          <w:szCs w:val="24"/>
        </w:rPr>
      </w:pPr>
    </w:p>
    <w:p w14:paraId="482CD4A6" w14:textId="77777777" w:rsidR="00DE1A44" w:rsidRPr="00117762" w:rsidRDefault="00DE1A44" w:rsidP="00117762">
      <w:pPr>
        <w:spacing w:before="240" w:after="240"/>
        <w:rPr>
          <w:rFonts w:ascii="Arial" w:eastAsia="Times New Roman" w:hAnsi="Arial"/>
          <w:szCs w:val="24"/>
        </w:rPr>
      </w:pPr>
    </w:p>
    <w:sectPr w:rsidR="00DE1A44" w:rsidRPr="00117762" w:rsidSect="00315E2A">
      <w:footerReference w:type="default" r:id="rId46"/>
      <w:pgSz w:w="12240" w:h="15840"/>
      <w:pgMar w:top="1440" w:right="1440" w:bottom="1440" w:left="1440" w:header="720" w:footer="720" w:gutter="0"/>
      <w:pgNumType w:start="1"/>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E5B328" w14:textId="77777777" w:rsidR="008122F1" w:rsidRPr="00F11187" w:rsidRDefault="008122F1" w:rsidP="00F11187">
      <w:pPr>
        <w:spacing w:line="240" w:lineRule="auto"/>
      </w:pPr>
      <w:r w:rsidRPr="00F11187">
        <w:separator/>
      </w:r>
    </w:p>
  </w:endnote>
  <w:endnote w:type="continuationSeparator" w:id="0">
    <w:p w14:paraId="195B7BFA" w14:textId="77777777" w:rsidR="008122F1" w:rsidRPr="00F11187" w:rsidRDefault="008122F1" w:rsidP="00F11187">
      <w:pPr>
        <w:spacing w:line="240" w:lineRule="auto"/>
      </w:pPr>
      <w:r w:rsidRPr="00F11187">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6DD0E62B-49DC-4E4F-AFDB-05E9E5B5F17E}"/>
  </w:font>
  <w:font w:name="Vrinda">
    <w:panose1 w:val="00000400000000000000"/>
    <w:charset w:val="00"/>
    <w:family w:val="swiss"/>
    <w:pitch w:val="variable"/>
    <w:sig w:usb0="00010003" w:usb1="00000000" w:usb2="00000000" w:usb3="00000000" w:csb0="00000001" w:csb1="00000000"/>
    <w:embedRegular r:id="rId2" w:fontKey="{D329407E-9F53-4A9C-8682-91F86EFC22B3}"/>
  </w:font>
  <w:font w:name="Cambria">
    <w:panose1 w:val="02040503050406030204"/>
    <w:charset w:val="00"/>
    <w:family w:val="roman"/>
    <w:pitch w:val="variable"/>
    <w:sig w:usb0="E00006FF" w:usb1="420024FF" w:usb2="02000000" w:usb3="00000000" w:csb0="0000019F" w:csb1="00000000"/>
    <w:embedRegular r:id="rId3" w:fontKey="{689CD41C-31F5-4AFD-A980-8DB6F9C00061}"/>
  </w:font>
  <w:font w:name="Segoe UI Symbol">
    <w:panose1 w:val="020B0502040204020203"/>
    <w:charset w:val="00"/>
    <w:family w:val="swiss"/>
    <w:pitch w:val="variable"/>
    <w:sig w:usb0="800001E3" w:usb1="1200FFEF" w:usb2="00040000" w:usb3="00000000" w:csb0="00000001" w:csb1="00000000"/>
    <w:embedRegular r:id="rId4" w:fontKey="{21B7C485-603D-46B6-B109-B778AE439109}"/>
  </w:font>
  <w:font w:name="Arial Unicode MS">
    <w:panose1 w:val="020B0604020202020204"/>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66492664"/>
      <w:docPartObj>
        <w:docPartGallery w:val="Page Numbers (Bottom of Page)"/>
        <w:docPartUnique/>
      </w:docPartObj>
    </w:sdtPr>
    <w:sdtEndPr>
      <w:rPr>
        <w:sz w:val="20"/>
        <w:szCs w:val="20"/>
      </w:rPr>
    </w:sdtEndPr>
    <w:sdtContent>
      <w:p w14:paraId="31CAE8F2" w14:textId="0B7D59D0" w:rsidR="00F11187" w:rsidRPr="00F11187" w:rsidRDefault="00F11187">
        <w:pPr>
          <w:pStyle w:val="Footer"/>
          <w:jc w:val="right"/>
          <w:rPr>
            <w:sz w:val="20"/>
            <w:szCs w:val="20"/>
          </w:rPr>
        </w:pPr>
        <w:r w:rsidRPr="00F11187">
          <w:rPr>
            <w:sz w:val="20"/>
            <w:szCs w:val="20"/>
          </w:rPr>
          <w:fldChar w:fldCharType="begin"/>
        </w:r>
        <w:r w:rsidRPr="00F11187">
          <w:rPr>
            <w:sz w:val="20"/>
            <w:szCs w:val="20"/>
          </w:rPr>
          <w:instrText xml:space="preserve"> PAGE   \* MERGEFORMAT </w:instrText>
        </w:r>
        <w:r w:rsidRPr="00F11187">
          <w:rPr>
            <w:sz w:val="20"/>
            <w:szCs w:val="20"/>
          </w:rPr>
          <w:fldChar w:fldCharType="separate"/>
        </w:r>
        <w:r w:rsidRPr="00F11187">
          <w:rPr>
            <w:sz w:val="20"/>
            <w:szCs w:val="20"/>
          </w:rPr>
          <w:t>2</w:t>
        </w:r>
        <w:r w:rsidRPr="00F11187">
          <w:rPr>
            <w:sz w:val="20"/>
            <w:szCs w:val="20"/>
          </w:rPr>
          <w:fldChar w:fldCharType="end"/>
        </w:r>
      </w:p>
    </w:sdtContent>
  </w:sdt>
  <w:p w14:paraId="45AA69FD" w14:textId="77777777" w:rsidR="00F11187" w:rsidRPr="00F11187" w:rsidRDefault="00F111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2D023D" w14:textId="77777777" w:rsidR="008122F1" w:rsidRPr="00F11187" w:rsidRDefault="008122F1" w:rsidP="00F11187">
      <w:pPr>
        <w:spacing w:line="240" w:lineRule="auto"/>
      </w:pPr>
      <w:r w:rsidRPr="00F11187">
        <w:separator/>
      </w:r>
    </w:p>
  </w:footnote>
  <w:footnote w:type="continuationSeparator" w:id="0">
    <w:p w14:paraId="2DC2BE5E" w14:textId="77777777" w:rsidR="008122F1" w:rsidRPr="00F11187" w:rsidRDefault="008122F1" w:rsidP="00F11187">
      <w:pPr>
        <w:spacing w:line="240" w:lineRule="auto"/>
      </w:pPr>
      <w:r w:rsidRPr="00F11187">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EE31A51"/>
    <w:multiLevelType w:val="multilevel"/>
    <w:tmpl w:val="7D9EA6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66D4C25"/>
    <w:multiLevelType w:val="multilevel"/>
    <w:tmpl w:val="E67E0DD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54F32458"/>
    <w:multiLevelType w:val="multilevel"/>
    <w:tmpl w:val="0098FDD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5677580F"/>
    <w:multiLevelType w:val="multilevel"/>
    <w:tmpl w:val="093239A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578719A0"/>
    <w:multiLevelType w:val="hybridMultilevel"/>
    <w:tmpl w:val="7D74320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5E676A36"/>
    <w:multiLevelType w:val="multilevel"/>
    <w:tmpl w:val="DEEA779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831168439">
    <w:abstractNumId w:val="5"/>
  </w:num>
  <w:num w:numId="2" w16cid:durableId="1384020086">
    <w:abstractNumId w:val="0"/>
  </w:num>
  <w:num w:numId="3" w16cid:durableId="925654698">
    <w:abstractNumId w:val="1"/>
  </w:num>
  <w:num w:numId="4" w16cid:durableId="1133210461">
    <w:abstractNumId w:val="2"/>
  </w:num>
  <w:num w:numId="5" w16cid:durableId="1055662860">
    <w:abstractNumId w:val="3"/>
  </w:num>
  <w:num w:numId="6" w16cid:durableId="177185166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E1A44"/>
    <w:rsid w:val="00117762"/>
    <w:rsid w:val="001F17D7"/>
    <w:rsid w:val="0024474F"/>
    <w:rsid w:val="00246E46"/>
    <w:rsid w:val="00315E2A"/>
    <w:rsid w:val="00543FAD"/>
    <w:rsid w:val="0056341A"/>
    <w:rsid w:val="005B3B74"/>
    <w:rsid w:val="00663C25"/>
    <w:rsid w:val="006A6CBC"/>
    <w:rsid w:val="00723AA1"/>
    <w:rsid w:val="007D638F"/>
    <w:rsid w:val="008122F1"/>
    <w:rsid w:val="008434BB"/>
    <w:rsid w:val="008E797A"/>
    <w:rsid w:val="009A1C97"/>
    <w:rsid w:val="00A83D47"/>
    <w:rsid w:val="00B21C2B"/>
    <w:rsid w:val="00B55E52"/>
    <w:rsid w:val="00BE3372"/>
    <w:rsid w:val="00DE1A44"/>
    <w:rsid w:val="00EA72E8"/>
    <w:rsid w:val="00F11187"/>
    <w:rsid w:val="00FB25EA"/>
  </w:rsids>
  <m:mathPr>
    <m:mathFont m:val="Cambria Math"/>
    <m:brkBin m:val="before"/>
    <m:brkBinSub m:val="--"/>
    <m:smallFrac m:val="0"/>
    <m:dispDef/>
    <m:lMargin m:val="0"/>
    <m:rMargin m:val="0"/>
    <m:defJc m:val="centerGroup"/>
    <m:wrapIndent m:val="1440"/>
    <m:intLim m:val="subSup"/>
    <m:naryLim m:val="undOvr"/>
  </m:mathPr>
  <w:themeFontLang w:val="en-ZW"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C5F64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ZW"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11187"/>
    <w:pPr>
      <w:spacing w:line="360" w:lineRule="auto"/>
      <w:jc w:val="both"/>
    </w:pPr>
    <w:rPr>
      <w:rFonts w:ascii="Times New Roman" w:hAnsi="Times New Roman"/>
      <w:sz w:val="24"/>
      <w:lang w:val="en-GB"/>
    </w:rPr>
  </w:style>
  <w:style w:type="paragraph" w:styleId="Heading1">
    <w:name w:val="heading 1"/>
    <w:basedOn w:val="Normal"/>
    <w:next w:val="Normal"/>
    <w:uiPriority w:val="9"/>
    <w:qFormat/>
    <w:rsid w:val="00F11187"/>
    <w:pPr>
      <w:keepNext/>
      <w:keepLines/>
      <w:spacing w:before="400" w:after="120"/>
      <w:outlineLvl w:val="0"/>
    </w:pPr>
    <w:rPr>
      <w:b/>
      <w:sz w:val="28"/>
      <w:szCs w:val="40"/>
    </w:rPr>
  </w:style>
  <w:style w:type="paragraph" w:styleId="Heading2">
    <w:name w:val="heading 2"/>
    <w:basedOn w:val="Normal"/>
    <w:next w:val="Normal"/>
    <w:uiPriority w:val="9"/>
    <w:unhideWhenUsed/>
    <w:qFormat/>
    <w:rsid w:val="00F11187"/>
    <w:pPr>
      <w:keepNext/>
      <w:keepLines/>
      <w:spacing w:before="360" w:after="120"/>
      <w:outlineLvl w:val="1"/>
    </w:pPr>
    <w:rPr>
      <w:b/>
      <w:szCs w:val="32"/>
    </w:rPr>
  </w:style>
  <w:style w:type="paragraph" w:styleId="Heading3">
    <w:name w:val="heading 3"/>
    <w:basedOn w:val="Normal"/>
    <w:next w:val="Normal"/>
    <w:uiPriority w:val="9"/>
    <w:unhideWhenUsed/>
    <w:qFormat/>
    <w:rsid w:val="00F11187"/>
    <w:pPr>
      <w:keepNext/>
      <w:keepLines/>
      <w:spacing w:before="320" w:after="80"/>
      <w:outlineLvl w:val="2"/>
    </w:pPr>
    <w:rPr>
      <w:b/>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sz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hAnsi="Arial"/>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table" w:customStyle="1" w:styleId="a2">
    <w:basedOn w:val="TableNormal0"/>
    <w:tblPr>
      <w:tblStyleRowBandSize w:val="1"/>
      <w:tblStyleColBandSize w:val="1"/>
    </w:tblPr>
  </w:style>
  <w:style w:type="table" w:customStyle="1" w:styleId="a3">
    <w:basedOn w:val="TableNormal0"/>
    <w:tblPr>
      <w:tblStyleRowBandSize w:val="1"/>
      <w:tblStyleColBandSize w:val="1"/>
    </w:tblPr>
  </w:style>
  <w:style w:type="paragraph" w:styleId="Header">
    <w:name w:val="header"/>
    <w:basedOn w:val="Normal"/>
    <w:link w:val="HeaderChar"/>
    <w:uiPriority w:val="99"/>
    <w:unhideWhenUsed/>
    <w:rsid w:val="00F11187"/>
    <w:pPr>
      <w:tabs>
        <w:tab w:val="center" w:pos="4513"/>
        <w:tab w:val="right" w:pos="9026"/>
      </w:tabs>
      <w:spacing w:line="240" w:lineRule="auto"/>
    </w:pPr>
  </w:style>
  <w:style w:type="character" w:customStyle="1" w:styleId="HeaderChar">
    <w:name w:val="Header Char"/>
    <w:basedOn w:val="DefaultParagraphFont"/>
    <w:link w:val="Header"/>
    <w:uiPriority w:val="99"/>
    <w:rsid w:val="00F11187"/>
    <w:rPr>
      <w:rFonts w:ascii="Times New Roman" w:hAnsi="Times New Roman"/>
      <w:sz w:val="24"/>
    </w:rPr>
  </w:style>
  <w:style w:type="paragraph" w:styleId="Footer">
    <w:name w:val="footer"/>
    <w:basedOn w:val="Normal"/>
    <w:link w:val="FooterChar"/>
    <w:uiPriority w:val="99"/>
    <w:unhideWhenUsed/>
    <w:rsid w:val="00F11187"/>
    <w:pPr>
      <w:tabs>
        <w:tab w:val="center" w:pos="4513"/>
        <w:tab w:val="right" w:pos="9026"/>
      </w:tabs>
      <w:spacing w:line="240" w:lineRule="auto"/>
    </w:pPr>
  </w:style>
  <w:style w:type="character" w:customStyle="1" w:styleId="FooterChar">
    <w:name w:val="Footer Char"/>
    <w:basedOn w:val="DefaultParagraphFont"/>
    <w:link w:val="Footer"/>
    <w:uiPriority w:val="99"/>
    <w:rsid w:val="00F11187"/>
    <w:rPr>
      <w:rFonts w:ascii="Times New Roman" w:hAnsi="Times New Roman"/>
      <w:sz w:val="24"/>
    </w:rPr>
  </w:style>
  <w:style w:type="paragraph" w:styleId="TOCHeading">
    <w:name w:val="TOC Heading"/>
    <w:basedOn w:val="Heading1"/>
    <w:next w:val="Normal"/>
    <w:uiPriority w:val="39"/>
    <w:unhideWhenUsed/>
    <w:qFormat/>
    <w:rsid w:val="00F11187"/>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F11187"/>
    <w:pPr>
      <w:spacing w:after="100"/>
    </w:pPr>
  </w:style>
  <w:style w:type="paragraph" w:styleId="TOC2">
    <w:name w:val="toc 2"/>
    <w:basedOn w:val="Normal"/>
    <w:next w:val="Normal"/>
    <w:autoRedefine/>
    <w:uiPriority w:val="39"/>
    <w:unhideWhenUsed/>
    <w:rsid w:val="00F11187"/>
    <w:pPr>
      <w:spacing w:after="100"/>
      <w:ind w:left="240"/>
    </w:pPr>
  </w:style>
  <w:style w:type="paragraph" w:styleId="TOC3">
    <w:name w:val="toc 3"/>
    <w:basedOn w:val="Normal"/>
    <w:next w:val="Normal"/>
    <w:autoRedefine/>
    <w:uiPriority w:val="39"/>
    <w:unhideWhenUsed/>
    <w:rsid w:val="00F11187"/>
    <w:pPr>
      <w:spacing w:after="100"/>
      <w:ind w:left="480"/>
    </w:pPr>
  </w:style>
  <w:style w:type="character" w:styleId="Hyperlink">
    <w:name w:val="Hyperlink"/>
    <w:basedOn w:val="DefaultParagraphFont"/>
    <w:uiPriority w:val="99"/>
    <w:unhideWhenUsed/>
    <w:rsid w:val="00F11187"/>
    <w:rPr>
      <w:color w:val="0000FF" w:themeColor="hyperlink"/>
      <w:u w:val="single"/>
    </w:rPr>
  </w:style>
  <w:style w:type="paragraph" w:styleId="ListParagraph">
    <w:name w:val="List Paragraph"/>
    <w:basedOn w:val="Normal"/>
    <w:uiPriority w:val="34"/>
    <w:qFormat/>
    <w:rsid w:val="006A6CB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www.acea.auto/publication/economic-and-market-report-global-and-eu-auto-industry-first-half-of-2025/" TargetMode="External"/><Relationship Id="rId18" Type="http://schemas.openxmlformats.org/officeDocument/2006/relationships/hyperlink" Target="https://www.forbes.com/sites/trinityfrancis/" TargetMode="External"/><Relationship Id="rId26" Type="http://schemas.openxmlformats.org/officeDocument/2006/relationships/hyperlink" Target="https://iopscience.iop.org/article/10.1088/1755-1315/793/1/012021/pdf" TargetMode="External"/><Relationship Id="rId39" Type="http://schemas.openxmlformats.org/officeDocument/2006/relationships/hyperlink" Target="https://www.mdpi.com/2227-9717/12/4/787" TargetMode="External"/><Relationship Id="rId21" Type="http://schemas.openxmlformats.org/officeDocument/2006/relationships/hyperlink" Target="https://www.ifs.com/-/media10/assets/2022/02/22/morgan-motor-company-customer-story.pdf" TargetMode="External"/><Relationship Id="rId34" Type="http://schemas.openxmlformats.org/officeDocument/2006/relationships/hyperlink" Target="https://morgan-motor.com/our-story/21st-century-coach-building/" TargetMode="External"/><Relationship Id="rId42" Type="http://schemas.openxmlformats.org/officeDocument/2006/relationships/hyperlink" Target="https://tide.theimi.org.uk/sites/default/files/2024-10/Baseline%20Report%202024%20Summary.pdf" TargetMode="External"/><Relationship Id="rId47"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3390/ma14216631" TargetMode="External"/><Relationship Id="rId29" Type="http://schemas.openxmlformats.org/officeDocument/2006/relationships/hyperlink" Target="https://manufacturingdigital.com/lean-manufacturing/morgan-motor-company-embraces-consumer-customisation-autodesks-3d-design-solution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www.researchgate.net/profile/V-Ugur-Tandogan/publication/381614954_Evaluation_of_Motorcycle_Tourism_on_The_Basis_of_Destinations_With_Ahp_and_Vikor_Methods_The_Case_of_Turkey/links/6676b6f61846ca33b8452392/Evaluation-of-Motorcycle-Tourism-on-The-Basis-of-Destinations-With-Ahp-and-Vikor-Methods-The-Case-of-Turkey.pdf" TargetMode="External"/><Relationship Id="rId32" Type="http://schemas.openxmlformats.org/officeDocument/2006/relationships/hyperlink" Target="https://morgan-motor.com/our-story/" TargetMode="External"/><Relationship Id="rId37" Type="http://schemas.openxmlformats.org/officeDocument/2006/relationships/hyperlink" Target="https://www.sciencedirect.com/science/article/pii/S1877050922003593" TargetMode="External"/><Relationship Id="rId40" Type="http://schemas.openxmlformats.org/officeDocument/2006/relationships/hyperlink" Target="https://doi.org/10.1007/s13132-021-00853-3" TargetMode="External"/><Relationship Id="rId45" Type="http://schemas.openxmlformats.org/officeDocument/2006/relationships/hyperlink" Target="https://www.ey.com/en_uk/newsroom/2025/01/opportunities-and-challenges-for-uk-automotive-in-2025" TargetMode="External"/><Relationship Id="rId5" Type="http://schemas.openxmlformats.org/officeDocument/2006/relationships/webSettings" Target="webSettings.xml"/><Relationship Id="rId15" Type="http://schemas.openxmlformats.org/officeDocument/2006/relationships/hyperlink" Target="https://www.clepa.eu/wp-content/uploads/2025/03/CLEPA-Position-Paper-on-Brexit.pdf" TargetMode="External"/><Relationship Id="rId23" Type="http://schemas.openxmlformats.org/officeDocument/2006/relationships/hyperlink" Target="https://www.automotivelogistics.media/lean-logistics/uk-automotive-market-under-stress-but-moving-towards-return-to-growth/647504" TargetMode="External"/><Relationship Id="rId28" Type="http://schemas.openxmlformats.org/officeDocument/2006/relationships/hyperlink" Target="https://journal.lifescifi.com/index.php/RH/article/download/85/72" TargetMode="External"/><Relationship Id="rId36" Type="http://schemas.openxmlformats.org/officeDocument/2006/relationships/hyperlink" Target="https://al-kindipublishers.org/index.php/jcsts/article/download/9272/7933" TargetMode="External"/><Relationship Id="rId10" Type="http://schemas.openxmlformats.org/officeDocument/2006/relationships/image" Target="media/image2.png"/><Relationship Id="rId19" Type="http://schemas.openxmlformats.org/officeDocument/2006/relationships/hyperlink" Target="https://www.forbes.com/sites/trinityfrancis/2025/06/27/inside-the-morgan-factory--why-bespoke-manufacturing-is-thriving/" TargetMode="External"/><Relationship Id="rId31" Type="http://schemas.openxmlformats.org/officeDocument/2006/relationships/hyperlink" Target="https://www.gov.uk/armed-forces-covenant-businesses/morgan-motor-company-ltd" TargetMode="External"/><Relationship Id="rId44" Type="http://schemas.openxmlformats.org/officeDocument/2006/relationships/hyperlink" Target="https://www.ey.com/en_uk/people/james-white" TargetMode="External"/><Relationship Id="rId4" Type="http://schemas.openxmlformats.org/officeDocument/2006/relationships/settings" Target="settings.xml"/><Relationship Id="rId9" Type="http://schemas.openxmlformats.org/officeDocument/2006/relationships/hyperlink" Target="https://www.gov.uk/government/organisations/ministry-of-defence" TargetMode="External"/><Relationship Id="rId14" Type="http://schemas.openxmlformats.org/officeDocument/2006/relationships/hyperlink" Target="https://www.emerald.com/insight/content/doi/10.1108/ejms-01-2022-0007/full/html" TargetMode="External"/><Relationship Id="rId22" Type="http://schemas.openxmlformats.org/officeDocument/2006/relationships/hyperlink" Target="https://www.investindustrial.com/our-business/portfolio-overview/current-portfolio/Morgan-Motor-Company.html" TargetMode="External"/><Relationship Id="rId27" Type="http://schemas.openxmlformats.org/officeDocument/2006/relationships/hyperlink" Target="https://www.tandfonline.com/doi/pdf/10.1080/13662716.2022.2151873" TargetMode="External"/><Relationship Id="rId30" Type="http://schemas.openxmlformats.org/officeDocument/2006/relationships/hyperlink" Target="https://www.gov.uk/government/organisations/ministry-of-defence" TargetMode="External"/><Relationship Id="rId35" Type="http://schemas.openxmlformats.org/officeDocument/2006/relationships/hyperlink" Target="https://experience.morgan-motor.com/" TargetMode="External"/><Relationship Id="rId43" Type="http://schemas.openxmlformats.org/officeDocument/2006/relationships/hyperlink" Target="https://francis-press.com/uploads/papers/60HOnUEwflNtf3fWydTxsrqknlbvQ5Gi1daI9gjc.pdf" TargetMode="External"/><Relationship Id="rId48" Type="http://schemas.openxmlformats.org/officeDocument/2006/relationships/theme" Target="theme/theme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hyperlink" Target="https://www.deloitte.com/uk/en/Industries/consumer/research/consumer-tracker/automotive-sector.html" TargetMode="External"/><Relationship Id="rId25" Type="http://schemas.openxmlformats.org/officeDocument/2006/relationships/hyperlink" Target="https://www.researchgate.net/profile/Prasanna-Kukkamalla/publication/350763402_Collaborative_partnerships_in_the_automotive_industry_key_motives_and_resource_integration_strategy/links/6267e3038cb84a40ac8c978c/Collaborative-partnerships-in-the-automotive-industry-key-motives-and-resource-integration-strategy.pdf" TargetMode="External"/><Relationship Id="rId33" Type="http://schemas.openxmlformats.org/officeDocument/2006/relationships/hyperlink" Target="https://morgan-motor.com/" TargetMode="External"/><Relationship Id="rId38" Type="http://schemas.openxmlformats.org/officeDocument/2006/relationships/hyperlink" Target="https://www.researchgate.net/profile/Yoesoep-Rachmad/publication/397356395_Infrastructure_and_Smart_Cities_Danantara's_Role_in_Building_a_Modern_Indonesia/links/6917ed3d480eb767581bbafe/Infrastructure-and-Smart-Cities-Danantaras-Role-in-Building-a-Modern-Indonesia.pdf" TargetMode="External"/><Relationship Id="rId46" Type="http://schemas.openxmlformats.org/officeDocument/2006/relationships/footer" Target="footer1.xml"/><Relationship Id="rId20" Type="http://schemas.openxmlformats.org/officeDocument/2006/relationships/hyperlink" Target="https://www.haas.co.uk/resources/our-customers/automotive/the-evolution-of-morgan/" TargetMode="External"/><Relationship Id="rId41" Type="http://schemas.openxmlformats.org/officeDocument/2006/relationships/hyperlink" Target="https://www.mdpi.com/2079-8954/12/12/531"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FA39F3-B847-4EB5-B0E0-3E00C9835F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4678</Words>
  <Characters>26666</Characters>
  <Application>Microsoft Office Word</Application>
  <DocSecurity>0</DocSecurity>
  <Lines>222</Lines>
  <Paragraphs>62</Paragraphs>
  <ScaleCrop>false</ScaleCrop>
  <Company/>
  <LinksUpToDate>false</LinksUpToDate>
  <CharactersWithSpaces>31282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2025-11-27T16:53:00Z</dcterms:created>
  <dcterms:modified xsi:type="dcterms:W3CDTF">2025-11-27T21:40:00Z</dcterms:modified>
</cp:coreProperties>
</file>