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7EC827" w14:textId="77777777" w:rsidR="005536F6" w:rsidRPr="00941A79" w:rsidRDefault="005536F6" w:rsidP="00041BD1">
      <w:pPr>
        <w:rPr>
          <w:b/>
          <w:bCs/>
        </w:rPr>
      </w:pPr>
      <w:r w:rsidRPr="00941A79">
        <w:rPr>
          <w:b/>
          <w:bCs/>
        </w:rPr>
        <w:t>Part2a-</w:t>
      </w:r>
    </w:p>
    <w:p w14:paraId="37C5FFAF" w14:textId="55AE649F" w:rsidR="00041BD1" w:rsidRPr="00041BD1" w:rsidRDefault="00041BD1" w:rsidP="00041BD1">
      <w:r w:rsidRPr="00041BD1">
        <w:rPr>
          <w:b/>
          <w:bCs/>
        </w:rPr>
        <w:t>Discovering Nature in My Garden</w:t>
      </w:r>
      <w:r w:rsidRPr="00041BD1">
        <w:br/>
        <w:t>Hello everyone, and thank you for being here. Today I’m going to talk about what I did for my John Muir Award, which I completed by focusing on my own garden.</w:t>
      </w:r>
      <w:r w:rsidR="008D2862">
        <w:t xml:space="preserve"> </w:t>
      </w:r>
      <w:r w:rsidRPr="00041BD1">
        <w:t>Now, you might think a garden doesn’t sound like the most adventurous or wild place</w:t>
      </w:r>
      <w:r w:rsidR="00C15504" w:rsidRPr="00941A79">
        <w:t xml:space="preserve">, </w:t>
      </w:r>
      <w:r w:rsidRPr="00041BD1">
        <w:t>but I quickly found out that there is a lot of nature right on our doorsteps if we just take the time to look.</w:t>
      </w:r>
      <w:r w:rsidR="003660F9" w:rsidRPr="00941A79">
        <w:t xml:space="preserve"> </w:t>
      </w:r>
      <w:r w:rsidRPr="00041BD1">
        <w:t>One of the first things I did was discover the nature that already lived in my garden. I started by simply watching and listening. Every morning, I would sit quietly and take notes on what I could hear and see</w:t>
      </w:r>
      <w:r w:rsidR="00C15504" w:rsidRPr="00941A79">
        <w:t xml:space="preserve">, </w:t>
      </w:r>
      <w:r w:rsidRPr="00041BD1">
        <w:t>birds, bees, butterflies, and even the occasional squirrel.</w:t>
      </w:r>
    </w:p>
    <w:p w14:paraId="2BE3D904" w14:textId="724F036C" w:rsidR="00041BD1" w:rsidRPr="00041BD1" w:rsidRDefault="00041BD1" w:rsidP="00041BD1">
      <w:r w:rsidRPr="00041BD1">
        <w:t>I discovered birds I hadn’t even noticed before, like robins, blackbirds, and blue tits. I learned to recognise their songs and even some of their habits</w:t>
      </w:r>
      <w:r w:rsidR="00C15504" w:rsidRPr="00941A79">
        <w:t xml:space="preserve">, </w:t>
      </w:r>
      <w:r w:rsidRPr="00041BD1">
        <w:t>like how the robin always seemed to come back to the same branch each morning.</w:t>
      </w:r>
      <w:r w:rsidR="003660F9" w:rsidRPr="00941A79">
        <w:t xml:space="preserve"> </w:t>
      </w:r>
      <w:r w:rsidRPr="00041BD1">
        <w:t>As I spent more time outside, I wanted to find out more. I researched the best types of flowers to attract pollinators like bees and butterflies. I learned that lavender</w:t>
      </w:r>
      <w:r w:rsidR="0003467B" w:rsidRPr="00941A79">
        <w:t xml:space="preserve"> and f</w:t>
      </w:r>
      <w:r w:rsidRPr="00041BD1">
        <w:t>oxgloves are all great choices</w:t>
      </w:r>
      <w:r w:rsidR="00C15504" w:rsidRPr="00941A79">
        <w:t xml:space="preserve">, </w:t>
      </w:r>
      <w:r w:rsidRPr="00041BD1">
        <w:t>and so I planted them.</w:t>
      </w:r>
      <w:r w:rsidR="003660F9" w:rsidRPr="00941A79">
        <w:t xml:space="preserve"> </w:t>
      </w:r>
      <w:r w:rsidRPr="00041BD1">
        <w:t>I also found out how important it is to have places where wildlife can shelter. That led me to install bird feeders and birdhouses, and I even made a few myself using recycled materials. I looked up online tutorials and shared some of my own tips with others through photos and videos.</w:t>
      </w:r>
      <w:r w:rsidR="008D2862">
        <w:t xml:space="preserve"> </w:t>
      </w:r>
      <w:r w:rsidRPr="00041BD1">
        <w:t>Part of the award is about sharing, so I decided to make small activities for family and friends to get involved too. One of my favourites was a game I created called “Can You Spot the Bird?” I made a simple guide with pictures of birds common to my area and encouraged others to try spotting them from the window or while walking around the garden.</w:t>
      </w:r>
      <w:r w:rsidR="00E254BD" w:rsidRPr="00941A79">
        <w:t xml:space="preserve"> </w:t>
      </w:r>
      <w:r w:rsidRPr="00041BD1">
        <w:t>I</w:t>
      </w:r>
      <w:r w:rsidR="003660F9" w:rsidRPr="00941A79">
        <w:t>t</w:t>
      </w:r>
      <w:r w:rsidRPr="00041BD1">
        <w:t xml:space="preserve"> became a fun way to get younger kids interested in nature without even having to leave home.</w:t>
      </w:r>
      <w:r w:rsidR="003660F9" w:rsidRPr="00941A79">
        <w:t xml:space="preserve"> </w:t>
      </w:r>
      <w:r w:rsidRPr="00041BD1">
        <w:t>The final part of my award was about conserving. I made sure the bird feeders were cleaned regularly so they were safe. I also created a small compost area to reduce waste and help the soil.</w:t>
      </w:r>
      <w:r w:rsidR="003660F9" w:rsidRPr="00941A79">
        <w:t xml:space="preserve"> </w:t>
      </w:r>
      <w:r w:rsidRPr="00041BD1">
        <w:t>Planting wildlife-friendly flowers, using rainwater to water the plants, and avoiding any harmful chemicals were all simple steps</w:t>
      </w:r>
      <w:r w:rsidR="007C3354" w:rsidRPr="00941A79">
        <w:t xml:space="preserve">, </w:t>
      </w:r>
      <w:r w:rsidRPr="00041BD1">
        <w:t>but they made a difference.</w:t>
      </w:r>
      <w:r w:rsidR="003660F9" w:rsidRPr="00941A79">
        <w:t xml:space="preserve"> </w:t>
      </w:r>
      <w:r w:rsidRPr="00041BD1">
        <w:t>Even small things like leaving a corner of the garden to grow wild helps provide food and shelter for insects and birds.</w:t>
      </w:r>
    </w:p>
    <w:p w14:paraId="10410AB6" w14:textId="77777777" w:rsidR="008D2862" w:rsidRDefault="00041BD1" w:rsidP="00041BD1">
      <w:r w:rsidRPr="00041BD1">
        <w:t>So what did I learn?</w:t>
      </w:r>
    </w:p>
    <w:p w14:paraId="554DD07E" w14:textId="646680C6" w:rsidR="006171B7" w:rsidRPr="00941A79" w:rsidRDefault="00041BD1" w:rsidP="008768F1">
      <w:r w:rsidRPr="00041BD1">
        <w:t>First, that nature is always around us</w:t>
      </w:r>
      <w:r w:rsidR="007C3354" w:rsidRPr="00941A79">
        <w:t xml:space="preserve">, </w:t>
      </w:r>
      <w:r w:rsidRPr="00041BD1">
        <w:t>we just have to slow down and look. Second, that even a small garden can become a mini nature reserve with just a bit of effort. And third, that when we care for nature, it gives back to us in so many ways</w:t>
      </w:r>
      <w:r w:rsidR="007C3354" w:rsidRPr="00941A79">
        <w:t>, b</w:t>
      </w:r>
      <w:r w:rsidRPr="00041BD1">
        <w:t>eauty, peace, and a sense of connection.</w:t>
      </w:r>
      <w:r w:rsidR="008D2862">
        <w:t xml:space="preserve"> </w:t>
      </w:r>
      <w:r w:rsidRPr="00041BD1">
        <w:t>Thank you for listening. I hope my project shows that you don’t need to travel far to explore and protect nature. Sometimes, the best place to start is right outside your own back doo</w:t>
      </w:r>
      <w:r w:rsidR="006171B7" w:rsidRPr="00941A79">
        <w:t>r.</w:t>
      </w:r>
    </w:p>
    <w:p w14:paraId="3918E585" w14:textId="4F5A4675" w:rsidR="005536F6" w:rsidRPr="00941A79" w:rsidRDefault="00ED581A" w:rsidP="008768F1">
      <w:r w:rsidRPr="00941A79">
        <w:rPr>
          <w:b/>
          <w:bCs/>
        </w:rPr>
        <w:t>Part2b-</w:t>
      </w:r>
    </w:p>
    <w:p w14:paraId="6DE194BE" w14:textId="5FAB0F2A" w:rsidR="002455B4" w:rsidRPr="00941A79" w:rsidRDefault="002455B4" w:rsidP="002455B4">
      <w:pPr>
        <w:rPr>
          <w:u w:val="single"/>
        </w:rPr>
      </w:pPr>
      <w:r w:rsidRPr="00941A79">
        <w:rPr>
          <w:u w:val="single"/>
        </w:rPr>
        <w:t>Supporting Early Childhood Education for Sustainability Through Garden-Based Learning</w:t>
      </w:r>
      <w:r w:rsidR="004878F3" w:rsidRPr="00941A79">
        <w:rPr>
          <w:u w:val="single"/>
        </w:rPr>
        <w:t>.</w:t>
      </w:r>
    </w:p>
    <w:p w14:paraId="4EBCA1C4" w14:textId="14E3259D" w:rsidR="00090334" w:rsidRPr="00090334" w:rsidRDefault="00090334" w:rsidP="00090334">
      <w:r w:rsidRPr="00090334">
        <w:t>In this section, I will critically evaluate how the activities I undertook for the John Muir Award</w:t>
      </w:r>
      <w:r w:rsidR="00941A79" w:rsidRPr="00941A79">
        <w:t xml:space="preserve">, </w:t>
      </w:r>
      <w:r w:rsidRPr="00090334">
        <w:t>such as maintaining a wildlife-friendly garden, creating bird feeders, planting flowers, and designing interactive nature activities</w:t>
      </w:r>
      <w:r w:rsidR="00941A79" w:rsidRPr="00941A79">
        <w:t xml:space="preserve">, </w:t>
      </w:r>
      <w:r w:rsidRPr="00090334">
        <w:t>align with and support the philosophy and principles of Early Childhood Education for Sustainability (</w:t>
      </w:r>
      <w:proofErr w:type="spellStart"/>
      <w:r w:rsidRPr="00090334">
        <w:t>ECEfS</w:t>
      </w:r>
      <w:proofErr w:type="spellEnd"/>
      <w:r w:rsidRPr="00090334">
        <w:t>). These hands-on, nature-based experiences offered children not only the opportunity to connect with their immediate environment but also provided meaningful avenues for cultivating ecological awareness, critical thinking, and values of care and responsibility towards the natural world.</w:t>
      </w:r>
    </w:p>
    <w:p w14:paraId="3596C960" w14:textId="77777777" w:rsidR="00090334" w:rsidRPr="00090334" w:rsidRDefault="00090334" w:rsidP="00090334">
      <w:r w:rsidRPr="00090334">
        <w:rPr>
          <w:b/>
          <w:bCs/>
        </w:rPr>
        <w:t xml:space="preserve">What is </w:t>
      </w:r>
      <w:proofErr w:type="spellStart"/>
      <w:r w:rsidRPr="00090334">
        <w:rPr>
          <w:b/>
          <w:bCs/>
        </w:rPr>
        <w:t>ECEfS</w:t>
      </w:r>
      <w:proofErr w:type="spellEnd"/>
      <w:r w:rsidRPr="00090334">
        <w:rPr>
          <w:b/>
          <w:bCs/>
        </w:rPr>
        <w:t>?</w:t>
      </w:r>
    </w:p>
    <w:p w14:paraId="59BB524D" w14:textId="13A70262" w:rsidR="00090334" w:rsidRPr="00090334" w:rsidRDefault="00090334" w:rsidP="00090334">
      <w:proofErr w:type="spellStart"/>
      <w:r w:rsidRPr="00090334">
        <w:lastRenderedPageBreak/>
        <w:t>ECEfS</w:t>
      </w:r>
      <w:proofErr w:type="spellEnd"/>
      <w:r w:rsidRPr="00090334">
        <w:t xml:space="preserve"> is a pedagogical approach aimed at nurturing young children’s understanding of, connection to, and care for the environment. As Davis (2015) emphasises, it is not limited to transmitting knowledge about nature</w:t>
      </w:r>
      <w:r w:rsidR="00941A79" w:rsidRPr="00941A79">
        <w:t xml:space="preserve">, </w:t>
      </w:r>
      <w:r w:rsidRPr="00090334">
        <w:t>it aims to foster sustainable thinking, compassion, and environmentally responsible behaviour from an early age. This approach is structured around three pillars as outlined by Tilbury (1994): education about the environment, in the environment, and for the environment. My garden-based project holistically incorporated each of these dimensions. Children learned about the environment by discovering facts about bird species and pollinator-friendly plants. They learned in the environment by engaging in immersive, sensory-rich activities like “Can You Spot the Bird?”</w:t>
      </w:r>
      <w:r w:rsidR="00941A79" w:rsidRPr="00941A79">
        <w:t xml:space="preserve">, </w:t>
      </w:r>
      <w:r w:rsidRPr="00090334">
        <w:t>an observational game designed to enhance attentiveness and curiosity. Most importantly, they learned for the environment by participating in sustainable actions, such as planting native wildflowers and crafting homemade bird feeders.</w:t>
      </w:r>
      <w:r w:rsidR="008D2862">
        <w:t xml:space="preserve"> </w:t>
      </w:r>
      <w:r w:rsidRPr="00090334">
        <w:t xml:space="preserve">These activities are also closely aligned with </w:t>
      </w:r>
      <w:r w:rsidR="0095783D">
        <w:t>involvement</w:t>
      </w:r>
      <w:r w:rsidRPr="00090334">
        <w:t xml:space="preserve"> learning theories, particularly Kolb’s (1984) learning cycle. His model</w:t>
      </w:r>
      <w:r w:rsidR="00941A79" w:rsidRPr="00941A79">
        <w:t xml:space="preserve">, </w:t>
      </w:r>
      <w:r w:rsidRPr="00090334">
        <w:t xml:space="preserve">comprising active participation, reflective observation, abstract </w:t>
      </w:r>
      <w:r w:rsidR="00D70D89">
        <w:t>ideas</w:t>
      </w:r>
      <w:r w:rsidRPr="00090334">
        <w:t>, and active experimentation</w:t>
      </w:r>
      <w:r w:rsidR="00941A79" w:rsidRPr="00941A79">
        <w:t xml:space="preserve">, </w:t>
      </w:r>
      <w:r w:rsidRPr="00090334">
        <w:t>is evident in the way children engage with the garden. For example, by planting seeds, watching them grow, reflecting on what the plants need to thrive, and adapting their care routines, children move through a complete cycle of experiential learning. Moreover, Gruenewald’s (2003) framework of place-based education further reinforces the pedagogical value of these activities. He argues that connecting children to their immediate environment, such as a garden or a local park, fosters a sense of belonging and ecological identity, both of which are essential for developing sustainability mindsets in young learners.</w:t>
      </w:r>
    </w:p>
    <w:p w14:paraId="02513635" w14:textId="77777777" w:rsidR="00090334" w:rsidRPr="00090334" w:rsidRDefault="00090334" w:rsidP="00090334">
      <w:r w:rsidRPr="00090334">
        <w:rPr>
          <w:b/>
          <w:bCs/>
        </w:rPr>
        <w:t>The Role of Nature in Early Learning</w:t>
      </w:r>
    </w:p>
    <w:p w14:paraId="40013AE6" w14:textId="65F1E5FE" w:rsidR="008D2862" w:rsidRPr="008D2862" w:rsidRDefault="00090334" w:rsidP="00090334">
      <w:r w:rsidRPr="00090334">
        <w:t>There is a growing body of evidence supporting the vital role of nature in early childhood education. Elliott and Davis (2009) argue that daily, direct contact with nature is critical for enhancing environmental literacy and fostering deeper engagement with sustainability themes. Similarly, White (2004) found that outdoor learning significantly boosts children's creativity, emotional resilience, and wellbeing, as well as their understanding of ecological interdependence. By participating in activities such as making bird feeders or identifying plants and insects, children develop the capacity to understand the cause-and-effect relationship between human actions and the health of ecosystems. These activities offer a practical and playful means for introducing complex ecological concepts such as biodiversity, conservation, and interdependence.</w:t>
      </w:r>
      <w:r w:rsidR="008D2862">
        <w:t xml:space="preserve"> </w:t>
      </w:r>
      <w:r w:rsidRPr="00090334">
        <w:t xml:space="preserve">Furthermore, the principles of </w:t>
      </w:r>
      <w:proofErr w:type="spellStart"/>
      <w:r w:rsidRPr="00090334">
        <w:t>ECEfS</w:t>
      </w:r>
      <w:proofErr w:type="spellEnd"/>
      <w:r w:rsidRPr="00090334">
        <w:t xml:space="preserve"> are embedded in several key policies and frameworks. The United Nations Convention on the Rights of the Child (UNCRC, 1989) recognises every child’s right to a healthy environment and access to nature as part of their wellbeing and development. In the Scottish context, the Curriculum for Excellence and Realising the Ambition (Education Scotland, 2020) encourage outdoor learning as a core component of holistic early education. Additionally, Learning for Sustainability (</w:t>
      </w:r>
      <w:proofErr w:type="spellStart"/>
      <w:r w:rsidRPr="00090334">
        <w:t>LfS</w:t>
      </w:r>
      <w:proofErr w:type="spellEnd"/>
      <w:r w:rsidRPr="00090334">
        <w:t>) is promoted as a cross-curricular priority across all levels of education in Scotland. My garden project directly supports these policies by engaging children in purposeful, nature-based activities that nurture ecological responsibility and active citizenship in developmentally appropriate ways.</w:t>
      </w:r>
    </w:p>
    <w:p w14:paraId="714B9DA7" w14:textId="77777777" w:rsidR="008D2862" w:rsidRDefault="008D2862" w:rsidP="00090334">
      <w:pPr>
        <w:rPr>
          <w:b/>
          <w:bCs/>
        </w:rPr>
      </w:pPr>
    </w:p>
    <w:p w14:paraId="4160CE5F" w14:textId="0A3D6B57" w:rsidR="00090334" w:rsidRPr="00090334" w:rsidRDefault="00090334" w:rsidP="00090334">
      <w:r w:rsidRPr="00090334">
        <w:rPr>
          <w:b/>
          <w:bCs/>
        </w:rPr>
        <w:t xml:space="preserve">Strengths of Garden-Based Learning for </w:t>
      </w:r>
      <w:proofErr w:type="spellStart"/>
      <w:r w:rsidRPr="00090334">
        <w:rPr>
          <w:b/>
          <w:bCs/>
        </w:rPr>
        <w:t>ECEfS</w:t>
      </w:r>
      <w:proofErr w:type="spellEnd"/>
    </w:p>
    <w:p w14:paraId="35199C77" w14:textId="52C4CE01" w:rsidR="00090334" w:rsidRPr="00090334" w:rsidRDefault="00090334" w:rsidP="00090334">
      <w:r w:rsidRPr="00090334">
        <w:t>There are numerous strengths in using a garden as a pedagogical space for promoting sustainability in early childhood education. One of the key advantages is accessibility. Gardens</w:t>
      </w:r>
      <w:r w:rsidR="00941A79" w:rsidRPr="00941A79">
        <w:t xml:space="preserve">, </w:t>
      </w:r>
      <w:r w:rsidRPr="00090334">
        <w:t>whether at home, school, or in community settings</w:t>
      </w:r>
      <w:r w:rsidR="00941A79" w:rsidRPr="00941A79">
        <w:t xml:space="preserve">, </w:t>
      </w:r>
      <w:r w:rsidRPr="00090334">
        <w:t xml:space="preserve">are often familiar and easily manageable </w:t>
      </w:r>
      <w:r w:rsidRPr="00090334">
        <w:lastRenderedPageBreak/>
        <w:t>environments that reduce the logistical and psychological barriers to outdoor learning (Knight, 2009). They provide a safe and controllable space in which children can explore, observe, and experiment.</w:t>
      </w:r>
      <w:r w:rsidR="008D2862">
        <w:t xml:space="preserve"> </w:t>
      </w:r>
      <w:r w:rsidRPr="00090334">
        <w:t>Another strength is interactivity. Activities such as the bird-spotting game "Can You Spot the Bird?" blend sensory engagement with observation, critical thinking, and early literacy skills. These types of activities can spark curiosity, initiate dialogue, and inspire further inquiry into the natural world. Equally important is the promotion of agency. When children participate in decision-making</w:t>
      </w:r>
      <w:r w:rsidR="00941A79" w:rsidRPr="00941A79">
        <w:t xml:space="preserve">, </w:t>
      </w:r>
      <w:r w:rsidRPr="00090334">
        <w:t>choosing what to plant, caring for the garden, and building feeders</w:t>
      </w:r>
      <w:r w:rsidR="00941A79" w:rsidRPr="00941A79">
        <w:t xml:space="preserve">, </w:t>
      </w:r>
      <w:r w:rsidRPr="00090334">
        <w:t>they develop a sense of ownership and environmental stewardship. As Davis (2010) argues, empowering children as active contributors helps build lifelong habits of sustainability and responsibility.</w:t>
      </w:r>
      <w:r w:rsidR="008D2862">
        <w:t xml:space="preserve"> </w:t>
      </w:r>
      <w:r w:rsidRPr="00090334">
        <w:t>Moreover, my creation of educational resources and nature-based activity tutorials not only supported children but also involved peers, families, and educators. This reflects Lave and Wenger’s (1991) theory of communities of practice, where learning is a shared, social process. By engaging others in the gardening journey, the learning extends beyond individual experiences to influence the wider community.</w:t>
      </w:r>
    </w:p>
    <w:p w14:paraId="32944830" w14:textId="77777777" w:rsidR="00090334" w:rsidRPr="00090334" w:rsidRDefault="00090334" w:rsidP="00090334">
      <w:r w:rsidRPr="00090334">
        <w:rPr>
          <w:b/>
          <w:bCs/>
        </w:rPr>
        <w:t>Critical Considerations and Limitations</w:t>
      </w:r>
    </w:p>
    <w:p w14:paraId="62F01FED" w14:textId="7F561456" w:rsidR="00090334" w:rsidRPr="00090334" w:rsidRDefault="00090334" w:rsidP="00090334">
      <w:r w:rsidRPr="00090334">
        <w:t xml:space="preserve">Despite these strengths, it is also important to recognise the limitations and potential challenges of garden-based sustainability education. First, equity and access remain critical concerns. Not all children have access to gardens, green spaces, or safe outdoor environments, particularly those in urban or economically disadvantaged settings (Barratt Hacking et al., 2007). Without addressing this disparity, </w:t>
      </w:r>
      <w:proofErr w:type="spellStart"/>
      <w:r w:rsidRPr="00090334">
        <w:t>ECEfS</w:t>
      </w:r>
      <w:proofErr w:type="spellEnd"/>
      <w:r w:rsidRPr="00090334">
        <w:t xml:space="preserve"> risks becoming an exclusive rather than inclusive educational model.</w:t>
      </w:r>
      <w:r w:rsidR="008D2862">
        <w:t xml:space="preserve"> </w:t>
      </w:r>
      <w:r w:rsidRPr="00090334">
        <w:t>Second, there is a risk that such projects may become overly adult-led, particularly if activities are overly structured or focused solely on outcomes. According to Bruce (2011), early childhood learning should be child-centred, play-based, and open-ended to truly support exploration and autonomy. Therefore, it is essential to ensure that gardening and nature activities remain flexible and responsive to children’s interests, ideas, and developmental needs.</w:t>
      </w:r>
      <w:r w:rsidR="008D2862">
        <w:t xml:space="preserve"> </w:t>
      </w:r>
      <w:r w:rsidRPr="00090334">
        <w:t>Lastly, sustainability education must be integrated into the broader curriculum and ethos of the setting to have lasting impact. As Siraj-Blatchford et al. (2010) caution, isolated projects</w:t>
      </w:r>
      <w:r w:rsidR="00941A79" w:rsidRPr="00941A79">
        <w:t xml:space="preserve">, </w:t>
      </w:r>
      <w:r w:rsidRPr="00090334">
        <w:t>no matter how well-intentioned</w:t>
      </w:r>
      <w:r w:rsidR="00941A79" w:rsidRPr="00941A79">
        <w:t xml:space="preserve">, </w:t>
      </w:r>
      <w:r w:rsidRPr="00090334">
        <w:t>can fail to embed lasting change if not supported by institutional commitment and long-term planning. For garden-based learning to be transformative, it must be embedded into regular practice and seen as a meaningful part of the early years curriculum.</w:t>
      </w:r>
    </w:p>
    <w:p w14:paraId="3105C547" w14:textId="77777777" w:rsidR="00090334" w:rsidRPr="00090334" w:rsidRDefault="00090334" w:rsidP="00090334">
      <w:r w:rsidRPr="00090334">
        <w:rPr>
          <w:b/>
          <w:bCs/>
        </w:rPr>
        <w:t>Conclusion: Garden Projects as a Pedagogical Tool</w:t>
      </w:r>
    </w:p>
    <w:p w14:paraId="2987B649" w14:textId="707690B7" w:rsidR="00090334" w:rsidRPr="00090334" w:rsidRDefault="00090334" w:rsidP="00090334">
      <w:r w:rsidRPr="00090334">
        <w:t>To conclude, my John Muir Award project demonstrates that simple, hands-on garden-based experiences can serve as powerful pedagogical tools in Early Childhood Education for Sustainability. Through child-led gardening, bird feeding, and nature observation activities, children not only gain factual knowledge and develop ecological understanding but also cultivate empathy, care, and responsibility for the living world around them.</w:t>
      </w:r>
      <w:r w:rsidR="008D2862">
        <w:t xml:space="preserve"> </w:t>
      </w:r>
      <w:r w:rsidRPr="00090334">
        <w:t>These experiences, when grounded in educational theory, aligned with national policy, and embedded within a community of learning, go far beyond “nice to do” enrichment</w:t>
      </w:r>
      <w:r w:rsidR="00941A79" w:rsidRPr="00941A79">
        <w:t xml:space="preserve">, </w:t>
      </w:r>
      <w:r w:rsidRPr="00090334">
        <w:t>they become essential components of ethical, inclusive, and forward-thinking early childhood practice. In this way, garden-based projects can help sow the seeds of sustainability, empowering even the youngest learners to become thoughtful, compassionate, and capable stewards of the Earth.</w:t>
      </w:r>
    </w:p>
    <w:p w14:paraId="089953D5" w14:textId="77777777" w:rsidR="000F6CEA" w:rsidRDefault="000F6CEA" w:rsidP="006D4AD6">
      <w:pPr>
        <w:rPr>
          <w:b/>
          <w:bCs/>
          <w:u w:val="single"/>
        </w:rPr>
      </w:pPr>
    </w:p>
    <w:p w14:paraId="0AF2A702" w14:textId="77777777" w:rsidR="008D2862" w:rsidRDefault="008D2862" w:rsidP="006D4AD6">
      <w:pPr>
        <w:rPr>
          <w:b/>
          <w:bCs/>
          <w:u w:val="single"/>
        </w:rPr>
      </w:pPr>
    </w:p>
    <w:p w14:paraId="547237FA" w14:textId="11A1E59E" w:rsidR="006D4AD6" w:rsidRPr="00F33BFD" w:rsidRDefault="006D4AD6" w:rsidP="006D4AD6">
      <w:r w:rsidRPr="00044E92">
        <w:rPr>
          <w:b/>
          <w:bCs/>
          <w:u w:val="single"/>
        </w:rPr>
        <w:lastRenderedPageBreak/>
        <w:t>References-</w:t>
      </w:r>
    </w:p>
    <w:p w14:paraId="66F49DBC" w14:textId="7EAA7738" w:rsidR="00986DB2" w:rsidRPr="006D4AD6" w:rsidRDefault="00986DB2" w:rsidP="006D4AD6">
      <w:r w:rsidRPr="00986DB2">
        <w:t xml:space="preserve">Barratt Hacking, E., Barratt, R. and Scott, W. (2007). </w:t>
      </w:r>
      <w:r w:rsidRPr="00986DB2">
        <w:rPr>
          <w:i/>
          <w:iCs/>
        </w:rPr>
        <w:t>Engaging children: research issues around participation and environmental learning. </w:t>
      </w:r>
      <w:r w:rsidRPr="00986DB2">
        <w:t>13(4), pp.529–544.</w:t>
      </w:r>
      <w:r>
        <w:t xml:space="preserve"> Available at: </w:t>
      </w:r>
      <w:hyperlink r:id="rId11" w:history="1">
        <w:r w:rsidRPr="0060782C">
          <w:rPr>
            <w:rStyle w:val="Hyperlink"/>
          </w:rPr>
          <w:t>https://doi.org/10.1080/13504620701600271</w:t>
        </w:r>
      </w:hyperlink>
      <w:r w:rsidRPr="00986DB2">
        <w:t>.</w:t>
      </w:r>
      <w:r>
        <w:t xml:space="preserve"> Accessed on </w:t>
      </w:r>
      <w:r w:rsidR="00613AF3">
        <w:t>2</w:t>
      </w:r>
      <w:r w:rsidR="00613AF3" w:rsidRPr="00613AF3">
        <w:rPr>
          <w:vertAlign w:val="superscript"/>
        </w:rPr>
        <w:t>nd</w:t>
      </w:r>
      <w:r w:rsidR="00613AF3">
        <w:t xml:space="preserve"> of July 2025</w:t>
      </w:r>
    </w:p>
    <w:p w14:paraId="3757282F" w14:textId="77777777" w:rsidR="00AF7B42" w:rsidRDefault="00C17E12" w:rsidP="006D4AD6">
      <w:r w:rsidRPr="00C17E12">
        <w:t>Young Children and the Environment. (2024). </w:t>
      </w:r>
      <w:r w:rsidRPr="00C17E12">
        <w:rPr>
          <w:i/>
          <w:iCs/>
        </w:rPr>
        <w:t>Cambridge University Press eBooks</w:t>
      </w:r>
      <w:r w:rsidRPr="00C17E12">
        <w:t>.</w:t>
      </w:r>
      <w:r>
        <w:t xml:space="preserve"> </w:t>
      </w:r>
      <w:r w:rsidRPr="00DF0116">
        <w:t xml:space="preserve">Available at: </w:t>
      </w:r>
      <w:hyperlink r:id="rId12" w:history="1">
        <w:r w:rsidRPr="00DF0116">
          <w:rPr>
            <w:rStyle w:val="Hyperlink"/>
          </w:rPr>
          <w:t>https://doi.org/10.1017/9781009199971</w:t>
        </w:r>
      </w:hyperlink>
      <w:r w:rsidRPr="00DF0116">
        <w:t xml:space="preserve">. </w:t>
      </w:r>
      <w:r w:rsidRPr="00071815">
        <w:t>Accessed on 2</w:t>
      </w:r>
      <w:r w:rsidRPr="00071815">
        <w:rPr>
          <w:vertAlign w:val="superscript"/>
        </w:rPr>
        <w:t>nd</w:t>
      </w:r>
      <w:r w:rsidRPr="00071815">
        <w:t xml:space="preserve"> on July 2025.</w:t>
      </w:r>
    </w:p>
    <w:p w14:paraId="642F75B3" w14:textId="3AC4084C" w:rsidR="006D4AD6" w:rsidRPr="006D4AD6" w:rsidRDefault="00071815" w:rsidP="006D4AD6">
      <w:r w:rsidRPr="00071815">
        <w:br/>
        <w:t>Elliott, S. and Davis, J. (2009). Exploring the resistance: An Australian perspective on educating for sustainability in early childhood. </w:t>
      </w:r>
      <w:r w:rsidRPr="00071815">
        <w:rPr>
          <w:i/>
          <w:iCs/>
        </w:rPr>
        <w:t>International Journal of Early Childhood</w:t>
      </w:r>
      <w:r w:rsidRPr="00071815">
        <w:t xml:space="preserve">, 41(2), pp.65–77. </w:t>
      </w:r>
      <w:r w:rsidR="00AF7B42">
        <w:t xml:space="preserve">Available at: </w:t>
      </w:r>
      <w:hyperlink r:id="rId13" w:history="1">
        <w:r w:rsidR="00410B16" w:rsidRPr="0060782C">
          <w:rPr>
            <w:rStyle w:val="Hyperlink"/>
          </w:rPr>
          <w:t>https://doi.org/10.1007/bf03168879.Gruenewald</w:t>
        </w:r>
      </w:hyperlink>
      <w:r>
        <w:t xml:space="preserve"> </w:t>
      </w:r>
      <w:r w:rsidR="006D4AD6" w:rsidRPr="006D4AD6">
        <w:t xml:space="preserve"> </w:t>
      </w:r>
      <w:r w:rsidR="00AF7B42">
        <w:t>Accessed on 4</w:t>
      </w:r>
      <w:r w:rsidR="00AF7B42" w:rsidRPr="00AF7B42">
        <w:rPr>
          <w:vertAlign w:val="superscript"/>
        </w:rPr>
        <w:t>th</w:t>
      </w:r>
      <w:r w:rsidR="00AF7B42">
        <w:t xml:space="preserve"> of July 2025.</w:t>
      </w:r>
    </w:p>
    <w:p w14:paraId="14E9F4AE" w14:textId="3D848875" w:rsidR="006D4AD6" w:rsidRPr="006D4AD6" w:rsidRDefault="004442FE" w:rsidP="006D4AD6">
      <w:r w:rsidRPr="004442FE">
        <w:br/>
        <w:t>Lehane, L. (2020). Experiential Learning—David A. Kolb. </w:t>
      </w:r>
      <w:r w:rsidRPr="004442FE">
        <w:rPr>
          <w:i/>
          <w:iCs/>
        </w:rPr>
        <w:t>Springer Texts in Education</w:t>
      </w:r>
      <w:r w:rsidRPr="004442FE">
        <w:t xml:space="preserve">, [online] pp.241–257. </w:t>
      </w:r>
      <w:r>
        <w:t xml:space="preserve">Available at: </w:t>
      </w:r>
      <w:hyperlink r:id="rId14" w:history="1">
        <w:r w:rsidRPr="0060782C">
          <w:rPr>
            <w:rStyle w:val="Hyperlink"/>
          </w:rPr>
          <w:t>https://doi.org/10.1007/978-3-030-43620-9_17</w:t>
        </w:r>
      </w:hyperlink>
      <w:r w:rsidRPr="004442FE">
        <w:t>.</w:t>
      </w:r>
      <w:r>
        <w:t xml:space="preserve"> </w:t>
      </w:r>
      <w:r w:rsidR="006D4AD6" w:rsidRPr="006D4AD6">
        <w:t>Lave, J., &amp; Wenger, E.</w:t>
      </w:r>
      <w:r>
        <w:t xml:space="preserve"> </w:t>
      </w:r>
      <w:r w:rsidR="006D4AD6" w:rsidRPr="006D4AD6">
        <w:t>(1991). Situated Learning: Legitimate Peripheral Participation.</w:t>
      </w:r>
      <w:r>
        <w:t xml:space="preserve"> Accessed on 5</w:t>
      </w:r>
      <w:r w:rsidRPr="004442FE">
        <w:rPr>
          <w:vertAlign w:val="superscript"/>
        </w:rPr>
        <w:t>th</w:t>
      </w:r>
      <w:r>
        <w:t xml:space="preserve"> of July 2025.</w:t>
      </w:r>
    </w:p>
    <w:p w14:paraId="21674BCE" w14:textId="70BF644C" w:rsidR="006D4AD6" w:rsidRPr="006D4AD6" w:rsidRDefault="00FD12D9" w:rsidP="006D4AD6">
      <w:r w:rsidRPr="00FD12D9">
        <w:t>Engberg, A.-K., Siraj-Blatchford, J., Smith, K. and Samuelsson, I. (2010). </w:t>
      </w:r>
      <w:r w:rsidR="00847E66" w:rsidRPr="00847E66">
        <w:rPr>
          <w:i/>
          <w:iCs/>
        </w:rPr>
        <w:t xml:space="preserve">Education for Sustainable Development in the Early Years </w:t>
      </w:r>
      <w:r w:rsidR="00847E66">
        <w:rPr>
          <w:i/>
          <w:iCs/>
        </w:rPr>
        <w:t xml:space="preserve">Available </w:t>
      </w:r>
      <w:r w:rsidRPr="00FD12D9">
        <w:t xml:space="preserve">at: </w:t>
      </w:r>
      <w:hyperlink r:id="rId15" w:history="1">
        <w:r w:rsidR="00847E66" w:rsidRPr="0060782C">
          <w:rPr>
            <w:rStyle w:val="Hyperlink"/>
          </w:rPr>
          <w:t>https://omepworld.org/wp-content/uploads/2021/02/Education_for_Sustainabl_Early_Years.pdf</w:t>
        </w:r>
      </w:hyperlink>
      <w:r w:rsidRPr="00FD12D9">
        <w:t>.</w:t>
      </w:r>
      <w:r w:rsidR="00847E66">
        <w:t xml:space="preserve"> </w:t>
      </w:r>
      <w:r w:rsidR="006D4AD6" w:rsidRPr="006D4AD6">
        <w:t>Tilbury, D. (1994). Environmental education for sustainability: Defining the new focus of environmental education in the 1990s.</w:t>
      </w:r>
      <w:r w:rsidR="00847E66">
        <w:t xml:space="preserve"> Accessed on 5</w:t>
      </w:r>
      <w:r w:rsidR="00847E66" w:rsidRPr="00847E66">
        <w:rPr>
          <w:vertAlign w:val="superscript"/>
        </w:rPr>
        <w:t>th</w:t>
      </w:r>
      <w:r w:rsidR="00847E66">
        <w:t xml:space="preserve"> of July 2025.</w:t>
      </w:r>
    </w:p>
    <w:p w14:paraId="29CE9400" w14:textId="35F2E5EE" w:rsidR="006D4AD6" w:rsidRPr="006D4AD6" w:rsidRDefault="00AE3628" w:rsidP="006D4AD6">
      <w:r w:rsidRPr="00AE3628">
        <w:t>UNICEF (1989). </w:t>
      </w:r>
      <w:r w:rsidRPr="00AE3628">
        <w:rPr>
          <w:i/>
          <w:iCs/>
        </w:rPr>
        <w:t>UN Convention on the Rights of the Child (UNCRC)</w:t>
      </w:r>
      <w:r w:rsidRPr="00AE3628">
        <w:t xml:space="preserve">. UNICEF. Available at: </w:t>
      </w:r>
      <w:hyperlink r:id="rId16" w:history="1">
        <w:r w:rsidRPr="0060782C">
          <w:rPr>
            <w:rStyle w:val="Hyperlink"/>
          </w:rPr>
          <w:t>https://www.unicef.org.uk/what-we-do/un-convention-child-rights/</w:t>
        </w:r>
      </w:hyperlink>
      <w:r w:rsidRPr="00AE3628">
        <w:t>.</w:t>
      </w:r>
      <w:r>
        <w:t xml:space="preserve"> </w:t>
      </w:r>
      <w:r w:rsidR="006D4AD6" w:rsidRPr="006D4AD6">
        <w:t>White, R. (2004). Young Children’s Relationship with Nature: Its Importance to Children’s Development and the Earth’s Future.</w:t>
      </w:r>
      <w:r w:rsidR="003B4F0C">
        <w:t xml:space="preserve"> Accessed on 4</w:t>
      </w:r>
      <w:r w:rsidR="003B4F0C" w:rsidRPr="003B4F0C">
        <w:rPr>
          <w:vertAlign w:val="superscript"/>
        </w:rPr>
        <w:t>th</w:t>
      </w:r>
      <w:r w:rsidR="003B4F0C">
        <w:t xml:space="preserve"> of July 2025.</w:t>
      </w:r>
    </w:p>
    <w:p w14:paraId="7705DE9A" w14:textId="58C4DEF7" w:rsidR="00904E6B" w:rsidRDefault="00904E6B" w:rsidP="006D4AD6">
      <w:r w:rsidRPr="00904E6B">
        <w:t>Internet Archive. (2023). </w:t>
      </w:r>
      <w:r w:rsidRPr="00904E6B">
        <w:rPr>
          <w:i/>
          <w:iCs/>
        </w:rPr>
        <w:t>Forest schools and outdoor learning in the early years : Knight, Sara : Free Download, Borrow, and Streaming : Internet Archive</w:t>
      </w:r>
      <w:r w:rsidRPr="00904E6B">
        <w:t xml:space="preserve">. Available at: </w:t>
      </w:r>
      <w:hyperlink r:id="rId17" w:history="1">
        <w:r w:rsidRPr="0060782C">
          <w:rPr>
            <w:rStyle w:val="Hyperlink"/>
          </w:rPr>
          <w:t>https://archive.org/details/forestschoolsout0000knig</w:t>
        </w:r>
      </w:hyperlink>
      <w:r>
        <w:t xml:space="preserve"> </w:t>
      </w:r>
      <w:r w:rsidRPr="00904E6B">
        <w:t xml:space="preserve">[Accessed </w:t>
      </w:r>
      <w:r>
        <w:t xml:space="preserve">on </w:t>
      </w:r>
      <w:r w:rsidRPr="00904E6B">
        <w:t>11</w:t>
      </w:r>
      <w:r w:rsidRPr="00904E6B">
        <w:rPr>
          <w:vertAlign w:val="superscript"/>
        </w:rPr>
        <w:t>th</w:t>
      </w:r>
      <w:r>
        <w:t xml:space="preserve"> of</w:t>
      </w:r>
      <w:r w:rsidRPr="00904E6B">
        <w:t xml:space="preserve"> Jul</w:t>
      </w:r>
      <w:r>
        <w:t>y</w:t>
      </w:r>
      <w:r w:rsidRPr="00904E6B">
        <w:t xml:space="preserve"> 2025.</w:t>
      </w:r>
    </w:p>
    <w:p w14:paraId="33910184" w14:textId="7F5C7FED" w:rsidR="00E254BD" w:rsidRPr="00C8646F" w:rsidRDefault="00D21084" w:rsidP="006D4AD6">
      <w:r>
        <w:t>John Muir Trust (</w:t>
      </w:r>
      <w:proofErr w:type="spellStart"/>
      <w:r>
        <w:t>NoDate</w:t>
      </w:r>
      <w:proofErr w:type="spellEnd"/>
      <w:r>
        <w:t>)</w:t>
      </w:r>
      <w:r w:rsidR="00C8646F">
        <w:t xml:space="preserve"> John Muir Award Resource Guide. </w:t>
      </w:r>
      <w:r w:rsidR="00C8646F" w:rsidRPr="00C8646F">
        <w:t xml:space="preserve">Available at : </w:t>
      </w:r>
      <w:hyperlink r:id="rId18" w:history="1">
        <w:r w:rsidR="00DC0A26" w:rsidRPr="00DC0A26">
          <w:rPr>
            <w:rStyle w:val="Hyperlink"/>
          </w:rPr>
          <w:t>https://www.johnmuirtrust.org/assets/000/003/906/Resource_Guide_2025_John_Muir__original.pdf?1742215452</w:t>
        </w:r>
      </w:hyperlink>
      <w:r w:rsidR="00E254BD" w:rsidRPr="00C8646F">
        <w:t xml:space="preserve"> </w:t>
      </w:r>
      <w:r w:rsidR="00C8646F">
        <w:t>Accessed on 5</w:t>
      </w:r>
      <w:r w:rsidR="00C8646F" w:rsidRPr="00C8646F">
        <w:rPr>
          <w:vertAlign w:val="superscript"/>
        </w:rPr>
        <w:t>th</w:t>
      </w:r>
      <w:r w:rsidR="00C8646F">
        <w:t xml:space="preserve"> of July 2025.</w:t>
      </w:r>
    </w:p>
    <w:p w14:paraId="69594F8D" w14:textId="77777777" w:rsidR="00E75917" w:rsidRPr="00C8646F" w:rsidRDefault="00E75917" w:rsidP="008768F1">
      <w:pPr>
        <w:rPr>
          <w:b/>
          <w:bCs/>
        </w:rPr>
      </w:pPr>
    </w:p>
    <w:p w14:paraId="4A95A02E" w14:textId="4F423570" w:rsidR="00E75917" w:rsidRPr="00DF0116" w:rsidRDefault="00E75917" w:rsidP="00213B9F"/>
    <w:sectPr w:rsidR="00E75917" w:rsidRPr="00DF0116">
      <w:head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7B01953" w14:textId="77777777" w:rsidR="00D27220" w:rsidRDefault="00D27220" w:rsidP="006171B7">
      <w:pPr>
        <w:spacing w:after="0" w:line="240" w:lineRule="auto"/>
      </w:pPr>
      <w:r>
        <w:separator/>
      </w:r>
    </w:p>
  </w:endnote>
  <w:endnote w:type="continuationSeparator" w:id="0">
    <w:p w14:paraId="4CB3A59A" w14:textId="77777777" w:rsidR="00D27220" w:rsidRDefault="00D27220" w:rsidP="006171B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C01CD6E" w14:textId="77777777" w:rsidR="00D27220" w:rsidRDefault="00D27220" w:rsidP="006171B7">
      <w:pPr>
        <w:spacing w:after="0" w:line="240" w:lineRule="auto"/>
      </w:pPr>
      <w:r>
        <w:separator/>
      </w:r>
    </w:p>
  </w:footnote>
  <w:footnote w:type="continuationSeparator" w:id="0">
    <w:p w14:paraId="7F8895F1" w14:textId="77777777" w:rsidR="00D27220" w:rsidRDefault="00D27220" w:rsidP="006171B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64992BF" w14:textId="1B97979A" w:rsidR="006171B7" w:rsidRDefault="006171B7">
    <w:pPr>
      <w:pStyle w:val="Header"/>
    </w:pPr>
    <w:r>
      <w:t>2308039                                                           ECEY6005                                              Elizabeth Thomas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B07B7E"/>
    <w:multiLevelType w:val="hybridMultilevel"/>
    <w:tmpl w:val="3AF63FD8"/>
    <w:lvl w:ilvl="0" w:tplc="A1C20526">
      <w:start w:val="1"/>
      <w:numFmt w:val="bullet"/>
      <w:lvlText w:val="•"/>
      <w:lvlJc w:val="left"/>
      <w:pPr>
        <w:tabs>
          <w:tab w:val="num" w:pos="720"/>
        </w:tabs>
        <w:ind w:left="720" w:hanging="360"/>
      </w:pPr>
      <w:rPr>
        <w:rFonts w:ascii="Arial" w:hAnsi="Arial" w:hint="default"/>
      </w:rPr>
    </w:lvl>
    <w:lvl w:ilvl="1" w:tplc="BD5CF274" w:tentative="1">
      <w:start w:val="1"/>
      <w:numFmt w:val="bullet"/>
      <w:lvlText w:val="•"/>
      <w:lvlJc w:val="left"/>
      <w:pPr>
        <w:tabs>
          <w:tab w:val="num" w:pos="1440"/>
        </w:tabs>
        <w:ind w:left="1440" w:hanging="360"/>
      </w:pPr>
      <w:rPr>
        <w:rFonts w:ascii="Arial" w:hAnsi="Arial" w:hint="default"/>
      </w:rPr>
    </w:lvl>
    <w:lvl w:ilvl="2" w:tplc="D91C9F74" w:tentative="1">
      <w:start w:val="1"/>
      <w:numFmt w:val="bullet"/>
      <w:lvlText w:val="•"/>
      <w:lvlJc w:val="left"/>
      <w:pPr>
        <w:tabs>
          <w:tab w:val="num" w:pos="2160"/>
        </w:tabs>
        <w:ind w:left="2160" w:hanging="360"/>
      </w:pPr>
      <w:rPr>
        <w:rFonts w:ascii="Arial" w:hAnsi="Arial" w:hint="default"/>
      </w:rPr>
    </w:lvl>
    <w:lvl w:ilvl="3" w:tplc="C980BA20" w:tentative="1">
      <w:start w:val="1"/>
      <w:numFmt w:val="bullet"/>
      <w:lvlText w:val="•"/>
      <w:lvlJc w:val="left"/>
      <w:pPr>
        <w:tabs>
          <w:tab w:val="num" w:pos="2880"/>
        </w:tabs>
        <w:ind w:left="2880" w:hanging="360"/>
      </w:pPr>
      <w:rPr>
        <w:rFonts w:ascii="Arial" w:hAnsi="Arial" w:hint="default"/>
      </w:rPr>
    </w:lvl>
    <w:lvl w:ilvl="4" w:tplc="D35CF122" w:tentative="1">
      <w:start w:val="1"/>
      <w:numFmt w:val="bullet"/>
      <w:lvlText w:val="•"/>
      <w:lvlJc w:val="left"/>
      <w:pPr>
        <w:tabs>
          <w:tab w:val="num" w:pos="3600"/>
        </w:tabs>
        <w:ind w:left="3600" w:hanging="360"/>
      </w:pPr>
      <w:rPr>
        <w:rFonts w:ascii="Arial" w:hAnsi="Arial" w:hint="default"/>
      </w:rPr>
    </w:lvl>
    <w:lvl w:ilvl="5" w:tplc="4AE2543E" w:tentative="1">
      <w:start w:val="1"/>
      <w:numFmt w:val="bullet"/>
      <w:lvlText w:val="•"/>
      <w:lvlJc w:val="left"/>
      <w:pPr>
        <w:tabs>
          <w:tab w:val="num" w:pos="4320"/>
        </w:tabs>
        <w:ind w:left="4320" w:hanging="360"/>
      </w:pPr>
      <w:rPr>
        <w:rFonts w:ascii="Arial" w:hAnsi="Arial" w:hint="default"/>
      </w:rPr>
    </w:lvl>
    <w:lvl w:ilvl="6" w:tplc="5B0A06F6" w:tentative="1">
      <w:start w:val="1"/>
      <w:numFmt w:val="bullet"/>
      <w:lvlText w:val="•"/>
      <w:lvlJc w:val="left"/>
      <w:pPr>
        <w:tabs>
          <w:tab w:val="num" w:pos="5040"/>
        </w:tabs>
        <w:ind w:left="5040" w:hanging="360"/>
      </w:pPr>
      <w:rPr>
        <w:rFonts w:ascii="Arial" w:hAnsi="Arial" w:hint="default"/>
      </w:rPr>
    </w:lvl>
    <w:lvl w:ilvl="7" w:tplc="68E23954" w:tentative="1">
      <w:start w:val="1"/>
      <w:numFmt w:val="bullet"/>
      <w:lvlText w:val="•"/>
      <w:lvlJc w:val="left"/>
      <w:pPr>
        <w:tabs>
          <w:tab w:val="num" w:pos="5760"/>
        </w:tabs>
        <w:ind w:left="5760" w:hanging="360"/>
      </w:pPr>
      <w:rPr>
        <w:rFonts w:ascii="Arial" w:hAnsi="Arial" w:hint="default"/>
      </w:rPr>
    </w:lvl>
    <w:lvl w:ilvl="8" w:tplc="94889AA8" w:tentative="1">
      <w:start w:val="1"/>
      <w:numFmt w:val="bullet"/>
      <w:lvlText w:val="•"/>
      <w:lvlJc w:val="left"/>
      <w:pPr>
        <w:tabs>
          <w:tab w:val="num" w:pos="6480"/>
        </w:tabs>
        <w:ind w:left="6480" w:hanging="360"/>
      </w:pPr>
      <w:rPr>
        <w:rFonts w:ascii="Arial" w:hAnsi="Arial" w:hint="default"/>
      </w:rPr>
    </w:lvl>
  </w:abstractNum>
  <w:num w:numId="1" w16cid:durableId="115337795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5"/>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68F1"/>
    <w:rsid w:val="0003467B"/>
    <w:rsid w:val="00041BD1"/>
    <w:rsid w:val="00044E92"/>
    <w:rsid w:val="000532C0"/>
    <w:rsid w:val="00054E90"/>
    <w:rsid w:val="00071815"/>
    <w:rsid w:val="00090334"/>
    <w:rsid w:val="000B236C"/>
    <w:rsid w:val="000F6CEA"/>
    <w:rsid w:val="00104039"/>
    <w:rsid w:val="001452A5"/>
    <w:rsid w:val="00213B9F"/>
    <w:rsid w:val="002455B4"/>
    <w:rsid w:val="00352B00"/>
    <w:rsid w:val="003660F9"/>
    <w:rsid w:val="0039541D"/>
    <w:rsid w:val="003B4F0C"/>
    <w:rsid w:val="003F600B"/>
    <w:rsid w:val="00410B16"/>
    <w:rsid w:val="004442FE"/>
    <w:rsid w:val="004878F3"/>
    <w:rsid w:val="004E3D6F"/>
    <w:rsid w:val="005536F6"/>
    <w:rsid w:val="00581C50"/>
    <w:rsid w:val="00584E78"/>
    <w:rsid w:val="00590DE8"/>
    <w:rsid w:val="005E4A36"/>
    <w:rsid w:val="00613AF3"/>
    <w:rsid w:val="006171B7"/>
    <w:rsid w:val="00627B43"/>
    <w:rsid w:val="00676914"/>
    <w:rsid w:val="006A0636"/>
    <w:rsid w:val="006D4AD6"/>
    <w:rsid w:val="00722914"/>
    <w:rsid w:val="00734F49"/>
    <w:rsid w:val="007C3354"/>
    <w:rsid w:val="007C4820"/>
    <w:rsid w:val="00847E66"/>
    <w:rsid w:val="008768F1"/>
    <w:rsid w:val="008D2862"/>
    <w:rsid w:val="008F3FE1"/>
    <w:rsid w:val="00904E6B"/>
    <w:rsid w:val="00941A79"/>
    <w:rsid w:val="0095783D"/>
    <w:rsid w:val="00986DB2"/>
    <w:rsid w:val="009F5D47"/>
    <w:rsid w:val="00A117D3"/>
    <w:rsid w:val="00A13B8B"/>
    <w:rsid w:val="00AE3628"/>
    <w:rsid w:val="00AF7B42"/>
    <w:rsid w:val="00B014EB"/>
    <w:rsid w:val="00B12C88"/>
    <w:rsid w:val="00B25319"/>
    <w:rsid w:val="00C15504"/>
    <w:rsid w:val="00C17E12"/>
    <w:rsid w:val="00C50E90"/>
    <w:rsid w:val="00C8646F"/>
    <w:rsid w:val="00D21084"/>
    <w:rsid w:val="00D27220"/>
    <w:rsid w:val="00D70D89"/>
    <w:rsid w:val="00DC0A26"/>
    <w:rsid w:val="00DE3C51"/>
    <w:rsid w:val="00DF0116"/>
    <w:rsid w:val="00E14EAD"/>
    <w:rsid w:val="00E2091D"/>
    <w:rsid w:val="00E21091"/>
    <w:rsid w:val="00E254BD"/>
    <w:rsid w:val="00E75917"/>
    <w:rsid w:val="00EC3458"/>
    <w:rsid w:val="00ED581A"/>
    <w:rsid w:val="00ED66AC"/>
    <w:rsid w:val="00F127B9"/>
    <w:rsid w:val="00F33BFD"/>
    <w:rsid w:val="00FD12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086851"/>
  <w15:chartTrackingRefBased/>
  <w15:docId w15:val="{5ACC9632-72B3-4ECA-91BD-016503E23C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768F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768F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768F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768F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768F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768F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768F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768F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768F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768F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768F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768F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768F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768F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768F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768F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768F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768F1"/>
    <w:rPr>
      <w:rFonts w:eastAsiaTheme="majorEastAsia" w:cstheme="majorBidi"/>
      <w:color w:val="272727" w:themeColor="text1" w:themeTint="D8"/>
    </w:rPr>
  </w:style>
  <w:style w:type="paragraph" w:styleId="Title">
    <w:name w:val="Title"/>
    <w:basedOn w:val="Normal"/>
    <w:next w:val="Normal"/>
    <w:link w:val="TitleChar"/>
    <w:uiPriority w:val="10"/>
    <w:qFormat/>
    <w:rsid w:val="008768F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768F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768F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768F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768F1"/>
    <w:pPr>
      <w:spacing w:before="160"/>
      <w:jc w:val="center"/>
    </w:pPr>
    <w:rPr>
      <w:i/>
      <w:iCs/>
      <w:color w:val="404040" w:themeColor="text1" w:themeTint="BF"/>
    </w:rPr>
  </w:style>
  <w:style w:type="character" w:customStyle="1" w:styleId="QuoteChar">
    <w:name w:val="Quote Char"/>
    <w:basedOn w:val="DefaultParagraphFont"/>
    <w:link w:val="Quote"/>
    <w:uiPriority w:val="29"/>
    <w:rsid w:val="008768F1"/>
    <w:rPr>
      <w:i/>
      <w:iCs/>
      <w:color w:val="404040" w:themeColor="text1" w:themeTint="BF"/>
    </w:rPr>
  </w:style>
  <w:style w:type="paragraph" w:styleId="ListParagraph">
    <w:name w:val="List Paragraph"/>
    <w:basedOn w:val="Normal"/>
    <w:uiPriority w:val="34"/>
    <w:qFormat/>
    <w:rsid w:val="008768F1"/>
    <w:pPr>
      <w:ind w:left="720"/>
      <w:contextualSpacing/>
    </w:pPr>
  </w:style>
  <w:style w:type="character" w:styleId="IntenseEmphasis">
    <w:name w:val="Intense Emphasis"/>
    <w:basedOn w:val="DefaultParagraphFont"/>
    <w:uiPriority w:val="21"/>
    <w:qFormat/>
    <w:rsid w:val="008768F1"/>
    <w:rPr>
      <w:i/>
      <w:iCs/>
      <w:color w:val="0F4761" w:themeColor="accent1" w:themeShade="BF"/>
    </w:rPr>
  </w:style>
  <w:style w:type="paragraph" w:styleId="IntenseQuote">
    <w:name w:val="Intense Quote"/>
    <w:basedOn w:val="Normal"/>
    <w:next w:val="Normal"/>
    <w:link w:val="IntenseQuoteChar"/>
    <w:uiPriority w:val="30"/>
    <w:qFormat/>
    <w:rsid w:val="008768F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768F1"/>
    <w:rPr>
      <w:i/>
      <w:iCs/>
      <w:color w:val="0F4761" w:themeColor="accent1" w:themeShade="BF"/>
    </w:rPr>
  </w:style>
  <w:style w:type="character" w:styleId="IntenseReference">
    <w:name w:val="Intense Reference"/>
    <w:basedOn w:val="DefaultParagraphFont"/>
    <w:uiPriority w:val="32"/>
    <w:qFormat/>
    <w:rsid w:val="008768F1"/>
    <w:rPr>
      <w:b/>
      <w:bCs/>
      <w:smallCaps/>
      <w:color w:val="0F4761" w:themeColor="accent1" w:themeShade="BF"/>
      <w:spacing w:val="5"/>
    </w:rPr>
  </w:style>
  <w:style w:type="character" w:styleId="Hyperlink">
    <w:name w:val="Hyperlink"/>
    <w:basedOn w:val="DefaultParagraphFont"/>
    <w:uiPriority w:val="99"/>
    <w:unhideWhenUsed/>
    <w:rsid w:val="00DC0A26"/>
    <w:rPr>
      <w:color w:val="467886" w:themeColor="hyperlink"/>
      <w:u w:val="single"/>
    </w:rPr>
  </w:style>
  <w:style w:type="character" w:styleId="UnresolvedMention">
    <w:name w:val="Unresolved Mention"/>
    <w:basedOn w:val="DefaultParagraphFont"/>
    <w:uiPriority w:val="99"/>
    <w:semiHidden/>
    <w:unhideWhenUsed/>
    <w:rsid w:val="00DC0A26"/>
    <w:rPr>
      <w:color w:val="605E5C"/>
      <w:shd w:val="clear" w:color="auto" w:fill="E1DFDD"/>
    </w:rPr>
  </w:style>
  <w:style w:type="paragraph" w:styleId="Header">
    <w:name w:val="header"/>
    <w:basedOn w:val="Normal"/>
    <w:link w:val="HeaderChar"/>
    <w:uiPriority w:val="99"/>
    <w:unhideWhenUsed/>
    <w:rsid w:val="006171B7"/>
    <w:pPr>
      <w:tabs>
        <w:tab w:val="center" w:pos="4513"/>
        <w:tab w:val="right" w:pos="9026"/>
      </w:tabs>
      <w:spacing w:after="0" w:line="240" w:lineRule="auto"/>
    </w:pPr>
  </w:style>
  <w:style w:type="character" w:customStyle="1" w:styleId="HeaderChar">
    <w:name w:val="Header Char"/>
    <w:basedOn w:val="DefaultParagraphFont"/>
    <w:link w:val="Header"/>
    <w:uiPriority w:val="99"/>
    <w:rsid w:val="006171B7"/>
  </w:style>
  <w:style w:type="paragraph" w:styleId="Footer">
    <w:name w:val="footer"/>
    <w:basedOn w:val="Normal"/>
    <w:link w:val="FooterChar"/>
    <w:uiPriority w:val="99"/>
    <w:unhideWhenUsed/>
    <w:rsid w:val="006171B7"/>
    <w:pPr>
      <w:tabs>
        <w:tab w:val="center" w:pos="4513"/>
        <w:tab w:val="right" w:pos="9026"/>
      </w:tabs>
      <w:spacing w:after="0" w:line="240" w:lineRule="auto"/>
    </w:pPr>
  </w:style>
  <w:style w:type="character" w:customStyle="1" w:styleId="FooterChar">
    <w:name w:val="Footer Char"/>
    <w:basedOn w:val="DefaultParagraphFont"/>
    <w:link w:val="Footer"/>
    <w:uiPriority w:val="99"/>
    <w:rsid w:val="006171B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57838115">
      <w:bodyDiv w:val="1"/>
      <w:marLeft w:val="0"/>
      <w:marRight w:val="0"/>
      <w:marTop w:val="0"/>
      <w:marBottom w:val="0"/>
      <w:divBdr>
        <w:top w:val="none" w:sz="0" w:space="0" w:color="auto"/>
        <w:left w:val="none" w:sz="0" w:space="0" w:color="auto"/>
        <w:bottom w:val="none" w:sz="0" w:space="0" w:color="auto"/>
        <w:right w:val="none" w:sz="0" w:space="0" w:color="auto"/>
      </w:divBdr>
    </w:div>
    <w:div w:id="753018319">
      <w:bodyDiv w:val="1"/>
      <w:marLeft w:val="0"/>
      <w:marRight w:val="0"/>
      <w:marTop w:val="0"/>
      <w:marBottom w:val="0"/>
      <w:divBdr>
        <w:top w:val="none" w:sz="0" w:space="0" w:color="auto"/>
        <w:left w:val="none" w:sz="0" w:space="0" w:color="auto"/>
        <w:bottom w:val="none" w:sz="0" w:space="0" w:color="auto"/>
        <w:right w:val="none" w:sz="0" w:space="0" w:color="auto"/>
      </w:divBdr>
    </w:div>
    <w:div w:id="1226140030">
      <w:bodyDiv w:val="1"/>
      <w:marLeft w:val="0"/>
      <w:marRight w:val="0"/>
      <w:marTop w:val="0"/>
      <w:marBottom w:val="0"/>
      <w:divBdr>
        <w:top w:val="none" w:sz="0" w:space="0" w:color="auto"/>
        <w:left w:val="none" w:sz="0" w:space="0" w:color="auto"/>
        <w:bottom w:val="none" w:sz="0" w:space="0" w:color="auto"/>
        <w:right w:val="none" w:sz="0" w:space="0" w:color="auto"/>
      </w:divBdr>
    </w:div>
    <w:div w:id="1572737300">
      <w:bodyDiv w:val="1"/>
      <w:marLeft w:val="0"/>
      <w:marRight w:val="0"/>
      <w:marTop w:val="0"/>
      <w:marBottom w:val="0"/>
      <w:divBdr>
        <w:top w:val="none" w:sz="0" w:space="0" w:color="auto"/>
        <w:left w:val="none" w:sz="0" w:space="0" w:color="auto"/>
        <w:bottom w:val="none" w:sz="0" w:space="0" w:color="auto"/>
        <w:right w:val="none" w:sz="0" w:space="0" w:color="auto"/>
      </w:divBdr>
    </w:div>
    <w:div w:id="1965885289">
      <w:bodyDiv w:val="1"/>
      <w:marLeft w:val="0"/>
      <w:marRight w:val="0"/>
      <w:marTop w:val="0"/>
      <w:marBottom w:val="0"/>
      <w:divBdr>
        <w:top w:val="none" w:sz="0" w:space="0" w:color="auto"/>
        <w:left w:val="none" w:sz="0" w:space="0" w:color="auto"/>
        <w:bottom w:val="none" w:sz="0" w:space="0" w:color="auto"/>
        <w:right w:val="none" w:sz="0" w:space="0" w:color="auto"/>
      </w:divBdr>
      <w:divsChild>
        <w:div w:id="1046022685">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doi.org/10.1007/bf03168879.Gruenewald" TargetMode="External"/><Relationship Id="rId18" Type="http://schemas.openxmlformats.org/officeDocument/2006/relationships/hyperlink" Target="https://www.johnmuirtrust.org/assets/000/003/906/Resource_Guide_2025_John_Muir__original.pdf?1742215452" TargetMode="Externa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doi.org/10.1017/9781009199971" TargetMode="External"/><Relationship Id="rId17" Type="http://schemas.openxmlformats.org/officeDocument/2006/relationships/hyperlink" Target="https://archive.org/details/forestschoolsout0000knig" TargetMode="External"/><Relationship Id="rId2" Type="http://schemas.openxmlformats.org/officeDocument/2006/relationships/customXml" Target="../customXml/item2.xml"/><Relationship Id="rId16" Type="http://schemas.openxmlformats.org/officeDocument/2006/relationships/hyperlink" Target="https://www.unicef.org.uk/what-we-do/un-convention-child-rights/"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doi.org/10.1080/13504620701600271" TargetMode="External"/><Relationship Id="rId5" Type="http://schemas.openxmlformats.org/officeDocument/2006/relationships/numbering" Target="numbering.xml"/><Relationship Id="rId15" Type="http://schemas.openxmlformats.org/officeDocument/2006/relationships/hyperlink" Target="https://omepworld.org/wp-content/uploads/2021/02/Education_for_Sustainabl_Early_Years.pdf"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doi.org/10.1007/978-3-030-43620-9_1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E6A5B647E4AC0A498B10A9510815BF99" ma:contentTypeVersion="17" ma:contentTypeDescription="Create a new document." ma:contentTypeScope="" ma:versionID="16685f87e2d9a67e4f72395d4768bfeb">
  <xsd:schema xmlns:xsd="http://www.w3.org/2001/XMLSchema" xmlns:xs="http://www.w3.org/2001/XMLSchema" xmlns:p="http://schemas.microsoft.com/office/2006/metadata/properties" xmlns:ns3="c3ee7220-abdd-4338-9539-ca1e86e03291" xmlns:ns4="ef828717-9db6-435b-80eb-4b903c669d75" targetNamespace="http://schemas.microsoft.com/office/2006/metadata/properties" ma:root="true" ma:fieldsID="5693f1dc74ae9c9736e8ae4060de63a0" ns3:_="" ns4:_="">
    <xsd:import namespace="c3ee7220-abdd-4338-9539-ca1e86e03291"/>
    <xsd:import namespace="ef828717-9db6-435b-80eb-4b903c669d75"/>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element ref="ns3:MediaServiceAutoTags" minOccurs="0"/>
                <xsd:element ref="ns3:MediaServiceGenerationTime" minOccurs="0"/>
                <xsd:element ref="ns3:MediaServiceEventHashCode" minOccurs="0"/>
                <xsd:element ref="ns3:MediaLengthInSeconds" minOccurs="0"/>
                <xsd:element ref="ns3:MediaServiceSystemTags" minOccurs="0"/>
                <xsd:element ref="ns3:MediaServiceOCR" minOccurs="0"/>
                <xsd:element ref="ns3:MediaServiceLocation" minOccurs="0"/>
                <xsd:element ref="ns3:MediaServiceBilling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3ee7220-abdd-4338-9539-ca1e86e0329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AutoTags" ma:index="17" nillable="true" ma:displayName="Tags" ma:internalName="MediaServiceAutoTags" ma:readOnly="true">
      <xsd:simpleType>
        <xsd:restriction base="dms:Text"/>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SystemTags" ma:index="21" nillable="true" ma:displayName="MediaServiceSystemTags" ma:hidden="true" ma:internalName="MediaServiceSystemTags" ma:readOnly="true">
      <xsd:simpleType>
        <xsd:restriction base="dms:Note"/>
      </xsd:simpleType>
    </xsd:element>
    <xsd:element name="MediaServiceOCR" ma:index="22" nillable="true" ma:displayName="Extracted Text" ma:internalName="MediaServiceOCR" ma:readOnly="true">
      <xsd:simpleType>
        <xsd:restriction base="dms:Note">
          <xsd:maxLength value="255"/>
        </xsd:restriction>
      </xsd:simpleType>
    </xsd:element>
    <xsd:element name="MediaServiceLocation" ma:index="23" nillable="true" ma:displayName="Location" ma:indexed="true" ma:internalName="MediaServiceLocation" ma:readOnly="true">
      <xsd:simpleType>
        <xsd:restriction base="dms:Text"/>
      </xsd:simpleType>
    </xsd:element>
    <xsd:element name="MediaServiceBillingMetadata" ma:index="24" nillable="true" ma:displayName="MediaServiceBillingMetadata" ma:hidden="true" ma:internalName="MediaServiceBillingMetadata"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ef828717-9db6-435b-80eb-4b903c669d75"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_activity xmlns="c3ee7220-abdd-4338-9539-ca1e86e03291" xsi:nil="true"/>
  </documentManagement>
</p:properties>
</file>

<file path=customXml/itemProps1.xml><?xml version="1.0" encoding="utf-8"?>
<ds:datastoreItem xmlns:ds="http://schemas.openxmlformats.org/officeDocument/2006/customXml" ds:itemID="{65AFED17-9A83-442C-8AC2-0158D4DAE2DE}">
  <ds:schemaRefs>
    <ds:schemaRef ds:uri="http://schemas.openxmlformats.org/officeDocument/2006/bibliography"/>
  </ds:schemaRefs>
</ds:datastoreItem>
</file>

<file path=customXml/itemProps2.xml><?xml version="1.0" encoding="utf-8"?>
<ds:datastoreItem xmlns:ds="http://schemas.openxmlformats.org/officeDocument/2006/customXml" ds:itemID="{9DB22EF5-DBB2-4817-9256-F2B06A684C36}">
  <ds:schemaRefs>
    <ds:schemaRef ds:uri="http://schemas.microsoft.com/sharepoint/v3/contenttype/forms"/>
  </ds:schemaRefs>
</ds:datastoreItem>
</file>

<file path=customXml/itemProps3.xml><?xml version="1.0" encoding="utf-8"?>
<ds:datastoreItem xmlns:ds="http://schemas.openxmlformats.org/officeDocument/2006/customXml" ds:itemID="{CA6C4A54-B5B4-4525-81BB-8602431C6D8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3ee7220-abdd-4338-9539-ca1e86e03291"/>
    <ds:schemaRef ds:uri="ef828717-9db6-435b-80eb-4b903c669d7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7F5A21A9-6A3C-4799-B511-40B0DA755760}">
  <ds:schemaRefs>
    <ds:schemaRef ds:uri="c3ee7220-abdd-4338-9539-ca1e86e03291"/>
    <ds:schemaRef ds:uri="http://purl.org/dc/terms/"/>
    <ds:schemaRef ds:uri="http://schemas.microsoft.com/office/2006/documentManagement/types"/>
    <ds:schemaRef ds:uri="http://schemas.microsoft.com/office/infopath/2007/PartnerControls"/>
    <ds:schemaRef ds:uri="ef828717-9db6-435b-80eb-4b903c669d75"/>
    <ds:schemaRef ds:uri="http://purl.org/dc/dcmitype/"/>
    <ds:schemaRef ds:uri="http://purl.org/dc/elements/1.1/"/>
    <ds:schemaRef ds:uri="http://schemas.openxmlformats.org/package/2006/metadata/core-properties"/>
    <ds:schemaRef ds:uri="http://schemas.microsoft.com/office/2006/metadata/properties"/>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2076</Words>
  <Characters>11839</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Elizabeth Campbell</dc:creator>
  <cp:keywords/>
  <dc:description/>
  <cp:lastModifiedBy>Elizabeth Campbell</cp:lastModifiedBy>
  <cp:revision>2</cp:revision>
  <dcterms:created xsi:type="dcterms:W3CDTF">2025-07-11T15:41:00Z</dcterms:created>
  <dcterms:modified xsi:type="dcterms:W3CDTF">2025-07-11T15:41:00Z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0x010100E6A5B647E4AC0A498B10A9510815BF99</vt:lpwstr>
  </property>
</Properties>
</file>