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Autospacing="0" w:afterAutospacing="0" w:line="360" w:lineRule="auto"/>
        <w:ind w:left="-180" w:right="-334"/>
      </w:pPr>
      <w:bookmarkStart w:id="0" w:name="OLE_LINK6"/>
      <w:r>
        <w:rPr>
          <w:lang w:eastAsia="en-GB"/>
        </w:rPr>
        <w:drawing>
          <wp:inline distT="0" distB="0" distL="114300" distR="114300">
            <wp:extent cx="2058035" cy="856615"/>
            <wp:effectExtent l="0" t="0" r="14605" b="12065"/>
            <wp:docPr id="5" name="图片 5" descr="C:\Users\ablettm\AppData\Local\Microsoft\Windows\Temporary Internet Files\Content.Outlook\R41HOZLM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C:\Users\ablettm\AppData\Local\Microsoft\Windows\Temporary Internet Files\Content.Outlook\R41HOZLM\UWTSD Logo.jpg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58035" cy="8566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spacing w:beforeAutospacing="0" w:afterAutospacing="0"/>
        <w:ind w:left="-180" w:right="-334"/>
      </w:pPr>
    </w:p>
    <w:p>
      <w:pPr>
        <w:pStyle w:val="5"/>
        <w:spacing w:beforeAutospacing="0" w:afterAutospacing="0"/>
        <w:ind w:left="-180" w:right="-334"/>
      </w:pPr>
    </w:p>
    <w:p>
      <w:pPr>
        <w:pStyle w:val="5"/>
        <w:spacing w:beforeAutospacing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>
        <w:rPr>
          <w:rFonts w:ascii="Arial" w:hAnsi="Arial" w:cs="Arial"/>
          <w:b/>
          <w:sz w:val="28"/>
          <w:szCs w:val="28"/>
          <w:lang w:val="cy-GB"/>
        </w:rPr>
        <w:t xml:space="preserve">Postgraduate/Distance Learning </w:t>
      </w:r>
    </w:p>
    <w:p>
      <w:pPr>
        <w:pStyle w:val="5"/>
        <w:spacing w:beforeAutospacing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Assignment coversheet &amp; feedback form</w:t>
      </w:r>
    </w:p>
    <w:p>
      <w:pPr>
        <w:rPr>
          <w:rFonts w:ascii="Arial" w:hAnsi="Arial" w:cs="Arial"/>
          <w:sz w:val="28"/>
          <w:szCs w:val="28"/>
          <w:lang w:val="cy-GB"/>
        </w:rPr>
      </w:pPr>
    </w:p>
    <w:p>
      <w:pPr>
        <w:pStyle w:val="2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>
      <w:pPr>
        <w:pStyle w:val="2"/>
        <w:jc w:val="center"/>
        <w:rPr>
          <w:rFonts w:ascii="Trebuchet MS" w:hAnsi="Trebuchet MS"/>
        </w:rPr>
      </w:pPr>
    </w:p>
    <w:tbl>
      <w:tblPr>
        <w:tblStyle w:val="8"/>
        <w:tblW w:w="885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8"/>
        <w:gridCol w:w="423"/>
        <w:gridCol w:w="1557"/>
        <w:gridCol w:w="286"/>
        <w:gridCol w:w="180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8856" w:type="dxa"/>
            <w:gridSpan w:val="5"/>
          </w:tcPr>
          <w:p>
            <w:pPr>
              <w:pStyle w:val="5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the 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</w:trPr>
        <w:tc>
          <w:tcPr>
            <w:tcW w:w="8856" w:type="dxa"/>
            <w:gridSpan w:val="5"/>
          </w:tcPr>
          <w:p>
            <w:pPr>
              <w:pStyle w:val="5"/>
              <w:spacing w:beforeAutospacing="0" w:afterAutospacing="0"/>
              <w:ind w:right="34"/>
              <w:rPr>
                <w:rFonts w:ascii="Arial" w:hAnsi="Arial" w:eastAsia="宋体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Student Name:</w:t>
            </w:r>
            <w:r>
              <w:rPr>
                <w:rFonts w:hint="eastAsia" w:ascii="Arial" w:hAnsi="Arial" w:cs="Arial"/>
                <w:sz w:val="22"/>
                <w:szCs w:val="22"/>
              </w:rPr>
              <w:t>Tian Huang</w:t>
            </w:r>
          </w:p>
          <w:p>
            <w:pPr>
              <w:pStyle w:val="5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</w:trPr>
        <w:tc>
          <w:tcPr>
            <w:tcW w:w="4788" w:type="dxa"/>
          </w:tcPr>
          <w:p>
            <w:pPr>
              <w:pStyle w:val="5"/>
              <w:spacing w:beforeAutospacing="0" w:afterAutospacing="0"/>
              <w:ind w:right="34"/>
              <w:rPr>
                <w:rFonts w:ascii="Arial" w:hAnsi="Arial" w:eastAsia="宋体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code:</w:t>
            </w:r>
            <w:r>
              <w:rPr>
                <w:rFonts w:hint="eastAsia" w:ascii="Arial" w:hAnsi="Arial" w:cs="Arial"/>
                <w:sz w:val="22"/>
                <w:szCs w:val="22"/>
              </w:rPr>
              <w:t>SICH3003</w:t>
            </w:r>
          </w:p>
          <w:p>
            <w:pPr>
              <w:pStyle w:val="5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>
            <w:pPr>
              <w:pStyle w:val="5"/>
              <w:spacing w:beforeAutospacing="0" w:afterAutospacing="0"/>
              <w:ind w:right="34"/>
              <w:rPr>
                <w:rFonts w:ascii="Arial" w:hAnsi="Arial" w:eastAsia="宋体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title: Explaining and memorizing the classical Chinese text</w:t>
            </w:r>
          </w:p>
          <w:p>
            <w:pPr>
              <w:pStyle w:val="5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>
            <w:pPr>
              <w:pStyle w:val="5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>
            <w:pPr>
              <w:pStyle w:val="5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>
            <w:pPr>
              <w:pStyle w:val="5"/>
              <w:spacing w:beforeAutospacing="0" w:afterAutospacing="0"/>
              <w:ind w:right="34"/>
              <w:rPr>
                <w:rFonts w:ascii="Arial" w:hAnsi="Arial" w:eastAsia="宋体" w:cs="Arial"/>
                <w:sz w:val="22"/>
                <w:szCs w:val="22"/>
              </w:rPr>
            </w:pPr>
            <w:r>
              <w:rPr>
                <w:rFonts w:hint="eastAsia" w:ascii="Arial" w:hAnsi="Arial" w:cs="Arial"/>
                <w:sz w:val="22"/>
                <w:szCs w:val="22"/>
              </w:rPr>
              <w:t>1804389</w:t>
            </w:r>
          </w:p>
        </w:tc>
        <w:tc>
          <w:tcPr>
            <w:tcW w:w="1802" w:type="dxa"/>
          </w:tcPr>
          <w:p>
            <w:pPr>
              <w:pStyle w:val="5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>
            <w:pPr>
              <w:pStyle w:val="5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trike/>
                <w:sz w:val="22"/>
                <w:szCs w:val="22"/>
              </w:rPr>
              <w:t>Yes</w:t>
            </w:r>
            <w:r>
              <w:rPr>
                <w:rFonts w:ascii="Arial" w:hAnsi="Arial" w:cs="Arial"/>
                <w:sz w:val="22"/>
                <w:szCs w:val="22"/>
              </w:rPr>
              <w:t>/No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9" w:hRule="atLeast"/>
        </w:trPr>
        <w:tc>
          <w:tcPr>
            <w:tcW w:w="8856" w:type="dxa"/>
            <w:gridSpan w:val="5"/>
          </w:tcPr>
          <w:p>
            <w:pPr>
              <w:pStyle w:val="5"/>
              <w:spacing w:beforeAutospacing="0" w:afterAutospacing="0"/>
              <w:ind w:right="34"/>
              <w:rPr>
                <w:rFonts w:ascii="Arial" w:hAnsi="Arial" w:eastAsia="宋体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tutor:</w:t>
            </w:r>
            <w:r>
              <w:rPr>
                <w:rFonts w:hint="eastAsia" w:ascii="Arial" w:hAnsi="Arial" w:cs="Arial"/>
                <w:sz w:val="22"/>
                <w:szCs w:val="22"/>
              </w:rPr>
              <w:t xml:space="preserve"> Professor Chia-Feng Hsieh </w:t>
            </w:r>
          </w:p>
          <w:p>
            <w:pPr>
              <w:pStyle w:val="5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>
            <w:pPr>
              <w:pStyle w:val="5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>
            <w:pPr>
              <w:pStyle w:val="5"/>
              <w:spacing w:beforeAutospacing="0" w:afterAutospacing="0"/>
              <w:ind w:right="34"/>
              <w:rPr>
                <w:rFonts w:ascii="Arial" w:hAnsi="Arial" w:eastAsia="宋体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Assignment due date:11</w:t>
            </w:r>
            <w:r>
              <w:rPr>
                <w:rFonts w:hint="eastAsia" w:ascii="Arial" w:hAnsi="Arial" w:cs="Arial"/>
                <w:sz w:val="22"/>
                <w:szCs w:val="22"/>
              </w:rPr>
              <w:t>th January, 2019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8" w:hRule="atLeast"/>
        </w:trPr>
        <w:tc>
          <w:tcPr>
            <w:tcW w:w="8856" w:type="dxa"/>
            <w:gridSpan w:val="5"/>
            <w:tcBorders>
              <w:bottom w:val="single" w:color="000000" w:sz="4" w:space="0"/>
            </w:tcBorders>
          </w:tcPr>
          <w:p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your module has multiple submissions please indicate which piece of work this is.</w:t>
            </w:r>
          </w:p>
          <w:p>
            <w:pPr>
              <w:rPr>
                <w:rFonts w:ascii="Arial" w:hAnsi="Arial" w:cs="Arial"/>
                <w:sz w:val="22"/>
                <w:szCs w:val="22"/>
              </w:rPr>
            </w:pPr>
          </w:p>
          <w:p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st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Check13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  <w:r>
              <w:rPr>
                <w:rFonts w:hint="eastAsia" w:ascii="Arial" w:hAnsi="Arial" w:cs="Arial"/>
                <w:sz w:val="22"/>
                <w:szCs w:val="22"/>
              </w:rPr>
              <w:t xml:space="preserve">   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" w:name="Check14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  <w:r>
              <w:rPr>
                <w:rFonts w:ascii="Arial" w:hAnsi="Arial" w:cs="Arial"/>
                <w:sz w:val="22"/>
                <w:szCs w:val="22"/>
              </w:rPr>
              <w:t xml:space="preserve"> √    3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" w:name="Check15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  <w:r>
              <w:rPr>
                <w:rFonts w:ascii="Arial" w:hAnsi="Arial" w:cs="Arial"/>
                <w:sz w:val="22"/>
                <w:szCs w:val="22"/>
              </w:rPr>
              <w:t xml:space="preserve">      4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" w:name="Check16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  <w:r>
              <w:rPr>
                <w:rFonts w:ascii="Arial" w:hAnsi="Arial" w:cs="Arial"/>
                <w:sz w:val="22"/>
                <w:szCs w:val="22"/>
              </w:rPr>
              <w:t xml:space="preserve">      5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" w:name="Check17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  <w:r>
              <w:rPr>
                <w:rFonts w:ascii="Arial" w:hAnsi="Arial" w:cs="Arial"/>
                <w:sz w:val="22"/>
                <w:szCs w:val="22"/>
              </w:rPr>
              <w:t xml:space="preserve">      6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" w:name="Check18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6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8" w:hRule="atLeast"/>
        </w:trPr>
        <w:tc>
          <w:tcPr>
            <w:tcW w:w="8856" w:type="dxa"/>
            <w:gridSpan w:val="5"/>
            <w:shd w:val="clear" w:color="auto" w:fill="D9D9D9"/>
          </w:tcPr>
          <w:p>
            <w:pPr>
              <w:pStyle w:val="5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>
            <w:pPr>
              <w:pStyle w:val="5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Signed </w:t>
            </w:r>
            <w:r>
              <w:rPr>
                <w:rFonts w:hint="eastAsia" w:ascii="Arial" w:hAnsi="Arial" w:cs="Arial"/>
                <w:sz w:val="22"/>
                <w:szCs w:val="22"/>
              </w:rPr>
              <w:t>Tian Huang</w:t>
            </w: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</w:t>
            </w:r>
          </w:p>
          <w:p>
            <w:pPr>
              <w:pStyle w:val="5"/>
              <w:spacing w:beforeAutospacing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>
              <w:rPr>
                <w:rFonts w:ascii="Calibri" w:hAnsi="Calibri" w:cs="Tahoma"/>
                <w:b/>
              </w:rPr>
              <w:t>Email submission: if you are submitting this form via email, please tick this box</w:t>
            </w:r>
            <w:r>
              <w:rPr>
                <w:rFonts w:ascii="Calibri" w:hAnsi="Calibri" w:cs="Tahoma"/>
                <w:b/>
                <w:sz w:val="36"/>
                <w:szCs w:val="36"/>
              </w:rPr>
              <w:sym w:font="Wingdings" w:char="00FE"/>
            </w:r>
          </w:p>
          <w:p>
            <w:pPr>
              <w:pStyle w:val="5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</w:rPr>
              <w:t>(as a substitute for your signature) to confirm that you agree to the above declaration.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2" w:hRule="atLeast"/>
        </w:trPr>
        <w:tc>
          <w:tcPr>
            <w:tcW w:w="8856" w:type="dxa"/>
            <w:gridSpan w:val="5"/>
          </w:tcPr>
          <w:p>
            <w:pPr>
              <w:rPr>
                <w:rFonts w:ascii="Arial" w:hAnsi="Arial"/>
                <w:b/>
              </w:rPr>
            </w:pPr>
          </w:p>
          <w:p>
            <w:pPr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Assignment Mark</w:t>
            </w:r>
          </w:p>
          <w:tbl>
            <w:tblPr>
              <w:tblStyle w:val="8"/>
              <w:tblW w:w="8630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970"/>
              <w:gridCol w:w="166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970" w:type="dxa"/>
                </w:tcPr>
                <w:p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970" w:type="dxa"/>
                </w:tcPr>
                <w:p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Marker’s/Moderator’s provisional mark</w:t>
                  </w:r>
                </w:p>
              </w:tc>
              <w:tc>
                <w:tcPr>
                  <w:tcW w:w="1660" w:type="dxa"/>
                </w:tcPr>
                <w:p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970" w:type="dxa"/>
                </w:tcPr>
                <w:p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Agreed Internal Mark: </w:t>
                  </w:r>
                </w:p>
                <w:p>
                  <w:pPr>
                    <w:rPr>
                      <w:rFonts w:ascii="Arial" w:hAnsi="Arial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1660" w:type="dxa"/>
                </w:tcPr>
                <w:p>
                  <w:pPr>
                    <w:rPr>
                      <w:rFonts w:ascii="Arial" w:hAnsi="Arial"/>
                      <w:sz w:val="20"/>
                      <w:szCs w:val="20"/>
                      <w:highlight w:val="yellow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970" w:type="dxa"/>
                </w:tcPr>
                <w:p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External Examiner’s mark (if relevant)</w:t>
                  </w:r>
                </w:p>
              </w:tc>
              <w:tc>
                <w:tcPr>
                  <w:tcW w:w="1660" w:type="dxa"/>
                </w:tcPr>
                <w:p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970" w:type="dxa"/>
                </w:tcPr>
                <w:p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>
            <w:pPr>
              <w:pStyle w:val="5"/>
              <w:spacing w:beforeAutospacing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>
            <w:pPr>
              <w:pStyle w:val="5"/>
              <w:spacing w:beforeAutospacing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NB.</w:t>
            </w:r>
            <w:r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Final Examination Board.</w:t>
            </w:r>
          </w:p>
          <w:p>
            <w:pPr>
              <w:pStyle w:val="5"/>
              <w:spacing w:beforeAutospacing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>
            <w:pPr>
              <w:pStyle w:val="5"/>
              <w:spacing w:beforeAutospacing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>
            <w:pPr>
              <w:pStyle w:val="5"/>
              <w:spacing w:beforeAutospacing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>
            <w:pPr>
              <w:pStyle w:val="5"/>
              <w:spacing w:beforeAutospacing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>
            <w:pPr>
              <w:pStyle w:val="5"/>
              <w:spacing w:beforeAutospacing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Marker 1 :</w:t>
            </w:r>
          </w:p>
          <w:p>
            <w:pPr>
              <w:pStyle w:val="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Comments:</w:t>
            </w:r>
          </w:p>
          <w:p>
            <w:pPr>
              <w:pStyle w:val="5"/>
              <w:rPr>
                <w:rFonts w:ascii="Arial" w:hAnsi="Arial" w:cs="Arial"/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</w:trPr>
        <w:tc>
          <w:tcPr>
            <w:tcW w:w="6768" w:type="dxa"/>
            <w:gridSpan w:val="3"/>
          </w:tcPr>
          <w:p>
            <w:pPr>
              <w:pStyle w:val="5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Marker’s signature:</w:t>
            </w:r>
          </w:p>
        </w:tc>
        <w:tc>
          <w:tcPr>
            <w:tcW w:w="2088" w:type="dxa"/>
            <w:gridSpan w:val="2"/>
          </w:tcPr>
          <w:p>
            <w:pPr>
              <w:pStyle w:val="5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6" w:type="dxa"/>
            <w:gridSpan w:val="5"/>
          </w:tcPr>
          <w:p>
            <w:pPr>
              <w:pStyle w:val="5"/>
              <w:spacing w:beforeAutospacing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>
            <w:pPr>
              <w:pStyle w:val="5"/>
              <w:spacing w:beforeAutospacing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Marker 2/Moderator:</w:t>
            </w:r>
          </w:p>
          <w:p>
            <w:pPr>
              <w:pStyle w:val="5"/>
              <w:spacing w:beforeAutospacing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>
            <w:pPr>
              <w:pStyle w:val="5"/>
              <w:spacing w:beforeAutospacing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>
            <w:pPr>
              <w:pStyle w:val="5"/>
              <w:spacing w:beforeAutospacing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>
            <w:pPr>
              <w:pStyle w:val="5"/>
              <w:spacing w:beforeAutospacing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>
            <w:pPr>
              <w:pStyle w:val="5"/>
              <w:spacing w:beforeAutospacing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5211" w:type="dxa"/>
            <w:gridSpan w:val="2"/>
          </w:tcPr>
          <w:p>
            <w:pPr>
              <w:pStyle w:val="5"/>
              <w:spacing w:beforeAutospacing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Marker’s Signature:</w:t>
            </w:r>
          </w:p>
        </w:tc>
        <w:tc>
          <w:tcPr>
            <w:tcW w:w="3645" w:type="dxa"/>
            <w:gridSpan w:val="3"/>
          </w:tcPr>
          <w:p>
            <w:pPr>
              <w:pStyle w:val="5"/>
              <w:spacing w:beforeAutospacing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8856" w:type="dxa"/>
            <w:gridSpan w:val="5"/>
          </w:tcPr>
          <w:p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AGREED INTERNAL MARK (where necessary):</w:t>
            </w:r>
          </w:p>
          <w:p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Comment on process on arriving at agreed mark:</w:t>
            </w:r>
          </w:p>
          <w:p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8856" w:type="dxa"/>
            <w:gridSpan w:val="5"/>
          </w:tcPr>
          <w:p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External Examiner’s comments (if relevant)</w:t>
            </w:r>
          </w:p>
          <w:p>
            <w:pPr>
              <w:pStyle w:val="5"/>
              <w:spacing w:beforeAutospacing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>
            <w:pPr>
              <w:pStyle w:val="5"/>
              <w:spacing w:beforeAutospacing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>
            <w:pPr>
              <w:pStyle w:val="5"/>
              <w:spacing w:beforeAutospacing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5211" w:type="dxa"/>
            <w:gridSpan w:val="2"/>
          </w:tcPr>
          <w:p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bookmarkEnd w:id="0"/>
    </w:tbl>
    <w:p>
      <w:pPr>
        <w:jc w:val="center"/>
        <w:rPr>
          <w:rFonts w:ascii="DFKai-SB" w:hAnsi="DFKai-SB" w:eastAsia="DFKai-SB" w:cs="DFKai-SB"/>
          <w:sz w:val="36"/>
          <w:szCs w:val="36"/>
        </w:rPr>
      </w:pPr>
    </w:p>
    <w:p>
      <w:pPr>
        <w:jc w:val="center"/>
        <w:rPr>
          <w:rFonts w:ascii="DFKai-SB" w:hAnsi="DFKai-SB" w:eastAsia="DFKai-SB" w:cs="DFKai-SB"/>
          <w:sz w:val="36"/>
          <w:szCs w:val="36"/>
        </w:rPr>
      </w:pPr>
    </w:p>
    <w:p>
      <w:pPr>
        <w:jc w:val="center"/>
        <w:rPr>
          <w:rFonts w:ascii="DFKai-SB" w:hAnsi="DFKai-SB" w:eastAsia="DFKai-SB" w:cs="DFKai-SB"/>
          <w:sz w:val="36"/>
          <w:szCs w:val="36"/>
        </w:rPr>
      </w:pPr>
    </w:p>
    <w:p>
      <w:pPr>
        <w:jc w:val="center"/>
        <w:rPr>
          <w:rFonts w:ascii="DFKai-SB" w:hAnsi="DFKai-SB" w:eastAsia="DFKai-SB" w:cs="DFKai-SB"/>
          <w:sz w:val="36"/>
          <w:szCs w:val="36"/>
        </w:rPr>
      </w:pPr>
    </w:p>
    <w:p>
      <w:pPr>
        <w:jc w:val="center"/>
        <w:rPr>
          <w:rFonts w:ascii="DFKai-SB" w:hAnsi="DFKai-SB" w:eastAsia="DFKai-SB" w:cs="DFKai-SB"/>
          <w:sz w:val="36"/>
          <w:szCs w:val="36"/>
        </w:rPr>
      </w:pPr>
    </w:p>
    <w:p>
      <w:pPr>
        <w:jc w:val="center"/>
        <w:rPr>
          <w:rFonts w:ascii="DFKai-SB" w:hAnsi="DFKai-SB" w:eastAsia="DFKai-SB" w:cs="DFKai-SB"/>
          <w:sz w:val="36"/>
          <w:szCs w:val="36"/>
        </w:rPr>
      </w:pPr>
    </w:p>
    <w:p>
      <w:pPr>
        <w:jc w:val="center"/>
        <w:rPr>
          <w:rFonts w:ascii="DFKai-SB" w:hAnsi="DFKai-SB" w:eastAsia="DFKai-SB" w:cs="DFKai-SB"/>
          <w:sz w:val="36"/>
          <w:szCs w:val="36"/>
        </w:rPr>
      </w:pPr>
    </w:p>
    <w:p>
      <w:pPr>
        <w:jc w:val="center"/>
        <w:rPr>
          <w:rFonts w:ascii="DFKai-SB" w:hAnsi="DFKai-SB" w:eastAsia="DFKai-SB" w:cs="DFKai-SB"/>
          <w:sz w:val="36"/>
          <w:szCs w:val="36"/>
        </w:rPr>
      </w:pPr>
    </w:p>
    <w:p>
      <w:pPr>
        <w:jc w:val="center"/>
        <w:rPr>
          <w:rFonts w:ascii="DFKai-SB" w:hAnsi="DFKai-SB" w:eastAsia="DFKai-SB" w:cs="DFKai-SB"/>
          <w:sz w:val="36"/>
          <w:szCs w:val="36"/>
        </w:rPr>
      </w:pPr>
    </w:p>
    <w:p>
      <w:pPr>
        <w:jc w:val="center"/>
        <w:rPr>
          <w:rFonts w:ascii="DFKai-SB" w:hAnsi="DFKai-SB" w:eastAsia="DFKai-SB" w:cs="DFKai-SB"/>
          <w:sz w:val="36"/>
          <w:szCs w:val="36"/>
        </w:rPr>
      </w:pPr>
    </w:p>
    <w:p>
      <w:pPr>
        <w:jc w:val="center"/>
        <w:rPr>
          <w:rFonts w:hint="eastAsia" w:ascii="DFKai-SB" w:hAnsi="DFKai-SB" w:eastAsia="DFKai-SB" w:cs="DFKai-SB"/>
          <w:sz w:val="36"/>
          <w:szCs w:val="36"/>
          <w:lang w:eastAsia="zh-TW"/>
        </w:rPr>
      </w:pPr>
      <w:r>
        <w:rPr>
          <w:rFonts w:hint="eastAsia" w:ascii="DFKai-SB" w:hAnsi="DFKai-SB" w:eastAsia="DFKai-SB" w:cs="DFKai-SB"/>
          <w:sz w:val="36"/>
          <w:szCs w:val="36"/>
          <w:lang w:eastAsia="zh-TW"/>
        </w:rPr>
        <w:t>背誦內容</w:t>
      </w:r>
    </w:p>
    <w:p>
      <w:pPr>
        <w:jc w:val="center"/>
        <w:rPr>
          <w:rFonts w:hint="eastAsia" w:ascii="DFKai-SB" w:hAnsi="DFKai-SB" w:eastAsia="DFKai-SB" w:cs="DFKai-SB"/>
          <w:sz w:val="36"/>
          <w:szCs w:val="36"/>
          <w:lang w:eastAsia="zh-TW"/>
        </w:rPr>
      </w:pPr>
    </w:p>
    <w:p>
      <w:pPr>
        <w:jc w:val="both"/>
        <w:rPr>
          <w:rFonts w:hint="eastAsia" w:ascii="PMingLiU" w:hAnsi="PMingLiU" w:eastAsia="PMingLiU" w:cs="PMingLiU"/>
          <w:sz w:val="28"/>
          <w:szCs w:val="28"/>
          <w:lang w:val="en-US" w:eastAsia="zh-CN"/>
        </w:rPr>
      </w:pPr>
      <w:r>
        <w:rPr>
          <w:rFonts w:hint="eastAsia" w:ascii="PMingLiU" w:hAnsi="PMingLiU" w:eastAsia="PMingLiU" w:cs="PMingLiU"/>
          <w:sz w:val="28"/>
          <w:szCs w:val="28"/>
          <w:lang w:val="en-US" w:eastAsia="zh-CN"/>
        </w:rPr>
        <w:t>注：</w:t>
      </w:r>
    </w:p>
    <w:p>
      <w:pPr>
        <w:jc w:val="both"/>
        <w:rPr>
          <w:rFonts w:hint="eastAsia" w:ascii="PMingLiU" w:hAnsi="PMingLiU" w:eastAsia="PMingLiU" w:cs="PMingLiU"/>
          <w:sz w:val="28"/>
          <w:szCs w:val="28"/>
          <w:highlight w:val="red"/>
          <w:lang w:val="en-US" w:eastAsia="zh-CN"/>
        </w:rPr>
      </w:pPr>
      <w:r>
        <w:rPr>
          <w:rFonts w:hint="eastAsia" w:ascii="PMingLiU" w:hAnsi="PMingLiU" w:eastAsia="PMingLiU" w:cs="PMingLiU"/>
          <w:sz w:val="28"/>
          <w:szCs w:val="28"/>
          <w:highlight w:val="red"/>
          <w:lang w:val="en-US" w:eastAsia="zh-CN"/>
        </w:rPr>
        <w:t>紅色：背錯</w:t>
      </w:r>
    </w:p>
    <w:p>
      <w:pPr>
        <w:jc w:val="both"/>
        <w:rPr>
          <w:rFonts w:hint="eastAsia" w:ascii="PMingLiU" w:hAnsi="PMingLiU" w:eastAsia="PMingLiU" w:cs="PMingLiU"/>
          <w:sz w:val="28"/>
          <w:szCs w:val="28"/>
          <w:lang w:val="en-US" w:eastAsia="zh-CN"/>
        </w:rPr>
      </w:pPr>
      <w:r>
        <w:rPr>
          <w:rFonts w:hint="eastAsia" w:ascii="PMingLiU" w:hAnsi="PMingLiU" w:eastAsia="PMingLiU" w:cs="PMingLiU"/>
          <w:sz w:val="28"/>
          <w:szCs w:val="28"/>
          <w:highlight w:val="green"/>
          <w:lang w:val="en-US" w:eastAsia="zh-CN"/>
        </w:rPr>
        <w:t>綠色：背漏</w:t>
      </w:r>
    </w:p>
    <w:p>
      <w:pPr>
        <w:rPr>
          <w:rFonts w:ascii="PMingLiU" w:hAnsi="PMingLiU" w:eastAsia="PMingLiU" w:cs="PMingLiU"/>
          <w:sz w:val="28"/>
          <w:szCs w:val="28"/>
          <w:lang w:eastAsia="zh-TW"/>
        </w:rPr>
      </w:pPr>
    </w:p>
    <w:p>
      <w:pPr>
        <w:rPr>
          <w:rFonts w:hint="eastAsia" w:ascii="PMingLiU" w:hAnsi="PMingLiU" w:eastAsia="宋体" w:cs="PMingLiU"/>
          <w:sz w:val="28"/>
          <w:szCs w:val="28"/>
          <w:lang w:val="en-US" w:eastAsia="zh-CN"/>
        </w:rPr>
      </w:pPr>
      <w:r>
        <w:rPr>
          <w:rFonts w:hint="eastAsia" w:ascii="PMingLiU" w:hAnsi="PMingLiU" w:eastAsia="PMingLiU" w:cs="PMingLiU"/>
          <w:sz w:val="28"/>
          <w:szCs w:val="28"/>
          <w:lang w:eastAsia="zh-TW"/>
        </w:rPr>
        <w:t>《大學》背誦：</w:t>
      </w:r>
    </w:p>
    <w:p>
      <w:pPr>
        <w:numPr>
          <w:ilvl w:val="0"/>
          <w:numId w:val="1"/>
        </w:numPr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所謂治國必先齊其家者，其家不可教，而能教人者，無之。故君子不出家而成教於國。</w:t>
      </w:r>
    </w:p>
    <w:p>
      <w:pPr>
        <w:ind w:firstLine="560" w:firstLineChars="200"/>
        <w:rPr>
          <w:rFonts w:hint="eastAsia" w:ascii="DFKai-SB" w:hAnsi="DFKai-SB" w:eastAsia="宋体" w:cs="DFKai-SB"/>
          <w:color w:val="000000"/>
          <w:sz w:val="28"/>
          <w:szCs w:val="28"/>
          <w:shd w:val="clear" w:color="auto" w:fill="FFFFFF"/>
          <w:lang w:eastAsia="zh-CN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孝者，所以事君也；弟者，所以事長也；慈者，所以使眾也。</w:t>
      </w:r>
      <w:r>
        <w:rPr>
          <w:rFonts w:hint="eastAsia" w:ascii="DFKai-SB" w:hAnsi="DFKai-SB" w:eastAsia="DFKai-SB" w:cs="DFKai-SB"/>
          <w:color w:val="000000"/>
          <w:sz w:val="28"/>
          <w:szCs w:val="28"/>
          <w:u w:val="none"/>
          <w:shd w:val="clear" w:color="auto" w:fill="FFFFFF"/>
          <w:lang w:eastAsia="zh-TW"/>
        </w:rPr>
        <w:t>《</w:t>
      </w:r>
      <w:r>
        <w:rPr>
          <w:rFonts w:hint="eastAsia" w:ascii="DFKai-SB" w:hAnsi="DFKai-SB" w:eastAsia="DFKai-SB" w:cs="DFKai-SB"/>
          <w:color w:val="000000"/>
          <w:sz w:val="28"/>
          <w:szCs w:val="28"/>
          <w:u w:val="none"/>
          <w:shd w:val="clear" w:color="auto" w:fill="FFFFFF"/>
        </w:rPr>
        <w:fldChar w:fldCharType="begin"/>
      </w:r>
      <w:r>
        <w:rPr>
          <w:rFonts w:hint="eastAsia" w:ascii="DFKai-SB" w:hAnsi="DFKai-SB" w:eastAsia="DFKai-SB" w:cs="DFKai-SB"/>
          <w:color w:val="000000"/>
          <w:sz w:val="28"/>
          <w:szCs w:val="28"/>
          <w:u w:val="none"/>
          <w:shd w:val="clear" w:color="auto" w:fill="FFFFFF"/>
          <w:lang w:eastAsia="zh-TW"/>
        </w:rPr>
        <w:instrText xml:space="preserve"> HYPERLINK "https://ctext.org/shang-shu/announcement-to-the-prince-of-kang/zh" </w:instrText>
      </w:r>
      <w:r>
        <w:rPr>
          <w:rFonts w:hint="eastAsia" w:ascii="DFKai-SB" w:hAnsi="DFKai-SB" w:eastAsia="DFKai-SB" w:cs="DFKai-SB"/>
          <w:color w:val="000000"/>
          <w:sz w:val="28"/>
          <w:szCs w:val="28"/>
          <w:u w:val="none"/>
          <w:shd w:val="clear" w:color="auto" w:fill="FFFFFF"/>
        </w:rPr>
        <w:fldChar w:fldCharType="separate"/>
      </w:r>
      <w:r>
        <w:rPr>
          <w:rStyle w:val="7"/>
          <w:rFonts w:hint="eastAsia" w:ascii="DFKai-SB" w:hAnsi="DFKai-SB" w:eastAsia="DFKai-SB" w:cs="DFKai-SB"/>
          <w:color w:val="000000"/>
          <w:sz w:val="28"/>
          <w:szCs w:val="28"/>
          <w:u w:val="none"/>
          <w:shd w:val="clear" w:color="auto" w:fill="FFFFFF"/>
          <w:lang w:eastAsia="zh-TW"/>
        </w:rPr>
        <w:t>康誥</w:t>
      </w:r>
      <w:r>
        <w:rPr>
          <w:rFonts w:hint="eastAsia" w:ascii="DFKai-SB" w:hAnsi="DFKai-SB" w:eastAsia="DFKai-SB" w:cs="DFKai-SB"/>
          <w:color w:val="000000"/>
          <w:sz w:val="28"/>
          <w:szCs w:val="28"/>
          <w:u w:val="none"/>
          <w:shd w:val="clear" w:color="auto" w:fill="FFFFFF"/>
        </w:rPr>
        <w:fldChar w:fldCharType="end"/>
      </w:r>
      <w:r>
        <w:rPr>
          <w:rFonts w:hint="eastAsia" w:ascii="DFKai-SB" w:hAnsi="DFKai-SB" w:eastAsia="DFKai-SB" w:cs="DFKai-SB"/>
          <w:color w:val="000000"/>
          <w:sz w:val="28"/>
          <w:szCs w:val="28"/>
          <w:u w:val="none"/>
          <w:shd w:val="clear" w:color="auto" w:fill="FFFFFF"/>
          <w:lang w:eastAsia="zh-TW"/>
        </w:rPr>
        <w:t>》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曰：「如保赤子」，心誠求之，雖不中，不遠矣。未有學養子而後嫁者也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CN"/>
        </w:rPr>
        <w:t>。</w:t>
      </w:r>
    </w:p>
    <w:p>
      <w:pPr>
        <w:ind w:firstLine="560" w:firstLineChars="200"/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一家仁，一國興仁；一家讓，一國興讓；一人貪戾，一國作亂；其機如此。此謂一言僨事，一人定國。堯舜率天下以仁，而民從之；桀紂率天下以暴，而民從之。其所令反其所好，而民不從。是故君子有諸己，而後求諸人；無諸己，而後非諸人。所藏乎身不恕，而能喻諸人者，未之有也。故治國在齊其家。</w:t>
      </w:r>
    </w:p>
    <w:p>
      <w:pPr>
        <w:spacing w:line="360" w:lineRule="auto"/>
        <w:ind w:firstLine="560" w:firstLineChars="200"/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</w:pPr>
    </w:p>
    <w:p>
      <w:pPr>
        <w:numPr>
          <w:ilvl w:val="0"/>
          <w:numId w:val="2"/>
        </w:numPr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所謂誠其意者，毋自欺也，如惡惡臭，如好好色，此之謂自謙，故君子必慎其獨也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CN"/>
        </w:rPr>
        <w:t>。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小人閑居為不善，無所不至，見君子而後厭然，掩其不善，而著其善。人之視己，如見其肺肝然，則何益矣！此謂誠於中，形於外，故君子必慎其獨也。曾子曰：「十目所視，十手所指，其嚴乎！」富潤屋，德潤身，心廣體胖，故君子必誠其意。</w:t>
      </w:r>
    </w:p>
    <w:p>
      <w:pPr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</w:pPr>
    </w:p>
    <w:p>
      <w:pPr>
        <w:numPr>
          <w:ilvl w:val="0"/>
          <w:numId w:val="3"/>
        </w:numPr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大學之道，在明明德，在親民，在止於至善。知止而後有定，定而後能靜，靜而後能安，安而後能慮，慮而後能得。物有本末，事有終始，知所先後，則近道矣。</w:t>
      </w:r>
    </w:p>
    <w:p>
      <w:pPr>
        <w:ind w:firstLine="560" w:firstLineChars="200"/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古之欲明明德於天下者，先治其國；欲治其國者，先齊其家；欲齊其家者，先修其身；欲修其身者，先正其心；欲正其心者，先誠其意；欲誠其意者，先致其知，致知在格物。物格而後知至，知至而後意誠，意誠而後心正，心正而後身修，身修而後家齊，家齊而後國治，國治而後天下平。</w:t>
      </w:r>
    </w:p>
    <w:p>
      <w:pPr>
        <w:ind w:firstLine="560" w:firstLineChars="200"/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自天子以至於庶人，壹是皆以修身為本。其本亂而末治者，否矣；其所厚者薄，而其所薄者厚，未之有也！此謂知本，此謂知之至也。</w:t>
      </w:r>
    </w:p>
    <w:p>
      <w:pPr>
        <w:rPr>
          <w:rFonts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  <w:t xml:space="preserve"> </w:t>
      </w:r>
    </w:p>
    <w:p>
      <w:pPr>
        <w:rPr>
          <w:rFonts w:ascii="PMingLiU" w:hAnsi="PMingLiU" w:eastAsia="PMingLiU" w:cs="PMingLiU"/>
          <w:color w:val="000000"/>
          <w:sz w:val="28"/>
          <w:szCs w:val="28"/>
          <w:shd w:val="clear" w:color="auto" w:fill="FFFFFF"/>
        </w:rPr>
      </w:pP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</w:rPr>
        <w:t>《中庸》背誦：</w:t>
      </w:r>
    </w:p>
    <w:p>
      <w:pPr>
        <w:numPr>
          <w:ilvl w:val="0"/>
          <w:numId w:val="4"/>
        </w:numPr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自誠明，謂之性；自明誠，謂之教。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誠則明矣，明則誠矣。</w:t>
      </w:r>
    </w:p>
    <w:p>
      <w:pPr>
        <w:ind w:firstLine="560" w:firstLineChars="200"/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唯天下至誠，為能盡其性；能盡其性，則能盡人之性；能盡人之性，</w:t>
      </w:r>
      <w:r>
        <w:rPr>
          <w:rFonts w:hint="eastAsia" w:ascii="DFKai-SB" w:hAnsi="DFKai-SB" w:eastAsia="DFKai-SB" w:cs="DFKai-SB"/>
          <w:color w:val="000000"/>
          <w:sz w:val="28"/>
          <w:szCs w:val="28"/>
          <w:highlight w:val="green"/>
          <w:shd w:val="clear" w:color="auto" w:fill="FFFFFF"/>
          <w:lang w:eastAsia="zh-TW"/>
        </w:rPr>
        <w:t>則可以盡物之性；能盡物之性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，則可以</w:t>
      </w:r>
      <w:r>
        <w:rPr>
          <w:rFonts w:hint="eastAsia" w:ascii="DFKai-SB" w:hAnsi="DFKai-SB" w:eastAsia="DFKai-SB" w:cs="DFKai-SB"/>
          <w:color w:val="000000"/>
          <w:sz w:val="28"/>
          <w:szCs w:val="28"/>
          <w:highlight w:val="red"/>
          <w:shd w:val="clear" w:color="auto" w:fill="FFFFFF"/>
          <w:lang w:eastAsia="zh-TW"/>
        </w:rPr>
        <w:t>贊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天地之化育；可以贊天地之化育，則可以與天地參矣。</w:t>
      </w:r>
    </w:p>
    <w:p>
      <w:pPr>
        <w:ind w:firstLine="560" w:firstLineChars="200"/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</w:pPr>
    </w:p>
    <w:p>
      <w:pPr>
        <w:numPr>
          <w:ilvl w:val="0"/>
          <w:numId w:val="5"/>
        </w:numPr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天命之謂性，率性之謂道，修道之謂教。道也者，不可須臾離也，可離，非道也。</w:t>
      </w:r>
    </w:p>
    <w:p>
      <w:pPr>
        <w:ind w:firstLine="560" w:firstLineChars="200"/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是故君子戒慎乎其所不睹，恐懼乎其所不聞。莫見乎隱，莫顯乎微。故君子慎其獨也。</w:t>
      </w:r>
    </w:p>
    <w:p>
      <w:pPr>
        <w:ind w:firstLine="560" w:firstLineChars="200"/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喜怒哀樂之未發，謂之中；發而皆中節，謂之和；中也者，天下之大本也；和也者，天下之達道也。致中和，天地位焉，萬物育焉。</w:t>
      </w:r>
    </w:p>
    <w:p>
      <w:pPr>
        <w:ind w:firstLine="560" w:firstLineChars="200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仲尼曰：「君子中庸，小人反中庸。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君子之中庸也，君子而時中；小人之中庸也，小人而無忌憚也。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」</w:t>
      </w:r>
    </w:p>
    <w:p>
      <w:pPr>
        <w:ind w:firstLine="560" w:firstLineChars="200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</w:pPr>
    </w:p>
    <w:p>
      <w:pPr>
        <w:numPr>
          <w:ilvl w:val="0"/>
          <w:numId w:val="6"/>
        </w:numPr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highlight w:val="red"/>
          <w:shd w:val="clear" w:color="auto" w:fill="FFFFFF"/>
          <w:lang w:eastAsia="zh-TW"/>
        </w:rPr>
        <w:t>子曰（多背的）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君子素其位而行，不願乎其外。素富貴，行乎富貴；素貧賤，行乎貧賤；素夷狄，行乎夷狄；素患難，行乎患難：君子無入而不自得焉。</w:t>
      </w:r>
    </w:p>
    <w:p>
      <w:pPr>
        <w:ind w:firstLine="560" w:firstLineChars="200"/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在上位，不陵下；在下位，不援上。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正己而不求於人，則無怨。上不怨天，下不尤人。故君子居易以俟命，小人行險以徼幸。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」</w:t>
      </w:r>
    </w:p>
    <w:p>
      <w:pPr>
        <w:ind w:firstLine="560" w:firstLineChars="200"/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子曰：「射有似乎君子，失諸正鵠，反求諸其身。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」</w:t>
      </w:r>
    </w:p>
    <w:p>
      <w:pPr>
        <w:ind w:firstLine="560" w:firstLineChars="200"/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</w:rPr>
      </w:pPr>
    </w:p>
    <w:p>
      <w:pPr>
        <w:numPr>
          <w:ilvl w:val="0"/>
          <w:numId w:val="7"/>
        </w:numPr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哀公問政。子曰：「文武之政，布在方策，其人存，則其政舉；其人亡，則其政息。人道敏政，地道敏樹。夫政也者，蒲盧也。故為政在人，取人以身，修身以道，修道以仁。仁者，人也，親親為大；義者，宜也，尊賢為大。親親之殺，尊賢之等，禮所生也。在下位，不獲乎上，民不可得而治</w:t>
      </w:r>
      <w:r>
        <w:rPr>
          <w:rFonts w:hint="eastAsia" w:ascii="DFKai-SB" w:hAnsi="DFKai-SB" w:eastAsia="DFKai-SB" w:cs="DFKai-SB"/>
          <w:color w:val="000000"/>
          <w:sz w:val="28"/>
          <w:szCs w:val="28"/>
          <w:highlight w:val="red"/>
          <w:shd w:val="clear" w:color="auto" w:fill="FFFFFF"/>
          <w:lang w:eastAsia="zh-TW"/>
        </w:rPr>
        <w:t>矣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！故君子不可以不修身；思修身，不可以不事親；思事親，不可以不知人；思知人，不可以不知天。</w:t>
      </w:r>
    </w:p>
    <w:p>
      <w:pPr>
        <w:ind w:firstLine="560" w:firstLineChars="200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天下之達道五，所以行之者三，曰：君臣也，父子也，夫婦也，昆弟也，朋友之交也，五者，天下之達道也。知、仁、勇，三者，天下之達德也，所以行之者，一也。</w:t>
      </w:r>
    </w:p>
    <w:p>
      <w:pPr>
        <w:rPr>
          <w:rFonts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</w:pPr>
    </w:p>
    <w:p>
      <w:pPr>
        <w:rPr>
          <w:rFonts w:ascii="PMingLiU" w:hAnsi="PMingLiU" w:eastAsia="PMingLiU" w:cs="PMingLiU"/>
          <w:color w:val="000000"/>
          <w:sz w:val="28"/>
          <w:szCs w:val="28"/>
          <w:shd w:val="clear" w:color="auto" w:fill="FFFFFF"/>
        </w:rPr>
      </w:pP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</w:rPr>
        <w:t>《論語》背誦：</w:t>
      </w:r>
    </w:p>
    <w:p>
      <w:pPr>
        <w:numPr>
          <w:ilvl w:val="0"/>
          <w:numId w:val="0"/>
        </w:numPr>
        <w:spacing w:line="360" w:lineRule="auto"/>
        <w:rPr>
          <w:rFonts w:ascii="PMingLiU" w:hAnsi="PMingLiU" w:eastAsia="PMingLiU" w:cs="PMingLiU"/>
          <w:color w:val="000000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1、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 xml:space="preserve">〈里仁第四〉 </w:t>
      </w:r>
      <w:r>
        <w:rPr>
          <w:rFonts w:hint="eastAsia" w:ascii="PMingLiU" w:hAnsi="PMingLiU" w:eastAsia="宋体" w:cs="PMingLiU"/>
          <w:color w:val="000000"/>
          <w:sz w:val="28"/>
          <w:szCs w:val="28"/>
          <w:shd w:val="clear" w:color="auto" w:fill="FFFFFF"/>
        </w:rPr>
        <w:t xml:space="preserve"> </w:t>
      </w:r>
    </w:p>
    <w:p>
      <w:pPr>
        <w:ind w:firstLine="560" w:firstLineChars="200"/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子曰：「里仁為美。擇不處仁，焉得知？」</w:t>
      </w:r>
    </w:p>
    <w:p>
      <w:pPr>
        <w:ind w:firstLine="560" w:firstLineChars="200"/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子曰：「不仁者不可以久處約，不可以長處樂。仁者安仁，知者利仁。」</w:t>
      </w:r>
    </w:p>
    <w:p>
      <w:pPr>
        <w:ind w:firstLine="560" w:firstLineChars="200"/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子曰：「唯仁者能好人，能惡人。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」</w:t>
      </w:r>
    </w:p>
    <w:p>
      <w:pPr>
        <w:ind w:firstLine="560" w:firstLineChars="200"/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子曰：「苟志於仁矣，無惡也。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」</w:t>
      </w:r>
    </w:p>
    <w:p>
      <w:pPr>
        <w:ind w:firstLine="560" w:firstLineChars="200"/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子曰：「富與貴，是人之所欲也，不以其道，得之不處也；貧與賤，是人之所惡也，不以其道，得之不去也。君子去仁，惡乎成名？君子無終食之間違仁，造次必於是，顛沛必於是。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」</w:t>
      </w:r>
    </w:p>
    <w:p>
      <w:pPr>
        <w:ind w:firstLine="560" w:firstLineChars="200"/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子曰：「我未見好仁者，惡不仁者。好仁者，無以尚之；惡不仁者，其為仁矣，不使不仁者加乎其身。有能一日用其力於仁矣乎？我未見力不足者。蓋有之矣，我未之見也。」</w:t>
      </w:r>
    </w:p>
    <w:p>
      <w:pPr>
        <w:ind w:firstLine="560" w:firstLineChars="200"/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子曰：「人之過也，各於其黨。觀過，斯知仁矣。」</w:t>
      </w:r>
    </w:p>
    <w:p>
      <w:pPr>
        <w:ind w:firstLine="560" w:firstLineChars="200"/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子曰：「朝聞道，夕死可矣。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」</w:t>
      </w:r>
    </w:p>
    <w:p>
      <w:pPr>
        <w:ind w:firstLine="560" w:firstLineChars="200"/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子曰：「士志於道，而恥惡衣惡食者，未足與議也。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」</w:t>
      </w:r>
    </w:p>
    <w:p>
      <w:pPr>
        <w:ind w:firstLine="560" w:firstLineChars="200"/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子曰：「君子之於天下也，無適也，無莫也，義之與比。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」</w:t>
      </w:r>
    </w:p>
    <w:p>
      <w:pPr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</w:rPr>
      </w:pPr>
    </w:p>
    <w:p>
      <w:pPr>
        <w:numPr>
          <w:ilvl w:val="0"/>
          <w:numId w:val="0"/>
        </w:numP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2、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 xml:space="preserve">〈述而第七〉 </w:t>
      </w:r>
    </w:p>
    <w:p>
      <w:pPr>
        <w:ind w:firstLine="560" w:firstLineChars="200"/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子曰：「述而不作，信而好古，竊比於我老彭。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」</w:t>
      </w:r>
    </w:p>
    <w:p>
      <w:pPr>
        <w:ind w:firstLine="560" w:firstLineChars="200"/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子曰：「默而識之，學而不厭，誨人不倦，何有於我哉？」</w:t>
      </w:r>
    </w:p>
    <w:p>
      <w:pPr>
        <w:ind w:firstLine="560" w:firstLineChars="200"/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子曰：「德之不脩，學之不講，聞義不能徙，不善不能改，是吾憂也。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」</w:t>
      </w:r>
    </w:p>
    <w:p>
      <w:pPr>
        <w:ind w:firstLine="560" w:firstLineChars="200"/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子之燕居，申申如也，夭夭如也。</w:t>
      </w:r>
    </w:p>
    <w:p>
      <w:pPr>
        <w:ind w:firstLine="560" w:firstLineChars="200"/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子曰：「甚矣吾衰也！久矣，吾不復夢見周公。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」</w:t>
      </w:r>
    </w:p>
    <w:p>
      <w:pPr>
        <w:ind w:firstLine="560" w:firstLineChars="200"/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子曰：「志於道，據於德，依於仁，遊於藝。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」</w:t>
      </w:r>
    </w:p>
    <w:p>
      <w:pPr>
        <w:ind w:firstLine="560" w:firstLineChars="200"/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子曰：「自行束脩以上，吾未嘗無誨焉。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」</w:t>
      </w:r>
    </w:p>
    <w:p>
      <w:pPr>
        <w:ind w:firstLine="560" w:firstLineChars="200"/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子曰：「不憤不啟，不悱不發，舉一隅不以三隅反，則不復也。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」</w:t>
      </w:r>
    </w:p>
    <w:p>
      <w:pPr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</w:rPr>
      </w:pPr>
    </w:p>
    <w:p>
      <w:pPr>
        <w:numPr>
          <w:ilvl w:val="0"/>
          <w:numId w:val="0"/>
        </w:numP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3、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 xml:space="preserve">〈學而第一〉 </w:t>
      </w:r>
    </w:p>
    <w:p>
      <w:pPr>
        <w:ind w:firstLine="560" w:firstLineChars="200"/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子曰：「學而時習之，不亦說乎？有朋自遠方來，不亦樂乎？人不知而不慍，不亦君子乎？」</w:t>
      </w:r>
    </w:p>
    <w:p>
      <w:pPr>
        <w:ind w:firstLine="560" w:firstLineChars="200"/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有子曰：「其為人也孝弟，而好犯上者，鮮矣；不好犯上，而好作亂者，未之有也。君子務本，本立而道生。孝弟也者，其為仁之本與！」</w:t>
      </w:r>
    </w:p>
    <w:p>
      <w:pPr>
        <w:ind w:firstLine="560" w:firstLineChars="200"/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子曰：「巧言令色，鮮矣仁！」</w:t>
      </w:r>
    </w:p>
    <w:p>
      <w:pPr>
        <w:ind w:firstLine="560" w:firstLineChars="200"/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曾子曰：「吾日三省吾身：為人謀而不忠乎？與朋友交而不信乎？傳不習乎？」</w:t>
      </w:r>
    </w:p>
    <w:p>
      <w:pPr>
        <w:ind w:firstLine="560" w:firstLineChars="200"/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子曰：「道千乘之國：敬事而信，節用而愛人，使民以時。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」</w:t>
      </w:r>
    </w:p>
    <w:p>
      <w:pPr>
        <w:ind w:firstLine="560" w:firstLineChars="200"/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子曰：「弟子入則孝，出則弟，謹而信，汎愛眾，而親仁。行有餘力，則以學文。」</w:t>
      </w:r>
    </w:p>
    <w:p>
      <w:pPr>
        <w:ind w:firstLine="560" w:firstLineChars="200"/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子夏曰：「賢賢易色，事父母，能竭其力，事君，能致其身，與朋友交，言而有信。雖曰未學，吾必謂之學矣。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」</w:t>
      </w:r>
    </w:p>
    <w:p>
      <w:pPr>
        <w:ind w:firstLine="560" w:firstLineChars="200"/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子曰：「君子不重則不威，學則不固。主忠信，無友不如己者，過則勿憚改。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」</w:t>
      </w:r>
    </w:p>
    <w:p>
      <w:pPr>
        <w:ind w:firstLine="560" w:firstLineChars="200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曾子曰：「慎終追遠，民德歸厚矣。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」</w:t>
      </w:r>
    </w:p>
    <w:p>
      <w:pPr>
        <w:ind w:firstLine="560" w:firstLineChars="200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</w:pPr>
    </w:p>
    <w:p>
      <w:pP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</w:rPr>
      </w:pPr>
    </w:p>
    <w:p>
      <w:pPr>
        <w:rPr>
          <w:rFonts w:ascii="PMingLiU" w:hAnsi="PMingLiU" w:eastAsia="PMingLiU" w:cs="PMingLiU"/>
          <w:color w:val="000000"/>
          <w:sz w:val="28"/>
          <w:szCs w:val="28"/>
          <w:shd w:val="clear" w:color="auto" w:fill="FFFFFF"/>
        </w:rPr>
      </w:pP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</w:rPr>
        <w:t>《孟子》背誦：</w:t>
      </w:r>
    </w:p>
    <w:p>
      <w:pPr>
        <w:numPr>
          <w:ilvl w:val="0"/>
          <w:numId w:val="0"/>
        </w:numP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1、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 xml:space="preserve">〈盡心章句上〉 </w:t>
      </w:r>
    </w:p>
    <w:p>
      <w:pPr>
        <w:ind w:firstLine="560" w:firstLineChars="200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孟子曰：「孔子登東山而小魯，登太山而小天下。故觀於海者難為水，遊於聖人之門者難為言。觀水有術，必觀其瀾。日月有明，容光必照焉。流水之為物也，不盈科不行；君子之志於道也，不成章不達。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」</w:t>
      </w:r>
    </w:p>
    <w:p>
      <w:pPr>
        <w:ind w:firstLine="560" w:firstLineChars="200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</w:pPr>
    </w:p>
    <w:p>
      <w:pPr>
        <w:numPr>
          <w:ilvl w:val="0"/>
          <w:numId w:val="0"/>
        </w:numP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2、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〈告子章句上〉</w:t>
      </w:r>
    </w:p>
    <w:p>
      <w:pPr>
        <w:ind w:firstLine="560" w:firstLineChars="200"/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孟子曰：「無或乎王之不智也，雖有天下易生之物也，一日暴之、十日寒之，未有能生者也。吾見亦罕矣，吾退而寒之者至矣，吾如有萌焉，何哉？今夫弈之為數，小數也；不專心致志，則不得也。弈秋，通國之善弈者也。使弈秋誨二人弈，其一人專心致志，惟弈秋之為聽。一人雖聽之，一心以為有鴻鵠將至，思援弓繳而射之，雖與之俱學，弗若之矣。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為是其智弗若與？曰：非然也。」</w:t>
      </w:r>
    </w:p>
    <w:p>
      <w:pPr>
        <w:rPr>
          <w:rFonts w:ascii="PMingLiU" w:hAnsi="PMingLiU" w:eastAsia="PMingLiU" w:cs="PMingLiU"/>
          <w:color w:val="000000"/>
          <w:sz w:val="28"/>
          <w:szCs w:val="28"/>
          <w:shd w:val="clear" w:color="auto" w:fill="FFFFFF"/>
        </w:rPr>
      </w:pPr>
    </w:p>
    <w:p>
      <w:pPr>
        <w:numPr>
          <w:ilvl w:val="0"/>
          <w:numId w:val="0"/>
        </w:numP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3、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〈離婁章句上〉</w:t>
      </w:r>
    </w:p>
    <w:p>
      <w:pPr>
        <w:ind w:firstLine="560" w:firstLineChars="200"/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孟子曰：「不仁者可與言哉？安其危而利其菑。</w:t>
      </w:r>
      <w:r>
        <w:rPr>
          <w:rFonts w:hint="eastAsia" w:ascii="DFKai-SB" w:hAnsi="DFKai-SB" w:eastAsia="DFKai-SB" w:cs="DFKai-SB"/>
          <w:sz w:val="28"/>
          <w:szCs w:val="28"/>
          <w:highlight w:val="green"/>
          <w:shd w:val="clear" w:color="auto" w:fill="FFFFFF"/>
          <w:lang w:eastAsia="zh-TW"/>
        </w:rPr>
        <w:t>樂其所以亡者</w:t>
      </w:r>
      <w:r>
        <w:rPr>
          <w:rFonts w:hint="eastAsia" w:ascii="DFKai-SB" w:hAnsi="DFKai-SB" w:eastAsia="DFKai-SB" w:cs="DFKai-SB"/>
          <w:sz w:val="28"/>
          <w:szCs w:val="28"/>
          <w:highlight w:val="none"/>
          <w:shd w:val="clear" w:color="auto" w:fill="FFFFFF"/>
          <w:lang w:eastAsia="zh-TW"/>
        </w:rPr>
        <w:t>，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不仁而可與言，則何亡國敗家之有？有孺子歌曰：『滄浪之水清兮，可以濯我纓；滄浪之水濁兮，可以濯我足。』孔子曰：『小子聽之！清斯濯纓，濁斯濯足矣，自取之也。』夫人必自侮，然後人侮之；家必自毀，而後人毀之；國必自伐，而後人伐之。《</w:t>
      </w:r>
      <w:r>
        <w:rPr>
          <w:rFonts w:hint="eastAsia" w:ascii="DFKai-SB" w:hAnsi="DFKai-SB" w:eastAsia="DFKai-SB" w:cs="DFKai-SB"/>
          <w:color w:val="000000"/>
          <w:sz w:val="28"/>
          <w:szCs w:val="28"/>
          <w:u w:val="none"/>
          <w:shd w:val="clear" w:color="auto" w:fill="FFFFFF"/>
        </w:rPr>
        <w:fldChar w:fldCharType="begin"/>
      </w:r>
      <w:r>
        <w:rPr>
          <w:rFonts w:hint="eastAsia" w:ascii="DFKai-SB" w:hAnsi="DFKai-SB" w:eastAsia="DFKai-SB" w:cs="DFKai-SB"/>
          <w:color w:val="000000"/>
          <w:sz w:val="28"/>
          <w:szCs w:val="28"/>
          <w:u w:val="none"/>
          <w:shd w:val="clear" w:color="auto" w:fill="FFFFFF"/>
          <w:lang w:eastAsia="zh-TW"/>
        </w:rPr>
        <w:instrText xml:space="preserve"> HYPERLINK "https://ctext.org/text.pl?node=37557&amp;if=gb&amp;en=off" </w:instrText>
      </w:r>
      <w:r>
        <w:rPr>
          <w:rFonts w:hint="eastAsia" w:ascii="DFKai-SB" w:hAnsi="DFKai-SB" w:eastAsia="DFKai-SB" w:cs="DFKai-SB"/>
          <w:color w:val="000000"/>
          <w:sz w:val="28"/>
          <w:szCs w:val="28"/>
          <w:u w:val="none"/>
          <w:shd w:val="clear" w:color="auto" w:fill="FFFFFF"/>
        </w:rPr>
        <w:fldChar w:fldCharType="separate"/>
      </w:r>
      <w:r>
        <w:rPr>
          <w:rStyle w:val="7"/>
          <w:rFonts w:hint="eastAsia" w:ascii="DFKai-SB" w:hAnsi="DFKai-SB" w:eastAsia="DFKai-SB" w:cs="DFKai-SB"/>
          <w:color w:val="000000"/>
          <w:sz w:val="28"/>
          <w:szCs w:val="28"/>
          <w:u w:val="none"/>
          <w:shd w:val="clear" w:color="auto" w:fill="FFFFFF"/>
          <w:lang w:eastAsia="zh-TW"/>
        </w:rPr>
        <w:t>太甲</w:t>
      </w:r>
      <w:r>
        <w:rPr>
          <w:rFonts w:hint="eastAsia" w:ascii="DFKai-SB" w:hAnsi="DFKai-SB" w:eastAsia="DFKai-SB" w:cs="DFKai-SB"/>
          <w:color w:val="000000"/>
          <w:sz w:val="28"/>
          <w:szCs w:val="28"/>
          <w:u w:val="none"/>
          <w:shd w:val="clear" w:color="auto" w:fill="FFFFFF"/>
        </w:rPr>
        <w:fldChar w:fldCharType="end"/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》曰：『天作孽，猶可違；自作孽，不可活。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』此之謂也。」</w:t>
      </w:r>
    </w:p>
    <w:p>
      <w:pPr>
        <w:numPr>
          <w:ilvl w:val="0"/>
          <w:numId w:val="0"/>
        </w:numP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</w:pPr>
    </w:p>
    <w:p>
      <w:pPr>
        <w:numPr>
          <w:ilvl w:val="0"/>
          <w:numId w:val="0"/>
        </w:numP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4、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〈公孫醜章句上〉</w:t>
      </w:r>
    </w:p>
    <w:p>
      <w:pPr>
        <w:ind w:firstLine="560" w:firstLineChars="200"/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孟子曰：「人皆有不忍人之心。先王有不忍人之心，斯有不忍人之政矣。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以不忍人之心，行不忍人之政，治天下可運之掌上。</w:t>
      </w:r>
    </w:p>
    <w:p>
      <w:pPr>
        <w:ind w:firstLine="560" w:firstLineChars="200"/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所以謂人皆有不忍人之心者，今人乍見孺子將入於井，皆有怵惕惻隱之心。非所以內交於孺子之父母也，非所以要譽於鄉黨朋友也，非惡其聲而然也。由是觀之，無惻隱之心，非人也；無羞惡之心，非人也；無辭讓之心，非人也；無是非之心，非人也。惻隱之心，仁之端也；羞惡之心，義之端也；辭讓之心，禮之端也；是非之心，智之端也。人之有是四端也，猶其有四體也。有是四端，而自謂不能者，自賊者也；謂其君不能者，賊其君者也。</w:t>
      </w:r>
    </w:p>
    <w:p>
      <w:pPr>
        <w:rPr>
          <w:rFonts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</w:pPr>
    </w:p>
    <w:p>
      <w:pPr>
        <w:jc w:val="center"/>
        <w:rPr>
          <w:rFonts w:hint="eastAsia" w:ascii="DFKai-SB" w:hAnsi="DFKai-SB" w:eastAsia="DFKai-SB" w:cs="DFKai-SB"/>
          <w:color w:val="000000"/>
          <w:sz w:val="36"/>
          <w:szCs w:val="36"/>
          <w:shd w:val="clear" w:color="auto" w:fill="FFFFFF"/>
          <w:lang w:eastAsia="zh-TW"/>
        </w:rPr>
      </w:pPr>
      <w:r>
        <w:rPr>
          <w:rFonts w:hint="eastAsia" w:ascii="DFKai-SB" w:hAnsi="DFKai-SB" w:eastAsia="DFKai-SB" w:cs="DFKai-SB"/>
          <w:color w:val="000000"/>
          <w:sz w:val="36"/>
          <w:szCs w:val="36"/>
          <w:shd w:val="clear" w:color="auto" w:fill="FFFFFF"/>
          <w:lang w:eastAsia="zh-TW"/>
        </w:rPr>
        <w:t>經文淺釋</w:t>
      </w:r>
    </w:p>
    <w:p>
      <w:pPr>
        <w:jc w:val="center"/>
        <w:rPr>
          <w:rFonts w:hint="eastAsia" w:ascii="DFKai-SB" w:hAnsi="DFKai-SB" w:eastAsia="DFKai-SB" w:cs="DFKai-SB"/>
          <w:color w:val="000000"/>
          <w:sz w:val="36"/>
          <w:szCs w:val="36"/>
          <w:shd w:val="clear" w:color="auto" w:fill="FFFFFF"/>
          <w:lang w:eastAsia="zh-TW"/>
        </w:rPr>
      </w:pPr>
    </w:p>
    <w:p>
      <w:pPr>
        <w:rPr>
          <w:rFonts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  <w:t>經文：</w:t>
      </w:r>
    </w:p>
    <w:p>
      <w:pPr>
        <w:ind w:firstLine="560" w:firstLineChars="200"/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孟子曰：「人皆有不忍人之心。先王有不忍人之心，斯有不忍人之政矣。以不忍人之心，行不忍人之政，治天下可運之掌上。</w:t>
      </w:r>
    </w:p>
    <w:p>
      <w:pPr>
        <w:ind w:firstLine="560" w:firstLineChars="200"/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所以謂人皆有不忍人之心者，今人乍見孺子將入於井，皆有怵惕惻隱之心。非所以內交於孺子之父母也，非所以要譽於鄉黨朋友也，非惡其聲而然也。由是觀之，無惻隱之心，非人也；無羞惡之心，非人也；無辭讓之心，非人也；無是非之心，非人也。惻隱之心，仁之端也；羞惡之心，義之端也；辭讓之心，禮之端也；是非之心，智之端也。人之有是四端也，猶其有四體也。有是四端，而自謂不能者，自賊者也；謂其君不能者，賊其君者也。</w:t>
      </w:r>
    </w:p>
    <w:p>
      <w:pP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</w:pPr>
    </w:p>
    <w:p>
      <w:pPr>
        <w:rPr>
          <w:rFonts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  <w:t>淺釋：</w:t>
      </w:r>
    </w:p>
    <w:p>
      <w:pPr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人皆有不忍人之心。先王有不忍人之心，斯有不忍人之政矣。治天下可運之掌上。</w:t>
      </w:r>
    </w:p>
    <w:p>
      <w:pPr>
        <w:rPr>
          <w:rFonts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  <w:t>每個人都有不忍去害人的心，先王他有不忍害人之心，他就會有不忍害人的政策。所以說他治理天下就好像把一個丸子放在手上，旋轉一樣那麼容易，所以治理天下就會非常有把握。</w:t>
      </w:r>
    </w:p>
    <w:p>
      <w:pPr>
        <w:rPr>
          <w:rFonts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</w:pPr>
    </w:p>
    <w:p>
      <w:pPr>
        <w:rPr>
          <w:rFonts w:ascii="DFKai-SB" w:hAnsi="DFKai-SB" w:eastAsia="宋体" w:cs="DFKai-SB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所以謂人皆有不忍人之心者，今人乍見孺子將入於井，皆有怵惕惻隱之心。</w:t>
      </w:r>
    </w:p>
    <w:p>
      <w:pP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  <w:t>所以每個人都有不忍害人之心。然後這裡舉了一個例子，現在有一個人突然看到了一個孩子馬上就要掉入井中，都有害怕同情的心，然後想要去幫助，就是有同情之心，然後把他解救上來，交給他的父母或者親人。</w:t>
      </w:r>
    </w:p>
    <w:p>
      <w:pPr>
        <w:rPr>
          <w:rFonts w:ascii="DFKai-SB" w:hAnsi="DFKai-SB" w:eastAsia="宋体" w:cs="DFKai-SB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非所以內交於孺子之父母也，非所以要譽於鄉黨朋友也，非惡其聲而然也。</w:t>
      </w:r>
    </w:p>
    <w:p>
      <w:pPr>
        <w:rPr>
          <w:rFonts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  <w:t>不是為了要結交他的父母。也不是要在鄉黨鄰里之間去獲得一些聲譽或者名聲，也就是說不是為了沽名釣譽。不是害怕自己不去救那個孩子，自己會有不好的名聲。</w:t>
      </w:r>
    </w:p>
    <w:p>
      <w:pPr>
        <w:rPr>
          <w:rFonts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</w:pPr>
    </w:p>
    <w:p>
      <w:pPr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由是觀之，無惻隱之心，非人也；無羞惡之心，非人也；無辭讓之心，非人也；無是非之心，非人也。</w:t>
      </w:r>
    </w:p>
    <w:p>
      <w:pPr>
        <w:rPr>
          <w:rFonts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  <w:t>從這裡可以看得出來，如果這個人沒有惻隱之心，沒有羞惡之心，也就是沒有那種羞恥的心，惻隱就是同情的意思，沒有辭讓，就是沒有謙讓、退讓的心，然後就是沒有是非對錯的心，那麼他這個做人的，非人也，說的直白一點就是他不配做個人，還沒有做到人的那種境界。</w:t>
      </w:r>
    </w:p>
    <w:p>
      <w:pPr>
        <w:rPr>
          <w:rFonts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</w:pPr>
    </w:p>
    <w:p>
      <w:pPr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惻隱之心，仁之端也；羞惡之心，義之端也；辭讓之心，禮之端也；是非之心，智之端也。</w:t>
      </w:r>
    </w:p>
    <w:p>
      <w:pPr>
        <w:rPr>
          <w:rFonts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  <w:t>惻隱心是仁義的本質，根本。羞惡之心就是義的根本，辭讓之心就是禮的根本，是非之心就是智的根本，也是理智的根本。</w:t>
      </w:r>
    </w:p>
    <w:p>
      <w:pPr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</w:pPr>
      <w:bookmarkStart w:id="7" w:name="_GoBack"/>
      <w:bookmarkEnd w:id="7"/>
    </w:p>
    <w:p>
      <w:pPr>
        <w:rPr>
          <w:rFonts w:ascii="PMingLiU" w:hAnsi="PMingLiU" w:eastAsia="宋体" w:cs="PMingLiU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人之有是四端也</w:t>
      </w:r>
      <w:r>
        <w:rPr>
          <w:rFonts w:hint="eastAsia" w:ascii="DFKai-SB" w:hAnsi="DFKai-SB" w:eastAsia="宋体" w:cs="DFKai-SB"/>
          <w:color w:val="000000"/>
          <w:sz w:val="28"/>
          <w:szCs w:val="28"/>
          <w:shd w:val="clear" w:color="auto" w:fill="FFFFFF"/>
          <w:lang w:eastAsia="zh-TW"/>
        </w:rPr>
        <w:t>，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猶其有四體也。</w:t>
      </w:r>
    </w:p>
    <w:p>
      <w:pPr>
        <w:rPr>
          <w:rFonts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  <w:t>人他有四個這樣子的根本，有我們這個四個肢體。</w:t>
      </w:r>
    </w:p>
    <w:p>
      <w:pPr>
        <w:rPr>
          <w:rFonts w:ascii="DFKai-SB" w:hAnsi="DFKai-SB" w:eastAsia="宋体" w:cs="DFKai-SB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有是四端，而自謂不能者</w:t>
      </w:r>
      <w:r>
        <w:rPr>
          <w:rFonts w:hint="eastAsia" w:ascii="DFKai-SB" w:hAnsi="DFKai-SB" w:eastAsia="宋体" w:cs="DFKai-SB"/>
          <w:color w:val="000000"/>
          <w:sz w:val="28"/>
          <w:szCs w:val="28"/>
          <w:shd w:val="clear" w:color="auto" w:fill="FFFFFF"/>
          <w:lang w:eastAsia="zh-TW"/>
        </w:rPr>
        <w:t>，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自賊者也。</w:t>
      </w:r>
    </w:p>
    <w:p>
      <w:pPr>
        <w:rPr>
          <w:rFonts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  <w:t>有四個根本又有這個四體，還說自己不能達到那些要求的話。就是自己去欺騙自己，就是一種自欺的做法。</w:t>
      </w:r>
    </w:p>
    <w:p>
      <w:pPr>
        <w:rPr>
          <w:rFonts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</w:pPr>
    </w:p>
    <w:p>
      <w:pPr>
        <w:rPr>
          <w:rFonts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eastAsia="zh-TW"/>
        </w:rPr>
        <w:t>謂其君不能者，賊其君者也。</w:t>
      </w:r>
    </w:p>
    <w:p>
      <w:pPr>
        <w:rPr>
          <w:rFonts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  <w:t>做為一個臣子，你要去盡忠，如果說你做為一個為人君者，就是一個上位的人，如果說做不到這些的話，或者說自己的上位者做不到這些的話，也就是對君主的欺騙，也是一種不忠的表現。</w:t>
      </w:r>
    </w:p>
    <w:p>
      <w:pPr>
        <w:rPr>
          <w:rFonts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</w:pPr>
    </w:p>
    <w:p>
      <w:pPr>
        <w:rPr>
          <w:rFonts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  <w:t>師問：「賊」是什麼意思？</w:t>
      </w:r>
    </w:p>
    <w:p>
      <w:pPr>
        <w:rPr>
          <w:rFonts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  <w:t>答：就是一種陷害的意思。</w:t>
      </w:r>
    </w:p>
    <w:p>
      <w:pPr>
        <w:rPr>
          <w:rFonts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</w:pPr>
    </w:p>
    <w:p>
      <w:pPr>
        <w:rPr>
          <w:rFonts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Trebuchet MS">
    <w:panose1 w:val="020B0603020202020204"/>
    <w:charset w:val="00"/>
    <w:family w:val="swiss"/>
    <w:pitch w:val="default"/>
    <w:sig w:usb0="00000687" w:usb1="00000000" w:usb2="00000000" w:usb3="00000000" w:csb0="2000009F" w:csb1="00000000"/>
  </w:font>
  <w:font w:name="DFKai-SB">
    <w:panose1 w:val="03000509000000000000"/>
    <w:charset w:val="88"/>
    <w:family w:val="script"/>
    <w:pitch w:val="default"/>
    <w:sig w:usb0="00000003" w:usb1="082E0000" w:usb2="00000016" w:usb3="00000000" w:csb0="00100001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CzSVju0AAAAAUBAAAPAAAAAAAAAAEAIAAAACIAAABk&#10;cnMvZG93bnJldi54bWxQSwECFAAUAAAACACHTuJA+k7mmg4CAAAHBAAADgAAAAAAAAABACAAAAAf&#10;AQAAZHJzL2Uyb0RvYy54bWxQSwUGAAAAAAYABgBZAQAAn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rFonts w:hint="eastAsia"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A26E11B"/>
    <w:multiLevelType w:val="singleLevel"/>
    <w:tmpl w:val="BA26E11B"/>
    <w:lvl w:ilvl="0" w:tentative="0">
      <w:start w:val="1"/>
      <w:numFmt w:val="decimal"/>
      <w:suff w:val="space"/>
      <w:lvlText w:val="%1、"/>
      <w:lvlJc w:val="left"/>
    </w:lvl>
  </w:abstractNum>
  <w:abstractNum w:abstractNumId="1">
    <w:nsid w:val="CCBF8927"/>
    <w:multiLevelType w:val="singleLevel"/>
    <w:tmpl w:val="CCBF8927"/>
    <w:lvl w:ilvl="0" w:tentative="0">
      <w:start w:val="3"/>
      <w:numFmt w:val="decimal"/>
      <w:suff w:val="space"/>
      <w:lvlText w:val="%1、"/>
      <w:lvlJc w:val="left"/>
    </w:lvl>
  </w:abstractNum>
  <w:abstractNum w:abstractNumId="2">
    <w:nsid w:val="E9869F67"/>
    <w:multiLevelType w:val="singleLevel"/>
    <w:tmpl w:val="E9869F67"/>
    <w:lvl w:ilvl="0" w:tentative="0">
      <w:start w:val="3"/>
      <w:numFmt w:val="decimal"/>
      <w:suff w:val="space"/>
      <w:lvlText w:val="%1、"/>
      <w:lvlJc w:val="left"/>
    </w:lvl>
  </w:abstractNum>
  <w:abstractNum w:abstractNumId="3">
    <w:nsid w:val="09977F21"/>
    <w:multiLevelType w:val="singleLevel"/>
    <w:tmpl w:val="09977F21"/>
    <w:lvl w:ilvl="0" w:tentative="0">
      <w:start w:val="4"/>
      <w:numFmt w:val="decimal"/>
      <w:suff w:val="space"/>
      <w:lvlText w:val="%1、"/>
      <w:lvlJc w:val="left"/>
    </w:lvl>
  </w:abstractNum>
  <w:abstractNum w:abstractNumId="4">
    <w:nsid w:val="0D386933"/>
    <w:multiLevelType w:val="singleLevel"/>
    <w:tmpl w:val="0D386933"/>
    <w:lvl w:ilvl="0" w:tentative="0">
      <w:start w:val="2"/>
      <w:numFmt w:val="decimal"/>
      <w:suff w:val="space"/>
      <w:lvlText w:val="%1、"/>
      <w:lvlJc w:val="left"/>
    </w:lvl>
  </w:abstractNum>
  <w:abstractNum w:abstractNumId="5">
    <w:nsid w:val="65A69EB6"/>
    <w:multiLevelType w:val="singleLevel"/>
    <w:tmpl w:val="65A69EB6"/>
    <w:lvl w:ilvl="0" w:tentative="0">
      <w:start w:val="2"/>
      <w:numFmt w:val="decimal"/>
      <w:suff w:val="space"/>
      <w:lvlText w:val="%1、"/>
      <w:lvlJc w:val="left"/>
    </w:lvl>
  </w:abstractNum>
  <w:abstractNum w:abstractNumId="6">
    <w:nsid w:val="7C45D9C4"/>
    <w:multiLevelType w:val="singleLevel"/>
    <w:tmpl w:val="7C45D9C4"/>
    <w:lvl w:ilvl="0" w:tentative="0">
      <w:start w:val="1"/>
      <w:numFmt w:val="decimal"/>
      <w:suff w:val="space"/>
      <w:lvlText w:val="%1、"/>
      <w:lvlJc w:val="left"/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FC2"/>
    <w:rsid w:val="00456FC2"/>
    <w:rsid w:val="00B950FF"/>
    <w:rsid w:val="07BD3ACB"/>
    <w:rsid w:val="08C757E4"/>
    <w:rsid w:val="0B4E4B1A"/>
    <w:rsid w:val="0F84734A"/>
    <w:rsid w:val="13DA6D51"/>
    <w:rsid w:val="1FFD2AB6"/>
    <w:rsid w:val="27C4089D"/>
    <w:rsid w:val="291716D8"/>
    <w:rsid w:val="2ECD4927"/>
    <w:rsid w:val="30AE5D72"/>
    <w:rsid w:val="3268191C"/>
    <w:rsid w:val="35BF70E8"/>
    <w:rsid w:val="3C1F05FD"/>
    <w:rsid w:val="40A605C7"/>
    <w:rsid w:val="42C11EA0"/>
    <w:rsid w:val="42F020DA"/>
    <w:rsid w:val="46864AC0"/>
    <w:rsid w:val="4A1A1ED1"/>
    <w:rsid w:val="4E9F172B"/>
    <w:rsid w:val="57525D45"/>
    <w:rsid w:val="5B447956"/>
    <w:rsid w:val="5E8F4FF5"/>
    <w:rsid w:val="5F653B15"/>
    <w:rsid w:val="606B28C1"/>
    <w:rsid w:val="613B693C"/>
    <w:rsid w:val="697C5747"/>
    <w:rsid w:val="6BB6092E"/>
    <w:rsid w:val="6F400BA9"/>
    <w:rsid w:val="71CD3C62"/>
    <w:rsid w:val="76CB4177"/>
    <w:rsid w:val="7F670FA8"/>
    <w:rsid w:val="7FFB4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59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ind w:left="720"/>
      <w:outlineLvl w:val="2"/>
    </w:pPr>
    <w:rPr>
      <w:rFonts w:ascii="Tahoma" w:hAnsi="Tahoma" w:cs="Tahoma"/>
      <w:b/>
      <w:bCs/>
      <w:sz w:val="20"/>
      <w:szCs w:val="20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  <w:style w:type="paragraph" w:styleId="5">
    <w:name w:val="Normal (Web)"/>
    <w:basedOn w:val="1"/>
    <w:qFormat/>
    <w:uiPriority w:val="0"/>
    <w:pPr>
      <w:spacing w:beforeAutospacing="1" w:after="0" w:afterAutospacing="1"/>
      <w:jc w:val="left"/>
    </w:pPr>
    <w:rPr>
      <w:rFonts w:cs="Times New Roman"/>
      <w:kern w:val="0"/>
      <w:sz w:val="24"/>
    </w:rPr>
  </w:style>
  <w:style w:type="character" w:styleId="7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14</Pages>
  <Words>881</Words>
  <Characters>5023</Characters>
  <Lines>41</Lines>
  <Paragraphs>11</Paragraphs>
  <TotalTime>43</TotalTime>
  <ScaleCrop>false</ScaleCrop>
  <LinksUpToDate>false</LinksUpToDate>
  <CharactersWithSpaces>5893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</dc:creator>
  <cp:lastModifiedBy>光.年</cp:lastModifiedBy>
  <dcterms:modified xsi:type="dcterms:W3CDTF">2019-01-10T13:46:59Z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