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A6DF4D" w14:textId="2566898F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1573703" wp14:editId="4E837D30">
            <wp:simplePos x="0" y="0"/>
            <wp:positionH relativeFrom="column">
              <wp:posOffset>-666750</wp:posOffset>
            </wp:positionH>
            <wp:positionV relativeFrom="paragraph">
              <wp:posOffset>0</wp:posOffset>
            </wp:positionV>
            <wp:extent cx="3217545" cy="1112520"/>
            <wp:effectExtent l="0" t="0" r="190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7545" cy="111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07BEC0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53C69F97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61A6AE24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9116F5">
        <w:rPr>
          <w:rFonts w:ascii="Arial" w:hAnsi="Arial" w:cs="Arial"/>
          <w:b/>
          <w:bCs/>
        </w:rPr>
        <w:br/>
      </w:r>
    </w:p>
    <w:p w14:paraId="329E29F1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569EA10E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686C0C51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4834738D" w14:textId="1E958069" w:rsidR="009116F5" w:rsidRP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9116F5">
        <w:rPr>
          <w:rFonts w:ascii="Arial" w:hAnsi="Arial" w:cs="Arial"/>
          <w:b/>
          <w:bCs/>
          <w:sz w:val="40"/>
          <w:szCs w:val="40"/>
        </w:rPr>
        <w:t>Empowering the Older Person</w:t>
      </w:r>
      <w:r w:rsidRPr="009116F5">
        <w:rPr>
          <w:rFonts w:ascii="Arial" w:hAnsi="Arial" w:cs="Arial"/>
          <w:b/>
          <w:bCs/>
          <w:sz w:val="40"/>
          <w:szCs w:val="40"/>
        </w:rPr>
        <w:br/>
        <w:t>Baidar Begum</w:t>
      </w:r>
      <w:r w:rsidRPr="009116F5">
        <w:rPr>
          <w:rFonts w:ascii="Arial" w:hAnsi="Arial" w:cs="Arial"/>
          <w:b/>
          <w:bCs/>
          <w:sz w:val="40"/>
          <w:szCs w:val="40"/>
        </w:rPr>
        <w:br/>
        <w:t>Student ID: 2318995</w:t>
      </w:r>
      <w:r w:rsidRPr="009116F5">
        <w:rPr>
          <w:rFonts w:ascii="Arial" w:hAnsi="Arial" w:cs="Arial"/>
          <w:b/>
          <w:bCs/>
          <w:sz w:val="40"/>
          <w:szCs w:val="40"/>
        </w:rPr>
        <w:br/>
        <w:t>BMHP6027</w:t>
      </w:r>
      <w:r w:rsidRPr="009116F5">
        <w:rPr>
          <w:rFonts w:ascii="Arial" w:hAnsi="Arial" w:cs="Arial"/>
          <w:b/>
          <w:bCs/>
          <w:sz w:val="40"/>
          <w:szCs w:val="40"/>
        </w:rPr>
        <w:br/>
        <w:t>Lecturer: Fahad Khan</w:t>
      </w:r>
    </w:p>
    <w:p w14:paraId="362C6F1A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1FEC77B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B26843E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8353933" w14:textId="77777777" w:rsidR="009116F5" w:rsidRDefault="009116F5" w:rsidP="009116F5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ED1FDD2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4E9554EA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383239E2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22140B0A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60757FD6" w14:textId="77777777" w:rsidR="009116F5" w:rsidRDefault="009116F5" w:rsidP="0063416B">
      <w:pPr>
        <w:spacing w:line="360" w:lineRule="auto"/>
        <w:rPr>
          <w:rFonts w:ascii="Arial" w:hAnsi="Arial" w:cs="Arial"/>
          <w:b/>
          <w:bCs/>
        </w:rPr>
      </w:pPr>
    </w:p>
    <w:p w14:paraId="15FE4DC5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lastRenderedPageBreak/>
        <w:t>Almeida-Meza, P., Ledden, S., Dempsey, B., Smith, A., Croak, B., et al. (2025) 'Futureproofing the healthcare workforce in Europe: understanding and addressing...', </w:t>
      </w:r>
      <w:r w:rsidRPr="00585BBB">
        <w:rPr>
          <w:rFonts w:ascii="Arial" w:hAnsi="Arial" w:cs="Arial"/>
          <w:i/>
          <w:iCs/>
        </w:rPr>
        <w:t>The Lancet Regional Health - Europe</w:t>
      </w:r>
      <w:r w:rsidRPr="00585BBB">
        <w:rPr>
          <w:rFonts w:ascii="Arial" w:hAnsi="Arial" w:cs="Arial"/>
        </w:rPr>
        <w:t>, 57, p.101463.</w:t>
      </w:r>
    </w:p>
    <w:p w14:paraId="57FA472C" w14:textId="3BE3FD96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 xml:space="preserve">Boldy, D., Davies, </w:t>
      </w:r>
      <w:r w:rsidR="00A766EF" w:rsidRPr="00585BBB">
        <w:rPr>
          <w:rFonts w:ascii="Arial" w:hAnsi="Arial" w:cs="Arial"/>
        </w:rPr>
        <w:t>S.,</w:t>
      </w:r>
      <w:r w:rsidRPr="00585BBB">
        <w:rPr>
          <w:rFonts w:ascii="Arial" w:hAnsi="Arial" w:cs="Arial"/>
        </w:rPr>
        <w:t xml:space="preserve"> and Grenade, L. (2006) 'Quality of life, quality of care and resident satisfaction in care homes', </w:t>
      </w:r>
      <w:r w:rsidRPr="00585BBB">
        <w:rPr>
          <w:rFonts w:ascii="Arial" w:hAnsi="Arial" w:cs="Arial"/>
          <w:i/>
          <w:iCs/>
        </w:rPr>
        <w:t>Journal of care services management</w:t>
      </w:r>
      <w:r w:rsidRPr="00585BBB">
        <w:rPr>
          <w:rFonts w:ascii="Arial" w:hAnsi="Arial" w:cs="Arial"/>
        </w:rPr>
        <w:t>, 1(1), pp.66-80.</w:t>
      </w:r>
    </w:p>
    <w:p w14:paraId="37893D33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Bone, A.E., Gomes, B., Etkind, S.N., Verne, J., Murtagh, F.E.M., Evans, C.J. and Higginson, I.J. (2018) 'What is the impact of population ageing on the future provision of end-of-life care? Population-based projections of place of death', </w:t>
      </w:r>
      <w:r w:rsidRPr="00585BBB">
        <w:rPr>
          <w:rFonts w:ascii="Arial" w:hAnsi="Arial" w:cs="Arial"/>
          <w:i/>
          <w:iCs/>
        </w:rPr>
        <w:t>Palliative medicine</w:t>
      </w:r>
      <w:r w:rsidRPr="00585BBB">
        <w:rPr>
          <w:rFonts w:ascii="Arial" w:hAnsi="Arial" w:cs="Arial"/>
        </w:rPr>
        <w:t>, 32(2), pp.329-336.</w:t>
      </w:r>
    </w:p>
    <w:p w14:paraId="26FD9BAE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Burton, J.K., Wolters, A.T., Towers, A.M., Jones, L., Meyer, J., et al. (2022) 'Developing a minimum data set for older adult care homes in the UK: exploring the concept and...', </w:t>
      </w:r>
      <w:r w:rsidRPr="00585BBB">
        <w:rPr>
          <w:rFonts w:ascii="Arial" w:hAnsi="Arial" w:cs="Arial"/>
          <w:i/>
          <w:iCs/>
        </w:rPr>
        <w:t>The Lancet Healthy Longevity</w:t>
      </w:r>
      <w:r w:rsidRPr="00585BBB">
        <w:rPr>
          <w:rFonts w:ascii="Arial" w:hAnsi="Arial" w:cs="Arial"/>
        </w:rPr>
        <w:t>, 3(3), pp.e186-e193.</w:t>
      </w:r>
    </w:p>
    <w:p w14:paraId="6A4A26FE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Chadborn, N.H., Goodman, C., Zubair, M., Sousa, L., Gladman, J.R.F. and Dening, T. (2019) 'Role of comprehensive geriatric assessment in healthcare of older people in UK care homes: realist review', </w:t>
      </w:r>
      <w:r w:rsidRPr="00585BBB">
        <w:rPr>
          <w:rFonts w:ascii="Arial" w:hAnsi="Arial" w:cs="Arial"/>
          <w:i/>
          <w:iCs/>
        </w:rPr>
        <w:t>BMJ open</w:t>
      </w:r>
      <w:r w:rsidRPr="00585BBB">
        <w:rPr>
          <w:rFonts w:ascii="Arial" w:hAnsi="Arial" w:cs="Arial"/>
        </w:rPr>
        <w:t>, 9(4), p.e026921.</w:t>
      </w:r>
    </w:p>
    <w:p w14:paraId="39C6D4BC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Church, S., Rogers, E., Rockwood, K. and Theou, O. (2020) 'A scoping review of the Clinical Frailty Scale', </w:t>
      </w:r>
      <w:r w:rsidRPr="00585BBB">
        <w:rPr>
          <w:rFonts w:ascii="Arial" w:hAnsi="Arial" w:cs="Arial"/>
          <w:i/>
          <w:iCs/>
        </w:rPr>
        <w:t>BMC geriatrics</w:t>
      </w:r>
      <w:r w:rsidRPr="00585BBB">
        <w:rPr>
          <w:rFonts w:ascii="Arial" w:hAnsi="Arial" w:cs="Arial"/>
        </w:rPr>
        <w:t>, 20(1), p.393.</w:t>
      </w:r>
    </w:p>
    <w:p w14:paraId="1BDC10CF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Damant, J., Hamashima, Y., Toma, M., Smith, N., Taylor, J., Caprioli, T., Jasim, S., Prato, L., Mcleod, H., Giebel, C., Peters, M., Ferguson Montague, A., Wright, L., Knapp, M. and Towers, A.M. (2026) 'Investigating Person-Centred Care Planning in Care Homes Across England: An Exploratory Study of Practices and Contextual Factors', </w:t>
      </w:r>
      <w:r w:rsidRPr="00585BBB">
        <w:rPr>
          <w:rFonts w:ascii="Arial" w:hAnsi="Arial" w:cs="Arial"/>
          <w:i/>
          <w:iCs/>
        </w:rPr>
        <w:t>Journal of advanced nursing</w:t>
      </w:r>
      <w:r w:rsidRPr="00585BBB">
        <w:rPr>
          <w:rFonts w:ascii="Arial" w:hAnsi="Arial" w:cs="Arial"/>
        </w:rPr>
        <w:t>, 82(1), pp.617-631.</w:t>
      </w:r>
    </w:p>
    <w:p w14:paraId="647D86E0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Devi, R., Meyer, J., Banerjee, J., Goodman, C., Gladman, J.R.F., Dening, T., Chadborn, N., Hinsliff-Smith, K., Long, A. and Usman, A. (2018) 'Quality improvement collaborative aiming for Proactive HEAlthcare of Older People in Care Homes (PEACH): a realist evaluation protocol', </w:t>
      </w:r>
      <w:r w:rsidRPr="00585BBB">
        <w:rPr>
          <w:rFonts w:ascii="Arial" w:hAnsi="Arial" w:cs="Arial"/>
          <w:i/>
          <w:iCs/>
        </w:rPr>
        <w:t>BMJ open</w:t>
      </w:r>
      <w:r w:rsidRPr="00585BBB">
        <w:rPr>
          <w:rFonts w:ascii="Arial" w:hAnsi="Arial" w:cs="Arial"/>
        </w:rPr>
        <w:t>, 8(11), p.e023287.</w:t>
      </w:r>
    </w:p>
    <w:p w14:paraId="3EAC29A0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Gage, H., Dickinson, A., Victor, C., Williams, P., Cheynel, J., Davies, S.L., Iliffe, S., Froggatt, K., Martin, W. and Goodman, C. (2012) 'Integrated working between residential care homes and primary care: a survey of care homes in England', </w:t>
      </w:r>
      <w:r w:rsidRPr="00585BBB">
        <w:rPr>
          <w:rFonts w:ascii="Arial" w:hAnsi="Arial" w:cs="Arial"/>
          <w:i/>
          <w:iCs/>
        </w:rPr>
        <w:t>BMC geriatrics</w:t>
      </w:r>
      <w:r w:rsidRPr="00585BBB">
        <w:rPr>
          <w:rFonts w:ascii="Arial" w:hAnsi="Arial" w:cs="Arial"/>
        </w:rPr>
        <w:t>, 12(1), p.71.</w:t>
      </w:r>
    </w:p>
    <w:p w14:paraId="6DC5A854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Goodman, C., Dening, T., Gordon, A.L., Davies, S.L., Meyer, J., Martin, F.C., Gladman, J.R.F., Bowman, C., Victor, C., Handley, M., Gage, H. and Iliffe, S. (2016) 'Effective health care for older people living and dying in care homes: a realist review', </w:t>
      </w:r>
      <w:r w:rsidRPr="00585BBB">
        <w:rPr>
          <w:rFonts w:ascii="Arial" w:hAnsi="Arial" w:cs="Arial"/>
          <w:i/>
          <w:iCs/>
        </w:rPr>
        <w:t>BMC health services research</w:t>
      </w:r>
      <w:r w:rsidRPr="00585BBB">
        <w:rPr>
          <w:rFonts w:ascii="Arial" w:hAnsi="Arial" w:cs="Arial"/>
        </w:rPr>
        <w:t>, 16(1), p.269.</w:t>
      </w:r>
    </w:p>
    <w:p w14:paraId="52D78A1D" w14:textId="5D8720B0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lastRenderedPageBreak/>
        <w:t xml:space="preserve">Gordon, A.L., Franklin, M., Bradshaw, L., Logan, P., Elliott, </w:t>
      </w:r>
      <w:r w:rsidR="00A766EF" w:rsidRPr="00585BBB">
        <w:rPr>
          <w:rFonts w:ascii="Arial" w:hAnsi="Arial" w:cs="Arial"/>
        </w:rPr>
        <w:t>R.,</w:t>
      </w:r>
      <w:r w:rsidRPr="00585BBB">
        <w:rPr>
          <w:rFonts w:ascii="Arial" w:hAnsi="Arial" w:cs="Arial"/>
        </w:rPr>
        <w:t xml:space="preserve"> and Gladman, J.R.F. (2014) 'Health status of UK care home residents: a cohort study', </w:t>
      </w:r>
      <w:r w:rsidRPr="00585BBB">
        <w:rPr>
          <w:rFonts w:ascii="Arial" w:hAnsi="Arial" w:cs="Arial"/>
          <w:i/>
          <w:iCs/>
        </w:rPr>
        <w:t>Age and ageing</w:t>
      </w:r>
      <w:r w:rsidRPr="00585BBB">
        <w:rPr>
          <w:rFonts w:ascii="Arial" w:hAnsi="Arial" w:cs="Arial"/>
        </w:rPr>
        <w:t>, 43(1), pp.97-103.</w:t>
      </w:r>
    </w:p>
    <w:p w14:paraId="31DA4E15" w14:textId="64717776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 xml:space="preserve">Gordon, A.L., Devi, R., Williams, C., Goodman, C., Sartain, </w:t>
      </w:r>
      <w:r w:rsidR="00A766EF" w:rsidRPr="00585BBB">
        <w:rPr>
          <w:rFonts w:ascii="Arial" w:hAnsi="Arial" w:cs="Arial"/>
        </w:rPr>
        <w:t>K.,</w:t>
      </w:r>
      <w:r w:rsidRPr="00585BBB">
        <w:rPr>
          <w:rFonts w:ascii="Arial" w:hAnsi="Arial" w:cs="Arial"/>
        </w:rPr>
        <w:t xml:space="preserve"> and Chadborn, N.H. (2020) 'Protocol for a realist review of General Practitioners' Role in Advancing Practice in Care Homes (GRAPE study)', </w:t>
      </w:r>
      <w:r w:rsidRPr="00585BBB">
        <w:rPr>
          <w:rFonts w:ascii="Arial" w:hAnsi="Arial" w:cs="Arial"/>
          <w:i/>
          <w:iCs/>
        </w:rPr>
        <w:t>BMJ open</w:t>
      </w:r>
      <w:r w:rsidRPr="00585BBB">
        <w:rPr>
          <w:rFonts w:ascii="Arial" w:hAnsi="Arial" w:cs="Arial"/>
        </w:rPr>
        <w:t>, 10(6), p.e036221.</w:t>
      </w:r>
    </w:p>
    <w:p w14:paraId="1EF2436A" w14:textId="40638DBD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 xml:space="preserve">Iqbal, A., Kinghorn, P., Glasby, J., Tanner, </w:t>
      </w:r>
      <w:r w:rsidR="00A766EF" w:rsidRPr="00585BBB">
        <w:rPr>
          <w:rFonts w:ascii="Arial" w:hAnsi="Arial" w:cs="Arial"/>
        </w:rPr>
        <w:t>D.,</w:t>
      </w:r>
      <w:r w:rsidRPr="00585BBB">
        <w:rPr>
          <w:rFonts w:ascii="Arial" w:hAnsi="Arial" w:cs="Arial"/>
        </w:rPr>
        <w:t xml:space="preserve"> and Roberts, T. (2023) 'A Scoping Review of the Costs, Consequences, and Wider Impacts of Residential Care Home Closures in a UK Context', </w:t>
      </w:r>
      <w:r w:rsidRPr="00585BBB">
        <w:rPr>
          <w:rFonts w:ascii="Arial" w:hAnsi="Arial" w:cs="Arial"/>
          <w:i/>
          <w:iCs/>
        </w:rPr>
        <w:t>Health &amp; Social Care in the Community</w:t>
      </w:r>
      <w:r w:rsidRPr="00585BBB">
        <w:rPr>
          <w:rFonts w:ascii="Arial" w:hAnsi="Arial" w:cs="Arial"/>
        </w:rPr>
        <w:t>, 2023, p.6630651.</w:t>
      </w:r>
    </w:p>
    <w:p w14:paraId="4F10ED6F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Masnoon, N., Shakib, S., Kalisch-Ellett, L. and Caughey, G.E. (2017) 'What is polypharmacy? A systematic review of definitions', </w:t>
      </w:r>
      <w:r w:rsidRPr="00585BBB">
        <w:rPr>
          <w:rFonts w:ascii="Arial" w:hAnsi="Arial" w:cs="Arial"/>
          <w:i/>
          <w:iCs/>
        </w:rPr>
        <w:t>BMC geriatrics</w:t>
      </w:r>
      <w:r w:rsidRPr="00585BBB">
        <w:rPr>
          <w:rFonts w:ascii="Arial" w:hAnsi="Arial" w:cs="Arial"/>
        </w:rPr>
        <w:t>, 17(1), p.230.</w:t>
      </w:r>
    </w:p>
    <w:p w14:paraId="57719071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Matthews, F.E., Arthur, A., Barnes, L.E., Bond, J., Jagger, C., Robinson, L. and Brayne, C. (2013) 'A two-decade comparison of prevalence of dementia in individuals aged 65 years and older from three geographical areas of England: results of the Cognitive Function and Ageing Study I and II', </w:t>
      </w:r>
      <w:r w:rsidRPr="00585BBB">
        <w:rPr>
          <w:rFonts w:ascii="Arial" w:hAnsi="Arial" w:cs="Arial"/>
          <w:i/>
          <w:iCs/>
        </w:rPr>
        <w:t>The Lancet</w:t>
      </w:r>
      <w:r w:rsidRPr="00585BBB">
        <w:rPr>
          <w:rFonts w:ascii="Arial" w:hAnsi="Arial" w:cs="Arial"/>
        </w:rPr>
        <w:t>, 382(9902), pp.1405-1412.</w:t>
      </w:r>
    </w:p>
    <w:p w14:paraId="3ABF2614" w14:textId="18FD45FC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National Institute for Health and Care Excellence (2013) </w:t>
      </w:r>
      <w:r w:rsidRPr="00585BBB">
        <w:rPr>
          <w:rFonts w:ascii="Arial" w:hAnsi="Arial" w:cs="Arial"/>
          <w:i/>
          <w:iCs/>
        </w:rPr>
        <w:t xml:space="preserve">Falls in older people: assessing risk </w:t>
      </w:r>
      <w:r w:rsidRPr="009C7468">
        <w:rPr>
          <w:rFonts w:ascii="Arial" w:hAnsi="Arial" w:cs="Arial"/>
          <w:i/>
          <w:iCs/>
        </w:rPr>
        <w:t>and prevention</w:t>
      </w:r>
      <w:r w:rsidRPr="009C7468">
        <w:rPr>
          <w:rFonts w:ascii="Arial" w:hAnsi="Arial" w:cs="Arial"/>
        </w:rPr>
        <w:t>, NICE guideline [</w:t>
      </w:r>
      <w:r w:rsidR="00285466">
        <w:rPr>
          <w:rFonts w:ascii="Arial" w:hAnsi="Arial" w:cs="Arial"/>
        </w:rPr>
        <w:t>NG249</w:t>
      </w:r>
      <w:r w:rsidRPr="009C7468">
        <w:rPr>
          <w:rFonts w:ascii="Arial" w:hAnsi="Arial" w:cs="Arial"/>
        </w:rPr>
        <w:t>]. Available at: </w:t>
      </w:r>
      <w:r w:rsidR="009C7468" w:rsidRPr="009C7468">
        <w:rPr>
          <w:rFonts w:ascii="Arial" w:hAnsi="Arial" w:cs="Arial"/>
        </w:rPr>
        <w:t>https://www.nice.org.uk/guidance/ng249/chapter/Context</w:t>
      </w:r>
      <w:r w:rsidRPr="00585BBB">
        <w:rPr>
          <w:rFonts w:ascii="Arial" w:hAnsi="Arial" w:cs="Arial"/>
        </w:rPr>
        <w:t> (Accessed: 30 June 2026).</w:t>
      </w:r>
    </w:p>
    <w:p w14:paraId="52249DBD" w14:textId="62E1870F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NHS England (2024) </w:t>
      </w:r>
      <w:r w:rsidRPr="00585BBB">
        <w:rPr>
          <w:rFonts w:ascii="Arial" w:hAnsi="Arial" w:cs="Arial"/>
          <w:i/>
          <w:iCs/>
        </w:rPr>
        <w:t>Medicines optimisation</w:t>
      </w:r>
      <w:r w:rsidRPr="00585BBB">
        <w:rPr>
          <w:rFonts w:ascii="Arial" w:hAnsi="Arial" w:cs="Arial"/>
        </w:rPr>
        <w:t>. Available at: </w:t>
      </w:r>
      <w:r w:rsidR="00B047F6" w:rsidRPr="00B047F6">
        <w:rPr>
          <w:rFonts w:ascii="Arial" w:hAnsi="Arial" w:cs="Arial"/>
        </w:rPr>
        <w:t>https://www.england.nhs.uk/medicines</w:t>
      </w:r>
      <w:r w:rsidRPr="00585BBB">
        <w:rPr>
          <w:rFonts w:ascii="Arial" w:hAnsi="Arial" w:cs="Arial"/>
        </w:rPr>
        <w:t> (Accessed: 30 June 2026).</w:t>
      </w:r>
    </w:p>
    <w:p w14:paraId="61C438A5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Panza, F., Solfrizzi, V., Lozupone, M., Barulli, M.R., D'Urso, F., Stallone, R., Dibello, V., Noia, A., Di Dio, C., Daniele, A. and Bellomo, A. (2018) 'An Old Challenge with New Promises: A Systematic Review on Comprehensive Geriatric Assessment in Long-Term Care Facilities', </w:t>
      </w:r>
      <w:r w:rsidRPr="00585BBB">
        <w:rPr>
          <w:rFonts w:ascii="Arial" w:hAnsi="Arial" w:cs="Arial"/>
          <w:i/>
          <w:iCs/>
        </w:rPr>
        <w:t>Rejuvenation research</w:t>
      </w:r>
      <w:r w:rsidRPr="00585BBB">
        <w:rPr>
          <w:rFonts w:ascii="Arial" w:hAnsi="Arial" w:cs="Arial"/>
        </w:rPr>
        <w:t>, 21(1), pp.3-14.</w:t>
      </w:r>
    </w:p>
    <w:p w14:paraId="3FBDFBBE" w14:textId="5330B014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 xml:space="preserve">Shannon, K., Cook, </w:t>
      </w:r>
      <w:r w:rsidR="00A766EF" w:rsidRPr="00585BBB">
        <w:rPr>
          <w:rFonts w:ascii="Arial" w:hAnsi="Arial" w:cs="Arial"/>
        </w:rPr>
        <w:t>C.,</w:t>
      </w:r>
      <w:r w:rsidRPr="00585BBB">
        <w:rPr>
          <w:rFonts w:ascii="Arial" w:hAnsi="Arial" w:cs="Arial"/>
        </w:rPr>
        <w:t xml:space="preserve"> and Neville, S. (2024) 'Realising Person-Centredness: Transitioning to a Clustered Domestic Model of Aged Residential Care for People </w:t>
      </w:r>
      <w:r w:rsidR="00A766EF" w:rsidRPr="00585BBB">
        <w:rPr>
          <w:rFonts w:ascii="Arial" w:hAnsi="Arial" w:cs="Arial"/>
        </w:rPr>
        <w:t>with</w:t>
      </w:r>
      <w:r w:rsidRPr="00585BBB">
        <w:rPr>
          <w:rFonts w:ascii="Arial" w:hAnsi="Arial" w:cs="Arial"/>
        </w:rPr>
        <w:t xml:space="preserve"> and Without Dementia', </w:t>
      </w:r>
      <w:r w:rsidRPr="00585BBB">
        <w:rPr>
          <w:rFonts w:ascii="Arial" w:hAnsi="Arial" w:cs="Arial"/>
          <w:i/>
          <w:iCs/>
        </w:rPr>
        <w:t>International journal of older people nursing</w:t>
      </w:r>
      <w:r w:rsidRPr="00585BBB">
        <w:rPr>
          <w:rFonts w:ascii="Arial" w:hAnsi="Arial" w:cs="Arial"/>
        </w:rPr>
        <w:t>, 19(5), p.e12632.</w:t>
      </w:r>
    </w:p>
    <w:p w14:paraId="766F6DC7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Spacey, A., Scammell, J. and Board, M. (2020) 'Systematic critical realist review of interventions designed to improve end-of-life care in care homes', </w:t>
      </w:r>
      <w:r w:rsidRPr="00585BBB">
        <w:rPr>
          <w:rFonts w:ascii="Arial" w:hAnsi="Arial" w:cs="Arial"/>
          <w:i/>
          <w:iCs/>
        </w:rPr>
        <w:t>Nursing &amp; health sciences</w:t>
      </w:r>
      <w:r w:rsidRPr="00585BBB">
        <w:rPr>
          <w:rFonts w:ascii="Arial" w:hAnsi="Arial" w:cs="Arial"/>
        </w:rPr>
        <w:t>, 22(2), pp.343-354.</w:t>
      </w:r>
    </w:p>
    <w:p w14:paraId="2BD36F9E" w14:textId="7777777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t>Winfield, A. and Burns, E. (2016) 'Let's all get home safely: a commentary on NICE and SCIE guidelines (NG27) transition between inpatient hospital settings and community or care home settings for adults with social care needs', </w:t>
      </w:r>
      <w:r w:rsidRPr="00585BBB">
        <w:rPr>
          <w:rFonts w:ascii="Arial" w:hAnsi="Arial" w:cs="Arial"/>
          <w:i/>
          <w:iCs/>
        </w:rPr>
        <w:t>Age and Ageing</w:t>
      </w:r>
      <w:r w:rsidRPr="00585BBB">
        <w:rPr>
          <w:rFonts w:ascii="Arial" w:hAnsi="Arial" w:cs="Arial"/>
        </w:rPr>
        <w:t>, 45(6), pp.757-760.</w:t>
      </w:r>
    </w:p>
    <w:p w14:paraId="696DD1D8" w14:textId="52F45427" w:rsidR="00585BBB" w:rsidRPr="00585BBB" w:rsidRDefault="00585BBB" w:rsidP="00585BBB">
      <w:pPr>
        <w:spacing w:line="360" w:lineRule="auto"/>
        <w:rPr>
          <w:rFonts w:ascii="Arial" w:hAnsi="Arial" w:cs="Arial"/>
        </w:rPr>
      </w:pPr>
      <w:r w:rsidRPr="00585BBB">
        <w:rPr>
          <w:rFonts w:ascii="Arial" w:hAnsi="Arial" w:cs="Arial"/>
        </w:rPr>
        <w:lastRenderedPageBreak/>
        <w:t xml:space="preserve">Woodford, </w:t>
      </w:r>
      <w:r w:rsidR="00A766EF" w:rsidRPr="00585BBB">
        <w:rPr>
          <w:rFonts w:ascii="Arial" w:hAnsi="Arial" w:cs="Arial"/>
        </w:rPr>
        <w:t>H.J.,</w:t>
      </w:r>
      <w:r w:rsidRPr="00585BBB">
        <w:rPr>
          <w:rFonts w:ascii="Arial" w:hAnsi="Arial" w:cs="Arial"/>
        </w:rPr>
        <w:t xml:space="preserve"> and Fisher, J. (2019) 'New horizons in deprescribing for older people', </w:t>
      </w:r>
      <w:r w:rsidRPr="00585BBB">
        <w:rPr>
          <w:rFonts w:ascii="Arial" w:hAnsi="Arial" w:cs="Arial"/>
          <w:i/>
          <w:iCs/>
        </w:rPr>
        <w:t>Age and ageing</w:t>
      </w:r>
      <w:r w:rsidRPr="00585BBB">
        <w:rPr>
          <w:rFonts w:ascii="Arial" w:hAnsi="Arial" w:cs="Arial"/>
        </w:rPr>
        <w:t>, 48(6), pp.768-775.</w:t>
      </w:r>
    </w:p>
    <w:p w14:paraId="590B7737" w14:textId="77777777" w:rsidR="007B0FF0" w:rsidRPr="00585BBB" w:rsidRDefault="007B0FF0" w:rsidP="00585BBB">
      <w:pPr>
        <w:spacing w:line="360" w:lineRule="auto"/>
        <w:rPr>
          <w:rFonts w:ascii="Arial" w:hAnsi="Arial" w:cs="Arial"/>
        </w:rPr>
      </w:pPr>
    </w:p>
    <w:sectPr w:rsidR="007B0FF0" w:rsidRPr="00585B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16B"/>
    <w:rsid w:val="0001583C"/>
    <w:rsid w:val="000664CD"/>
    <w:rsid w:val="000E7F29"/>
    <w:rsid w:val="00123A2E"/>
    <w:rsid w:val="00206A85"/>
    <w:rsid w:val="00285466"/>
    <w:rsid w:val="002F3BD4"/>
    <w:rsid w:val="0035182B"/>
    <w:rsid w:val="00585BBB"/>
    <w:rsid w:val="0063416B"/>
    <w:rsid w:val="007477E8"/>
    <w:rsid w:val="007B0FF0"/>
    <w:rsid w:val="008B4B2E"/>
    <w:rsid w:val="009116F5"/>
    <w:rsid w:val="009B53EE"/>
    <w:rsid w:val="009C7468"/>
    <w:rsid w:val="00A766EF"/>
    <w:rsid w:val="00B047F6"/>
    <w:rsid w:val="00B167B3"/>
    <w:rsid w:val="00E44909"/>
    <w:rsid w:val="00F3359E"/>
    <w:rsid w:val="00F75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6219D"/>
  <w15:chartTrackingRefBased/>
  <w15:docId w15:val="{025EF262-BCD3-44FD-BA2F-29F51728A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41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41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41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41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41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41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41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41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41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41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41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41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41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41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41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41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41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41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41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41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41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41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41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41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41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41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41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41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41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341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416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746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788</Words>
  <Characters>4495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Baidar Begum</dc:creator>
  <cp:keywords/>
  <dc:description/>
  <cp:lastModifiedBy>Baidar Begum</cp:lastModifiedBy>
  <cp:revision>12</cp:revision>
  <dcterms:created xsi:type="dcterms:W3CDTF">2026-06-30T10:54:00Z</dcterms:created>
  <dcterms:modified xsi:type="dcterms:W3CDTF">2026-07-07T18:30:00Z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9afa7d28-7bd7-47f0-9027-ea26d64d7cc0</vt:lpwstr>
  </property>
</Properties>
</file>