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CAC36" w14:textId="69EC036E" w:rsidR="004E22C0" w:rsidRPr="004E22C0" w:rsidRDefault="00AE3CD2" w:rsidP="004E22C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noProof/>
          <w:kern w:val="0"/>
          <w:lang w:eastAsia="en-GB"/>
          <w14:ligatures w14:val="none"/>
        </w:rPr>
        <w:drawing>
          <wp:inline distT="0" distB="0" distL="0" distR="0" wp14:anchorId="305AF9ED" wp14:editId="013CAD6E">
            <wp:extent cx="5287671" cy="1690567"/>
            <wp:effectExtent l="0" t="0" r="8255" b="5080"/>
            <wp:docPr id="202699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97061" cy="1725541"/>
                    </a:xfrm>
                    <a:prstGeom prst="rect">
                      <a:avLst/>
                    </a:prstGeom>
                    <a:noFill/>
                    <a:ln>
                      <a:noFill/>
                    </a:ln>
                  </pic:spPr>
                </pic:pic>
              </a:graphicData>
            </a:graphic>
          </wp:inline>
        </w:drawing>
      </w:r>
    </w:p>
    <w:p w14:paraId="7F97655C" w14:textId="644D3744" w:rsidR="004E22C0" w:rsidRPr="004E22C0" w:rsidRDefault="004E22C0" w:rsidP="004E22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b/>
          <w:bCs/>
          <w:kern w:val="0"/>
          <w:lang w:eastAsia="en-GB"/>
          <w14:ligatures w14:val="none"/>
        </w:rPr>
        <w:t>Title:</w:t>
      </w:r>
      <w:r w:rsidRPr="004E22C0">
        <w:rPr>
          <w:rFonts w:ascii="Times New Roman" w:eastAsia="Times New Roman" w:hAnsi="Times New Roman" w:cs="Times New Roman"/>
          <w:kern w:val="0"/>
          <w:lang w:eastAsia="en-GB"/>
          <w14:ligatures w14:val="none"/>
        </w:rPr>
        <w:t xml:space="preserve"> </w:t>
      </w:r>
      <w:r w:rsidR="00B46735" w:rsidRPr="004E22C0">
        <w:rPr>
          <w:rFonts w:ascii="Times New Roman" w:eastAsia="Times New Roman" w:hAnsi="Times New Roman" w:cs="Times New Roman"/>
          <w:kern w:val="0"/>
          <w:lang w:eastAsia="en-GB"/>
          <w14:ligatures w14:val="none"/>
        </w:rPr>
        <w:t>Strategic Management</w:t>
      </w:r>
      <w:r w:rsidR="00B46735">
        <w:rPr>
          <w:rFonts w:ascii="Times New Roman" w:eastAsia="Times New Roman" w:hAnsi="Times New Roman" w:cs="Times New Roman"/>
          <w:kern w:val="0"/>
          <w:lang w:eastAsia="en-GB"/>
          <w14:ligatures w14:val="none"/>
        </w:rPr>
        <w:t xml:space="preserve"> for Business</w:t>
      </w:r>
      <w:r w:rsidRPr="004E22C0">
        <w:rPr>
          <w:rFonts w:ascii="Times New Roman" w:eastAsia="Times New Roman" w:hAnsi="Times New Roman" w:cs="Times New Roman"/>
          <w:kern w:val="0"/>
          <w:lang w:eastAsia="en-GB"/>
          <w14:ligatures w14:val="none"/>
        </w:rPr>
        <w:br/>
      </w:r>
      <w:r w:rsidRPr="004E22C0">
        <w:rPr>
          <w:rFonts w:ascii="Times New Roman" w:eastAsia="Times New Roman" w:hAnsi="Times New Roman" w:cs="Times New Roman"/>
          <w:b/>
          <w:bCs/>
          <w:kern w:val="0"/>
          <w:lang w:eastAsia="en-GB"/>
          <w14:ligatures w14:val="none"/>
        </w:rPr>
        <w:t>Module:</w:t>
      </w:r>
      <w:r w:rsidRPr="004E22C0">
        <w:rPr>
          <w:rFonts w:ascii="Times New Roman" w:eastAsia="Times New Roman" w:hAnsi="Times New Roman" w:cs="Times New Roman"/>
          <w:kern w:val="0"/>
          <w:lang w:eastAsia="en-GB"/>
          <w14:ligatures w14:val="none"/>
        </w:rPr>
        <w:t xml:space="preserve"> </w:t>
      </w:r>
      <w:r w:rsidR="00B46735">
        <w:rPr>
          <w:rFonts w:ascii="Times New Roman" w:eastAsia="Times New Roman" w:hAnsi="Times New Roman" w:cs="Times New Roman"/>
          <w:kern w:val="0"/>
          <w:lang w:eastAsia="en-GB"/>
          <w14:ligatures w14:val="none"/>
        </w:rPr>
        <w:t>LCLM6001</w:t>
      </w:r>
      <w:r w:rsidRPr="004E22C0">
        <w:rPr>
          <w:rFonts w:ascii="Times New Roman" w:eastAsia="Times New Roman" w:hAnsi="Times New Roman" w:cs="Times New Roman"/>
          <w:kern w:val="0"/>
          <w:lang w:eastAsia="en-GB"/>
          <w14:ligatures w14:val="none"/>
        </w:rPr>
        <w:br/>
      </w:r>
      <w:r w:rsidRPr="004E22C0">
        <w:rPr>
          <w:rFonts w:ascii="Times New Roman" w:eastAsia="Times New Roman" w:hAnsi="Times New Roman" w:cs="Times New Roman"/>
          <w:b/>
          <w:bCs/>
          <w:kern w:val="0"/>
          <w:lang w:eastAsia="en-GB"/>
          <w14:ligatures w14:val="none"/>
        </w:rPr>
        <w:t>Student Name:</w:t>
      </w:r>
      <w:r w:rsidRPr="004E22C0">
        <w:rPr>
          <w:rFonts w:ascii="Times New Roman" w:eastAsia="Times New Roman" w:hAnsi="Times New Roman" w:cs="Times New Roman"/>
          <w:kern w:val="0"/>
          <w:lang w:eastAsia="en-GB"/>
          <w14:ligatures w14:val="none"/>
        </w:rPr>
        <w:t xml:space="preserve"> </w:t>
      </w:r>
      <w:r w:rsidR="008E4514">
        <w:rPr>
          <w:rFonts w:ascii="Times New Roman" w:eastAsia="Times New Roman" w:hAnsi="Times New Roman" w:cs="Times New Roman"/>
          <w:kern w:val="0"/>
          <w:lang w:eastAsia="en-GB"/>
          <w14:ligatures w14:val="none"/>
        </w:rPr>
        <w:t>Lucrezia Nappi</w:t>
      </w:r>
      <w:r w:rsidRPr="004E22C0">
        <w:rPr>
          <w:rFonts w:ascii="Times New Roman" w:eastAsia="Times New Roman" w:hAnsi="Times New Roman" w:cs="Times New Roman"/>
          <w:kern w:val="0"/>
          <w:lang w:eastAsia="en-GB"/>
          <w14:ligatures w14:val="none"/>
        </w:rPr>
        <w:br/>
      </w:r>
      <w:r w:rsidR="00B46735">
        <w:rPr>
          <w:rFonts w:ascii="Times New Roman" w:eastAsia="Times New Roman" w:hAnsi="Times New Roman" w:cs="Times New Roman"/>
          <w:kern w:val="0"/>
          <w:lang w:eastAsia="en-GB"/>
          <w14:ligatures w14:val="none"/>
        </w:rPr>
        <w:t>ID number: 2312484</w:t>
      </w:r>
    </w:p>
    <w:p w14:paraId="3D1F32B2" w14:textId="6378F2D5" w:rsidR="004E22C0" w:rsidRPr="004E22C0" w:rsidRDefault="00000000" w:rsidP="004E22C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56FD721">
          <v:rect id="_x0000_i1025" style="width:0;height:1.5pt" o:hralign="center" o:hrstd="t" o:hr="t" fillcolor="#a0a0a0" stroked="f"/>
        </w:pict>
      </w:r>
      <w:r w:rsidR="004E22C0" w:rsidRPr="004E22C0">
        <w:rPr>
          <w:rFonts w:ascii="Times New Roman" w:eastAsia="Times New Roman" w:hAnsi="Times New Roman" w:cs="Times New Roman"/>
          <w:b/>
          <w:bCs/>
          <w:kern w:val="36"/>
          <w:sz w:val="48"/>
          <w:szCs w:val="48"/>
          <w:lang w:eastAsia="en-GB"/>
          <w14:ligatures w14:val="none"/>
        </w:rPr>
        <w:t xml:space="preserve"> TABLE OF CONTENTS</w:t>
      </w:r>
    </w:p>
    <w:p w14:paraId="70E8B0CD"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Executive Summary</w:t>
      </w:r>
    </w:p>
    <w:p w14:paraId="29D39605"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Introduction to Pharmacy2You</w:t>
      </w:r>
    </w:p>
    <w:p w14:paraId="352F06DF"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Strategic Direction (Vision, Mission, Objectives)</w:t>
      </w:r>
    </w:p>
    <w:p w14:paraId="682776AC"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Environmental Scan</w:t>
      </w:r>
    </w:p>
    <w:p w14:paraId="4D008045" w14:textId="77777777" w:rsidR="004E22C0" w:rsidRPr="004E22C0" w:rsidRDefault="004E22C0" w:rsidP="004E22C0">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4.1 SWOT</w:t>
      </w:r>
    </w:p>
    <w:p w14:paraId="2745C477" w14:textId="77777777" w:rsidR="004E22C0" w:rsidRPr="004E22C0" w:rsidRDefault="004E22C0" w:rsidP="004E22C0">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4.2 Value Chain</w:t>
      </w:r>
    </w:p>
    <w:p w14:paraId="3A8EC433" w14:textId="77777777" w:rsidR="004E22C0" w:rsidRPr="004E22C0" w:rsidRDefault="004E22C0" w:rsidP="004E22C0">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4.3 PESTEL</w:t>
      </w:r>
    </w:p>
    <w:p w14:paraId="1209B07F" w14:textId="77777777" w:rsidR="004E22C0" w:rsidRPr="004E22C0" w:rsidRDefault="004E22C0" w:rsidP="004E22C0">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4.4 Porter’s Five Forces</w:t>
      </w:r>
    </w:p>
    <w:p w14:paraId="18C4B50E"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Strategic Growth Choices</w:t>
      </w:r>
    </w:p>
    <w:p w14:paraId="4D62A769"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Stakeholder Analysis (Mendelow &amp; RACI)</w:t>
      </w:r>
    </w:p>
    <w:p w14:paraId="5CBD525E"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Strategic Recommendations</w:t>
      </w:r>
    </w:p>
    <w:p w14:paraId="660DB737"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Conclusion</w:t>
      </w:r>
    </w:p>
    <w:p w14:paraId="373A955E" w14:textId="77777777" w:rsidR="004E22C0" w:rsidRPr="004E22C0" w:rsidRDefault="004E22C0" w:rsidP="004E22C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References</w:t>
      </w:r>
    </w:p>
    <w:p w14:paraId="5D810F90" w14:textId="77777777" w:rsidR="004E22C0" w:rsidRPr="004E22C0" w:rsidRDefault="00000000" w:rsidP="004E22C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E9CC2CA">
          <v:rect id="_x0000_i1026" style="width:0;height:1.5pt" o:hralign="center" o:hrstd="t" o:hr="t" fillcolor="#a0a0a0" stroked="f"/>
        </w:pict>
      </w:r>
    </w:p>
    <w:p w14:paraId="3B3EEE0A" w14:textId="0F52B23E" w:rsidR="004E22C0" w:rsidRDefault="004E22C0" w:rsidP="00FD62EB">
      <w:pPr>
        <w:pStyle w:val="ListParagraph"/>
        <w:numPr>
          <w:ilvl w:val="0"/>
          <w:numId w:val="24"/>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FD62EB">
        <w:rPr>
          <w:rFonts w:ascii="Times New Roman" w:eastAsia="Times New Roman" w:hAnsi="Times New Roman" w:cs="Times New Roman"/>
          <w:b/>
          <w:bCs/>
          <w:kern w:val="36"/>
          <w:sz w:val="48"/>
          <w:szCs w:val="48"/>
          <w:lang w:eastAsia="en-GB"/>
          <w14:ligatures w14:val="none"/>
        </w:rPr>
        <w:t>EXECUTIVE SUMMARY</w:t>
      </w:r>
    </w:p>
    <w:p w14:paraId="69DE0819" w14:textId="77777777" w:rsidR="00FD62EB" w:rsidRDefault="00FD62EB" w:rsidP="00FD62EB">
      <w:pPr>
        <w:pStyle w:val="NormalWeb"/>
        <w:ind w:left="840"/>
      </w:pPr>
      <w:r>
        <w:t>This report delivers a strategic analysis of Pharmacy2You, a UK online and community pharmacy operating within the NHS primary care system. It examines the organisation’s internal capabilities and external environment using strategic tools such as SWOT, Value Chain, PESTEL and Porter’s Five Forces. The current strategic direction is reviewed through its implied vision, mission and objectives, alongside the rapidly changing UK pharmacy landscape shaped by NHS funding reforms, digitalisation and demographic pressures.</w:t>
      </w:r>
    </w:p>
    <w:p w14:paraId="05E984D2" w14:textId="77777777" w:rsidR="00FD62EB" w:rsidRDefault="00FD62EB" w:rsidP="00FD62EB">
      <w:pPr>
        <w:pStyle w:val="NormalWeb"/>
        <w:ind w:left="840"/>
      </w:pPr>
      <w:r>
        <w:t xml:space="preserve">Using frameworks including Porter’s Generic Strategies, the Ansoff Matrix and Bowman’s Strategic Clock, the study proposes a long-term strategy for Pharmacy2You. Stakeholder expectations are assessed through Mendelow’s Matrix </w:t>
      </w:r>
      <w:r>
        <w:lastRenderedPageBreak/>
        <w:t>and a RACI analysis. The report ultimately recommends a Focused Differentiation and Service Diversification Strategy—expanding clinical services, enhancing digital capabilities and improving operational sustainability.</w:t>
      </w:r>
    </w:p>
    <w:p w14:paraId="6A9928AE" w14:textId="77777777" w:rsidR="00FD62EB" w:rsidRDefault="00FD62EB" w:rsidP="00FD62EB">
      <w:pPr>
        <w:pStyle w:val="NormalWeb"/>
        <w:ind w:left="840"/>
      </w:pPr>
      <w:r>
        <w:t>Final recommendations are aligned with Triple Bottom Line (TBL) principles to support financial resilience, positive social outcomes and environmental responsibility.</w:t>
      </w:r>
    </w:p>
    <w:p w14:paraId="7094B7A6" w14:textId="77777777" w:rsidR="00FD62EB" w:rsidRPr="00FD62EB" w:rsidRDefault="00FD62EB" w:rsidP="00FD62EB">
      <w:pPr>
        <w:spacing w:before="100" w:beforeAutospacing="1" w:after="100" w:afterAutospacing="1" w:line="240" w:lineRule="auto"/>
        <w:ind w:left="360"/>
        <w:outlineLvl w:val="0"/>
        <w:rPr>
          <w:rFonts w:ascii="Times New Roman" w:eastAsia="Times New Roman" w:hAnsi="Times New Roman" w:cs="Times New Roman"/>
          <w:b/>
          <w:bCs/>
          <w:kern w:val="36"/>
          <w:sz w:val="48"/>
          <w:szCs w:val="48"/>
          <w:lang w:eastAsia="en-GB"/>
          <w14:ligatures w14:val="none"/>
        </w:rPr>
      </w:pPr>
    </w:p>
    <w:p w14:paraId="1FB463E1" w14:textId="6A9B52F3" w:rsidR="004E22C0" w:rsidRPr="004E22C0" w:rsidRDefault="004E22C0" w:rsidP="004E22C0">
      <w:pPr>
        <w:spacing w:after="0" w:line="240" w:lineRule="auto"/>
        <w:rPr>
          <w:rFonts w:ascii="Times New Roman" w:eastAsia="Times New Roman" w:hAnsi="Times New Roman" w:cs="Times New Roman"/>
          <w:kern w:val="0"/>
          <w:lang w:eastAsia="en-GB"/>
          <w14:ligatures w14:val="none"/>
        </w:rPr>
      </w:pPr>
    </w:p>
    <w:p w14:paraId="666867E8" w14:textId="6C420514" w:rsidR="004E22C0" w:rsidRPr="004E22C0" w:rsidRDefault="004E22C0" w:rsidP="004E22C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4E22C0">
        <w:rPr>
          <w:rFonts w:ascii="Times New Roman" w:eastAsia="Times New Roman" w:hAnsi="Times New Roman" w:cs="Times New Roman"/>
          <w:b/>
          <w:bCs/>
          <w:kern w:val="36"/>
          <w:sz w:val="48"/>
          <w:szCs w:val="48"/>
          <w:lang w:eastAsia="en-GB"/>
          <w14:ligatures w14:val="none"/>
        </w:rPr>
        <w:t xml:space="preserve">2. INTRODUCTION </w:t>
      </w:r>
    </w:p>
    <w:p w14:paraId="4E671FD3" w14:textId="77777777" w:rsidR="004E22C0" w:rsidRPr="004E22C0" w:rsidRDefault="004E22C0" w:rsidP="004E22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Pharmacy2You is a UK-based SME in the community pharmacy sector, providing digital-enabled prescription services. It operates through the NHS Electronic Prescription Service (EPS), allowing patients to manage repeat prescriptions online and receive medications via home delivery (NHS Digital, 2022). As healthcare shifts toward digital platforms and convenience-led service models, Pharmacy2You has positioned itself to meet rising patient expectations for speed, accessibility and reliability.</w:t>
      </w:r>
    </w:p>
    <w:p w14:paraId="653CB4BF" w14:textId="77777777" w:rsidR="004E22C0" w:rsidRPr="004E22C0" w:rsidRDefault="004E22C0" w:rsidP="004E22C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E22C0">
        <w:rPr>
          <w:rFonts w:ascii="Times New Roman" w:eastAsia="Times New Roman" w:hAnsi="Times New Roman" w:cs="Times New Roman"/>
          <w:b/>
          <w:bCs/>
          <w:kern w:val="0"/>
          <w:sz w:val="27"/>
          <w:szCs w:val="27"/>
          <w:lang w:eastAsia="en-GB"/>
          <w14:ligatures w14:val="none"/>
        </w:rPr>
        <w:t>2.1 Products and Services</w:t>
      </w:r>
    </w:p>
    <w:p w14:paraId="64EEEE15" w14:textId="77777777" w:rsidR="004E22C0" w:rsidRPr="004E22C0" w:rsidRDefault="004E22C0" w:rsidP="004E22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Pharmacy2You offers:</w:t>
      </w:r>
    </w:p>
    <w:p w14:paraId="3D308EA5" w14:textId="77777777" w:rsidR="004E22C0" w:rsidRPr="004E22C0" w:rsidRDefault="004E22C0" w:rsidP="004E22C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NHS prescription dispensing</w:t>
      </w:r>
    </w:p>
    <w:p w14:paraId="0ADD22D1" w14:textId="77777777" w:rsidR="004E22C0" w:rsidRPr="004E22C0" w:rsidRDefault="004E22C0" w:rsidP="004E22C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Repeat prescription management</w:t>
      </w:r>
    </w:p>
    <w:p w14:paraId="608D5B5B" w14:textId="77777777" w:rsidR="004E22C0" w:rsidRPr="004E22C0" w:rsidRDefault="004E22C0" w:rsidP="004E22C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Free home delivery</w:t>
      </w:r>
    </w:p>
    <w:p w14:paraId="29F68B13" w14:textId="77777777" w:rsidR="004E22C0" w:rsidRPr="004E22C0" w:rsidRDefault="004E22C0" w:rsidP="004E22C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Clinical advice and medicines counselling</w:t>
      </w:r>
    </w:p>
    <w:p w14:paraId="724229A5" w14:textId="77777777" w:rsidR="004E22C0" w:rsidRPr="004E22C0" w:rsidRDefault="004E22C0" w:rsidP="004E22C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Private services (e.g., vaccinations, travel health, screening)</w:t>
      </w:r>
    </w:p>
    <w:p w14:paraId="6F44A5A9" w14:textId="77777777" w:rsidR="004E22C0" w:rsidRPr="004E22C0" w:rsidRDefault="004E22C0" w:rsidP="004E22C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Over-the-counter medicines</w:t>
      </w:r>
    </w:p>
    <w:p w14:paraId="37943503" w14:textId="77777777" w:rsidR="004E22C0" w:rsidRPr="004E22C0" w:rsidRDefault="004E22C0" w:rsidP="004E22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These offerings reflect increasing industry emphasis on pharmacy-led primary care services (NHS England, 2023).</w:t>
      </w:r>
    </w:p>
    <w:p w14:paraId="4BC28E3A" w14:textId="77777777" w:rsidR="004E22C0" w:rsidRPr="004E22C0" w:rsidRDefault="004E22C0" w:rsidP="004E22C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E22C0">
        <w:rPr>
          <w:rFonts w:ascii="Times New Roman" w:eastAsia="Times New Roman" w:hAnsi="Times New Roman" w:cs="Times New Roman"/>
          <w:b/>
          <w:bCs/>
          <w:kern w:val="0"/>
          <w:sz w:val="27"/>
          <w:szCs w:val="27"/>
          <w:lang w:eastAsia="en-GB"/>
          <w14:ligatures w14:val="none"/>
        </w:rPr>
        <w:t>2.2 Business Model</w:t>
      </w:r>
    </w:p>
    <w:p w14:paraId="01D7349F" w14:textId="77777777" w:rsidR="004E22C0" w:rsidRPr="004E22C0" w:rsidRDefault="004E22C0" w:rsidP="004E22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 xml:space="preserve">Pharmacy2You operates a </w:t>
      </w:r>
      <w:r w:rsidRPr="004E22C0">
        <w:rPr>
          <w:rFonts w:ascii="Times New Roman" w:eastAsia="Times New Roman" w:hAnsi="Times New Roman" w:cs="Times New Roman"/>
          <w:b/>
          <w:bCs/>
          <w:kern w:val="0"/>
          <w:lang w:eastAsia="en-GB"/>
          <w14:ligatures w14:val="none"/>
        </w:rPr>
        <w:t>hybrid SME business model</w:t>
      </w:r>
      <w:r w:rsidRPr="004E22C0">
        <w:rPr>
          <w:rFonts w:ascii="Times New Roman" w:eastAsia="Times New Roman" w:hAnsi="Times New Roman" w:cs="Times New Roman"/>
          <w:kern w:val="0"/>
          <w:lang w:eastAsia="en-GB"/>
          <w14:ligatures w14:val="none"/>
        </w:rPr>
        <w:t xml:space="preserve"> combining:</w:t>
      </w:r>
    </w:p>
    <w:p w14:paraId="380A5A4E" w14:textId="77777777" w:rsidR="004E22C0" w:rsidRPr="004E22C0" w:rsidRDefault="004E22C0" w:rsidP="004E22C0">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b/>
          <w:bCs/>
          <w:kern w:val="0"/>
          <w:lang w:eastAsia="en-GB"/>
          <w14:ligatures w14:val="none"/>
        </w:rPr>
        <w:t>Online pharmacy platform</w:t>
      </w:r>
      <w:r w:rsidRPr="004E22C0">
        <w:rPr>
          <w:rFonts w:ascii="Times New Roman" w:eastAsia="Times New Roman" w:hAnsi="Times New Roman" w:cs="Times New Roman"/>
          <w:kern w:val="0"/>
          <w:lang w:eastAsia="en-GB"/>
          <w14:ligatures w14:val="none"/>
        </w:rPr>
        <w:t xml:space="preserve"> for digital prescription processing</w:t>
      </w:r>
    </w:p>
    <w:p w14:paraId="00373211" w14:textId="77777777" w:rsidR="004E22C0" w:rsidRPr="004E22C0" w:rsidRDefault="004E22C0" w:rsidP="004E22C0">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b/>
          <w:bCs/>
          <w:kern w:val="0"/>
          <w:lang w:eastAsia="en-GB"/>
          <w14:ligatures w14:val="none"/>
        </w:rPr>
        <w:t>Centralised dispensing hub</w:t>
      </w:r>
    </w:p>
    <w:p w14:paraId="6088647B" w14:textId="77777777" w:rsidR="004E22C0" w:rsidRPr="004E22C0" w:rsidRDefault="004E22C0" w:rsidP="004E22C0">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b/>
          <w:bCs/>
          <w:kern w:val="0"/>
          <w:lang w:eastAsia="en-GB"/>
          <w14:ligatures w14:val="none"/>
        </w:rPr>
        <w:t>Home delivery logistics</w:t>
      </w:r>
    </w:p>
    <w:p w14:paraId="6B83A643" w14:textId="77777777" w:rsidR="004E22C0" w:rsidRPr="004E22C0" w:rsidRDefault="004E22C0" w:rsidP="004E22C0">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b/>
          <w:bCs/>
          <w:kern w:val="0"/>
          <w:lang w:eastAsia="en-GB"/>
          <w14:ligatures w14:val="none"/>
        </w:rPr>
        <w:t>Community-based clinical services</w:t>
      </w:r>
    </w:p>
    <w:p w14:paraId="348E4FED" w14:textId="77777777" w:rsidR="004E22C0" w:rsidRPr="004E22C0" w:rsidRDefault="004E22C0" w:rsidP="004E22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Revenue is primarily derived from:</w:t>
      </w:r>
    </w:p>
    <w:p w14:paraId="529D0D0A" w14:textId="77777777" w:rsidR="004E22C0" w:rsidRPr="004E22C0" w:rsidRDefault="004E22C0" w:rsidP="004E22C0">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NHS dispensing fees</w:t>
      </w:r>
    </w:p>
    <w:p w14:paraId="6E0A1F95" w14:textId="77777777" w:rsidR="004E22C0" w:rsidRPr="004E22C0" w:rsidRDefault="004E22C0" w:rsidP="004E22C0">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OTC and private services</w:t>
      </w:r>
    </w:p>
    <w:p w14:paraId="156A8700" w14:textId="77777777" w:rsidR="004E22C0" w:rsidRPr="004E22C0" w:rsidRDefault="004E22C0" w:rsidP="004E22C0">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lastRenderedPageBreak/>
        <w:t>Clinical service reimbursements</w:t>
      </w:r>
    </w:p>
    <w:p w14:paraId="32C9C5D2" w14:textId="77777777" w:rsidR="004E22C0" w:rsidRPr="004E22C0" w:rsidRDefault="004E22C0" w:rsidP="004E22C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E22C0">
        <w:rPr>
          <w:rFonts w:ascii="Times New Roman" w:eastAsia="Times New Roman" w:hAnsi="Times New Roman" w:cs="Times New Roman"/>
          <w:b/>
          <w:bCs/>
          <w:kern w:val="0"/>
          <w:sz w:val="27"/>
          <w:szCs w:val="27"/>
          <w:lang w:eastAsia="en-GB"/>
          <w14:ligatures w14:val="none"/>
        </w:rPr>
        <w:t>2.3 Uniqueness</w:t>
      </w:r>
    </w:p>
    <w:p w14:paraId="01B6D353" w14:textId="77777777" w:rsidR="004E22C0" w:rsidRPr="004E22C0" w:rsidRDefault="004E22C0" w:rsidP="004E22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Pharmacy2You’s key differentiators include:</w:t>
      </w:r>
    </w:p>
    <w:p w14:paraId="5DD5B5F2" w14:textId="77777777" w:rsidR="004E22C0" w:rsidRPr="004E22C0" w:rsidRDefault="004E22C0" w:rsidP="004E22C0">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Highly efficient EPS-driven operations (NHS Digital, 2022)</w:t>
      </w:r>
    </w:p>
    <w:p w14:paraId="6AB1F7DB" w14:textId="77777777" w:rsidR="004E22C0" w:rsidRPr="004E22C0" w:rsidRDefault="004E22C0" w:rsidP="004E22C0">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Strong patient convenience model (home delivery, reminders)</w:t>
      </w:r>
    </w:p>
    <w:p w14:paraId="487E6F77" w14:textId="77777777" w:rsidR="004E22C0" w:rsidRPr="004E22C0" w:rsidRDefault="004E22C0" w:rsidP="004E22C0">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SME-level personalisation and flexibility (Anderson et al., 2021)</w:t>
      </w:r>
    </w:p>
    <w:p w14:paraId="3586F914" w14:textId="77777777" w:rsidR="004E22C0" w:rsidRDefault="004E22C0" w:rsidP="004E22C0">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22C0">
        <w:rPr>
          <w:rFonts w:ascii="Times New Roman" w:eastAsia="Times New Roman" w:hAnsi="Times New Roman" w:cs="Times New Roman"/>
          <w:kern w:val="0"/>
          <w:lang w:eastAsia="en-GB"/>
          <w14:ligatures w14:val="none"/>
        </w:rPr>
        <w:t>Lower overheads than traditional high-street chains (MarketLine, 2023)</w:t>
      </w:r>
    </w:p>
    <w:p w14:paraId="68E8BB65" w14:textId="77777777" w:rsidR="00A70635" w:rsidRPr="00A70635" w:rsidRDefault="00A70635" w:rsidP="00A70635">
      <w:pPr>
        <w:spacing w:before="100" w:beforeAutospacing="1" w:after="100" w:afterAutospacing="1" w:line="240" w:lineRule="auto"/>
        <w:ind w:left="720"/>
        <w:rPr>
          <w:rFonts w:ascii="Arial" w:eastAsia="Times New Roman" w:hAnsi="Arial" w:cs="Arial"/>
          <w:kern w:val="0"/>
          <w:sz w:val="22"/>
          <w:szCs w:val="22"/>
          <w:lang w:eastAsia="en-GB"/>
          <w14:ligatures w14:val="none"/>
        </w:rPr>
      </w:pPr>
    </w:p>
    <w:p w14:paraId="1ED441A9" w14:textId="77777777" w:rsidR="00A70635" w:rsidRPr="00A70635" w:rsidRDefault="00A70635" w:rsidP="00A706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70635">
        <w:rPr>
          <w:rFonts w:ascii="Times New Roman" w:eastAsia="Times New Roman" w:hAnsi="Times New Roman" w:cs="Times New Roman"/>
          <w:b/>
          <w:bCs/>
          <w:kern w:val="0"/>
          <w:sz w:val="36"/>
          <w:szCs w:val="36"/>
          <w:lang w:eastAsia="en-GB"/>
          <w14:ligatures w14:val="none"/>
        </w:rPr>
        <w:t>3. Appraisal of the Current Strategic Direction and Goals (Vision, Mission, Objectives)</w:t>
      </w:r>
    </w:p>
    <w:p w14:paraId="4FE7ADE9" w14:textId="77777777" w:rsidR="00A70635" w:rsidRPr="00A70635" w:rsidRDefault="00A70635" w:rsidP="00A7063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b/>
          <w:bCs/>
          <w:kern w:val="0"/>
          <w:lang w:eastAsia="en-GB"/>
          <w14:ligatures w14:val="none"/>
        </w:rPr>
        <w:t>Pharmacy 2You</w:t>
      </w:r>
      <w:r w:rsidRPr="00A70635">
        <w:rPr>
          <w:rFonts w:ascii="Times New Roman" w:eastAsia="Times New Roman" w:hAnsi="Times New Roman" w:cs="Times New Roman"/>
          <w:kern w:val="0"/>
          <w:lang w:eastAsia="en-GB"/>
          <w14:ligatures w14:val="none"/>
        </w:rPr>
        <w:t xml:space="preserve"> positions itself as an accessible, community-focused online and local pharmacy service supporting patients with convenient access to prescribed and over-the-counter medicines. Although the organisation does not publicly state formal vision or mission statements (as is common among small independent pharmacies), its strategic direction can be inferred from its operations, service design, and communication with customers.</w:t>
      </w:r>
    </w:p>
    <w:p w14:paraId="0607A25C" w14:textId="55F1A0F8" w:rsidR="00A70635" w:rsidRPr="00A70635" w:rsidRDefault="00A70635" w:rsidP="00A7063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70635">
        <w:rPr>
          <w:rFonts w:ascii="Times New Roman" w:eastAsia="Times New Roman" w:hAnsi="Times New Roman" w:cs="Times New Roman"/>
          <w:b/>
          <w:bCs/>
          <w:kern w:val="0"/>
          <w:sz w:val="27"/>
          <w:szCs w:val="27"/>
          <w:lang w:eastAsia="en-GB"/>
          <w14:ligatures w14:val="none"/>
        </w:rPr>
        <w:t xml:space="preserve">Vision </w:t>
      </w:r>
    </w:p>
    <w:p w14:paraId="6DEC474F" w14:textId="77777777" w:rsidR="00A70635" w:rsidRPr="00A70635" w:rsidRDefault="00A70635" w:rsidP="00A7063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kern w:val="0"/>
          <w:lang w:eastAsia="en-GB"/>
          <w14:ligatures w14:val="none"/>
        </w:rPr>
        <w:t>To become a trusted and easily accessible pharmacy service that provides safe, efficient, and personalised medication support to patients in the local community and beyond.</w:t>
      </w:r>
    </w:p>
    <w:p w14:paraId="1C78A221" w14:textId="742C4214" w:rsidR="00A70635" w:rsidRPr="00A70635" w:rsidRDefault="00A70635" w:rsidP="00A7063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70635">
        <w:rPr>
          <w:rFonts w:ascii="Times New Roman" w:eastAsia="Times New Roman" w:hAnsi="Times New Roman" w:cs="Times New Roman"/>
          <w:b/>
          <w:bCs/>
          <w:kern w:val="0"/>
          <w:sz w:val="27"/>
          <w:szCs w:val="27"/>
          <w:lang w:eastAsia="en-GB"/>
          <w14:ligatures w14:val="none"/>
        </w:rPr>
        <w:t xml:space="preserve">Mission </w:t>
      </w:r>
    </w:p>
    <w:p w14:paraId="5AF08C5A" w14:textId="77777777" w:rsidR="00A70635" w:rsidRPr="00A70635" w:rsidRDefault="00A70635" w:rsidP="00A7063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kern w:val="0"/>
          <w:lang w:eastAsia="en-GB"/>
          <w14:ligatures w14:val="none"/>
        </w:rPr>
        <w:t>To improve patient wellbeing through reliable medicine dispensing, home delivery services, and professional healthcare advice, while ensuring regulatory compliance, safety, and high-quality customer service.</w:t>
      </w:r>
    </w:p>
    <w:p w14:paraId="594533A8" w14:textId="77777777" w:rsidR="00A70635" w:rsidRPr="00A70635" w:rsidRDefault="00A70635" w:rsidP="00A7063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70635">
        <w:rPr>
          <w:rFonts w:ascii="Times New Roman" w:eastAsia="Times New Roman" w:hAnsi="Times New Roman" w:cs="Times New Roman"/>
          <w:b/>
          <w:bCs/>
          <w:kern w:val="0"/>
          <w:sz w:val="27"/>
          <w:szCs w:val="27"/>
          <w:lang w:eastAsia="en-GB"/>
          <w14:ligatures w14:val="none"/>
        </w:rPr>
        <w:t>Strategic Objectives</w:t>
      </w:r>
    </w:p>
    <w:p w14:paraId="4EDBA180" w14:textId="77777777" w:rsidR="00A70635" w:rsidRPr="00A70635" w:rsidRDefault="00A70635" w:rsidP="00A70635">
      <w:pPr>
        <w:numPr>
          <w:ilvl w:val="0"/>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b/>
          <w:bCs/>
          <w:kern w:val="0"/>
          <w:lang w:eastAsia="en-GB"/>
          <w14:ligatures w14:val="none"/>
        </w:rPr>
        <w:t>Expand customer reach</w:t>
      </w:r>
      <w:r w:rsidRPr="00A70635">
        <w:rPr>
          <w:rFonts w:ascii="Times New Roman" w:eastAsia="Times New Roman" w:hAnsi="Times New Roman" w:cs="Times New Roman"/>
          <w:kern w:val="0"/>
          <w:lang w:eastAsia="en-GB"/>
          <w14:ligatures w14:val="none"/>
        </w:rPr>
        <w:t xml:space="preserve"> by strengthening online services and improving digital accessibility.</w:t>
      </w:r>
    </w:p>
    <w:p w14:paraId="5ACF93CD" w14:textId="77777777" w:rsidR="00A70635" w:rsidRPr="00A70635" w:rsidRDefault="00A70635" w:rsidP="00A70635">
      <w:pPr>
        <w:numPr>
          <w:ilvl w:val="0"/>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b/>
          <w:bCs/>
          <w:kern w:val="0"/>
          <w:lang w:eastAsia="en-GB"/>
          <w14:ligatures w14:val="none"/>
        </w:rPr>
        <w:t>Improve patient experience</w:t>
      </w:r>
      <w:r w:rsidRPr="00A70635">
        <w:rPr>
          <w:rFonts w:ascii="Times New Roman" w:eastAsia="Times New Roman" w:hAnsi="Times New Roman" w:cs="Times New Roman"/>
          <w:kern w:val="0"/>
          <w:lang w:eastAsia="en-GB"/>
          <w14:ligatures w14:val="none"/>
        </w:rPr>
        <w:t xml:space="preserve"> through faster dispensing, automated reminders, and enhanced communication.</w:t>
      </w:r>
    </w:p>
    <w:p w14:paraId="6865F351" w14:textId="77777777" w:rsidR="00A70635" w:rsidRPr="00A70635" w:rsidRDefault="00A70635" w:rsidP="00A70635">
      <w:pPr>
        <w:numPr>
          <w:ilvl w:val="0"/>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b/>
          <w:bCs/>
          <w:kern w:val="0"/>
          <w:lang w:eastAsia="en-GB"/>
          <w14:ligatures w14:val="none"/>
        </w:rPr>
        <w:t>Maintain full regulatory compliance</w:t>
      </w:r>
      <w:r w:rsidRPr="00A70635">
        <w:rPr>
          <w:rFonts w:ascii="Times New Roman" w:eastAsia="Times New Roman" w:hAnsi="Times New Roman" w:cs="Times New Roman"/>
          <w:kern w:val="0"/>
          <w:lang w:eastAsia="en-GB"/>
          <w14:ligatures w14:val="none"/>
        </w:rPr>
        <w:t xml:space="preserve"> with NHS, GPhC, and MHRA standards.</w:t>
      </w:r>
    </w:p>
    <w:p w14:paraId="2A344E15" w14:textId="77777777" w:rsidR="00A70635" w:rsidRPr="00A70635" w:rsidRDefault="00A70635" w:rsidP="00A70635">
      <w:pPr>
        <w:numPr>
          <w:ilvl w:val="0"/>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b/>
          <w:bCs/>
          <w:kern w:val="0"/>
          <w:lang w:eastAsia="en-GB"/>
          <w14:ligatures w14:val="none"/>
        </w:rPr>
        <w:t>Increase operational efficiency</w:t>
      </w:r>
      <w:r w:rsidRPr="00A70635">
        <w:rPr>
          <w:rFonts w:ascii="Times New Roman" w:eastAsia="Times New Roman" w:hAnsi="Times New Roman" w:cs="Times New Roman"/>
          <w:kern w:val="0"/>
          <w:lang w:eastAsia="en-GB"/>
          <w14:ligatures w14:val="none"/>
        </w:rPr>
        <w:t xml:space="preserve"> through technology adoption (EPS, stock systems, automation).</w:t>
      </w:r>
    </w:p>
    <w:p w14:paraId="33A4456F" w14:textId="77777777" w:rsidR="00A70635" w:rsidRPr="00A70635" w:rsidRDefault="00A70635" w:rsidP="00A70635">
      <w:pPr>
        <w:numPr>
          <w:ilvl w:val="0"/>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b/>
          <w:bCs/>
          <w:kern w:val="0"/>
          <w:lang w:eastAsia="en-GB"/>
          <w14:ligatures w14:val="none"/>
        </w:rPr>
        <w:t>Build stronger partnerships</w:t>
      </w:r>
      <w:r w:rsidRPr="00A70635">
        <w:rPr>
          <w:rFonts w:ascii="Times New Roman" w:eastAsia="Times New Roman" w:hAnsi="Times New Roman" w:cs="Times New Roman"/>
          <w:kern w:val="0"/>
          <w:lang w:eastAsia="en-GB"/>
          <w14:ligatures w14:val="none"/>
        </w:rPr>
        <w:t xml:space="preserve"> with local GP practices and healthcare providers.</w:t>
      </w:r>
    </w:p>
    <w:p w14:paraId="400889F1" w14:textId="77777777" w:rsidR="00A70635" w:rsidRPr="00A70635" w:rsidRDefault="00A70635" w:rsidP="00A70635">
      <w:pPr>
        <w:numPr>
          <w:ilvl w:val="0"/>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70635">
        <w:rPr>
          <w:rFonts w:ascii="Times New Roman" w:eastAsia="Times New Roman" w:hAnsi="Times New Roman" w:cs="Times New Roman"/>
          <w:b/>
          <w:bCs/>
          <w:kern w:val="0"/>
          <w:lang w:eastAsia="en-GB"/>
          <w14:ligatures w14:val="none"/>
        </w:rPr>
        <w:t>Achieve sustainable financial growth</w:t>
      </w:r>
      <w:r w:rsidRPr="00A70635">
        <w:rPr>
          <w:rFonts w:ascii="Times New Roman" w:eastAsia="Times New Roman" w:hAnsi="Times New Roman" w:cs="Times New Roman"/>
          <w:kern w:val="0"/>
          <w:lang w:eastAsia="en-GB"/>
          <w14:ligatures w14:val="none"/>
        </w:rPr>
        <w:t xml:space="preserve"> as an SME through cost control, service diversification, and customer retention.</w:t>
      </w:r>
    </w:p>
    <w:p w14:paraId="6D97B650" w14:textId="77777777" w:rsidR="00A70635" w:rsidRDefault="00A70635" w:rsidP="00A70635">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160E4DBC" w14:textId="77777777" w:rsidR="004E22C0" w:rsidRPr="004E22C0" w:rsidRDefault="00000000" w:rsidP="004E22C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pict w14:anchorId="6F4F57EA">
          <v:rect id="_x0000_i1027" style="width:0;height:1.5pt" o:hralign="center" o:hrstd="t" o:hr="t" fillcolor="#a0a0a0" stroked="f"/>
        </w:pict>
      </w:r>
    </w:p>
    <w:p w14:paraId="711EDB2C" w14:textId="2AFB576E" w:rsidR="009427D9" w:rsidRP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27D9">
        <w:rPr>
          <w:rFonts w:ascii="Times New Roman" w:eastAsia="Times New Roman" w:hAnsi="Times New Roman" w:cs="Times New Roman"/>
          <w:b/>
          <w:bCs/>
          <w:kern w:val="36"/>
          <w:sz w:val="48"/>
          <w:szCs w:val="48"/>
          <w:lang w:eastAsia="en-GB"/>
          <w14:ligatures w14:val="none"/>
        </w:rPr>
        <w:t xml:space="preserve">4. Environmental Scan and Competitive Positioning </w:t>
      </w:r>
    </w:p>
    <w:p w14:paraId="47CB2BFB"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A comprehensive environmental scan helps assess Pharmacy2You’s strategic position by examining internal strengths and weaknesses and external opportunities and threats. This section applies four major strategic analysis tools—</w:t>
      </w:r>
      <w:r w:rsidRPr="009427D9">
        <w:rPr>
          <w:rFonts w:ascii="Times New Roman" w:eastAsia="Times New Roman" w:hAnsi="Times New Roman" w:cs="Times New Roman"/>
          <w:b/>
          <w:bCs/>
          <w:kern w:val="0"/>
          <w:lang w:eastAsia="en-GB"/>
          <w14:ligatures w14:val="none"/>
        </w:rPr>
        <w:t>SWOT</w:t>
      </w:r>
      <w:r w:rsidRPr="009427D9">
        <w:rPr>
          <w:rFonts w:ascii="Times New Roman" w:eastAsia="Times New Roman" w:hAnsi="Times New Roman" w:cs="Times New Roman"/>
          <w:kern w:val="0"/>
          <w:lang w:eastAsia="en-GB"/>
          <w14:ligatures w14:val="none"/>
        </w:rPr>
        <w:t xml:space="preserve">, </w:t>
      </w:r>
      <w:r w:rsidRPr="009427D9">
        <w:rPr>
          <w:rFonts w:ascii="Times New Roman" w:eastAsia="Times New Roman" w:hAnsi="Times New Roman" w:cs="Times New Roman"/>
          <w:b/>
          <w:bCs/>
          <w:kern w:val="0"/>
          <w:lang w:eastAsia="en-GB"/>
          <w14:ligatures w14:val="none"/>
        </w:rPr>
        <w:t>Value Chain</w:t>
      </w:r>
      <w:r w:rsidRPr="009427D9">
        <w:rPr>
          <w:rFonts w:ascii="Times New Roman" w:eastAsia="Times New Roman" w:hAnsi="Times New Roman" w:cs="Times New Roman"/>
          <w:kern w:val="0"/>
          <w:lang w:eastAsia="en-GB"/>
          <w14:ligatures w14:val="none"/>
        </w:rPr>
        <w:t xml:space="preserve">, </w:t>
      </w:r>
      <w:r w:rsidRPr="009427D9">
        <w:rPr>
          <w:rFonts w:ascii="Times New Roman" w:eastAsia="Times New Roman" w:hAnsi="Times New Roman" w:cs="Times New Roman"/>
          <w:b/>
          <w:bCs/>
          <w:kern w:val="0"/>
          <w:lang w:eastAsia="en-GB"/>
          <w14:ligatures w14:val="none"/>
        </w:rPr>
        <w:t>PESTEL</w:t>
      </w:r>
      <w:r w:rsidRPr="009427D9">
        <w:rPr>
          <w:rFonts w:ascii="Times New Roman" w:eastAsia="Times New Roman" w:hAnsi="Times New Roman" w:cs="Times New Roman"/>
          <w:kern w:val="0"/>
          <w:lang w:eastAsia="en-GB"/>
          <w14:ligatures w14:val="none"/>
        </w:rPr>
        <w:t xml:space="preserve">, and </w:t>
      </w:r>
      <w:r w:rsidRPr="009427D9">
        <w:rPr>
          <w:rFonts w:ascii="Times New Roman" w:eastAsia="Times New Roman" w:hAnsi="Times New Roman" w:cs="Times New Roman"/>
          <w:b/>
          <w:bCs/>
          <w:kern w:val="0"/>
          <w:lang w:eastAsia="en-GB"/>
          <w14:ligatures w14:val="none"/>
        </w:rPr>
        <w:t>Porter’s Five Forces</w:t>
      </w:r>
      <w:r w:rsidRPr="009427D9">
        <w:rPr>
          <w:rFonts w:ascii="Times New Roman" w:eastAsia="Times New Roman" w:hAnsi="Times New Roman" w:cs="Times New Roman"/>
          <w:kern w:val="0"/>
          <w:lang w:eastAsia="en-GB"/>
          <w14:ligatures w14:val="none"/>
        </w:rPr>
        <w:t>—as recommended by Johnson, Whittington and Scholes (2020).</w:t>
      </w:r>
    </w:p>
    <w:p w14:paraId="586325E8" w14:textId="77777777" w:rsidR="009427D9" w:rsidRPr="009427D9" w:rsidRDefault="00000000" w:rsidP="009427D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9C2EA4F">
          <v:rect id="_x0000_i1028" style="width:0;height:1.5pt" o:hralign="center" o:hrstd="t" o:hr="t" fillcolor="#a0a0a0" stroked="f"/>
        </w:pict>
      </w:r>
    </w:p>
    <w:p w14:paraId="6EB21A6F" w14:textId="4166110B" w:rsid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27D9">
        <w:rPr>
          <w:rFonts w:ascii="Times New Roman" w:eastAsia="Times New Roman" w:hAnsi="Times New Roman" w:cs="Times New Roman"/>
          <w:b/>
          <w:bCs/>
          <w:kern w:val="36"/>
          <w:sz w:val="48"/>
          <w:szCs w:val="48"/>
          <w:lang w:eastAsia="en-GB"/>
          <w14:ligatures w14:val="none"/>
        </w:rPr>
        <w:t>4.1 SWOT Analysis</w:t>
      </w:r>
      <w:r>
        <w:rPr>
          <w:rFonts w:ascii="Times New Roman" w:eastAsia="Times New Roman" w:hAnsi="Times New Roman" w:cs="Times New Roman"/>
          <w:b/>
          <w:bCs/>
          <w:kern w:val="36"/>
          <w:sz w:val="48"/>
          <w:szCs w:val="48"/>
          <w:lang w:eastAsia="en-GB"/>
          <w14:ligatures w14:val="none"/>
        </w:rPr>
        <w:t xml:space="preserve"> </w:t>
      </w:r>
    </w:p>
    <w:p w14:paraId="66352A65" w14:textId="77777777" w:rsid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57BAAA6" w14:textId="77777777" w:rsid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6D2D0C" w14:textId="77777777" w:rsid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796EF73" w14:textId="7434B128" w:rsidR="009427D9" w:rsidRP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27D9">
        <w:rPr>
          <w:rFonts w:ascii="Times New Roman" w:eastAsia="Times New Roman" w:hAnsi="Times New Roman" w:cs="Times New Roman"/>
          <w:b/>
          <w:bCs/>
          <w:noProof/>
          <w:kern w:val="36"/>
          <w:sz w:val="48"/>
          <w:szCs w:val="48"/>
          <w:lang w:eastAsia="en-GB"/>
          <w14:ligatures w14:val="none"/>
        </w:rPr>
        <w:drawing>
          <wp:inline distT="0" distB="0" distL="0" distR="0" wp14:anchorId="399A84A2" wp14:editId="70DBB2FD">
            <wp:extent cx="5731510" cy="3221355"/>
            <wp:effectExtent l="0" t="0" r="2540" b="0"/>
            <wp:docPr id="1424147703" name="Picture 1" descr="A screenshot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47703" name="Picture 1" descr="A screenshot of a swot analysis&#10;&#10;AI-generated content may be incorrect."/>
                    <pic:cNvPicPr/>
                  </pic:nvPicPr>
                  <pic:blipFill>
                    <a:blip r:embed="rId6"/>
                    <a:stretch>
                      <a:fillRect/>
                    </a:stretch>
                  </pic:blipFill>
                  <pic:spPr>
                    <a:xfrm>
                      <a:off x="0" y="0"/>
                      <a:ext cx="5731510" cy="3221355"/>
                    </a:xfrm>
                    <a:prstGeom prst="rect">
                      <a:avLst/>
                    </a:prstGeom>
                  </pic:spPr>
                </pic:pic>
              </a:graphicData>
            </a:graphic>
          </wp:inline>
        </w:drawing>
      </w:r>
    </w:p>
    <w:p w14:paraId="41ACF668" w14:textId="77777777" w:rsid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A SWOT analysis highlights the organisation’s internal capabilities and external market conditions. It is a widely used strategic assessment tool for SMEs due to its simplicity and ability to support strategic decision-making (Gürel &amp; Tat, 2017).</w:t>
      </w:r>
    </w:p>
    <w:p w14:paraId="5191F168" w14:textId="77777777" w:rsidR="00FD62EB" w:rsidRDefault="00FD62EB" w:rsidP="00FD62EB">
      <w:pPr>
        <w:pStyle w:val="NormalWeb"/>
      </w:pPr>
      <w:r>
        <w:rPr>
          <w:rStyle w:val="Strong"/>
          <w:rFonts w:eastAsiaTheme="majorEastAsia"/>
        </w:rPr>
        <w:lastRenderedPageBreak/>
        <w:t>Strengths</w:t>
      </w:r>
      <w:r>
        <w:br/>
        <w:t>• Strong digital integration with the NHS Electronic Prescription Service, enabling automated, efficient dispensing (NHS Digital, 2022).</w:t>
      </w:r>
      <w:r>
        <w:br/>
        <w:t>• High convenience through home delivery, increasingly preferred after COVID-19 (ONS, 2023).</w:t>
      </w:r>
      <w:r>
        <w:br/>
        <w:t>• Personalised, relationship-based care typical of SMEs (Anderson et al., 2021).</w:t>
      </w:r>
      <w:r>
        <w:br/>
        <w:t>• Lower operating costs than large chains due to reduced rental and staffing overheads (MarketLine, 2023).</w:t>
      </w:r>
      <w:r>
        <w:br/>
        <w:t>• High agility, allowing rapid technological and process adaptation (Thong, 2019).</w:t>
      </w:r>
    </w:p>
    <w:p w14:paraId="66E71652" w14:textId="77777777" w:rsidR="00FD62EB" w:rsidRDefault="00FD62EB" w:rsidP="00FD62EB">
      <w:pPr>
        <w:pStyle w:val="NormalWeb"/>
      </w:pPr>
      <w:r>
        <w:rPr>
          <w:rStyle w:val="Strong"/>
          <w:rFonts w:eastAsiaTheme="majorEastAsia"/>
        </w:rPr>
        <w:t>Weaknesses</w:t>
      </w:r>
      <w:r>
        <w:br/>
        <w:t>• Lower brand recognition compared with large national chains (MarketLine, 2023).</w:t>
      </w:r>
      <w:r>
        <w:br/>
        <w:t>• Heavy dependence on NHS reimbursement, which has declined 25% in real terms since 2015 (PSNC, 2023).</w:t>
      </w:r>
      <w:r>
        <w:br/>
        <w:t>• Limited workforce capacity, increasing vulnerability to staff shortages (GPhC, 2022).</w:t>
      </w:r>
      <w:r>
        <w:br/>
        <w:t>• Reduced supplier bargaining power compared with high-volume buyers (King’s Fund, 2023).</w:t>
      </w:r>
    </w:p>
    <w:p w14:paraId="4A502513" w14:textId="77777777" w:rsidR="00FD62EB" w:rsidRDefault="00FD62EB" w:rsidP="00FD62EB">
      <w:pPr>
        <w:pStyle w:val="NormalWeb"/>
      </w:pPr>
      <w:r>
        <w:rPr>
          <w:rStyle w:val="Strong"/>
          <w:rFonts w:eastAsiaTheme="majorEastAsia"/>
        </w:rPr>
        <w:t>Opportunities</w:t>
      </w:r>
      <w:r>
        <w:br/>
        <w:t>• Rapidly expanding online pharmacy market, projected to reach £1.8bn by 2026 (Statista, 2024).</w:t>
      </w:r>
      <w:r>
        <w:br/>
        <w:t>• Ageing population driving higher prescription volume (ONS, 2023).</w:t>
      </w:r>
      <w:r>
        <w:br/>
        <w:t>• NHS-backed expansion of pharmacy-led clinical services (NHS England, 2023).</w:t>
      </w:r>
      <w:r>
        <w:br/>
        <w:t>• AI and automation offering efficiency and error-reduction potential (PwC, 2023).</w:t>
      </w:r>
    </w:p>
    <w:p w14:paraId="7FAB2935" w14:textId="77777777" w:rsidR="00FD62EB" w:rsidRDefault="00FD62EB" w:rsidP="00FD62EB">
      <w:pPr>
        <w:pStyle w:val="NormalWeb"/>
      </w:pPr>
      <w:r>
        <w:rPr>
          <w:rStyle w:val="Strong"/>
          <w:rFonts w:eastAsiaTheme="majorEastAsia"/>
        </w:rPr>
        <w:t>Threats</w:t>
      </w:r>
      <w:r>
        <w:br/>
        <w:t>• Intensifying competition from large digital providers (MarketLine, 2023).</w:t>
      </w:r>
      <w:r>
        <w:br/>
        <w:t>• Growing medicine shortages linked to Brexit and global pressures (King’s Fund, 2023).</w:t>
      </w:r>
      <w:r>
        <w:br/>
        <w:t>• Increasing cybersecurity and GDPR compliance risks (ICO, 2023).</w:t>
      </w:r>
      <w:r>
        <w:br/>
        <w:t>• Inflation pushing up delivery, fuel and labour costs (ONS, 2023).</w:t>
      </w:r>
    </w:p>
    <w:p w14:paraId="4247099B" w14:textId="77777777" w:rsidR="00FD62EB" w:rsidRPr="009427D9" w:rsidRDefault="00FD62EB" w:rsidP="009427D9">
      <w:pPr>
        <w:spacing w:before="100" w:beforeAutospacing="1" w:after="100" w:afterAutospacing="1" w:line="240" w:lineRule="auto"/>
        <w:rPr>
          <w:rFonts w:ascii="Arial" w:eastAsia="Times New Roman" w:hAnsi="Arial" w:cs="Arial"/>
          <w:kern w:val="0"/>
          <w:sz w:val="22"/>
          <w:szCs w:val="22"/>
          <w:lang w:eastAsia="en-GB"/>
          <w14:ligatures w14:val="none"/>
        </w:rPr>
      </w:pPr>
    </w:p>
    <w:p w14:paraId="0B41A0C4" w14:textId="77777777" w:rsidR="009427D9" w:rsidRPr="009427D9" w:rsidRDefault="00000000" w:rsidP="009427D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5A39A56">
          <v:rect id="_x0000_i1029" style="width:0;height:1.5pt" o:hralign="center" o:hrstd="t" o:hr="t" fillcolor="#a0a0a0" stroked="f"/>
        </w:pict>
      </w:r>
    </w:p>
    <w:p w14:paraId="6FC12617" w14:textId="3554C8A8" w:rsid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27D9">
        <w:rPr>
          <w:rFonts w:ascii="Times New Roman" w:eastAsia="Times New Roman" w:hAnsi="Times New Roman" w:cs="Times New Roman"/>
          <w:b/>
          <w:bCs/>
          <w:kern w:val="36"/>
          <w:sz w:val="48"/>
          <w:szCs w:val="48"/>
          <w:lang w:eastAsia="en-GB"/>
          <w14:ligatures w14:val="none"/>
        </w:rPr>
        <w:t>4.2 Value Chain Analysis</w:t>
      </w:r>
    </w:p>
    <w:p w14:paraId="4A49C7A2" w14:textId="57BAEF3A" w:rsidR="009427D9" w:rsidRPr="009427D9" w:rsidRDefault="00100C01"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noProof/>
        </w:rPr>
        <w:drawing>
          <wp:inline distT="0" distB="0" distL="0" distR="0" wp14:anchorId="48901114" wp14:editId="46C391BE">
            <wp:extent cx="5141595" cy="1880870"/>
            <wp:effectExtent l="0" t="0" r="1905" b="5080"/>
            <wp:docPr id="1727638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1595" cy="1880870"/>
                    </a:xfrm>
                    <a:prstGeom prst="rect">
                      <a:avLst/>
                    </a:prstGeom>
                    <a:noFill/>
                    <a:ln>
                      <a:noFill/>
                    </a:ln>
                  </pic:spPr>
                </pic:pic>
              </a:graphicData>
            </a:graphic>
          </wp:inline>
        </w:drawing>
      </w:r>
    </w:p>
    <w:p w14:paraId="5FDF249C"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lastRenderedPageBreak/>
        <w:t>Porter’s Value Chain framework is used to identify activities that create value and competitive advantage (Porter, 1985).</w:t>
      </w:r>
    </w:p>
    <w:p w14:paraId="0E8C5003" w14:textId="77777777" w:rsidR="009427D9" w:rsidRPr="009427D9" w:rsidRDefault="009427D9" w:rsidP="009427D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427D9">
        <w:rPr>
          <w:rFonts w:ascii="Times New Roman" w:eastAsia="Times New Roman" w:hAnsi="Times New Roman" w:cs="Times New Roman"/>
          <w:b/>
          <w:bCs/>
          <w:kern w:val="0"/>
          <w:sz w:val="27"/>
          <w:szCs w:val="27"/>
          <w:lang w:eastAsia="en-GB"/>
          <w14:ligatures w14:val="none"/>
        </w:rPr>
        <w:t>Primary Activities</w:t>
      </w:r>
    </w:p>
    <w:p w14:paraId="37E646AD"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Inbound Logistics</w:t>
      </w:r>
      <w:r w:rsidRPr="009427D9">
        <w:rPr>
          <w:rFonts w:ascii="Times New Roman" w:eastAsia="Times New Roman" w:hAnsi="Times New Roman" w:cs="Times New Roman"/>
          <w:kern w:val="0"/>
          <w:lang w:eastAsia="en-GB"/>
          <w14:ligatures w14:val="none"/>
        </w:rPr>
        <w:br/>
        <w:t>Pharmacy2You relies on wholesalers such as AAH and Phoenix. Supply chain constraints and medicine shortages can disrupt inbound logistics (King’s Fund, 2023).</w:t>
      </w:r>
    </w:p>
    <w:p w14:paraId="18322E8C"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Operations</w:t>
      </w:r>
      <w:r w:rsidRPr="009427D9">
        <w:rPr>
          <w:rFonts w:ascii="Times New Roman" w:eastAsia="Times New Roman" w:hAnsi="Times New Roman" w:cs="Times New Roman"/>
          <w:kern w:val="0"/>
          <w:lang w:eastAsia="en-GB"/>
          <w14:ligatures w14:val="none"/>
        </w:rPr>
        <w:br/>
        <w:t>Pharmacy2You’s EPS-driven dispensing process enhances operational efficiency and accuracy (NHS Digital, 2022). Operations also depend heavily on skilled pharmacy staff who must meet GPhC clinical standards (GPhC, 2022).</w:t>
      </w:r>
    </w:p>
    <w:p w14:paraId="58306037"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Outbound Logistics</w:t>
      </w:r>
      <w:r w:rsidRPr="009427D9">
        <w:rPr>
          <w:rFonts w:ascii="Times New Roman" w:eastAsia="Times New Roman" w:hAnsi="Times New Roman" w:cs="Times New Roman"/>
          <w:kern w:val="0"/>
          <w:lang w:eastAsia="en-GB"/>
          <w14:ligatures w14:val="none"/>
        </w:rPr>
        <w:br/>
        <w:t>Home delivery is a core differentiator. Demand for pharmacy delivery rose significantly during and after COVID-19, with many patients preferring remote access (ONS, 2023).</w:t>
      </w:r>
    </w:p>
    <w:p w14:paraId="52E7F007"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Marketing and Sales</w:t>
      </w:r>
      <w:r w:rsidRPr="009427D9">
        <w:rPr>
          <w:rFonts w:ascii="Times New Roman" w:eastAsia="Times New Roman" w:hAnsi="Times New Roman" w:cs="Times New Roman"/>
          <w:kern w:val="0"/>
          <w:lang w:eastAsia="en-GB"/>
          <w14:ligatures w14:val="none"/>
        </w:rPr>
        <w:br/>
        <w:t>As an SME, Pharmacy2You has limited advertising budget compared to large chains, relying more on digital presence and word-of-mouth (MarketLine, 2023).</w:t>
      </w:r>
    </w:p>
    <w:p w14:paraId="26F0126A"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Service</w:t>
      </w:r>
      <w:r w:rsidRPr="009427D9">
        <w:rPr>
          <w:rFonts w:ascii="Times New Roman" w:eastAsia="Times New Roman" w:hAnsi="Times New Roman" w:cs="Times New Roman"/>
          <w:kern w:val="0"/>
          <w:lang w:eastAsia="en-GB"/>
          <w14:ligatures w14:val="none"/>
        </w:rPr>
        <w:br/>
        <w:t>High-quality, personalised patient counselling increases customer loyalty—a known strength of SME pharmacies (Anderson et al., 2021).</w:t>
      </w:r>
    </w:p>
    <w:p w14:paraId="62FF2620" w14:textId="77777777" w:rsidR="009427D9" w:rsidRPr="009427D9" w:rsidRDefault="00000000" w:rsidP="009427D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064B393">
          <v:rect id="_x0000_i1030" style="width:0;height:1.5pt" o:hralign="center" o:hrstd="t" o:hr="t" fillcolor="#a0a0a0" stroked="f"/>
        </w:pict>
      </w:r>
    </w:p>
    <w:p w14:paraId="71668D9C" w14:textId="77777777" w:rsidR="009427D9" w:rsidRPr="009427D9" w:rsidRDefault="009427D9" w:rsidP="009427D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427D9">
        <w:rPr>
          <w:rFonts w:ascii="Times New Roman" w:eastAsia="Times New Roman" w:hAnsi="Times New Roman" w:cs="Times New Roman"/>
          <w:b/>
          <w:bCs/>
          <w:kern w:val="0"/>
          <w:sz w:val="27"/>
          <w:szCs w:val="27"/>
          <w:lang w:eastAsia="en-GB"/>
          <w14:ligatures w14:val="none"/>
        </w:rPr>
        <w:t>Support Activities</w:t>
      </w:r>
    </w:p>
    <w:p w14:paraId="0653A0C5"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Technology Development</w:t>
      </w:r>
      <w:r w:rsidRPr="009427D9">
        <w:rPr>
          <w:rFonts w:ascii="Times New Roman" w:eastAsia="Times New Roman" w:hAnsi="Times New Roman" w:cs="Times New Roman"/>
          <w:kern w:val="0"/>
          <w:lang w:eastAsia="en-GB"/>
          <w14:ligatures w14:val="none"/>
        </w:rPr>
        <w:br/>
        <w:t>Use of EPS, Pharmacy Medication Record (PMR) systems and emerging automation aligns with NHS digital transformation (NHS England, 2023; PwC, 2023).</w:t>
      </w:r>
    </w:p>
    <w:p w14:paraId="514B6C39"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Human Resource Management</w:t>
      </w:r>
      <w:r w:rsidRPr="009427D9">
        <w:rPr>
          <w:rFonts w:ascii="Times New Roman" w:eastAsia="Times New Roman" w:hAnsi="Times New Roman" w:cs="Times New Roman"/>
          <w:kern w:val="0"/>
          <w:lang w:eastAsia="en-GB"/>
          <w14:ligatures w14:val="none"/>
        </w:rPr>
        <w:br/>
        <w:t>Staff require continuous professional development to meet clinical and regulatory standards (GPhC, 2022).</w:t>
      </w:r>
    </w:p>
    <w:p w14:paraId="5583AB8F"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Procurement</w:t>
      </w:r>
      <w:r w:rsidRPr="009427D9">
        <w:rPr>
          <w:rFonts w:ascii="Times New Roman" w:eastAsia="Times New Roman" w:hAnsi="Times New Roman" w:cs="Times New Roman"/>
          <w:kern w:val="0"/>
          <w:lang w:eastAsia="en-GB"/>
          <w14:ligatures w14:val="none"/>
        </w:rPr>
        <w:br/>
        <w:t>The organisation must navigate supply chain pressures and fluctuating medicine prices (King’s Fund, 2023).</w:t>
      </w:r>
    </w:p>
    <w:p w14:paraId="37597985"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b/>
          <w:bCs/>
          <w:kern w:val="0"/>
          <w:lang w:eastAsia="en-GB"/>
          <w14:ligatures w14:val="none"/>
        </w:rPr>
        <w:t>Firm Infrastructure</w:t>
      </w:r>
      <w:r w:rsidRPr="009427D9">
        <w:rPr>
          <w:rFonts w:ascii="Times New Roman" w:eastAsia="Times New Roman" w:hAnsi="Times New Roman" w:cs="Times New Roman"/>
          <w:kern w:val="0"/>
          <w:lang w:eastAsia="en-GB"/>
          <w14:ligatures w14:val="none"/>
        </w:rPr>
        <w:br/>
        <w:t>Compliance with NHS and MHRA standards ensures safety and governance (MHRA, 2023).</w:t>
      </w:r>
    </w:p>
    <w:p w14:paraId="7E97C4B8" w14:textId="77777777" w:rsidR="009427D9" w:rsidRPr="009427D9" w:rsidRDefault="00000000" w:rsidP="009427D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24A028B">
          <v:rect id="_x0000_i1031" style="width:0;height:1.5pt" o:hralign="center" o:hrstd="t" o:hr="t" fillcolor="#a0a0a0" stroked="f"/>
        </w:pict>
      </w:r>
    </w:p>
    <w:p w14:paraId="1F62CC25" w14:textId="3A2FDF62" w:rsid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27D9">
        <w:rPr>
          <w:rFonts w:ascii="Times New Roman" w:eastAsia="Times New Roman" w:hAnsi="Times New Roman" w:cs="Times New Roman"/>
          <w:b/>
          <w:bCs/>
          <w:kern w:val="36"/>
          <w:sz w:val="48"/>
          <w:szCs w:val="48"/>
          <w:lang w:eastAsia="en-GB"/>
          <w14:ligatures w14:val="none"/>
        </w:rPr>
        <w:t>4.3 PESTEL Analysis</w:t>
      </w:r>
    </w:p>
    <w:p w14:paraId="72D2FB0A" w14:textId="1B527324" w:rsidR="00100C01" w:rsidRPr="009427D9" w:rsidRDefault="00100C01"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noProof/>
        </w:rPr>
        <w:lastRenderedPageBreak/>
        <w:drawing>
          <wp:inline distT="0" distB="0" distL="0" distR="0" wp14:anchorId="4517F5E2" wp14:editId="7172DA93">
            <wp:extent cx="3321170" cy="3321170"/>
            <wp:effectExtent l="0" t="0" r="0" b="0"/>
            <wp:docPr id="947261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61623" name=""/>
                    <pic:cNvPicPr/>
                  </pic:nvPicPr>
                  <pic:blipFill>
                    <a:blip r:embed="rId8"/>
                    <a:stretch>
                      <a:fillRect/>
                    </a:stretch>
                  </pic:blipFill>
                  <pic:spPr>
                    <a:xfrm>
                      <a:off x="0" y="0"/>
                      <a:ext cx="3340114" cy="3340114"/>
                    </a:xfrm>
                    <a:prstGeom prst="rect">
                      <a:avLst/>
                    </a:prstGeom>
                  </pic:spPr>
                </pic:pic>
              </a:graphicData>
            </a:graphic>
          </wp:inline>
        </w:drawing>
      </w:r>
    </w:p>
    <w:p w14:paraId="2C3E6050"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The PESTEL framework assesses macro-environmental influences on Pharmacy2You’s strategy (Johnson et al., 2020).</w:t>
      </w:r>
    </w:p>
    <w:p w14:paraId="7001B1BB"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Political Factors</w:t>
      </w:r>
    </w:p>
    <w:p w14:paraId="0C0C3684" w14:textId="77777777" w:rsidR="009427D9" w:rsidRPr="009427D9" w:rsidRDefault="009427D9" w:rsidP="009427D9">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Cuts in community pharmacy funding have intensified financial pressures across the sector (PSNC, 2023).</w:t>
      </w:r>
    </w:p>
    <w:p w14:paraId="4B9428DD" w14:textId="77777777" w:rsidR="009427D9" w:rsidRPr="009427D9" w:rsidRDefault="009427D9" w:rsidP="009427D9">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Post-COVID health strategy promotes digital transformation, supporting online pharmacies (NHS England, 2023).</w:t>
      </w:r>
    </w:p>
    <w:p w14:paraId="0DF087FF" w14:textId="77777777" w:rsidR="009427D9" w:rsidRPr="009427D9" w:rsidRDefault="009427D9" w:rsidP="009427D9">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Brexit continues to affect medicine availability and logistics (King’s Fund, 2023).</w:t>
      </w:r>
    </w:p>
    <w:p w14:paraId="5F9DEFB7"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Economic Factors</w:t>
      </w:r>
    </w:p>
    <w:p w14:paraId="49023485" w14:textId="77777777" w:rsidR="009427D9" w:rsidRPr="009427D9" w:rsidRDefault="009427D9" w:rsidP="009427D9">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 xml:space="preserve">UK pharmacy market value exceeds </w:t>
      </w:r>
      <w:r w:rsidRPr="009427D9">
        <w:rPr>
          <w:rFonts w:ascii="Times New Roman" w:eastAsia="Times New Roman" w:hAnsi="Times New Roman" w:cs="Times New Roman"/>
          <w:b/>
          <w:bCs/>
          <w:kern w:val="0"/>
          <w:lang w:eastAsia="en-GB"/>
          <w14:ligatures w14:val="none"/>
        </w:rPr>
        <w:t>£14 billion</w:t>
      </w:r>
      <w:r w:rsidRPr="009427D9">
        <w:rPr>
          <w:rFonts w:ascii="Times New Roman" w:eastAsia="Times New Roman" w:hAnsi="Times New Roman" w:cs="Times New Roman"/>
          <w:kern w:val="0"/>
          <w:lang w:eastAsia="en-GB"/>
          <w14:ligatures w14:val="none"/>
        </w:rPr>
        <w:t xml:space="preserve"> (Statista, 2024).</w:t>
      </w:r>
    </w:p>
    <w:p w14:paraId="74A5A183" w14:textId="77777777" w:rsidR="009427D9" w:rsidRPr="009427D9" w:rsidRDefault="009427D9" w:rsidP="009427D9">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Inflation increases labour, packaging and delivery costs (ONS, 2023).</w:t>
      </w:r>
    </w:p>
    <w:p w14:paraId="11321E92" w14:textId="77777777" w:rsidR="009427D9" w:rsidRPr="009427D9" w:rsidRDefault="009427D9" w:rsidP="009427D9">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Patients increasingly choose lower-cost generic medicines during economic strain.</w:t>
      </w:r>
    </w:p>
    <w:p w14:paraId="4ACB83CE"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Social Factors</w:t>
      </w:r>
    </w:p>
    <w:p w14:paraId="7C8C5B96" w14:textId="77777777" w:rsidR="009427D9" w:rsidRPr="009427D9" w:rsidRDefault="009427D9" w:rsidP="009427D9">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Rising prevalence of chronic illnesses such as diabetes and hypertension increases medicine demand (NICE, 2022).</w:t>
      </w:r>
    </w:p>
    <w:p w14:paraId="2FA27CF5" w14:textId="77777777" w:rsidR="009427D9" w:rsidRPr="009427D9" w:rsidRDefault="009427D9" w:rsidP="009427D9">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The ageing population relies heavily on repeat prescriptions (ONS, 2023).</w:t>
      </w:r>
    </w:p>
    <w:p w14:paraId="07A09966" w14:textId="77777777" w:rsidR="009427D9" w:rsidRPr="009427D9" w:rsidRDefault="009427D9" w:rsidP="009427D9">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Public preference for digital and home-based services continues to grow post-pandemic (NHS Digital, 2022).</w:t>
      </w:r>
    </w:p>
    <w:p w14:paraId="3729A217"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Technological Factors</w:t>
      </w:r>
    </w:p>
    <w:p w14:paraId="533C237F" w14:textId="77777777" w:rsidR="009427D9" w:rsidRPr="009427D9" w:rsidRDefault="009427D9" w:rsidP="009427D9">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lastRenderedPageBreak/>
        <w:t>Expansion of EPS and NHS App prescription services supports digital pharmacies (NHS Digital, 2022).</w:t>
      </w:r>
    </w:p>
    <w:p w14:paraId="452AA27E" w14:textId="77777777" w:rsidR="009427D9" w:rsidRPr="009427D9" w:rsidRDefault="009427D9" w:rsidP="009427D9">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Automation reduces errors and increases dispensing speed (PwC, 2023).</w:t>
      </w:r>
    </w:p>
    <w:p w14:paraId="0FA89012" w14:textId="77777777" w:rsidR="009427D9" w:rsidRPr="009427D9" w:rsidRDefault="009427D9" w:rsidP="009427D9">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Cybersecurity requirements are increasing as health becomes more digitised (ICO, 2023).</w:t>
      </w:r>
    </w:p>
    <w:p w14:paraId="50ABC347"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Environmental Factors</w:t>
      </w:r>
    </w:p>
    <w:p w14:paraId="686F523B" w14:textId="77777777" w:rsidR="009427D9" w:rsidRPr="009427D9" w:rsidRDefault="009427D9" w:rsidP="009427D9">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Healthcare organisations face growing expectations to reduce carbon emissions and adopt sustainable materials (DEFRA, 2023).</w:t>
      </w:r>
    </w:p>
    <w:p w14:paraId="11B2A0AA" w14:textId="77777777" w:rsidR="009427D9" w:rsidRPr="009427D9" w:rsidRDefault="009427D9" w:rsidP="009427D9">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Delivery fleets contribute to emissions, encouraging the use of low-carbon alternatives.</w:t>
      </w:r>
    </w:p>
    <w:p w14:paraId="0CCA5D92"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Legal Factors</w:t>
      </w:r>
    </w:p>
    <w:p w14:paraId="4A746C46" w14:textId="77777777" w:rsidR="009427D9" w:rsidRPr="009427D9" w:rsidRDefault="009427D9" w:rsidP="009427D9">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GPhC and MHRA regulate pharmacy practice to ensure safety (GPhC, 2022; MHRA, 2023).</w:t>
      </w:r>
    </w:p>
    <w:p w14:paraId="6F6AA925" w14:textId="77777777" w:rsidR="009427D9" w:rsidRPr="009427D9" w:rsidRDefault="009427D9" w:rsidP="009427D9">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GDPR mandates strict protection of health data (ICO, 2023).</w:t>
      </w:r>
    </w:p>
    <w:p w14:paraId="69E7E9F9" w14:textId="77777777" w:rsidR="009427D9" w:rsidRPr="009427D9" w:rsidRDefault="009427D9" w:rsidP="009427D9">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Pharmacies must comply with controlled drug legislation.</w:t>
      </w:r>
    </w:p>
    <w:p w14:paraId="0107E747" w14:textId="77777777" w:rsidR="009427D9" w:rsidRPr="009427D9" w:rsidRDefault="00000000" w:rsidP="009427D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C5056CD">
          <v:rect id="_x0000_i1032" style="width:0;height:1.5pt" o:hralign="center" o:hrstd="t" o:hr="t" fillcolor="#a0a0a0" stroked="f"/>
        </w:pict>
      </w:r>
    </w:p>
    <w:p w14:paraId="27403EE6" w14:textId="096550BB" w:rsidR="009427D9" w:rsidRDefault="009427D9"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27D9">
        <w:rPr>
          <w:rFonts w:ascii="Times New Roman" w:eastAsia="Times New Roman" w:hAnsi="Times New Roman" w:cs="Times New Roman"/>
          <w:b/>
          <w:bCs/>
          <w:kern w:val="36"/>
          <w:sz w:val="48"/>
          <w:szCs w:val="48"/>
          <w:lang w:eastAsia="en-GB"/>
          <w14:ligatures w14:val="none"/>
        </w:rPr>
        <w:t xml:space="preserve">4.4 Porter’s Five Forces Analysis </w:t>
      </w:r>
    </w:p>
    <w:p w14:paraId="5EE00B00" w14:textId="0769A79A" w:rsidR="00100C01" w:rsidRPr="009427D9" w:rsidRDefault="00100C01" w:rsidP="009427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noProof/>
          <w:kern w:val="36"/>
          <w:sz w:val="48"/>
          <w:szCs w:val="48"/>
          <w:lang w:eastAsia="en-GB"/>
          <w14:ligatures w14:val="none"/>
        </w:rPr>
        <w:drawing>
          <wp:inline distT="0" distB="0" distL="0" distR="0" wp14:anchorId="5DBBC45B" wp14:editId="2359BDA7">
            <wp:extent cx="3881887" cy="2494280"/>
            <wp:effectExtent l="0" t="0" r="4445" b="1270"/>
            <wp:docPr id="523285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96766" cy="2503840"/>
                    </a:xfrm>
                    <a:prstGeom prst="rect">
                      <a:avLst/>
                    </a:prstGeom>
                    <a:noFill/>
                    <a:ln>
                      <a:noFill/>
                    </a:ln>
                  </pic:spPr>
                </pic:pic>
              </a:graphicData>
            </a:graphic>
          </wp:inline>
        </w:drawing>
      </w:r>
    </w:p>
    <w:p w14:paraId="66B9C88F"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Porter’s model evaluates competitive intensity and market attractiveness (Porter, 1980).</w:t>
      </w:r>
    </w:p>
    <w:p w14:paraId="004FF47A"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1. Competitive Rivalry – HIGH</w:t>
      </w:r>
    </w:p>
    <w:p w14:paraId="166291F0"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 xml:space="preserve">Large competitors—including Boots, </w:t>
      </w:r>
      <w:proofErr w:type="spellStart"/>
      <w:r w:rsidRPr="009427D9">
        <w:rPr>
          <w:rFonts w:ascii="Times New Roman" w:eastAsia="Times New Roman" w:hAnsi="Times New Roman" w:cs="Times New Roman"/>
          <w:kern w:val="0"/>
          <w:lang w:eastAsia="en-GB"/>
          <w14:ligatures w14:val="none"/>
        </w:rPr>
        <w:t>LloydsDirect</w:t>
      </w:r>
      <w:proofErr w:type="spellEnd"/>
      <w:r w:rsidRPr="009427D9">
        <w:rPr>
          <w:rFonts w:ascii="Times New Roman" w:eastAsia="Times New Roman" w:hAnsi="Times New Roman" w:cs="Times New Roman"/>
          <w:kern w:val="0"/>
          <w:lang w:eastAsia="en-GB"/>
          <w14:ligatures w14:val="none"/>
        </w:rPr>
        <w:t xml:space="preserve"> and Well Pharmacy—dominate market share and invest heavily in digital infrastructure (MarketLine, 2023). High switching ease via EPS increases intensity (NHS Digital, 2022).</w:t>
      </w:r>
    </w:p>
    <w:p w14:paraId="5E855EB5"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lastRenderedPageBreak/>
        <w:t>2. Threat of New Entrants – MEDIUM</w:t>
      </w:r>
    </w:p>
    <w:p w14:paraId="3D8F28A4"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While digital pharmacies can enter the market, the sector is heavily regulated by GPhC and MHRA, creating barriers (GPhC, 2022). However, the growth of telehealth platforms increases potential entrants.</w:t>
      </w:r>
    </w:p>
    <w:p w14:paraId="3816F44B"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3. Supplier Power – MEDIUM</w:t>
      </w:r>
    </w:p>
    <w:p w14:paraId="63A6BD7B"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Wholesalers control medicine availability and pricing, especially during shortages (King’s Fund, 2023). SMEs have less power than large chains when negotiating.</w:t>
      </w:r>
    </w:p>
    <w:p w14:paraId="0EC00887"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4. Buyer Power – HIGH</w:t>
      </w:r>
    </w:p>
    <w:p w14:paraId="7813EBA5" w14:textId="77777777" w:rsidR="009427D9" w:rsidRP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Patients can switch pharmacies instantly via EPS nomination and NHS App settings (NHS Digital, 2022). Online reviews further amplify customer influence.</w:t>
      </w:r>
    </w:p>
    <w:p w14:paraId="2F441985" w14:textId="77777777" w:rsidR="009427D9" w:rsidRPr="009427D9" w:rsidRDefault="009427D9" w:rsidP="009427D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27D9">
        <w:rPr>
          <w:rFonts w:ascii="Times New Roman" w:eastAsia="Times New Roman" w:hAnsi="Times New Roman" w:cs="Times New Roman"/>
          <w:b/>
          <w:bCs/>
          <w:kern w:val="0"/>
          <w:sz w:val="36"/>
          <w:szCs w:val="36"/>
          <w:lang w:eastAsia="en-GB"/>
          <w14:ligatures w14:val="none"/>
        </w:rPr>
        <w:t>5. Threat of Substitutes – LOW to MEDIUM</w:t>
      </w:r>
    </w:p>
    <w:p w14:paraId="6293D177" w14:textId="77777777" w:rsidR="009427D9" w:rsidRDefault="009427D9"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27D9">
        <w:rPr>
          <w:rFonts w:ascii="Times New Roman" w:eastAsia="Times New Roman" w:hAnsi="Times New Roman" w:cs="Times New Roman"/>
          <w:kern w:val="0"/>
          <w:lang w:eastAsia="en-GB"/>
          <w14:ligatures w14:val="none"/>
        </w:rPr>
        <w:t>GP dispensaries and supermarket pharmacies provide alternatives, but only for limited services and population groups (NICE, 2022).</w:t>
      </w:r>
    </w:p>
    <w:p w14:paraId="66149D9E" w14:textId="77777777" w:rsidR="0027339D" w:rsidRPr="009427D9" w:rsidRDefault="0027339D" w:rsidP="009427D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5C6DA88" w14:textId="6378E7DF" w:rsidR="0027339D" w:rsidRPr="0027339D" w:rsidRDefault="0027339D" w:rsidP="0027339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7339D">
        <w:rPr>
          <w:rFonts w:ascii="Times New Roman" w:eastAsia="Times New Roman" w:hAnsi="Times New Roman" w:cs="Times New Roman"/>
          <w:b/>
          <w:bCs/>
          <w:kern w:val="36"/>
          <w:sz w:val="48"/>
          <w:szCs w:val="48"/>
          <w:lang w:eastAsia="en-GB"/>
          <w14:ligatures w14:val="none"/>
        </w:rPr>
        <w:t xml:space="preserve">5. Strategic Growth Choices for Pharmacy2You </w:t>
      </w:r>
    </w:p>
    <w:p w14:paraId="58BA4DC6"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 xml:space="preserve">Small and medium-sized enterprises (SMEs) must adopt growth strategies that leverage internal strengths while responding to environmental pressures (Johnson et al., 2020). For Pharmacy2You, strategic growth must address increasing competition, NHS funding constraints and rising patient expectations for digital health services. This section applies </w:t>
      </w:r>
      <w:r w:rsidRPr="0027339D">
        <w:rPr>
          <w:rFonts w:ascii="Times New Roman" w:eastAsia="Times New Roman" w:hAnsi="Times New Roman" w:cs="Times New Roman"/>
          <w:b/>
          <w:bCs/>
          <w:kern w:val="0"/>
          <w:lang w:eastAsia="en-GB"/>
          <w14:ligatures w14:val="none"/>
        </w:rPr>
        <w:t>Porter’s Generic Strategies</w:t>
      </w:r>
      <w:r w:rsidRPr="0027339D">
        <w:rPr>
          <w:rFonts w:ascii="Times New Roman" w:eastAsia="Times New Roman" w:hAnsi="Times New Roman" w:cs="Times New Roman"/>
          <w:kern w:val="0"/>
          <w:lang w:eastAsia="en-GB"/>
          <w14:ligatures w14:val="none"/>
        </w:rPr>
        <w:t xml:space="preserve">, the </w:t>
      </w:r>
      <w:r w:rsidRPr="0027339D">
        <w:rPr>
          <w:rFonts w:ascii="Times New Roman" w:eastAsia="Times New Roman" w:hAnsi="Times New Roman" w:cs="Times New Roman"/>
          <w:b/>
          <w:bCs/>
          <w:kern w:val="0"/>
          <w:lang w:eastAsia="en-GB"/>
          <w14:ligatures w14:val="none"/>
        </w:rPr>
        <w:t>Ansoff Matrix</w:t>
      </w:r>
      <w:r w:rsidRPr="0027339D">
        <w:rPr>
          <w:rFonts w:ascii="Times New Roman" w:eastAsia="Times New Roman" w:hAnsi="Times New Roman" w:cs="Times New Roman"/>
          <w:kern w:val="0"/>
          <w:lang w:eastAsia="en-GB"/>
          <w14:ligatures w14:val="none"/>
        </w:rPr>
        <w:t xml:space="preserve"> and </w:t>
      </w:r>
      <w:r w:rsidRPr="0027339D">
        <w:rPr>
          <w:rFonts w:ascii="Times New Roman" w:eastAsia="Times New Roman" w:hAnsi="Times New Roman" w:cs="Times New Roman"/>
          <w:b/>
          <w:bCs/>
          <w:kern w:val="0"/>
          <w:lang w:eastAsia="en-GB"/>
          <w14:ligatures w14:val="none"/>
        </w:rPr>
        <w:t>Bowman's Strategic Clock</w:t>
      </w:r>
      <w:r w:rsidRPr="0027339D">
        <w:rPr>
          <w:rFonts w:ascii="Times New Roman" w:eastAsia="Times New Roman" w:hAnsi="Times New Roman" w:cs="Times New Roman"/>
          <w:kern w:val="0"/>
          <w:lang w:eastAsia="en-GB"/>
          <w14:ligatures w14:val="none"/>
        </w:rPr>
        <w:t xml:space="preserve"> to identify feasible long-term strategic choices, followed by a justified recommendation.</w:t>
      </w:r>
    </w:p>
    <w:p w14:paraId="7E4691DF" w14:textId="77777777" w:rsidR="0027339D" w:rsidRPr="0027339D" w:rsidRDefault="00000000" w:rsidP="0027339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B7ED15D">
          <v:rect id="_x0000_i1033" style="width:0;height:1.5pt" o:hralign="center" o:hrstd="t" o:hr="t" fillcolor="#a0a0a0" stroked="f"/>
        </w:pict>
      </w:r>
    </w:p>
    <w:p w14:paraId="74571C42" w14:textId="5AA28453" w:rsidR="0027339D" w:rsidRPr="0027339D" w:rsidRDefault="0027339D" w:rsidP="0027339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7339D">
        <w:rPr>
          <w:rFonts w:ascii="Times New Roman" w:eastAsia="Times New Roman" w:hAnsi="Times New Roman" w:cs="Times New Roman"/>
          <w:b/>
          <w:bCs/>
          <w:kern w:val="0"/>
          <w:sz w:val="36"/>
          <w:szCs w:val="36"/>
          <w:lang w:eastAsia="en-GB"/>
          <w14:ligatures w14:val="none"/>
        </w:rPr>
        <w:t xml:space="preserve">5.1 Porter’s Generic Strategies </w:t>
      </w:r>
    </w:p>
    <w:p w14:paraId="4CE400BE"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 xml:space="preserve">Porter (1980) identifies three main generic strategies: </w:t>
      </w:r>
      <w:r w:rsidRPr="0027339D">
        <w:rPr>
          <w:rFonts w:ascii="Times New Roman" w:eastAsia="Times New Roman" w:hAnsi="Times New Roman" w:cs="Times New Roman"/>
          <w:b/>
          <w:bCs/>
          <w:kern w:val="0"/>
          <w:lang w:eastAsia="en-GB"/>
          <w14:ligatures w14:val="none"/>
        </w:rPr>
        <w:t>cost leadership</w:t>
      </w:r>
      <w:r w:rsidRPr="0027339D">
        <w:rPr>
          <w:rFonts w:ascii="Times New Roman" w:eastAsia="Times New Roman" w:hAnsi="Times New Roman" w:cs="Times New Roman"/>
          <w:kern w:val="0"/>
          <w:lang w:eastAsia="en-GB"/>
          <w14:ligatures w14:val="none"/>
        </w:rPr>
        <w:t xml:space="preserve">, </w:t>
      </w:r>
      <w:r w:rsidRPr="0027339D">
        <w:rPr>
          <w:rFonts w:ascii="Times New Roman" w:eastAsia="Times New Roman" w:hAnsi="Times New Roman" w:cs="Times New Roman"/>
          <w:b/>
          <w:bCs/>
          <w:kern w:val="0"/>
          <w:lang w:eastAsia="en-GB"/>
          <w14:ligatures w14:val="none"/>
        </w:rPr>
        <w:t>differentiation</w:t>
      </w:r>
      <w:r w:rsidRPr="0027339D">
        <w:rPr>
          <w:rFonts w:ascii="Times New Roman" w:eastAsia="Times New Roman" w:hAnsi="Times New Roman" w:cs="Times New Roman"/>
          <w:kern w:val="0"/>
          <w:lang w:eastAsia="en-GB"/>
          <w14:ligatures w14:val="none"/>
        </w:rPr>
        <w:t xml:space="preserve"> and </w:t>
      </w:r>
      <w:r w:rsidRPr="0027339D">
        <w:rPr>
          <w:rFonts w:ascii="Times New Roman" w:eastAsia="Times New Roman" w:hAnsi="Times New Roman" w:cs="Times New Roman"/>
          <w:b/>
          <w:bCs/>
          <w:kern w:val="0"/>
          <w:lang w:eastAsia="en-GB"/>
          <w14:ligatures w14:val="none"/>
        </w:rPr>
        <w:t>focus strategies</w:t>
      </w:r>
      <w:r w:rsidRPr="0027339D">
        <w:rPr>
          <w:rFonts w:ascii="Times New Roman" w:eastAsia="Times New Roman" w:hAnsi="Times New Roman" w:cs="Times New Roman"/>
          <w:kern w:val="0"/>
          <w:lang w:eastAsia="en-GB"/>
          <w14:ligatures w14:val="none"/>
        </w:rPr>
        <w:t xml:space="preserve">. For Pharmacy2You, cost leadership is largely unattainable due to limited economies of scale and intense price competition from large chains such as Boots or </w:t>
      </w:r>
      <w:proofErr w:type="spellStart"/>
      <w:r w:rsidRPr="0027339D">
        <w:rPr>
          <w:rFonts w:ascii="Times New Roman" w:eastAsia="Times New Roman" w:hAnsi="Times New Roman" w:cs="Times New Roman"/>
          <w:kern w:val="0"/>
          <w:lang w:eastAsia="en-GB"/>
          <w14:ligatures w14:val="none"/>
        </w:rPr>
        <w:t>LloydsDirect</w:t>
      </w:r>
      <w:proofErr w:type="spellEnd"/>
      <w:r w:rsidRPr="0027339D">
        <w:rPr>
          <w:rFonts w:ascii="Times New Roman" w:eastAsia="Times New Roman" w:hAnsi="Times New Roman" w:cs="Times New Roman"/>
          <w:kern w:val="0"/>
          <w:lang w:eastAsia="en-GB"/>
          <w14:ligatures w14:val="none"/>
        </w:rPr>
        <w:t xml:space="preserve"> (MarketLine, 2023). SMEs typically lack the purchasing power and centralised infrastructure required to compete on price (Porter, 1985).</w:t>
      </w:r>
    </w:p>
    <w:p w14:paraId="61FD6119"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 xml:space="preserve">A more appropriate approach is </w:t>
      </w:r>
      <w:r w:rsidRPr="0027339D">
        <w:rPr>
          <w:rFonts w:ascii="Times New Roman" w:eastAsia="Times New Roman" w:hAnsi="Times New Roman" w:cs="Times New Roman"/>
          <w:b/>
          <w:bCs/>
          <w:kern w:val="0"/>
          <w:lang w:eastAsia="en-GB"/>
          <w14:ligatures w14:val="none"/>
        </w:rPr>
        <w:t>Focused Differentiation</w:t>
      </w:r>
      <w:r w:rsidRPr="0027339D">
        <w:rPr>
          <w:rFonts w:ascii="Times New Roman" w:eastAsia="Times New Roman" w:hAnsi="Times New Roman" w:cs="Times New Roman"/>
          <w:kern w:val="0"/>
          <w:lang w:eastAsia="en-GB"/>
          <w14:ligatures w14:val="none"/>
        </w:rPr>
        <w:t xml:space="preserve">, which targets specific patient groups—such as elderly individuals, patients with long-term conditions or those requiring </w:t>
      </w:r>
      <w:r w:rsidRPr="0027339D">
        <w:rPr>
          <w:rFonts w:ascii="Times New Roman" w:eastAsia="Times New Roman" w:hAnsi="Times New Roman" w:cs="Times New Roman"/>
          <w:kern w:val="0"/>
          <w:lang w:eastAsia="en-GB"/>
          <w14:ligatures w14:val="none"/>
        </w:rPr>
        <w:lastRenderedPageBreak/>
        <w:t>regular medicine delivery—with high-value, personalised care (Anderson et al., 2021). This aligns with growing demand for pharmacy-led clinical services and convenience-based models, particularly among the ageing population (ONS, 2023).</w:t>
      </w:r>
    </w:p>
    <w:p w14:paraId="5082E162" w14:textId="77777777"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Times New Roman" w:eastAsia="Times New Roman" w:hAnsi="Times New Roman" w:cs="Times New Roman"/>
          <w:b/>
          <w:bCs/>
          <w:kern w:val="0"/>
          <w:sz w:val="27"/>
          <w:szCs w:val="27"/>
          <w:lang w:eastAsia="en-GB"/>
          <w14:ligatures w14:val="none"/>
        </w:rPr>
        <w:t>Strategic Implication:</w:t>
      </w:r>
    </w:p>
    <w:p w14:paraId="480D5C9F"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 xml:space="preserve">Pharmacy2You should pursue </w:t>
      </w:r>
      <w:r w:rsidRPr="0027339D">
        <w:rPr>
          <w:rFonts w:ascii="Times New Roman" w:eastAsia="Times New Roman" w:hAnsi="Times New Roman" w:cs="Times New Roman"/>
          <w:b/>
          <w:bCs/>
          <w:kern w:val="0"/>
          <w:lang w:eastAsia="en-GB"/>
          <w14:ligatures w14:val="none"/>
        </w:rPr>
        <w:t>Focused Differentiation</w:t>
      </w:r>
      <w:r w:rsidRPr="0027339D">
        <w:rPr>
          <w:rFonts w:ascii="Times New Roman" w:eastAsia="Times New Roman" w:hAnsi="Times New Roman" w:cs="Times New Roman"/>
          <w:kern w:val="0"/>
          <w:lang w:eastAsia="en-GB"/>
          <w14:ligatures w14:val="none"/>
        </w:rPr>
        <w:t>, enhancing its position as a personalised, technology-enabled pharmacy offering superior patient experience and clinical support.</w:t>
      </w:r>
    </w:p>
    <w:p w14:paraId="43A70871" w14:textId="77777777" w:rsidR="0027339D" w:rsidRPr="0027339D" w:rsidRDefault="00000000" w:rsidP="0027339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B32A158">
          <v:rect id="_x0000_i1034" style="width:0;height:1.5pt" o:hralign="center" o:hrstd="t" o:hr="t" fillcolor="#a0a0a0" stroked="f"/>
        </w:pict>
      </w:r>
    </w:p>
    <w:p w14:paraId="79FBB83B" w14:textId="6BDEB8AC" w:rsidR="0027339D" w:rsidRDefault="0027339D" w:rsidP="0027339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7339D">
        <w:rPr>
          <w:rFonts w:ascii="Times New Roman" w:eastAsia="Times New Roman" w:hAnsi="Times New Roman" w:cs="Times New Roman"/>
          <w:b/>
          <w:bCs/>
          <w:kern w:val="0"/>
          <w:sz w:val="36"/>
          <w:szCs w:val="36"/>
          <w:lang w:eastAsia="en-GB"/>
          <w14:ligatures w14:val="none"/>
        </w:rPr>
        <w:t xml:space="preserve">5.2 Ansoff Matrix </w:t>
      </w:r>
    </w:p>
    <w:p w14:paraId="2109FB1A" w14:textId="4C2CA70F" w:rsidR="0027339D" w:rsidRPr="0027339D" w:rsidRDefault="0027339D" w:rsidP="0027339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noProof/>
          <w:kern w:val="0"/>
          <w:sz w:val="36"/>
          <w:szCs w:val="36"/>
          <w:lang w:eastAsia="en-GB"/>
          <w14:ligatures w14:val="none"/>
        </w:rPr>
        <w:drawing>
          <wp:inline distT="0" distB="0" distL="0" distR="0" wp14:anchorId="2AA9C4AF" wp14:editId="3C379440">
            <wp:extent cx="6685280" cy="3467819"/>
            <wp:effectExtent l="0" t="0" r="1270" b="0"/>
            <wp:docPr id="11069188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98004" cy="3474419"/>
                    </a:xfrm>
                    <a:prstGeom prst="rect">
                      <a:avLst/>
                    </a:prstGeom>
                    <a:noFill/>
                    <a:ln>
                      <a:noFill/>
                    </a:ln>
                  </pic:spPr>
                </pic:pic>
              </a:graphicData>
            </a:graphic>
          </wp:inline>
        </w:drawing>
      </w:r>
    </w:p>
    <w:p w14:paraId="48D79FD3"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 xml:space="preserve">The Ansoff Matrix identifies four growth pathways: </w:t>
      </w:r>
      <w:r w:rsidRPr="0027339D">
        <w:rPr>
          <w:rFonts w:ascii="Times New Roman" w:eastAsia="Times New Roman" w:hAnsi="Times New Roman" w:cs="Times New Roman"/>
          <w:b/>
          <w:bCs/>
          <w:kern w:val="0"/>
          <w:lang w:eastAsia="en-GB"/>
          <w14:ligatures w14:val="none"/>
        </w:rPr>
        <w:t>market penetration</w:t>
      </w:r>
      <w:r w:rsidRPr="0027339D">
        <w:rPr>
          <w:rFonts w:ascii="Times New Roman" w:eastAsia="Times New Roman" w:hAnsi="Times New Roman" w:cs="Times New Roman"/>
          <w:kern w:val="0"/>
          <w:lang w:eastAsia="en-GB"/>
          <w14:ligatures w14:val="none"/>
        </w:rPr>
        <w:t xml:space="preserve">, </w:t>
      </w:r>
      <w:r w:rsidRPr="0027339D">
        <w:rPr>
          <w:rFonts w:ascii="Times New Roman" w:eastAsia="Times New Roman" w:hAnsi="Times New Roman" w:cs="Times New Roman"/>
          <w:b/>
          <w:bCs/>
          <w:kern w:val="0"/>
          <w:lang w:eastAsia="en-GB"/>
          <w14:ligatures w14:val="none"/>
        </w:rPr>
        <w:t>market development</w:t>
      </w:r>
      <w:r w:rsidRPr="0027339D">
        <w:rPr>
          <w:rFonts w:ascii="Times New Roman" w:eastAsia="Times New Roman" w:hAnsi="Times New Roman" w:cs="Times New Roman"/>
          <w:kern w:val="0"/>
          <w:lang w:eastAsia="en-GB"/>
          <w14:ligatures w14:val="none"/>
        </w:rPr>
        <w:t xml:space="preserve">, </w:t>
      </w:r>
      <w:r w:rsidRPr="0027339D">
        <w:rPr>
          <w:rFonts w:ascii="Times New Roman" w:eastAsia="Times New Roman" w:hAnsi="Times New Roman" w:cs="Times New Roman"/>
          <w:b/>
          <w:bCs/>
          <w:kern w:val="0"/>
          <w:lang w:eastAsia="en-GB"/>
          <w14:ligatures w14:val="none"/>
        </w:rPr>
        <w:t>product development</w:t>
      </w:r>
      <w:r w:rsidRPr="0027339D">
        <w:rPr>
          <w:rFonts w:ascii="Times New Roman" w:eastAsia="Times New Roman" w:hAnsi="Times New Roman" w:cs="Times New Roman"/>
          <w:kern w:val="0"/>
          <w:lang w:eastAsia="en-GB"/>
          <w14:ligatures w14:val="none"/>
        </w:rPr>
        <w:t xml:space="preserve"> and </w:t>
      </w:r>
      <w:r w:rsidRPr="0027339D">
        <w:rPr>
          <w:rFonts w:ascii="Times New Roman" w:eastAsia="Times New Roman" w:hAnsi="Times New Roman" w:cs="Times New Roman"/>
          <w:b/>
          <w:bCs/>
          <w:kern w:val="0"/>
          <w:lang w:eastAsia="en-GB"/>
          <w14:ligatures w14:val="none"/>
        </w:rPr>
        <w:t>diversification</w:t>
      </w:r>
      <w:r w:rsidRPr="0027339D">
        <w:rPr>
          <w:rFonts w:ascii="Times New Roman" w:eastAsia="Times New Roman" w:hAnsi="Times New Roman" w:cs="Times New Roman"/>
          <w:kern w:val="0"/>
          <w:lang w:eastAsia="en-GB"/>
          <w14:ligatures w14:val="none"/>
        </w:rPr>
        <w:t xml:space="preserve"> (Ansoff, 1957).</w:t>
      </w:r>
    </w:p>
    <w:p w14:paraId="131B4D2D" w14:textId="77777777"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Times New Roman" w:eastAsia="Times New Roman" w:hAnsi="Times New Roman" w:cs="Times New Roman"/>
          <w:b/>
          <w:bCs/>
          <w:kern w:val="0"/>
          <w:sz w:val="27"/>
          <w:szCs w:val="27"/>
          <w:lang w:eastAsia="en-GB"/>
          <w14:ligatures w14:val="none"/>
        </w:rPr>
        <w:t>Market Penetration</w:t>
      </w:r>
    </w:p>
    <w:p w14:paraId="196C83ED"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 xml:space="preserve">Pharmacy2You can increase its share of the online prescription market by strengthening digital advertising, improving NHS App integration and enhancing service reliability. This is feasible as the UK’s online pharmacy sector is expected to reach </w:t>
      </w:r>
      <w:r w:rsidRPr="0027339D">
        <w:rPr>
          <w:rFonts w:ascii="Times New Roman" w:eastAsia="Times New Roman" w:hAnsi="Times New Roman" w:cs="Times New Roman"/>
          <w:b/>
          <w:bCs/>
          <w:kern w:val="0"/>
          <w:lang w:eastAsia="en-GB"/>
          <w14:ligatures w14:val="none"/>
        </w:rPr>
        <w:t>£1.8 billion by 2026</w:t>
      </w:r>
      <w:r w:rsidRPr="0027339D">
        <w:rPr>
          <w:rFonts w:ascii="Times New Roman" w:eastAsia="Times New Roman" w:hAnsi="Times New Roman" w:cs="Times New Roman"/>
          <w:kern w:val="0"/>
          <w:lang w:eastAsia="en-GB"/>
          <w14:ligatures w14:val="none"/>
        </w:rPr>
        <w:t xml:space="preserve"> (Statista, 2024).</w:t>
      </w:r>
    </w:p>
    <w:p w14:paraId="730DE6FF" w14:textId="77777777"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Times New Roman" w:eastAsia="Times New Roman" w:hAnsi="Times New Roman" w:cs="Times New Roman"/>
          <w:b/>
          <w:bCs/>
          <w:kern w:val="0"/>
          <w:sz w:val="27"/>
          <w:szCs w:val="27"/>
          <w:lang w:eastAsia="en-GB"/>
          <w14:ligatures w14:val="none"/>
        </w:rPr>
        <w:t>Market Development</w:t>
      </w:r>
    </w:p>
    <w:p w14:paraId="7763C4E9"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lastRenderedPageBreak/>
        <w:t>Targeting new segments such as care homes, assisted-living centres and rural patients offers strong potential. These groups rely heavily on repeat prescriptions and benefit from home delivery models (NICE, 2022).</w:t>
      </w:r>
    </w:p>
    <w:p w14:paraId="49861DA6" w14:textId="77777777"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Times New Roman" w:eastAsia="Times New Roman" w:hAnsi="Times New Roman" w:cs="Times New Roman"/>
          <w:b/>
          <w:bCs/>
          <w:kern w:val="0"/>
          <w:sz w:val="27"/>
          <w:szCs w:val="27"/>
          <w:lang w:eastAsia="en-GB"/>
          <w14:ligatures w14:val="none"/>
        </w:rPr>
        <w:t>Product Development</w:t>
      </w:r>
    </w:p>
    <w:p w14:paraId="392C3EA6"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Introducing new clinical services—such as vaccinations, weight management, blood pressure monitoring and chronic disease support—expands revenue streams and reduces dependence on NHS dispensing fees, which have been declining (PSNC, 2023).</w:t>
      </w:r>
    </w:p>
    <w:p w14:paraId="716C3BDF" w14:textId="77777777"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Times New Roman" w:eastAsia="Times New Roman" w:hAnsi="Times New Roman" w:cs="Times New Roman"/>
          <w:b/>
          <w:bCs/>
          <w:kern w:val="0"/>
          <w:sz w:val="27"/>
          <w:szCs w:val="27"/>
          <w:lang w:eastAsia="en-GB"/>
          <w14:ligatures w14:val="none"/>
        </w:rPr>
        <w:t>Diversification</w:t>
      </w:r>
    </w:p>
    <w:p w14:paraId="6041C47C"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The organisation could introduce wellness subscription packages, telehealth collaborations or health-check bundles. Digital health diversification reflects broader NHS priorities for prevention and remote care (NHS England, 2023).</w:t>
      </w:r>
    </w:p>
    <w:p w14:paraId="561BA73B" w14:textId="77777777" w:rsidR="0027339D" w:rsidRPr="0027339D" w:rsidRDefault="00000000" w:rsidP="0027339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0648E87">
          <v:rect id="_x0000_i1035" style="width:0;height:1.5pt" o:hralign="center" o:hrstd="t" o:hr="t" fillcolor="#a0a0a0" stroked="f"/>
        </w:pict>
      </w:r>
    </w:p>
    <w:p w14:paraId="7DEB68A2" w14:textId="3322ECC9" w:rsidR="0027339D" w:rsidRPr="0027339D" w:rsidRDefault="0027339D" w:rsidP="0027339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7339D">
        <w:rPr>
          <w:rFonts w:ascii="Times New Roman" w:eastAsia="Times New Roman" w:hAnsi="Times New Roman" w:cs="Times New Roman"/>
          <w:b/>
          <w:bCs/>
          <w:kern w:val="0"/>
          <w:sz w:val="36"/>
          <w:szCs w:val="36"/>
          <w:lang w:eastAsia="en-GB"/>
          <w14:ligatures w14:val="none"/>
        </w:rPr>
        <w:t xml:space="preserve">5.3 Bowman’s Strategic Clock </w:t>
      </w:r>
    </w:p>
    <w:p w14:paraId="4B1A05C3"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Bowman and Faulkner (1997) extend Porter’s work by identifying eight possible competitive positions based on price and perceived value.</w:t>
      </w:r>
    </w:p>
    <w:p w14:paraId="405BEDDF"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Pharmacy2You currently sits closest to:</w:t>
      </w:r>
    </w:p>
    <w:p w14:paraId="21C14A4C" w14:textId="77777777" w:rsidR="0027339D" w:rsidRPr="0027339D" w:rsidRDefault="0027339D" w:rsidP="0027339D">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b/>
          <w:bCs/>
          <w:kern w:val="0"/>
          <w:lang w:eastAsia="en-GB"/>
          <w14:ligatures w14:val="none"/>
        </w:rPr>
        <w:t>Position 4: Differentiation</w:t>
      </w:r>
      <w:r w:rsidRPr="0027339D">
        <w:rPr>
          <w:rFonts w:ascii="Times New Roman" w:eastAsia="Times New Roman" w:hAnsi="Times New Roman" w:cs="Times New Roman"/>
          <w:kern w:val="0"/>
          <w:lang w:eastAsia="en-GB"/>
          <w14:ligatures w14:val="none"/>
        </w:rPr>
        <w:t xml:space="preserve"> — high perceived value, standard price</w:t>
      </w:r>
    </w:p>
    <w:p w14:paraId="0F4C07A0" w14:textId="77777777" w:rsidR="0027339D" w:rsidRPr="0027339D" w:rsidRDefault="0027339D" w:rsidP="0027339D">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b/>
          <w:bCs/>
          <w:kern w:val="0"/>
          <w:lang w:eastAsia="en-GB"/>
          <w14:ligatures w14:val="none"/>
        </w:rPr>
        <w:t>Position 5: Focused Differentiation</w:t>
      </w:r>
      <w:r w:rsidRPr="0027339D">
        <w:rPr>
          <w:rFonts w:ascii="Times New Roman" w:eastAsia="Times New Roman" w:hAnsi="Times New Roman" w:cs="Times New Roman"/>
          <w:kern w:val="0"/>
          <w:lang w:eastAsia="en-GB"/>
          <w14:ligatures w14:val="none"/>
        </w:rPr>
        <w:t xml:space="preserve"> — high value for specific customer groups</w:t>
      </w:r>
    </w:p>
    <w:p w14:paraId="72CD3992"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Given rising demand for digital healthcare and personalised medicines advice, strengthening this position offers sustainable competitive advantage (PwC, 2023).</w:t>
      </w:r>
    </w:p>
    <w:p w14:paraId="46269BF0" w14:textId="77777777"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Times New Roman" w:eastAsia="Times New Roman" w:hAnsi="Times New Roman" w:cs="Times New Roman"/>
          <w:b/>
          <w:bCs/>
          <w:kern w:val="0"/>
          <w:sz w:val="27"/>
          <w:szCs w:val="27"/>
          <w:lang w:eastAsia="en-GB"/>
          <w14:ligatures w14:val="none"/>
        </w:rPr>
        <w:t>Strategic Implication:</w:t>
      </w:r>
    </w:p>
    <w:p w14:paraId="52391071"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Pharmacy2You should avoid low-price strategies (positions 1–3), as NHS reimbursement constraints limit the capacity for price competition. Instead, delivering superior service, convenience, technological efficiency and clinical expertise will support long-term customer loyalty (NICE, 2022).</w:t>
      </w:r>
    </w:p>
    <w:p w14:paraId="7238991D" w14:textId="77777777" w:rsidR="0027339D" w:rsidRPr="0027339D" w:rsidRDefault="00000000" w:rsidP="0027339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CBC978D">
          <v:rect id="_x0000_i1036" style="width:0;height:1.5pt" o:hralign="center" o:hrstd="t" o:hr="t" fillcolor="#a0a0a0" stroked="f"/>
        </w:pict>
      </w:r>
    </w:p>
    <w:p w14:paraId="0056D41E" w14:textId="77777777" w:rsidR="0027339D" w:rsidRPr="0027339D" w:rsidRDefault="0027339D" w:rsidP="0027339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7339D">
        <w:rPr>
          <w:rFonts w:ascii="Times New Roman" w:eastAsia="Times New Roman" w:hAnsi="Times New Roman" w:cs="Times New Roman"/>
          <w:b/>
          <w:bCs/>
          <w:kern w:val="0"/>
          <w:sz w:val="36"/>
          <w:szCs w:val="36"/>
          <w:lang w:eastAsia="en-GB"/>
          <w14:ligatures w14:val="none"/>
        </w:rPr>
        <w:t>5.4 Recommended Sustainable Strategy</w:t>
      </w:r>
    </w:p>
    <w:p w14:paraId="1E1429A4" w14:textId="77777777"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Segoe UI Emoji" w:eastAsia="Times New Roman" w:hAnsi="Segoe UI Emoji" w:cs="Segoe UI Emoji"/>
          <w:b/>
          <w:bCs/>
          <w:kern w:val="0"/>
          <w:sz w:val="27"/>
          <w:szCs w:val="27"/>
          <w:lang w:eastAsia="en-GB"/>
          <w14:ligatures w14:val="none"/>
        </w:rPr>
        <w:t>⭐</w:t>
      </w:r>
      <w:r w:rsidRPr="0027339D">
        <w:rPr>
          <w:rFonts w:ascii="Times New Roman" w:eastAsia="Times New Roman" w:hAnsi="Times New Roman" w:cs="Times New Roman"/>
          <w:b/>
          <w:bCs/>
          <w:kern w:val="0"/>
          <w:sz w:val="27"/>
          <w:szCs w:val="27"/>
          <w:lang w:eastAsia="en-GB"/>
          <w14:ligatures w14:val="none"/>
        </w:rPr>
        <w:t xml:space="preserve"> Chosen Strategy: Focused Differentiation with Service Diversification</w:t>
      </w:r>
    </w:p>
    <w:p w14:paraId="068E288A"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This strategy combines the strongest potential elements from Porter, Ansoff and Bowman:</w:t>
      </w:r>
    </w:p>
    <w:p w14:paraId="16B5DB3A" w14:textId="5060A7C0" w:rsidR="0027339D" w:rsidRPr="0027339D" w:rsidRDefault="0027339D" w:rsidP="002733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7339D">
        <w:rPr>
          <w:rFonts w:ascii="Times New Roman" w:eastAsia="Times New Roman" w:hAnsi="Times New Roman" w:cs="Times New Roman"/>
          <w:b/>
          <w:bCs/>
          <w:kern w:val="0"/>
          <w:sz w:val="27"/>
          <w:szCs w:val="27"/>
          <w:lang w:eastAsia="en-GB"/>
          <w14:ligatures w14:val="none"/>
        </w:rPr>
        <w:t xml:space="preserve">Justification </w:t>
      </w:r>
    </w:p>
    <w:p w14:paraId="59A7F02C" w14:textId="77777777" w:rsidR="0027339D" w:rsidRPr="0027339D" w:rsidRDefault="0027339D" w:rsidP="0027339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27339D">
        <w:rPr>
          <w:rFonts w:ascii="Times New Roman" w:eastAsia="Times New Roman" w:hAnsi="Times New Roman" w:cs="Times New Roman"/>
          <w:b/>
          <w:bCs/>
          <w:kern w:val="0"/>
          <w:lang w:eastAsia="en-GB"/>
          <w14:ligatures w14:val="none"/>
        </w:rPr>
        <w:lastRenderedPageBreak/>
        <w:t>1. Aligns with demographic and social trends</w:t>
      </w:r>
    </w:p>
    <w:p w14:paraId="1AB5B95A"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The UK’s ageing population (20% over 65 by 2030) (ONS, 2023) increasingly relies on repeat prescriptions and chronic disease management—making targeted services critical.</w:t>
      </w:r>
    </w:p>
    <w:p w14:paraId="489484B7" w14:textId="77777777" w:rsidR="0027339D" w:rsidRPr="0027339D" w:rsidRDefault="0027339D" w:rsidP="0027339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27339D">
        <w:rPr>
          <w:rFonts w:ascii="Times New Roman" w:eastAsia="Times New Roman" w:hAnsi="Times New Roman" w:cs="Times New Roman"/>
          <w:b/>
          <w:bCs/>
          <w:kern w:val="0"/>
          <w:lang w:eastAsia="en-GB"/>
          <w14:ligatures w14:val="none"/>
        </w:rPr>
        <w:t>2. Responds to NHS structural changes</w:t>
      </w:r>
    </w:p>
    <w:p w14:paraId="04B44437"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NHS England (2023) encourages pharmacies to deliver more clinical services, presenting revenue opportunities outside traditional dispensing.</w:t>
      </w:r>
    </w:p>
    <w:p w14:paraId="12A99C65" w14:textId="77777777" w:rsidR="0027339D" w:rsidRPr="0027339D" w:rsidRDefault="0027339D" w:rsidP="0027339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27339D">
        <w:rPr>
          <w:rFonts w:ascii="Times New Roman" w:eastAsia="Times New Roman" w:hAnsi="Times New Roman" w:cs="Times New Roman"/>
          <w:b/>
          <w:bCs/>
          <w:kern w:val="0"/>
          <w:lang w:eastAsia="en-GB"/>
          <w14:ligatures w14:val="none"/>
        </w:rPr>
        <w:t>3. Reduces financial vulnerability</w:t>
      </w:r>
    </w:p>
    <w:p w14:paraId="0FE17AD4"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Diversifying services mitigates the impact of declining community pharmacy funding (PSNC, 2023).</w:t>
      </w:r>
    </w:p>
    <w:p w14:paraId="5831C9F7" w14:textId="77777777" w:rsidR="0027339D" w:rsidRPr="0027339D" w:rsidRDefault="0027339D" w:rsidP="0027339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27339D">
        <w:rPr>
          <w:rFonts w:ascii="Times New Roman" w:eastAsia="Times New Roman" w:hAnsi="Times New Roman" w:cs="Times New Roman"/>
          <w:b/>
          <w:bCs/>
          <w:kern w:val="0"/>
          <w:lang w:eastAsia="en-GB"/>
          <w14:ligatures w14:val="none"/>
        </w:rPr>
        <w:t>4. Strengthens competitive position</w:t>
      </w:r>
    </w:p>
    <w:p w14:paraId="091DF65B"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Focused Differentiation builds loyalty through high-value, personalised services that large chains may struggle to replicate (Anderson et al., 2021).</w:t>
      </w:r>
    </w:p>
    <w:p w14:paraId="5D80AA91" w14:textId="77777777" w:rsidR="0027339D" w:rsidRPr="0027339D" w:rsidRDefault="0027339D" w:rsidP="0027339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27339D">
        <w:rPr>
          <w:rFonts w:ascii="Times New Roman" w:eastAsia="Times New Roman" w:hAnsi="Times New Roman" w:cs="Times New Roman"/>
          <w:b/>
          <w:bCs/>
          <w:kern w:val="0"/>
          <w:lang w:eastAsia="en-GB"/>
          <w14:ligatures w14:val="none"/>
        </w:rPr>
        <w:t>5. Supports long-term sustainability</w:t>
      </w:r>
    </w:p>
    <w:p w14:paraId="2C1C6EA5"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Technological enhancements such as AI-driven reminders and automated dispensing improve operational efficiency and patient outcomes (PwC, 2023).</w:t>
      </w:r>
    </w:p>
    <w:p w14:paraId="59CD6DFB" w14:textId="77777777" w:rsidR="0027339D" w:rsidRPr="0027339D" w:rsidRDefault="00000000" w:rsidP="0027339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A0ED323">
          <v:rect id="_x0000_i1037" style="width:0;height:1.5pt" o:hralign="center" o:hrstd="t" o:hr="t" fillcolor="#a0a0a0" stroked="f"/>
        </w:pict>
      </w:r>
    </w:p>
    <w:p w14:paraId="2BEA6C22" w14:textId="01F2866D" w:rsidR="0027339D" w:rsidRPr="0027339D" w:rsidRDefault="0027339D" w:rsidP="0027339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7339D">
        <w:rPr>
          <w:rFonts w:ascii="Times New Roman" w:eastAsia="Times New Roman" w:hAnsi="Times New Roman" w:cs="Times New Roman"/>
          <w:b/>
          <w:bCs/>
          <w:kern w:val="36"/>
          <w:sz w:val="48"/>
          <w:szCs w:val="48"/>
          <w:lang w:eastAsia="en-GB"/>
          <w14:ligatures w14:val="none"/>
        </w:rPr>
        <w:t>6. Stakeholder Analysis</w:t>
      </w:r>
    </w:p>
    <w:p w14:paraId="5B432460" w14:textId="77777777" w:rsidR="0027339D" w:rsidRPr="0027339D" w:rsidRDefault="0027339D" w:rsidP="00273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 xml:space="preserve">Effective stakeholder analysis is essential for SMEs such as Pharmacy2You, as their strategic choices depend heavily on satisfying key regulatory bodies, healthcare partners and patients (Freeman, 1984; Johnson et al., 2020). This section evaluates stakeholder expectations and influence using </w:t>
      </w:r>
      <w:r w:rsidRPr="0027339D">
        <w:rPr>
          <w:rFonts w:ascii="Times New Roman" w:eastAsia="Times New Roman" w:hAnsi="Times New Roman" w:cs="Times New Roman"/>
          <w:b/>
          <w:bCs/>
          <w:kern w:val="0"/>
          <w:lang w:eastAsia="en-GB"/>
          <w14:ligatures w14:val="none"/>
        </w:rPr>
        <w:t>Mendelow’s Matrix</w:t>
      </w:r>
      <w:r w:rsidRPr="0027339D">
        <w:rPr>
          <w:rFonts w:ascii="Times New Roman" w:eastAsia="Times New Roman" w:hAnsi="Times New Roman" w:cs="Times New Roman"/>
          <w:kern w:val="0"/>
          <w:lang w:eastAsia="en-GB"/>
          <w14:ligatures w14:val="none"/>
        </w:rPr>
        <w:t xml:space="preserve"> and the </w:t>
      </w:r>
      <w:r w:rsidRPr="0027339D">
        <w:rPr>
          <w:rFonts w:ascii="Times New Roman" w:eastAsia="Times New Roman" w:hAnsi="Times New Roman" w:cs="Times New Roman"/>
          <w:b/>
          <w:bCs/>
          <w:kern w:val="0"/>
          <w:lang w:eastAsia="en-GB"/>
          <w14:ligatures w14:val="none"/>
        </w:rPr>
        <w:t>RACI model</w:t>
      </w:r>
      <w:r w:rsidRPr="0027339D">
        <w:rPr>
          <w:rFonts w:ascii="Times New Roman" w:eastAsia="Times New Roman" w:hAnsi="Times New Roman" w:cs="Times New Roman"/>
          <w:kern w:val="0"/>
          <w:lang w:eastAsia="en-GB"/>
          <w14:ligatures w14:val="none"/>
        </w:rPr>
        <w:t>, facilitating identification of the most suitable, feasible and acceptable strategic options.</w:t>
      </w:r>
    </w:p>
    <w:p w14:paraId="39D7506A" w14:textId="77777777" w:rsidR="0027339D" w:rsidRPr="0027339D" w:rsidRDefault="00000000" w:rsidP="0027339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AA80C3D">
          <v:rect id="_x0000_i1038" style="width:0;height:1.5pt" o:hralign="center" o:hrstd="t" o:hr="t" fillcolor="#a0a0a0" stroked="f"/>
        </w:pict>
      </w:r>
    </w:p>
    <w:p w14:paraId="1434CEAC" w14:textId="62D6C23F" w:rsidR="0027339D" w:rsidRPr="0027339D" w:rsidRDefault="0027339D" w:rsidP="0027339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7339D">
        <w:rPr>
          <w:rFonts w:ascii="Times New Roman" w:eastAsia="Times New Roman" w:hAnsi="Times New Roman" w:cs="Times New Roman"/>
          <w:b/>
          <w:bCs/>
          <w:kern w:val="36"/>
          <w:sz w:val="48"/>
          <w:szCs w:val="48"/>
          <w:lang w:eastAsia="en-GB"/>
          <w14:ligatures w14:val="none"/>
        </w:rPr>
        <w:t xml:space="preserve">6.1 Mendelow’s Matrix </w:t>
      </w:r>
    </w:p>
    <w:p w14:paraId="3C14865D" w14:textId="3D51916E" w:rsidR="0027339D" w:rsidRDefault="0027339D"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339D">
        <w:rPr>
          <w:rFonts w:ascii="Times New Roman" w:eastAsia="Times New Roman" w:hAnsi="Times New Roman" w:cs="Times New Roman"/>
          <w:kern w:val="0"/>
          <w:lang w:eastAsia="en-GB"/>
          <w14:ligatures w14:val="none"/>
        </w:rPr>
        <w:t>Mendelow (1991) developed the Power–Interest Matrix to help organisations classify stakeholders according to their level of power and interest in strategic decisions. This allows targeted engagement strategies that reflect varying stakeholder expectations</w:t>
      </w:r>
    </w:p>
    <w:p w14:paraId="5B91E3C1" w14:textId="5A6C5061" w:rsidR="00F76C16" w:rsidRPr="0027339D"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noProof/>
          <w:kern w:val="0"/>
          <w:lang w:eastAsia="en-GB"/>
          <w14:ligatures w14:val="none"/>
        </w:rPr>
        <w:lastRenderedPageBreak/>
        <w:drawing>
          <wp:inline distT="0" distB="0" distL="0" distR="0" wp14:anchorId="08548969" wp14:editId="659CB273">
            <wp:extent cx="4416834" cy="2484408"/>
            <wp:effectExtent l="0" t="0" r="3175" b="0"/>
            <wp:docPr id="1965975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75878" name=""/>
                    <pic:cNvPicPr/>
                  </pic:nvPicPr>
                  <pic:blipFill>
                    <a:blip r:embed="rId11"/>
                    <a:stretch>
                      <a:fillRect/>
                    </a:stretch>
                  </pic:blipFill>
                  <pic:spPr>
                    <a:xfrm>
                      <a:off x="0" y="0"/>
                      <a:ext cx="4472265" cy="2515587"/>
                    </a:xfrm>
                    <a:prstGeom prst="rect">
                      <a:avLst/>
                    </a:prstGeom>
                  </pic:spPr>
                </pic:pic>
              </a:graphicData>
            </a:graphic>
          </wp:inline>
        </w:drawing>
      </w:r>
    </w:p>
    <w:p w14:paraId="66CE9677"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t>Quadrant A: High Power / High Interest — Key Players (Manage Closely)</w:t>
      </w:r>
    </w:p>
    <w:p w14:paraId="1E6F371D"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These stakeholders have substantial influence and a strong interest in Pharmacy2You’s operations.</w:t>
      </w:r>
    </w:p>
    <w:p w14:paraId="2BA20BE2"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1. NHS England</w:t>
      </w:r>
      <w:r w:rsidRPr="00F76C16">
        <w:rPr>
          <w:rFonts w:ascii="Times New Roman" w:eastAsia="Times New Roman" w:hAnsi="Times New Roman" w:cs="Times New Roman"/>
          <w:kern w:val="0"/>
          <w:lang w:eastAsia="en-GB"/>
          <w14:ligatures w14:val="none"/>
        </w:rPr>
        <w:br/>
        <w:t>Controls funding mechanisms and service frameworks, heavily influencing the organisation’s financial sustainability (PSNC, 2023; NHS England, 2023).</w:t>
      </w:r>
    </w:p>
    <w:p w14:paraId="02AEA75C"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2. General Pharmaceutical Council (GPhC)</w:t>
      </w:r>
      <w:r w:rsidRPr="00F76C16">
        <w:rPr>
          <w:rFonts w:ascii="Times New Roman" w:eastAsia="Times New Roman" w:hAnsi="Times New Roman" w:cs="Times New Roman"/>
          <w:kern w:val="0"/>
          <w:lang w:eastAsia="en-GB"/>
          <w14:ligatures w14:val="none"/>
        </w:rPr>
        <w:br/>
        <w:t>Holds regulatory authority over pharmacy practice and dispensing standards. Non-compliance risks loss of licence (GPhC, 2022).</w:t>
      </w:r>
    </w:p>
    <w:p w14:paraId="01572820"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3. GP Practices and Primary Care Networks</w:t>
      </w:r>
      <w:r w:rsidRPr="00F76C16">
        <w:rPr>
          <w:rFonts w:ascii="Times New Roman" w:eastAsia="Times New Roman" w:hAnsi="Times New Roman" w:cs="Times New Roman"/>
          <w:kern w:val="0"/>
          <w:lang w:eastAsia="en-GB"/>
          <w14:ligatures w14:val="none"/>
        </w:rPr>
        <w:br/>
        <w:t>Essential partners for prescription flows and integrated care pathways. Strong collaboration improves patient outcomes (Anderson et al., 2021).</w:t>
      </w:r>
    </w:p>
    <w:p w14:paraId="07AB13D8"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4. High-Need Patients (e.g., chronic illness, elderly)</w:t>
      </w:r>
      <w:r w:rsidRPr="00F76C16">
        <w:rPr>
          <w:rFonts w:ascii="Times New Roman" w:eastAsia="Times New Roman" w:hAnsi="Times New Roman" w:cs="Times New Roman"/>
          <w:kern w:val="0"/>
          <w:lang w:eastAsia="en-GB"/>
          <w14:ligatures w14:val="none"/>
        </w:rPr>
        <w:br/>
        <w:t>Depend heavily on repeat prescriptions and home delivery. Their loyalty is crucial for continuity and operational stability (ONS, 2023).</w:t>
      </w:r>
    </w:p>
    <w:p w14:paraId="49250321"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t>Quadrant B: High Power / Low Interest — Keep Satisfied</w:t>
      </w:r>
    </w:p>
    <w:p w14:paraId="2BF5E283"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These stakeholders have influence but limited direct engagement.</w:t>
      </w:r>
    </w:p>
    <w:p w14:paraId="12FF7942"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1. MHRA (Medicines and Healthcare Products Regulatory Agency)</w:t>
      </w:r>
      <w:r w:rsidRPr="00F76C16">
        <w:rPr>
          <w:rFonts w:ascii="Times New Roman" w:eastAsia="Times New Roman" w:hAnsi="Times New Roman" w:cs="Times New Roman"/>
          <w:kern w:val="0"/>
          <w:lang w:eastAsia="en-GB"/>
          <w14:ligatures w14:val="none"/>
        </w:rPr>
        <w:br/>
        <w:t>Ensures safe medicine handling. Their interest is regulatory rather than operational (MHRA, 2023).</w:t>
      </w:r>
    </w:p>
    <w:p w14:paraId="6DDB9F42"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2. Pharmaceutical Wholesalers</w:t>
      </w:r>
      <w:r w:rsidRPr="00F76C16">
        <w:rPr>
          <w:rFonts w:ascii="Times New Roman" w:eastAsia="Times New Roman" w:hAnsi="Times New Roman" w:cs="Times New Roman"/>
          <w:kern w:val="0"/>
          <w:lang w:eastAsia="en-GB"/>
          <w14:ligatures w14:val="none"/>
        </w:rPr>
        <w:br/>
        <w:t>Control medicine procurement and pricing. Their decisions affect stock availability (King’s Fund, 2023).</w:t>
      </w:r>
    </w:p>
    <w:p w14:paraId="1D798F5B"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t>Quadrant C: Low Power / High Interest — Keep Informed</w:t>
      </w:r>
    </w:p>
    <w:p w14:paraId="5B7D4A95"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lastRenderedPageBreak/>
        <w:t>These stakeholders care deeply about Pharmacy2You’s decisions but lack formal influence.</w:t>
      </w:r>
    </w:p>
    <w:p w14:paraId="70A31CA1"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1. Pharmacy Staff</w:t>
      </w:r>
      <w:r w:rsidRPr="00F76C16">
        <w:rPr>
          <w:rFonts w:ascii="Times New Roman" w:eastAsia="Times New Roman" w:hAnsi="Times New Roman" w:cs="Times New Roman"/>
          <w:kern w:val="0"/>
          <w:lang w:eastAsia="en-GB"/>
          <w14:ligatures w14:val="none"/>
        </w:rPr>
        <w:br/>
        <w:t>Interested in professional development, job security and working conditions. Their engagement improves service quality (GPhC, 2022).</w:t>
      </w:r>
    </w:p>
    <w:p w14:paraId="3C8E38E9"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2. Local Community and Carers</w:t>
      </w:r>
      <w:r w:rsidRPr="00F76C16">
        <w:rPr>
          <w:rFonts w:ascii="Times New Roman" w:eastAsia="Times New Roman" w:hAnsi="Times New Roman" w:cs="Times New Roman"/>
          <w:kern w:val="0"/>
          <w:lang w:eastAsia="en-GB"/>
          <w14:ligatures w14:val="none"/>
        </w:rPr>
        <w:br/>
        <w:t>Reliant on pharmacy services for health and support needs (NICE, 2022).</w:t>
      </w:r>
    </w:p>
    <w:p w14:paraId="372A1631"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t>Quadrant D: Low Power / Low Interest — Monitor</w:t>
      </w:r>
    </w:p>
    <w:p w14:paraId="64A21D95"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Stakeholders with minimal influence or involvement.</w:t>
      </w:r>
    </w:p>
    <w:p w14:paraId="3A55B76B"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1. Occasional OTC Customers</w:t>
      </w:r>
      <w:r w:rsidRPr="00F76C16">
        <w:rPr>
          <w:rFonts w:ascii="Times New Roman" w:eastAsia="Times New Roman" w:hAnsi="Times New Roman" w:cs="Times New Roman"/>
          <w:kern w:val="0"/>
          <w:lang w:eastAsia="en-GB"/>
          <w14:ligatures w14:val="none"/>
        </w:rPr>
        <w:br/>
        <w:t>Their transactions are infrequent and have limited strategic impact.</w:t>
      </w:r>
    </w:p>
    <w:p w14:paraId="6BA5D438" w14:textId="77777777" w:rsidR="00F76C16" w:rsidRPr="00F76C16" w:rsidRDefault="00F76C16" w:rsidP="00F76C1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F76C16">
        <w:rPr>
          <w:rFonts w:ascii="Times New Roman" w:eastAsia="Times New Roman" w:hAnsi="Times New Roman" w:cs="Times New Roman"/>
          <w:b/>
          <w:bCs/>
          <w:kern w:val="36"/>
          <w:sz w:val="48"/>
          <w:szCs w:val="48"/>
          <w:lang w:eastAsia="en-GB"/>
          <w14:ligatures w14:val="none"/>
        </w:rPr>
        <w:t>6.2 Stakeholder Expectations and Influence</w:t>
      </w:r>
    </w:p>
    <w:p w14:paraId="53CB5CB5"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Stakeholders expect Pharmacy2You to deliver:</w:t>
      </w:r>
    </w:p>
    <w:p w14:paraId="3BB0690A" w14:textId="77777777" w:rsidR="00F76C16" w:rsidRPr="00F76C16" w:rsidRDefault="00F76C16" w:rsidP="00F76C16">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Safe and accurate dispensing</w:t>
      </w:r>
      <w:r w:rsidRPr="00F76C16">
        <w:rPr>
          <w:rFonts w:ascii="Times New Roman" w:eastAsia="Times New Roman" w:hAnsi="Times New Roman" w:cs="Times New Roman"/>
          <w:kern w:val="0"/>
          <w:lang w:eastAsia="en-GB"/>
          <w14:ligatures w14:val="none"/>
        </w:rPr>
        <w:t xml:space="preserve"> (GPhC, 2022)</w:t>
      </w:r>
    </w:p>
    <w:p w14:paraId="79BA83F0" w14:textId="77777777" w:rsidR="00F76C16" w:rsidRPr="00F76C16" w:rsidRDefault="00F76C16" w:rsidP="00F76C16">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Efficient prescription processing</w:t>
      </w:r>
      <w:r w:rsidRPr="00F76C16">
        <w:rPr>
          <w:rFonts w:ascii="Times New Roman" w:eastAsia="Times New Roman" w:hAnsi="Times New Roman" w:cs="Times New Roman"/>
          <w:kern w:val="0"/>
          <w:lang w:eastAsia="en-GB"/>
          <w14:ligatures w14:val="none"/>
        </w:rPr>
        <w:t xml:space="preserve"> (NHS Digital, 2022)</w:t>
      </w:r>
    </w:p>
    <w:p w14:paraId="03649031" w14:textId="77777777" w:rsidR="00F76C16" w:rsidRPr="00F76C16" w:rsidRDefault="00F76C16" w:rsidP="00F76C16">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High-quality patient communication</w:t>
      </w:r>
      <w:r w:rsidRPr="00F76C16">
        <w:rPr>
          <w:rFonts w:ascii="Times New Roman" w:eastAsia="Times New Roman" w:hAnsi="Times New Roman" w:cs="Times New Roman"/>
          <w:kern w:val="0"/>
          <w:lang w:eastAsia="en-GB"/>
          <w14:ligatures w14:val="none"/>
        </w:rPr>
        <w:t xml:space="preserve"> (Anderson et al., 2021)</w:t>
      </w:r>
    </w:p>
    <w:p w14:paraId="43FC60F9" w14:textId="77777777" w:rsidR="00F76C16" w:rsidRPr="00F76C16" w:rsidRDefault="00F76C16" w:rsidP="00F76C16">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Data protection and cybersecurity</w:t>
      </w:r>
      <w:r w:rsidRPr="00F76C16">
        <w:rPr>
          <w:rFonts w:ascii="Times New Roman" w:eastAsia="Times New Roman" w:hAnsi="Times New Roman" w:cs="Times New Roman"/>
          <w:kern w:val="0"/>
          <w:lang w:eastAsia="en-GB"/>
          <w14:ligatures w14:val="none"/>
        </w:rPr>
        <w:t xml:space="preserve"> (ICO, 2023)</w:t>
      </w:r>
    </w:p>
    <w:p w14:paraId="4420FAA3" w14:textId="77777777" w:rsidR="00F76C16" w:rsidRPr="00F76C16" w:rsidRDefault="00F76C16" w:rsidP="00F76C16">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Integrated care collaboration</w:t>
      </w:r>
      <w:r w:rsidRPr="00F76C16">
        <w:rPr>
          <w:rFonts w:ascii="Times New Roman" w:eastAsia="Times New Roman" w:hAnsi="Times New Roman" w:cs="Times New Roman"/>
          <w:kern w:val="0"/>
          <w:lang w:eastAsia="en-GB"/>
          <w14:ligatures w14:val="none"/>
        </w:rPr>
        <w:t xml:space="preserve"> (NHS England, 2023)</w:t>
      </w:r>
    </w:p>
    <w:p w14:paraId="403C1250"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Failure to meet these expectations risks reputational damage, regulatory sanctions or loss of patient trust.</w:t>
      </w:r>
    </w:p>
    <w:p w14:paraId="5B974B65"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Stakeholder influence is highest among NHS England, GPhC and GP practices because they impact funding, clinical governance and prescription flow. These stakeholders must therefore be prioritised when selecting a strategic option.</w:t>
      </w:r>
    </w:p>
    <w:p w14:paraId="563454B5" w14:textId="77777777" w:rsidR="00F76C16" w:rsidRPr="00F76C16" w:rsidRDefault="00000000" w:rsidP="00F76C1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2901CAE">
          <v:rect id="_x0000_i1039" style="width:0;height:1.5pt" o:hralign="center" o:hrstd="t" o:hr="t" fillcolor="#a0a0a0" stroked="f"/>
        </w:pict>
      </w:r>
    </w:p>
    <w:p w14:paraId="30A276A0" w14:textId="77777777" w:rsidR="00F76C16" w:rsidRPr="00F76C16" w:rsidRDefault="00F76C16" w:rsidP="00F76C1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F76C16">
        <w:rPr>
          <w:rFonts w:ascii="Times New Roman" w:eastAsia="Times New Roman" w:hAnsi="Times New Roman" w:cs="Times New Roman"/>
          <w:b/>
          <w:bCs/>
          <w:kern w:val="36"/>
          <w:sz w:val="48"/>
          <w:szCs w:val="48"/>
          <w:lang w:eastAsia="en-GB"/>
          <w14:ligatures w14:val="none"/>
        </w:rPr>
        <w:t>6.3 Suitability, Feasibility and Acceptability of Strategic Options (Based on Stakeholders)</w:t>
      </w:r>
    </w:p>
    <w:p w14:paraId="63ADADEB"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Pharmacy2You must ensure that any strategic option is:</w:t>
      </w:r>
    </w:p>
    <w:p w14:paraId="18F5E963" w14:textId="77777777" w:rsidR="00F76C16" w:rsidRPr="00F76C16" w:rsidRDefault="00F76C16" w:rsidP="00F76C16">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Suitable</w:t>
      </w:r>
      <w:r w:rsidRPr="00F76C16">
        <w:rPr>
          <w:rFonts w:ascii="Times New Roman" w:eastAsia="Times New Roman" w:hAnsi="Times New Roman" w:cs="Times New Roman"/>
          <w:kern w:val="0"/>
          <w:lang w:eastAsia="en-GB"/>
          <w14:ligatures w14:val="none"/>
        </w:rPr>
        <w:t xml:space="preserve"> — fits the external environment and addresses key threats (Johnson et al., 2020)</w:t>
      </w:r>
    </w:p>
    <w:p w14:paraId="2D074CB7" w14:textId="77777777" w:rsidR="00F76C16" w:rsidRPr="00F76C16" w:rsidRDefault="00F76C16" w:rsidP="00F76C16">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Feasible</w:t>
      </w:r>
      <w:r w:rsidRPr="00F76C16">
        <w:rPr>
          <w:rFonts w:ascii="Times New Roman" w:eastAsia="Times New Roman" w:hAnsi="Times New Roman" w:cs="Times New Roman"/>
          <w:kern w:val="0"/>
          <w:lang w:eastAsia="en-GB"/>
          <w14:ligatures w14:val="none"/>
        </w:rPr>
        <w:t xml:space="preserve"> — achievable with current resources and capabilities</w:t>
      </w:r>
    </w:p>
    <w:p w14:paraId="0C16C27A" w14:textId="77777777" w:rsidR="00F76C16" w:rsidRPr="00F76C16" w:rsidRDefault="00F76C16" w:rsidP="00F76C16">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Acceptable</w:t>
      </w:r>
      <w:r w:rsidRPr="00F76C16">
        <w:rPr>
          <w:rFonts w:ascii="Times New Roman" w:eastAsia="Times New Roman" w:hAnsi="Times New Roman" w:cs="Times New Roman"/>
          <w:kern w:val="0"/>
          <w:lang w:eastAsia="en-GB"/>
          <w14:ligatures w14:val="none"/>
        </w:rPr>
        <w:t xml:space="preserve"> — aligned with stakeholder expectations</w:t>
      </w:r>
    </w:p>
    <w:p w14:paraId="602F8C6C"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lastRenderedPageBreak/>
        <w:t xml:space="preserve">The recommended </w:t>
      </w:r>
      <w:r w:rsidRPr="00F76C16">
        <w:rPr>
          <w:rFonts w:ascii="Times New Roman" w:eastAsia="Times New Roman" w:hAnsi="Times New Roman" w:cs="Times New Roman"/>
          <w:b/>
          <w:bCs/>
          <w:kern w:val="0"/>
          <w:lang w:eastAsia="en-GB"/>
          <w14:ligatures w14:val="none"/>
        </w:rPr>
        <w:t>Focused Differentiation with Service Diversification Strategy</w:t>
      </w:r>
      <w:r w:rsidRPr="00F76C16">
        <w:rPr>
          <w:rFonts w:ascii="Times New Roman" w:eastAsia="Times New Roman" w:hAnsi="Times New Roman" w:cs="Times New Roman"/>
          <w:kern w:val="0"/>
          <w:lang w:eastAsia="en-GB"/>
          <w14:ligatures w14:val="none"/>
        </w:rPr>
        <w:t xml:space="preserve"> (Section 5) meets all three criteria:</w:t>
      </w:r>
    </w:p>
    <w:p w14:paraId="1B2AFDBA"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Segoe UI Symbol" w:eastAsia="Times New Roman" w:hAnsi="Segoe UI Symbol" w:cs="Segoe UI Symbol"/>
          <w:b/>
          <w:bCs/>
          <w:kern w:val="0"/>
          <w:sz w:val="27"/>
          <w:szCs w:val="27"/>
          <w:lang w:eastAsia="en-GB"/>
          <w14:ligatures w14:val="none"/>
        </w:rPr>
        <w:t>✔</w:t>
      </w:r>
      <w:r w:rsidRPr="00F76C16">
        <w:rPr>
          <w:rFonts w:ascii="Times New Roman" w:eastAsia="Times New Roman" w:hAnsi="Times New Roman" w:cs="Times New Roman"/>
          <w:b/>
          <w:bCs/>
          <w:kern w:val="0"/>
          <w:sz w:val="27"/>
          <w:szCs w:val="27"/>
          <w:lang w:eastAsia="en-GB"/>
          <w14:ligatures w14:val="none"/>
        </w:rPr>
        <w:t xml:space="preserve"> Suitable</w:t>
      </w:r>
    </w:p>
    <w:p w14:paraId="5B549106" w14:textId="77777777" w:rsidR="00F76C16" w:rsidRPr="00F76C16" w:rsidRDefault="00F76C16" w:rsidP="00F76C16">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Responds to demographic trends (ONS, 2023)</w:t>
      </w:r>
    </w:p>
    <w:p w14:paraId="564C85D2" w14:textId="77777777" w:rsidR="00F76C16" w:rsidRPr="00F76C16" w:rsidRDefault="00F76C16" w:rsidP="00F76C16">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Reduces vulnerability to NHS funding cuts (PSNC, 2023)</w:t>
      </w:r>
    </w:p>
    <w:p w14:paraId="50B69FAE" w14:textId="77777777" w:rsidR="00F76C16" w:rsidRPr="00F76C16" w:rsidRDefault="00F76C16" w:rsidP="00F76C16">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Capitalises on digital healthcare growth (NHS England, 2023)</w:t>
      </w:r>
    </w:p>
    <w:p w14:paraId="0918C09D"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Segoe UI Symbol" w:eastAsia="Times New Roman" w:hAnsi="Segoe UI Symbol" w:cs="Segoe UI Symbol"/>
          <w:b/>
          <w:bCs/>
          <w:kern w:val="0"/>
          <w:sz w:val="27"/>
          <w:szCs w:val="27"/>
          <w:lang w:eastAsia="en-GB"/>
          <w14:ligatures w14:val="none"/>
        </w:rPr>
        <w:t>✔</w:t>
      </w:r>
      <w:r w:rsidRPr="00F76C16">
        <w:rPr>
          <w:rFonts w:ascii="Times New Roman" w:eastAsia="Times New Roman" w:hAnsi="Times New Roman" w:cs="Times New Roman"/>
          <w:b/>
          <w:bCs/>
          <w:kern w:val="0"/>
          <w:sz w:val="27"/>
          <w:szCs w:val="27"/>
          <w:lang w:eastAsia="en-GB"/>
          <w14:ligatures w14:val="none"/>
        </w:rPr>
        <w:t xml:space="preserve"> Feasible</w:t>
      </w:r>
    </w:p>
    <w:p w14:paraId="15A1F7D1" w14:textId="77777777" w:rsidR="00F76C16" w:rsidRPr="00F76C16" w:rsidRDefault="00F76C16" w:rsidP="00F76C16">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Builds on existing digital infrastructure (NHS Digital, 2022)</w:t>
      </w:r>
    </w:p>
    <w:p w14:paraId="01ACC9EC" w14:textId="77777777" w:rsidR="00F76C16" w:rsidRPr="00F76C16" w:rsidRDefault="00F76C16" w:rsidP="00F76C16">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Leverages small SME agility (Thong, 2019)</w:t>
      </w:r>
    </w:p>
    <w:p w14:paraId="5CCB10AA" w14:textId="77777777" w:rsidR="00F76C16" w:rsidRPr="00F76C16" w:rsidRDefault="00F76C16" w:rsidP="00F76C16">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Requires moderate investment compared with cost leadership strategies</w:t>
      </w:r>
    </w:p>
    <w:p w14:paraId="754B30DC"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Segoe UI Symbol" w:eastAsia="Times New Roman" w:hAnsi="Segoe UI Symbol" w:cs="Segoe UI Symbol"/>
          <w:b/>
          <w:bCs/>
          <w:kern w:val="0"/>
          <w:sz w:val="27"/>
          <w:szCs w:val="27"/>
          <w:lang w:eastAsia="en-GB"/>
          <w14:ligatures w14:val="none"/>
        </w:rPr>
        <w:t>✔</w:t>
      </w:r>
      <w:r w:rsidRPr="00F76C16">
        <w:rPr>
          <w:rFonts w:ascii="Times New Roman" w:eastAsia="Times New Roman" w:hAnsi="Times New Roman" w:cs="Times New Roman"/>
          <w:b/>
          <w:bCs/>
          <w:kern w:val="0"/>
          <w:sz w:val="27"/>
          <w:szCs w:val="27"/>
          <w:lang w:eastAsia="en-GB"/>
          <w14:ligatures w14:val="none"/>
        </w:rPr>
        <w:t xml:space="preserve"> Acceptable</w:t>
      </w:r>
    </w:p>
    <w:p w14:paraId="609E565D" w14:textId="77777777" w:rsidR="00F76C16" w:rsidRPr="00F76C16" w:rsidRDefault="00F76C16" w:rsidP="00F76C16">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Supported by NHS priorities for pharmacy clinical service expansion (NHS England, 2023)</w:t>
      </w:r>
    </w:p>
    <w:p w14:paraId="35642419" w14:textId="77777777" w:rsidR="00F76C16" w:rsidRPr="00F76C16" w:rsidRDefault="00F76C16" w:rsidP="00F76C16">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Meets regulatory expectations for high-quality care (GPhC, 2022)</w:t>
      </w:r>
    </w:p>
    <w:p w14:paraId="5DC9A5A7" w14:textId="77777777" w:rsidR="00F76C16" w:rsidRPr="00F76C16" w:rsidRDefault="00F76C16" w:rsidP="00F76C16">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Valued by high-need patients who prioritise convenience and clinical support (Anderson et al., 2021)</w:t>
      </w:r>
    </w:p>
    <w:p w14:paraId="1BE4D7F4" w14:textId="77777777" w:rsidR="00F76C16" w:rsidRPr="00F76C16" w:rsidRDefault="00000000" w:rsidP="00F76C1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DA91C0C">
          <v:rect id="_x0000_i1040" style="width:0;height:1.5pt" o:hralign="center" o:hrstd="t" o:hr="t" fillcolor="#a0a0a0" stroked="f"/>
        </w:pict>
      </w:r>
    </w:p>
    <w:p w14:paraId="353D6EC7" w14:textId="77777777" w:rsidR="00F76C16" w:rsidRPr="00F76C16" w:rsidRDefault="00F76C16" w:rsidP="00F76C1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F76C16">
        <w:rPr>
          <w:rFonts w:ascii="Times New Roman" w:eastAsia="Times New Roman" w:hAnsi="Times New Roman" w:cs="Times New Roman"/>
          <w:b/>
          <w:bCs/>
          <w:kern w:val="36"/>
          <w:sz w:val="48"/>
          <w:szCs w:val="48"/>
          <w:lang w:eastAsia="en-GB"/>
          <w14:ligatures w14:val="none"/>
        </w:rPr>
        <w:t>6.4 RACI Matrix for Strategy Implementation</w:t>
      </w:r>
    </w:p>
    <w:p w14:paraId="10CF988B"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 xml:space="preserve">The RACI framework clarifies stakeholder roles in implementing strategy by categorising who is </w:t>
      </w:r>
      <w:r w:rsidRPr="00F76C16">
        <w:rPr>
          <w:rFonts w:ascii="Times New Roman" w:eastAsia="Times New Roman" w:hAnsi="Times New Roman" w:cs="Times New Roman"/>
          <w:b/>
          <w:bCs/>
          <w:kern w:val="0"/>
          <w:lang w:eastAsia="en-GB"/>
          <w14:ligatures w14:val="none"/>
        </w:rPr>
        <w:t>Responsible</w:t>
      </w:r>
      <w:r w:rsidRPr="00F76C16">
        <w:rPr>
          <w:rFonts w:ascii="Times New Roman" w:eastAsia="Times New Roman" w:hAnsi="Times New Roman" w:cs="Times New Roman"/>
          <w:kern w:val="0"/>
          <w:lang w:eastAsia="en-GB"/>
          <w14:ligatures w14:val="none"/>
        </w:rPr>
        <w:t xml:space="preserve">, </w:t>
      </w:r>
      <w:r w:rsidRPr="00F76C16">
        <w:rPr>
          <w:rFonts w:ascii="Times New Roman" w:eastAsia="Times New Roman" w:hAnsi="Times New Roman" w:cs="Times New Roman"/>
          <w:b/>
          <w:bCs/>
          <w:kern w:val="0"/>
          <w:lang w:eastAsia="en-GB"/>
          <w14:ligatures w14:val="none"/>
        </w:rPr>
        <w:t>Accountable</w:t>
      </w:r>
      <w:r w:rsidRPr="00F76C16">
        <w:rPr>
          <w:rFonts w:ascii="Times New Roman" w:eastAsia="Times New Roman" w:hAnsi="Times New Roman" w:cs="Times New Roman"/>
          <w:kern w:val="0"/>
          <w:lang w:eastAsia="en-GB"/>
          <w14:ligatures w14:val="none"/>
        </w:rPr>
        <w:t xml:space="preserve">, </w:t>
      </w:r>
      <w:r w:rsidRPr="00F76C16">
        <w:rPr>
          <w:rFonts w:ascii="Times New Roman" w:eastAsia="Times New Roman" w:hAnsi="Times New Roman" w:cs="Times New Roman"/>
          <w:b/>
          <w:bCs/>
          <w:kern w:val="0"/>
          <w:lang w:eastAsia="en-GB"/>
          <w14:ligatures w14:val="none"/>
        </w:rPr>
        <w:t>Consulted</w:t>
      </w:r>
      <w:r w:rsidRPr="00F76C16">
        <w:rPr>
          <w:rFonts w:ascii="Times New Roman" w:eastAsia="Times New Roman" w:hAnsi="Times New Roman" w:cs="Times New Roman"/>
          <w:kern w:val="0"/>
          <w:lang w:eastAsia="en-GB"/>
          <w14:ligatures w14:val="none"/>
        </w:rPr>
        <w:t xml:space="preserve"> and </w:t>
      </w:r>
      <w:r w:rsidRPr="00F76C16">
        <w:rPr>
          <w:rFonts w:ascii="Times New Roman" w:eastAsia="Times New Roman" w:hAnsi="Times New Roman" w:cs="Times New Roman"/>
          <w:b/>
          <w:bCs/>
          <w:kern w:val="0"/>
          <w:lang w:eastAsia="en-GB"/>
          <w14:ligatures w14:val="none"/>
        </w:rPr>
        <w:t>Informed</w:t>
      </w:r>
      <w:r w:rsidRPr="00F76C16">
        <w:rPr>
          <w:rFonts w:ascii="Times New Roman" w:eastAsia="Times New Roman" w:hAnsi="Times New Roman" w:cs="Times New Roman"/>
          <w:kern w:val="0"/>
          <w:lang w:eastAsia="en-GB"/>
          <w14:ligatures w14:val="none"/>
        </w:rPr>
        <w:t xml:space="preserve"> (Smith, 2005).</w:t>
      </w:r>
    </w:p>
    <w:p w14:paraId="5C090251" w14:textId="2B2EFDA6" w:rsidR="00F002CB" w:rsidRDefault="00F76C16">
      <w:pPr>
        <w:rPr>
          <w:rFonts w:ascii="Arial" w:hAnsi="Arial" w:cs="Arial"/>
          <w:sz w:val="22"/>
          <w:szCs w:val="22"/>
        </w:rPr>
      </w:pPr>
      <w:r>
        <w:rPr>
          <w:rFonts w:ascii="Arial" w:hAnsi="Arial" w:cs="Arial"/>
          <w:noProof/>
          <w:sz w:val="22"/>
          <w:szCs w:val="22"/>
        </w:rPr>
        <w:drawing>
          <wp:inline distT="0" distB="0" distL="0" distR="0" wp14:anchorId="1410F6D8" wp14:editId="58D53F44">
            <wp:extent cx="5158596" cy="2741295"/>
            <wp:effectExtent l="0" t="0" r="0" b="1905"/>
            <wp:docPr id="12293606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97741" cy="2762097"/>
                    </a:xfrm>
                    <a:prstGeom prst="rect">
                      <a:avLst/>
                    </a:prstGeom>
                    <a:noFill/>
                    <a:ln>
                      <a:noFill/>
                    </a:ln>
                  </pic:spPr>
                </pic:pic>
              </a:graphicData>
            </a:graphic>
          </wp:inline>
        </w:drawing>
      </w:r>
    </w:p>
    <w:p w14:paraId="775810E2"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lastRenderedPageBreak/>
        <w:t>Responsible (R)</w:t>
      </w:r>
    </w:p>
    <w:p w14:paraId="088CAED5"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Pharmacists, Pharmacy Technicians, Delivery Team</w:t>
      </w:r>
      <w:r w:rsidRPr="00F76C16">
        <w:rPr>
          <w:rFonts w:ascii="Times New Roman" w:eastAsia="Times New Roman" w:hAnsi="Times New Roman" w:cs="Times New Roman"/>
          <w:kern w:val="0"/>
          <w:lang w:eastAsia="en-GB"/>
          <w14:ligatures w14:val="none"/>
        </w:rPr>
        <w:br/>
        <w:t>These individuals perform key operational tasks including dispensing, clinical checks, and medicine delivery (GPhC, 2022).</w:t>
      </w:r>
    </w:p>
    <w:p w14:paraId="181BD741"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t>Accountable (A)</w:t>
      </w:r>
    </w:p>
    <w:p w14:paraId="7F1DA317"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Superintendent Pharmacist / Senior Management</w:t>
      </w:r>
      <w:r w:rsidRPr="00F76C16">
        <w:rPr>
          <w:rFonts w:ascii="Times New Roman" w:eastAsia="Times New Roman" w:hAnsi="Times New Roman" w:cs="Times New Roman"/>
          <w:kern w:val="0"/>
          <w:lang w:eastAsia="en-GB"/>
          <w14:ligatures w14:val="none"/>
        </w:rPr>
        <w:br/>
        <w:t>Legally accountable for regulatory compliance, quality assurance, and governance (MHRA, 2023).</w:t>
      </w:r>
    </w:p>
    <w:p w14:paraId="2F069853"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t>Consulted (C)</w:t>
      </w:r>
    </w:p>
    <w:p w14:paraId="2B0E8271"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GP Practices, Wholesalers, IT Providers</w:t>
      </w:r>
      <w:r w:rsidRPr="00F76C16">
        <w:rPr>
          <w:rFonts w:ascii="Times New Roman" w:eastAsia="Times New Roman" w:hAnsi="Times New Roman" w:cs="Times New Roman"/>
          <w:kern w:val="0"/>
          <w:lang w:eastAsia="en-GB"/>
          <w14:ligatures w14:val="none"/>
        </w:rPr>
        <w:br/>
        <w:t>Their input ensures prescriptions flow efficiently, stock remains available and digital systems function effectively (NHS Digital, 2022; King’s Fund, 2023).</w:t>
      </w:r>
    </w:p>
    <w:p w14:paraId="66AEFE2B" w14:textId="77777777" w:rsidR="00F76C16" w:rsidRPr="00F76C16" w:rsidRDefault="00F76C16" w:rsidP="00F76C1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76C16">
        <w:rPr>
          <w:rFonts w:ascii="Times New Roman" w:eastAsia="Times New Roman" w:hAnsi="Times New Roman" w:cs="Times New Roman"/>
          <w:b/>
          <w:bCs/>
          <w:kern w:val="0"/>
          <w:sz w:val="27"/>
          <w:szCs w:val="27"/>
          <w:lang w:eastAsia="en-GB"/>
          <w14:ligatures w14:val="none"/>
        </w:rPr>
        <w:t>Informed (I)</w:t>
      </w:r>
    </w:p>
    <w:p w14:paraId="62599EA5"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Patients, Carers, Local Community</w:t>
      </w:r>
      <w:r w:rsidRPr="00F76C16">
        <w:rPr>
          <w:rFonts w:ascii="Times New Roman" w:eastAsia="Times New Roman" w:hAnsi="Times New Roman" w:cs="Times New Roman"/>
          <w:kern w:val="0"/>
          <w:lang w:eastAsia="en-GB"/>
          <w14:ligatures w14:val="none"/>
        </w:rPr>
        <w:br/>
        <w:t>These groups must be informed of service updates, delivery schedules and clinical support changes (NICE, 2022).</w:t>
      </w:r>
    </w:p>
    <w:p w14:paraId="232816C8" w14:textId="77777777" w:rsidR="00F76C16" w:rsidRPr="00F76C16" w:rsidRDefault="00000000" w:rsidP="00F76C1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BC2482F">
          <v:rect id="_x0000_i1041" style="width:0;height:1.5pt" o:hralign="center" o:hrstd="t" o:hr="t" fillcolor="#a0a0a0" stroked="f"/>
        </w:pict>
      </w:r>
    </w:p>
    <w:p w14:paraId="53FEAD47" w14:textId="77777777" w:rsidR="00F76C16" w:rsidRPr="00F76C16" w:rsidRDefault="00F76C16" w:rsidP="00F76C1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F76C16">
        <w:rPr>
          <w:rFonts w:ascii="Times New Roman" w:eastAsia="Times New Roman" w:hAnsi="Times New Roman" w:cs="Times New Roman"/>
          <w:b/>
          <w:bCs/>
          <w:kern w:val="36"/>
          <w:sz w:val="48"/>
          <w:szCs w:val="48"/>
          <w:lang w:eastAsia="en-GB"/>
          <w14:ligatures w14:val="none"/>
        </w:rPr>
        <w:t>6.5 Justification of Strategic Option Based on Stakeholder Analysis</w:t>
      </w:r>
    </w:p>
    <w:p w14:paraId="6C4A6697"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The chosen strategy—</w:t>
      </w:r>
      <w:r w:rsidRPr="00F76C16">
        <w:rPr>
          <w:rFonts w:ascii="Times New Roman" w:eastAsia="Times New Roman" w:hAnsi="Times New Roman" w:cs="Times New Roman"/>
          <w:b/>
          <w:bCs/>
          <w:kern w:val="0"/>
          <w:lang w:eastAsia="en-GB"/>
          <w14:ligatures w14:val="none"/>
        </w:rPr>
        <w:t>Focused Differentiation with Service Diversification</w:t>
      </w:r>
      <w:r w:rsidRPr="00F76C16">
        <w:rPr>
          <w:rFonts w:ascii="Times New Roman" w:eastAsia="Times New Roman" w:hAnsi="Times New Roman" w:cs="Times New Roman"/>
          <w:kern w:val="0"/>
          <w:lang w:eastAsia="en-GB"/>
          <w14:ligatures w14:val="none"/>
        </w:rPr>
        <w:t>—is the most stakeholder-aligned because:</w:t>
      </w:r>
    </w:p>
    <w:p w14:paraId="7D4E9AF9" w14:textId="77777777" w:rsidR="00F76C16" w:rsidRPr="00F76C16" w:rsidRDefault="00F76C16" w:rsidP="00F76C16">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NHS England</w:t>
      </w:r>
      <w:r w:rsidRPr="00F76C16">
        <w:rPr>
          <w:rFonts w:ascii="Times New Roman" w:eastAsia="Times New Roman" w:hAnsi="Times New Roman" w:cs="Times New Roman"/>
          <w:kern w:val="0"/>
          <w:lang w:eastAsia="en-GB"/>
          <w14:ligatures w14:val="none"/>
        </w:rPr>
        <w:t xml:space="preserve"> benefits from reduced GP workload and enhanced primary care support (2023).</w:t>
      </w:r>
    </w:p>
    <w:p w14:paraId="4B9C46DB" w14:textId="77777777" w:rsidR="00F76C16" w:rsidRPr="00F76C16" w:rsidRDefault="00F76C16" w:rsidP="00F76C16">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GPhC</w:t>
      </w:r>
      <w:r w:rsidRPr="00F76C16">
        <w:rPr>
          <w:rFonts w:ascii="Times New Roman" w:eastAsia="Times New Roman" w:hAnsi="Times New Roman" w:cs="Times New Roman"/>
          <w:kern w:val="0"/>
          <w:lang w:eastAsia="en-GB"/>
          <w14:ligatures w14:val="none"/>
        </w:rPr>
        <w:t xml:space="preserve"> requirements for quality and patient safety are met through high-level service delivery (2022).</w:t>
      </w:r>
    </w:p>
    <w:p w14:paraId="455717E6" w14:textId="77777777" w:rsidR="00F76C16" w:rsidRPr="00F76C16" w:rsidRDefault="00F76C16" w:rsidP="00F76C16">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Patients</w:t>
      </w:r>
      <w:r w:rsidRPr="00F76C16">
        <w:rPr>
          <w:rFonts w:ascii="Times New Roman" w:eastAsia="Times New Roman" w:hAnsi="Times New Roman" w:cs="Times New Roman"/>
          <w:kern w:val="0"/>
          <w:lang w:eastAsia="en-GB"/>
          <w14:ligatures w14:val="none"/>
        </w:rPr>
        <w:t xml:space="preserve"> value the added clinical support, convenience and personalised service (Anderson et al., 2021).</w:t>
      </w:r>
    </w:p>
    <w:p w14:paraId="393CB250" w14:textId="77777777" w:rsidR="00F76C16" w:rsidRPr="00F76C16" w:rsidRDefault="00F76C16" w:rsidP="00F76C16">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Staff</w:t>
      </w:r>
      <w:r w:rsidRPr="00F76C16">
        <w:rPr>
          <w:rFonts w:ascii="Times New Roman" w:eastAsia="Times New Roman" w:hAnsi="Times New Roman" w:cs="Times New Roman"/>
          <w:kern w:val="0"/>
          <w:lang w:eastAsia="en-GB"/>
          <w14:ligatures w14:val="none"/>
        </w:rPr>
        <w:t xml:space="preserve"> gain from professional development linked to new clinical services (NICE, 2022).</w:t>
      </w:r>
    </w:p>
    <w:p w14:paraId="68918625" w14:textId="77777777" w:rsidR="00F76C16" w:rsidRPr="00F76C16" w:rsidRDefault="00F76C16" w:rsidP="00F76C16">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b/>
          <w:bCs/>
          <w:kern w:val="0"/>
          <w:lang w:eastAsia="en-GB"/>
          <w14:ligatures w14:val="none"/>
        </w:rPr>
        <w:t>Wholesalers and regulators</w:t>
      </w:r>
      <w:r w:rsidRPr="00F76C16">
        <w:rPr>
          <w:rFonts w:ascii="Times New Roman" w:eastAsia="Times New Roman" w:hAnsi="Times New Roman" w:cs="Times New Roman"/>
          <w:kern w:val="0"/>
          <w:lang w:eastAsia="en-GB"/>
          <w14:ligatures w14:val="none"/>
        </w:rPr>
        <w:t xml:space="preserve"> experience stable, predictable demand and compliant operations (King’s Fund, 2023).</w:t>
      </w:r>
    </w:p>
    <w:p w14:paraId="31D4268A" w14:textId="77777777" w:rsidR="00F76C16" w:rsidRPr="00F76C16" w:rsidRDefault="00F76C16" w:rsidP="00F76C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6C16">
        <w:rPr>
          <w:rFonts w:ascii="Times New Roman" w:eastAsia="Times New Roman" w:hAnsi="Times New Roman" w:cs="Times New Roman"/>
          <w:kern w:val="0"/>
          <w:lang w:eastAsia="en-GB"/>
          <w14:ligatures w14:val="none"/>
        </w:rPr>
        <w:t xml:space="preserve">Therefore, the recommended strategy is both </w:t>
      </w:r>
      <w:r w:rsidRPr="00F76C16">
        <w:rPr>
          <w:rFonts w:ascii="Times New Roman" w:eastAsia="Times New Roman" w:hAnsi="Times New Roman" w:cs="Times New Roman"/>
          <w:b/>
          <w:bCs/>
          <w:kern w:val="0"/>
          <w:lang w:eastAsia="en-GB"/>
          <w14:ligatures w14:val="none"/>
        </w:rPr>
        <w:t>feasible</w:t>
      </w:r>
      <w:r w:rsidRPr="00F76C16">
        <w:rPr>
          <w:rFonts w:ascii="Times New Roman" w:eastAsia="Times New Roman" w:hAnsi="Times New Roman" w:cs="Times New Roman"/>
          <w:kern w:val="0"/>
          <w:lang w:eastAsia="en-GB"/>
          <w14:ligatures w14:val="none"/>
        </w:rPr>
        <w:t xml:space="preserve"> and </w:t>
      </w:r>
      <w:proofErr w:type="gramStart"/>
      <w:r w:rsidRPr="00F76C16">
        <w:rPr>
          <w:rFonts w:ascii="Times New Roman" w:eastAsia="Times New Roman" w:hAnsi="Times New Roman" w:cs="Times New Roman"/>
          <w:b/>
          <w:bCs/>
          <w:kern w:val="0"/>
          <w:lang w:eastAsia="en-GB"/>
          <w14:ligatures w14:val="none"/>
        </w:rPr>
        <w:t>acceptable</w:t>
      </w:r>
      <w:r w:rsidRPr="00F76C16">
        <w:rPr>
          <w:rFonts w:ascii="Times New Roman" w:eastAsia="Times New Roman" w:hAnsi="Times New Roman" w:cs="Times New Roman"/>
          <w:kern w:val="0"/>
          <w:lang w:eastAsia="en-GB"/>
          <w14:ligatures w14:val="none"/>
        </w:rPr>
        <w:t>, and</w:t>
      </w:r>
      <w:proofErr w:type="gramEnd"/>
      <w:r w:rsidRPr="00F76C16">
        <w:rPr>
          <w:rFonts w:ascii="Times New Roman" w:eastAsia="Times New Roman" w:hAnsi="Times New Roman" w:cs="Times New Roman"/>
          <w:kern w:val="0"/>
          <w:lang w:eastAsia="en-GB"/>
          <w14:ligatures w14:val="none"/>
        </w:rPr>
        <w:t xml:space="preserve"> supports long-term organisational sustainability.</w:t>
      </w:r>
    </w:p>
    <w:p w14:paraId="33F0A623" w14:textId="16E9E3C4" w:rsidR="00D322D3" w:rsidRPr="00D322D3" w:rsidRDefault="00D322D3" w:rsidP="00D322D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322D3">
        <w:rPr>
          <w:rFonts w:ascii="Times New Roman" w:eastAsia="Times New Roman" w:hAnsi="Times New Roman" w:cs="Times New Roman"/>
          <w:b/>
          <w:bCs/>
          <w:kern w:val="36"/>
          <w:sz w:val="48"/>
          <w:szCs w:val="48"/>
          <w:lang w:eastAsia="en-GB"/>
          <w14:ligatures w14:val="none"/>
        </w:rPr>
        <w:lastRenderedPageBreak/>
        <w:t xml:space="preserve">7. Strategic Recommendations </w:t>
      </w:r>
    </w:p>
    <w:p w14:paraId="32225FBD"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Using the Triple Bottom Line (TBL) framework—People, Planet and Profit—this section provides concise strategic recommendations aligned with Pharmacy2You’s chosen strategy of </w:t>
      </w:r>
      <w:r w:rsidRPr="00D322D3">
        <w:rPr>
          <w:rFonts w:ascii="Times New Roman" w:eastAsia="Times New Roman" w:hAnsi="Times New Roman" w:cs="Times New Roman"/>
          <w:b/>
          <w:bCs/>
          <w:kern w:val="0"/>
          <w:lang w:eastAsia="en-GB"/>
          <w14:ligatures w14:val="none"/>
        </w:rPr>
        <w:t>Focused Differentiation and Service Diversification</w:t>
      </w:r>
      <w:r w:rsidRPr="00D322D3">
        <w:rPr>
          <w:rFonts w:ascii="Times New Roman" w:eastAsia="Times New Roman" w:hAnsi="Times New Roman" w:cs="Times New Roman"/>
          <w:kern w:val="0"/>
          <w:lang w:eastAsia="en-GB"/>
          <w14:ligatures w14:val="none"/>
        </w:rPr>
        <w:t xml:space="preserve"> (Porter, 1980; Johnson et al., 2020).</w:t>
      </w:r>
    </w:p>
    <w:p w14:paraId="6BBF9306" w14:textId="77777777" w:rsidR="00D322D3" w:rsidRPr="00D322D3" w:rsidRDefault="00000000" w:rsidP="00D322D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310A97E">
          <v:rect id="_x0000_i1042" style="width:0;height:1.5pt" o:hralign="center" o:hrstd="t" o:hr="t" fillcolor="#a0a0a0" stroked="f"/>
        </w:pict>
      </w:r>
    </w:p>
    <w:p w14:paraId="2F784451" w14:textId="77777777" w:rsidR="00D322D3" w:rsidRPr="00D322D3" w:rsidRDefault="00D322D3" w:rsidP="00D322D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322D3">
        <w:rPr>
          <w:rFonts w:ascii="Times New Roman" w:eastAsia="Times New Roman" w:hAnsi="Times New Roman" w:cs="Times New Roman"/>
          <w:b/>
          <w:bCs/>
          <w:kern w:val="36"/>
          <w:sz w:val="48"/>
          <w:szCs w:val="48"/>
          <w:lang w:eastAsia="en-GB"/>
          <w14:ligatures w14:val="none"/>
        </w:rPr>
        <w:t>7.1 PEOPLE – Improve Patient Value and Social Impact</w:t>
      </w:r>
    </w:p>
    <w:p w14:paraId="33E1AA13"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1. Expand clinical services</w:t>
      </w:r>
    </w:p>
    <w:p w14:paraId="73465BCA"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Introduce vaccinations, health checks and chronic-disease support to enhance patient outcomes and reduce GP pressure (NHS England, 2023; NICE, 2022).</w:t>
      </w:r>
    </w:p>
    <w:p w14:paraId="6D3C39C2"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2. Enhance digital engagement tools</w:t>
      </w:r>
    </w:p>
    <w:p w14:paraId="3A80BE8A"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Use AI reminders, medication-tracking dashboards and automated notifications to improve adherence (NHS Digital, 2022; PwC, 2023).</w:t>
      </w:r>
    </w:p>
    <w:p w14:paraId="781A7FBB"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3. Strengthen collaboration with GP practices</w:t>
      </w:r>
    </w:p>
    <w:p w14:paraId="2BA333B4"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Create structured communication pathways to support integrated care and improve prescription flow (Anderson et al., 2021).</w:t>
      </w:r>
    </w:p>
    <w:p w14:paraId="2F034327" w14:textId="77777777" w:rsidR="00D322D3" w:rsidRPr="00D322D3" w:rsidRDefault="00000000" w:rsidP="00D322D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143123A">
          <v:rect id="_x0000_i1043" style="width:0;height:1.5pt" o:hralign="center" o:hrstd="t" o:hr="t" fillcolor="#a0a0a0" stroked="f"/>
        </w:pict>
      </w:r>
    </w:p>
    <w:p w14:paraId="2B3402F0" w14:textId="77777777" w:rsidR="00D322D3" w:rsidRPr="00D322D3" w:rsidRDefault="00D322D3" w:rsidP="00D322D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322D3">
        <w:rPr>
          <w:rFonts w:ascii="Times New Roman" w:eastAsia="Times New Roman" w:hAnsi="Times New Roman" w:cs="Times New Roman"/>
          <w:b/>
          <w:bCs/>
          <w:kern w:val="36"/>
          <w:sz w:val="48"/>
          <w:szCs w:val="48"/>
          <w:lang w:eastAsia="en-GB"/>
          <w14:ligatures w14:val="none"/>
        </w:rPr>
        <w:t>7.2 PLANET – Improve Environmental Sustainability</w:t>
      </w:r>
    </w:p>
    <w:p w14:paraId="05618DE1"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1. Adopt eco-friendly packaging</w:t>
      </w:r>
    </w:p>
    <w:p w14:paraId="0A8C984E"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Use recyclable or biodegradable materials to reduce environmental impact (DEFRA, 2023).</w:t>
      </w:r>
    </w:p>
    <w:p w14:paraId="4EBB9837"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2. Reduce delivery emissions</w:t>
      </w:r>
    </w:p>
    <w:p w14:paraId="0DCB5272"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Introduce electric delivery vehicles and optimise routes to support NHS net-zero goals (NHS England, 2023; ONS, 2023).</w:t>
      </w:r>
    </w:p>
    <w:p w14:paraId="4C26986F"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3. Promote safe medicines disposal</w:t>
      </w:r>
    </w:p>
    <w:p w14:paraId="7FB2BCED"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Implement a returns scheme for unused medicines to reduce pharmaceutical waste (MHRA, 2023).</w:t>
      </w:r>
    </w:p>
    <w:p w14:paraId="0706D1CD" w14:textId="77777777" w:rsidR="00D322D3" w:rsidRPr="00D322D3" w:rsidRDefault="00000000" w:rsidP="00D322D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pict w14:anchorId="251F118A">
          <v:rect id="_x0000_i1044" style="width:0;height:1.5pt" o:hralign="center" o:hrstd="t" o:hr="t" fillcolor="#a0a0a0" stroked="f"/>
        </w:pict>
      </w:r>
    </w:p>
    <w:p w14:paraId="2BAB6922" w14:textId="77777777" w:rsidR="00D322D3" w:rsidRPr="00D322D3" w:rsidRDefault="00D322D3" w:rsidP="00D322D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322D3">
        <w:rPr>
          <w:rFonts w:ascii="Times New Roman" w:eastAsia="Times New Roman" w:hAnsi="Times New Roman" w:cs="Times New Roman"/>
          <w:b/>
          <w:bCs/>
          <w:kern w:val="36"/>
          <w:sz w:val="48"/>
          <w:szCs w:val="48"/>
          <w:lang w:eastAsia="en-GB"/>
          <w14:ligatures w14:val="none"/>
        </w:rPr>
        <w:t>7.3 PROFIT – Strengthen Financial Sustainability</w:t>
      </w:r>
    </w:p>
    <w:p w14:paraId="69ED1803"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1. Diversify revenue through private services</w:t>
      </w:r>
    </w:p>
    <w:p w14:paraId="47BF230D"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Offer paid vaccinations, health screenings and wellness programmes to reduce reliance on NHS fees (PSNC, 2023; Statista, 2024).</w:t>
      </w:r>
    </w:p>
    <w:p w14:paraId="0AB07C26"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2. Invest in automation and digital infrastructure</w:t>
      </w:r>
    </w:p>
    <w:p w14:paraId="2F9769CA"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Use automated dispensing and AI-based stock systems to cut costs and improve accuracy (PwC, 2023; King’s Fund, 2023).</w:t>
      </w:r>
    </w:p>
    <w:p w14:paraId="5EC235C2" w14:textId="77777777" w:rsidR="00D322D3" w:rsidRPr="00D322D3" w:rsidRDefault="00D322D3" w:rsidP="00D322D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322D3">
        <w:rPr>
          <w:rFonts w:ascii="Times New Roman" w:eastAsia="Times New Roman" w:hAnsi="Times New Roman" w:cs="Times New Roman"/>
          <w:b/>
          <w:bCs/>
          <w:kern w:val="0"/>
          <w:sz w:val="27"/>
          <w:szCs w:val="27"/>
          <w:lang w:eastAsia="en-GB"/>
          <w14:ligatures w14:val="none"/>
        </w:rPr>
        <w:t>3. Increase marketing visibility</w:t>
      </w:r>
    </w:p>
    <w:p w14:paraId="5B954956"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Strengthen digital marketing, SEO and partnerships to attract new patients and compete effectively in the £1.8bn online pharmacy sector (MarketLine, 2023; Statista, 2024).</w:t>
      </w:r>
    </w:p>
    <w:p w14:paraId="46E9419B" w14:textId="1739761A" w:rsidR="00D322D3" w:rsidRDefault="00D322D3" w:rsidP="004E2D8F">
      <w:pPr>
        <w:pStyle w:val="ListParagraph"/>
        <w:numPr>
          <w:ilvl w:val="1"/>
          <w:numId w:val="20"/>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4E2D8F">
        <w:rPr>
          <w:rFonts w:ascii="Times New Roman" w:eastAsia="Times New Roman" w:hAnsi="Times New Roman" w:cs="Times New Roman"/>
          <w:b/>
          <w:bCs/>
          <w:kern w:val="36"/>
          <w:sz w:val="48"/>
          <w:szCs w:val="48"/>
          <w:lang w:eastAsia="en-GB"/>
          <w14:ligatures w14:val="none"/>
        </w:rPr>
        <w:t xml:space="preserve">Conclusion </w:t>
      </w:r>
    </w:p>
    <w:p w14:paraId="1062AC80" w14:textId="77777777" w:rsidR="004E2D8F" w:rsidRPr="004E2D8F" w:rsidRDefault="004E2D8F" w:rsidP="004E2D8F">
      <w:pPr>
        <w:pStyle w:val="ListParagraph"/>
        <w:spacing w:before="100" w:beforeAutospacing="1" w:after="100" w:afterAutospacing="1" w:line="240" w:lineRule="auto"/>
        <w:ind w:left="1440"/>
        <w:outlineLvl w:val="0"/>
        <w:rPr>
          <w:rFonts w:ascii="Arial" w:eastAsia="Times New Roman" w:hAnsi="Arial" w:cs="Arial"/>
          <w:b/>
          <w:bCs/>
          <w:kern w:val="36"/>
          <w:sz w:val="22"/>
          <w:szCs w:val="22"/>
          <w:lang w:eastAsia="en-GB"/>
          <w14:ligatures w14:val="none"/>
        </w:rPr>
      </w:pPr>
    </w:p>
    <w:p w14:paraId="73662ACF" w14:textId="77777777" w:rsidR="004E2D8F" w:rsidRDefault="004E2D8F" w:rsidP="004E2D8F">
      <w:pPr>
        <w:pStyle w:val="NormalWeb"/>
      </w:pPr>
      <w:r>
        <w:t>This report shows that Pharmacy2You operates in a fast-changing healthcare environment shaped by digitalisation, funding pressures and rising patient expectations (NHS England, 2023; PSNC, 2023). The environmental scan highlights strong internal capabilities—such as EPS integration and personalised SME care—alongside external challenges including competition, supply shortages and regulatory demands (NHS Digital, 2022; King’s Fund, 2023; MarketLine, 2023).</w:t>
      </w:r>
    </w:p>
    <w:p w14:paraId="318530A0" w14:textId="77777777" w:rsidR="004E2D8F" w:rsidRDefault="004E2D8F" w:rsidP="004E2D8F">
      <w:pPr>
        <w:pStyle w:val="NormalWeb"/>
      </w:pPr>
      <w:r>
        <w:t>Applying SWOT, PESTEL, Porter’s Five Forces and Value Chain analysis indicates that a Focused Differentiation and Service Diversification strategy is most suitable. This aligns with demographic trends, NHS policy direction and stakeholder expectations (ONS, 2023; Anderson et al., 2021; Johnson et al., 2020).</w:t>
      </w:r>
    </w:p>
    <w:p w14:paraId="5DA7337A" w14:textId="77777777" w:rsidR="004E2D8F" w:rsidRDefault="004E2D8F" w:rsidP="004E2D8F">
      <w:pPr>
        <w:pStyle w:val="NormalWeb"/>
      </w:pPr>
      <w:r>
        <w:t>Recommended actions—expanding clinical services, enhancing digital engagement, investing in sustainability and diversifying revenue—support the Triple Bottom Line by improving patient outcomes, environmental responsibility and financial resilience (Elkington, 1997; DEFRA, 2023).</w:t>
      </w:r>
    </w:p>
    <w:p w14:paraId="726EC8DA" w14:textId="77777777" w:rsidR="004E2D8F" w:rsidRDefault="004E2D8F" w:rsidP="004E2D8F">
      <w:pPr>
        <w:pStyle w:val="NormalWeb"/>
      </w:pPr>
      <w:r>
        <w:t>Overall, Pharmacy2You can achieve sustainable growth by continuing to innovate, strengthen partnerships and deliver high-value, patient-centred digital care.</w:t>
      </w:r>
    </w:p>
    <w:p w14:paraId="169C30AA" w14:textId="77777777" w:rsidR="004E2D8F" w:rsidRPr="004E2D8F" w:rsidRDefault="004E2D8F" w:rsidP="004E2D8F">
      <w:pPr>
        <w:pStyle w:val="ListParagraph"/>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p>
    <w:p w14:paraId="2BFBE76A" w14:textId="77777777" w:rsidR="00D322D3" w:rsidRPr="00D322D3" w:rsidRDefault="00000000" w:rsidP="00D322D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701460D">
          <v:rect id="_x0000_i1045" style="width:0;height:1.5pt" o:hralign="center" o:hrstd="t" o:hr="t" fillcolor="#a0a0a0" stroked="f"/>
        </w:pict>
      </w:r>
    </w:p>
    <w:p w14:paraId="79E99F07" w14:textId="2A81A994"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D334608" w14:textId="58A4D369" w:rsidR="00D322D3" w:rsidRPr="00D322D3" w:rsidRDefault="00D322D3" w:rsidP="00D322D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322D3">
        <w:rPr>
          <w:rFonts w:ascii="Times New Roman" w:eastAsia="Times New Roman" w:hAnsi="Times New Roman" w:cs="Times New Roman"/>
          <w:b/>
          <w:bCs/>
          <w:kern w:val="36"/>
          <w:sz w:val="48"/>
          <w:szCs w:val="48"/>
          <w:lang w:eastAsia="en-GB"/>
          <w14:ligatures w14:val="none"/>
        </w:rPr>
        <w:t xml:space="preserve">REFERENCES </w:t>
      </w:r>
    </w:p>
    <w:p w14:paraId="531255BB"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Anderson, C., Thornley, T. and Hong, J. (2021) ‘Community pharmacy workload analysis and implications for patient care’, </w:t>
      </w:r>
      <w:r w:rsidRPr="00D322D3">
        <w:rPr>
          <w:rFonts w:ascii="Times New Roman" w:eastAsia="Times New Roman" w:hAnsi="Times New Roman" w:cs="Times New Roman"/>
          <w:i/>
          <w:iCs/>
          <w:kern w:val="0"/>
          <w:lang w:eastAsia="en-GB"/>
          <w14:ligatures w14:val="none"/>
        </w:rPr>
        <w:t>British Journal of Pharmacy</w:t>
      </w:r>
      <w:r w:rsidRPr="00D322D3">
        <w:rPr>
          <w:rFonts w:ascii="Times New Roman" w:eastAsia="Times New Roman" w:hAnsi="Times New Roman" w:cs="Times New Roman"/>
          <w:kern w:val="0"/>
          <w:lang w:eastAsia="en-GB"/>
          <w14:ligatures w14:val="none"/>
        </w:rPr>
        <w:t>, 6(1), pp. 1–10.</w:t>
      </w:r>
    </w:p>
    <w:p w14:paraId="016FC2F3"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Ansoff, H.I. (1957) ‘Strategies for diversification’, </w:t>
      </w:r>
      <w:r w:rsidRPr="00D322D3">
        <w:rPr>
          <w:rFonts w:ascii="Times New Roman" w:eastAsia="Times New Roman" w:hAnsi="Times New Roman" w:cs="Times New Roman"/>
          <w:i/>
          <w:iCs/>
          <w:kern w:val="0"/>
          <w:lang w:eastAsia="en-GB"/>
          <w14:ligatures w14:val="none"/>
        </w:rPr>
        <w:t>Harvard Business Review</w:t>
      </w:r>
      <w:r w:rsidRPr="00D322D3">
        <w:rPr>
          <w:rFonts w:ascii="Times New Roman" w:eastAsia="Times New Roman" w:hAnsi="Times New Roman" w:cs="Times New Roman"/>
          <w:kern w:val="0"/>
          <w:lang w:eastAsia="en-GB"/>
          <w14:ligatures w14:val="none"/>
        </w:rPr>
        <w:t>, 35(5), pp. 113–124.</w:t>
      </w:r>
    </w:p>
    <w:p w14:paraId="379699DA"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Bowman, C. and Faulkner, D. (1997) </w:t>
      </w:r>
      <w:r w:rsidRPr="00D322D3">
        <w:rPr>
          <w:rFonts w:ascii="Times New Roman" w:eastAsia="Times New Roman" w:hAnsi="Times New Roman" w:cs="Times New Roman"/>
          <w:i/>
          <w:iCs/>
          <w:kern w:val="0"/>
          <w:lang w:eastAsia="en-GB"/>
          <w14:ligatures w14:val="none"/>
        </w:rPr>
        <w:t>Competitive and Corporate Strategy</w:t>
      </w:r>
      <w:r w:rsidRPr="00D322D3">
        <w:rPr>
          <w:rFonts w:ascii="Times New Roman" w:eastAsia="Times New Roman" w:hAnsi="Times New Roman" w:cs="Times New Roman"/>
          <w:kern w:val="0"/>
          <w:lang w:eastAsia="en-GB"/>
          <w14:ligatures w14:val="none"/>
        </w:rPr>
        <w:t>. London: Irwin.</w:t>
      </w:r>
    </w:p>
    <w:p w14:paraId="2799152B"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DEFRA (2023) </w:t>
      </w:r>
      <w:r w:rsidRPr="00D322D3">
        <w:rPr>
          <w:rFonts w:ascii="Times New Roman" w:eastAsia="Times New Roman" w:hAnsi="Times New Roman" w:cs="Times New Roman"/>
          <w:i/>
          <w:iCs/>
          <w:kern w:val="0"/>
          <w:lang w:eastAsia="en-GB"/>
          <w14:ligatures w14:val="none"/>
        </w:rPr>
        <w:t>Sustainable Packaging Guidance</w:t>
      </w:r>
      <w:r w:rsidRPr="00D322D3">
        <w:rPr>
          <w:rFonts w:ascii="Times New Roman" w:eastAsia="Times New Roman" w:hAnsi="Times New Roman" w:cs="Times New Roman"/>
          <w:kern w:val="0"/>
          <w:lang w:eastAsia="en-GB"/>
          <w14:ligatures w14:val="none"/>
        </w:rPr>
        <w:t>. Department for Environment, Food &amp; Rural Affairs.</w:t>
      </w:r>
    </w:p>
    <w:p w14:paraId="36CDD0D0"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Elkington, J. (1997) </w:t>
      </w:r>
      <w:r w:rsidRPr="00D322D3">
        <w:rPr>
          <w:rFonts w:ascii="Times New Roman" w:eastAsia="Times New Roman" w:hAnsi="Times New Roman" w:cs="Times New Roman"/>
          <w:i/>
          <w:iCs/>
          <w:kern w:val="0"/>
          <w:lang w:eastAsia="en-GB"/>
          <w14:ligatures w14:val="none"/>
        </w:rPr>
        <w:t>Cannibals with Forks: The Triple Bottom Line of 21st Century Business</w:t>
      </w:r>
      <w:r w:rsidRPr="00D322D3">
        <w:rPr>
          <w:rFonts w:ascii="Times New Roman" w:eastAsia="Times New Roman" w:hAnsi="Times New Roman" w:cs="Times New Roman"/>
          <w:kern w:val="0"/>
          <w:lang w:eastAsia="en-GB"/>
          <w14:ligatures w14:val="none"/>
        </w:rPr>
        <w:t>. Oxford: Capstone.</w:t>
      </w:r>
    </w:p>
    <w:p w14:paraId="10D08C43"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Freeman, R.E. (1984) </w:t>
      </w:r>
      <w:r w:rsidRPr="00D322D3">
        <w:rPr>
          <w:rFonts w:ascii="Times New Roman" w:eastAsia="Times New Roman" w:hAnsi="Times New Roman" w:cs="Times New Roman"/>
          <w:i/>
          <w:iCs/>
          <w:kern w:val="0"/>
          <w:lang w:eastAsia="en-GB"/>
          <w14:ligatures w14:val="none"/>
        </w:rPr>
        <w:t>Strategic Management: A Stakeholder Approach</w:t>
      </w:r>
      <w:r w:rsidRPr="00D322D3">
        <w:rPr>
          <w:rFonts w:ascii="Times New Roman" w:eastAsia="Times New Roman" w:hAnsi="Times New Roman" w:cs="Times New Roman"/>
          <w:kern w:val="0"/>
          <w:lang w:eastAsia="en-GB"/>
          <w14:ligatures w14:val="none"/>
        </w:rPr>
        <w:t>. Boston: Pitman.</w:t>
      </w:r>
    </w:p>
    <w:p w14:paraId="2BA1B1DE"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GPhC (2022) </w:t>
      </w:r>
      <w:r w:rsidRPr="00D322D3">
        <w:rPr>
          <w:rFonts w:ascii="Times New Roman" w:eastAsia="Times New Roman" w:hAnsi="Times New Roman" w:cs="Times New Roman"/>
          <w:i/>
          <w:iCs/>
          <w:kern w:val="0"/>
          <w:lang w:eastAsia="en-GB"/>
          <w14:ligatures w14:val="none"/>
        </w:rPr>
        <w:t>Standards for Registered Pharmacies</w:t>
      </w:r>
      <w:r w:rsidRPr="00D322D3">
        <w:rPr>
          <w:rFonts w:ascii="Times New Roman" w:eastAsia="Times New Roman" w:hAnsi="Times New Roman" w:cs="Times New Roman"/>
          <w:kern w:val="0"/>
          <w:lang w:eastAsia="en-GB"/>
          <w14:ligatures w14:val="none"/>
        </w:rPr>
        <w:t>. General Pharmaceutical Council.</w:t>
      </w:r>
    </w:p>
    <w:p w14:paraId="75316F15"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Gürel, E. and Tat, M. (2017) ‘SWOT analysis: A theoretical review’, </w:t>
      </w:r>
      <w:r w:rsidRPr="00D322D3">
        <w:rPr>
          <w:rFonts w:ascii="Times New Roman" w:eastAsia="Times New Roman" w:hAnsi="Times New Roman" w:cs="Times New Roman"/>
          <w:i/>
          <w:iCs/>
          <w:kern w:val="0"/>
          <w:lang w:eastAsia="en-GB"/>
          <w14:ligatures w14:val="none"/>
        </w:rPr>
        <w:t>The Journal of International Social Research</w:t>
      </w:r>
      <w:r w:rsidRPr="00D322D3">
        <w:rPr>
          <w:rFonts w:ascii="Times New Roman" w:eastAsia="Times New Roman" w:hAnsi="Times New Roman" w:cs="Times New Roman"/>
          <w:kern w:val="0"/>
          <w:lang w:eastAsia="en-GB"/>
          <w14:ligatures w14:val="none"/>
        </w:rPr>
        <w:t>, 10(51), pp. 994–1006.</w:t>
      </w:r>
    </w:p>
    <w:p w14:paraId="047F65E1"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ICO (2023) </w:t>
      </w:r>
      <w:r w:rsidRPr="00D322D3">
        <w:rPr>
          <w:rFonts w:ascii="Times New Roman" w:eastAsia="Times New Roman" w:hAnsi="Times New Roman" w:cs="Times New Roman"/>
          <w:i/>
          <w:iCs/>
          <w:kern w:val="0"/>
          <w:lang w:eastAsia="en-GB"/>
          <w14:ligatures w14:val="none"/>
        </w:rPr>
        <w:t>Guide to the General Data Protection Regulation (GDPR)</w:t>
      </w:r>
      <w:r w:rsidRPr="00D322D3">
        <w:rPr>
          <w:rFonts w:ascii="Times New Roman" w:eastAsia="Times New Roman" w:hAnsi="Times New Roman" w:cs="Times New Roman"/>
          <w:kern w:val="0"/>
          <w:lang w:eastAsia="en-GB"/>
          <w14:ligatures w14:val="none"/>
        </w:rPr>
        <w:t>. Information Commissioner’s Office.</w:t>
      </w:r>
    </w:p>
    <w:p w14:paraId="267415EC"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Johnson, G., Whittington, R. and Scholes, K. (2020) </w:t>
      </w:r>
      <w:r w:rsidRPr="00D322D3">
        <w:rPr>
          <w:rFonts w:ascii="Times New Roman" w:eastAsia="Times New Roman" w:hAnsi="Times New Roman" w:cs="Times New Roman"/>
          <w:i/>
          <w:iCs/>
          <w:kern w:val="0"/>
          <w:lang w:eastAsia="en-GB"/>
          <w14:ligatures w14:val="none"/>
        </w:rPr>
        <w:t>Exploring Strategy: Text and Cases</w:t>
      </w:r>
      <w:r w:rsidRPr="00D322D3">
        <w:rPr>
          <w:rFonts w:ascii="Times New Roman" w:eastAsia="Times New Roman" w:hAnsi="Times New Roman" w:cs="Times New Roman"/>
          <w:kern w:val="0"/>
          <w:lang w:eastAsia="en-GB"/>
          <w14:ligatures w14:val="none"/>
        </w:rPr>
        <w:t xml:space="preserve">. 12th </w:t>
      </w:r>
      <w:proofErr w:type="spellStart"/>
      <w:r w:rsidRPr="00D322D3">
        <w:rPr>
          <w:rFonts w:ascii="Times New Roman" w:eastAsia="Times New Roman" w:hAnsi="Times New Roman" w:cs="Times New Roman"/>
          <w:kern w:val="0"/>
          <w:lang w:eastAsia="en-GB"/>
          <w14:ligatures w14:val="none"/>
        </w:rPr>
        <w:t>edn</w:t>
      </w:r>
      <w:proofErr w:type="spellEnd"/>
      <w:r w:rsidRPr="00D322D3">
        <w:rPr>
          <w:rFonts w:ascii="Times New Roman" w:eastAsia="Times New Roman" w:hAnsi="Times New Roman" w:cs="Times New Roman"/>
          <w:kern w:val="0"/>
          <w:lang w:eastAsia="en-GB"/>
          <w14:ligatures w14:val="none"/>
        </w:rPr>
        <w:t>. Harlow: Pearson.</w:t>
      </w:r>
    </w:p>
    <w:p w14:paraId="4E79C684"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King’s Fund (2023) </w:t>
      </w:r>
      <w:r w:rsidRPr="00D322D3">
        <w:rPr>
          <w:rFonts w:ascii="Times New Roman" w:eastAsia="Times New Roman" w:hAnsi="Times New Roman" w:cs="Times New Roman"/>
          <w:i/>
          <w:iCs/>
          <w:kern w:val="0"/>
          <w:lang w:eastAsia="en-GB"/>
          <w14:ligatures w14:val="none"/>
        </w:rPr>
        <w:t>Understanding Medicine Shortages in the UK</w:t>
      </w:r>
      <w:r w:rsidRPr="00D322D3">
        <w:rPr>
          <w:rFonts w:ascii="Times New Roman" w:eastAsia="Times New Roman" w:hAnsi="Times New Roman" w:cs="Times New Roman"/>
          <w:kern w:val="0"/>
          <w:lang w:eastAsia="en-GB"/>
          <w14:ligatures w14:val="none"/>
        </w:rPr>
        <w:t>. The King’s Fund.</w:t>
      </w:r>
    </w:p>
    <w:p w14:paraId="30C1903E"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MarketLine (2023) </w:t>
      </w:r>
      <w:r w:rsidRPr="00D322D3">
        <w:rPr>
          <w:rFonts w:ascii="Times New Roman" w:eastAsia="Times New Roman" w:hAnsi="Times New Roman" w:cs="Times New Roman"/>
          <w:i/>
          <w:iCs/>
          <w:kern w:val="0"/>
          <w:lang w:eastAsia="en-GB"/>
          <w14:ligatures w14:val="none"/>
        </w:rPr>
        <w:t>United Kingdom: Pharmacy Sector Report</w:t>
      </w:r>
      <w:r w:rsidRPr="00D322D3">
        <w:rPr>
          <w:rFonts w:ascii="Times New Roman" w:eastAsia="Times New Roman" w:hAnsi="Times New Roman" w:cs="Times New Roman"/>
          <w:kern w:val="0"/>
          <w:lang w:eastAsia="en-GB"/>
          <w14:ligatures w14:val="none"/>
        </w:rPr>
        <w:t>. MarketLine Industry Profiles.</w:t>
      </w:r>
    </w:p>
    <w:p w14:paraId="0CC76FA5"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MHRA (2023) </w:t>
      </w:r>
      <w:r w:rsidRPr="00D322D3">
        <w:rPr>
          <w:rFonts w:ascii="Times New Roman" w:eastAsia="Times New Roman" w:hAnsi="Times New Roman" w:cs="Times New Roman"/>
          <w:i/>
          <w:iCs/>
          <w:kern w:val="0"/>
          <w:lang w:eastAsia="en-GB"/>
          <w14:ligatures w14:val="none"/>
        </w:rPr>
        <w:t>Guidance on Medicines Regulation and Safety</w:t>
      </w:r>
      <w:r w:rsidRPr="00D322D3">
        <w:rPr>
          <w:rFonts w:ascii="Times New Roman" w:eastAsia="Times New Roman" w:hAnsi="Times New Roman" w:cs="Times New Roman"/>
          <w:kern w:val="0"/>
          <w:lang w:eastAsia="en-GB"/>
          <w14:ligatures w14:val="none"/>
        </w:rPr>
        <w:t>. Medicines and Healthcare Products Regulatory Agency.</w:t>
      </w:r>
    </w:p>
    <w:p w14:paraId="5A12CD9A"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Mintzberg, H. (1994) </w:t>
      </w:r>
      <w:r w:rsidRPr="00D322D3">
        <w:rPr>
          <w:rFonts w:ascii="Times New Roman" w:eastAsia="Times New Roman" w:hAnsi="Times New Roman" w:cs="Times New Roman"/>
          <w:i/>
          <w:iCs/>
          <w:kern w:val="0"/>
          <w:lang w:eastAsia="en-GB"/>
          <w14:ligatures w14:val="none"/>
        </w:rPr>
        <w:t>The Rise and Fall of Strategic Planning</w:t>
      </w:r>
      <w:r w:rsidRPr="00D322D3">
        <w:rPr>
          <w:rFonts w:ascii="Times New Roman" w:eastAsia="Times New Roman" w:hAnsi="Times New Roman" w:cs="Times New Roman"/>
          <w:kern w:val="0"/>
          <w:lang w:eastAsia="en-GB"/>
          <w14:ligatures w14:val="none"/>
        </w:rPr>
        <w:t>. New York: Free Press.</w:t>
      </w:r>
    </w:p>
    <w:p w14:paraId="1E6683C9"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NHS Digital (2022) </w:t>
      </w:r>
      <w:r w:rsidRPr="00D322D3">
        <w:rPr>
          <w:rFonts w:ascii="Times New Roman" w:eastAsia="Times New Roman" w:hAnsi="Times New Roman" w:cs="Times New Roman"/>
          <w:i/>
          <w:iCs/>
          <w:kern w:val="0"/>
          <w:lang w:eastAsia="en-GB"/>
          <w14:ligatures w14:val="none"/>
        </w:rPr>
        <w:t>Electronic Prescription Service: Annual Statistics</w:t>
      </w:r>
      <w:r w:rsidRPr="00D322D3">
        <w:rPr>
          <w:rFonts w:ascii="Times New Roman" w:eastAsia="Times New Roman" w:hAnsi="Times New Roman" w:cs="Times New Roman"/>
          <w:kern w:val="0"/>
          <w:lang w:eastAsia="en-GB"/>
          <w14:ligatures w14:val="none"/>
        </w:rPr>
        <w:t>. NHS Digital.</w:t>
      </w:r>
    </w:p>
    <w:p w14:paraId="5DDA6CA4"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NHS England (2023) </w:t>
      </w:r>
      <w:r w:rsidRPr="00D322D3">
        <w:rPr>
          <w:rFonts w:ascii="Times New Roman" w:eastAsia="Times New Roman" w:hAnsi="Times New Roman" w:cs="Times New Roman"/>
          <w:i/>
          <w:iCs/>
          <w:kern w:val="0"/>
          <w:lang w:eastAsia="en-GB"/>
          <w14:ligatures w14:val="none"/>
        </w:rPr>
        <w:t>Community Pharmacy Contractual Framework and Primary Care Recovery Plan</w:t>
      </w:r>
      <w:r w:rsidRPr="00D322D3">
        <w:rPr>
          <w:rFonts w:ascii="Times New Roman" w:eastAsia="Times New Roman" w:hAnsi="Times New Roman" w:cs="Times New Roman"/>
          <w:kern w:val="0"/>
          <w:lang w:eastAsia="en-GB"/>
          <w14:ligatures w14:val="none"/>
        </w:rPr>
        <w:t>. NHS England.</w:t>
      </w:r>
    </w:p>
    <w:p w14:paraId="1F86B961"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NICE (2022) </w:t>
      </w:r>
      <w:r w:rsidRPr="00D322D3">
        <w:rPr>
          <w:rFonts w:ascii="Times New Roman" w:eastAsia="Times New Roman" w:hAnsi="Times New Roman" w:cs="Times New Roman"/>
          <w:i/>
          <w:iCs/>
          <w:kern w:val="0"/>
          <w:lang w:eastAsia="en-GB"/>
          <w14:ligatures w14:val="none"/>
        </w:rPr>
        <w:t>Chronic Conditions and Medicines Adherence Guidelines</w:t>
      </w:r>
      <w:r w:rsidRPr="00D322D3">
        <w:rPr>
          <w:rFonts w:ascii="Times New Roman" w:eastAsia="Times New Roman" w:hAnsi="Times New Roman" w:cs="Times New Roman"/>
          <w:kern w:val="0"/>
          <w:lang w:eastAsia="en-GB"/>
          <w14:ligatures w14:val="none"/>
        </w:rPr>
        <w:t>. National Institute for Health and Care Excellence.</w:t>
      </w:r>
    </w:p>
    <w:p w14:paraId="0E828400"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ONS (2023) </w:t>
      </w:r>
      <w:r w:rsidRPr="00D322D3">
        <w:rPr>
          <w:rFonts w:ascii="Times New Roman" w:eastAsia="Times New Roman" w:hAnsi="Times New Roman" w:cs="Times New Roman"/>
          <w:i/>
          <w:iCs/>
          <w:kern w:val="0"/>
          <w:lang w:eastAsia="en-GB"/>
          <w14:ligatures w14:val="none"/>
        </w:rPr>
        <w:t>Population Ageing in the United Kingdom</w:t>
      </w:r>
      <w:r w:rsidRPr="00D322D3">
        <w:rPr>
          <w:rFonts w:ascii="Times New Roman" w:eastAsia="Times New Roman" w:hAnsi="Times New Roman" w:cs="Times New Roman"/>
          <w:kern w:val="0"/>
          <w:lang w:eastAsia="en-GB"/>
          <w14:ligatures w14:val="none"/>
        </w:rPr>
        <w:t>. Office for National Statistics.</w:t>
      </w:r>
    </w:p>
    <w:p w14:paraId="400EAB99"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lastRenderedPageBreak/>
        <w:t xml:space="preserve">Porter, M.E. (1980) </w:t>
      </w:r>
      <w:r w:rsidRPr="00D322D3">
        <w:rPr>
          <w:rFonts w:ascii="Times New Roman" w:eastAsia="Times New Roman" w:hAnsi="Times New Roman" w:cs="Times New Roman"/>
          <w:i/>
          <w:iCs/>
          <w:kern w:val="0"/>
          <w:lang w:eastAsia="en-GB"/>
          <w14:ligatures w14:val="none"/>
        </w:rPr>
        <w:t xml:space="preserve">Competitive Strategy: Techniques for </w:t>
      </w:r>
      <w:proofErr w:type="spellStart"/>
      <w:r w:rsidRPr="00D322D3">
        <w:rPr>
          <w:rFonts w:ascii="Times New Roman" w:eastAsia="Times New Roman" w:hAnsi="Times New Roman" w:cs="Times New Roman"/>
          <w:i/>
          <w:iCs/>
          <w:kern w:val="0"/>
          <w:lang w:eastAsia="en-GB"/>
          <w14:ligatures w14:val="none"/>
        </w:rPr>
        <w:t>Analyzing</w:t>
      </w:r>
      <w:proofErr w:type="spellEnd"/>
      <w:r w:rsidRPr="00D322D3">
        <w:rPr>
          <w:rFonts w:ascii="Times New Roman" w:eastAsia="Times New Roman" w:hAnsi="Times New Roman" w:cs="Times New Roman"/>
          <w:i/>
          <w:iCs/>
          <w:kern w:val="0"/>
          <w:lang w:eastAsia="en-GB"/>
          <w14:ligatures w14:val="none"/>
        </w:rPr>
        <w:t xml:space="preserve"> Industries and Competitors</w:t>
      </w:r>
      <w:r w:rsidRPr="00D322D3">
        <w:rPr>
          <w:rFonts w:ascii="Times New Roman" w:eastAsia="Times New Roman" w:hAnsi="Times New Roman" w:cs="Times New Roman"/>
          <w:kern w:val="0"/>
          <w:lang w:eastAsia="en-GB"/>
          <w14:ligatures w14:val="none"/>
        </w:rPr>
        <w:t>. New York: Free Press.</w:t>
      </w:r>
    </w:p>
    <w:p w14:paraId="0DD9DDE2"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Porter, M.E. (1985) </w:t>
      </w:r>
      <w:r w:rsidRPr="00D322D3">
        <w:rPr>
          <w:rFonts w:ascii="Times New Roman" w:eastAsia="Times New Roman" w:hAnsi="Times New Roman" w:cs="Times New Roman"/>
          <w:i/>
          <w:iCs/>
          <w:kern w:val="0"/>
          <w:lang w:eastAsia="en-GB"/>
          <w14:ligatures w14:val="none"/>
        </w:rPr>
        <w:t>Competitive Advantage: Creating and Sustaining Superior Performance</w:t>
      </w:r>
      <w:r w:rsidRPr="00D322D3">
        <w:rPr>
          <w:rFonts w:ascii="Times New Roman" w:eastAsia="Times New Roman" w:hAnsi="Times New Roman" w:cs="Times New Roman"/>
          <w:kern w:val="0"/>
          <w:lang w:eastAsia="en-GB"/>
          <w14:ligatures w14:val="none"/>
        </w:rPr>
        <w:t>. New York: Free Press.</w:t>
      </w:r>
    </w:p>
    <w:p w14:paraId="7A21DDA5"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PSNC (2023) </w:t>
      </w:r>
      <w:r w:rsidRPr="00D322D3">
        <w:rPr>
          <w:rFonts w:ascii="Times New Roman" w:eastAsia="Times New Roman" w:hAnsi="Times New Roman" w:cs="Times New Roman"/>
          <w:i/>
          <w:iCs/>
          <w:kern w:val="0"/>
          <w:lang w:eastAsia="en-GB"/>
          <w14:ligatures w14:val="none"/>
        </w:rPr>
        <w:t>Community Pharmacy Funding Update</w:t>
      </w:r>
      <w:r w:rsidRPr="00D322D3">
        <w:rPr>
          <w:rFonts w:ascii="Times New Roman" w:eastAsia="Times New Roman" w:hAnsi="Times New Roman" w:cs="Times New Roman"/>
          <w:kern w:val="0"/>
          <w:lang w:eastAsia="en-GB"/>
          <w14:ligatures w14:val="none"/>
        </w:rPr>
        <w:t>. Pharmaceutical Services Negotiating Committee.</w:t>
      </w:r>
    </w:p>
    <w:p w14:paraId="00410C24"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PwC (2023) </w:t>
      </w:r>
      <w:r w:rsidRPr="00D322D3">
        <w:rPr>
          <w:rFonts w:ascii="Times New Roman" w:eastAsia="Times New Roman" w:hAnsi="Times New Roman" w:cs="Times New Roman"/>
          <w:i/>
          <w:iCs/>
          <w:kern w:val="0"/>
          <w:lang w:eastAsia="en-GB"/>
          <w14:ligatures w14:val="none"/>
        </w:rPr>
        <w:t>AI and Automation in UK Healthcare: Opportunities for Pharmacy</w:t>
      </w:r>
      <w:r w:rsidRPr="00D322D3">
        <w:rPr>
          <w:rFonts w:ascii="Times New Roman" w:eastAsia="Times New Roman" w:hAnsi="Times New Roman" w:cs="Times New Roman"/>
          <w:kern w:val="0"/>
          <w:lang w:eastAsia="en-GB"/>
          <w14:ligatures w14:val="none"/>
        </w:rPr>
        <w:t>. PricewaterhouseCoopers.</w:t>
      </w:r>
    </w:p>
    <w:p w14:paraId="5A7B64AB"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Smith, P. (2005) </w:t>
      </w:r>
      <w:r w:rsidRPr="00D322D3">
        <w:rPr>
          <w:rFonts w:ascii="Times New Roman" w:eastAsia="Times New Roman" w:hAnsi="Times New Roman" w:cs="Times New Roman"/>
          <w:i/>
          <w:iCs/>
          <w:kern w:val="0"/>
          <w:lang w:eastAsia="en-GB"/>
          <w14:ligatures w14:val="none"/>
        </w:rPr>
        <w:t>The RACI Model: Decision-Making Frameworks in Organisations</w:t>
      </w:r>
      <w:r w:rsidRPr="00D322D3">
        <w:rPr>
          <w:rFonts w:ascii="Times New Roman" w:eastAsia="Times New Roman" w:hAnsi="Times New Roman" w:cs="Times New Roman"/>
          <w:kern w:val="0"/>
          <w:lang w:eastAsia="en-GB"/>
          <w14:ligatures w14:val="none"/>
        </w:rPr>
        <w:t>. London: Management Press.</w:t>
      </w:r>
    </w:p>
    <w:p w14:paraId="4AD1D8AD"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Statista (2024) </w:t>
      </w:r>
      <w:r w:rsidRPr="00D322D3">
        <w:rPr>
          <w:rFonts w:ascii="Times New Roman" w:eastAsia="Times New Roman" w:hAnsi="Times New Roman" w:cs="Times New Roman"/>
          <w:i/>
          <w:iCs/>
          <w:kern w:val="0"/>
          <w:lang w:eastAsia="en-GB"/>
          <w14:ligatures w14:val="none"/>
        </w:rPr>
        <w:t>Online Pharmacy Market Value in the UK</w:t>
      </w:r>
      <w:r w:rsidRPr="00D322D3">
        <w:rPr>
          <w:rFonts w:ascii="Times New Roman" w:eastAsia="Times New Roman" w:hAnsi="Times New Roman" w:cs="Times New Roman"/>
          <w:kern w:val="0"/>
          <w:lang w:eastAsia="en-GB"/>
          <w14:ligatures w14:val="none"/>
        </w:rPr>
        <w:t>. Statista Research Department.</w:t>
      </w:r>
    </w:p>
    <w:p w14:paraId="6F7243EE" w14:textId="77777777" w:rsidR="00D322D3" w:rsidRPr="00D322D3" w:rsidRDefault="00D322D3" w:rsidP="00D322D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D3">
        <w:rPr>
          <w:rFonts w:ascii="Times New Roman" w:eastAsia="Times New Roman" w:hAnsi="Times New Roman" w:cs="Times New Roman"/>
          <w:kern w:val="0"/>
          <w:lang w:eastAsia="en-GB"/>
          <w14:ligatures w14:val="none"/>
        </w:rPr>
        <w:t xml:space="preserve">Thong, J. (2019) ‘Digital transformation in SMEs: Opportunities and barriers’, </w:t>
      </w:r>
      <w:r w:rsidRPr="00D322D3">
        <w:rPr>
          <w:rFonts w:ascii="Times New Roman" w:eastAsia="Times New Roman" w:hAnsi="Times New Roman" w:cs="Times New Roman"/>
          <w:i/>
          <w:iCs/>
          <w:kern w:val="0"/>
          <w:lang w:eastAsia="en-GB"/>
          <w14:ligatures w14:val="none"/>
        </w:rPr>
        <w:t>Journal of Strategic Information Systems</w:t>
      </w:r>
      <w:r w:rsidRPr="00D322D3">
        <w:rPr>
          <w:rFonts w:ascii="Times New Roman" w:eastAsia="Times New Roman" w:hAnsi="Times New Roman" w:cs="Times New Roman"/>
          <w:kern w:val="0"/>
          <w:lang w:eastAsia="en-GB"/>
          <w14:ligatures w14:val="none"/>
        </w:rPr>
        <w:t>, 28(2), pp. 100–120.</w:t>
      </w:r>
    </w:p>
    <w:p w14:paraId="12434D40" w14:textId="77777777" w:rsidR="00F76C16" w:rsidRPr="004E22C0" w:rsidRDefault="00F76C16">
      <w:pPr>
        <w:rPr>
          <w:rFonts w:ascii="Arial" w:hAnsi="Arial" w:cs="Arial"/>
          <w:sz w:val="22"/>
          <w:szCs w:val="22"/>
        </w:rPr>
      </w:pPr>
    </w:p>
    <w:sectPr w:rsidR="00F76C16" w:rsidRPr="004E22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1D89"/>
    <w:multiLevelType w:val="multilevel"/>
    <w:tmpl w:val="A14A0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61648"/>
    <w:multiLevelType w:val="multilevel"/>
    <w:tmpl w:val="ED4AE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078C3"/>
    <w:multiLevelType w:val="multilevel"/>
    <w:tmpl w:val="2CE268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283652"/>
    <w:multiLevelType w:val="multilevel"/>
    <w:tmpl w:val="3B8E1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30585"/>
    <w:multiLevelType w:val="multilevel"/>
    <w:tmpl w:val="C61C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778A5"/>
    <w:multiLevelType w:val="multilevel"/>
    <w:tmpl w:val="270A1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50CDC"/>
    <w:multiLevelType w:val="multilevel"/>
    <w:tmpl w:val="1C80C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C74750"/>
    <w:multiLevelType w:val="multilevel"/>
    <w:tmpl w:val="2BF0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F90A9E"/>
    <w:multiLevelType w:val="multilevel"/>
    <w:tmpl w:val="272A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5B64D1"/>
    <w:multiLevelType w:val="hybridMultilevel"/>
    <w:tmpl w:val="228E2264"/>
    <w:lvl w:ilvl="0" w:tplc="002A8E78">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8F65F7"/>
    <w:multiLevelType w:val="multilevel"/>
    <w:tmpl w:val="08B2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825FDC"/>
    <w:multiLevelType w:val="multilevel"/>
    <w:tmpl w:val="87F07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2B3DE6"/>
    <w:multiLevelType w:val="multilevel"/>
    <w:tmpl w:val="B0183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923341"/>
    <w:multiLevelType w:val="multilevel"/>
    <w:tmpl w:val="0B344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AF3220"/>
    <w:multiLevelType w:val="multilevel"/>
    <w:tmpl w:val="6FEC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EF5FB8"/>
    <w:multiLevelType w:val="multilevel"/>
    <w:tmpl w:val="D50E1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45160E"/>
    <w:multiLevelType w:val="multilevel"/>
    <w:tmpl w:val="B20E4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5C79D0"/>
    <w:multiLevelType w:val="multilevel"/>
    <w:tmpl w:val="F952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B1415E"/>
    <w:multiLevelType w:val="multilevel"/>
    <w:tmpl w:val="DA48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156B7E"/>
    <w:multiLevelType w:val="multilevel"/>
    <w:tmpl w:val="0068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3874B9"/>
    <w:multiLevelType w:val="multilevel"/>
    <w:tmpl w:val="5998A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DB213F"/>
    <w:multiLevelType w:val="multilevel"/>
    <w:tmpl w:val="62500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39127A"/>
    <w:multiLevelType w:val="multilevel"/>
    <w:tmpl w:val="29D2D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185CBA"/>
    <w:multiLevelType w:val="multilevel"/>
    <w:tmpl w:val="8F8670D4"/>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8923744">
    <w:abstractNumId w:val="2"/>
  </w:num>
  <w:num w:numId="2" w16cid:durableId="339431486">
    <w:abstractNumId w:val="14"/>
  </w:num>
  <w:num w:numId="3" w16cid:durableId="26638837">
    <w:abstractNumId w:val="6"/>
  </w:num>
  <w:num w:numId="4" w16cid:durableId="935400192">
    <w:abstractNumId w:val="21"/>
  </w:num>
  <w:num w:numId="5" w16cid:durableId="1402365363">
    <w:abstractNumId w:val="4"/>
  </w:num>
  <w:num w:numId="6" w16cid:durableId="1454905248">
    <w:abstractNumId w:val="16"/>
  </w:num>
  <w:num w:numId="7" w16cid:durableId="1163354550">
    <w:abstractNumId w:val="1"/>
  </w:num>
  <w:num w:numId="8" w16cid:durableId="1291589788">
    <w:abstractNumId w:val="12"/>
  </w:num>
  <w:num w:numId="9" w16cid:durableId="1752848347">
    <w:abstractNumId w:val="13"/>
  </w:num>
  <w:num w:numId="10" w16cid:durableId="1793589679">
    <w:abstractNumId w:val="7"/>
  </w:num>
  <w:num w:numId="11" w16cid:durableId="921914077">
    <w:abstractNumId w:val="10"/>
  </w:num>
  <w:num w:numId="12" w16cid:durableId="1453817801">
    <w:abstractNumId w:val="15"/>
  </w:num>
  <w:num w:numId="13" w16cid:durableId="1656832363">
    <w:abstractNumId w:val="5"/>
  </w:num>
  <w:num w:numId="14" w16cid:durableId="512375124">
    <w:abstractNumId w:val="17"/>
  </w:num>
  <w:num w:numId="15" w16cid:durableId="1912276209">
    <w:abstractNumId w:val="0"/>
  </w:num>
  <w:num w:numId="16" w16cid:durableId="402601677">
    <w:abstractNumId w:val="18"/>
  </w:num>
  <w:num w:numId="17" w16cid:durableId="1087843009">
    <w:abstractNumId w:val="19"/>
  </w:num>
  <w:num w:numId="18" w16cid:durableId="246574485">
    <w:abstractNumId w:val="20"/>
  </w:num>
  <w:num w:numId="19" w16cid:durableId="2116055764">
    <w:abstractNumId w:val="8"/>
  </w:num>
  <w:num w:numId="20" w16cid:durableId="2126579548">
    <w:abstractNumId w:val="23"/>
  </w:num>
  <w:num w:numId="21" w16cid:durableId="1193034978">
    <w:abstractNumId w:val="22"/>
  </w:num>
  <w:num w:numId="22" w16cid:durableId="631794326">
    <w:abstractNumId w:val="3"/>
  </w:num>
  <w:num w:numId="23" w16cid:durableId="1733037260">
    <w:abstractNumId w:val="11"/>
  </w:num>
  <w:num w:numId="24" w16cid:durableId="7804924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2C0"/>
    <w:rsid w:val="000240A5"/>
    <w:rsid w:val="00100C01"/>
    <w:rsid w:val="0027339D"/>
    <w:rsid w:val="004E22C0"/>
    <w:rsid w:val="004E2D8F"/>
    <w:rsid w:val="008E4514"/>
    <w:rsid w:val="009427D9"/>
    <w:rsid w:val="00977289"/>
    <w:rsid w:val="00A70635"/>
    <w:rsid w:val="00AE3CD2"/>
    <w:rsid w:val="00B02E70"/>
    <w:rsid w:val="00B46735"/>
    <w:rsid w:val="00C57955"/>
    <w:rsid w:val="00D322D3"/>
    <w:rsid w:val="00F002CB"/>
    <w:rsid w:val="00F76C16"/>
    <w:rsid w:val="00FC72B1"/>
    <w:rsid w:val="00FD6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92E66"/>
  <w15:chartTrackingRefBased/>
  <w15:docId w15:val="{55316974-B734-4DC9-AADC-4DEAFF6E3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2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22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22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22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2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2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2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2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2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2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22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2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2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2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2C0"/>
    <w:rPr>
      <w:rFonts w:eastAsiaTheme="majorEastAsia" w:cstheme="majorBidi"/>
      <w:color w:val="272727" w:themeColor="text1" w:themeTint="D8"/>
    </w:rPr>
  </w:style>
  <w:style w:type="paragraph" w:styleId="Title">
    <w:name w:val="Title"/>
    <w:basedOn w:val="Normal"/>
    <w:next w:val="Normal"/>
    <w:link w:val="TitleChar"/>
    <w:uiPriority w:val="10"/>
    <w:qFormat/>
    <w:rsid w:val="004E22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2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2C0"/>
    <w:pPr>
      <w:spacing w:before="160"/>
      <w:jc w:val="center"/>
    </w:pPr>
    <w:rPr>
      <w:i/>
      <w:iCs/>
      <w:color w:val="404040" w:themeColor="text1" w:themeTint="BF"/>
    </w:rPr>
  </w:style>
  <w:style w:type="character" w:customStyle="1" w:styleId="QuoteChar">
    <w:name w:val="Quote Char"/>
    <w:basedOn w:val="DefaultParagraphFont"/>
    <w:link w:val="Quote"/>
    <w:uiPriority w:val="29"/>
    <w:rsid w:val="004E22C0"/>
    <w:rPr>
      <w:i/>
      <w:iCs/>
      <w:color w:val="404040" w:themeColor="text1" w:themeTint="BF"/>
    </w:rPr>
  </w:style>
  <w:style w:type="paragraph" w:styleId="ListParagraph">
    <w:name w:val="List Paragraph"/>
    <w:basedOn w:val="Normal"/>
    <w:uiPriority w:val="34"/>
    <w:qFormat/>
    <w:rsid w:val="004E22C0"/>
    <w:pPr>
      <w:ind w:left="720"/>
      <w:contextualSpacing/>
    </w:pPr>
  </w:style>
  <w:style w:type="character" w:styleId="IntenseEmphasis">
    <w:name w:val="Intense Emphasis"/>
    <w:basedOn w:val="DefaultParagraphFont"/>
    <w:uiPriority w:val="21"/>
    <w:qFormat/>
    <w:rsid w:val="004E22C0"/>
    <w:rPr>
      <w:i/>
      <w:iCs/>
      <w:color w:val="0F4761" w:themeColor="accent1" w:themeShade="BF"/>
    </w:rPr>
  </w:style>
  <w:style w:type="paragraph" w:styleId="IntenseQuote">
    <w:name w:val="Intense Quote"/>
    <w:basedOn w:val="Normal"/>
    <w:next w:val="Normal"/>
    <w:link w:val="IntenseQuoteChar"/>
    <w:uiPriority w:val="30"/>
    <w:qFormat/>
    <w:rsid w:val="004E22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2C0"/>
    <w:rPr>
      <w:i/>
      <w:iCs/>
      <w:color w:val="0F4761" w:themeColor="accent1" w:themeShade="BF"/>
    </w:rPr>
  </w:style>
  <w:style w:type="character" w:styleId="IntenseReference">
    <w:name w:val="Intense Reference"/>
    <w:basedOn w:val="DefaultParagraphFont"/>
    <w:uiPriority w:val="32"/>
    <w:qFormat/>
    <w:rsid w:val="004E22C0"/>
    <w:rPr>
      <w:b/>
      <w:bCs/>
      <w:smallCaps/>
      <w:color w:val="0F4761" w:themeColor="accent1" w:themeShade="BF"/>
      <w:spacing w:val="5"/>
    </w:rPr>
  </w:style>
  <w:style w:type="paragraph" w:styleId="NormalWeb">
    <w:name w:val="Normal (Web)"/>
    <w:basedOn w:val="Normal"/>
    <w:uiPriority w:val="99"/>
    <w:semiHidden/>
    <w:unhideWhenUsed/>
    <w:rsid w:val="00FD62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D62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TotalTime>
  <Pages>20</Pages>
  <Words>4168</Words>
  <Characters>23762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Lucrezia Nappi</dc:creator>
  <cp:keywords/>
  <dc:description/>
  <cp:lastModifiedBy>Lucrezia Nappi</cp:lastModifiedBy>
  <cp:revision>2</cp:revision>
  <dcterms:created xsi:type="dcterms:W3CDTF">2025-12-02T07:18:00Z</dcterms:created>
  <dcterms:modified xsi:type="dcterms:W3CDTF">2025-12-02T09:33:00Z</dcterms:modified>
</cp:coreProperties>
</file>