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E271F" w14:textId="77777777" w:rsidR="00432107" w:rsidRDefault="00432107" w:rsidP="00432107">
      <w:pPr>
        <w:jc w:val="center"/>
        <w:rPr>
          <w:b/>
          <w:bCs/>
          <w:sz w:val="28"/>
          <w:szCs w:val="32"/>
        </w:rPr>
      </w:pPr>
    </w:p>
    <w:p w14:paraId="4089794E" w14:textId="77777777" w:rsidR="00432107" w:rsidRDefault="00432107" w:rsidP="00432107">
      <w:pPr>
        <w:jc w:val="center"/>
        <w:rPr>
          <w:b/>
          <w:bCs/>
          <w:sz w:val="28"/>
          <w:szCs w:val="32"/>
        </w:rPr>
      </w:pPr>
    </w:p>
    <w:p w14:paraId="47202EA8" w14:textId="77777777" w:rsidR="00D53EB8" w:rsidRPr="002F65D1" w:rsidRDefault="00D53EB8" w:rsidP="00D53EB8">
      <w:pPr>
        <w:jc w:val="center"/>
        <w:rPr>
          <w:rFonts w:ascii="Arial" w:hAnsi="Arial" w:cs="Arial"/>
          <w:b/>
          <w:bCs/>
          <w:sz w:val="32"/>
          <w:szCs w:val="36"/>
        </w:rPr>
      </w:pPr>
      <w:r w:rsidRPr="002F65D1">
        <w:rPr>
          <w:rFonts w:ascii="Arial" w:hAnsi="Arial" w:cs="Arial"/>
          <w:b/>
          <w:bCs/>
          <w:sz w:val="32"/>
          <w:szCs w:val="36"/>
        </w:rPr>
        <w:t>Name: Kamran Khan</w:t>
      </w:r>
    </w:p>
    <w:p w14:paraId="38AAAE43" w14:textId="77777777" w:rsidR="00D53EB8" w:rsidRPr="002F65D1" w:rsidRDefault="00D53EB8" w:rsidP="00D53EB8">
      <w:pPr>
        <w:jc w:val="center"/>
        <w:rPr>
          <w:rFonts w:ascii="Arial" w:hAnsi="Arial" w:cs="Arial"/>
          <w:b/>
          <w:bCs/>
          <w:sz w:val="32"/>
          <w:szCs w:val="36"/>
        </w:rPr>
      </w:pPr>
      <w:r w:rsidRPr="002F65D1">
        <w:rPr>
          <w:rFonts w:ascii="Arial" w:hAnsi="Arial" w:cs="Arial"/>
          <w:b/>
          <w:bCs/>
          <w:sz w:val="32"/>
          <w:szCs w:val="36"/>
        </w:rPr>
        <w:t>Student Number: 2246128</w:t>
      </w:r>
    </w:p>
    <w:p w14:paraId="06EC01E8" w14:textId="77777777" w:rsidR="00D53EB8" w:rsidRPr="002F65D1" w:rsidRDefault="00D53EB8" w:rsidP="00D53EB8">
      <w:pPr>
        <w:jc w:val="center"/>
        <w:rPr>
          <w:rFonts w:ascii="Arial" w:hAnsi="Arial" w:cs="Arial"/>
          <w:b/>
          <w:bCs/>
          <w:sz w:val="32"/>
          <w:szCs w:val="36"/>
        </w:rPr>
      </w:pPr>
      <w:r w:rsidRPr="002F65D1">
        <w:rPr>
          <w:rFonts w:ascii="Arial" w:hAnsi="Arial" w:cs="Arial"/>
          <w:b/>
          <w:bCs/>
          <w:sz w:val="32"/>
          <w:szCs w:val="36"/>
        </w:rPr>
        <w:t>Module: Health, Wellbeing and Sustainable Development BMHP6030</w:t>
      </w:r>
    </w:p>
    <w:p w14:paraId="2711D249" w14:textId="77777777" w:rsidR="00D53EB8" w:rsidRPr="002F65D1" w:rsidRDefault="00D53EB8" w:rsidP="00D53EB8">
      <w:pPr>
        <w:jc w:val="center"/>
        <w:rPr>
          <w:rFonts w:ascii="Arial" w:hAnsi="Arial" w:cs="Arial"/>
          <w:b/>
          <w:bCs/>
          <w:sz w:val="32"/>
          <w:szCs w:val="36"/>
        </w:rPr>
      </w:pPr>
      <w:r w:rsidRPr="002F65D1">
        <w:rPr>
          <w:rFonts w:ascii="Arial" w:hAnsi="Arial" w:cs="Arial"/>
          <w:b/>
          <w:bCs/>
          <w:sz w:val="32"/>
          <w:szCs w:val="36"/>
        </w:rPr>
        <w:t>Assignment Title: Component 2: Written Assignment (Report)</w:t>
      </w:r>
    </w:p>
    <w:p w14:paraId="71BD0C6A" w14:textId="77777777" w:rsidR="00D53EB8" w:rsidRPr="002F65D1" w:rsidRDefault="00D53EB8" w:rsidP="00D53EB8">
      <w:pPr>
        <w:jc w:val="center"/>
        <w:rPr>
          <w:rFonts w:ascii="Arial" w:hAnsi="Arial" w:cs="Arial"/>
          <w:b/>
          <w:bCs/>
          <w:sz w:val="32"/>
          <w:szCs w:val="36"/>
        </w:rPr>
      </w:pPr>
      <w:r w:rsidRPr="002F65D1">
        <w:rPr>
          <w:rFonts w:ascii="Arial" w:hAnsi="Arial" w:cs="Arial"/>
          <w:b/>
          <w:bCs/>
          <w:sz w:val="32"/>
          <w:szCs w:val="36"/>
        </w:rPr>
        <w:t xml:space="preserve">Lecturer Name: </w:t>
      </w:r>
      <w:proofErr w:type="spellStart"/>
      <w:r w:rsidRPr="002F65D1">
        <w:rPr>
          <w:rFonts w:ascii="Arial" w:hAnsi="Arial" w:cs="Arial"/>
          <w:b/>
          <w:bCs/>
          <w:sz w:val="32"/>
          <w:szCs w:val="36"/>
        </w:rPr>
        <w:t>Parese</w:t>
      </w:r>
      <w:proofErr w:type="spellEnd"/>
      <w:r w:rsidRPr="002F65D1">
        <w:rPr>
          <w:rFonts w:ascii="Arial" w:hAnsi="Arial" w:cs="Arial"/>
          <w:b/>
          <w:bCs/>
          <w:sz w:val="32"/>
          <w:szCs w:val="36"/>
        </w:rPr>
        <w:t xml:space="preserve"> Ahmed</w:t>
      </w:r>
    </w:p>
    <w:p w14:paraId="2D814F72" w14:textId="0D92EB6A" w:rsidR="001C51E6" w:rsidRPr="000B44C3" w:rsidRDefault="001C51E6" w:rsidP="000B44C3">
      <w:pPr>
        <w:spacing w:after="0"/>
        <w:jc w:val="both"/>
        <w:rPr>
          <w:rFonts w:ascii="Arial" w:eastAsia="Times New Roman" w:hAnsi="Arial" w:cs="Arial"/>
          <w:kern w:val="0"/>
          <w:szCs w:val="22"/>
          <w:lang w:eastAsia="en-GB"/>
          <w14:ligatures w14:val="none"/>
        </w:rPr>
      </w:pPr>
    </w:p>
    <w:p w14:paraId="29DC5E94" w14:textId="77777777" w:rsidR="00F37362" w:rsidRDefault="00F37362" w:rsidP="000B44C3">
      <w:pPr>
        <w:spacing w:after="0"/>
        <w:jc w:val="both"/>
        <w:rPr>
          <w:rFonts w:ascii="Arial" w:eastAsia="Times New Roman" w:hAnsi="Arial" w:cs="Arial"/>
          <w:kern w:val="0"/>
          <w:szCs w:val="22"/>
          <w:lang w:eastAsia="en-GB"/>
          <w14:ligatures w14:val="none"/>
        </w:rPr>
      </w:pPr>
    </w:p>
    <w:p w14:paraId="04545BD7" w14:textId="77777777" w:rsidR="00A53383" w:rsidRDefault="00A53383" w:rsidP="000B44C3">
      <w:pPr>
        <w:spacing w:after="0"/>
        <w:jc w:val="both"/>
        <w:rPr>
          <w:rFonts w:ascii="Arial" w:eastAsia="Times New Roman" w:hAnsi="Arial" w:cs="Arial"/>
          <w:kern w:val="0"/>
          <w:szCs w:val="22"/>
          <w:lang w:eastAsia="en-GB"/>
          <w14:ligatures w14:val="none"/>
        </w:rPr>
      </w:pPr>
    </w:p>
    <w:p w14:paraId="39EBBED7" w14:textId="77777777" w:rsidR="00A53383" w:rsidRDefault="00A53383" w:rsidP="000B44C3">
      <w:pPr>
        <w:spacing w:after="0"/>
        <w:jc w:val="both"/>
        <w:rPr>
          <w:rFonts w:ascii="Arial" w:eastAsia="Times New Roman" w:hAnsi="Arial" w:cs="Arial"/>
          <w:kern w:val="0"/>
          <w:szCs w:val="22"/>
          <w:lang w:eastAsia="en-GB"/>
          <w14:ligatures w14:val="none"/>
        </w:rPr>
      </w:pPr>
    </w:p>
    <w:p w14:paraId="73ECFFA4" w14:textId="77777777" w:rsidR="00A53383" w:rsidRDefault="00A53383" w:rsidP="000B44C3">
      <w:pPr>
        <w:spacing w:after="0"/>
        <w:jc w:val="both"/>
        <w:rPr>
          <w:rFonts w:ascii="Arial" w:eastAsia="Times New Roman" w:hAnsi="Arial" w:cs="Arial"/>
          <w:kern w:val="0"/>
          <w:szCs w:val="22"/>
          <w:lang w:eastAsia="en-GB"/>
          <w14:ligatures w14:val="none"/>
        </w:rPr>
      </w:pPr>
    </w:p>
    <w:p w14:paraId="497ECDE4" w14:textId="77777777" w:rsidR="00A53383" w:rsidRDefault="00A53383" w:rsidP="000B44C3">
      <w:pPr>
        <w:spacing w:after="0"/>
        <w:jc w:val="both"/>
        <w:rPr>
          <w:rFonts w:ascii="Arial" w:eastAsia="Times New Roman" w:hAnsi="Arial" w:cs="Arial"/>
          <w:kern w:val="0"/>
          <w:szCs w:val="22"/>
          <w:lang w:eastAsia="en-GB"/>
          <w14:ligatures w14:val="none"/>
        </w:rPr>
      </w:pPr>
    </w:p>
    <w:p w14:paraId="387914CA" w14:textId="77777777" w:rsidR="00A53383" w:rsidRDefault="00A53383" w:rsidP="000B44C3">
      <w:pPr>
        <w:spacing w:after="0"/>
        <w:jc w:val="both"/>
        <w:rPr>
          <w:rFonts w:ascii="Arial" w:eastAsia="Times New Roman" w:hAnsi="Arial" w:cs="Arial"/>
          <w:kern w:val="0"/>
          <w:szCs w:val="22"/>
          <w:lang w:eastAsia="en-GB"/>
          <w14:ligatures w14:val="none"/>
        </w:rPr>
      </w:pPr>
    </w:p>
    <w:p w14:paraId="04C44F30" w14:textId="77777777" w:rsidR="00A53383" w:rsidRDefault="00A53383" w:rsidP="000B44C3">
      <w:pPr>
        <w:spacing w:after="0"/>
        <w:jc w:val="both"/>
        <w:rPr>
          <w:rFonts w:ascii="Arial" w:eastAsia="Times New Roman" w:hAnsi="Arial" w:cs="Arial"/>
          <w:kern w:val="0"/>
          <w:szCs w:val="22"/>
          <w:lang w:eastAsia="en-GB"/>
          <w14:ligatures w14:val="none"/>
        </w:rPr>
      </w:pPr>
    </w:p>
    <w:p w14:paraId="0332581F" w14:textId="77777777" w:rsidR="00A53383" w:rsidRDefault="00A53383" w:rsidP="000B44C3">
      <w:pPr>
        <w:spacing w:after="0"/>
        <w:jc w:val="both"/>
        <w:rPr>
          <w:rFonts w:ascii="Arial" w:eastAsia="Times New Roman" w:hAnsi="Arial" w:cs="Arial"/>
          <w:kern w:val="0"/>
          <w:szCs w:val="22"/>
          <w:lang w:eastAsia="en-GB"/>
          <w14:ligatures w14:val="none"/>
        </w:rPr>
      </w:pPr>
    </w:p>
    <w:p w14:paraId="5B275BC3" w14:textId="77777777" w:rsidR="00A53383" w:rsidRDefault="00A53383" w:rsidP="000B44C3">
      <w:pPr>
        <w:spacing w:after="0"/>
        <w:jc w:val="both"/>
        <w:rPr>
          <w:rFonts w:ascii="Arial" w:eastAsia="Times New Roman" w:hAnsi="Arial" w:cs="Arial"/>
          <w:kern w:val="0"/>
          <w:szCs w:val="22"/>
          <w:lang w:eastAsia="en-GB"/>
          <w14:ligatures w14:val="none"/>
        </w:rPr>
      </w:pPr>
    </w:p>
    <w:p w14:paraId="3E36761D" w14:textId="77777777" w:rsidR="00A53383" w:rsidRDefault="00A53383" w:rsidP="000B44C3">
      <w:pPr>
        <w:spacing w:after="0"/>
        <w:jc w:val="both"/>
        <w:rPr>
          <w:rFonts w:ascii="Arial" w:eastAsia="Times New Roman" w:hAnsi="Arial" w:cs="Arial"/>
          <w:kern w:val="0"/>
          <w:szCs w:val="22"/>
          <w:lang w:eastAsia="en-GB"/>
          <w14:ligatures w14:val="none"/>
        </w:rPr>
      </w:pPr>
    </w:p>
    <w:p w14:paraId="16E05674" w14:textId="77777777" w:rsidR="00A53383" w:rsidRDefault="00A53383" w:rsidP="000B44C3">
      <w:pPr>
        <w:spacing w:after="0"/>
        <w:jc w:val="both"/>
        <w:rPr>
          <w:rFonts w:ascii="Arial" w:eastAsia="Times New Roman" w:hAnsi="Arial" w:cs="Arial"/>
          <w:kern w:val="0"/>
          <w:szCs w:val="22"/>
          <w:lang w:eastAsia="en-GB"/>
          <w14:ligatures w14:val="none"/>
        </w:rPr>
      </w:pPr>
    </w:p>
    <w:p w14:paraId="2D6CB394" w14:textId="77777777" w:rsidR="00A53383" w:rsidRDefault="00A53383" w:rsidP="000B44C3">
      <w:pPr>
        <w:spacing w:after="0"/>
        <w:jc w:val="both"/>
        <w:rPr>
          <w:rFonts w:ascii="Arial" w:eastAsia="Times New Roman" w:hAnsi="Arial" w:cs="Arial"/>
          <w:kern w:val="0"/>
          <w:szCs w:val="22"/>
          <w:lang w:eastAsia="en-GB"/>
          <w14:ligatures w14:val="none"/>
        </w:rPr>
      </w:pPr>
    </w:p>
    <w:p w14:paraId="1F421AAF" w14:textId="77777777" w:rsidR="00A53383" w:rsidRDefault="00A53383" w:rsidP="000B44C3">
      <w:pPr>
        <w:spacing w:after="0"/>
        <w:jc w:val="both"/>
        <w:rPr>
          <w:rFonts w:ascii="Arial" w:eastAsia="Times New Roman" w:hAnsi="Arial" w:cs="Arial"/>
          <w:kern w:val="0"/>
          <w:szCs w:val="22"/>
          <w:lang w:eastAsia="en-GB"/>
          <w14:ligatures w14:val="none"/>
        </w:rPr>
      </w:pPr>
    </w:p>
    <w:p w14:paraId="0061C5E7" w14:textId="77777777" w:rsidR="00A53383" w:rsidRDefault="00A53383" w:rsidP="000B44C3">
      <w:pPr>
        <w:spacing w:after="0"/>
        <w:jc w:val="both"/>
        <w:rPr>
          <w:rFonts w:ascii="Arial" w:eastAsia="Times New Roman" w:hAnsi="Arial" w:cs="Arial"/>
          <w:kern w:val="0"/>
          <w:szCs w:val="22"/>
          <w:lang w:eastAsia="en-GB"/>
          <w14:ligatures w14:val="none"/>
        </w:rPr>
      </w:pPr>
    </w:p>
    <w:p w14:paraId="787B635E" w14:textId="77777777" w:rsidR="00A53383" w:rsidRDefault="00A53383" w:rsidP="000B44C3">
      <w:pPr>
        <w:spacing w:after="0"/>
        <w:jc w:val="both"/>
        <w:rPr>
          <w:rFonts w:ascii="Arial" w:eastAsia="Times New Roman" w:hAnsi="Arial" w:cs="Arial"/>
          <w:kern w:val="0"/>
          <w:szCs w:val="22"/>
          <w:lang w:eastAsia="en-GB"/>
          <w14:ligatures w14:val="none"/>
        </w:rPr>
      </w:pPr>
    </w:p>
    <w:p w14:paraId="088317FB" w14:textId="77777777" w:rsidR="00A53383" w:rsidRDefault="00A53383" w:rsidP="000B44C3">
      <w:pPr>
        <w:spacing w:after="0"/>
        <w:jc w:val="both"/>
        <w:rPr>
          <w:rFonts w:ascii="Arial" w:eastAsia="Times New Roman" w:hAnsi="Arial" w:cs="Arial"/>
          <w:kern w:val="0"/>
          <w:szCs w:val="22"/>
          <w:lang w:eastAsia="en-GB"/>
          <w14:ligatures w14:val="none"/>
        </w:rPr>
      </w:pPr>
    </w:p>
    <w:p w14:paraId="1563167D" w14:textId="77777777" w:rsidR="00A53383" w:rsidRDefault="00A53383" w:rsidP="000B44C3">
      <w:pPr>
        <w:spacing w:after="0"/>
        <w:jc w:val="both"/>
        <w:rPr>
          <w:rFonts w:ascii="Arial" w:eastAsia="Times New Roman" w:hAnsi="Arial" w:cs="Arial"/>
          <w:kern w:val="0"/>
          <w:szCs w:val="22"/>
          <w:lang w:eastAsia="en-GB"/>
          <w14:ligatures w14:val="none"/>
        </w:rPr>
      </w:pPr>
    </w:p>
    <w:p w14:paraId="000B8332" w14:textId="77777777" w:rsidR="00A53383" w:rsidRDefault="00A53383" w:rsidP="000B44C3">
      <w:pPr>
        <w:spacing w:after="0"/>
        <w:jc w:val="both"/>
        <w:rPr>
          <w:rFonts w:ascii="Arial" w:eastAsia="Times New Roman" w:hAnsi="Arial" w:cs="Arial"/>
          <w:kern w:val="0"/>
          <w:szCs w:val="22"/>
          <w:lang w:eastAsia="en-GB"/>
          <w14:ligatures w14:val="none"/>
        </w:rPr>
      </w:pPr>
    </w:p>
    <w:p w14:paraId="36796DA4" w14:textId="77777777" w:rsidR="00A53383" w:rsidRDefault="00A53383" w:rsidP="000B44C3">
      <w:pPr>
        <w:spacing w:after="0"/>
        <w:jc w:val="both"/>
        <w:rPr>
          <w:rFonts w:ascii="Arial" w:eastAsia="Times New Roman" w:hAnsi="Arial" w:cs="Arial"/>
          <w:kern w:val="0"/>
          <w:szCs w:val="22"/>
          <w:lang w:eastAsia="en-GB"/>
          <w14:ligatures w14:val="none"/>
        </w:rPr>
      </w:pPr>
    </w:p>
    <w:p w14:paraId="41C77EA8" w14:textId="77777777" w:rsidR="00A53383" w:rsidRDefault="00A53383" w:rsidP="000B44C3">
      <w:pPr>
        <w:spacing w:after="0"/>
        <w:jc w:val="both"/>
        <w:rPr>
          <w:rFonts w:ascii="Arial" w:eastAsia="Times New Roman" w:hAnsi="Arial" w:cs="Arial"/>
          <w:kern w:val="0"/>
          <w:szCs w:val="22"/>
          <w:lang w:eastAsia="en-GB"/>
          <w14:ligatures w14:val="none"/>
        </w:rPr>
      </w:pPr>
    </w:p>
    <w:sdt>
      <w:sdtPr>
        <w:rPr>
          <w:rFonts w:ascii="Arial" w:eastAsiaTheme="minorHAnsi" w:hAnsi="Arial" w:cs="Arial"/>
          <w:b w:val="0"/>
          <w:bCs w:val="0"/>
          <w:color w:val="auto"/>
          <w:kern w:val="2"/>
          <w:sz w:val="22"/>
          <w:szCs w:val="22"/>
          <w:lang w:val="en-GB"/>
          <w14:ligatures w14:val="standardContextual"/>
        </w:rPr>
        <w:id w:val="351767214"/>
        <w:docPartObj>
          <w:docPartGallery w:val="Table of Contents"/>
          <w:docPartUnique/>
        </w:docPartObj>
      </w:sdtPr>
      <w:sdtEndPr>
        <w:rPr>
          <w:noProof/>
        </w:rPr>
      </w:sdtEndPr>
      <w:sdtContent>
        <w:p w14:paraId="2DA5DA5F" w14:textId="1451356F" w:rsidR="00E631E4" w:rsidRPr="00E610A7" w:rsidRDefault="00E631E4">
          <w:pPr>
            <w:pStyle w:val="TOCHeading"/>
            <w:rPr>
              <w:rFonts w:ascii="Arial" w:hAnsi="Arial" w:cs="Arial"/>
            </w:rPr>
          </w:pPr>
          <w:r w:rsidRPr="00E610A7">
            <w:rPr>
              <w:rFonts w:ascii="Arial" w:hAnsi="Arial" w:cs="Arial"/>
            </w:rPr>
            <w:t>Table of Contents</w:t>
          </w:r>
        </w:p>
        <w:p w14:paraId="0DC2D020" w14:textId="6C4F36B0" w:rsidR="00E610A7" w:rsidRPr="00E610A7" w:rsidRDefault="00E631E4">
          <w:pPr>
            <w:pStyle w:val="TOC1"/>
            <w:tabs>
              <w:tab w:val="right" w:leader="dot" w:pos="9016"/>
            </w:tabs>
            <w:rPr>
              <w:rFonts w:ascii="Arial" w:eastAsiaTheme="minorEastAsia" w:hAnsi="Arial" w:cs="Arial"/>
              <w:b w:val="0"/>
              <w:bCs w:val="0"/>
              <w:i w:val="0"/>
              <w:iCs w:val="0"/>
              <w:noProof/>
              <w:sz w:val="22"/>
              <w:szCs w:val="22"/>
              <w:lang w:eastAsia="en-GB"/>
            </w:rPr>
          </w:pPr>
          <w:r w:rsidRPr="00E610A7">
            <w:rPr>
              <w:rFonts w:ascii="Arial" w:hAnsi="Arial" w:cs="Arial"/>
              <w:b w:val="0"/>
              <w:bCs w:val="0"/>
              <w:sz w:val="22"/>
              <w:szCs w:val="22"/>
            </w:rPr>
            <w:fldChar w:fldCharType="begin"/>
          </w:r>
          <w:r w:rsidRPr="00E610A7">
            <w:rPr>
              <w:rFonts w:ascii="Arial" w:hAnsi="Arial" w:cs="Arial"/>
              <w:sz w:val="22"/>
              <w:szCs w:val="22"/>
            </w:rPr>
            <w:instrText xml:space="preserve"> TOC \o "1-3" \h \z \u </w:instrText>
          </w:r>
          <w:r w:rsidRPr="00E610A7">
            <w:rPr>
              <w:rFonts w:ascii="Arial" w:hAnsi="Arial" w:cs="Arial"/>
              <w:b w:val="0"/>
              <w:bCs w:val="0"/>
              <w:sz w:val="22"/>
              <w:szCs w:val="22"/>
            </w:rPr>
            <w:fldChar w:fldCharType="separate"/>
          </w:r>
          <w:hyperlink w:anchor="_Toc224467926" w:history="1">
            <w:r w:rsidR="00E610A7" w:rsidRPr="00E610A7">
              <w:rPr>
                <w:rStyle w:val="Hyperlink"/>
                <w:rFonts w:ascii="Arial" w:eastAsia="Times New Roman" w:hAnsi="Arial" w:cs="Arial"/>
                <w:noProof/>
                <w:sz w:val="22"/>
                <w:szCs w:val="22"/>
                <w:lang w:eastAsia="en-GB"/>
              </w:rPr>
              <w:t>Introduction</w:t>
            </w:r>
            <w:r w:rsidR="00E610A7" w:rsidRPr="00E610A7">
              <w:rPr>
                <w:rFonts w:ascii="Arial" w:hAnsi="Arial" w:cs="Arial"/>
                <w:noProof/>
                <w:webHidden/>
                <w:sz w:val="22"/>
                <w:szCs w:val="22"/>
              </w:rPr>
              <w:tab/>
            </w:r>
            <w:r w:rsidR="00E610A7" w:rsidRPr="00E610A7">
              <w:rPr>
                <w:rFonts w:ascii="Arial" w:hAnsi="Arial" w:cs="Arial"/>
                <w:noProof/>
                <w:webHidden/>
                <w:sz w:val="22"/>
                <w:szCs w:val="22"/>
              </w:rPr>
              <w:fldChar w:fldCharType="begin"/>
            </w:r>
            <w:r w:rsidR="00E610A7" w:rsidRPr="00E610A7">
              <w:rPr>
                <w:rFonts w:ascii="Arial" w:hAnsi="Arial" w:cs="Arial"/>
                <w:noProof/>
                <w:webHidden/>
                <w:sz w:val="22"/>
                <w:szCs w:val="22"/>
              </w:rPr>
              <w:instrText xml:space="preserve"> PAGEREF _Toc224467926 \h </w:instrText>
            </w:r>
            <w:r w:rsidR="00E610A7" w:rsidRPr="00E610A7">
              <w:rPr>
                <w:rFonts w:ascii="Arial" w:hAnsi="Arial" w:cs="Arial"/>
                <w:noProof/>
                <w:webHidden/>
                <w:sz w:val="22"/>
                <w:szCs w:val="22"/>
              </w:rPr>
            </w:r>
            <w:r w:rsidR="00E610A7" w:rsidRPr="00E610A7">
              <w:rPr>
                <w:rFonts w:ascii="Arial" w:hAnsi="Arial" w:cs="Arial"/>
                <w:noProof/>
                <w:webHidden/>
                <w:sz w:val="22"/>
                <w:szCs w:val="22"/>
              </w:rPr>
              <w:fldChar w:fldCharType="separate"/>
            </w:r>
            <w:r w:rsidR="00E610A7" w:rsidRPr="00E610A7">
              <w:rPr>
                <w:rFonts w:ascii="Arial" w:hAnsi="Arial" w:cs="Arial"/>
                <w:noProof/>
                <w:webHidden/>
                <w:sz w:val="22"/>
                <w:szCs w:val="22"/>
              </w:rPr>
              <w:t>3</w:t>
            </w:r>
            <w:r w:rsidR="00E610A7" w:rsidRPr="00E610A7">
              <w:rPr>
                <w:rFonts w:ascii="Arial" w:hAnsi="Arial" w:cs="Arial"/>
                <w:noProof/>
                <w:webHidden/>
                <w:sz w:val="22"/>
                <w:szCs w:val="22"/>
              </w:rPr>
              <w:fldChar w:fldCharType="end"/>
            </w:r>
          </w:hyperlink>
        </w:p>
        <w:p w14:paraId="05B71972" w14:textId="1AC75545" w:rsidR="00E610A7" w:rsidRPr="00E610A7" w:rsidRDefault="00E610A7">
          <w:pPr>
            <w:pStyle w:val="TOC1"/>
            <w:tabs>
              <w:tab w:val="right" w:leader="dot" w:pos="9016"/>
            </w:tabs>
            <w:rPr>
              <w:rFonts w:ascii="Arial" w:eastAsiaTheme="minorEastAsia" w:hAnsi="Arial" w:cs="Arial"/>
              <w:b w:val="0"/>
              <w:bCs w:val="0"/>
              <w:i w:val="0"/>
              <w:iCs w:val="0"/>
              <w:noProof/>
              <w:sz w:val="22"/>
              <w:szCs w:val="22"/>
              <w:lang w:eastAsia="en-GB"/>
            </w:rPr>
          </w:pPr>
          <w:hyperlink w:anchor="_Toc224467927" w:history="1">
            <w:r w:rsidRPr="00E610A7">
              <w:rPr>
                <w:rStyle w:val="Hyperlink"/>
                <w:rFonts w:ascii="Arial" w:hAnsi="Arial" w:cs="Arial"/>
                <w:noProof/>
                <w:sz w:val="22"/>
                <w:szCs w:val="22"/>
              </w:rPr>
              <w:t>Section 1: SDG 3: Good Health and Wellbeing (NCDs + mental health)</w:t>
            </w:r>
            <w:r w:rsidRPr="00E610A7">
              <w:rPr>
                <w:rFonts w:ascii="Arial" w:hAnsi="Arial" w:cs="Arial"/>
                <w:noProof/>
                <w:webHidden/>
                <w:sz w:val="22"/>
                <w:szCs w:val="22"/>
              </w:rPr>
              <w:tab/>
            </w:r>
            <w:r w:rsidRPr="00E610A7">
              <w:rPr>
                <w:rFonts w:ascii="Arial" w:hAnsi="Arial" w:cs="Arial"/>
                <w:noProof/>
                <w:webHidden/>
                <w:sz w:val="22"/>
                <w:szCs w:val="22"/>
              </w:rPr>
              <w:fldChar w:fldCharType="begin"/>
            </w:r>
            <w:r w:rsidRPr="00E610A7">
              <w:rPr>
                <w:rFonts w:ascii="Arial" w:hAnsi="Arial" w:cs="Arial"/>
                <w:noProof/>
                <w:webHidden/>
                <w:sz w:val="22"/>
                <w:szCs w:val="22"/>
              </w:rPr>
              <w:instrText xml:space="preserve"> PAGEREF _Toc224467927 \h </w:instrText>
            </w:r>
            <w:r w:rsidRPr="00E610A7">
              <w:rPr>
                <w:rFonts w:ascii="Arial" w:hAnsi="Arial" w:cs="Arial"/>
                <w:noProof/>
                <w:webHidden/>
                <w:sz w:val="22"/>
                <w:szCs w:val="22"/>
              </w:rPr>
            </w:r>
            <w:r w:rsidRPr="00E610A7">
              <w:rPr>
                <w:rFonts w:ascii="Arial" w:hAnsi="Arial" w:cs="Arial"/>
                <w:noProof/>
                <w:webHidden/>
                <w:sz w:val="22"/>
                <w:szCs w:val="22"/>
              </w:rPr>
              <w:fldChar w:fldCharType="separate"/>
            </w:r>
            <w:r w:rsidRPr="00E610A7">
              <w:rPr>
                <w:rFonts w:ascii="Arial" w:hAnsi="Arial" w:cs="Arial"/>
                <w:noProof/>
                <w:webHidden/>
                <w:sz w:val="22"/>
                <w:szCs w:val="22"/>
              </w:rPr>
              <w:t>3</w:t>
            </w:r>
            <w:r w:rsidRPr="00E610A7">
              <w:rPr>
                <w:rFonts w:ascii="Arial" w:hAnsi="Arial" w:cs="Arial"/>
                <w:noProof/>
                <w:webHidden/>
                <w:sz w:val="22"/>
                <w:szCs w:val="22"/>
              </w:rPr>
              <w:fldChar w:fldCharType="end"/>
            </w:r>
          </w:hyperlink>
        </w:p>
        <w:p w14:paraId="5C57D845" w14:textId="78DA69B1" w:rsidR="00E610A7" w:rsidRPr="00E610A7" w:rsidRDefault="00E610A7">
          <w:pPr>
            <w:pStyle w:val="TOC3"/>
            <w:tabs>
              <w:tab w:val="right" w:leader="dot" w:pos="9016"/>
            </w:tabs>
            <w:rPr>
              <w:rFonts w:ascii="Arial" w:eastAsiaTheme="minorEastAsia" w:hAnsi="Arial" w:cs="Arial"/>
              <w:noProof/>
              <w:sz w:val="22"/>
              <w:szCs w:val="22"/>
              <w:lang w:eastAsia="en-GB"/>
            </w:rPr>
          </w:pPr>
          <w:hyperlink w:anchor="_Toc224467928" w:history="1">
            <w:r w:rsidRPr="00E610A7">
              <w:rPr>
                <w:rStyle w:val="Hyperlink"/>
                <w:rFonts w:ascii="Arial" w:hAnsi="Arial" w:cs="Arial"/>
                <w:noProof/>
                <w:sz w:val="22"/>
                <w:szCs w:val="22"/>
              </w:rPr>
              <w:t>WHO Global NCD Action Plan</w:t>
            </w:r>
            <w:r w:rsidRPr="00E610A7">
              <w:rPr>
                <w:rFonts w:ascii="Arial" w:hAnsi="Arial" w:cs="Arial"/>
                <w:noProof/>
                <w:webHidden/>
                <w:sz w:val="22"/>
                <w:szCs w:val="22"/>
              </w:rPr>
              <w:tab/>
            </w:r>
            <w:r w:rsidRPr="00E610A7">
              <w:rPr>
                <w:rFonts w:ascii="Arial" w:hAnsi="Arial" w:cs="Arial"/>
                <w:noProof/>
                <w:webHidden/>
                <w:sz w:val="22"/>
                <w:szCs w:val="22"/>
              </w:rPr>
              <w:fldChar w:fldCharType="begin"/>
            </w:r>
            <w:r w:rsidRPr="00E610A7">
              <w:rPr>
                <w:rFonts w:ascii="Arial" w:hAnsi="Arial" w:cs="Arial"/>
                <w:noProof/>
                <w:webHidden/>
                <w:sz w:val="22"/>
                <w:szCs w:val="22"/>
              </w:rPr>
              <w:instrText xml:space="preserve"> PAGEREF _Toc224467928 \h </w:instrText>
            </w:r>
            <w:r w:rsidRPr="00E610A7">
              <w:rPr>
                <w:rFonts w:ascii="Arial" w:hAnsi="Arial" w:cs="Arial"/>
                <w:noProof/>
                <w:webHidden/>
                <w:sz w:val="22"/>
                <w:szCs w:val="22"/>
              </w:rPr>
            </w:r>
            <w:r w:rsidRPr="00E610A7">
              <w:rPr>
                <w:rFonts w:ascii="Arial" w:hAnsi="Arial" w:cs="Arial"/>
                <w:noProof/>
                <w:webHidden/>
                <w:sz w:val="22"/>
                <w:szCs w:val="22"/>
              </w:rPr>
              <w:fldChar w:fldCharType="separate"/>
            </w:r>
            <w:r w:rsidRPr="00E610A7">
              <w:rPr>
                <w:rFonts w:ascii="Arial" w:hAnsi="Arial" w:cs="Arial"/>
                <w:noProof/>
                <w:webHidden/>
                <w:sz w:val="22"/>
                <w:szCs w:val="22"/>
              </w:rPr>
              <w:t>3</w:t>
            </w:r>
            <w:r w:rsidRPr="00E610A7">
              <w:rPr>
                <w:rFonts w:ascii="Arial" w:hAnsi="Arial" w:cs="Arial"/>
                <w:noProof/>
                <w:webHidden/>
                <w:sz w:val="22"/>
                <w:szCs w:val="22"/>
              </w:rPr>
              <w:fldChar w:fldCharType="end"/>
            </w:r>
          </w:hyperlink>
        </w:p>
        <w:p w14:paraId="3110AF33" w14:textId="4EF1562A" w:rsidR="00E610A7" w:rsidRPr="00E610A7" w:rsidRDefault="00E610A7">
          <w:pPr>
            <w:pStyle w:val="TOC3"/>
            <w:tabs>
              <w:tab w:val="right" w:leader="dot" w:pos="9016"/>
            </w:tabs>
            <w:rPr>
              <w:rFonts w:ascii="Arial" w:eastAsiaTheme="minorEastAsia" w:hAnsi="Arial" w:cs="Arial"/>
              <w:noProof/>
              <w:sz w:val="22"/>
              <w:szCs w:val="22"/>
              <w:lang w:eastAsia="en-GB"/>
            </w:rPr>
          </w:pPr>
          <w:hyperlink w:anchor="_Toc224467929" w:history="1">
            <w:r w:rsidRPr="00E610A7">
              <w:rPr>
                <w:rStyle w:val="Hyperlink"/>
                <w:rFonts w:ascii="Arial" w:hAnsi="Arial" w:cs="Arial"/>
                <w:noProof/>
                <w:sz w:val="22"/>
                <w:szCs w:val="22"/>
              </w:rPr>
              <w:t>England Tackling Obesity Strategy</w:t>
            </w:r>
            <w:r w:rsidRPr="00E610A7">
              <w:rPr>
                <w:rFonts w:ascii="Arial" w:hAnsi="Arial" w:cs="Arial"/>
                <w:noProof/>
                <w:webHidden/>
                <w:sz w:val="22"/>
                <w:szCs w:val="22"/>
              </w:rPr>
              <w:tab/>
            </w:r>
            <w:r w:rsidRPr="00E610A7">
              <w:rPr>
                <w:rFonts w:ascii="Arial" w:hAnsi="Arial" w:cs="Arial"/>
                <w:noProof/>
                <w:webHidden/>
                <w:sz w:val="22"/>
                <w:szCs w:val="22"/>
              </w:rPr>
              <w:fldChar w:fldCharType="begin"/>
            </w:r>
            <w:r w:rsidRPr="00E610A7">
              <w:rPr>
                <w:rFonts w:ascii="Arial" w:hAnsi="Arial" w:cs="Arial"/>
                <w:noProof/>
                <w:webHidden/>
                <w:sz w:val="22"/>
                <w:szCs w:val="22"/>
              </w:rPr>
              <w:instrText xml:space="preserve"> PAGEREF _Toc224467929 \h </w:instrText>
            </w:r>
            <w:r w:rsidRPr="00E610A7">
              <w:rPr>
                <w:rFonts w:ascii="Arial" w:hAnsi="Arial" w:cs="Arial"/>
                <w:noProof/>
                <w:webHidden/>
                <w:sz w:val="22"/>
                <w:szCs w:val="22"/>
              </w:rPr>
            </w:r>
            <w:r w:rsidRPr="00E610A7">
              <w:rPr>
                <w:rFonts w:ascii="Arial" w:hAnsi="Arial" w:cs="Arial"/>
                <w:noProof/>
                <w:webHidden/>
                <w:sz w:val="22"/>
                <w:szCs w:val="22"/>
              </w:rPr>
              <w:fldChar w:fldCharType="separate"/>
            </w:r>
            <w:r w:rsidRPr="00E610A7">
              <w:rPr>
                <w:rFonts w:ascii="Arial" w:hAnsi="Arial" w:cs="Arial"/>
                <w:noProof/>
                <w:webHidden/>
                <w:sz w:val="22"/>
                <w:szCs w:val="22"/>
              </w:rPr>
              <w:t>5</w:t>
            </w:r>
            <w:r w:rsidRPr="00E610A7">
              <w:rPr>
                <w:rFonts w:ascii="Arial" w:hAnsi="Arial" w:cs="Arial"/>
                <w:noProof/>
                <w:webHidden/>
                <w:sz w:val="22"/>
                <w:szCs w:val="22"/>
              </w:rPr>
              <w:fldChar w:fldCharType="end"/>
            </w:r>
          </w:hyperlink>
        </w:p>
        <w:p w14:paraId="681E1316" w14:textId="1A0A8CEE" w:rsidR="00E610A7" w:rsidRPr="00E610A7" w:rsidRDefault="00E610A7">
          <w:pPr>
            <w:pStyle w:val="TOC3"/>
            <w:tabs>
              <w:tab w:val="right" w:leader="dot" w:pos="9016"/>
            </w:tabs>
            <w:rPr>
              <w:rFonts w:ascii="Arial" w:eastAsiaTheme="minorEastAsia" w:hAnsi="Arial" w:cs="Arial"/>
              <w:noProof/>
              <w:sz w:val="22"/>
              <w:szCs w:val="22"/>
              <w:lang w:eastAsia="en-GB"/>
            </w:rPr>
          </w:pPr>
          <w:hyperlink w:anchor="_Toc224467930" w:history="1">
            <w:r w:rsidRPr="00E610A7">
              <w:rPr>
                <w:rStyle w:val="Hyperlink"/>
                <w:rFonts w:ascii="Arial" w:hAnsi="Arial" w:cs="Arial"/>
                <w:noProof/>
                <w:sz w:val="22"/>
                <w:szCs w:val="22"/>
              </w:rPr>
              <w:t>Greater Manchester’s Bee Network Active Travel Programme</w:t>
            </w:r>
            <w:r w:rsidRPr="00E610A7">
              <w:rPr>
                <w:rFonts w:ascii="Arial" w:hAnsi="Arial" w:cs="Arial"/>
                <w:noProof/>
                <w:webHidden/>
                <w:sz w:val="22"/>
                <w:szCs w:val="22"/>
              </w:rPr>
              <w:tab/>
            </w:r>
            <w:r w:rsidRPr="00E610A7">
              <w:rPr>
                <w:rFonts w:ascii="Arial" w:hAnsi="Arial" w:cs="Arial"/>
                <w:noProof/>
                <w:webHidden/>
                <w:sz w:val="22"/>
                <w:szCs w:val="22"/>
              </w:rPr>
              <w:fldChar w:fldCharType="begin"/>
            </w:r>
            <w:r w:rsidRPr="00E610A7">
              <w:rPr>
                <w:rFonts w:ascii="Arial" w:hAnsi="Arial" w:cs="Arial"/>
                <w:noProof/>
                <w:webHidden/>
                <w:sz w:val="22"/>
                <w:szCs w:val="22"/>
              </w:rPr>
              <w:instrText xml:space="preserve"> PAGEREF _Toc224467930 \h </w:instrText>
            </w:r>
            <w:r w:rsidRPr="00E610A7">
              <w:rPr>
                <w:rFonts w:ascii="Arial" w:hAnsi="Arial" w:cs="Arial"/>
                <w:noProof/>
                <w:webHidden/>
                <w:sz w:val="22"/>
                <w:szCs w:val="22"/>
              </w:rPr>
            </w:r>
            <w:r w:rsidRPr="00E610A7">
              <w:rPr>
                <w:rFonts w:ascii="Arial" w:hAnsi="Arial" w:cs="Arial"/>
                <w:noProof/>
                <w:webHidden/>
                <w:sz w:val="22"/>
                <w:szCs w:val="22"/>
              </w:rPr>
              <w:fldChar w:fldCharType="separate"/>
            </w:r>
            <w:r w:rsidRPr="00E610A7">
              <w:rPr>
                <w:rFonts w:ascii="Arial" w:hAnsi="Arial" w:cs="Arial"/>
                <w:noProof/>
                <w:webHidden/>
                <w:sz w:val="22"/>
                <w:szCs w:val="22"/>
              </w:rPr>
              <w:t>5</w:t>
            </w:r>
            <w:r w:rsidRPr="00E610A7">
              <w:rPr>
                <w:rFonts w:ascii="Arial" w:hAnsi="Arial" w:cs="Arial"/>
                <w:noProof/>
                <w:webHidden/>
                <w:sz w:val="22"/>
                <w:szCs w:val="22"/>
              </w:rPr>
              <w:fldChar w:fldCharType="end"/>
            </w:r>
          </w:hyperlink>
        </w:p>
        <w:p w14:paraId="64CF31D8" w14:textId="5AD82AFA" w:rsidR="00E610A7" w:rsidRPr="00E610A7" w:rsidRDefault="00E610A7">
          <w:pPr>
            <w:pStyle w:val="TOC3"/>
            <w:tabs>
              <w:tab w:val="right" w:leader="dot" w:pos="9016"/>
            </w:tabs>
            <w:rPr>
              <w:rFonts w:ascii="Arial" w:eastAsiaTheme="minorEastAsia" w:hAnsi="Arial" w:cs="Arial"/>
              <w:noProof/>
              <w:sz w:val="22"/>
              <w:szCs w:val="22"/>
              <w:lang w:eastAsia="en-GB"/>
            </w:rPr>
          </w:pPr>
          <w:hyperlink w:anchor="_Toc224467931" w:history="1">
            <w:r w:rsidRPr="00E610A7">
              <w:rPr>
                <w:rStyle w:val="Hyperlink"/>
                <w:rFonts w:ascii="Arial" w:hAnsi="Arial" w:cs="Arial"/>
                <w:noProof/>
                <w:sz w:val="22"/>
                <w:szCs w:val="22"/>
              </w:rPr>
              <w:t>Recommendations</w:t>
            </w:r>
            <w:r w:rsidRPr="00E610A7">
              <w:rPr>
                <w:rFonts w:ascii="Arial" w:hAnsi="Arial" w:cs="Arial"/>
                <w:noProof/>
                <w:webHidden/>
                <w:sz w:val="22"/>
                <w:szCs w:val="22"/>
              </w:rPr>
              <w:tab/>
            </w:r>
            <w:r w:rsidRPr="00E610A7">
              <w:rPr>
                <w:rFonts w:ascii="Arial" w:hAnsi="Arial" w:cs="Arial"/>
                <w:noProof/>
                <w:webHidden/>
                <w:sz w:val="22"/>
                <w:szCs w:val="22"/>
              </w:rPr>
              <w:fldChar w:fldCharType="begin"/>
            </w:r>
            <w:r w:rsidRPr="00E610A7">
              <w:rPr>
                <w:rFonts w:ascii="Arial" w:hAnsi="Arial" w:cs="Arial"/>
                <w:noProof/>
                <w:webHidden/>
                <w:sz w:val="22"/>
                <w:szCs w:val="22"/>
              </w:rPr>
              <w:instrText xml:space="preserve"> PAGEREF _Toc224467931 \h </w:instrText>
            </w:r>
            <w:r w:rsidRPr="00E610A7">
              <w:rPr>
                <w:rFonts w:ascii="Arial" w:hAnsi="Arial" w:cs="Arial"/>
                <w:noProof/>
                <w:webHidden/>
                <w:sz w:val="22"/>
                <w:szCs w:val="22"/>
              </w:rPr>
            </w:r>
            <w:r w:rsidRPr="00E610A7">
              <w:rPr>
                <w:rFonts w:ascii="Arial" w:hAnsi="Arial" w:cs="Arial"/>
                <w:noProof/>
                <w:webHidden/>
                <w:sz w:val="22"/>
                <w:szCs w:val="22"/>
              </w:rPr>
              <w:fldChar w:fldCharType="separate"/>
            </w:r>
            <w:r w:rsidRPr="00E610A7">
              <w:rPr>
                <w:rFonts w:ascii="Arial" w:hAnsi="Arial" w:cs="Arial"/>
                <w:noProof/>
                <w:webHidden/>
                <w:sz w:val="22"/>
                <w:szCs w:val="22"/>
              </w:rPr>
              <w:t>6</w:t>
            </w:r>
            <w:r w:rsidRPr="00E610A7">
              <w:rPr>
                <w:rFonts w:ascii="Arial" w:hAnsi="Arial" w:cs="Arial"/>
                <w:noProof/>
                <w:webHidden/>
                <w:sz w:val="22"/>
                <w:szCs w:val="22"/>
              </w:rPr>
              <w:fldChar w:fldCharType="end"/>
            </w:r>
          </w:hyperlink>
        </w:p>
        <w:p w14:paraId="7BB81929" w14:textId="36C89AE4" w:rsidR="00E610A7" w:rsidRPr="00E610A7" w:rsidRDefault="00E610A7">
          <w:pPr>
            <w:pStyle w:val="TOC1"/>
            <w:tabs>
              <w:tab w:val="right" w:leader="dot" w:pos="9016"/>
            </w:tabs>
            <w:rPr>
              <w:rFonts w:ascii="Arial" w:eastAsiaTheme="minorEastAsia" w:hAnsi="Arial" w:cs="Arial"/>
              <w:b w:val="0"/>
              <w:bCs w:val="0"/>
              <w:i w:val="0"/>
              <w:iCs w:val="0"/>
              <w:noProof/>
              <w:sz w:val="22"/>
              <w:szCs w:val="22"/>
              <w:lang w:eastAsia="en-GB"/>
            </w:rPr>
          </w:pPr>
          <w:hyperlink w:anchor="_Toc224467932" w:history="1">
            <w:r w:rsidRPr="00E610A7">
              <w:rPr>
                <w:rStyle w:val="Hyperlink"/>
                <w:rFonts w:ascii="Arial" w:hAnsi="Arial" w:cs="Arial"/>
                <w:noProof/>
                <w:sz w:val="22"/>
                <w:szCs w:val="22"/>
              </w:rPr>
              <w:t>Section 2: SDG 11: Sustainable Cities and Communities</w:t>
            </w:r>
            <w:r w:rsidRPr="00E610A7">
              <w:rPr>
                <w:rFonts w:ascii="Arial" w:hAnsi="Arial" w:cs="Arial"/>
                <w:noProof/>
                <w:webHidden/>
                <w:sz w:val="22"/>
                <w:szCs w:val="22"/>
              </w:rPr>
              <w:tab/>
            </w:r>
            <w:r w:rsidRPr="00E610A7">
              <w:rPr>
                <w:rFonts w:ascii="Arial" w:hAnsi="Arial" w:cs="Arial"/>
                <w:noProof/>
                <w:webHidden/>
                <w:sz w:val="22"/>
                <w:szCs w:val="22"/>
              </w:rPr>
              <w:fldChar w:fldCharType="begin"/>
            </w:r>
            <w:r w:rsidRPr="00E610A7">
              <w:rPr>
                <w:rFonts w:ascii="Arial" w:hAnsi="Arial" w:cs="Arial"/>
                <w:noProof/>
                <w:webHidden/>
                <w:sz w:val="22"/>
                <w:szCs w:val="22"/>
              </w:rPr>
              <w:instrText xml:space="preserve"> PAGEREF _Toc224467932 \h </w:instrText>
            </w:r>
            <w:r w:rsidRPr="00E610A7">
              <w:rPr>
                <w:rFonts w:ascii="Arial" w:hAnsi="Arial" w:cs="Arial"/>
                <w:noProof/>
                <w:webHidden/>
                <w:sz w:val="22"/>
                <w:szCs w:val="22"/>
              </w:rPr>
            </w:r>
            <w:r w:rsidRPr="00E610A7">
              <w:rPr>
                <w:rFonts w:ascii="Arial" w:hAnsi="Arial" w:cs="Arial"/>
                <w:noProof/>
                <w:webHidden/>
                <w:sz w:val="22"/>
                <w:szCs w:val="22"/>
              </w:rPr>
              <w:fldChar w:fldCharType="separate"/>
            </w:r>
            <w:r w:rsidRPr="00E610A7">
              <w:rPr>
                <w:rFonts w:ascii="Arial" w:hAnsi="Arial" w:cs="Arial"/>
                <w:noProof/>
                <w:webHidden/>
                <w:sz w:val="22"/>
                <w:szCs w:val="22"/>
              </w:rPr>
              <w:t>6</w:t>
            </w:r>
            <w:r w:rsidRPr="00E610A7">
              <w:rPr>
                <w:rFonts w:ascii="Arial" w:hAnsi="Arial" w:cs="Arial"/>
                <w:noProof/>
                <w:webHidden/>
                <w:sz w:val="22"/>
                <w:szCs w:val="22"/>
              </w:rPr>
              <w:fldChar w:fldCharType="end"/>
            </w:r>
          </w:hyperlink>
        </w:p>
        <w:p w14:paraId="60AA3719" w14:textId="7A590087" w:rsidR="00E610A7" w:rsidRPr="00E610A7" w:rsidRDefault="00E610A7">
          <w:pPr>
            <w:pStyle w:val="TOC3"/>
            <w:tabs>
              <w:tab w:val="right" w:leader="dot" w:pos="9016"/>
            </w:tabs>
            <w:rPr>
              <w:rFonts w:ascii="Arial" w:eastAsiaTheme="minorEastAsia" w:hAnsi="Arial" w:cs="Arial"/>
              <w:noProof/>
              <w:sz w:val="22"/>
              <w:szCs w:val="22"/>
              <w:lang w:eastAsia="en-GB"/>
            </w:rPr>
          </w:pPr>
          <w:hyperlink w:anchor="_Toc224467933" w:history="1">
            <w:r w:rsidRPr="00E610A7">
              <w:rPr>
                <w:rStyle w:val="Hyperlink"/>
                <w:rFonts w:ascii="Arial" w:hAnsi="Arial" w:cs="Arial"/>
                <w:noProof/>
                <w:sz w:val="22"/>
                <w:szCs w:val="22"/>
              </w:rPr>
              <w:t>UN-Habitat New Urban Agenda</w:t>
            </w:r>
            <w:r w:rsidRPr="00E610A7">
              <w:rPr>
                <w:rFonts w:ascii="Arial" w:hAnsi="Arial" w:cs="Arial"/>
                <w:noProof/>
                <w:webHidden/>
                <w:sz w:val="22"/>
                <w:szCs w:val="22"/>
              </w:rPr>
              <w:tab/>
            </w:r>
            <w:r w:rsidRPr="00E610A7">
              <w:rPr>
                <w:rFonts w:ascii="Arial" w:hAnsi="Arial" w:cs="Arial"/>
                <w:noProof/>
                <w:webHidden/>
                <w:sz w:val="22"/>
                <w:szCs w:val="22"/>
              </w:rPr>
              <w:fldChar w:fldCharType="begin"/>
            </w:r>
            <w:r w:rsidRPr="00E610A7">
              <w:rPr>
                <w:rFonts w:ascii="Arial" w:hAnsi="Arial" w:cs="Arial"/>
                <w:noProof/>
                <w:webHidden/>
                <w:sz w:val="22"/>
                <w:szCs w:val="22"/>
              </w:rPr>
              <w:instrText xml:space="preserve"> PAGEREF _Toc224467933 \h </w:instrText>
            </w:r>
            <w:r w:rsidRPr="00E610A7">
              <w:rPr>
                <w:rFonts w:ascii="Arial" w:hAnsi="Arial" w:cs="Arial"/>
                <w:noProof/>
                <w:webHidden/>
                <w:sz w:val="22"/>
                <w:szCs w:val="22"/>
              </w:rPr>
            </w:r>
            <w:r w:rsidRPr="00E610A7">
              <w:rPr>
                <w:rFonts w:ascii="Arial" w:hAnsi="Arial" w:cs="Arial"/>
                <w:noProof/>
                <w:webHidden/>
                <w:sz w:val="22"/>
                <w:szCs w:val="22"/>
              </w:rPr>
              <w:fldChar w:fldCharType="separate"/>
            </w:r>
            <w:r w:rsidRPr="00E610A7">
              <w:rPr>
                <w:rFonts w:ascii="Arial" w:hAnsi="Arial" w:cs="Arial"/>
                <w:noProof/>
                <w:webHidden/>
                <w:sz w:val="22"/>
                <w:szCs w:val="22"/>
              </w:rPr>
              <w:t>6</w:t>
            </w:r>
            <w:r w:rsidRPr="00E610A7">
              <w:rPr>
                <w:rFonts w:ascii="Arial" w:hAnsi="Arial" w:cs="Arial"/>
                <w:noProof/>
                <w:webHidden/>
                <w:sz w:val="22"/>
                <w:szCs w:val="22"/>
              </w:rPr>
              <w:fldChar w:fldCharType="end"/>
            </w:r>
          </w:hyperlink>
        </w:p>
        <w:p w14:paraId="7D10A800" w14:textId="2B979CF1" w:rsidR="00E610A7" w:rsidRPr="00E610A7" w:rsidRDefault="00E610A7">
          <w:pPr>
            <w:pStyle w:val="TOC3"/>
            <w:tabs>
              <w:tab w:val="right" w:leader="dot" w:pos="9016"/>
            </w:tabs>
            <w:rPr>
              <w:rFonts w:ascii="Arial" w:eastAsiaTheme="minorEastAsia" w:hAnsi="Arial" w:cs="Arial"/>
              <w:noProof/>
              <w:sz w:val="22"/>
              <w:szCs w:val="22"/>
              <w:lang w:eastAsia="en-GB"/>
            </w:rPr>
          </w:pPr>
          <w:hyperlink w:anchor="_Toc224467934" w:history="1">
            <w:r w:rsidRPr="00E610A7">
              <w:rPr>
                <w:rStyle w:val="Hyperlink"/>
                <w:rFonts w:ascii="Arial" w:hAnsi="Arial" w:cs="Arial"/>
                <w:noProof/>
                <w:sz w:val="22"/>
                <w:szCs w:val="22"/>
              </w:rPr>
              <w:t>UK Clean Air Zones</w:t>
            </w:r>
            <w:r w:rsidRPr="00E610A7">
              <w:rPr>
                <w:rFonts w:ascii="Arial" w:hAnsi="Arial" w:cs="Arial"/>
                <w:noProof/>
                <w:webHidden/>
                <w:sz w:val="22"/>
                <w:szCs w:val="22"/>
              </w:rPr>
              <w:tab/>
            </w:r>
            <w:r w:rsidRPr="00E610A7">
              <w:rPr>
                <w:rFonts w:ascii="Arial" w:hAnsi="Arial" w:cs="Arial"/>
                <w:noProof/>
                <w:webHidden/>
                <w:sz w:val="22"/>
                <w:szCs w:val="22"/>
              </w:rPr>
              <w:fldChar w:fldCharType="begin"/>
            </w:r>
            <w:r w:rsidRPr="00E610A7">
              <w:rPr>
                <w:rFonts w:ascii="Arial" w:hAnsi="Arial" w:cs="Arial"/>
                <w:noProof/>
                <w:webHidden/>
                <w:sz w:val="22"/>
                <w:szCs w:val="22"/>
              </w:rPr>
              <w:instrText xml:space="preserve"> PAGEREF _Toc224467934 \h </w:instrText>
            </w:r>
            <w:r w:rsidRPr="00E610A7">
              <w:rPr>
                <w:rFonts w:ascii="Arial" w:hAnsi="Arial" w:cs="Arial"/>
                <w:noProof/>
                <w:webHidden/>
                <w:sz w:val="22"/>
                <w:szCs w:val="22"/>
              </w:rPr>
            </w:r>
            <w:r w:rsidRPr="00E610A7">
              <w:rPr>
                <w:rFonts w:ascii="Arial" w:hAnsi="Arial" w:cs="Arial"/>
                <w:noProof/>
                <w:webHidden/>
                <w:sz w:val="22"/>
                <w:szCs w:val="22"/>
              </w:rPr>
              <w:fldChar w:fldCharType="separate"/>
            </w:r>
            <w:r w:rsidRPr="00E610A7">
              <w:rPr>
                <w:rFonts w:ascii="Arial" w:hAnsi="Arial" w:cs="Arial"/>
                <w:noProof/>
                <w:webHidden/>
                <w:sz w:val="22"/>
                <w:szCs w:val="22"/>
              </w:rPr>
              <w:t>7</w:t>
            </w:r>
            <w:r w:rsidRPr="00E610A7">
              <w:rPr>
                <w:rFonts w:ascii="Arial" w:hAnsi="Arial" w:cs="Arial"/>
                <w:noProof/>
                <w:webHidden/>
                <w:sz w:val="22"/>
                <w:szCs w:val="22"/>
              </w:rPr>
              <w:fldChar w:fldCharType="end"/>
            </w:r>
          </w:hyperlink>
        </w:p>
        <w:p w14:paraId="0309F3C0" w14:textId="4CAB262A" w:rsidR="00E610A7" w:rsidRPr="00E610A7" w:rsidRDefault="00E610A7">
          <w:pPr>
            <w:pStyle w:val="TOC3"/>
            <w:tabs>
              <w:tab w:val="right" w:leader="dot" w:pos="9016"/>
            </w:tabs>
            <w:rPr>
              <w:rFonts w:ascii="Arial" w:eastAsiaTheme="minorEastAsia" w:hAnsi="Arial" w:cs="Arial"/>
              <w:noProof/>
              <w:sz w:val="22"/>
              <w:szCs w:val="22"/>
              <w:lang w:eastAsia="en-GB"/>
            </w:rPr>
          </w:pPr>
          <w:hyperlink w:anchor="_Toc224467935" w:history="1">
            <w:r w:rsidRPr="00E610A7">
              <w:rPr>
                <w:rStyle w:val="Hyperlink"/>
                <w:rFonts w:ascii="Arial" w:hAnsi="Arial" w:cs="Arial"/>
                <w:noProof/>
                <w:sz w:val="22"/>
                <w:szCs w:val="22"/>
              </w:rPr>
              <w:t>Lahore Clean Air Initiatives</w:t>
            </w:r>
            <w:r w:rsidRPr="00E610A7">
              <w:rPr>
                <w:rFonts w:ascii="Arial" w:hAnsi="Arial" w:cs="Arial"/>
                <w:noProof/>
                <w:webHidden/>
                <w:sz w:val="22"/>
                <w:szCs w:val="22"/>
              </w:rPr>
              <w:tab/>
            </w:r>
            <w:r w:rsidRPr="00E610A7">
              <w:rPr>
                <w:rFonts w:ascii="Arial" w:hAnsi="Arial" w:cs="Arial"/>
                <w:noProof/>
                <w:webHidden/>
                <w:sz w:val="22"/>
                <w:szCs w:val="22"/>
              </w:rPr>
              <w:fldChar w:fldCharType="begin"/>
            </w:r>
            <w:r w:rsidRPr="00E610A7">
              <w:rPr>
                <w:rFonts w:ascii="Arial" w:hAnsi="Arial" w:cs="Arial"/>
                <w:noProof/>
                <w:webHidden/>
                <w:sz w:val="22"/>
                <w:szCs w:val="22"/>
              </w:rPr>
              <w:instrText xml:space="preserve"> PAGEREF _Toc224467935 \h </w:instrText>
            </w:r>
            <w:r w:rsidRPr="00E610A7">
              <w:rPr>
                <w:rFonts w:ascii="Arial" w:hAnsi="Arial" w:cs="Arial"/>
                <w:noProof/>
                <w:webHidden/>
                <w:sz w:val="22"/>
                <w:szCs w:val="22"/>
              </w:rPr>
            </w:r>
            <w:r w:rsidRPr="00E610A7">
              <w:rPr>
                <w:rFonts w:ascii="Arial" w:hAnsi="Arial" w:cs="Arial"/>
                <w:noProof/>
                <w:webHidden/>
                <w:sz w:val="22"/>
                <w:szCs w:val="22"/>
              </w:rPr>
              <w:fldChar w:fldCharType="separate"/>
            </w:r>
            <w:r w:rsidRPr="00E610A7">
              <w:rPr>
                <w:rFonts w:ascii="Arial" w:hAnsi="Arial" w:cs="Arial"/>
                <w:noProof/>
                <w:webHidden/>
                <w:sz w:val="22"/>
                <w:szCs w:val="22"/>
              </w:rPr>
              <w:t>8</w:t>
            </w:r>
            <w:r w:rsidRPr="00E610A7">
              <w:rPr>
                <w:rFonts w:ascii="Arial" w:hAnsi="Arial" w:cs="Arial"/>
                <w:noProof/>
                <w:webHidden/>
                <w:sz w:val="22"/>
                <w:szCs w:val="22"/>
              </w:rPr>
              <w:fldChar w:fldCharType="end"/>
            </w:r>
          </w:hyperlink>
        </w:p>
        <w:p w14:paraId="2FD8C7DF" w14:textId="2FB29A9A" w:rsidR="00E610A7" w:rsidRPr="00E610A7" w:rsidRDefault="00E610A7">
          <w:pPr>
            <w:pStyle w:val="TOC3"/>
            <w:tabs>
              <w:tab w:val="right" w:leader="dot" w:pos="9016"/>
            </w:tabs>
            <w:rPr>
              <w:rFonts w:ascii="Arial" w:eastAsiaTheme="minorEastAsia" w:hAnsi="Arial" w:cs="Arial"/>
              <w:noProof/>
              <w:sz w:val="22"/>
              <w:szCs w:val="22"/>
              <w:lang w:eastAsia="en-GB"/>
            </w:rPr>
          </w:pPr>
          <w:hyperlink w:anchor="_Toc224467936" w:history="1">
            <w:r w:rsidRPr="00E610A7">
              <w:rPr>
                <w:rStyle w:val="Hyperlink"/>
                <w:rFonts w:ascii="Arial" w:hAnsi="Arial" w:cs="Arial"/>
                <w:noProof/>
                <w:sz w:val="22"/>
                <w:szCs w:val="22"/>
              </w:rPr>
              <w:t>Recommendations</w:t>
            </w:r>
            <w:r w:rsidRPr="00E610A7">
              <w:rPr>
                <w:rFonts w:ascii="Arial" w:hAnsi="Arial" w:cs="Arial"/>
                <w:noProof/>
                <w:webHidden/>
                <w:sz w:val="22"/>
                <w:szCs w:val="22"/>
              </w:rPr>
              <w:tab/>
            </w:r>
            <w:r w:rsidRPr="00E610A7">
              <w:rPr>
                <w:rFonts w:ascii="Arial" w:hAnsi="Arial" w:cs="Arial"/>
                <w:noProof/>
                <w:webHidden/>
                <w:sz w:val="22"/>
                <w:szCs w:val="22"/>
              </w:rPr>
              <w:fldChar w:fldCharType="begin"/>
            </w:r>
            <w:r w:rsidRPr="00E610A7">
              <w:rPr>
                <w:rFonts w:ascii="Arial" w:hAnsi="Arial" w:cs="Arial"/>
                <w:noProof/>
                <w:webHidden/>
                <w:sz w:val="22"/>
                <w:szCs w:val="22"/>
              </w:rPr>
              <w:instrText xml:space="preserve"> PAGEREF _Toc224467936 \h </w:instrText>
            </w:r>
            <w:r w:rsidRPr="00E610A7">
              <w:rPr>
                <w:rFonts w:ascii="Arial" w:hAnsi="Arial" w:cs="Arial"/>
                <w:noProof/>
                <w:webHidden/>
                <w:sz w:val="22"/>
                <w:szCs w:val="22"/>
              </w:rPr>
            </w:r>
            <w:r w:rsidRPr="00E610A7">
              <w:rPr>
                <w:rFonts w:ascii="Arial" w:hAnsi="Arial" w:cs="Arial"/>
                <w:noProof/>
                <w:webHidden/>
                <w:sz w:val="22"/>
                <w:szCs w:val="22"/>
              </w:rPr>
              <w:fldChar w:fldCharType="separate"/>
            </w:r>
            <w:r w:rsidRPr="00E610A7">
              <w:rPr>
                <w:rFonts w:ascii="Arial" w:hAnsi="Arial" w:cs="Arial"/>
                <w:noProof/>
                <w:webHidden/>
                <w:sz w:val="22"/>
                <w:szCs w:val="22"/>
              </w:rPr>
              <w:t>9</w:t>
            </w:r>
            <w:r w:rsidRPr="00E610A7">
              <w:rPr>
                <w:rFonts w:ascii="Arial" w:hAnsi="Arial" w:cs="Arial"/>
                <w:noProof/>
                <w:webHidden/>
                <w:sz w:val="22"/>
                <w:szCs w:val="22"/>
              </w:rPr>
              <w:fldChar w:fldCharType="end"/>
            </w:r>
          </w:hyperlink>
        </w:p>
        <w:p w14:paraId="2A78758E" w14:textId="7D989EA0" w:rsidR="00E610A7" w:rsidRPr="00E610A7" w:rsidRDefault="00E610A7">
          <w:pPr>
            <w:pStyle w:val="TOC1"/>
            <w:tabs>
              <w:tab w:val="right" w:leader="dot" w:pos="9016"/>
            </w:tabs>
            <w:rPr>
              <w:rFonts w:ascii="Arial" w:eastAsiaTheme="minorEastAsia" w:hAnsi="Arial" w:cs="Arial"/>
              <w:b w:val="0"/>
              <w:bCs w:val="0"/>
              <w:i w:val="0"/>
              <w:iCs w:val="0"/>
              <w:noProof/>
              <w:sz w:val="22"/>
              <w:szCs w:val="22"/>
              <w:lang w:eastAsia="en-GB"/>
            </w:rPr>
          </w:pPr>
          <w:hyperlink w:anchor="_Toc224467937" w:history="1">
            <w:r w:rsidRPr="00E610A7">
              <w:rPr>
                <w:rStyle w:val="Hyperlink"/>
                <w:rFonts w:ascii="Arial" w:hAnsi="Arial" w:cs="Arial"/>
                <w:noProof/>
                <w:sz w:val="22"/>
                <w:szCs w:val="22"/>
              </w:rPr>
              <w:t>Conclusion</w:t>
            </w:r>
            <w:r w:rsidRPr="00E610A7">
              <w:rPr>
                <w:rFonts w:ascii="Arial" w:hAnsi="Arial" w:cs="Arial"/>
                <w:noProof/>
                <w:webHidden/>
                <w:sz w:val="22"/>
                <w:szCs w:val="22"/>
              </w:rPr>
              <w:tab/>
            </w:r>
            <w:r w:rsidRPr="00E610A7">
              <w:rPr>
                <w:rFonts w:ascii="Arial" w:hAnsi="Arial" w:cs="Arial"/>
                <w:noProof/>
                <w:webHidden/>
                <w:sz w:val="22"/>
                <w:szCs w:val="22"/>
              </w:rPr>
              <w:fldChar w:fldCharType="begin"/>
            </w:r>
            <w:r w:rsidRPr="00E610A7">
              <w:rPr>
                <w:rFonts w:ascii="Arial" w:hAnsi="Arial" w:cs="Arial"/>
                <w:noProof/>
                <w:webHidden/>
                <w:sz w:val="22"/>
                <w:szCs w:val="22"/>
              </w:rPr>
              <w:instrText xml:space="preserve"> PAGEREF _Toc224467937 \h </w:instrText>
            </w:r>
            <w:r w:rsidRPr="00E610A7">
              <w:rPr>
                <w:rFonts w:ascii="Arial" w:hAnsi="Arial" w:cs="Arial"/>
                <w:noProof/>
                <w:webHidden/>
                <w:sz w:val="22"/>
                <w:szCs w:val="22"/>
              </w:rPr>
            </w:r>
            <w:r w:rsidRPr="00E610A7">
              <w:rPr>
                <w:rFonts w:ascii="Arial" w:hAnsi="Arial" w:cs="Arial"/>
                <w:noProof/>
                <w:webHidden/>
                <w:sz w:val="22"/>
                <w:szCs w:val="22"/>
              </w:rPr>
              <w:fldChar w:fldCharType="separate"/>
            </w:r>
            <w:r w:rsidRPr="00E610A7">
              <w:rPr>
                <w:rFonts w:ascii="Arial" w:hAnsi="Arial" w:cs="Arial"/>
                <w:noProof/>
                <w:webHidden/>
                <w:sz w:val="22"/>
                <w:szCs w:val="22"/>
              </w:rPr>
              <w:t>9</w:t>
            </w:r>
            <w:r w:rsidRPr="00E610A7">
              <w:rPr>
                <w:rFonts w:ascii="Arial" w:hAnsi="Arial" w:cs="Arial"/>
                <w:noProof/>
                <w:webHidden/>
                <w:sz w:val="22"/>
                <w:szCs w:val="22"/>
              </w:rPr>
              <w:fldChar w:fldCharType="end"/>
            </w:r>
          </w:hyperlink>
        </w:p>
        <w:p w14:paraId="6A429443" w14:textId="1E1E9F49" w:rsidR="00E610A7" w:rsidRPr="00E610A7" w:rsidRDefault="00E610A7">
          <w:pPr>
            <w:pStyle w:val="TOC1"/>
            <w:tabs>
              <w:tab w:val="right" w:leader="dot" w:pos="9016"/>
            </w:tabs>
            <w:rPr>
              <w:rFonts w:ascii="Arial" w:eastAsiaTheme="minorEastAsia" w:hAnsi="Arial" w:cs="Arial"/>
              <w:b w:val="0"/>
              <w:bCs w:val="0"/>
              <w:i w:val="0"/>
              <w:iCs w:val="0"/>
              <w:noProof/>
              <w:sz w:val="22"/>
              <w:szCs w:val="22"/>
              <w:lang w:eastAsia="en-GB"/>
            </w:rPr>
          </w:pPr>
          <w:hyperlink w:anchor="_Toc224467938" w:history="1">
            <w:r w:rsidRPr="00E610A7">
              <w:rPr>
                <w:rStyle w:val="Hyperlink"/>
                <w:rFonts w:ascii="Arial" w:hAnsi="Arial" w:cs="Arial"/>
                <w:noProof/>
                <w:sz w:val="22"/>
                <w:szCs w:val="22"/>
              </w:rPr>
              <w:t>References</w:t>
            </w:r>
            <w:r w:rsidRPr="00E610A7">
              <w:rPr>
                <w:rFonts w:ascii="Arial" w:hAnsi="Arial" w:cs="Arial"/>
                <w:noProof/>
                <w:webHidden/>
                <w:sz w:val="22"/>
                <w:szCs w:val="22"/>
              </w:rPr>
              <w:tab/>
            </w:r>
            <w:r w:rsidRPr="00E610A7">
              <w:rPr>
                <w:rFonts w:ascii="Arial" w:hAnsi="Arial" w:cs="Arial"/>
                <w:noProof/>
                <w:webHidden/>
                <w:sz w:val="22"/>
                <w:szCs w:val="22"/>
              </w:rPr>
              <w:fldChar w:fldCharType="begin"/>
            </w:r>
            <w:r w:rsidRPr="00E610A7">
              <w:rPr>
                <w:rFonts w:ascii="Arial" w:hAnsi="Arial" w:cs="Arial"/>
                <w:noProof/>
                <w:webHidden/>
                <w:sz w:val="22"/>
                <w:szCs w:val="22"/>
              </w:rPr>
              <w:instrText xml:space="preserve"> PAGEREF _Toc224467938 \h </w:instrText>
            </w:r>
            <w:r w:rsidRPr="00E610A7">
              <w:rPr>
                <w:rFonts w:ascii="Arial" w:hAnsi="Arial" w:cs="Arial"/>
                <w:noProof/>
                <w:webHidden/>
                <w:sz w:val="22"/>
                <w:szCs w:val="22"/>
              </w:rPr>
            </w:r>
            <w:r w:rsidRPr="00E610A7">
              <w:rPr>
                <w:rFonts w:ascii="Arial" w:hAnsi="Arial" w:cs="Arial"/>
                <w:noProof/>
                <w:webHidden/>
                <w:sz w:val="22"/>
                <w:szCs w:val="22"/>
              </w:rPr>
              <w:fldChar w:fldCharType="separate"/>
            </w:r>
            <w:r w:rsidRPr="00E610A7">
              <w:rPr>
                <w:rFonts w:ascii="Arial" w:hAnsi="Arial" w:cs="Arial"/>
                <w:noProof/>
                <w:webHidden/>
                <w:sz w:val="22"/>
                <w:szCs w:val="22"/>
              </w:rPr>
              <w:t>10</w:t>
            </w:r>
            <w:r w:rsidRPr="00E610A7">
              <w:rPr>
                <w:rFonts w:ascii="Arial" w:hAnsi="Arial" w:cs="Arial"/>
                <w:noProof/>
                <w:webHidden/>
                <w:sz w:val="22"/>
                <w:szCs w:val="22"/>
              </w:rPr>
              <w:fldChar w:fldCharType="end"/>
            </w:r>
          </w:hyperlink>
        </w:p>
        <w:p w14:paraId="4EB73A90" w14:textId="173EB9B7" w:rsidR="00E631E4" w:rsidRDefault="00E631E4">
          <w:r w:rsidRPr="00E610A7">
            <w:rPr>
              <w:rFonts w:ascii="Arial" w:hAnsi="Arial" w:cs="Arial"/>
              <w:b/>
              <w:bCs/>
              <w:noProof/>
              <w:szCs w:val="22"/>
            </w:rPr>
            <w:fldChar w:fldCharType="end"/>
          </w:r>
        </w:p>
      </w:sdtContent>
    </w:sdt>
    <w:p w14:paraId="39897A3D" w14:textId="77777777" w:rsidR="00A53383" w:rsidRDefault="00A53383" w:rsidP="000B44C3">
      <w:pPr>
        <w:spacing w:after="0"/>
        <w:jc w:val="both"/>
        <w:rPr>
          <w:rFonts w:ascii="Arial" w:eastAsia="Times New Roman" w:hAnsi="Arial" w:cs="Arial"/>
          <w:kern w:val="0"/>
          <w:szCs w:val="22"/>
          <w:lang w:eastAsia="en-GB"/>
          <w14:ligatures w14:val="none"/>
        </w:rPr>
      </w:pPr>
    </w:p>
    <w:p w14:paraId="68B8168C" w14:textId="77777777" w:rsidR="00A53383" w:rsidRDefault="00A53383" w:rsidP="000B44C3">
      <w:pPr>
        <w:spacing w:after="0"/>
        <w:jc w:val="both"/>
        <w:rPr>
          <w:rFonts w:ascii="Arial" w:eastAsia="Times New Roman" w:hAnsi="Arial" w:cs="Arial"/>
          <w:kern w:val="0"/>
          <w:szCs w:val="22"/>
          <w:lang w:eastAsia="en-GB"/>
          <w14:ligatures w14:val="none"/>
        </w:rPr>
      </w:pPr>
    </w:p>
    <w:p w14:paraId="0B00BD0B" w14:textId="77777777" w:rsidR="00A53383" w:rsidRDefault="00A53383" w:rsidP="000B44C3">
      <w:pPr>
        <w:spacing w:after="0"/>
        <w:jc w:val="both"/>
        <w:rPr>
          <w:rFonts w:ascii="Arial" w:eastAsia="Times New Roman" w:hAnsi="Arial" w:cs="Arial"/>
          <w:kern w:val="0"/>
          <w:szCs w:val="22"/>
          <w:lang w:eastAsia="en-GB"/>
          <w14:ligatures w14:val="none"/>
        </w:rPr>
      </w:pPr>
    </w:p>
    <w:p w14:paraId="41277EF5" w14:textId="77777777" w:rsidR="00A53383" w:rsidRDefault="00A53383" w:rsidP="000B44C3">
      <w:pPr>
        <w:spacing w:after="0"/>
        <w:jc w:val="both"/>
        <w:rPr>
          <w:rFonts w:ascii="Arial" w:eastAsia="Times New Roman" w:hAnsi="Arial" w:cs="Arial"/>
          <w:kern w:val="0"/>
          <w:szCs w:val="22"/>
          <w:lang w:eastAsia="en-GB"/>
          <w14:ligatures w14:val="none"/>
        </w:rPr>
      </w:pPr>
    </w:p>
    <w:p w14:paraId="2BC9D4CB" w14:textId="77777777" w:rsidR="00A53383" w:rsidRPr="000B44C3" w:rsidRDefault="00A53383" w:rsidP="000B44C3">
      <w:pPr>
        <w:spacing w:after="0"/>
        <w:jc w:val="both"/>
        <w:rPr>
          <w:rFonts w:ascii="Arial" w:eastAsia="Times New Roman" w:hAnsi="Arial" w:cs="Arial"/>
          <w:kern w:val="0"/>
          <w:szCs w:val="22"/>
          <w:lang w:eastAsia="en-GB"/>
          <w14:ligatures w14:val="none"/>
        </w:rPr>
      </w:pPr>
    </w:p>
    <w:p w14:paraId="7A5A947A" w14:textId="77777777" w:rsidR="00F37362" w:rsidRDefault="00F37362" w:rsidP="000B44C3">
      <w:pPr>
        <w:spacing w:after="0"/>
        <w:jc w:val="both"/>
        <w:rPr>
          <w:rFonts w:ascii="Arial" w:eastAsia="Times New Roman" w:hAnsi="Arial" w:cs="Arial"/>
          <w:kern w:val="0"/>
          <w:szCs w:val="22"/>
          <w:lang w:eastAsia="en-GB"/>
          <w14:ligatures w14:val="none"/>
        </w:rPr>
      </w:pPr>
    </w:p>
    <w:p w14:paraId="44985724" w14:textId="77777777" w:rsidR="00157185" w:rsidRDefault="00157185" w:rsidP="000B44C3">
      <w:pPr>
        <w:spacing w:after="0"/>
        <w:jc w:val="both"/>
        <w:rPr>
          <w:rFonts w:ascii="Arial" w:eastAsia="Times New Roman" w:hAnsi="Arial" w:cs="Arial"/>
          <w:kern w:val="0"/>
          <w:szCs w:val="22"/>
          <w:lang w:eastAsia="en-GB"/>
          <w14:ligatures w14:val="none"/>
        </w:rPr>
      </w:pPr>
    </w:p>
    <w:p w14:paraId="60551B24" w14:textId="77777777" w:rsidR="00157185" w:rsidRDefault="00157185" w:rsidP="000B44C3">
      <w:pPr>
        <w:spacing w:after="0"/>
        <w:jc w:val="both"/>
        <w:rPr>
          <w:rFonts w:ascii="Arial" w:eastAsia="Times New Roman" w:hAnsi="Arial" w:cs="Arial"/>
          <w:kern w:val="0"/>
          <w:szCs w:val="22"/>
          <w:lang w:eastAsia="en-GB"/>
          <w14:ligatures w14:val="none"/>
        </w:rPr>
      </w:pPr>
    </w:p>
    <w:p w14:paraId="6BD8EF11" w14:textId="77777777" w:rsidR="00157185" w:rsidRDefault="00157185" w:rsidP="000B44C3">
      <w:pPr>
        <w:spacing w:after="0"/>
        <w:jc w:val="both"/>
        <w:rPr>
          <w:rFonts w:ascii="Arial" w:eastAsia="Times New Roman" w:hAnsi="Arial" w:cs="Arial"/>
          <w:kern w:val="0"/>
          <w:szCs w:val="22"/>
          <w:lang w:eastAsia="en-GB"/>
          <w14:ligatures w14:val="none"/>
        </w:rPr>
      </w:pPr>
    </w:p>
    <w:p w14:paraId="604DD386" w14:textId="77777777" w:rsidR="00157185" w:rsidRDefault="00157185" w:rsidP="000B44C3">
      <w:pPr>
        <w:spacing w:after="0"/>
        <w:jc w:val="both"/>
        <w:rPr>
          <w:rFonts w:ascii="Arial" w:eastAsia="Times New Roman" w:hAnsi="Arial" w:cs="Arial"/>
          <w:kern w:val="0"/>
          <w:szCs w:val="22"/>
          <w:lang w:eastAsia="en-GB"/>
          <w14:ligatures w14:val="none"/>
        </w:rPr>
      </w:pPr>
    </w:p>
    <w:p w14:paraId="48E3736C" w14:textId="77777777" w:rsidR="00157185" w:rsidRDefault="00157185" w:rsidP="000B44C3">
      <w:pPr>
        <w:spacing w:after="0"/>
        <w:jc w:val="both"/>
        <w:rPr>
          <w:rFonts w:ascii="Arial" w:eastAsia="Times New Roman" w:hAnsi="Arial" w:cs="Arial"/>
          <w:kern w:val="0"/>
          <w:szCs w:val="22"/>
          <w:lang w:eastAsia="en-GB"/>
          <w14:ligatures w14:val="none"/>
        </w:rPr>
      </w:pPr>
    </w:p>
    <w:p w14:paraId="5F0F5B99" w14:textId="77777777" w:rsidR="00157185" w:rsidRDefault="00157185" w:rsidP="000B44C3">
      <w:pPr>
        <w:spacing w:after="0"/>
        <w:jc w:val="both"/>
        <w:rPr>
          <w:rFonts w:ascii="Arial" w:eastAsia="Times New Roman" w:hAnsi="Arial" w:cs="Arial"/>
          <w:kern w:val="0"/>
          <w:szCs w:val="22"/>
          <w:lang w:eastAsia="en-GB"/>
          <w14:ligatures w14:val="none"/>
        </w:rPr>
      </w:pPr>
    </w:p>
    <w:p w14:paraId="3F5A7B9B" w14:textId="77777777" w:rsidR="00157185" w:rsidRDefault="00157185" w:rsidP="000B44C3">
      <w:pPr>
        <w:spacing w:after="0"/>
        <w:jc w:val="both"/>
        <w:rPr>
          <w:rFonts w:ascii="Arial" w:eastAsia="Times New Roman" w:hAnsi="Arial" w:cs="Arial"/>
          <w:kern w:val="0"/>
          <w:szCs w:val="22"/>
          <w:lang w:eastAsia="en-GB"/>
          <w14:ligatures w14:val="none"/>
        </w:rPr>
      </w:pPr>
    </w:p>
    <w:p w14:paraId="37A4A21C" w14:textId="77777777" w:rsidR="00157185" w:rsidRDefault="00157185" w:rsidP="000B44C3">
      <w:pPr>
        <w:spacing w:after="0"/>
        <w:jc w:val="both"/>
        <w:rPr>
          <w:rFonts w:ascii="Arial" w:eastAsia="Times New Roman" w:hAnsi="Arial" w:cs="Arial"/>
          <w:kern w:val="0"/>
          <w:szCs w:val="22"/>
          <w:lang w:eastAsia="en-GB"/>
          <w14:ligatures w14:val="none"/>
        </w:rPr>
      </w:pPr>
    </w:p>
    <w:p w14:paraId="0228B862" w14:textId="77777777" w:rsidR="00157185" w:rsidRDefault="00157185" w:rsidP="000B44C3">
      <w:pPr>
        <w:spacing w:after="0"/>
        <w:jc w:val="both"/>
        <w:rPr>
          <w:rFonts w:ascii="Arial" w:eastAsia="Times New Roman" w:hAnsi="Arial" w:cs="Arial"/>
          <w:kern w:val="0"/>
          <w:szCs w:val="22"/>
          <w:lang w:eastAsia="en-GB"/>
          <w14:ligatures w14:val="none"/>
        </w:rPr>
      </w:pPr>
    </w:p>
    <w:p w14:paraId="5F590AC4" w14:textId="77777777" w:rsidR="00157185" w:rsidRPr="000B44C3" w:rsidRDefault="00157185" w:rsidP="000B44C3">
      <w:pPr>
        <w:spacing w:after="0"/>
        <w:jc w:val="both"/>
        <w:rPr>
          <w:rFonts w:ascii="Arial" w:eastAsia="Times New Roman" w:hAnsi="Arial" w:cs="Arial"/>
          <w:kern w:val="0"/>
          <w:szCs w:val="22"/>
          <w:lang w:eastAsia="en-GB"/>
          <w14:ligatures w14:val="none"/>
        </w:rPr>
      </w:pPr>
    </w:p>
    <w:p w14:paraId="358D27F8" w14:textId="2BE927CB" w:rsidR="0011545E" w:rsidRPr="000B44C3" w:rsidRDefault="0011545E" w:rsidP="00241CCC">
      <w:pPr>
        <w:pStyle w:val="Heading1"/>
        <w:rPr>
          <w:rFonts w:eastAsia="Times New Roman"/>
          <w:lang w:eastAsia="en-GB"/>
        </w:rPr>
      </w:pPr>
      <w:bookmarkStart w:id="0" w:name="_Toc224467926"/>
      <w:r w:rsidRPr="000B44C3">
        <w:rPr>
          <w:rFonts w:eastAsia="Times New Roman"/>
          <w:lang w:eastAsia="en-GB"/>
        </w:rPr>
        <w:t>Introduction</w:t>
      </w:r>
      <w:bookmarkEnd w:id="0"/>
    </w:p>
    <w:p w14:paraId="23489F93" w14:textId="6657AFB7" w:rsidR="00E411FF" w:rsidRPr="000B44C3" w:rsidRDefault="00E411FF" w:rsidP="000B44C3">
      <w:pPr>
        <w:jc w:val="both"/>
        <w:rPr>
          <w:rFonts w:ascii="Arial" w:hAnsi="Arial" w:cs="Arial"/>
          <w:szCs w:val="22"/>
          <w:lang w:eastAsia="en-GB"/>
        </w:rPr>
      </w:pPr>
      <w:r w:rsidRPr="000B44C3">
        <w:rPr>
          <w:rFonts w:ascii="Arial" w:hAnsi="Arial" w:cs="Arial"/>
          <w:szCs w:val="22"/>
          <w:lang w:eastAsia="en-GB"/>
        </w:rPr>
        <w:t>Rapid urbanisation is reshaping how health and wellbeing are produced and distributed. Cities can enable access to jobs, education, healthcare and social networks, yet they also concentrate health risks through air pollution, overcrowded housing, traffic injury, sedentary lifestyles, heat exposure and widening inequalities. In this context, the Sustainable Development Goals (SDGs) matter because they provide a shared, globally recognised framework that links health outcomes to the social and environmental conditions that drive them</w:t>
      </w:r>
      <w:r w:rsidR="00A601C4" w:rsidRPr="000B44C3">
        <w:rPr>
          <w:rFonts w:ascii="Arial" w:hAnsi="Arial" w:cs="Arial"/>
          <w:szCs w:val="22"/>
          <w:lang w:eastAsia="en-GB"/>
        </w:rPr>
        <w:t xml:space="preserve"> </w:t>
      </w:r>
      <w:r w:rsidRPr="000B44C3">
        <w:rPr>
          <w:rFonts w:ascii="Arial" w:hAnsi="Arial" w:cs="Arial"/>
          <w:szCs w:val="22"/>
          <w:lang w:eastAsia="en-GB"/>
        </w:rPr>
        <w:t>shifting policy attention from healthcare alone to prevention, equity and sustainable development</w:t>
      </w:r>
      <w:r w:rsidR="000230B0" w:rsidRPr="000B44C3">
        <w:rPr>
          <w:rFonts w:ascii="Arial" w:hAnsi="Arial" w:cs="Arial"/>
          <w:szCs w:val="22"/>
          <w:lang w:eastAsia="en-GB"/>
        </w:rPr>
        <w:t xml:space="preserve"> </w:t>
      </w:r>
      <w:r w:rsidR="000230B0" w:rsidRPr="000B44C3">
        <w:rPr>
          <w:rFonts w:ascii="Arial" w:hAnsi="Arial" w:cs="Arial"/>
          <w:szCs w:val="22"/>
        </w:rPr>
        <w:t>(</w:t>
      </w:r>
      <w:proofErr w:type="spellStart"/>
      <w:r w:rsidR="000230B0" w:rsidRPr="000B44C3">
        <w:rPr>
          <w:rFonts w:ascii="Arial" w:hAnsi="Arial" w:cs="Arial"/>
          <w:szCs w:val="22"/>
        </w:rPr>
        <w:t>Buse</w:t>
      </w:r>
      <w:proofErr w:type="spellEnd"/>
      <w:r w:rsidR="000230B0" w:rsidRPr="000B44C3">
        <w:rPr>
          <w:rFonts w:ascii="Arial" w:hAnsi="Arial" w:cs="Arial"/>
          <w:szCs w:val="22"/>
        </w:rPr>
        <w:t xml:space="preserve"> and Hawkes, 2015)</w:t>
      </w:r>
      <w:r w:rsidRPr="000B44C3">
        <w:rPr>
          <w:rFonts w:ascii="Arial" w:hAnsi="Arial" w:cs="Arial"/>
          <w:szCs w:val="22"/>
          <w:lang w:eastAsia="en-GB"/>
        </w:rPr>
        <w:t>. This report therefore examines how SDG 3 (Good Health and Wellbeing) and SDG 11 (Sustainable Cities and Communities) interact to shape population health through urban environments.</w:t>
      </w:r>
    </w:p>
    <w:p w14:paraId="657A0911" w14:textId="33DBE332" w:rsidR="00F37362" w:rsidRPr="00E631E4" w:rsidRDefault="00E411FF" w:rsidP="00E631E4">
      <w:pPr>
        <w:jc w:val="both"/>
        <w:rPr>
          <w:rFonts w:ascii="Arial" w:hAnsi="Arial" w:cs="Arial"/>
          <w:szCs w:val="22"/>
          <w:lang w:eastAsia="en-GB"/>
        </w:rPr>
      </w:pPr>
      <w:r w:rsidRPr="000B44C3">
        <w:rPr>
          <w:rFonts w:ascii="Arial" w:hAnsi="Arial" w:cs="Arial"/>
          <w:szCs w:val="22"/>
          <w:lang w:eastAsia="en-GB"/>
        </w:rPr>
        <w:t>The report aims to critically evaluate the effectiveness of selected global, national and local policies and initiatives aligned with these goals, and to develop evidence-informed recommendations for improvement. Analysis is structured in two main sections. Section 1 assesses SDG 3 with a focus on non-communicable diseases and mental health, examining how policies balance individual behaviour change with structural determinants. Section 2 evaluates SDG 11, focusing on housing, transport and green infrastructure as “health-producing” systems. Across both sections, evaluation is guided by the Social Ecological Model, Built Environment Theory, and Health Impact Assessment (HIA) to connect theory to real-world policy design, implementation and outcomes.</w:t>
      </w:r>
    </w:p>
    <w:p w14:paraId="4C47B6C6" w14:textId="529EF329" w:rsidR="009A6EB1" w:rsidRPr="000B44C3" w:rsidRDefault="009A6EB1" w:rsidP="00241CCC">
      <w:pPr>
        <w:pStyle w:val="Heading1"/>
      </w:pPr>
      <w:bookmarkStart w:id="1" w:name="_Toc224467927"/>
      <w:r w:rsidRPr="000B44C3">
        <w:t>Section 1: SDG 3</w:t>
      </w:r>
      <w:r w:rsidR="00157185">
        <w:t xml:space="preserve">: </w:t>
      </w:r>
      <w:r w:rsidRPr="000B44C3">
        <w:t>Good Health and Wellbeing (NCDs + mental health)</w:t>
      </w:r>
      <w:bookmarkEnd w:id="1"/>
      <w:r w:rsidRPr="000B44C3">
        <w:t xml:space="preserve"> </w:t>
      </w:r>
    </w:p>
    <w:p w14:paraId="763BA39E" w14:textId="6C45B9CC" w:rsidR="009A6EB1" w:rsidRPr="000B44C3" w:rsidRDefault="009A6EB1" w:rsidP="000B44C3">
      <w:pPr>
        <w:pStyle w:val="NormalWeb"/>
        <w:spacing w:line="360" w:lineRule="auto"/>
        <w:jc w:val="both"/>
        <w:rPr>
          <w:rFonts w:ascii="Arial" w:hAnsi="Arial" w:cs="Arial"/>
          <w:szCs w:val="22"/>
        </w:rPr>
      </w:pPr>
      <w:r w:rsidRPr="000B44C3">
        <w:rPr>
          <w:rFonts w:ascii="Arial" w:hAnsi="Arial" w:cs="Arial"/>
          <w:szCs w:val="22"/>
        </w:rPr>
        <w:t>SDG 3 aims to ensure healthy lives and promote wellbeing for all at all ages,</w:t>
      </w:r>
      <w:r w:rsidR="00BE26B1" w:rsidRPr="000B44C3">
        <w:rPr>
          <w:rFonts w:ascii="Arial" w:hAnsi="Arial" w:cs="Arial"/>
          <w:szCs w:val="22"/>
        </w:rPr>
        <w:t xml:space="preserve"> </w:t>
      </w:r>
      <w:r w:rsidRPr="000B44C3">
        <w:rPr>
          <w:rFonts w:ascii="Arial" w:hAnsi="Arial" w:cs="Arial"/>
          <w:szCs w:val="22"/>
        </w:rPr>
        <w:t>explicitly covering non-communicable diseases (NCDs), mental health, environmental risks, and health systems (including universal health coverage)</w:t>
      </w:r>
      <w:r w:rsidR="00BE26B1" w:rsidRPr="000B44C3">
        <w:rPr>
          <w:rFonts w:ascii="Arial" w:hAnsi="Arial" w:cs="Arial"/>
          <w:szCs w:val="22"/>
        </w:rPr>
        <w:t xml:space="preserve"> (United Nations, 2025)</w:t>
      </w:r>
      <w:r w:rsidRPr="000B44C3">
        <w:rPr>
          <w:rFonts w:ascii="Arial" w:hAnsi="Arial" w:cs="Arial"/>
          <w:szCs w:val="22"/>
        </w:rPr>
        <w:t xml:space="preserve">. In urban settings, SDG 3 outcomes are strongly patterned by the </w:t>
      </w:r>
      <w:r w:rsidRPr="000B44C3">
        <w:rPr>
          <w:rStyle w:val="Emphasis"/>
          <w:rFonts w:ascii="Arial" w:eastAsiaTheme="majorEastAsia" w:hAnsi="Arial" w:cs="Arial"/>
          <w:szCs w:val="22"/>
        </w:rPr>
        <w:t>built environment</w:t>
      </w:r>
      <w:r w:rsidRPr="000B44C3">
        <w:rPr>
          <w:rFonts w:ascii="Arial" w:hAnsi="Arial" w:cs="Arial"/>
          <w:szCs w:val="22"/>
        </w:rPr>
        <w:t xml:space="preserve"> (land-use, transport, housing quality, green space) and by structural determinants (income, work, discrimination), meaning policy success depends on cross-sector governance rather than health services alone</w:t>
      </w:r>
      <w:r w:rsidR="00401A43" w:rsidRPr="000B44C3">
        <w:rPr>
          <w:rFonts w:ascii="Arial" w:hAnsi="Arial" w:cs="Arial"/>
          <w:szCs w:val="22"/>
        </w:rPr>
        <w:t xml:space="preserve"> (</w:t>
      </w:r>
      <w:proofErr w:type="spellStart"/>
      <w:r w:rsidR="00401A43" w:rsidRPr="000B44C3">
        <w:rPr>
          <w:rFonts w:ascii="Arial" w:hAnsi="Arial" w:cs="Arial"/>
          <w:szCs w:val="22"/>
        </w:rPr>
        <w:t>Seelajaroen</w:t>
      </w:r>
      <w:proofErr w:type="spellEnd"/>
      <w:r w:rsidR="00401A43" w:rsidRPr="000B44C3">
        <w:rPr>
          <w:rFonts w:ascii="Arial" w:hAnsi="Arial" w:cs="Arial"/>
          <w:szCs w:val="22"/>
        </w:rPr>
        <w:t xml:space="preserve"> and </w:t>
      </w:r>
      <w:proofErr w:type="spellStart"/>
      <w:r w:rsidR="00401A43" w:rsidRPr="000B44C3">
        <w:rPr>
          <w:rFonts w:ascii="Arial" w:hAnsi="Arial" w:cs="Arial"/>
          <w:szCs w:val="22"/>
        </w:rPr>
        <w:t>Jitmaneeroj</w:t>
      </w:r>
      <w:proofErr w:type="spellEnd"/>
      <w:r w:rsidR="00401A43" w:rsidRPr="000B44C3">
        <w:rPr>
          <w:rFonts w:ascii="Arial" w:hAnsi="Arial" w:cs="Arial"/>
          <w:szCs w:val="22"/>
        </w:rPr>
        <w:t>, 2025)</w:t>
      </w:r>
      <w:r w:rsidRPr="000B44C3">
        <w:rPr>
          <w:rFonts w:ascii="Arial" w:hAnsi="Arial" w:cs="Arial"/>
          <w:szCs w:val="22"/>
        </w:rPr>
        <w:t>.</w:t>
      </w:r>
    </w:p>
    <w:p w14:paraId="6900CE7F" w14:textId="48734D17" w:rsidR="009A6EB1" w:rsidRPr="000B44C3" w:rsidRDefault="009A6EB1" w:rsidP="000B44C3">
      <w:pPr>
        <w:pStyle w:val="Heading3"/>
        <w:jc w:val="both"/>
        <w:rPr>
          <w:rFonts w:ascii="Arial" w:hAnsi="Arial" w:cs="Arial"/>
          <w:szCs w:val="22"/>
        </w:rPr>
      </w:pPr>
      <w:bookmarkStart w:id="2" w:name="_Toc224467928"/>
      <w:r w:rsidRPr="000B44C3">
        <w:rPr>
          <w:rFonts w:ascii="Arial" w:hAnsi="Arial" w:cs="Arial"/>
          <w:szCs w:val="22"/>
        </w:rPr>
        <w:t>WHO Global NCD Action Plan</w:t>
      </w:r>
      <w:bookmarkEnd w:id="2"/>
      <w:r w:rsidRPr="000B44C3">
        <w:rPr>
          <w:rFonts w:ascii="Arial" w:hAnsi="Arial" w:cs="Arial"/>
          <w:szCs w:val="22"/>
        </w:rPr>
        <w:t xml:space="preserve"> </w:t>
      </w:r>
    </w:p>
    <w:p w14:paraId="5EFEBFC4" w14:textId="396FD745" w:rsidR="009A6EB1" w:rsidRPr="000B44C3" w:rsidRDefault="009A6EB1" w:rsidP="000B44C3">
      <w:pPr>
        <w:pStyle w:val="NormalWeb"/>
        <w:spacing w:line="360" w:lineRule="auto"/>
        <w:jc w:val="both"/>
        <w:rPr>
          <w:rFonts w:ascii="Arial" w:hAnsi="Arial" w:cs="Arial"/>
          <w:szCs w:val="22"/>
        </w:rPr>
      </w:pPr>
      <w:r w:rsidRPr="000B44C3">
        <w:rPr>
          <w:rFonts w:ascii="Arial" w:hAnsi="Arial" w:cs="Arial"/>
          <w:szCs w:val="22"/>
        </w:rPr>
        <w:t>The WHO Global Action Plan for the Prevention and Control of NCDs (2013–2020; later extended toward 2030 alignment) sets targets and recommended best buys across tobacco, alcohol, diet and physical activity, and strengthens surveillance and health-system response</w:t>
      </w:r>
      <w:r w:rsidR="004212F0" w:rsidRPr="000B44C3">
        <w:rPr>
          <w:rFonts w:ascii="Arial" w:hAnsi="Arial" w:cs="Arial"/>
          <w:szCs w:val="22"/>
        </w:rPr>
        <w:t xml:space="preserve"> (WHO, 2013)</w:t>
      </w:r>
      <w:r w:rsidRPr="000B44C3">
        <w:rPr>
          <w:rFonts w:ascii="Arial" w:hAnsi="Arial" w:cs="Arial"/>
          <w:szCs w:val="22"/>
        </w:rPr>
        <w:t xml:space="preserve">. </w:t>
      </w:r>
      <w:r w:rsidR="009C1783" w:rsidRPr="009C1783">
        <w:rPr>
          <w:rFonts w:ascii="Arial" w:hAnsi="Arial" w:cs="Arial"/>
          <w:szCs w:val="22"/>
        </w:rPr>
        <w:t>Its main advantage is that it makes NCD prevention a whole-of-government agenda (e.g., fiscal, marketing limits, primary care integration). But, practically, translation into national policy tends to lean toward individual-level solutions (education campaigns, apps, advice) since they are easier politically than control over commercial drivers (food marketing, ultra-processed products, car dependency) or revamping the city form. This policy lifestyle creep is a notoriously popular failure mode of NCD policy: the upstream drivers are recogni</w:t>
      </w:r>
      <w:r w:rsidR="002B4E67">
        <w:rPr>
          <w:rFonts w:ascii="Arial" w:hAnsi="Arial" w:cs="Arial"/>
          <w:szCs w:val="22"/>
        </w:rPr>
        <w:t>s</w:t>
      </w:r>
      <w:r w:rsidR="009C1783" w:rsidRPr="009C1783">
        <w:rPr>
          <w:rFonts w:ascii="Arial" w:hAnsi="Arial" w:cs="Arial"/>
          <w:szCs w:val="22"/>
        </w:rPr>
        <w:t>ed, but downstream interventions control delivery</w:t>
      </w:r>
      <w:r w:rsidR="009C1783">
        <w:rPr>
          <w:rFonts w:ascii="Arial" w:hAnsi="Arial" w:cs="Arial"/>
          <w:szCs w:val="22"/>
        </w:rPr>
        <w:t xml:space="preserve"> </w:t>
      </w:r>
      <w:r w:rsidR="003A0A4F" w:rsidRPr="000B44C3">
        <w:rPr>
          <w:rFonts w:ascii="Arial" w:hAnsi="Arial" w:cs="Arial"/>
          <w:szCs w:val="22"/>
        </w:rPr>
        <w:t xml:space="preserve">(Akhtar </w:t>
      </w:r>
      <w:r w:rsidR="003A0A4F" w:rsidRPr="000B44C3">
        <w:rPr>
          <w:rFonts w:ascii="Arial" w:hAnsi="Arial" w:cs="Arial"/>
          <w:i/>
          <w:iCs/>
          <w:szCs w:val="22"/>
        </w:rPr>
        <w:t>et al.</w:t>
      </w:r>
      <w:r w:rsidR="003A0A4F" w:rsidRPr="000B44C3">
        <w:rPr>
          <w:rFonts w:ascii="Arial" w:hAnsi="Arial" w:cs="Arial"/>
          <w:szCs w:val="22"/>
        </w:rPr>
        <w:t>, 2025)</w:t>
      </w:r>
      <w:r w:rsidRPr="000B44C3">
        <w:rPr>
          <w:rFonts w:ascii="Arial" w:hAnsi="Arial" w:cs="Arial"/>
          <w:szCs w:val="22"/>
        </w:rPr>
        <w:t>.</w:t>
      </w:r>
    </w:p>
    <w:p w14:paraId="6E0FB60A" w14:textId="0071FE12" w:rsidR="009A6EB1" w:rsidRDefault="00460071" w:rsidP="00B5208F">
      <w:pPr>
        <w:pStyle w:val="NormalWeb"/>
        <w:spacing w:line="360" w:lineRule="auto"/>
        <w:jc w:val="both"/>
        <w:rPr>
          <w:rFonts w:ascii="Arial" w:hAnsi="Arial" w:cs="Arial"/>
          <w:szCs w:val="22"/>
        </w:rPr>
      </w:pPr>
      <w:r w:rsidRPr="00460071">
        <w:rPr>
          <w:rFonts w:ascii="Arial" w:hAnsi="Arial" w:cs="Arial"/>
          <w:szCs w:val="22"/>
        </w:rPr>
        <w:t>In the context of Social Cognitive Theory (SCT), a number of NCD programs, such as healthy swaps act</w:t>
      </w:r>
      <w:r w:rsidR="00D946D1">
        <w:rPr>
          <w:rFonts w:ascii="Arial" w:hAnsi="Arial" w:cs="Arial"/>
          <w:szCs w:val="22"/>
        </w:rPr>
        <w:t>i</w:t>
      </w:r>
      <w:r w:rsidRPr="00460071">
        <w:rPr>
          <w:rFonts w:ascii="Arial" w:hAnsi="Arial" w:cs="Arial"/>
          <w:szCs w:val="22"/>
        </w:rPr>
        <w:t>vity challenges, focus on observational learning and behavioural capability, but lack investment in environmental facilitators that enable the behaviour to be realistic (safe pavements, safe cycle lanes, low-cost healthy food). SCT processes, including self-efficacy, are disrupted whenever the environments are obesogenic since repeated failure diminishes perceived control (</w:t>
      </w:r>
      <w:proofErr w:type="spellStart"/>
      <w:r w:rsidRPr="00460071">
        <w:rPr>
          <w:rFonts w:ascii="Arial" w:hAnsi="Arial" w:cs="Arial"/>
          <w:szCs w:val="22"/>
        </w:rPr>
        <w:t>Egele</w:t>
      </w:r>
      <w:proofErr w:type="spellEnd"/>
      <w:r w:rsidRPr="00460071">
        <w:rPr>
          <w:rFonts w:ascii="Arial" w:hAnsi="Arial" w:cs="Arial"/>
          <w:szCs w:val="22"/>
        </w:rPr>
        <w:t xml:space="preserve">, </w:t>
      </w:r>
      <w:proofErr w:type="spellStart"/>
      <w:r w:rsidRPr="00460071">
        <w:rPr>
          <w:rFonts w:ascii="Arial" w:hAnsi="Arial" w:cs="Arial"/>
          <w:szCs w:val="22"/>
        </w:rPr>
        <w:t>Klopp</w:t>
      </w:r>
      <w:proofErr w:type="spellEnd"/>
      <w:r w:rsidRPr="00460071">
        <w:rPr>
          <w:rFonts w:ascii="Arial" w:hAnsi="Arial" w:cs="Arial"/>
          <w:szCs w:val="22"/>
        </w:rPr>
        <w:t xml:space="preserve"> and Stark, 2025). Likewise, campaigns may tend to raise perceived threat (threats of obesity, diabetes, CVD) but not as much perceived barriers (cost, time, unsafe streets, long commutes) or enduring cues to action after short campaigns using the Health Belief Model (HBM) thus limiting permanence</w:t>
      </w:r>
      <w:r>
        <w:rPr>
          <w:rFonts w:ascii="Arial" w:hAnsi="Arial" w:cs="Arial"/>
          <w:szCs w:val="22"/>
        </w:rPr>
        <w:t xml:space="preserve"> </w:t>
      </w:r>
      <w:r w:rsidR="00BC402D" w:rsidRPr="000B44C3">
        <w:rPr>
          <w:rFonts w:ascii="Arial" w:hAnsi="Arial" w:cs="Arial"/>
          <w:szCs w:val="22"/>
        </w:rPr>
        <w:t>(</w:t>
      </w:r>
      <w:proofErr w:type="spellStart"/>
      <w:r w:rsidR="00BC402D" w:rsidRPr="000B44C3">
        <w:rPr>
          <w:rFonts w:ascii="Arial" w:hAnsi="Arial" w:cs="Arial"/>
          <w:szCs w:val="22"/>
        </w:rPr>
        <w:t>Razmara</w:t>
      </w:r>
      <w:proofErr w:type="spellEnd"/>
      <w:r w:rsidR="00BC402D" w:rsidRPr="000B44C3">
        <w:rPr>
          <w:rFonts w:ascii="Arial" w:hAnsi="Arial" w:cs="Arial"/>
          <w:szCs w:val="22"/>
        </w:rPr>
        <w:t xml:space="preserve"> </w:t>
      </w:r>
      <w:r w:rsidR="00BC402D" w:rsidRPr="000B44C3">
        <w:rPr>
          <w:rFonts w:ascii="Arial" w:hAnsi="Arial" w:cs="Arial"/>
          <w:i/>
          <w:iCs/>
          <w:szCs w:val="22"/>
        </w:rPr>
        <w:t>et al.</w:t>
      </w:r>
      <w:r w:rsidR="00BC402D" w:rsidRPr="000B44C3">
        <w:rPr>
          <w:rFonts w:ascii="Arial" w:hAnsi="Arial" w:cs="Arial"/>
          <w:szCs w:val="22"/>
        </w:rPr>
        <w:t>, 2018)</w:t>
      </w:r>
      <w:r w:rsidR="009A6EB1" w:rsidRPr="000B44C3">
        <w:rPr>
          <w:rFonts w:ascii="Arial" w:hAnsi="Arial" w:cs="Arial"/>
          <w:szCs w:val="22"/>
        </w:rPr>
        <w:t>.</w:t>
      </w:r>
    </w:p>
    <w:p w14:paraId="7914896A" w14:textId="77777777" w:rsidR="00B5208F" w:rsidRDefault="00B5208F" w:rsidP="00B5208F">
      <w:pPr>
        <w:pStyle w:val="NormalWeb"/>
        <w:keepNext/>
        <w:spacing w:line="360" w:lineRule="auto"/>
        <w:jc w:val="center"/>
      </w:pPr>
      <w:r w:rsidRPr="00B5208F">
        <w:rPr>
          <w:rFonts w:ascii="Arial" w:eastAsiaTheme="majorEastAsia" w:hAnsi="Arial" w:cs="Arial"/>
          <w:noProof/>
          <w:szCs w:val="22"/>
        </w:rPr>
        <w:drawing>
          <wp:inline distT="0" distB="0" distL="0" distR="0" wp14:anchorId="77D59F50" wp14:editId="47006CD3">
            <wp:extent cx="4620557" cy="3127809"/>
            <wp:effectExtent l="0" t="0" r="2540" b="0"/>
            <wp:docPr id="1265268569" name="Picture 1" descr="A diagram of a health belief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268569" name="Picture 1" descr="A diagram of a health belief model&#10;&#10;AI-generated content may be incorrect."/>
                    <pic:cNvPicPr/>
                  </pic:nvPicPr>
                  <pic:blipFill>
                    <a:blip r:embed="rId8"/>
                    <a:stretch>
                      <a:fillRect/>
                    </a:stretch>
                  </pic:blipFill>
                  <pic:spPr>
                    <a:xfrm>
                      <a:off x="0" y="0"/>
                      <a:ext cx="4631245" cy="3135044"/>
                    </a:xfrm>
                    <a:prstGeom prst="rect">
                      <a:avLst/>
                    </a:prstGeom>
                  </pic:spPr>
                </pic:pic>
              </a:graphicData>
            </a:graphic>
          </wp:inline>
        </w:drawing>
      </w:r>
    </w:p>
    <w:p w14:paraId="44B1BC76" w14:textId="68587D90" w:rsidR="00B5208F" w:rsidRPr="00B5208F" w:rsidRDefault="00B5208F" w:rsidP="00B5208F">
      <w:pPr>
        <w:pStyle w:val="Caption"/>
        <w:jc w:val="center"/>
        <w:rPr>
          <w:rFonts w:ascii="Arial" w:eastAsiaTheme="majorEastAsia" w:hAnsi="Arial" w:cs="Arial"/>
          <w:sz w:val="22"/>
          <w:szCs w:val="22"/>
        </w:rPr>
      </w:pPr>
      <w:r>
        <w:t xml:space="preserve">Figure </w:t>
      </w:r>
      <w:r w:rsidR="000F0AF6">
        <w:fldChar w:fldCharType="begin"/>
      </w:r>
      <w:r w:rsidR="000F0AF6">
        <w:instrText xml:space="preserve"> SEQ Figure \* ARABIC </w:instrText>
      </w:r>
      <w:r w:rsidR="000F0AF6">
        <w:fldChar w:fldCharType="separate"/>
      </w:r>
      <w:r w:rsidR="000F0AF6">
        <w:rPr>
          <w:noProof/>
        </w:rPr>
        <w:t>1</w:t>
      </w:r>
      <w:r w:rsidR="000F0AF6">
        <w:rPr>
          <w:noProof/>
        </w:rPr>
        <w:fldChar w:fldCharType="end"/>
      </w:r>
      <w:r>
        <w:t>: Health Belief Model</w:t>
      </w:r>
      <w:r w:rsidR="00D946D1">
        <w:t xml:space="preserve"> </w:t>
      </w:r>
      <w:r w:rsidR="00D946D1" w:rsidRPr="00D946D1">
        <w:t>(Bourne and Williams, 2022)</w:t>
      </w:r>
      <w:r w:rsidR="00D946D1">
        <w:t xml:space="preserve"> </w:t>
      </w:r>
    </w:p>
    <w:p w14:paraId="6BC796CA" w14:textId="100CFACF" w:rsidR="009A6EB1" w:rsidRPr="000B44C3" w:rsidRDefault="009A6EB1" w:rsidP="000B44C3">
      <w:pPr>
        <w:pStyle w:val="NormalWeb"/>
        <w:spacing w:line="360" w:lineRule="auto"/>
        <w:jc w:val="both"/>
        <w:rPr>
          <w:rFonts w:ascii="Arial" w:hAnsi="Arial" w:cs="Arial"/>
          <w:szCs w:val="22"/>
        </w:rPr>
      </w:pPr>
      <w:r w:rsidRPr="000B44C3">
        <w:rPr>
          <w:rFonts w:ascii="Arial" w:hAnsi="Arial" w:cs="Arial"/>
          <w:szCs w:val="22"/>
        </w:rPr>
        <w:t>Mental health is also embedded in SDG 3 targets (e.g., 3.4). WHO’s Comprehensive Mental Health Action Plan (2013–2030) reinforces prevention and service coverage, but implementation is constrained by workforce gaps, stigma, and unequal access</w:t>
      </w:r>
      <w:r w:rsidR="00940A13" w:rsidRPr="000B44C3">
        <w:rPr>
          <w:rFonts w:ascii="Arial" w:hAnsi="Arial" w:cs="Arial"/>
          <w:szCs w:val="22"/>
        </w:rPr>
        <w:t xml:space="preserve"> </w:t>
      </w:r>
      <w:r w:rsidRPr="000B44C3">
        <w:rPr>
          <w:rFonts w:ascii="Arial" w:hAnsi="Arial" w:cs="Arial"/>
          <w:szCs w:val="22"/>
        </w:rPr>
        <w:t>especially for low-income urban residents facing precarious housing and pollution stressors</w:t>
      </w:r>
      <w:r w:rsidR="00940A13" w:rsidRPr="000B44C3">
        <w:rPr>
          <w:rFonts w:ascii="Arial" w:hAnsi="Arial" w:cs="Arial"/>
          <w:szCs w:val="22"/>
        </w:rPr>
        <w:t xml:space="preserve"> (Singh, 2021)</w:t>
      </w:r>
      <w:r w:rsidRPr="000B44C3">
        <w:rPr>
          <w:rFonts w:ascii="Arial" w:hAnsi="Arial" w:cs="Arial"/>
          <w:szCs w:val="22"/>
        </w:rPr>
        <w:t>.</w:t>
      </w:r>
    </w:p>
    <w:p w14:paraId="62F0B8A5" w14:textId="17C56F1C" w:rsidR="009A6EB1" w:rsidRPr="000B44C3" w:rsidRDefault="009A6EB1" w:rsidP="000B44C3">
      <w:pPr>
        <w:pStyle w:val="Heading3"/>
        <w:jc w:val="both"/>
        <w:rPr>
          <w:rFonts w:ascii="Arial" w:hAnsi="Arial" w:cs="Arial"/>
          <w:szCs w:val="22"/>
        </w:rPr>
      </w:pPr>
      <w:bookmarkStart w:id="3" w:name="_Toc224467929"/>
      <w:r w:rsidRPr="000B44C3">
        <w:rPr>
          <w:rFonts w:ascii="Arial" w:hAnsi="Arial" w:cs="Arial"/>
          <w:szCs w:val="22"/>
        </w:rPr>
        <w:t>England</w:t>
      </w:r>
      <w:r w:rsidR="00096113" w:rsidRPr="000B44C3">
        <w:rPr>
          <w:rFonts w:ascii="Arial" w:hAnsi="Arial" w:cs="Arial"/>
          <w:szCs w:val="22"/>
        </w:rPr>
        <w:t xml:space="preserve"> </w:t>
      </w:r>
      <w:r w:rsidRPr="000B44C3">
        <w:rPr>
          <w:rFonts w:ascii="Arial" w:hAnsi="Arial" w:cs="Arial"/>
          <w:szCs w:val="22"/>
        </w:rPr>
        <w:t xml:space="preserve">Tackling </w:t>
      </w:r>
      <w:r w:rsidR="00096113" w:rsidRPr="000B44C3">
        <w:rPr>
          <w:rFonts w:ascii="Arial" w:hAnsi="Arial" w:cs="Arial"/>
          <w:szCs w:val="22"/>
        </w:rPr>
        <w:t>Obesity Strategy</w:t>
      </w:r>
      <w:bookmarkEnd w:id="3"/>
      <w:r w:rsidR="00096113" w:rsidRPr="000B44C3">
        <w:rPr>
          <w:rFonts w:ascii="Arial" w:hAnsi="Arial" w:cs="Arial"/>
          <w:szCs w:val="22"/>
        </w:rPr>
        <w:t xml:space="preserve"> </w:t>
      </w:r>
    </w:p>
    <w:p w14:paraId="2D38FAB4" w14:textId="49E471BB" w:rsidR="00094999" w:rsidRDefault="00094999" w:rsidP="000B44C3">
      <w:pPr>
        <w:pStyle w:val="NormalWeb"/>
        <w:spacing w:line="360" w:lineRule="auto"/>
        <w:jc w:val="both"/>
        <w:rPr>
          <w:rFonts w:ascii="Arial" w:hAnsi="Arial" w:cs="Arial"/>
          <w:szCs w:val="22"/>
        </w:rPr>
      </w:pPr>
      <w:r w:rsidRPr="00094999">
        <w:rPr>
          <w:rFonts w:ascii="Arial" w:hAnsi="Arial" w:cs="Arial"/>
          <w:szCs w:val="22"/>
        </w:rPr>
        <w:t xml:space="preserve">The 2020 strategy to tackle obesity in England expressly mentions their intention to modify the environment and promote healthier decisions through strategies like labelling and weight management assistance (Department of Health &amp; Social Care, 2020). The strongest-supported national lever in this area is the fiscal/regulatory policy of sugar-sweetened beverages. The UK Soft Drinks Industry Levy (SDIL) has facilitated significant decreases in sugar content through reformulation (government reporting shows there are significant decreases in sugar content in the market), and modelling and empirical studies attribute these decreases to decreases in sugar purchases and </w:t>
      </w:r>
      <w:r w:rsidRPr="001B3864">
        <w:rPr>
          <w:rFonts w:ascii="Arial" w:hAnsi="Arial" w:cs="Arial"/>
          <w:szCs w:val="22"/>
        </w:rPr>
        <w:t xml:space="preserve">estimated health benefits. </w:t>
      </w:r>
      <w:r w:rsidR="0092637F" w:rsidRPr="001B3864">
        <w:rPr>
          <w:rFonts w:ascii="Arial" w:hAnsi="Arial" w:cs="Arial"/>
          <w:szCs w:val="22"/>
        </w:rPr>
        <w:t>Average sugar content in levy-liable soft drinks fell by 46% between 2015 and 2020, according to the UK government’s 2024 SDIL review (</w:t>
      </w:r>
      <w:proofErr w:type="spellStart"/>
      <w:r w:rsidR="0092637F" w:rsidRPr="001B3864">
        <w:rPr>
          <w:rFonts w:ascii="Arial" w:hAnsi="Arial" w:cs="Arial"/>
          <w:szCs w:val="22"/>
        </w:rPr>
        <w:t>Gov</w:t>
      </w:r>
      <w:proofErr w:type="spellEnd"/>
      <w:r w:rsidR="0092637F" w:rsidRPr="001B3864">
        <w:rPr>
          <w:rFonts w:ascii="Arial" w:hAnsi="Arial" w:cs="Arial"/>
          <w:szCs w:val="22"/>
        </w:rPr>
        <w:t xml:space="preserve"> UK, 2024). </w:t>
      </w:r>
      <w:r w:rsidRPr="001B3864">
        <w:rPr>
          <w:rFonts w:ascii="Arial" w:hAnsi="Arial" w:cs="Arial"/>
          <w:szCs w:val="22"/>
        </w:rPr>
        <w:t>It means</w:t>
      </w:r>
      <w:r w:rsidRPr="00094999">
        <w:rPr>
          <w:rFonts w:ascii="Arial" w:hAnsi="Arial" w:cs="Arial"/>
          <w:szCs w:val="22"/>
        </w:rPr>
        <w:t xml:space="preserve"> that structural choice architecture can be more effective than information-only interventions due to the ability to change the defaults of the whole population, including less health-literate groups (</w:t>
      </w:r>
      <w:proofErr w:type="spellStart"/>
      <w:r w:rsidRPr="00094999">
        <w:rPr>
          <w:rFonts w:ascii="Arial" w:hAnsi="Arial" w:cs="Arial"/>
          <w:szCs w:val="22"/>
        </w:rPr>
        <w:t>Cobiac</w:t>
      </w:r>
      <w:proofErr w:type="spellEnd"/>
      <w:r w:rsidRPr="00094999">
        <w:rPr>
          <w:rFonts w:ascii="Arial" w:hAnsi="Arial" w:cs="Arial"/>
          <w:szCs w:val="22"/>
        </w:rPr>
        <w:t xml:space="preserve"> et al., 2024).</w:t>
      </w:r>
    </w:p>
    <w:p w14:paraId="3C08577B" w14:textId="760C7AC7" w:rsidR="009A6EB1" w:rsidRPr="000B44C3" w:rsidRDefault="00094999" w:rsidP="008508DA">
      <w:pPr>
        <w:pStyle w:val="NormalWeb"/>
        <w:spacing w:line="360" w:lineRule="auto"/>
        <w:jc w:val="both"/>
        <w:rPr>
          <w:rFonts w:ascii="Arial" w:hAnsi="Arial" w:cs="Arial"/>
          <w:szCs w:val="22"/>
        </w:rPr>
      </w:pPr>
      <w:r w:rsidRPr="00094999">
        <w:rPr>
          <w:rFonts w:ascii="Arial" w:hAnsi="Arial" w:cs="Arial"/>
          <w:szCs w:val="22"/>
        </w:rPr>
        <w:t xml:space="preserve">Limits do exist, obesity patterns are socially structured, and individual product interventions cannot be enough to offset a wider exposure to ultra-processed foods and poverty, as well as limited mobility. </w:t>
      </w:r>
      <w:r w:rsidR="00833881">
        <w:rPr>
          <w:rFonts w:ascii="Arial" w:hAnsi="Arial" w:cs="Arial"/>
          <w:szCs w:val="22"/>
        </w:rPr>
        <w:t>D</w:t>
      </w:r>
      <w:r w:rsidRPr="00094999">
        <w:rPr>
          <w:rFonts w:ascii="Arial" w:hAnsi="Arial" w:cs="Arial"/>
          <w:szCs w:val="22"/>
        </w:rPr>
        <w:t xml:space="preserve">elivery has been unequal and under policy delay/rollback pressures, which demonstrates its susceptibility to political cycles and industry </w:t>
      </w:r>
      <w:proofErr w:type="spellStart"/>
      <w:r w:rsidRPr="00094999">
        <w:rPr>
          <w:rFonts w:ascii="Arial" w:hAnsi="Arial" w:cs="Arial"/>
          <w:szCs w:val="22"/>
        </w:rPr>
        <w:t>lobbyisms</w:t>
      </w:r>
      <w:proofErr w:type="spellEnd"/>
      <w:r w:rsidRPr="00094999">
        <w:rPr>
          <w:rFonts w:ascii="Arial" w:hAnsi="Arial" w:cs="Arial"/>
          <w:szCs w:val="22"/>
        </w:rPr>
        <w:t>. National strategies</w:t>
      </w:r>
      <w:r w:rsidR="00833881">
        <w:rPr>
          <w:rFonts w:ascii="Arial" w:hAnsi="Arial" w:cs="Arial"/>
          <w:szCs w:val="22"/>
        </w:rPr>
        <w:t xml:space="preserve"> like </w:t>
      </w:r>
      <w:r w:rsidR="00833881" w:rsidRPr="00833881">
        <w:rPr>
          <w:rFonts w:ascii="Arial" w:hAnsi="Arial" w:cs="Arial"/>
          <w:szCs w:val="22"/>
        </w:rPr>
        <w:t xml:space="preserve">England </w:t>
      </w:r>
      <w:r w:rsidR="00833881" w:rsidRPr="00833881">
        <w:rPr>
          <w:rFonts w:ascii="Arial" w:hAnsi="Arial" w:cs="Arial"/>
          <w:i/>
          <w:iCs/>
          <w:szCs w:val="22"/>
        </w:rPr>
        <w:t>Tackling Obesity</w:t>
      </w:r>
      <w:r w:rsidRPr="00094999">
        <w:rPr>
          <w:rFonts w:ascii="Arial" w:hAnsi="Arial" w:cs="Arial"/>
          <w:szCs w:val="22"/>
        </w:rPr>
        <w:t>, in HBM terms have enhanced cues to action (labels, campaigns) but not yet addressed barriers to action such as affordability, housing instability and time poverty particularly in deprived urban regions</w:t>
      </w:r>
      <w:r>
        <w:rPr>
          <w:rFonts w:ascii="Arial" w:hAnsi="Arial" w:cs="Arial"/>
          <w:szCs w:val="22"/>
        </w:rPr>
        <w:t xml:space="preserve"> </w:t>
      </w:r>
      <w:r w:rsidR="009B62D6" w:rsidRPr="000B44C3">
        <w:rPr>
          <w:rFonts w:ascii="Arial" w:hAnsi="Arial" w:cs="Arial"/>
          <w:szCs w:val="22"/>
        </w:rPr>
        <w:t>(</w:t>
      </w:r>
      <w:proofErr w:type="spellStart"/>
      <w:r w:rsidR="009B62D6" w:rsidRPr="000B44C3">
        <w:rPr>
          <w:rFonts w:ascii="Arial" w:hAnsi="Arial" w:cs="Arial"/>
          <w:szCs w:val="22"/>
        </w:rPr>
        <w:t>Dicken</w:t>
      </w:r>
      <w:proofErr w:type="spellEnd"/>
      <w:r w:rsidR="009B62D6" w:rsidRPr="000B44C3">
        <w:rPr>
          <w:rFonts w:ascii="Arial" w:hAnsi="Arial" w:cs="Arial"/>
          <w:szCs w:val="22"/>
        </w:rPr>
        <w:t xml:space="preserve"> and </w:t>
      </w:r>
      <w:proofErr w:type="spellStart"/>
      <w:r w:rsidR="009B62D6" w:rsidRPr="000B44C3">
        <w:rPr>
          <w:rFonts w:ascii="Arial" w:hAnsi="Arial" w:cs="Arial"/>
          <w:szCs w:val="22"/>
        </w:rPr>
        <w:t>Batterham</w:t>
      </w:r>
      <w:proofErr w:type="spellEnd"/>
      <w:r w:rsidR="009B62D6" w:rsidRPr="000B44C3">
        <w:rPr>
          <w:rFonts w:ascii="Arial" w:hAnsi="Arial" w:cs="Arial"/>
          <w:szCs w:val="22"/>
        </w:rPr>
        <w:t>, 2024)</w:t>
      </w:r>
      <w:r w:rsidR="009A6EB1" w:rsidRPr="000B44C3">
        <w:rPr>
          <w:rFonts w:ascii="Arial" w:hAnsi="Arial" w:cs="Arial"/>
          <w:szCs w:val="22"/>
        </w:rPr>
        <w:t>.</w:t>
      </w:r>
      <w:r w:rsidR="007355EA">
        <w:rPr>
          <w:rFonts w:ascii="Arial" w:hAnsi="Arial" w:cs="Arial"/>
          <w:szCs w:val="22"/>
        </w:rPr>
        <w:t xml:space="preserve"> </w:t>
      </w:r>
      <w:r w:rsidR="007355EA" w:rsidRPr="007355EA">
        <w:rPr>
          <w:rFonts w:ascii="Arial" w:hAnsi="Arial" w:cs="Arial"/>
          <w:szCs w:val="22"/>
        </w:rPr>
        <w:t>However, obesity is not driven by price alone. Cultural dietary norms, local food environments, health literacy, psychological stress, emotional eating, and geographical inequalities such as poor access to safe exercise spaces or healthy food outlets also shape behaviour, meaning that fiscal measures alone cannot address the full complexity of obesity</w:t>
      </w:r>
      <w:r w:rsidR="008508DA">
        <w:rPr>
          <w:rFonts w:ascii="Arial" w:hAnsi="Arial" w:cs="Arial"/>
          <w:szCs w:val="22"/>
        </w:rPr>
        <w:t xml:space="preserve"> (</w:t>
      </w:r>
      <w:proofErr w:type="spellStart"/>
      <w:r w:rsidR="008508DA">
        <w:rPr>
          <w:rFonts w:ascii="Arial" w:hAnsi="Arial" w:cs="Arial"/>
          <w:szCs w:val="22"/>
        </w:rPr>
        <w:t>Agurs</w:t>
      </w:r>
      <w:proofErr w:type="spellEnd"/>
      <w:r w:rsidR="008508DA">
        <w:rPr>
          <w:rFonts w:ascii="Arial" w:hAnsi="Arial" w:cs="Arial"/>
          <w:szCs w:val="22"/>
        </w:rPr>
        <w:t xml:space="preserve">-Collins </w:t>
      </w:r>
      <w:r w:rsidR="008508DA">
        <w:rPr>
          <w:rFonts w:ascii="Arial" w:hAnsi="Arial" w:cs="Arial"/>
          <w:i/>
          <w:iCs/>
          <w:szCs w:val="22"/>
        </w:rPr>
        <w:t>et al.</w:t>
      </w:r>
      <w:r w:rsidR="008508DA">
        <w:rPr>
          <w:rFonts w:ascii="Arial" w:hAnsi="Arial" w:cs="Arial"/>
          <w:szCs w:val="22"/>
        </w:rPr>
        <w:t>, 2024)</w:t>
      </w:r>
      <w:r w:rsidR="007355EA" w:rsidRPr="007355EA">
        <w:rPr>
          <w:rFonts w:ascii="Arial" w:hAnsi="Arial" w:cs="Arial"/>
          <w:szCs w:val="22"/>
        </w:rPr>
        <w:t>.</w:t>
      </w:r>
    </w:p>
    <w:p w14:paraId="2710E9D2" w14:textId="533657AE" w:rsidR="009A6EB1" w:rsidRPr="002E7F9D" w:rsidRDefault="002E7F9D" w:rsidP="000B44C3">
      <w:pPr>
        <w:pStyle w:val="Heading3"/>
        <w:jc w:val="both"/>
        <w:rPr>
          <w:rFonts w:ascii="Arial" w:hAnsi="Arial" w:cs="Arial"/>
          <w:b w:val="0"/>
          <w:bCs/>
          <w:szCs w:val="22"/>
        </w:rPr>
      </w:pPr>
      <w:bookmarkStart w:id="4" w:name="_Toc224467930"/>
      <w:r w:rsidRPr="002E7F9D">
        <w:rPr>
          <w:rStyle w:val="Strong"/>
          <w:b/>
          <w:bCs w:val="0"/>
        </w:rPr>
        <w:t>Greater Manchester’s Bee Network Active Travel Programme</w:t>
      </w:r>
      <w:bookmarkEnd w:id="4"/>
      <w:r w:rsidRPr="002E7F9D">
        <w:rPr>
          <w:rFonts w:ascii="Arial" w:hAnsi="Arial" w:cs="Arial"/>
          <w:b w:val="0"/>
          <w:bCs/>
          <w:szCs w:val="22"/>
        </w:rPr>
        <w:t xml:space="preserve">  </w:t>
      </w:r>
    </w:p>
    <w:p w14:paraId="4EE6D27D" w14:textId="4CD8EA4F" w:rsidR="009A6EB1" w:rsidRPr="00D74433" w:rsidRDefault="007D768A" w:rsidP="003A6EF4">
      <w:pPr>
        <w:jc w:val="both"/>
        <w:rPr>
          <w:rFonts w:ascii="Arial" w:hAnsi="Arial" w:cs="Arial"/>
          <w:b/>
          <w:bCs/>
          <w:szCs w:val="22"/>
        </w:rPr>
      </w:pPr>
      <w:r>
        <w:t xml:space="preserve">A more specific local example is </w:t>
      </w:r>
      <w:r w:rsidRPr="001B4015">
        <w:rPr>
          <w:rStyle w:val="Strong"/>
          <w:b w:val="0"/>
          <w:bCs w:val="0"/>
        </w:rPr>
        <w:t>Greater Manchester’s Bee Network active travel programme</w:t>
      </w:r>
      <w:r>
        <w:t xml:space="preserve">, which links walking, wheeling and cycling infrastructure to wider public health goals under SDG 3. Its value lies not in isolated cycle lanes but in building connected, safer networks that can support physical activity, reduce exposure to traffic pollution and improve wellbeing. This reflects current evidence that network quality and perceived safety matter more than piecemeal provision. However, its effectiveness is still constrained by delivery barriers identified nationally, including fragmented governance, short-term funding and weak evaluation systems, all of which can limit long-term behaviour change. By 2025, Greater Manchester reported </w:t>
      </w:r>
      <w:r w:rsidRPr="00DD1497">
        <w:rPr>
          <w:rStyle w:val="Strong"/>
          <w:b w:val="0"/>
          <w:bCs w:val="0"/>
        </w:rPr>
        <w:t>161 km of completed segregated Bee Network routes</w:t>
      </w:r>
      <w:r>
        <w:t>, showing tangible local progress, but the wider challenge remains whether infrastructure growth is consistent, equitable and sustained enough to change travel habits across different communities. This aligns with the Social Ecological Model, which suggests behaviour change is more likely when supportive policy and community environments are in place rather than when responsibility is left to individuals alone</w:t>
      </w:r>
      <w:r w:rsidR="00197FBC" w:rsidRPr="00D74433">
        <w:rPr>
          <w:rFonts w:ascii="Arial" w:hAnsi="Arial" w:cs="Arial"/>
          <w:b/>
          <w:bCs/>
          <w:szCs w:val="22"/>
        </w:rPr>
        <w:t xml:space="preserve"> (</w:t>
      </w:r>
      <w:r w:rsidR="00197FBC" w:rsidRPr="004A795B">
        <w:rPr>
          <w:rFonts w:ascii="Arial" w:hAnsi="Arial" w:cs="Arial"/>
          <w:szCs w:val="22"/>
        </w:rPr>
        <w:t>Ding et al., 2024</w:t>
      </w:r>
      <w:r w:rsidRPr="004A795B">
        <w:rPr>
          <w:rFonts w:ascii="Arial" w:hAnsi="Arial" w:cs="Arial"/>
          <w:szCs w:val="22"/>
        </w:rPr>
        <w:t>;</w:t>
      </w:r>
      <w:r>
        <w:rPr>
          <w:rFonts w:ascii="Arial" w:hAnsi="Arial" w:cs="Arial"/>
          <w:b/>
          <w:bCs/>
          <w:szCs w:val="22"/>
        </w:rPr>
        <w:t xml:space="preserve"> </w:t>
      </w:r>
      <w:proofErr w:type="spellStart"/>
      <w:r>
        <w:rPr>
          <w:rFonts w:ascii="Arial" w:hAnsi="Arial" w:cs="Arial"/>
          <w:szCs w:val="22"/>
        </w:rPr>
        <w:t>Beeactive</w:t>
      </w:r>
      <w:proofErr w:type="spellEnd"/>
      <w:r w:rsidR="00F04674">
        <w:rPr>
          <w:rFonts w:ascii="Arial" w:hAnsi="Arial" w:cs="Arial"/>
          <w:szCs w:val="22"/>
        </w:rPr>
        <w:t xml:space="preserve">, </w:t>
      </w:r>
      <w:r>
        <w:rPr>
          <w:rFonts w:ascii="Arial" w:hAnsi="Arial" w:cs="Arial"/>
          <w:szCs w:val="22"/>
        </w:rPr>
        <w:t>2024</w:t>
      </w:r>
      <w:r w:rsidR="001918DC" w:rsidRPr="00D74433">
        <w:rPr>
          <w:rFonts w:ascii="Arial" w:hAnsi="Arial" w:cs="Arial"/>
          <w:b/>
          <w:bCs/>
          <w:szCs w:val="22"/>
        </w:rPr>
        <w:t>)</w:t>
      </w:r>
      <w:r w:rsidR="009A6EB1" w:rsidRPr="00D74433">
        <w:rPr>
          <w:rFonts w:ascii="Arial" w:hAnsi="Arial" w:cs="Arial"/>
          <w:b/>
          <w:bCs/>
          <w:szCs w:val="22"/>
        </w:rPr>
        <w:t>.</w:t>
      </w:r>
    </w:p>
    <w:p w14:paraId="0825DDE7" w14:textId="0B0800C2" w:rsidR="009A6EB1" w:rsidRDefault="009A6EB1" w:rsidP="003A6EF4">
      <w:pPr>
        <w:pStyle w:val="Heading3"/>
        <w:jc w:val="both"/>
        <w:rPr>
          <w:rFonts w:ascii="Arial" w:hAnsi="Arial" w:cs="Arial"/>
          <w:szCs w:val="22"/>
        </w:rPr>
      </w:pPr>
      <w:bookmarkStart w:id="5" w:name="_Toc224467931"/>
      <w:r w:rsidRPr="000B44C3">
        <w:rPr>
          <w:rFonts w:ascii="Arial" w:hAnsi="Arial" w:cs="Arial"/>
          <w:szCs w:val="22"/>
        </w:rPr>
        <w:t>Recommendations</w:t>
      </w:r>
      <w:bookmarkEnd w:id="5"/>
    </w:p>
    <w:p w14:paraId="5BB6F433" w14:textId="4E4545FE" w:rsidR="009A6EB1" w:rsidRPr="000B44C3" w:rsidRDefault="004A795B" w:rsidP="003A6EF4">
      <w:pPr>
        <w:jc w:val="both"/>
        <w:rPr>
          <w:rFonts w:ascii="Arial" w:hAnsi="Arial" w:cs="Arial"/>
          <w:szCs w:val="22"/>
        </w:rPr>
      </w:pPr>
      <w:r>
        <w:t>To address the global challenges in meeting SDG it is recommended to i</w:t>
      </w:r>
      <w:r w:rsidR="009A6EB1" w:rsidRPr="000B44C3">
        <w:rPr>
          <w:rStyle w:val="Strong"/>
          <w:rFonts w:ascii="Arial" w:eastAsiaTheme="majorEastAsia" w:hAnsi="Arial" w:cs="Arial"/>
          <w:b w:val="0"/>
          <w:bCs w:val="0"/>
          <w:szCs w:val="22"/>
        </w:rPr>
        <w:t>ntegrate urban planning and health</w:t>
      </w:r>
      <w:r w:rsidR="009A6EB1" w:rsidRPr="000B44C3">
        <w:rPr>
          <w:rFonts w:ascii="Arial" w:hAnsi="Arial" w:cs="Arial"/>
          <w:szCs w:val="22"/>
        </w:rPr>
        <w:t xml:space="preserve"> via “Health in All Policies” governance: embed SDG 3 targets into transport, housing and economic plans; align budgets across sectors (so prevention is not optional)</w:t>
      </w:r>
      <w:r w:rsidR="00E96DAF" w:rsidRPr="000B44C3">
        <w:rPr>
          <w:rFonts w:ascii="Arial" w:hAnsi="Arial" w:cs="Arial"/>
          <w:szCs w:val="22"/>
        </w:rPr>
        <w:t xml:space="preserve"> </w:t>
      </w:r>
      <w:r w:rsidR="00EA7E50" w:rsidRPr="000B44C3">
        <w:rPr>
          <w:rFonts w:ascii="Arial" w:hAnsi="Arial" w:cs="Arial"/>
          <w:szCs w:val="22"/>
        </w:rPr>
        <w:t xml:space="preserve">(Ramirez-Rubio </w:t>
      </w:r>
      <w:r w:rsidR="00EA7E50" w:rsidRPr="000B44C3">
        <w:rPr>
          <w:rFonts w:ascii="Arial" w:hAnsi="Arial" w:cs="Arial"/>
          <w:i/>
          <w:iCs/>
          <w:szCs w:val="22"/>
        </w:rPr>
        <w:t>et al.</w:t>
      </w:r>
      <w:r w:rsidR="00EA7E50" w:rsidRPr="000B44C3">
        <w:rPr>
          <w:rFonts w:ascii="Arial" w:hAnsi="Arial" w:cs="Arial"/>
          <w:szCs w:val="22"/>
        </w:rPr>
        <w:t>, 2019)</w:t>
      </w:r>
      <w:r w:rsidR="009A6EB1" w:rsidRPr="000B44C3">
        <w:rPr>
          <w:rFonts w:ascii="Arial" w:hAnsi="Arial" w:cs="Arial"/>
          <w:szCs w:val="22"/>
        </w:rPr>
        <w:t>.</w:t>
      </w:r>
      <w:r>
        <w:rPr>
          <w:rFonts w:ascii="Arial" w:hAnsi="Arial" w:cs="Arial"/>
          <w:szCs w:val="22"/>
        </w:rPr>
        <w:t xml:space="preserve"> Moreover, s</w:t>
      </w:r>
      <w:r w:rsidR="009A6EB1" w:rsidRPr="000B44C3">
        <w:rPr>
          <w:rStyle w:val="Strong"/>
          <w:rFonts w:ascii="Arial" w:eastAsiaTheme="majorEastAsia" w:hAnsi="Arial" w:cs="Arial"/>
          <w:b w:val="0"/>
          <w:bCs w:val="0"/>
          <w:szCs w:val="22"/>
        </w:rPr>
        <w:t>hift from lifestyle messaging to structural levers</w:t>
      </w:r>
      <w:r w:rsidR="00F61A44" w:rsidRPr="000B44C3">
        <w:rPr>
          <w:rFonts w:ascii="Arial" w:hAnsi="Arial" w:cs="Arial"/>
          <w:szCs w:val="22"/>
        </w:rPr>
        <w:t xml:space="preserve"> and</w:t>
      </w:r>
      <w:r w:rsidR="009A6EB1" w:rsidRPr="000B44C3">
        <w:rPr>
          <w:rFonts w:ascii="Arial" w:hAnsi="Arial" w:cs="Arial"/>
          <w:szCs w:val="22"/>
        </w:rPr>
        <w:t xml:space="preserve"> scale best buys</w:t>
      </w:r>
      <w:r w:rsidR="00F61A44" w:rsidRPr="000B44C3">
        <w:rPr>
          <w:rFonts w:ascii="Arial" w:hAnsi="Arial" w:cs="Arial"/>
          <w:szCs w:val="22"/>
        </w:rPr>
        <w:t xml:space="preserve"> like </w:t>
      </w:r>
      <w:r w:rsidR="009A6EB1" w:rsidRPr="000B44C3">
        <w:rPr>
          <w:rFonts w:ascii="Arial" w:hAnsi="Arial" w:cs="Arial"/>
          <w:szCs w:val="22"/>
        </w:rPr>
        <w:t>pricing, marketing restrictions, procurement standards alongside targeted support for high-risk groups, to reduce inequalities</w:t>
      </w:r>
      <w:r>
        <w:rPr>
          <w:rFonts w:ascii="Arial" w:hAnsi="Arial" w:cs="Arial"/>
          <w:szCs w:val="22"/>
        </w:rPr>
        <w:t xml:space="preserve">. </w:t>
      </w:r>
      <w:r w:rsidR="009A6EB1" w:rsidRPr="000B44C3">
        <w:rPr>
          <w:rStyle w:val="Strong"/>
          <w:rFonts w:ascii="Arial" w:eastAsiaTheme="majorEastAsia" w:hAnsi="Arial" w:cs="Arial"/>
          <w:b w:val="0"/>
          <w:bCs w:val="0"/>
          <w:szCs w:val="22"/>
        </w:rPr>
        <w:t>Build evaluation into delivery</w:t>
      </w:r>
      <w:r w:rsidR="009A6EB1" w:rsidRPr="000B44C3">
        <w:rPr>
          <w:rFonts w:ascii="Arial" w:hAnsi="Arial" w:cs="Arial"/>
          <w:szCs w:val="22"/>
        </w:rPr>
        <w:t xml:space="preserve"> for active travel and obesity initiatives</w:t>
      </w:r>
      <w:r w:rsidR="00402505" w:rsidRPr="000B44C3">
        <w:rPr>
          <w:rFonts w:ascii="Arial" w:hAnsi="Arial" w:cs="Arial"/>
          <w:szCs w:val="22"/>
        </w:rPr>
        <w:t xml:space="preserve"> and implement</w:t>
      </w:r>
      <w:r w:rsidR="009A6EB1" w:rsidRPr="000B44C3">
        <w:rPr>
          <w:rFonts w:ascii="Arial" w:hAnsi="Arial" w:cs="Arial"/>
          <w:szCs w:val="22"/>
        </w:rPr>
        <w:t xml:space="preserve"> routine equity-focused monitoring (by deprivation, gender, disability) and long-term funding to sustain networks rather than one-off schemes</w:t>
      </w:r>
      <w:r w:rsidR="006A0326" w:rsidRPr="000B44C3">
        <w:rPr>
          <w:rFonts w:ascii="Arial" w:hAnsi="Arial" w:cs="Arial"/>
          <w:szCs w:val="22"/>
        </w:rPr>
        <w:t xml:space="preserve"> (</w:t>
      </w:r>
      <w:proofErr w:type="spellStart"/>
      <w:r w:rsidR="006A0326" w:rsidRPr="000B44C3">
        <w:rPr>
          <w:rFonts w:ascii="Arial" w:hAnsi="Arial" w:cs="Arial"/>
          <w:szCs w:val="22"/>
        </w:rPr>
        <w:t>Razmara</w:t>
      </w:r>
      <w:proofErr w:type="spellEnd"/>
      <w:r w:rsidR="006A0326" w:rsidRPr="000B44C3">
        <w:rPr>
          <w:rFonts w:ascii="Arial" w:hAnsi="Arial" w:cs="Arial"/>
          <w:szCs w:val="22"/>
        </w:rPr>
        <w:t xml:space="preserve"> </w:t>
      </w:r>
      <w:r w:rsidR="006A0326" w:rsidRPr="000B44C3">
        <w:rPr>
          <w:rFonts w:ascii="Arial" w:hAnsi="Arial" w:cs="Arial"/>
          <w:i/>
          <w:iCs/>
          <w:szCs w:val="22"/>
        </w:rPr>
        <w:t>et al.</w:t>
      </w:r>
      <w:r w:rsidR="006A0326" w:rsidRPr="000B44C3">
        <w:rPr>
          <w:rFonts w:ascii="Arial" w:hAnsi="Arial" w:cs="Arial"/>
          <w:szCs w:val="22"/>
        </w:rPr>
        <w:t>, 2018)</w:t>
      </w:r>
    </w:p>
    <w:p w14:paraId="1EADEEF1" w14:textId="1121F162" w:rsidR="009A6EB1" w:rsidRPr="000B44C3" w:rsidRDefault="009A6EB1" w:rsidP="00241CCC">
      <w:pPr>
        <w:pStyle w:val="Heading1"/>
      </w:pPr>
      <w:bookmarkStart w:id="6" w:name="_Toc224467932"/>
      <w:r w:rsidRPr="000B44C3">
        <w:t>Section 2: SDG 11</w:t>
      </w:r>
      <w:r w:rsidR="00FB062C">
        <w:t xml:space="preserve">: </w:t>
      </w:r>
      <w:r w:rsidRPr="000B44C3">
        <w:t>Sustainable Cities and Communities</w:t>
      </w:r>
      <w:bookmarkEnd w:id="6"/>
      <w:r w:rsidRPr="000B44C3">
        <w:t xml:space="preserve"> </w:t>
      </w:r>
    </w:p>
    <w:p w14:paraId="11B452B8" w14:textId="0D2ED23C" w:rsidR="009A6EB1" w:rsidRPr="000B44C3" w:rsidRDefault="009A6EB1" w:rsidP="000B44C3">
      <w:pPr>
        <w:pStyle w:val="NormalWeb"/>
        <w:spacing w:line="360" w:lineRule="auto"/>
        <w:jc w:val="both"/>
        <w:rPr>
          <w:rFonts w:ascii="Arial" w:hAnsi="Arial" w:cs="Arial"/>
          <w:szCs w:val="22"/>
        </w:rPr>
      </w:pPr>
      <w:r w:rsidRPr="000B44C3">
        <w:rPr>
          <w:rFonts w:ascii="Arial" w:hAnsi="Arial" w:cs="Arial"/>
          <w:szCs w:val="22"/>
        </w:rPr>
        <w:t xml:space="preserve">SDG 11 seeks to make cities inclusive, safe, resilient and sustainable, covering housing, transport, participatory planning, disaster risk reduction, and protection of cultural/natural assets. SDG 11 is therefore a </w:t>
      </w:r>
      <w:r w:rsidRPr="000B44C3">
        <w:rPr>
          <w:rStyle w:val="Emphasis"/>
          <w:rFonts w:ascii="Arial" w:eastAsiaTheme="majorEastAsia" w:hAnsi="Arial" w:cs="Arial"/>
          <w:i w:val="0"/>
          <w:iCs w:val="0"/>
          <w:szCs w:val="22"/>
        </w:rPr>
        <w:t>health policy</w:t>
      </w:r>
      <w:r w:rsidRPr="000B44C3">
        <w:rPr>
          <w:rFonts w:ascii="Arial" w:hAnsi="Arial" w:cs="Arial"/>
          <w:szCs w:val="22"/>
        </w:rPr>
        <w:t xml:space="preserve"> in disguise: it shapes exposure to pollution, injury risk, heat, social isolation, and access to green space</w:t>
      </w:r>
      <w:r w:rsidR="009D4240" w:rsidRPr="000B44C3">
        <w:rPr>
          <w:rFonts w:ascii="Arial" w:hAnsi="Arial" w:cs="Arial"/>
          <w:szCs w:val="22"/>
        </w:rPr>
        <w:t xml:space="preserve"> which are </w:t>
      </w:r>
      <w:r w:rsidRPr="000B44C3">
        <w:rPr>
          <w:rFonts w:ascii="Arial" w:hAnsi="Arial" w:cs="Arial"/>
          <w:szCs w:val="22"/>
        </w:rPr>
        <w:t>core determinants of SDG 3 outcomes</w:t>
      </w:r>
      <w:r w:rsidR="005D3537" w:rsidRPr="000B44C3">
        <w:rPr>
          <w:rFonts w:ascii="Arial" w:hAnsi="Arial" w:cs="Arial"/>
          <w:szCs w:val="22"/>
        </w:rPr>
        <w:t xml:space="preserve"> (United Nations, 2025)</w:t>
      </w:r>
      <w:r w:rsidRPr="000B44C3">
        <w:rPr>
          <w:rFonts w:ascii="Arial" w:hAnsi="Arial" w:cs="Arial"/>
          <w:szCs w:val="22"/>
        </w:rPr>
        <w:t>.</w:t>
      </w:r>
    </w:p>
    <w:p w14:paraId="4DD6150A" w14:textId="059565DD" w:rsidR="009A6EB1" w:rsidRPr="000B44C3" w:rsidRDefault="009A6EB1" w:rsidP="000B44C3">
      <w:pPr>
        <w:pStyle w:val="Heading3"/>
        <w:jc w:val="both"/>
        <w:rPr>
          <w:rFonts w:ascii="Arial" w:hAnsi="Arial" w:cs="Arial"/>
          <w:szCs w:val="22"/>
        </w:rPr>
      </w:pPr>
      <w:bookmarkStart w:id="7" w:name="_Toc224467933"/>
      <w:r w:rsidRPr="000B44C3">
        <w:rPr>
          <w:rFonts w:ascii="Arial" w:hAnsi="Arial" w:cs="Arial"/>
          <w:szCs w:val="22"/>
        </w:rPr>
        <w:t>UN-Habitat New Urban Agenda</w:t>
      </w:r>
      <w:bookmarkEnd w:id="7"/>
      <w:r w:rsidRPr="000B44C3">
        <w:rPr>
          <w:rFonts w:ascii="Arial" w:hAnsi="Arial" w:cs="Arial"/>
          <w:szCs w:val="22"/>
        </w:rPr>
        <w:t xml:space="preserve"> </w:t>
      </w:r>
    </w:p>
    <w:p w14:paraId="29F53541" w14:textId="45005D6F" w:rsidR="0007403D" w:rsidRPr="0007403D" w:rsidRDefault="009A6EB1" w:rsidP="00933D88">
      <w:pPr>
        <w:pStyle w:val="NormalWeb"/>
        <w:spacing w:line="360" w:lineRule="auto"/>
        <w:jc w:val="both"/>
        <w:rPr>
          <w:rFonts w:ascii="Arial" w:hAnsi="Arial" w:cs="Arial"/>
          <w:szCs w:val="22"/>
        </w:rPr>
      </w:pPr>
      <w:r w:rsidRPr="000B44C3">
        <w:rPr>
          <w:rFonts w:ascii="Arial" w:hAnsi="Arial" w:cs="Arial"/>
          <w:szCs w:val="22"/>
        </w:rPr>
        <w:t xml:space="preserve">The </w:t>
      </w:r>
      <w:r w:rsidRPr="000B44C3">
        <w:rPr>
          <w:rStyle w:val="Strong"/>
          <w:rFonts w:ascii="Arial" w:eastAsiaTheme="majorEastAsia" w:hAnsi="Arial" w:cs="Arial"/>
          <w:szCs w:val="22"/>
        </w:rPr>
        <w:t>New Urban Agenda</w:t>
      </w:r>
      <w:r w:rsidRPr="000B44C3">
        <w:rPr>
          <w:rFonts w:ascii="Arial" w:hAnsi="Arial" w:cs="Arial"/>
          <w:szCs w:val="22"/>
        </w:rPr>
        <w:t xml:space="preserve"> (Habitat III, 2016) sets a normative </w:t>
      </w:r>
      <w:r w:rsidR="00247081">
        <w:rPr>
          <w:rFonts w:ascii="Arial" w:hAnsi="Arial" w:cs="Arial"/>
          <w:szCs w:val="22"/>
        </w:rPr>
        <w:t xml:space="preserve">global </w:t>
      </w:r>
      <w:r w:rsidRPr="000B44C3">
        <w:rPr>
          <w:rFonts w:ascii="Arial" w:hAnsi="Arial" w:cs="Arial"/>
          <w:szCs w:val="22"/>
        </w:rPr>
        <w:t xml:space="preserve">framework for integrated planning, sustainable mobility, and inclusive urbanisation. </w:t>
      </w:r>
      <w:r w:rsidR="006D1754" w:rsidRPr="000B44C3">
        <w:rPr>
          <w:rFonts w:ascii="Arial" w:hAnsi="Arial" w:cs="Arial"/>
          <w:szCs w:val="22"/>
        </w:rPr>
        <w:t>I</w:t>
      </w:r>
      <w:r w:rsidRPr="000B44C3">
        <w:rPr>
          <w:rFonts w:ascii="Arial" w:hAnsi="Arial" w:cs="Arial"/>
          <w:szCs w:val="22"/>
        </w:rPr>
        <w:t>ts value lies in agenda-setting: it legitimises cross-sector approaches (planning–health–climate) and encourages participation</w:t>
      </w:r>
      <w:r w:rsidR="00C8572F" w:rsidRPr="000B44C3">
        <w:rPr>
          <w:rFonts w:ascii="Arial" w:hAnsi="Arial" w:cs="Arial"/>
          <w:szCs w:val="22"/>
        </w:rPr>
        <w:t xml:space="preserve"> (UN Habitat, 2020)</w:t>
      </w:r>
      <w:r w:rsidRPr="000B44C3">
        <w:rPr>
          <w:rFonts w:ascii="Arial" w:hAnsi="Arial" w:cs="Arial"/>
          <w:szCs w:val="22"/>
        </w:rPr>
        <w:t xml:space="preserve">. </w:t>
      </w:r>
      <w:r w:rsidR="0007403D" w:rsidRPr="0007403D">
        <w:rPr>
          <w:rFonts w:ascii="Arial" w:hAnsi="Arial" w:cs="Arial"/>
          <w:szCs w:val="22"/>
        </w:rPr>
        <w:t xml:space="preserve">The key constraint however is governance: it is mostly non-binding, dependent on national/local political goodwill, and it may be severely constrained by funding and capacity in swifter growing cities such as Lagos and Dhaka. UN-Habitat reports on progress show unbalanced implementation and resource disparities, which reflects structural difficulty in converting international obligations into local enforceable delivery. Practically, cities may embrace the vocabulary of sustainability without stopping car-driven development, neglecting informal settlements, and unequal service delivery that leads to </w:t>
      </w:r>
      <w:proofErr w:type="spellStart"/>
      <w:r w:rsidR="0007403D" w:rsidRPr="0007403D">
        <w:rPr>
          <w:rFonts w:ascii="Arial" w:hAnsi="Arial" w:cs="Arial"/>
          <w:szCs w:val="22"/>
        </w:rPr>
        <w:t>policyimplementation</w:t>
      </w:r>
      <w:proofErr w:type="spellEnd"/>
      <w:r w:rsidR="0007403D" w:rsidRPr="0007403D">
        <w:rPr>
          <w:rFonts w:ascii="Arial" w:hAnsi="Arial" w:cs="Arial"/>
          <w:szCs w:val="22"/>
        </w:rPr>
        <w:t xml:space="preserve"> </w:t>
      </w:r>
      <w:proofErr w:type="spellStart"/>
      <w:r w:rsidR="0007403D" w:rsidRPr="0007403D">
        <w:rPr>
          <w:rFonts w:ascii="Arial" w:hAnsi="Arial" w:cs="Arial"/>
          <w:szCs w:val="22"/>
        </w:rPr>
        <w:t>disjunctures</w:t>
      </w:r>
      <w:proofErr w:type="spellEnd"/>
      <w:r w:rsidR="0007403D" w:rsidRPr="0007403D">
        <w:rPr>
          <w:rFonts w:ascii="Arial" w:hAnsi="Arial" w:cs="Arial"/>
          <w:szCs w:val="22"/>
        </w:rPr>
        <w:t xml:space="preserve"> (UN Habitat, 2023).</w:t>
      </w:r>
    </w:p>
    <w:p w14:paraId="6775F65E" w14:textId="4DAE8E83" w:rsidR="009A6EB1" w:rsidRPr="000B44C3" w:rsidRDefault="0007403D" w:rsidP="00933D88">
      <w:pPr>
        <w:pStyle w:val="NormalWeb"/>
        <w:spacing w:line="360" w:lineRule="auto"/>
        <w:jc w:val="both"/>
        <w:rPr>
          <w:rFonts w:ascii="Arial" w:hAnsi="Arial" w:cs="Arial"/>
          <w:szCs w:val="22"/>
        </w:rPr>
      </w:pPr>
      <w:r w:rsidRPr="0007403D">
        <w:rPr>
          <w:rFonts w:ascii="Arial" w:hAnsi="Arial" w:cs="Arial"/>
          <w:szCs w:val="22"/>
        </w:rPr>
        <w:t>In terms of Built Environment Theory, the implications of the New Urban Agenda are therefore correct: the form of cities determines behaviour and exposure (e.g. density, mixed use, street connectivity). However, in the absence of quantifiable responsibility (targets, enforcement instruments), it is unclear how the route between ambition and less pollution or better welfare is traversed</w:t>
      </w:r>
      <w:r>
        <w:rPr>
          <w:rFonts w:ascii="Arial" w:hAnsi="Arial" w:cs="Arial"/>
          <w:szCs w:val="22"/>
        </w:rPr>
        <w:t xml:space="preserve"> </w:t>
      </w:r>
      <w:r w:rsidR="00A506FB" w:rsidRPr="000B44C3">
        <w:rPr>
          <w:rFonts w:ascii="Arial" w:hAnsi="Arial" w:cs="Arial"/>
          <w:szCs w:val="22"/>
        </w:rPr>
        <w:t>(</w:t>
      </w:r>
      <w:proofErr w:type="spellStart"/>
      <w:r w:rsidR="00A506FB" w:rsidRPr="000B44C3">
        <w:rPr>
          <w:rFonts w:ascii="Arial" w:hAnsi="Arial" w:cs="Arial"/>
          <w:szCs w:val="22"/>
        </w:rPr>
        <w:t>Nesmachnow</w:t>
      </w:r>
      <w:proofErr w:type="spellEnd"/>
      <w:r w:rsidR="00A506FB" w:rsidRPr="000B44C3">
        <w:rPr>
          <w:rFonts w:ascii="Arial" w:hAnsi="Arial" w:cs="Arial"/>
          <w:szCs w:val="22"/>
        </w:rPr>
        <w:t xml:space="preserve"> and </w:t>
      </w:r>
      <w:proofErr w:type="spellStart"/>
      <w:r w:rsidR="00A506FB" w:rsidRPr="000B44C3">
        <w:rPr>
          <w:rFonts w:ascii="Arial" w:hAnsi="Arial" w:cs="Arial"/>
          <w:szCs w:val="22"/>
        </w:rPr>
        <w:t>Callejo</w:t>
      </w:r>
      <w:proofErr w:type="spellEnd"/>
      <w:r w:rsidR="00A506FB" w:rsidRPr="000B44C3">
        <w:rPr>
          <w:rFonts w:ascii="Arial" w:hAnsi="Arial" w:cs="Arial"/>
          <w:szCs w:val="22"/>
        </w:rPr>
        <w:t>, 2025)</w:t>
      </w:r>
      <w:r w:rsidR="009A6EB1" w:rsidRPr="000B44C3">
        <w:rPr>
          <w:rFonts w:ascii="Arial" w:hAnsi="Arial" w:cs="Arial"/>
          <w:szCs w:val="22"/>
        </w:rPr>
        <w:t>.</w:t>
      </w:r>
    </w:p>
    <w:p w14:paraId="337959FA" w14:textId="347DF41A" w:rsidR="009A6EB1" w:rsidRDefault="009A6EB1" w:rsidP="000B44C3">
      <w:pPr>
        <w:pStyle w:val="Heading3"/>
        <w:jc w:val="both"/>
        <w:rPr>
          <w:rFonts w:ascii="Arial" w:hAnsi="Arial" w:cs="Arial"/>
          <w:szCs w:val="22"/>
        </w:rPr>
      </w:pPr>
      <w:bookmarkStart w:id="8" w:name="_Toc224467934"/>
      <w:r w:rsidRPr="000B44C3">
        <w:rPr>
          <w:rFonts w:ascii="Arial" w:hAnsi="Arial" w:cs="Arial"/>
          <w:szCs w:val="22"/>
        </w:rPr>
        <w:t>UK</w:t>
      </w:r>
      <w:r w:rsidR="00F4568C" w:rsidRPr="000B44C3">
        <w:rPr>
          <w:rFonts w:ascii="Arial" w:hAnsi="Arial" w:cs="Arial"/>
          <w:szCs w:val="22"/>
        </w:rPr>
        <w:t xml:space="preserve"> </w:t>
      </w:r>
      <w:r w:rsidRPr="000B44C3">
        <w:rPr>
          <w:rFonts w:ascii="Arial" w:hAnsi="Arial" w:cs="Arial"/>
          <w:szCs w:val="22"/>
        </w:rPr>
        <w:t>Clean Air Zones</w:t>
      </w:r>
      <w:bookmarkEnd w:id="8"/>
      <w:r w:rsidRPr="000B44C3">
        <w:rPr>
          <w:rFonts w:ascii="Arial" w:hAnsi="Arial" w:cs="Arial"/>
          <w:szCs w:val="22"/>
        </w:rPr>
        <w:t xml:space="preserve"> </w:t>
      </w:r>
    </w:p>
    <w:p w14:paraId="66315D66" w14:textId="1C325341" w:rsidR="00EC2E27" w:rsidRPr="003A6EF4" w:rsidRDefault="00EC2E27" w:rsidP="003A6EF4">
      <w:pPr>
        <w:pStyle w:val="NormalWeb"/>
        <w:spacing w:line="360" w:lineRule="auto"/>
        <w:jc w:val="both"/>
        <w:rPr>
          <w:rFonts w:ascii="Arial" w:hAnsi="Arial" w:cs="Arial"/>
        </w:rPr>
      </w:pPr>
      <w:r w:rsidRPr="003A6EF4">
        <w:rPr>
          <w:rFonts w:ascii="Arial" w:hAnsi="Arial" w:cs="Arial"/>
        </w:rPr>
        <w:t xml:space="preserve">SDG 11 is operationalised through Clean Air Zones (CAZs) and related low-emission policies that reduce transport-generated pollution and deliver direct SDG 3 co-benefits for health and wellbeing. Evidence from London’s expanded ULEZ shows that </w:t>
      </w:r>
      <w:r w:rsidRPr="00411233">
        <w:rPr>
          <w:rStyle w:val="Strong"/>
          <w:rFonts w:ascii="Arial" w:eastAsiaTheme="majorEastAsia" w:hAnsi="Arial" w:cs="Arial"/>
          <w:b w:val="0"/>
          <w:bCs w:val="0"/>
        </w:rPr>
        <w:t>nitrogen oxides emissions were 27% lower than they would have been without the scheme</w:t>
      </w:r>
      <w:r w:rsidRPr="003A6EF4">
        <w:rPr>
          <w:rFonts w:ascii="Arial" w:hAnsi="Arial" w:cs="Arial"/>
        </w:rPr>
        <w:t>, a meaningful public-health gain because NO</w:t>
      </w:r>
      <w:r w:rsidRPr="003A6EF4">
        <w:rPr>
          <w:rFonts w:ascii="Cambria Math" w:hAnsi="Cambria Math" w:cs="Cambria Math"/>
        </w:rPr>
        <w:t>₂</w:t>
      </w:r>
      <w:r w:rsidRPr="003A6EF4">
        <w:rPr>
          <w:rFonts w:ascii="Arial" w:hAnsi="Arial" w:cs="Arial"/>
        </w:rPr>
        <w:t xml:space="preserve"> is associated with asthma exacerbation, impaired lung development and higher cardiovascular and cancer risk</w:t>
      </w:r>
      <w:r w:rsidR="00E30A60" w:rsidRPr="003A6EF4">
        <w:rPr>
          <w:rFonts w:ascii="Arial" w:hAnsi="Arial" w:cs="Arial"/>
        </w:rPr>
        <w:t xml:space="preserve"> </w:t>
      </w:r>
      <w:r w:rsidR="00FF48EB" w:rsidRPr="003A6EF4">
        <w:rPr>
          <w:rFonts w:ascii="Arial" w:hAnsi="Arial" w:cs="Arial"/>
          <w:szCs w:val="22"/>
        </w:rPr>
        <w:t>(London Assembly, 2025)</w:t>
      </w:r>
      <w:r w:rsidRPr="003A6EF4">
        <w:rPr>
          <w:rFonts w:ascii="Arial" w:hAnsi="Arial" w:cs="Arial"/>
        </w:rPr>
        <w:t xml:space="preserve">. </w:t>
      </w:r>
      <w:proofErr w:type="spellStart"/>
      <w:r w:rsidRPr="003A6EF4">
        <w:rPr>
          <w:rFonts w:ascii="Arial" w:hAnsi="Arial" w:cs="Arial"/>
        </w:rPr>
        <w:t>Mebrahtu</w:t>
      </w:r>
      <w:proofErr w:type="spellEnd"/>
      <w:r w:rsidRPr="003A6EF4">
        <w:rPr>
          <w:rFonts w:ascii="Arial" w:hAnsi="Arial" w:cs="Arial"/>
        </w:rPr>
        <w:t xml:space="preserve"> et al. (2025) similarly argue that Bradford’s clean air plan, including its CAZ, can generate measurable NOx reductions, although population-health improvements may take longer to appear. The main limitation is distributive: where alternatives are weak, charges may burden lower-income drivers. Environmental justice therefore requires CAZs to be paired with affordable public transport, scrappage support and active-travel options so that they are experienced as health-protective rather than punitive.</w:t>
      </w:r>
    </w:p>
    <w:p w14:paraId="324B5A07" w14:textId="77777777" w:rsidR="00EC2E27" w:rsidRPr="00EC2E27" w:rsidRDefault="00EC2E27" w:rsidP="00EC2E27"/>
    <w:p w14:paraId="4FD66E7D" w14:textId="77777777" w:rsidR="000F0AF6" w:rsidRDefault="000F0AF6" w:rsidP="000F0AF6">
      <w:pPr>
        <w:pStyle w:val="NormalWeb"/>
        <w:keepNext/>
        <w:spacing w:line="360" w:lineRule="auto"/>
        <w:jc w:val="center"/>
      </w:pPr>
      <w:r>
        <w:fldChar w:fldCharType="begin"/>
      </w:r>
      <w:r>
        <w:instrText xml:space="preserve"> INCLUDEPICTURE "https://eu-west-2-vertu.graphassets.com/cm92it54301f707ns4y4t66eo/resize=width:800/auto_image/cmdzvpjog370008mlmo4v9cux" \* MERGEFORMATINET </w:instrText>
      </w:r>
      <w:r>
        <w:fldChar w:fldCharType="separate"/>
      </w:r>
      <w:r>
        <w:rPr>
          <w:noProof/>
        </w:rPr>
        <w:drawing>
          <wp:inline distT="0" distB="0" distL="0" distR="0" wp14:anchorId="663F22CC" wp14:editId="71A18C95">
            <wp:extent cx="4919660" cy="3074106"/>
            <wp:effectExtent l="0" t="0" r="0" b="0"/>
            <wp:docPr id="1805714834" name="Picture 1" descr="Navigating Low Emission and Clean Air Zones: A Guide for UK Drivers| Ver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avigating Low Emission and Clean Air Zones: A Guide for UK Drivers| Vertu"/>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25502" cy="3077757"/>
                    </a:xfrm>
                    <a:prstGeom prst="rect">
                      <a:avLst/>
                    </a:prstGeom>
                    <a:noFill/>
                    <a:ln>
                      <a:noFill/>
                    </a:ln>
                  </pic:spPr>
                </pic:pic>
              </a:graphicData>
            </a:graphic>
          </wp:inline>
        </w:drawing>
      </w:r>
      <w:r>
        <w:fldChar w:fldCharType="end"/>
      </w:r>
    </w:p>
    <w:p w14:paraId="38C82EEA" w14:textId="48D70FAF" w:rsidR="000F0AF6" w:rsidRPr="000F0AF6" w:rsidRDefault="000F0AF6" w:rsidP="000F0AF6">
      <w:pPr>
        <w:pStyle w:val="Caption"/>
        <w:jc w:val="center"/>
        <w:rPr>
          <w:rFonts w:ascii="Arial" w:hAnsi="Arial" w:cs="Arial"/>
        </w:rPr>
      </w:pPr>
      <w:r w:rsidRPr="000F0AF6">
        <w:t xml:space="preserve">Figure </w:t>
      </w:r>
      <w:r>
        <w:fldChar w:fldCharType="begin"/>
      </w:r>
      <w:r>
        <w:instrText xml:space="preserve"> SEQ Figure \* ARABIC </w:instrText>
      </w:r>
      <w:r>
        <w:fldChar w:fldCharType="separate"/>
      </w:r>
      <w:r w:rsidRPr="000F0AF6">
        <w:rPr>
          <w:noProof/>
        </w:rPr>
        <w:t>2</w:t>
      </w:r>
      <w:r>
        <w:rPr>
          <w:noProof/>
        </w:rPr>
        <w:fldChar w:fldCharType="end"/>
      </w:r>
      <w:r w:rsidRPr="000F0AF6">
        <w:t>: Clean Air Zones in UK</w:t>
      </w:r>
      <w:r w:rsidRPr="000F0AF6">
        <w:rPr>
          <w:rFonts w:ascii="Arial" w:hAnsi="Arial" w:cs="Arial"/>
        </w:rPr>
        <w:t xml:space="preserve"> (Brookes, 2021)</w:t>
      </w:r>
    </w:p>
    <w:p w14:paraId="5B6BC006" w14:textId="77C58B21" w:rsidR="009A6EB1" w:rsidRDefault="009E27A2" w:rsidP="000B44C3">
      <w:pPr>
        <w:pStyle w:val="NormalWeb"/>
        <w:spacing w:line="360" w:lineRule="auto"/>
        <w:jc w:val="both"/>
        <w:rPr>
          <w:rFonts w:ascii="Arial" w:hAnsi="Arial" w:cs="Arial"/>
          <w:szCs w:val="22"/>
        </w:rPr>
      </w:pPr>
      <w:r w:rsidRPr="009E27A2">
        <w:rPr>
          <w:rFonts w:ascii="Arial" w:hAnsi="Arial" w:cs="Arial"/>
          <w:szCs w:val="22"/>
        </w:rPr>
        <w:t>The Levelling Up agenda acknowledges geographical disparities in wellbeing and has missions based on local outcomes, and annual reporting of progress (</w:t>
      </w:r>
      <w:proofErr w:type="spellStart"/>
      <w:r w:rsidRPr="009E27A2">
        <w:rPr>
          <w:rFonts w:ascii="Arial" w:hAnsi="Arial" w:cs="Arial"/>
          <w:szCs w:val="22"/>
        </w:rPr>
        <w:t>Gov</w:t>
      </w:r>
      <w:proofErr w:type="spellEnd"/>
      <w:r w:rsidRPr="009E27A2">
        <w:rPr>
          <w:rFonts w:ascii="Arial" w:hAnsi="Arial" w:cs="Arial"/>
          <w:szCs w:val="22"/>
        </w:rPr>
        <w:t xml:space="preserve"> UK, 2025). This can assist in making cities healthier with investments in place, skills, and infrastructure in SDG terms. Nevertheless, critics outline instability of governance and policy turnover: should missions, metrics, or legislation be changed, long-term urban health planning becomes more difficult. In the perspective of Social Ecological Model, a long-term change cannot be made through a short funding cycle but through a stable upstream investment (housing quality, transport access, green space)</w:t>
      </w:r>
      <w:r>
        <w:rPr>
          <w:rFonts w:ascii="Arial" w:hAnsi="Arial" w:cs="Arial"/>
          <w:szCs w:val="22"/>
        </w:rPr>
        <w:t xml:space="preserve"> </w:t>
      </w:r>
      <w:r w:rsidR="0052624A" w:rsidRPr="000B44C3">
        <w:rPr>
          <w:rFonts w:ascii="Arial" w:hAnsi="Arial" w:cs="Arial"/>
          <w:szCs w:val="22"/>
        </w:rPr>
        <w:t xml:space="preserve">(Vardoulakis </w:t>
      </w:r>
      <w:r w:rsidR="0052624A" w:rsidRPr="000B44C3">
        <w:rPr>
          <w:rFonts w:ascii="Arial" w:hAnsi="Arial" w:cs="Arial"/>
          <w:i/>
          <w:iCs/>
          <w:szCs w:val="22"/>
        </w:rPr>
        <w:t>et al.</w:t>
      </w:r>
      <w:r w:rsidR="0052624A" w:rsidRPr="000B44C3">
        <w:rPr>
          <w:rFonts w:ascii="Arial" w:hAnsi="Arial" w:cs="Arial"/>
          <w:szCs w:val="22"/>
        </w:rPr>
        <w:t>, 2020)</w:t>
      </w:r>
      <w:r w:rsidR="009A6EB1" w:rsidRPr="000B44C3">
        <w:rPr>
          <w:rFonts w:ascii="Arial" w:hAnsi="Arial" w:cs="Arial"/>
          <w:szCs w:val="22"/>
        </w:rPr>
        <w:t>.</w:t>
      </w:r>
    </w:p>
    <w:p w14:paraId="5BE538BE" w14:textId="154A227B" w:rsidR="00DD1497" w:rsidRDefault="00DD1497" w:rsidP="00DD1497">
      <w:pPr>
        <w:pStyle w:val="Heading3"/>
      </w:pPr>
      <w:r>
        <w:t>London Ultra Low Emission Zone (ULEZ)</w:t>
      </w:r>
    </w:p>
    <w:p w14:paraId="2946C678" w14:textId="24275812" w:rsidR="00DD1497" w:rsidRPr="00DD1497" w:rsidRDefault="00DD1497" w:rsidP="00DD1497">
      <w:pPr>
        <w:jc w:val="both"/>
      </w:pPr>
      <w:r w:rsidRPr="00DD1497">
        <w:t>London has a fiercely good UK example related to SDG 11 with their Ultra Low Emission Zone (ULEZ). ULEZ was implemented to make the air in cities purer, charging high-</w:t>
      </w:r>
      <w:proofErr w:type="spellStart"/>
      <w:r w:rsidRPr="00DD1497">
        <w:t>pollutening</w:t>
      </w:r>
      <w:proofErr w:type="spellEnd"/>
      <w:r w:rsidRPr="00DD1497">
        <w:t xml:space="preserve"> vehicles and promoting clean transportation in the city. It can support SDG 11 by supporting the communities to become more sustainable, safer and healthier, and SDG 3 by exposing the communities to less harmful air pollution. The project has enhanced policing, control and awareness among citizens on emissions. Nevertheless, issues have not been resolved, such as affordability of low-income drivers, enforcement concerns and the necessity of providing fair alternatives, such as cleaner vehicles and reliable public transit</w:t>
      </w:r>
      <w:r w:rsidR="00411233">
        <w:t xml:space="preserve"> </w:t>
      </w:r>
      <w:r w:rsidR="00174D10">
        <w:rPr>
          <w:rFonts w:ascii="Arial" w:hAnsi="Arial" w:cs="Arial"/>
        </w:rPr>
        <w:t>(Greater London Authority, 2024)</w:t>
      </w:r>
      <w:r w:rsidRPr="00DD1497">
        <w:t>.</w:t>
      </w:r>
    </w:p>
    <w:p w14:paraId="18CEC543" w14:textId="758BA261" w:rsidR="009A6EB1" w:rsidRDefault="009A6EB1" w:rsidP="000B44C3">
      <w:pPr>
        <w:pStyle w:val="Heading3"/>
        <w:jc w:val="both"/>
        <w:rPr>
          <w:rFonts w:ascii="Arial" w:hAnsi="Arial" w:cs="Arial"/>
          <w:szCs w:val="22"/>
        </w:rPr>
      </w:pPr>
      <w:bookmarkStart w:id="9" w:name="_Toc224467936"/>
      <w:r w:rsidRPr="000B44C3">
        <w:rPr>
          <w:rFonts w:ascii="Arial" w:hAnsi="Arial" w:cs="Arial"/>
          <w:szCs w:val="22"/>
        </w:rPr>
        <w:t>Recommendations</w:t>
      </w:r>
      <w:bookmarkEnd w:id="9"/>
      <w:r w:rsidRPr="000B44C3">
        <w:rPr>
          <w:rFonts w:ascii="Arial" w:hAnsi="Arial" w:cs="Arial"/>
          <w:szCs w:val="22"/>
        </w:rPr>
        <w:t xml:space="preserve"> </w:t>
      </w:r>
    </w:p>
    <w:p w14:paraId="1D323601" w14:textId="10176EF1" w:rsidR="0045346E" w:rsidRPr="00862C36" w:rsidRDefault="00101D67" w:rsidP="00862C36">
      <w:pPr>
        <w:spacing w:before="100" w:beforeAutospacing="1" w:after="100" w:afterAutospacing="1"/>
        <w:jc w:val="both"/>
        <w:rPr>
          <w:rFonts w:ascii="Arial" w:eastAsia="Times New Roman" w:hAnsi="Arial" w:cs="Arial"/>
          <w:kern w:val="0"/>
          <w:szCs w:val="22"/>
          <w:lang w:eastAsia="en-GB"/>
          <w14:ligatures w14:val="none"/>
        </w:rPr>
      </w:pPr>
      <w:r w:rsidRPr="00101D67">
        <w:rPr>
          <w:rFonts w:ascii="Arial" w:eastAsia="Times New Roman" w:hAnsi="Arial" w:cs="Arial"/>
          <w:kern w:val="0"/>
          <w:szCs w:val="22"/>
          <w:lang w:eastAsia="en-GB"/>
          <w14:ligatures w14:val="none"/>
        </w:rPr>
        <w:t>A key recommendation is to make Health Impact Assessments (HIA) routine for major transport, housing and regeneration schemes, because HIA provides a structured way to predict health and equity effects before implementation and helps prevent unintended harms such as displacement or unequal exposure to risk (Harris-</w:t>
      </w:r>
      <w:proofErr w:type="spellStart"/>
      <w:r w:rsidRPr="00101D67">
        <w:rPr>
          <w:rFonts w:ascii="Arial" w:eastAsia="Times New Roman" w:hAnsi="Arial" w:cs="Arial"/>
          <w:kern w:val="0"/>
          <w:szCs w:val="22"/>
          <w:lang w:eastAsia="en-GB"/>
          <w14:ligatures w14:val="none"/>
        </w:rPr>
        <w:t>Roxas</w:t>
      </w:r>
      <w:proofErr w:type="spellEnd"/>
      <w:r w:rsidRPr="00101D67">
        <w:rPr>
          <w:rFonts w:ascii="Arial" w:eastAsia="Times New Roman" w:hAnsi="Arial" w:cs="Arial"/>
          <w:kern w:val="0"/>
          <w:szCs w:val="22"/>
          <w:lang w:eastAsia="en-GB"/>
          <w14:ligatures w14:val="none"/>
        </w:rPr>
        <w:t xml:space="preserve"> et al., 2012). Community participation should also be institutionalised as a delivery requirement, especially for marginalised groups, because this can improve legitimacy, local fit, policy uptake and trust, while ensuring interventions reflect lived realities rather than top-down assumptions (Ding et al., 2024). In addition, affordable healthy housing and mobility should be prioritised through joined-up measures such as subsidised public transport, scrappage support, housing-quality upgrades and anti-displacement protections to strengthen environmental justice in both UK and Pakistan contexts (</w:t>
      </w:r>
      <w:proofErr w:type="spellStart"/>
      <w:r w:rsidRPr="00101D67">
        <w:rPr>
          <w:rFonts w:ascii="Arial" w:eastAsia="Times New Roman" w:hAnsi="Arial" w:cs="Arial"/>
          <w:kern w:val="0"/>
          <w:szCs w:val="22"/>
          <w:lang w:eastAsia="en-GB"/>
          <w14:ligatures w14:val="none"/>
        </w:rPr>
        <w:t>Longhurst</w:t>
      </w:r>
      <w:proofErr w:type="spellEnd"/>
      <w:r w:rsidRPr="00101D67">
        <w:rPr>
          <w:rFonts w:ascii="Arial" w:eastAsia="Times New Roman" w:hAnsi="Arial" w:cs="Arial"/>
          <w:kern w:val="0"/>
          <w:szCs w:val="22"/>
          <w:lang w:eastAsia="en-GB"/>
          <w14:ligatures w14:val="none"/>
        </w:rPr>
        <w:t xml:space="preserve"> et al., 2018).</w:t>
      </w:r>
    </w:p>
    <w:p w14:paraId="47BDEF76" w14:textId="54699585" w:rsidR="009A6EB1" w:rsidRPr="00E631E4" w:rsidRDefault="009A6EB1" w:rsidP="00241CCC">
      <w:pPr>
        <w:pStyle w:val="Heading1"/>
      </w:pPr>
      <w:bookmarkStart w:id="10" w:name="_Toc224467937"/>
      <w:r w:rsidRPr="00E631E4">
        <w:t>Conclusion</w:t>
      </w:r>
      <w:bookmarkEnd w:id="10"/>
      <w:r w:rsidRPr="00E631E4">
        <w:t xml:space="preserve"> </w:t>
      </w:r>
    </w:p>
    <w:p w14:paraId="384D5E4D" w14:textId="1F03CD93" w:rsidR="00FB7903" w:rsidRDefault="009A6EB1" w:rsidP="005134A6">
      <w:pPr>
        <w:pStyle w:val="NormalWeb"/>
        <w:spacing w:line="360" w:lineRule="auto"/>
        <w:jc w:val="both"/>
        <w:rPr>
          <w:rFonts w:ascii="Arial" w:hAnsi="Arial" w:cs="Arial"/>
          <w:szCs w:val="22"/>
        </w:rPr>
      </w:pPr>
      <w:r w:rsidRPr="000B44C3">
        <w:rPr>
          <w:rFonts w:ascii="Arial" w:hAnsi="Arial" w:cs="Arial"/>
          <w:szCs w:val="22"/>
        </w:rPr>
        <w:t xml:space="preserve">This report has shown that SDG 3 and SDG 11 are mutually reinforcing: urban environments operate as health systems that shape exposure (pollution, heat, injury), behaviour (activity, diet), and psychosocial wellbeing (stress, connection). SDG 3 policies on NCDs and mental health are most effective when they move beyond lifestyle framing and address structural determinants through fiscal, regulatory and environmental change, as illustrated by evidence on reformulation-focused approaches and the need for robust active travel networks. </w:t>
      </w:r>
      <w:r w:rsidR="001C2D70" w:rsidRPr="001C2D70">
        <w:rPr>
          <w:rFonts w:ascii="Arial" w:hAnsi="Arial" w:cs="Arial"/>
          <w:szCs w:val="22"/>
        </w:rPr>
        <w:t>The SDG 11 programmes like the New Urban Agenda, Clean Air Zones, and the clean-air programming of Lahore show that city-level policy could offer tangible benefits to the environment, but they also illustrate the same limitations: lack of enforcement, insufficient funding, and the possibility of disadvantaging the worst off with costs. The broader meaning is that development needs multi-sector control, long-term stable investment and systematic Health Impact Assessment such that gains of sustainability interventions provide health benefits in an equitable manner. In their absence, SDG commitments will remain aspirational accounts as opposed to population-health perspectives</w:t>
      </w:r>
      <w:r w:rsidRPr="000B44C3">
        <w:rPr>
          <w:rFonts w:ascii="Arial" w:hAnsi="Arial" w:cs="Arial"/>
          <w:szCs w:val="22"/>
        </w:rPr>
        <w:t>.</w:t>
      </w:r>
    </w:p>
    <w:p w14:paraId="17323C4C" w14:textId="77777777" w:rsidR="00B960A2" w:rsidRDefault="00B960A2" w:rsidP="005134A6">
      <w:pPr>
        <w:pStyle w:val="NormalWeb"/>
        <w:spacing w:line="360" w:lineRule="auto"/>
        <w:jc w:val="both"/>
        <w:rPr>
          <w:rFonts w:ascii="Arial" w:hAnsi="Arial" w:cs="Arial"/>
          <w:szCs w:val="22"/>
        </w:rPr>
      </w:pPr>
    </w:p>
    <w:p w14:paraId="17145360" w14:textId="77777777" w:rsidR="00B960A2" w:rsidRDefault="00B960A2" w:rsidP="005134A6">
      <w:pPr>
        <w:pStyle w:val="NormalWeb"/>
        <w:spacing w:line="360" w:lineRule="auto"/>
        <w:jc w:val="both"/>
        <w:rPr>
          <w:rFonts w:ascii="Arial" w:hAnsi="Arial" w:cs="Arial"/>
          <w:szCs w:val="22"/>
        </w:rPr>
      </w:pPr>
    </w:p>
    <w:p w14:paraId="2E072CF5" w14:textId="77777777" w:rsidR="00B960A2" w:rsidRDefault="00B960A2" w:rsidP="005134A6">
      <w:pPr>
        <w:pStyle w:val="NormalWeb"/>
        <w:spacing w:line="360" w:lineRule="auto"/>
        <w:jc w:val="both"/>
        <w:rPr>
          <w:rFonts w:ascii="Arial" w:hAnsi="Arial" w:cs="Arial"/>
          <w:szCs w:val="22"/>
        </w:rPr>
      </w:pPr>
    </w:p>
    <w:p w14:paraId="70753ECF" w14:textId="77777777" w:rsidR="00B960A2" w:rsidRDefault="00B960A2" w:rsidP="005134A6">
      <w:pPr>
        <w:pStyle w:val="NormalWeb"/>
        <w:spacing w:line="360" w:lineRule="auto"/>
        <w:jc w:val="both"/>
        <w:rPr>
          <w:rFonts w:ascii="Arial" w:hAnsi="Arial" w:cs="Arial"/>
          <w:szCs w:val="22"/>
        </w:rPr>
      </w:pPr>
    </w:p>
    <w:p w14:paraId="05F5ECB7" w14:textId="2D68E1EF" w:rsidR="00FB7903" w:rsidRPr="000B44C3" w:rsidRDefault="00FB7903" w:rsidP="008B75C5">
      <w:pPr>
        <w:pStyle w:val="Heading1"/>
        <w:jc w:val="both"/>
      </w:pPr>
      <w:bookmarkStart w:id="11" w:name="_Toc224467938"/>
      <w:r w:rsidRPr="000B44C3">
        <w:t>References</w:t>
      </w:r>
      <w:bookmarkEnd w:id="11"/>
    </w:p>
    <w:p w14:paraId="5C51E6E0" w14:textId="77777777" w:rsidR="008B75C5" w:rsidRPr="008B75C5" w:rsidRDefault="008B75C5" w:rsidP="008B75C5">
      <w:pPr>
        <w:spacing w:after="240"/>
        <w:jc w:val="both"/>
        <w:rPr>
          <w:rFonts w:ascii="Arial" w:eastAsia="Times New Roman" w:hAnsi="Arial" w:cs="Arial"/>
          <w:kern w:val="0"/>
          <w:szCs w:val="22"/>
          <w:lang w:eastAsia="en-GB"/>
          <w14:ligatures w14:val="none"/>
        </w:rPr>
      </w:pPr>
      <w:proofErr w:type="spellStart"/>
      <w:r w:rsidRPr="008B75C5">
        <w:rPr>
          <w:rFonts w:ascii="Arial" w:eastAsia="Times New Roman" w:hAnsi="Arial" w:cs="Arial"/>
          <w:kern w:val="0"/>
          <w:szCs w:val="22"/>
          <w:lang w:eastAsia="en-GB"/>
          <w14:ligatures w14:val="none"/>
        </w:rPr>
        <w:t>Agurs</w:t>
      </w:r>
      <w:proofErr w:type="spellEnd"/>
      <w:r w:rsidRPr="008B75C5">
        <w:rPr>
          <w:rFonts w:ascii="Arial" w:eastAsia="Times New Roman" w:hAnsi="Arial" w:cs="Arial"/>
          <w:kern w:val="0"/>
          <w:szCs w:val="22"/>
          <w:lang w:eastAsia="en-GB"/>
          <w14:ligatures w14:val="none"/>
        </w:rPr>
        <w:t xml:space="preserve">-Collins, T. </w:t>
      </w:r>
      <w:r w:rsidRPr="008B75C5">
        <w:rPr>
          <w:rFonts w:ascii="Arial" w:eastAsia="Times New Roman" w:hAnsi="Arial" w:cs="Arial"/>
          <w:i/>
          <w:iCs/>
          <w:kern w:val="0"/>
          <w:szCs w:val="22"/>
          <w:lang w:eastAsia="en-GB"/>
          <w14:ligatures w14:val="none"/>
        </w:rPr>
        <w:t>et al.</w:t>
      </w:r>
      <w:r w:rsidRPr="008B75C5">
        <w:rPr>
          <w:rFonts w:ascii="Arial" w:eastAsia="Times New Roman" w:hAnsi="Arial" w:cs="Arial"/>
          <w:kern w:val="0"/>
          <w:szCs w:val="22"/>
          <w:lang w:eastAsia="en-GB"/>
          <w14:ligatures w14:val="none"/>
        </w:rPr>
        <w:t xml:space="preserve"> (2024) ‘Perspective: Nutrition Health Disparities Framework: a Model to Advance Health Equity’, </w:t>
      </w:r>
      <w:r w:rsidRPr="008B75C5">
        <w:rPr>
          <w:rFonts w:ascii="Arial" w:eastAsia="Times New Roman" w:hAnsi="Arial" w:cs="Arial"/>
          <w:i/>
          <w:iCs/>
          <w:kern w:val="0"/>
          <w:szCs w:val="22"/>
          <w:lang w:eastAsia="en-GB"/>
          <w14:ligatures w14:val="none"/>
        </w:rPr>
        <w:t>Advances in Nutrition</w:t>
      </w:r>
      <w:r w:rsidRPr="008B75C5">
        <w:rPr>
          <w:rFonts w:ascii="Arial" w:eastAsia="Times New Roman" w:hAnsi="Arial" w:cs="Arial"/>
          <w:kern w:val="0"/>
          <w:szCs w:val="22"/>
          <w:lang w:eastAsia="en-GB"/>
          <w14:ligatures w14:val="none"/>
        </w:rPr>
        <w:t>, 15(4), pp. 100194–100194. Available at: https://doi.org/10.1016/j.advnut.2024.100194.</w:t>
      </w:r>
    </w:p>
    <w:p w14:paraId="4D130667" w14:textId="77777777" w:rsidR="008B75C5" w:rsidRPr="008B75C5" w:rsidRDefault="008B75C5" w:rsidP="008B75C5">
      <w:pPr>
        <w:spacing w:after="240"/>
        <w:jc w:val="both"/>
        <w:rPr>
          <w:rFonts w:ascii="Arial" w:eastAsia="Times New Roman" w:hAnsi="Arial" w:cs="Arial"/>
          <w:kern w:val="0"/>
          <w:szCs w:val="22"/>
          <w:lang w:eastAsia="en-GB"/>
          <w14:ligatures w14:val="none"/>
        </w:rPr>
      </w:pPr>
      <w:r w:rsidRPr="008B75C5">
        <w:rPr>
          <w:rFonts w:ascii="Arial" w:eastAsia="Times New Roman" w:hAnsi="Arial" w:cs="Arial"/>
          <w:kern w:val="0"/>
          <w:szCs w:val="22"/>
          <w:lang w:eastAsia="en-GB"/>
          <w14:ligatures w14:val="none"/>
        </w:rPr>
        <w:t xml:space="preserve">Akhtar, S. </w:t>
      </w:r>
      <w:r w:rsidRPr="008B75C5">
        <w:rPr>
          <w:rFonts w:ascii="Arial" w:eastAsia="Times New Roman" w:hAnsi="Arial" w:cs="Arial"/>
          <w:i/>
          <w:iCs/>
          <w:kern w:val="0"/>
          <w:szCs w:val="22"/>
          <w:lang w:eastAsia="en-GB"/>
          <w14:ligatures w14:val="none"/>
        </w:rPr>
        <w:t>et al.</w:t>
      </w:r>
      <w:r w:rsidRPr="008B75C5">
        <w:rPr>
          <w:rFonts w:ascii="Arial" w:eastAsia="Times New Roman" w:hAnsi="Arial" w:cs="Arial"/>
          <w:kern w:val="0"/>
          <w:szCs w:val="22"/>
          <w:lang w:eastAsia="en-GB"/>
          <w14:ligatures w14:val="none"/>
        </w:rPr>
        <w:t xml:space="preserve"> (2025) ‘Non-communicable diseases prevention and control in Pakistan: recommendations from policy and public health experts’, </w:t>
      </w:r>
      <w:r w:rsidRPr="008B75C5">
        <w:rPr>
          <w:rFonts w:ascii="Arial" w:eastAsia="Times New Roman" w:hAnsi="Arial" w:cs="Arial"/>
          <w:i/>
          <w:iCs/>
          <w:kern w:val="0"/>
          <w:szCs w:val="22"/>
          <w:lang w:eastAsia="en-GB"/>
          <w14:ligatures w14:val="none"/>
        </w:rPr>
        <w:t>BMC Proceedings</w:t>
      </w:r>
      <w:r w:rsidRPr="008B75C5">
        <w:rPr>
          <w:rFonts w:ascii="Arial" w:eastAsia="Times New Roman" w:hAnsi="Arial" w:cs="Arial"/>
          <w:kern w:val="0"/>
          <w:szCs w:val="22"/>
          <w:lang w:eastAsia="en-GB"/>
          <w14:ligatures w14:val="none"/>
        </w:rPr>
        <w:t>, 19(S30), pp. 32–32. Available at: https://doi.org/10.1186/s12919-025-00350-4.</w:t>
      </w:r>
    </w:p>
    <w:p w14:paraId="6DE96DE3" w14:textId="77777777" w:rsidR="008B75C5" w:rsidRPr="008B75C5" w:rsidRDefault="008B75C5" w:rsidP="008B75C5">
      <w:pPr>
        <w:spacing w:after="240"/>
        <w:jc w:val="both"/>
        <w:rPr>
          <w:rFonts w:ascii="Arial" w:eastAsia="Times New Roman" w:hAnsi="Arial" w:cs="Arial"/>
          <w:kern w:val="0"/>
          <w:szCs w:val="22"/>
          <w:lang w:eastAsia="en-GB"/>
          <w14:ligatures w14:val="none"/>
        </w:rPr>
      </w:pPr>
      <w:proofErr w:type="spellStart"/>
      <w:r w:rsidRPr="008B75C5">
        <w:rPr>
          <w:rFonts w:ascii="Arial" w:eastAsia="Times New Roman" w:hAnsi="Arial" w:cs="Arial"/>
          <w:kern w:val="0"/>
          <w:szCs w:val="22"/>
          <w:lang w:eastAsia="en-GB"/>
          <w14:ligatures w14:val="none"/>
        </w:rPr>
        <w:t>Beeactive</w:t>
      </w:r>
      <w:proofErr w:type="spellEnd"/>
      <w:r w:rsidRPr="008B75C5">
        <w:rPr>
          <w:rFonts w:ascii="Arial" w:eastAsia="Times New Roman" w:hAnsi="Arial" w:cs="Arial"/>
          <w:kern w:val="0"/>
          <w:szCs w:val="22"/>
          <w:lang w:eastAsia="en-GB"/>
          <w14:ligatures w14:val="none"/>
        </w:rPr>
        <w:t xml:space="preserve"> (2024) </w:t>
      </w:r>
      <w:r w:rsidRPr="008B75C5">
        <w:rPr>
          <w:rFonts w:ascii="Arial" w:eastAsia="Times New Roman" w:hAnsi="Arial" w:cs="Arial"/>
          <w:i/>
          <w:iCs/>
          <w:kern w:val="0"/>
          <w:szCs w:val="22"/>
          <w:lang w:eastAsia="en-GB"/>
          <w14:ligatures w14:val="none"/>
        </w:rPr>
        <w:t>Greater Manchester’s Active Travel Mission</w:t>
      </w:r>
      <w:r w:rsidRPr="008B75C5">
        <w:rPr>
          <w:rFonts w:ascii="Arial" w:eastAsia="Times New Roman" w:hAnsi="Arial" w:cs="Arial"/>
          <w:kern w:val="0"/>
          <w:szCs w:val="22"/>
          <w:lang w:eastAsia="en-GB"/>
          <w14:ligatures w14:val="none"/>
        </w:rPr>
        <w:t xml:space="preserve">, </w:t>
      </w:r>
      <w:proofErr w:type="spellStart"/>
      <w:r w:rsidRPr="008B75C5">
        <w:rPr>
          <w:rFonts w:ascii="Arial" w:eastAsia="Times New Roman" w:hAnsi="Arial" w:cs="Arial"/>
          <w:i/>
          <w:iCs/>
          <w:kern w:val="0"/>
          <w:szCs w:val="22"/>
          <w:lang w:eastAsia="en-GB"/>
          <w14:ligatures w14:val="none"/>
        </w:rPr>
        <w:t>TfGM</w:t>
      </w:r>
      <w:proofErr w:type="spellEnd"/>
      <w:r w:rsidRPr="008B75C5">
        <w:rPr>
          <w:rFonts w:ascii="Arial" w:eastAsia="Times New Roman" w:hAnsi="Arial" w:cs="Arial"/>
          <w:i/>
          <w:iCs/>
          <w:kern w:val="0"/>
          <w:szCs w:val="22"/>
          <w:lang w:eastAsia="en-GB"/>
          <w14:ligatures w14:val="none"/>
        </w:rPr>
        <w:t xml:space="preserve"> Bee Active</w:t>
      </w:r>
      <w:r w:rsidRPr="008B75C5">
        <w:rPr>
          <w:rFonts w:ascii="Arial" w:eastAsia="Times New Roman" w:hAnsi="Arial" w:cs="Arial"/>
          <w:kern w:val="0"/>
          <w:szCs w:val="22"/>
          <w:lang w:eastAsia="en-GB"/>
          <w14:ligatures w14:val="none"/>
        </w:rPr>
        <w:t>. Available at: https://beeactive.tfgm.com/greater-manchesters-active-travel-mission/ (Accessed: 12 March 2026).</w:t>
      </w:r>
    </w:p>
    <w:p w14:paraId="2F29A0D1" w14:textId="77777777" w:rsidR="008B75C5" w:rsidRPr="008B75C5" w:rsidRDefault="008B75C5" w:rsidP="008B75C5">
      <w:pPr>
        <w:spacing w:after="240"/>
        <w:jc w:val="both"/>
        <w:rPr>
          <w:rFonts w:ascii="Arial" w:eastAsia="Times New Roman" w:hAnsi="Arial" w:cs="Arial"/>
          <w:kern w:val="0"/>
          <w:szCs w:val="22"/>
          <w:lang w:eastAsia="en-GB"/>
          <w14:ligatures w14:val="none"/>
        </w:rPr>
      </w:pPr>
      <w:r w:rsidRPr="008B75C5">
        <w:rPr>
          <w:rFonts w:ascii="Arial" w:eastAsia="Times New Roman" w:hAnsi="Arial" w:cs="Arial"/>
          <w:kern w:val="0"/>
          <w:szCs w:val="22"/>
          <w:lang w:eastAsia="en-GB"/>
          <w14:ligatures w14:val="none"/>
        </w:rPr>
        <w:t xml:space="preserve">Bourne, P.A. and Williams, T.-A. (2022) ‘A Comparative Analysis of The </w:t>
      </w:r>
      <w:proofErr w:type="spellStart"/>
      <w:r w:rsidRPr="008B75C5">
        <w:rPr>
          <w:rFonts w:ascii="Arial" w:eastAsia="Times New Roman" w:hAnsi="Arial" w:cs="Arial"/>
          <w:kern w:val="0"/>
          <w:szCs w:val="22"/>
          <w:lang w:eastAsia="en-GB"/>
          <w14:ligatures w14:val="none"/>
        </w:rPr>
        <w:t>Behavior</w:t>
      </w:r>
      <w:proofErr w:type="spellEnd"/>
      <w:r w:rsidRPr="008B75C5">
        <w:rPr>
          <w:rFonts w:ascii="Arial" w:eastAsia="Times New Roman" w:hAnsi="Arial" w:cs="Arial"/>
          <w:kern w:val="0"/>
          <w:szCs w:val="22"/>
          <w:lang w:eastAsia="en-GB"/>
          <w14:ligatures w14:val="none"/>
        </w:rPr>
        <w:t xml:space="preserve"> of Vaccinated and Unvaccinated Jamaicans Against the Covid-19 Virus’, </w:t>
      </w:r>
      <w:r w:rsidRPr="008B75C5">
        <w:rPr>
          <w:rFonts w:ascii="Arial" w:eastAsia="Times New Roman" w:hAnsi="Arial" w:cs="Arial"/>
          <w:i/>
          <w:iCs/>
          <w:kern w:val="0"/>
          <w:szCs w:val="22"/>
          <w:lang w:eastAsia="en-GB"/>
          <w14:ligatures w14:val="none"/>
        </w:rPr>
        <w:t>Journal of Internal Medicine Research &amp; Reports</w:t>
      </w:r>
      <w:r w:rsidRPr="008B75C5">
        <w:rPr>
          <w:rFonts w:ascii="Arial" w:eastAsia="Times New Roman" w:hAnsi="Arial" w:cs="Arial"/>
          <w:kern w:val="0"/>
          <w:szCs w:val="22"/>
          <w:lang w:eastAsia="en-GB"/>
          <w14:ligatures w14:val="none"/>
        </w:rPr>
        <w:t>, pp. 1–8. Available at: https://doi.org/10.47363/jimrr/2022(1)102.</w:t>
      </w:r>
    </w:p>
    <w:p w14:paraId="6B0B356F" w14:textId="77777777" w:rsidR="008B75C5" w:rsidRPr="008B75C5" w:rsidRDefault="008B75C5" w:rsidP="008B75C5">
      <w:pPr>
        <w:spacing w:after="240"/>
        <w:jc w:val="both"/>
        <w:rPr>
          <w:rFonts w:ascii="Arial" w:eastAsia="Times New Roman" w:hAnsi="Arial" w:cs="Arial"/>
          <w:kern w:val="0"/>
          <w:szCs w:val="22"/>
          <w:lang w:eastAsia="en-GB"/>
          <w14:ligatures w14:val="none"/>
        </w:rPr>
      </w:pPr>
      <w:r w:rsidRPr="008B75C5">
        <w:rPr>
          <w:rFonts w:ascii="Arial" w:eastAsia="Times New Roman" w:hAnsi="Arial" w:cs="Arial"/>
          <w:kern w:val="0"/>
          <w:szCs w:val="22"/>
          <w:lang w:eastAsia="en-GB"/>
          <w14:ligatures w14:val="none"/>
        </w:rPr>
        <w:t xml:space="preserve">Brookes, H. (2021) </w:t>
      </w:r>
      <w:r w:rsidRPr="008B75C5">
        <w:rPr>
          <w:rFonts w:ascii="Arial" w:eastAsia="Times New Roman" w:hAnsi="Arial" w:cs="Arial"/>
          <w:i/>
          <w:iCs/>
          <w:kern w:val="0"/>
          <w:szCs w:val="22"/>
          <w:lang w:eastAsia="en-GB"/>
          <w14:ligatures w14:val="none"/>
        </w:rPr>
        <w:t xml:space="preserve">Navigating Low Emission and Clean Air Zones: A Guide for UK Drivers | </w:t>
      </w:r>
      <w:proofErr w:type="spellStart"/>
      <w:r w:rsidRPr="008B75C5">
        <w:rPr>
          <w:rFonts w:ascii="Arial" w:eastAsia="Times New Roman" w:hAnsi="Arial" w:cs="Arial"/>
          <w:i/>
          <w:iCs/>
          <w:kern w:val="0"/>
          <w:szCs w:val="22"/>
          <w:lang w:eastAsia="en-GB"/>
          <w14:ligatures w14:val="none"/>
        </w:rPr>
        <w:t>Vertu</w:t>
      </w:r>
      <w:proofErr w:type="spellEnd"/>
      <w:r w:rsidRPr="008B75C5">
        <w:rPr>
          <w:rFonts w:ascii="Arial" w:eastAsia="Times New Roman" w:hAnsi="Arial" w:cs="Arial"/>
          <w:kern w:val="0"/>
          <w:szCs w:val="22"/>
          <w:lang w:eastAsia="en-GB"/>
          <w14:ligatures w14:val="none"/>
        </w:rPr>
        <w:t xml:space="preserve">, </w:t>
      </w:r>
      <w:r w:rsidRPr="008B75C5">
        <w:rPr>
          <w:rFonts w:ascii="Arial" w:eastAsia="Times New Roman" w:hAnsi="Arial" w:cs="Arial"/>
          <w:i/>
          <w:iCs/>
          <w:kern w:val="0"/>
          <w:szCs w:val="22"/>
          <w:lang w:eastAsia="en-GB"/>
          <w14:ligatures w14:val="none"/>
        </w:rPr>
        <w:t>Vertumotors.com</w:t>
      </w:r>
      <w:r w:rsidRPr="008B75C5">
        <w:rPr>
          <w:rFonts w:ascii="Arial" w:eastAsia="Times New Roman" w:hAnsi="Arial" w:cs="Arial"/>
          <w:kern w:val="0"/>
          <w:szCs w:val="22"/>
          <w:lang w:eastAsia="en-GB"/>
          <w14:ligatures w14:val="none"/>
        </w:rPr>
        <w:t>. Available at: https://www.vertumotors.com/news/navigating-low-emission-and-clean-air-zones-a-guide-for-uk-drivers/ (Accessed: 23 February 2026).</w:t>
      </w:r>
    </w:p>
    <w:p w14:paraId="280DD66A" w14:textId="77777777" w:rsidR="008B75C5" w:rsidRPr="008B75C5" w:rsidRDefault="008B75C5" w:rsidP="008B75C5">
      <w:pPr>
        <w:spacing w:after="240"/>
        <w:jc w:val="both"/>
        <w:rPr>
          <w:rFonts w:ascii="Arial" w:eastAsia="Times New Roman" w:hAnsi="Arial" w:cs="Arial"/>
          <w:kern w:val="0"/>
          <w:szCs w:val="22"/>
          <w:lang w:eastAsia="en-GB"/>
          <w14:ligatures w14:val="none"/>
        </w:rPr>
      </w:pPr>
      <w:proofErr w:type="spellStart"/>
      <w:r w:rsidRPr="008B75C5">
        <w:rPr>
          <w:rFonts w:ascii="Arial" w:eastAsia="Times New Roman" w:hAnsi="Arial" w:cs="Arial"/>
          <w:kern w:val="0"/>
          <w:szCs w:val="22"/>
          <w:lang w:eastAsia="en-GB"/>
          <w14:ligatures w14:val="none"/>
        </w:rPr>
        <w:t>Buse</w:t>
      </w:r>
      <w:proofErr w:type="spellEnd"/>
      <w:r w:rsidRPr="008B75C5">
        <w:rPr>
          <w:rFonts w:ascii="Arial" w:eastAsia="Times New Roman" w:hAnsi="Arial" w:cs="Arial"/>
          <w:kern w:val="0"/>
          <w:szCs w:val="22"/>
          <w:lang w:eastAsia="en-GB"/>
          <w14:ligatures w14:val="none"/>
        </w:rPr>
        <w:t xml:space="preserve">, K. and Hawkes, S. (2015) ‘Health in the sustainable development goals: ready for a paradigm shift?’, </w:t>
      </w:r>
      <w:r w:rsidRPr="008B75C5">
        <w:rPr>
          <w:rFonts w:ascii="Arial" w:eastAsia="Times New Roman" w:hAnsi="Arial" w:cs="Arial"/>
          <w:i/>
          <w:iCs/>
          <w:kern w:val="0"/>
          <w:szCs w:val="22"/>
          <w:lang w:eastAsia="en-GB"/>
          <w14:ligatures w14:val="none"/>
        </w:rPr>
        <w:t>Globalization and Health</w:t>
      </w:r>
      <w:r w:rsidRPr="008B75C5">
        <w:rPr>
          <w:rFonts w:ascii="Arial" w:eastAsia="Times New Roman" w:hAnsi="Arial" w:cs="Arial"/>
          <w:kern w:val="0"/>
          <w:szCs w:val="22"/>
          <w:lang w:eastAsia="en-GB"/>
          <w14:ligatures w14:val="none"/>
        </w:rPr>
        <w:t>, 11(1). Available at: https://doi.org/10.1186/s12992-015-0098-8.</w:t>
      </w:r>
    </w:p>
    <w:p w14:paraId="35E77A59" w14:textId="77777777" w:rsidR="008B75C5" w:rsidRPr="008B75C5" w:rsidRDefault="008B75C5" w:rsidP="008B75C5">
      <w:pPr>
        <w:spacing w:after="240"/>
        <w:jc w:val="both"/>
        <w:rPr>
          <w:rFonts w:ascii="Arial" w:eastAsia="Times New Roman" w:hAnsi="Arial" w:cs="Arial"/>
          <w:kern w:val="0"/>
          <w:szCs w:val="22"/>
          <w:lang w:eastAsia="en-GB"/>
          <w14:ligatures w14:val="none"/>
        </w:rPr>
      </w:pPr>
      <w:proofErr w:type="spellStart"/>
      <w:r w:rsidRPr="008B75C5">
        <w:rPr>
          <w:rFonts w:ascii="Arial" w:eastAsia="Times New Roman" w:hAnsi="Arial" w:cs="Arial"/>
          <w:kern w:val="0"/>
          <w:szCs w:val="22"/>
          <w:lang w:eastAsia="en-GB"/>
          <w14:ligatures w14:val="none"/>
        </w:rPr>
        <w:t>Cobiac</w:t>
      </w:r>
      <w:proofErr w:type="spellEnd"/>
      <w:r w:rsidRPr="008B75C5">
        <w:rPr>
          <w:rFonts w:ascii="Arial" w:eastAsia="Times New Roman" w:hAnsi="Arial" w:cs="Arial"/>
          <w:kern w:val="0"/>
          <w:szCs w:val="22"/>
          <w:lang w:eastAsia="en-GB"/>
          <w14:ligatures w14:val="none"/>
        </w:rPr>
        <w:t xml:space="preserve">, L.J. </w:t>
      </w:r>
      <w:r w:rsidRPr="008B75C5">
        <w:rPr>
          <w:rFonts w:ascii="Arial" w:eastAsia="Times New Roman" w:hAnsi="Arial" w:cs="Arial"/>
          <w:i/>
          <w:iCs/>
          <w:kern w:val="0"/>
          <w:szCs w:val="22"/>
          <w:lang w:eastAsia="en-GB"/>
          <w14:ligatures w14:val="none"/>
        </w:rPr>
        <w:t>et al.</w:t>
      </w:r>
      <w:r w:rsidRPr="008B75C5">
        <w:rPr>
          <w:rFonts w:ascii="Arial" w:eastAsia="Times New Roman" w:hAnsi="Arial" w:cs="Arial"/>
          <w:kern w:val="0"/>
          <w:szCs w:val="22"/>
          <w:lang w:eastAsia="en-GB"/>
          <w14:ligatures w14:val="none"/>
        </w:rPr>
        <w:t xml:space="preserve"> (2024) ‘Impact of the UK soft drinks industry levy on health and health inequalities in children and adolescents in England: An interrupted time series analysis and population health modelling study’, </w:t>
      </w:r>
      <w:proofErr w:type="spellStart"/>
      <w:r w:rsidRPr="008B75C5">
        <w:rPr>
          <w:rFonts w:ascii="Arial" w:eastAsia="Times New Roman" w:hAnsi="Arial" w:cs="Arial"/>
          <w:i/>
          <w:iCs/>
          <w:kern w:val="0"/>
          <w:szCs w:val="22"/>
          <w:lang w:eastAsia="en-GB"/>
          <w14:ligatures w14:val="none"/>
        </w:rPr>
        <w:t>PLoS</w:t>
      </w:r>
      <w:proofErr w:type="spellEnd"/>
      <w:r w:rsidRPr="008B75C5">
        <w:rPr>
          <w:rFonts w:ascii="Arial" w:eastAsia="Times New Roman" w:hAnsi="Arial" w:cs="Arial"/>
          <w:i/>
          <w:iCs/>
          <w:kern w:val="0"/>
          <w:szCs w:val="22"/>
          <w:lang w:eastAsia="en-GB"/>
          <w14:ligatures w14:val="none"/>
        </w:rPr>
        <w:t xml:space="preserve"> medicine</w:t>
      </w:r>
      <w:r w:rsidRPr="008B75C5">
        <w:rPr>
          <w:rFonts w:ascii="Arial" w:eastAsia="Times New Roman" w:hAnsi="Arial" w:cs="Arial"/>
          <w:kern w:val="0"/>
          <w:szCs w:val="22"/>
          <w:lang w:eastAsia="en-GB"/>
          <w14:ligatures w14:val="none"/>
        </w:rPr>
        <w:t>, 21(3), pp. e1004371–e1004371. Available at: https://doi.org/10.1371/journal.pmed.1004371.</w:t>
      </w:r>
    </w:p>
    <w:p w14:paraId="0C4D7A02" w14:textId="77777777" w:rsidR="008B75C5" w:rsidRPr="008B75C5" w:rsidRDefault="008B75C5" w:rsidP="008B75C5">
      <w:pPr>
        <w:spacing w:after="240"/>
        <w:jc w:val="both"/>
        <w:rPr>
          <w:rFonts w:ascii="Arial" w:eastAsia="Times New Roman" w:hAnsi="Arial" w:cs="Arial"/>
          <w:kern w:val="0"/>
          <w:szCs w:val="22"/>
          <w:lang w:eastAsia="en-GB"/>
          <w14:ligatures w14:val="none"/>
        </w:rPr>
      </w:pPr>
      <w:r w:rsidRPr="008B75C5">
        <w:rPr>
          <w:rFonts w:ascii="Arial" w:eastAsia="Times New Roman" w:hAnsi="Arial" w:cs="Arial"/>
          <w:kern w:val="0"/>
          <w:szCs w:val="22"/>
          <w:lang w:eastAsia="en-GB"/>
          <w14:ligatures w14:val="none"/>
        </w:rPr>
        <w:t xml:space="preserve">Department of Health &amp; Social Care (2020) </w:t>
      </w:r>
      <w:r w:rsidRPr="008B75C5">
        <w:rPr>
          <w:rFonts w:ascii="Arial" w:eastAsia="Times New Roman" w:hAnsi="Arial" w:cs="Arial"/>
          <w:i/>
          <w:iCs/>
          <w:kern w:val="0"/>
          <w:szCs w:val="22"/>
          <w:lang w:eastAsia="en-GB"/>
          <w14:ligatures w14:val="none"/>
        </w:rPr>
        <w:t>Tackling obesity: Empowering Adults and Children to Live Healthier Lives</w:t>
      </w:r>
      <w:r w:rsidRPr="008B75C5">
        <w:rPr>
          <w:rFonts w:ascii="Arial" w:eastAsia="Times New Roman" w:hAnsi="Arial" w:cs="Arial"/>
          <w:kern w:val="0"/>
          <w:szCs w:val="22"/>
          <w:lang w:eastAsia="en-GB"/>
          <w14:ligatures w14:val="none"/>
        </w:rPr>
        <w:t xml:space="preserve">, </w:t>
      </w:r>
      <w:r w:rsidRPr="008B75C5">
        <w:rPr>
          <w:rFonts w:ascii="Arial" w:eastAsia="Times New Roman" w:hAnsi="Arial" w:cs="Arial"/>
          <w:i/>
          <w:iCs/>
          <w:kern w:val="0"/>
          <w:szCs w:val="22"/>
          <w:lang w:eastAsia="en-GB"/>
          <w14:ligatures w14:val="none"/>
        </w:rPr>
        <w:t>gov.uk</w:t>
      </w:r>
      <w:r w:rsidRPr="008B75C5">
        <w:rPr>
          <w:rFonts w:ascii="Arial" w:eastAsia="Times New Roman" w:hAnsi="Arial" w:cs="Arial"/>
          <w:kern w:val="0"/>
          <w:szCs w:val="22"/>
          <w:lang w:eastAsia="en-GB"/>
          <w14:ligatures w14:val="none"/>
        </w:rPr>
        <w:t>. Available at: https://www.gov.uk/government/publications/tackling-obesity-government-strategy/tackling-obesity-empowering-adults-and-children-to-live-healthier-lives (Accessed: 22 February 2026).</w:t>
      </w:r>
    </w:p>
    <w:p w14:paraId="134E51C1" w14:textId="77777777" w:rsidR="008B75C5" w:rsidRPr="008B75C5" w:rsidRDefault="008B75C5" w:rsidP="008B75C5">
      <w:pPr>
        <w:spacing w:after="240"/>
        <w:jc w:val="both"/>
        <w:rPr>
          <w:rFonts w:ascii="Arial" w:eastAsia="Times New Roman" w:hAnsi="Arial" w:cs="Arial"/>
          <w:kern w:val="0"/>
          <w:szCs w:val="22"/>
          <w:lang w:eastAsia="en-GB"/>
          <w14:ligatures w14:val="none"/>
        </w:rPr>
      </w:pPr>
      <w:proofErr w:type="spellStart"/>
      <w:r w:rsidRPr="008B75C5">
        <w:rPr>
          <w:rFonts w:ascii="Arial" w:eastAsia="Times New Roman" w:hAnsi="Arial" w:cs="Arial"/>
          <w:kern w:val="0"/>
          <w:szCs w:val="22"/>
          <w:lang w:eastAsia="en-GB"/>
          <w14:ligatures w14:val="none"/>
        </w:rPr>
        <w:t>Dicken</w:t>
      </w:r>
      <w:proofErr w:type="spellEnd"/>
      <w:r w:rsidRPr="008B75C5">
        <w:rPr>
          <w:rFonts w:ascii="Arial" w:eastAsia="Times New Roman" w:hAnsi="Arial" w:cs="Arial"/>
          <w:kern w:val="0"/>
          <w:szCs w:val="22"/>
          <w:lang w:eastAsia="en-GB"/>
          <w14:ligatures w14:val="none"/>
        </w:rPr>
        <w:t xml:space="preserve">, S.J. and </w:t>
      </w:r>
      <w:proofErr w:type="spellStart"/>
      <w:r w:rsidRPr="008B75C5">
        <w:rPr>
          <w:rFonts w:ascii="Arial" w:eastAsia="Times New Roman" w:hAnsi="Arial" w:cs="Arial"/>
          <w:kern w:val="0"/>
          <w:szCs w:val="22"/>
          <w:lang w:eastAsia="en-GB"/>
          <w14:ligatures w14:val="none"/>
        </w:rPr>
        <w:t>Batterham</w:t>
      </w:r>
      <w:proofErr w:type="spellEnd"/>
      <w:r w:rsidRPr="008B75C5">
        <w:rPr>
          <w:rFonts w:ascii="Arial" w:eastAsia="Times New Roman" w:hAnsi="Arial" w:cs="Arial"/>
          <w:kern w:val="0"/>
          <w:szCs w:val="22"/>
          <w:lang w:eastAsia="en-GB"/>
          <w14:ligatures w14:val="none"/>
        </w:rPr>
        <w:t xml:space="preserve">, R.L. (2024) ‘Ultra-processed Food and Obesity: What Is the Evidence?’, </w:t>
      </w:r>
      <w:r w:rsidRPr="008B75C5">
        <w:rPr>
          <w:rFonts w:ascii="Arial" w:eastAsia="Times New Roman" w:hAnsi="Arial" w:cs="Arial"/>
          <w:i/>
          <w:iCs/>
          <w:kern w:val="0"/>
          <w:szCs w:val="22"/>
          <w:lang w:eastAsia="en-GB"/>
          <w14:ligatures w14:val="none"/>
        </w:rPr>
        <w:t>Current Nutrition Reports</w:t>
      </w:r>
      <w:r w:rsidRPr="008B75C5">
        <w:rPr>
          <w:rFonts w:ascii="Arial" w:eastAsia="Times New Roman" w:hAnsi="Arial" w:cs="Arial"/>
          <w:kern w:val="0"/>
          <w:szCs w:val="22"/>
          <w:lang w:eastAsia="en-GB"/>
          <w14:ligatures w14:val="none"/>
        </w:rPr>
        <w:t>, 13(1). Available at: https://doi.org/10.1007/s13668-024-00517-z.</w:t>
      </w:r>
    </w:p>
    <w:p w14:paraId="3EA32757" w14:textId="77777777" w:rsidR="008B75C5" w:rsidRPr="008B75C5" w:rsidRDefault="008B75C5" w:rsidP="008B75C5">
      <w:pPr>
        <w:spacing w:after="240"/>
        <w:jc w:val="both"/>
        <w:rPr>
          <w:rFonts w:ascii="Arial" w:eastAsia="Times New Roman" w:hAnsi="Arial" w:cs="Arial"/>
          <w:kern w:val="0"/>
          <w:szCs w:val="22"/>
          <w:lang w:eastAsia="en-GB"/>
          <w14:ligatures w14:val="none"/>
        </w:rPr>
      </w:pPr>
      <w:r w:rsidRPr="008B75C5">
        <w:rPr>
          <w:rFonts w:ascii="Arial" w:eastAsia="Times New Roman" w:hAnsi="Arial" w:cs="Arial"/>
          <w:kern w:val="0"/>
          <w:szCs w:val="22"/>
          <w:lang w:eastAsia="en-GB"/>
          <w14:ligatures w14:val="none"/>
        </w:rPr>
        <w:t xml:space="preserve">Ding, D. </w:t>
      </w:r>
      <w:r w:rsidRPr="008B75C5">
        <w:rPr>
          <w:rFonts w:ascii="Arial" w:eastAsia="Times New Roman" w:hAnsi="Arial" w:cs="Arial"/>
          <w:i/>
          <w:iCs/>
          <w:kern w:val="0"/>
          <w:szCs w:val="22"/>
          <w:lang w:eastAsia="en-GB"/>
          <w14:ligatures w14:val="none"/>
        </w:rPr>
        <w:t>et al.</w:t>
      </w:r>
      <w:r w:rsidRPr="008B75C5">
        <w:rPr>
          <w:rFonts w:ascii="Arial" w:eastAsia="Times New Roman" w:hAnsi="Arial" w:cs="Arial"/>
          <w:kern w:val="0"/>
          <w:szCs w:val="22"/>
          <w:lang w:eastAsia="en-GB"/>
          <w14:ligatures w14:val="none"/>
        </w:rPr>
        <w:t xml:space="preserve"> (2024) ‘The co-benefits of active travel interventions beyond physical activity: a systematic review’, </w:t>
      </w:r>
      <w:r w:rsidRPr="008B75C5">
        <w:rPr>
          <w:rFonts w:ascii="Arial" w:eastAsia="Times New Roman" w:hAnsi="Arial" w:cs="Arial"/>
          <w:i/>
          <w:iCs/>
          <w:kern w:val="0"/>
          <w:szCs w:val="22"/>
          <w:lang w:eastAsia="en-GB"/>
          <w14:ligatures w14:val="none"/>
        </w:rPr>
        <w:t>The Lancet Planetary Health</w:t>
      </w:r>
      <w:r w:rsidRPr="008B75C5">
        <w:rPr>
          <w:rFonts w:ascii="Arial" w:eastAsia="Times New Roman" w:hAnsi="Arial" w:cs="Arial"/>
          <w:kern w:val="0"/>
          <w:szCs w:val="22"/>
          <w:lang w:eastAsia="en-GB"/>
          <w14:ligatures w14:val="none"/>
        </w:rPr>
        <w:t>, 8(10), pp. e790–e803. Available at: https://doi.org/10.1016/s2542-5196(24)00201-8.</w:t>
      </w:r>
    </w:p>
    <w:p w14:paraId="1429005C" w14:textId="77777777" w:rsidR="008B75C5" w:rsidRPr="008B75C5" w:rsidRDefault="008B75C5" w:rsidP="008B75C5">
      <w:pPr>
        <w:spacing w:after="240"/>
        <w:jc w:val="both"/>
        <w:rPr>
          <w:rFonts w:ascii="Arial" w:eastAsia="Times New Roman" w:hAnsi="Arial" w:cs="Arial"/>
          <w:kern w:val="0"/>
          <w:szCs w:val="22"/>
          <w:lang w:eastAsia="en-GB"/>
          <w14:ligatures w14:val="none"/>
        </w:rPr>
      </w:pPr>
      <w:proofErr w:type="spellStart"/>
      <w:r w:rsidRPr="008B75C5">
        <w:rPr>
          <w:rFonts w:ascii="Arial" w:eastAsia="Times New Roman" w:hAnsi="Arial" w:cs="Arial"/>
          <w:kern w:val="0"/>
          <w:szCs w:val="22"/>
          <w:lang w:eastAsia="en-GB"/>
          <w14:ligatures w14:val="none"/>
        </w:rPr>
        <w:t>Egele</w:t>
      </w:r>
      <w:proofErr w:type="spellEnd"/>
      <w:r w:rsidRPr="008B75C5">
        <w:rPr>
          <w:rFonts w:ascii="Arial" w:eastAsia="Times New Roman" w:hAnsi="Arial" w:cs="Arial"/>
          <w:kern w:val="0"/>
          <w:szCs w:val="22"/>
          <w:lang w:eastAsia="en-GB"/>
          <w14:ligatures w14:val="none"/>
        </w:rPr>
        <w:t xml:space="preserve">, V.S., </w:t>
      </w:r>
      <w:proofErr w:type="spellStart"/>
      <w:r w:rsidRPr="008B75C5">
        <w:rPr>
          <w:rFonts w:ascii="Arial" w:eastAsia="Times New Roman" w:hAnsi="Arial" w:cs="Arial"/>
          <w:kern w:val="0"/>
          <w:szCs w:val="22"/>
          <w:lang w:eastAsia="en-GB"/>
          <w14:ligatures w14:val="none"/>
        </w:rPr>
        <w:t>Klopp</w:t>
      </w:r>
      <w:proofErr w:type="spellEnd"/>
      <w:r w:rsidRPr="008B75C5">
        <w:rPr>
          <w:rFonts w:ascii="Arial" w:eastAsia="Times New Roman" w:hAnsi="Arial" w:cs="Arial"/>
          <w:kern w:val="0"/>
          <w:szCs w:val="22"/>
          <w:lang w:eastAsia="en-GB"/>
          <w14:ligatures w14:val="none"/>
        </w:rPr>
        <w:t xml:space="preserve">, E. and Stark, R. (2025) ‘How Valid Is Bandura’s Social Cognitive Theory to Explain Physical Activity </w:t>
      </w:r>
      <w:proofErr w:type="spellStart"/>
      <w:r w:rsidRPr="008B75C5">
        <w:rPr>
          <w:rFonts w:ascii="Arial" w:eastAsia="Times New Roman" w:hAnsi="Arial" w:cs="Arial"/>
          <w:kern w:val="0"/>
          <w:szCs w:val="22"/>
          <w:lang w:eastAsia="en-GB"/>
          <w14:ligatures w14:val="none"/>
        </w:rPr>
        <w:t>Behavior</w:t>
      </w:r>
      <w:proofErr w:type="spellEnd"/>
      <w:r w:rsidRPr="008B75C5">
        <w:rPr>
          <w:rFonts w:ascii="Arial" w:eastAsia="Times New Roman" w:hAnsi="Arial" w:cs="Arial"/>
          <w:kern w:val="0"/>
          <w:szCs w:val="22"/>
          <w:lang w:eastAsia="en-GB"/>
          <w14:ligatures w14:val="none"/>
        </w:rPr>
        <w:t xml:space="preserve">?’, </w:t>
      </w:r>
      <w:r w:rsidRPr="008B75C5">
        <w:rPr>
          <w:rFonts w:ascii="Arial" w:eastAsia="Times New Roman" w:hAnsi="Arial" w:cs="Arial"/>
          <w:i/>
          <w:iCs/>
          <w:kern w:val="0"/>
          <w:szCs w:val="22"/>
          <w:lang w:eastAsia="en-GB"/>
          <w14:ligatures w14:val="none"/>
        </w:rPr>
        <w:t>European Journal of Investigation in Health, Psychology and Education</w:t>
      </w:r>
      <w:r w:rsidRPr="008B75C5">
        <w:rPr>
          <w:rFonts w:ascii="Arial" w:eastAsia="Times New Roman" w:hAnsi="Arial" w:cs="Arial"/>
          <w:kern w:val="0"/>
          <w:szCs w:val="22"/>
          <w:lang w:eastAsia="en-GB"/>
          <w14:ligatures w14:val="none"/>
        </w:rPr>
        <w:t>, 15(2), p. 20. Available at: https://doi.org/10.3390/ejihpe15020020.</w:t>
      </w:r>
    </w:p>
    <w:p w14:paraId="03FF9567" w14:textId="77777777" w:rsidR="008B75C5" w:rsidRPr="008B75C5" w:rsidRDefault="008B75C5" w:rsidP="001C60CB">
      <w:pPr>
        <w:spacing w:after="240"/>
        <w:jc w:val="both"/>
        <w:rPr>
          <w:rFonts w:ascii="Arial" w:eastAsia="Times New Roman" w:hAnsi="Arial" w:cs="Arial"/>
          <w:kern w:val="0"/>
          <w:szCs w:val="22"/>
          <w:lang w:eastAsia="en-GB"/>
          <w14:ligatures w14:val="none"/>
        </w:rPr>
      </w:pPr>
      <w:r w:rsidRPr="008B75C5">
        <w:rPr>
          <w:rFonts w:ascii="Arial" w:eastAsia="Times New Roman" w:hAnsi="Arial" w:cs="Arial"/>
          <w:kern w:val="0"/>
          <w:szCs w:val="22"/>
          <w:lang w:eastAsia="en-GB"/>
          <w14:ligatures w14:val="none"/>
        </w:rPr>
        <w:t xml:space="preserve">Ewald, D.R., </w:t>
      </w:r>
      <w:proofErr w:type="spellStart"/>
      <w:r w:rsidRPr="008B75C5">
        <w:rPr>
          <w:rFonts w:ascii="Arial" w:eastAsia="Times New Roman" w:hAnsi="Arial" w:cs="Arial"/>
          <w:kern w:val="0"/>
          <w:szCs w:val="22"/>
          <w:lang w:eastAsia="en-GB"/>
          <w14:ligatures w14:val="none"/>
        </w:rPr>
        <w:t>Orsini</w:t>
      </w:r>
      <w:proofErr w:type="spellEnd"/>
      <w:r w:rsidRPr="008B75C5">
        <w:rPr>
          <w:rFonts w:ascii="Arial" w:eastAsia="Times New Roman" w:hAnsi="Arial" w:cs="Arial"/>
          <w:kern w:val="0"/>
          <w:szCs w:val="22"/>
          <w:lang w:eastAsia="en-GB"/>
          <w14:ligatures w14:val="none"/>
        </w:rPr>
        <w:t xml:space="preserve">, M.M. and </w:t>
      </w:r>
      <w:proofErr w:type="spellStart"/>
      <w:r w:rsidRPr="008B75C5">
        <w:rPr>
          <w:rFonts w:ascii="Arial" w:eastAsia="Times New Roman" w:hAnsi="Arial" w:cs="Arial"/>
          <w:kern w:val="0"/>
          <w:szCs w:val="22"/>
          <w:lang w:eastAsia="en-GB"/>
          <w14:ligatures w14:val="none"/>
        </w:rPr>
        <w:t>Strack</w:t>
      </w:r>
      <w:proofErr w:type="spellEnd"/>
      <w:r w:rsidRPr="008B75C5">
        <w:rPr>
          <w:rFonts w:ascii="Arial" w:eastAsia="Times New Roman" w:hAnsi="Arial" w:cs="Arial"/>
          <w:kern w:val="0"/>
          <w:szCs w:val="22"/>
          <w:lang w:eastAsia="en-GB"/>
          <w14:ligatures w14:val="none"/>
        </w:rPr>
        <w:t xml:space="preserve">, R.W. (2023) ‘The path to good health: Shifting the dialogue and promoting social ecological thinking’, </w:t>
      </w:r>
      <w:r w:rsidRPr="008B75C5">
        <w:rPr>
          <w:rFonts w:ascii="Arial" w:eastAsia="Times New Roman" w:hAnsi="Arial" w:cs="Arial"/>
          <w:i/>
          <w:iCs/>
          <w:kern w:val="0"/>
          <w:szCs w:val="22"/>
          <w:lang w:eastAsia="en-GB"/>
          <w14:ligatures w14:val="none"/>
        </w:rPr>
        <w:t>SSM - Population Health</w:t>
      </w:r>
      <w:r w:rsidRPr="008B75C5">
        <w:rPr>
          <w:rFonts w:ascii="Arial" w:eastAsia="Times New Roman" w:hAnsi="Arial" w:cs="Arial"/>
          <w:kern w:val="0"/>
          <w:szCs w:val="22"/>
          <w:lang w:eastAsia="en-GB"/>
          <w14:ligatures w14:val="none"/>
        </w:rPr>
        <w:t>, 22. Available at: https://doi.org/10.1016/j.ssmph.2023.101378.</w:t>
      </w:r>
    </w:p>
    <w:p w14:paraId="2C0AFDED" w14:textId="77777777" w:rsidR="00E23D31" w:rsidRPr="00E23D31" w:rsidRDefault="00E23D31" w:rsidP="001C60CB">
      <w:pPr>
        <w:spacing w:after="240"/>
        <w:jc w:val="both"/>
        <w:rPr>
          <w:rFonts w:ascii="Arial" w:eastAsia="Times New Roman" w:hAnsi="Arial" w:cs="Arial"/>
          <w:kern w:val="0"/>
          <w:szCs w:val="22"/>
          <w:lang w:eastAsia="en-GB"/>
          <w14:ligatures w14:val="none"/>
        </w:rPr>
      </w:pPr>
      <w:r w:rsidRPr="00E23D31">
        <w:rPr>
          <w:rFonts w:ascii="Arial" w:eastAsia="Times New Roman" w:hAnsi="Arial" w:cs="Arial"/>
          <w:kern w:val="0"/>
          <w:szCs w:val="22"/>
          <w:lang w:eastAsia="en-GB"/>
          <w14:ligatures w14:val="none"/>
        </w:rPr>
        <w:t xml:space="preserve">Greater London Authority (2024) </w:t>
      </w:r>
      <w:r w:rsidRPr="00E23D31">
        <w:rPr>
          <w:rFonts w:ascii="Arial" w:eastAsia="Times New Roman" w:hAnsi="Arial" w:cs="Arial"/>
          <w:i/>
          <w:iCs/>
          <w:kern w:val="0"/>
          <w:szCs w:val="22"/>
          <w:lang w:eastAsia="en-GB"/>
          <w14:ligatures w14:val="none"/>
        </w:rPr>
        <w:t>The Ultra Low Emission Zone (ULEZ) for London | London City Hall</w:t>
      </w:r>
      <w:r w:rsidRPr="00E23D31">
        <w:rPr>
          <w:rFonts w:ascii="Arial" w:eastAsia="Times New Roman" w:hAnsi="Arial" w:cs="Arial"/>
          <w:kern w:val="0"/>
          <w:szCs w:val="22"/>
          <w:lang w:eastAsia="en-GB"/>
          <w14:ligatures w14:val="none"/>
        </w:rPr>
        <w:t xml:space="preserve">, </w:t>
      </w:r>
      <w:r w:rsidRPr="00E23D31">
        <w:rPr>
          <w:rFonts w:ascii="Arial" w:eastAsia="Times New Roman" w:hAnsi="Arial" w:cs="Arial"/>
          <w:i/>
          <w:iCs/>
          <w:kern w:val="0"/>
          <w:szCs w:val="22"/>
          <w:lang w:eastAsia="en-GB"/>
          <w14:ligatures w14:val="none"/>
        </w:rPr>
        <w:t>www.london.gov.uk</w:t>
      </w:r>
      <w:r w:rsidRPr="00E23D31">
        <w:rPr>
          <w:rFonts w:ascii="Arial" w:eastAsia="Times New Roman" w:hAnsi="Arial" w:cs="Arial"/>
          <w:kern w:val="0"/>
          <w:szCs w:val="22"/>
          <w:lang w:eastAsia="en-GB"/>
          <w14:ligatures w14:val="none"/>
        </w:rPr>
        <w:t>. Available at: https://www.london.gov.uk/programmes-strategies/environment-and-climate-change/pollution-and-air-quality/ultra-low-emission-zone-ulez-london (Accessed: 18 March 2026).</w:t>
      </w:r>
    </w:p>
    <w:p w14:paraId="7F134AEF" w14:textId="77777777" w:rsidR="008B75C5" w:rsidRPr="008B75C5" w:rsidRDefault="008B75C5" w:rsidP="001C60CB">
      <w:pPr>
        <w:spacing w:after="240"/>
        <w:jc w:val="both"/>
        <w:rPr>
          <w:rFonts w:ascii="Arial" w:eastAsia="Times New Roman" w:hAnsi="Arial" w:cs="Arial"/>
          <w:kern w:val="0"/>
          <w:szCs w:val="22"/>
          <w:lang w:eastAsia="en-GB"/>
          <w14:ligatures w14:val="none"/>
        </w:rPr>
      </w:pPr>
      <w:proofErr w:type="spellStart"/>
      <w:r w:rsidRPr="008B75C5">
        <w:rPr>
          <w:rFonts w:ascii="Arial" w:eastAsia="Times New Roman" w:hAnsi="Arial" w:cs="Arial"/>
          <w:kern w:val="0"/>
          <w:szCs w:val="22"/>
          <w:lang w:eastAsia="en-GB"/>
          <w14:ligatures w14:val="none"/>
        </w:rPr>
        <w:t>Gov</w:t>
      </w:r>
      <w:proofErr w:type="spellEnd"/>
      <w:r w:rsidRPr="008B75C5">
        <w:rPr>
          <w:rFonts w:ascii="Arial" w:eastAsia="Times New Roman" w:hAnsi="Arial" w:cs="Arial"/>
          <w:kern w:val="0"/>
          <w:szCs w:val="22"/>
          <w:lang w:eastAsia="en-GB"/>
          <w14:ligatures w14:val="none"/>
        </w:rPr>
        <w:t xml:space="preserve"> UK (2024) </w:t>
      </w:r>
      <w:r w:rsidRPr="008B75C5">
        <w:rPr>
          <w:rFonts w:ascii="Arial" w:eastAsia="Times New Roman" w:hAnsi="Arial" w:cs="Arial"/>
          <w:i/>
          <w:iCs/>
          <w:kern w:val="0"/>
          <w:szCs w:val="22"/>
          <w:lang w:eastAsia="en-GB"/>
          <w14:ligatures w14:val="none"/>
        </w:rPr>
        <w:t>HMT-HMRC Soft Drinks Industry Levy Review</w:t>
      </w:r>
      <w:r w:rsidRPr="008B75C5">
        <w:rPr>
          <w:rFonts w:ascii="Arial" w:eastAsia="Times New Roman" w:hAnsi="Arial" w:cs="Arial"/>
          <w:kern w:val="0"/>
          <w:szCs w:val="22"/>
          <w:lang w:eastAsia="en-GB"/>
          <w14:ligatures w14:val="none"/>
        </w:rPr>
        <w:t xml:space="preserve">, </w:t>
      </w:r>
      <w:r w:rsidRPr="008B75C5">
        <w:rPr>
          <w:rFonts w:ascii="Arial" w:eastAsia="Times New Roman" w:hAnsi="Arial" w:cs="Arial"/>
          <w:i/>
          <w:iCs/>
          <w:kern w:val="0"/>
          <w:szCs w:val="22"/>
          <w:lang w:eastAsia="en-GB"/>
          <w14:ligatures w14:val="none"/>
        </w:rPr>
        <w:t>GOV.UK</w:t>
      </w:r>
      <w:r w:rsidRPr="008B75C5">
        <w:rPr>
          <w:rFonts w:ascii="Arial" w:eastAsia="Times New Roman" w:hAnsi="Arial" w:cs="Arial"/>
          <w:kern w:val="0"/>
          <w:szCs w:val="22"/>
          <w:lang w:eastAsia="en-GB"/>
          <w14:ligatures w14:val="none"/>
        </w:rPr>
        <w:t>. Available at: https://www.gov.uk/government/publications/soft-drinks-industry-levy-review/hmt-hmrc-soft-drinks-industry-levy-review? (Accessed: 11 March 2026).</w:t>
      </w:r>
    </w:p>
    <w:p w14:paraId="222EADB5" w14:textId="77777777" w:rsidR="008B75C5" w:rsidRPr="008B75C5" w:rsidRDefault="008B75C5" w:rsidP="008B75C5">
      <w:pPr>
        <w:spacing w:after="240"/>
        <w:jc w:val="both"/>
        <w:rPr>
          <w:rFonts w:ascii="Arial" w:eastAsia="Times New Roman" w:hAnsi="Arial" w:cs="Arial"/>
          <w:kern w:val="0"/>
          <w:szCs w:val="22"/>
          <w:lang w:eastAsia="en-GB"/>
          <w14:ligatures w14:val="none"/>
        </w:rPr>
      </w:pPr>
      <w:proofErr w:type="spellStart"/>
      <w:r w:rsidRPr="008B75C5">
        <w:rPr>
          <w:rFonts w:ascii="Arial" w:eastAsia="Times New Roman" w:hAnsi="Arial" w:cs="Arial"/>
          <w:kern w:val="0"/>
          <w:szCs w:val="22"/>
          <w:lang w:eastAsia="en-GB"/>
          <w14:ligatures w14:val="none"/>
        </w:rPr>
        <w:t>Gov</w:t>
      </w:r>
      <w:proofErr w:type="spellEnd"/>
      <w:r w:rsidRPr="008B75C5">
        <w:rPr>
          <w:rFonts w:ascii="Arial" w:eastAsia="Times New Roman" w:hAnsi="Arial" w:cs="Arial"/>
          <w:kern w:val="0"/>
          <w:szCs w:val="22"/>
          <w:lang w:eastAsia="en-GB"/>
          <w14:ligatures w14:val="none"/>
        </w:rPr>
        <w:t xml:space="preserve"> UK (2025) </w:t>
      </w:r>
      <w:r w:rsidRPr="008B75C5">
        <w:rPr>
          <w:rFonts w:ascii="Arial" w:eastAsia="Times New Roman" w:hAnsi="Arial" w:cs="Arial"/>
          <w:i/>
          <w:iCs/>
          <w:kern w:val="0"/>
          <w:szCs w:val="22"/>
          <w:lang w:eastAsia="en-GB"/>
          <w14:ligatures w14:val="none"/>
        </w:rPr>
        <w:t>Levelling-Up Missions annual report 2024 to 2025 (accessible version)</w:t>
      </w:r>
      <w:r w:rsidRPr="008B75C5">
        <w:rPr>
          <w:rFonts w:ascii="Arial" w:eastAsia="Times New Roman" w:hAnsi="Arial" w:cs="Arial"/>
          <w:kern w:val="0"/>
          <w:szCs w:val="22"/>
          <w:lang w:eastAsia="en-GB"/>
          <w14:ligatures w14:val="none"/>
        </w:rPr>
        <w:t xml:space="preserve">, </w:t>
      </w:r>
      <w:r w:rsidRPr="008B75C5">
        <w:rPr>
          <w:rFonts w:ascii="Arial" w:eastAsia="Times New Roman" w:hAnsi="Arial" w:cs="Arial"/>
          <w:i/>
          <w:iCs/>
          <w:kern w:val="0"/>
          <w:szCs w:val="22"/>
          <w:lang w:eastAsia="en-GB"/>
          <w14:ligatures w14:val="none"/>
        </w:rPr>
        <w:t>GOV.UK</w:t>
      </w:r>
      <w:r w:rsidRPr="008B75C5">
        <w:rPr>
          <w:rFonts w:ascii="Arial" w:eastAsia="Times New Roman" w:hAnsi="Arial" w:cs="Arial"/>
          <w:kern w:val="0"/>
          <w:szCs w:val="22"/>
          <w:lang w:eastAsia="en-GB"/>
          <w14:ligatures w14:val="none"/>
        </w:rPr>
        <w:t>. Available at: https://www.gov.uk/government/publications/levelling-up-missions-annual-report/levelling-up-missions-annual-report-2024-to-2025-accessible-version (Accessed: 22 February 2026).</w:t>
      </w:r>
    </w:p>
    <w:p w14:paraId="73CACE65" w14:textId="77777777" w:rsidR="008B75C5" w:rsidRPr="008B75C5" w:rsidRDefault="008B75C5" w:rsidP="008B75C5">
      <w:pPr>
        <w:spacing w:after="240"/>
        <w:jc w:val="both"/>
        <w:rPr>
          <w:rFonts w:ascii="Arial" w:eastAsia="Times New Roman" w:hAnsi="Arial" w:cs="Arial"/>
          <w:kern w:val="0"/>
          <w:szCs w:val="22"/>
          <w:lang w:eastAsia="en-GB"/>
          <w14:ligatures w14:val="none"/>
        </w:rPr>
      </w:pPr>
      <w:r w:rsidRPr="008B75C5">
        <w:rPr>
          <w:rFonts w:ascii="Arial" w:eastAsia="Times New Roman" w:hAnsi="Arial" w:cs="Arial"/>
          <w:kern w:val="0"/>
          <w:szCs w:val="22"/>
          <w:lang w:eastAsia="en-GB"/>
          <w14:ligatures w14:val="none"/>
        </w:rPr>
        <w:t>Harris-</w:t>
      </w:r>
      <w:proofErr w:type="spellStart"/>
      <w:r w:rsidRPr="008B75C5">
        <w:rPr>
          <w:rFonts w:ascii="Arial" w:eastAsia="Times New Roman" w:hAnsi="Arial" w:cs="Arial"/>
          <w:kern w:val="0"/>
          <w:szCs w:val="22"/>
          <w:lang w:eastAsia="en-GB"/>
          <w14:ligatures w14:val="none"/>
        </w:rPr>
        <w:t>Roxas</w:t>
      </w:r>
      <w:proofErr w:type="spellEnd"/>
      <w:r w:rsidRPr="008B75C5">
        <w:rPr>
          <w:rFonts w:ascii="Arial" w:eastAsia="Times New Roman" w:hAnsi="Arial" w:cs="Arial"/>
          <w:kern w:val="0"/>
          <w:szCs w:val="22"/>
          <w:lang w:eastAsia="en-GB"/>
          <w14:ligatures w14:val="none"/>
        </w:rPr>
        <w:t xml:space="preserve">, B. </w:t>
      </w:r>
      <w:r w:rsidRPr="008B75C5">
        <w:rPr>
          <w:rFonts w:ascii="Arial" w:eastAsia="Times New Roman" w:hAnsi="Arial" w:cs="Arial"/>
          <w:i/>
          <w:iCs/>
          <w:kern w:val="0"/>
          <w:szCs w:val="22"/>
          <w:lang w:eastAsia="en-GB"/>
          <w14:ligatures w14:val="none"/>
        </w:rPr>
        <w:t>et al.</w:t>
      </w:r>
      <w:r w:rsidRPr="008B75C5">
        <w:rPr>
          <w:rFonts w:ascii="Arial" w:eastAsia="Times New Roman" w:hAnsi="Arial" w:cs="Arial"/>
          <w:kern w:val="0"/>
          <w:szCs w:val="22"/>
          <w:lang w:eastAsia="en-GB"/>
          <w14:ligatures w14:val="none"/>
        </w:rPr>
        <w:t xml:space="preserve"> (2012) ‘Health impact assessment: the state of the art’, </w:t>
      </w:r>
      <w:r w:rsidRPr="008B75C5">
        <w:rPr>
          <w:rFonts w:ascii="Arial" w:eastAsia="Times New Roman" w:hAnsi="Arial" w:cs="Arial"/>
          <w:i/>
          <w:iCs/>
          <w:kern w:val="0"/>
          <w:szCs w:val="22"/>
          <w:lang w:eastAsia="en-GB"/>
          <w14:ligatures w14:val="none"/>
        </w:rPr>
        <w:t>Impact Assessment and Project Appraisal</w:t>
      </w:r>
      <w:r w:rsidRPr="008B75C5">
        <w:rPr>
          <w:rFonts w:ascii="Arial" w:eastAsia="Times New Roman" w:hAnsi="Arial" w:cs="Arial"/>
          <w:kern w:val="0"/>
          <w:szCs w:val="22"/>
          <w:lang w:eastAsia="en-GB"/>
          <w14:ligatures w14:val="none"/>
        </w:rPr>
        <w:t>, 30(1), pp. 43–52. Available at: https://doi.org/10.1080/14615517.2012.666035.</w:t>
      </w:r>
    </w:p>
    <w:p w14:paraId="758EF456" w14:textId="77777777" w:rsidR="008B75C5" w:rsidRPr="008B75C5" w:rsidRDefault="008B75C5" w:rsidP="008B75C5">
      <w:pPr>
        <w:spacing w:after="240"/>
        <w:jc w:val="both"/>
        <w:rPr>
          <w:rFonts w:ascii="Arial" w:eastAsia="Times New Roman" w:hAnsi="Arial" w:cs="Arial"/>
          <w:kern w:val="0"/>
          <w:szCs w:val="22"/>
          <w:lang w:eastAsia="en-GB"/>
          <w14:ligatures w14:val="none"/>
        </w:rPr>
      </w:pPr>
      <w:r w:rsidRPr="008B75C5">
        <w:rPr>
          <w:rFonts w:ascii="Arial" w:eastAsia="Times New Roman" w:hAnsi="Arial" w:cs="Arial"/>
          <w:kern w:val="0"/>
          <w:szCs w:val="22"/>
          <w:lang w:eastAsia="en-GB"/>
          <w14:ligatures w14:val="none"/>
        </w:rPr>
        <w:t xml:space="preserve">London Assembly (2025) </w:t>
      </w:r>
      <w:r w:rsidRPr="008B75C5">
        <w:rPr>
          <w:rFonts w:ascii="Arial" w:eastAsia="Times New Roman" w:hAnsi="Arial" w:cs="Arial"/>
          <w:i/>
          <w:iCs/>
          <w:kern w:val="0"/>
          <w:szCs w:val="22"/>
          <w:lang w:eastAsia="en-GB"/>
          <w14:ligatures w14:val="none"/>
        </w:rPr>
        <w:t>New evidence reveals that all Londoners are now breathing cleaner air following the first year of the expanded Ultra Low Emission Zone (ULEZ)</w:t>
      </w:r>
      <w:r w:rsidRPr="008B75C5">
        <w:rPr>
          <w:rFonts w:ascii="Arial" w:eastAsia="Times New Roman" w:hAnsi="Arial" w:cs="Arial"/>
          <w:kern w:val="0"/>
          <w:szCs w:val="22"/>
          <w:lang w:eastAsia="en-GB"/>
          <w14:ligatures w14:val="none"/>
        </w:rPr>
        <w:t xml:space="preserve">, </w:t>
      </w:r>
      <w:r w:rsidRPr="008B75C5">
        <w:rPr>
          <w:rFonts w:ascii="Arial" w:eastAsia="Times New Roman" w:hAnsi="Arial" w:cs="Arial"/>
          <w:i/>
          <w:iCs/>
          <w:kern w:val="0"/>
          <w:szCs w:val="22"/>
          <w:lang w:eastAsia="en-GB"/>
          <w14:ligatures w14:val="none"/>
        </w:rPr>
        <w:t>London City Hall</w:t>
      </w:r>
      <w:r w:rsidRPr="008B75C5">
        <w:rPr>
          <w:rFonts w:ascii="Arial" w:eastAsia="Times New Roman" w:hAnsi="Arial" w:cs="Arial"/>
          <w:kern w:val="0"/>
          <w:szCs w:val="22"/>
          <w:lang w:eastAsia="en-GB"/>
          <w14:ligatures w14:val="none"/>
        </w:rPr>
        <w:t>. Available at: https://www.london.gov.uk/media-centre/mayors-press-releases/new-evidence-reveals-all-londoners-are-now-breathing-cleaner-air-following-first-year-expanded-ultra (Accessed: 12 March 2026).</w:t>
      </w:r>
    </w:p>
    <w:p w14:paraId="08408D38" w14:textId="77777777" w:rsidR="008B75C5" w:rsidRPr="008B75C5" w:rsidRDefault="008B75C5" w:rsidP="008B75C5">
      <w:pPr>
        <w:spacing w:after="240"/>
        <w:jc w:val="both"/>
        <w:rPr>
          <w:rFonts w:ascii="Arial" w:eastAsia="Times New Roman" w:hAnsi="Arial" w:cs="Arial"/>
          <w:kern w:val="0"/>
          <w:szCs w:val="22"/>
          <w:lang w:eastAsia="en-GB"/>
          <w14:ligatures w14:val="none"/>
        </w:rPr>
      </w:pPr>
      <w:proofErr w:type="spellStart"/>
      <w:r w:rsidRPr="008B75C5">
        <w:rPr>
          <w:rFonts w:ascii="Arial" w:eastAsia="Times New Roman" w:hAnsi="Arial" w:cs="Arial"/>
          <w:kern w:val="0"/>
          <w:szCs w:val="22"/>
          <w:lang w:eastAsia="en-GB"/>
          <w14:ligatures w14:val="none"/>
        </w:rPr>
        <w:t>Longhurst</w:t>
      </w:r>
      <w:proofErr w:type="spellEnd"/>
      <w:r w:rsidRPr="008B75C5">
        <w:rPr>
          <w:rFonts w:ascii="Arial" w:eastAsia="Times New Roman" w:hAnsi="Arial" w:cs="Arial"/>
          <w:kern w:val="0"/>
          <w:szCs w:val="22"/>
          <w:lang w:eastAsia="en-GB"/>
          <w14:ligatures w14:val="none"/>
        </w:rPr>
        <w:t xml:space="preserve">, J. </w:t>
      </w:r>
      <w:r w:rsidRPr="008B75C5">
        <w:rPr>
          <w:rFonts w:ascii="Arial" w:eastAsia="Times New Roman" w:hAnsi="Arial" w:cs="Arial"/>
          <w:i/>
          <w:iCs/>
          <w:kern w:val="0"/>
          <w:szCs w:val="22"/>
          <w:lang w:eastAsia="en-GB"/>
          <w14:ligatures w14:val="none"/>
        </w:rPr>
        <w:t>et al.</w:t>
      </w:r>
      <w:r w:rsidRPr="008B75C5">
        <w:rPr>
          <w:rFonts w:ascii="Arial" w:eastAsia="Times New Roman" w:hAnsi="Arial" w:cs="Arial"/>
          <w:kern w:val="0"/>
          <w:szCs w:val="22"/>
          <w:lang w:eastAsia="en-GB"/>
          <w14:ligatures w14:val="none"/>
        </w:rPr>
        <w:t xml:space="preserve"> (2018) ‘Analysing air pollution and its management through the lens of the UN sustainable development goals: A review and assessment’, </w:t>
      </w:r>
      <w:r w:rsidRPr="008B75C5">
        <w:rPr>
          <w:rFonts w:ascii="Arial" w:eastAsia="Times New Roman" w:hAnsi="Arial" w:cs="Arial"/>
          <w:i/>
          <w:iCs/>
          <w:kern w:val="0"/>
          <w:szCs w:val="22"/>
          <w:lang w:eastAsia="en-GB"/>
          <w14:ligatures w14:val="none"/>
        </w:rPr>
        <w:t>WIT Transactions on Ecology and the Environment</w:t>
      </w:r>
      <w:r w:rsidRPr="008B75C5">
        <w:rPr>
          <w:rFonts w:ascii="Arial" w:eastAsia="Times New Roman" w:hAnsi="Arial" w:cs="Arial"/>
          <w:kern w:val="0"/>
          <w:szCs w:val="22"/>
          <w:lang w:eastAsia="en-GB"/>
          <w14:ligatures w14:val="none"/>
        </w:rPr>
        <w:t>, 230, pp. 3–14. Available at: https://doi.org/10.2495/air180011.</w:t>
      </w:r>
    </w:p>
    <w:p w14:paraId="2F764821" w14:textId="77777777" w:rsidR="008B75C5" w:rsidRPr="008B75C5" w:rsidRDefault="008B75C5" w:rsidP="008B75C5">
      <w:pPr>
        <w:spacing w:after="240"/>
        <w:jc w:val="both"/>
        <w:rPr>
          <w:rFonts w:ascii="Arial" w:eastAsia="Times New Roman" w:hAnsi="Arial" w:cs="Arial"/>
          <w:kern w:val="0"/>
          <w:szCs w:val="22"/>
          <w:lang w:eastAsia="en-GB"/>
          <w14:ligatures w14:val="none"/>
        </w:rPr>
      </w:pPr>
      <w:proofErr w:type="spellStart"/>
      <w:r w:rsidRPr="008B75C5">
        <w:rPr>
          <w:rFonts w:ascii="Arial" w:eastAsia="Times New Roman" w:hAnsi="Arial" w:cs="Arial"/>
          <w:kern w:val="0"/>
          <w:szCs w:val="22"/>
          <w:lang w:eastAsia="en-GB"/>
          <w14:ligatures w14:val="none"/>
        </w:rPr>
        <w:t>Mebrahtu</w:t>
      </w:r>
      <w:proofErr w:type="spellEnd"/>
      <w:r w:rsidRPr="008B75C5">
        <w:rPr>
          <w:rFonts w:ascii="Arial" w:eastAsia="Times New Roman" w:hAnsi="Arial" w:cs="Arial"/>
          <w:kern w:val="0"/>
          <w:szCs w:val="22"/>
          <w:lang w:eastAsia="en-GB"/>
          <w14:ligatures w14:val="none"/>
        </w:rPr>
        <w:t xml:space="preserve">, T.F. </w:t>
      </w:r>
      <w:r w:rsidRPr="008B75C5">
        <w:rPr>
          <w:rFonts w:ascii="Arial" w:eastAsia="Times New Roman" w:hAnsi="Arial" w:cs="Arial"/>
          <w:i/>
          <w:iCs/>
          <w:kern w:val="0"/>
          <w:szCs w:val="22"/>
          <w:lang w:eastAsia="en-GB"/>
          <w14:ligatures w14:val="none"/>
        </w:rPr>
        <w:t>et al.</w:t>
      </w:r>
      <w:r w:rsidRPr="008B75C5">
        <w:rPr>
          <w:rFonts w:ascii="Arial" w:eastAsia="Times New Roman" w:hAnsi="Arial" w:cs="Arial"/>
          <w:kern w:val="0"/>
          <w:szCs w:val="22"/>
          <w:lang w:eastAsia="en-GB"/>
          <w14:ligatures w14:val="none"/>
        </w:rPr>
        <w:t xml:space="preserve"> (2025) ‘Impact of an urban city-wide Bradford clean air plan on health service use and nitrogen dioxide 24 months after implementation: An interrupted time series analysis’, </w:t>
      </w:r>
      <w:r w:rsidRPr="008B75C5">
        <w:rPr>
          <w:rFonts w:ascii="Arial" w:eastAsia="Times New Roman" w:hAnsi="Arial" w:cs="Arial"/>
          <w:i/>
          <w:iCs/>
          <w:kern w:val="0"/>
          <w:szCs w:val="22"/>
          <w:lang w:eastAsia="en-GB"/>
          <w14:ligatures w14:val="none"/>
        </w:rPr>
        <w:t>Environmental Research</w:t>
      </w:r>
      <w:r w:rsidRPr="008B75C5">
        <w:rPr>
          <w:rFonts w:ascii="Arial" w:eastAsia="Times New Roman" w:hAnsi="Arial" w:cs="Arial"/>
          <w:kern w:val="0"/>
          <w:szCs w:val="22"/>
          <w:lang w:eastAsia="en-GB"/>
          <w14:ligatures w14:val="none"/>
        </w:rPr>
        <w:t>, 270, p. 120988. Available at: https://doi.org/10.1016/j.envres.2025.120988.</w:t>
      </w:r>
    </w:p>
    <w:p w14:paraId="67B9E8F6" w14:textId="77777777" w:rsidR="008B75C5" w:rsidRPr="008B75C5" w:rsidRDefault="008B75C5" w:rsidP="008B75C5">
      <w:pPr>
        <w:spacing w:after="240"/>
        <w:jc w:val="both"/>
        <w:rPr>
          <w:rFonts w:ascii="Arial" w:eastAsia="Times New Roman" w:hAnsi="Arial" w:cs="Arial"/>
          <w:kern w:val="0"/>
          <w:szCs w:val="22"/>
          <w:lang w:eastAsia="en-GB"/>
          <w14:ligatures w14:val="none"/>
        </w:rPr>
      </w:pPr>
      <w:proofErr w:type="spellStart"/>
      <w:r w:rsidRPr="008B75C5">
        <w:rPr>
          <w:rFonts w:ascii="Arial" w:eastAsia="Times New Roman" w:hAnsi="Arial" w:cs="Arial"/>
          <w:kern w:val="0"/>
          <w:szCs w:val="22"/>
          <w:lang w:eastAsia="en-GB"/>
          <w14:ligatures w14:val="none"/>
        </w:rPr>
        <w:t>Nesmachnow</w:t>
      </w:r>
      <w:proofErr w:type="spellEnd"/>
      <w:r w:rsidRPr="008B75C5">
        <w:rPr>
          <w:rFonts w:ascii="Arial" w:eastAsia="Times New Roman" w:hAnsi="Arial" w:cs="Arial"/>
          <w:kern w:val="0"/>
          <w:szCs w:val="22"/>
          <w:lang w:eastAsia="en-GB"/>
          <w14:ligatures w14:val="none"/>
        </w:rPr>
        <w:t xml:space="preserve">, S. and </w:t>
      </w:r>
      <w:proofErr w:type="spellStart"/>
      <w:r w:rsidRPr="008B75C5">
        <w:rPr>
          <w:rFonts w:ascii="Arial" w:eastAsia="Times New Roman" w:hAnsi="Arial" w:cs="Arial"/>
          <w:kern w:val="0"/>
          <w:szCs w:val="22"/>
          <w:lang w:eastAsia="en-GB"/>
          <w14:ligatures w14:val="none"/>
        </w:rPr>
        <w:t>Callejo</w:t>
      </w:r>
      <w:proofErr w:type="spellEnd"/>
      <w:r w:rsidRPr="008B75C5">
        <w:rPr>
          <w:rFonts w:ascii="Arial" w:eastAsia="Times New Roman" w:hAnsi="Arial" w:cs="Arial"/>
          <w:kern w:val="0"/>
          <w:szCs w:val="22"/>
          <w:lang w:eastAsia="en-GB"/>
          <w14:ligatures w14:val="none"/>
        </w:rPr>
        <w:t xml:space="preserve">, L.H. (2025) ‘The Urban Agenda’, </w:t>
      </w:r>
      <w:r w:rsidRPr="008B75C5">
        <w:rPr>
          <w:rFonts w:ascii="Arial" w:eastAsia="Times New Roman" w:hAnsi="Arial" w:cs="Arial"/>
          <w:i/>
          <w:iCs/>
          <w:kern w:val="0"/>
          <w:szCs w:val="22"/>
          <w:lang w:eastAsia="en-GB"/>
          <w14:ligatures w14:val="none"/>
        </w:rPr>
        <w:t>Urban Science</w:t>
      </w:r>
      <w:r w:rsidRPr="008B75C5">
        <w:rPr>
          <w:rFonts w:ascii="Arial" w:eastAsia="Times New Roman" w:hAnsi="Arial" w:cs="Arial"/>
          <w:kern w:val="0"/>
          <w:szCs w:val="22"/>
          <w:lang w:eastAsia="en-GB"/>
          <w14:ligatures w14:val="none"/>
        </w:rPr>
        <w:t>, 9(12), p. 500. Available at: https://doi.org/10.3390/urbansci9120500.</w:t>
      </w:r>
    </w:p>
    <w:p w14:paraId="622B1070" w14:textId="77777777" w:rsidR="008B75C5" w:rsidRPr="008B75C5" w:rsidRDefault="008B75C5" w:rsidP="008B75C5">
      <w:pPr>
        <w:spacing w:after="240"/>
        <w:jc w:val="both"/>
        <w:rPr>
          <w:rFonts w:ascii="Arial" w:eastAsia="Times New Roman" w:hAnsi="Arial" w:cs="Arial"/>
          <w:kern w:val="0"/>
          <w:szCs w:val="22"/>
          <w:lang w:eastAsia="en-GB"/>
          <w14:ligatures w14:val="none"/>
        </w:rPr>
      </w:pPr>
      <w:r w:rsidRPr="008B75C5">
        <w:rPr>
          <w:rFonts w:ascii="Arial" w:eastAsia="Times New Roman" w:hAnsi="Arial" w:cs="Arial"/>
          <w:kern w:val="0"/>
          <w:szCs w:val="22"/>
          <w:lang w:eastAsia="en-GB"/>
          <w14:ligatures w14:val="none"/>
        </w:rPr>
        <w:t xml:space="preserve">Ramirez-Rubio, O. </w:t>
      </w:r>
      <w:r w:rsidRPr="008B75C5">
        <w:rPr>
          <w:rFonts w:ascii="Arial" w:eastAsia="Times New Roman" w:hAnsi="Arial" w:cs="Arial"/>
          <w:i/>
          <w:iCs/>
          <w:kern w:val="0"/>
          <w:szCs w:val="22"/>
          <w:lang w:eastAsia="en-GB"/>
          <w14:ligatures w14:val="none"/>
        </w:rPr>
        <w:t>et al.</w:t>
      </w:r>
      <w:r w:rsidRPr="008B75C5">
        <w:rPr>
          <w:rFonts w:ascii="Arial" w:eastAsia="Times New Roman" w:hAnsi="Arial" w:cs="Arial"/>
          <w:kern w:val="0"/>
          <w:szCs w:val="22"/>
          <w:lang w:eastAsia="en-GB"/>
          <w14:ligatures w14:val="none"/>
        </w:rPr>
        <w:t xml:space="preserve"> (2019) ‘Urban health: an example of a “health in all policies” approach in the context of SDGs implementation’, </w:t>
      </w:r>
      <w:r w:rsidRPr="008B75C5">
        <w:rPr>
          <w:rFonts w:ascii="Arial" w:eastAsia="Times New Roman" w:hAnsi="Arial" w:cs="Arial"/>
          <w:i/>
          <w:iCs/>
          <w:kern w:val="0"/>
          <w:szCs w:val="22"/>
          <w:lang w:eastAsia="en-GB"/>
          <w14:ligatures w14:val="none"/>
        </w:rPr>
        <w:t>Globalization and Health</w:t>
      </w:r>
      <w:r w:rsidRPr="008B75C5">
        <w:rPr>
          <w:rFonts w:ascii="Arial" w:eastAsia="Times New Roman" w:hAnsi="Arial" w:cs="Arial"/>
          <w:kern w:val="0"/>
          <w:szCs w:val="22"/>
          <w:lang w:eastAsia="en-GB"/>
          <w14:ligatures w14:val="none"/>
        </w:rPr>
        <w:t>, 15(1). Available at: https://doi.org/10.1186/s12992-019-0529-z.</w:t>
      </w:r>
    </w:p>
    <w:p w14:paraId="2922882F" w14:textId="77777777" w:rsidR="008B75C5" w:rsidRPr="008B75C5" w:rsidRDefault="008B75C5" w:rsidP="008B75C5">
      <w:pPr>
        <w:spacing w:after="240"/>
        <w:jc w:val="both"/>
        <w:rPr>
          <w:rFonts w:ascii="Arial" w:eastAsia="Times New Roman" w:hAnsi="Arial" w:cs="Arial"/>
          <w:kern w:val="0"/>
          <w:szCs w:val="22"/>
          <w:lang w:eastAsia="en-GB"/>
          <w14:ligatures w14:val="none"/>
        </w:rPr>
      </w:pPr>
      <w:proofErr w:type="spellStart"/>
      <w:r w:rsidRPr="008B75C5">
        <w:rPr>
          <w:rFonts w:ascii="Arial" w:eastAsia="Times New Roman" w:hAnsi="Arial" w:cs="Arial"/>
          <w:kern w:val="0"/>
          <w:szCs w:val="22"/>
          <w:lang w:eastAsia="en-GB"/>
          <w14:ligatures w14:val="none"/>
        </w:rPr>
        <w:t>Razmara</w:t>
      </w:r>
      <w:proofErr w:type="spellEnd"/>
      <w:r w:rsidRPr="008B75C5">
        <w:rPr>
          <w:rFonts w:ascii="Arial" w:eastAsia="Times New Roman" w:hAnsi="Arial" w:cs="Arial"/>
          <w:kern w:val="0"/>
          <w:szCs w:val="22"/>
          <w:lang w:eastAsia="en-GB"/>
          <w14:ligatures w14:val="none"/>
        </w:rPr>
        <w:t xml:space="preserve">, A. </w:t>
      </w:r>
      <w:r w:rsidRPr="008B75C5">
        <w:rPr>
          <w:rFonts w:ascii="Arial" w:eastAsia="Times New Roman" w:hAnsi="Arial" w:cs="Arial"/>
          <w:i/>
          <w:iCs/>
          <w:kern w:val="0"/>
          <w:szCs w:val="22"/>
          <w:lang w:eastAsia="en-GB"/>
          <w14:ligatures w14:val="none"/>
        </w:rPr>
        <w:t>et al.</w:t>
      </w:r>
      <w:r w:rsidRPr="008B75C5">
        <w:rPr>
          <w:rFonts w:ascii="Arial" w:eastAsia="Times New Roman" w:hAnsi="Arial" w:cs="Arial"/>
          <w:kern w:val="0"/>
          <w:szCs w:val="22"/>
          <w:lang w:eastAsia="en-GB"/>
          <w14:ligatures w14:val="none"/>
        </w:rPr>
        <w:t xml:space="preserve"> (2018) ‘Prediction of safe driving Behaviours based on health belief model: the case of taxi drivers in Bandar Abbas, Iran’, </w:t>
      </w:r>
      <w:r w:rsidRPr="008B75C5">
        <w:rPr>
          <w:rFonts w:ascii="Arial" w:eastAsia="Times New Roman" w:hAnsi="Arial" w:cs="Arial"/>
          <w:i/>
          <w:iCs/>
          <w:kern w:val="0"/>
          <w:szCs w:val="22"/>
          <w:lang w:eastAsia="en-GB"/>
          <w14:ligatures w14:val="none"/>
        </w:rPr>
        <w:t>BMC Public Health</w:t>
      </w:r>
      <w:r w:rsidRPr="008B75C5">
        <w:rPr>
          <w:rFonts w:ascii="Arial" w:eastAsia="Times New Roman" w:hAnsi="Arial" w:cs="Arial"/>
          <w:kern w:val="0"/>
          <w:szCs w:val="22"/>
          <w:lang w:eastAsia="en-GB"/>
          <w14:ligatures w14:val="none"/>
        </w:rPr>
        <w:t>, 18(1). Available at: https://doi.org/10.1186/s12889-018-5300-5.</w:t>
      </w:r>
    </w:p>
    <w:p w14:paraId="2CCF3157" w14:textId="77777777" w:rsidR="008B75C5" w:rsidRPr="008B75C5" w:rsidRDefault="008B75C5" w:rsidP="008B75C5">
      <w:pPr>
        <w:spacing w:after="240"/>
        <w:jc w:val="both"/>
        <w:rPr>
          <w:rFonts w:ascii="Arial" w:eastAsia="Times New Roman" w:hAnsi="Arial" w:cs="Arial"/>
          <w:kern w:val="0"/>
          <w:szCs w:val="22"/>
          <w:lang w:eastAsia="en-GB"/>
          <w14:ligatures w14:val="none"/>
        </w:rPr>
      </w:pPr>
      <w:proofErr w:type="spellStart"/>
      <w:r w:rsidRPr="008B75C5">
        <w:rPr>
          <w:rFonts w:ascii="Arial" w:eastAsia="Times New Roman" w:hAnsi="Arial" w:cs="Arial"/>
          <w:kern w:val="0"/>
          <w:szCs w:val="22"/>
          <w:lang w:eastAsia="en-GB"/>
          <w14:ligatures w14:val="none"/>
        </w:rPr>
        <w:t>Seelajaroen</w:t>
      </w:r>
      <w:proofErr w:type="spellEnd"/>
      <w:r w:rsidRPr="008B75C5">
        <w:rPr>
          <w:rFonts w:ascii="Arial" w:eastAsia="Times New Roman" w:hAnsi="Arial" w:cs="Arial"/>
          <w:kern w:val="0"/>
          <w:szCs w:val="22"/>
          <w:lang w:eastAsia="en-GB"/>
          <w14:ligatures w14:val="none"/>
        </w:rPr>
        <w:t xml:space="preserve">, R. and </w:t>
      </w:r>
      <w:proofErr w:type="spellStart"/>
      <w:r w:rsidRPr="008B75C5">
        <w:rPr>
          <w:rFonts w:ascii="Arial" w:eastAsia="Times New Roman" w:hAnsi="Arial" w:cs="Arial"/>
          <w:kern w:val="0"/>
          <w:szCs w:val="22"/>
          <w:lang w:eastAsia="en-GB"/>
          <w14:ligatures w14:val="none"/>
        </w:rPr>
        <w:t>Jitmaneeroj</w:t>
      </w:r>
      <w:proofErr w:type="spellEnd"/>
      <w:r w:rsidRPr="008B75C5">
        <w:rPr>
          <w:rFonts w:ascii="Arial" w:eastAsia="Times New Roman" w:hAnsi="Arial" w:cs="Arial"/>
          <w:kern w:val="0"/>
          <w:szCs w:val="22"/>
          <w:lang w:eastAsia="en-GB"/>
          <w14:ligatures w14:val="none"/>
        </w:rPr>
        <w:t xml:space="preserve">, B. (2025) ‘Interdependencies among SDGs: evidence-based insights for sustainable development indicators and policy’, </w:t>
      </w:r>
      <w:r w:rsidRPr="008B75C5">
        <w:rPr>
          <w:rFonts w:ascii="Arial" w:eastAsia="Times New Roman" w:hAnsi="Arial" w:cs="Arial"/>
          <w:i/>
          <w:iCs/>
          <w:kern w:val="0"/>
          <w:szCs w:val="22"/>
          <w:lang w:eastAsia="en-GB"/>
          <w14:ligatures w14:val="none"/>
        </w:rPr>
        <w:t>Environmental and Sustainability Indicators</w:t>
      </w:r>
      <w:r w:rsidRPr="008B75C5">
        <w:rPr>
          <w:rFonts w:ascii="Arial" w:eastAsia="Times New Roman" w:hAnsi="Arial" w:cs="Arial"/>
          <w:kern w:val="0"/>
          <w:szCs w:val="22"/>
          <w:lang w:eastAsia="en-GB"/>
          <w14:ligatures w14:val="none"/>
        </w:rPr>
        <w:t>, 27, pp. 100762–100762. Available at: https://doi.org/10.1016/j.indic.2025.100762.</w:t>
      </w:r>
    </w:p>
    <w:p w14:paraId="23A4AE46" w14:textId="77777777" w:rsidR="008B75C5" w:rsidRPr="008B75C5" w:rsidRDefault="008B75C5" w:rsidP="008B75C5">
      <w:pPr>
        <w:spacing w:after="240"/>
        <w:jc w:val="both"/>
        <w:rPr>
          <w:rFonts w:ascii="Arial" w:eastAsia="Times New Roman" w:hAnsi="Arial" w:cs="Arial"/>
          <w:kern w:val="0"/>
          <w:szCs w:val="22"/>
          <w:lang w:eastAsia="en-GB"/>
          <w14:ligatures w14:val="none"/>
        </w:rPr>
      </w:pPr>
      <w:r w:rsidRPr="008B75C5">
        <w:rPr>
          <w:rFonts w:ascii="Arial" w:eastAsia="Times New Roman" w:hAnsi="Arial" w:cs="Arial"/>
          <w:kern w:val="0"/>
          <w:szCs w:val="22"/>
          <w:lang w:eastAsia="en-GB"/>
          <w14:ligatures w14:val="none"/>
        </w:rPr>
        <w:t xml:space="preserve">Singh, O. (2021) ‘Comprehensive Mental Health Action Plan 2013–2030: We must rise to the challenge’, </w:t>
      </w:r>
      <w:r w:rsidRPr="008B75C5">
        <w:rPr>
          <w:rFonts w:ascii="Arial" w:eastAsia="Times New Roman" w:hAnsi="Arial" w:cs="Arial"/>
          <w:i/>
          <w:iCs/>
          <w:kern w:val="0"/>
          <w:szCs w:val="22"/>
          <w:lang w:eastAsia="en-GB"/>
          <w14:ligatures w14:val="none"/>
        </w:rPr>
        <w:t>Indian Journal of Psychiatry</w:t>
      </w:r>
      <w:r w:rsidRPr="008B75C5">
        <w:rPr>
          <w:rFonts w:ascii="Arial" w:eastAsia="Times New Roman" w:hAnsi="Arial" w:cs="Arial"/>
          <w:kern w:val="0"/>
          <w:szCs w:val="22"/>
          <w:lang w:eastAsia="en-GB"/>
          <w14:ligatures w14:val="none"/>
        </w:rPr>
        <w:t>, 63(5), p. 415. Available at: https://doi.org/10.4103/indianjpsychiatry.indianjpsychiatry_811_21.</w:t>
      </w:r>
    </w:p>
    <w:p w14:paraId="7FBE7AD5" w14:textId="77777777" w:rsidR="008B75C5" w:rsidRPr="008B75C5" w:rsidRDefault="008B75C5" w:rsidP="008B75C5">
      <w:pPr>
        <w:spacing w:after="240"/>
        <w:jc w:val="both"/>
        <w:rPr>
          <w:rFonts w:ascii="Arial" w:eastAsia="Times New Roman" w:hAnsi="Arial" w:cs="Arial"/>
          <w:kern w:val="0"/>
          <w:szCs w:val="22"/>
          <w:lang w:eastAsia="en-GB"/>
          <w14:ligatures w14:val="none"/>
        </w:rPr>
      </w:pPr>
      <w:r w:rsidRPr="008B75C5">
        <w:rPr>
          <w:rFonts w:ascii="Arial" w:eastAsia="Times New Roman" w:hAnsi="Arial" w:cs="Arial"/>
          <w:kern w:val="0"/>
          <w:szCs w:val="22"/>
          <w:lang w:eastAsia="en-GB"/>
          <w14:ligatures w14:val="none"/>
        </w:rPr>
        <w:t xml:space="preserve">UN Habitat (2020) </w:t>
      </w:r>
      <w:r w:rsidRPr="008B75C5">
        <w:rPr>
          <w:rFonts w:ascii="Arial" w:eastAsia="Times New Roman" w:hAnsi="Arial" w:cs="Arial"/>
          <w:i/>
          <w:iCs/>
          <w:kern w:val="0"/>
          <w:szCs w:val="22"/>
          <w:lang w:eastAsia="en-GB"/>
          <w14:ligatures w14:val="none"/>
        </w:rPr>
        <w:t>The New Urban Agenda Illustrated | UN-Habitat</w:t>
      </w:r>
      <w:r w:rsidRPr="008B75C5">
        <w:rPr>
          <w:rFonts w:ascii="Arial" w:eastAsia="Times New Roman" w:hAnsi="Arial" w:cs="Arial"/>
          <w:kern w:val="0"/>
          <w:szCs w:val="22"/>
          <w:lang w:eastAsia="en-GB"/>
          <w14:ligatures w14:val="none"/>
        </w:rPr>
        <w:t xml:space="preserve">, </w:t>
      </w:r>
      <w:r w:rsidRPr="008B75C5">
        <w:rPr>
          <w:rFonts w:ascii="Arial" w:eastAsia="Times New Roman" w:hAnsi="Arial" w:cs="Arial"/>
          <w:i/>
          <w:iCs/>
          <w:kern w:val="0"/>
          <w:szCs w:val="22"/>
          <w:lang w:eastAsia="en-GB"/>
          <w14:ligatures w14:val="none"/>
        </w:rPr>
        <w:t>unhabitat.org</w:t>
      </w:r>
      <w:r w:rsidRPr="008B75C5">
        <w:rPr>
          <w:rFonts w:ascii="Arial" w:eastAsia="Times New Roman" w:hAnsi="Arial" w:cs="Arial"/>
          <w:kern w:val="0"/>
          <w:szCs w:val="22"/>
          <w:lang w:eastAsia="en-GB"/>
          <w14:ligatures w14:val="none"/>
        </w:rPr>
        <w:t>. Available at: https://unhabitat.org/the-new-urban-agenda-illustrated (Accessed: 22 February 2026).</w:t>
      </w:r>
    </w:p>
    <w:p w14:paraId="497B418D" w14:textId="77777777" w:rsidR="008B75C5" w:rsidRPr="008B75C5" w:rsidRDefault="008B75C5" w:rsidP="008B75C5">
      <w:pPr>
        <w:spacing w:after="240"/>
        <w:jc w:val="both"/>
        <w:rPr>
          <w:rFonts w:ascii="Arial" w:eastAsia="Times New Roman" w:hAnsi="Arial" w:cs="Arial"/>
          <w:kern w:val="0"/>
          <w:szCs w:val="22"/>
          <w:lang w:eastAsia="en-GB"/>
          <w14:ligatures w14:val="none"/>
        </w:rPr>
      </w:pPr>
      <w:r w:rsidRPr="008B75C5">
        <w:rPr>
          <w:rFonts w:ascii="Arial" w:eastAsia="Times New Roman" w:hAnsi="Arial" w:cs="Arial"/>
          <w:kern w:val="0"/>
          <w:szCs w:val="22"/>
          <w:lang w:eastAsia="en-GB"/>
          <w14:ligatures w14:val="none"/>
        </w:rPr>
        <w:t xml:space="preserve">UN Habitat (2023) </w:t>
      </w:r>
      <w:r w:rsidRPr="008B75C5">
        <w:rPr>
          <w:rFonts w:ascii="Arial" w:eastAsia="Times New Roman" w:hAnsi="Arial" w:cs="Arial"/>
          <w:i/>
          <w:iCs/>
          <w:kern w:val="0"/>
          <w:szCs w:val="22"/>
          <w:lang w:eastAsia="en-GB"/>
          <w14:ligatures w14:val="none"/>
        </w:rPr>
        <w:t>Progress in the implementation of the New Urban Agenda and the 2030 Agenda for Sustainable Development</w:t>
      </w:r>
      <w:r w:rsidRPr="008B75C5">
        <w:rPr>
          <w:rFonts w:ascii="Arial" w:eastAsia="Times New Roman" w:hAnsi="Arial" w:cs="Arial"/>
          <w:kern w:val="0"/>
          <w:szCs w:val="22"/>
          <w:lang w:eastAsia="en-GB"/>
          <w14:ligatures w14:val="none"/>
        </w:rPr>
        <w:t>. Available at: https://unhabitat.org/sites/default/files/2023/05/2306199e.pdf (Accessed: 22 February 2026).</w:t>
      </w:r>
    </w:p>
    <w:p w14:paraId="188EA7F3" w14:textId="77777777" w:rsidR="008B75C5" w:rsidRPr="008B75C5" w:rsidRDefault="008B75C5" w:rsidP="008B75C5">
      <w:pPr>
        <w:spacing w:after="240"/>
        <w:jc w:val="both"/>
        <w:rPr>
          <w:rFonts w:ascii="Arial" w:eastAsia="Times New Roman" w:hAnsi="Arial" w:cs="Arial"/>
          <w:kern w:val="0"/>
          <w:szCs w:val="22"/>
          <w:lang w:eastAsia="en-GB"/>
          <w14:ligatures w14:val="none"/>
        </w:rPr>
      </w:pPr>
      <w:r w:rsidRPr="008B75C5">
        <w:rPr>
          <w:rFonts w:ascii="Arial" w:eastAsia="Times New Roman" w:hAnsi="Arial" w:cs="Arial"/>
          <w:kern w:val="0"/>
          <w:szCs w:val="22"/>
          <w:lang w:eastAsia="en-GB"/>
          <w14:ligatures w14:val="none"/>
        </w:rPr>
        <w:t xml:space="preserve">United Nations (2025) </w:t>
      </w:r>
      <w:r w:rsidRPr="008B75C5">
        <w:rPr>
          <w:rFonts w:ascii="Arial" w:eastAsia="Times New Roman" w:hAnsi="Arial" w:cs="Arial"/>
          <w:i/>
          <w:iCs/>
          <w:kern w:val="0"/>
          <w:szCs w:val="22"/>
          <w:lang w:eastAsia="en-GB"/>
          <w14:ligatures w14:val="none"/>
        </w:rPr>
        <w:t>Goal 3: Ensure healthy lives and promote well-being for all at all ages</w:t>
      </w:r>
      <w:r w:rsidRPr="008B75C5">
        <w:rPr>
          <w:rFonts w:ascii="Arial" w:eastAsia="Times New Roman" w:hAnsi="Arial" w:cs="Arial"/>
          <w:kern w:val="0"/>
          <w:szCs w:val="22"/>
          <w:lang w:eastAsia="en-GB"/>
          <w14:ligatures w14:val="none"/>
        </w:rPr>
        <w:t xml:space="preserve">, </w:t>
      </w:r>
      <w:r w:rsidRPr="008B75C5">
        <w:rPr>
          <w:rFonts w:ascii="Arial" w:eastAsia="Times New Roman" w:hAnsi="Arial" w:cs="Arial"/>
          <w:i/>
          <w:iCs/>
          <w:kern w:val="0"/>
          <w:szCs w:val="22"/>
          <w:lang w:eastAsia="en-GB"/>
          <w14:ligatures w14:val="none"/>
        </w:rPr>
        <w:t>United Nations</w:t>
      </w:r>
      <w:r w:rsidRPr="008B75C5">
        <w:rPr>
          <w:rFonts w:ascii="Arial" w:eastAsia="Times New Roman" w:hAnsi="Arial" w:cs="Arial"/>
          <w:kern w:val="0"/>
          <w:szCs w:val="22"/>
          <w:lang w:eastAsia="en-GB"/>
          <w14:ligatures w14:val="none"/>
        </w:rPr>
        <w:t>. Available at: https://sdgs.un.org/goals/goal3 (Accessed: 22 February 2026).</w:t>
      </w:r>
    </w:p>
    <w:p w14:paraId="33CDD411" w14:textId="77777777" w:rsidR="008B75C5" w:rsidRPr="008B75C5" w:rsidRDefault="008B75C5" w:rsidP="008B75C5">
      <w:pPr>
        <w:spacing w:after="240"/>
        <w:jc w:val="both"/>
        <w:rPr>
          <w:rFonts w:ascii="Arial" w:eastAsia="Times New Roman" w:hAnsi="Arial" w:cs="Arial"/>
          <w:kern w:val="0"/>
          <w:szCs w:val="22"/>
          <w:lang w:eastAsia="en-GB"/>
          <w14:ligatures w14:val="none"/>
        </w:rPr>
      </w:pPr>
      <w:r w:rsidRPr="008B75C5">
        <w:rPr>
          <w:rFonts w:ascii="Arial" w:eastAsia="Times New Roman" w:hAnsi="Arial" w:cs="Arial"/>
          <w:kern w:val="0"/>
          <w:szCs w:val="22"/>
          <w:lang w:eastAsia="en-GB"/>
          <w14:ligatures w14:val="none"/>
        </w:rPr>
        <w:t xml:space="preserve">Vardoulakis, S. </w:t>
      </w:r>
      <w:r w:rsidRPr="008B75C5">
        <w:rPr>
          <w:rFonts w:ascii="Arial" w:eastAsia="Times New Roman" w:hAnsi="Arial" w:cs="Arial"/>
          <w:i/>
          <w:iCs/>
          <w:kern w:val="0"/>
          <w:szCs w:val="22"/>
          <w:lang w:eastAsia="en-GB"/>
          <w14:ligatures w14:val="none"/>
        </w:rPr>
        <w:t>et al.</w:t>
      </w:r>
      <w:r w:rsidRPr="008B75C5">
        <w:rPr>
          <w:rFonts w:ascii="Arial" w:eastAsia="Times New Roman" w:hAnsi="Arial" w:cs="Arial"/>
          <w:kern w:val="0"/>
          <w:szCs w:val="22"/>
          <w:lang w:eastAsia="en-GB"/>
          <w14:ligatures w14:val="none"/>
        </w:rPr>
        <w:t xml:space="preserve"> (2020) ‘Urban Environmental Health Interventions towards the Sustainable Development Goals’, </w:t>
      </w:r>
      <w:r w:rsidRPr="008B75C5">
        <w:rPr>
          <w:rFonts w:ascii="Arial" w:eastAsia="Times New Roman" w:hAnsi="Arial" w:cs="Arial"/>
          <w:i/>
          <w:iCs/>
          <w:kern w:val="0"/>
          <w:szCs w:val="22"/>
          <w:lang w:eastAsia="en-GB"/>
          <w14:ligatures w14:val="none"/>
        </w:rPr>
        <w:t>Science of The Total Environment</w:t>
      </w:r>
      <w:r w:rsidRPr="008B75C5">
        <w:rPr>
          <w:rFonts w:ascii="Arial" w:eastAsia="Times New Roman" w:hAnsi="Arial" w:cs="Arial"/>
          <w:kern w:val="0"/>
          <w:szCs w:val="22"/>
          <w:lang w:eastAsia="en-GB"/>
          <w14:ligatures w14:val="none"/>
        </w:rPr>
        <w:t>, 748, p. 141530. Available at: https://doi.org/10.1016/j.scitotenv.2020.141530.</w:t>
      </w:r>
    </w:p>
    <w:p w14:paraId="7A4D7241" w14:textId="77777777" w:rsidR="008B75C5" w:rsidRPr="008B75C5" w:rsidRDefault="008B75C5" w:rsidP="008B75C5">
      <w:pPr>
        <w:spacing w:after="240"/>
        <w:jc w:val="both"/>
        <w:rPr>
          <w:rFonts w:ascii="Arial" w:eastAsia="Times New Roman" w:hAnsi="Arial" w:cs="Arial"/>
          <w:kern w:val="0"/>
          <w:szCs w:val="22"/>
          <w:lang w:eastAsia="en-GB"/>
          <w14:ligatures w14:val="none"/>
        </w:rPr>
      </w:pPr>
      <w:r w:rsidRPr="008B75C5">
        <w:rPr>
          <w:rFonts w:ascii="Arial" w:eastAsia="Times New Roman" w:hAnsi="Arial" w:cs="Arial"/>
          <w:kern w:val="0"/>
          <w:szCs w:val="22"/>
          <w:lang w:eastAsia="en-GB"/>
          <w14:ligatures w14:val="none"/>
        </w:rPr>
        <w:t xml:space="preserve">WHO (2013) </w:t>
      </w:r>
      <w:r w:rsidRPr="008B75C5">
        <w:rPr>
          <w:rFonts w:ascii="Arial" w:eastAsia="Times New Roman" w:hAnsi="Arial" w:cs="Arial"/>
          <w:i/>
          <w:iCs/>
          <w:kern w:val="0"/>
          <w:szCs w:val="22"/>
          <w:lang w:eastAsia="en-GB"/>
          <w14:ligatures w14:val="none"/>
        </w:rPr>
        <w:t>Global Action Plan for the Prevention and Control of NCDs 2013-2020</w:t>
      </w:r>
      <w:r w:rsidRPr="008B75C5">
        <w:rPr>
          <w:rFonts w:ascii="Arial" w:eastAsia="Times New Roman" w:hAnsi="Arial" w:cs="Arial"/>
          <w:kern w:val="0"/>
          <w:szCs w:val="22"/>
          <w:lang w:eastAsia="en-GB"/>
          <w14:ligatures w14:val="none"/>
        </w:rPr>
        <w:t xml:space="preserve">, </w:t>
      </w:r>
      <w:proofErr w:type="spellStart"/>
      <w:r w:rsidRPr="008B75C5">
        <w:rPr>
          <w:rFonts w:ascii="Arial" w:eastAsia="Times New Roman" w:hAnsi="Arial" w:cs="Arial"/>
          <w:i/>
          <w:iCs/>
          <w:kern w:val="0"/>
          <w:szCs w:val="22"/>
          <w:lang w:eastAsia="en-GB"/>
          <w14:ligatures w14:val="none"/>
        </w:rPr>
        <w:t>www.who.int</w:t>
      </w:r>
      <w:proofErr w:type="spellEnd"/>
      <w:r w:rsidRPr="008B75C5">
        <w:rPr>
          <w:rFonts w:ascii="Arial" w:eastAsia="Times New Roman" w:hAnsi="Arial" w:cs="Arial"/>
          <w:kern w:val="0"/>
          <w:szCs w:val="22"/>
          <w:lang w:eastAsia="en-GB"/>
          <w14:ligatures w14:val="none"/>
        </w:rPr>
        <w:t>. Available at: https://www.who.int/publications/i/item/9789241506236 (Accessed: 22 February 2026).</w:t>
      </w:r>
    </w:p>
    <w:p w14:paraId="0FFD4289" w14:textId="6D2DD30A" w:rsidR="00FB7903" w:rsidRPr="000B44C3" w:rsidRDefault="00FB7903" w:rsidP="003A6EF4">
      <w:pPr>
        <w:spacing w:after="240"/>
        <w:jc w:val="both"/>
        <w:rPr>
          <w:rFonts w:ascii="Arial" w:hAnsi="Arial" w:cs="Arial"/>
          <w:szCs w:val="22"/>
        </w:rPr>
      </w:pPr>
    </w:p>
    <w:p w14:paraId="1CF04688" w14:textId="77777777" w:rsidR="000B743B" w:rsidRPr="000B44C3" w:rsidRDefault="000B743B" w:rsidP="000B44C3">
      <w:pPr>
        <w:jc w:val="both"/>
        <w:rPr>
          <w:rFonts w:ascii="Arial" w:hAnsi="Arial" w:cs="Arial"/>
          <w:szCs w:val="22"/>
        </w:rPr>
      </w:pPr>
    </w:p>
    <w:sectPr w:rsidR="000B743B" w:rsidRPr="000B44C3">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8B3EF" w14:textId="77777777" w:rsidR="00D363D2" w:rsidRDefault="00D363D2" w:rsidP="00A53383">
      <w:pPr>
        <w:spacing w:after="0" w:line="240" w:lineRule="auto"/>
      </w:pPr>
      <w:r>
        <w:separator/>
      </w:r>
    </w:p>
  </w:endnote>
  <w:endnote w:type="continuationSeparator" w:id="0">
    <w:p w14:paraId="56911C1B" w14:textId="77777777" w:rsidR="00D363D2" w:rsidRDefault="00D363D2" w:rsidP="00A533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13887734"/>
      <w:docPartObj>
        <w:docPartGallery w:val="Page Numbers (Bottom of Page)"/>
        <w:docPartUnique/>
      </w:docPartObj>
    </w:sdtPr>
    <w:sdtEndPr>
      <w:rPr>
        <w:rStyle w:val="PageNumber"/>
      </w:rPr>
    </w:sdtEndPr>
    <w:sdtContent>
      <w:p w14:paraId="771C23A6" w14:textId="7CE660DB" w:rsidR="00A53383" w:rsidRDefault="00A53383" w:rsidP="00862D8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957F3BD" w14:textId="77777777" w:rsidR="00A53383" w:rsidRDefault="00A533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95067889"/>
      <w:docPartObj>
        <w:docPartGallery w:val="Page Numbers (Bottom of Page)"/>
        <w:docPartUnique/>
      </w:docPartObj>
    </w:sdtPr>
    <w:sdtEndPr>
      <w:rPr>
        <w:rStyle w:val="PageNumber"/>
      </w:rPr>
    </w:sdtEndPr>
    <w:sdtContent>
      <w:p w14:paraId="4252EF9D" w14:textId="3880CFB2" w:rsidR="00A53383" w:rsidRDefault="00A53383" w:rsidP="00862D8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B98330F" w14:textId="77777777" w:rsidR="00A53383" w:rsidRDefault="00A533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FFA8C" w14:textId="77777777" w:rsidR="00D363D2" w:rsidRDefault="00D363D2" w:rsidP="00A53383">
      <w:pPr>
        <w:spacing w:after="0" w:line="240" w:lineRule="auto"/>
      </w:pPr>
      <w:r>
        <w:separator/>
      </w:r>
    </w:p>
  </w:footnote>
  <w:footnote w:type="continuationSeparator" w:id="0">
    <w:p w14:paraId="4AAEF4D3" w14:textId="77777777" w:rsidR="00D363D2" w:rsidRDefault="00D363D2" w:rsidP="00A533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0EEC"/>
    <w:multiLevelType w:val="multilevel"/>
    <w:tmpl w:val="5BC4F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D543DD"/>
    <w:multiLevelType w:val="multilevel"/>
    <w:tmpl w:val="830E3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ED08A5"/>
    <w:multiLevelType w:val="multilevel"/>
    <w:tmpl w:val="88688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EA6679"/>
    <w:multiLevelType w:val="hybridMultilevel"/>
    <w:tmpl w:val="F45ACC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A44DFE"/>
    <w:multiLevelType w:val="hybridMultilevel"/>
    <w:tmpl w:val="F1A045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EE6F65"/>
    <w:multiLevelType w:val="multilevel"/>
    <w:tmpl w:val="67A46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C04D43"/>
    <w:multiLevelType w:val="multilevel"/>
    <w:tmpl w:val="7370F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141C96"/>
    <w:multiLevelType w:val="multilevel"/>
    <w:tmpl w:val="A7420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085346"/>
    <w:multiLevelType w:val="multilevel"/>
    <w:tmpl w:val="D9B49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C85C81"/>
    <w:multiLevelType w:val="multilevel"/>
    <w:tmpl w:val="2370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5A12B4"/>
    <w:multiLevelType w:val="multilevel"/>
    <w:tmpl w:val="52C27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447F1D"/>
    <w:multiLevelType w:val="multilevel"/>
    <w:tmpl w:val="7CE87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C47920"/>
    <w:multiLevelType w:val="multilevel"/>
    <w:tmpl w:val="039A8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5443E0"/>
    <w:multiLevelType w:val="multilevel"/>
    <w:tmpl w:val="53462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6B3826"/>
    <w:multiLevelType w:val="multilevel"/>
    <w:tmpl w:val="AB521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FA613F"/>
    <w:multiLevelType w:val="multilevel"/>
    <w:tmpl w:val="04C07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FB3D9D"/>
    <w:multiLevelType w:val="multilevel"/>
    <w:tmpl w:val="E8FED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87074098">
    <w:abstractNumId w:val="8"/>
  </w:num>
  <w:num w:numId="2" w16cid:durableId="1996839917">
    <w:abstractNumId w:val="15"/>
  </w:num>
  <w:num w:numId="3" w16cid:durableId="591742331">
    <w:abstractNumId w:val="14"/>
  </w:num>
  <w:num w:numId="4" w16cid:durableId="767233198">
    <w:abstractNumId w:val="5"/>
  </w:num>
  <w:num w:numId="5" w16cid:durableId="134181067">
    <w:abstractNumId w:val="2"/>
  </w:num>
  <w:num w:numId="6" w16cid:durableId="1807431214">
    <w:abstractNumId w:val="12"/>
  </w:num>
  <w:num w:numId="7" w16cid:durableId="62870852">
    <w:abstractNumId w:val="7"/>
  </w:num>
  <w:num w:numId="8" w16cid:durableId="1950503424">
    <w:abstractNumId w:val="11"/>
  </w:num>
  <w:num w:numId="9" w16cid:durableId="1732000042">
    <w:abstractNumId w:val="0"/>
  </w:num>
  <w:num w:numId="10" w16cid:durableId="1699310066">
    <w:abstractNumId w:val="10"/>
  </w:num>
  <w:num w:numId="11" w16cid:durableId="1156609888">
    <w:abstractNumId w:val="9"/>
  </w:num>
  <w:num w:numId="12" w16cid:durableId="215241160">
    <w:abstractNumId w:val="13"/>
  </w:num>
  <w:num w:numId="13" w16cid:durableId="932054491">
    <w:abstractNumId w:val="6"/>
  </w:num>
  <w:num w:numId="14" w16cid:durableId="1756979069">
    <w:abstractNumId w:val="3"/>
  </w:num>
  <w:num w:numId="15" w16cid:durableId="492261695">
    <w:abstractNumId w:val="16"/>
  </w:num>
  <w:num w:numId="16" w16cid:durableId="2092510040">
    <w:abstractNumId w:val="1"/>
  </w:num>
  <w:num w:numId="17" w16cid:durableId="20313724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6"/>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DB8"/>
    <w:rsid w:val="00006D36"/>
    <w:rsid w:val="00021B15"/>
    <w:rsid w:val="000230B0"/>
    <w:rsid w:val="000346F9"/>
    <w:rsid w:val="000363C5"/>
    <w:rsid w:val="0007403D"/>
    <w:rsid w:val="000924A4"/>
    <w:rsid w:val="00094999"/>
    <w:rsid w:val="00096113"/>
    <w:rsid w:val="000B44C3"/>
    <w:rsid w:val="000B743B"/>
    <w:rsid w:val="000F0AF6"/>
    <w:rsid w:val="00101D67"/>
    <w:rsid w:val="0011545E"/>
    <w:rsid w:val="00115C3E"/>
    <w:rsid w:val="0012535C"/>
    <w:rsid w:val="0013492B"/>
    <w:rsid w:val="00145C7C"/>
    <w:rsid w:val="00157185"/>
    <w:rsid w:val="00167CE2"/>
    <w:rsid w:val="00174D10"/>
    <w:rsid w:val="001918DC"/>
    <w:rsid w:val="00197FBC"/>
    <w:rsid w:val="001B3864"/>
    <w:rsid w:val="001B4015"/>
    <w:rsid w:val="001C2D70"/>
    <w:rsid w:val="001C51E6"/>
    <w:rsid w:val="001C60CB"/>
    <w:rsid w:val="0022656D"/>
    <w:rsid w:val="00241CCC"/>
    <w:rsid w:val="00247081"/>
    <w:rsid w:val="002A5235"/>
    <w:rsid w:val="002A72EA"/>
    <w:rsid w:val="002B4E67"/>
    <w:rsid w:val="002E7F9D"/>
    <w:rsid w:val="00313A65"/>
    <w:rsid w:val="00340028"/>
    <w:rsid w:val="003828C7"/>
    <w:rsid w:val="003A0A4F"/>
    <w:rsid w:val="003A6EF4"/>
    <w:rsid w:val="00401A43"/>
    <w:rsid w:val="00402505"/>
    <w:rsid w:val="00411233"/>
    <w:rsid w:val="004212F0"/>
    <w:rsid w:val="00432107"/>
    <w:rsid w:val="00437888"/>
    <w:rsid w:val="0045346E"/>
    <w:rsid w:val="00460071"/>
    <w:rsid w:val="00461624"/>
    <w:rsid w:val="00466C8C"/>
    <w:rsid w:val="00472CC4"/>
    <w:rsid w:val="004806B6"/>
    <w:rsid w:val="004A795B"/>
    <w:rsid w:val="005134A6"/>
    <w:rsid w:val="00524D65"/>
    <w:rsid w:val="0052624A"/>
    <w:rsid w:val="0056662D"/>
    <w:rsid w:val="00585C6C"/>
    <w:rsid w:val="005A1AEC"/>
    <w:rsid w:val="005D3537"/>
    <w:rsid w:val="005D5473"/>
    <w:rsid w:val="005E4980"/>
    <w:rsid w:val="005F7824"/>
    <w:rsid w:val="0062021A"/>
    <w:rsid w:val="006304E7"/>
    <w:rsid w:val="00633115"/>
    <w:rsid w:val="006A0326"/>
    <w:rsid w:val="006C0F85"/>
    <w:rsid w:val="006D1754"/>
    <w:rsid w:val="00702750"/>
    <w:rsid w:val="0071257C"/>
    <w:rsid w:val="007355EA"/>
    <w:rsid w:val="00735E49"/>
    <w:rsid w:val="00754574"/>
    <w:rsid w:val="00757EC7"/>
    <w:rsid w:val="00770FD5"/>
    <w:rsid w:val="00791146"/>
    <w:rsid w:val="007D768A"/>
    <w:rsid w:val="007E7909"/>
    <w:rsid w:val="00804503"/>
    <w:rsid w:val="00833881"/>
    <w:rsid w:val="008508DA"/>
    <w:rsid w:val="00862C36"/>
    <w:rsid w:val="00880865"/>
    <w:rsid w:val="008B459C"/>
    <w:rsid w:val="008B75C5"/>
    <w:rsid w:val="009061CE"/>
    <w:rsid w:val="0092637F"/>
    <w:rsid w:val="00933D88"/>
    <w:rsid w:val="00940A13"/>
    <w:rsid w:val="0096254E"/>
    <w:rsid w:val="009A6EB1"/>
    <w:rsid w:val="009B14D7"/>
    <w:rsid w:val="009B62D6"/>
    <w:rsid w:val="009C1783"/>
    <w:rsid w:val="009D4240"/>
    <w:rsid w:val="009E27A2"/>
    <w:rsid w:val="00A215C8"/>
    <w:rsid w:val="00A506FB"/>
    <w:rsid w:val="00A53383"/>
    <w:rsid w:val="00A572FE"/>
    <w:rsid w:val="00A601C4"/>
    <w:rsid w:val="00A64621"/>
    <w:rsid w:val="00AB0C1A"/>
    <w:rsid w:val="00AF0492"/>
    <w:rsid w:val="00AF3662"/>
    <w:rsid w:val="00B33A29"/>
    <w:rsid w:val="00B5208F"/>
    <w:rsid w:val="00B549BF"/>
    <w:rsid w:val="00B960A2"/>
    <w:rsid w:val="00BA555B"/>
    <w:rsid w:val="00BC402D"/>
    <w:rsid w:val="00BD4DB8"/>
    <w:rsid w:val="00BE26B1"/>
    <w:rsid w:val="00BE4882"/>
    <w:rsid w:val="00C17097"/>
    <w:rsid w:val="00C8572F"/>
    <w:rsid w:val="00CD59E3"/>
    <w:rsid w:val="00CF64B0"/>
    <w:rsid w:val="00D363D2"/>
    <w:rsid w:val="00D53EB8"/>
    <w:rsid w:val="00D56237"/>
    <w:rsid w:val="00D74433"/>
    <w:rsid w:val="00D946D1"/>
    <w:rsid w:val="00D95A10"/>
    <w:rsid w:val="00DD1497"/>
    <w:rsid w:val="00E23D31"/>
    <w:rsid w:val="00E30A60"/>
    <w:rsid w:val="00E411FF"/>
    <w:rsid w:val="00E610A7"/>
    <w:rsid w:val="00E631E4"/>
    <w:rsid w:val="00E947F1"/>
    <w:rsid w:val="00E96DAF"/>
    <w:rsid w:val="00EA7E50"/>
    <w:rsid w:val="00EC2E27"/>
    <w:rsid w:val="00ED7009"/>
    <w:rsid w:val="00F04674"/>
    <w:rsid w:val="00F37362"/>
    <w:rsid w:val="00F377D7"/>
    <w:rsid w:val="00F4568C"/>
    <w:rsid w:val="00F61A44"/>
    <w:rsid w:val="00F8674F"/>
    <w:rsid w:val="00FB062C"/>
    <w:rsid w:val="00FB6C67"/>
    <w:rsid w:val="00FB7903"/>
    <w:rsid w:val="00FE09BE"/>
    <w:rsid w:val="00FF38AF"/>
    <w:rsid w:val="00FF48E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25387"/>
  <w15:chartTrackingRefBased/>
  <w15:docId w15:val="{5F0F2891-DC1A-B44D-BE43-E365F63D7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7362"/>
    <w:pPr>
      <w:spacing w:line="360" w:lineRule="auto"/>
    </w:pPr>
    <w:rPr>
      <w:rFonts w:asciiTheme="minorBidi" w:hAnsiTheme="minorBidi"/>
      <w:sz w:val="22"/>
    </w:rPr>
  </w:style>
  <w:style w:type="paragraph" w:styleId="Heading1">
    <w:name w:val="heading 1"/>
    <w:basedOn w:val="Normal"/>
    <w:next w:val="Normal"/>
    <w:link w:val="Heading1Char"/>
    <w:uiPriority w:val="9"/>
    <w:qFormat/>
    <w:rsid w:val="00461624"/>
    <w:pPr>
      <w:keepNext/>
      <w:keepLines/>
      <w:spacing w:before="360" w:after="80"/>
      <w:outlineLvl w:val="0"/>
    </w:pPr>
    <w:rPr>
      <w:rFonts w:eastAsiaTheme="majorEastAsia"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FB6C67"/>
    <w:pPr>
      <w:keepNext/>
      <w:keepLines/>
      <w:spacing w:before="160" w:after="80"/>
      <w:outlineLvl w:val="1"/>
    </w:pPr>
    <w:rPr>
      <w:rFonts w:eastAsiaTheme="majorEastAsia" w:cstheme="majorBidi"/>
      <w:b/>
      <w:color w:val="0F4761" w:themeColor="accent1" w:themeShade="BF"/>
      <w:szCs w:val="32"/>
    </w:rPr>
  </w:style>
  <w:style w:type="paragraph" w:styleId="Heading3">
    <w:name w:val="heading 3"/>
    <w:basedOn w:val="Normal"/>
    <w:next w:val="Normal"/>
    <w:link w:val="Heading3Char"/>
    <w:uiPriority w:val="9"/>
    <w:unhideWhenUsed/>
    <w:qFormat/>
    <w:rsid w:val="00BE4882"/>
    <w:pPr>
      <w:keepNext/>
      <w:keepLines/>
      <w:spacing w:before="160" w:after="80"/>
      <w:outlineLvl w:val="2"/>
    </w:pPr>
    <w:rPr>
      <w:rFonts w:eastAsiaTheme="majorEastAsia" w:cstheme="majorBidi"/>
      <w:b/>
      <w:i/>
      <w:color w:val="0F4761" w:themeColor="accent1" w:themeShade="BF"/>
      <w:szCs w:val="28"/>
    </w:rPr>
  </w:style>
  <w:style w:type="paragraph" w:styleId="Heading4">
    <w:name w:val="heading 4"/>
    <w:basedOn w:val="Normal"/>
    <w:next w:val="Normal"/>
    <w:link w:val="Heading4Char"/>
    <w:uiPriority w:val="9"/>
    <w:semiHidden/>
    <w:unhideWhenUsed/>
    <w:qFormat/>
    <w:rsid w:val="00BD4DB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D4DB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D4DB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D4DB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D4DB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D4DB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1624"/>
    <w:rPr>
      <w:rFonts w:asciiTheme="majorBidi" w:eastAsiaTheme="majorEastAsia" w:hAnsiTheme="majorBidi" w:cstheme="majorBidi"/>
      <w:b/>
      <w:color w:val="0F4761" w:themeColor="accent1" w:themeShade="BF"/>
      <w:sz w:val="28"/>
      <w:szCs w:val="40"/>
    </w:rPr>
  </w:style>
  <w:style w:type="character" w:customStyle="1" w:styleId="Heading2Char">
    <w:name w:val="Heading 2 Char"/>
    <w:basedOn w:val="DefaultParagraphFont"/>
    <w:link w:val="Heading2"/>
    <w:uiPriority w:val="9"/>
    <w:rsid w:val="00FB6C67"/>
    <w:rPr>
      <w:rFonts w:asciiTheme="majorBidi" w:eastAsiaTheme="majorEastAsia" w:hAnsiTheme="majorBidi" w:cstheme="majorBidi"/>
      <w:b/>
      <w:color w:val="0F4761" w:themeColor="accent1" w:themeShade="BF"/>
      <w:szCs w:val="32"/>
    </w:rPr>
  </w:style>
  <w:style w:type="character" w:customStyle="1" w:styleId="Heading3Char">
    <w:name w:val="Heading 3 Char"/>
    <w:basedOn w:val="DefaultParagraphFont"/>
    <w:link w:val="Heading3"/>
    <w:uiPriority w:val="9"/>
    <w:rsid w:val="00BE4882"/>
    <w:rPr>
      <w:rFonts w:asciiTheme="majorBidi" w:eastAsiaTheme="majorEastAsia" w:hAnsiTheme="majorBidi" w:cstheme="majorBidi"/>
      <w:b/>
      <w:i/>
      <w:color w:val="0F4761" w:themeColor="accent1" w:themeShade="BF"/>
      <w:szCs w:val="28"/>
    </w:rPr>
  </w:style>
  <w:style w:type="character" w:customStyle="1" w:styleId="Heading4Char">
    <w:name w:val="Heading 4 Char"/>
    <w:basedOn w:val="DefaultParagraphFont"/>
    <w:link w:val="Heading4"/>
    <w:uiPriority w:val="9"/>
    <w:semiHidden/>
    <w:rsid w:val="00BD4D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4D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4D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4D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4D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4DB8"/>
    <w:rPr>
      <w:rFonts w:eastAsiaTheme="majorEastAsia" w:cstheme="majorBidi"/>
      <w:color w:val="272727" w:themeColor="text1" w:themeTint="D8"/>
    </w:rPr>
  </w:style>
  <w:style w:type="paragraph" w:styleId="Title">
    <w:name w:val="Title"/>
    <w:basedOn w:val="Normal"/>
    <w:next w:val="Normal"/>
    <w:link w:val="TitleChar"/>
    <w:uiPriority w:val="10"/>
    <w:qFormat/>
    <w:rsid w:val="00BD4D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4D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4DB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4D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4DB8"/>
    <w:pPr>
      <w:spacing w:before="160"/>
      <w:jc w:val="center"/>
    </w:pPr>
    <w:rPr>
      <w:i/>
      <w:iCs/>
      <w:color w:val="404040" w:themeColor="text1" w:themeTint="BF"/>
    </w:rPr>
  </w:style>
  <w:style w:type="character" w:customStyle="1" w:styleId="QuoteChar">
    <w:name w:val="Quote Char"/>
    <w:basedOn w:val="DefaultParagraphFont"/>
    <w:link w:val="Quote"/>
    <w:uiPriority w:val="29"/>
    <w:rsid w:val="00BD4DB8"/>
    <w:rPr>
      <w:rFonts w:asciiTheme="majorBidi" w:hAnsiTheme="majorBidi"/>
      <w:i/>
      <w:iCs/>
      <w:color w:val="404040" w:themeColor="text1" w:themeTint="BF"/>
    </w:rPr>
  </w:style>
  <w:style w:type="paragraph" w:styleId="ListParagraph">
    <w:name w:val="List Paragraph"/>
    <w:basedOn w:val="Normal"/>
    <w:uiPriority w:val="34"/>
    <w:qFormat/>
    <w:rsid w:val="00BD4DB8"/>
    <w:pPr>
      <w:ind w:left="720"/>
      <w:contextualSpacing/>
    </w:pPr>
  </w:style>
  <w:style w:type="character" w:styleId="IntenseEmphasis">
    <w:name w:val="Intense Emphasis"/>
    <w:basedOn w:val="DefaultParagraphFont"/>
    <w:uiPriority w:val="21"/>
    <w:qFormat/>
    <w:rsid w:val="00BD4DB8"/>
    <w:rPr>
      <w:i/>
      <w:iCs/>
      <w:color w:val="0F4761" w:themeColor="accent1" w:themeShade="BF"/>
    </w:rPr>
  </w:style>
  <w:style w:type="paragraph" w:styleId="IntenseQuote">
    <w:name w:val="Intense Quote"/>
    <w:basedOn w:val="Normal"/>
    <w:next w:val="Normal"/>
    <w:link w:val="IntenseQuoteChar"/>
    <w:uiPriority w:val="30"/>
    <w:qFormat/>
    <w:rsid w:val="00BD4D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4DB8"/>
    <w:rPr>
      <w:rFonts w:asciiTheme="majorBidi" w:hAnsiTheme="majorBidi"/>
      <w:i/>
      <w:iCs/>
      <w:color w:val="0F4761" w:themeColor="accent1" w:themeShade="BF"/>
    </w:rPr>
  </w:style>
  <w:style w:type="character" w:styleId="IntenseReference">
    <w:name w:val="Intense Reference"/>
    <w:basedOn w:val="DefaultParagraphFont"/>
    <w:uiPriority w:val="32"/>
    <w:qFormat/>
    <w:rsid w:val="00BD4DB8"/>
    <w:rPr>
      <w:b/>
      <w:bCs/>
      <w:smallCaps/>
      <w:color w:val="0F4761" w:themeColor="accent1" w:themeShade="BF"/>
      <w:spacing w:val="5"/>
    </w:rPr>
  </w:style>
  <w:style w:type="character" w:styleId="Strong">
    <w:name w:val="Strong"/>
    <w:basedOn w:val="DefaultParagraphFont"/>
    <w:uiPriority w:val="22"/>
    <w:qFormat/>
    <w:rsid w:val="001C51E6"/>
    <w:rPr>
      <w:b/>
      <w:bCs/>
    </w:rPr>
  </w:style>
  <w:style w:type="paragraph" w:styleId="NormalWeb">
    <w:name w:val="Normal (Web)"/>
    <w:basedOn w:val="Normal"/>
    <w:uiPriority w:val="99"/>
    <w:unhideWhenUsed/>
    <w:rsid w:val="001C51E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9A6EB1"/>
    <w:rPr>
      <w:color w:val="0000FF"/>
      <w:u w:val="single"/>
    </w:rPr>
  </w:style>
  <w:style w:type="character" w:styleId="Emphasis">
    <w:name w:val="Emphasis"/>
    <w:basedOn w:val="DefaultParagraphFont"/>
    <w:uiPriority w:val="20"/>
    <w:qFormat/>
    <w:rsid w:val="009A6EB1"/>
    <w:rPr>
      <w:i/>
      <w:iCs/>
    </w:rPr>
  </w:style>
  <w:style w:type="paragraph" w:styleId="Header">
    <w:name w:val="header"/>
    <w:basedOn w:val="Normal"/>
    <w:link w:val="HeaderChar"/>
    <w:uiPriority w:val="99"/>
    <w:unhideWhenUsed/>
    <w:rsid w:val="00A533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3383"/>
    <w:rPr>
      <w:rFonts w:asciiTheme="minorBidi" w:hAnsiTheme="minorBidi"/>
      <w:sz w:val="22"/>
    </w:rPr>
  </w:style>
  <w:style w:type="paragraph" w:styleId="Footer">
    <w:name w:val="footer"/>
    <w:basedOn w:val="Normal"/>
    <w:link w:val="FooterChar"/>
    <w:uiPriority w:val="99"/>
    <w:unhideWhenUsed/>
    <w:rsid w:val="00A533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3383"/>
    <w:rPr>
      <w:rFonts w:asciiTheme="minorBidi" w:hAnsiTheme="minorBidi"/>
      <w:sz w:val="22"/>
    </w:rPr>
  </w:style>
  <w:style w:type="character" w:styleId="PageNumber">
    <w:name w:val="page number"/>
    <w:basedOn w:val="DefaultParagraphFont"/>
    <w:uiPriority w:val="99"/>
    <w:semiHidden/>
    <w:unhideWhenUsed/>
    <w:rsid w:val="00A53383"/>
  </w:style>
  <w:style w:type="paragraph" w:styleId="Caption">
    <w:name w:val="caption"/>
    <w:basedOn w:val="Normal"/>
    <w:next w:val="Normal"/>
    <w:uiPriority w:val="35"/>
    <w:unhideWhenUsed/>
    <w:qFormat/>
    <w:rsid w:val="00B5208F"/>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E631E4"/>
    <w:pPr>
      <w:spacing w:before="480" w:after="0" w:line="276" w:lineRule="auto"/>
      <w:outlineLvl w:val="9"/>
    </w:pPr>
    <w:rPr>
      <w:rFonts w:asciiTheme="majorHAnsi" w:hAnsiTheme="majorHAnsi"/>
      <w:bCs/>
      <w:kern w:val="0"/>
      <w:szCs w:val="28"/>
      <w:lang w:val="en-US"/>
      <w14:ligatures w14:val="none"/>
    </w:rPr>
  </w:style>
  <w:style w:type="paragraph" w:styleId="TOC1">
    <w:name w:val="toc 1"/>
    <w:basedOn w:val="Normal"/>
    <w:next w:val="Normal"/>
    <w:autoRedefine/>
    <w:uiPriority w:val="39"/>
    <w:unhideWhenUsed/>
    <w:rsid w:val="00E631E4"/>
    <w:pPr>
      <w:spacing w:before="120" w:after="0"/>
    </w:pPr>
    <w:rPr>
      <w:rFonts w:asciiTheme="minorHAnsi" w:hAnsiTheme="minorHAnsi" w:cs="Times New Roman"/>
      <w:b/>
      <w:bCs/>
      <w:i/>
      <w:iCs/>
      <w:sz w:val="24"/>
      <w:szCs w:val="28"/>
    </w:rPr>
  </w:style>
  <w:style w:type="paragraph" w:styleId="TOC2">
    <w:name w:val="toc 2"/>
    <w:basedOn w:val="Normal"/>
    <w:next w:val="Normal"/>
    <w:autoRedefine/>
    <w:uiPriority w:val="39"/>
    <w:unhideWhenUsed/>
    <w:rsid w:val="00E631E4"/>
    <w:pPr>
      <w:spacing w:before="120" w:after="0"/>
      <w:ind w:left="220"/>
    </w:pPr>
    <w:rPr>
      <w:rFonts w:asciiTheme="minorHAnsi" w:hAnsiTheme="minorHAnsi" w:cs="Times New Roman"/>
      <w:b/>
      <w:bCs/>
      <w:szCs w:val="26"/>
    </w:rPr>
  </w:style>
  <w:style w:type="paragraph" w:styleId="TOC3">
    <w:name w:val="toc 3"/>
    <w:basedOn w:val="Normal"/>
    <w:next w:val="Normal"/>
    <w:autoRedefine/>
    <w:uiPriority w:val="39"/>
    <w:unhideWhenUsed/>
    <w:rsid w:val="00E631E4"/>
    <w:pPr>
      <w:spacing w:after="0"/>
      <w:ind w:left="440"/>
    </w:pPr>
    <w:rPr>
      <w:rFonts w:asciiTheme="minorHAnsi" w:hAnsiTheme="minorHAnsi" w:cs="Times New Roman"/>
      <w:sz w:val="20"/>
    </w:rPr>
  </w:style>
  <w:style w:type="paragraph" w:styleId="TOC4">
    <w:name w:val="toc 4"/>
    <w:basedOn w:val="Normal"/>
    <w:next w:val="Normal"/>
    <w:autoRedefine/>
    <w:uiPriority w:val="39"/>
    <w:semiHidden/>
    <w:unhideWhenUsed/>
    <w:rsid w:val="00E631E4"/>
    <w:pPr>
      <w:spacing w:after="0"/>
      <w:ind w:left="660"/>
    </w:pPr>
    <w:rPr>
      <w:rFonts w:asciiTheme="minorHAnsi" w:hAnsiTheme="minorHAnsi" w:cs="Times New Roman"/>
      <w:sz w:val="20"/>
    </w:rPr>
  </w:style>
  <w:style w:type="paragraph" w:styleId="TOC5">
    <w:name w:val="toc 5"/>
    <w:basedOn w:val="Normal"/>
    <w:next w:val="Normal"/>
    <w:autoRedefine/>
    <w:uiPriority w:val="39"/>
    <w:semiHidden/>
    <w:unhideWhenUsed/>
    <w:rsid w:val="00E631E4"/>
    <w:pPr>
      <w:spacing w:after="0"/>
      <w:ind w:left="880"/>
    </w:pPr>
    <w:rPr>
      <w:rFonts w:asciiTheme="minorHAnsi" w:hAnsiTheme="minorHAnsi" w:cs="Times New Roman"/>
      <w:sz w:val="20"/>
    </w:rPr>
  </w:style>
  <w:style w:type="paragraph" w:styleId="TOC6">
    <w:name w:val="toc 6"/>
    <w:basedOn w:val="Normal"/>
    <w:next w:val="Normal"/>
    <w:autoRedefine/>
    <w:uiPriority w:val="39"/>
    <w:semiHidden/>
    <w:unhideWhenUsed/>
    <w:rsid w:val="00E631E4"/>
    <w:pPr>
      <w:spacing w:after="0"/>
      <w:ind w:left="1100"/>
    </w:pPr>
    <w:rPr>
      <w:rFonts w:asciiTheme="minorHAnsi" w:hAnsiTheme="minorHAnsi" w:cs="Times New Roman"/>
      <w:sz w:val="20"/>
    </w:rPr>
  </w:style>
  <w:style w:type="paragraph" w:styleId="TOC7">
    <w:name w:val="toc 7"/>
    <w:basedOn w:val="Normal"/>
    <w:next w:val="Normal"/>
    <w:autoRedefine/>
    <w:uiPriority w:val="39"/>
    <w:semiHidden/>
    <w:unhideWhenUsed/>
    <w:rsid w:val="00E631E4"/>
    <w:pPr>
      <w:spacing w:after="0"/>
      <w:ind w:left="1320"/>
    </w:pPr>
    <w:rPr>
      <w:rFonts w:asciiTheme="minorHAnsi" w:hAnsiTheme="minorHAnsi" w:cs="Times New Roman"/>
      <w:sz w:val="20"/>
    </w:rPr>
  </w:style>
  <w:style w:type="paragraph" w:styleId="TOC8">
    <w:name w:val="toc 8"/>
    <w:basedOn w:val="Normal"/>
    <w:next w:val="Normal"/>
    <w:autoRedefine/>
    <w:uiPriority w:val="39"/>
    <w:semiHidden/>
    <w:unhideWhenUsed/>
    <w:rsid w:val="00E631E4"/>
    <w:pPr>
      <w:spacing w:after="0"/>
      <w:ind w:left="1540"/>
    </w:pPr>
    <w:rPr>
      <w:rFonts w:asciiTheme="minorHAnsi" w:hAnsiTheme="minorHAnsi" w:cs="Times New Roman"/>
      <w:sz w:val="20"/>
    </w:rPr>
  </w:style>
  <w:style w:type="paragraph" w:styleId="TOC9">
    <w:name w:val="toc 9"/>
    <w:basedOn w:val="Normal"/>
    <w:next w:val="Normal"/>
    <w:autoRedefine/>
    <w:uiPriority w:val="39"/>
    <w:semiHidden/>
    <w:unhideWhenUsed/>
    <w:rsid w:val="00E631E4"/>
    <w:pPr>
      <w:spacing w:after="0"/>
      <w:ind w:left="1760"/>
    </w:pPr>
    <w:rPr>
      <w:rFonts w:asciiTheme="minorHAnsi" w:hAnsiTheme="minorHAnsi"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734503-F300-C34C-AF26-C379D2FDBBF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3584</Words>
  <Characters>20429</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 FILE</dc:creator>
  <cp:keywords/>
  <dc:description/>
  <cp:lastModifiedBy>kamran khan</cp:lastModifiedBy>
  <cp:revision>2</cp:revision>
  <dcterms:created xsi:type="dcterms:W3CDTF">2026-03-19T18:20:00Z</dcterms:created>
  <dcterms:modified xsi:type="dcterms:W3CDTF">2026-03-19T18:20:00Z</dcterms:modified>
</cp:coreProperties>
</file>