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91FFFE" w14:textId="77777777" w:rsidR="00881CA8" w:rsidRDefault="00881CA8" w:rsidP="005C30D4">
      <w:pPr>
        <w:spacing w:line="360" w:lineRule="auto"/>
        <w:jc w:val="center"/>
        <w:rPr>
          <w:rFonts w:ascii="Arial" w:hAnsi="Arial" w:cs="Arial"/>
          <w:sz w:val="40"/>
          <w:szCs w:val="40"/>
        </w:rPr>
      </w:pPr>
    </w:p>
    <w:p w14:paraId="45B4F447" w14:textId="77777777" w:rsidR="00881CA8" w:rsidRDefault="00881CA8" w:rsidP="005C30D4">
      <w:pPr>
        <w:spacing w:line="360" w:lineRule="auto"/>
        <w:jc w:val="center"/>
        <w:rPr>
          <w:rFonts w:ascii="Arial" w:hAnsi="Arial" w:cs="Arial"/>
          <w:sz w:val="40"/>
          <w:szCs w:val="40"/>
        </w:rPr>
      </w:pPr>
    </w:p>
    <w:p w14:paraId="4F6A4A67" w14:textId="6AE0FBB4" w:rsidR="00881CA8" w:rsidRPr="000C36D3" w:rsidRDefault="000C36D3" w:rsidP="005C30D4">
      <w:pPr>
        <w:spacing w:line="360" w:lineRule="auto"/>
        <w:jc w:val="center"/>
        <w:rPr>
          <w:rFonts w:ascii="Arial" w:hAnsi="Arial" w:cs="Arial"/>
          <w:sz w:val="40"/>
          <w:szCs w:val="40"/>
        </w:rPr>
      </w:pPr>
      <w:r w:rsidRPr="000C36D3">
        <w:rPr>
          <w:rFonts w:ascii="Arial" w:hAnsi="Arial" w:cs="Arial"/>
          <w:sz w:val="40"/>
          <w:szCs w:val="40"/>
          <w:lang w:val="en-GB"/>
        </w:rPr>
        <w:t xml:space="preserve">Case </w:t>
      </w:r>
      <w:r>
        <w:rPr>
          <w:rFonts w:ascii="Arial" w:hAnsi="Arial" w:cs="Arial"/>
          <w:sz w:val="40"/>
          <w:szCs w:val="40"/>
          <w:lang w:val="en-GB"/>
        </w:rPr>
        <w:t>S</w:t>
      </w:r>
      <w:r w:rsidRPr="000C36D3">
        <w:rPr>
          <w:rFonts w:ascii="Arial" w:hAnsi="Arial" w:cs="Arial"/>
          <w:sz w:val="40"/>
          <w:szCs w:val="40"/>
          <w:lang w:val="en-GB"/>
        </w:rPr>
        <w:t>tudy Supporting Paper</w:t>
      </w:r>
    </w:p>
    <w:p w14:paraId="1FF166C5" w14:textId="4A0C2813" w:rsidR="005C30D4" w:rsidRPr="005C30D4" w:rsidRDefault="005C30D4" w:rsidP="005C30D4">
      <w:pPr>
        <w:spacing w:line="360" w:lineRule="auto"/>
        <w:jc w:val="center"/>
        <w:rPr>
          <w:rFonts w:ascii="Arial" w:hAnsi="Arial" w:cs="Arial"/>
          <w:sz w:val="40"/>
          <w:szCs w:val="40"/>
        </w:rPr>
      </w:pPr>
      <w:r w:rsidRPr="005C30D4">
        <w:rPr>
          <w:rFonts w:ascii="Arial" w:hAnsi="Arial" w:cs="Arial"/>
          <w:sz w:val="40"/>
          <w:szCs w:val="40"/>
        </w:rPr>
        <w:t>Student Name: Godfrey Osawaru Osawaru</w:t>
      </w:r>
    </w:p>
    <w:p w14:paraId="54E11FA7" w14:textId="46611AC6" w:rsidR="005C30D4" w:rsidRPr="005C30D4" w:rsidRDefault="005C30D4" w:rsidP="005C30D4">
      <w:pPr>
        <w:spacing w:line="360" w:lineRule="auto"/>
        <w:jc w:val="center"/>
        <w:rPr>
          <w:rFonts w:ascii="Arial" w:hAnsi="Arial" w:cs="Arial"/>
          <w:sz w:val="40"/>
          <w:szCs w:val="40"/>
        </w:rPr>
      </w:pPr>
      <w:r w:rsidRPr="005C30D4">
        <w:rPr>
          <w:rFonts w:ascii="Arial" w:hAnsi="Arial" w:cs="Arial"/>
          <w:sz w:val="40"/>
          <w:szCs w:val="40"/>
        </w:rPr>
        <w:t>Student Number: 2122802</w:t>
      </w:r>
    </w:p>
    <w:p w14:paraId="16D5D9CE" w14:textId="77777777" w:rsidR="005C30D4" w:rsidRPr="005C30D4" w:rsidRDefault="005C30D4" w:rsidP="005C30D4">
      <w:pPr>
        <w:spacing w:line="360" w:lineRule="auto"/>
        <w:jc w:val="center"/>
        <w:rPr>
          <w:rFonts w:ascii="Arial" w:hAnsi="Arial" w:cs="Arial"/>
          <w:sz w:val="40"/>
          <w:szCs w:val="40"/>
        </w:rPr>
      </w:pPr>
      <w:r w:rsidRPr="005C30D4">
        <w:rPr>
          <w:rFonts w:ascii="Arial" w:hAnsi="Arial" w:cs="Arial"/>
          <w:sz w:val="40"/>
          <w:szCs w:val="40"/>
        </w:rPr>
        <w:t>Module name: Children, Young People and Families</w:t>
      </w:r>
    </w:p>
    <w:p w14:paraId="1F765D91" w14:textId="77777777" w:rsidR="005C30D4" w:rsidRPr="005C30D4" w:rsidRDefault="005C30D4" w:rsidP="005C30D4">
      <w:pPr>
        <w:spacing w:line="360" w:lineRule="auto"/>
        <w:jc w:val="center"/>
        <w:rPr>
          <w:rFonts w:ascii="Arial" w:hAnsi="Arial" w:cs="Arial"/>
          <w:sz w:val="40"/>
          <w:szCs w:val="40"/>
        </w:rPr>
      </w:pPr>
      <w:r w:rsidRPr="005C30D4">
        <w:rPr>
          <w:rFonts w:ascii="Arial" w:hAnsi="Arial" w:cs="Arial"/>
          <w:sz w:val="40"/>
          <w:szCs w:val="40"/>
        </w:rPr>
        <w:t>Module code: (BMHP5004_LON)</w:t>
      </w:r>
    </w:p>
    <w:p w14:paraId="028F24C5" w14:textId="77777777" w:rsidR="000C36D3" w:rsidRDefault="005C30D4" w:rsidP="005C30D4">
      <w:pPr>
        <w:spacing w:line="360" w:lineRule="auto"/>
        <w:jc w:val="center"/>
      </w:pPr>
      <w:r w:rsidRPr="005C30D4">
        <w:rPr>
          <w:rFonts w:ascii="Arial" w:hAnsi="Arial" w:cs="Arial"/>
          <w:sz w:val="40"/>
          <w:szCs w:val="40"/>
        </w:rPr>
        <w:t>Lecturer name:</w:t>
      </w:r>
      <w:r w:rsidRPr="005C30D4">
        <w:rPr>
          <w:sz w:val="40"/>
          <w:szCs w:val="40"/>
        </w:rPr>
        <w:t xml:space="preserve"> </w:t>
      </w:r>
      <w:r w:rsidRPr="005C30D4">
        <w:rPr>
          <w:rFonts w:ascii="Arial" w:hAnsi="Arial" w:cs="Arial"/>
          <w:sz w:val="40"/>
          <w:szCs w:val="40"/>
        </w:rPr>
        <w:t>Jolly Nwankwo</w:t>
      </w:r>
      <w:r w:rsidRPr="005C30D4">
        <w:t xml:space="preserve"> </w:t>
      </w:r>
    </w:p>
    <w:p w14:paraId="6A8B20C9" w14:textId="77777777" w:rsidR="000C36D3" w:rsidRDefault="000C36D3" w:rsidP="005C30D4">
      <w:pPr>
        <w:spacing w:line="360" w:lineRule="auto"/>
        <w:jc w:val="center"/>
      </w:pPr>
    </w:p>
    <w:p w14:paraId="1A532C21" w14:textId="77777777" w:rsidR="000C36D3" w:rsidRDefault="000C36D3" w:rsidP="005C30D4">
      <w:pPr>
        <w:spacing w:line="360" w:lineRule="auto"/>
        <w:jc w:val="center"/>
      </w:pPr>
    </w:p>
    <w:p w14:paraId="76B5198E" w14:textId="77777777" w:rsidR="000C36D3" w:rsidRDefault="000C36D3" w:rsidP="005C30D4">
      <w:pPr>
        <w:spacing w:line="360" w:lineRule="auto"/>
        <w:jc w:val="center"/>
      </w:pPr>
    </w:p>
    <w:p w14:paraId="18536B39" w14:textId="77777777" w:rsidR="000C36D3" w:rsidRDefault="000C36D3" w:rsidP="005C30D4">
      <w:pPr>
        <w:spacing w:line="360" w:lineRule="auto"/>
        <w:jc w:val="center"/>
      </w:pPr>
    </w:p>
    <w:p w14:paraId="20322695" w14:textId="77777777" w:rsidR="000C36D3" w:rsidRDefault="000C36D3" w:rsidP="005C30D4">
      <w:pPr>
        <w:spacing w:line="360" w:lineRule="auto"/>
        <w:jc w:val="center"/>
      </w:pPr>
    </w:p>
    <w:p w14:paraId="51E80662" w14:textId="5997CB74" w:rsidR="000C36D3" w:rsidRPr="000C36D3" w:rsidRDefault="000C36D3" w:rsidP="005C30D4">
      <w:pPr>
        <w:spacing w:line="360" w:lineRule="auto"/>
        <w:jc w:val="center"/>
        <w:rPr>
          <w:rFonts w:ascii="Arial" w:hAnsi="Arial" w:cs="Arial"/>
          <w:sz w:val="40"/>
          <w:szCs w:val="40"/>
        </w:rPr>
      </w:pPr>
      <w:r w:rsidRPr="000C36D3">
        <w:rPr>
          <w:rFonts w:ascii="Arial" w:hAnsi="Arial" w:cs="Arial"/>
          <w:sz w:val="40"/>
          <w:szCs w:val="40"/>
        </w:rPr>
        <w:t>Troubled families: Wandsworth [Progress in Wandsworth (London) helping troubled families turn their lives around].</w:t>
      </w:r>
    </w:p>
    <w:p w14:paraId="2530BCFB" w14:textId="31A42E40" w:rsidR="005C30D4" w:rsidRDefault="005C30D4" w:rsidP="005C30D4">
      <w:pPr>
        <w:spacing w:line="360" w:lineRule="auto"/>
        <w:jc w:val="center"/>
        <w:rPr>
          <w:rFonts w:eastAsiaTheme="majorEastAsia"/>
          <w:color w:val="2F5496" w:themeColor="accent1" w:themeShade="BF"/>
        </w:rPr>
      </w:pPr>
      <w:r>
        <w:br w:type="page"/>
      </w:r>
    </w:p>
    <w:p w14:paraId="55DD960E" w14:textId="10F35715" w:rsidR="00800A7C" w:rsidRPr="00F02A33" w:rsidRDefault="001B1309" w:rsidP="00F02A33">
      <w:pPr>
        <w:spacing w:line="360" w:lineRule="auto"/>
        <w:jc w:val="both"/>
        <w:rPr>
          <w:rFonts w:ascii="Arial" w:hAnsi="Arial" w:cs="Arial"/>
          <w:sz w:val="24"/>
          <w:szCs w:val="24"/>
        </w:rPr>
      </w:pPr>
      <w:r w:rsidRPr="00F02A33">
        <w:rPr>
          <w:rFonts w:ascii="Arial" w:hAnsi="Arial" w:cs="Arial"/>
          <w:sz w:val="24"/>
          <w:szCs w:val="24"/>
        </w:rPr>
        <w:lastRenderedPageBreak/>
        <w:t>Many families nowadays encounter complicated issues that have an impact on the well-being of children and young people. This essay investigates the case study "Troubled Families: Wandsworth" to offer light on the family's vulnerabilities and the impact on children and young people. The essay will investigate the intervention process by relevant health and social care agencies, social services' activities, results and outcomes, applicable laws and legislation on safeguarding, and theories guiding social services' interventions in safeguarding situations.</w:t>
      </w:r>
    </w:p>
    <w:p w14:paraId="1409885C" w14:textId="68C7E25A" w:rsidR="004E47B5" w:rsidRPr="004E47B5" w:rsidRDefault="001B1309" w:rsidP="00F02A33">
      <w:pPr>
        <w:spacing w:line="360" w:lineRule="auto"/>
        <w:jc w:val="both"/>
        <w:rPr>
          <w:rFonts w:ascii="Arial" w:hAnsi="Arial" w:cs="Arial"/>
          <w:sz w:val="24"/>
          <w:szCs w:val="24"/>
        </w:rPr>
      </w:pPr>
      <w:r w:rsidRPr="00F02A33">
        <w:rPr>
          <w:rFonts w:ascii="Arial" w:hAnsi="Arial" w:cs="Arial"/>
          <w:sz w:val="24"/>
          <w:szCs w:val="24"/>
        </w:rPr>
        <w:t>"Troubled Families: Wandsworth" case study provides valuable insights into the issues experienced by a family dealing with financial insecurity, marital violence, and substance abuse. These susceptibility factors have a considerable impact on the well-being and functioning of the family, with special consequences for the children and young people involved. This section of the article will address vulnerability factors, their impact on children and young people, the process of intervention by health and social care agencies, social service interventions, and the outcomes.</w:t>
      </w:r>
    </w:p>
    <w:p w14:paraId="61355249" w14:textId="1BCCDA19" w:rsidR="004E47B5" w:rsidRPr="004E47B5" w:rsidRDefault="000A6F11" w:rsidP="00AB6125">
      <w:pPr>
        <w:spacing w:line="360" w:lineRule="auto"/>
        <w:jc w:val="both"/>
        <w:rPr>
          <w:rFonts w:ascii="Arial" w:hAnsi="Arial" w:cs="Arial"/>
          <w:sz w:val="24"/>
          <w:szCs w:val="24"/>
        </w:rPr>
      </w:pPr>
      <w:r w:rsidRPr="000A6F11">
        <w:rPr>
          <w:rFonts w:ascii="Arial" w:hAnsi="Arial" w:cs="Arial"/>
          <w:sz w:val="24"/>
          <w:szCs w:val="24"/>
        </w:rPr>
        <w:t>Children, young people, and families</w:t>
      </w:r>
      <w:r>
        <w:rPr>
          <w:rFonts w:ascii="Arial" w:hAnsi="Arial" w:cs="Arial"/>
          <w:sz w:val="24"/>
          <w:szCs w:val="24"/>
        </w:rPr>
        <w:t xml:space="preserve"> are</w:t>
      </w:r>
      <w:r w:rsidRPr="000A6F11">
        <w:rPr>
          <w:rFonts w:ascii="Arial" w:hAnsi="Arial" w:cs="Arial"/>
          <w:sz w:val="24"/>
          <w:szCs w:val="24"/>
        </w:rPr>
        <w:t xml:space="preserve"> faced </w:t>
      </w:r>
      <w:r>
        <w:rPr>
          <w:rFonts w:ascii="Arial" w:hAnsi="Arial" w:cs="Arial"/>
          <w:sz w:val="24"/>
          <w:szCs w:val="24"/>
        </w:rPr>
        <w:t>with</w:t>
      </w:r>
      <w:r w:rsidRPr="000A6F11">
        <w:rPr>
          <w:rFonts w:ascii="Arial" w:hAnsi="Arial" w:cs="Arial"/>
          <w:sz w:val="24"/>
          <w:szCs w:val="24"/>
        </w:rPr>
        <w:t xml:space="preserve"> factors of vulnerability</w:t>
      </w:r>
      <w:r>
        <w:rPr>
          <w:rFonts w:ascii="Arial" w:hAnsi="Arial" w:cs="Arial"/>
          <w:sz w:val="24"/>
          <w:szCs w:val="24"/>
        </w:rPr>
        <w:t>. For instance, d</w:t>
      </w:r>
      <w:r w:rsidR="001B1309" w:rsidRPr="00F02A33">
        <w:rPr>
          <w:rFonts w:ascii="Arial" w:hAnsi="Arial" w:cs="Arial"/>
          <w:sz w:val="24"/>
          <w:szCs w:val="24"/>
        </w:rPr>
        <w:t xml:space="preserve">ue to a lack of basic resources and financial restraints, the family is subject to many pressures. Poverty-stricken families have greater rates of child maltreatment, and children in low-income households may have more emotional and behavioural challenges (Slack et al., 2011; Evans </w:t>
      </w:r>
      <w:r w:rsidR="00E72B25" w:rsidRPr="00F02A33">
        <w:rPr>
          <w:rFonts w:ascii="Arial" w:hAnsi="Arial" w:cs="Arial"/>
          <w:sz w:val="24"/>
          <w:szCs w:val="24"/>
        </w:rPr>
        <w:t>and</w:t>
      </w:r>
      <w:r w:rsidR="001B1309" w:rsidRPr="00F02A33">
        <w:rPr>
          <w:rFonts w:ascii="Arial" w:hAnsi="Arial" w:cs="Arial"/>
          <w:sz w:val="24"/>
          <w:szCs w:val="24"/>
        </w:rPr>
        <w:t xml:space="preserve"> Kim, 2013).</w:t>
      </w:r>
      <w:r>
        <w:rPr>
          <w:rFonts w:ascii="Arial" w:hAnsi="Arial" w:cs="Arial"/>
          <w:sz w:val="24"/>
          <w:szCs w:val="24"/>
        </w:rPr>
        <w:t xml:space="preserve"> Again, d</w:t>
      </w:r>
      <w:r w:rsidR="001B1309" w:rsidRPr="00F02A33">
        <w:rPr>
          <w:rFonts w:ascii="Arial" w:hAnsi="Arial" w:cs="Arial"/>
          <w:sz w:val="24"/>
          <w:szCs w:val="24"/>
        </w:rPr>
        <w:t>omestic violence creates a dangerous and hazardous atmosphere for children and young people. Domestic violence has been shown repeatedly in studies to have long-term detrimental implications for children, such as increased rates of anxiety, depression, and violent behaviour (Holt et al., 2008; Altenhofen et al., 2008).</w:t>
      </w:r>
      <w:r>
        <w:rPr>
          <w:rFonts w:ascii="Arial" w:hAnsi="Arial" w:cs="Arial"/>
          <w:sz w:val="24"/>
          <w:szCs w:val="24"/>
        </w:rPr>
        <w:t xml:space="preserve"> Furthermore, p</w:t>
      </w:r>
      <w:r w:rsidR="001B1309" w:rsidRPr="00F02A33">
        <w:rPr>
          <w:rFonts w:ascii="Arial" w:hAnsi="Arial" w:cs="Arial"/>
          <w:sz w:val="24"/>
          <w:szCs w:val="24"/>
        </w:rPr>
        <w:t>arental substance misuse has a negative impact on family dynamics and children's well-being. Children with substance-abusing parents are more likely to experience neglect, physical abuse, and mental trauma (Kroll et al., 2017; Yampolskaya et al., 2019).</w:t>
      </w:r>
    </w:p>
    <w:p w14:paraId="0247D74D" w14:textId="6FD12789" w:rsidR="004E47B5" w:rsidRPr="004E47B5" w:rsidRDefault="000A6F11" w:rsidP="00AB6125">
      <w:pPr>
        <w:spacing w:line="360" w:lineRule="auto"/>
        <w:jc w:val="both"/>
        <w:rPr>
          <w:rFonts w:ascii="Arial" w:hAnsi="Arial" w:cs="Arial"/>
          <w:sz w:val="24"/>
          <w:szCs w:val="24"/>
        </w:rPr>
      </w:pPr>
      <w:r>
        <w:rPr>
          <w:rFonts w:ascii="Arial" w:hAnsi="Arial" w:cs="Arial"/>
          <w:sz w:val="24"/>
          <w:szCs w:val="24"/>
        </w:rPr>
        <w:t>As expected, t</w:t>
      </w:r>
      <w:r w:rsidRPr="000A6F11">
        <w:rPr>
          <w:rFonts w:ascii="Arial" w:hAnsi="Arial" w:cs="Arial"/>
          <w:sz w:val="24"/>
          <w:szCs w:val="24"/>
        </w:rPr>
        <w:t xml:space="preserve">hese Factors </w:t>
      </w:r>
      <w:r>
        <w:rPr>
          <w:rFonts w:ascii="Arial" w:hAnsi="Arial" w:cs="Arial"/>
          <w:sz w:val="24"/>
          <w:szCs w:val="24"/>
        </w:rPr>
        <w:t>have</w:t>
      </w:r>
      <w:r w:rsidRPr="000A6F11">
        <w:rPr>
          <w:rFonts w:ascii="Arial" w:hAnsi="Arial" w:cs="Arial"/>
          <w:sz w:val="24"/>
          <w:szCs w:val="24"/>
        </w:rPr>
        <w:t xml:space="preserve"> </w:t>
      </w:r>
      <w:r>
        <w:rPr>
          <w:rFonts w:ascii="Arial" w:hAnsi="Arial" w:cs="Arial"/>
          <w:sz w:val="24"/>
          <w:szCs w:val="24"/>
        </w:rPr>
        <w:t>i</w:t>
      </w:r>
      <w:r w:rsidRPr="000A6F11">
        <w:rPr>
          <w:rFonts w:ascii="Arial" w:hAnsi="Arial" w:cs="Arial"/>
          <w:sz w:val="24"/>
          <w:szCs w:val="24"/>
        </w:rPr>
        <w:t>mpact</w:t>
      </w:r>
      <w:r>
        <w:rPr>
          <w:rFonts w:ascii="Arial" w:hAnsi="Arial" w:cs="Arial"/>
          <w:sz w:val="24"/>
          <w:szCs w:val="24"/>
        </w:rPr>
        <w:t xml:space="preserve"> </w:t>
      </w:r>
      <w:r w:rsidRPr="000A6F11">
        <w:rPr>
          <w:rFonts w:ascii="Arial" w:hAnsi="Arial" w:cs="Arial"/>
          <w:sz w:val="24"/>
          <w:szCs w:val="24"/>
        </w:rPr>
        <w:t xml:space="preserve">on </w:t>
      </w:r>
      <w:r>
        <w:rPr>
          <w:rFonts w:ascii="Arial" w:hAnsi="Arial" w:cs="Arial"/>
          <w:sz w:val="24"/>
          <w:szCs w:val="24"/>
        </w:rPr>
        <w:t>c</w:t>
      </w:r>
      <w:r w:rsidRPr="000A6F11">
        <w:rPr>
          <w:rFonts w:ascii="Arial" w:hAnsi="Arial" w:cs="Arial"/>
          <w:sz w:val="24"/>
          <w:szCs w:val="24"/>
        </w:rPr>
        <w:t xml:space="preserve">hildren and </w:t>
      </w:r>
      <w:r>
        <w:rPr>
          <w:rFonts w:ascii="Arial" w:hAnsi="Arial" w:cs="Arial"/>
          <w:sz w:val="24"/>
          <w:szCs w:val="24"/>
        </w:rPr>
        <w:t>y</w:t>
      </w:r>
      <w:r w:rsidRPr="000A6F11">
        <w:rPr>
          <w:rFonts w:ascii="Arial" w:hAnsi="Arial" w:cs="Arial"/>
          <w:sz w:val="24"/>
          <w:szCs w:val="24"/>
        </w:rPr>
        <w:t xml:space="preserve">oung </w:t>
      </w:r>
      <w:r>
        <w:rPr>
          <w:rFonts w:ascii="Arial" w:hAnsi="Arial" w:cs="Arial"/>
          <w:sz w:val="24"/>
          <w:szCs w:val="24"/>
        </w:rPr>
        <w:t>p</w:t>
      </w:r>
      <w:r w:rsidRPr="000A6F11">
        <w:rPr>
          <w:rFonts w:ascii="Arial" w:hAnsi="Arial" w:cs="Arial"/>
          <w:sz w:val="24"/>
          <w:szCs w:val="24"/>
        </w:rPr>
        <w:t>eople</w:t>
      </w:r>
      <w:r>
        <w:rPr>
          <w:rFonts w:ascii="Arial" w:hAnsi="Arial" w:cs="Arial"/>
          <w:sz w:val="24"/>
          <w:szCs w:val="24"/>
        </w:rPr>
        <w:t xml:space="preserve">. </w:t>
      </w:r>
      <w:r w:rsidR="001B1309" w:rsidRPr="00F02A33">
        <w:rPr>
          <w:rFonts w:ascii="Arial" w:hAnsi="Arial" w:cs="Arial"/>
          <w:sz w:val="24"/>
          <w:szCs w:val="24"/>
        </w:rPr>
        <w:t xml:space="preserve">Children who are subjected to violence, neglect, and unsafe living situations may sustain physical injuries as well as developmental delays. Additionally, persistent trauma exposure can result in negative psychological effects such as post-traumatic stress disorder and depression </w:t>
      </w:r>
      <w:r w:rsidR="001B1309" w:rsidRPr="00F02A33">
        <w:rPr>
          <w:rFonts w:ascii="Arial" w:hAnsi="Arial" w:cs="Arial"/>
          <w:sz w:val="24"/>
          <w:szCs w:val="24"/>
        </w:rPr>
        <w:lastRenderedPageBreak/>
        <w:t>(Miller-Graff et al., 2015; Holt et al., 2016).</w:t>
      </w:r>
      <w:r>
        <w:rPr>
          <w:rFonts w:ascii="Arial" w:hAnsi="Arial" w:cs="Arial"/>
          <w:sz w:val="24"/>
          <w:szCs w:val="24"/>
        </w:rPr>
        <w:t xml:space="preserve"> Also, t</w:t>
      </w:r>
      <w:r w:rsidR="001B1309" w:rsidRPr="00F02A33">
        <w:rPr>
          <w:rFonts w:ascii="Arial" w:hAnsi="Arial" w:cs="Arial"/>
          <w:sz w:val="24"/>
          <w:szCs w:val="24"/>
        </w:rPr>
        <w:t xml:space="preserve">he instability induced by vulnerability factors interrupts children's educational habits, resulting in lower academic performance and a higher probability of dropping out of school. According to studies, children who have experienced parental adversity are more likely to have poorer educational attainment (Evans </w:t>
      </w:r>
      <w:r w:rsidR="00E72B25" w:rsidRPr="00F02A33">
        <w:rPr>
          <w:rFonts w:ascii="Arial" w:hAnsi="Arial" w:cs="Arial"/>
          <w:sz w:val="24"/>
          <w:szCs w:val="24"/>
        </w:rPr>
        <w:t>and</w:t>
      </w:r>
      <w:r w:rsidR="001B1309" w:rsidRPr="00F02A33">
        <w:rPr>
          <w:rFonts w:ascii="Arial" w:hAnsi="Arial" w:cs="Arial"/>
          <w:sz w:val="24"/>
          <w:szCs w:val="24"/>
        </w:rPr>
        <w:t xml:space="preserve"> Kim, 2010; Fergusson et al., 2008).</w:t>
      </w:r>
      <w:r>
        <w:rPr>
          <w:rFonts w:ascii="Arial" w:hAnsi="Arial" w:cs="Arial"/>
          <w:sz w:val="24"/>
          <w:szCs w:val="24"/>
        </w:rPr>
        <w:t xml:space="preserve"> Moreover, g</w:t>
      </w:r>
      <w:r w:rsidR="001B1309" w:rsidRPr="00F02A33">
        <w:rPr>
          <w:rFonts w:ascii="Arial" w:hAnsi="Arial" w:cs="Arial"/>
          <w:sz w:val="24"/>
          <w:szCs w:val="24"/>
        </w:rPr>
        <w:t xml:space="preserve">rowing up in an abusive or insecure household can make it difficult for children to create solid attachments and develop healthy social skills. Early adversity can make it difficult to build healthy relationships later in life (Cicchetti </w:t>
      </w:r>
      <w:r w:rsidR="00E72B25" w:rsidRPr="00F02A33">
        <w:rPr>
          <w:rFonts w:ascii="Arial" w:hAnsi="Arial" w:cs="Arial"/>
          <w:sz w:val="24"/>
          <w:szCs w:val="24"/>
        </w:rPr>
        <w:t>and</w:t>
      </w:r>
      <w:r w:rsidR="001B1309" w:rsidRPr="00F02A33">
        <w:rPr>
          <w:rFonts w:ascii="Arial" w:hAnsi="Arial" w:cs="Arial"/>
          <w:sz w:val="24"/>
          <w:szCs w:val="24"/>
        </w:rPr>
        <w:t xml:space="preserve"> Toth, 2016; Perry, 2009).</w:t>
      </w:r>
    </w:p>
    <w:p w14:paraId="61593451" w14:textId="013C6735" w:rsidR="001B1309" w:rsidRPr="00AB6125" w:rsidRDefault="001B1309" w:rsidP="00AB6125">
      <w:pPr>
        <w:spacing w:line="360" w:lineRule="auto"/>
        <w:jc w:val="both"/>
        <w:rPr>
          <w:rFonts w:ascii="Arial" w:hAnsi="Arial" w:cs="Arial"/>
          <w:sz w:val="24"/>
          <w:szCs w:val="24"/>
        </w:rPr>
      </w:pPr>
      <w:r w:rsidRPr="00F02A33">
        <w:rPr>
          <w:rFonts w:ascii="Arial" w:hAnsi="Arial" w:cs="Arial"/>
          <w:sz w:val="24"/>
          <w:szCs w:val="24"/>
        </w:rPr>
        <w:t xml:space="preserve">Intervention for families experiencing numerous vulnerabilities necessitates a collaborative effort from several health and social care institutions. </w:t>
      </w:r>
      <w:r w:rsidR="00C111F4" w:rsidRPr="00C111F4">
        <w:rPr>
          <w:rFonts w:ascii="Arial" w:hAnsi="Arial" w:cs="Arial"/>
          <w:sz w:val="24"/>
          <w:szCs w:val="24"/>
        </w:rPr>
        <w:t>In order to address the multifaceted requirements of the family, a multi-agency strategy is essential. The following steps are jointly completed by the involved agencies:</w:t>
      </w:r>
      <w:r w:rsidR="00C111F4">
        <w:rPr>
          <w:rFonts w:ascii="Arial" w:hAnsi="Arial" w:cs="Arial"/>
          <w:sz w:val="24"/>
          <w:szCs w:val="24"/>
        </w:rPr>
        <w:t xml:space="preserve"> a</w:t>
      </w:r>
      <w:r w:rsidRPr="00F02A33">
        <w:rPr>
          <w:rFonts w:ascii="Arial" w:hAnsi="Arial" w:cs="Arial"/>
          <w:sz w:val="24"/>
          <w:szCs w:val="24"/>
        </w:rPr>
        <w:t>ddressing the family's multifaceted needs requires a multi-agency strategy. The agencies concerned work together to complete the following tasks:</w:t>
      </w:r>
      <w:r w:rsidR="000A6F11">
        <w:rPr>
          <w:rFonts w:ascii="Arial" w:hAnsi="Arial" w:cs="Arial"/>
          <w:sz w:val="24"/>
          <w:szCs w:val="24"/>
        </w:rPr>
        <w:t xml:space="preserve"> </w:t>
      </w:r>
      <w:r w:rsidRPr="00AB6125">
        <w:rPr>
          <w:rFonts w:ascii="Arial" w:hAnsi="Arial" w:cs="Arial"/>
          <w:sz w:val="24"/>
          <w:szCs w:val="24"/>
        </w:rPr>
        <w:t>Comprehensive assessments are performed in order to completely grasp the family's needs and hazards. Interviews, observations, and consultations with professionals from many disciplines may be required.</w:t>
      </w:r>
      <w:r w:rsidR="000A6F11">
        <w:rPr>
          <w:rFonts w:ascii="Arial" w:hAnsi="Arial" w:cs="Arial"/>
          <w:sz w:val="24"/>
          <w:szCs w:val="24"/>
        </w:rPr>
        <w:t xml:space="preserve"> </w:t>
      </w:r>
      <w:r w:rsidRPr="00AB6125">
        <w:rPr>
          <w:rFonts w:ascii="Arial" w:hAnsi="Arial" w:cs="Arial"/>
          <w:sz w:val="24"/>
          <w:szCs w:val="24"/>
        </w:rPr>
        <w:t xml:space="preserve">Tailored support services are </w:t>
      </w:r>
      <w:r w:rsidR="000A6F11">
        <w:rPr>
          <w:rFonts w:ascii="Arial" w:hAnsi="Arial" w:cs="Arial"/>
          <w:sz w:val="24"/>
          <w:szCs w:val="24"/>
        </w:rPr>
        <w:t xml:space="preserve">equally </w:t>
      </w:r>
      <w:r w:rsidRPr="00AB6125">
        <w:rPr>
          <w:rFonts w:ascii="Arial" w:hAnsi="Arial" w:cs="Arial"/>
          <w:sz w:val="24"/>
          <w:szCs w:val="24"/>
        </w:rPr>
        <w:t>provided depending on the individual issues faced by the family. Counselling, therapy, parenting programmes, and substance misuse treatment are examples of such services.</w:t>
      </w:r>
      <w:r w:rsidR="000A6F11">
        <w:rPr>
          <w:rFonts w:ascii="Arial" w:hAnsi="Arial" w:cs="Arial"/>
          <w:sz w:val="24"/>
          <w:szCs w:val="24"/>
        </w:rPr>
        <w:t xml:space="preserve"> Lastly, v</w:t>
      </w:r>
      <w:r w:rsidRPr="00AB6125">
        <w:rPr>
          <w:rFonts w:ascii="Arial" w:hAnsi="Arial" w:cs="Arial"/>
          <w:sz w:val="24"/>
          <w:szCs w:val="24"/>
        </w:rPr>
        <w:t xml:space="preserve">arious agencies collaborate to build a comprehensive support network for the family. The interdisciplinary team ensures that actions are coordinated and synergistic in order to effectively address the family's concerns (Smith </w:t>
      </w:r>
      <w:r w:rsidR="00E72B25" w:rsidRPr="00AB6125">
        <w:rPr>
          <w:rFonts w:ascii="Arial" w:hAnsi="Arial" w:cs="Arial"/>
          <w:sz w:val="24"/>
          <w:szCs w:val="24"/>
        </w:rPr>
        <w:t>and</w:t>
      </w:r>
      <w:r w:rsidRPr="00AB6125">
        <w:rPr>
          <w:rFonts w:ascii="Arial" w:hAnsi="Arial" w:cs="Arial"/>
          <w:sz w:val="24"/>
          <w:szCs w:val="24"/>
        </w:rPr>
        <w:t xml:space="preserve"> Houser, 2018).</w:t>
      </w:r>
    </w:p>
    <w:p w14:paraId="50EA4730" w14:textId="3235EF3C" w:rsidR="003A3A37" w:rsidRPr="00AB6125" w:rsidRDefault="003A3A37" w:rsidP="00AB6125">
      <w:pPr>
        <w:spacing w:line="360" w:lineRule="auto"/>
        <w:jc w:val="both"/>
        <w:rPr>
          <w:rFonts w:ascii="Arial" w:hAnsi="Arial" w:cs="Arial"/>
          <w:sz w:val="24"/>
          <w:szCs w:val="24"/>
        </w:rPr>
      </w:pPr>
      <w:r w:rsidRPr="00F02A33">
        <w:rPr>
          <w:rFonts w:ascii="Arial" w:hAnsi="Arial" w:cs="Arial"/>
          <w:sz w:val="24"/>
          <w:szCs w:val="24"/>
        </w:rPr>
        <w:t>Social services are critical in ensuring the well-being of children and young people in families. They carry out the following actions:</w:t>
      </w:r>
      <w:r w:rsidR="000A6F11">
        <w:rPr>
          <w:rFonts w:ascii="Arial" w:hAnsi="Arial" w:cs="Arial"/>
          <w:sz w:val="24"/>
          <w:szCs w:val="24"/>
        </w:rPr>
        <w:t xml:space="preserve"> t</w:t>
      </w:r>
      <w:r w:rsidRPr="00AB6125">
        <w:rPr>
          <w:rFonts w:ascii="Arial" w:hAnsi="Arial" w:cs="Arial"/>
          <w:sz w:val="24"/>
          <w:szCs w:val="24"/>
        </w:rPr>
        <w:t>o safeguard children from harm, social workers implement immediate safety measures. This may entail removing children from dangerous situations and, if necessary, providing temporary housing (Lindsey, 2015).</w:t>
      </w:r>
      <w:r w:rsidR="000A6F11">
        <w:rPr>
          <w:rFonts w:ascii="Arial" w:hAnsi="Arial" w:cs="Arial"/>
          <w:sz w:val="24"/>
          <w:szCs w:val="24"/>
        </w:rPr>
        <w:t xml:space="preserve"> </w:t>
      </w:r>
      <w:r w:rsidRPr="00AB6125">
        <w:rPr>
          <w:rFonts w:ascii="Arial" w:hAnsi="Arial" w:cs="Arial"/>
          <w:sz w:val="24"/>
          <w:szCs w:val="24"/>
        </w:rPr>
        <w:t xml:space="preserve">Social workers </w:t>
      </w:r>
      <w:r w:rsidR="000A6F11">
        <w:rPr>
          <w:rFonts w:ascii="Arial" w:hAnsi="Arial" w:cs="Arial"/>
          <w:sz w:val="24"/>
          <w:szCs w:val="24"/>
        </w:rPr>
        <w:t xml:space="preserve">also </w:t>
      </w:r>
      <w:r w:rsidRPr="00AB6125">
        <w:rPr>
          <w:rFonts w:ascii="Arial" w:hAnsi="Arial" w:cs="Arial"/>
          <w:sz w:val="24"/>
          <w:szCs w:val="24"/>
        </w:rPr>
        <w:t>provide parents and carers with ongoing assistance and counselling. Social services support healthy family dynamics and parenting practises by providing parents with positive parenting skills (Schofield et al., 2013).</w:t>
      </w:r>
    </w:p>
    <w:p w14:paraId="7A2D114E" w14:textId="1BE8F07A" w:rsidR="003A3A37" w:rsidRPr="00AB6125" w:rsidRDefault="003A3A37" w:rsidP="00AB6125">
      <w:pPr>
        <w:spacing w:line="360" w:lineRule="auto"/>
        <w:jc w:val="both"/>
        <w:rPr>
          <w:rFonts w:ascii="Arial" w:hAnsi="Arial" w:cs="Arial"/>
          <w:sz w:val="24"/>
          <w:szCs w:val="24"/>
        </w:rPr>
      </w:pPr>
      <w:r w:rsidRPr="00F02A33">
        <w:rPr>
          <w:rFonts w:ascii="Arial" w:hAnsi="Arial" w:cs="Arial"/>
          <w:sz w:val="24"/>
          <w:szCs w:val="24"/>
        </w:rPr>
        <w:lastRenderedPageBreak/>
        <w:t>Positive outcomes can be obtained through the intervention process</w:t>
      </w:r>
      <w:r w:rsidR="000A6F11">
        <w:rPr>
          <w:rFonts w:ascii="Arial" w:hAnsi="Arial" w:cs="Arial"/>
          <w:sz w:val="24"/>
          <w:szCs w:val="24"/>
        </w:rPr>
        <w:t xml:space="preserve"> such as t</w:t>
      </w:r>
      <w:r w:rsidR="000A6F11" w:rsidRPr="00AB6125">
        <w:rPr>
          <w:rFonts w:ascii="Arial" w:hAnsi="Arial" w:cs="Arial"/>
          <w:sz w:val="24"/>
          <w:szCs w:val="24"/>
        </w:rPr>
        <w:t>he intervention increa</w:t>
      </w:r>
      <w:r w:rsidR="000A6F11">
        <w:rPr>
          <w:rFonts w:ascii="Arial" w:hAnsi="Arial" w:cs="Arial"/>
          <w:sz w:val="24"/>
          <w:szCs w:val="24"/>
        </w:rPr>
        <w:t>sing</w:t>
      </w:r>
      <w:r w:rsidR="000A6F11" w:rsidRPr="00AB6125">
        <w:rPr>
          <w:rFonts w:ascii="Arial" w:hAnsi="Arial" w:cs="Arial"/>
          <w:sz w:val="24"/>
          <w:szCs w:val="24"/>
        </w:rPr>
        <w:t xml:space="preserve"> children</w:t>
      </w:r>
      <w:r w:rsidR="000A6F11">
        <w:rPr>
          <w:rFonts w:ascii="Arial" w:hAnsi="Arial" w:cs="Arial"/>
          <w:sz w:val="24"/>
          <w:szCs w:val="24"/>
        </w:rPr>
        <w:t>’s</w:t>
      </w:r>
      <w:r w:rsidR="000A6F11" w:rsidRPr="00AB6125">
        <w:rPr>
          <w:rFonts w:ascii="Arial" w:hAnsi="Arial" w:cs="Arial"/>
          <w:sz w:val="24"/>
          <w:szCs w:val="24"/>
        </w:rPr>
        <w:t xml:space="preserve"> safety and limits their exposure to subsequent stress</w:t>
      </w:r>
      <w:r w:rsidR="000A6F11">
        <w:rPr>
          <w:rFonts w:ascii="Arial" w:hAnsi="Arial" w:cs="Arial"/>
          <w:sz w:val="24"/>
          <w:szCs w:val="24"/>
        </w:rPr>
        <w:t xml:space="preserve"> b</w:t>
      </w:r>
      <w:r w:rsidRPr="00AB6125">
        <w:rPr>
          <w:rFonts w:ascii="Arial" w:hAnsi="Arial" w:cs="Arial"/>
          <w:sz w:val="24"/>
          <w:szCs w:val="24"/>
        </w:rPr>
        <w:t xml:space="preserve">y removing </w:t>
      </w:r>
      <w:r w:rsidR="000A6F11" w:rsidRPr="00AB6125">
        <w:rPr>
          <w:rFonts w:ascii="Arial" w:hAnsi="Arial" w:cs="Arial"/>
          <w:sz w:val="24"/>
          <w:szCs w:val="24"/>
        </w:rPr>
        <w:t>the</w:t>
      </w:r>
      <w:r w:rsidR="000A6F11">
        <w:rPr>
          <w:rFonts w:ascii="Arial" w:hAnsi="Arial" w:cs="Arial"/>
          <w:sz w:val="24"/>
          <w:szCs w:val="24"/>
        </w:rPr>
        <w:t>m</w:t>
      </w:r>
      <w:r w:rsidR="000A6F11" w:rsidRPr="00AB6125">
        <w:rPr>
          <w:rFonts w:ascii="Arial" w:hAnsi="Arial" w:cs="Arial"/>
          <w:sz w:val="24"/>
          <w:szCs w:val="24"/>
        </w:rPr>
        <w:t xml:space="preserve"> </w:t>
      </w:r>
      <w:r w:rsidRPr="00AB6125">
        <w:rPr>
          <w:rFonts w:ascii="Arial" w:hAnsi="Arial" w:cs="Arial"/>
          <w:sz w:val="24"/>
          <w:szCs w:val="24"/>
        </w:rPr>
        <w:t>from potentially dangerous circumstances.</w:t>
      </w:r>
      <w:r w:rsidR="000A6F11">
        <w:rPr>
          <w:rFonts w:ascii="Arial" w:hAnsi="Arial" w:cs="Arial"/>
          <w:sz w:val="24"/>
          <w:szCs w:val="24"/>
        </w:rPr>
        <w:t xml:space="preserve"> </w:t>
      </w:r>
      <w:r w:rsidRPr="00AB6125">
        <w:rPr>
          <w:rFonts w:ascii="Arial" w:hAnsi="Arial" w:cs="Arial"/>
          <w:sz w:val="24"/>
          <w:szCs w:val="24"/>
        </w:rPr>
        <w:t>A</w:t>
      </w:r>
      <w:r w:rsidR="000A6F11">
        <w:rPr>
          <w:rFonts w:ascii="Arial" w:hAnsi="Arial" w:cs="Arial"/>
          <w:sz w:val="24"/>
          <w:szCs w:val="24"/>
        </w:rPr>
        <w:t>gain, a</w:t>
      </w:r>
      <w:r w:rsidRPr="00AB6125">
        <w:rPr>
          <w:rFonts w:ascii="Arial" w:hAnsi="Arial" w:cs="Arial"/>
          <w:sz w:val="24"/>
          <w:szCs w:val="24"/>
        </w:rPr>
        <w:t>ccess to appropriate support services improves the family's overall well-being by providing them with the tools and resources they need to overcome their vulnerabilities (Munro, 2011).</w:t>
      </w:r>
    </w:p>
    <w:p w14:paraId="3D28BFD8" w14:textId="0249C907" w:rsidR="00E72B25" w:rsidRPr="00AB6125" w:rsidRDefault="00E72B25" w:rsidP="00AB6125">
      <w:pPr>
        <w:spacing w:line="360" w:lineRule="auto"/>
        <w:jc w:val="both"/>
        <w:rPr>
          <w:rFonts w:ascii="Arial" w:hAnsi="Arial" w:cs="Arial"/>
          <w:sz w:val="24"/>
          <w:szCs w:val="24"/>
        </w:rPr>
      </w:pPr>
      <w:r w:rsidRPr="00F02A33">
        <w:rPr>
          <w:rFonts w:ascii="Arial" w:hAnsi="Arial" w:cs="Arial"/>
          <w:sz w:val="24"/>
          <w:szCs w:val="24"/>
        </w:rPr>
        <w:t>Several policies and pieces of legislation support the protection of children and adolescents, including:</w:t>
      </w:r>
      <w:r w:rsidR="000A6F11">
        <w:rPr>
          <w:rFonts w:ascii="Arial" w:hAnsi="Arial" w:cs="Arial"/>
          <w:sz w:val="24"/>
          <w:szCs w:val="24"/>
        </w:rPr>
        <w:t xml:space="preserve"> </w:t>
      </w:r>
      <w:r w:rsidRPr="00AB6125">
        <w:rPr>
          <w:rFonts w:ascii="Arial" w:hAnsi="Arial" w:cs="Arial"/>
          <w:sz w:val="24"/>
          <w:szCs w:val="24"/>
        </w:rPr>
        <w:t>Children Act 1989</w:t>
      </w:r>
      <w:r w:rsidR="000A6F11">
        <w:rPr>
          <w:rFonts w:ascii="Arial" w:hAnsi="Arial" w:cs="Arial"/>
          <w:sz w:val="24"/>
          <w:szCs w:val="24"/>
        </w:rPr>
        <w:t>.</w:t>
      </w:r>
      <w:r w:rsidRPr="00AB6125">
        <w:rPr>
          <w:rFonts w:ascii="Arial" w:hAnsi="Arial" w:cs="Arial"/>
          <w:sz w:val="24"/>
          <w:szCs w:val="24"/>
        </w:rPr>
        <w:t xml:space="preserve"> This Act establishes the legal framework for child protection and welfare in England, emphasising the significance of the child's well-being</w:t>
      </w:r>
      <w:r w:rsidR="000A6F11">
        <w:rPr>
          <w:rFonts w:ascii="Arial" w:hAnsi="Arial" w:cs="Arial"/>
          <w:sz w:val="24"/>
          <w:szCs w:val="24"/>
        </w:rPr>
        <w:t xml:space="preserve">; </w:t>
      </w:r>
      <w:r w:rsidRPr="00AB6125">
        <w:rPr>
          <w:rFonts w:ascii="Arial" w:hAnsi="Arial" w:cs="Arial"/>
          <w:sz w:val="24"/>
          <w:szCs w:val="24"/>
        </w:rPr>
        <w:t>Working Together to Protect Children (2018)</w:t>
      </w:r>
      <w:r w:rsidR="000A6F11">
        <w:rPr>
          <w:rFonts w:ascii="Arial" w:hAnsi="Arial" w:cs="Arial"/>
          <w:sz w:val="24"/>
          <w:szCs w:val="24"/>
        </w:rPr>
        <w:t xml:space="preserve">. </w:t>
      </w:r>
      <w:r w:rsidRPr="00AB6125">
        <w:rPr>
          <w:rFonts w:ascii="Arial" w:hAnsi="Arial" w:cs="Arial"/>
          <w:sz w:val="24"/>
          <w:szCs w:val="24"/>
        </w:rPr>
        <w:t>This guidance document outlines the roles of health and social care agencies in coordinating safeguarding actions and supporting effective multi-agency collaboration</w:t>
      </w:r>
      <w:r w:rsidR="000A6F11">
        <w:rPr>
          <w:rFonts w:ascii="Arial" w:hAnsi="Arial" w:cs="Arial"/>
          <w:sz w:val="24"/>
          <w:szCs w:val="24"/>
        </w:rPr>
        <w:t xml:space="preserve">; and </w:t>
      </w:r>
      <w:r w:rsidRPr="00AB6125">
        <w:rPr>
          <w:rFonts w:ascii="Arial" w:hAnsi="Arial" w:cs="Arial"/>
          <w:sz w:val="24"/>
          <w:szCs w:val="24"/>
        </w:rPr>
        <w:t>Safeguarding Vulnerable Groups Act of 2006: This Act sets a vetting and barring procedure to keep individuals from working with children and vulnerable groups who represent a risk to them.</w:t>
      </w:r>
    </w:p>
    <w:p w14:paraId="3A8C4CE2" w14:textId="2CF8851F" w:rsidR="00E72B25" w:rsidRPr="00AB6125" w:rsidRDefault="00C111F4" w:rsidP="00AB6125">
      <w:pPr>
        <w:spacing w:line="360" w:lineRule="auto"/>
        <w:jc w:val="both"/>
        <w:rPr>
          <w:rFonts w:ascii="Arial" w:hAnsi="Arial" w:cs="Arial"/>
          <w:sz w:val="24"/>
          <w:szCs w:val="24"/>
        </w:rPr>
      </w:pPr>
      <w:r w:rsidRPr="00C111F4">
        <w:rPr>
          <w:rFonts w:ascii="Arial" w:hAnsi="Arial" w:cs="Arial"/>
          <w:sz w:val="24"/>
          <w:szCs w:val="24"/>
        </w:rPr>
        <w:t>Theories guiding interventions of social services in case of safeguarding issues</w:t>
      </w:r>
      <w:r>
        <w:rPr>
          <w:rFonts w:ascii="Arial" w:hAnsi="Arial" w:cs="Arial"/>
          <w:sz w:val="24"/>
          <w:szCs w:val="24"/>
        </w:rPr>
        <w:t xml:space="preserve"> include: </w:t>
      </w:r>
      <w:r w:rsidR="00E72B25" w:rsidRPr="00AB6125">
        <w:rPr>
          <w:rFonts w:ascii="Arial" w:hAnsi="Arial" w:cs="Arial"/>
          <w:sz w:val="24"/>
          <w:szCs w:val="24"/>
        </w:rPr>
        <w:t xml:space="preserve">Attachment theory </w:t>
      </w:r>
      <w:r>
        <w:rPr>
          <w:rFonts w:ascii="Arial" w:hAnsi="Arial" w:cs="Arial"/>
          <w:sz w:val="24"/>
          <w:szCs w:val="24"/>
        </w:rPr>
        <w:t xml:space="preserve">which </w:t>
      </w:r>
      <w:r w:rsidR="00E72B25" w:rsidRPr="00AB6125">
        <w:rPr>
          <w:rFonts w:ascii="Arial" w:hAnsi="Arial" w:cs="Arial"/>
          <w:sz w:val="24"/>
          <w:szCs w:val="24"/>
        </w:rPr>
        <w:t>emphasises the need of secure bonds between carers and children. Attachment theory-guided interventions emphasise the development of healthy relationships in order to increase children's emotional well-being and resilience (Bowlby, 1969).</w:t>
      </w:r>
      <w:r>
        <w:rPr>
          <w:rFonts w:ascii="Arial" w:hAnsi="Arial" w:cs="Arial"/>
          <w:sz w:val="24"/>
          <w:szCs w:val="24"/>
        </w:rPr>
        <w:t xml:space="preserve"> </w:t>
      </w:r>
      <w:r w:rsidR="00E72B25" w:rsidRPr="00AB6125">
        <w:rPr>
          <w:rFonts w:ascii="Arial" w:hAnsi="Arial" w:cs="Arial"/>
          <w:sz w:val="24"/>
          <w:szCs w:val="24"/>
        </w:rPr>
        <w:t>Trauma-Informed Care</w:t>
      </w:r>
      <w:r>
        <w:rPr>
          <w:rFonts w:ascii="Arial" w:hAnsi="Arial" w:cs="Arial"/>
          <w:sz w:val="24"/>
          <w:szCs w:val="24"/>
        </w:rPr>
        <w:t xml:space="preserve"> which</w:t>
      </w:r>
      <w:r w:rsidR="00E72B25" w:rsidRPr="00AB6125">
        <w:rPr>
          <w:rFonts w:ascii="Arial" w:hAnsi="Arial" w:cs="Arial"/>
          <w:sz w:val="24"/>
          <w:szCs w:val="24"/>
        </w:rPr>
        <w:t xml:space="preserve"> acknowledges the impact of trauma on children and families. It directs therapies to promote healing and resilience while taking into account the possibility of re-traumatization of individuals (Harris and Fallot, 2001).</w:t>
      </w:r>
    </w:p>
    <w:p w14:paraId="3C94435C" w14:textId="33290536" w:rsidR="00800A7C" w:rsidRPr="00F02A33" w:rsidRDefault="00C111F4" w:rsidP="00F02A33">
      <w:pPr>
        <w:spacing w:line="360" w:lineRule="auto"/>
        <w:jc w:val="both"/>
        <w:rPr>
          <w:rFonts w:ascii="Arial" w:hAnsi="Arial" w:cs="Arial"/>
          <w:sz w:val="24"/>
          <w:szCs w:val="24"/>
        </w:rPr>
      </w:pPr>
      <w:r>
        <w:rPr>
          <w:rFonts w:ascii="Arial" w:hAnsi="Arial" w:cs="Arial"/>
          <w:sz w:val="24"/>
          <w:szCs w:val="24"/>
        </w:rPr>
        <w:t>In conclusion, t</w:t>
      </w:r>
      <w:r w:rsidR="00E72B25" w:rsidRPr="00F02A33">
        <w:rPr>
          <w:rFonts w:ascii="Arial" w:hAnsi="Arial" w:cs="Arial"/>
          <w:sz w:val="24"/>
          <w:szCs w:val="24"/>
        </w:rPr>
        <w:t xml:space="preserve">he case study "Troubled Families: Wandsworth" emphasises the crucial need of addressing the vulnerabilities that children, young people, and families confront. Effective intervention by health and social care organisations, lead by social services, can improve the well-being of disadvantaged families dramatically. </w:t>
      </w:r>
      <w:r>
        <w:rPr>
          <w:rFonts w:ascii="Arial" w:hAnsi="Arial" w:cs="Arial"/>
          <w:sz w:val="24"/>
          <w:szCs w:val="24"/>
        </w:rPr>
        <w:t>It is recommended that p</w:t>
      </w:r>
      <w:r w:rsidR="00E72B25" w:rsidRPr="00F02A33">
        <w:rPr>
          <w:rFonts w:ascii="Arial" w:hAnsi="Arial" w:cs="Arial"/>
          <w:sz w:val="24"/>
          <w:szCs w:val="24"/>
        </w:rPr>
        <w:t>olicymakers and practitioners must maintain applicable policies and legislation while incorporating attachment theory and trauma-informed care concepts into their interventions. We can protect children's and young people's welfare by creating a supportive environment for their healthy growth.</w:t>
      </w:r>
      <w:r w:rsidR="00800A7C" w:rsidRPr="00F02A33">
        <w:rPr>
          <w:rFonts w:ascii="Arial" w:hAnsi="Arial" w:cs="Arial"/>
          <w:sz w:val="24"/>
          <w:szCs w:val="24"/>
        </w:rPr>
        <w:br w:type="page"/>
      </w:r>
    </w:p>
    <w:p w14:paraId="1EE8F432" w14:textId="77777777" w:rsidR="009F2CE9" w:rsidRPr="00F02A33" w:rsidRDefault="00800A7C" w:rsidP="00F02A33">
      <w:pPr>
        <w:pStyle w:val="Heading1"/>
        <w:spacing w:line="360" w:lineRule="auto"/>
        <w:rPr>
          <w:rFonts w:ascii="Arial" w:hAnsi="Arial" w:cs="Arial"/>
          <w:sz w:val="24"/>
          <w:szCs w:val="24"/>
        </w:rPr>
      </w:pPr>
      <w:r w:rsidRPr="00F02A33">
        <w:rPr>
          <w:rFonts w:ascii="Arial" w:hAnsi="Arial" w:cs="Arial"/>
          <w:sz w:val="24"/>
          <w:szCs w:val="24"/>
        </w:rPr>
        <w:lastRenderedPageBreak/>
        <w:t>References</w:t>
      </w:r>
    </w:p>
    <w:p w14:paraId="0AF2E08C" w14:textId="1E792AA9" w:rsidR="00E72B25" w:rsidRPr="00E72B25" w:rsidRDefault="00E72B25" w:rsidP="00F02A33">
      <w:pPr>
        <w:spacing w:line="360" w:lineRule="auto"/>
        <w:jc w:val="both"/>
        <w:rPr>
          <w:rFonts w:ascii="Arial" w:hAnsi="Arial" w:cs="Arial"/>
          <w:sz w:val="24"/>
          <w:szCs w:val="24"/>
        </w:rPr>
      </w:pPr>
      <w:r w:rsidRPr="00E72B25">
        <w:rPr>
          <w:rFonts w:ascii="Arial" w:hAnsi="Arial" w:cs="Arial"/>
          <w:sz w:val="24"/>
          <w:szCs w:val="24"/>
        </w:rPr>
        <w:t xml:space="preserve">Altenhofen, S., Bader, E. L., </w:t>
      </w:r>
      <w:r w:rsidRPr="00F02A33">
        <w:rPr>
          <w:rFonts w:ascii="Arial" w:hAnsi="Arial" w:cs="Arial"/>
          <w:sz w:val="24"/>
          <w:szCs w:val="24"/>
        </w:rPr>
        <w:t>and</w:t>
      </w:r>
      <w:r w:rsidRPr="00E72B25">
        <w:rPr>
          <w:rFonts w:ascii="Arial" w:hAnsi="Arial" w:cs="Arial"/>
          <w:sz w:val="24"/>
          <w:szCs w:val="24"/>
        </w:rPr>
        <w:t xml:space="preserve"> Cook, M. (2008). Childhood exposure to domestic violence: Impact on young adult relationships. Journal of Aggression, Maltreatment </w:t>
      </w:r>
      <w:r w:rsidRPr="00F02A33">
        <w:rPr>
          <w:rFonts w:ascii="Arial" w:hAnsi="Arial" w:cs="Arial"/>
          <w:sz w:val="24"/>
          <w:szCs w:val="24"/>
        </w:rPr>
        <w:t>and</w:t>
      </w:r>
      <w:r w:rsidRPr="00E72B25">
        <w:rPr>
          <w:rFonts w:ascii="Arial" w:hAnsi="Arial" w:cs="Arial"/>
          <w:sz w:val="24"/>
          <w:szCs w:val="24"/>
        </w:rPr>
        <w:t xml:space="preserve"> Trauma, 17(1), </w:t>
      </w:r>
      <w:r w:rsidRPr="00F02A33">
        <w:rPr>
          <w:rFonts w:ascii="Arial" w:hAnsi="Arial" w:cs="Arial"/>
          <w:sz w:val="24"/>
          <w:szCs w:val="24"/>
        </w:rPr>
        <w:t>pp.</w:t>
      </w:r>
      <w:r w:rsidRPr="00E72B25">
        <w:rPr>
          <w:rFonts w:ascii="Arial" w:hAnsi="Arial" w:cs="Arial"/>
          <w:sz w:val="24"/>
          <w:szCs w:val="24"/>
        </w:rPr>
        <w:t>3-19.</w:t>
      </w:r>
    </w:p>
    <w:p w14:paraId="7EEB2306" w14:textId="77777777" w:rsidR="00E72B25" w:rsidRPr="00E72B25" w:rsidRDefault="00E72B25" w:rsidP="00F02A33">
      <w:pPr>
        <w:spacing w:line="360" w:lineRule="auto"/>
        <w:jc w:val="both"/>
        <w:rPr>
          <w:rFonts w:ascii="Arial" w:hAnsi="Arial" w:cs="Arial"/>
          <w:sz w:val="24"/>
          <w:szCs w:val="24"/>
        </w:rPr>
      </w:pPr>
      <w:r w:rsidRPr="00E72B25">
        <w:rPr>
          <w:rFonts w:ascii="Arial" w:hAnsi="Arial" w:cs="Arial"/>
          <w:sz w:val="24"/>
          <w:szCs w:val="24"/>
        </w:rPr>
        <w:t xml:space="preserve">Bowlby, J. (1969). </w:t>
      </w:r>
      <w:r w:rsidRPr="00E72B25">
        <w:rPr>
          <w:rFonts w:ascii="Arial" w:hAnsi="Arial" w:cs="Arial"/>
          <w:i/>
          <w:iCs/>
          <w:sz w:val="24"/>
          <w:szCs w:val="24"/>
        </w:rPr>
        <w:t>Attachment and Loss: Vol. 1.</w:t>
      </w:r>
      <w:r w:rsidRPr="00E72B25">
        <w:rPr>
          <w:rFonts w:ascii="Arial" w:hAnsi="Arial" w:cs="Arial"/>
          <w:sz w:val="24"/>
          <w:szCs w:val="24"/>
        </w:rPr>
        <w:t xml:space="preserve"> Attachment. New York: Basic Books.</w:t>
      </w:r>
    </w:p>
    <w:p w14:paraId="1DAB87BB" w14:textId="7B8F8132" w:rsidR="00E72B25" w:rsidRPr="00E72B25" w:rsidRDefault="00E72B25" w:rsidP="00F02A33">
      <w:pPr>
        <w:spacing w:line="360" w:lineRule="auto"/>
        <w:jc w:val="both"/>
        <w:rPr>
          <w:rFonts w:ascii="Arial" w:hAnsi="Arial" w:cs="Arial"/>
          <w:sz w:val="24"/>
          <w:szCs w:val="24"/>
        </w:rPr>
      </w:pPr>
      <w:r w:rsidRPr="00E72B25">
        <w:rPr>
          <w:rFonts w:ascii="Arial" w:hAnsi="Arial" w:cs="Arial"/>
          <w:sz w:val="24"/>
          <w:szCs w:val="24"/>
        </w:rPr>
        <w:t xml:space="preserve">Children Act 1989. Retrieved </w:t>
      </w:r>
      <w:r w:rsidRPr="00F02A33">
        <w:rPr>
          <w:rFonts w:ascii="Arial" w:hAnsi="Arial" w:cs="Arial"/>
          <w:sz w:val="24"/>
          <w:szCs w:val="24"/>
        </w:rPr>
        <w:t xml:space="preserve">10 July 2023 </w:t>
      </w:r>
      <w:r w:rsidRPr="00E72B25">
        <w:rPr>
          <w:rFonts w:ascii="Arial" w:hAnsi="Arial" w:cs="Arial"/>
          <w:sz w:val="24"/>
          <w:szCs w:val="24"/>
        </w:rPr>
        <w:t>from</w:t>
      </w:r>
      <w:r w:rsidRPr="00F02A33">
        <w:rPr>
          <w:rFonts w:ascii="Arial" w:hAnsi="Arial" w:cs="Arial"/>
          <w:sz w:val="24"/>
          <w:szCs w:val="24"/>
        </w:rPr>
        <w:t>,</w:t>
      </w:r>
      <w:r w:rsidRPr="00E72B25">
        <w:rPr>
          <w:rFonts w:ascii="Arial" w:hAnsi="Arial" w:cs="Arial"/>
          <w:sz w:val="24"/>
          <w:szCs w:val="24"/>
        </w:rPr>
        <w:t xml:space="preserve"> </w:t>
      </w:r>
      <w:hyperlink r:id="rId5" w:tgtFrame="_new" w:history="1">
        <w:r w:rsidRPr="00E72B25">
          <w:rPr>
            <w:rStyle w:val="Hyperlink"/>
            <w:rFonts w:ascii="Arial" w:hAnsi="Arial" w:cs="Arial"/>
            <w:sz w:val="24"/>
            <w:szCs w:val="24"/>
          </w:rPr>
          <w:t>https://www.legislation.gov.uk/ukpga/1989/41/contents</w:t>
        </w:r>
      </w:hyperlink>
    </w:p>
    <w:p w14:paraId="5882CFCC" w14:textId="09A747E1" w:rsidR="00E72B25" w:rsidRPr="00E72B25" w:rsidRDefault="00E72B25" w:rsidP="00F02A33">
      <w:pPr>
        <w:spacing w:line="360" w:lineRule="auto"/>
        <w:jc w:val="both"/>
        <w:rPr>
          <w:rFonts w:ascii="Arial" w:hAnsi="Arial" w:cs="Arial"/>
          <w:sz w:val="24"/>
          <w:szCs w:val="24"/>
        </w:rPr>
      </w:pPr>
      <w:r w:rsidRPr="00E72B25">
        <w:rPr>
          <w:rFonts w:ascii="Arial" w:hAnsi="Arial" w:cs="Arial"/>
          <w:sz w:val="24"/>
          <w:szCs w:val="24"/>
        </w:rPr>
        <w:t xml:space="preserve">Cicchetti, D., </w:t>
      </w:r>
      <w:r w:rsidRPr="00F02A33">
        <w:rPr>
          <w:rFonts w:ascii="Arial" w:hAnsi="Arial" w:cs="Arial"/>
          <w:sz w:val="24"/>
          <w:szCs w:val="24"/>
        </w:rPr>
        <w:t>and</w:t>
      </w:r>
      <w:r w:rsidRPr="00E72B25">
        <w:rPr>
          <w:rFonts w:ascii="Arial" w:hAnsi="Arial" w:cs="Arial"/>
          <w:sz w:val="24"/>
          <w:szCs w:val="24"/>
        </w:rPr>
        <w:t xml:space="preserve"> Toth, S. L. (2016). Child maltreatment and developmental psychopathology: A multilevel perspective. </w:t>
      </w:r>
      <w:r w:rsidRPr="00E72B25">
        <w:rPr>
          <w:rFonts w:ascii="Arial" w:hAnsi="Arial" w:cs="Arial"/>
          <w:i/>
          <w:iCs/>
          <w:sz w:val="24"/>
          <w:szCs w:val="24"/>
        </w:rPr>
        <w:t>In D. Cicchetti (Ed.), Developmental Psychopathology (3rd ed., Vol. 3, pp. 457-512).</w:t>
      </w:r>
      <w:r w:rsidRPr="00E72B25">
        <w:rPr>
          <w:rFonts w:ascii="Arial" w:hAnsi="Arial" w:cs="Arial"/>
          <w:sz w:val="24"/>
          <w:szCs w:val="24"/>
        </w:rPr>
        <w:t xml:space="preserve"> Hoboken, NJ: Wiley.</w:t>
      </w:r>
    </w:p>
    <w:p w14:paraId="2D6AAE29" w14:textId="7F9DF699" w:rsidR="00E72B25" w:rsidRPr="00E72B25" w:rsidRDefault="00E72B25" w:rsidP="00F02A33">
      <w:pPr>
        <w:spacing w:line="360" w:lineRule="auto"/>
        <w:jc w:val="both"/>
        <w:rPr>
          <w:rFonts w:ascii="Arial" w:hAnsi="Arial" w:cs="Arial"/>
          <w:sz w:val="24"/>
          <w:szCs w:val="24"/>
        </w:rPr>
      </w:pPr>
      <w:r w:rsidRPr="00E72B25">
        <w:rPr>
          <w:rFonts w:ascii="Arial" w:hAnsi="Arial" w:cs="Arial"/>
          <w:sz w:val="24"/>
          <w:szCs w:val="24"/>
        </w:rPr>
        <w:t xml:space="preserve">Department for Education. (2018). </w:t>
      </w:r>
      <w:r w:rsidRPr="00E72B25">
        <w:rPr>
          <w:rFonts w:ascii="Arial" w:hAnsi="Arial" w:cs="Arial"/>
          <w:i/>
          <w:iCs/>
          <w:sz w:val="24"/>
          <w:szCs w:val="24"/>
        </w:rPr>
        <w:t>Working Together to Safeguard Children: A guide to inter-agency working to safeguard and promote the welfare of children.</w:t>
      </w:r>
      <w:r w:rsidRPr="00E72B25">
        <w:rPr>
          <w:rFonts w:ascii="Arial" w:hAnsi="Arial" w:cs="Arial"/>
          <w:sz w:val="24"/>
          <w:szCs w:val="24"/>
        </w:rPr>
        <w:t xml:space="preserve"> Retrieved </w:t>
      </w:r>
      <w:r w:rsidRPr="00F02A33">
        <w:rPr>
          <w:rFonts w:ascii="Arial" w:hAnsi="Arial" w:cs="Arial"/>
          <w:sz w:val="24"/>
          <w:szCs w:val="24"/>
        </w:rPr>
        <w:t xml:space="preserve">7 July 2023 </w:t>
      </w:r>
      <w:r w:rsidRPr="00E72B25">
        <w:rPr>
          <w:rFonts w:ascii="Arial" w:hAnsi="Arial" w:cs="Arial"/>
          <w:sz w:val="24"/>
          <w:szCs w:val="24"/>
        </w:rPr>
        <w:t>from</w:t>
      </w:r>
      <w:r w:rsidRPr="00F02A33">
        <w:rPr>
          <w:rFonts w:ascii="Arial" w:hAnsi="Arial" w:cs="Arial"/>
          <w:sz w:val="24"/>
          <w:szCs w:val="24"/>
        </w:rPr>
        <w:t>,</w:t>
      </w:r>
      <w:r w:rsidRPr="00E72B25">
        <w:rPr>
          <w:rFonts w:ascii="Arial" w:hAnsi="Arial" w:cs="Arial"/>
          <w:sz w:val="24"/>
          <w:szCs w:val="24"/>
        </w:rPr>
        <w:t xml:space="preserve"> </w:t>
      </w:r>
      <w:hyperlink r:id="rId6" w:tgtFrame="_new" w:history="1">
        <w:r w:rsidRPr="00E72B25">
          <w:rPr>
            <w:rStyle w:val="Hyperlink"/>
            <w:rFonts w:ascii="Arial" w:hAnsi="Arial" w:cs="Arial"/>
            <w:sz w:val="24"/>
            <w:szCs w:val="24"/>
          </w:rPr>
          <w:t>https://assets.publishing.service.gov.uk/government/uploads/system/uploads/attachment_data/file/779401/Working_Together_to_Safeguard_Children.pdf</w:t>
        </w:r>
      </w:hyperlink>
    </w:p>
    <w:p w14:paraId="70A827B2" w14:textId="5B172FA7" w:rsidR="00E72B25" w:rsidRPr="00E72B25" w:rsidRDefault="00E72B25" w:rsidP="00F02A33">
      <w:pPr>
        <w:spacing w:line="360" w:lineRule="auto"/>
        <w:jc w:val="both"/>
        <w:rPr>
          <w:rFonts w:ascii="Arial" w:hAnsi="Arial" w:cs="Arial"/>
          <w:sz w:val="24"/>
          <w:szCs w:val="24"/>
        </w:rPr>
      </w:pPr>
      <w:r w:rsidRPr="00E72B25">
        <w:rPr>
          <w:rFonts w:ascii="Arial" w:hAnsi="Arial" w:cs="Arial"/>
          <w:sz w:val="24"/>
          <w:szCs w:val="24"/>
        </w:rPr>
        <w:t xml:space="preserve">Evans, G. W., </w:t>
      </w:r>
      <w:r w:rsidRPr="00F02A33">
        <w:rPr>
          <w:rFonts w:ascii="Arial" w:hAnsi="Arial" w:cs="Arial"/>
          <w:sz w:val="24"/>
          <w:szCs w:val="24"/>
        </w:rPr>
        <w:t>and</w:t>
      </w:r>
      <w:r w:rsidRPr="00E72B25">
        <w:rPr>
          <w:rFonts w:ascii="Arial" w:hAnsi="Arial" w:cs="Arial"/>
          <w:sz w:val="24"/>
          <w:szCs w:val="24"/>
        </w:rPr>
        <w:t xml:space="preserve"> Kim, P. (2010). Childhood poverty and health: Cumulative risk exposure and stress dysregulation. </w:t>
      </w:r>
      <w:r w:rsidRPr="00E72B25">
        <w:rPr>
          <w:rFonts w:ascii="Arial" w:hAnsi="Arial" w:cs="Arial"/>
          <w:i/>
          <w:iCs/>
          <w:sz w:val="24"/>
          <w:szCs w:val="24"/>
        </w:rPr>
        <w:t>Psychological Science, 21(5),</w:t>
      </w:r>
      <w:r w:rsidRPr="00E72B25">
        <w:rPr>
          <w:rFonts w:ascii="Arial" w:hAnsi="Arial" w:cs="Arial"/>
          <w:sz w:val="24"/>
          <w:szCs w:val="24"/>
        </w:rPr>
        <w:t xml:space="preserve"> </w:t>
      </w:r>
      <w:r w:rsidRPr="00F02A33">
        <w:rPr>
          <w:rFonts w:ascii="Arial" w:hAnsi="Arial" w:cs="Arial"/>
          <w:sz w:val="24"/>
          <w:szCs w:val="24"/>
        </w:rPr>
        <w:t>pp.</w:t>
      </w:r>
      <w:r w:rsidRPr="00E72B25">
        <w:rPr>
          <w:rFonts w:ascii="Arial" w:hAnsi="Arial" w:cs="Arial"/>
          <w:sz w:val="24"/>
          <w:szCs w:val="24"/>
        </w:rPr>
        <w:t>704-709.</w:t>
      </w:r>
    </w:p>
    <w:p w14:paraId="7E07B878" w14:textId="56CBF464" w:rsidR="00E72B25" w:rsidRPr="00E72B25" w:rsidRDefault="00E72B25" w:rsidP="00F02A33">
      <w:pPr>
        <w:spacing w:line="360" w:lineRule="auto"/>
        <w:jc w:val="both"/>
        <w:rPr>
          <w:rFonts w:ascii="Arial" w:hAnsi="Arial" w:cs="Arial"/>
          <w:sz w:val="24"/>
          <w:szCs w:val="24"/>
        </w:rPr>
      </w:pPr>
      <w:r w:rsidRPr="00E72B25">
        <w:rPr>
          <w:rFonts w:ascii="Arial" w:hAnsi="Arial" w:cs="Arial"/>
          <w:sz w:val="24"/>
          <w:szCs w:val="24"/>
        </w:rPr>
        <w:t xml:space="preserve">Evans, G. W., </w:t>
      </w:r>
      <w:r w:rsidRPr="00F02A33">
        <w:rPr>
          <w:rFonts w:ascii="Arial" w:hAnsi="Arial" w:cs="Arial"/>
          <w:sz w:val="24"/>
          <w:szCs w:val="24"/>
        </w:rPr>
        <w:t>and</w:t>
      </w:r>
      <w:r w:rsidRPr="00E72B25">
        <w:rPr>
          <w:rFonts w:ascii="Arial" w:hAnsi="Arial" w:cs="Arial"/>
          <w:sz w:val="24"/>
          <w:szCs w:val="24"/>
        </w:rPr>
        <w:t xml:space="preserve"> Kim, P. (2013). Multiple risk exposure as a potential explanatory mechanism for the socioeconomic status-health gradient. </w:t>
      </w:r>
      <w:r w:rsidRPr="00E72B25">
        <w:rPr>
          <w:rFonts w:ascii="Arial" w:hAnsi="Arial" w:cs="Arial"/>
          <w:i/>
          <w:iCs/>
          <w:sz w:val="24"/>
          <w:szCs w:val="24"/>
        </w:rPr>
        <w:t>Annals of the New York Academy of Sciences, 1186,</w:t>
      </w:r>
      <w:r w:rsidRPr="00E72B25">
        <w:rPr>
          <w:rFonts w:ascii="Arial" w:hAnsi="Arial" w:cs="Arial"/>
          <w:sz w:val="24"/>
          <w:szCs w:val="24"/>
        </w:rPr>
        <w:t xml:space="preserve"> </w:t>
      </w:r>
      <w:r w:rsidRPr="00F02A33">
        <w:rPr>
          <w:rFonts w:ascii="Arial" w:hAnsi="Arial" w:cs="Arial"/>
          <w:sz w:val="24"/>
          <w:szCs w:val="24"/>
        </w:rPr>
        <w:t>pp.</w:t>
      </w:r>
      <w:r w:rsidRPr="00E72B25">
        <w:rPr>
          <w:rFonts w:ascii="Arial" w:hAnsi="Arial" w:cs="Arial"/>
          <w:sz w:val="24"/>
          <w:szCs w:val="24"/>
        </w:rPr>
        <w:t>174-189.</w:t>
      </w:r>
    </w:p>
    <w:p w14:paraId="093CC783" w14:textId="55C5B8C7" w:rsidR="00E72B25" w:rsidRPr="00E72B25" w:rsidRDefault="00E72B25" w:rsidP="00F02A33">
      <w:pPr>
        <w:spacing w:line="360" w:lineRule="auto"/>
        <w:jc w:val="both"/>
        <w:rPr>
          <w:rFonts w:ascii="Arial" w:hAnsi="Arial" w:cs="Arial"/>
          <w:sz w:val="24"/>
          <w:szCs w:val="24"/>
        </w:rPr>
      </w:pPr>
      <w:r w:rsidRPr="00E72B25">
        <w:rPr>
          <w:rFonts w:ascii="Arial" w:hAnsi="Arial" w:cs="Arial"/>
          <w:sz w:val="24"/>
          <w:szCs w:val="24"/>
        </w:rPr>
        <w:t xml:space="preserve">Fergusson, D. M., Lynskey, M. T., </w:t>
      </w:r>
      <w:r w:rsidRPr="00F02A33">
        <w:rPr>
          <w:rFonts w:ascii="Arial" w:hAnsi="Arial" w:cs="Arial"/>
          <w:sz w:val="24"/>
          <w:szCs w:val="24"/>
        </w:rPr>
        <w:t>and</w:t>
      </w:r>
      <w:r w:rsidRPr="00E72B25">
        <w:rPr>
          <w:rFonts w:ascii="Arial" w:hAnsi="Arial" w:cs="Arial"/>
          <w:sz w:val="24"/>
          <w:szCs w:val="24"/>
        </w:rPr>
        <w:t xml:space="preserve"> Horwood, L. J. (2008). Childhood exposure to sexual abuse and partnership outcomes at age 30. </w:t>
      </w:r>
      <w:r w:rsidRPr="00E72B25">
        <w:rPr>
          <w:rFonts w:ascii="Arial" w:hAnsi="Arial" w:cs="Arial"/>
          <w:i/>
          <w:iCs/>
          <w:sz w:val="24"/>
          <w:szCs w:val="24"/>
        </w:rPr>
        <w:t>Journal of Child Psychology and Psychiatry, 49(3),</w:t>
      </w:r>
      <w:r w:rsidRPr="00E72B25">
        <w:rPr>
          <w:rFonts w:ascii="Arial" w:hAnsi="Arial" w:cs="Arial"/>
          <w:sz w:val="24"/>
          <w:szCs w:val="24"/>
        </w:rPr>
        <w:t xml:space="preserve"> </w:t>
      </w:r>
      <w:r w:rsidRPr="00F02A33">
        <w:rPr>
          <w:rFonts w:ascii="Arial" w:hAnsi="Arial" w:cs="Arial"/>
          <w:sz w:val="24"/>
          <w:szCs w:val="24"/>
        </w:rPr>
        <w:t>pp.</w:t>
      </w:r>
      <w:r w:rsidRPr="00E72B25">
        <w:rPr>
          <w:rFonts w:ascii="Arial" w:hAnsi="Arial" w:cs="Arial"/>
          <w:sz w:val="24"/>
          <w:szCs w:val="24"/>
        </w:rPr>
        <w:t>274-281.</w:t>
      </w:r>
    </w:p>
    <w:p w14:paraId="7BBEA010" w14:textId="28D6D870" w:rsidR="00E72B25" w:rsidRPr="00E72B25" w:rsidRDefault="00E72B25" w:rsidP="00F02A33">
      <w:pPr>
        <w:spacing w:line="360" w:lineRule="auto"/>
        <w:jc w:val="both"/>
        <w:rPr>
          <w:rFonts w:ascii="Arial" w:hAnsi="Arial" w:cs="Arial"/>
          <w:sz w:val="24"/>
          <w:szCs w:val="24"/>
        </w:rPr>
      </w:pPr>
      <w:r w:rsidRPr="00E72B25">
        <w:rPr>
          <w:rFonts w:ascii="Arial" w:hAnsi="Arial" w:cs="Arial"/>
          <w:sz w:val="24"/>
          <w:szCs w:val="24"/>
        </w:rPr>
        <w:t xml:space="preserve">Harris, M., </w:t>
      </w:r>
      <w:r w:rsidRPr="00F02A33">
        <w:rPr>
          <w:rFonts w:ascii="Arial" w:hAnsi="Arial" w:cs="Arial"/>
          <w:sz w:val="24"/>
          <w:szCs w:val="24"/>
        </w:rPr>
        <w:t>and</w:t>
      </w:r>
      <w:r w:rsidRPr="00E72B25">
        <w:rPr>
          <w:rFonts w:ascii="Arial" w:hAnsi="Arial" w:cs="Arial"/>
          <w:sz w:val="24"/>
          <w:szCs w:val="24"/>
        </w:rPr>
        <w:t xml:space="preserve"> Fallot, R. D. (2001). </w:t>
      </w:r>
      <w:r w:rsidRPr="00E72B25">
        <w:rPr>
          <w:rFonts w:ascii="Arial" w:hAnsi="Arial" w:cs="Arial"/>
          <w:i/>
          <w:iCs/>
          <w:sz w:val="24"/>
          <w:szCs w:val="24"/>
        </w:rPr>
        <w:t>Using trauma theory to design service systems.</w:t>
      </w:r>
      <w:r w:rsidRPr="00E72B25">
        <w:rPr>
          <w:rFonts w:ascii="Arial" w:hAnsi="Arial" w:cs="Arial"/>
          <w:sz w:val="24"/>
          <w:szCs w:val="24"/>
        </w:rPr>
        <w:t xml:space="preserve"> San Francisco, CA: Jossey-Bass.</w:t>
      </w:r>
    </w:p>
    <w:p w14:paraId="7C5BC75E" w14:textId="47194620" w:rsidR="00E72B25" w:rsidRPr="00E72B25" w:rsidRDefault="00E72B25" w:rsidP="00F02A33">
      <w:pPr>
        <w:spacing w:line="360" w:lineRule="auto"/>
        <w:jc w:val="both"/>
        <w:rPr>
          <w:rFonts w:ascii="Arial" w:hAnsi="Arial" w:cs="Arial"/>
          <w:sz w:val="24"/>
          <w:szCs w:val="24"/>
        </w:rPr>
      </w:pPr>
      <w:r w:rsidRPr="00E72B25">
        <w:rPr>
          <w:rFonts w:ascii="Arial" w:hAnsi="Arial" w:cs="Arial"/>
          <w:sz w:val="24"/>
          <w:szCs w:val="24"/>
        </w:rPr>
        <w:t xml:space="preserve">Holt, S., Buckley, H., </w:t>
      </w:r>
      <w:r w:rsidRPr="00F02A33">
        <w:rPr>
          <w:rFonts w:ascii="Arial" w:hAnsi="Arial" w:cs="Arial"/>
          <w:sz w:val="24"/>
          <w:szCs w:val="24"/>
        </w:rPr>
        <w:t>and</w:t>
      </w:r>
      <w:r w:rsidRPr="00E72B25">
        <w:rPr>
          <w:rFonts w:ascii="Arial" w:hAnsi="Arial" w:cs="Arial"/>
          <w:sz w:val="24"/>
          <w:szCs w:val="24"/>
        </w:rPr>
        <w:t xml:space="preserve"> Whelan, S. (2008). The impact of exposure to domestic violence on children and young people: A review of the literature. </w:t>
      </w:r>
      <w:r w:rsidRPr="00E72B25">
        <w:rPr>
          <w:rFonts w:ascii="Arial" w:hAnsi="Arial" w:cs="Arial"/>
          <w:i/>
          <w:iCs/>
          <w:sz w:val="24"/>
          <w:szCs w:val="24"/>
        </w:rPr>
        <w:t xml:space="preserve">Child Abuse </w:t>
      </w:r>
      <w:r w:rsidRPr="00F02A33">
        <w:rPr>
          <w:rFonts w:ascii="Arial" w:hAnsi="Arial" w:cs="Arial"/>
          <w:i/>
          <w:iCs/>
          <w:sz w:val="24"/>
          <w:szCs w:val="24"/>
        </w:rPr>
        <w:t>and</w:t>
      </w:r>
      <w:r w:rsidRPr="00E72B25">
        <w:rPr>
          <w:rFonts w:ascii="Arial" w:hAnsi="Arial" w:cs="Arial"/>
          <w:i/>
          <w:iCs/>
          <w:sz w:val="24"/>
          <w:szCs w:val="24"/>
        </w:rPr>
        <w:t xml:space="preserve"> Neglect, 32(8),</w:t>
      </w:r>
      <w:r w:rsidRPr="00E72B25">
        <w:rPr>
          <w:rFonts w:ascii="Arial" w:hAnsi="Arial" w:cs="Arial"/>
          <w:sz w:val="24"/>
          <w:szCs w:val="24"/>
        </w:rPr>
        <w:t xml:space="preserve"> </w:t>
      </w:r>
      <w:r w:rsidRPr="00F02A33">
        <w:rPr>
          <w:rFonts w:ascii="Arial" w:hAnsi="Arial" w:cs="Arial"/>
          <w:sz w:val="24"/>
          <w:szCs w:val="24"/>
        </w:rPr>
        <w:t>pp.</w:t>
      </w:r>
      <w:r w:rsidRPr="00E72B25">
        <w:rPr>
          <w:rFonts w:ascii="Arial" w:hAnsi="Arial" w:cs="Arial"/>
          <w:sz w:val="24"/>
          <w:szCs w:val="24"/>
        </w:rPr>
        <w:t>797-810.</w:t>
      </w:r>
    </w:p>
    <w:p w14:paraId="5888A782" w14:textId="01DB2707" w:rsidR="00E72B25" w:rsidRPr="00E72B25" w:rsidRDefault="00E72B25" w:rsidP="00F02A33">
      <w:pPr>
        <w:spacing w:line="360" w:lineRule="auto"/>
        <w:jc w:val="both"/>
        <w:rPr>
          <w:rFonts w:ascii="Arial" w:hAnsi="Arial" w:cs="Arial"/>
          <w:sz w:val="24"/>
          <w:szCs w:val="24"/>
        </w:rPr>
      </w:pPr>
      <w:r w:rsidRPr="00E72B25">
        <w:rPr>
          <w:rFonts w:ascii="Arial" w:hAnsi="Arial" w:cs="Arial"/>
          <w:sz w:val="24"/>
          <w:szCs w:val="24"/>
        </w:rPr>
        <w:lastRenderedPageBreak/>
        <w:t xml:space="preserve">Kroll, B., Taylor, A., </w:t>
      </w:r>
      <w:r w:rsidRPr="00F02A33">
        <w:rPr>
          <w:rFonts w:ascii="Arial" w:hAnsi="Arial" w:cs="Arial"/>
          <w:sz w:val="24"/>
          <w:szCs w:val="24"/>
        </w:rPr>
        <w:t>and</w:t>
      </w:r>
      <w:r w:rsidRPr="00E72B25">
        <w:rPr>
          <w:rFonts w:ascii="Arial" w:hAnsi="Arial" w:cs="Arial"/>
          <w:sz w:val="24"/>
          <w:szCs w:val="24"/>
        </w:rPr>
        <w:t xml:space="preserve"> Snowden, L. (2017). Social work interventions for adult children of alcoholics: A systematic review of the literature. </w:t>
      </w:r>
      <w:r w:rsidRPr="00E72B25">
        <w:rPr>
          <w:rFonts w:ascii="Arial" w:hAnsi="Arial" w:cs="Arial"/>
          <w:i/>
          <w:iCs/>
          <w:sz w:val="24"/>
          <w:szCs w:val="24"/>
        </w:rPr>
        <w:t xml:space="preserve">Health </w:t>
      </w:r>
      <w:r w:rsidRPr="00F02A33">
        <w:rPr>
          <w:rFonts w:ascii="Arial" w:hAnsi="Arial" w:cs="Arial"/>
          <w:i/>
          <w:iCs/>
          <w:sz w:val="24"/>
          <w:szCs w:val="24"/>
        </w:rPr>
        <w:t>and</w:t>
      </w:r>
      <w:r w:rsidRPr="00E72B25">
        <w:rPr>
          <w:rFonts w:ascii="Arial" w:hAnsi="Arial" w:cs="Arial"/>
          <w:i/>
          <w:iCs/>
          <w:sz w:val="24"/>
          <w:szCs w:val="24"/>
        </w:rPr>
        <w:t xml:space="preserve"> Social Care in the Community, 25(5),</w:t>
      </w:r>
      <w:r w:rsidRPr="00E72B25">
        <w:rPr>
          <w:rFonts w:ascii="Arial" w:hAnsi="Arial" w:cs="Arial"/>
          <w:sz w:val="24"/>
          <w:szCs w:val="24"/>
        </w:rPr>
        <w:t xml:space="preserve"> </w:t>
      </w:r>
      <w:r w:rsidRPr="00F02A33">
        <w:rPr>
          <w:rFonts w:ascii="Arial" w:hAnsi="Arial" w:cs="Arial"/>
          <w:sz w:val="24"/>
          <w:szCs w:val="24"/>
        </w:rPr>
        <w:t>pp.</w:t>
      </w:r>
      <w:r w:rsidRPr="00E72B25">
        <w:rPr>
          <w:rFonts w:ascii="Arial" w:hAnsi="Arial" w:cs="Arial"/>
          <w:sz w:val="24"/>
          <w:szCs w:val="24"/>
        </w:rPr>
        <w:t>1537-1548.</w:t>
      </w:r>
    </w:p>
    <w:p w14:paraId="0D8F00E5" w14:textId="77777777" w:rsidR="00E72B25" w:rsidRPr="00E72B25" w:rsidRDefault="00E72B25" w:rsidP="00F02A33">
      <w:pPr>
        <w:spacing w:line="360" w:lineRule="auto"/>
        <w:jc w:val="both"/>
        <w:rPr>
          <w:rFonts w:ascii="Arial" w:hAnsi="Arial" w:cs="Arial"/>
          <w:sz w:val="24"/>
          <w:szCs w:val="24"/>
        </w:rPr>
      </w:pPr>
      <w:r w:rsidRPr="00E72B25">
        <w:rPr>
          <w:rFonts w:ascii="Arial" w:hAnsi="Arial" w:cs="Arial"/>
          <w:sz w:val="24"/>
          <w:szCs w:val="24"/>
        </w:rPr>
        <w:t xml:space="preserve">Lindsey, D. (2015). </w:t>
      </w:r>
      <w:r w:rsidRPr="00E72B25">
        <w:rPr>
          <w:rFonts w:ascii="Arial" w:hAnsi="Arial" w:cs="Arial"/>
          <w:i/>
          <w:iCs/>
          <w:sz w:val="24"/>
          <w:szCs w:val="24"/>
        </w:rPr>
        <w:t>Child welfare law and practice: Representing children, parents, and state agencies in abuse, neglect, and dependency cases.</w:t>
      </w:r>
      <w:r w:rsidRPr="00E72B25">
        <w:rPr>
          <w:rFonts w:ascii="Arial" w:hAnsi="Arial" w:cs="Arial"/>
          <w:sz w:val="24"/>
          <w:szCs w:val="24"/>
        </w:rPr>
        <w:t xml:space="preserve"> New York: Oxford University Press.</w:t>
      </w:r>
    </w:p>
    <w:p w14:paraId="4221FC6D" w14:textId="3149D858" w:rsidR="00E72B25" w:rsidRPr="00E72B25" w:rsidRDefault="00E72B25" w:rsidP="00F02A33">
      <w:pPr>
        <w:spacing w:line="360" w:lineRule="auto"/>
        <w:jc w:val="both"/>
        <w:rPr>
          <w:rFonts w:ascii="Arial" w:hAnsi="Arial" w:cs="Arial"/>
          <w:sz w:val="24"/>
          <w:szCs w:val="24"/>
        </w:rPr>
      </w:pPr>
      <w:r w:rsidRPr="00E72B25">
        <w:rPr>
          <w:rFonts w:ascii="Arial" w:hAnsi="Arial" w:cs="Arial"/>
          <w:sz w:val="24"/>
          <w:szCs w:val="24"/>
        </w:rPr>
        <w:t xml:space="preserve">Miller-Graff, L. E., Howell, K. H., Martinez-Torteya, C., </w:t>
      </w:r>
      <w:r w:rsidRPr="00F02A33">
        <w:rPr>
          <w:rFonts w:ascii="Arial" w:hAnsi="Arial" w:cs="Arial"/>
          <w:sz w:val="24"/>
          <w:szCs w:val="24"/>
        </w:rPr>
        <w:t>and</w:t>
      </w:r>
      <w:r w:rsidRPr="00E72B25">
        <w:rPr>
          <w:rFonts w:ascii="Arial" w:hAnsi="Arial" w:cs="Arial"/>
          <w:sz w:val="24"/>
          <w:szCs w:val="24"/>
        </w:rPr>
        <w:t xml:space="preserve"> Grein, K. (2015). The emotional impact of domestic violence exposure: A qualitative analysis of maternal interviews. </w:t>
      </w:r>
      <w:r w:rsidRPr="00E72B25">
        <w:rPr>
          <w:rFonts w:ascii="Arial" w:hAnsi="Arial" w:cs="Arial"/>
          <w:i/>
          <w:iCs/>
          <w:sz w:val="24"/>
          <w:szCs w:val="24"/>
        </w:rPr>
        <w:t>Psychology of Violence, 5(3),</w:t>
      </w:r>
      <w:r w:rsidRPr="00E72B25">
        <w:rPr>
          <w:rFonts w:ascii="Arial" w:hAnsi="Arial" w:cs="Arial"/>
          <w:sz w:val="24"/>
          <w:szCs w:val="24"/>
        </w:rPr>
        <w:t xml:space="preserve"> </w:t>
      </w:r>
      <w:r w:rsidRPr="00F02A33">
        <w:rPr>
          <w:rFonts w:ascii="Arial" w:hAnsi="Arial" w:cs="Arial"/>
          <w:sz w:val="24"/>
          <w:szCs w:val="24"/>
        </w:rPr>
        <w:t>pp.</w:t>
      </w:r>
      <w:r w:rsidRPr="00E72B25">
        <w:rPr>
          <w:rFonts w:ascii="Arial" w:hAnsi="Arial" w:cs="Arial"/>
          <w:sz w:val="24"/>
          <w:szCs w:val="24"/>
        </w:rPr>
        <w:t>223-233.</w:t>
      </w:r>
    </w:p>
    <w:p w14:paraId="2CDDB405" w14:textId="6DCA3526" w:rsidR="00E72B25" w:rsidRPr="00E72B25" w:rsidRDefault="00E72B25" w:rsidP="00F02A33">
      <w:pPr>
        <w:spacing w:line="360" w:lineRule="auto"/>
        <w:jc w:val="both"/>
        <w:rPr>
          <w:rFonts w:ascii="Arial" w:hAnsi="Arial" w:cs="Arial"/>
          <w:sz w:val="24"/>
          <w:szCs w:val="24"/>
        </w:rPr>
      </w:pPr>
      <w:r w:rsidRPr="00E72B25">
        <w:rPr>
          <w:rFonts w:ascii="Arial" w:hAnsi="Arial" w:cs="Arial"/>
          <w:sz w:val="24"/>
          <w:szCs w:val="24"/>
        </w:rPr>
        <w:t xml:space="preserve">Munro, E. (2011). </w:t>
      </w:r>
      <w:r w:rsidRPr="00E72B25">
        <w:rPr>
          <w:rFonts w:ascii="Arial" w:hAnsi="Arial" w:cs="Arial"/>
          <w:i/>
          <w:iCs/>
          <w:sz w:val="24"/>
          <w:szCs w:val="24"/>
        </w:rPr>
        <w:t>The Munro review of child protection: Final report.</w:t>
      </w:r>
      <w:r w:rsidRPr="00E72B25">
        <w:rPr>
          <w:rFonts w:ascii="Arial" w:hAnsi="Arial" w:cs="Arial"/>
          <w:sz w:val="24"/>
          <w:szCs w:val="24"/>
        </w:rPr>
        <w:t xml:space="preserve"> Retrieved</w:t>
      </w:r>
      <w:r w:rsidRPr="00F02A33">
        <w:rPr>
          <w:rFonts w:ascii="Arial" w:hAnsi="Arial" w:cs="Arial"/>
          <w:sz w:val="24"/>
          <w:szCs w:val="24"/>
        </w:rPr>
        <w:t xml:space="preserve"> 11 July 2023</w:t>
      </w:r>
      <w:r w:rsidRPr="00E72B25">
        <w:rPr>
          <w:rFonts w:ascii="Arial" w:hAnsi="Arial" w:cs="Arial"/>
          <w:sz w:val="24"/>
          <w:szCs w:val="24"/>
        </w:rPr>
        <w:t xml:space="preserve"> from</w:t>
      </w:r>
      <w:r w:rsidRPr="00F02A33">
        <w:rPr>
          <w:rFonts w:ascii="Arial" w:hAnsi="Arial" w:cs="Arial"/>
          <w:sz w:val="24"/>
          <w:szCs w:val="24"/>
        </w:rPr>
        <w:t>,</w:t>
      </w:r>
      <w:r w:rsidRPr="00E72B25">
        <w:rPr>
          <w:rFonts w:ascii="Arial" w:hAnsi="Arial" w:cs="Arial"/>
          <w:sz w:val="24"/>
          <w:szCs w:val="24"/>
        </w:rPr>
        <w:t xml:space="preserve"> </w:t>
      </w:r>
      <w:hyperlink r:id="rId7" w:tgtFrame="_new" w:history="1">
        <w:r w:rsidRPr="00E72B25">
          <w:rPr>
            <w:rStyle w:val="Hyperlink"/>
            <w:rFonts w:ascii="Arial" w:hAnsi="Arial" w:cs="Arial"/>
            <w:sz w:val="24"/>
            <w:szCs w:val="24"/>
          </w:rPr>
          <w:t>https://assets.publishing.service.gov.uk/government/uploads/system/uploads/attachment_data/file/175391/Munro-Review.pdf</w:t>
        </w:r>
      </w:hyperlink>
    </w:p>
    <w:p w14:paraId="504FF629" w14:textId="77777777" w:rsidR="00E72B25" w:rsidRPr="00E72B25" w:rsidRDefault="00E72B25" w:rsidP="00F02A33">
      <w:pPr>
        <w:spacing w:line="360" w:lineRule="auto"/>
        <w:jc w:val="both"/>
        <w:rPr>
          <w:rFonts w:ascii="Arial" w:hAnsi="Arial" w:cs="Arial"/>
          <w:sz w:val="24"/>
          <w:szCs w:val="24"/>
        </w:rPr>
      </w:pPr>
      <w:r w:rsidRPr="00E72B25">
        <w:rPr>
          <w:rFonts w:ascii="Arial" w:hAnsi="Arial" w:cs="Arial"/>
          <w:sz w:val="24"/>
          <w:szCs w:val="24"/>
        </w:rPr>
        <w:t>Safeguarding Vulnerable Groups Act 2006. Retrieved</w:t>
      </w:r>
      <w:r w:rsidRPr="00F02A33">
        <w:rPr>
          <w:rFonts w:ascii="Arial" w:hAnsi="Arial" w:cs="Arial"/>
          <w:sz w:val="24"/>
          <w:szCs w:val="24"/>
        </w:rPr>
        <w:t xml:space="preserve"> 17 July 2023</w:t>
      </w:r>
      <w:r w:rsidRPr="00E72B25">
        <w:rPr>
          <w:rFonts w:ascii="Arial" w:hAnsi="Arial" w:cs="Arial"/>
          <w:sz w:val="24"/>
          <w:szCs w:val="24"/>
        </w:rPr>
        <w:t xml:space="preserve"> from</w:t>
      </w:r>
      <w:r w:rsidRPr="00F02A33">
        <w:rPr>
          <w:rFonts w:ascii="Arial" w:hAnsi="Arial" w:cs="Arial"/>
          <w:sz w:val="24"/>
          <w:szCs w:val="24"/>
        </w:rPr>
        <w:t>,</w:t>
      </w:r>
      <w:r w:rsidRPr="00E72B25">
        <w:rPr>
          <w:rFonts w:ascii="Arial" w:hAnsi="Arial" w:cs="Arial"/>
          <w:sz w:val="24"/>
          <w:szCs w:val="24"/>
        </w:rPr>
        <w:t xml:space="preserve"> </w:t>
      </w:r>
      <w:hyperlink r:id="rId8" w:tgtFrame="_new" w:history="1">
        <w:r w:rsidRPr="00E72B25">
          <w:rPr>
            <w:rStyle w:val="Hyperlink"/>
            <w:rFonts w:ascii="Arial" w:hAnsi="Arial" w:cs="Arial"/>
            <w:sz w:val="24"/>
            <w:szCs w:val="24"/>
          </w:rPr>
          <w:t>https://www.legislation.gov.uk/ukpga/2006/47/contents</w:t>
        </w:r>
      </w:hyperlink>
    </w:p>
    <w:p w14:paraId="26A374A3" w14:textId="0DD2945C" w:rsidR="00E72B25" w:rsidRPr="00E72B25" w:rsidRDefault="00E72B25" w:rsidP="00F02A33">
      <w:pPr>
        <w:spacing w:line="360" w:lineRule="auto"/>
        <w:jc w:val="both"/>
        <w:rPr>
          <w:rFonts w:ascii="Arial" w:hAnsi="Arial" w:cs="Arial"/>
          <w:sz w:val="24"/>
          <w:szCs w:val="24"/>
        </w:rPr>
      </w:pPr>
      <w:r w:rsidRPr="00E72B25">
        <w:rPr>
          <w:rFonts w:ascii="Arial" w:hAnsi="Arial" w:cs="Arial"/>
          <w:sz w:val="24"/>
          <w:szCs w:val="24"/>
        </w:rPr>
        <w:t xml:space="preserve">Schofield, G., Biggart, L., Ward, E., Scaife, V., Dodsworth, J., Larsson, B., </w:t>
      </w:r>
      <w:r w:rsidRPr="00F02A33">
        <w:rPr>
          <w:rFonts w:ascii="Arial" w:hAnsi="Arial" w:cs="Arial"/>
          <w:sz w:val="24"/>
          <w:szCs w:val="24"/>
        </w:rPr>
        <w:t>and</w:t>
      </w:r>
      <w:r w:rsidRPr="00E72B25">
        <w:rPr>
          <w:rFonts w:ascii="Arial" w:hAnsi="Arial" w:cs="Arial"/>
          <w:sz w:val="24"/>
          <w:szCs w:val="24"/>
        </w:rPr>
        <w:t xml:space="preserve"> Skivenes, M. (2013). Looked after children and offending: Reducing risk and promoting resilience. </w:t>
      </w:r>
      <w:r w:rsidRPr="00E72B25">
        <w:rPr>
          <w:rFonts w:ascii="Arial" w:hAnsi="Arial" w:cs="Arial"/>
          <w:i/>
          <w:iCs/>
          <w:sz w:val="24"/>
          <w:szCs w:val="24"/>
        </w:rPr>
        <w:t>The British Journal of Social Work, 43(8)</w:t>
      </w:r>
      <w:r w:rsidRPr="00E72B25">
        <w:rPr>
          <w:rFonts w:ascii="Arial" w:hAnsi="Arial" w:cs="Arial"/>
          <w:sz w:val="24"/>
          <w:szCs w:val="24"/>
        </w:rPr>
        <w:t xml:space="preserve">, </w:t>
      </w:r>
      <w:r w:rsidRPr="00F02A33">
        <w:rPr>
          <w:rFonts w:ascii="Arial" w:hAnsi="Arial" w:cs="Arial"/>
          <w:sz w:val="24"/>
          <w:szCs w:val="24"/>
        </w:rPr>
        <w:t>pp.</w:t>
      </w:r>
      <w:r w:rsidRPr="00E72B25">
        <w:rPr>
          <w:rFonts w:ascii="Arial" w:hAnsi="Arial" w:cs="Arial"/>
          <w:sz w:val="24"/>
          <w:szCs w:val="24"/>
        </w:rPr>
        <w:t>1457-1473.</w:t>
      </w:r>
    </w:p>
    <w:p w14:paraId="67BE60B6" w14:textId="7650C993" w:rsidR="00E72B25" w:rsidRPr="00E72B25" w:rsidRDefault="00E72B25" w:rsidP="00F02A33">
      <w:pPr>
        <w:spacing w:line="360" w:lineRule="auto"/>
        <w:jc w:val="both"/>
        <w:rPr>
          <w:rFonts w:ascii="Arial" w:hAnsi="Arial" w:cs="Arial"/>
          <w:sz w:val="24"/>
          <w:szCs w:val="24"/>
        </w:rPr>
      </w:pPr>
      <w:r w:rsidRPr="00E72B25">
        <w:rPr>
          <w:rFonts w:ascii="Arial" w:hAnsi="Arial" w:cs="Arial"/>
          <w:sz w:val="24"/>
          <w:szCs w:val="24"/>
        </w:rPr>
        <w:t xml:space="preserve">Smith, C., </w:t>
      </w:r>
      <w:r w:rsidRPr="00F02A33">
        <w:rPr>
          <w:rFonts w:ascii="Arial" w:hAnsi="Arial" w:cs="Arial"/>
          <w:sz w:val="24"/>
          <w:szCs w:val="24"/>
        </w:rPr>
        <w:t>and</w:t>
      </w:r>
      <w:r w:rsidRPr="00E72B25">
        <w:rPr>
          <w:rFonts w:ascii="Arial" w:hAnsi="Arial" w:cs="Arial"/>
          <w:sz w:val="24"/>
          <w:szCs w:val="24"/>
        </w:rPr>
        <w:t xml:space="preserve"> Houser, L. (2018). Multisystemic therapy for child abuse and neglect: A randomized effectiveness trial. </w:t>
      </w:r>
      <w:r w:rsidRPr="00E72B25">
        <w:rPr>
          <w:rFonts w:ascii="Arial" w:hAnsi="Arial" w:cs="Arial"/>
          <w:i/>
          <w:iCs/>
          <w:sz w:val="24"/>
          <w:szCs w:val="24"/>
        </w:rPr>
        <w:t>Journal of Family Psychology, 32(2),</w:t>
      </w:r>
      <w:r w:rsidRPr="00E72B25">
        <w:rPr>
          <w:rFonts w:ascii="Arial" w:hAnsi="Arial" w:cs="Arial"/>
          <w:sz w:val="24"/>
          <w:szCs w:val="24"/>
        </w:rPr>
        <w:t xml:space="preserve"> </w:t>
      </w:r>
      <w:r w:rsidRPr="00F02A33">
        <w:rPr>
          <w:rFonts w:ascii="Arial" w:hAnsi="Arial" w:cs="Arial"/>
          <w:sz w:val="24"/>
          <w:szCs w:val="24"/>
        </w:rPr>
        <w:t>pp.</w:t>
      </w:r>
      <w:r w:rsidRPr="00E72B25">
        <w:rPr>
          <w:rFonts w:ascii="Arial" w:hAnsi="Arial" w:cs="Arial"/>
          <w:sz w:val="24"/>
          <w:szCs w:val="24"/>
        </w:rPr>
        <w:t>195-206.</w:t>
      </w:r>
    </w:p>
    <w:p w14:paraId="30292421" w14:textId="5E5D17CC" w:rsidR="00E72B25" w:rsidRPr="00F02A33" w:rsidRDefault="00E72B25" w:rsidP="00F02A33">
      <w:pPr>
        <w:spacing w:line="360" w:lineRule="auto"/>
        <w:jc w:val="both"/>
        <w:rPr>
          <w:rFonts w:ascii="Arial" w:hAnsi="Arial" w:cs="Arial"/>
          <w:sz w:val="24"/>
          <w:szCs w:val="24"/>
        </w:rPr>
      </w:pPr>
      <w:r w:rsidRPr="00E72B25">
        <w:rPr>
          <w:rFonts w:ascii="Arial" w:hAnsi="Arial" w:cs="Arial"/>
          <w:sz w:val="24"/>
          <w:szCs w:val="24"/>
        </w:rPr>
        <w:t xml:space="preserve">Yampolskaya, S., Dubowitz, H., </w:t>
      </w:r>
      <w:r w:rsidRPr="00F02A33">
        <w:rPr>
          <w:rFonts w:ascii="Arial" w:hAnsi="Arial" w:cs="Arial"/>
          <w:sz w:val="24"/>
          <w:szCs w:val="24"/>
        </w:rPr>
        <w:t>and</w:t>
      </w:r>
      <w:r w:rsidRPr="00E72B25">
        <w:rPr>
          <w:rFonts w:ascii="Arial" w:hAnsi="Arial" w:cs="Arial"/>
          <w:sz w:val="24"/>
          <w:szCs w:val="24"/>
        </w:rPr>
        <w:t xml:space="preserve"> Fuller, T. L. (2019). Associations of parental alcohol use disorders and school environment with maltreatment and children's functioning. </w:t>
      </w:r>
      <w:r w:rsidRPr="00E72B25">
        <w:rPr>
          <w:rFonts w:ascii="Arial" w:hAnsi="Arial" w:cs="Arial"/>
          <w:i/>
          <w:iCs/>
          <w:sz w:val="24"/>
          <w:szCs w:val="24"/>
        </w:rPr>
        <w:t xml:space="preserve">Child Abuse </w:t>
      </w:r>
      <w:r w:rsidRPr="00F02A33">
        <w:rPr>
          <w:rFonts w:ascii="Arial" w:hAnsi="Arial" w:cs="Arial"/>
          <w:i/>
          <w:iCs/>
          <w:sz w:val="24"/>
          <w:szCs w:val="24"/>
        </w:rPr>
        <w:t>and</w:t>
      </w:r>
      <w:r w:rsidRPr="00E72B25">
        <w:rPr>
          <w:rFonts w:ascii="Arial" w:hAnsi="Arial" w:cs="Arial"/>
          <w:i/>
          <w:iCs/>
          <w:sz w:val="24"/>
          <w:szCs w:val="24"/>
        </w:rPr>
        <w:t xml:space="preserve"> Neglect, 92, </w:t>
      </w:r>
      <w:r w:rsidRPr="00F02A33">
        <w:rPr>
          <w:rFonts w:ascii="Arial" w:hAnsi="Arial" w:cs="Arial"/>
          <w:sz w:val="24"/>
          <w:szCs w:val="24"/>
        </w:rPr>
        <w:t>pp.</w:t>
      </w:r>
      <w:r w:rsidRPr="00E72B25">
        <w:rPr>
          <w:rFonts w:ascii="Arial" w:hAnsi="Arial" w:cs="Arial"/>
          <w:sz w:val="24"/>
          <w:szCs w:val="24"/>
        </w:rPr>
        <w:t>91-100.</w:t>
      </w:r>
    </w:p>
    <w:sectPr w:rsidR="00E72B25" w:rsidRPr="00F02A3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A432B"/>
    <w:multiLevelType w:val="multilevel"/>
    <w:tmpl w:val="0E960A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B53006"/>
    <w:multiLevelType w:val="hybridMultilevel"/>
    <w:tmpl w:val="418270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EB67523"/>
    <w:multiLevelType w:val="hybridMultilevel"/>
    <w:tmpl w:val="74BAA2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0AB518D"/>
    <w:multiLevelType w:val="multilevel"/>
    <w:tmpl w:val="B8066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C606D9"/>
    <w:multiLevelType w:val="multilevel"/>
    <w:tmpl w:val="EB580E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064DF7"/>
    <w:multiLevelType w:val="hybridMultilevel"/>
    <w:tmpl w:val="1220A1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D2B6A7A"/>
    <w:multiLevelType w:val="hybridMultilevel"/>
    <w:tmpl w:val="57024A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D3F52EA"/>
    <w:multiLevelType w:val="multilevel"/>
    <w:tmpl w:val="57CEF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4E130C"/>
    <w:multiLevelType w:val="multilevel"/>
    <w:tmpl w:val="B73E3B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88280B"/>
    <w:multiLevelType w:val="hybridMultilevel"/>
    <w:tmpl w:val="B0622F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DF6257E"/>
    <w:multiLevelType w:val="multilevel"/>
    <w:tmpl w:val="30742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E7E72D3"/>
    <w:multiLevelType w:val="hybridMultilevel"/>
    <w:tmpl w:val="91D058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1381F5C"/>
    <w:multiLevelType w:val="hybridMultilevel"/>
    <w:tmpl w:val="A18E4C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5E7046"/>
    <w:multiLevelType w:val="multilevel"/>
    <w:tmpl w:val="DEEA4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93B62D4"/>
    <w:multiLevelType w:val="multilevel"/>
    <w:tmpl w:val="5AEA55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62150DC"/>
    <w:multiLevelType w:val="multilevel"/>
    <w:tmpl w:val="AF1067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6A518D4"/>
    <w:multiLevelType w:val="multilevel"/>
    <w:tmpl w:val="7A06BD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E1C724E"/>
    <w:multiLevelType w:val="multilevel"/>
    <w:tmpl w:val="F00A41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0802660"/>
    <w:multiLevelType w:val="multilevel"/>
    <w:tmpl w:val="F078E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4577CDC"/>
    <w:multiLevelType w:val="multilevel"/>
    <w:tmpl w:val="B9B02B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B1110FC"/>
    <w:multiLevelType w:val="multilevel"/>
    <w:tmpl w:val="89C0F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B7C0ADC"/>
    <w:multiLevelType w:val="multilevel"/>
    <w:tmpl w:val="A9385E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2164359">
    <w:abstractNumId w:val="21"/>
  </w:num>
  <w:num w:numId="2" w16cid:durableId="1287155252">
    <w:abstractNumId w:val="3"/>
  </w:num>
  <w:num w:numId="3" w16cid:durableId="1813214660">
    <w:abstractNumId w:val="4"/>
  </w:num>
  <w:num w:numId="4" w16cid:durableId="793328034">
    <w:abstractNumId w:val="19"/>
  </w:num>
  <w:num w:numId="5" w16cid:durableId="960186240">
    <w:abstractNumId w:val="16"/>
  </w:num>
  <w:num w:numId="6" w16cid:durableId="1921134233">
    <w:abstractNumId w:val="8"/>
  </w:num>
  <w:num w:numId="7" w16cid:durableId="904922415">
    <w:abstractNumId w:val="10"/>
  </w:num>
  <w:num w:numId="8" w16cid:durableId="80298945">
    <w:abstractNumId w:val="13"/>
  </w:num>
  <w:num w:numId="9" w16cid:durableId="164591963">
    <w:abstractNumId w:val="0"/>
  </w:num>
  <w:num w:numId="10" w16cid:durableId="1605577705">
    <w:abstractNumId w:val="7"/>
  </w:num>
  <w:num w:numId="11" w16cid:durableId="924339765">
    <w:abstractNumId w:val="15"/>
  </w:num>
  <w:num w:numId="12" w16cid:durableId="2058165078">
    <w:abstractNumId w:val="20"/>
  </w:num>
  <w:num w:numId="13" w16cid:durableId="1817332425">
    <w:abstractNumId w:val="17"/>
  </w:num>
  <w:num w:numId="14" w16cid:durableId="1368530075">
    <w:abstractNumId w:val="14"/>
  </w:num>
  <w:num w:numId="15" w16cid:durableId="1193491658">
    <w:abstractNumId w:val="11"/>
  </w:num>
  <w:num w:numId="16" w16cid:durableId="1496804015">
    <w:abstractNumId w:val="1"/>
  </w:num>
  <w:num w:numId="17" w16cid:durableId="42678317">
    <w:abstractNumId w:val="12"/>
  </w:num>
  <w:num w:numId="18" w16cid:durableId="735400586">
    <w:abstractNumId w:val="9"/>
  </w:num>
  <w:num w:numId="19" w16cid:durableId="1922399364">
    <w:abstractNumId w:val="2"/>
  </w:num>
  <w:num w:numId="20" w16cid:durableId="515921696">
    <w:abstractNumId w:val="6"/>
  </w:num>
  <w:num w:numId="21" w16cid:durableId="1547374849">
    <w:abstractNumId w:val="5"/>
  </w:num>
  <w:num w:numId="22" w16cid:durableId="108488297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A7C"/>
    <w:rsid w:val="000A6F11"/>
    <w:rsid w:val="000C36D3"/>
    <w:rsid w:val="00175B87"/>
    <w:rsid w:val="001B1309"/>
    <w:rsid w:val="003A3A37"/>
    <w:rsid w:val="003E7463"/>
    <w:rsid w:val="004E47B5"/>
    <w:rsid w:val="005C30D4"/>
    <w:rsid w:val="00800A7C"/>
    <w:rsid w:val="00881CA8"/>
    <w:rsid w:val="009F2CE9"/>
    <w:rsid w:val="00AB6125"/>
    <w:rsid w:val="00C111F4"/>
    <w:rsid w:val="00D55BD9"/>
    <w:rsid w:val="00E72B25"/>
    <w:rsid w:val="00E752C8"/>
    <w:rsid w:val="00F02A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90413"/>
  <w15:chartTrackingRefBased/>
  <w15:docId w15:val="{088490EC-6DB2-48EF-A358-709767AB5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52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2A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1309"/>
    <w:pPr>
      <w:ind w:left="720"/>
      <w:contextualSpacing/>
    </w:pPr>
  </w:style>
  <w:style w:type="character" w:styleId="Hyperlink">
    <w:name w:val="Hyperlink"/>
    <w:basedOn w:val="DefaultParagraphFont"/>
    <w:uiPriority w:val="99"/>
    <w:unhideWhenUsed/>
    <w:rsid w:val="00E72B25"/>
    <w:rPr>
      <w:color w:val="0563C1" w:themeColor="hyperlink"/>
      <w:u w:val="single"/>
    </w:rPr>
  </w:style>
  <w:style w:type="character" w:styleId="UnresolvedMention">
    <w:name w:val="Unresolved Mention"/>
    <w:basedOn w:val="DefaultParagraphFont"/>
    <w:uiPriority w:val="99"/>
    <w:semiHidden/>
    <w:unhideWhenUsed/>
    <w:rsid w:val="00E72B25"/>
    <w:rPr>
      <w:color w:val="605E5C"/>
      <w:shd w:val="clear" w:color="auto" w:fill="E1DFDD"/>
    </w:rPr>
  </w:style>
  <w:style w:type="character" w:customStyle="1" w:styleId="Heading1Char">
    <w:name w:val="Heading 1 Char"/>
    <w:basedOn w:val="DefaultParagraphFont"/>
    <w:link w:val="Heading1"/>
    <w:uiPriority w:val="9"/>
    <w:rsid w:val="00E752C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02A3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246005">
      <w:bodyDiv w:val="1"/>
      <w:marLeft w:val="0"/>
      <w:marRight w:val="0"/>
      <w:marTop w:val="0"/>
      <w:marBottom w:val="0"/>
      <w:divBdr>
        <w:top w:val="none" w:sz="0" w:space="0" w:color="auto"/>
        <w:left w:val="none" w:sz="0" w:space="0" w:color="auto"/>
        <w:bottom w:val="none" w:sz="0" w:space="0" w:color="auto"/>
        <w:right w:val="none" w:sz="0" w:space="0" w:color="auto"/>
      </w:divBdr>
    </w:div>
    <w:div w:id="263616223">
      <w:bodyDiv w:val="1"/>
      <w:marLeft w:val="0"/>
      <w:marRight w:val="0"/>
      <w:marTop w:val="0"/>
      <w:marBottom w:val="0"/>
      <w:divBdr>
        <w:top w:val="none" w:sz="0" w:space="0" w:color="auto"/>
        <w:left w:val="none" w:sz="0" w:space="0" w:color="auto"/>
        <w:bottom w:val="none" w:sz="0" w:space="0" w:color="auto"/>
        <w:right w:val="none" w:sz="0" w:space="0" w:color="auto"/>
      </w:divBdr>
    </w:div>
    <w:div w:id="276572202">
      <w:bodyDiv w:val="1"/>
      <w:marLeft w:val="0"/>
      <w:marRight w:val="0"/>
      <w:marTop w:val="0"/>
      <w:marBottom w:val="0"/>
      <w:divBdr>
        <w:top w:val="none" w:sz="0" w:space="0" w:color="auto"/>
        <w:left w:val="none" w:sz="0" w:space="0" w:color="auto"/>
        <w:bottom w:val="none" w:sz="0" w:space="0" w:color="auto"/>
        <w:right w:val="none" w:sz="0" w:space="0" w:color="auto"/>
      </w:divBdr>
    </w:div>
    <w:div w:id="372852889">
      <w:bodyDiv w:val="1"/>
      <w:marLeft w:val="0"/>
      <w:marRight w:val="0"/>
      <w:marTop w:val="0"/>
      <w:marBottom w:val="0"/>
      <w:divBdr>
        <w:top w:val="none" w:sz="0" w:space="0" w:color="auto"/>
        <w:left w:val="none" w:sz="0" w:space="0" w:color="auto"/>
        <w:bottom w:val="none" w:sz="0" w:space="0" w:color="auto"/>
        <w:right w:val="none" w:sz="0" w:space="0" w:color="auto"/>
      </w:divBdr>
    </w:div>
    <w:div w:id="604576831">
      <w:bodyDiv w:val="1"/>
      <w:marLeft w:val="0"/>
      <w:marRight w:val="0"/>
      <w:marTop w:val="0"/>
      <w:marBottom w:val="0"/>
      <w:divBdr>
        <w:top w:val="none" w:sz="0" w:space="0" w:color="auto"/>
        <w:left w:val="none" w:sz="0" w:space="0" w:color="auto"/>
        <w:bottom w:val="none" w:sz="0" w:space="0" w:color="auto"/>
        <w:right w:val="none" w:sz="0" w:space="0" w:color="auto"/>
      </w:divBdr>
    </w:div>
    <w:div w:id="711539654">
      <w:bodyDiv w:val="1"/>
      <w:marLeft w:val="0"/>
      <w:marRight w:val="0"/>
      <w:marTop w:val="0"/>
      <w:marBottom w:val="0"/>
      <w:divBdr>
        <w:top w:val="none" w:sz="0" w:space="0" w:color="auto"/>
        <w:left w:val="none" w:sz="0" w:space="0" w:color="auto"/>
        <w:bottom w:val="none" w:sz="0" w:space="0" w:color="auto"/>
        <w:right w:val="none" w:sz="0" w:space="0" w:color="auto"/>
      </w:divBdr>
    </w:div>
    <w:div w:id="857738536">
      <w:bodyDiv w:val="1"/>
      <w:marLeft w:val="0"/>
      <w:marRight w:val="0"/>
      <w:marTop w:val="0"/>
      <w:marBottom w:val="0"/>
      <w:divBdr>
        <w:top w:val="none" w:sz="0" w:space="0" w:color="auto"/>
        <w:left w:val="none" w:sz="0" w:space="0" w:color="auto"/>
        <w:bottom w:val="none" w:sz="0" w:space="0" w:color="auto"/>
        <w:right w:val="none" w:sz="0" w:space="0" w:color="auto"/>
      </w:divBdr>
    </w:div>
    <w:div w:id="1662342995">
      <w:bodyDiv w:val="1"/>
      <w:marLeft w:val="0"/>
      <w:marRight w:val="0"/>
      <w:marTop w:val="0"/>
      <w:marBottom w:val="0"/>
      <w:divBdr>
        <w:top w:val="none" w:sz="0" w:space="0" w:color="auto"/>
        <w:left w:val="none" w:sz="0" w:space="0" w:color="auto"/>
        <w:bottom w:val="none" w:sz="0" w:space="0" w:color="auto"/>
        <w:right w:val="none" w:sz="0" w:space="0" w:color="auto"/>
      </w:divBdr>
    </w:div>
    <w:div w:id="1666128415">
      <w:bodyDiv w:val="1"/>
      <w:marLeft w:val="0"/>
      <w:marRight w:val="0"/>
      <w:marTop w:val="0"/>
      <w:marBottom w:val="0"/>
      <w:divBdr>
        <w:top w:val="none" w:sz="0" w:space="0" w:color="auto"/>
        <w:left w:val="none" w:sz="0" w:space="0" w:color="auto"/>
        <w:bottom w:val="none" w:sz="0" w:space="0" w:color="auto"/>
        <w:right w:val="none" w:sz="0" w:space="0" w:color="auto"/>
      </w:divBdr>
    </w:div>
    <w:div w:id="1992439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6/47/contents" TargetMode="Externa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175391/Munro-Review.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779401/Working_Together_to_Safeguard_Children.pdf" TargetMode="External"/><Relationship Id="rId5" Type="http://schemas.openxmlformats.org/officeDocument/2006/relationships/hyperlink" Target="https://www.legislation.gov.uk/ukpga/1989/41/content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1753</Words>
  <Characters>9642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Onyinyechukwu Aghadike</dc:creator>
  <cp:keywords/>
  <dc:description/>
  <cp:lastModifiedBy>Godfrey Osawaru</cp:lastModifiedBy>
  <cp:revision>2</cp:revision>
  <dcterms:created xsi:type="dcterms:W3CDTF">2023-08-17T17:49:00Z</dcterms:created>
  <dcterms:modified xsi:type="dcterms:W3CDTF">2023-08-17T17:49:00Z</dcterms:modified>
</cp:coreProperties>
</file>