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105E47" w14:textId="3C006D0D" w:rsidR="009B6441" w:rsidRPr="007649BC" w:rsidRDefault="009B6441" w:rsidP="009B6441">
      <w:pPr>
        <w:spacing w:after="0" w:line="360" w:lineRule="auto"/>
        <w:jc w:val="center"/>
        <w:rPr>
          <w:rFonts w:ascii="Arial" w:hAnsi="Arial" w:cs="Arial"/>
          <w:b/>
          <w:sz w:val="32"/>
          <w:szCs w:val="32"/>
        </w:rPr>
      </w:pPr>
      <w:bookmarkStart w:id="0" w:name="_GoBack"/>
      <w:bookmarkEnd w:id="0"/>
      <w:r w:rsidRPr="007649BC">
        <w:rPr>
          <w:rFonts w:ascii="Arial" w:hAnsi="Arial" w:cs="Arial"/>
          <w:b/>
          <w:sz w:val="32"/>
          <w:szCs w:val="32"/>
        </w:rPr>
        <w:t>LCLM</w:t>
      </w:r>
      <w:r>
        <w:rPr>
          <w:rFonts w:ascii="Arial" w:hAnsi="Arial" w:cs="Arial"/>
          <w:b/>
          <w:sz w:val="32"/>
          <w:szCs w:val="32"/>
        </w:rPr>
        <w:t>6001</w:t>
      </w:r>
      <w:r w:rsidRPr="007649BC">
        <w:rPr>
          <w:rFonts w:ascii="Arial" w:hAnsi="Arial" w:cs="Arial"/>
          <w:b/>
          <w:sz w:val="32"/>
          <w:szCs w:val="32"/>
        </w:rPr>
        <w:t xml:space="preserve"> – </w:t>
      </w:r>
      <w:r w:rsidRPr="009B6441">
        <w:rPr>
          <w:rFonts w:ascii="Arial" w:hAnsi="Arial" w:cs="Arial"/>
          <w:b/>
          <w:sz w:val="32"/>
          <w:szCs w:val="32"/>
        </w:rPr>
        <w:t>Strategic Management for Business</w:t>
      </w:r>
    </w:p>
    <w:p w14:paraId="0EFD6DE9" w14:textId="03B6E79D" w:rsidR="009B6441" w:rsidRPr="007649BC" w:rsidRDefault="009B6441" w:rsidP="009B6441">
      <w:pPr>
        <w:spacing w:after="0" w:line="360" w:lineRule="auto"/>
        <w:jc w:val="center"/>
        <w:rPr>
          <w:rFonts w:ascii="Arial" w:hAnsi="Arial" w:cs="Arial"/>
          <w:sz w:val="32"/>
          <w:szCs w:val="32"/>
        </w:rPr>
      </w:pPr>
      <w:r w:rsidRPr="007649BC">
        <w:rPr>
          <w:rFonts w:ascii="Arial" w:hAnsi="Arial" w:cs="Arial"/>
          <w:b/>
          <w:sz w:val="32"/>
          <w:szCs w:val="32"/>
        </w:rPr>
        <w:t>Title:</w:t>
      </w:r>
      <w:r w:rsidRPr="007649BC">
        <w:rPr>
          <w:rFonts w:ascii="Arial" w:hAnsi="Arial" w:cs="Arial"/>
          <w:sz w:val="32"/>
          <w:szCs w:val="32"/>
        </w:rPr>
        <w:t xml:space="preserve"> </w:t>
      </w:r>
      <w:r>
        <w:rPr>
          <w:rFonts w:ascii="Arial" w:hAnsi="Arial" w:cs="Arial"/>
          <w:sz w:val="32"/>
          <w:szCs w:val="32"/>
        </w:rPr>
        <w:t>C1</w:t>
      </w:r>
      <w:r w:rsidRPr="007649BC">
        <w:rPr>
          <w:rFonts w:ascii="Arial" w:hAnsi="Arial" w:cs="Arial"/>
          <w:sz w:val="32"/>
          <w:szCs w:val="32"/>
        </w:rPr>
        <w:t xml:space="preserve"> – </w:t>
      </w:r>
      <w:r>
        <w:rPr>
          <w:rFonts w:ascii="Arial" w:hAnsi="Arial" w:cs="Arial"/>
          <w:sz w:val="32"/>
          <w:szCs w:val="32"/>
        </w:rPr>
        <w:t>Individual Report: An analysis of Innocent Drinks Ltd</w:t>
      </w:r>
    </w:p>
    <w:p w14:paraId="2B6E4C41" w14:textId="77777777" w:rsidR="009B6441" w:rsidRDefault="009B6441" w:rsidP="009B6441">
      <w:pPr>
        <w:spacing w:after="0"/>
        <w:jc w:val="center"/>
      </w:pPr>
    </w:p>
    <w:p w14:paraId="41701B1F" w14:textId="77777777" w:rsidR="009B6441" w:rsidRDefault="009B6441" w:rsidP="009B6441">
      <w:pPr>
        <w:spacing w:after="0"/>
        <w:jc w:val="center"/>
      </w:pPr>
    </w:p>
    <w:p w14:paraId="04CD3CCC" w14:textId="77777777" w:rsidR="009B6441" w:rsidRDefault="009B6441" w:rsidP="009B6441">
      <w:pPr>
        <w:spacing w:after="0"/>
        <w:jc w:val="center"/>
      </w:pPr>
    </w:p>
    <w:p w14:paraId="50A20AFE" w14:textId="77777777" w:rsidR="009B6441" w:rsidRDefault="009B6441" w:rsidP="009B6441">
      <w:pPr>
        <w:spacing w:after="0"/>
        <w:jc w:val="center"/>
      </w:pPr>
    </w:p>
    <w:p w14:paraId="738C848B" w14:textId="77777777" w:rsidR="009B6441" w:rsidRDefault="009B6441" w:rsidP="009B6441">
      <w:pPr>
        <w:spacing w:after="0"/>
        <w:jc w:val="center"/>
      </w:pPr>
    </w:p>
    <w:p w14:paraId="70C5B344" w14:textId="77777777" w:rsidR="009B6441" w:rsidRDefault="009B6441" w:rsidP="009B6441">
      <w:pPr>
        <w:spacing w:after="0"/>
        <w:jc w:val="center"/>
      </w:pPr>
    </w:p>
    <w:p w14:paraId="6B7B31C2" w14:textId="77777777" w:rsidR="009B6441" w:rsidRDefault="009B6441" w:rsidP="009B6441">
      <w:pPr>
        <w:spacing w:after="0"/>
        <w:jc w:val="center"/>
      </w:pPr>
    </w:p>
    <w:p w14:paraId="7030DBA1" w14:textId="77777777" w:rsidR="009B6441" w:rsidRDefault="009B6441" w:rsidP="009B6441">
      <w:pPr>
        <w:spacing w:after="0"/>
        <w:jc w:val="center"/>
      </w:pPr>
    </w:p>
    <w:p w14:paraId="1D66AEF2" w14:textId="77777777" w:rsidR="009B6441" w:rsidRDefault="009B6441" w:rsidP="009B6441">
      <w:pPr>
        <w:spacing w:after="0"/>
        <w:jc w:val="center"/>
      </w:pPr>
    </w:p>
    <w:p w14:paraId="07522C58" w14:textId="77777777" w:rsidR="009B6441" w:rsidRDefault="009B6441" w:rsidP="009B6441">
      <w:pPr>
        <w:spacing w:after="0"/>
      </w:pPr>
    </w:p>
    <w:p w14:paraId="767BE8CF" w14:textId="77777777" w:rsidR="009B6441" w:rsidRDefault="009B6441" w:rsidP="009B6441">
      <w:pPr>
        <w:spacing w:after="0"/>
        <w:jc w:val="center"/>
      </w:pPr>
    </w:p>
    <w:p w14:paraId="0A9F39EC" w14:textId="77777777" w:rsidR="009B6441" w:rsidRDefault="009B6441" w:rsidP="009B6441">
      <w:pPr>
        <w:spacing w:after="0"/>
        <w:jc w:val="center"/>
      </w:pPr>
    </w:p>
    <w:p w14:paraId="197DDBCB" w14:textId="77777777" w:rsidR="009B6441" w:rsidRDefault="009B6441" w:rsidP="009B6441">
      <w:pPr>
        <w:spacing w:after="0"/>
        <w:jc w:val="center"/>
      </w:pPr>
    </w:p>
    <w:p w14:paraId="0C65B20C" w14:textId="77777777" w:rsidR="009B6441" w:rsidRDefault="009B6441" w:rsidP="009B6441">
      <w:pPr>
        <w:spacing w:after="0"/>
        <w:jc w:val="center"/>
      </w:pPr>
    </w:p>
    <w:p w14:paraId="346C2BC9" w14:textId="77777777" w:rsidR="009B6441" w:rsidRDefault="009B6441" w:rsidP="009B6441">
      <w:pPr>
        <w:spacing w:after="0"/>
        <w:jc w:val="center"/>
      </w:pPr>
    </w:p>
    <w:p w14:paraId="34D8850D" w14:textId="77777777" w:rsidR="009B6441" w:rsidRDefault="009B6441" w:rsidP="009B6441">
      <w:pPr>
        <w:spacing w:after="0"/>
        <w:jc w:val="center"/>
      </w:pPr>
    </w:p>
    <w:p w14:paraId="7175250D" w14:textId="77777777" w:rsidR="009B6441" w:rsidRDefault="009B6441" w:rsidP="009B6441">
      <w:pPr>
        <w:spacing w:after="0"/>
        <w:jc w:val="center"/>
      </w:pPr>
    </w:p>
    <w:p w14:paraId="361B620D" w14:textId="77777777" w:rsidR="009B6441" w:rsidRPr="007649BC" w:rsidRDefault="009B6441" w:rsidP="009B6441">
      <w:pPr>
        <w:spacing w:after="0"/>
        <w:jc w:val="center"/>
        <w:rPr>
          <w:rFonts w:ascii="Arial" w:hAnsi="Arial" w:cs="Arial"/>
          <w:sz w:val="28"/>
          <w:szCs w:val="28"/>
        </w:rPr>
      </w:pPr>
      <w:r w:rsidRPr="00481F4B">
        <w:br/>
      </w:r>
      <w:r w:rsidRPr="007649BC">
        <w:rPr>
          <w:rFonts w:ascii="Arial" w:hAnsi="Arial" w:cs="Arial"/>
          <w:b/>
          <w:sz w:val="28"/>
          <w:szCs w:val="28"/>
        </w:rPr>
        <w:t>Student:</w:t>
      </w:r>
      <w:r w:rsidRPr="007649BC">
        <w:rPr>
          <w:rFonts w:ascii="Arial" w:hAnsi="Arial" w:cs="Arial"/>
          <w:sz w:val="28"/>
          <w:szCs w:val="28"/>
        </w:rPr>
        <w:t xml:space="preserve"> Andrei Valentin Gavrila</w:t>
      </w:r>
      <w:r w:rsidRPr="007649BC">
        <w:rPr>
          <w:rFonts w:ascii="Arial" w:hAnsi="Arial" w:cs="Arial"/>
          <w:sz w:val="28"/>
          <w:szCs w:val="28"/>
        </w:rPr>
        <w:br/>
      </w:r>
      <w:r w:rsidRPr="007649BC">
        <w:rPr>
          <w:rFonts w:ascii="Arial" w:hAnsi="Arial" w:cs="Arial"/>
          <w:b/>
          <w:sz w:val="28"/>
          <w:szCs w:val="28"/>
        </w:rPr>
        <w:t>Student ID:</w:t>
      </w:r>
      <w:r w:rsidRPr="007649BC">
        <w:rPr>
          <w:rFonts w:ascii="Arial" w:hAnsi="Arial" w:cs="Arial"/>
          <w:sz w:val="28"/>
          <w:szCs w:val="28"/>
        </w:rPr>
        <w:t xml:space="preserve"> 2311201</w:t>
      </w:r>
    </w:p>
    <w:p w14:paraId="538D7027" w14:textId="28814EB6" w:rsidR="009B6441" w:rsidRPr="00505BC4" w:rsidRDefault="009B6441" w:rsidP="009B6441">
      <w:pPr>
        <w:spacing w:after="0"/>
        <w:jc w:val="center"/>
        <w:rPr>
          <w:rFonts w:ascii="Arial" w:hAnsi="Arial" w:cs="Arial"/>
          <w:bCs/>
          <w:sz w:val="28"/>
          <w:szCs w:val="28"/>
        </w:rPr>
      </w:pPr>
      <w:r w:rsidRPr="007649BC">
        <w:rPr>
          <w:rFonts w:ascii="Arial" w:hAnsi="Arial" w:cs="Arial"/>
          <w:b/>
          <w:sz w:val="28"/>
          <w:szCs w:val="28"/>
        </w:rPr>
        <w:t>Word count:</w:t>
      </w:r>
      <w:r>
        <w:rPr>
          <w:rFonts w:ascii="Arial" w:hAnsi="Arial" w:cs="Arial"/>
          <w:b/>
          <w:sz w:val="28"/>
          <w:szCs w:val="28"/>
        </w:rPr>
        <w:t xml:space="preserve"> </w:t>
      </w:r>
      <w:r w:rsidR="00505BC4" w:rsidRPr="00505BC4">
        <w:rPr>
          <w:rFonts w:ascii="Arial" w:hAnsi="Arial" w:cs="Arial"/>
          <w:bCs/>
          <w:sz w:val="28"/>
          <w:szCs w:val="28"/>
        </w:rPr>
        <w:t>3094</w:t>
      </w:r>
    </w:p>
    <w:p w14:paraId="6F8B3FD2" w14:textId="77777777" w:rsidR="009B6441" w:rsidRDefault="009B6441" w:rsidP="009B6441">
      <w:pPr>
        <w:spacing w:after="0"/>
        <w:jc w:val="center"/>
        <w:rPr>
          <w:rFonts w:ascii="Arial" w:hAnsi="Arial" w:cs="Arial"/>
          <w:sz w:val="28"/>
          <w:szCs w:val="28"/>
        </w:rPr>
      </w:pPr>
    </w:p>
    <w:p w14:paraId="73232E3B" w14:textId="77777777" w:rsidR="009B6441" w:rsidRDefault="009B6441" w:rsidP="009B6441">
      <w:pPr>
        <w:spacing w:after="0"/>
        <w:jc w:val="center"/>
        <w:rPr>
          <w:rFonts w:ascii="Arial" w:hAnsi="Arial" w:cs="Arial"/>
          <w:sz w:val="28"/>
          <w:szCs w:val="28"/>
        </w:rPr>
      </w:pPr>
    </w:p>
    <w:p w14:paraId="5E93FA6A" w14:textId="77777777" w:rsidR="009B6441" w:rsidRDefault="009B6441" w:rsidP="009B6441">
      <w:pPr>
        <w:spacing w:after="0"/>
        <w:jc w:val="center"/>
        <w:rPr>
          <w:rFonts w:ascii="Arial" w:hAnsi="Arial" w:cs="Arial"/>
          <w:sz w:val="28"/>
          <w:szCs w:val="28"/>
        </w:rPr>
      </w:pPr>
    </w:p>
    <w:p w14:paraId="440DB1A5" w14:textId="77777777" w:rsidR="009B6441" w:rsidRDefault="009B6441" w:rsidP="009B6441">
      <w:pPr>
        <w:spacing w:after="0"/>
        <w:jc w:val="center"/>
        <w:rPr>
          <w:rFonts w:ascii="Arial" w:hAnsi="Arial" w:cs="Arial"/>
          <w:sz w:val="28"/>
          <w:szCs w:val="28"/>
        </w:rPr>
      </w:pPr>
    </w:p>
    <w:p w14:paraId="25E4E0C3" w14:textId="77777777" w:rsidR="009B6441" w:rsidRDefault="009B6441" w:rsidP="009B6441">
      <w:pPr>
        <w:spacing w:after="0"/>
        <w:jc w:val="center"/>
        <w:rPr>
          <w:rFonts w:ascii="Arial" w:hAnsi="Arial" w:cs="Arial"/>
          <w:sz w:val="28"/>
          <w:szCs w:val="28"/>
        </w:rPr>
      </w:pPr>
    </w:p>
    <w:p w14:paraId="0CA90E84" w14:textId="77777777" w:rsidR="009B6441" w:rsidRDefault="009B6441" w:rsidP="009B6441">
      <w:pPr>
        <w:spacing w:after="0"/>
        <w:jc w:val="center"/>
        <w:rPr>
          <w:rFonts w:ascii="Arial" w:hAnsi="Arial" w:cs="Arial"/>
          <w:sz w:val="28"/>
          <w:szCs w:val="28"/>
        </w:rPr>
      </w:pPr>
    </w:p>
    <w:p w14:paraId="7952453C" w14:textId="77777777" w:rsidR="009B6441" w:rsidRDefault="009B6441" w:rsidP="009B6441">
      <w:pPr>
        <w:spacing w:after="0"/>
        <w:jc w:val="center"/>
        <w:rPr>
          <w:rFonts w:ascii="Arial" w:hAnsi="Arial" w:cs="Arial"/>
          <w:sz w:val="28"/>
          <w:szCs w:val="28"/>
        </w:rPr>
      </w:pPr>
    </w:p>
    <w:p w14:paraId="2E1C5233" w14:textId="77777777" w:rsidR="009B6441" w:rsidRDefault="009B6441" w:rsidP="009B6441">
      <w:pPr>
        <w:spacing w:after="0"/>
        <w:jc w:val="center"/>
        <w:rPr>
          <w:rFonts w:ascii="Arial" w:hAnsi="Arial" w:cs="Arial"/>
          <w:sz w:val="28"/>
          <w:szCs w:val="28"/>
        </w:rPr>
      </w:pPr>
    </w:p>
    <w:p w14:paraId="433E5B67" w14:textId="77777777" w:rsidR="009B6441" w:rsidRDefault="009B6441" w:rsidP="009B6441">
      <w:pPr>
        <w:spacing w:after="0"/>
        <w:jc w:val="center"/>
        <w:rPr>
          <w:rFonts w:ascii="Arial" w:hAnsi="Arial" w:cs="Arial"/>
          <w:sz w:val="28"/>
          <w:szCs w:val="28"/>
        </w:rPr>
      </w:pPr>
    </w:p>
    <w:p w14:paraId="626E811A" w14:textId="77777777" w:rsidR="009B6441" w:rsidRDefault="009B6441" w:rsidP="009B6441">
      <w:pPr>
        <w:spacing w:after="0"/>
        <w:jc w:val="center"/>
        <w:rPr>
          <w:rFonts w:ascii="Arial" w:hAnsi="Arial" w:cs="Arial"/>
          <w:sz w:val="28"/>
          <w:szCs w:val="28"/>
        </w:rPr>
      </w:pPr>
    </w:p>
    <w:p w14:paraId="0CCBE890" w14:textId="77777777" w:rsidR="009B6441" w:rsidRDefault="009B6441" w:rsidP="009B6441">
      <w:pPr>
        <w:spacing w:after="0"/>
        <w:jc w:val="center"/>
        <w:rPr>
          <w:rFonts w:ascii="Arial" w:hAnsi="Arial" w:cs="Arial"/>
          <w:sz w:val="28"/>
          <w:szCs w:val="28"/>
        </w:rPr>
      </w:pPr>
    </w:p>
    <w:p w14:paraId="39FA7C08" w14:textId="77777777" w:rsidR="009B6441" w:rsidRDefault="009B6441" w:rsidP="009B6441">
      <w:pPr>
        <w:spacing w:after="0"/>
        <w:jc w:val="center"/>
        <w:rPr>
          <w:rFonts w:ascii="Arial" w:hAnsi="Arial" w:cs="Arial"/>
          <w:sz w:val="28"/>
          <w:szCs w:val="28"/>
        </w:rPr>
      </w:pPr>
    </w:p>
    <w:p w14:paraId="7BCD4E5C" w14:textId="77777777" w:rsidR="009B6441" w:rsidRDefault="009B6441" w:rsidP="009B6441">
      <w:pPr>
        <w:spacing w:after="0"/>
        <w:jc w:val="center"/>
        <w:rPr>
          <w:rFonts w:ascii="Arial" w:hAnsi="Arial" w:cs="Arial"/>
          <w:sz w:val="28"/>
          <w:szCs w:val="28"/>
        </w:rPr>
      </w:pPr>
    </w:p>
    <w:p w14:paraId="63001704" w14:textId="77777777" w:rsidR="009B6441" w:rsidRDefault="009B6441" w:rsidP="009B6441">
      <w:pPr>
        <w:spacing w:after="0"/>
        <w:jc w:val="center"/>
        <w:rPr>
          <w:rFonts w:ascii="Arial" w:hAnsi="Arial" w:cs="Arial"/>
          <w:sz w:val="28"/>
          <w:szCs w:val="28"/>
        </w:rPr>
      </w:pPr>
    </w:p>
    <w:p w14:paraId="46DCF2D0" w14:textId="28A7BEB3" w:rsidR="002B63C3" w:rsidRDefault="002B63C3" w:rsidP="002B63C3">
      <w:pPr>
        <w:spacing w:after="0" w:line="360" w:lineRule="auto"/>
        <w:jc w:val="center"/>
        <w:rPr>
          <w:rFonts w:ascii="Arial" w:hAnsi="Arial" w:cs="Arial"/>
          <w:b/>
          <w:bCs/>
          <w:sz w:val="24"/>
          <w:szCs w:val="24"/>
          <w:lang w:val="en-US"/>
        </w:rPr>
      </w:pPr>
      <w:r w:rsidRPr="002B63C3">
        <w:rPr>
          <w:rFonts w:ascii="Arial" w:hAnsi="Arial" w:cs="Arial"/>
          <w:b/>
          <w:bCs/>
          <w:sz w:val="24"/>
          <w:szCs w:val="24"/>
          <w:lang w:val="en-US"/>
        </w:rPr>
        <w:lastRenderedPageBreak/>
        <w:t xml:space="preserve">Executive Summary </w:t>
      </w:r>
    </w:p>
    <w:p w14:paraId="5BBBBE23" w14:textId="77777777" w:rsidR="002B63C3" w:rsidRPr="002B63C3" w:rsidRDefault="002B63C3" w:rsidP="002B63C3">
      <w:pPr>
        <w:spacing w:after="0" w:line="360" w:lineRule="auto"/>
        <w:jc w:val="center"/>
        <w:rPr>
          <w:rFonts w:ascii="Arial" w:hAnsi="Arial" w:cs="Arial"/>
          <w:b/>
          <w:bCs/>
          <w:sz w:val="24"/>
          <w:szCs w:val="24"/>
          <w:lang w:val="en-US"/>
        </w:rPr>
      </w:pPr>
    </w:p>
    <w:p w14:paraId="35E7626C" w14:textId="77777777" w:rsidR="005D1FC7" w:rsidRDefault="005D1FC7" w:rsidP="005D1FC7">
      <w:pPr>
        <w:spacing w:after="0" w:line="360" w:lineRule="auto"/>
        <w:ind w:firstLine="720"/>
        <w:jc w:val="both"/>
        <w:rPr>
          <w:rFonts w:ascii="Arial" w:hAnsi="Arial" w:cs="Arial"/>
          <w:sz w:val="24"/>
          <w:szCs w:val="24"/>
        </w:rPr>
      </w:pPr>
      <w:r w:rsidRPr="005D1FC7">
        <w:rPr>
          <w:rFonts w:ascii="Arial" w:hAnsi="Arial" w:cs="Arial"/>
          <w:sz w:val="24"/>
          <w:szCs w:val="24"/>
        </w:rPr>
        <w:t xml:space="preserve">This report provides a detailed strategic analysis of the UK-based SME Innocent Drinks Ltd, founded in 1999 and now one of the country’s leading smoothie, juice and plant drink brands. Added to the portfolio of Coca-Cola Hellenic Bottling Company (HBC) in 2010, it has since then consolidated its positioning as an ethical brand leader within fast-moving consumer goods: natural ingredients; environmentally friendly; innovation through new product development (NPD). </w:t>
      </w:r>
    </w:p>
    <w:p w14:paraId="7945ECF8" w14:textId="77777777" w:rsidR="005D1FC7" w:rsidRDefault="005D1FC7" w:rsidP="005D1FC7">
      <w:pPr>
        <w:spacing w:after="0" w:line="360" w:lineRule="auto"/>
        <w:ind w:firstLine="720"/>
        <w:jc w:val="both"/>
        <w:rPr>
          <w:rFonts w:ascii="Arial" w:hAnsi="Arial" w:cs="Arial"/>
          <w:sz w:val="24"/>
          <w:szCs w:val="24"/>
        </w:rPr>
      </w:pPr>
      <w:r w:rsidRPr="005D1FC7">
        <w:rPr>
          <w:rFonts w:ascii="Arial" w:hAnsi="Arial" w:cs="Arial"/>
          <w:sz w:val="24"/>
          <w:szCs w:val="24"/>
        </w:rPr>
        <w:t>The report makes a critical assessment of current strategy inside this highly competitive international beverage market-in terms of corporate direction at large as well as specific tactics related to opportunity exploitation.</w:t>
      </w:r>
    </w:p>
    <w:p w14:paraId="1019132F" w14:textId="0B7947AB" w:rsidR="005D1FC7" w:rsidRDefault="005D1FC7" w:rsidP="005D1FC7">
      <w:pPr>
        <w:spacing w:after="0" w:line="360" w:lineRule="auto"/>
        <w:ind w:firstLine="720"/>
        <w:jc w:val="both"/>
        <w:rPr>
          <w:rFonts w:ascii="Arial" w:hAnsi="Arial" w:cs="Arial"/>
          <w:sz w:val="24"/>
          <w:szCs w:val="24"/>
        </w:rPr>
      </w:pPr>
      <w:r>
        <w:rPr>
          <w:rFonts w:ascii="Arial" w:hAnsi="Arial" w:cs="Arial"/>
          <w:sz w:val="24"/>
          <w:szCs w:val="24"/>
        </w:rPr>
        <w:t>It also</w:t>
      </w:r>
      <w:r w:rsidRPr="005D1FC7">
        <w:rPr>
          <w:rFonts w:ascii="Arial" w:hAnsi="Arial" w:cs="Arial"/>
          <w:sz w:val="24"/>
          <w:szCs w:val="24"/>
        </w:rPr>
        <w:t xml:space="preserve"> analyses Innocent</w:t>
      </w:r>
      <w:r>
        <w:rPr>
          <w:rFonts w:ascii="Arial" w:hAnsi="Arial" w:cs="Arial"/>
          <w:sz w:val="24"/>
          <w:szCs w:val="24"/>
        </w:rPr>
        <w:t xml:space="preserve"> Drinks</w:t>
      </w:r>
      <w:r w:rsidRPr="005D1FC7">
        <w:rPr>
          <w:rFonts w:ascii="Arial" w:hAnsi="Arial" w:cs="Arial"/>
          <w:sz w:val="24"/>
          <w:szCs w:val="24"/>
        </w:rPr>
        <w:t>’ vision, mission, and strategic objectives, spotting perfect alignment between its sustainability-driven culture and market positioning. Next, using frameworks such as SWOT, Value Chain, PESTEL, and Five Forces of Porter to be applied inside and outside challenges-including environmental regulations on the market for health-conscious consumers as well as competition from big global players like Coca-Cola and PepsiCo-this report provides findings.</w:t>
      </w:r>
    </w:p>
    <w:p w14:paraId="5BD17FD8" w14:textId="77777777" w:rsidR="005D1FC7" w:rsidRDefault="005D1FC7" w:rsidP="005D1FC7">
      <w:pPr>
        <w:spacing w:after="0" w:line="360" w:lineRule="auto"/>
        <w:ind w:firstLine="720"/>
        <w:jc w:val="both"/>
        <w:rPr>
          <w:rFonts w:ascii="Arial" w:hAnsi="Arial" w:cs="Arial"/>
          <w:sz w:val="24"/>
          <w:szCs w:val="24"/>
        </w:rPr>
      </w:pPr>
      <w:r w:rsidRPr="005D1FC7">
        <w:rPr>
          <w:rFonts w:ascii="Arial" w:hAnsi="Arial" w:cs="Arial"/>
          <w:sz w:val="24"/>
          <w:szCs w:val="24"/>
        </w:rPr>
        <w:t>Based on the three above findings, this report recommends a hybrid long-term growth strategy in sustainable international expansion, digital transformation, and product diversification into functional nutrition. The viable and profitable as well as feasible paths for such an approach are identified by Porter’s Generic Strategies, the Ansoff Matrix, and Bowman’s Strategic Clock within their frameworks.</w:t>
      </w:r>
    </w:p>
    <w:p w14:paraId="05E16905" w14:textId="32C8C8F0" w:rsidR="002B63C3" w:rsidRDefault="005D1FC7" w:rsidP="005D1FC7">
      <w:pPr>
        <w:spacing w:after="0" w:line="360" w:lineRule="auto"/>
        <w:ind w:firstLine="720"/>
        <w:jc w:val="both"/>
        <w:rPr>
          <w:rFonts w:ascii="Arial" w:hAnsi="Arial" w:cs="Arial"/>
          <w:sz w:val="24"/>
          <w:szCs w:val="24"/>
          <w:lang w:val="en-US"/>
        </w:rPr>
      </w:pPr>
      <w:r w:rsidRPr="005D1FC7">
        <w:rPr>
          <w:rFonts w:ascii="Arial" w:hAnsi="Arial" w:cs="Arial"/>
          <w:sz w:val="24"/>
          <w:szCs w:val="24"/>
        </w:rPr>
        <w:t>Later sections include an explicit stakeholder analysis through Mendelow’s Matrix and a RACI framework to ensure governance and accountability in implementation. It will finally give, based on evidence, strategic recommendations on how to keep the company competitive with ethical leadership and sustainability of net earnings in the changing global beverages industry.</w:t>
      </w:r>
    </w:p>
    <w:p w14:paraId="4ABEA740" w14:textId="77777777" w:rsidR="002B63C3" w:rsidRDefault="002B63C3" w:rsidP="002B63C3">
      <w:pPr>
        <w:spacing w:after="0" w:line="360" w:lineRule="auto"/>
        <w:jc w:val="both"/>
        <w:rPr>
          <w:rFonts w:ascii="Arial" w:hAnsi="Arial" w:cs="Arial"/>
          <w:sz w:val="24"/>
          <w:szCs w:val="24"/>
          <w:lang w:val="en-US"/>
        </w:rPr>
      </w:pPr>
    </w:p>
    <w:p w14:paraId="50137A5F" w14:textId="77777777" w:rsidR="002B63C3" w:rsidRDefault="002B63C3" w:rsidP="002B63C3">
      <w:pPr>
        <w:spacing w:after="0" w:line="360" w:lineRule="auto"/>
        <w:jc w:val="both"/>
        <w:rPr>
          <w:rFonts w:ascii="Arial" w:hAnsi="Arial" w:cs="Arial"/>
          <w:sz w:val="24"/>
          <w:szCs w:val="24"/>
          <w:lang w:val="en-US"/>
        </w:rPr>
      </w:pPr>
    </w:p>
    <w:p w14:paraId="42EAAFD4" w14:textId="77777777" w:rsidR="002B63C3" w:rsidRDefault="002B63C3" w:rsidP="002B63C3">
      <w:pPr>
        <w:spacing w:after="0" w:line="360" w:lineRule="auto"/>
        <w:jc w:val="both"/>
        <w:rPr>
          <w:rFonts w:ascii="Arial" w:hAnsi="Arial" w:cs="Arial"/>
          <w:sz w:val="24"/>
          <w:szCs w:val="24"/>
          <w:lang w:val="en-US"/>
        </w:rPr>
      </w:pPr>
    </w:p>
    <w:p w14:paraId="303EA023" w14:textId="77777777" w:rsidR="005D1FC7" w:rsidRDefault="005D1FC7" w:rsidP="002B63C3">
      <w:pPr>
        <w:spacing w:after="0" w:line="360" w:lineRule="auto"/>
        <w:jc w:val="both"/>
        <w:rPr>
          <w:rFonts w:ascii="Arial" w:hAnsi="Arial" w:cs="Arial"/>
          <w:sz w:val="24"/>
          <w:szCs w:val="24"/>
          <w:lang w:val="en-US"/>
        </w:rPr>
      </w:pPr>
    </w:p>
    <w:sdt>
      <w:sdtPr>
        <w:rPr>
          <w:rFonts w:asciiTheme="minorHAnsi" w:eastAsiaTheme="minorEastAsia" w:hAnsiTheme="minorHAnsi" w:cstheme="minorBidi"/>
          <w:color w:val="auto"/>
          <w:sz w:val="22"/>
          <w:szCs w:val="22"/>
          <w:lang w:val="en-GB"/>
        </w:rPr>
        <w:id w:val="-991482713"/>
        <w:docPartObj>
          <w:docPartGallery w:val="Table of Contents"/>
          <w:docPartUnique/>
        </w:docPartObj>
      </w:sdtPr>
      <w:sdtEndPr>
        <w:rPr>
          <w:b/>
          <w:bCs/>
          <w:noProof/>
        </w:rPr>
      </w:sdtEndPr>
      <w:sdtContent>
        <w:p w14:paraId="272736CF" w14:textId="0D0EA381" w:rsidR="00505BC4" w:rsidRDefault="00505BC4" w:rsidP="00505BC4">
          <w:pPr>
            <w:pStyle w:val="TOCHeading"/>
            <w:spacing w:before="0" w:line="360" w:lineRule="auto"/>
            <w:jc w:val="center"/>
            <w:rPr>
              <w:rFonts w:ascii="Arial" w:hAnsi="Arial" w:cs="Arial"/>
              <w:b/>
              <w:bCs/>
              <w:color w:val="000000" w:themeColor="text1"/>
            </w:rPr>
          </w:pPr>
          <w:r w:rsidRPr="00505BC4">
            <w:rPr>
              <w:rFonts w:ascii="Arial" w:hAnsi="Arial" w:cs="Arial"/>
              <w:b/>
              <w:bCs/>
              <w:color w:val="000000" w:themeColor="text1"/>
            </w:rPr>
            <w:t>Contents</w:t>
          </w:r>
        </w:p>
        <w:p w14:paraId="6E68D82E" w14:textId="77777777" w:rsidR="00505BC4" w:rsidRPr="00505BC4" w:rsidRDefault="00505BC4" w:rsidP="00505BC4">
          <w:pPr>
            <w:rPr>
              <w:lang w:val="en-US"/>
            </w:rPr>
          </w:pPr>
        </w:p>
        <w:p w14:paraId="353CA27C" w14:textId="5F565965" w:rsidR="00505BC4" w:rsidRDefault="00505BC4">
          <w:pPr>
            <w:pStyle w:val="TOC1"/>
            <w:tabs>
              <w:tab w:val="right" w:leader="dot" w:pos="9350"/>
            </w:tabs>
            <w:rPr>
              <w:noProof/>
            </w:rPr>
          </w:pPr>
          <w:r>
            <w:fldChar w:fldCharType="begin"/>
          </w:r>
          <w:r>
            <w:instrText xml:space="preserve"> TOC \o "1-3" \h \z \u </w:instrText>
          </w:r>
          <w:r>
            <w:fldChar w:fldCharType="separate"/>
          </w:r>
          <w:hyperlink w:anchor="_Toc211933651" w:history="1">
            <w:r w:rsidRPr="00884A30">
              <w:rPr>
                <w:rStyle w:val="Hyperlink"/>
                <w:rFonts w:ascii="Arial" w:hAnsi="Arial" w:cs="Arial"/>
                <w:b/>
                <w:bCs/>
                <w:noProof/>
                <w:lang w:val="en-US"/>
              </w:rPr>
              <w:t>Introduction</w:t>
            </w:r>
            <w:r>
              <w:rPr>
                <w:noProof/>
                <w:webHidden/>
              </w:rPr>
              <w:tab/>
            </w:r>
            <w:r>
              <w:rPr>
                <w:noProof/>
                <w:webHidden/>
              </w:rPr>
              <w:fldChar w:fldCharType="begin"/>
            </w:r>
            <w:r>
              <w:rPr>
                <w:noProof/>
                <w:webHidden/>
              </w:rPr>
              <w:instrText xml:space="preserve"> PAGEREF _Toc211933651 \h </w:instrText>
            </w:r>
            <w:r>
              <w:rPr>
                <w:noProof/>
                <w:webHidden/>
              </w:rPr>
            </w:r>
            <w:r>
              <w:rPr>
                <w:noProof/>
                <w:webHidden/>
              </w:rPr>
              <w:fldChar w:fldCharType="separate"/>
            </w:r>
            <w:r>
              <w:rPr>
                <w:noProof/>
                <w:webHidden/>
              </w:rPr>
              <w:t>4</w:t>
            </w:r>
            <w:r>
              <w:rPr>
                <w:noProof/>
                <w:webHidden/>
              </w:rPr>
              <w:fldChar w:fldCharType="end"/>
            </w:r>
          </w:hyperlink>
        </w:p>
        <w:p w14:paraId="72324F41" w14:textId="20CF5691" w:rsidR="00505BC4" w:rsidRDefault="001213C5">
          <w:pPr>
            <w:pStyle w:val="TOC1"/>
            <w:tabs>
              <w:tab w:val="right" w:leader="dot" w:pos="9350"/>
            </w:tabs>
            <w:rPr>
              <w:noProof/>
            </w:rPr>
          </w:pPr>
          <w:hyperlink w:anchor="_Toc211933652" w:history="1">
            <w:r w:rsidR="00505BC4" w:rsidRPr="00884A30">
              <w:rPr>
                <w:rStyle w:val="Hyperlink"/>
                <w:rFonts w:ascii="Arial" w:hAnsi="Arial" w:cs="Arial"/>
                <w:b/>
                <w:bCs/>
                <w:noProof/>
                <w:lang w:val="en-US"/>
              </w:rPr>
              <w:t>Strategic Direction and Goals</w:t>
            </w:r>
            <w:r w:rsidR="00505BC4">
              <w:rPr>
                <w:noProof/>
                <w:webHidden/>
              </w:rPr>
              <w:tab/>
            </w:r>
            <w:r w:rsidR="00505BC4">
              <w:rPr>
                <w:noProof/>
                <w:webHidden/>
              </w:rPr>
              <w:fldChar w:fldCharType="begin"/>
            </w:r>
            <w:r w:rsidR="00505BC4">
              <w:rPr>
                <w:noProof/>
                <w:webHidden/>
              </w:rPr>
              <w:instrText xml:space="preserve"> PAGEREF _Toc211933652 \h </w:instrText>
            </w:r>
            <w:r w:rsidR="00505BC4">
              <w:rPr>
                <w:noProof/>
                <w:webHidden/>
              </w:rPr>
            </w:r>
            <w:r w:rsidR="00505BC4">
              <w:rPr>
                <w:noProof/>
                <w:webHidden/>
              </w:rPr>
              <w:fldChar w:fldCharType="separate"/>
            </w:r>
            <w:r w:rsidR="00505BC4">
              <w:rPr>
                <w:noProof/>
                <w:webHidden/>
              </w:rPr>
              <w:t>5</w:t>
            </w:r>
            <w:r w:rsidR="00505BC4">
              <w:rPr>
                <w:noProof/>
                <w:webHidden/>
              </w:rPr>
              <w:fldChar w:fldCharType="end"/>
            </w:r>
          </w:hyperlink>
        </w:p>
        <w:p w14:paraId="0F175326" w14:textId="1519A459" w:rsidR="00505BC4" w:rsidRDefault="001213C5">
          <w:pPr>
            <w:pStyle w:val="TOC1"/>
            <w:tabs>
              <w:tab w:val="right" w:leader="dot" w:pos="9350"/>
            </w:tabs>
            <w:rPr>
              <w:noProof/>
            </w:rPr>
          </w:pPr>
          <w:hyperlink w:anchor="_Toc211933653" w:history="1">
            <w:r w:rsidR="00505BC4" w:rsidRPr="00884A30">
              <w:rPr>
                <w:rStyle w:val="Hyperlink"/>
                <w:rFonts w:ascii="Arial" w:hAnsi="Arial" w:cs="Arial"/>
                <w:b/>
                <w:bCs/>
                <w:noProof/>
                <w:lang w:val="en-US"/>
              </w:rPr>
              <w:t>Internal Environmental Analysis</w:t>
            </w:r>
            <w:r w:rsidR="00505BC4">
              <w:rPr>
                <w:noProof/>
                <w:webHidden/>
              </w:rPr>
              <w:tab/>
            </w:r>
            <w:r w:rsidR="00505BC4">
              <w:rPr>
                <w:noProof/>
                <w:webHidden/>
              </w:rPr>
              <w:fldChar w:fldCharType="begin"/>
            </w:r>
            <w:r w:rsidR="00505BC4">
              <w:rPr>
                <w:noProof/>
                <w:webHidden/>
              </w:rPr>
              <w:instrText xml:space="preserve"> PAGEREF _Toc211933653 \h </w:instrText>
            </w:r>
            <w:r w:rsidR="00505BC4">
              <w:rPr>
                <w:noProof/>
                <w:webHidden/>
              </w:rPr>
            </w:r>
            <w:r w:rsidR="00505BC4">
              <w:rPr>
                <w:noProof/>
                <w:webHidden/>
              </w:rPr>
              <w:fldChar w:fldCharType="separate"/>
            </w:r>
            <w:r w:rsidR="00505BC4">
              <w:rPr>
                <w:noProof/>
                <w:webHidden/>
              </w:rPr>
              <w:t>6</w:t>
            </w:r>
            <w:r w:rsidR="00505BC4">
              <w:rPr>
                <w:noProof/>
                <w:webHidden/>
              </w:rPr>
              <w:fldChar w:fldCharType="end"/>
            </w:r>
          </w:hyperlink>
        </w:p>
        <w:p w14:paraId="0CDD86E4" w14:textId="2D2134E1" w:rsidR="00505BC4" w:rsidRDefault="001213C5">
          <w:pPr>
            <w:pStyle w:val="TOC1"/>
            <w:tabs>
              <w:tab w:val="right" w:leader="dot" w:pos="9350"/>
            </w:tabs>
            <w:rPr>
              <w:noProof/>
            </w:rPr>
          </w:pPr>
          <w:hyperlink w:anchor="_Toc211933654" w:history="1">
            <w:r w:rsidR="00505BC4" w:rsidRPr="00884A30">
              <w:rPr>
                <w:rStyle w:val="Hyperlink"/>
                <w:rFonts w:ascii="Arial" w:hAnsi="Arial" w:cs="Arial"/>
                <w:b/>
                <w:bCs/>
                <w:noProof/>
                <w:lang w:val="en-US"/>
              </w:rPr>
              <w:t>External Environmental Analysis</w:t>
            </w:r>
            <w:r w:rsidR="00505BC4">
              <w:rPr>
                <w:noProof/>
                <w:webHidden/>
              </w:rPr>
              <w:tab/>
            </w:r>
            <w:r w:rsidR="00505BC4">
              <w:rPr>
                <w:noProof/>
                <w:webHidden/>
              </w:rPr>
              <w:fldChar w:fldCharType="begin"/>
            </w:r>
            <w:r w:rsidR="00505BC4">
              <w:rPr>
                <w:noProof/>
                <w:webHidden/>
              </w:rPr>
              <w:instrText xml:space="preserve"> PAGEREF _Toc211933654 \h </w:instrText>
            </w:r>
            <w:r w:rsidR="00505BC4">
              <w:rPr>
                <w:noProof/>
                <w:webHidden/>
              </w:rPr>
            </w:r>
            <w:r w:rsidR="00505BC4">
              <w:rPr>
                <w:noProof/>
                <w:webHidden/>
              </w:rPr>
              <w:fldChar w:fldCharType="separate"/>
            </w:r>
            <w:r w:rsidR="00505BC4">
              <w:rPr>
                <w:noProof/>
                <w:webHidden/>
              </w:rPr>
              <w:t>7</w:t>
            </w:r>
            <w:r w:rsidR="00505BC4">
              <w:rPr>
                <w:noProof/>
                <w:webHidden/>
              </w:rPr>
              <w:fldChar w:fldCharType="end"/>
            </w:r>
          </w:hyperlink>
        </w:p>
        <w:p w14:paraId="298C8124" w14:textId="2237A9E1" w:rsidR="00505BC4" w:rsidRDefault="001213C5">
          <w:pPr>
            <w:pStyle w:val="TOC1"/>
            <w:tabs>
              <w:tab w:val="right" w:leader="dot" w:pos="9350"/>
            </w:tabs>
            <w:rPr>
              <w:noProof/>
            </w:rPr>
          </w:pPr>
          <w:hyperlink w:anchor="_Toc211933655" w:history="1">
            <w:r w:rsidR="00505BC4" w:rsidRPr="00884A30">
              <w:rPr>
                <w:rStyle w:val="Hyperlink"/>
                <w:rFonts w:ascii="Arial" w:hAnsi="Arial" w:cs="Arial"/>
                <w:b/>
                <w:bCs/>
                <w:noProof/>
                <w:lang w:val="en-US"/>
              </w:rPr>
              <w:t>Strategic Growth Choices and New Sustainable Strategy</w:t>
            </w:r>
            <w:r w:rsidR="00505BC4">
              <w:rPr>
                <w:noProof/>
                <w:webHidden/>
              </w:rPr>
              <w:tab/>
            </w:r>
            <w:r w:rsidR="00505BC4">
              <w:rPr>
                <w:noProof/>
                <w:webHidden/>
              </w:rPr>
              <w:fldChar w:fldCharType="begin"/>
            </w:r>
            <w:r w:rsidR="00505BC4">
              <w:rPr>
                <w:noProof/>
                <w:webHidden/>
              </w:rPr>
              <w:instrText xml:space="preserve"> PAGEREF _Toc211933655 \h </w:instrText>
            </w:r>
            <w:r w:rsidR="00505BC4">
              <w:rPr>
                <w:noProof/>
                <w:webHidden/>
              </w:rPr>
            </w:r>
            <w:r w:rsidR="00505BC4">
              <w:rPr>
                <w:noProof/>
                <w:webHidden/>
              </w:rPr>
              <w:fldChar w:fldCharType="separate"/>
            </w:r>
            <w:r w:rsidR="00505BC4">
              <w:rPr>
                <w:noProof/>
                <w:webHidden/>
              </w:rPr>
              <w:t>9</w:t>
            </w:r>
            <w:r w:rsidR="00505BC4">
              <w:rPr>
                <w:noProof/>
                <w:webHidden/>
              </w:rPr>
              <w:fldChar w:fldCharType="end"/>
            </w:r>
          </w:hyperlink>
        </w:p>
        <w:p w14:paraId="0E431148" w14:textId="7015288F" w:rsidR="00505BC4" w:rsidRDefault="001213C5">
          <w:pPr>
            <w:pStyle w:val="TOC1"/>
            <w:tabs>
              <w:tab w:val="right" w:leader="dot" w:pos="9350"/>
            </w:tabs>
            <w:rPr>
              <w:noProof/>
            </w:rPr>
          </w:pPr>
          <w:hyperlink w:anchor="_Toc211933656" w:history="1">
            <w:r w:rsidR="00505BC4" w:rsidRPr="00884A30">
              <w:rPr>
                <w:rStyle w:val="Hyperlink"/>
                <w:rFonts w:ascii="Arial" w:hAnsi="Arial" w:cs="Arial"/>
                <w:b/>
                <w:bCs/>
                <w:noProof/>
                <w:lang w:val="en-US"/>
              </w:rPr>
              <w:t>Stakeholder Analysis and RACI Matrix</w:t>
            </w:r>
            <w:r w:rsidR="00505BC4">
              <w:rPr>
                <w:noProof/>
                <w:webHidden/>
              </w:rPr>
              <w:tab/>
            </w:r>
            <w:r w:rsidR="00505BC4">
              <w:rPr>
                <w:noProof/>
                <w:webHidden/>
              </w:rPr>
              <w:fldChar w:fldCharType="begin"/>
            </w:r>
            <w:r w:rsidR="00505BC4">
              <w:rPr>
                <w:noProof/>
                <w:webHidden/>
              </w:rPr>
              <w:instrText xml:space="preserve"> PAGEREF _Toc211933656 \h </w:instrText>
            </w:r>
            <w:r w:rsidR="00505BC4">
              <w:rPr>
                <w:noProof/>
                <w:webHidden/>
              </w:rPr>
            </w:r>
            <w:r w:rsidR="00505BC4">
              <w:rPr>
                <w:noProof/>
                <w:webHidden/>
              </w:rPr>
              <w:fldChar w:fldCharType="separate"/>
            </w:r>
            <w:r w:rsidR="00505BC4">
              <w:rPr>
                <w:noProof/>
                <w:webHidden/>
              </w:rPr>
              <w:t>12</w:t>
            </w:r>
            <w:r w:rsidR="00505BC4">
              <w:rPr>
                <w:noProof/>
                <w:webHidden/>
              </w:rPr>
              <w:fldChar w:fldCharType="end"/>
            </w:r>
          </w:hyperlink>
        </w:p>
        <w:p w14:paraId="3DFAAA68" w14:textId="059ABB22" w:rsidR="00505BC4" w:rsidRDefault="001213C5">
          <w:pPr>
            <w:pStyle w:val="TOC1"/>
            <w:tabs>
              <w:tab w:val="right" w:leader="dot" w:pos="9350"/>
            </w:tabs>
            <w:rPr>
              <w:noProof/>
            </w:rPr>
          </w:pPr>
          <w:hyperlink w:anchor="_Toc211933657" w:history="1">
            <w:r w:rsidR="00505BC4" w:rsidRPr="00884A30">
              <w:rPr>
                <w:rStyle w:val="Hyperlink"/>
                <w:rFonts w:ascii="Arial" w:hAnsi="Arial" w:cs="Arial"/>
                <w:b/>
                <w:bCs/>
                <w:noProof/>
                <w:lang w:val="en-US"/>
              </w:rPr>
              <w:t>Strategic Recommendations</w:t>
            </w:r>
            <w:r w:rsidR="00505BC4">
              <w:rPr>
                <w:noProof/>
                <w:webHidden/>
              </w:rPr>
              <w:tab/>
            </w:r>
            <w:r w:rsidR="00505BC4">
              <w:rPr>
                <w:noProof/>
                <w:webHidden/>
              </w:rPr>
              <w:fldChar w:fldCharType="begin"/>
            </w:r>
            <w:r w:rsidR="00505BC4">
              <w:rPr>
                <w:noProof/>
                <w:webHidden/>
              </w:rPr>
              <w:instrText xml:space="preserve"> PAGEREF _Toc211933657 \h </w:instrText>
            </w:r>
            <w:r w:rsidR="00505BC4">
              <w:rPr>
                <w:noProof/>
                <w:webHidden/>
              </w:rPr>
            </w:r>
            <w:r w:rsidR="00505BC4">
              <w:rPr>
                <w:noProof/>
                <w:webHidden/>
              </w:rPr>
              <w:fldChar w:fldCharType="separate"/>
            </w:r>
            <w:r w:rsidR="00505BC4">
              <w:rPr>
                <w:noProof/>
                <w:webHidden/>
              </w:rPr>
              <w:t>14</w:t>
            </w:r>
            <w:r w:rsidR="00505BC4">
              <w:rPr>
                <w:noProof/>
                <w:webHidden/>
              </w:rPr>
              <w:fldChar w:fldCharType="end"/>
            </w:r>
          </w:hyperlink>
        </w:p>
        <w:p w14:paraId="54683AE9" w14:textId="3AA7BBD4" w:rsidR="00505BC4" w:rsidRDefault="001213C5">
          <w:pPr>
            <w:pStyle w:val="TOC1"/>
            <w:tabs>
              <w:tab w:val="right" w:leader="dot" w:pos="9350"/>
            </w:tabs>
            <w:rPr>
              <w:noProof/>
            </w:rPr>
          </w:pPr>
          <w:hyperlink w:anchor="_Toc211933658" w:history="1">
            <w:r w:rsidR="00505BC4" w:rsidRPr="00884A30">
              <w:rPr>
                <w:rStyle w:val="Hyperlink"/>
                <w:rFonts w:ascii="Arial" w:hAnsi="Arial" w:cs="Arial"/>
                <w:b/>
                <w:bCs/>
                <w:noProof/>
                <w:lang w:val="en-US"/>
              </w:rPr>
              <w:t>Conclusion</w:t>
            </w:r>
            <w:r w:rsidR="00505BC4">
              <w:rPr>
                <w:noProof/>
                <w:webHidden/>
              </w:rPr>
              <w:tab/>
            </w:r>
            <w:r w:rsidR="00505BC4">
              <w:rPr>
                <w:noProof/>
                <w:webHidden/>
              </w:rPr>
              <w:fldChar w:fldCharType="begin"/>
            </w:r>
            <w:r w:rsidR="00505BC4">
              <w:rPr>
                <w:noProof/>
                <w:webHidden/>
              </w:rPr>
              <w:instrText xml:space="preserve"> PAGEREF _Toc211933658 \h </w:instrText>
            </w:r>
            <w:r w:rsidR="00505BC4">
              <w:rPr>
                <w:noProof/>
                <w:webHidden/>
              </w:rPr>
            </w:r>
            <w:r w:rsidR="00505BC4">
              <w:rPr>
                <w:noProof/>
                <w:webHidden/>
              </w:rPr>
              <w:fldChar w:fldCharType="separate"/>
            </w:r>
            <w:r w:rsidR="00505BC4">
              <w:rPr>
                <w:noProof/>
                <w:webHidden/>
              </w:rPr>
              <w:t>16</w:t>
            </w:r>
            <w:r w:rsidR="00505BC4">
              <w:rPr>
                <w:noProof/>
                <w:webHidden/>
              </w:rPr>
              <w:fldChar w:fldCharType="end"/>
            </w:r>
          </w:hyperlink>
        </w:p>
        <w:p w14:paraId="3DA8E266" w14:textId="00F123BC" w:rsidR="00505BC4" w:rsidRDefault="001213C5">
          <w:pPr>
            <w:pStyle w:val="TOC1"/>
            <w:tabs>
              <w:tab w:val="right" w:leader="dot" w:pos="9350"/>
            </w:tabs>
            <w:rPr>
              <w:noProof/>
            </w:rPr>
          </w:pPr>
          <w:hyperlink w:anchor="_Toc211933659" w:history="1">
            <w:r w:rsidR="00505BC4" w:rsidRPr="00884A30">
              <w:rPr>
                <w:rStyle w:val="Hyperlink"/>
                <w:rFonts w:ascii="Arial" w:hAnsi="Arial" w:cs="Arial"/>
                <w:b/>
                <w:bCs/>
                <w:noProof/>
                <w:lang w:val="en-US"/>
              </w:rPr>
              <w:t>References</w:t>
            </w:r>
            <w:r w:rsidR="00505BC4">
              <w:rPr>
                <w:noProof/>
                <w:webHidden/>
              </w:rPr>
              <w:tab/>
            </w:r>
            <w:r w:rsidR="00505BC4">
              <w:rPr>
                <w:noProof/>
                <w:webHidden/>
              </w:rPr>
              <w:fldChar w:fldCharType="begin"/>
            </w:r>
            <w:r w:rsidR="00505BC4">
              <w:rPr>
                <w:noProof/>
                <w:webHidden/>
              </w:rPr>
              <w:instrText xml:space="preserve"> PAGEREF _Toc211933659 \h </w:instrText>
            </w:r>
            <w:r w:rsidR="00505BC4">
              <w:rPr>
                <w:noProof/>
                <w:webHidden/>
              </w:rPr>
            </w:r>
            <w:r w:rsidR="00505BC4">
              <w:rPr>
                <w:noProof/>
                <w:webHidden/>
              </w:rPr>
              <w:fldChar w:fldCharType="separate"/>
            </w:r>
            <w:r w:rsidR="00505BC4">
              <w:rPr>
                <w:noProof/>
                <w:webHidden/>
              </w:rPr>
              <w:t>17</w:t>
            </w:r>
            <w:r w:rsidR="00505BC4">
              <w:rPr>
                <w:noProof/>
                <w:webHidden/>
              </w:rPr>
              <w:fldChar w:fldCharType="end"/>
            </w:r>
          </w:hyperlink>
        </w:p>
        <w:p w14:paraId="266E691C" w14:textId="6309E121" w:rsidR="00505BC4" w:rsidRDefault="00505BC4">
          <w:r>
            <w:rPr>
              <w:b/>
              <w:bCs/>
              <w:noProof/>
            </w:rPr>
            <w:fldChar w:fldCharType="end"/>
          </w:r>
        </w:p>
      </w:sdtContent>
    </w:sdt>
    <w:p w14:paraId="1BA4876D" w14:textId="77777777" w:rsidR="00505BC4" w:rsidRDefault="00505BC4" w:rsidP="002B63C3">
      <w:pPr>
        <w:spacing w:after="0" w:line="360" w:lineRule="auto"/>
        <w:jc w:val="both"/>
        <w:rPr>
          <w:rFonts w:ascii="Arial" w:hAnsi="Arial" w:cs="Arial"/>
          <w:sz w:val="24"/>
          <w:szCs w:val="24"/>
          <w:lang w:val="en-US"/>
        </w:rPr>
      </w:pPr>
    </w:p>
    <w:p w14:paraId="21AFD55A" w14:textId="77777777" w:rsidR="00505BC4" w:rsidRDefault="00505BC4" w:rsidP="002B63C3">
      <w:pPr>
        <w:spacing w:after="0" w:line="360" w:lineRule="auto"/>
        <w:jc w:val="both"/>
        <w:rPr>
          <w:rFonts w:ascii="Arial" w:hAnsi="Arial" w:cs="Arial"/>
          <w:sz w:val="24"/>
          <w:szCs w:val="24"/>
          <w:lang w:val="en-US"/>
        </w:rPr>
      </w:pPr>
    </w:p>
    <w:p w14:paraId="05A42F8C" w14:textId="77777777" w:rsidR="00505BC4" w:rsidRDefault="00505BC4" w:rsidP="002B63C3">
      <w:pPr>
        <w:spacing w:after="0" w:line="360" w:lineRule="auto"/>
        <w:jc w:val="both"/>
        <w:rPr>
          <w:rFonts w:ascii="Arial" w:hAnsi="Arial" w:cs="Arial"/>
          <w:sz w:val="24"/>
          <w:szCs w:val="24"/>
          <w:lang w:val="en-US"/>
        </w:rPr>
      </w:pPr>
    </w:p>
    <w:p w14:paraId="19DAFC88" w14:textId="77777777" w:rsidR="00505BC4" w:rsidRDefault="00505BC4" w:rsidP="002B63C3">
      <w:pPr>
        <w:spacing w:after="0" w:line="360" w:lineRule="auto"/>
        <w:jc w:val="both"/>
        <w:rPr>
          <w:rFonts w:ascii="Arial" w:hAnsi="Arial" w:cs="Arial"/>
          <w:sz w:val="24"/>
          <w:szCs w:val="24"/>
          <w:lang w:val="en-US"/>
        </w:rPr>
      </w:pPr>
    </w:p>
    <w:p w14:paraId="648A7A86" w14:textId="77777777" w:rsidR="00505BC4" w:rsidRDefault="00505BC4" w:rsidP="002B63C3">
      <w:pPr>
        <w:spacing w:after="0" w:line="360" w:lineRule="auto"/>
        <w:jc w:val="both"/>
        <w:rPr>
          <w:rFonts w:ascii="Arial" w:hAnsi="Arial" w:cs="Arial"/>
          <w:sz w:val="24"/>
          <w:szCs w:val="24"/>
          <w:lang w:val="en-US"/>
        </w:rPr>
      </w:pPr>
    </w:p>
    <w:p w14:paraId="25D5E0DE" w14:textId="77777777" w:rsidR="00505BC4" w:rsidRDefault="00505BC4" w:rsidP="002B63C3">
      <w:pPr>
        <w:spacing w:after="0" w:line="360" w:lineRule="auto"/>
        <w:jc w:val="both"/>
        <w:rPr>
          <w:rFonts w:ascii="Arial" w:hAnsi="Arial" w:cs="Arial"/>
          <w:sz w:val="24"/>
          <w:szCs w:val="24"/>
          <w:lang w:val="en-US"/>
        </w:rPr>
      </w:pPr>
    </w:p>
    <w:p w14:paraId="76BEE5A4" w14:textId="77777777" w:rsidR="00505BC4" w:rsidRDefault="00505BC4" w:rsidP="002B63C3">
      <w:pPr>
        <w:spacing w:after="0" w:line="360" w:lineRule="auto"/>
        <w:jc w:val="both"/>
        <w:rPr>
          <w:rFonts w:ascii="Arial" w:hAnsi="Arial" w:cs="Arial"/>
          <w:sz w:val="24"/>
          <w:szCs w:val="24"/>
          <w:lang w:val="en-US"/>
        </w:rPr>
      </w:pPr>
    </w:p>
    <w:p w14:paraId="336BF5B6" w14:textId="77777777" w:rsidR="00505BC4" w:rsidRDefault="00505BC4" w:rsidP="002B63C3">
      <w:pPr>
        <w:spacing w:after="0" w:line="360" w:lineRule="auto"/>
        <w:jc w:val="both"/>
        <w:rPr>
          <w:rFonts w:ascii="Arial" w:hAnsi="Arial" w:cs="Arial"/>
          <w:sz w:val="24"/>
          <w:szCs w:val="24"/>
          <w:lang w:val="en-US"/>
        </w:rPr>
      </w:pPr>
    </w:p>
    <w:p w14:paraId="0212DFC9" w14:textId="77777777" w:rsidR="00505BC4" w:rsidRDefault="00505BC4" w:rsidP="002B63C3">
      <w:pPr>
        <w:spacing w:after="0" w:line="360" w:lineRule="auto"/>
        <w:jc w:val="both"/>
        <w:rPr>
          <w:rFonts w:ascii="Arial" w:hAnsi="Arial" w:cs="Arial"/>
          <w:sz w:val="24"/>
          <w:szCs w:val="24"/>
          <w:lang w:val="en-US"/>
        </w:rPr>
      </w:pPr>
    </w:p>
    <w:p w14:paraId="20DD5DE3" w14:textId="77777777" w:rsidR="00505BC4" w:rsidRDefault="00505BC4" w:rsidP="002B63C3">
      <w:pPr>
        <w:spacing w:after="0" w:line="360" w:lineRule="auto"/>
        <w:jc w:val="both"/>
        <w:rPr>
          <w:rFonts w:ascii="Arial" w:hAnsi="Arial" w:cs="Arial"/>
          <w:sz w:val="24"/>
          <w:szCs w:val="24"/>
          <w:lang w:val="en-US"/>
        </w:rPr>
      </w:pPr>
    </w:p>
    <w:p w14:paraId="69E1F5B6" w14:textId="77777777" w:rsidR="00505BC4" w:rsidRDefault="00505BC4" w:rsidP="002B63C3">
      <w:pPr>
        <w:spacing w:after="0" w:line="360" w:lineRule="auto"/>
        <w:jc w:val="both"/>
        <w:rPr>
          <w:rFonts w:ascii="Arial" w:hAnsi="Arial" w:cs="Arial"/>
          <w:sz w:val="24"/>
          <w:szCs w:val="24"/>
          <w:lang w:val="en-US"/>
        </w:rPr>
      </w:pPr>
    </w:p>
    <w:p w14:paraId="7C8AB96F" w14:textId="77777777" w:rsidR="00505BC4" w:rsidRDefault="00505BC4" w:rsidP="002B63C3">
      <w:pPr>
        <w:spacing w:after="0" w:line="360" w:lineRule="auto"/>
        <w:jc w:val="both"/>
        <w:rPr>
          <w:rFonts w:ascii="Arial" w:hAnsi="Arial" w:cs="Arial"/>
          <w:sz w:val="24"/>
          <w:szCs w:val="24"/>
          <w:lang w:val="en-US"/>
        </w:rPr>
      </w:pPr>
    </w:p>
    <w:p w14:paraId="10FC2716" w14:textId="77777777" w:rsidR="00505BC4" w:rsidRDefault="00505BC4" w:rsidP="002B63C3">
      <w:pPr>
        <w:spacing w:after="0" w:line="360" w:lineRule="auto"/>
        <w:jc w:val="both"/>
        <w:rPr>
          <w:rFonts w:ascii="Arial" w:hAnsi="Arial" w:cs="Arial"/>
          <w:sz w:val="24"/>
          <w:szCs w:val="24"/>
          <w:lang w:val="en-US"/>
        </w:rPr>
      </w:pPr>
    </w:p>
    <w:p w14:paraId="53596FA3" w14:textId="77777777" w:rsidR="00505BC4" w:rsidRDefault="00505BC4" w:rsidP="002B63C3">
      <w:pPr>
        <w:spacing w:after="0" w:line="360" w:lineRule="auto"/>
        <w:jc w:val="both"/>
        <w:rPr>
          <w:rFonts w:ascii="Arial" w:hAnsi="Arial" w:cs="Arial"/>
          <w:sz w:val="24"/>
          <w:szCs w:val="24"/>
          <w:lang w:val="en-US"/>
        </w:rPr>
      </w:pPr>
    </w:p>
    <w:p w14:paraId="4D027505" w14:textId="77777777" w:rsidR="00505BC4" w:rsidRDefault="00505BC4" w:rsidP="002B63C3">
      <w:pPr>
        <w:spacing w:after="0" w:line="360" w:lineRule="auto"/>
        <w:jc w:val="both"/>
        <w:rPr>
          <w:rFonts w:ascii="Arial" w:hAnsi="Arial" w:cs="Arial"/>
          <w:sz w:val="24"/>
          <w:szCs w:val="24"/>
          <w:lang w:val="en-US"/>
        </w:rPr>
      </w:pPr>
    </w:p>
    <w:p w14:paraId="7A9278E0" w14:textId="77777777" w:rsidR="00505BC4" w:rsidRDefault="00505BC4" w:rsidP="002B63C3">
      <w:pPr>
        <w:spacing w:after="0" w:line="360" w:lineRule="auto"/>
        <w:jc w:val="both"/>
        <w:rPr>
          <w:rFonts w:ascii="Arial" w:hAnsi="Arial" w:cs="Arial"/>
          <w:sz w:val="24"/>
          <w:szCs w:val="24"/>
          <w:lang w:val="en-US"/>
        </w:rPr>
      </w:pPr>
    </w:p>
    <w:p w14:paraId="7C4B23EF" w14:textId="77777777" w:rsidR="00505BC4" w:rsidRPr="002B63C3" w:rsidRDefault="00505BC4" w:rsidP="002B63C3">
      <w:pPr>
        <w:spacing w:after="0" w:line="360" w:lineRule="auto"/>
        <w:jc w:val="both"/>
        <w:rPr>
          <w:rFonts w:ascii="Arial" w:hAnsi="Arial" w:cs="Arial"/>
          <w:sz w:val="24"/>
          <w:szCs w:val="24"/>
          <w:lang w:val="en-US"/>
        </w:rPr>
      </w:pPr>
    </w:p>
    <w:p w14:paraId="3E81A9A0" w14:textId="77777777" w:rsidR="00505BC4" w:rsidRDefault="00505BC4" w:rsidP="005D1FC7">
      <w:pPr>
        <w:pStyle w:val="Heading1"/>
        <w:spacing w:before="0" w:after="0" w:line="360" w:lineRule="auto"/>
        <w:jc w:val="center"/>
        <w:rPr>
          <w:rFonts w:ascii="Arial" w:hAnsi="Arial" w:cs="Arial"/>
          <w:b/>
          <w:bCs/>
          <w:color w:val="000000" w:themeColor="text1"/>
          <w:sz w:val="24"/>
          <w:szCs w:val="24"/>
          <w:lang w:val="en-US"/>
        </w:rPr>
        <w:sectPr w:rsidR="00505BC4">
          <w:footerReference w:type="default" r:id="rId8"/>
          <w:pgSz w:w="12240" w:h="15840"/>
          <w:pgMar w:top="1440" w:right="1440" w:bottom="1440" w:left="1440" w:header="720" w:footer="720" w:gutter="0"/>
          <w:cols w:space="720"/>
          <w:docGrid w:linePitch="360"/>
        </w:sectPr>
      </w:pPr>
      <w:bookmarkStart w:id="1" w:name="_Toc211933651"/>
    </w:p>
    <w:p w14:paraId="5918C1DC" w14:textId="040E1EB8" w:rsidR="002B63C3" w:rsidRPr="005D1FC7" w:rsidRDefault="002B63C3" w:rsidP="005D1FC7">
      <w:pPr>
        <w:pStyle w:val="Heading1"/>
        <w:spacing w:before="0" w:after="0" w:line="360" w:lineRule="auto"/>
        <w:jc w:val="center"/>
        <w:rPr>
          <w:rFonts w:ascii="Arial" w:hAnsi="Arial" w:cs="Arial"/>
          <w:b/>
          <w:bCs/>
          <w:color w:val="000000" w:themeColor="text1"/>
          <w:sz w:val="24"/>
          <w:szCs w:val="24"/>
          <w:lang w:val="en-US"/>
        </w:rPr>
      </w:pPr>
      <w:r w:rsidRPr="005D1FC7">
        <w:rPr>
          <w:rFonts w:ascii="Arial" w:hAnsi="Arial" w:cs="Arial"/>
          <w:b/>
          <w:bCs/>
          <w:color w:val="000000" w:themeColor="text1"/>
          <w:sz w:val="24"/>
          <w:szCs w:val="24"/>
          <w:lang w:val="en-US"/>
        </w:rPr>
        <w:lastRenderedPageBreak/>
        <w:t>Introduction</w:t>
      </w:r>
      <w:bookmarkEnd w:id="1"/>
    </w:p>
    <w:p w14:paraId="3457E921" w14:textId="77777777" w:rsidR="002B63C3" w:rsidRPr="002B63C3" w:rsidRDefault="002B63C3" w:rsidP="002B63C3">
      <w:pPr>
        <w:spacing w:after="0" w:line="360" w:lineRule="auto"/>
        <w:jc w:val="center"/>
        <w:rPr>
          <w:rFonts w:ascii="Arial" w:hAnsi="Arial" w:cs="Arial"/>
          <w:b/>
          <w:bCs/>
          <w:sz w:val="24"/>
          <w:szCs w:val="24"/>
          <w:lang w:val="en-US"/>
        </w:rPr>
      </w:pPr>
    </w:p>
    <w:p w14:paraId="49C579A7" w14:textId="28658ABA" w:rsidR="005D1FC7" w:rsidRDefault="005D1FC7" w:rsidP="005D1FC7">
      <w:pPr>
        <w:spacing w:after="0" w:line="360" w:lineRule="auto"/>
        <w:ind w:firstLine="720"/>
        <w:jc w:val="both"/>
        <w:rPr>
          <w:rFonts w:ascii="Arial" w:hAnsi="Arial" w:cs="Arial"/>
          <w:sz w:val="24"/>
          <w:szCs w:val="24"/>
        </w:rPr>
      </w:pPr>
      <w:r w:rsidRPr="005D1FC7">
        <w:rPr>
          <w:rFonts w:ascii="Arial" w:hAnsi="Arial" w:cs="Arial"/>
          <w:sz w:val="24"/>
          <w:szCs w:val="24"/>
        </w:rPr>
        <w:t xml:space="preserve">Innocent Drinks Ltd is a UK-based SME of smoothies, juices and plant-based drinks founded in 1999 by Adam Balon, Richard Reed and Jon Wright in London. The company’s simple founding mission was to help people live well and do good made easy. Supporting this message, it offers fruit smoothies as portfolio products together with flavoured water, alternative milk plant-based options and functional vitamin- and nutrient-enriched juices. Over the years the company has developed a strong reputation for natural ingredients, minimum processing, and packaging that is as environmentally friendly as possible within the larger trends towards health and sustainability globally (Kotler </w:t>
      </w:r>
      <w:r>
        <w:rPr>
          <w:rFonts w:ascii="Arial" w:hAnsi="Arial" w:cs="Arial"/>
          <w:sz w:val="24"/>
          <w:szCs w:val="24"/>
        </w:rPr>
        <w:t>and</w:t>
      </w:r>
      <w:r w:rsidRPr="005D1FC7">
        <w:rPr>
          <w:rFonts w:ascii="Arial" w:hAnsi="Arial" w:cs="Arial"/>
          <w:sz w:val="24"/>
          <w:szCs w:val="24"/>
        </w:rPr>
        <w:t xml:space="preserve"> Keller 2022).</w:t>
      </w:r>
    </w:p>
    <w:p w14:paraId="24359E44" w14:textId="77777777" w:rsidR="005D1FC7" w:rsidRDefault="005D1FC7" w:rsidP="005D1FC7">
      <w:pPr>
        <w:spacing w:after="0" w:line="360" w:lineRule="auto"/>
        <w:ind w:firstLine="720"/>
        <w:jc w:val="both"/>
        <w:rPr>
          <w:rFonts w:ascii="Arial" w:hAnsi="Arial" w:cs="Arial"/>
          <w:sz w:val="24"/>
          <w:szCs w:val="24"/>
        </w:rPr>
      </w:pPr>
      <w:r w:rsidRPr="005D1FC7">
        <w:rPr>
          <w:rFonts w:ascii="Arial" w:hAnsi="Arial" w:cs="Arial"/>
          <w:sz w:val="24"/>
          <w:szCs w:val="24"/>
        </w:rPr>
        <w:t>The company operates under both Business-to-Consumer (B2C) and Business-to-Business (B2B) models. It delivers directly to supermarkets, cafes, and hospitality partners while interacting with end consumers on its digital channels. The unique business model of the firm prioritizes fair trading at source, circular packaging, and carbon-neutral operations emphasized by transparent supply chain management comprising community development.</w:t>
      </w:r>
    </w:p>
    <w:p w14:paraId="087A99F2" w14:textId="77777777" w:rsidR="005D1FC7" w:rsidRDefault="005D1FC7" w:rsidP="002B63C3">
      <w:pPr>
        <w:spacing w:after="0" w:line="360" w:lineRule="auto"/>
        <w:jc w:val="both"/>
        <w:rPr>
          <w:rFonts w:ascii="Arial" w:hAnsi="Arial" w:cs="Arial"/>
          <w:sz w:val="24"/>
          <w:szCs w:val="24"/>
          <w:lang w:val="en-US"/>
        </w:rPr>
      </w:pPr>
    </w:p>
    <w:p w14:paraId="30158A39" w14:textId="77777777" w:rsidR="002B63C3" w:rsidRDefault="002B63C3" w:rsidP="002B63C3">
      <w:pPr>
        <w:spacing w:after="0" w:line="360" w:lineRule="auto"/>
        <w:jc w:val="both"/>
        <w:rPr>
          <w:rFonts w:ascii="Arial" w:hAnsi="Arial" w:cs="Arial"/>
          <w:sz w:val="24"/>
          <w:szCs w:val="24"/>
          <w:lang w:val="en-US"/>
        </w:rPr>
      </w:pPr>
    </w:p>
    <w:p w14:paraId="28806240" w14:textId="77777777" w:rsidR="005D1FC7" w:rsidRDefault="005D1FC7" w:rsidP="002B63C3">
      <w:pPr>
        <w:spacing w:after="0" w:line="360" w:lineRule="auto"/>
        <w:jc w:val="both"/>
        <w:rPr>
          <w:rFonts w:ascii="Arial" w:hAnsi="Arial" w:cs="Arial"/>
          <w:sz w:val="24"/>
          <w:szCs w:val="24"/>
          <w:lang w:val="en-US"/>
        </w:rPr>
      </w:pPr>
    </w:p>
    <w:p w14:paraId="77446422" w14:textId="77777777" w:rsidR="005D1FC7" w:rsidRDefault="005D1FC7" w:rsidP="002B63C3">
      <w:pPr>
        <w:spacing w:after="0" w:line="360" w:lineRule="auto"/>
        <w:jc w:val="both"/>
        <w:rPr>
          <w:rFonts w:ascii="Arial" w:hAnsi="Arial" w:cs="Arial"/>
          <w:sz w:val="24"/>
          <w:szCs w:val="24"/>
          <w:lang w:val="en-US"/>
        </w:rPr>
      </w:pPr>
    </w:p>
    <w:p w14:paraId="5BDA3737" w14:textId="77777777" w:rsidR="005D1FC7" w:rsidRDefault="005D1FC7" w:rsidP="002B63C3">
      <w:pPr>
        <w:spacing w:after="0" w:line="360" w:lineRule="auto"/>
        <w:jc w:val="both"/>
        <w:rPr>
          <w:rFonts w:ascii="Arial" w:hAnsi="Arial" w:cs="Arial"/>
          <w:sz w:val="24"/>
          <w:szCs w:val="24"/>
          <w:lang w:val="en-US"/>
        </w:rPr>
      </w:pPr>
    </w:p>
    <w:p w14:paraId="56FE9F23" w14:textId="77777777" w:rsidR="005D1FC7" w:rsidRDefault="005D1FC7" w:rsidP="002B63C3">
      <w:pPr>
        <w:spacing w:after="0" w:line="360" w:lineRule="auto"/>
        <w:jc w:val="both"/>
        <w:rPr>
          <w:rFonts w:ascii="Arial" w:hAnsi="Arial" w:cs="Arial"/>
          <w:sz w:val="24"/>
          <w:szCs w:val="24"/>
          <w:lang w:val="en-US"/>
        </w:rPr>
      </w:pPr>
    </w:p>
    <w:p w14:paraId="0E8F1A5A" w14:textId="77777777" w:rsidR="005D1FC7" w:rsidRDefault="005D1FC7" w:rsidP="002B63C3">
      <w:pPr>
        <w:spacing w:after="0" w:line="360" w:lineRule="auto"/>
        <w:jc w:val="both"/>
        <w:rPr>
          <w:rFonts w:ascii="Arial" w:hAnsi="Arial" w:cs="Arial"/>
          <w:sz w:val="24"/>
          <w:szCs w:val="24"/>
          <w:lang w:val="en-US"/>
        </w:rPr>
      </w:pPr>
    </w:p>
    <w:p w14:paraId="04612814" w14:textId="77777777" w:rsidR="00505BC4" w:rsidRDefault="00505BC4" w:rsidP="002B63C3">
      <w:pPr>
        <w:spacing w:after="0" w:line="360" w:lineRule="auto"/>
        <w:jc w:val="both"/>
        <w:rPr>
          <w:rFonts w:ascii="Arial" w:hAnsi="Arial" w:cs="Arial"/>
          <w:sz w:val="24"/>
          <w:szCs w:val="24"/>
          <w:lang w:val="en-US"/>
        </w:rPr>
      </w:pPr>
    </w:p>
    <w:p w14:paraId="467863F0" w14:textId="77777777" w:rsidR="00505BC4" w:rsidRDefault="00505BC4" w:rsidP="002B63C3">
      <w:pPr>
        <w:spacing w:after="0" w:line="360" w:lineRule="auto"/>
        <w:jc w:val="both"/>
        <w:rPr>
          <w:rFonts w:ascii="Arial" w:hAnsi="Arial" w:cs="Arial"/>
          <w:sz w:val="24"/>
          <w:szCs w:val="24"/>
          <w:lang w:val="en-US"/>
        </w:rPr>
      </w:pPr>
    </w:p>
    <w:p w14:paraId="4D7245F5" w14:textId="77777777" w:rsidR="00505BC4" w:rsidRDefault="00505BC4" w:rsidP="002B63C3">
      <w:pPr>
        <w:spacing w:after="0" w:line="360" w:lineRule="auto"/>
        <w:jc w:val="both"/>
        <w:rPr>
          <w:rFonts w:ascii="Arial" w:hAnsi="Arial" w:cs="Arial"/>
          <w:sz w:val="24"/>
          <w:szCs w:val="24"/>
          <w:lang w:val="en-US"/>
        </w:rPr>
      </w:pPr>
    </w:p>
    <w:p w14:paraId="7CEA3C24" w14:textId="77777777" w:rsidR="00505BC4" w:rsidRDefault="00505BC4" w:rsidP="002B63C3">
      <w:pPr>
        <w:spacing w:after="0" w:line="360" w:lineRule="auto"/>
        <w:jc w:val="both"/>
        <w:rPr>
          <w:rFonts w:ascii="Arial" w:hAnsi="Arial" w:cs="Arial"/>
          <w:sz w:val="24"/>
          <w:szCs w:val="24"/>
          <w:lang w:val="en-US"/>
        </w:rPr>
      </w:pPr>
    </w:p>
    <w:p w14:paraId="6ECECD5F" w14:textId="77777777" w:rsidR="00505BC4" w:rsidRDefault="00505BC4" w:rsidP="002B63C3">
      <w:pPr>
        <w:spacing w:after="0" w:line="360" w:lineRule="auto"/>
        <w:jc w:val="both"/>
        <w:rPr>
          <w:rFonts w:ascii="Arial" w:hAnsi="Arial" w:cs="Arial"/>
          <w:sz w:val="24"/>
          <w:szCs w:val="24"/>
          <w:lang w:val="en-US"/>
        </w:rPr>
      </w:pPr>
    </w:p>
    <w:p w14:paraId="506CB8DB" w14:textId="77777777" w:rsidR="005D1FC7" w:rsidRPr="002B63C3" w:rsidRDefault="005D1FC7" w:rsidP="002B63C3">
      <w:pPr>
        <w:spacing w:after="0" w:line="360" w:lineRule="auto"/>
        <w:jc w:val="both"/>
        <w:rPr>
          <w:rFonts w:ascii="Arial" w:hAnsi="Arial" w:cs="Arial"/>
          <w:sz w:val="24"/>
          <w:szCs w:val="24"/>
          <w:lang w:val="en-US"/>
        </w:rPr>
      </w:pPr>
    </w:p>
    <w:p w14:paraId="7199E01E" w14:textId="33A8E9CA" w:rsidR="002B63C3" w:rsidRPr="005D1FC7" w:rsidRDefault="002B63C3" w:rsidP="005D1FC7">
      <w:pPr>
        <w:pStyle w:val="Heading1"/>
        <w:spacing w:before="0" w:after="0" w:line="360" w:lineRule="auto"/>
        <w:jc w:val="center"/>
        <w:rPr>
          <w:rFonts w:ascii="Arial" w:hAnsi="Arial" w:cs="Arial"/>
          <w:b/>
          <w:bCs/>
          <w:color w:val="000000" w:themeColor="text1"/>
          <w:sz w:val="24"/>
          <w:szCs w:val="24"/>
          <w:lang w:val="en-US"/>
        </w:rPr>
      </w:pPr>
      <w:bookmarkStart w:id="2" w:name="_Toc211933652"/>
      <w:r w:rsidRPr="005D1FC7">
        <w:rPr>
          <w:rFonts w:ascii="Arial" w:hAnsi="Arial" w:cs="Arial"/>
          <w:b/>
          <w:bCs/>
          <w:color w:val="000000" w:themeColor="text1"/>
          <w:sz w:val="24"/>
          <w:szCs w:val="24"/>
          <w:lang w:val="en-US"/>
        </w:rPr>
        <w:lastRenderedPageBreak/>
        <w:t>Strategic Direction and Goals</w:t>
      </w:r>
      <w:bookmarkEnd w:id="2"/>
    </w:p>
    <w:p w14:paraId="7A81F5F0" w14:textId="77777777" w:rsidR="002B63C3" w:rsidRDefault="002B63C3" w:rsidP="002B63C3">
      <w:pPr>
        <w:spacing w:after="0" w:line="360" w:lineRule="auto"/>
        <w:jc w:val="center"/>
        <w:rPr>
          <w:rFonts w:ascii="Arial" w:hAnsi="Arial" w:cs="Arial"/>
          <w:b/>
          <w:bCs/>
          <w:sz w:val="24"/>
          <w:szCs w:val="24"/>
          <w:lang w:val="en-US"/>
        </w:rPr>
      </w:pPr>
    </w:p>
    <w:p w14:paraId="29AD7011"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Innocent Drinks Ltd. has set its sustainability-based strategic direction, which also incorporates parameters of health and ethics, clearly and consciously. Its strategic objectives are articulated in its vision, mission, and core objectives that continuously reinforce the brand’s positioning as an ethical beverage company.</w:t>
      </w:r>
    </w:p>
    <w:p w14:paraId="4C7208E9"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Vision: To make natural healthy drinks that help people live well and that have a positive impact on the planet and on society.</w:t>
      </w:r>
    </w:p>
    <w:p w14:paraId="2EEBFBBA"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Mission: Easy access for consumers to naturally sourced products that help them maintain good health, added with new sustainability efforts and transparent operations leaving everything better than found.</w:t>
      </w:r>
    </w:p>
    <w:p w14:paraId="1F1C2AAD"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Strategy Objectives:</w:t>
      </w:r>
    </w:p>
    <w:p w14:paraId="673369E1"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Net-zero carbon emissions by 2030 through renewable energy and minimal waste with circular packaging.</w:t>
      </w:r>
    </w:p>
    <w:p w14:paraId="40FDEC2E"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Increase international market share across Europe and selected global regions while maintaining a responsible supply chain.</w:t>
      </w:r>
    </w:p>
    <w:p w14:paraId="3992F701"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Diversity in the product portfolio into functional and plant-based nutrition addressing new wellness trends.</w:t>
      </w:r>
    </w:p>
    <w:p w14:paraId="705449C4"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Use digital technologies for visibility in the supply chain, transparency programs, customer interaction, and data-driven decision-making.</w:t>
      </w:r>
    </w:p>
    <w:p w14:paraId="6EDF96DD"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Develop an inclusive and purpose-driven organisational culture to maintain employees’ sustainability goals.</w:t>
      </w:r>
    </w:p>
    <w:p w14:paraId="0B7E33DC"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Innocent maintains real strategic direction: meanwhile emphasising its real links with large conglomerates such as The Coca-Cola Company, which owns it and provides financial backing but lets it operate independently (Grant, 2019). The firm’s strategy focuses on sustaining something close to real while leveraging digital innovation and new sustainable ways of production to outcompete big competitors like PepsiCo and Tropicana.</w:t>
      </w:r>
    </w:p>
    <w:p w14:paraId="76525B2C" w14:textId="77777777" w:rsidR="002B63C3" w:rsidRDefault="002B63C3" w:rsidP="00D74091">
      <w:pPr>
        <w:spacing w:after="0" w:line="360" w:lineRule="auto"/>
        <w:rPr>
          <w:rFonts w:ascii="Arial" w:hAnsi="Arial" w:cs="Arial"/>
          <w:sz w:val="24"/>
          <w:szCs w:val="24"/>
        </w:rPr>
      </w:pPr>
    </w:p>
    <w:p w14:paraId="1C9682B8" w14:textId="77777777" w:rsidR="00505BC4" w:rsidRDefault="00505BC4" w:rsidP="00D74091">
      <w:pPr>
        <w:spacing w:after="0" w:line="360" w:lineRule="auto"/>
        <w:rPr>
          <w:rFonts w:ascii="Arial" w:hAnsi="Arial" w:cs="Arial"/>
          <w:sz w:val="24"/>
          <w:szCs w:val="24"/>
          <w:lang w:val="en-US"/>
        </w:rPr>
      </w:pPr>
    </w:p>
    <w:p w14:paraId="168A081C" w14:textId="0CB4276A" w:rsidR="002B63C3" w:rsidRPr="00505BC4" w:rsidRDefault="002B63C3" w:rsidP="00505BC4">
      <w:pPr>
        <w:pStyle w:val="Heading1"/>
        <w:spacing w:before="0" w:after="0" w:line="360" w:lineRule="auto"/>
        <w:jc w:val="center"/>
        <w:rPr>
          <w:rFonts w:ascii="Arial" w:hAnsi="Arial" w:cs="Arial"/>
          <w:b/>
          <w:bCs/>
          <w:color w:val="000000" w:themeColor="text1"/>
          <w:sz w:val="24"/>
          <w:szCs w:val="24"/>
          <w:lang w:val="en-US"/>
        </w:rPr>
      </w:pPr>
      <w:bookmarkStart w:id="3" w:name="_Toc211933653"/>
      <w:r w:rsidRPr="00505BC4">
        <w:rPr>
          <w:rFonts w:ascii="Arial" w:hAnsi="Arial" w:cs="Arial"/>
          <w:b/>
          <w:bCs/>
          <w:color w:val="000000" w:themeColor="text1"/>
          <w:sz w:val="24"/>
          <w:szCs w:val="24"/>
          <w:lang w:val="en-US"/>
        </w:rPr>
        <w:lastRenderedPageBreak/>
        <w:t>Internal Environmental Analysis</w:t>
      </w:r>
      <w:bookmarkEnd w:id="3"/>
    </w:p>
    <w:p w14:paraId="6329B27B" w14:textId="77777777" w:rsidR="00D74091" w:rsidRDefault="00D74091" w:rsidP="002B63C3">
      <w:pPr>
        <w:spacing w:after="0" w:line="360" w:lineRule="auto"/>
        <w:jc w:val="both"/>
        <w:rPr>
          <w:rFonts w:ascii="Arial" w:hAnsi="Arial" w:cs="Arial"/>
          <w:b/>
          <w:bCs/>
          <w:sz w:val="24"/>
          <w:szCs w:val="24"/>
          <w:lang w:val="en-US"/>
        </w:rPr>
      </w:pPr>
    </w:p>
    <w:p w14:paraId="4865E540" w14:textId="2E67E785" w:rsidR="002B63C3" w:rsidRPr="00D74091" w:rsidRDefault="002B63C3" w:rsidP="00D74091">
      <w:pPr>
        <w:spacing w:after="0" w:line="360" w:lineRule="auto"/>
        <w:ind w:firstLine="720"/>
        <w:jc w:val="both"/>
        <w:rPr>
          <w:rFonts w:ascii="Arial" w:hAnsi="Arial" w:cs="Arial"/>
          <w:b/>
          <w:bCs/>
          <w:i/>
          <w:iCs/>
          <w:sz w:val="24"/>
          <w:szCs w:val="24"/>
          <w:lang w:val="en-US"/>
        </w:rPr>
      </w:pPr>
      <w:r w:rsidRPr="00D74091">
        <w:rPr>
          <w:rFonts w:ascii="Arial" w:hAnsi="Arial" w:cs="Arial"/>
          <w:b/>
          <w:bCs/>
          <w:i/>
          <w:iCs/>
          <w:sz w:val="24"/>
          <w:szCs w:val="24"/>
          <w:lang w:val="en-US"/>
        </w:rPr>
        <w:t>SWOT and Value Chain Analysis</w:t>
      </w:r>
    </w:p>
    <w:p w14:paraId="76951BDA"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Innocent Drinks has an internally well-aligned brand purpose supported by operational excellence and a strong ethical reputation. Its core strengths, internal challenges, and operational competencies that provide it with a competitive advantage can be understood using the SWOT and Value Chain frameworks.</w:t>
      </w:r>
    </w:p>
    <w:p w14:paraId="01F00814"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Strengths: The primary strength of Innocent lies in building its highly ethical brand. The reputation for its natural products and sustainability with transparent sourcing has created exceptional trust among consumers (Kotler and Keller, 2022). It enjoys financial stability because it is owned by Coca-Cola, which gives it international distribution access and economies of scale while keeping the brand independent. Innovation capability-innocent’s R&amp;D teams continuously come up with new plant-based and functional beverages parallel to health trends. Its “Earth-friendly” production facility in Rotterdam powered by renewable energy further enhances the company’s leadership role in sustainable manufacturing (Tidd and Bessant, 2021).</w:t>
      </w:r>
    </w:p>
    <w:p w14:paraId="47F9474B"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Weaknesses: Even though the brand is successful, Innocent remains highly dependent on the European markets. It has not diversified its market into high-growth regions such as Asia-Pacific. Cost increases of renewable packaging and organic supply constrain margins (Grant, 2019). As an SME subsidiary, it still faces limited flexibility in long-term investment decisions compared with fully independent firms.</w:t>
      </w:r>
    </w:p>
    <w:p w14:paraId="77A91C58" w14:textId="0829D5BC"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Opportunities: Huge opportunities lie in digitalization—operational agility through data-driven supply chain optimization, blockchain traceability, and artificial intelligence consumer insight tools. A path to develop new products is provided by growing demand for functional nutrition and plant-based diets.</w:t>
      </w:r>
    </w:p>
    <w:p w14:paraId="43C86E0D" w14:textId="76E9853B" w:rsidR="002B63C3"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Threats: Competitors such as Tropicana, Naked Juice, and Pret A Manger are quickly increasing their lines of sustainable and vegan products to intensify the market rivalry (Hill et al., 2021). Moreover, economic instability and increasing prices of raw materials constantly threaten its profitability.</w:t>
      </w:r>
    </w:p>
    <w:p w14:paraId="2E8AE2AA" w14:textId="77777777" w:rsidR="00D74091" w:rsidRDefault="00D74091" w:rsidP="002B63C3">
      <w:pPr>
        <w:spacing w:after="0" w:line="360" w:lineRule="auto"/>
        <w:jc w:val="both"/>
        <w:rPr>
          <w:rFonts w:ascii="Arial" w:hAnsi="Arial" w:cs="Arial"/>
          <w:sz w:val="24"/>
          <w:szCs w:val="24"/>
          <w:lang w:val="en-US"/>
        </w:rPr>
      </w:pPr>
    </w:p>
    <w:p w14:paraId="044F986B" w14:textId="77777777" w:rsidR="00505BC4" w:rsidRDefault="00505BC4" w:rsidP="002B63C3">
      <w:pPr>
        <w:spacing w:after="0" w:line="360" w:lineRule="auto"/>
        <w:jc w:val="both"/>
        <w:rPr>
          <w:rFonts w:ascii="Arial" w:hAnsi="Arial" w:cs="Arial"/>
          <w:sz w:val="24"/>
          <w:szCs w:val="24"/>
          <w:lang w:val="en-US"/>
        </w:rPr>
      </w:pPr>
    </w:p>
    <w:p w14:paraId="4454FA14" w14:textId="7658B298" w:rsidR="002B63C3" w:rsidRPr="00D74091" w:rsidRDefault="002B63C3" w:rsidP="00D74091">
      <w:pPr>
        <w:spacing w:after="0" w:line="360" w:lineRule="auto"/>
        <w:ind w:firstLine="720"/>
        <w:jc w:val="both"/>
        <w:rPr>
          <w:rFonts w:ascii="Arial" w:hAnsi="Arial" w:cs="Arial"/>
          <w:b/>
          <w:bCs/>
          <w:i/>
          <w:iCs/>
          <w:sz w:val="24"/>
          <w:szCs w:val="24"/>
          <w:lang w:val="en-US"/>
        </w:rPr>
      </w:pPr>
      <w:r w:rsidRPr="00D74091">
        <w:rPr>
          <w:rFonts w:ascii="Arial" w:hAnsi="Arial" w:cs="Arial"/>
          <w:b/>
          <w:bCs/>
          <w:i/>
          <w:iCs/>
          <w:sz w:val="24"/>
          <w:szCs w:val="24"/>
          <w:lang w:val="en-US"/>
        </w:rPr>
        <w:lastRenderedPageBreak/>
        <w:t>Value Chain Analysis</w:t>
      </w:r>
    </w:p>
    <w:p w14:paraId="6519A2B9"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 xml:space="preserve">According to Porter’s Value Chain, Innocent delivers added value through innovation, ethical sourcing, and authentic marketing. </w:t>
      </w:r>
    </w:p>
    <w:p w14:paraId="5B6C4F87" w14:textId="5667BF10"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 xml:space="preserve">Inbound Logistics: Supplier partnerships guarantee steady reliable supply of fruit and other materials that can be traced back to their ethical sources. </w:t>
      </w:r>
    </w:p>
    <w:p w14:paraId="120312AF"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 xml:space="preserve">Operations: Rotterdam plant runs on renewable energy while also implementing efficient water usage systems hence low carbon intensity. Outbound Logistics: Integration with Coca-Cola’s network ensures availability all over Europe. </w:t>
      </w:r>
    </w:p>
    <w:p w14:paraId="29D9B72F"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Marketing and Sales: Storytelling campaigns for example ‘Tastes Good, Does Good’ increase consumer attachment fostering loyalty (Kotler and Keller 2022).</w:t>
      </w:r>
    </w:p>
    <w:p w14:paraId="3D45E4A4"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Service: Social media engagement and sustainability transparency strengthen post-purchase satisfaction.</w:t>
      </w:r>
    </w:p>
    <w:p w14:paraId="53FE1B3C"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 xml:space="preserve">Support Activities - Value-adding activities, among which the HR function counts as knowledge work, and innovation through research and development digital systems are at the core of strengthening. </w:t>
      </w:r>
    </w:p>
    <w:p w14:paraId="632B7955" w14:textId="3D612CBD" w:rsidR="002B63C3"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Agility can be further enhanced by starting to adopt data analytics, automation, and artificial intelligence innocently across the organization. Therefore, by outlining its value chain as a producer of good ethics with strong brands built on differentiation through added values that must now scale up digitally just to stay comparable.</w:t>
      </w:r>
    </w:p>
    <w:p w14:paraId="56935B3C" w14:textId="77777777" w:rsidR="00D74091" w:rsidRDefault="00D74091" w:rsidP="002B63C3">
      <w:pPr>
        <w:spacing w:after="0" w:line="360" w:lineRule="auto"/>
        <w:jc w:val="center"/>
        <w:rPr>
          <w:rFonts w:ascii="Arial" w:hAnsi="Arial" w:cs="Arial"/>
          <w:sz w:val="24"/>
          <w:szCs w:val="24"/>
          <w:lang w:val="en-US"/>
        </w:rPr>
      </w:pPr>
    </w:p>
    <w:p w14:paraId="1E03C9AD" w14:textId="43E6E752" w:rsidR="002B63C3" w:rsidRPr="00505BC4" w:rsidRDefault="002B63C3" w:rsidP="00505BC4">
      <w:pPr>
        <w:pStyle w:val="Heading1"/>
        <w:spacing w:before="0" w:after="0" w:line="360" w:lineRule="auto"/>
        <w:jc w:val="center"/>
        <w:rPr>
          <w:rFonts w:ascii="Arial" w:hAnsi="Arial" w:cs="Arial"/>
          <w:b/>
          <w:bCs/>
          <w:color w:val="000000" w:themeColor="text1"/>
          <w:sz w:val="24"/>
          <w:szCs w:val="24"/>
          <w:lang w:val="en-US"/>
        </w:rPr>
      </w:pPr>
      <w:bookmarkStart w:id="4" w:name="_Toc211933654"/>
      <w:r w:rsidRPr="00505BC4">
        <w:rPr>
          <w:rFonts w:ascii="Arial" w:hAnsi="Arial" w:cs="Arial"/>
          <w:b/>
          <w:bCs/>
          <w:color w:val="000000" w:themeColor="text1"/>
          <w:sz w:val="24"/>
          <w:szCs w:val="24"/>
          <w:lang w:val="en-US"/>
        </w:rPr>
        <w:t>External Environmental Analysis</w:t>
      </w:r>
      <w:bookmarkEnd w:id="4"/>
    </w:p>
    <w:p w14:paraId="4E358058" w14:textId="77777777" w:rsidR="00D74091" w:rsidRPr="002B63C3" w:rsidRDefault="00D74091" w:rsidP="002B63C3">
      <w:pPr>
        <w:spacing w:after="0" w:line="360" w:lineRule="auto"/>
        <w:jc w:val="center"/>
        <w:rPr>
          <w:rFonts w:ascii="Arial" w:hAnsi="Arial" w:cs="Arial"/>
          <w:b/>
          <w:bCs/>
          <w:sz w:val="24"/>
          <w:szCs w:val="24"/>
          <w:lang w:val="en-US"/>
        </w:rPr>
      </w:pPr>
    </w:p>
    <w:p w14:paraId="35361DA2" w14:textId="7C73E069" w:rsidR="002B63C3" w:rsidRPr="00D74091" w:rsidRDefault="002B63C3" w:rsidP="00D74091">
      <w:pPr>
        <w:spacing w:after="0" w:line="360" w:lineRule="auto"/>
        <w:ind w:firstLine="720"/>
        <w:jc w:val="both"/>
        <w:rPr>
          <w:rFonts w:ascii="Arial" w:hAnsi="Arial" w:cs="Arial"/>
          <w:b/>
          <w:bCs/>
          <w:i/>
          <w:iCs/>
          <w:sz w:val="24"/>
          <w:szCs w:val="24"/>
          <w:lang w:val="en-US"/>
        </w:rPr>
      </w:pPr>
      <w:r w:rsidRPr="00D74091">
        <w:rPr>
          <w:rFonts w:ascii="Arial" w:hAnsi="Arial" w:cs="Arial"/>
          <w:b/>
          <w:bCs/>
          <w:i/>
          <w:iCs/>
          <w:sz w:val="24"/>
          <w:szCs w:val="24"/>
          <w:lang w:val="en-US"/>
        </w:rPr>
        <w:t>PESTEL Analysis</w:t>
      </w:r>
    </w:p>
    <w:p w14:paraId="0B2BBBE5"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Political: Innocent encounters government regulations on sustainability and packaging waste, largely under the UK’s Extended Producer Responsibility (EPR) scheme and in the plastic directives of the EU. Post-Brexit trade complexities also affect its sourcing costs and logistics (Grant, 2019). Meanwhile, green policy provides funding opportunities for innovation as long as such low-carbon manufacturing happens (Hill et al., 2021).</w:t>
      </w:r>
    </w:p>
    <w:p w14:paraId="4C103276"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Economic</w:t>
      </w:r>
      <w:r>
        <w:rPr>
          <w:rFonts w:ascii="Arial" w:hAnsi="Arial" w:cs="Arial"/>
          <w:sz w:val="24"/>
          <w:szCs w:val="24"/>
        </w:rPr>
        <w:t>:</w:t>
      </w:r>
      <w:r w:rsidRPr="00D74091">
        <w:rPr>
          <w:rFonts w:ascii="Arial" w:hAnsi="Arial" w:cs="Arial"/>
          <w:sz w:val="24"/>
          <w:szCs w:val="24"/>
        </w:rPr>
        <w:t xml:space="preserve"> Inflationary pressures, disruptions in global supply chains, and the upward and downward trends of costs for raw materials all erode profitability. However, </w:t>
      </w:r>
      <w:r w:rsidRPr="00D74091">
        <w:rPr>
          <w:rFonts w:ascii="Arial" w:hAnsi="Arial" w:cs="Arial"/>
          <w:sz w:val="24"/>
          <w:szCs w:val="24"/>
        </w:rPr>
        <w:lastRenderedPageBreak/>
        <w:t xml:space="preserve">the market of health and wellness beverages is projected to continue growing steadily worldwide hence potential growth opportunities (Kotler and Keller, 2022). </w:t>
      </w:r>
    </w:p>
    <w:p w14:paraId="0FE226B9" w14:textId="7B440213"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Social</w:t>
      </w:r>
      <w:r>
        <w:rPr>
          <w:rFonts w:ascii="Arial" w:hAnsi="Arial" w:cs="Arial"/>
          <w:sz w:val="24"/>
          <w:szCs w:val="24"/>
        </w:rPr>
        <w:t>:</w:t>
      </w:r>
      <w:r w:rsidRPr="00D74091">
        <w:rPr>
          <w:rFonts w:ascii="Arial" w:hAnsi="Arial" w:cs="Arial"/>
          <w:sz w:val="24"/>
          <w:szCs w:val="24"/>
        </w:rPr>
        <w:t xml:space="preserve"> A natural trend toward drinking beverages that are plant-based with minimum additives passes through among consumers who turn out to be health-conscious. Branding and transparency make ethical considerations have a strong influence on purchasing behaviour which gives social advantage to Innocent. However, doubt about its sincerity due to corporate ownership via Coca-Cola could be a challenge.</w:t>
      </w:r>
    </w:p>
    <w:p w14:paraId="50DF50E3" w14:textId="222EF38D"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Technological: Digital transformation in production, marketing, and supply chain processes is reordering the industry. Artificial intelligence-based consumer analytics, blockchain traceability, and smart logistics will optimize operations at Innocent</w:t>
      </w:r>
      <w:r>
        <w:rPr>
          <w:rFonts w:ascii="Arial" w:hAnsi="Arial" w:cs="Arial"/>
          <w:sz w:val="24"/>
          <w:szCs w:val="24"/>
        </w:rPr>
        <w:t xml:space="preserve"> </w:t>
      </w:r>
      <w:r w:rsidRPr="00D74091">
        <w:rPr>
          <w:rFonts w:ascii="Arial" w:hAnsi="Arial" w:cs="Arial"/>
          <w:sz w:val="24"/>
          <w:szCs w:val="24"/>
        </w:rPr>
        <w:t xml:space="preserve">(Tidd and Bessant, 2021). </w:t>
      </w:r>
    </w:p>
    <w:p w14:paraId="4196BE56" w14:textId="4F10C195"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Environmental: Climate change and low carbon together with circular economy push demand constant innovation of environmental packaging and sustainable ingredients sourcing. The renewable energy factory of Innocent adds strength to compliance as well as enhancing reputation.</w:t>
      </w:r>
    </w:p>
    <w:p w14:paraId="672EAABD" w14:textId="266D13A1" w:rsidR="002B63C3" w:rsidRP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Legal: The regulation on food safety and labelling plus advertising within the EU and UK sets strict standards for compliance. Innocent sustains high transparency in fully obeying the laws on consumer protection and advertising.</w:t>
      </w:r>
    </w:p>
    <w:p w14:paraId="65C915DE" w14:textId="77777777" w:rsidR="00D74091" w:rsidRPr="002B63C3" w:rsidRDefault="00D74091" w:rsidP="002B63C3">
      <w:pPr>
        <w:spacing w:after="0" w:line="360" w:lineRule="auto"/>
        <w:jc w:val="both"/>
        <w:rPr>
          <w:rFonts w:ascii="Arial" w:hAnsi="Arial" w:cs="Arial"/>
          <w:sz w:val="24"/>
          <w:szCs w:val="24"/>
          <w:lang w:val="en-US"/>
        </w:rPr>
      </w:pPr>
    </w:p>
    <w:p w14:paraId="65185B45" w14:textId="77777777" w:rsidR="002B63C3" w:rsidRPr="00D74091" w:rsidRDefault="002B63C3" w:rsidP="00D74091">
      <w:pPr>
        <w:spacing w:after="0" w:line="360" w:lineRule="auto"/>
        <w:ind w:firstLine="720"/>
        <w:jc w:val="both"/>
        <w:rPr>
          <w:rFonts w:ascii="Arial" w:hAnsi="Arial" w:cs="Arial"/>
          <w:b/>
          <w:bCs/>
          <w:i/>
          <w:iCs/>
          <w:sz w:val="24"/>
          <w:szCs w:val="24"/>
          <w:lang w:val="en-US"/>
        </w:rPr>
      </w:pPr>
      <w:r w:rsidRPr="00D74091">
        <w:rPr>
          <w:rFonts w:ascii="Arial" w:hAnsi="Arial" w:cs="Arial"/>
          <w:b/>
          <w:bCs/>
          <w:i/>
          <w:iCs/>
          <w:sz w:val="24"/>
          <w:szCs w:val="24"/>
          <w:lang w:val="en-US"/>
        </w:rPr>
        <w:t>Porter’s Five Forces</w:t>
      </w:r>
    </w:p>
    <w:p w14:paraId="2F186479" w14:textId="27F8BF7F"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Rivalry among Competitors-High: The market is intensely competitive with other major players such as PepsiCo, Tropicana, Alpro, and new organic brands. Brand loyalty and constant innovation are the only ways firms can differentiate themselves from one another</w:t>
      </w:r>
      <w:r>
        <w:rPr>
          <w:rFonts w:ascii="Arial" w:hAnsi="Arial" w:cs="Arial"/>
          <w:sz w:val="24"/>
          <w:szCs w:val="24"/>
        </w:rPr>
        <w:t xml:space="preserve"> </w:t>
      </w:r>
      <w:r w:rsidRPr="00D74091">
        <w:rPr>
          <w:rFonts w:ascii="Arial" w:hAnsi="Arial" w:cs="Arial"/>
          <w:sz w:val="24"/>
          <w:szCs w:val="24"/>
        </w:rPr>
        <w:t>(Grant, 2019).</w:t>
      </w:r>
    </w:p>
    <w:p w14:paraId="32EBB3D0"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Threat of New Entrants-Moderate: Barriers to entry are low for small niche juice brands; however, in the case of a firm like Innocent with economies of scale, an established ethical reputation, and distribution network,</w:t>
      </w:r>
    </w:p>
    <w:p w14:paraId="2CDDE9BD"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Bargaining Power of Suppliers – Moderate: Fruit and raw ingredient suppliers have some power because of climate and logistics variability. Long-term sourcing relationships help to reduce such volatility (Hill et al., 2021).</w:t>
      </w:r>
    </w:p>
    <w:p w14:paraId="40706EA0"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lastRenderedPageBreak/>
        <w:t>Bargaining Power of Buyers – High: Retailers and supermarket chains, for example, Tesco and Sainsbury’s, hold very significant bargaining power. They usually push price competition among rivals and between alternative private-label products.</w:t>
      </w:r>
    </w:p>
    <w:p w14:paraId="1408D0CD" w14:textId="475C7139"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Threat of Substitutes – High: Consumers can easily opt for kombucha, flavoured water, or coffee-based drinks. Therefore, firms must continuously innovate taste, packaging, and health benefits.</w:t>
      </w:r>
    </w:p>
    <w:p w14:paraId="7E50644E" w14:textId="5CE313A4" w:rsidR="002B63C3" w:rsidRP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 xml:space="preserve">In summary, the environment that Innocent faces is highly competitive on health trends and intensive in the regulations pertaining to success. Success shall depend on innovation-international diversification as well as digital transformation while keeping differentiation with consumer trust (Tidd </w:t>
      </w:r>
      <w:r>
        <w:rPr>
          <w:rFonts w:ascii="Arial" w:hAnsi="Arial" w:cs="Arial"/>
          <w:sz w:val="24"/>
          <w:szCs w:val="24"/>
        </w:rPr>
        <w:t>and</w:t>
      </w:r>
      <w:r w:rsidRPr="00D74091">
        <w:rPr>
          <w:rFonts w:ascii="Arial" w:hAnsi="Arial" w:cs="Arial"/>
          <w:sz w:val="24"/>
          <w:szCs w:val="24"/>
        </w:rPr>
        <w:t xml:space="preserve"> Bessant 2021).</w:t>
      </w:r>
    </w:p>
    <w:p w14:paraId="19BE44A7" w14:textId="77777777" w:rsidR="00D74091" w:rsidRDefault="00D74091" w:rsidP="002B63C3">
      <w:pPr>
        <w:spacing w:after="0" w:line="360" w:lineRule="auto"/>
        <w:jc w:val="center"/>
        <w:rPr>
          <w:rFonts w:ascii="Arial" w:hAnsi="Arial" w:cs="Arial"/>
          <w:sz w:val="24"/>
          <w:szCs w:val="24"/>
          <w:lang w:val="en-US"/>
        </w:rPr>
      </w:pPr>
    </w:p>
    <w:p w14:paraId="27D5C0A0" w14:textId="087760D4" w:rsidR="002B63C3" w:rsidRPr="00505BC4" w:rsidRDefault="002B63C3" w:rsidP="00505BC4">
      <w:pPr>
        <w:pStyle w:val="Heading1"/>
        <w:spacing w:before="0" w:after="0" w:line="360" w:lineRule="auto"/>
        <w:jc w:val="center"/>
        <w:rPr>
          <w:rFonts w:ascii="Arial" w:hAnsi="Arial" w:cs="Arial"/>
          <w:b/>
          <w:bCs/>
          <w:color w:val="000000" w:themeColor="text1"/>
          <w:sz w:val="24"/>
          <w:szCs w:val="24"/>
          <w:lang w:val="en-US"/>
        </w:rPr>
      </w:pPr>
      <w:bookmarkStart w:id="5" w:name="_Toc211933655"/>
      <w:r w:rsidRPr="00505BC4">
        <w:rPr>
          <w:rFonts w:ascii="Arial" w:hAnsi="Arial" w:cs="Arial"/>
          <w:b/>
          <w:bCs/>
          <w:color w:val="000000" w:themeColor="text1"/>
          <w:sz w:val="24"/>
          <w:szCs w:val="24"/>
          <w:lang w:val="en-US"/>
        </w:rPr>
        <w:t>Strategic Growth Choices and New Sustainable Strategy</w:t>
      </w:r>
      <w:bookmarkEnd w:id="5"/>
    </w:p>
    <w:p w14:paraId="59910E93" w14:textId="77777777" w:rsidR="00D74091" w:rsidRDefault="00D74091" w:rsidP="002B63C3">
      <w:pPr>
        <w:spacing w:after="0" w:line="360" w:lineRule="auto"/>
        <w:jc w:val="both"/>
        <w:rPr>
          <w:rFonts w:ascii="Arial" w:hAnsi="Arial" w:cs="Arial"/>
          <w:sz w:val="24"/>
          <w:szCs w:val="24"/>
          <w:lang w:val="en-US"/>
        </w:rPr>
      </w:pPr>
    </w:p>
    <w:p w14:paraId="75BAD163" w14:textId="0CE0B14A" w:rsidR="002B63C3" w:rsidRPr="00D74091" w:rsidRDefault="002B63C3" w:rsidP="00D74091">
      <w:pPr>
        <w:spacing w:after="0" w:line="360" w:lineRule="auto"/>
        <w:ind w:firstLine="720"/>
        <w:jc w:val="both"/>
        <w:rPr>
          <w:rFonts w:ascii="Arial" w:hAnsi="Arial" w:cs="Arial"/>
          <w:b/>
          <w:bCs/>
          <w:i/>
          <w:iCs/>
          <w:sz w:val="24"/>
          <w:szCs w:val="24"/>
          <w:lang w:val="en-US"/>
        </w:rPr>
      </w:pPr>
      <w:r w:rsidRPr="00D74091">
        <w:rPr>
          <w:rFonts w:ascii="Arial" w:hAnsi="Arial" w:cs="Arial"/>
          <w:b/>
          <w:bCs/>
          <w:i/>
          <w:iCs/>
          <w:sz w:val="24"/>
          <w:szCs w:val="24"/>
          <w:lang w:val="en-US"/>
        </w:rPr>
        <w:t>Porter’s Generic Strategies</w:t>
      </w:r>
    </w:p>
    <w:p w14:paraId="7EA567C9" w14:textId="77777777" w:rsidR="00D74091" w:rsidRDefault="00D74091" w:rsidP="00D74091">
      <w:pPr>
        <w:spacing w:after="0" w:line="360" w:lineRule="auto"/>
        <w:ind w:firstLine="720"/>
        <w:jc w:val="both"/>
        <w:rPr>
          <w:rFonts w:ascii="Arial" w:hAnsi="Arial" w:cs="Arial"/>
          <w:sz w:val="24"/>
          <w:szCs w:val="24"/>
        </w:rPr>
      </w:pPr>
      <w:r w:rsidRPr="00D74091">
        <w:rPr>
          <w:rFonts w:ascii="Arial" w:hAnsi="Arial" w:cs="Arial"/>
          <w:sz w:val="24"/>
          <w:szCs w:val="24"/>
        </w:rPr>
        <w:t>Porter (1985) expressed the drivers of competitive advantage as cost, differentiation, and focus. Currently, Innocent can be seen to have adopted a differentiation strategy by selling high-priced natural healthy beverages with a strong ethical identity. However, to ensure sustainability in its competitiveness, Innocent shall transform its strategy toward a hybrid differentiation–cost efficiency strategy (Hill et al., 2021)</w:t>
      </w:r>
      <w:r>
        <w:rPr>
          <w:rFonts w:ascii="Arial" w:hAnsi="Arial" w:cs="Arial"/>
          <w:sz w:val="24"/>
          <w:szCs w:val="24"/>
        </w:rPr>
        <w:t>.</w:t>
      </w:r>
    </w:p>
    <w:p w14:paraId="5FB5C88A" w14:textId="3EC09F20" w:rsidR="002B63C3" w:rsidRPr="002B63C3" w:rsidRDefault="00D74091" w:rsidP="00D74091">
      <w:pPr>
        <w:spacing w:after="0" w:line="360" w:lineRule="auto"/>
        <w:ind w:firstLine="720"/>
        <w:jc w:val="both"/>
        <w:rPr>
          <w:rFonts w:ascii="Arial" w:hAnsi="Arial" w:cs="Arial"/>
          <w:sz w:val="24"/>
          <w:szCs w:val="24"/>
          <w:lang w:val="en-US"/>
        </w:rPr>
      </w:pPr>
      <w:r w:rsidRPr="00D74091">
        <w:rPr>
          <w:rFonts w:ascii="Arial" w:hAnsi="Arial" w:cs="Arial"/>
          <w:sz w:val="24"/>
          <w:szCs w:val="24"/>
        </w:rPr>
        <w:t>Using renewables, sourcing locally, and reducing waste, Innocent can save on operational costs without cutting quality. This allows the company to keep its premium brand appeal while making it affordable-a vital step for competitiveness in both developed and emerging markets (Grant 2019). Also supporting this balancing act between differentiation and cost savings is leveraging Coca-Cola’s economies of scale in logistics and distribution.</w:t>
      </w:r>
    </w:p>
    <w:p w14:paraId="23247265" w14:textId="77777777" w:rsidR="002B63C3" w:rsidRDefault="002B63C3" w:rsidP="002B63C3">
      <w:pPr>
        <w:spacing w:after="0" w:line="360" w:lineRule="auto"/>
        <w:jc w:val="both"/>
        <w:rPr>
          <w:rFonts w:ascii="Arial" w:hAnsi="Arial" w:cs="Arial"/>
          <w:sz w:val="24"/>
          <w:szCs w:val="24"/>
          <w:lang w:val="en-US"/>
        </w:rPr>
      </w:pPr>
    </w:p>
    <w:p w14:paraId="639DCFAC" w14:textId="77777777" w:rsidR="00505BC4" w:rsidRDefault="00505BC4" w:rsidP="002B63C3">
      <w:pPr>
        <w:spacing w:after="0" w:line="360" w:lineRule="auto"/>
        <w:jc w:val="both"/>
        <w:rPr>
          <w:rFonts w:ascii="Arial" w:hAnsi="Arial" w:cs="Arial"/>
          <w:sz w:val="24"/>
          <w:szCs w:val="24"/>
          <w:lang w:val="en-US"/>
        </w:rPr>
      </w:pPr>
    </w:p>
    <w:p w14:paraId="233840D7" w14:textId="77777777" w:rsidR="00505BC4" w:rsidRDefault="00505BC4" w:rsidP="002B63C3">
      <w:pPr>
        <w:spacing w:after="0" w:line="360" w:lineRule="auto"/>
        <w:jc w:val="both"/>
        <w:rPr>
          <w:rFonts w:ascii="Arial" w:hAnsi="Arial" w:cs="Arial"/>
          <w:sz w:val="24"/>
          <w:szCs w:val="24"/>
          <w:lang w:val="en-US"/>
        </w:rPr>
      </w:pPr>
    </w:p>
    <w:p w14:paraId="14E8D77C" w14:textId="77777777" w:rsidR="00505BC4" w:rsidRDefault="00505BC4" w:rsidP="002B63C3">
      <w:pPr>
        <w:spacing w:after="0" w:line="360" w:lineRule="auto"/>
        <w:jc w:val="both"/>
        <w:rPr>
          <w:rFonts w:ascii="Arial" w:hAnsi="Arial" w:cs="Arial"/>
          <w:sz w:val="24"/>
          <w:szCs w:val="24"/>
          <w:lang w:val="en-US"/>
        </w:rPr>
      </w:pPr>
    </w:p>
    <w:p w14:paraId="5449C265" w14:textId="77777777" w:rsidR="00505BC4" w:rsidRDefault="00505BC4" w:rsidP="002B63C3">
      <w:pPr>
        <w:spacing w:after="0" w:line="360" w:lineRule="auto"/>
        <w:jc w:val="both"/>
        <w:rPr>
          <w:rFonts w:ascii="Arial" w:hAnsi="Arial" w:cs="Arial"/>
          <w:sz w:val="24"/>
          <w:szCs w:val="24"/>
          <w:lang w:val="en-US"/>
        </w:rPr>
      </w:pPr>
    </w:p>
    <w:p w14:paraId="03255120" w14:textId="3F290152" w:rsidR="002B63C3" w:rsidRPr="002B63C3" w:rsidRDefault="002B63C3" w:rsidP="00D74091">
      <w:pPr>
        <w:spacing w:after="0" w:line="360" w:lineRule="auto"/>
        <w:ind w:firstLine="720"/>
        <w:jc w:val="both"/>
        <w:rPr>
          <w:rFonts w:ascii="Arial" w:hAnsi="Arial" w:cs="Arial"/>
          <w:b/>
          <w:bCs/>
          <w:sz w:val="24"/>
          <w:szCs w:val="24"/>
          <w:lang w:val="en-US"/>
        </w:rPr>
      </w:pPr>
      <w:r w:rsidRPr="002B63C3">
        <w:rPr>
          <w:rFonts w:ascii="Arial" w:hAnsi="Arial" w:cs="Arial"/>
          <w:b/>
          <w:bCs/>
          <w:sz w:val="24"/>
          <w:szCs w:val="24"/>
          <w:lang w:val="en-US"/>
        </w:rPr>
        <w:lastRenderedPageBreak/>
        <w:t>Ansoff Matrix</w:t>
      </w:r>
    </w:p>
    <w:p w14:paraId="06CFB4D3"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 xml:space="preserve">The Ansoff Matrix defines four growth directions applicable to Innocent’s hybrid strategy: Market penetration, market development, product development, and diversification. </w:t>
      </w:r>
    </w:p>
    <w:p w14:paraId="1019CCF4" w14:textId="74BCB744"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Market penetration: Innocent should increase its domestic and European market share programs through digital marketing loyalty programs and online direct-to-consumer offerings. AI personalisation and the use of data analytics optimise promotions on offers to be presented to customers thereby enhancing customer engagement (Kotler and Keller, 2022).</w:t>
      </w:r>
    </w:p>
    <w:p w14:paraId="57740D44"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Market Development: Huge potentials lie in the better penetration of the company into Asia-Pacific, Middle East, and North American markets. These regions display a growing demand for health-oriented beverages. Low-risk modes of entry can be facilitated by forming strategic alliances with local distributors and sustaining sourcing networks (Johnson et al., 2020).</w:t>
      </w:r>
    </w:p>
    <w:p w14:paraId="407F751D"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Product Development: Innocent must enhance its product line by launching functional nutrition products such as protein smoothies, vitamin-enriched juices, and plant-based milk alternatives. This will consolidate Innocent’s market presence in the rapidly growing wellness and vegan markets (Tidd and Bessant, 2021).</w:t>
      </w:r>
    </w:p>
    <w:p w14:paraId="398928BB" w14:textId="6B769D5A" w:rsidR="002B63C3" w:rsidRPr="003F58AA" w:rsidRDefault="003F58AA" w:rsidP="003F58AA">
      <w:pPr>
        <w:spacing w:after="0" w:line="360" w:lineRule="auto"/>
        <w:ind w:firstLine="720"/>
        <w:jc w:val="both"/>
        <w:rPr>
          <w:rFonts w:ascii="Arial" w:hAnsi="Arial" w:cs="Arial"/>
          <w:sz w:val="24"/>
          <w:szCs w:val="24"/>
          <w:lang w:val="en-US"/>
        </w:rPr>
      </w:pPr>
      <w:r w:rsidRPr="003F58AA">
        <w:rPr>
          <w:rFonts w:ascii="Arial" w:hAnsi="Arial" w:cs="Arial"/>
          <w:sz w:val="24"/>
          <w:szCs w:val="24"/>
        </w:rPr>
        <w:t>Diversification: Further innovation can be achieved by the company in the development of sustainable packaging solutions, for example, biodegradable bottles. Other healthy lifestyle digital nutrition apps would also help to reinforce ethical leadership.</w:t>
      </w:r>
    </w:p>
    <w:p w14:paraId="124C4A95" w14:textId="77777777" w:rsidR="003F58AA" w:rsidRPr="002B63C3" w:rsidRDefault="003F58AA" w:rsidP="003F58AA">
      <w:pPr>
        <w:spacing w:after="0" w:line="360" w:lineRule="auto"/>
        <w:ind w:left="720"/>
        <w:jc w:val="both"/>
        <w:rPr>
          <w:rFonts w:ascii="Arial" w:hAnsi="Arial" w:cs="Arial"/>
          <w:sz w:val="24"/>
          <w:szCs w:val="24"/>
          <w:lang w:val="en-US"/>
        </w:rPr>
      </w:pPr>
    </w:p>
    <w:p w14:paraId="4FA6BC00" w14:textId="77777777" w:rsidR="002B63C3" w:rsidRPr="003F58AA" w:rsidRDefault="002B63C3" w:rsidP="003F58AA">
      <w:pPr>
        <w:spacing w:after="0" w:line="360" w:lineRule="auto"/>
        <w:ind w:firstLine="720"/>
        <w:jc w:val="both"/>
        <w:rPr>
          <w:rFonts w:ascii="Arial" w:hAnsi="Arial" w:cs="Arial"/>
          <w:b/>
          <w:bCs/>
          <w:i/>
          <w:iCs/>
          <w:sz w:val="24"/>
          <w:szCs w:val="24"/>
          <w:lang w:val="en-US"/>
        </w:rPr>
      </w:pPr>
      <w:r w:rsidRPr="003F58AA">
        <w:rPr>
          <w:rFonts w:ascii="Arial" w:hAnsi="Arial" w:cs="Arial"/>
          <w:b/>
          <w:bCs/>
          <w:i/>
          <w:iCs/>
          <w:sz w:val="24"/>
          <w:szCs w:val="24"/>
          <w:lang w:val="en-US"/>
        </w:rPr>
        <w:t>Bowman’s Strategic Clock</w:t>
      </w:r>
    </w:p>
    <w:p w14:paraId="2550D10F" w14:textId="55B89F79" w:rsidR="002B63C3"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According to Bowman’s model, Innocent falls within the “Differentiation and Hybrid Strategy” zones on the power-perceived value line by offering high perceived value at a moderate price (Varadarajan, 2020). Hence, maintaining higher product quality, sustainable packaging, and real brand tone helps Innocent encash its price premium. However, in global markets of lower purchasing power, a hybrid strategy ensures higher access through localized production and composite pricing. The dual positioning hybrid strategy protects access to the ethical image of Innocent while increasing the consumer base.</w:t>
      </w:r>
    </w:p>
    <w:p w14:paraId="463739CF" w14:textId="77777777" w:rsidR="003F58AA" w:rsidRDefault="003F58AA" w:rsidP="002B63C3">
      <w:pPr>
        <w:spacing w:after="0" w:line="360" w:lineRule="auto"/>
        <w:jc w:val="both"/>
        <w:rPr>
          <w:rFonts w:ascii="Arial" w:hAnsi="Arial" w:cs="Arial"/>
          <w:sz w:val="24"/>
          <w:szCs w:val="24"/>
          <w:lang w:val="en-US"/>
        </w:rPr>
      </w:pPr>
    </w:p>
    <w:p w14:paraId="75977FFE" w14:textId="48454ABB" w:rsidR="002B63C3" w:rsidRPr="002B63C3" w:rsidRDefault="002B63C3" w:rsidP="003F58AA">
      <w:pPr>
        <w:spacing w:after="0" w:line="360" w:lineRule="auto"/>
        <w:ind w:firstLine="720"/>
        <w:jc w:val="both"/>
        <w:rPr>
          <w:rFonts w:ascii="Arial" w:hAnsi="Arial" w:cs="Arial"/>
          <w:b/>
          <w:bCs/>
          <w:sz w:val="24"/>
          <w:szCs w:val="24"/>
          <w:lang w:val="en-US"/>
        </w:rPr>
      </w:pPr>
      <w:r w:rsidRPr="002B63C3">
        <w:rPr>
          <w:rFonts w:ascii="Arial" w:hAnsi="Arial" w:cs="Arial"/>
          <w:b/>
          <w:bCs/>
          <w:sz w:val="24"/>
          <w:szCs w:val="24"/>
          <w:lang w:val="en-US"/>
        </w:rPr>
        <w:t>Proposed Sustainable Strategy: The “Green Digital Expansion Strategy”</w:t>
      </w:r>
    </w:p>
    <w:p w14:paraId="11E8E546"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In the long run, integrate sustainability, digitalisation, and internationalisation. That is why,</w:t>
      </w:r>
      <w:r>
        <w:rPr>
          <w:rFonts w:ascii="Arial" w:hAnsi="Arial" w:cs="Arial"/>
          <w:sz w:val="24"/>
          <w:szCs w:val="24"/>
        </w:rPr>
        <w:t xml:space="preserve"> </w:t>
      </w:r>
      <w:r w:rsidRPr="003F58AA">
        <w:rPr>
          <w:rFonts w:ascii="Arial" w:hAnsi="Arial" w:cs="Arial"/>
          <w:sz w:val="24"/>
          <w:szCs w:val="24"/>
        </w:rPr>
        <w:t>in that sense,</w:t>
      </w:r>
      <w:r>
        <w:rPr>
          <w:rFonts w:ascii="Arial" w:hAnsi="Arial" w:cs="Arial"/>
          <w:sz w:val="24"/>
          <w:szCs w:val="24"/>
        </w:rPr>
        <w:t xml:space="preserve"> </w:t>
      </w:r>
      <w:r w:rsidRPr="003F58AA">
        <w:rPr>
          <w:rFonts w:ascii="Arial" w:hAnsi="Arial" w:cs="Arial"/>
          <w:sz w:val="24"/>
          <w:szCs w:val="24"/>
        </w:rPr>
        <w:t>the</w:t>
      </w:r>
      <w:r>
        <w:rPr>
          <w:rFonts w:ascii="Arial" w:hAnsi="Arial" w:cs="Arial"/>
          <w:sz w:val="24"/>
          <w:szCs w:val="24"/>
        </w:rPr>
        <w:t xml:space="preserve"> </w:t>
      </w:r>
      <w:r w:rsidRPr="003F58AA">
        <w:rPr>
          <w:rFonts w:ascii="Arial" w:hAnsi="Arial" w:cs="Arial"/>
          <w:sz w:val="24"/>
          <w:szCs w:val="24"/>
        </w:rPr>
        <w:t>recommended Green Digital Expansion Strategy can be summarized as follows</w:t>
      </w:r>
      <w:r>
        <w:rPr>
          <w:rFonts w:ascii="Arial" w:hAnsi="Arial" w:cs="Arial"/>
          <w:sz w:val="24"/>
          <w:szCs w:val="24"/>
        </w:rPr>
        <w:t>.</w:t>
      </w:r>
    </w:p>
    <w:p w14:paraId="43936612" w14:textId="2EB0649B"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Sustainable International Expansion</w:t>
      </w:r>
      <w:r>
        <w:rPr>
          <w:rFonts w:ascii="Arial" w:hAnsi="Arial" w:cs="Arial"/>
          <w:sz w:val="24"/>
          <w:szCs w:val="24"/>
        </w:rPr>
        <w:t>:</w:t>
      </w:r>
      <w:r w:rsidRPr="003F58AA">
        <w:rPr>
          <w:rFonts w:ascii="Arial" w:hAnsi="Arial" w:cs="Arial"/>
          <w:sz w:val="24"/>
          <w:szCs w:val="24"/>
        </w:rPr>
        <w:t xml:space="preserve"> Establish regional production facilities powered by renewable energy within Asia and the Middle East to reduce carbon emissions together with logistics costs.</w:t>
      </w:r>
      <w:r>
        <w:rPr>
          <w:rFonts w:ascii="Arial" w:hAnsi="Arial" w:cs="Arial"/>
          <w:sz w:val="24"/>
          <w:szCs w:val="24"/>
        </w:rPr>
        <w:t xml:space="preserve"> </w:t>
      </w:r>
      <w:r w:rsidRPr="003F58AA">
        <w:rPr>
          <w:rFonts w:ascii="Arial" w:hAnsi="Arial" w:cs="Arial"/>
          <w:sz w:val="24"/>
          <w:szCs w:val="24"/>
        </w:rPr>
        <w:t>Partner with local suppliers of ethically sourced fruits which support circular economy practices.</w:t>
      </w:r>
    </w:p>
    <w:p w14:paraId="01126F57" w14:textId="402CEDF3"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Digital Transformation: Implement blockchain traceability on ingredient sourcing and advanced analytics for consumer insights. A mobile application channelling transparency into the product as well as personalized nutrition advice will strengthen brand loyalty (Tidd and Bessant, 2021).</w:t>
      </w:r>
    </w:p>
    <w:p w14:paraId="5BBBE7E8"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Product Diversification: Launch new functional as well as plant-based nutrition beverage categories-for example probiotics, adaptogen-based blends-to capture wellness-oriented consumers. Collaborations with reputed nutritionists.</w:t>
      </w:r>
    </w:p>
    <w:p w14:paraId="3CD30697"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Sustainable Packaging Innovation: Position this milestone as a stepping stone to achieving 100% biodegradable or recycled packaging by 2026, highlighted in marketing and ESG reporting.</w:t>
      </w:r>
    </w:p>
    <w:p w14:paraId="552179E8" w14:textId="6AB29FFA" w:rsidR="002B63C3"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 xml:space="preserve">Brand Authenticity &amp; Engagement: Apply digital storytelling and influencer marketing campaigns that communicate the driven purpose of Innocent while connecting sustainability messages with younger demographics (Kotler </w:t>
      </w:r>
      <w:r>
        <w:rPr>
          <w:rFonts w:ascii="Arial" w:hAnsi="Arial" w:cs="Arial"/>
          <w:sz w:val="24"/>
          <w:szCs w:val="24"/>
        </w:rPr>
        <w:t>and</w:t>
      </w:r>
      <w:r w:rsidRPr="003F58AA">
        <w:rPr>
          <w:rFonts w:ascii="Arial" w:hAnsi="Arial" w:cs="Arial"/>
          <w:sz w:val="24"/>
          <w:szCs w:val="24"/>
        </w:rPr>
        <w:t xml:space="preserve"> Keller, 2022).</w:t>
      </w:r>
    </w:p>
    <w:p w14:paraId="5DD2865E" w14:textId="77777777" w:rsidR="00505BC4" w:rsidRPr="002B63C3" w:rsidRDefault="00505BC4" w:rsidP="003F58AA">
      <w:pPr>
        <w:spacing w:after="0" w:line="360" w:lineRule="auto"/>
        <w:ind w:firstLine="720"/>
        <w:jc w:val="both"/>
        <w:rPr>
          <w:rFonts w:ascii="Arial" w:hAnsi="Arial" w:cs="Arial"/>
          <w:sz w:val="24"/>
          <w:szCs w:val="24"/>
          <w:lang w:val="en-US"/>
        </w:rPr>
      </w:pPr>
    </w:p>
    <w:p w14:paraId="6354A813" w14:textId="637E1239" w:rsidR="002B63C3" w:rsidRPr="003F58AA" w:rsidRDefault="002B63C3" w:rsidP="003F58AA">
      <w:pPr>
        <w:spacing w:after="0" w:line="360" w:lineRule="auto"/>
        <w:ind w:firstLine="720"/>
        <w:jc w:val="both"/>
        <w:rPr>
          <w:rFonts w:ascii="Arial" w:hAnsi="Arial" w:cs="Arial"/>
          <w:b/>
          <w:bCs/>
          <w:i/>
          <w:iCs/>
          <w:sz w:val="24"/>
          <w:szCs w:val="24"/>
          <w:lang w:val="en-US"/>
        </w:rPr>
      </w:pPr>
      <w:r w:rsidRPr="003F58AA">
        <w:rPr>
          <w:rFonts w:ascii="Arial" w:hAnsi="Arial" w:cs="Arial"/>
          <w:b/>
          <w:bCs/>
          <w:i/>
          <w:iCs/>
          <w:sz w:val="24"/>
          <w:szCs w:val="24"/>
          <w:lang w:val="en-US"/>
        </w:rPr>
        <w:t>Why It Is Sustainable</w:t>
      </w:r>
    </w:p>
    <w:p w14:paraId="1E9453DD" w14:textId="4D4F873C" w:rsidR="002B63C3" w:rsidRPr="002B63C3" w:rsidRDefault="003F58AA" w:rsidP="003F58AA">
      <w:pPr>
        <w:spacing w:after="0" w:line="360" w:lineRule="auto"/>
        <w:ind w:firstLine="720"/>
        <w:jc w:val="both"/>
        <w:rPr>
          <w:rFonts w:ascii="Arial" w:hAnsi="Arial" w:cs="Arial"/>
          <w:sz w:val="24"/>
          <w:szCs w:val="24"/>
          <w:lang w:val="en-US"/>
        </w:rPr>
      </w:pPr>
      <w:r w:rsidRPr="003F58AA">
        <w:rPr>
          <w:rFonts w:ascii="Arial" w:hAnsi="Arial" w:cs="Arial"/>
          <w:sz w:val="24"/>
          <w:szCs w:val="24"/>
        </w:rPr>
        <w:t>The strategy delivers on ecological sustainability as much as it does on economic sustainability. In building renewably operative, circular supply chains that also include digital traceability, Innocent makes a better preparation for resilience and regulatory compliance</w:t>
      </w:r>
      <w:r>
        <w:rPr>
          <w:rFonts w:ascii="Arial" w:hAnsi="Arial" w:cs="Arial"/>
          <w:sz w:val="24"/>
          <w:szCs w:val="24"/>
        </w:rPr>
        <w:t xml:space="preserve"> </w:t>
      </w:r>
      <w:r w:rsidRPr="003F58AA">
        <w:rPr>
          <w:rFonts w:ascii="Arial" w:hAnsi="Arial" w:cs="Arial"/>
          <w:sz w:val="24"/>
          <w:szCs w:val="24"/>
        </w:rPr>
        <w:t>(Hill et al., 2021). It also engages in risk diversification through different markets meanwhile addressing changing consumption needs by innovation.</w:t>
      </w:r>
      <w:r w:rsidRPr="003F58AA">
        <w:rPr>
          <w:rFonts w:ascii="Arial" w:hAnsi="Arial" w:cs="Arial"/>
          <w:sz w:val="24"/>
          <w:szCs w:val="24"/>
        </w:rPr>
        <w:br/>
        <w:t xml:space="preserve">This hybrid strategy enhances shared value creation for customers, suppliers, employees, and society. Shared values can be used in the context of the UN SDGs as </w:t>
      </w:r>
      <w:r w:rsidRPr="003F58AA">
        <w:rPr>
          <w:rFonts w:ascii="Arial" w:hAnsi="Arial" w:cs="Arial"/>
          <w:sz w:val="24"/>
          <w:szCs w:val="24"/>
        </w:rPr>
        <w:lastRenderedPageBreak/>
        <w:t>outlined by 9, 12, and 13-industry innovation, responsible consumption, and climate action. Long-term competitiveness through digital empowerment and sustainability leadership is provided to Innocent while proving that good growth and profitability can go hand in hand (Grant, 2019).</w:t>
      </w:r>
    </w:p>
    <w:p w14:paraId="4B30D0B4" w14:textId="77777777" w:rsidR="002B63C3" w:rsidRDefault="002B63C3" w:rsidP="002B63C3">
      <w:pPr>
        <w:spacing w:after="0" w:line="360" w:lineRule="auto"/>
        <w:jc w:val="center"/>
        <w:rPr>
          <w:rFonts w:ascii="Arial" w:hAnsi="Arial" w:cs="Arial"/>
          <w:sz w:val="24"/>
          <w:szCs w:val="24"/>
          <w:lang w:val="en-US"/>
        </w:rPr>
      </w:pPr>
    </w:p>
    <w:p w14:paraId="300EBBA2" w14:textId="44B9EF46" w:rsidR="002B63C3" w:rsidRPr="00505BC4" w:rsidRDefault="002B63C3" w:rsidP="00505BC4">
      <w:pPr>
        <w:pStyle w:val="Heading1"/>
        <w:spacing w:before="0" w:after="0" w:line="360" w:lineRule="auto"/>
        <w:jc w:val="center"/>
        <w:rPr>
          <w:rFonts w:ascii="Arial" w:hAnsi="Arial" w:cs="Arial"/>
          <w:b/>
          <w:bCs/>
          <w:color w:val="000000" w:themeColor="text1"/>
          <w:sz w:val="24"/>
          <w:szCs w:val="24"/>
          <w:lang w:val="en-US"/>
        </w:rPr>
      </w:pPr>
      <w:bookmarkStart w:id="6" w:name="_Toc211933656"/>
      <w:r w:rsidRPr="00505BC4">
        <w:rPr>
          <w:rFonts w:ascii="Arial" w:hAnsi="Arial" w:cs="Arial"/>
          <w:b/>
          <w:bCs/>
          <w:color w:val="000000" w:themeColor="text1"/>
          <w:sz w:val="24"/>
          <w:szCs w:val="24"/>
          <w:lang w:val="en-US"/>
        </w:rPr>
        <w:t>Stakeholder Analysis and RACI Matrix</w:t>
      </w:r>
      <w:bookmarkEnd w:id="6"/>
    </w:p>
    <w:p w14:paraId="1AB62E78" w14:textId="272CA44D" w:rsidR="002B63C3" w:rsidRPr="002B63C3" w:rsidRDefault="002B63C3" w:rsidP="002B63C3">
      <w:pPr>
        <w:spacing w:after="0" w:line="360" w:lineRule="auto"/>
        <w:jc w:val="both"/>
        <w:rPr>
          <w:rFonts w:ascii="Arial" w:hAnsi="Arial" w:cs="Arial"/>
          <w:sz w:val="24"/>
          <w:szCs w:val="24"/>
          <w:lang w:val="en-US"/>
        </w:rPr>
      </w:pPr>
    </w:p>
    <w:p w14:paraId="5A2160CC" w14:textId="77777777" w:rsidR="002B63C3" w:rsidRPr="003F58AA" w:rsidRDefault="002B63C3" w:rsidP="003F58AA">
      <w:pPr>
        <w:spacing w:after="0" w:line="360" w:lineRule="auto"/>
        <w:ind w:firstLine="720"/>
        <w:jc w:val="both"/>
        <w:rPr>
          <w:rFonts w:ascii="Arial" w:hAnsi="Arial" w:cs="Arial"/>
          <w:b/>
          <w:bCs/>
          <w:i/>
          <w:iCs/>
          <w:sz w:val="24"/>
          <w:szCs w:val="24"/>
          <w:lang w:val="en-US"/>
        </w:rPr>
      </w:pPr>
      <w:r w:rsidRPr="003F58AA">
        <w:rPr>
          <w:rFonts w:ascii="Arial" w:hAnsi="Arial" w:cs="Arial"/>
          <w:b/>
          <w:bCs/>
          <w:i/>
          <w:iCs/>
          <w:sz w:val="24"/>
          <w:szCs w:val="24"/>
          <w:lang w:val="en-US"/>
        </w:rPr>
        <w:t>Mendelow’s Matrix: Stakeholder Power and Interest</w:t>
      </w:r>
    </w:p>
    <w:p w14:paraId="2FD915A2"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High Power / High Interest (Key Players):</w:t>
      </w:r>
    </w:p>
    <w:p w14:paraId="73DF0A7D"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Board of Directors &amp; Senior Management: They are the ones responsible for the strategic direction, capital allocation, and sustainability governance approve investment feasibility</w:t>
      </w:r>
      <w:r>
        <w:rPr>
          <w:rFonts w:ascii="Arial" w:hAnsi="Arial" w:cs="Arial"/>
          <w:sz w:val="24"/>
          <w:szCs w:val="24"/>
        </w:rPr>
        <w:t xml:space="preserve"> </w:t>
      </w:r>
      <w:r w:rsidRPr="003F58AA">
        <w:rPr>
          <w:rFonts w:ascii="Arial" w:hAnsi="Arial" w:cs="Arial"/>
          <w:sz w:val="24"/>
          <w:szCs w:val="24"/>
        </w:rPr>
        <w:t>(Grant, 2019).</w:t>
      </w:r>
    </w:p>
    <w:p w14:paraId="3435A46F"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The Coca Cola Company: As parent organisation, it provides financial stability but may influence decision making. Aligning sustainability goals with Coca Cola’s ESG framework is critical for consistency and autonomy.</w:t>
      </w:r>
    </w:p>
    <w:p w14:paraId="07644B90"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Retail Partners (Tesco, Sainsbury’s): Control shelf space and pricing power; maintaining strong relationships ensures consistent market presence.</w:t>
      </w:r>
    </w:p>
    <w:p w14:paraId="0C07F906"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High power / Low interest:</w:t>
      </w:r>
    </w:p>
    <w:p w14:paraId="67480D77"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Regulatory bodies: Enforce compliance related to food safety, labelling and environmental legislation. They are not involved in the operations.</w:t>
      </w:r>
    </w:p>
    <w:p w14:paraId="66DD0969"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Financial institutions: Monitor ESG compliance for credit access and long-term risk assessment.</w:t>
      </w:r>
    </w:p>
    <w:p w14:paraId="61BD81A7"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Low power / High interest:</w:t>
      </w:r>
    </w:p>
    <w:p w14:paraId="1F88B971"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Employees: Highly committed to the company’s ethical mission and innovation goals. Require continuous digital training to adapt to transformation (Johnson et al., 2020).</w:t>
      </w:r>
    </w:p>
    <w:p w14:paraId="5B6CC940"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Suppliers: They depend on Innocent’s long-term contracts. Collaboration on sustainable sourcing is essential to maintain consistency and ethical standards.</w:t>
      </w:r>
    </w:p>
    <w:p w14:paraId="57DB14DA"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Low Power / Low Interest:</w:t>
      </w:r>
    </w:p>
    <w:p w14:paraId="52F226D0" w14:textId="5B6F4C9D" w:rsidR="002B63C3" w:rsidRP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lastRenderedPageBreak/>
        <w:t>Local Communities and NGOs: These support sustainability initiatives and corporate social responsibility (CSR) projects. Engagement enhances corporate reputation and brand authenticity.</w:t>
      </w:r>
    </w:p>
    <w:p w14:paraId="02CFE804" w14:textId="77777777" w:rsidR="003F58AA" w:rsidRPr="002B63C3" w:rsidRDefault="003F58AA" w:rsidP="002B63C3">
      <w:pPr>
        <w:spacing w:after="0" w:line="360" w:lineRule="auto"/>
        <w:jc w:val="both"/>
        <w:rPr>
          <w:rFonts w:ascii="Arial" w:hAnsi="Arial" w:cs="Arial"/>
          <w:sz w:val="24"/>
          <w:szCs w:val="24"/>
          <w:lang w:val="en-US"/>
        </w:rPr>
      </w:pPr>
    </w:p>
    <w:p w14:paraId="2EC7EC47" w14:textId="77777777" w:rsidR="002B63C3" w:rsidRPr="003F58AA" w:rsidRDefault="002B63C3" w:rsidP="003F58AA">
      <w:pPr>
        <w:spacing w:after="0" w:line="360" w:lineRule="auto"/>
        <w:ind w:firstLine="720"/>
        <w:jc w:val="both"/>
        <w:rPr>
          <w:rFonts w:ascii="Arial" w:hAnsi="Arial" w:cs="Arial"/>
          <w:b/>
          <w:bCs/>
          <w:i/>
          <w:iCs/>
          <w:sz w:val="24"/>
          <w:szCs w:val="24"/>
          <w:lang w:val="en-US"/>
        </w:rPr>
      </w:pPr>
      <w:r w:rsidRPr="003F58AA">
        <w:rPr>
          <w:rFonts w:ascii="Arial" w:hAnsi="Arial" w:cs="Arial"/>
          <w:b/>
          <w:bCs/>
          <w:i/>
          <w:iCs/>
          <w:sz w:val="24"/>
          <w:szCs w:val="24"/>
          <w:lang w:val="en-US"/>
        </w:rPr>
        <w:t>Stakeholder Expectations and Engagement Strategy</w:t>
      </w:r>
    </w:p>
    <w:p w14:paraId="5669A896" w14:textId="77777777" w:rsidR="003F58AA" w:rsidRDefault="003F58AA" w:rsidP="003F58AA">
      <w:pPr>
        <w:spacing w:after="0" w:line="360" w:lineRule="auto"/>
        <w:ind w:firstLine="720"/>
        <w:jc w:val="both"/>
        <w:rPr>
          <w:rFonts w:ascii="Arial" w:hAnsi="Arial" w:cs="Arial"/>
          <w:sz w:val="24"/>
          <w:szCs w:val="24"/>
        </w:rPr>
      </w:pPr>
      <w:r w:rsidRPr="003F58AA">
        <w:rPr>
          <w:rFonts w:ascii="Arial" w:hAnsi="Arial" w:cs="Arial"/>
          <w:sz w:val="24"/>
          <w:szCs w:val="24"/>
        </w:rPr>
        <w:t>Customers want the ingredients to be natural and the prices to remain low with transparent pricing. Employees want skills, inclusion, and corporate values. Investors and Coca-Cola want profits with good governance and ESG compliance. The regulators fully want environmental and health standards. The communities want sustainability and social impact programs.</w:t>
      </w:r>
    </w:p>
    <w:p w14:paraId="20869096" w14:textId="630E1753" w:rsidR="002B63C3" w:rsidRPr="003F58AA" w:rsidRDefault="003F58AA" w:rsidP="003F58AA">
      <w:pPr>
        <w:spacing w:after="0" w:line="360" w:lineRule="auto"/>
        <w:ind w:firstLine="720"/>
        <w:jc w:val="both"/>
        <w:rPr>
          <w:rFonts w:ascii="Arial" w:hAnsi="Arial" w:cs="Arial"/>
          <w:sz w:val="24"/>
          <w:szCs w:val="24"/>
          <w:lang w:val="en-US"/>
        </w:rPr>
      </w:pPr>
      <w:r w:rsidRPr="003F58AA">
        <w:rPr>
          <w:rFonts w:ascii="Arial" w:hAnsi="Arial" w:cs="Arial"/>
          <w:sz w:val="24"/>
          <w:szCs w:val="24"/>
        </w:rPr>
        <w:t xml:space="preserve">Proactive communication, sustainability reporting, or digital dashboards on social media build stakeholder confidence through transparent ESG disclosure and participatory workshops that enhance collaboration (Tidd </w:t>
      </w:r>
      <w:r>
        <w:rPr>
          <w:rFonts w:ascii="Arial" w:hAnsi="Arial" w:cs="Arial"/>
          <w:sz w:val="24"/>
          <w:szCs w:val="24"/>
        </w:rPr>
        <w:t>and</w:t>
      </w:r>
      <w:r w:rsidRPr="003F58AA">
        <w:rPr>
          <w:rFonts w:ascii="Arial" w:hAnsi="Arial" w:cs="Arial"/>
          <w:sz w:val="24"/>
          <w:szCs w:val="24"/>
        </w:rPr>
        <w:t xml:space="preserve"> Bessant, 2021).</w:t>
      </w:r>
    </w:p>
    <w:p w14:paraId="3C2EA31A" w14:textId="77777777" w:rsidR="002B63C3" w:rsidRPr="002B63C3" w:rsidRDefault="002B63C3" w:rsidP="002B63C3">
      <w:pPr>
        <w:spacing w:after="0" w:line="360" w:lineRule="auto"/>
        <w:jc w:val="both"/>
        <w:rPr>
          <w:rFonts w:ascii="Arial" w:hAnsi="Arial" w:cs="Arial"/>
          <w:sz w:val="24"/>
          <w:szCs w:val="24"/>
          <w:lang w:val="en-US"/>
        </w:rPr>
      </w:pPr>
    </w:p>
    <w:p w14:paraId="045EA516" w14:textId="77777777" w:rsidR="002B63C3" w:rsidRPr="003F58AA" w:rsidRDefault="002B63C3" w:rsidP="003F58AA">
      <w:pPr>
        <w:spacing w:after="0" w:line="360" w:lineRule="auto"/>
        <w:jc w:val="center"/>
        <w:rPr>
          <w:rFonts w:ascii="Arial" w:hAnsi="Arial" w:cs="Arial"/>
          <w:b/>
          <w:bCs/>
          <w:i/>
          <w:iCs/>
          <w:sz w:val="24"/>
          <w:szCs w:val="24"/>
          <w:lang w:val="en-US"/>
        </w:rPr>
      </w:pPr>
      <w:r w:rsidRPr="003F58AA">
        <w:rPr>
          <w:rFonts w:ascii="Arial" w:hAnsi="Arial" w:cs="Arial"/>
          <w:b/>
          <w:bCs/>
          <w:i/>
          <w:iCs/>
          <w:sz w:val="24"/>
          <w:szCs w:val="24"/>
          <w:lang w:val="en-US"/>
        </w:rPr>
        <w:t>RACI Matrix for Strategy Implementation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38"/>
        <w:gridCol w:w="1804"/>
        <w:gridCol w:w="1661"/>
        <w:gridCol w:w="1771"/>
        <w:gridCol w:w="1576"/>
      </w:tblGrid>
      <w:tr w:rsidR="002B63C3" w:rsidRPr="002B63C3" w14:paraId="072388EA" w14:textId="77777777" w:rsidTr="002B63C3">
        <w:trPr>
          <w:tblHeader/>
          <w:tblCellSpacing w:w="15" w:type="dxa"/>
        </w:trPr>
        <w:tc>
          <w:tcPr>
            <w:tcW w:w="0" w:type="auto"/>
            <w:vAlign w:val="center"/>
            <w:hideMark/>
          </w:tcPr>
          <w:p w14:paraId="3DEFE3CE" w14:textId="77777777" w:rsidR="002B63C3" w:rsidRPr="002B63C3" w:rsidRDefault="002B63C3" w:rsidP="002B63C3">
            <w:pPr>
              <w:spacing w:after="0" w:line="360" w:lineRule="auto"/>
              <w:jc w:val="both"/>
              <w:rPr>
                <w:rFonts w:ascii="Arial" w:hAnsi="Arial" w:cs="Arial"/>
                <w:b/>
                <w:bCs/>
                <w:sz w:val="24"/>
                <w:szCs w:val="24"/>
                <w:lang w:val="en-US"/>
              </w:rPr>
            </w:pPr>
            <w:r w:rsidRPr="002B63C3">
              <w:rPr>
                <w:rFonts w:ascii="Arial" w:hAnsi="Arial" w:cs="Arial"/>
                <w:b/>
                <w:bCs/>
                <w:sz w:val="24"/>
                <w:szCs w:val="24"/>
                <w:lang w:val="en-US"/>
              </w:rPr>
              <w:t>Strategic Activity</w:t>
            </w:r>
          </w:p>
        </w:tc>
        <w:tc>
          <w:tcPr>
            <w:tcW w:w="0" w:type="auto"/>
            <w:vAlign w:val="center"/>
            <w:hideMark/>
          </w:tcPr>
          <w:p w14:paraId="3703331F" w14:textId="77777777" w:rsidR="002B63C3" w:rsidRPr="002B63C3" w:rsidRDefault="002B63C3" w:rsidP="002B63C3">
            <w:pPr>
              <w:spacing w:after="0" w:line="360" w:lineRule="auto"/>
              <w:jc w:val="both"/>
              <w:rPr>
                <w:rFonts w:ascii="Arial" w:hAnsi="Arial" w:cs="Arial"/>
                <w:b/>
                <w:bCs/>
                <w:sz w:val="24"/>
                <w:szCs w:val="24"/>
                <w:lang w:val="en-US"/>
              </w:rPr>
            </w:pPr>
            <w:r w:rsidRPr="002B63C3">
              <w:rPr>
                <w:rFonts w:ascii="Arial" w:hAnsi="Arial" w:cs="Arial"/>
                <w:b/>
                <w:bCs/>
                <w:sz w:val="24"/>
                <w:szCs w:val="24"/>
                <w:lang w:val="en-US"/>
              </w:rPr>
              <w:t>Responsible (R)</w:t>
            </w:r>
          </w:p>
        </w:tc>
        <w:tc>
          <w:tcPr>
            <w:tcW w:w="0" w:type="auto"/>
            <w:vAlign w:val="center"/>
            <w:hideMark/>
          </w:tcPr>
          <w:p w14:paraId="10CD0B93" w14:textId="77777777" w:rsidR="002B63C3" w:rsidRPr="002B63C3" w:rsidRDefault="002B63C3" w:rsidP="002B63C3">
            <w:pPr>
              <w:spacing w:after="0" w:line="360" w:lineRule="auto"/>
              <w:jc w:val="both"/>
              <w:rPr>
                <w:rFonts w:ascii="Arial" w:hAnsi="Arial" w:cs="Arial"/>
                <w:b/>
                <w:bCs/>
                <w:sz w:val="24"/>
                <w:szCs w:val="24"/>
                <w:lang w:val="en-US"/>
              </w:rPr>
            </w:pPr>
            <w:r w:rsidRPr="002B63C3">
              <w:rPr>
                <w:rFonts w:ascii="Arial" w:hAnsi="Arial" w:cs="Arial"/>
                <w:b/>
                <w:bCs/>
                <w:sz w:val="24"/>
                <w:szCs w:val="24"/>
                <w:lang w:val="en-US"/>
              </w:rPr>
              <w:t>Accountable (A)</w:t>
            </w:r>
          </w:p>
        </w:tc>
        <w:tc>
          <w:tcPr>
            <w:tcW w:w="0" w:type="auto"/>
            <w:vAlign w:val="center"/>
            <w:hideMark/>
          </w:tcPr>
          <w:p w14:paraId="2541BBAE" w14:textId="77777777" w:rsidR="002B63C3" w:rsidRPr="002B63C3" w:rsidRDefault="002B63C3" w:rsidP="002B63C3">
            <w:pPr>
              <w:spacing w:after="0" w:line="360" w:lineRule="auto"/>
              <w:jc w:val="both"/>
              <w:rPr>
                <w:rFonts w:ascii="Arial" w:hAnsi="Arial" w:cs="Arial"/>
                <w:b/>
                <w:bCs/>
                <w:sz w:val="24"/>
                <w:szCs w:val="24"/>
                <w:lang w:val="en-US"/>
              </w:rPr>
            </w:pPr>
            <w:r w:rsidRPr="002B63C3">
              <w:rPr>
                <w:rFonts w:ascii="Arial" w:hAnsi="Arial" w:cs="Arial"/>
                <w:b/>
                <w:bCs/>
                <w:sz w:val="24"/>
                <w:szCs w:val="24"/>
                <w:lang w:val="en-US"/>
              </w:rPr>
              <w:t>Consulted (C)</w:t>
            </w:r>
          </w:p>
        </w:tc>
        <w:tc>
          <w:tcPr>
            <w:tcW w:w="0" w:type="auto"/>
            <w:vAlign w:val="center"/>
            <w:hideMark/>
          </w:tcPr>
          <w:p w14:paraId="65C9BB4E" w14:textId="77777777" w:rsidR="002B63C3" w:rsidRPr="002B63C3" w:rsidRDefault="002B63C3" w:rsidP="002B63C3">
            <w:pPr>
              <w:spacing w:after="0" w:line="360" w:lineRule="auto"/>
              <w:jc w:val="both"/>
              <w:rPr>
                <w:rFonts w:ascii="Arial" w:hAnsi="Arial" w:cs="Arial"/>
                <w:b/>
                <w:bCs/>
                <w:sz w:val="24"/>
                <w:szCs w:val="24"/>
                <w:lang w:val="en-US"/>
              </w:rPr>
            </w:pPr>
            <w:r w:rsidRPr="002B63C3">
              <w:rPr>
                <w:rFonts w:ascii="Arial" w:hAnsi="Arial" w:cs="Arial"/>
                <w:b/>
                <w:bCs/>
                <w:sz w:val="24"/>
                <w:szCs w:val="24"/>
                <w:lang w:val="en-US"/>
              </w:rPr>
              <w:t>Informed (I)</w:t>
            </w:r>
          </w:p>
        </w:tc>
      </w:tr>
      <w:tr w:rsidR="002B63C3" w:rsidRPr="002B63C3" w14:paraId="7B715E47" w14:textId="77777777" w:rsidTr="002B63C3">
        <w:trPr>
          <w:tblCellSpacing w:w="15" w:type="dxa"/>
        </w:trPr>
        <w:tc>
          <w:tcPr>
            <w:tcW w:w="0" w:type="auto"/>
            <w:vAlign w:val="center"/>
            <w:hideMark/>
          </w:tcPr>
          <w:p w14:paraId="794829DC"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Digital transformation (ERP, blockchain)</w:t>
            </w:r>
          </w:p>
        </w:tc>
        <w:tc>
          <w:tcPr>
            <w:tcW w:w="0" w:type="auto"/>
            <w:vAlign w:val="center"/>
            <w:hideMark/>
          </w:tcPr>
          <w:p w14:paraId="607AC73E"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Chief Technology Officer</w:t>
            </w:r>
          </w:p>
        </w:tc>
        <w:tc>
          <w:tcPr>
            <w:tcW w:w="0" w:type="auto"/>
            <w:vAlign w:val="center"/>
            <w:hideMark/>
          </w:tcPr>
          <w:p w14:paraId="613A8C22"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CEO</w:t>
            </w:r>
          </w:p>
        </w:tc>
        <w:tc>
          <w:tcPr>
            <w:tcW w:w="0" w:type="auto"/>
            <w:vAlign w:val="center"/>
            <w:hideMark/>
          </w:tcPr>
          <w:p w14:paraId="1E1EE2CC"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IT, Operations Managers</w:t>
            </w:r>
          </w:p>
        </w:tc>
        <w:tc>
          <w:tcPr>
            <w:tcW w:w="0" w:type="auto"/>
            <w:vAlign w:val="center"/>
            <w:hideMark/>
          </w:tcPr>
          <w:p w14:paraId="21EF7BE9"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All Employees</w:t>
            </w:r>
          </w:p>
        </w:tc>
      </w:tr>
      <w:tr w:rsidR="002B63C3" w:rsidRPr="002B63C3" w14:paraId="2DD87B04" w14:textId="77777777" w:rsidTr="002B63C3">
        <w:trPr>
          <w:tblCellSpacing w:w="15" w:type="dxa"/>
        </w:trPr>
        <w:tc>
          <w:tcPr>
            <w:tcW w:w="0" w:type="auto"/>
            <w:vAlign w:val="center"/>
            <w:hideMark/>
          </w:tcPr>
          <w:p w14:paraId="473AB251"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Product diversification (functional nutrition)</w:t>
            </w:r>
          </w:p>
        </w:tc>
        <w:tc>
          <w:tcPr>
            <w:tcW w:w="0" w:type="auto"/>
            <w:vAlign w:val="center"/>
            <w:hideMark/>
          </w:tcPr>
          <w:p w14:paraId="31D7B640"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R&amp;D Manager</w:t>
            </w:r>
          </w:p>
        </w:tc>
        <w:tc>
          <w:tcPr>
            <w:tcW w:w="0" w:type="auto"/>
            <w:vAlign w:val="center"/>
            <w:hideMark/>
          </w:tcPr>
          <w:p w14:paraId="3B77938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Innovation Director</w:t>
            </w:r>
          </w:p>
        </w:tc>
        <w:tc>
          <w:tcPr>
            <w:tcW w:w="0" w:type="auto"/>
            <w:vAlign w:val="center"/>
            <w:hideMark/>
          </w:tcPr>
          <w:p w14:paraId="7562CF65"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Marketing, Nutrition Experts</w:t>
            </w:r>
          </w:p>
        </w:tc>
        <w:tc>
          <w:tcPr>
            <w:tcW w:w="0" w:type="auto"/>
            <w:vAlign w:val="center"/>
            <w:hideMark/>
          </w:tcPr>
          <w:p w14:paraId="6ABB487B"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Customers</w:t>
            </w:r>
          </w:p>
        </w:tc>
      </w:tr>
      <w:tr w:rsidR="002B63C3" w:rsidRPr="002B63C3" w14:paraId="1081E221" w14:textId="77777777" w:rsidTr="002B63C3">
        <w:trPr>
          <w:tblCellSpacing w:w="15" w:type="dxa"/>
        </w:trPr>
        <w:tc>
          <w:tcPr>
            <w:tcW w:w="0" w:type="auto"/>
            <w:vAlign w:val="center"/>
            <w:hideMark/>
          </w:tcPr>
          <w:p w14:paraId="64F4043E"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International market expansion</w:t>
            </w:r>
          </w:p>
        </w:tc>
        <w:tc>
          <w:tcPr>
            <w:tcW w:w="0" w:type="auto"/>
            <w:vAlign w:val="center"/>
            <w:hideMark/>
          </w:tcPr>
          <w:p w14:paraId="0053BCC8"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Export Manager</w:t>
            </w:r>
          </w:p>
        </w:tc>
        <w:tc>
          <w:tcPr>
            <w:tcW w:w="0" w:type="auto"/>
            <w:vAlign w:val="center"/>
            <w:hideMark/>
          </w:tcPr>
          <w:p w14:paraId="277DFA9B"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Managing Director</w:t>
            </w:r>
          </w:p>
        </w:tc>
        <w:tc>
          <w:tcPr>
            <w:tcW w:w="0" w:type="auto"/>
            <w:vAlign w:val="center"/>
            <w:hideMark/>
          </w:tcPr>
          <w:p w14:paraId="2703DDC2"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Legal, Finance</w:t>
            </w:r>
          </w:p>
        </w:tc>
        <w:tc>
          <w:tcPr>
            <w:tcW w:w="0" w:type="auto"/>
            <w:vAlign w:val="center"/>
            <w:hideMark/>
          </w:tcPr>
          <w:p w14:paraId="5A5F2E59"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Regional Distributors</w:t>
            </w:r>
          </w:p>
        </w:tc>
      </w:tr>
      <w:tr w:rsidR="002B63C3" w:rsidRPr="002B63C3" w14:paraId="0201BA35" w14:textId="77777777" w:rsidTr="002B63C3">
        <w:trPr>
          <w:tblCellSpacing w:w="15" w:type="dxa"/>
        </w:trPr>
        <w:tc>
          <w:tcPr>
            <w:tcW w:w="0" w:type="auto"/>
            <w:vAlign w:val="center"/>
            <w:hideMark/>
          </w:tcPr>
          <w:p w14:paraId="61CCBEA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Sustainability &amp; packaging innovation</w:t>
            </w:r>
          </w:p>
        </w:tc>
        <w:tc>
          <w:tcPr>
            <w:tcW w:w="0" w:type="auto"/>
            <w:vAlign w:val="center"/>
            <w:hideMark/>
          </w:tcPr>
          <w:p w14:paraId="06BA6B54"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Sustainability Director</w:t>
            </w:r>
          </w:p>
        </w:tc>
        <w:tc>
          <w:tcPr>
            <w:tcW w:w="0" w:type="auto"/>
            <w:vAlign w:val="center"/>
            <w:hideMark/>
          </w:tcPr>
          <w:p w14:paraId="38B42F8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COO</w:t>
            </w:r>
          </w:p>
        </w:tc>
        <w:tc>
          <w:tcPr>
            <w:tcW w:w="0" w:type="auto"/>
            <w:vAlign w:val="center"/>
            <w:hideMark/>
          </w:tcPr>
          <w:p w14:paraId="738F7EB1"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R&amp;D, Supply Chain Partners</w:t>
            </w:r>
          </w:p>
        </w:tc>
        <w:tc>
          <w:tcPr>
            <w:tcW w:w="0" w:type="auto"/>
            <w:vAlign w:val="center"/>
            <w:hideMark/>
          </w:tcPr>
          <w:p w14:paraId="62FC3ECA"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NGOs, Regulators</w:t>
            </w:r>
          </w:p>
        </w:tc>
      </w:tr>
      <w:tr w:rsidR="002B63C3" w:rsidRPr="002B63C3" w14:paraId="0A0DD450" w14:textId="77777777" w:rsidTr="002B63C3">
        <w:trPr>
          <w:tblCellSpacing w:w="15" w:type="dxa"/>
        </w:trPr>
        <w:tc>
          <w:tcPr>
            <w:tcW w:w="0" w:type="auto"/>
            <w:vAlign w:val="center"/>
            <w:hideMark/>
          </w:tcPr>
          <w:p w14:paraId="1751292C"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Employee training &amp; digital upskilling</w:t>
            </w:r>
          </w:p>
        </w:tc>
        <w:tc>
          <w:tcPr>
            <w:tcW w:w="0" w:type="auto"/>
            <w:vAlign w:val="center"/>
            <w:hideMark/>
          </w:tcPr>
          <w:p w14:paraId="1FA52D05"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HR Director</w:t>
            </w:r>
          </w:p>
        </w:tc>
        <w:tc>
          <w:tcPr>
            <w:tcW w:w="0" w:type="auto"/>
            <w:vAlign w:val="center"/>
            <w:hideMark/>
          </w:tcPr>
          <w:p w14:paraId="1EBCCD7E"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COO</w:t>
            </w:r>
          </w:p>
        </w:tc>
        <w:tc>
          <w:tcPr>
            <w:tcW w:w="0" w:type="auto"/>
            <w:vAlign w:val="center"/>
            <w:hideMark/>
          </w:tcPr>
          <w:p w14:paraId="4C2428D9"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Department Heads</w:t>
            </w:r>
          </w:p>
        </w:tc>
        <w:tc>
          <w:tcPr>
            <w:tcW w:w="0" w:type="auto"/>
            <w:vAlign w:val="center"/>
            <w:hideMark/>
          </w:tcPr>
          <w:p w14:paraId="223FF10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Staff</w:t>
            </w:r>
          </w:p>
        </w:tc>
      </w:tr>
      <w:tr w:rsidR="002B63C3" w:rsidRPr="002B63C3" w14:paraId="39D064FB" w14:textId="77777777" w:rsidTr="002B63C3">
        <w:trPr>
          <w:tblCellSpacing w:w="15" w:type="dxa"/>
        </w:trPr>
        <w:tc>
          <w:tcPr>
            <w:tcW w:w="0" w:type="auto"/>
            <w:vAlign w:val="center"/>
            <w:hideMark/>
          </w:tcPr>
          <w:p w14:paraId="4F96BAD5"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lastRenderedPageBreak/>
              <w:t>ESG compliance and reporting</w:t>
            </w:r>
          </w:p>
        </w:tc>
        <w:tc>
          <w:tcPr>
            <w:tcW w:w="0" w:type="auto"/>
            <w:vAlign w:val="center"/>
            <w:hideMark/>
          </w:tcPr>
          <w:p w14:paraId="648A58F0"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Compliance Manager</w:t>
            </w:r>
          </w:p>
        </w:tc>
        <w:tc>
          <w:tcPr>
            <w:tcW w:w="0" w:type="auto"/>
            <w:vAlign w:val="center"/>
            <w:hideMark/>
          </w:tcPr>
          <w:p w14:paraId="2A82EE0B"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CEO</w:t>
            </w:r>
          </w:p>
        </w:tc>
        <w:tc>
          <w:tcPr>
            <w:tcW w:w="0" w:type="auto"/>
            <w:vAlign w:val="center"/>
            <w:hideMark/>
          </w:tcPr>
          <w:p w14:paraId="7BF2E35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Finance, CSR Committee</w:t>
            </w:r>
          </w:p>
        </w:tc>
        <w:tc>
          <w:tcPr>
            <w:tcW w:w="0" w:type="auto"/>
            <w:vAlign w:val="center"/>
            <w:hideMark/>
          </w:tcPr>
          <w:p w14:paraId="3007E45C"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Investors, Regulators</w:t>
            </w:r>
          </w:p>
        </w:tc>
      </w:tr>
      <w:tr w:rsidR="002B63C3" w:rsidRPr="002B63C3" w14:paraId="3C1CF81A" w14:textId="77777777" w:rsidTr="002B63C3">
        <w:trPr>
          <w:tblCellSpacing w:w="15" w:type="dxa"/>
        </w:trPr>
        <w:tc>
          <w:tcPr>
            <w:tcW w:w="0" w:type="auto"/>
            <w:vAlign w:val="center"/>
            <w:hideMark/>
          </w:tcPr>
          <w:p w14:paraId="0ABEB692"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Marketing and branding (Green Digital campaign)</w:t>
            </w:r>
          </w:p>
        </w:tc>
        <w:tc>
          <w:tcPr>
            <w:tcW w:w="0" w:type="auto"/>
            <w:vAlign w:val="center"/>
            <w:hideMark/>
          </w:tcPr>
          <w:p w14:paraId="516EBA28"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Marketing Director</w:t>
            </w:r>
          </w:p>
        </w:tc>
        <w:tc>
          <w:tcPr>
            <w:tcW w:w="0" w:type="auto"/>
            <w:vAlign w:val="center"/>
            <w:hideMark/>
          </w:tcPr>
          <w:p w14:paraId="1FE87670"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CEO</w:t>
            </w:r>
          </w:p>
        </w:tc>
        <w:tc>
          <w:tcPr>
            <w:tcW w:w="0" w:type="auto"/>
            <w:vAlign w:val="center"/>
            <w:hideMark/>
          </w:tcPr>
          <w:p w14:paraId="34145B5D"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Creative Teams, Sales</w:t>
            </w:r>
          </w:p>
        </w:tc>
        <w:tc>
          <w:tcPr>
            <w:tcW w:w="0" w:type="auto"/>
            <w:vAlign w:val="center"/>
            <w:hideMark/>
          </w:tcPr>
          <w:p w14:paraId="0C01CCDD"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Customers, Media</w:t>
            </w:r>
          </w:p>
        </w:tc>
      </w:tr>
    </w:tbl>
    <w:p w14:paraId="3E66D1AA" w14:textId="668691C9" w:rsidR="002B63C3" w:rsidRPr="002B63C3" w:rsidRDefault="002B63C3" w:rsidP="002B63C3">
      <w:pPr>
        <w:spacing w:after="0" w:line="360" w:lineRule="auto"/>
        <w:jc w:val="both"/>
        <w:rPr>
          <w:rFonts w:ascii="Arial" w:hAnsi="Arial" w:cs="Arial"/>
          <w:sz w:val="24"/>
          <w:szCs w:val="24"/>
          <w:lang w:val="en-US"/>
        </w:rPr>
      </w:pPr>
    </w:p>
    <w:p w14:paraId="098646E5" w14:textId="77777777" w:rsidR="002B63C3" w:rsidRPr="003F58AA" w:rsidRDefault="002B63C3" w:rsidP="003F58AA">
      <w:pPr>
        <w:spacing w:after="0" w:line="360" w:lineRule="auto"/>
        <w:ind w:firstLine="720"/>
        <w:jc w:val="both"/>
        <w:rPr>
          <w:rFonts w:ascii="Arial" w:hAnsi="Arial" w:cs="Arial"/>
          <w:b/>
          <w:bCs/>
          <w:i/>
          <w:iCs/>
          <w:sz w:val="24"/>
          <w:szCs w:val="24"/>
          <w:lang w:val="en-US"/>
        </w:rPr>
      </w:pPr>
      <w:r w:rsidRPr="003F58AA">
        <w:rPr>
          <w:rFonts w:ascii="Arial" w:hAnsi="Arial" w:cs="Arial"/>
          <w:b/>
          <w:bCs/>
          <w:i/>
          <w:iCs/>
          <w:sz w:val="24"/>
          <w:szCs w:val="24"/>
          <w:lang w:val="en-US"/>
        </w:rPr>
        <w:t>Critical Evaluation</w:t>
      </w:r>
    </w:p>
    <w:p w14:paraId="72C22E69" w14:textId="77777777"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Mendelow’s Matrix highlights as the most important stakeholders or influential people, top management, Coca-Cola, and retail partners because this is where the cooperation ensures the financial support and strategic alignment. The RACI framework shares operational clarity between accountability and cross-functional conflict.</w:t>
      </w:r>
    </w:p>
    <w:p w14:paraId="4C2FF8D1" w14:textId="394A4EEA" w:rsidR="002B63C3" w:rsidRPr="002B63C3" w:rsidRDefault="00505BC4" w:rsidP="00505BC4">
      <w:pPr>
        <w:spacing w:after="0" w:line="360" w:lineRule="auto"/>
        <w:ind w:firstLine="720"/>
        <w:jc w:val="both"/>
        <w:rPr>
          <w:rFonts w:ascii="Arial" w:hAnsi="Arial" w:cs="Arial"/>
          <w:sz w:val="24"/>
          <w:szCs w:val="24"/>
          <w:lang w:val="en-US"/>
        </w:rPr>
      </w:pPr>
      <w:r w:rsidRPr="00505BC4">
        <w:rPr>
          <w:rFonts w:ascii="Arial" w:hAnsi="Arial" w:cs="Arial"/>
          <w:sz w:val="24"/>
          <w:szCs w:val="24"/>
        </w:rPr>
        <w:t>Innocent will have to keep transforming itself in the perception of its stakeholders, most specifically in their belief in its authenticity. The continuous feedback loop founded on data analytics and ESG metrics would ensure that all emerging stakeholder expectations are taken into consideration through decision-making processes (Varadarajan, 2020). The prioritization of ethical engagements by Innocent strengthens its social license to operate about maintaining the relationship between business objectives and sustainability goals.</w:t>
      </w:r>
    </w:p>
    <w:p w14:paraId="2FD1964A" w14:textId="77777777" w:rsidR="002B63C3" w:rsidRDefault="002B63C3" w:rsidP="002B63C3">
      <w:pPr>
        <w:spacing w:after="0" w:line="360" w:lineRule="auto"/>
        <w:jc w:val="center"/>
        <w:rPr>
          <w:rFonts w:ascii="Arial" w:hAnsi="Arial" w:cs="Arial"/>
          <w:sz w:val="24"/>
          <w:szCs w:val="24"/>
          <w:lang w:val="en-US"/>
        </w:rPr>
      </w:pPr>
    </w:p>
    <w:p w14:paraId="15C5E61B" w14:textId="73994D01" w:rsidR="002B63C3" w:rsidRPr="00505BC4" w:rsidRDefault="002B63C3" w:rsidP="00505BC4">
      <w:pPr>
        <w:pStyle w:val="Heading1"/>
        <w:spacing w:before="0" w:after="0" w:line="360" w:lineRule="auto"/>
        <w:jc w:val="center"/>
        <w:rPr>
          <w:rFonts w:ascii="Arial" w:hAnsi="Arial" w:cs="Arial"/>
          <w:b/>
          <w:bCs/>
          <w:color w:val="000000" w:themeColor="text1"/>
          <w:sz w:val="24"/>
          <w:szCs w:val="24"/>
          <w:lang w:val="en-US"/>
        </w:rPr>
      </w:pPr>
      <w:bookmarkStart w:id="7" w:name="_Toc211933657"/>
      <w:r w:rsidRPr="00505BC4">
        <w:rPr>
          <w:rFonts w:ascii="Arial" w:hAnsi="Arial" w:cs="Arial"/>
          <w:b/>
          <w:bCs/>
          <w:color w:val="000000" w:themeColor="text1"/>
          <w:sz w:val="24"/>
          <w:szCs w:val="24"/>
          <w:lang w:val="en-US"/>
        </w:rPr>
        <w:t>Strategic Recommendations</w:t>
      </w:r>
      <w:bookmarkEnd w:id="7"/>
    </w:p>
    <w:p w14:paraId="0176EB27" w14:textId="77777777" w:rsidR="00505BC4" w:rsidRPr="002B63C3" w:rsidRDefault="00505BC4" w:rsidP="002B63C3">
      <w:pPr>
        <w:spacing w:after="0" w:line="360" w:lineRule="auto"/>
        <w:jc w:val="center"/>
        <w:rPr>
          <w:rFonts w:ascii="Arial" w:hAnsi="Arial" w:cs="Arial"/>
          <w:b/>
          <w:bCs/>
          <w:sz w:val="24"/>
          <w:szCs w:val="24"/>
          <w:lang w:val="en-US"/>
        </w:rPr>
      </w:pPr>
    </w:p>
    <w:p w14:paraId="3D7AA81B" w14:textId="77777777"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In line with strategic analysis summary findings, Innocent Drinks Ltd has to take a structured phased approach in the implementation of its Green Digital Expansion Strategy to ensure a cohesive development between innovation, sustainability, and profitability.</w:t>
      </w:r>
    </w:p>
    <w:p w14:paraId="6D572EC3" w14:textId="638281D6"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 xml:space="preserve">Accelerate Digital Transformation: Under this pillar initiative, innocents should fully integrate digital supply chain technologies blockchain traceability and artificial intelligence-based demand forecasting solutions on transparency and efficiency parameters. Enterprise resource planning ERP systems shall be implemented for better </w:t>
      </w:r>
      <w:r w:rsidRPr="00505BC4">
        <w:rPr>
          <w:rFonts w:ascii="Arial" w:hAnsi="Arial" w:cs="Arial"/>
          <w:sz w:val="24"/>
          <w:szCs w:val="24"/>
        </w:rPr>
        <w:lastRenderedPageBreak/>
        <w:t>real-time sharing of information across departments that support data-driven decision-making</w:t>
      </w:r>
      <w:r>
        <w:rPr>
          <w:rFonts w:ascii="Arial" w:hAnsi="Arial" w:cs="Arial"/>
          <w:sz w:val="24"/>
          <w:szCs w:val="24"/>
        </w:rPr>
        <w:t xml:space="preserve"> </w:t>
      </w:r>
      <w:r w:rsidRPr="00505BC4">
        <w:rPr>
          <w:rFonts w:ascii="Arial" w:hAnsi="Arial" w:cs="Arial"/>
          <w:sz w:val="24"/>
          <w:szCs w:val="24"/>
        </w:rPr>
        <w:t xml:space="preserve">(Tidd </w:t>
      </w:r>
      <w:r>
        <w:rPr>
          <w:rFonts w:ascii="Arial" w:hAnsi="Arial" w:cs="Arial"/>
          <w:sz w:val="24"/>
          <w:szCs w:val="24"/>
        </w:rPr>
        <w:t>and</w:t>
      </w:r>
      <w:r w:rsidRPr="00505BC4">
        <w:rPr>
          <w:rFonts w:ascii="Arial" w:hAnsi="Arial" w:cs="Arial"/>
          <w:sz w:val="24"/>
          <w:szCs w:val="24"/>
        </w:rPr>
        <w:t xml:space="preserve"> Bessant 2021). To overcome SME-related barriers to digital adoption at Innocent Technology firms as partners accompanied by employee training programs on digital shall be instituted</w:t>
      </w:r>
      <w:r>
        <w:rPr>
          <w:rFonts w:ascii="Arial" w:hAnsi="Arial" w:cs="Arial"/>
          <w:sz w:val="24"/>
          <w:szCs w:val="24"/>
        </w:rPr>
        <w:t xml:space="preserve"> </w:t>
      </w:r>
      <w:r w:rsidRPr="00505BC4">
        <w:rPr>
          <w:rFonts w:ascii="Arial" w:hAnsi="Arial" w:cs="Arial"/>
          <w:sz w:val="24"/>
          <w:szCs w:val="24"/>
        </w:rPr>
        <w:t>(Johnson et al.,2020).</w:t>
      </w:r>
    </w:p>
    <w:p w14:paraId="5B70C04F" w14:textId="77777777"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Keep on Developing Functional Nutrition and Plant-Based Beverages: Sustain a continuous development cycle of functional nutrition and plant-based beverages that will support trends in consumer wellness, ensuring the products are accessible to various markets. The investment in research and development for biodegradable packaging as well as attaining a carbon-neutral production by 2030 will place Innocent as an implementation leader in sustainability (Grant, 2019).</w:t>
      </w:r>
    </w:p>
    <w:p w14:paraId="1B02A962" w14:textId="77777777"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Strengthen Global Market Presence: A good strategic plan for Innocent would be to expand its activities into the Asia-Pacific and Middle East regions while it forms partnerships in those particular regions and sets up production bases powered by renewable energy. Flavors and branding will be localized to ensure cultural relevance, deep stakeholder collaboration, and maintain trust and authenticity. Transparent communication with Coca-Cola, suppliers, and consumers must be preserved by Innocent. ESG reporting and collaborative sustainability initiatives with NGOs will enhance its reputation.</w:t>
      </w:r>
    </w:p>
    <w:p w14:paraId="2B671E07" w14:textId="77777777"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Monitor and Evaluate Performance: Set regular review schedules for digital efficiency and carbon impact alongside market growth metrics to support a culture of continuous improvement. Apply balanced scorecards to promote accountability while cascading strategy coherently across all operations (Kaplan and Norton, 2015).</w:t>
      </w:r>
    </w:p>
    <w:p w14:paraId="4FD5F22C" w14:textId="4B1CD012" w:rsidR="002B63C3" w:rsidRDefault="00505BC4" w:rsidP="00505BC4">
      <w:pPr>
        <w:spacing w:after="0" w:line="360" w:lineRule="auto"/>
        <w:ind w:firstLine="720"/>
        <w:jc w:val="both"/>
        <w:rPr>
          <w:rFonts w:ascii="Arial" w:hAnsi="Arial" w:cs="Arial"/>
          <w:sz w:val="24"/>
          <w:szCs w:val="24"/>
          <w:lang w:val="en-US"/>
        </w:rPr>
      </w:pPr>
      <w:r w:rsidRPr="00505BC4">
        <w:rPr>
          <w:rFonts w:ascii="Arial" w:hAnsi="Arial" w:cs="Arial"/>
          <w:sz w:val="24"/>
          <w:szCs w:val="24"/>
        </w:rPr>
        <w:t>Through the above recommendations, Innocent will gain long-term sustainability competitiveness and excel in conducting its business operations together with promoting good growth within the global beverage market.</w:t>
      </w:r>
    </w:p>
    <w:p w14:paraId="3AABEBE7" w14:textId="77777777" w:rsidR="002B63C3" w:rsidRDefault="002B63C3" w:rsidP="002B63C3">
      <w:pPr>
        <w:spacing w:after="0" w:line="360" w:lineRule="auto"/>
        <w:jc w:val="both"/>
        <w:rPr>
          <w:rFonts w:ascii="Arial" w:hAnsi="Arial" w:cs="Arial"/>
          <w:sz w:val="24"/>
          <w:szCs w:val="24"/>
          <w:lang w:val="en-US"/>
        </w:rPr>
      </w:pPr>
    </w:p>
    <w:p w14:paraId="15298BA2" w14:textId="77777777" w:rsidR="00505BC4" w:rsidRDefault="00505BC4" w:rsidP="002B63C3">
      <w:pPr>
        <w:spacing w:after="0" w:line="360" w:lineRule="auto"/>
        <w:jc w:val="both"/>
        <w:rPr>
          <w:rFonts w:ascii="Arial" w:hAnsi="Arial" w:cs="Arial"/>
          <w:sz w:val="24"/>
          <w:szCs w:val="24"/>
          <w:lang w:val="en-US"/>
        </w:rPr>
      </w:pPr>
    </w:p>
    <w:p w14:paraId="72600301" w14:textId="77777777" w:rsidR="00505BC4" w:rsidRDefault="00505BC4" w:rsidP="002B63C3">
      <w:pPr>
        <w:spacing w:after="0" w:line="360" w:lineRule="auto"/>
        <w:jc w:val="both"/>
        <w:rPr>
          <w:rFonts w:ascii="Arial" w:hAnsi="Arial" w:cs="Arial"/>
          <w:sz w:val="24"/>
          <w:szCs w:val="24"/>
          <w:lang w:val="en-US"/>
        </w:rPr>
      </w:pPr>
    </w:p>
    <w:p w14:paraId="4E240110" w14:textId="77777777" w:rsidR="00505BC4" w:rsidRDefault="00505BC4" w:rsidP="002B63C3">
      <w:pPr>
        <w:spacing w:after="0" w:line="360" w:lineRule="auto"/>
        <w:jc w:val="both"/>
        <w:rPr>
          <w:rFonts w:ascii="Arial" w:hAnsi="Arial" w:cs="Arial"/>
          <w:sz w:val="24"/>
          <w:szCs w:val="24"/>
          <w:lang w:val="en-US"/>
        </w:rPr>
      </w:pPr>
    </w:p>
    <w:p w14:paraId="601CEF12" w14:textId="77777777" w:rsidR="00505BC4" w:rsidRDefault="00505BC4" w:rsidP="002B63C3">
      <w:pPr>
        <w:spacing w:after="0" w:line="360" w:lineRule="auto"/>
        <w:jc w:val="both"/>
        <w:rPr>
          <w:rFonts w:ascii="Arial" w:hAnsi="Arial" w:cs="Arial"/>
          <w:sz w:val="24"/>
          <w:szCs w:val="24"/>
          <w:lang w:val="en-US"/>
        </w:rPr>
      </w:pPr>
    </w:p>
    <w:p w14:paraId="0F4BC72D" w14:textId="3049B5A6" w:rsidR="002B63C3" w:rsidRDefault="002B63C3" w:rsidP="00505BC4">
      <w:pPr>
        <w:pStyle w:val="Heading1"/>
        <w:spacing w:before="0" w:after="0" w:line="360" w:lineRule="auto"/>
        <w:jc w:val="center"/>
        <w:rPr>
          <w:rFonts w:ascii="Arial" w:hAnsi="Arial" w:cs="Arial"/>
          <w:b/>
          <w:bCs/>
          <w:sz w:val="24"/>
          <w:szCs w:val="24"/>
          <w:lang w:val="en-US"/>
        </w:rPr>
      </w:pPr>
      <w:bookmarkStart w:id="8" w:name="_Toc211933658"/>
      <w:r w:rsidRPr="00505BC4">
        <w:rPr>
          <w:rFonts w:ascii="Arial" w:hAnsi="Arial" w:cs="Arial"/>
          <w:b/>
          <w:bCs/>
          <w:color w:val="000000" w:themeColor="text1"/>
          <w:sz w:val="24"/>
          <w:szCs w:val="24"/>
          <w:lang w:val="en-US"/>
        </w:rPr>
        <w:lastRenderedPageBreak/>
        <w:t>Conclusion</w:t>
      </w:r>
      <w:bookmarkEnd w:id="8"/>
    </w:p>
    <w:p w14:paraId="7C54A36D" w14:textId="77777777" w:rsidR="00505BC4" w:rsidRPr="002B63C3" w:rsidRDefault="00505BC4" w:rsidP="002B63C3">
      <w:pPr>
        <w:spacing w:after="0" w:line="360" w:lineRule="auto"/>
        <w:jc w:val="center"/>
        <w:rPr>
          <w:rFonts w:ascii="Arial" w:hAnsi="Arial" w:cs="Arial"/>
          <w:b/>
          <w:bCs/>
          <w:sz w:val="24"/>
          <w:szCs w:val="24"/>
          <w:lang w:val="en-US"/>
        </w:rPr>
      </w:pPr>
    </w:p>
    <w:p w14:paraId="1BBF9995" w14:textId="77777777"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This report has provided a critical evaluation of Innocent Drinks Ltd and its strategic direction within the global beverage industry. A deep analysis in the application of models such as SWOT, Value Chain, PESTEL, Porter’s Five Forces, and the Ansoff Matrix displays results that show sustainability, innovation, and international expansion as major elements to be well-aligned for long-term competitiveness. The company is keen on sustainability at the core brand strength—from an ethical brand identity supported by initiatives on sustainability with strong backing from a parent company.</w:t>
      </w:r>
    </w:p>
    <w:p w14:paraId="071D41C4" w14:textId="77777777" w:rsidR="00505BC4" w:rsidRDefault="00505BC4" w:rsidP="00505BC4">
      <w:pPr>
        <w:spacing w:after="0" w:line="360" w:lineRule="auto"/>
        <w:ind w:firstLine="720"/>
        <w:jc w:val="both"/>
        <w:rPr>
          <w:rFonts w:ascii="Arial" w:hAnsi="Arial" w:cs="Arial"/>
          <w:sz w:val="24"/>
          <w:szCs w:val="24"/>
        </w:rPr>
      </w:pPr>
      <w:r w:rsidRPr="00505BC4">
        <w:rPr>
          <w:rFonts w:ascii="Arial" w:hAnsi="Arial" w:cs="Arial"/>
          <w:sz w:val="24"/>
          <w:szCs w:val="24"/>
        </w:rPr>
        <w:t>The proposed Green Digital Expansion Strategy hybridises an approach of economic success with environmental and techno- logical transformation. Through the integration of digitalisation, product diversification and sustainable internationalisation, Innocent can respond to changing consumer demands, reinforce supply chain resilience and improve profitability. The strategy makes the brand ready to comply with global sustainability standards while keeping the brand real and building on its purpose-driven ethos.</w:t>
      </w:r>
    </w:p>
    <w:p w14:paraId="599F0E7D" w14:textId="130021CC" w:rsidR="002B63C3" w:rsidRPr="002B63C3" w:rsidRDefault="00505BC4" w:rsidP="00505BC4">
      <w:pPr>
        <w:spacing w:after="0" w:line="360" w:lineRule="auto"/>
        <w:ind w:firstLine="720"/>
        <w:jc w:val="both"/>
        <w:rPr>
          <w:rFonts w:ascii="Arial" w:hAnsi="Arial" w:cs="Arial"/>
          <w:sz w:val="24"/>
          <w:szCs w:val="24"/>
          <w:lang w:val="en-US"/>
        </w:rPr>
      </w:pPr>
      <w:r w:rsidRPr="00505BC4">
        <w:rPr>
          <w:rFonts w:ascii="Arial" w:hAnsi="Arial" w:cs="Arial"/>
          <w:sz w:val="24"/>
          <w:szCs w:val="24"/>
        </w:rPr>
        <w:t>To stay successful, Innocent needs to work on stakeholder engagement and transparent governance and keep bringing something new. This will also help investments in digital technologies, localised production, and green R&amp;D that are core to supporting its 2030 net-zero objective. If sustainability is maintained at the heart of its operation, then it can always be a global leader in ethical business and responsible growth within the beverage sector.</w:t>
      </w:r>
    </w:p>
    <w:p w14:paraId="45FBBD4F" w14:textId="51E7FC3C" w:rsidR="002B63C3" w:rsidRDefault="002B63C3" w:rsidP="002B63C3">
      <w:pPr>
        <w:spacing w:after="0" w:line="360" w:lineRule="auto"/>
        <w:jc w:val="center"/>
        <w:rPr>
          <w:rFonts w:ascii="Arial" w:hAnsi="Arial" w:cs="Arial"/>
          <w:sz w:val="24"/>
          <w:szCs w:val="24"/>
          <w:lang w:val="en-US"/>
        </w:rPr>
      </w:pPr>
    </w:p>
    <w:p w14:paraId="64DA05D9" w14:textId="77777777" w:rsidR="00505BC4" w:rsidRDefault="00505BC4" w:rsidP="002B63C3">
      <w:pPr>
        <w:spacing w:after="0" w:line="360" w:lineRule="auto"/>
        <w:jc w:val="center"/>
        <w:rPr>
          <w:rFonts w:ascii="Arial" w:hAnsi="Arial" w:cs="Arial"/>
          <w:sz w:val="24"/>
          <w:szCs w:val="24"/>
          <w:lang w:val="en-US"/>
        </w:rPr>
      </w:pPr>
    </w:p>
    <w:p w14:paraId="19D8C41A" w14:textId="77777777" w:rsidR="00505BC4" w:rsidRDefault="00505BC4" w:rsidP="002B63C3">
      <w:pPr>
        <w:spacing w:after="0" w:line="360" w:lineRule="auto"/>
        <w:jc w:val="center"/>
        <w:rPr>
          <w:rFonts w:ascii="Arial" w:hAnsi="Arial" w:cs="Arial"/>
          <w:sz w:val="24"/>
          <w:szCs w:val="24"/>
          <w:lang w:val="en-US"/>
        </w:rPr>
      </w:pPr>
    </w:p>
    <w:p w14:paraId="79D22731" w14:textId="77777777" w:rsidR="00505BC4" w:rsidRDefault="00505BC4" w:rsidP="002B63C3">
      <w:pPr>
        <w:spacing w:after="0" w:line="360" w:lineRule="auto"/>
        <w:jc w:val="center"/>
        <w:rPr>
          <w:rFonts w:ascii="Arial" w:hAnsi="Arial" w:cs="Arial"/>
          <w:sz w:val="24"/>
          <w:szCs w:val="24"/>
          <w:lang w:val="en-US"/>
        </w:rPr>
      </w:pPr>
    </w:p>
    <w:p w14:paraId="5BC8550F" w14:textId="77777777" w:rsidR="00505BC4" w:rsidRDefault="00505BC4" w:rsidP="002B63C3">
      <w:pPr>
        <w:spacing w:after="0" w:line="360" w:lineRule="auto"/>
        <w:jc w:val="center"/>
        <w:rPr>
          <w:rFonts w:ascii="Arial" w:hAnsi="Arial" w:cs="Arial"/>
          <w:sz w:val="24"/>
          <w:szCs w:val="24"/>
          <w:lang w:val="en-US"/>
        </w:rPr>
      </w:pPr>
    </w:p>
    <w:p w14:paraId="0FF99330" w14:textId="77777777" w:rsidR="00505BC4" w:rsidRDefault="00505BC4" w:rsidP="002B63C3">
      <w:pPr>
        <w:spacing w:after="0" w:line="360" w:lineRule="auto"/>
        <w:jc w:val="center"/>
        <w:rPr>
          <w:rFonts w:ascii="Arial" w:hAnsi="Arial" w:cs="Arial"/>
          <w:sz w:val="24"/>
          <w:szCs w:val="24"/>
          <w:lang w:val="en-US"/>
        </w:rPr>
      </w:pPr>
    </w:p>
    <w:p w14:paraId="5DF6CA9A" w14:textId="77777777" w:rsidR="00505BC4" w:rsidRDefault="00505BC4" w:rsidP="002B63C3">
      <w:pPr>
        <w:spacing w:after="0" w:line="360" w:lineRule="auto"/>
        <w:jc w:val="center"/>
        <w:rPr>
          <w:rFonts w:ascii="Arial" w:hAnsi="Arial" w:cs="Arial"/>
          <w:sz w:val="24"/>
          <w:szCs w:val="24"/>
          <w:lang w:val="en-US"/>
        </w:rPr>
      </w:pPr>
    </w:p>
    <w:p w14:paraId="7E9CC90C" w14:textId="77777777" w:rsidR="00505BC4" w:rsidRDefault="00505BC4" w:rsidP="002B63C3">
      <w:pPr>
        <w:spacing w:after="0" w:line="360" w:lineRule="auto"/>
        <w:jc w:val="center"/>
        <w:rPr>
          <w:rFonts w:ascii="Arial" w:hAnsi="Arial" w:cs="Arial"/>
          <w:sz w:val="24"/>
          <w:szCs w:val="24"/>
          <w:lang w:val="en-US"/>
        </w:rPr>
      </w:pPr>
    </w:p>
    <w:p w14:paraId="417A5C5F" w14:textId="77777777" w:rsidR="00505BC4" w:rsidRPr="002B63C3" w:rsidRDefault="00505BC4" w:rsidP="002B63C3">
      <w:pPr>
        <w:spacing w:after="0" w:line="360" w:lineRule="auto"/>
        <w:jc w:val="center"/>
        <w:rPr>
          <w:rFonts w:ascii="Arial" w:hAnsi="Arial" w:cs="Arial"/>
          <w:sz w:val="24"/>
          <w:szCs w:val="24"/>
          <w:lang w:val="en-US"/>
        </w:rPr>
      </w:pPr>
    </w:p>
    <w:p w14:paraId="4E7C1453" w14:textId="7BB6C0C5" w:rsidR="002B63C3" w:rsidRPr="00505BC4" w:rsidRDefault="002B63C3" w:rsidP="00505BC4">
      <w:pPr>
        <w:pStyle w:val="Heading1"/>
        <w:spacing w:before="0" w:after="0" w:line="360" w:lineRule="auto"/>
        <w:jc w:val="center"/>
        <w:rPr>
          <w:rFonts w:ascii="Arial" w:hAnsi="Arial" w:cs="Arial"/>
          <w:b/>
          <w:bCs/>
          <w:color w:val="000000" w:themeColor="text1"/>
          <w:sz w:val="24"/>
          <w:szCs w:val="24"/>
          <w:lang w:val="en-US"/>
        </w:rPr>
      </w:pPr>
      <w:bookmarkStart w:id="9" w:name="_Toc211933659"/>
      <w:r w:rsidRPr="00505BC4">
        <w:rPr>
          <w:rFonts w:ascii="Arial" w:hAnsi="Arial" w:cs="Arial"/>
          <w:b/>
          <w:bCs/>
          <w:color w:val="000000" w:themeColor="text1"/>
          <w:sz w:val="24"/>
          <w:szCs w:val="24"/>
          <w:lang w:val="en-US"/>
        </w:rPr>
        <w:lastRenderedPageBreak/>
        <w:t>References</w:t>
      </w:r>
      <w:bookmarkEnd w:id="9"/>
    </w:p>
    <w:p w14:paraId="5BA6AEB4" w14:textId="77777777" w:rsidR="00505BC4" w:rsidRPr="002B63C3" w:rsidRDefault="00505BC4" w:rsidP="002B63C3">
      <w:pPr>
        <w:spacing w:after="0" w:line="360" w:lineRule="auto"/>
        <w:jc w:val="center"/>
        <w:rPr>
          <w:rFonts w:ascii="Arial" w:hAnsi="Arial" w:cs="Arial"/>
          <w:b/>
          <w:bCs/>
          <w:sz w:val="24"/>
          <w:szCs w:val="24"/>
          <w:lang w:val="en-US"/>
        </w:rPr>
      </w:pPr>
    </w:p>
    <w:p w14:paraId="0924A45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Barney, J.B. and Hesterly, W.S. (2019) </w:t>
      </w:r>
      <w:r w:rsidRPr="002B63C3">
        <w:rPr>
          <w:rFonts w:ascii="Arial" w:hAnsi="Arial" w:cs="Arial"/>
          <w:i/>
          <w:iCs/>
          <w:sz w:val="24"/>
          <w:szCs w:val="24"/>
          <w:lang w:val="en-US"/>
        </w:rPr>
        <w:t>Strategic Management and Competitive Advantage: Concepts and Cases</w:t>
      </w:r>
      <w:r w:rsidRPr="002B63C3">
        <w:rPr>
          <w:rFonts w:ascii="Arial" w:hAnsi="Arial" w:cs="Arial"/>
          <w:sz w:val="24"/>
          <w:szCs w:val="24"/>
          <w:lang w:val="en-US"/>
        </w:rPr>
        <w:t xml:space="preserve">. 6th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5DC0B468"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Bowman, C. and Faulkner, D. (2017) </w:t>
      </w:r>
      <w:r w:rsidRPr="002B63C3">
        <w:rPr>
          <w:rFonts w:ascii="Arial" w:hAnsi="Arial" w:cs="Arial"/>
          <w:i/>
          <w:iCs/>
          <w:sz w:val="24"/>
          <w:szCs w:val="24"/>
          <w:lang w:val="en-US"/>
        </w:rPr>
        <w:t>Competitive and Corporate Strategy</w:t>
      </w:r>
      <w:r w:rsidRPr="002B63C3">
        <w:rPr>
          <w:rFonts w:ascii="Arial" w:hAnsi="Arial" w:cs="Arial"/>
          <w:sz w:val="24"/>
          <w:szCs w:val="24"/>
          <w:lang w:val="en-US"/>
        </w:rPr>
        <w:t>. London: Routledge.</w:t>
      </w:r>
    </w:p>
    <w:p w14:paraId="44D5D2B9"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Burnes, B. (2020) </w:t>
      </w:r>
      <w:r w:rsidRPr="002B63C3">
        <w:rPr>
          <w:rFonts w:ascii="Arial" w:hAnsi="Arial" w:cs="Arial"/>
          <w:i/>
          <w:iCs/>
          <w:sz w:val="24"/>
          <w:szCs w:val="24"/>
          <w:lang w:val="en-US"/>
        </w:rPr>
        <w:t>Managing Change</w:t>
      </w:r>
      <w:r w:rsidRPr="002B63C3">
        <w:rPr>
          <w:rFonts w:ascii="Arial" w:hAnsi="Arial" w:cs="Arial"/>
          <w:sz w:val="24"/>
          <w:szCs w:val="24"/>
          <w:lang w:val="en-US"/>
        </w:rPr>
        <w:t xml:space="preserve">. 8th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5A01CDFC"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Clegg, S., Kornberger, M. and </w:t>
      </w:r>
      <w:proofErr w:type="spellStart"/>
      <w:r w:rsidRPr="002B63C3">
        <w:rPr>
          <w:rFonts w:ascii="Arial" w:hAnsi="Arial" w:cs="Arial"/>
          <w:sz w:val="24"/>
          <w:szCs w:val="24"/>
          <w:lang w:val="en-US"/>
        </w:rPr>
        <w:t>Pitsis</w:t>
      </w:r>
      <w:proofErr w:type="spellEnd"/>
      <w:r w:rsidRPr="002B63C3">
        <w:rPr>
          <w:rFonts w:ascii="Arial" w:hAnsi="Arial" w:cs="Arial"/>
          <w:sz w:val="24"/>
          <w:szCs w:val="24"/>
          <w:lang w:val="en-US"/>
        </w:rPr>
        <w:t xml:space="preserve">, T. (2020) </w:t>
      </w:r>
      <w:r w:rsidRPr="002B63C3">
        <w:rPr>
          <w:rFonts w:ascii="Arial" w:hAnsi="Arial" w:cs="Arial"/>
          <w:i/>
          <w:iCs/>
          <w:sz w:val="24"/>
          <w:szCs w:val="24"/>
          <w:lang w:val="en-US"/>
        </w:rPr>
        <w:t>Managing and Organizations: An Introduction to Theory and Practice</w:t>
      </w:r>
      <w:r w:rsidRPr="002B63C3">
        <w:rPr>
          <w:rFonts w:ascii="Arial" w:hAnsi="Arial" w:cs="Arial"/>
          <w:sz w:val="24"/>
          <w:szCs w:val="24"/>
          <w:lang w:val="en-US"/>
        </w:rPr>
        <w:t xml:space="preserve">. 5th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London: Sage Publications.</w:t>
      </w:r>
    </w:p>
    <w:p w14:paraId="12482107"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Daft, R.L. and Marcic, D. (2018) </w:t>
      </w:r>
      <w:r w:rsidRPr="002B63C3">
        <w:rPr>
          <w:rFonts w:ascii="Arial" w:hAnsi="Arial" w:cs="Arial"/>
          <w:i/>
          <w:iCs/>
          <w:sz w:val="24"/>
          <w:szCs w:val="24"/>
          <w:lang w:val="en-US"/>
        </w:rPr>
        <w:t>Understanding Management</w:t>
      </w:r>
      <w:r w:rsidRPr="002B63C3">
        <w:rPr>
          <w:rFonts w:ascii="Arial" w:hAnsi="Arial" w:cs="Arial"/>
          <w:sz w:val="24"/>
          <w:szCs w:val="24"/>
          <w:lang w:val="en-US"/>
        </w:rPr>
        <w:t xml:space="preserve">. 10th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Boston: Cengage Learning.</w:t>
      </w:r>
    </w:p>
    <w:p w14:paraId="7427D345"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David, F.R. and David, F.R. (2020) </w:t>
      </w:r>
      <w:r w:rsidRPr="002B63C3">
        <w:rPr>
          <w:rFonts w:ascii="Arial" w:hAnsi="Arial" w:cs="Arial"/>
          <w:i/>
          <w:iCs/>
          <w:sz w:val="24"/>
          <w:szCs w:val="24"/>
          <w:lang w:val="en-US"/>
        </w:rPr>
        <w:t>Strategic Management: A Competitive Advantage Approach, Concepts and Cases</w:t>
      </w:r>
      <w:r w:rsidRPr="002B63C3">
        <w:rPr>
          <w:rFonts w:ascii="Arial" w:hAnsi="Arial" w:cs="Arial"/>
          <w:sz w:val="24"/>
          <w:szCs w:val="24"/>
          <w:lang w:val="en-US"/>
        </w:rPr>
        <w:t xml:space="preserve">. 17th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36E0F414"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Dess, G.G., McNamara, G. and Eisner, A.B. (2020) </w:t>
      </w:r>
      <w:r w:rsidRPr="002B63C3">
        <w:rPr>
          <w:rFonts w:ascii="Arial" w:hAnsi="Arial" w:cs="Arial"/>
          <w:i/>
          <w:iCs/>
          <w:sz w:val="24"/>
          <w:szCs w:val="24"/>
          <w:lang w:val="en-US"/>
        </w:rPr>
        <w:t>Strategic Management: Creating Competitive Advantages</w:t>
      </w:r>
      <w:r w:rsidRPr="002B63C3">
        <w:rPr>
          <w:rFonts w:ascii="Arial" w:hAnsi="Arial" w:cs="Arial"/>
          <w:sz w:val="24"/>
          <w:szCs w:val="24"/>
          <w:lang w:val="en-US"/>
        </w:rPr>
        <w:t xml:space="preserve">. 10th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New York: McGraw-Hill Education.</w:t>
      </w:r>
    </w:p>
    <w:p w14:paraId="6F008066"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Drucker, P.F. (2015) </w:t>
      </w:r>
      <w:r w:rsidRPr="002B63C3">
        <w:rPr>
          <w:rFonts w:ascii="Arial" w:hAnsi="Arial" w:cs="Arial"/>
          <w:i/>
          <w:iCs/>
          <w:sz w:val="24"/>
          <w:szCs w:val="24"/>
          <w:lang w:val="en-US"/>
        </w:rPr>
        <w:t>Innovation and Entrepreneurship</w:t>
      </w:r>
      <w:r w:rsidRPr="002B63C3">
        <w:rPr>
          <w:rFonts w:ascii="Arial" w:hAnsi="Arial" w:cs="Arial"/>
          <w:sz w:val="24"/>
          <w:szCs w:val="24"/>
          <w:lang w:val="en-US"/>
        </w:rPr>
        <w:t>. London: Routledge.</w:t>
      </w:r>
    </w:p>
    <w:p w14:paraId="014AC0CB"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Freeman, R.E. (2018) </w:t>
      </w:r>
      <w:r w:rsidRPr="002B63C3">
        <w:rPr>
          <w:rFonts w:ascii="Arial" w:hAnsi="Arial" w:cs="Arial"/>
          <w:i/>
          <w:iCs/>
          <w:sz w:val="24"/>
          <w:szCs w:val="24"/>
          <w:lang w:val="en-US"/>
        </w:rPr>
        <w:t>Strategic Management: A Stakeholder Approach</w:t>
      </w:r>
      <w:r w:rsidRPr="002B63C3">
        <w:rPr>
          <w:rFonts w:ascii="Arial" w:hAnsi="Arial" w:cs="Arial"/>
          <w:sz w:val="24"/>
          <w:szCs w:val="24"/>
          <w:lang w:val="en-US"/>
        </w:rPr>
        <w:t>. Cambridge: Cambridge University Press.</w:t>
      </w:r>
    </w:p>
    <w:p w14:paraId="2BD2E96A"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Gamble, J.E., Thompson, A.A. and </w:t>
      </w:r>
      <w:proofErr w:type="spellStart"/>
      <w:r w:rsidRPr="002B63C3">
        <w:rPr>
          <w:rFonts w:ascii="Arial" w:hAnsi="Arial" w:cs="Arial"/>
          <w:sz w:val="24"/>
          <w:szCs w:val="24"/>
          <w:lang w:val="en-US"/>
        </w:rPr>
        <w:t>Peteraf</w:t>
      </w:r>
      <w:proofErr w:type="spellEnd"/>
      <w:r w:rsidRPr="002B63C3">
        <w:rPr>
          <w:rFonts w:ascii="Arial" w:hAnsi="Arial" w:cs="Arial"/>
          <w:sz w:val="24"/>
          <w:szCs w:val="24"/>
          <w:lang w:val="en-US"/>
        </w:rPr>
        <w:t xml:space="preserve">, M.A. (2021) </w:t>
      </w:r>
      <w:r w:rsidRPr="002B63C3">
        <w:rPr>
          <w:rFonts w:ascii="Arial" w:hAnsi="Arial" w:cs="Arial"/>
          <w:i/>
          <w:iCs/>
          <w:sz w:val="24"/>
          <w:szCs w:val="24"/>
          <w:lang w:val="en-US"/>
        </w:rPr>
        <w:t>Essentials of Strategic Management: The Quest for Competitive Advantage</w:t>
      </w:r>
      <w:r w:rsidRPr="002B63C3">
        <w:rPr>
          <w:rFonts w:ascii="Arial" w:hAnsi="Arial" w:cs="Arial"/>
          <w:sz w:val="24"/>
          <w:szCs w:val="24"/>
          <w:lang w:val="en-US"/>
        </w:rPr>
        <w:t xml:space="preserve">. 7th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New York: McGraw-Hill Education.</w:t>
      </w:r>
    </w:p>
    <w:p w14:paraId="55514DCA"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Grant, R.M. (2019) </w:t>
      </w:r>
      <w:r w:rsidRPr="002B63C3">
        <w:rPr>
          <w:rFonts w:ascii="Arial" w:hAnsi="Arial" w:cs="Arial"/>
          <w:i/>
          <w:iCs/>
          <w:sz w:val="24"/>
          <w:szCs w:val="24"/>
          <w:lang w:val="en-US"/>
        </w:rPr>
        <w:t>Contemporary Strategy Analysis</w:t>
      </w:r>
      <w:r w:rsidRPr="002B63C3">
        <w:rPr>
          <w:rFonts w:ascii="Arial" w:hAnsi="Arial" w:cs="Arial"/>
          <w:sz w:val="24"/>
          <w:szCs w:val="24"/>
          <w:lang w:val="en-US"/>
        </w:rPr>
        <w:t xml:space="preserve">. 10th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Chichester: Wiley.</w:t>
      </w:r>
    </w:p>
    <w:p w14:paraId="2B22324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Hill, C.W.L., Jones, G.R. and Schilling, M.A. (2021) </w:t>
      </w:r>
      <w:r w:rsidRPr="002B63C3">
        <w:rPr>
          <w:rFonts w:ascii="Arial" w:hAnsi="Arial" w:cs="Arial"/>
          <w:i/>
          <w:iCs/>
          <w:sz w:val="24"/>
          <w:szCs w:val="24"/>
          <w:lang w:val="en-US"/>
        </w:rPr>
        <w:t>Strategic Management: Theory and Cases</w:t>
      </w:r>
      <w:r w:rsidRPr="002B63C3">
        <w:rPr>
          <w:rFonts w:ascii="Arial" w:hAnsi="Arial" w:cs="Arial"/>
          <w:sz w:val="24"/>
          <w:szCs w:val="24"/>
          <w:lang w:val="en-US"/>
        </w:rPr>
        <w:t xml:space="preserve">. 14th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Boston: Cengage Learning.</w:t>
      </w:r>
    </w:p>
    <w:p w14:paraId="59EEF779"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Hitt, M.A., Ireland, R.D. and </w:t>
      </w:r>
      <w:proofErr w:type="spellStart"/>
      <w:r w:rsidRPr="002B63C3">
        <w:rPr>
          <w:rFonts w:ascii="Arial" w:hAnsi="Arial" w:cs="Arial"/>
          <w:sz w:val="24"/>
          <w:szCs w:val="24"/>
          <w:lang w:val="en-US"/>
        </w:rPr>
        <w:t>Hoskisson</w:t>
      </w:r>
      <w:proofErr w:type="spellEnd"/>
      <w:r w:rsidRPr="002B63C3">
        <w:rPr>
          <w:rFonts w:ascii="Arial" w:hAnsi="Arial" w:cs="Arial"/>
          <w:sz w:val="24"/>
          <w:szCs w:val="24"/>
          <w:lang w:val="en-US"/>
        </w:rPr>
        <w:t xml:space="preserve">, R.E. (2020) </w:t>
      </w:r>
      <w:r w:rsidRPr="002B63C3">
        <w:rPr>
          <w:rFonts w:ascii="Arial" w:hAnsi="Arial" w:cs="Arial"/>
          <w:i/>
          <w:iCs/>
          <w:sz w:val="24"/>
          <w:szCs w:val="24"/>
          <w:lang w:val="en-US"/>
        </w:rPr>
        <w:t>Strategic Management: Competitiveness and Globalization</w:t>
      </w:r>
      <w:r w:rsidRPr="002B63C3">
        <w:rPr>
          <w:rFonts w:ascii="Arial" w:hAnsi="Arial" w:cs="Arial"/>
          <w:sz w:val="24"/>
          <w:szCs w:val="24"/>
          <w:lang w:val="en-US"/>
        </w:rPr>
        <w:t xml:space="preserve">. 13th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Stamford: Cengage Learning.</w:t>
      </w:r>
    </w:p>
    <w:p w14:paraId="3F98D392"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Johnson, G., Scholes, K. and Whittington, R. (2020) </w:t>
      </w:r>
      <w:r w:rsidRPr="002B63C3">
        <w:rPr>
          <w:rFonts w:ascii="Arial" w:hAnsi="Arial" w:cs="Arial"/>
          <w:i/>
          <w:iCs/>
          <w:sz w:val="24"/>
          <w:szCs w:val="24"/>
          <w:lang w:val="en-US"/>
        </w:rPr>
        <w:t>Exploring Corporate Strategy: Text and Cases</w:t>
      </w:r>
      <w:r w:rsidRPr="002B63C3">
        <w:rPr>
          <w:rFonts w:ascii="Arial" w:hAnsi="Arial" w:cs="Arial"/>
          <w:sz w:val="24"/>
          <w:szCs w:val="24"/>
          <w:lang w:val="en-US"/>
        </w:rPr>
        <w:t xml:space="preserve">. 12th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64F9501E"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Kaplan, R.S. and Norton, D.P. (2015) </w:t>
      </w:r>
      <w:r w:rsidRPr="002B63C3">
        <w:rPr>
          <w:rFonts w:ascii="Arial" w:hAnsi="Arial" w:cs="Arial"/>
          <w:i/>
          <w:iCs/>
          <w:sz w:val="24"/>
          <w:szCs w:val="24"/>
          <w:lang w:val="en-US"/>
        </w:rPr>
        <w:t>The Balanced Scorecard: Translating Strategy into Action</w:t>
      </w:r>
      <w:r w:rsidRPr="002B63C3">
        <w:rPr>
          <w:rFonts w:ascii="Arial" w:hAnsi="Arial" w:cs="Arial"/>
          <w:sz w:val="24"/>
          <w:szCs w:val="24"/>
          <w:lang w:val="en-US"/>
        </w:rPr>
        <w:t>. Boston: Harvard Business School Press.</w:t>
      </w:r>
    </w:p>
    <w:p w14:paraId="4B83850F"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lastRenderedPageBreak/>
        <w:t xml:space="preserve">Kotler, P. and Keller, K.L. (2022) </w:t>
      </w:r>
      <w:r w:rsidRPr="002B63C3">
        <w:rPr>
          <w:rFonts w:ascii="Arial" w:hAnsi="Arial" w:cs="Arial"/>
          <w:i/>
          <w:iCs/>
          <w:sz w:val="24"/>
          <w:szCs w:val="24"/>
          <w:lang w:val="en-US"/>
        </w:rPr>
        <w:t>Marketing Management</w:t>
      </w:r>
      <w:r w:rsidRPr="002B63C3">
        <w:rPr>
          <w:rFonts w:ascii="Arial" w:hAnsi="Arial" w:cs="Arial"/>
          <w:sz w:val="24"/>
          <w:szCs w:val="24"/>
          <w:lang w:val="en-US"/>
        </w:rPr>
        <w:t xml:space="preserve">. 16th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0F947B7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Kotter, J.P. (2014) </w:t>
      </w:r>
      <w:r w:rsidRPr="002B63C3">
        <w:rPr>
          <w:rFonts w:ascii="Arial" w:hAnsi="Arial" w:cs="Arial"/>
          <w:i/>
          <w:iCs/>
          <w:sz w:val="24"/>
          <w:szCs w:val="24"/>
          <w:lang w:val="en-US"/>
        </w:rPr>
        <w:t>Accelerate: Building Strategic Agility for a Faster-Moving World</w:t>
      </w:r>
      <w:r w:rsidRPr="002B63C3">
        <w:rPr>
          <w:rFonts w:ascii="Arial" w:hAnsi="Arial" w:cs="Arial"/>
          <w:sz w:val="24"/>
          <w:szCs w:val="24"/>
          <w:lang w:val="en-US"/>
        </w:rPr>
        <w:t>. Boston: Harvard Business Review Press.</w:t>
      </w:r>
    </w:p>
    <w:p w14:paraId="4E50ACF0"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Lynch, R. (2021) </w:t>
      </w:r>
      <w:r w:rsidRPr="002B63C3">
        <w:rPr>
          <w:rFonts w:ascii="Arial" w:hAnsi="Arial" w:cs="Arial"/>
          <w:i/>
          <w:iCs/>
          <w:sz w:val="24"/>
          <w:szCs w:val="24"/>
          <w:lang w:val="en-US"/>
        </w:rPr>
        <w:t>Corporate Strategy</w:t>
      </w:r>
      <w:r w:rsidRPr="002B63C3">
        <w:rPr>
          <w:rFonts w:ascii="Arial" w:hAnsi="Arial" w:cs="Arial"/>
          <w:sz w:val="24"/>
          <w:szCs w:val="24"/>
          <w:lang w:val="en-US"/>
        </w:rPr>
        <w:t xml:space="preserve">. 9th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08075BF1"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Mintzberg, H., Ahlstrand, B. and Lampel, J. (2020) </w:t>
      </w:r>
      <w:r w:rsidRPr="002B63C3">
        <w:rPr>
          <w:rFonts w:ascii="Arial" w:hAnsi="Arial" w:cs="Arial"/>
          <w:i/>
          <w:iCs/>
          <w:sz w:val="24"/>
          <w:szCs w:val="24"/>
          <w:lang w:val="en-US"/>
        </w:rPr>
        <w:t>Strategy Safari: A Guided Tour Through the Wilds of Strategic Management</w:t>
      </w:r>
      <w:r w:rsidRPr="002B63C3">
        <w:rPr>
          <w:rFonts w:ascii="Arial" w:hAnsi="Arial" w:cs="Arial"/>
          <w:sz w:val="24"/>
          <w:szCs w:val="24"/>
          <w:lang w:val="en-US"/>
        </w:rPr>
        <w:t xml:space="preserve">. 3rd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New York: Free Press.</w:t>
      </w:r>
    </w:p>
    <w:p w14:paraId="1D5EDD7B"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Pearce, J.A. and Robinson, R.B. (2019) </w:t>
      </w:r>
      <w:r w:rsidRPr="002B63C3">
        <w:rPr>
          <w:rFonts w:ascii="Arial" w:hAnsi="Arial" w:cs="Arial"/>
          <w:i/>
          <w:iCs/>
          <w:sz w:val="24"/>
          <w:szCs w:val="24"/>
          <w:lang w:val="en-US"/>
        </w:rPr>
        <w:t>Strategic Management: Planning for Domestic and Global Competition</w:t>
      </w:r>
      <w:r w:rsidRPr="002B63C3">
        <w:rPr>
          <w:rFonts w:ascii="Arial" w:hAnsi="Arial" w:cs="Arial"/>
          <w:sz w:val="24"/>
          <w:szCs w:val="24"/>
          <w:lang w:val="en-US"/>
        </w:rPr>
        <w:t xml:space="preserve">. 15th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New York: McGraw-Hill Education.</w:t>
      </w:r>
    </w:p>
    <w:p w14:paraId="5B63829C"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Porter, M.E. (2014) </w:t>
      </w:r>
      <w:r w:rsidRPr="002B63C3">
        <w:rPr>
          <w:rFonts w:ascii="Arial" w:hAnsi="Arial" w:cs="Arial"/>
          <w:i/>
          <w:iCs/>
          <w:sz w:val="24"/>
          <w:szCs w:val="24"/>
          <w:lang w:val="en-US"/>
        </w:rPr>
        <w:t>Competitive Advantage: Creating and Sustaining Superior Performance</w:t>
      </w:r>
      <w:r w:rsidRPr="002B63C3">
        <w:rPr>
          <w:rFonts w:ascii="Arial" w:hAnsi="Arial" w:cs="Arial"/>
          <w:sz w:val="24"/>
          <w:szCs w:val="24"/>
          <w:lang w:val="en-US"/>
        </w:rPr>
        <w:t>. New York: Free Press.</w:t>
      </w:r>
    </w:p>
    <w:p w14:paraId="13968D17"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Rothaermel, F.T. (2021) </w:t>
      </w:r>
      <w:r w:rsidRPr="002B63C3">
        <w:rPr>
          <w:rFonts w:ascii="Arial" w:hAnsi="Arial" w:cs="Arial"/>
          <w:i/>
          <w:iCs/>
          <w:sz w:val="24"/>
          <w:szCs w:val="24"/>
          <w:lang w:val="en-US"/>
        </w:rPr>
        <w:t>Strategic Management: Concepts and Cases</w:t>
      </w:r>
      <w:r w:rsidRPr="002B63C3">
        <w:rPr>
          <w:rFonts w:ascii="Arial" w:hAnsi="Arial" w:cs="Arial"/>
          <w:sz w:val="24"/>
          <w:szCs w:val="24"/>
          <w:lang w:val="en-US"/>
        </w:rPr>
        <w:t xml:space="preserve">. 5th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New York: McGraw-Hill Education.</w:t>
      </w:r>
    </w:p>
    <w:p w14:paraId="11AF6CD9"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Schermerhorn, J.R. (2020) </w:t>
      </w:r>
      <w:r w:rsidRPr="002B63C3">
        <w:rPr>
          <w:rFonts w:ascii="Arial" w:hAnsi="Arial" w:cs="Arial"/>
          <w:i/>
          <w:iCs/>
          <w:sz w:val="24"/>
          <w:szCs w:val="24"/>
          <w:lang w:val="en-US"/>
        </w:rPr>
        <w:t>Management</w:t>
      </w:r>
      <w:r w:rsidRPr="002B63C3">
        <w:rPr>
          <w:rFonts w:ascii="Arial" w:hAnsi="Arial" w:cs="Arial"/>
          <w:sz w:val="24"/>
          <w:szCs w:val="24"/>
          <w:lang w:val="en-US"/>
        </w:rPr>
        <w:t xml:space="preserve">. 14th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Hoboken: Wiley.</w:t>
      </w:r>
    </w:p>
    <w:p w14:paraId="11EF6ADF"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Teece, D.J. (2020) </w:t>
      </w:r>
      <w:r w:rsidRPr="002B63C3">
        <w:rPr>
          <w:rFonts w:ascii="Arial" w:hAnsi="Arial" w:cs="Arial"/>
          <w:i/>
          <w:iCs/>
          <w:sz w:val="24"/>
          <w:szCs w:val="24"/>
          <w:lang w:val="en-US"/>
        </w:rPr>
        <w:t>Dynamic Capabilities and Strategic Management: Organizing for Innovation and Growth</w:t>
      </w:r>
      <w:r w:rsidRPr="002B63C3">
        <w:rPr>
          <w:rFonts w:ascii="Arial" w:hAnsi="Arial" w:cs="Arial"/>
          <w:sz w:val="24"/>
          <w:szCs w:val="24"/>
          <w:lang w:val="en-US"/>
        </w:rPr>
        <w:t>. Oxford: Oxford University Press.</w:t>
      </w:r>
    </w:p>
    <w:p w14:paraId="28E39CAB"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Tidd, J. and Bessant, J. (2021) </w:t>
      </w:r>
      <w:r w:rsidRPr="002B63C3">
        <w:rPr>
          <w:rFonts w:ascii="Arial" w:hAnsi="Arial" w:cs="Arial"/>
          <w:i/>
          <w:iCs/>
          <w:sz w:val="24"/>
          <w:szCs w:val="24"/>
          <w:lang w:val="en-US"/>
        </w:rPr>
        <w:t>Managing Innovation: Integrating Technological, Market and Organizational Change</w:t>
      </w:r>
      <w:r w:rsidRPr="002B63C3">
        <w:rPr>
          <w:rFonts w:ascii="Arial" w:hAnsi="Arial" w:cs="Arial"/>
          <w:sz w:val="24"/>
          <w:szCs w:val="24"/>
          <w:lang w:val="en-US"/>
        </w:rPr>
        <w:t xml:space="preserve">. 7th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Hoboken: Wiley.</w:t>
      </w:r>
    </w:p>
    <w:p w14:paraId="3EFE13AE"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Varadarajan, R. (2020) </w:t>
      </w:r>
      <w:r w:rsidRPr="002B63C3">
        <w:rPr>
          <w:rFonts w:ascii="Arial" w:hAnsi="Arial" w:cs="Arial"/>
          <w:i/>
          <w:iCs/>
          <w:sz w:val="24"/>
          <w:szCs w:val="24"/>
          <w:lang w:val="en-US"/>
        </w:rPr>
        <w:t>Strategic Marketing in the Global Economy</w:t>
      </w:r>
      <w:r w:rsidRPr="002B63C3">
        <w:rPr>
          <w:rFonts w:ascii="Arial" w:hAnsi="Arial" w:cs="Arial"/>
          <w:sz w:val="24"/>
          <w:szCs w:val="24"/>
          <w:lang w:val="en-US"/>
        </w:rPr>
        <w:t>. London: Routledge.</w:t>
      </w:r>
    </w:p>
    <w:p w14:paraId="3445BF98"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Wheelen, T.L., Hunger, J.D., Hoffman, A.N. and Bamford, C.E. (2018) </w:t>
      </w:r>
      <w:r w:rsidRPr="002B63C3">
        <w:rPr>
          <w:rFonts w:ascii="Arial" w:hAnsi="Arial" w:cs="Arial"/>
          <w:i/>
          <w:iCs/>
          <w:sz w:val="24"/>
          <w:szCs w:val="24"/>
          <w:lang w:val="en-US"/>
        </w:rPr>
        <w:t>Strategic Management and Business Policy: Globalization, Innovation and Sustainability</w:t>
      </w:r>
      <w:r w:rsidRPr="002B63C3">
        <w:rPr>
          <w:rFonts w:ascii="Arial" w:hAnsi="Arial" w:cs="Arial"/>
          <w:sz w:val="24"/>
          <w:szCs w:val="24"/>
          <w:lang w:val="en-US"/>
        </w:rPr>
        <w:t xml:space="preserve">. 15th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72D40BB3" w14:textId="77777777" w:rsidR="002B63C3" w:rsidRPr="002B63C3" w:rsidRDefault="002B63C3" w:rsidP="002B63C3">
      <w:pPr>
        <w:spacing w:after="0" w:line="360" w:lineRule="auto"/>
        <w:jc w:val="both"/>
        <w:rPr>
          <w:rFonts w:ascii="Arial" w:hAnsi="Arial" w:cs="Arial"/>
          <w:sz w:val="24"/>
          <w:szCs w:val="24"/>
          <w:lang w:val="en-US"/>
        </w:rPr>
      </w:pPr>
      <w:r w:rsidRPr="002B63C3">
        <w:rPr>
          <w:rFonts w:ascii="Arial" w:hAnsi="Arial" w:cs="Arial"/>
          <w:sz w:val="24"/>
          <w:szCs w:val="24"/>
          <w:lang w:val="en-US"/>
        </w:rPr>
        <w:t xml:space="preserve">Yukl, G. (2019) </w:t>
      </w:r>
      <w:r w:rsidRPr="002B63C3">
        <w:rPr>
          <w:rFonts w:ascii="Arial" w:hAnsi="Arial" w:cs="Arial"/>
          <w:i/>
          <w:iCs/>
          <w:sz w:val="24"/>
          <w:szCs w:val="24"/>
          <w:lang w:val="en-US"/>
        </w:rPr>
        <w:t>Leadership in Organizations</w:t>
      </w:r>
      <w:r w:rsidRPr="002B63C3">
        <w:rPr>
          <w:rFonts w:ascii="Arial" w:hAnsi="Arial" w:cs="Arial"/>
          <w:sz w:val="24"/>
          <w:szCs w:val="24"/>
          <w:lang w:val="en-US"/>
        </w:rPr>
        <w:t xml:space="preserve">. 9th </w:t>
      </w:r>
      <w:proofErr w:type="spellStart"/>
      <w:r w:rsidRPr="002B63C3">
        <w:rPr>
          <w:rFonts w:ascii="Arial" w:hAnsi="Arial" w:cs="Arial"/>
          <w:sz w:val="24"/>
          <w:szCs w:val="24"/>
          <w:lang w:val="en-US"/>
        </w:rPr>
        <w:t>edn</w:t>
      </w:r>
      <w:proofErr w:type="spellEnd"/>
      <w:r w:rsidRPr="002B63C3">
        <w:rPr>
          <w:rFonts w:ascii="Arial" w:hAnsi="Arial" w:cs="Arial"/>
          <w:sz w:val="24"/>
          <w:szCs w:val="24"/>
          <w:lang w:val="en-US"/>
        </w:rPr>
        <w:t>. Harlow: Pearson Education.</w:t>
      </w:r>
    </w:p>
    <w:p w14:paraId="65616AAA" w14:textId="77777777" w:rsidR="009B6441" w:rsidRPr="000D5C4F" w:rsidRDefault="009B6441" w:rsidP="009B6441">
      <w:pPr>
        <w:spacing w:after="0"/>
        <w:jc w:val="center"/>
        <w:rPr>
          <w:rFonts w:ascii="Arial" w:hAnsi="Arial" w:cs="Arial"/>
          <w:sz w:val="28"/>
          <w:szCs w:val="28"/>
        </w:rPr>
      </w:pPr>
    </w:p>
    <w:p w14:paraId="7414636E" w14:textId="77777777" w:rsidR="009B6441" w:rsidRDefault="009B6441" w:rsidP="009B6441">
      <w:pPr>
        <w:spacing w:after="0"/>
        <w:jc w:val="center"/>
        <w:rPr>
          <w:rFonts w:ascii="Arial" w:hAnsi="Arial" w:cs="Arial"/>
          <w:b/>
          <w:sz w:val="28"/>
          <w:szCs w:val="28"/>
        </w:rPr>
      </w:pPr>
    </w:p>
    <w:p w14:paraId="28642EA8" w14:textId="77777777" w:rsidR="004171D6" w:rsidRDefault="004171D6"/>
    <w:sectPr w:rsidR="004171D6" w:rsidSect="00505BC4">
      <w:footerReference w:type="default" r:id="rId9"/>
      <w:pgSz w:w="12240" w:h="15840"/>
      <w:pgMar w:top="1440" w:right="1440" w:bottom="1440" w:left="1440" w:header="720" w:footer="720" w:gutter="0"/>
      <w:pgNumType w:start="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062F4E" w14:textId="77777777" w:rsidR="001213C5" w:rsidRDefault="001213C5" w:rsidP="00505BC4">
      <w:pPr>
        <w:spacing w:after="0" w:line="240" w:lineRule="auto"/>
      </w:pPr>
      <w:r>
        <w:separator/>
      </w:r>
    </w:p>
  </w:endnote>
  <w:endnote w:type="continuationSeparator" w:id="0">
    <w:p w14:paraId="4B167AE7" w14:textId="77777777" w:rsidR="001213C5" w:rsidRDefault="001213C5" w:rsidP="00505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FBA23" w14:textId="52A3A165" w:rsidR="00505BC4" w:rsidRDefault="00505BC4">
    <w:pPr>
      <w:pStyle w:val="Footer"/>
      <w:jc w:val="center"/>
    </w:pPr>
  </w:p>
  <w:p w14:paraId="53EABFAD" w14:textId="77777777" w:rsidR="00505BC4" w:rsidRDefault="00505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8852097"/>
      <w:docPartObj>
        <w:docPartGallery w:val="Page Numbers (Bottom of Page)"/>
        <w:docPartUnique/>
      </w:docPartObj>
    </w:sdtPr>
    <w:sdtEndPr>
      <w:rPr>
        <w:noProof/>
      </w:rPr>
    </w:sdtEndPr>
    <w:sdtContent>
      <w:p w14:paraId="45768DE7" w14:textId="5C3E83A9" w:rsidR="00505BC4" w:rsidRDefault="00505BC4">
        <w:pPr>
          <w:pStyle w:val="Footer"/>
          <w:jc w:val="center"/>
        </w:pPr>
        <w:r>
          <w:fldChar w:fldCharType="begin"/>
        </w:r>
        <w:r>
          <w:instrText xml:space="preserve"> PAGE   \* MERGEFORMAT </w:instrText>
        </w:r>
        <w:r>
          <w:fldChar w:fldCharType="separate"/>
        </w:r>
        <w:r w:rsidR="007371E4">
          <w:rPr>
            <w:noProof/>
          </w:rPr>
          <w:t>11</w:t>
        </w:r>
        <w:r>
          <w:rPr>
            <w:noProof/>
          </w:rPr>
          <w:fldChar w:fldCharType="end"/>
        </w:r>
      </w:p>
    </w:sdtContent>
  </w:sdt>
  <w:p w14:paraId="702EAD15" w14:textId="77777777" w:rsidR="00505BC4" w:rsidRDefault="00505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E37B7F" w14:textId="77777777" w:rsidR="001213C5" w:rsidRDefault="001213C5" w:rsidP="00505BC4">
      <w:pPr>
        <w:spacing w:after="0" w:line="240" w:lineRule="auto"/>
      </w:pPr>
      <w:r>
        <w:separator/>
      </w:r>
    </w:p>
  </w:footnote>
  <w:footnote w:type="continuationSeparator" w:id="0">
    <w:p w14:paraId="12C30D93" w14:textId="77777777" w:rsidR="001213C5" w:rsidRDefault="001213C5" w:rsidP="00505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B6194"/>
    <w:multiLevelType w:val="multilevel"/>
    <w:tmpl w:val="8BA2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E6322"/>
    <w:multiLevelType w:val="multilevel"/>
    <w:tmpl w:val="C994B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986B69"/>
    <w:multiLevelType w:val="multilevel"/>
    <w:tmpl w:val="EF229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850C87"/>
    <w:multiLevelType w:val="multilevel"/>
    <w:tmpl w:val="86B2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99196A"/>
    <w:multiLevelType w:val="multilevel"/>
    <w:tmpl w:val="7130C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607ABA"/>
    <w:multiLevelType w:val="multilevel"/>
    <w:tmpl w:val="2F4CC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157A85"/>
    <w:multiLevelType w:val="multilevel"/>
    <w:tmpl w:val="107CB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014A0A"/>
    <w:multiLevelType w:val="multilevel"/>
    <w:tmpl w:val="50F89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317C96"/>
    <w:multiLevelType w:val="multilevel"/>
    <w:tmpl w:val="8FA64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4"/>
  </w:num>
  <w:num w:numId="4">
    <w:abstractNumId w:val="7"/>
  </w:num>
  <w:num w:numId="5">
    <w:abstractNumId w:val="2"/>
  </w:num>
  <w:num w:numId="6">
    <w:abstractNumId w:val="0"/>
  </w:num>
  <w:num w:numId="7">
    <w:abstractNumId w:val="8"/>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BA5"/>
    <w:rsid w:val="0000753D"/>
    <w:rsid w:val="0002483A"/>
    <w:rsid w:val="00045370"/>
    <w:rsid w:val="000708DB"/>
    <w:rsid w:val="001213C5"/>
    <w:rsid w:val="00154C45"/>
    <w:rsid w:val="001E0033"/>
    <w:rsid w:val="002B63C3"/>
    <w:rsid w:val="00303839"/>
    <w:rsid w:val="003F58AA"/>
    <w:rsid w:val="004171D6"/>
    <w:rsid w:val="00505BC4"/>
    <w:rsid w:val="00524867"/>
    <w:rsid w:val="005609AF"/>
    <w:rsid w:val="005D1FC7"/>
    <w:rsid w:val="005E1BA5"/>
    <w:rsid w:val="00644B49"/>
    <w:rsid w:val="007371E4"/>
    <w:rsid w:val="0076780F"/>
    <w:rsid w:val="0094066F"/>
    <w:rsid w:val="00963021"/>
    <w:rsid w:val="009B6441"/>
    <w:rsid w:val="00BB74BD"/>
    <w:rsid w:val="00C2087F"/>
    <w:rsid w:val="00D74091"/>
    <w:rsid w:val="00E70C67"/>
    <w:rsid w:val="00F41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37048"/>
  <w15:chartTrackingRefBased/>
  <w15:docId w15:val="{8AB8561E-8404-4BBB-B3B6-A9969F39A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6441"/>
    <w:pPr>
      <w:spacing w:after="200" w:line="276" w:lineRule="auto"/>
    </w:pPr>
    <w:rPr>
      <w:rFonts w:eastAsiaTheme="minorEastAsia"/>
      <w:kern w:val="0"/>
      <w:sz w:val="22"/>
      <w:szCs w:val="22"/>
      <w:lang w:val="en-GB"/>
      <w14:ligatures w14:val="none"/>
    </w:rPr>
  </w:style>
  <w:style w:type="paragraph" w:styleId="Heading1">
    <w:name w:val="heading 1"/>
    <w:basedOn w:val="Normal"/>
    <w:next w:val="Normal"/>
    <w:link w:val="Heading1Char"/>
    <w:uiPriority w:val="9"/>
    <w:qFormat/>
    <w:rsid w:val="005E1B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1B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1B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1B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1B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1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BA5"/>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5E1BA5"/>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5E1BA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E1BA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E1BA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E1BA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E1BA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E1BA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E1BA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E1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BA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E1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BA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E1BA5"/>
    <w:pPr>
      <w:spacing w:before="160"/>
      <w:jc w:val="center"/>
    </w:pPr>
    <w:rPr>
      <w:i/>
      <w:iCs/>
      <w:color w:val="404040" w:themeColor="text1" w:themeTint="BF"/>
    </w:rPr>
  </w:style>
  <w:style w:type="character" w:customStyle="1" w:styleId="QuoteChar">
    <w:name w:val="Quote Char"/>
    <w:basedOn w:val="DefaultParagraphFont"/>
    <w:link w:val="Quote"/>
    <w:uiPriority w:val="29"/>
    <w:rsid w:val="005E1BA5"/>
    <w:rPr>
      <w:i/>
      <w:iCs/>
      <w:color w:val="404040" w:themeColor="text1" w:themeTint="BF"/>
      <w:lang w:val="en-GB"/>
    </w:rPr>
  </w:style>
  <w:style w:type="paragraph" w:styleId="ListParagraph">
    <w:name w:val="List Paragraph"/>
    <w:basedOn w:val="Normal"/>
    <w:uiPriority w:val="34"/>
    <w:qFormat/>
    <w:rsid w:val="005E1BA5"/>
    <w:pPr>
      <w:ind w:left="720"/>
      <w:contextualSpacing/>
    </w:pPr>
  </w:style>
  <w:style w:type="character" w:styleId="IntenseEmphasis">
    <w:name w:val="Intense Emphasis"/>
    <w:basedOn w:val="DefaultParagraphFont"/>
    <w:uiPriority w:val="21"/>
    <w:qFormat/>
    <w:rsid w:val="005E1BA5"/>
    <w:rPr>
      <w:i/>
      <w:iCs/>
      <w:color w:val="2F5496" w:themeColor="accent1" w:themeShade="BF"/>
    </w:rPr>
  </w:style>
  <w:style w:type="paragraph" w:styleId="IntenseQuote">
    <w:name w:val="Intense Quote"/>
    <w:basedOn w:val="Normal"/>
    <w:next w:val="Normal"/>
    <w:link w:val="IntenseQuoteChar"/>
    <w:uiPriority w:val="30"/>
    <w:qFormat/>
    <w:rsid w:val="005E1B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1BA5"/>
    <w:rPr>
      <w:i/>
      <w:iCs/>
      <w:color w:val="2F5496" w:themeColor="accent1" w:themeShade="BF"/>
      <w:lang w:val="en-GB"/>
    </w:rPr>
  </w:style>
  <w:style w:type="character" w:styleId="IntenseReference">
    <w:name w:val="Intense Reference"/>
    <w:basedOn w:val="DefaultParagraphFont"/>
    <w:uiPriority w:val="32"/>
    <w:qFormat/>
    <w:rsid w:val="005E1BA5"/>
    <w:rPr>
      <w:b/>
      <w:bCs/>
      <w:smallCaps/>
      <w:color w:val="2F5496" w:themeColor="accent1" w:themeShade="BF"/>
      <w:spacing w:val="5"/>
    </w:rPr>
  </w:style>
  <w:style w:type="paragraph" w:styleId="TOCHeading">
    <w:name w:val="TOC Heading"/>
    <w:basedOn w:val="Heading1"/>
    <w:next w:val="Normal"/>
    <w:uiPriority w:val="39"/>
    <w:unhideWhenUsed/>
    <w:qFormat/>
    <w:rsid w:val="00505BC4"/>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505BC4"/>
    <w:pPr>
      <w:spacing w:after="100"/>
    </w:pPr>
  </w:style>
  <w:style w:type="character" w:styleId="Hyperlink">
    <w:name w:val="Hyperlink"/>
    <w:basedOn w:val="DefaultParagraphFont"/>
    <w:uiPriority w:val="99"/>
    <w:unhideWhenUsed/>
    <w:rsid w:val="00505BC4"/>
    <w:rPr>
      <w:color w:val="0563C1" w:themeColor="hyperlink"/>
      <w:u w:val="single"/>
    </w:rPr>
  </w:style>
  <w:style w:type="paragraph" w:styleId="Header">
    <w:name w:val="header"/>
    <w:basedOn w:val="Normal"/>
    <w:link w:val="HeaderChar"/>
    <w:uiPriority w:val="99"/>
    <w:unhideWhenUsed/>
    <w:rsid w:val="00505B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5BC4"/>
    <w:rPr>
      <w:rFonts w:eastAsiaTheme="minorEastAsia"/>
      <w:kern w:val="0"/>
      <w:sz w:val="22"/>
      <w:szCs w:val="22"/>
      <w:lang w:val="en-GB"/>
      <w14:ligatures w14:val="none"/>
    </w:rPr>
  </w:style>
  <w:style w:type="paragraph" w:styleId="Footer">
    <w:name w:val="footer"/>
    <w:basedOn w:val="Normal"/>
    <w:link w:val="FooterChar"/>
    <w:uiPriority w:val="99"/>
    <w:unhideWhenUsed/>
    <w:rsid w:val="00505B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5BC4"/>
    <w:rPr>
      <w:rFonts w:eastAsiaTheme="minorEastAsia"/>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FBF50-3D45-42D6-A212-95A4D3B4F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1</Pages>
  <Words>4438</Words>
  <Characters>25298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Andi G</cp:lastModifiedBy>
  <cp:revision>6</cp:revision>
  <dcterms:created xsi:type="dcterms:W3CDTF">2025-10-20T18:52:00Z</dcterms:created>
  <dcterms:modified xsi:type="dcterms:W3CDTF">2025-11-09T14:06:00Z</dcterms:modified>
</cp:coreProperties>
</file>