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D1730" w14:textId="77777777" w:rsidR="00BF6D37" w:rsidRDefault="00000000">
      <w:pPr>
        <w:pStyle w:val="Heading1"/>
      </w:pPr>
      <w:r>
        <w:t xml:space="preserve">                                               Dementia</w:t>
      </w:r>
    </w:p>
    <w:p w14:paraId="630F8479" w14:textId="77777777" w:rsidR="00BF6D37" w:rsidRDefault="00000000">
      <w:pPr>
        <w:pStyle w:val="Heading1"/>
      </w:pPr>
      <w:r>
        <w:t>Module:  LCHS7000 – Social Epidemiology and Public Health Development</w:t>
      </w:r>
    </w:p>
    <w:p w14:paraId="6559EF58" w14:textId="77777777" w:rsidR="00BF6D37" w:rsidRDefault="00000000">
      <w:pPr>
        <w:pStyle w:val="Heading1"/>
      </w:pPr>
      <w:r>
        <w:t>Module Leader: Dr Aishat Bakre</w:t>
      </w:r>
    </w:p>
    <w:p w14:paraId="463FF78F" w14:textId="77777777" w:rsidR="00BF6D37" w:rsidRDefault="00000000">
      <w:pPr>
        <w:pStyle w:val="Heading1"/>
      </w:pPr>
      <w:r>
        <w:t>Student Name: Vaishnavi Odedra</w:t>
      </w:r>
    </w:p>
    <w:p w14:paraId="1F08F4B4" w14:textId="77777777" w:rsidR="00BF6D37" w:rsidRDefault="00000000">
      <w:pPr>
        <w:pStyle w:val="Heading1"/>
      </w:pPr>
      <w:r>
        <w:t>Student ID: 2541605</w:t>
      </w:r>
    </w:p>
    <w:p w14:paraId="35A0695E" w14:textId="77777777" w:rsidR="00BF6D37" w:rsidRDefault="00000000">
      <w:r>
        <w:rPr>
          <w:b/>
          <w:bCs/>
          <w:noProof/>
        </w:rPr>
        <w:drawing>
          <wp:inline distT="0" distB="0" distL="0" distR="0" wp14:anchorId="0FEAC031" wp14:editId="3BDBDC5D">
            <wp:extent cx="5769717" cy="5891250"/>
            <wp:effectExtent l="0" t="0" r="2433" b="0"/>
            <wp:docPr id="446049967"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69717" cy="5891250"/>
                    </a:xfrm>
                    <a:prstGeom prst="rect">
                      <a:avLst/>
                    </a:prstGeom>
                    <a:noFill/>
                    <a:ln>
                      <a:noFill/>
                      <a:prstDash/>
                    </a:ln>
                  </pic:spPr>
                </pic:pic>
              </a:graphicData>
            </a:graphic>
          </wp:inline>
        </w:drawing>
      </w:r>
    </w:p>
    <w:p w14:paraId="65F71C07" w14:textId="77777777" w:rsidR="00BF6D37" w:rsidRDefault="00BF6D37">
      <w:pPr>
        <w:rPr>
          <w:b/>
          <w:bCs/>
        </w:rPr>
      </w:pPr>
    </w:p>
    <w:p w14:paraId="53FB336D" w14:textId="77777777" w:rsidR="00BF6D37" w:rsidRDefault="00000000">
      <w:pPr>
        <w:spacing w:after="200" w:line="276" w:lineRule="auto"/>
        <w:rPr>
          <w:rFonts w:ascii="Arial" w:hAnsi="Arial" w:cs="Arial"/>
          <w:b/>
          <w:bCs/>
          <w:sz w:val="24"/>
          <w:szCs w:val="24"/>
        </w:rPr>
      </w:pPr>
      <w:r>
        <w:rPr>
          <w:rFonts w:ascii="Arial" w:hAnsi="Arial" w:cs="Arial"/>
          <w:b/>
          <w:bCs/>
          <w:sz w:val="24"/>
          <w:szCs w:val="24"/>
        </w:rPr>
        <w:t>Contents</w:t>
      </w:r>
    </w:p>
    <w:tbl>
      <w:tblPr>
        <w:tblW w:w="6566" w:type="dxa"/>
        <w:tblCellMar>
          <w:left w:w="10" w:type="dxa"/>
          <w:right w:w="10" w:type="dxa"/>
        </w:tblCellMar>
        <w:tblLook w:val="0000" w:firstRow="0" w:lastRow="0" w:firstColumn="0" w:lastColumn="0" w:noHBand="0" w:noVBand="0"/>
      </w:tblPr>
      <w:tblGrid>
        <w:gridCol w:w="5779"/>
        <w:gridCol w:w="787"/>
      </w:tblGrid>
      <w:tr w:rsidR="00BF6D37" w14:paraId="0DAD50F0" w14:textId="77777777">
        <w:trPr>
          <w:tblHeader/>
        </w:trPr>
        <w:tc>
          <w:tcPr>
            <w:tcW w:w="5779" w:type="dxa"/>
            <w:tcMar>
              <w:top w:w="15" w:type="dxa"/>
              <w:left w:w="15" w:type="dxa"/>
              <w:bottom w:w="15" w:type="dxa"/>
              <w:right w:w="15" w:type="dxa"/>
            </w:tcMar>
            <w:vAlign w:val="center"/>
          </w:tcPr>
          <w:p w14:paraId="66F0B23D" w14:textId="77777777" w:rsidR="00BF6D37" w:rsidRDefault="00000000">
            <w:pPr>
              <w:spacing w:after="200" w:line="276" w:lineRule="auto"/>
              <w:rPr>
                <w:rFonts w:ascii="Arial" w:hAnsi="Arial" w:cs="Arial"/>
                <w:b/>
                <w:bCs/>
                <w:sz w:val="24"/>
                <w:szCs w:val="24"/>
              </w:rPr>
            </w:pPr>
            <w:r>
              <w:rPr>
                <w:rFonts w:ascii="Arial" w:hAnsi="Arial" w:cs="Arial"/>
                <w:b/>
                <w:bCs/>
                <w:sz w:val="24"/>
                <w:szCs w:val="24"/>
              </w:rPr>
              <w:t>Section</w:t>
            </w:r>
          </w:p>
        </w:tc>
        <w:tc>
          <w:tcPr>
            <w:tcW w:w="787" w:type="dxa"/>
            <w:tcMar>
              <w:top w:w="15" w:type="dxa"/>
              <w:left w:w="15" w:type="dxa"/>
              <w:bottom w:w="15" w:type="dxa"/>
              <w:right w:w="15" w:type="dxa"/>
            </w:tcMar>
            <w:vAlign w:val="center"/>
          </w:tcPr>
          <w:p w14:paraId="3AF2BF9A" w14:textId="77777777" w:rsidR="00BF6D37" w:rsidRDefault="00000000">
            <w:pPr>
              <w:spacing w:after="200" w:line="276" w:lineRule="auto"/>
              <w:rPr>
                <w:rFonts w:ascii="Arial" w:hAnsi="Arial" w:cs="Arial"/>
                <w:b/>
                <w:bCs/>
                <w:sz w:val="24"/>
                <w:szCs w:val="24"/>
              </w:rPr>
            </w:pPr>
            <w:r>
              <w:rPr>
                <w:rFonts w:ascii="Arial" w:hAnsi="Arial" w:cs="Arial"/>
                <w:b/>
                <w:bCs/>
                <w:sz w:val="24"/>
                <w:szCs w:val="24"/>
              </w:rPr>
              <w:t>Page</w:t>
            </w:r>
          </w:p>
        </w:tc>
      </w:tr>
      <w:tr w:rsidR="00BF6D37" w14:paraId="09F077EF" w14:textId="77777777">
        <w:tc>
          <w:tcPr>
            <w:tcW w:w="5779" w:type="dxa"/>
            <w:tcMar>
              <w:top w:w="15" w:type="dxa"/>
              <w:left w:w="15" w:type="dxa"/>
              <w:bottom w:w="15" w:type="dxa"/>
              <w:right w:w="15" w:type="dxa"/>
            </w:tcMar>
            <w:vAlign w:val="center"/>
          </w:tcPr>
          <w:p w14:paraId="4D06C06F"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 Introduction</w:t>
            </w:r>
          </w:p>
        </w:tc>
        <w:tc>
          <w:tcPr>
            <w:tcW w:w="787" w:type="dxa"/>
            <w:tcMar>
              <w:top w:w="15" w:type="dxa"/>
              <w:left w:w="15" w:type="dxa"/>
              <w:bottom w:w="15" w:type="dxa"/>
              <w:right w:w="15" w:type="dxa"/>
            </w:tcMar>
            <w:vAlign w:val="center"/>
          </w:tcPr>
          <w:p w14:paraId="17113379" w14:textId="77777777" w:rsidR="00BF6D37" w:rsidRDefault="00000000">
            <w:pPr>
              <w:spacing w:after="200" w:line="276" w:lineRule="auto"/>
              <w:rPr>
                <w:rFonts w:ascii="Arial" w:hAnsi="Arial" w:cs="Arial"/>
                <w:b/>
                <w:bCs/>
                <w:sz w:val="24"/>
                <w:szCs w:val="24"/>
              </w:rPr>
            </w:pPr>
            <w:r>
              <w:rPr>
                <w:rFonts w:ascii="Arial" w:hAnsi="Arial" w:cs="Arial"/>
                <w:b/>
                <w:bCs/>
                <w:sz w:val="24"/>
                <w:szCs w:val="24"/>
              </w:rPr>
              <w:t>3</w:t>
            </w:r>
          </w:p>
        </w:tc>
      </w:tr>
      <w:tr w:rsidR="00BF6D37" w14:paraId="6DF9BC2E" w14:textId="77777777">
        <w:tc>
          <w:tcPr>
            <w:tcW w:w="5779" w:type="dxa"/>
            <w:tcMar>
              <w:top w:w="15" w:type="dxa"/>
              <w:left w:w="15" w:type="dxa"/>
              <w:bottom w:w="15" w:type="dxa"/>
              <w:right w:w="15" w:type="dxa"/>
            </w:tcMar>
            <w:vAlign w:val="center"/>
          </w:tcPr>
          <w:p w14:paraId="6935D088" w14:textId="77777777" w:rsidR="00BF6D37" w:rsidRDefault="00000000">
            <w:pPr>
              <w:spacing w:after="200" w:line="276" w:lineRule="auto"/>
              <w:rPr>
                <w:rFonts w:ascii="Arial" w:hAnsi="Arial" w:cs="Arial"/>
                <w:b/>
                <w:bCs/>
                <w:sz w:val="24"/>
                <w:szCs w:val="24"/>
              </w:rPr>
            </w:pPr>
            <w:r>
              <w:rPr>
                <w:rFonts w:ascii="Arial" w:hAnsi="Arial" w:cs="Arial"/>
                <w:b/>
                <w:bCs/>
                <w:sz w:val="24"/>
                <w:szCs w:val="24"/>
              </w:rPr>
              <w:t>2. Definition, Aetiology and Pathophysiology</w:t>
            </w:r>
          </w:p>
        </w:tc>
        <w:tc>
          <w:tcPr>
            <w:tcW w:w="787" w:type="dxa"/>
            <w:tcMar>
              <w:top w:w="15" w:type="dxa"/>
              <w:left w:w="15" w:type="dxa"/>
              <w:bottom w:w="15" w:type="dxa"/>
              <w:right w:w="15" w:type="dxa"/>
            </w:tcMar>
            <w:vAlign w:val="center"/>
          </w:tcPr>
          <w:p w14:paraId="508DE0E6" w14:textId="77777777" w:rsidR="00BF6D37" w:rsidRDefault="00000000">
            <w:pPr>
              <w:spacing w:after="200" w:line="276" w:lineRule="auto"/>
              <w:rPr>
                <w:rFonts w:ascii="Arial" w:hAnsi="Arial" w:cs="Arial"/>
                <w:b/>
                <w:bCs/>
                <w:sz w:val="24"/>
                <w:szCs w:val="24"/>
              </w:rPr>
            </w:pPr>
            <w:r>
              <w:rPr>
                <w:rFonts w:ascii="Arial" w:hAnsi="Arial" w:cs="Arial"/>
                <w:b/>
                <w:bCs/>
                <w:sz w:val="24"/>
                <w:szCs w:val="24"/>
              </w:rPr>
              <w:t>4–5</w:t>
            </w:r>
          </w:p>
        </w:tc>
      </w:tr>
      <w:tr w:rsidR="00BF6D37" w14:paraId="5BD67783" w14:textId="77777777">
        <w:tc>
          <w:tcPr>
            <w:tcW w:w="5779" w:type="dxa"/>
            <w:tcMar>
              <w:top w:w="15" w:type="dxa"/>
              <w:left w:w="15" w:type="dxa"/>
              <w:bottom w:w="15" w:type="dxa"/>
              <w:right w:w="15" w:type="dxa"/>
            </w:tcMar>
            <w:vAlign w:val="center"/>
          </w:tcPr>
          <w:p w14:paraId="20B52EBE" w14:textId="77777777" w:rsidR="00BF6D37" w:rsidRDefault="00000000">
            <w:pPr>
              <w:spacing w:after="200" w:line="276" w:lineRule="auto"/>
              <w:rPr>
                <w:rFonts w:ascii="Arial" w:hAnsi="Arial" w:cs="Arial"/>
                <w:b/>
                <w:bCs/>
                <w:sz w:val="24"/>
                <w:szCs w:val="24"/>
              </w:rPr>
            </w:pPr>
            <w:r>
              <w:rPr>
                <w:rFonts w:ascii="Arial" w:hAnsi="Arial" w:cs="Arial"/>
                <w:b/>
                <w:bCs/>
                <w:sz w:val="24"/>
                <w:szCs w:val="24"/>
              </w:rPr>
              <w:t>3. Epidemiology and Burden</w:t>
            </w:r>
          </w:p>
        </w:tc>
        <w:tc>
          <w:tcPr>
            <w:tcW w:w="787" w:type="dxa"/>
            <w:tcMar>
              <w:top w:w="15" w:type="dxa"/>
              <w:left w:w="15" w:type="dxa"/>
              <w:bottom w:w="15" w:type="dxa"/>
              <w:right w:w="15" w:type="dxa"/>
            </w:tcMar>
            <w:vAlign w:val="center"/>
          </w:tcPr>
          <w:p w14:paraId="61CEF694" w14:textId="77777777" w:rsidR="00BF6D37" w:rsidRDefault="00000000">
            <w:pPr>
              <w:spacing w:after="200" w:line="276" w:lineRule="auto"/>
              <w:rPr>
                <w:rFonts w:ascii="Arial" w:hAnsi="Arial" w:cs="Arial"/>
                <w:b/>
                <w:bCs/>
                <w:sz w:val="24"/>
                <w:szCs w:val="24"/>
              </w:rPr>
            </w:pPr>
            <w:r>
              <w:rPr>
                <w:rFonts w:ascii="Arial" w:hAnsi="Arial" w:cs="Arial"/>
                <w:b/>
                <w:bCs/>
                <w:sz w:val="24"/>
                <w:szCs w:val="24"/>
              </w:rPr>
              <w:t>6–7</w:t>
            </w:r>
          </w:p>
        </w:tc>
      </w:tr>
      <w:tr w:rsidR="00BF6D37" w14:paraId="37BE3017" w14:textId="77777777">
        <w:tc>
          <w:tcPr>
            <w:tcW w:w="5779" w:type="dxa"/>
            <w:tcMar>
              <w:top w:w="15" w:type="dxa"/>
              <w:left w:w="15" w:type="dxa"/>
              <w:bottom w:w="15" w:type="dxa"/>
              <w:right w:w="15" w:type="dxa"/>
            </w:tcMar>
            <w:vAlign w:val="center"/>
          </w:tcPr>
          <w:p w14:paraId="4DB3BE12" w14:textId="77777777" w:rsidR="00BF6D37" w:rsidRDefault="00000000">
            <w:pPr>
              <w:spacing w:after="200" w:line="276" w:lineRule="auto"/>
              <w:rPr>
                <w:rFonts w:ascii="Arial" w:hAnsi="Arial" w:cs="Arial"/>
                <w:b/>
                <w:bCs/>
                <w:sz w:val="24"/>
                <w:szCs w:val="24"/>
              </w:rPr>
            </w:pPr>
            <w:r>
              <w:rPr>
                <w:rFonts w:ascii="Arial" w:hAnsi="Arial" w:cs="Arial"/>
                <w:b/>
                <w:bCs/>
                <w:sz w:val="24"/>
                <w:szCs w:val="24"/>
              </w:rPr>
              <w:t>4. Risk Factors</w:t>
            </w:r>
          </w:p>
        </w:tc>
        <w:tc>
          <w:tcPr>
            <w:tcW w:w="787" w:type="dxa"/>
            <w:tcMar>
              <w:top w:w="15" w:type="dxa"/>
              <w:left w:w="15" w:type="dxa"/>
              <w:bottom w:w="15" w:type="dxa"/>
              <w:right w:w="15" w:type="dxa"/>
            </w:tcMar>
            <w:vAlign w:val="center"/>
          </w:tcPr>
          <w:p w14:paraId="038F9E72" w14:textId="77777777" w:rsidR="00BF6D37" w:rsidRDefault="00000000">
            <w:pPr>
              <w:spacing w:after="200" w:line="276" w:lineRule="auto"/>
              <w:rPr>
                <w:rFonts w:ascii="Arial" w:hAnsi="Arial" w:cs="Arial"/>
                <w:b/>
                <w:bCs/>
                <w:sz w:val="24"/>
                <w:szCs w:val="24"/>
              </w:rPr>
            </w:pPr>
            <w:r>
              <w:rPr>
                <w:rFonts w:ascii="Arial" w:hAnsi="Arial" w:cs="Arial"/>
                <w:b/>
                <w:bCs/>
                <w:sz w:val="24"/>
                <w:szCs w:val="24"/>
              </w:rPr>
              <w:t>7–8</w:t>
            </w:r>
          </w:p>
        </w:tc>
      </w:tr>
      <w:tr w:rsidR="00BF6D37" w14:paraId="0C37494D" w14:textId="77777777">
        <w:tc>
          <w:tcPr>
            <w:tcW w:w="5779" w:type="dxa"/>
            <w:tcMar>
              <w:top w:w="15" w:type="dxa"/>
              <w:left w:w="15" w:type="dxa"/>
              <w:bottom w:w="15" w:type="dxa"/>
              <w:right w:w="15" w:type="dxa"/>
            </w:tcMar>
            <w:vAlign w:val="center"/>
          </w:tcPr>
          <w:p w14:paraId="1647B06F" w14:textId="77777777" w:rsidR="00BF6D37" w:rsidRDefault="00000000">
            <w:pPr>
              <w:spacing w:after="200" w:line="276" w:lineRule="auto"/>
              <w:rPr>
                <w:rFonts w:ascii="Arial" w:hAnsi="Arial" w:cs="Arial"/>
                <w:b/>
                <w:bCs/>
                <w:sz w:val="24"/>
                <w:szCs w:val="24"/>
              </w:rPr>
            </w:pPr>
            <w:r>
              <w:rPr>
                <w:rFonts w:ascii="Arial" w:hAnsi="Arial" w:cs="Arial"/>
                <w:b/>
                <w:bCs/>
                <w:sz w:val="24"/>
                <w:szCs w:val="24"/>
              </w:rPr>
              <w:t>5. Physical, Psychological and Social Impact of Dementia</w:t>
            </w:r>
          </w:p>
        </w:tc>
        <w:tc>
          <w:tcPr>
            <w:tcW w:w="787" w:type="dxa"/>
            <w:tcMar>
              <w:top w:w="15" w:type="dxa"/>
              <w:left w:w="15" w:type="dxa"/>
              <w:bottom w:w="15" w:type="dxa"/>
              <w:right w:w="15" w:type="dxa"/>
            </w:tcMar>
            <w:vAlign w:val="center"/>
          </w:tcPr>
          <w:p w14:paraId="57485024" w14:textId="77777777" w:rsidR="00BF6D37" w:rsidRDefault="00000000">
            <w:pPr>
              <w:spacing w:after="200" w:line="276" w:lineRule="auto"/>
              <w:rPr>
                <w:rFonts w:ascii="Arial" w:hAnsi="Arial" w:cs="Arial"/>
                <w:b/>
                <w:bCs/>
                <w:sz w:val="24"/>
                <w:szCs w:val="24"/>
              </w:rPr>
            </w:pPr>
            <w:r>
              <w:rPr>
                <w:rFonts w:ascii="Arial" w:hAnsi="Arial" w:cs="Arial"/>
                <w:b/>
                <w:bCs/>
                <w:sz w:val="24"/>
                <w:szCs w:val="24"/>
              </w:rPr>
              <w:t>8–11</w:t>
            </w:r>
          </w:p>
        </w:tc>
      </w:tr>
      <w:tr w:rsidR="00BF6D37" w14:paraId="613EDEFB" w14:textId="77777777">
        <w:tc>
          <w:tcPr>
            <w:tcW w:w="5779" w:type="dxa"/>
            <w:tcMar>
              <w:top w:w="15" w:type="dxa"/>
              <w:left w:w="15" w:type="dxa"/>
              <w:bottom w:w="15" w:type="dxa"/>
              <w:right w:w="15" w:type="dxa"/>
            </w:tcMar>
            <w:vAlign w:val="center"/>
          </w:tcPr>
          <w:p w14:paraId="4003C8BE" w14:textId="77777777" w:rsidR="00BF6D37" w:rsidRDefault="00000000">
            <w:pPr>
              <w:spacing w:after="200" w:line="276" w:lineRule="auto"/>
              <w:rPr>
                <w:rFonts w:ascii="Arial" w:hAnsi="Arial" w:cs="Arial"/>
                <w:b/>
                <w:bCs/>
                <w:sz w:val="24"/>
                <w:szCs w:val="24"/>
              </w:rPr>
            </w:pPr>
            <w:r>
              <w:rPr>
                <w:rFonts w:ascii="Arial" w:hAnsi="Arial" w:cs="Arial"/>
                <w:b/>
                <w:bCs/>
                <w:sz w:val="24"/>
                <w:szCs w:val="24"/>
              </w:rPr>
              <w:t>   5.1 Physical Impact</w:t>
            </w:r>
          </w:p>
        </w:tc>
        <w:tc>
          <w:tcPr>
            <w:tcW w:w="787" w:type="dxa"/>
            <w:tcMar>
              <w:top w:w="15" w:type="dxa"/>
              <w:left w:w="15" w:type="dxa"/>
              <w:bottom w:w="15" w:type="dxa"/>
              <w:right w:w="15" w:type="dxa"/>
            </w:tcMar>
            <w:vAlign w:val="center"/>
          </w:tcPr>
          <w:p w14:paraId="6C38FC95" w14:textId="77777777" w:rsidR="00BF6D37" w:rsidRDefault="00000000">
            <w:pPr>
              <w:spacing w:after="200" w:line="276" w:lineRule="auto"/>
              <w:rPr>
                <w:rFonts w:ascii="Arial" w:hAnsi="Arial" w:cs="Arial"/>
                <w:b/>
                <w:bCs/>
                <w:sz w:val="24"/>
                <w:szCs w:val="24"/>
              </w:rPr>
            </w:pPr>
            <w:r>
              <w:rPr>
                <w:rFonts w:ascii="Arial" w:hAnsi="Arial" w:cs="Arial"/>
                <w:b/>
                <w:bCs/>
                <w:sz w:val="24"/>
                <w:szCs w:val="24"/>
              </w:rPr>
              <w:t>8–9</w:t>
            </w:r>
          </w:p>
        </w:tc>
      </w:tr>
      <w:tr w:rsidR="00BF6D37" w14:paraId="70A1CB80" w14:textId="77777777">
        <w:tc>
          <w:tcPr>
            <w:tcW w:w="5779" w:type="dxa"/>
            <w:tcMar>
              <w:top w:w="15" w:type="dxa"/>
              <w:left w:w="15" w:type="dxa"/>
              <w:bottom w:w="15" w:type="dxa"/>
              <w:right w:w="15" w:type="dxa"/>
            </w:tcMar>
            <w:vAlign w:val="center"/>
          </w:tcPr>
          <w:p w14:paraId="43FD30F4" w14:textId="77777777" w:rsidR="00BF6D37" w:rsidRDefault="00000000">
            <w:pPr>
              <w:spacing w:after="200" w:line="276" w:lineRule="auto"/>
              <w:rPr>
                <w:rFonts w:ascii="Arial" w:hAnsi="Arial" w:cs="Arial"/>
                <w:b/>
                <w:bCs/>
                <w:sz w:val="24"/>
                <w:szCs w:val="24"/>
              </w:rPr>
            </w:pPr>
            <w:r>
              <w:rPr>
                <w:rFonts w:ascii="Arial" w:hAnsi="Arial" w:cs="Arial"/>
                <w:b/>
                <w:bCs/>
                <w:sz w:val="24"/>
                <w:szCs w:val="24"/>
              </w:rPr>
              <w:t>   5.2 Psychological Impact</w:t>
            </w:r>
          </w:p>
        </w:tc>
        <w:tc>
          <w:tcPr>
            <w:tcW w:w="787" w:type="dxa"/>
            <w:tcMar>
              <w:top w:w="15" w:type="dxa"/>
              <w:left w:w="15" w:type="dxa"/>
              <w:bottom w:w="15" w:type="dxa"/>
              <w:right w:w="15" w:type="dxa"/>
            </w:tcMar>
            <w:vAlign w:val="center"/>
          </w:tcPr>
          <w:p w14:paraId="634BDE73" w14:textId="77777777" w:rsidR="00BF6D37" w:rsidRDefault="00000000">
            <w:pPr>
              <w:spacing w:after="200" w:line="276" w:lineRule="auto"/>
              <w:rPr>
                <w:rFonts w:ascii="Arial" w:hAnsi="Arial" w:cs="Arial"/>
                <w:b/>
                <w:bCs/>
                <w:sz w:val="24"/>
                <w:szCs w:val="24"/>
              </w:rPr>
            </w:pPr>
            <w:r>
              <w:rPr>
                <w:rFonts w:ascii="Arial" w:hAnsi="Arial" w:cs="Arial"/>
                <w:b/>
                <w:bCs/>
                <w:sz w:val="24"/>
                <w:szCs w:val="24"/>
              </w:rPr>
              <w:t>9–10</w:t>
            </w:r>
          </w:p>
        </w:tc>
      </w:tr>
      <w:tr w:rsidR="00BF6D37" w14:paraId="2A5B806A" w14:textId="77777777">
        <w:tc>
          <w:tcPr>
            <w:tcW w:w="5779" w:type="dxa"/>
            <w:tcMar>
              <w:top w:w="15" w:type="dxa"/>
              <w:left w:w="15" w:type="dxa"/>
              <w:bottom w:w="15" w:type="dxa"/>
              <w:right w:w="15" w:type="dxa"/>
            </w:tcMar>
            <w:vAlign w:val="center"/>
          </w:tcPr>
          <w:p w14:paraId="0A08D2A8" w14:textId="77777777" w:rsidR="00BF6D37" w:rsidRDefault="00000000">
            <w:pPr>
              <w:spacing w:after="200" w:line="276" w:lineRule="auto"/>
              <w:rPr>
                <w:rFonts w:ascii="Arial" w:hAnsi="Arial" w:cs="Arial"/>
                <w:b/>
                <w:bCs/>
                <w:sz w:val="24"/>
                <w:szCs w:val="24"/>
              </w:rPr>
            </w:pPr>
            <w:r>
              <w:rPr>
                <w:rFonts w:ascii="Arial" w:hAnsi="Arial" w:cs="Arial"/>
                <w:b/>
                <w:bCs/>
                <w:sz w:val="24"/>
                <w:szCs w:val="24"/>
              </w:rPr>
              <w:t>   5.3 Social Impact</w:t>
            </w:r>
          </w:p>
        </w:tc>
        <w:tc>
          <w:tcPr>
            <w:tcW w:w="787" w:type="dxa"/>
            <w:tcMar>
              <w:top w:w="15" w:type="dxa"/>
              <w:left w:w="15" w:type="dxa"/>
              <w:bottom w:w="15" w:type="dxa"/>
              <w:right w:w="15" w:type="dxa"/>
            </w:tcMar>
            <w:vAlign w:val="center"/>
          </w:tcPr>
          <w:p w14:paraId="0F8632E7"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10</w:t>
            </w:r>
          </w:p>
        </w:tc>
      </w:tr>
      <w:tr w:rsidR="00BF6D37" w14:paraId="6F958A28" w14:textId="77777777">
        <w:tc>
          <w:tcPr>
            <w:tcW w:w="5779" w:type="dxa"/>
            <w:tcMar>
              <w:top w:w="15" w:type="dxa"/>
              <w:left w:w="15" w:type="dxa"/>
              <w:bottom w:w="15" w:type="dxa"/>
              <w:right w:w="15" w:type="dxa"/>
            </w:tcMar>
            <w:vAlign w:val="center"/>
          </w:tcPr>
          <w:p w14:paraId="135A3AB4" w14:textId="77777777" w:rsidR="00BF6D37" w:rsidRDefault="00000000">
            <w:pPr>
              <w:spacing w:after="200" w:line="276" w:lineRule="auto"/>
              <w:rPr>
                <w:rFonts w:ascii="Arial" w:hAnsi="Arial" w:cs="Arial"/>
                <w:b/>
                <w:bCs/>
                <w:sz w:val="24"/>
                <w:szCs w:val="24"/>
              </w:rPr>
            </w:pPr>
            <w:r>
              <w:rPr>
                <w:rFonts w:ascii="Arial" w:hAnsi="Arial" w:cs="Arial"/>
                <w:b/>
                <w:bCs/>
                <w:sz w:val="24"/>
                <w:szCs w:val="24"/>
              </w:rPr>
              <w:t>6. Evidence-Based Management in the United Kingdom</w:t>
            </w:r>
          </w:p>
        </w:tc>
        <w:tc>
          <w:tcPr>
            <w:tcW w:w="787" w:type="dxa"/>
            <w:tcMar>
              <w:top w:w="15" w:type="dxa"/>
              <w:left w:w="15" w:type="dxa"/>
              <w:bottom w:w="15" w:type="dxa"/>
              <w:right w:w="15" w:type="dxa"/>
            </w:tcMar>
            <w:vAlign w:val="center"/>
          </w:tcPr>
          <w:p w14:paraId="078AB6DA"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11</w:t>
            </w:r>
          </w:p>
        </w:tc>
      </w:tr>
      <w:tr w:rsidR="00BF6D37" w14:paraId="70F12F32" w14:textId="77777777">
        <w:tc>
          <w:tcPr>
            <w:tcW w:w="5779" w:type="dxa"/>
            <w:tcMar>
              <w:top w:w="15" w:type="dxa"/>
              <w:left w:w="15" w:type="dxa"/>
              <w:bottom w:w="15" w:type="dxa"/>
              <w:right w:w="15" w:type="dxa"/>
            </w:tcMar>
            <w:vAlign w:val="center"/>
          </w:tcPr>
          <w:p w14:paraId="56E20CE0" w14:textId="77777777" w:rsidR="00BF6D37" w:rsidRDefault="00000000">
            <w:pPr>
              <w:spacing w:after="200" w:line="276" w:lineRule="auto"/>
              <w:rPr>
                <w:rFonts w:ascii="Arial" w:hAnsi="Arial" w:cs="Arial"/>
                <w:b/>
                <w:bCs/>
                <w:sz w:val="24"/>
                <w:szCs w:val="24"/>
              </w:rPr>
            </w:pPr>
            <w:r>
              <w:rPr>
                <w:rFonts w:ascii="Arial" w:hAnsi="Arial" w:cs="Arial"/>
                <w:b/>
                <w:bCs/>
                <w:sz w:val="24"/>
                <w:szCs w:val="24"/>
              </w:rPr>
              <w:t>7. Theoretical Models for Dementia Care</w:t>
            </w:r>
          </w:p>
        </w:tc>
        <w:tc>
          <w:tcPr>
            <w:tcW w:w="787" w:type="dxa"/>
            <w:tcMar>
              <w:top w:w="15" w:type="dxa"/>
              <w:left w:w="15" w:type="dxa"/>
              <w:bottom w:w="15" w:type="dxa"/>
              <w:right w:w="15" w:type="dxa"/>
            </w:tcMar>
            <w:vAlign w:val="center"/>
          </w:tcPr>
          <w:p w14:paraId="3914E064"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11–13</w:t>
            </w:r>
          </w:p>
        </w:tc>
      </w:tr>
      <w:tr w:rsidR="00BF6D37" w14:paraId="73EF9F87" w14:textId="77777777">
        <w:tc>
          <w:tcPr>
            <w:tcW w:w="5779" w:type="dxa"/>
            <w:tcMar>
              <w:top w:w="15" w:type="dxa"/>
              <w:left w:w="15" w:type="dxa"/>
              <w:bottom w:w="15" w:type="dxa"/>
              <w:right w:w="15" w:type="dxa"/>
            </w:tcMar>
            <w:vAlign w:val="center"/>
          </w:tcPr>
          <w:p w14:paraId="6FAC8D51" w14:textId="77777777" w:rsidR="00BF6D37" w:rsidRDefault="00000000">
            <w:pPr>
              <w:spacing w:after="200" w:line="276" w:lineRule="auto"/>
              <w:rPr>
                <w:rFonts w:ascii="Arial" w:hAnsi="Arial" w:cs="Arial"/>
                <w:b/>
                <w:bCs/>
                <w:sz w:val="24"/>
                <w:szCs w:val="24"/>
              </w:rPr>
            </w:pPr>
            <w:r>
              <w:rPr>
                <w:rFonts w:ascii="Arial" w:hAnsi="Arial" w:cs="Arial"/>
                <w:b/>
                <w:bCs/>
                <w:sz w:val="24"/>
                <w:szCs w:val="24"/>
              </w:rPr>
              <w:t>   7.1 House of Care Model</w:t>
            </w:r>
          </w:p>
        </w:tc>
        <w:tc>
          <w:tcPr>
            <w:tcW w:w="787" w:type="dxa"/>
            <w:tcMar>
              <w:top w:w="15" w:type="dxa"/>
              <w:left w:w="15" w:type="dxa"/>
              <w:bottom w:w="15" w:type="dxa"/>
              <w:right w:w="15" w:type="dxa"/>
            </w:tcMar>
            <w:vAlign w:val="center"/>
          </w:tcPr>
          <w:p w14:paraId="49B65BE1"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11–12</w:t>
            </w:r>
          </w:p>
        </w:tc>
      </w:tr>
      <w:tr w:rsidR="00BF6D37" w14:paraId="6B1E9BA6" w14:textId="77777777">
        <w:tc>
          <w:tcPr>
            <w:tcW w:w="5779" w:type="dxa"/>
            <w:tcMar>
              <w:top w:w="15" w:type="dxa"/>
              <w:left w:w="15" w:type="dxa"/>
              <w:bottom w:w="15" w:type="dxa"/>
              <w:right w:w="15" w:type="dxa"/>
            </w:tcMar>
            <w:vAlign w:val="center"/>
          </w:tcPr>
          <w:p w14:paraId="4AC7E13F" w14:textId="77777777" w:rsidR="00BF6D37" w:rsidRDefault="00000000">
            <w:pPr>
              <w:spacing w:after="200" w:line="276" w:lineRule="auto"/>
              <w:rPr>
                <w:rFonts w:ascii="Arial" w:hAnsi="Arial" w:cs="Arial"/>
                <w:b/>
                <w:bCs/>
                <w:sz w:val="24"/>
                <w:szCs w:val="24"/>
              </w:rPr>
            </w:pPr>
            <w:r>
              <w:rPr>
                <w:rFonts w:ascii="Arial" w:hAnsi="Arial" w:cs="Arial"/>
                <w:b/>
                <w:bCs/>
                <w:sz w:val="24"/>
                <w:szCs w:val="24"/>
              </w:rPr>
              <w:t>   7.2 Chronic Care Model</w:t>
            </w:r>
          </w:p>
        </w:tc>
        <w:tc>
          <w:tcPr>
            <w:tcW w:w="787" w:type="dxa"/>
            <w:tcMar>
              <w:top w:w="15" w:type="dxa"/>
              <w:left w:w="15" w:type="dxa"/>
              <w:bottom w:w="15" w:type="dxa"/>
              <w:right w:w="15" w:type="dxa"/>
            </w:tcMar>
            <w:vAlign w:val="center"/>
          </w:tcPr>
          <w:p w14:paraId="71191A9B"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12–13</w:t>
            </w:r>
          </w:p>
        </w:tc>
      </w:tr>
      <w:tr w:rsidR="00BF6D37" w14:paraId="2F032831" w14:textId="77777777">
        <w:tc>
          <w:tcPr>
            <w:tcW w:w="5779" w:type="dxa"/>
            <w:tcMar>
              <w:top w:w="15" w:type="dxa"/>
              <w:left w:w="15" w:type="dxa"/>
              <w:bottom w:w="15" w:type="dxa"/>
              <w:right w:w="15" w:type="dxa"/>
            </w:tcMar>
            <w:vAlign w:val="center"/>
          </w:tcPr>
          <w:p w14:paraId="10462C83" w14:textId="77777777" w:rsidR="00BF6D37" w:rsidRDefault="00000000">
            <w:pPr>
              <w:spacing w:after="200" w:line="276" w:lineRule="auto"/>
              <w:rPr>
                <w:rFonts w:ascii="Arial" w:hAnsi="Arial" w:cs="Arial"/>
                <w:b/>
                <w:bCs/>
                <w:sz w:val="24"/>
                <w:szCs w:val="24"/>
              </w:rPr>
            </w:pPr>
            <w:r>
              <w:rPr>
                <w:rFonts w:ascii="Arial" w:hAnsi="Arial" w:cs="Arial"/>
                <w:b/>
                <w:bCs/>
                <w:sz w:val="24"/>
                <w:szCs w:val="24"/>
              </w:rPr>
              <w:t>8. Policy and Political Context</w:t>
            </w:r>
          </w:p>
        </w:tc>
        <w:tc>
          <w:tcPr>
            <w:tcW w:w="787" w:type="dxa"/>
            <w:tcMar>
              <w:top w:w="15" w:type="dxa"/>
              <w:left w:w="15" w:type="dxa"/>
              <w:bottom w:w="15" w:type="dxa"/>
              <w:right w:w="15" w:type="dxa"/>
            </w:tcMar>
            <w:vAlign w:val="center"/>
          </w:tcPr>
          <w:p w14:paraId="6F266525"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13</w:t>
            </w:r>
          </w:p>
        </w:tc>
      </w:tr>
      <w:tr w:rsidR="00BF6D37" w14:paraId="58C89F3F" w14:textId="77777777">
        <w:tc>
          <w:tcPr>
            <w:tcW w:w="5779" w:type="dxa"/>
            <w:tcMar>
              <w:top w:w="15" w:type="dxa"/>
              <w:left w:w="15" w:type="dxa"/>
              <w:bottom w:w="15" w:type="dxa"/>
              <w:right w:w="15" w:type="dxa"/>
            </w:tcMar>
            <w:vAlign w:val="center"/>
          </w:tcPr>
          <w:p w14:paraId="27299B12" w14:textId="77777777" w:rsidR="00BF6D37" w:rsidRDefault="00000000">
            <w:pPr>
              <w:spacing w:after="200" w:line="276" w:lineRule="auto"/>
              <w:rPr>
                <w:rFonts w:ascii="Arial" w:hAnsi="Arial" w:cs="Arial"/>
                <w:b/>
                <w:bCs/>
                <w:sz w:val="24"/>
                <w:szCs w:val="24"/>
              </w:rPr>
            </w:pPr>
            <w:r>
              <w:rPr>
                <w:rFonts w:ascii="Arial" w:hAnsi="Arial" w:cs="Arial"/>
                <w:b/>
                <w:bCs/>
                <w:sz w:val="24"/>
                <w:szCs w:val="24"/>
              </w:rPr>
              <w:t>9. Recommendations</w:t>
            </w:r>
          </w:p>
        </w:tc>
        <w:tc>
          <w:tcPr>
            <w:tcW w:w="787" w:type="dxa"/>
            <w:tcMar>
              <w:top w:w="15" w:type="dxa"/>
              <w:left w:w="15" w:type="dxa"/>
              <w:bottom w:w="15" w:type="dxa"/>
              <w:right w:w="15" w:type="dxa"/>
            </w:tcMar>
            <w:vAlign w:val="center"/>
          </w:tcPr>
          <w:p w14:paraId="022ECF05"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13-14</w:t>
            </w:r>
          </w:p>
        </w:tc>
      </w:tr>
      <w:tr w:rsidR="00BF6D37" w14:paraId="3541184E" w14:textId="77777777">
        <w:tc>
          <w:tcPr>
            <w:tcW w:w="5779" w:type="dxa"/>
            <w:tcMar>
              <w:top w:w="15" w:type="dxa"/>
              <w:left w:w="15" w:type="dxa"/>
              <w:bottom w:w="15" w:type="dxa"/>
              <w:right w:w="15" w:type="dxa"/>
            </w:tcMar>
            <w:vAlign w:val="center"/>
          </w:tcPr>
          <w:p w14:paraId="23922914"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10. Summary</w:t>
            </w:r>
          </w:p>
        </w:tc>
        <w:tc>
          <w:tcPr>
            <w:tcW w:w="787" w:type="dxa"/>
            <w:tcMar>
              <w:top w:w="15" w:type="dxa"/>
              <w:left w:w="15" w:type="dxa"/>
              <w:bottom w:w="15" w:type="dxa"/>
              <w:right w:w="15" w:type="dxa"/>
            </w:tcMar>
            <w:vAlign w:val="center"/>
          </w:tcPr>
          <w:p w14:paraId="393EB20B"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14</w:t>
            </w:r>
          </w:p>
        </w:tc>
      </w:tr>
      <w:tr w:rsidR="00BF6D37" w14:paraId="48C2ED55" w14:textId="77777777">
        <w:tc>
          <w:tcPr>
            <w:tcW w:w="5779" w:type="dxa"/>
            <w:tcMar>
              <w:top w:w="15" w:type="dxa"/>
              <w:left w:w="15" w:type="dxa"/>
              <w:bottom w:w="15" w:type="dxa"/>
              <w:right w:w="15" w:type="dxa"/>
            </w:tcMar>
            <w:vAlign w:val="center"/>
          </w:tcPr>
          <w:p w14:paraId="1D4E26AE" w14:textId="77777777" w:rsidR="00BF6D37" w:rsidRDefault="00000000">
            <w:pPr>
              <w:spacing w:after="200" w:line="276" w:lineRule="auto"/>
              <w:rPr>
                <w:rFonts w:ascii="Arial" w:hAnsi="Arial" w:cs="Arial"/>
                <w:b/>
                <w:bCs/>
                <w:sz w:val="24"/>
                <w:szCs w:val="24"/>
              </w:rPr>
            </w:pPr>
            <w:r>
              <w:rPr>
                <w:rFonts w:ascii="Arial" w:hAnsi="Arial" w:cs="Arial"/>
                <w:b/>
                <w:bCs/>
                <w:sz w:val="24"/>
                <w:szCs w:val="24"/>
              </w:rPr>
              <w:t>Reference List</w:t>
            </w:r>
          </w:p>
        </w:tc>
        <w:tc>
          <w:tcPr>
            <w:tcW w:w="787" w:type="dxa"/>
            <w:tcMar>
              <w:top w:w="15" w:type="dxa"/>
              <w:left w:w="15" w:type="dxa"/>
              <w:bottom w:w="15" w:type="dxa"/>
              <w:right w:w="15" w:type="dxa"/>
            </w:tcMar>
            <w:vAlign w:val="center"/>
          </w:tcPr>
          <w:p w14:paraId="5A2E997B" w14:textId="77777777" w:rsidR="00BF6D37" w:rsidRDefault="00000000">
            <w:pPr>
              <w:spacing w:after="200" w:line="276" w:lineRule="auto"/>
              <w:rPr>
                <w:rFonts w:ascii="Arial" w:hAnsi="Arial" w:cs="Arial"/>
                <w:b/>
                <w:bCs/>
                <w:sz w:val="24"/>
                <w:szCs w:val="24"/>
              </w:rPr>
            </w:pPr>
            <w:r>
              <w:rPr>
                <w:rFonts w:ascii="Arial" w:hAnsi="Arial" w:cs="Arial"/>
                <w:b/>
                <w:bCs/>
                <w:sz w:val="24"/>
                <w:szCs w:val="24"/>
              </w:rPr>
              <w:t>15–16</w:t>
            </w:r>
          </w:p>
        </w:tc>
      </w:tr>
    </w:tbl>
    <w:p w14:paraId="7917B410" w14:textId="77777777" w:rsidR="00BF6D37" w:rsidRDefault="00BF6D37">
      <w:pPr>
        <w:rPr>
          <w:rFonts w:ascii="Arial" w:hAnsi="Arial" w:cs="Arial"/>
          <w:b/>
          <w:bCs/>
          <w:sz w:val="24"/>
          <w:szCs w:val="24"/>
        </w:rPr>
      </w:pPr>
    </w:p>
    <w:p w14:paraId="1D63B004" w14:textId="77777777" w:rsidR="00BF6D37" w:rsidRDefault="00BF6D37">
      <w:pPr>
        <w:rPr>
          <w:rFonts w:ascii="Arial" w:hAnsi="Arial" w:cs="Arial"/>
          <w:b/>
          <w:bCs/>
          <w:sz w:val="24"/>
          <w:szCs w:val="24"/>
        </w:rPr>
      </w:pPr>
    </w:p>
    <w:p w14:paraId="14645A01" w14:textId="77777777" w:rsidR="00BF6D37" w:rsidRDefault="00BF6D37">
      <w:pPr>
        <w:rPr>
          <w:b/>
          <w:bCs/>
        </w:rPr>
      </w:pPr>
    </w:p>
    <w:p w14:paraId="68DD95F4" w14:textId="77777777" w:rsidR="00BF6D37" w:rsidRDefault="00BF6D37">
      <w:pPr>
        <w:rPr>
          <w:b/>
          <w:bCs/>
        </w:rPr>
      </w:pPr>
    </w:p>
    <w:p w14:paraId="17CE9752" w14:textId="77777777" w:rsidR="00BF6D37" w:rsidRDefault="00BF6D37">
      <w:pPr>
        <w:rPr>
          <w:b/>
          <w:bCs/>
          <w:sz w:val="28"/>
          <w:szCs w:val="28"/>
        </w:rPr>
      </w:pPr>
    </w:p>
    <w:p w14:paraId="6B8FEAEB" w14:textId="77777777" w:rsidR="00BF6D37" w:rsidRDefault="00000000">
      <w:pPr>
        <w:pStyle w:val="Heading1"/>
        <w:rPr>
          <w:rFonts w:ascii="Arial" w:hAnsi="Arial" w:cs="Arial"/>
          <w:b/>
          <w:bCs/>
          <w:sz w:val="32"/>
          <w:szCs w:val="32"/>
        </w:rPr>
      </w:pPr>
      <w:r>
        <w:rPr>
          <w:rFonts w:ascii="Arial" w:hAnsi="Arial" w:cs="Arial"/>
          <w:b/>
          <w:bCs/>
          <w:sz w:val="32"/>
          <w:szCs w:val="32"/>
        </w:rPr>
        <w:lastRenderedPageBreak/>
        <w:t>Introduction</w:t>
      </w:r>
    </w:p>
    <w:p w14:paraId="0B343A2D" w14:textId="77777777" w:rsidR="00BF6D37" w:rsidRDefault="00000000">
      <w:pPr>
        <w:rPr>
          <w:rFonts w:ascii="Arial" w:hAnsi="Arial" w:cs="Arial"/>
          <w:sz w:val="24"/>
          <w:szCs w:val="24"/>
        </w:rPr>
      </w:pPr>
      <w:r>
        <w:rPr>
          <w:rFonts w:ascii="Arial" w:hAnsi="Arial" w:cs="Arial"/>
          <w:sz w:val="24"/>
          <w:szCs w:val="24"/>
        </w:rPr>
        <w:t>Dementia is a progressive neurological syndrome characterised by a decline in cognitive function that affects memory, thinking, behaviour, communication and the ability to perform everyday activities independently (World Health Organization (WHO), 2025). Rather than being a single disease, dementia is an umbrella term that describes a group of disorders caused by damage to brain cells, with Alzheimer's disease accounting for approximately 60–70% of all cases worldwide (WHO, 2025). Other common types include vascular dementia, dementia with Lewy bodies and frontotemporal dementia, each presenting with distinct pathological features and clinical manifestations (National Institute for Health and Care Excellence (NICE), 2018). Although dementia predominantly affects older adults, it is not a normal part of the ageing process, and early recognition of symptoms is essential for timely intervention and appropriate care (NICE, 2018; Alzheimer's Society, 2024).</w:t>
      </w:r>
    </w:p>
    <w:p w14:paraId="6DA88D1D" w14:textId="77777777" w:rsidR="00BF6D37" w:rsidRDefault="00000000">
      <w:pPr>
        <w:rPr>
          <w:rFonts w:ascii="Arial" w:hAnsi="Arial" w:cs="Arial"/>
          <w:sz w:val="24"/>
          <w:szCs w:val="24"/>
        </w:rPr>
      </w:pPr>
      <w:r>
        <w:rPr>
          <w:rFonts w:ascii="Arial" w:hAnsi="Arial" w:cs="Arial"/>
          <w:sz w:val="24"/>
          <w:szCs w:val="24"/>
        </w:rPr>
        <w:t>Dementia has become one of the greatest public health challenges of the twenty-first century because of increasing life expectancy and ageing populations (WHO, 2025). Globally, more than 55 million people are currently living with dementia, with nearly 10 million new cases diagnosed annually, making it one of the leading causes of disability and dependency among older adults (WHO, 2025). In the United Kingdom, approximately 982,000 people are living with dementia, and this number is projected to increase to around 1.4 million by 2040, placing considerable pressure on health and social care services (Alzheimer's Society, 2024). Dementia also has a significant economic impact, costing the UK an estimated £42 billion annually through healthcare expenditure, social care provision and unpaid caregiving, with these costs expected to continue rising alongside population ageing (Alzheimer's Society, 2024; NHS England, 2019).</w:t>
      </w:r>
    </w:p>
    <w:p w14:paraId="763A7749" w14:textId="77777777" w:rsidR="00BF6D37" w:rsidRDefault="00000000">
      <w:pPr>
        <w:rPr>
          <w:rFonts w:ascii="Arial" w:hAnsi="Arial" w:cs="Arial"/>
          <w:sz w:val="24"/>
          <w:szCs w:val="24"/>
        </w:rPr>
      </w:pPr>
      <w:r>
        <w:rPr>
          <w:rFonts w:ascii="Arial" w:hAnsi="Arial" w:cs="Arial"/>
          <w:sz w:val="24"/>
          <w:szCs w:val="24"/>
        </w:rPr>
        <w:t>Although there is currently no cure for dementia, evidence suggests that early diagnosis, appropriate pharmacological and non-pharmacological interventions, person-centred care and coordinated multidisciplinary support can improve quality of life and delay functional decline (National Institute for Health and Care Excellence (NICE), 2018; NHS England, 2019). Therefore, effective long-term management is essential to address the complex physical, psychological and social needs of people living with dementia and to support their families and caregivers (NICE, 2018). This booklet aims to provide an evidence-based overview of dementia by exploring its aetiology, epidemiology, modifiable and non-modifiable risk factors, physical, psychological and social impacts, evidence-based management within the United Kingdom, relevant health policies, and the application of the House of Care Model and the Chronic Care Model to promote person-centred, integrated care.</w:t>
      </w:r>
    </w:p>
    <w:p w14:paraId="3BFF1F22" w14:textId="77777777" w:rsidR="00BF6D37" w:rsidRDefault="00BF6D37">
      <w:pPr>
        <w:rPr>
          <w:rFonts w:ascii="Arial" w:hAnsi="Arial" w:cs="Arial"/>
          <w:sz w:val="24"/>
          <w:szCs w:val="24"/>
        </w:rPr>
      </w:pPr>
    </w:p>
    <w:p w14:paraId="455A3FAE" w14:textId="77777777" w:rsidR="00BF6D37" w:rsidRDefault="00BF6D37">
      <w:pPr>
        <w:rPr>
          <w:rFonts w:ascii="Arial" w:hAnsi="Arial" w:cs="Arial"/>
          <w:sz w:val="24"/>
          <w:szCs w:val="24"/>
        </w:rPr>
      </w:pPr>
    </w:p>
    <w:p w14:paraId="3249D85E" w14:textId="77777777" w:rsidR="00BF6D37" w:rsidRDefault="00BF6D37">
      <w:pPr>
        <w:rPr>
          <w:rFonts w:ascii="Arial" w:hAnsi="Arial" w:cs="Arial"/>
          <w:sz w:val="24"/>
          <w:szCs w:val="24"/>
        </w:rPr>
      </w:pPr>
    </w:p>
    <w:p w14:paraId="55FE660A" w14:textId="77777777" w:rsidR="00BF6D37" w:rsidRDefault="00000000">
      <w:pPr>
        <w:pStyle w:val="Heading1"/>
        <w:rPr>
          <w:rFonts w:ascii="Arial" w:hAnsi="Arial" w:cs="Arial"/>
          <w:b/>
          <w:bCs/>
          <w:sz w:val="32"/>
          <w:szCs w:val="32"/>
        </w:rPr>
      </w:pPr>
      <w:r>
        <w:rPr>
          <w:rFonts w:ascii="Arial" w:hAnsi="Arial" w:cs="Arial"/>
          <w:b/>
          <w:bCs/>
          <w:sz w:val="32"/>
          <w:szCs w:val="32"/>
        </w:rPr>
        <w:lastRenderedPageBreak/>
        <w:t>Definition, Aetiology and Pathophysiology</w:t>
      </w:r>
    </w:p>
    <w:p w14:paraId="1B9D69F2" w14:textId="77777777" w:rsidR="00BF6D37" w:rsidRDefault="00000000">
      <w:r>
        <w:rPr>
          <w:rFonts w:ascii="Arial" w:hAnsi="Arial" w:cs="Arial"/>
          <w:sz w:val="24"/>
          <w:szCs w:val="24"/>
        </w:rPr>
        <w:t xml:space="preserve">Dementia is a progressive neurological syndrome characterised by a decline in cognitive function that affects memory, thinking, communication, behaviour and the ability to perform everyday activities independently (WHO, 2025). Rather than representing a single disease, dementia is an umbrella term that includes several neurodegenerative disorders, with Alzheimer's disease accounting for approximately 60–70% of all dementia cases worldwide (WHO, 2025). Other common forms include vascular dementia, dementia with Lewy bodies and frontotemporal dementia, each differing in their underlying pathology and clinical presentation (NICE, 2018; Alzheimer's Society, 2024; Livingston </w:t>
      </w:r>
      <w:r>
        <w:rPr>
          <w:rFonts w:ascii="Arial" w:hAnsi="Arial" w:cs="Arial"/>
          <w:i/>
          <w:iCs/>
          <w:sz w:val="24"/>
          <w:szCs w:val="24"/>
        </w:rPr>
        <w:t>et al</w:t>
      </w:r>
      <w:r>
        <w:rPr>
          <w:rFonts w:ascii="Arial" w:hAnsi="Arial" w:cs="Arial"/>
          <w:sz w:val="24"/>
          <w:szCs w:val="24"/>
        </w:rPr>
        <w:t>., 2024).</w:t>
      </w:r>
    </w:p>
    <w:p w14:paraId="00F63A5E" w14:textId="77777777" w:rsidR="00BF6D37" w:rsidRDefault="00000000">
      <w:r>
        <w:rPr>
          <w:rFonts w:ascii="Arial" w:hAnsi="Arial" w:cs="Arial"/>
          <w:noProof/>
          <w:sz w:val="24"/>
          <w:szCs w:val="24"/>
        </w:rPr>
        <w:drawing>
          <wp:inline distT="0" distB="0" distL="0" distR="0" wp14:anchorId="7CA1A27A" wp14:editId="5FE31DCD">
            <wp:extent cx="5742925" cy="5718602"/>
            <wp:effectExtent l="0" t="0" r="0" b="0"/>
            <wp:docPr id="208136888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42925" cy="5718602"/>
                    </a:xfrm>
                    <a:prstGeom prst="rect">
                      <a:avLst/>
                    </a:prstGeom>
                    <a:noFill/>
                    <a:ln>
                      <a:noFill/>
                      <a:prstDash/>
                    </a:ln>
                  </pic:spPr>
                </pic:pic>
              </a:graphicData>
            </a:graphic>
          </wp:inline>
        </w:drawing>
      </w:r>
    </w:p>
    <w:p w14:paraId="0129C646" w14:textId="77777777" w:rsidR="00BF6D37" w:rsidRDefault="00BF6D37">
      <w:pPr>
        <w:rPr>
          <w:rFonts w:ascii="Arial" w:hAnsi="Arial" w:cs="Arial"/>
          <w:sz w:val="24"/>
          <w:szCs w:val="24"/>
        </w:rPr>
      </w:pPr>
    </w:p>
    <w:p w14:paraId="3AA81FA8" w14:textId="77777777" w:rsidR="00BF6D37" w:rsidRDefault="00000000">
      <w:r>
        <w:rPr>
          <w:rFonts w:ascii="Arial" w:hAnsi="Arial" w:cs="Arial"/>
          <w:sz w:val="24"/>
          <w:szCs w:val="24"/>
        </w:rPr>
        <w:t xml:space="preserve">As illustrated in </w:t>
      </w:r>
      <w:r>
        <w:rPr>
          <w:rFonts w:ascii="Arial" w:hAnsi="Arial" w:cs="Arial"/>
          <w:b/>
          <w:bCs/>
          <w:sz w:val="24"/>
          <w:szCs w:val="24"/>
        </w:rPr>
        <w:t>Figure 1</w:t>
      </w:r>
      <w:r>
        <w:rPr>
          <w:rFonts w:ascii="Arial" w:hAnsi="Arial" w:cs="Arial"/>
          <w:sz w:val="24"/>
          <w:szCs w:val="24"/>
        </w:rPr>
        <w:t>, dementia differs significantly from the normal ageing process. While healthy ageing may involve occasional forgetfulness without affecting independence, dementia causes progressive and irreversible neuronal damage that in</w:t>
      </w:r>
      <w:r>
        <w:rPr>
          <w:rFonts w:ascii="Arial" w:hAnsi="Arial" w:cs="Arial"/>
          <w:sz w:val="24"/>
          <w:szCs w:val="24"/>
        </w:rPr>
        <w:lastRenderedPageBreak/>
        <w:t xml:space="preserve">terferes with memory, judgement, language and executive functioning (National Institute for Health and Care Excellence (NICE), 2018). Progressive degeneration of brain tissue results in increasing dependence on others for daily activities and substantially reduces quality of life (WHO, 2025). These pathological changes affect not only the individual but also families and caregivers because of increasing care needs throughout disease progression (Alzheimer's Society, 2024; Livingston </w:t>
      </w:r>
      <w:r>
        <w:rPr>
          <w:rFonts w:ascii="Arial" w:hAnsi="Arial" w:cs="Arial"/>
          <w:i/>
          <w:iCs/>
          <w:sz w:val="24"/>
          <w:szCs w:val="24"/>
        </w:rPr>
        <w:t>et al</w:t>
      </w:r>
      <w:r>
        <w:rPr>
          <w:rFonts w:ascii="Arial" w:hAnsi="Arial" w:cs="Arial"/>
          <w:sz w:val="24"/>
          <w:szCs w:val="24"/>
        </w:rPr>
        <w:t>., 2024; WHO, 2025).</w:t>
      </w:r>
    </w:p>
    <w:p w14:paraId="5ED34628" w14:textId="77777777" w:rsidR="00BF6D37" w:rsidRDefault="00000000">
      <w:r>
        <w:rPr>
          <w:rFonts w:ascii="Arial" w:hAnsi="Arial" w:cs="Arial"/>
          <w:sz w:val="24"/>
          <w:szCs w:val="24"/>
        </w:rPr>
        <w:t>The underlying pathophysiology of dementia involves progressive loss of neurons and synaptic connections within the brain, leading to cerebral atrophy and impaired communication between nerve cells (</w:t>
      </w:r>
      <w:proofErr w:type="spellStart"/>
      <w:r>
        <w:rPr>
          <w:rFonts w:ascii="Arial" w:hAnsi="Arial" w:cs="Arial"/>
          <w:sz w:val="24"/>
          <w:szCs w:val="24"/>
        </w:rPr>
        <w:t>Scheltens</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2021). Alzheimer's disease is characterised by the accumulation of extracellular </w:t>
      </w:r>
      <w:r>
        <w:rPr>
          <w:rFonts w:ascii="Arial" w:hAnsi="Arial" w:cs="Arial"/>
          <w:b/>
          <w:bCs/>
          <w:sz w:val="24"/>
          <w:szCs w:val="24"/>
        </w:rPr>
        <w:t>amyloid-β plaques</w:t>
      </w:r>
      <w:r>
        <w:rPr>
          <w:rFonts w:ascii="Arial" w:hAnsi="Arial" w:cs="Arial"/>
          <w:sz w:val="24"/>
          <w:szCs w:val="24"/>
        </w:rPr>
        <w:t xml:space="preserve"> and intracellular </w:t>
      </w:r>
      <w:r>
        <w:rPr>
          <w:rFonts w:ascii="Arial" w:hAnsi="Arial" w:cs="Arial"/>
          <w:b/>
          <w:bCs/>
          <w:sz w:val="24"/>
          <w:szCs w:val="24"/>
        </w:rPr>
        <w:t>tau neurofibrillary tangles</w:t>
      </w:r>
      <w:r>
        <w:rPr>
          <w:rFonts w:ascii="Arial" w:hAnsi="Arial" w:cs="Arial"/>
          <w:sz w:val="24"/>
          <w:szCs w:val="24"/>
        </w:rPr>
        <w:t>, which trigger chronic neuroinflammation, oxidative stress and neuronal death (</w:t>
      </w:r>
      <w:proofErr w:type="spellStart"/>
      <w:r>
        <w:rPr>
          <w:rFonts w:ascii="Arial" w:hAnsi="Arial" w:cs="Arial"/>
          <w:sz w:val="24"/>
          <w:szCs w:val="24"/>
        </w:rPr>
        <w:t>Scheltens</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2021). These pathological changes initially affect the hippocampus and cerebral cortex, resulting in impaired memory, learning and cognitive function before spreading to other brain regions as the disease advances (Livingston </w:t>
      </w:r>
      <w:r>
        <w:rPr>
          <w:rFonts w:ascii="Arial" w:hAnsi="Arial" w:cs="Arial"/>
          <w:i/>
          <w:iCs/>
          <w:sz w:val="24"/>
          <w:szCs w:val="24"/>
        </w:rPr>
        <w:t>et al</w:t>
      </w:r>
      <w:r>
        <w:rPr>
          <w:rFonts w:ascii="Arial" w:hAnsi="Arial" w:cs="Arial"/>
          <w:sz w:val="24"/>
          <w:szCs w:val="24"/>
        </w:rPr>
        <w:t>., 2024; WHO, 2025; Alzheimer's Society, 2024).</w:t>
      </w:r>
    </w:p>
    <w:p w14:paraId="6A37611E" w14:textId="77777777" w:rsidR="00BF6D37" w:rsidRDefault="00000000">
      <w:r>
        <w:rPr>
          <w:rFonts w:ascii="Arial" w:hAnsi="Arial" w:cs="Arial"/>
          <w:sz w:val="24"/>
          <w:szCs w:val="24"/>
        </w:rPr>
        <w:t xml:space="preserve">Although Alzheimer's disease is the most common form of dementia, other subtypes have different pathological mechanisms. </w:t>
      </w:r>
      <w:r>
        <w:rPr>
          <w:rFonts w:ascii="Arial" w:hAnsi="Arial" w:cs="Arial"/>
          <w:b/>
          <w:bCs/>
          <w:sz w:val="24"/>
          <w:szCs w:val="24"/>
        </w:rPr>
        <w:t>Vascular dementia</w:t>
      </w:r>
      <w:r>
        <w:rPr>
          <w:rFonts w:ascii="Arial" w:hAnsi="Arial" w:cs="Arial"/>
          <w:sz w:val="24"/>
          <w:szCs w:val="24"/>
        </w:rPr>
        <w:t xml:space="preserve"> develops following reduced cerebral blood flow caused by stroke or small vessel disease, leading to ischaemic injury and cognitive impairment (NICE, 2018). </w:t>
      </w:r>
      <w:r>
        <w:rPr>
          <w:rFonts w:ascii="Arial" w:hAnsi="Arial" w:cs="Arial"/>
          <w:b/>
          <w:bCs/>
          <w:sz w:val="24"/>
          <w:szCs w:val="24"/>
        </w:rPr>
        <w:t>Dementia with Lewy bodies</w:t>
      </w:r>
      <w:r>
        <w:rPr>
          <w:rFonts w:ascii="Arial" w:hAnsi="Arial" w:cs="Arial"/>
          <w:sz w:val="24"/>
          <w:szCs w:val="24"/>
        </w:rPr>
        <w:t xml:space="preserve"> results from abnormal accumulation of α-synuclein proteins (Lewy bodies), causing fluctuating cognition, recurrent visual hallucinations and Parkinsonian symptoms (WHO, 2025). In contrast, </w:t>
      </w:r>
      <w:r>
        <w:rPr>
          <w:rFonts w:ascii="Arial" w:hAnsi="Arial" w:cs="Arial"/>
          <w:b/>
          <w:bCs/>
          <w:sz w:val="24"/>
          <w:szCs w:val="24"/>
        </w:rPr>
        <w:t>frontotemporal dementia</w:t>
      </w:r>
      <w:r>
        <w:rPr>
          <w:rFonts w:ascii="Arial" w:hAnsi="Arial" w:cs="Arial"/>
          <w:sz w:val="24"/>
          <w:szCs w:val="24"/>
        </w:rPr>
        <w:t xml:space="preserve"> primarily affects the frontal and temporal lobes of the brain, producing early behavioural changes, personality alterations and language impairment (Livingston </w:t>
      </w:r>
      <w:r>
        <w:rPr>
          <w:rFonts w:ascii="Arial" w:hAnsi="Arial" w:cs="Arial"/>
          <w:i/>
          <w:iCs/>
          <w:sz w:val="24"/>
          <w:szCs w:val="24"/>
        </w:rPr>
        <w:t>et al</w:t>
      </w:r>
      <w:r>
        <w:rPr>
          <w:rFonts w:ascii="Arial" w:hAnsi="Arial" w:cs="Arial"/>
          <w:sz w:val="24"/>
          <w:szCs w:val="24"/>
        </w:rPr>
        <w:t>., 2024). Understanding these differences is essential for accurate diagnosis, personalised treatment planning and evidence-based long-term management of dementia (NICE, 2018; WHO, 2025; Alzheimer's Society, 2024).</w:t>
      </w:r>
    </w:p>
    <w:p w14:paraId="2E419B6F" w14:textId="05AFDF65" w:rsidR="00BF6D37" w:rsidRDefault="00000000" w:rsidP="00E54674">
      <w:pPr>
        <w:pStyle w:val="Heading1"/>
        <w:rPr>
          <w:rFonts w:ascii="Arial" w:hAnsi="Arial" w:cs="Arial"/>
          <w:b/>
          <w:bCs/>
          <w:sz w:val="32"/>
          <w:szCs w:val="32"/>
        </w:rPr>
      </w:pPr>
      <w:r>
        <w:rPr>
          <w:rFonts w:ascii="Arial" w:hAnsi="Arial" w:cs="Arial"/>
          <w:b/>
          <w:bCs/>
          <w:sz w:val="32"/>
          <w:szCs w:val="32"/>
        </w:rPr>
        <w:t>Epidemiology and Burden</w:t>
      </w:r>
    </w:p>
    <w:p w14:paraId="43853120" w14:textId="77777777" w:rsidR="00E54674" w:rsidRPr="00E54674" w:rsidRDefault="00E54674" w:rsidP="00E54674"/>
    <w:p w14:paraId="25F4ABD8" w14:textId="77777777" w:rsidR="00BF6D37" w:rsidRDefault="00000000">
      <w:r>
        <w:rPr>
          <w:rFonts w:ascii="Arial" w:hAnsi="Arial" w:cs="Arial"/>
          <w:sz w:val="24"/>
          <w:szCs w:val="24"/>
        </w:rPr>
        <w:t xml:space="preserve">Dementia is one of the fastest-growing public health challenges worldwide due to increasing life expectancy and population ageing. According to the </w:t>
      </w:r>
      <w:r>
        <w:rPr>
          <w:rFonts w:ascii="Arial" w:hAnsi="Arial" w:cs="Arial"/>
          <w:b/>
          <w:bCs/>
          <w:sz w:val="24"/>
          <w:szCs w:val="24"/>
        </w:rPr>
        <w:t>World Health Organization (WHO, 2025)</w:t>
      </w:r>
      <w:r>
        <w:rPr>
          <w:rFonts w:ascii="Arial" w:hAnsi="Arial" w:cs="Arial"/>
          <w:sz w:val="24"/>
          <w:szCs w:val="24"/>
        </w:rPr>
        <w:t xml:space="preserve">, more than 55 million people are currently living with dementia globally, with almost 10 million new cases diagnosed each year. Dementia is now recognised as one of the leading causes of disability, dependency and mortality among older adults, affecting individuals across all socioeconomic groups (WHO, 2025). Although dementia predominantly affects older people, the number of younger individuals diagnosed with early-onset dementia is also increasing, highlighting the growing global burden of the disease (Alzheimer's Society, 2024; Livingston </w:t>
      </w:r>
      <w:r>
        <w:rPr>
          <w:rFonts w:ascii="Arial" w:hAnsi="Arial" w:cs="Arial"/>
          <w:i/>
          <w:iCs/>
          <w:sz w:val="24"/>
          <w:szCs w:val="24"/>
        </w:rPr>
        <w:t>et al</w:t>
      </w:r>
      <w:r>
        <w:rPr>
          <w:rFonts w:ascii="Arial" w:hAnsi="Arial" w:cs="Arial"/>
          <w:sz w:val="24"/>
          <w:szCs w:val="24"/>
        </w:rPr>
        <w:t>., 2024; WHO, 2025).</w:t>
      </w:r>
    </w:p>
    <w:p w14:paraId="367151FD" w14:textId="77777777" w:rsidR="00BF6D37" w:rsidRDefault="00BF6D37">
      <w:pPr>
        <w:rPr>
          <w:rFonts w:ascii="Arial" w:hAnsi="Arial" w:cs="Arial"/>
          <w:sz w:val="24"/>
          <w:szCs w:val="24"/>
        </w:rPr>
      </w:pPr>
    </w:p>
    <w:p w14:paraId="34632C8E" w14:textId="77777777" w:rsidR="00BF6D37" w:rsidRDefault="00000000">
      <w:r>
        <w:rPr>
          <w:rFonts w:ascii="Arial" w:hAnsi="Arial" w:cs="Arial"/>
          <w:sz w:val="24"/>
          <w:szCs w:val="24"/>
        </w:rPr>
        <w:t xml:space="preserve">Within the United Kingdom, dementia remains one of the country's most significant long-term health conditions and is a major priority for health and social care services. </w:t>
      </w:r>
      <w:r>
        <w:rPr>
          <w:rFonts w:ascii="Arial" w:hAnsi="Arial" w:cs="Arial"/>
          <w:sz w:val="24"/>
          <w:szCs w:val="24"/>
        </w:rPr>
        <w:lastRenderedPageBreak/>
        <w:t xml:space="preserve">Approximately </w:t>
      </w:r>
      <w:r>
        <w:rPr>
          <w:rFonts w:ascii="Arial" w:hAnsi="Arial" w:cs="Arial"/>
          <w:b/>
          <w:bCs/>
          <w:sz w:val="24"/>
          <w:szCs w:val="24"/>
        </w:rPr>
        <w:t>982,000 people</w:t>
      </w:r>
      <w:r>
        <w:rPr>
          <w:rFonts w:ascii="Arial" w:hAnsi="Arial" w:cs="Arial"/>
          <w:sz w:val="24"/>
          <w:szCs w:val="24"/>
        </w:rPr>
        <w:t xml:space="preserve"> are currently living with dementia in the UK, and this figure is projected to rise to around </w:t>
      </w:r>
      <w:r>
        <w:rPr>
          <w:rFonts w:ascii="Arial" w:hAnsi="Arial" w:cs="Arial"/>
          <w:b/>
          <w:bCs/>
          <w:sz w:val="24"/>
          <w:szCs w:val="24"/>
        </w:rPr>
        <w:t>1.4 million by 2040</w:t>
      </w:r>
      <w:r>
        <w:rPr>
          <w:rFonts w:ascii="Arial" w:hAnsi="Arial" w:cs="Arial"/>
          <w:sz w:val="24"/>
          <w:szCs w:val="24"/>
        </w:rPr>
        <w:t xml:space="preserve"> because of demographic changes and increased life expectancy (Alzheimer's Society, 2024). Dementia places substantial pressure on the </w:t>
      </w:r>
      <w:r>
        <w:rPr>
          <w:rFonts w:ascii="Arial" w:hAnsi="Arial" w:cs="Arial"/>
          <w:b/>
          <w:bCs/>
          <w:sz w:val="24"/>
          <w:szCs w:val="24"/>
        </w:rPr>
        <w:t>National Health Service (NHS)</w:t>
      </w:r>
      <w:r>
        <w:rPr>
          <w:rFonts w:ascii="Arial" w:hAnsi="Arial" w:cs="Arial"/>
          <w:sz w:val="24"/>
          <w:szCs w:val="24"/>
        </w:rPr>
        <w:t xml:space="preserve"> through increased hospital admissions, memory assessment services, long-term community care and residential care requirements (NHS England, 2019). Furthermore, the total annual economic cost of dementia in the UK is estimated to be </w:t>
      </w:r>
      <w:r>
        <w:rPr>
          <w:rFonts w:ascii="Arial" w:hAnsi="Arial" w:cs="Arial"/>
          <w:b/>
          <w:bCs/>
          <w:sz w:val="24"/>
          <w:szCs w:val="24"/>
        </w:rPr>
        <w:t>£42 billion</w:t>
      </w:r>
      <w:r>
        <w:rPr>
          <w:rFonts w:ascii="Arial" w:hAnsi="Arial" w:cs="Arial"/>
          <w:sz w:val="24"/>
          <w:szCs w:val="24"/>
        </w:rPr>
        <w:t>, with a significant proportion of this cost resulting from unpaid care provided by family members and friends (Alzheimer's Society, 2024; NHS England, 2019; WHO, 2025).</w:t>
      </w:r>
    </w:p>
    <w:p w14:paraId="5BB10EAA" w14:textId="77777777" w:rsidR="00BF6D37" w:rsidRDefault="00000000">
      <w:r>
        <w:rPr>
          <w:rFonts w:ascii="Arial" w:hAnsi="Arial" w:cs="Arial"/>
          <w:sz w:val="24"/>
          <w:szCs w:val="24"/>
        </w:rPr>
        <w:t xml:space="preserve">The burden of dementia extends beyond healthcare expenditure, affecting psychological wellbeing, social relationships and the quality of life of both individuals living with dementia and their caregivers. Informal carers frequently experience emotional distress, physical exhaustion, financial strain and reduced employment opportunities because of increasing caregiving responsibilities (Alzheimer's Society, 2024). Future projections indicate that the prevalence of dementia and associated healthcare costs will continue to increase substantially over the coming decades unless effective prevention strategies, early diagnosis and integrated long-term care are strengthened (WHO, 2025). Consequently, improving dementia awareness, reducing modifiable risk factors and implementing evidence-based, person-centred care have become essential priorities within UK health policy and global public health initiatives (Livingston </w:t>
      </w:r>
      <w:r>
        <w:rPr>
          <w:rFonts w:ascii="Arial" w:hAnsi="Arial" w:cs="Arial"/>
          <w:i/>
          <w:iCs/>
          <w:sz w:val="24"/>
          <w:szCs w:val="24"/>
        </w:rPr>
        <w:t>et al</w:t>
      </w:r>
      <w:r>
        <w:rPr>
          <w:rFonts w:ascii="Arial" w:hAnsi="Arial" w:cs="Arial"/>
          <w:sz w:val="24"/>
          <w:szCs w:val="24"/>
        </w:rPr>
        <w:t>., 2024; NHS England, 2019; WHO, 2025).</w:t>
      </w:r>
    </w:p>
    <w:p w14:paraId="328C69BF" w14:textId="77777777" w:rsidR="00BF6D37" w:rsidRDefault="00000000">
      <w:pPr>
        <w:pStyle w:val="Heading1"/>
        <w:rPr>
          <w:rFonts w:ascii="Arial" w:hAnsi="Arial" w:cs="Arial"/>
          <w:b/>
          <w:bCs/>
          <w:sz w:val="32"/>
          <w:szCs w:val="32"/>
        </w:rPr>
      </w:pPr>
      <w:r>
        <w:rPr>
          <w:rFonts w:ascii="Arial" w:hAnsi="Arial" w:cs="Arial"/>
          <w:b/>
          <w:bCs/>
          <w:sz w:val="32"/>
          <w:szCs w:val="32"/>
        </w:rPr>
        <w:t>Risk Factors</w:t>
      </w:r>
    </w:p>
    <w:p w14:paraId="4FC1A3FF" w14:textId="77777777" w:rsidR="00BF6D37" w:rsidRDefault="00BF6D37">
      <w:pPr>
        <w:rPr>
          <w:rFonts w:ascii="Arial" w:hAnsi="Arial" w:cs="Arial"/>
          <w:sz w:val="24"/>
          <w:szCs w:val="24"/>
          <w:lang w:bidi="en-US"/>
        </w:rPr>
      </w:pPr>
    </w:p>
    <w:p w14:paraId="52BD3EC9" w14:textId="77777777" w:rsidR="00BF6D37" w:rsidRDefault="00000000">
      <w:pPr>
        <w:rPr>
          <w:rFonts w:ascii="Arial" w:hAnsi="Arial" w:cs="Arial"/>
          <w:sz w:val="24"/>
          <w:szCs w:val="24"/>
        </w:rPr>
      </w:pPr>
      <w:r>
        <w:rPr>
          <w:rFonts w:ascii="Arial" w:hAnsi="Arial" w:cs="Arial"/>
          <w:sz w:val="24"/>
          <w:szCs w:val="24"/>
        </w:rPr>
        <w:t>Dementia results from the interaction of non-modifiable and modifiable risk factors that influence brain health throughout life. Increasing age remains the strongest predictor, while genetic factors such as the Apolipoprotein E ε4 (APOE ε4) allele and Down syndrome increase susceptibility; however, these factors alone do not determine disease development, demonstrating the importance of environmental and lifestyle influences (World Health Organization (WHO), 2025; Livingston et al., 2024). Women also experience higher dementia prevalence, largely reflecting greater life expectancy rather than biological vulnerability alone (National Institute for Health and Care Excellence (NICE), 2018). Evidence increasingly suggests that modifiable risk factors, including smoking, hypertension, diabetes, obesity, physical inactivity, excessive alcohol consumption, hearing loss, depression and social isolation, contribute substantially to dementia risk (Livingston et al., 2024). Although approximately 45% of dementia cases may be linked to preventable factors, translating evidence into population-level prevention remains challenging because behavioural change is influenced by socioeconomic inequalities and limited access to healthcare (WHO, 2025). Therefore, effective prevention requires both individual lifestyle modification and broader public health policies addressing education, cardiovascular health, environmental exposures and health inequalities. Without coordinated action, the growing prevalence of dementia will continue placing significant pressure on health and social care systems.</w:t>
      </w:r>
    </w:p>
    <w:p w14:paraId="411E73FF" w14:textId="77777777" w:rsidR="00BF6D37" w:rsidRDefault="00BF6D37">
      <w:pPr>
        <w:rPr>
          <w:rFonts w:ascii="Arial" w:hAnsi="Arial" w:cs="Arial"/>
          <w:sz w:val="24"/>
          <w:szCs w:val="24"/>
        </w:rPr>
      </w:pPr>
    </w:p>
    <w:p w14:paraId="4854C259" w14:textId="1F9F2EF5" w:rsidR="00BF6D37" w:rsidRDefault="003F34F5">
      <w:r>
        <w:rPr>
          <w:noProof/>
        </w:rPr>
        <w:lastRenderedPageBreak/>
        <w:drawing>
          <wp:inline distT="0" distB="0" distL="0" distR="0" wp14:anchorId="38D91EC2" wp14:editId="2050D299">
            <wp:extent cx="5769610" cy="3848735"/>
            <wp:effectExtent l="0" t="0" r="2540" b="0"/>
            <wp:docPr id="950462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462577" name="Picture 95046257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69610" cy="3848735"/>
                    </a:xfrm>
                    <a:prstGeom prst="rect">
                      <a:avLst/>
                    </a:prstGeom>
                  </pic:spPr>
                </pic:pic>
              </a:graphicData>
            </a:graphic>
          </wp:inline>
        </w:drawing>
      </w:r>
    </w:p>
    <w:p w14:paraId="76B09976" w14:textId="77777777" w:rsidR="00BF6D37" w:rsidRDefault="00000000">
      <w:pPr>
        <w:pStyle w:val="Heading1"/>
        <w:rPr>
          <w:rFonts w:ascii="Arial" w:hAnsi="Arial" w:cs="Arial"/>
          <w:b/>
          <w:bCs/>
          <w:sz w:val="32"/>
          <w:szCs w:val="32"/>
        </w:rPr>
      </w:pPr>
      <w:r>
        <w:rPr>
          <w:rFonts w:ascii="Arial" w:hAnsi="Arial" w:cs="Arial"/>
          <w:b/>
          <w:bCs/>
          <w:sz w:val="32"/>
          <w:szCs w:val="32"/>
        </w:rPr>
        <w:t>5. Physical, Psychological and Social Impact of Dementia</w:t>
      </w:r>
    </w:p>
    <w:p w14:paraId="6FFC287E" w14:textId="77777777" w:rsidR="00BF6D37" w:rsidRDefault="00000000">
      <w:pPr>
        <w:pStyle w:val="Heading1"/>
        <w:rPr>
          <w:rFonts w:ascii="Arial" w:hAnsi="Arial" w:cs="Arial"/>
          <w:b/>
          <w:bCs/>
          <w:sz w:val="32"/>
          <w:szCs w:val="32"/>
        </w:rPr>
      </w:pPr>
      <w:r>
        <w:rPr>
          <w:rFonts w:ascii="Arial" w:hAnsi="Arial" w:cs="Arial"/>
          <w:b/>
          <w:bCs/>
          <w:sz w:val="32"/>
          <w:szCs w:val="32"/>
        </w:rPr>
        <w:t>Physical Impact</w:t>
      </w:r>
    </w:p>
    <w:p w14:paraId="37AA67E1" w14:textId="77777777" w:rsidR="00BF6D37" w:rsidRDefault="00BF6D37">
      <w:pPr>
        <w:rPr>
          <w:rFonts w:ascii="Arial" w:hAnsi="Arial" w:cs="Arial"/>
          <w:sz w:val="24"/>
          <w:szCs w:val="24"/>
        </w:rPr>
      </w:pPr>
    </w:p>
    <w:p w14:paraId="1F5FF131" w14:textId="77777777" w:rsidR="00BF6D37" w:rsidRDefault="00000000">
      <w:r>
        <w:rPr>
          <w:rFonts w:ascii="Arial" w:hAnsi="Arial" w:cs="Arial"/>
          <w:noProof/>
          <w:sz w:val="24"/>
          <w:szCs w:val="24"/>
        </w:rPr>
        <w:drawing>
          <wp:inline distT="0" distB="0" distL="0" distR="0" wp14:anchorId="1BE6DBF5" wp14:editId="0290FD9B">
            <wp:extent cx="5752490" cy="3502810"/>
            <wp:effectExtent l="0" t="0" r="610" b="2390"/>
            <wp:docPr id="1215542560"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52490" cy="3502810"/>
                    </a:xfrm>
                    <a:prstGeom prst="rect">
                      <a:avLst/>
                    </a:prstGeom>
                    <a:noFill/>
                    <a:ln>
                      <a:noFill/>
                      <a:prstDash/>
                    </a:ln>
                  </pic:spPr>
                </pic:pic>
              </a:graphicData>
            </a:graphic>
          </wp:inline>
        </w:drawing>
      </w:r>
    </w:p>
    <w:p w14:paraId="3EB49F18" w14:textId="77777777" w:rsidR="00BF6D37" w:rsidRDefault="00000000">
      <w:pPr>
        <w:rPr>
          <w:rFonts w:ascii="Arial" w:hAnsi="Arial" w:cs="Arial"/>
          <w:sz w:val="24"/>
          <w:szCs w:val="24"/>
        </w:rPr>
      </w:pPr>
      <w:r>
        <w:rPr>
          <w:rFonts w:ascii="Arial" w:hAnsi="Arial" w:cs="Arial"/>
          <w:sz w:val="24"/>
          <w:szCs w:val="24"/>
        </w:rPr>
        <w:lastRenderedPageBreak/>
        <w:t>Dementia progressively affects an individual's physical health as cognitive decline interferes with the ability to perform activities of daily living independently. Memory impairment is usually one of the earliest symptoms and gradually progresses to difficulties with mobility, coordination and balance, increasing the risk of falls and fractures (WHO, 2025). As the disease advances, many individuals experience poor nutrition due to reduced appetite, forgetting to eat or drink, and difficulty preparing meals, which may result in malnutrition and dehydration (NICE, 2018). Sleep disturbances, urinary and faecal incontinence, and dysphagia (difficulty swallowing) are also common in the later stages of dementia, increasing the risk of aspiration pneumonia and hospital admission (Alzheimer's Society, 2024). Ultimately, progressive physical deterioration leads to loss of independence, requiring assistance with personal hygiene, dressing, mobility and medication management (WHO, 2025; NICE, 2018; Alzheimer's Society, 2024).</w:t>
      </w:r>
    </w:p>
    <w:p w14:paraId="324841B3" w14:textId="77777777" w:rsidR="00BF6D37" w:rsidRDefault="00BF6D37">
      <w:pPr>
        <w:rPr>
          <w:rFonts w:ascii="Arial" w:hAnsi="Arial" w:cs="Arial"/>
          <w:sz w:val="24"/>
          <w:szCs w:val="24"/>
        </w:rPr>
      </w:pPr>
    </w:p>
    <w:p w14:paraId="190D2BAC" w14:textId="77777777" w:rsidR="00BF6D37" w:rsidRDefault="00000000">
      <w:pPr>
        <w:pStyle w:val="Heading1"/>
        <w:rPr>
          <w:rFonts w:ascii="Arial" w:hAnsi="Arial" w:cs="Arial"/>
          <w:b/>
          <w:bCs/>
          <w:sz w:val="32"/>
          <w:szCs w:val="32"/>
        </w:rPr>
      </w:pPr>
      <w:r>
        <w:rPr>
          <w:rFonts w:ascii="Arial" w:hAnsi="Arial" w:cs="Arial"/>
          <w:b/>
          <w:bCs/>
          <w:sz w:val="32"/>
          <w:szCs w:val="32"/>
        </w:rPr>
        <w:t>Psychological Impact</w:t>
      </w:r>
    </w:p>
    <w:p w14:paraId="29512F71" w14:textId="77777777" w:rsidR="00BF6D37" w:rsidRDefault="00BF6D37">
      <w:pPr>
        <w:rPr>
          <w:rFonts w:ascii="Arial" w:hAnsi="Arial" w:cs="Arial"/>
          <w:sz w:val="24"/>
          <w:szCs w:val="24"/>
        </w:rPr>
      </w:pPr>
    </w:p>
    <w:p w14:paraId="2A95C03E" w14:textId="77777777" w:rsidR="00BF6D37" w:rsidRDefault="00000000">
      <w:r>
        <w:rPr>
          <w:rFonts w:ascii="Arial" w:hAnsi="Arial" w:cs="Arial"/>
          <w:noProof/>
          <w:sz w:val="24"/>
          <w:szCs w:val="24"/>
        </w:rPr>
        <w:drawing>
          <wp:inline distT="0" distB="0" distL="0" distR="0" wp14:anchorId="0F5DCE3F" wp14:editId="1CBDFD70">
            <wp:extent cx="5743703" cy="4403549"/>
            <wp:effectExtent l="0" t="0" r="9397" b="0"/>
            <wp:docPr id="873030841"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43703" cy="4403549"/>
                    </a:xfrm>
                    <a:prstGeom prst="rect">
                      <a:avLst/>
                    </a:prstGeom>
                    <a:noFill/>
                    <a:ln>
                      <a:noFill/>
                      <a:prstDash/>
                    </a:ln>
                  </pic:spPr>
                </pic:pic>
              </a:graphicData>
            </a:graphic>
          </wp:inline>
        </w:drawing>
      </w:r>
    </w:p>
    <w:p w14:paraId="4DFCDB38" w14:textId="77777777" w:rsidR="00BF6D37" w:rsidRDefault="00000000">
      <w:r>
        <w:rPr>
          <w:rFonts w:ascii="Arial" w:hAnsi="Arial" w:cs="Arial"/>
          <w:sz w:val="24"/>
          <w:szCs w:val="24"/>
        </w:rPr>
        <w:t xml:space="preserve">Dementia has profound psychological consequences that significantly affect emotional wellbeing and mental health. Many people experience depression and anxiety following diagnosis because of awareness of progressive cognitive decline and fear of losing independence (WHO, 2025). Confusion, impaired judgement and memory </w:t>
      </w:r>
      <w:r>
        <w:rPr>
          <w:rFonts w:ascii="Arial" w:hAnsi="Arial" w:cs="Arial"/>
          <w:sz w:val="24"/>
          <w:szCs w:val="24"/>
        </w:rPr>
        <w:lastRenderedPageBreak/>
        <w:t xml:space="preserve">loss often contribute to frustration, emotional distress and reduced self-esteem, particularly during the early stages of the disease (NICE), 2018). As dementia progresses, behavioural and psychological symptoms such as agitation, aggression, wandering, hallucinations and delusions may develop, particularly in people with dementia with Lewy bodies and advanced Alzheimer's disease (Livingston </w:t>
      </w:r>
      <w:r>
        <w:rPr>
          <w:rFonts w:ascii="Arial" w:hAnsi="Arial" w:cs="Arial"/>
          <w:i/>
          <w:iCs/>
          <w:sz w:val="24"/>
          <w:szCs w:val="24"/>
        </w:rPr>
        <w:t>et al</w:t>
      </w:r>
      <w:r>
        <w:rPr>
          <w:rFonts w:ascii="Arial" w:hAnsi="Arial" w:cs="Arial"/>
          <w:sz w:val="24"/>
          <w:szCs w:val="24"/>
        </w:rPr>
        <w:t xml:space="preserve">., 2024). These symptoms can increase caregiver stress, reduce social participation and negatively affect quality of life. Evidence suggests that person-centred care, cognitive stimulation therapy, psychosocial interventions and family support can reduce behavioural symptoms and improve emotional wellbeing (WHO, 2025; NICE, 2018; Livingston </w:t>
      </w:r>
      <w:r>
        <w:rPr>
          <w:rFonts w:ascii="Arial" w:hAnsi="Arial" w:cs="Arial"/>
          <w:i/>
          <w:iCs/>
          <w:sz w:val="24"/>
          <w:szCs w:val="24"/>
        </w:rPr>
        <w:t>et al</w:t>
      </w:r>
      <w:r>
        <w:rPr>
          <w:rFonts w:ascii="Arial" w:hAnsi="Arial" w:cs="Arial"/>
          <w:sz w:val="24"/>
          <w:szCs w:val="24"/>
        </w:rPr>
        <w:t>., 2024).</w:t>
      </w:r>
    </w:p>
    <w:p w14:paraId="5528668D" w14:textId="671B977C" w:rsidR="00BF6D37" w:rsidRDefault="00000000" w:rsidP="00E54674">
      <w:pPr>
        <w:pStyle w:val="Heading1"/>
        <w:rPr>
          <w:rFonts w:ascii="Arial" w:hAnsi="Arial" w:cs="Arial"/>
          <w:b/>
          <w:bCs/>
          <w:sz w:val="32"/>
          <w:szCs w:val="32"/>
        </w:rPr>
      </w:pPr>
      <w:r>
        <w:rPr>
          <w:rFonts w:ascii="Arial" w:hAnsi="Arial" w:cs="Arial"/>
          <w:b/>
          <w:bCs/>
          <w:sz w:val="32"/>
          <w:szCs w:val="32"/>
        </w:rPr>
        <w:t>Social Impact</w:t>
      </w:r>
    </w:p>
    <w:p w14:paraId="1FCCB034" w14:textId="77777777" w:rsidR="00E54674" w:rsidRPr="00E54674" w:rsidRDefault="00E54674" w:rsidP="00E54674"/>
    <w:p w14:paraId="09F3125B" w14:textId="77777777" w:rsidR="00BF6D37" w:rsidRDefault="00000000">
      <w:pPr>
        <w:rPr>
          <w:rFonts w:ascii="Arial" w:hAnsi="Arial" w:cs="Arial"/>
          <w:sz w:val="24"/>
          <w:szCs w:val="24"/>
        </w:rPr>
      </w:pPr>
      <w:r>
        <w:rPr>
          <w:rFonts w:ascii="Arial" w:hAnsi="Arial" w:cs="Arial"/>
          <w:sz w:val="24"/>
          <w:szCs w:val="24"/>
        </w:rPr>
        <w:t>The social impact of dementia extends beyond the individual and affects families, caregivers and wider society. Informal caregivers frequently experience emotional exhaustion, financial strain and reduced employment opportunities because of increasing caregiving responsibilities (Alzheimer's Society, 2024). Many family members reduce working hours or leave employment entirely to provide care, resulting in loss of household income and increased financial pressure. People living with dementia are also at increased risk of social isolation and loneliness due to communication difficulties, declining confidence and stigma associated with the condition (World Health Organization (WHO), 2025). Misunderstanding of dementia within society may lead to discrimination and reduced community participation, negatively affecting psychological wellbeing and quality of life. As dementia progresses, many individuals require residential or nursing home care because of increasing dependence and complex care needs, placing additional demands on health and social care services (NHS England, 2019). Therefore, effective support for caregivers, community resources and integrated health and social care services are essential to reduce caregiver burden and improve outcomes for people living with dementia and their families (WHO, 2025; Alzheimer's Society, 2024; NHS England, 2019).</w:t>
      </w:r>
    </w:p>
    <w:p w14:paraId="4D13EC73" w14:textId="77777777" w:rsidR="00BF6D37" w:rsidRDefault="00000000">
      <w:pPr>
        <w:pStyle w:val="Heading1"/>
        <w:rPr>
          <w:rFonts w:ascii="Arial" w:hAnsi="Arial" w:cs="Arial"/>
          <w:b/>
          <w:bCs/>
        </w:rPr>
      </w:pPr>
      <w:r>
        <w:rPr>
          <w:rFonts w:ascii="Arial" w:hAnsi="Arial" w:cs="Arial"/>
          <w:b/>
          <w:bCs/>
        </w:rPr>
        <w:t>Evidence-Based Management:</w:t>
      </w:r>
    </w:p>
    <w:p w14:paraId="1062C4E2" w14:textId="77777777" w:rsidR="00BF6D37" w:rsidRDefault="00BF6D37">
      <w:pPr>
        <w:rPr>
          <w:rFonts w:ascii="Arial" w:hAnsi="Arial" w:cs="Arial"/>
          <w:b/>
          <w:bCs/>
          <w:sz w:val="24"/>
          <w:szCs w:val="24"/>
        </w:rPr>
      </w:pPr>
    </w:p>
    <w:p w14:paraId="3827C20E" w14:textId="77777777" w:rsidR="00BF6D37" w:rsidRDefault="00000000">
      <w:pPr>
        <w:rPr>
          <w:rFonts w:ascii="Arial" w:hAnsi="Arial" w:cs="Arial"/>
          <w:sz w:val="24"/>
          <w:szCs w:val="24"/>
        </w:rPr>
      </w:pPr>
      <w:r>
        <w:rPr>
          <w:rFonts w:ascii="Arial" w:hAnsi="Arial" w:cs="Arial"/>
          <w:sz w:val="24"/>
          <w:szCs w:val="24"/>
        </w:rPr>
        <w:t>Dementia management in the United Kingdom is guided by NICE Guideline NG97, which advocates person-centred, multidisciplinary care combining pharmacological and non-pharmacological interventions (NICE, 2018). Although acetylcholinesterase inhibitors (Donepezil, Rivastigmine and Galantamine) and Memantine can temporarily improve cognition and daily functioning in Alzheimer's disease, they do not alter disease progression and benefits vary considerably between individuals, highlighting the need for regular medication review and realistic treatment expectations (NICE, 2018; Alzheimer's Society, 2024). Consequently, non-pharmacological interventions remain essential. Cognitive Stimulation Therapy demonstrates consistent evidence for improving cognition and quality of life, while physical activity, occupational therapy, mu</w:t>
      </w:r>
      <w:r>
        <w:rPr>
          <w:rFonts w:ascii="Arial" w:hAnsi="Arial" w:cs="Arial"/>
          <w:sz w:val="24"/>
          <w:szCs w:val="24"/>
        </w:rPr>
        <w:lastRenderedPageBreak/>
        <w:t>sic therapy and reminiscence therapy promote independence and psychological wellbeing despite limited long-term evidence for slowing disease progression (WHO, 2025; Livingston et al., 2024). Effective management therefore depends on coordinated multidisciplinary care rather than medication alone. General practitioners, memory clinics, community nurses, occupational therapists, physiotherapists, social workers and Admiral Nurses contribute complementary expertise to address complex physical, psychological and social needs (Dementia UK, 2024). However, workforce shortages and regional variation continue to limit equitable access to specialist dementia services, emphasising the need for sustained investment and integrated care pathways.</w:t>
      </w:r>
    </w:p>
    <w:p w14:paraId="684C7683" w14:textId="77777777" w:rsidR="00BF6D37" w:rsidRDefault="00BF6D37">
      <w:pPr>
        <w:pStyle w:val="Heading1"/>
        <w:rPr>
          <w:rFonts w:ascii="Arial" w:hAnsi="Arial" w:cs="Arial"/>
          <w:b/>
          <w:bCs/>
          <w:sz w:val="32"/>
          <w:szCs w:val="32"/>
        </w:rPr>
      </w:pPr>
    </w:p>
    <w:p w14:paraId="586B8137" w14:textId="77777777" w:rsidR="00BF6D37" w:rsidRDefault="00000000">
      <w:pPr>
        <w:pStyle w:val="Heading1"/>
        <w:rPr>
          <w:rFonts w:ascii="Arial" w:hAnsi="Arial" w:cs="Arial"/>
          <w:b/>
          <w:bCs/>
          <w:sz w:val="32"/>
          <w:szCs w:val="32"/>
        </w:rPr>
      </w:pPr>
      <w:r>
        <w:rPr>
          <w:rFonts w:ascii="Arial" w:hAnsi="Arial" w:cs="Arial"/>
          <w:b/>
          <w:bCs/>
          <w:sz w:val="32"/>
          <w:szCs w:val="32"/>
        </w:rPr>
        <w:t>7. Theoretical Models for Dementia Care</w:t>
      </w:r>
    </w:p>
    <w:p w14:paraId="2F48FDF6" w14:textId="77777777" w:rsidR="00BF6D37" w:rsidRDefault="00000000">
      <w:pPr>
        <w:pStyle w:val="Heading1"/>
        <w:rPr>
          <w:rFonts w:ascii="Arial" w:hAnsi="Arial" w:cs="Arial"/>
          <w:b/>
          <w:bCs/>
          <w:sz w:val="32"/>
          <w:szCs w:val="32"/>
        </w:rPr>
      </w:pPr>
      <w:r>
        <w:rPr>
          <w:rFonts w:ascii="Arial" w:hAnsi="Arial" w:cs="Arial"/>
          <w:b/>
          <w:bCs/>
          <w:sz w:val="32"/>
          <w:szCs w:val="32"/>
        </w:rPr>
        <w:t>House of Care Model (United Kingdom)</w:t>
      </w:r>
    </w:p>
    <w:p w14:paraId="1E439E2F" w14:textId="77777777" w:rsidR="00BF6D37" w:rsidRDefault="00BF6D37"/>
    <w:p w14:paraId="2318466B" w14:textId="77777777" w:rsidR="00BF6D37" w:rsidRDefault="00000000">
      <w:r>
        <w:rPr>
          <w:rFonts w:ascii="Arial" w:hAnsi="Arial" w:cs="Arial"/>
          <w:sz w:val="24"/>
          <w:szCs w:val="24"/>
        </w:rPr>
        <w:t xml:space="preserve">The </w:t>
      </w:r>
      <w:r>
        <w:rPr>
          <w:rFonts w:ascii="Arial" w:hAnsi="Arial" w:cs="Arial"/>
          <w:b/>
          <w:bCs/>
          <w:sz w:val="24"/>
          <w:szCs w:val="24"/>
        </w:rPr>
        <w:t>House of Care Model</w:t>
      </w:r>
      <w:r>
        <w:rPr>
          <w:rFonts w:ascii="Arial" w:hAnsi="Arial" w:cs="Arial"/>
          <w:sz w:val="24"/>
          <w:szCs w:val="24"/>
        </w:rPr>
        <w:t xml:space="preserve"> is a person-centred framework developed within the National Health Service (NHS) to improve the management of long-term conditions through collaborative working, personalised care planning and shared decision-making (Year of Care Partnerships, 2023). The model places the individual living with dementia at the centre of care and recognises that effective management depends on an informed patient, skilled healthcare professionals, supportive organisational systems and strong community resources (NHS England, 2019). Individuals diagnosed with dementia should be encouraged to understand their condition, participate in decisions about treatment and express their preferences while they still have decision-making capacity (National Institute for Health and Care Excellence (NICE), 2018). Active involvement of family members and informal caregivers is equally important because dementia progressively affects cognition, communication and independence (Brooker and Latham, 2016; WHO, 2025; Year of Care Partnerships, 2023).</w:t>
      </w:r>
    </w:p>
    <w:p w14:paraId="75524C70" w14:textId="77777777" w:rsidR="00BF6D37" w:rsidRDefault="00000000">
      <w:r>
        <w:rPr>
          <w:rFonts w:ascii="Arial" w:hAnsi="Arial" w:cs="Arial"/>
          <w:sz w:val="24"/>
          <w:szCs w:val="24"/>
        </w:rPr>
        <w:t xml:space="preserve">The House of Care Model promotes </w:t>
      </w:r>
      <w:r>
        <w:rPr>
          <w:rFonts w:ascii="Arial" w:hAnsi="Arial" w:cs="Arial"/>
          <w:b/>
          <w:bCs/>
          <w:sz w:val="24"/>
          <w:szCs w:val="24"/>
        </w:rPr>
        <w:t>shared decision-making</w:t>
      </w:r>
      <w:r>
        <w:rPr>
          <w:rFonts w:ascii="Arial" w:hAnsi="Arial" w:cs="Arial"/>
          <w:sz w:val="24"/>
          <w:szCs w:val="24"/>
        </w:rPr>
        <w:t xml:space="preserve">, enabling healthcare professionals and families to work collaboratively when developing personalised care plans (NICE, 2018). Following diagnosis, individuals are usually referred to a </w:t>
      </w:r>
      <w:r>
        <w:rPr>
          <w:rFonts w:ascii="Arial" w:hAnsi="Arial" w:cs="Arial"/>
          <w:b/>
          <w:bCs/>
          <w:sz w:val="24"/>
          <w:szCs w:val="24"/>
        </w:rPr>
        <w:t>memory clinic</w:t>
      </w:r>
      <w:r>
        <w:rPr>
          <w:rFonts w:ascii="Arial" w:hAnsi="Arial" w:cs="Arial"/>
          <w:sz w:val="24"/>
          <w:szCs w:val="24"/>
        </w:rPr>
        <w:t>, where multidisciplinary assessment is undertaken before creating an individualised management plan. This care plan may include medication, cognitive stimulation therapy, regular physical activity, nutritional advice, falls prevention strategies and advance care planning (Alzheimer's Society, 2024). Annual dementia reviews undertaken by the GP ensure that medication effectiveness, cognitive function, behavioural symptoms and social care needs are reviewed regularly while community organisations provide ongoing emotional and practical support (NHS England, 2019; Dementia UK, 2024; WHO, 2025).</w:t>
      </w:r>
    </w:p>
    <w:p w14:paraId="714B4F28" w14:textId="77777777" w:rsidR="00BF6D37" w:rsidRDefault="00000000">
      <w:pPr>
        <w:pStyle w:val="Heading1"/>
        <w:rPr>
          <w:rFonts w:ascii="Arial" w:hAnsi="Arial" w:cs="Arial"/>
          <w:b/>
          <w:bCs/>
          <w:sz w:val="32"/>
          <w:szCs w:val="32"/>
        </w:rPr>
      </w:pPr>
      <w:r>
        <w:rPr>
          <w:rFonts w:ascii="Arial" w:hAnsi="Arial" w:cs="Arial"/>
          <w:b/>
          <w:bCs/>
          <w:sz w:val="32"/>
          <w:szCs w:val="32"/>
        </w:rPr>
        <w:lastRenderedPageBreak/>
        <w:t>Application to dementia</w:t>
      </w:r>
    </w:p>
    <w:p w14:paraId="7128B614" w14:textId="77777777" w:rsidR="00BF6D37" w:rsidRDefault="00BF6D37"/>
    <w:p w14:paraId="41DE038B" w14:textId="77777777" w:rsidR="00BF6D37" w:rsidRDefault="00000000">
      <w:r>
        <w:rPr>
          <w:rFonts w:ascii="Arial" w:hAnsi="Arial" w:cs="Arial"/>
          <w:sz w:val="24"/>
          <w:szCs w:val="24"/>
        </w:rPr>
        <w:t xml:space="preserve">For example, an individual diagnosed with early Alzheimer's disease works alongside their </w:t>
      </w:r>
      <w:r>
        <w:rPr>
          <w:rFonts w:ascii="Arial" w:hAnsi="Arial" w:cs="Arial"/>
          <w:b/>
          <w:bCs/>
          <w:sz w:val="24"/>
          <w:szCs w:val="24"/>
        </w:rPr>
        <w:t>General Practitioner (GP)</w:t>
      </w:r>
      <w:r>
        <w:rPr>
          <w:rFonts w:ascii="Arial" w:hAnsi="Arial" w:cs="Arial"/>
          <w:sz w:val="24"/>
          <w:szCs w:val="24"/>
        </w:rPr>
        <w:t>, memory clinic nurse, occupational therapist and family members to develop a personalised care plan. Together they agree on appropriate medication, regular exercise, cognitive stimulation therapy, home safety adaptations and future care planning. This collaborative approach empowers the individual, supports family caregivers and promotes independence for as long as possible (Year of Care Partnerships, 2023; NICE, 2018; Dementia UK, 2024).</w:t>
      </w:r>
    </w:p>
    <w:p w14:paraId="7D3AC315" w14:textId="77777777" w:rsidR="00BF6D37" w:rsidRDefault="00BF6D37">
      <w:pPr>
        <w:rPr>
          <w:rFonts w:ascii="Arial" w:hAnsi="Arial" w:cs="Arial"/>
          <w:sz w:val="24"/>
          <w:szCs w:val="24"/>
        </w:rPr>
      </w:pPr>
    </w:p>
    <w:p w14:paraId="525B09CB" w14:textId="77777777" w:rsidR="00BF6D37" w:rsidRDefault="00000000">
      <w:pPr>
        <w:pStyle w:val="Heading1"/>
        <w:rPr>
          <w:rFonts w:ascii="Arial" w:hAnsi="Arial" w:cs="Arial"/>
          <w:b/>
          <w:bCs/>
          <w:sz w:val="32"/>
          <w:szCs w:val="32"/>
        </w:rPr>
      </w:pPr>
      <w:r>
        <w:rPr>
          <w:rFonts w:ascii="Arial" w:hAnsi="Arial" w:cs="Arial"/>
          <w:b/>
          <w:bCs/>
          <w:sz w:val="32"/>
          <w:szCs w:val="32"/>
        </w:rPr>
        <w:t>Chronic Care Model</w:t>
      </w:r>
    </w:p>
    <w:p w14:paraId="099392AE" w14:textId="77777777" w:rsidR="00BF6D37" w:rsidRDefault="00BF6D37"/>
    <w:p w14:paraId="7D6EE032" w14:textId="77777777" w:rsidR="00BF6D37" w:rsidRDefault="00000000">
      <w:r>
        <w:rPr>
          <w:rFonts w:ascii="Arial" w:hAnsi="Arial" w:cs="Arial"/>
          <w:sz w:val="24"/>
          <w:szCs w:val="24"/>
        </w:rPr>
        <w:t xml:space="preserve">The </w:t>
      </w:r>
      <w:r>
        <w:rPr>
          <w:rFonts w:ascii="Arial" w:hAnsi="Arial" w:cs="Arial"/>
          <w:b/>
          <w:bCs/>
          <w:sz w:val="24"/>
          <w:szCs w:val="24"/>
        </w:rPr>
        <w:t>Chronic Care Model (CCM)</w:t>
      </w:r>
      <w:r>
        <w:rPr>
          <w:rFonts w:ascii="Arial" w:hAnsi="Arial" w:cs="Arial"/>
          <w:sz w:val="24"/>
          <w:szCs w:val="24"/>
        </w:rPr>
        <w:t xml:space="preserve">, developed by Wagner and colleagues, provides an evidence-based framework for improving outcomes in people living with chronic diseases through proactive, coordinated and multidisciplinary care (Wagner </w:t>
      </w:r>
      <w:r>
        <w:rPr>
          <w:rFonts w:ascii="Arial" w:hAnsi="Arial" w:cs="Arial"/>
          <w:i/>
          <w:iCs/>
          <w:sz w:val="24"/>
          <w:szCs w:val="24"/>
        </w:rPr>
        <w:t>et al.</w:t>
      </w:r>
      <w:r>
        <w:rPr>
          <w:rFonts w:ascii="Arial" w:hAnsi="Arial" w:cs="Arial"/>
          <w:sz w:val="24"/>
          <w:szCs w:val="24"/>
        </w:rPr>
        <w:t xml:space="preserve">, 2001). Dementia is recognised as a progressive long-term condition requiring continuous assessment, coordinated management and regular review throughout the disease trajectory (WHO, 2025). The CCM consists of six key components: </w:t>
      </w:r>
      <w:r>
        <w:rPr>
          <w:rFonts w:ascii="Arial" w:hAnsi="Arial" w:cs="Arial"/>
          <w:b/>
          <w:bCs/>
          <w:sz w:val="24"/>
          <w:szCs w:val="24"/>
        </w:rPr>
        <w:t>health systems</w:t>
      </w:r>
      <w:r>
        <w:rPr>
          <w:rFonts w:ascii="Arial" w:hAnsi="Arial" w:cs="Arial"/>
          <w:sz w:val="24"/>
          <w:szCs w:val="24"/>
        </w:rPr>
        <w:t xml:space="preserve">, </w:t>
      </w:r>
      <w:r>
        <w:rPr>
          <w:rFonts w:ascii="Arial" w:hAnsi="Arial" w:cs="Arial"/>
          <w:b/>
          <w:bCs/>
          <w:sz w:val="24"/>
          <w:szCs w:val="24"/>
        </w:rPr>
        <w:t>self-management support</w:t>
      </w:r>
      <w:r>
        <w:rPr>
          <w:rFonts w:ascii="Arial" w:hAnsi="Arial" w:cs="Arial"/>
          <w:sz w:val="24"/>
          <w:szCs w:val="24"/>
        </w:rPr>
        <w:t xml:space="preserve">, </w:t>
      </w:r>
      <w:r>
        <w:rPr>
          <w:rFonts w:ascii="Arial" w:hAnsi="Arial" w:cs="Arial"/>
          <w:b/>
          <w:bCs/>
          <w:sz w:val="24"/>
          <w:szCs w:val="24"/>
        </w:rPr>
        <w:t>decision support</w:t>
      </w:r>
      <w:r>
        <w:rPr>
          <w:rFonts w:ascii="Arial" w:hAnsi="Arial" w:cs="Arial"/>
          <w:sz w:val="24"/>
          <w:szCs w:val="24"/>
        </w:rPr>
        <w:t xml:space="preserve">, </w:t>
      </w:r>
      <w:r>
        <w:rPr>
          <w:rFonts w:ascii="Arial" w:hAnsi="Arial" w:cs="Arial"/>
          <w:b/>
          <w:bCs/>
          <w:sz w:val="24"/>
          <w:szCs w:val="24"/>
        </w:rPr>
        <w:t>clinical information systems</w:t>
      </w:r>
      <w:r>
        <w:rPr>
          <w:rFonts w:ascii="Arial" w:hAnsi="Arial" w:cs="Arial"/>
          <w:sz w:val="24"/>
          <w:szCs w:val="24"/>
        </w:rPr>
        <w:t xml:space="preserve">, </w:t>
      </w:r>
      <w:r>
        <w:rPr>
          <w:rFonts w:ascii="Arial" w:hAnsi="Arial" w:cs="Arial"/>
          <w:b/>
          <w:bCs/>
          <w:sz w:val="24"/>
          <w:szCs w:val="24"/>
        </w:rPr>
        <w:t>community resources</w:t>
      </w:r>
      <w:r>
        <w:rPr>
          <w:rFonts w:ascii="Arial" w:hAnsi="Arial" w:cs="Arial"/>
          <w:sz w:val="24"/>
          <w:szCs w:val="24"/>
        </w:rPr>
        <w:t xml:space="preserve"> and </w:t>
      </w:r>
      <w:r>
        <w:rPr>
          <w:rFonts w:ascii="Arial" w:hAnsi="Arial" w:cs="Arial"/>
          <w:b/>
          <w:bCs/>
          <w:sz w:val="24"/>
          <w:szCs w:val="24"/>
        </w:rPr>
        <w:t>delivery system design</w:t>
      </w:r>
      <w:r>
        <w:rPr>
          <w:rFonts w:ascii="Arial" w:hAnsi="Arial" w:cs="Arial"/>
          <w:sz w:val="24"/>
          <w:szCs w:val="24"/>
        </w:rPr>
        <w:t xml:space="preserve"> (Wagner </w:t>
      </w:r>
      <w:r>
        <w:rPr>
          <w:rFonts w:ascii="Arial" w:hAnsi="Arial" w:cs="Arial"/>
          <w:i/>
          <w:iCs/>
          <w:sz w:val="24"/>
          <w:szCs w:val="24"/>
        </w:rPr>
        <w:t>et al.</w:t>
      </w:r>
      <w:r>
        <w:rPr>
          <w:rFonts w:ascii="Arial" w:hAnsi="Arial" w:cs="Arial"/>
          <w:sz w:val="24"/>
          <w:szCs w:val="24"/>
        </w:rPr>
        <w:t xml:space="preserve">, 2001). Together these components ensure that care remains proactive rather than reactive and that individuals receive appropriate support at every stage of the disease (NICE, 2018; WHO, 2025; Livingston </w:t>
      </w:r>
      <w:r>
        <w:rPr>
          <w:rFonts w:ascii="Arial" w:hAnsi="Arial" w:cs="Arial"/>
          <w:i/>
          <w:iCs/>
          <w:sz w:val="24"/>
          <w:szCs w:val="24"/>
        </w:rPr>
        <w:t>et al.</w:t>
      </w:r>
      <w:r>
        <w:rPr>
          <w:rFonts w:ascii="Arial" w:hAnsi="Arial" w:cs="Arial"/>
          <w:sz w:val="24"/>
          <w:szCs w:val="24"/>
        </w:rPr>
        <w:t>, 2024).</w:t>
      </w:r>
    </w:p>
    <w:p w14:paraId="219BC6D7" w14:textId="77777777" w:rsidR="00BF6D37" w:rsidRDefault="00BF6D37">
      <w:pPr>
        <w:rPr>
          <w:rFonts w:ascii="Arial" w:hAnsi="Arial" w:cs="Arial"/>
          <w:sz w:val="24"/>
          <w:szCs w:val="24"/>
        </w:rPr>
      </w:pPr>
    </w:p>
    <w:p w14:paraId="7027F680" w14:textId="6366E62F" w:rsidR="00BF6D37" w:rsidRDefault="00E54674">
      <w:r>
        <w:rPr>
          <w:noProof/>
        </w:rPr>
        <w:lastRenderedPageBreak/>
        <w:drawing>
          <wp:inline distT="0" distB="0" distL="0" distR="0" wp14:anchorId="5E360BBD" wp14:editId="37311B13">
            <wp:extent cx="5769610" cy="3846195"/>
            <wp:effectExtent l="0" t="0" r="2540" b="1905"/>
            <wp:docPr id="633194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9610" cy="3846195"/>
                    </a:xfrm>
                    <a:prstGeom prst="rect">
                      <a:avLst/>
                    </a:prstGeom>
                    <a:noFill/>
                    <a:ln>
                      <a:noFill/>
                    </a:ln>
                  </pic:spPr>
                </pic:pic>
              </a:graphicData>
            </a:graphic>
          </wp:inline>
        </w:drawing>
      </w:r>
    </w:p>
    <w:p w14:paraId="482888E1" w14:textId="77777777" w:rsidR="00BF6D37" w:rsidRDefault="00000000">
      <w:r>
        <w:rPr>
          <w:rFonts w:ascii="Arial" w:hAnsi="Arial" w:cs="Arial"/>
          <w:sz w:val="24"/>
          <w:szCs w:val="24"/>
        </w:rPr>
        <w:t xml:space="preserve">Within dementia care, </w:t>
      </w:r>
      <w:r>
        <w:rPr>
          <w:rFonts w:ascii="Arial" w:hAnsi="Arial" w:cs="Arial"/>
          <w:b/>
          <w:bCs/>
          <w:sz w:val="24"/>
          <w:szCs w:val="24"/>
        </w:rPr>
        <w:t>self-management support</w:t>
      </w:r>
      <w:r>
        <w:rPr>
          <w:rFonts w:ascii="Arial" w:hAnsi="Arial" w:cs="Arial"/>
          <w:sz w:val="24"/>
          <w:szCs w:val="24"/>
        </w:rPr>
        <w:t xml:space="preserve"> encourages people in the early stages to remain physically active, use memory aids and participate in care planning where possible (Alzheimer's Society, 2024). </w:t>
      </w:r>
      <w:r>
        <w:rPr>
          <w:rFonts w:ascii="Arial" w:hAnsi="Arial" w:cs="Arial"/>
          <w:b/>
          <w:bCs/>
          <w:sz w:val="24"/>
          <w:szCs w:val="24"/>
        </w:rPr>
        <w:t>Decision support</w:t>
      </w:r>
      <w:r>
        <w:rPr>
          <w:rFonts w:ascii="Arial" w:hAnsi="Arial" w:cs="Arial"/>
          <w:sz w:val="24"/>
          <w:szCs w:val="24"/>
        </w:rPr>
        <w:t xml:space="preserve"> enables healthcare professionals to follow evidence-based NICE guidance when prescribing medication or selecting non-pharmacological interventions (NICE, 2018). </w:t>
      </w:r>
      <w:r>
        <w:rPr>
          <w:rFonts w:ascii="Arial" w:hAnsi="Arial" w:cs="Arial"/>
          <w:b/>
          <w:bCs/>
          <w:sz w:val="24"/>
          <w:szCs w:val="24"/>
        </w:rPr>
        <w:t>Clinical information systems</w:t>
      </w:r>
      <w:r>
        <w:rPr>
          <w:rFonts w:ascii="Arial" w:hAnsi="Arial" w:cs="Arial"/>
          <w:sz w:val="24"/>
          <w:szCs w:val="24"/>
        </w:rPr>
        <w:t xml:space="preserve">, including electronic health records and dementia registers, improve communication between professionals and facilitate regular medication reviews and annual assessments (NHS England, 2019). Community resources, such as Alzheimer's Society support groups and Dementia UK Admiral Nurses, provide education and practical support for individuals and caregivers, while multidisciplinary teams ensure coordinated delivery of health and social care services (Dementia UK, 2024; WHO, 2025; Wagner </w:t>
      </w:r>
      <w:r>
        <w:rPr>
          <w:rFonts w:ascii="Arial" w:hAnsi="Arial" w:cs="Arial"/>
          <w:i/>
          <w:iCs/>
          <w:sz w:val="24"/>
          <w:szCs w:val="24"/>
        </w:rPr>
        <w:t>et al.</w:t>
      </w:r>
      <w:r>
        <w:rPr>
          <w:rFonts w:ascii="Arial" w:hAnsi="Arial" w:cs="Arial"/>
          <w:sz w:val="24"/>
          <w:szCs w:val="24"/>
        </w:rPr>
        <w:t>, 2001).</w:t>
      </w:r>
    </w:p>
    <w:p w14:paraId="56180DA8" w14:textId="77777777" w:rsidR="00BF6D37" w:rsidRDefault="00000000">
      <w:r>
        <w:rPr>
          <w:rFonts w:ascii="Arial" w:hAnsi="Arial" w:cs="Arial"/>
          <w:sz w:val="24"/>
          <w:szCs w:val="24"/>
        </w:rPr>
        <w:t xml:space="preserve">Although both models aim to improve long-term outcomes, the </w:t>
      </w:r>
      <w:r>
        <w:rPr>
          <w:rFonts w:ascii="Arial" w:hAnsi="Arial" w:cs="Arial"/>
          <w:b/>
          <w:bCs/>
          <w:sz w:val="24"/>
          <w:szCs w:val="24"/>
        </w:rPr>
        <w:t>House of Care Model</w:t>
      </w:r>
      <w:r>
        <w:rPr>
          <w:rFonts w:ascii="Arial" w:hAnsi="Arial" w:cs="Arial"/>
          <w:sz w:val="24"/>
          <w:szCs w:val="24"/>
        </w:rPr>
        <w:t xml:space="preserve"> focuses primarily on personalised, person-centred care and collaborative care planning within the NHS, whereas the </w:t>
      </w:r>
      <w:r>
        <w:rPr>
          <w:rFonts w:ascii="Arial" w:hAnsi="Arial" w:cs="Arial"/>
          <w:b/>
          <w:bCs/>
          <w:sz w:val="24"/>
          <w:szCs w:val="24"/>
        </w:rPr>
        <w:t>Chronic Care Model</w:t>
      </w:r>
      <w:r>
        <w:rPr>
          <w:rFonts w:ascii="Arial" w:hAnsi="Arial" w:cs="Arial"/>
          <w:sz w:val="24"/>
          <w:szCs w:val="24"/>
        </w:rPr>
        <w:t xml:space="preserve"> emphasises systematic organisation of healthcare services to improve long-term disease management. Combining both approaches provides a comprehensive framework for dementia care by promoting patient engagement, multidisciplinary collaboration, evidence-based practice and coordinated support across health and social care services (Year of Care Partnerships, 2023; Wagner </w:t>
      </w:r>
      <w:r>
        <w:rPr>
          <w:rFonts w:ascii="Arial" w:hAnsi="Arial" w:cs="Arial"/>
          <w:i/>
          <w:iCs/>
          <w:sz w:val="24"/>
          <w:szCs w:val="24"/>
        </w:rPr>
        <w:t>et al.</w:t>
      </w:r>
      <w:r>
        <w:rPr>
          <w:rFonts w:ascii="Arial" w:hAnsi="Arial" w:cs="Arial"/>
          <w:sz w:val="24"/>
          <w:szCs w:val="24"/>
        </w:rPr>
        <w:t>, 2001; WHO, 2025).</w:t>
      </w:r>
    </w:p>
    <w:p w14:paraId="73D0D1C6" w14:textId="77777777" w:rsidR="00BF6D37" w:rsidRDefault="00000000">
      <w:pPr>
        <w:pStyle w:val="Heading1"/>
        <w:rPr>
          <w:rFonts w:ascii="Arial" w:hAnsi="Arial" w:cs="Arial"/>
          <w:b/>
          <w:bCs/>
          <w:sz w:val="32"/>
          <w:szCs w:val="32"/>
        </w:rPr>
      </w:pPr>
      <w:r>
        <w:rPr>
          <w:rFonts w:ascii="Arial" w:hAnsi="Arial" w:cs="Arial"/>
          <w:b/>
          <w:bCs/>
          <w:sz w:val="32"/>
          <w:szCs w:val="32"/>
        </w:rPr>
        <w:t>Policy and Political Context</w:t>
      </w:r>
    </w:p>
    <w:p w14:paraId="2D0CA0C7" w14:textId="77777777" w:rsidR="00BF6D37" w:rsidRDefault="00BF6D37"/>
    <w:p w14:paraId="5880B1E8" w14:textId="77777777" w:rsidR="00BF6D37" w:rsidRDefault="00000000">
      <w:pPr>
        <w:rPr>
          <w:rFonts w:ascii="Arial" w:hAnsi="Arial" w:cs="Arial"/>
          <w:sz w:val="24"/>
          <w:szCs w:val="24"/>
        </w:rPr>
      </w:pPr>
      <w:r>
        <w:rPr>
          <w:rFonts w:ascii="Arial" w:hAnsi="Arial" w:cs="Arial"/>
          <w:sz w:val="24"/>
          <w:szCs w:val="24"/>
        </w:rPr>
        <w:lastRenderedPageBreak/>
        <w:t>Reducing the growing impact of dementia requires greater emphasis on prevention, early diagnosis and person-centred care. Public health campaigns should improve awareness of dementia symptoms, reduce stigma and encourage earlier help-seeking to enable timely diagnosis and access to treatment, personalised care planning and support services (Alzheimer's Society, 2024). However, persistent inequalities in access to diagnostic services delay intervention and require targeted investment. Health promotion should prioritise modifiable risk factors, including smoking, hypertension, diabetes, obesity and physical inactivity, as evidence suggests many dementia cases could be delayed through preventive interventions (Livingston et al., 2024). Workforce shortages must also be addressed by expanding specialist dementia services, including Admiral Nurses, while improving dementia education for health and social care professionals (Dementia UK, 2024). Future policy should strengthen multidisciplinary collaboration and expand community-based support to help people with dementia remain independent for longer. Routine cognitive assessment of high-risk individuals may improve earlier identification and referral to memory services (World Health Organization, 2025). Finally, integrating personalised care planning with initiatives promoting physical activity, lifelong learning and social engagement can enhance wellbeing, reduce caregiver burden and improve long-term sustainability of health and social care systems while supporting healthier ageing across the population in the future overall.</w:t>
      </w:r>
    </w:p>
    <w:p w14:paraId="5C35F349" w14:textId="77777777" w:rsidR="00BF6D37" w:rsidRDefault="00000000">
      <w:pPr>
        <w:pStyle w:val="Heading1"/>
        <w:rPr>
          <w:b/>
          <w:bCs/>
        </w:rPr>
      </w:pPr>
      <w:r>
        <w:rPr>
          <w:b/>
          <w:bCs/>
        </w:rPr>
        <w:t>Recommendations</w:t>
      </w:r>
    </w:p>
    <w:p w14:paraId="1CC327D7" w14:textId="77777777" w:rsidR="00BF6D37" w:rsidRDefault="00BF6D37"/>
    <w:p w14:paraId="05DC214D" w14:textId="77777777" w:rsidR="00BF6D37" w:rsidRDefault="00000000">
      <w:r>
        <w:rPr>
          <w:rFonts w:ascii="Arial" w:hAnsi="Arial" w:cs="Arial"/>
          <w:sz w:val="24"/>
          <w:szCs w:val="24"/>
        </w:rPr>
        <w:t xml:space="preserve">Effective dementia care requires a proactive and collaborative approach that focuses on prevention, early intervention and person-centred support. Increasing public awareness through national health campaigns can improve understanding of dementia symptoms, reduce stigma and encourage individuals to seek medical advice at an earlier stage (Alzheimer's Society, 2024). Earlier diagnosis should remain a national priority because it enables timely access to treatment, personalised care planning and support services, improving quality of life for both individuals and their families (National Institute for Health and Care Excellence (NICE), 2018). In addition, addressing modifiable risk factors such as smoking, hypertension, diabetes, obesity and physical inactivity through health promotion initiatives could help delay or prevent a substantial proportion of dementia cases (Livingston </w:t>
      </w:r>
      <w:r>
        <w:rPr>
          <w:rFonts w:ascii="Arial" w:hAnsi="Arial" w:cs="Arial"/>
          <w:i/>
          <w:iCs/>
          <w:sz w:val="24"/>
          <w:szCs w:val="24"/>
        </w:rPr>
        <w:t>et al</w:t>
      </w:r>
      <w:r>
        <w:rPr>
          <w:rFonts w:ascii="Arial" w:hAnsi="Arial" w:cs="Arial"/>
          <w:sz w:val="24"/>
          <w:szCs w:val="24"/>
        </w:rPr>
        <w:t>., 2024).</w:t>
      </w:r>
    </w:p>
    <w:p w14:paraId="68F6314E" w14:textId="77777777" w:rsidR="00BF6D37" w:rsidRDefault="00000000">
      <w:r>
        <w:rPr>
          <w:rFonts w:ascii="Arial" w:hAnsi="Arial" w:cs="Arial"/>
          <w:sz w:val="24"/>
          <w:szCs w:val="24"/>
        </w:rPr>
        <w:t xml:space="preserve">The dementia workforce should be strengthened through increased recruitment of specialist dementia nurses, including </w:t>
      </w:r>
      <w:r>
        <w:rPr>
          <w:rFonts w:ascii="Arial" w:hAnsi="Arial" w:cs="Arial"/>
          <w:b/>
          <w:bCs/>
          <w:sz w:val="24"/>
          <w:szCs w:val="24"/>
        </w:rPr>
        <w:t>Admiral Nurses</w:t>
      </w:r>
      <w:r>
        <w:rPr>
          <w:rFonts w:ascii="Arial" w:hAnsi="Arial" w:cs="Arial"/>
          <w:sz w:val="24"/>
          <w:szCs w:val="24"/>
        </w:rPr>
        <w:t xml:space="preserve">, alongside continued professional education for healthcare professionals working in primary and community care (Dementia UK, 2024). Routine cognitive screening for individuals at higher risk, particularly older adults with cardiovascular disease or diabetes, should be considered to facilitate earlier identification and referral to memory assessment services (World Health Organization (WHO), 2025). Furthermore, expanding community-based services, improving personalised care planning, strengthening multidisciplinary collaboration and promoting healthy ageing through regular physical activity, lifelong learning and social engagement are essential for reducing the future burden of dementia and </w:t>
      </w:r>
      <w:r>
        <w:rPr>
          <w:rFonts w:ascii="Arial" w:hAnsi="Arial" w:cs="Arial"/>
          <w:sz w:val="24"/>
          <w:szCs w:val="24"/>
        </w:rPr>
        <w:lastRenderedPageBreak/>
        <w:t>supporting independent living (NHS England, 2019; Year of Care Partnerships, 2023; Brooker and Latham, 2016).</w:t>
      </w:r>
    </w:p>
    <w:p w14:paraId="47CE6F3A" w14:textId="77777777" w:rsidR="00BF6D37" w:rsidRDefault="00000000">
      <w:pPr>
        <w:pStyle w:val="Heading1"/>
        <w:rPr>
          <w:rFonts w:ascii="Arial" w:hAnsi="Arial" w:cs="Arial"/>
          <w:b/>
          <w:bCs/>
          <w:sz w:val="32"/>
          <w:szCs w:val="32"/>
        </w:rPr>
      </w:pPr>
      <w:r>
        <w:rPr>
          <w:rFonts w:ascii="Arial" w:hAnsi="Arial" w:cs="Arial"/>
          <w:b/>
          <w:bCs/>
          <w:sz w:val="32"/>
          <w:szCs w:val="32"/>
        </w:rPr>
        <w:t>10. Summary</w:t>
      </w:r>
    </w:p>
    <w:p w14:paraId="558DE181" w14:textId="77777777" w:rsidR="00BF6D37" w:rsidRDefault="00BF6D37"/>
    <w:p w14:paraId="3F10FF1C" w14:textId="77777777" w:rsidR="00BF6D37" w:rsidRDefault="00000000">
      <w:r>
        <w:rPr>
          <w:rFonts w:ascii="Arial" w:hAnsi="Arial" w:cs="Arial"/>
          <w:sz w:val="24"/>
          <w:szCs w:val="24"/>
        </w:rPr>
        <w:t xml:space="preserve">Dementia is a progressive neurological syndrome that affects memory, cognition, behaviour and the ability to perform everyday activities independently. Although there is currently no cure, evidence demonstrates that early diagnosis, management of modifiable risk factors and evidence-based interventions can significantly improve quality of life (National Institute for Health and Care Excellence (NICE), 2018). The </w:t>
      </w:r>
      <w:r>
        <w:rPr>
          <w:rFonts w:ascii="Arial" w:hAnsi="Arial" w:cs="Arial"/>
          <w:b/>
          <w:bCs/>
          <w:sz w:val="24"/>
          <w:szCs w:val="24"/>
        </w:rPr>
        <w:t>House of Care Model</w:t>
      </w:r>
      <w:r>
        <w:rPr>
          <w:rFonts w:ascii="Arial" w:hAnsi="Arial" w:cs="Arial"/>
          <w:sz w:val="24"/>
          <w:szCs w:val="24"/>
        </w:rPr>
        <w:t xml:space="preserve"> and </w:t>
      </w:r>
      <w:r>
        <w:rPr>
          <w:rFonts w:ascii="Arial" w:hAnsi="Arial" w:cs="Arial"/>
          <w:b/>
          <w:bCs/>
          <w:sz w:val="24"/>
          <w:szCs w:val="24"/>
        </w:rPr>
        <w:t>Chronic Care Model</w:t>
      </w:r>
      <w:r>
        <w:rPr>
          <w:rFonts w:ascii="Arial" w:hAnsi="Arial" w:cs="Arial"/>
          <w:sz w:val="24"/>
          <w:szCs w:val="24"/>
        </w:rPr>
        <w:t xml:space="preserve"> provide complementary frameworks for delivering person-centred, coordinated and integrated dementia care through multidisciplinary collaboration and shared decision-making (Wagner </w:t>
      </w:r>
      <w:r>
        <w:rPr>
          <w:rFonts w:ascii="Arial" w:hAnsi="Arial" w:cs="Arial"/>
          <w:i/>
          <w:iCs/>
          <w:sz w:val="24"/>
          <w:szCs w:val="24"/>
        </w:rPr>
        <w:t>et al</w:t>
      </w:r>
      <w:r>
        <w:rPr>
          <w:rFonts w:ascii="Arial" w:hAnsi="Arial" w:cs="Arial"/>
          <w:sz w:val="24"/>
          <w:szCs w:val="24"/>
        </w:rPr>
        <w:t>., 2001; Year of Care Partnerships, 2023). Finally, recognising the essential role of families and caregivers, alongside community support services, is fundamental to ensuring that people living with dementia receive compassionate, holistic and high-quality care throughout the progression of the condition (Alzheimer's Society, 2024; World Health Organization (WHO), 2025).</w:t>
      </w:r>
    </w:p>
    <w:p w14:paraId="0A17A892" w14:textId="77777777" w:rsidR="00BF6D37" w:rsidRDefault="00BF6D37">
      <w:pPr>
        <w:pStyle w:val="ListParagraph"/>
        <w:rPr>
          <w:rFonts w:ascii="Arial" w:hAnsi="Arial" w:cs="Arial"/>
          <w:b/>
          <w:bCs/>
          <w:sz w:val="24"/>
          <w:szCs w:val="24"/>
        </w:rPr>
      </w:pPr>
    </w:p>
    <w:p w14:paraId="48AAA2E2" w14:textId="77777777" w:rsidR="00BF6D37" w:rsidRDefault="00BF6D37">
      <w:pPr>
        <w:pStyle w:val="ListParagraph"/>
        <w:rPr>
          <w:rFonts w:ascii="Arial" w:hAnsi="Arial" w:cs="Arial"/>
          <w:b/>
          <w:bCs/>
          <w:sz w:val="24"/>
          <w:szCs w:val="24"/>
        </w:rPr>
      </w:pPr>
    </w:p>
    <w:p w14:paraId="55379AA2" w14:textId="77777777" w:rsidR="00BF6D37" w:rsidRDefault="00BF6D37">
      <w:pPr>
        <w:pStyle w:val="ListParagraph"/>
        <w:rPr>
          <w:rFonts w:ascii="Arial" w:hAnsi="Arial" w:cs="Arial"/>
          <w:b/>
          <w:bCs/>
          <w:sz w:val="24"/>
          <w:szCs w:val="24"/>
        </w:rPr>
      </w:pPr>
    </w:p>
    <w:p w14:paraId="51340D38" w14:textId="77777777" w:rsidR="00BF6D37" w:rsidRDefault="00BF6D37">
      <w:pPr>
        <w:pStyle w:val="ListParagraph"/>
        <w:rPr>
          <w:rFonts w:ascii="Arial" w:hAnsi="Arial" w:cs="Arial"/>
          <w:b/>
          <w:bCs/>
          <w:sz w:val="24"/>
          <w:szCs w:val="24"/>
        </w:rPr>
      </w:pPr>
    </w:p>
    <w:p w14:paraId="54EC0B6A" w14:textId="77777777" w:rsidR="00BF6D37" w:rsidRDefault="00BF6D37">
      <w:pPr>
        <w:pStyle w:val="ListParagraph"/>
        <w:rPr>
          <w:rFonts w:ascii="Arial" w:hAnsi="Arial" w:cs="Arial"/>
          <w:b/>
          <w:bCs/>
          <w:sz w:val="24"/>
          <w:szCs w:val="24"/>
        </w:rPr>
      </w:pPr>
    </w:p>
    <w:p w14:paraId="7E7EB4D3" w14:textId="77777777" w:rsidR="00BF6D37" w:rsidRDefault="00BF6D37">
      <w:pPr>
        <w:pStyle w:val="ListParagraph"/>
        <w:rPr>
          <w:rFonts w:ascii="Arial" w:hAnsi="Arial" w:cs="Arial"/>
          <w:b/>
          <w:bCs/>
          <w:sz w:val="24"/>
          <w:szCs w:val="24"/>
        </w:rPr>
      </w:pPr>
    </w:p>
    <w:p w14:paraId="5DEC0241" w14:textId="77777777" w:rsidR="00BF6D37" w:rsidRDefault="00BF6D37">
      <w:pPr>
        <w:pStyle w:val="ListParagraph"/>
        <w:rPr>
          <w:rFonts w:ascii="Arial" w:hAnsi="Arial" w:cs="Arial"/>
          <w:b/>
          <w:bCs/>
          <w:sz w:val="24"/>
          <w:szCs w:val="24"/>
        </w:rPr>
      </w:pPr>
    </w:p>
    <w:p w14:paraId="421F5E57" w14:textId="77777777" w:rsidR="00BF6D37" w:rsidRDefault="00BF6D37">
      <w:pPr>
        <w:pStyle w:val="ListParagraph"/>
        <w:rPr>
          <w:rFonts w:ascii="Arial" w:hAnsi="Arial" w:cs="Arial"/>
          <w:b/>
          <w:bCs/>
          <w:sz w:val="24"/>
          <w:szCs w:val="24"/>
        </w:rPr>
      </w:pPr>
    </w:p>
    <w:p w14:paraId="48730A91" w14:textId="77777777" w:rsidR="00BF6D37" w:rsidRDefault="00BF6D37">
      <w:pPr>
        <w:pStyle w:val="ListParagraph"/>
        <w:rPr>
          <w:rFonts w:ascii="Arial" w:hAnsi="Arial" w:cs="Arial"/>
          <w:b/>
          <w:bCs/>
          <w:sz w:val="24"/>
          <w:szCs w:val="24"/>
        </w:rPr>
      </w:pPr>
    </w:p>
    <w:p w14:paraId="00694A26" w14:textId="77777777" w:rsidR="00BF6D37" w:rsidRDefault="00BF6D37">
      <w:pPr>
        <w:pStyle w:val="ListParagraph"/>
        <w:rPr>
          <w:rFonts w:ascii="Arial" w:hAnsi="Arial" w:cs="Arial"/>
          <w:b/>
          <w:bCs/>
          <w:sz w:val="24"/>
          <w:szCs w:val="24"/>
        </w:rPr>
      </w:pPr>
    </w:p>
    <w:p w14:paraId="624E55BD" w14:textId="77777777" w:rsidR="00BF6D37" w:rsidRDefault="00BF6D37">
      <w:pPr>
        <w:pStyle w:val="ListParagraph"/>
        <w:rPr>
          <w:rFonts w:ascii="Arial" w:hAnsi="Arial" w:cs="Arial"/>
          <w:b/>
          <w:bCs/>
          <w:sz w:val="24"/>
          <w:szCs w:val="24"/>
        </w:rPr>
      </w:pPr>
    </w:p>
    <w:p w14:paraId="723C2DDE" w14:textId="77777777" w:rsidR="00BF6D37" w:rsidRDefault="00BF6D37">
      <w:pPr>
        <w:pStyle w:val="ListParagraph"/>
        <w:rPr>
          <w:rFonts w:ascii="Arial" w:hAnsi="Arial" w:cs="Arial"/>
          <w:b/>
          <w:bCs/>
          <w:sz w:val="24"/>
          <w:szCs w:val="24"/>
        </w:rPr>
      </w:pPr>
    </w:p>
    <w:p w14:paraId="09B88FB1" w14:textId="77777777" w:rsidR="00BF6D37" w:rsidRDefault="00BF6D37">
      <w:pPr>
        <w:pStyle w:val="ListParagraph"/>
        <w:rPr>
          <w:rFonts w:ascii="Arial" w:hAnsi="Arial" w:cs="Arial"/>
          <w:b/>
          <w:bCs/>
          <w:sz w:val="24"/>
          <w:szCs w:val="24"/>
        </w:rPr>
      </w:pPr>
    </w:p>
    <w:p w14:paraId="086D3E77" w14:textId="77777777" w:rsidR="00BF6D37" w:rsidRDefault="00BF6D37">
      <w:pPr>
        <w:pStyle w:val="ListParagraph"/>
        <w:rPr>
          <w:rFonts w:ascii="Arial" w:hAnsi="Arial" w:cs="Arial"/>
          <w:b/>
          <w:bCs/>
          <w:sz w:val="24"/>
          <w:szCs w:val="24"/>
        </w:rPr>
      </w:pPr>
    </w:p>
    <w:p w14:paraId="62020171" w14:textId="77777777" w:rsidR="00BF6D37" w:rsidRDefault="00BF6D37">
      <w:pPr>
        <w:pStyle w:val="ListParagraph"/>
        <w:rPr>
          <w:rFonts w:ascii="Arial" w:hAnsi="Arial" w:cs="Arial"/>
          <w:b/>
          <w:bCs/>
          <w:sz w:val="24"/>
          <w:szCs w:val="24"/>
        </w:rPr>
      </w:pPr>
    </w:p>
    <w:p w14:paraId="01FE3E52" w14:textId="77777777" w:rsidR="00BF6D37" w:rsidRDefault="00BF6D37">
      <w:pPr>
        <w:pStyle w:val="ListParagraph"/>
        <w:rPr>
          <w:rFonts w:ascii="Arial" w:hAnsi="Arial" w:cs="Arial"/>
          <w:b/>
          <w:bCs/>
          <w:sz w:val="24"/>
          <w:szCs w:val="24"/>
        </w:rPr>
      </w:pPr>
    </w:p>
    <w:p w14:paraId="11A98358" w14:textId="77777777" w:rsidR="00BF6D37" w:rsidRDefault="00BF6D37">
      <w:pPr>
        <w:pStyle w:val="ListParagraph"/>
        <w:rPr>
          <w:rFonts w:ascii="Arial" w:hAnsi="Arial" w:cs="Arial"/>
          <w:b/>
          <w:bCs/>
          <w:sz w:val="24"/>
          <w:szCs w:val="24"/>
        </w:rPr>
      </w:pPr>
    </w:p>
    <w:p w14:paraId="2F207940" w14:textId="77777777" w:rsidR="00BF6D37" w:rsidRDefault="00BF6D37">
      <w:pPr>
        <w:pStyle w:val="ListParagraph"/>
        <w:rPr>
          <w:rFonts w:ascii="Arial" w:hAnsi="Arial" w:cs="Arial"/>
          <w:b/>
          <w:bCs/>
          <w:sz w:val="24"/>
          <w:szCs w:val="24"/>
        </w:rPr>
      </w:pPr>
    </w:p>
    <w:p w14:paraId="0BD85229" w14:textId="77777777" w:rsidR="00BF6D37" w:rsidRDefault="00BF6D37">
      <w:pPr>
        <w:pStyle w:val="ListParagraph"/>
        <w:rPr>
          <w:rFonts w:ascii="Arial" w:hAnsi="Arial" w:cs="Arial"/>
          <w:b/>
          <w:bCs/>
          <w:sz w:val="24"/>
          <w:szCs w:val="24"/>
        </w:rPr>
      </w:pPr>
    </w:p>
    <w:p w14:paraId="04D4B46F" w14:textId="77777777" w:rsidR="00BF6D37" w:rsidRDefault="00BF6D37">
      <w:pPr>
        <w:pStyle w:val="ListParagraph"/>
        <w:rPr>
          <w:rFonts w:ascii="Arial" w:hAnsi="Arial" w:cs="Arial"/>
          <w:b/>
          <w:bCs/>
          <w:sz w:val="24"/>
          <w:szCs w:val="24"/>
        </w:rPr>
      </w:pPr>
    </w:p>
    <w:p w14:paraId="6F1AA903" w14:textId="77777777" w:rsidR="00BF6D37" w:rsidRDefault="00BF6D37">
      <w:pPr>
        <w:pStyle w:val="ListParagraph"/>
        <w:rPr>
          <w:rFonts w:ascii="Arial" w:hAnsi="Arial" w:cs="Arial"/>
          <w:b/>
          <w:bCs/>
          <w:sz w:val="24"/>
          <w:szCs w:val="24"/>
        </w:rPr>
      </w:pPr>
    </w:p>
    <w:p w14:paraId="6CD2DC1C" w14:textId="77777777" w:rsidR="00BF6D37" w:rsidRDefault="00BF6D37">
      <w:pPr>
        <w:pStyle w:val="ListParagraph"/>
        <w:rPr>
          <w:rFonts w:ascii="Arial" w:hAnsi="Arial" w:cs="Arial"/>
          <w:b/>
          <w:bCs/>
          <w:sz w:val="24"/>
          <w:szCs w:val="24"/>
        </w:rPr>
      </w:pPr>
    </w:p>
    <w:p w14:paraId="70532078" w14:textId="77777777" w:rsidR="00BF6D37" w:rsidRDefault="00BF6D37">
      <w:pPr>
        <w:pStyle w:val="ListParagraph"/>
        <w:rPr>
          <w:rFonts w:ascii="Arial" w:hAnsi="Arial" w:cs="Arial"/>
          <w:b/>
          <w:bCs/>
          <w:sz w:val="24"/>
          <w:szCs w:val="24"/>
        </w:rPr>
      </w:pPr>
    </w:p>
    <w:p w14:paraId="40119700" w14:textId="77777777" w:rsidR="00BF6D37" w:rsidRDefault="00BF6D37">
      <w:pPr>
        <w:pStyle w:val="ListParagraph"/>
        <w:rPr>
          <w:rFonts w:ascii="Arial" w:hAnsi="Arial" w:cs="Arial"/>
          <w:b/>
          <w:bCs/>
          <w:sz w:val="24"/>
          <w:szCs w:val="24"/>
        </w:rPr>
      </w:pPr>
    </w:p>
    <w:p w14:paraId="6C9303A5" w14:textId="77777777" w:rsidR="00BF6D37" w:rsidRPr="00E54674" w:rsidRDefault="00BF6D37" w:rsidP="00E54674">
      <w:pPr>
        <w:rPr>
          <w:rFonts w:ascii="Arial" w:hAnsi="Arial" w:cs="Arial"/>
          <w:b/>
          <w:bCs/>
          <w:sz w:val="24"/>
          <w:szCs w:val="24"/>
        </w:rPr>
      </w:pPr>
    </w:p>
    <w:p w14:paraId="5EFFCC92" w14:textId="77777777" w:rsidR="00BF6D37" w:rsidRDefault="00000000">
      <w:pPr>
        <w:pStyle w:val="Heading1"/>
        <w:rPr>
          <w:rFonts w:ascii="Arial" w:hAnsi="Arial" w:cs="Arial"/>
          <w:sz w:val="32"/>
          <w:szCs w:val="32"/>
        </w:rPr>
      </w:pPr>
      <w:r>
        <w:rPr>
          <w:rFonts w:ascii="Arial" w:hAnsi="Arial" w:cs="Arial"/>
          <w:sz w:val="32"/>
          <w:szCs w:val="32"/>
        </w:rPr>
        <w:lastRenderedPageBreak/>
        <w:t>Reference List:</w:t>
      </w:r>
    </w:p>
    <w:p w14:paraId="1657F228" w14:textId="77777777" w:rsidR="00BF6D37" w:rsidRDefault="00BF6D37"/>
    <w:p w14:paraId="46F19856" w14:textId="77777777" w:rsidR="00BF6D37" w:rsidRDefault="00000000">
      <w:pPr>
        <w:pStyle w:val="ListParagraph"/>
        <w:numPr>
          <w:ilvl w:val="0"/>
          <w:numId w:val="1"/>
        </w:numPr>
      </w:pPr>
      <w:r>
        <w:rPr>
          <w:rFonts w:ascii="Arial" w:hAnsi="Arial" w:cs="Arial"/>
          <w:sz w:val="24"/>
          <w:szCs w:val="24"/>
        </w:rPr>
        <w:t xml:space="preserve">Alzheimer's Society (2024) </w:t>
      </w:r>
      <w:r>
        <w:rPr>
          <w:rFonts w:ascii="Arial" w:hAnsi="Arial" w:cs="Arial"/>
          <w:i/>
          <w:iCs/>
          <w:sz w:val="24"/>
          <w:szCs w:val="24"/>
        </w:rPr>
        <w:t>Dementia UK: Update</w:t>
      </w:r>
      <w:r>
        <w:rPr>
          <w:rFonts w:ascii="Arial" w:hAnsi="Arial" w:cs="Arial"/>
          <w:sz w:val="24"/>
          <w:szCs w:val="24"/>
        </w:rPr>
        <w:t xml:space="preserve">. London: Alzheimer's Society. Available at: </w:t>
      </w:r>
      <w:hyperlink r:id="rId13" w:history="1">
        <w:r w:rsidR="00BF6D37">
          <w:rPr>
            <w:rStyle w:val="Hyperlink"/>
            <w:rFonts w:ascii="Arial" w:hAnsi="Arial" w:cs="Arial"/>
            <w:sz w:val="24"/>
            <w:szCs w:val="24"/>
          </w:rPr>
          <w:t>https://www.alzheimers.org.uk</w:t>
        </w:r>
      </w:hyperlink>
      <w:r>
        <w:rPr>
          <w:rFonts w:ascii="Arial" w:hAnsi="Arial" w:cs="Arial"/>
          <w:sz w:val="24"/>
          <w:szCs w:val="24"/>
        </w:rPr>
        <w:t xml:space="preserve"> (Accessed: 26 June 2026).</w:t>
      </w:r>
    </w:p>
    <w:p w14:paraId="3D6DF0BC" w14:textId="77777777" w:rsidR="00BF6D37" w:rsidRDefault="00000000">
      <w:pPr>
        <w:pStyle w:val="ListParagraph"/>
        <w:numPr>
          <w:ilvl w:val="0"/>
          <w:numId w:val="1"/>
        </w:numPr>
      </w:pPr>
      <w:r>
        <w:rPr>
          <w:rFonts w:ascii="Arial" w:hAnsi="Arial" w:cs="Arial"/>
          <w:sz w:val="24"/>
          <w:szCs w:val="24"/>
        </w:rPr>
        <w:t xml:space="preserve">Brooker, D. and Latham, I. (2016) </w:t>
      </w:r>
      <w:r>
        <w:rPr>
          <w:rFonts w:ascii="Arial" w:hAnsi="Arial" w:cs="Arial"/>
          <w:i/>
          <w:iCs/>
          <w:sz w:val="24"/>
          <w:szCs w:val="24"/>
        </w:rPr>
        <w:t>Person-Centred Dementia Care: Making Services Better with the VIPS Framework</w:t>
      </w:r>
      <w:r>
        <w:rPr>
          <w:rFonts w:ascii="Arial" w:hAnsi="Arial" w:cs="Arial"/>
          <w:sz w:val="24"/>
          <w:szCs w:val="24"/>
        </w:rPr>
        <w:t xml:space="preserve">. 2nd </w:t>
      </w:r>
      <w:proofErr w:type="spellStart"/>
      <w:r>
        <w:rPr>
          <w:rFonts w:ascii="Arial" w:hAnsi="Arial" w:cs="Arial"/>
          <w:sz w:val="24"/>
          <w:szCs w:val="24"/>
        </w:rPr>
        <w:t>edn</w:t>
      </w:r>
      <w:proofErr w:type="spellEnd"/>
      <w:r>
        <w:rPr>
          <w:rFonts w:ascii="Arial" w:hAnsi="Arial" w:cs="Arial"/>
          <w:sz w:val="24"/>
          <w:szCs w:val="24"/>
        </w:rPr>
        <w:t>. London: Jessica Kingsley Publishers.</w:t>
      </w:r>
    </w:p>
    <w:p w14:paraId="3DB93FCD" w14:textId="77777777" w:rsidR="00BF6D37" w:rsidRDefault="00000000">
      <w:pPr>
        <w:pStyle w:val="ListParagraph"/>
        <w:numPr>
          <w:ilvl w:val="0"/>
          <w:numId w:val="1"/>
        </w:numPr>
      </w:pPr>
      <w:r>
        <w:rPr>
          <w:rFonts w:ascii="Arial" w:hAnsi="Arial" w:cs="Arial"/>
          <w:sz w:val="24"/>
          <w:szCs w:val="24"/>
        </w:rPr>
        <w:t xml:space="preserve">Department of Health (2009) </w:t>
      </w:r>
      <w:r>
        <w:rPr>
          <w:rFonts w:ascii="Arial" w:hAnsi="Arial" w:cs="Arial"/>
          <w:i/>
          <w:iCs/>
          <w:sz w:val="24"/>
          <w:szCs w:val="24"/>
        </w:rPr>
        <w:t>Living Well with Dementia: A National Dementia Strategy</w:t>
      </w:r>
      <w:r>
        <w:rPr>
          <w:rFonts w:ascii="Arial" w:hAnsi="Arial" w:cs="Arial"/>
          <w:sz w:val="24"/>
          <w:szCs w:val="24"/>
        </w:rPr>
        <w:t>. London: Department of Health.</w:t>
      </w:r>
    </w:p>
    <w:p w14:paraId="06D17DB5" w14:textId="77777777" w:rsidR="00BF6D37" w:rsidRDefault="00000000">
      <w:pPr>
        <w:pStyle w:val="ListParagraph"/>
        <w:numPr>
          <w:ilvl w:val="0"/>
          <w:numId w:val="1"/>
        </w:numPr>
      </w:pPr>
      <w:r>
        <w:rPr>
          <w:rFonts w:ascii="Arial" w:hAnsi="Arial" w:cs="Arial"/>
          <w:sz w:val="24"/>
          <w:szCs w:val="24"/>
        </w:rPr>
        <w:t xml:space="preserve">Department of Health and Social Care (2022) </w:t>
      </w:r>
      <w:r>
        <w:rPr>
          <w:rFonts w:ascii="Arial" w:hAnsi="Arial" w:cs="Arial"/>
          <w:i/>
          <w:iCs/>
          <w:sz w:val="24"/>
          <w:szCs w:val="24"/>
        </w:rPr>
        <w:t>People at the Heart of Care: Adult Social Care Reform White Paper</w:t>
      </w:r>
      <w:r>
        <w:rPr>
          <w:rFonts w:ascii="Arial" w:hAnsi="Arial" w:cs="Arial"/>
          <w:sz w:val="24"/>
          <w:szCs w:val="24"/>
        </w:rPr>
        <w:t>. London: DHSC.</w:t>
      </w:r>
    </w:p>
    <w:p w14:paraId="2DD04140" w14:textId="77777777" w:rsidR="00BF6D37" w:rsidRDefault="00000000">
      <w:pPr>
        <w:pStyle w:val="ListParagraph"/>
        <w:numPr>
          <w:ilvl w:val="0"/>
          <w:numId w:val="1"/>
        </w:numPr>
      </w:pPr>
      <w:r>
        <w:rPr>
          <w:rFonts w:ascii="Arial" w:hAnsi="Arial" w:cs="Arial"/>
          <w:sz w:val="24"/>
          <w:szCs w:val="24"/>
        </w:rPr>
        <w:t xml:space="preserve">Dementia UK (2024) </w:t>
      </w:r>
      <w:r>
        <w:rPr>
          <w:rFonts w:ascii="Arial" w:hAnsi="Arial" w:cs="Arial"/>
          <w:i/>
          <w:iCs/>
          <w:sz w:val="24"/>
          <w:szCs w:val="24"/>
        </w:rPr>
        <w:t>What is an Admiral Nurse?</w:t>
      </w:r>
      <w:r>
        <w:rPr>
          <w:rFonts w:ascii="Arial" w:hAnsi="Arial" w:cs="Arial"/>
          <w:sz w:val="24"/>
          <w:szCs w:val="24"/>
        </w:rPr>
        <w:t xml:space="preserve"> Available at: </w:t>
      </w:r>
      <w:hyperlink r:id="rId14" w:history="1">
        <w:r w:rsidR="00BF6D37">
          <w:rPr>
            <w:rStyle w:val="Hyperlink"/>
            <w:rFonts w:ascii="Arial" w:hAnsi="Arial" w:cs="Arial"/>
            <w:sz w:val="24"/>
            <w:szCs w:val="24"/>
          </w:rPr>
          <w:t>https://www.dementiauk.org</w:t>
        </w:r>
      </w:hyperlink>
      <w:r>
        <w:rPr>
          <w:rFonts w:ascii="Arial" w:hAnsi="Arial" w:cs="Arial"/>
          <w:sz w:val="24"/>
          <w:szCs w:val="24"/>
        </w:rPr>
        <w:t xml:space="preserve"> (Accessed: 26 June 2026).</w:t>
      </w:r>
    </w:p>
    <w:p w14:paraId="29640C71" w14:textId="77777777" w:rsidR="00BF6D37" w:rsidRDefault="00000000">
      <w:pPr>
        <w:pStyle w:val="ListParagraph"/>
        <w:numPr>
          <w:ilvl w:val="0"/>
          <w:numId w:val="1"/>
        </w:numPr>
      </w:pPr>
      <w:r>
        <w:rPr>
          <w:rFonts w:ascii="Arial" w:hAnsi="Arial" w:cs="Arial"/>
          <w:sz w:val="24"/>
          <w:szCs w:val="24"/>
        </w:rPr>
        <w:t xml:space="preserve">Livingston, G., Huntley, J., Liu, K.Y., et al. (2024) ‘Dementia prevention, intervention, and care: 2024 report of the Lancet Standing Commission’, </w:t>
      </w:r>
      <w:r>
        <w:rPr>
          <w:rFonts w:ascii="Arial" w:hAnsi="Arial" w:cs="Arial"/>
          <w:i/>
          <w:iCs/>
          <w:sz w:val="24"/>
          <w:szCs w:val="24"/>
        </w:rPr>
        <w:t>The Lancet</w:t>
      </w:r>
      <w:r>
        <w:rPr>
          <w:rFonts w:ascii="Arial" w:hAnsi="Arial" w:cs="Arial"/>
          <w:sz w:val="24"/>
          <w:szCs w:val="24"/>
        </w:rPr>
        <w:t>, 404(10452), pp. 572–628.</w:t>
      </w:r>
    </w:p>
    <w:p w14:paraId="7E3E1CDE" w14:textId="77777777" w:rsidR="00BF6D37" w:rsidRDefault="00000000">
      <w:pPr>
        <w:pStyle w:val="ListParagraph"/>
        <w:numPr>
          <w:ilvl w:val="0"/>
          <w:numId w:val="1"/>
        </w:numPr>
      </w:pPr>
      <w:r>
        <w:rPr>
          <w:rFonts w:ascii="Arial" w:hAnsi="Arial" w:cs="Arial"/>
          <w:sz w:val="24"/>
          <w:szCs w:val="24"/>
        </w:rPr>
        <w:t xml:space="preserve">National Institute for Health and Care Excellence (2018) </w:t>
      </w:r>
      <w:r>
        <w:rPr>
          <w:rFonts w:ascii="Arial" w:hAnsi="Arial" w:cs="Arial"/>
          <w:i/>
          <w:iCs/>
          <w:sz w:val="24"/>
          <w:szCs w:val="24"/>
        </w:rPr>
        <w:t>Dementia: Assessment, Management and Support for People Living with Dementia and their Carers (NG97).</w:t>
      </w:r>
      <w:r>
        <w:rPr>
          <w:rFonts w:ascii="Arial" w:hAnsi="Arial" w:cs="Arial"/>
          <w:sz w:val="24"/>
          <w:szCs w:val="24"/>
        </w:rPr>
        <w:t xml:space="preserve"> London: NICE.</w:t>
      </w:r>
    </w:p>
    <w:p w14:paraId="2FE67E57" w14:textId="77777777" w:rsidR="00BF6D37" w:rsidRDefault="00000000">
      <w:pPr>
        <w:pStyle w:val="ListParagraph"/>
        <w:numPr>
          <w:ilvl w:val="0"/>
          <w:numId w:val="1"/>
        </w:numPr>
      </w:pPr>
      <w:r>
        <w:rPr>
          <w:rFonts w:ascii="Arial" w:hAnsi="Arial" w:cs="Arial"/>
          <w:sz w:val="24"/>
          <w:szCs w:val="24"/>
        </w:rPr>
        <w:t xml:space="preserve">NHS England (2019) </w:t>
      </w:r>
      <w:r>
        <w:rPr>
          <w:rFonts w:ascii="Arial" w:hAnsi="Arial" w:cs="Arial"/>
          <w:i/>
          <w:iCs/>
          <w:sz w:val="24"/>
          <w:szCs w:val="24"/>
        </w:rPr>
        <w:t>The NHS Long Term Plan</w:t>
      </w:r>
      <w:r>
        <w:rPr>
          <w:rFonts w:ascii="Arial" w:hAnsi="Arial" w:cs="Arial"/>
          <w:sz w:val="24"/>
          <w:szCs w:val="24"/>
        </w:rPr>
        <w:t>. London: NHS England.</w:t>
      </w:r>
    </w:p>
    <w:p w14:paraId="388995AA" w14:textId="77777777" w:rsidR="00BF6D37" w:rsidRDefault="00000000">
      <w:pPr>
        <w:pStyle w:val="ListParagraph"/>
        <w:numPr>
          <w:ilvl w:val="0"/>
          <w:numId w:val="1"/>
        </w:numPr>
      </w:pPr>
      <w:r>
        <w:rPr>
          <w:rFonts w:ascii="Arial" w:hAnsi="Arial" w:cs="Arial"/>
          <w:sz w:val="24"/>
          <w:szCs w:val="24"/>
        </w:rPr>
        <w:t xml:space="preserve">NHS England (2023) </w:t>
      </w:r>
      <w:r>
        <w:rPr>
          <w:rFonts w:ascii="Arial" w:hAnsi="Arial" w:cs="Arial"/>
          <w:i/>
          <w:iCs/>
          <w:sz w:val="24"/>
          <w:szCs w:val="24"/>
        </w:rPr>
        <w:t>NHS Dementia Care Pathway</w:t>
      </w:r>
      <w:r>
        <w:rPr>
          <w:rFonts w:ascii="Arial" w:hAnsi="Arial" w:cs="Arial"/>
          <w:sz w:val="24"/>
          <w:szCs w:val="24"/>
        </w:rPr>
        <w:t>. London: NHS England.</w:t>
      </w:r>
    </w:p>
    <w:p w14:paraId="113F6E3B" w14:textId="77777777" w:rsidR="00BF6D37" w:rsidRDefault="00000000">
      <w:pPr>
        <w:pStyle w:val="ListParagraph"/>
        <w:numPr>
          <w:ilvl w:val="0"/>
          <w:numId w:val="1"/>
        </w:numPr>
      </w:pPr>
      <w:r>
        <w:rPr>
          <w:rFonts w:ascii="Arial" w:hAnsi="Arial" w:cs="Arial"/>
          <w:sz w:val="24"/>
          <w:szCs w:val="24"/>
        </w:rPr>
        <w:t xml:space="preserve">Nuffield Trust (2023) </w:t>
      </w:r>
      <w:r>
        <w:rPr>
          <w:rFonts w:ascii="Arial" w:hAnsi="Arial" w:cs="Arial"/>
          <w:i/>
          <w:iCs/>
          <w:sz w:val="24"/>
          <w:szCs w:val="24"/>
        </w:rPr>
        <w:t>The State of Health and Care in England</w:t>
      </w:r>
      <w:r>
        <w:rPr>
          <w:rFonts w:ascii="Arial" w:hAnsi="Arial" w:cs="Arial"/>
          <w:sz w:val="24"/>
          <w:szCs w:val="24"/>
        </w:rPr>
        <w:t>. London: Nuffield Trust.</w:t>
      </w:r>
    </w:p>
    <w:p w14:paraId="49748E3F" w14:textId="77777777" w:rsidR="00BF6D37" w:rsidRDefault="00000000">
      <w:pPr>
        <w:pStyle w:val="ListParagraph"/>
        <w:numPr>
          <w:ilvl w:val="0"/>
          <w:numId w:val="1"/>
        </w:numPr>
      </w:pPr>
      <w:r>
        <w:rPr>
          <w:rFonts w:ascii="Arial" w:hAnsi="Arial" w:cs="Arial"/>
          <w:sz w:val="24"/>
          <w:szCs w:val="24"/>
        </w:rPr>
        <w:t xml:space="preserve">Office for National Statistics (2023) </w:t>
      </w:r>
      <w:r>
        <w:rPr>
          <w:rFonts w:ascii="Arial" w:hAnsi="Arial" w:cs="Arial"/>
          <w:i/>
          <w:iCs/>
          <w:sz w:val="24"/>
          <w:szCs w:val="24"/>
        </w:rPr>
        <w:t>Health State Life Expectancies, UK</w:t>
      </w:r>
      <w:r>
        <w:rPr>
          <w:rFonts w:ascii="Arial" w:hAnsi="Arial" w:cs="Arial"/>
          <w:sz w:val="24"/>
          <w:szCs w:val="24"/>
        </w:rPr>
        <w:t>. Newport: ONS.</w:t>
      </w:r>
    </w:p>
    <w:p w14:paraId="1781E54D" w14:textId="77777777" w:rsidR="00BF6D37" w:rsidRDefault="00000000">
      <w:pPr>
        <w:pStyle w:val="ListParagraph"/>
        <w:numPr>
          <w:ilvl w:val="0"/>
          <w:numId w:val="1"/>
        </w:numPr>
      </w:pPr>
      <w:r>
        <w:rPr>
          <w:rFonts w:ascii="Arial" w:hAnsi="Arial" w:cs="Arial"/>
          <w:sz w:val="24"/>
          <w:szCs w:val="24"/>
        </w:rPr>
        <w:t xml:space="preserve">Prince, M., Wimo, A., </w:t>
      </w:r>
      <w:proofErr w:type="spellStart"/>
      <w:r>
        <w:rPr>
          <w:rFonts w:ascii="Arial" w:hAnsi="Arial" w:cs="Arial"/>
          <w:sz w:val="24"/>
          <w:szCs w:val="24"/>
        </w:rPr>
        <w:t>Guerchet</w:t>
      </w:r>
      <w:proofErr w:type="spellEnd"/>
      <w:r>
        <w:rPr>
          <w:rFonts w:ascii="Arial" w:hAnsi="Arial" w:cs="Arial"/>
          <w:sz w:val="24"/>
          <w:szCs w:val="24"/>
        </w:rPr>
        <w:t xml:space="preserve">, M., Ali, G.C., Wu, Y.T. and Prina, M. (2015) </w:t>
      </w:r>
      <w:r>
        <w:rPr>
          <w:rFonts w:ascii="Arial" w:hAnsi="Arial" w:cs="Arial"/>
          <w:i/>
          <w:iCs/>
          <w:sz w:val="24"/>
          <w:szCs w:val="24"/>
        </w:rPr>
        <w:t>World Alzheimer Report 2015</w:t>
      </w:r>
      <w:r>
        <w:rPr>
          <w:rFonts w:ascii="Arial" w:hAnsi="Arial" w:cs="Arial"/>
          <w:sz w:val="24"/>
          <w:szCs w:val="24"/>
        </w:rPr>
        <w:t>. London: Alzheimer's Disease International.</w:t>
      </w:r>
    </w:p>
    <w:p w14:paraId="6D46695A" w14:textId="77777777" w:rsidR="00BF6D37" w:rsidRDefault="00000000">
      <w:pPr>
        <w:pStyle w:val="ListParagraph"/>
        <w:numPr>
          <w:ilvl w:val="0"/>
          <w:numId w:val="1"/>
        </w:numPr>
      </w:pPr>
      <w:r>
        <w:rPr>
          <w:rFonts w:ascii="Arial" w:hAnsi="Arial" w:cs="Arial"/>
          <w:sz w:val="24"/>
          <w:szCs w:val="24"/>
        </w:rPr>
        <w:t xml:space="preserve">Public Health England (2019) </w:t>
      </w:r>
      <w:r>
        <w:rPr>
          <w:rFonts w:ascii="Arial" w:hAnsi="Arial" w:cs="Arial"/>
          <w:i/>
          <w:iCs/>
          <w:sz w:val="24"/>
          <w:szCs w:val="24"/>
        </w:rPr>
        <w:t>Health Profile for England</w:t>
      </w:r>
      <w:r>
        <w:rPr>
          <w:rFonts w:ascii="Arial" w:hAnsi="Arial" w:cs="Arial"/>
          <w:sz w:val="24"/>
          <w:szCs w:val="24"/>
        </w:rPr>
        <w:t>. London: PHE.</w:t>
      </w:r>
    </w:p>
    <w:p w14:paraId="41448C3E" w14:textId="77777777" w:rsidR="00BF6D37" w:rsidRDefault="00000000">
      <w:pPr>
        <w:pStyle w:val="ListParagraph"/>
        <w:numPr>
          <w:ilvl w:val="0"/>
          <w:numId w:val="1"/>
        </w:numPr>
      </w:pPr>
      <w:proofErr w:type="spellStart"/>
      <w:r>
        <w:rPr>
          <w:rFonts w:ascii="Arial" w:hAnsi="Arial" w:cs="Arial"/>
          <w:sz w:val="24"/>
          <w:szCs w:val="24"/>
        </w:rPr>
        <w:t>Scheltens</w:t>
      </w:r>
      <w:proofErr w:type="spellEnd"/>
      <w:r>
        <w:rPr>
          <w:rFonts w:ascii="Arial" w:hAnsi="Arial" w:cs="Arial"/>
          <w:sz w:val="24"/>
          <w:szCs w:val="24"/>
        </w:rPr>
        <w:t xml:space="preserve">, P., De Strooper, B., </w:t>
      </w:r>
      <w:proofErr w:type="spellStart"/>
      <w:r>
        <w:rPr>
          <w:rFonts w:ascii="Arial" w:hAnsi="Arial" w:cs="Arial"/>
          <w:sz w:val="24"/>
          <w:szCs w:val="24"/>
        </w:rPr>
        <w:t>Kivipelto</w:t>
      </w:r>
      <w:proofErr w:type="spellEnd"/>
      <w:r>
        <w:rPr>
          <w:rFonts w:ascii="Arial" w:hAnsi="Arial" w:cs="Arial"/>
          <w:sz w:val="24"/>
          <w:szCs w:val="24"/>
        </w:rPr>
        <w:t xml:space="preserve">, M., et al. (2021) ‘Alzheimer's disease’, </w:t>
      </w:r>
      <w:r>
        <w:rPr>
          <w:rFonts w:ascii="Arial" w:hAnsi="Arial" w:cs="Arial"/>
          <w:i/>
          <w:iCs/>
          <w:sz w:val="24"/>
          <w:szCs w:val="24"/>
        </w:rPr>
        <w:t>The Lancet</w:t>
      </w:r>
      <w:r>
        <w:rPr>
          <w:rFonts w:ascii="Arial" w:hAnsi="Arial" w:cs="Arial"/>
          <w:sz w:val="24"/>
          <w:szCs w:val="24"/>
        </w:rPr>
        <w:t>, 397(10284), pp. 1577–1590.</w:t>
      </w:r>
    </w:p>
    <w:p w14:paraId="7DC50BC0" w14:textId="77777777" w:rsidR="00BF6D37" w:rsidRDefault="00000000">
      <w:pPr>
        <w:pStyle w:val="ListParagraph"/>
        <w:numPr>
          <w:ilvl w:val="0"/>
          <w:numId w:val="1"/>
        </w:numPr>
      </w:pPr>
      <w:r>
        <w:rPr>
          <w:rFonts w:ascii="Arial" w:hAnsi="Arial" w:cs="Arial"/>
          <w:sz w:val="24"/>
          <w:szCs w:val="24"/>
        </w:rPr>
        <w:t xml:space="preserve">Skills for Care (2023) </w:t>
      </w:r>
      <w:r>
        <w:rPr>
          <w:rFonts w:ascii="Arial" w:hAnsi="Arial" w:cs="Arial"/>
          <w:i/>
          <w:iCs/>
          <w:sz w:val="24"/>
          <w:szCs w:val="24"/>
        </w:rPr>
        <w:t>The State of the Adult Social Care Sector and Workforce in England</w:t>
      </w:r>
      <w:r>
        <w:rPr>
          <w:rFonts w:ascii="Arial" w:hAnsi="Arial" w:cs="Arial"/>
          <w:sz w:val="24"/>
          <w:szCs w:val="24"/>
        </w:rPr>
        <w:t>. Leeds: Skills for Care.</w:t>
      </w:r>
    </w:p>
    <w:p w14:paraId="0B60ADCE" w14:textId="77777777" w:rsidR="00BF6D37" w:rsidRDefault="00000000">
      <w:pPr>
        <w:pStyle w:val="ListParagraph"/>
        <w:numPr>
          <w:ilvl w:val="0"/>
          <w:numId w:val="1"/>
        </w:numPr>
      </w:pPr>
      <w:r>
        <w:rPr>
          <w:rFonts w:ascii="Arial" w:hAnsi="Arial" w:cs="Arial"/>
          <w:sz w:val="24"/>
          <w:szCs w:val="24"/>
        </w:rPr>
        <w:t xml:space="preserve">The King's Fund (2022) </w:t>
      </w:r>
      <w:r>
        <w:rPr>
          <w:rFonts w:ascii="Arial" w:hAnsi="Arial" w:cs="Arial"/>
          <w:i/>
          <w:iCs/>
          <w:sz w:val="24"/>
          <w:szCs w:val="24"/>
        </w:rPr>
        <w:t>Integrated Care Systems Explained</w:t>
      </w:r>
      <w:r>
        <w:rPr>
          <w:rFonts w:ascii="Arial" w:hAnsi="Arial" w:cs="Arial"/>
          <w:sz w:val="24"/>
          <w:szCs w:val="24"/>
        </w:rPr>
        <w:t>. London: The King's Fund.</w:t>
      </w:r>
    </w:p>
    <w:p w14:paraId="16F85E6D" w14:textId="77777777" w:rsidR="00BF6D37" w:rsidRDefault="00000000">
      <w:pPr>
        <w:pStyle w:val="ListParagraph"/>
        <w:numPr>
          <w:ilvl w:val="0"/>
          <w:numId w:val="1"/>
        </w:numPr>
      </w:pPr>
      <w:r>
        <w:rPr>
          <w:rFonts w:ascii="Arial" w:hAnsi="Arial" w:cs="Arial"/>
          <w:sz w:val="24"/>
          <w:szCs w:val="24"/>
        </w:rPr>
        <w:t xml:space="preserve">The King's Fund (2023) </w:t>
      </w:r>
      <w:r>
        <w:rPr>
          <w:rFonts w:ascii="Arial" w:hAnsi="Arial" w:cs="Arial"/>
          <w:i/>
          <w:iCs/>
          <w:sz w:val="24"/>
          <w:szCs w:val="24"/>
        </w:rPr>
        <w:t>Social Care 360</w:t>
      </w:r>
      <w:r>
        <w:rPr>
          <w:rFonts w:ascii="Arial" w:hAnsi="Arial" w:cs="Arial"/>
          <w:sz w:val="24"/>
          <w:szCs w:val="24"/>
        </w:rPr>
        <w:t>. London: The King's Fund.</w:t>
      </w:r>
    </w:p>
    <w:p w14:paraId="514B43FA" w14:textId="77777777" w:rsidR="00BF6D37" w:rsidRDefault="00000000">
      <w:pPr>
        <w:pStyle w:val="ListParagraph"/>
        <w:numPr>
          <w:ilvl w:val="0"/>
          <w:numId w:val="1"/>
        </w:numPr>
      </w:pPr>
      <w:r>
        <w:rPr>
          <w:rFonts w:ascii="Arial" w:hAnsi="Arial" w:cs="Arial"/>
          <w:sz w:val="24"/>
          <w:szCs w:val="24"/>
        </w:rPr>
        <w:t xml:space="preserve">Wagner, E.H., Austin, B.T., Davis, C., Hindmarsh, M., Schaefer, J. and Bonomi, A. (2001) ‘Improving chronic illness care: translating evidence into action’, </w:t>
      </w:r>
      <w:r>
        <w:rPr>
          <w:rFonts w:ascii="Arial" w:hAnsi="Arial" w:cs="Arial"/>
          <w:i/>
          <w:iCs/>
          <w:sz w:val="24"/>
          <w:szCs w:val="24"/>
        </w:rPr>
        <w:t>Health Affairs</w:t>
      </w:r>
      <w:r>
        <w:rPr>
          <w:rFonts w:ascii="Arial" w:hAnsi="Arial" w:cs="Arial"/>
          <w:sz w:val="24"/>
          <w:szCs w:val="24"/>
        </w:rPr>
        <w:t>, 20(6), pp. 64–78.</w:t>
      </w:r>
    </w:p>
    <w:p w14:paraId="4F7BB97E" w14:textId="77777777" w:rsidR="00BF6D37" w:rsidRDefault="00000000">
      <w:pPr>
        <w:pStyle w:val="ListParagraph"/>
        <w:numPr>
          <w:ilvl w:val="0"/>
          <w:numId w:val="1"/>
        </w:numPr>
      </w:pPr>
      <w:r>
        <w:rPr>
          <w:rFonts w:ascii="Arial" w:hAnsi="Arial" w:cs="Arial"/>
          <w:sz w:val="24"/>
          <w:szCs w:val="24"/>
        </w:rPr>
        <w:t xml:space="preserve">World Health Organization (2021) </w:t>
      </w:r>
      <w:r>
        <w:rPr>
          <w:rFonts w:ascii="Arial" w:hAnsi="Arial" w:cs="Arial"/>
          <w:i/>
          <w:iCs/>
          <w:sz w:val="24"/>
          <w:szCs w:val="24"/>
        </w:rPr>
        <w:t>Global Status Report on the Public Health Response to Dementia</w:t>
      </w:r>
      <w:r>
        <w:rPr>
          <w:rFonts w:ascii="Arial" w:hAnsi="Arial" w:cs="Arial"/>
          <w:sz w:val="24"/>
          <w:szCs w:val="24"/>
        </w:rPr>
        <w:t>. Geneva: WHO.</w:t>
      </w:r>
    </w:p>
    <w:p w14:paraId="5887F149" w14:textId="77777777" w:rsidR="00BF6D37" w:rsidRDefault="00000000">
      <w:pPr>
        <w:pStyle w:val="ListParagraph"/>
        <w:numPr>
          <w:ilvl w:val="0"/>
          <w:numId w:val="1"/>
        </w:numPr>
      </w:pPr>
      <w:r>
        <w:rPr>
          <w:rFonts w:ascii="Arial" w:hAnsi="Arial" w:cs="Arial"/>
          <w:sz w:val="24"/>
          <w:szCs w:val="24"/>
        </w:rPr>
        <w:t xml:space="preserve">World Health Organization (2025) </w:t>
      </w:r>
      <w:r>
        <w:rPr>
          <w:rFonts w:ascii="Arial" w:hAnsi="Arial" w:cs="Arial"/>
          <w:i/>
          <w:iCs/>
          <w:sz w:val="24"/>
          <w:szCs w:val="24"/>
        </w:rPr>
        <w:t>Dementia</w:t>
      </w:r>
      <w:r>
        <w:rPr>
          <w:rFonts w:ascii="Arial" w:hAnsi="Arial" w:cs="Arial"/>
          <w:sz w:val="24"/>
          <w:szCs w:val="24"/>
        </w:rPr>
        <w:t>. Geneva: WHO.</w:t>
      </w:r>
    </w:p>
    <w:p w14:paraId="7240678A" w14:textId="77777777" w:rsidR="00BF6D37" w:rsidRDefault="00000000">
      <w:pPr>
        <w:pStyle w:val="ListParagraph"/>
        <w:numPr>
          <w:ilvl w:val="0"/>
          <w:numId w:val="1"/>
        </w:numPr>
      </w:pPr>
      <w:r>
        <w:rPr>
          <w:rFonts w:ascii="Arial" w:hAnsi="Arial" w:cs="Arial"/>
          <w:sz w:val="24"/>
          <w:szCs w:val="24"/>
        </w:rPr>
        <w:t xml:space="preserve">World Health Organization (2025) </w:t>
      </w:r>
      <w:r>
        <w:rPr>
          <w:rFonts w:ascii="Arial" w:hAnsi="Arial" w:cs="Arial"/>
          <w:i/>
          <w:iCs/>
          <w:sz w:val="24"/>
          <w:szCs w:val="24"/>
        </w:rPr>
        <w:t>Risk Reduction of Cognitive Decline and Dementia: WHO Guidelines</w:t>
      </w:r>
      <w:r>
        <w:rPr>
          <w:rFonts w:ascii="Arial" w:hAnsi="Arial" w:cs="Arial"/>
          <w:sz w:val="24"/>
          <w:szCs w:val="24"/>
        </w:rPr>
        <w:t>. Geneva: WHO.</w:t>
      </w:r>
    </w:p>
    <w:p w14:paraId="2BD11A29" w14:textId="77777777" w:rsidR="00BF6D37" w:rsidRDefault="00000000">
      <w:pPr>
        <w:pStyle w:val="ListParagraph"/>
        <w:numPr>
          <w:ilvl w:val="0"/>
          <w:numId w:val="1"/>
        </w:numPr>
      </w:pPr>
      <w:r>
        <w:rPr>
          <w:rFonts w:ascii="Arial" w:hAnsi="Arial" w:cs="Arial"/>
          <w:sz w:val="24"/>
          <w:szCs w:val="24"/>
        </w:rPr>
        <w:t xml:space="preserve">Year of Care Partnerships (2023) </w:t>
      </w:r>
      <w:r>
        <w:rPr>
          <w:rFonts w:ascii="Arial" w:hAnsi="Arial" w:cs="Arial"/>
          <w:i/>
          <w:iCs/>
          <w:sz w:val="24"/>
          <w:szCs w:val="24"/>
        </w:rPr>
        <w:t>The House of Care</w:t>
      </w:r>
      <w:r>
        <w:rPr>
          <w:rFonts w:ascii="Arial" w:hAnsi="Arial" w:cs="Arial"/>
          <w:sz w:val="24"/>
          <w:szCs w:val="24"/>
        </w:rPr>
        <w:t xml:space="preserve">. Available at: </w:t>
      </w:r>
      <w:hyperlink r:id="rId15" w:history="1">
        <w:r w:rsidR="00BF6D37">
          <w:rPr>
            <w:rStyle w:val="Hyperlink"/>
            <w:rFonts w:ascii="Arial" w:hAnsi="Arial" w:cs="Arial"/>
            <w:sz w:val="24"/>
            <w:szCs w:val="24"/>
          </w:rPr>
          <w:t>https://www.yearofcare.co.uk</w:t>
        </w:r>
      </w:hyperlink>
      <w:r>
        <w:rPr>
          <w:rFonts w:ascii="Arial" w:hAnsi="Arial" w:cs="Arial"/>
          <w:sz w:val="24"/>
          <w:szCs w:val="24"/>
        </w:rPr>
        <w:t xml:space="preserve"> (Accessed: 26 June 2026).</w:t>
      </w:r>
    </w:p>
    <w:p w14:paraId="0FE568A5" w14:textId="77777777" w:rsidR="00BF6D37" w:rsidRDefault="00000000">
      <w:pPr>
        <w:pStyle w:val="ListParagraph"/>
        <w:numPr>
          <w:ilvl w:val="0"/>
          <w:numId w:val="1"/>
        </w:numPr>
      </w:pPr>
      <w:r>
        <w:rPr>
          <w:rFonts w:ascii="Arial" w:hAnsi="Arial" w:cs="Arial"/>
          <w:sz w:val="24"/>
          <w:szCs w:val="24"/>
        </w:rPr>
        <w:lastRenderedPageBreak/>
        <w:t xml:space="preserve">Alzheimer's Disease International (2023) </w:t>
      </w:r>
      <w:r>
        <w:rPr>
          <w:rFonts w:ascii="Arial" w:hAnsi="Arial" w:cs="Arial"/>
          <w:i/>
          <w:iCs/>
          <w:sz w:val="24"/>
          <w:szCs w:val="24"/>
        </w:rPr>
        <w:t>World Alzheimer Report 2023</w:t>
      </w:r>
      <w:r>
        <w:rPr>
          <w:rFonts w:ascii="Arial" w:hAnsi="Arial" w:cs="Arial"/>
          <w:sz w:val="24"/>
          <w:szCs w:val="24"/>
        </w:rPr>
        <w:t>. London: ADI.</w:t>
      </w:r>
    </w:p>
    <w:p w14:paraId="6EEC3BEF" w14:textId="77777777" w:rsidR="00BF6D37" w:rsidRDefault="00000000">
      <w:pPr>
        <w:pStyle w:val="ListParagraph"/>
        <w:numPr>
          <w:ilvl w:val="0"/>
          <w:numId w:val="1"/>
        </w:numPr>
      </w:pPr>
      <w:r>
        <w:rPr>
          <w:rFonts w:ascii="Arial" w:hAnsi="Arial" w:cs="Arial"/>
          <w:sz w:val="24"/>
          <w:szCs w:val="24"/>
        </w:rPr>
        <w:t xml:space="preserve">National Institute on Aging (2024) </w:t>
      </w:r>
      <w:r>
        <w:rPr>
          <w:rFonts w:ascii="Arial" w:hAnsi="Arial" w:cs="Arial"/>
          <w:i/>
          <w:iCs/>
          <w:sz w:val="24"/>
          <w:szCs w:val="24"/>
        </w:rPr>
        <w:t>What is Dementia?</w:t>
      </w:r>
      <w:r>
        <w:rPr>
          <w:rFonts w:ascii="Arial" w:hAnsi="Arial" w:cs="Arial"/>
          <w:sz w:val="24"/>
          <w:szCs w:val="24"/>
        </w:rPr>
        <w:t xml:space="preserve"> Bethesda, MD: National Institutes of Health.</w:t>
      </w:r>
    </w:p>
    <w:p w14:paraId="77C4304A" w14:textId="77777777" w:rsidR="00BF6D37" w:rsidRDefault="00000000">
      <w:pPr>
        <w:pStyle w:val="ListParagraph"/>
        <w:numPr>
          <w:ilvl w:val="0"/>
          <w:numId w:val="1"/>
        </w:numPr>
      </w:pPr>
      <w:r>
        <w:rPr>
          <w:rFonts w:ascii="Arial" w:hAnsi="Arial" w:cs="Arial"/>
          <w:sz w:val="24"/>
          <w:szCs w:val="24"/>
        </w:rPr>
        <w:t xml:space="preserve">National Institute on Aging (2024) </w:t>
      </w:r>
      <w:r>
        <w:rPr>
          <w:rFonts w:ascii="Arial" w:hAnsi="Arial" w:cs="Arial"/>
          <w:i/>
          <w:iCs/>
          <w:sz w:val="24"/>
          <w:szCs w:val="24"/>
        </w:rPr>
        <w:t>Alzheimer's Disease Fact Sheet</w:t>
      </w:r>
      <w:r>
        <w:rPr>
          <w:rFonts w:ascii="Arial" w:hAnsi="Arial" w:cs="Arial"/>
          <w:sz w:val="24"/>
          <w:szCs w:val="24"/>
        </w:rPr>
        <w:t>. Bethesda, MD: National Institutes of Health.</w:t>
      </w:r>
    </w:p>
    <w:p w14:paraId="3C7D7973" w14:textId="77777777" w:rsidR="00BF6D37" w:rsidRDefault="00000000">
      <w:pPr>
        <w:pStyle w:val="ListParagraph"/>
        <w:numPr>
          <w:ilvl w:val="0"/>
          <w:numId w:val="1"/>
        </w:numPr>
      </w:pPr>
      <w:r>
        <w:rPr>
          <w:rFonts w:ascii="Arial" w:hAnsi="Arial" w:cs="Arial"/>
          <w:sz w:val="24"/>
          <w:szCs w:val="24"/>
        </w:rPr>
        <w:t xml:space="preserve">Alzheimer's Research UK (2024) </w:t>
      </w:r>
      <w:r>
        <w:rPr>
          <w:rFonts w:ascii="Arial" w:hAnsi="Arial" w:cs="Arial"/>
          <w:i/>
          <w:iCs/>
          <w:sz w:val="24"/>
          <w:szCs w:val="24"/>
        </w:rPr>
        <w:t>Types of Dementia</w:t>
      </w:r>
      <w:r>
        <w:rPr>
          <w:rFonts w:ascii="Arial" w:hAnsi="Arial" w:cs="Arial"/>
          <w:sz w:val="24"/>
          <w:szCs w:val="24"/>
        </w:rPr>
        <w:t>. Cambridge: Alzheimer's Research UK.</w:t>
      </w:r>
    </w:p>
    <w:p w14:paraId="34A90047" w14:textId="77777777" w:rsidR="00BF6D37" w:rsidRDefault="00000000">
      <w:pPr>
        <w:pStyle w:val="ListParagraph"/>
        <w:numPr>
          <w:ilvl w:val="0"/>
          <w:numId w:val="1"/>
        </w:numPr>
      </w:pPr>
      <w:r>
        <w:rPr>
          <w:rFonts w:ascii="Arial" w:hAnsi="Arial" w:cs="Arial"/>
          <w:sz w:val="24"/>
          <w:szCs w:val="24"/>
        </w:rPr>
        <w:t xml:space="preserve">Alzheimer's Research UK (2024) </w:t>
      </w:r>
      <w:r>
        <w:rPr>
          <w:rFonts w:ascii="Arial" w:hAnsi="Arial" w:cs="Arial"/>
          <w:i/>
          <w:iCs/>
          <w:sz w:val="24"/>
          <w:szCs w:val="24"/>
        </w:rPr>
        <w:t>Treatments for Dementia</w:t>
      </w:r>
      <w:r>
        <w:rPr>
          <w:rFonts w:ascii="Arial" w:hAnsi="Arial" w:cs="Arial"/>
          <w:sz w:val="24"/>
          <w:szCs w:val="24"/>
        </w:rPr>
        <w:t>. Cambridge: Alzheimer's Research UK.</w:t>
      </w:r>
    </w:p>
    <w:p w14:paraId="527C72EB" w14:textId="77777777" w:rsidR="00BF6D37" w:rsidRDefault="00000000">
      <w:pPr>
        <w:pStyle w:val="ListParagraph"/>
        <w:numPr>
          <w:ilvl w:val="0"/>
          <w:numId w:val="1"/>
        </w:numPr>
      </w:pPr>
      <w:r>
        <w:rPr>
          <w:rFonts w:ascii="Arial" w:hAnsi="Arial" w:cs="Arial"/>
          <w:sz w:val="24"/>
          <w:szCs w:val="24"/>
        </w:rPr>
        <w:t xml:space="preserve">Health Education England (2022) </w:t>
      </w:r>
      <w:r>
        <w:rPr>
          <w:rFonts w:ascii="Arial" w:hAnsi="Arial" w:cs="Arial"/>
          <w:i/>
          <w:iCs/>
          <w:sz w:val="24"/>
          <w:szCs w:val="24"/>
        </w:rPr>
        <w:t>Dementia Training Standards Framework</w:t>
      </w:r>
      <w:r>
        <w:rPr>
          <w:rFonts w:ascii="Arial" w:hAnsi="Arial" w:cs="Arial"/>
          <w:sz w:val="24"/>
          <w:szCs w:val="24"/>
        </w:rPr>
        <w:t>. London: HEE.</w:t>
      </w:r>
    </w:p>
    <w:p w14:paraId="0B517405" w14:textId="77777777" w:rsidR="00BF6D37" w:rsidRDefault="00000000">
      <w:pPr>
        <w:pStyle w:val="ListParagraph"/>
        <w:numPr>
          <w:ilvl w:val="0"/>
          <w:numId w:val="1"/>
        </w:numPr>
      </w:pPr>
      <w:r>
        <w:rPr>
          <w:rFonts w:ascii="Arial" w:hAnsi="Arial" w:cs="Arial"/>
          <w:sz w:val="24"/>
          <w:szCs w:val="24"/>
        </w:rPr>
        <w:t xml:space="preserve">NHS Digital (2023) </w:t>
      </w:r>
      <w:r>
        <w:rPr>
          <w:rFonts w:ascii="Arial" w:hAnsi="Arial" w:cs="Arial"/>
          <w:i/>
          <w:iCs/>
          <w:sz w:val="24"/>
          <w:szCs w:val="24"/>
        </w:rPr>
        <w:t>Hospital Admissions Related to Dementia</w:t>
      </w:r>
      <w:r>
        <w:rPr>
          <w:rFonts w:ascii="Arial" w:hAnsi="Arial" w:cs="Arial"/>
          <w:sz w:val="24"/>
          <w:szCs w:val="24"/>
        </w:rPr>
        <w:t>. Leeds: NHS Digital.</w:t>
      </w:r>
    </w:p>
    <w:p w14:paraId="4EDCA4B4" w14:textId="77777777" w:rsidR="00BF6D37" w:rsidRDefault="00000000">
      <w:pPr>
        <w:pStyle w:val="ListParagraph"/>
        <w:numPr>
          <w:ilvl w:val="0"/>
          <w:numId w:val="1"/>
        </w:numPr>
      </w:pPr>
      <w:r>
        <w:rPr>
          <w:rFonts w:ascii="Arial" w:hAnsi="Arial" w:cs="Arial"/>
          <w:sz w:val="24"/>
          <w:szCs w:val="24"/>
        </w:rPr>
        <w:t xml:space="preserve">Care Quality Commission (2023) </w:t>
      </w:r>
      <w:r>
        <w:rPr>
          <w:rFonts w:ascii="Arial" w:hAnsi="Arial" w:cs="Arial"/>
          <w:i/>
          <w:iCs/>
          <w:sz w:val="24"/>
          <w:szCs w:val="24"/>
        </w:rPr>
        <w:t>The State of Health Care and Adult Social Care in England</w:t>
      </w:r>
      <w:r>
        <w:rPr>
          <w:rFonts w:ascii="Arial" w:hAnsi="Arial" w:cs="Arial"/>
          <w:sz w:val="24"/>
          <w:szCs w:val="24"/>
        </w:rPr>
        <w:t>. London: CQC.</w:t>
      </w:r>
    </w:p>
    <w:p w14:paraId="01A772C6" w14:textId="77777777" w:rsidR="00BF6D37" w:rsidRDefault="00BF6D37">
      <w:pPr>
        <w:rPr>
          <w:rFonts w:ascii="Arial" w:hAnsi="Arial" w:cs="Arial"/>
          <w:sz w:val="24"/>
          <w:szCs w:val="24"/>
        </w:rPr>
      </w:pPr>
    </w:p>
    <w:sectPr w:rsidR="00BF6D37">
      <w:footerReference w:type="default" r:id="rId16"/>
      <w:pgSz w:w="11906" w:h="16838"/>
      <w:pgMar w:top="1410" w:right="1410" w:bottom="1410" w:left="1410" w:header="690" w:footer="690" w:gutter="0"/>
      <w:pgBorders w:offsetFrom="page">
        <w:top w:val="single" w:sz="12" w:space="24" w:color="000000" w:shadow="1"/>
        <w:left w:val="single" w:sz="12" w:space="24" w:color="000000" w:shadow="1"/>
        <w:bottom w:val="single" w:sz="12" w:space="24" w:color="000000" w:shadow="1"/>
        <w:right w:val="single" w:sz="12" w:space="24" w:color="000000" w:shadow="1"/>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2AFB4" w14:textId="77777777" w:rsidR="00277755" w:rsidRDefault="00277755">
      <w:pPr>
        <w:spacing w:after="0" w:line="240" w:lineRule="auto"/>
      </w:pPr>
      <w:r>
        <w:separator/>
      </w:r>
    </w:p>
  </w:endnote>
  <w:endnote w:type="continuationSeparator" w:id="0">
    <w:p w14:paraId="0C063BC4" w14:textId="77777777" w:rsidR="00277755" w:rsidRDefault="00277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F24AC" w14:textId="77777777" w:rsidR="005D2432" w:rsidRDefault="00000000">
    <w:pPr>
      <w:pStyle w:val="Footer"/>
      <w:jc w:val="right"/>
    </w:pPr>
    <w:r>
      <w:fldChar w:fldCharType="begin"/>
    </w:r>
    <w:r>
      <w:instrText xml:space="preserve"> PAGE </w:instrText>
    </w:r>
    <w:r>
      <w:fldChar w:fldCharType="separate"/>
    </w:r>
    <w:r>
      <w:t>2</w:t>
    </w:r>
    <w:r>
      <w:fldChar w:fldCharType="end"/>
    </w:r>
  </w:p>
  <w:p w14:paraId="433EBD77" w14:textId="77777777" w:rsidR="005D2432" w:rsidRDefault="005D2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05951" w14:textId="77777777" w:rsidR="00277755" w:rsidRDefault="00277755">
      <w:pPr>
        <w:spacing w:after="0" w:line="240" w:lineRule="auto"/>
      </w:pPr>
      <w:r>
        <w:rPr>
          <w:color w:val="000000"/>
        </w:rPr>
        <w:separator/>
      </w:r>
    </w:p>
  </w:footnote>
  <w:footnote w:type="continuationSeparator" w:id="0">
    <w:p w14:paraId="4BF8A82A" w14:textId="77777777" w:rsidR="00277755" w:rsidRDefault="002777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747F9"/>
    <w:multiLevelType w:val="multilevel"/>
    <w:tmpl w:val="D60408E8"/>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286662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D37"/>
    <w:rsid w:val="00277755"/>
    <w:rsid w:val="003F34F5"/>
    <w:rsid w:val="005D2432"/>
    <w:rsid w:val="00841366"/>
    <w:rsid w:val="00952B0D"/>
    <w:rsid w:val="009D472F"/>
    <w:rsid w:val="00BF6D37"/>
    <w:rsid w:val="00E54674"/>
    <w:rsid w:val="00F32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98E7A"/>
  <w15:docId w15:val="{BE7EE395-C397-41D7-BAB1-356E3FBC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40" w:line="240" w:lineRule="auto"/>
      <w:outlineLvl w:val="0"/>
    </w:pPr>
    <w:rPr>
      <w:rFonts w:ascii="Aptos Display" w:hAnsi="Aptos Display"/>
      <w:color w:val="0A2F41"/>
      <w:sz w:val="36"/>
      <w:szCs w:val="36"/>
    </w:rPr>
  </w:style>
  <w:style w:type="paragraph" w:styleId="Heading2">
    <w:name w:val="heading 2"/>
    <w:basedOn w:val="Normal"/>
    <w:next w:val="Normal"/>
    <w:uiPriority w:val="9"/>
    <w:semiHidden/>
    <w:unhideWhenUsed/>
    <w:qFormat/>
    <w:pPr>
      <w:keepNext/>
      <w:keepLines/>
      <w:spacing w:before="40" w:after="0" w:line="240" w:lineRule="auto"/>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40" w:after="0" w:line="240" w:lineRule="auto"/>
      <w:outlineLvl w:val="2"/>
    </w:pPr>
    <w:rPr>
      <w:rFonts w:ascii="Aptos Display" w:hAnsi="Aptos Display"/>
      <w:color w:val="0F4761"/>
      <w:sz w:val="28"/>
      <w:szCs w:val="28"/>
    </w:rPr>
  </w:style>
  <w:style w:type="paragraph" w:styleId="Heading4">
    <w:name w:val="heading 4"/>
    <w:basedOn w:val="Normal"/>
    <w:next w:val="Normal"/>
    <w:uiPriority w:val="9"/>
    <w:semiHidden/>
    <w:unhideWhenUsed/>
    <w:qFormat/>
    <w:pPr>
      <w:keepNext/>
      <w:keepLines/>
      <w:spacing w:before="40" w:after="0"/>
      <w:outlineLvl w:val="3"/>
    </w:pPr>
    <w:rPr>
      <w:rFonts w:ascii="Aptos Display" w:hAnsi="Aptos Display"/>
      <w:color w:val="0F4761"/>
      <w:sz w:val="24"/>
      <w:szCs w:val="24"/>
    </w:rPr>
  </w:style>
  <w:style w:type="paragraph" w:styleId="Heading5">
    <w:name w:val="heading 5"/>
    <w:basedOn w:val="Normal"/>
    <w:next w:val="Normal"/>
    <w:uiPriority w:val="9"/>
    <w:semiHidden/>
    <w:unhideWhenUsed/>
    <w:qFormat/>
    <w:pPr>
      <w:keepNext/>
      <w:keepLines/>
      <w:spacing w:before="40" w:after="0"/>
      <w:outlineLvl w:val="4"/>
    </w:pPr>
    <w:rPr>
      <w:rFonts w:ascii="Aptos Display" w:hAnsi="Aptos Display"/>
      <w:cap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Display" w:hAnsi="Aptos Display"/>
      <w:i/>
      <w:iCs/>
      <w:caps/>
      <w:color w:val="0A2F41"/>
    </w:rPr>
  </w:style>
  <w:style w:type="paragraph" w:styleId="Heading7">
    <w:name w:val="heading 7"/>
    <w:basedOn w:val="Normal"/>
    <w:next w:val="Normal"/>
    <w:pPr>
      <w:keepNext/>
      <w:keepLines/>
      <w:spacing w:before="40" w:after="0"/>
      <w:outlineLvl w:val="6"/>
    </w:pPr>
    <w:rPr>
      <w:rFonts w:ascii="Aptos Display" w:hAnsi="Aptos Display"/>
      <w:b/>
      <w:bCs/>
      <w:color w:val="0A2F41"/>
    </w:rPr>
  </w:style>
  <w:style w:type="paragraph" w:styleId="Heading8">
    <w:name w:val="heading 8"/>
    <w:basedOn w:val="Normal"/>
    <w:next w:val="Normal"/>
    <w:pPr>
      <w:keepNext/>
      <w:keepLines/>
      <w:spacing w:before="40" w:after="0"/>
      <w:outlineLvl w:val="7"/>
    </w:pPr>
    <w:rPr>
      <w:rFonts w:ascii="Aptos Display" w:hAnsi="Aptos Display"/>
      <w:b/>
      <w:bCs/>
      <w:i/>
      <w:iCs/>
      <w:color w:val="0A2F41"/>
    </w:rPr>
  </w:style>
  <w:style w:type="paragraph" w:styleId="Heading9">
    <w:name w:val="heading 9"/>
    <w:basedOn w:val="Normal"/>
    <w:next w:val="Normal"/>
    <w:pPr>
      <w:keepNext/>
      <w:keepLines/>
      <w:spacing w:before="40" w:after="0"/>
      <w:outlineLvl w:val="8"/>
    </w:pPr>
    <w:rPr>
      <w:rFonts w:ascii="Aptos Display" w:hAnsi="Aptos Display"/>
      <w:i/>
      <w:iCs/>
      <w:color w:val="0A2F4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A2F41"/>
      <w:sz w:val="36"/>
      <w:szCs w:val="36"/>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ascii="Aptos Display" w:eastAsia="Times New Roman" w:hAnsi="Aptos Display" w:cs="Times New Roman"/>
      <w:color w:val="0F4761"/>
      <w:sz w:val="28"/>
      <w:szCs w:val="28"/>
    </w:rPr>
  </w:style>
  <w:style w:type="character" w:customStyle="1" w:styleId="Heading4Char">
    <w:name w:val="Heading 4 Char"/>
    <w:basedOn w:val="DefaultParagraphFont"/>
    <w:rPr>
      <w:rFonts w:ascii="Aptos Display" w:eastAsia="Times New Roman" w:hAnsi="Aptos Display" w:cs="Times New Roman"/>
      <w:color w:val="0F4761"/>
      <w:sz w:val="24"/>
      <w:szCs w:val="24"/>
    </w:rPr>
  </w:style>
  <w:style w:type="character" w:customStyle="1" w:styleId="Heading5Char">
    <w:name w:val="Heading 5 Char"/>
    <w:basedOn w:val="DefaultParagraphFont"/>
    <w:rPr>
      <w:rFonts w:ascii="Aptos Display" w:eastAsia="Times New Roman" w:hAnsi="Aptos Display" w:cs="Times New Roman"/>
      <w:caps/>
      <w:color w:val="0F4761"/>
    </w:rPr>
  </w:style>
  <w:style w:type="character" w:customStyle="1" w:styleId="Heading6Char">
    <w:name w:val="Heading 6 Char"/>
    <w:basedOn w:val="DefaultParagraphFont"/>
    <w:rPr>
      <w:rFonts w:ascii="Aptos Display" w:eastAsia="Times New Roman" w:hAnsi="Aptos Display" w:cs="Times New Roman"/>
      <w:i/>
      <w:iCs/>
      <w:caps/>
      <w:color w:val="0A2F41"/>
    </w:rPr>
  </w:style>
  <w:style w:type="character" w:customStyle="1" w:styleId="Heading7Char">
    <w:name w:val="Heading 7 Char"/>
    <w:basedOn w:val="DefaultParagraphFont"/>
    <w:rPr>
      <w:rFonts w:ascii="Aptos Display" w:eastAsia="Times New Roman" w:hAnsi="Aptos Display" w:cs="Times New Roman"/>
      <w:b/>
      <w:bCs/>
      <w:color w:val="0A2F41"/>
    </w:rPr>
  </w:style>
  <w:style w:type="character" w:customStyle="1" w:styleId="Heading8Char">
    <w:name w:val="Heading 8 Char"/>
    <w:basedOn w:val="DefaultParagraphFont"/>
    <w:rPr>
      <w:rFonts w:ascii="Aptos Display" w:eastAsia="Times New Roman" w:hAnsi="Aptos Display" w:cs="Times New Roman"/>
      <w:b/>
      <w:bCs/>
      <w:i/>
      <w:iCs/>
      <w:color w:val="0A2F41"/>
    </w:rPr>
  </w:style>
  <w:style w:type="character" w:customStyle="1" w:styleId="Heading9Char">
    <w:name w:val="Heading 9 Char"/>
    <w:basedOn w:val="DefaultParagraphFont"/>
    <w:rPr>
      <w:rFonts w:ascii="Aptos Display" w:eastAsia="Times New Roman" w:hAnsi="Aptos Display" w:cs="Times New Roman"/>
      <w:i/>
      <w:iCs/>
      <w:color w:val="0A2F41"/>
    </w:rPr>
  </w:style>
  <w:style w:type="paragraph" w:styleId="Title">
    <w:name w:val="Title"/>
    <w:basedOn w:val="Normal"/>
    <w:next w:val="Normal"/>
    <w:uiPriority w:val="10"/>
    <w:qFormat/>
    <w:pPr>
      <w:spacing w:after="0" w:line="204" w:lineRule="auto"/>
      <w:contextualSpacing/>
    </w:pPr>
    <w:rPr>
      <w:rFonts w:ascii="Aptos Display" w:hAnsi="Aptos Display"/>
      <w:caps/>
      <w:color w:val="0E2841"/>
      <w:spacing w:val="-15"/>
      <w:sz w:val="72"/>
      <w:szCs w:val="72"/>
    </w:rPr>
  </w:style>
  <w:style w:type="character" w:customStyle="1" w:styleId="TitleChar">
    <w:name w:val="Title Char"/>
    <w:basedOn w:val="DefaultParagraphFont"/>
    <w:rPr>
      <w:rFonts w:ascii="Aptos Display" w:eastAsia="Times New Roman" w:hAnsi="Aptos Display" w:cs="Times New Roman"/>
      <w:caps/>
      <w:color w:val="0E2841"/>
      <w:spacing w:val="-15"/>
      <w:sz w:val="72"/>
      <w:szCs w:val="72"/>
    </w:rPr>
  </w:style>
  <w:style w:type="paragraph" w:styleId="Subtitle">
    <w:name w:val="Subtitle"/>
    <w:basedOn w:val="Normal"/>
    <w:next w:val="Normal"/>
    <w:uiPriority w:val="11"/>
    <w:qFormat/>
    <w:pPr>
      <w:spacing w:after="240" w:line="240" w:lineRule="auto"/>
    </w:pPr>
    <w:rPr>
      <w:rFonts w:ascii="Aptos Display" w:hAnsi="Aptos Display"/>
      <w:color w:val="156082"/>
      <w:sz w:val="28"/>
      <w:szCs w:val="28"/>
    </w:rPr>
  </w:style>
  <w:style w:type="character" w:customStyle="1" w:styleId="SubtitleChar">
    <w:name w:val="Subtitle Char"/>
    <w:basedOn w:val="DefaultParagraphFont"/>
    <w:rPr>
      <w:rFonts w:ascii="Aptos Display" w:eastAsia="Times New Roman" w:hAnsi="Aptos Display" w:cs="Times New Roman"/>
      <w:color w:val="156082"/>
      <w:sz w:val="28"/>
      <w:szCs w:val="28"/>
    </w:rPr>
  </w:style>
  <w:style w:type="paragraph" w:styleId="Quote">
    <w:name w:val="Quote"/>
    <w:basedOn w:val="Normal"/>
    <w:next w:val="Normal"/>
    <w:pPr>
      <w:spacing w:before="120" w:after="120"/>
      <w:ind w:left="720"/>
    </w:pPr>
    <w:rPr>
      <w:color w:val="0E2841"/>
      <w:sz w:val="24"/>
      <w:szCs w:val="24"/>
    </w:rPr>
  </w:style>
  <w:style w:type="character" w:customStyle="1" w:styleId="QuoteChar">
    <w:name w:val="Quote Char"/>
    <w:basedOn w:val="DefaultParagraphFont"/>
    <w:rPr>
      <w:color w:val="0E2841"/>
      <w:sz w:val="24"/>
      <w:szCs w:val="24"/>
    </w:rPr>
  </w:style>
  <w:style w:type="paragraph" w:styleId="ListParagraph">
    <w:name w:val="List Paragraph"/>
    <w:basedOn w:val="Normal"/>
    <w:pPr>
      <w:ind w:left="720"/>
      <w:contextualSpacing/>
    </w:pPr>
  </w:style>
  <w:style w:type="character" w:styleId="IntenseEmphasis">
    <w:name w:val="Intense Emphasis"/>
    <w:basedOn w:val="DefaultParagraphFont"/>
    <w:rPr>
      <w:b/>
      <w:bCs/>
      <w:i/>
      <w:iCs/>
    </w:rPr>
  </w:style>
  <w:style w:type="paragraph" w:styleId="IntenseQuote">
    <w:name w:val="Intense Quote"/>
    <w:basedOn w:val="Normal"/>
    <w:next w:val="Normal"/>
    <w:pPr>
      <w:spacing w:before="100" w:after="240" w:line="240" w:lineRule="auto"/>
      <w:ind w:left="720"/>
      <w:jc w:val="center"/>
    </w:pPr>
    <w:rPr>
      <w:rFonts w:ascii="Aptos Display" w:hAnsi="Aptos Display"/>
      <w:color w:val="0E2841"/>
      <w:spacing w:val="-6"/>
      <w:sz w:val="32"/>
      <w:szCs w:val="32"/>
    </w:rPr>
  </w:style>
  <w:style w:type="character" w:customStyle="1" w:styleId="IntenseQuoteChar">
    <w:name w:val="Intense Quote Char"/>
    <w:basedOn w:val="DefaultParagraphFont"/>
    <w:rPr>
      <w:rFonts w:ascii="Aptos Display" w:eastAsia="Times New Roman" w:hAnsi="Aptos Display" w:cs="Times New Roman"/>
      <w:color w:val="0E2841"/>
      <w:spacing w:val="-6"/>
      <w:sz w:val="32"/>
      <w:szCs w:val="32"/>
    </w:rPr>
  </w:style>
  <w:style w:type="character" w:styleId="IntenseReference">
    <w:name w:val="Intense Reference"/>
    <w:basedOn w:val="DefaultParagraphFont"/>
    <w:rPr>
      <w:b/>
      <w:bCs/>
      <w:smallCaps/>
      <w:color w:val="0E2841"/>
      <w:u w:val="single"/>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uppressAutoHyphen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spacing w:after="0" w:line="240" w:lineRule="auto"/>
    </w:pPr>
  </w:style>
  <w:style w:type="character" w:customStyle="1" w:styleId="FooterChar">
    <w:name w:val="Footer Char"/>
    <w:basedOn w:val="DefaultParagraphFont"/>
  </w:style>
  <w:style w:type="character" w:styleId="Strong">
    <w:name w:val="Strong"/>
    <w:basedOn w:val="DefaultParagraphFont"/>
    <w:rPr>
      <w:b/>
      <w:bCs/>
    </w:rPr>
  </w:style>
  <w:style w:type="character" w:styleId="Emphasis">
    <w:name w:val="Emphasis"/>
    <w:basedOn w:val="DefaultParagraphFont"/>
    <w:rPr>
      <w:i/>
      <w:iCs/>
    </w:rPr>
  </w:style>
  <w:style w:type="paragraph" w:styleId="NoSpacing">
    <w:name w:val="No Spacing"/>
    <w:pPr>
      <w:spacing w:after="0" w:line="240" w:lineRule="auto"/>
    </w:pPr>
  </w:style>
  <w:style w:type="character" w:styleId="SubtleEmphasis">
    <w:name w:val="Subtle Emphasis"/>
    <w:basedOn w:val="DefaultParagraphFont"/>
    <w:rPr>
      <w:i/>
      <w:iCs/>
      <w:color w:val="595959"/>
    </w:rPr>
  </w:style>
  <w:style w:type="character" w:styleId="SubtleReference">
    <w:name w:val="Subtle Reference"/>
    <w:basedOn w:val="DefaultParagraphFont"/>
    <w:rPr>
      <w:smallCaps/>
      <w:color w:val="595959"/>
      <w:u w:val="none" w:color="7F7F7F"/>
    </w:rPr>
  </w:style>
  <w:style w:type="character" w:styleId="BookTitle">
    <w:name w:val="Book Title"/>
    <w:basedOn w:val="DefaultParagraphFont"/>
    <w:rPr>
      <w:b/>
      <w:bCs/>
      <w:smallCaps/>
      <w:spacing w:val="10"/>
    </w:rPr>
  </w:style>
  <w:style w:type="paragraph" w:styleId="TOCHeading">
    <w:name w:val="TOC Heading"/>
    <w:basedOn w:val="Heading1"/>
    <w:next w:val="Normal"/>
  </w:style>
  <w:style w:type="paragraph" w:styleId="Caption">
    <w:name w:val="caption"/>
    <w:basedOn w:val="Normal"/>
    <w:next w:val="Normal"/>
    <w:pPr>
      <w:spacing w:line="240" w:lineRule="auto"/>
    </w:pPr>
    <w:rPr>
      <w:b/>
      <w:bCs/>
      <w:smallCaps/>
      <w:color w:val="0E284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alzheimers.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yearofcare.co.uk/"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ementia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4357</Words>
  <Characters>24837</Characters>
  <Application>Microsoft Office Word</Application>
  <DocSecurity>0</DocSecurity>
  <Lines>206</Lines>
  <Paragraphs>58</Paragraphs>
  <ScaleCrop>false</ScaleCrop>
  <Company/>
  <LinksUpToDate>false</LinksUpToDate>
  <CharactersWithSpaces>29136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Ranmalbhai Odedra (2541605)</dc:creator>
  <dc:description/>
  <cp:lastModifiedBy>Vaishnavi Ranmalbhai Odedra (2541605)</cp:lastModifiedBy>
  <cp:revision>5</cp:revision>
  <dcterms:created xsi:type="dcterms:W3CDTF">2026-06-26T10:32:00Z</dcterms:created>
  <dcterms:modified xsi:type="dcterms:W3CDTF">2026-06-26T10:42:00Z</dcterms:modified>
</cp:coreProperties>
</file>