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7CFFAA" w14:textId="77777777" w:rsidR="00CB69C0" w:rsidRDefault="00CB69C0" w:rsidP="00CB69C0">
      <w:pPr>
        <w:spacing w:line="276" w:lineRule="atLeast"/>
        <w:rPr>
          <w:rFonts w:ascii="Aptos" w:eastAsia="Times New Roman" w:hAnsi="Aptos" w:cs="Arial"/>
          <w:color w:val="222222"/>
          <w:kern w:val="0"/>
          <w:lang w:eastAsia="en-GB"/>
          <w14:ligatures w14:val="none"/>
        </w:rPr>
      </w:pPr>
    </w:p>
    <w:p w14:paraId="19EA581E" w14:textId="77777777" w:rsidR="00CB69C0" w:rsidRPr="00CB69C0" w:rsidRDefault="00CB69C0" w:rsidP="00CB69C0">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CB69C0">
        <w:rPr>
          <w:rFonts w:ascii="Times New Roman" w:eastAsia="Times New Roman" w:hAnsi="Times New Roman" w:cs="Times New Roman"/>
          <w:b/>
          <w:bCs/>
          <w:color w:val="000000"/>
          <w:kern w:val="0"/>
          <w:sz w:val="36"/>
          <w:szCs w:val="36"/>
          <w:lang w:eastAsia="en-GB"/>
          <w14:ligatures w14:val="none"/>
        </w:rPr>
        <w:t>Digital Skills for Business BMBS4003</w:t>
      </w:r>
    </w:p>
    <w:p w14:paraId="4E432A99" w14:textId="77777777" w:rsidR="00CB69C0" w:rsidRPr="00CB69C0" w:rsidRDefault="00CB69C0" w:rsidP="00CB69C0">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CB69C0">
        <w:rPr>
          <w:rFonts w:ascii="Times New Roman" w:eastAsia="Times New Roman" w:hAnsi="Times New Roman" w:cs="Times New Roman"/>
          <w:b/>
          <w:bCs/>
          <w:color w:val="000000"/>
          <w:kern w:val="0"/>
          <w:sz w:val="27"/>
          <w:szCs w:val="27"/>
          <w:lang w:eastAsia="en-GB"/>
          <w14:ligatures w14:val="none"/>
        </w:rPr>
        <w:t>Assessment 1: In-Class Digital Report + AI Reflection</w:t>
      </w:r>
    </w:p>
    <w:p w14:paraId="01C6162A" w14:textId="77777777" w:rsidR="00CB69C0" w:rsidRPr="00CB69C0" w:rsidRDefault="00CB69C0" w:rsidP="00CB69C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u w:val="single"/>
          <w:lang w:eastAsia="en-GB"/>
          <w14:ligatures w14:val="none"/>
        </w:rPr>
      </w:pPr>
      <w:r w:rsidRPr="00CB69C0">
        <w:rPr>
          <w:rFonts w:ascii="Times New Roman" w:eastAsia="Times New Roman" w:hAnsi="Times New Roman" w:cs="Times New Roman"/>
          <w:b/>
          <w:bCs/>
          <w:color w:val="000000"/>
          <w:kern w:val="36"/>
          <w:sz w:val="48"/>
          <w:szCs w:val="48"/>
          <w:u w:val="single"/>
          <w:lang w:eastAsia="en-GB"/>
          <w14:ligatures w14:val="none"/>
        </w:rPr>
        <w:t>Digital Opportunities for Customer Engagement at BrightWave Café</w:t>
      </w:r>
    </w:p>
    <w:p w14:paraId="274CEFEC" w14:textId="720A5669"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b/>
          <w:bCs/>
          <w:color w:val="000000"/>
          <w:kern w:val="0"/>
          <w:lang w:eastAsia="en-GB"/>
          <w14:ligatures w14:val="none"/>
        </w:rPr>
        <w:t>Module:</w:t>
      </w:r>
      <w:r w:rsidRPr="00CB69C0">
        <w:rPr>
          <w:rFonts w:ascii="Times New Roman" w:eastAsia="Times New Roman" w:hAnsi="Times New Roman" w:cs="Times New Roman"/>
          <w:color w:val="000000"/>
          <w:kern w:val="0"/>
          <w:lang w:eastAsia="en-GB"/>
          <w14:ligatures w14:val="none"/>
        </w:rPr>
        <w:t> Digital Skills for Business</w:t>
      </w:r>
      <w:r w:rsidRPr="00CB69C0">
        <w:rPr>
          <w:rFonts w:ascii="Times New Roman" w:eastAsia="Times New Roman" w:hAnsi="Times New Roman" w:cs="Times New Roman"/>
          <w:color w:val="000000"/>
          <w:kern w:val="0"/>
          <w:lang w:eastAsia="en-GB"/>
          <w14:ligatures w14:val="none"/>
        </w:rPr>
        <w:br/>
      </w:r>
      <w:r w:rsidRPr="00CB69C0">
        <w:rPr>
          <w:rFonts w:ascii="Times New Roman" w:eastAsia="Times New Roman" w:hAnsi="Times New Roman" w:cs="Times New Roman"/>
          <w:b/>
          <w:bCs/>
          <w:color w:val="000000"/>
          <w:kern w:val="0"/>
          <w:lang w:eastAsia="en-GB"/>
          <w14:ligatures w14:val="none"/>
        </w:rPr>
        <w:t>Assessment:</w:t>
      </w:r>
      <w:r w:rsidRPr="00CB69C0">
        <w:rPr>
          <w:rFonts w:ascii="Times New Roman" w:eastAsia="Times New Roman" w:hAnsi="Times New Roman" w:cs="Times New Roman"/>
          <w:color w:val="000000"/>
          <w:kern w:val="0"/>
          <w:lang w:eastAsia="en-GB"/>
          <w14:ligatures w14:val="none"/>
        </w:rPr>
        <w:t> In-Class Digital Report and AI Reflection</w:t>
      </w:r>
      <w:r w:rsidRPr="00CB69C0">
        <w:rPr>
          <w:rFonts w:ascii="Times New Roman" w:eastAsia="Times New Roman" w:hAnsi="Times New Roman" w:cs="Times New Roman"/>
          <w:color w:val="000000"/>
          <w:kern w:val="0"/>
          <w:lang w:eastAsia="en-GB"/>
          <w14:ligatures w14:val="none"/>
        </w:rPr>
        <w:br/>
      </w:r>
      <w:r w:rsidRPr="00CB69C0">
        <w:rPr>
          <w:rFonts w:ascii="Times New Roman" w:eastAsia="Times New Roman" w:hAnsi="Times New Roman" w:cs="Times New Roman"/>
          <w:b/>
          <w:bCs/>
          <w:color w:val="000000"/>
          <w:kern w:val="0"/>
          <w:lang w:eastAsia="en-GB"/>
          <w14:ligatures w14:val="none"/>
        </w:rPr>
        <w:t>Student Name:</w:t>
      </w:r>
      <w:r w:rsidRPr="00CB69C0">
        <w:rPr>
          <w:rFonts w:ascii="Times New Roman" w:eastAsia="Times New Roman" w:hAnsi="Times New Roman" w:cs="Times New Roman"/>
          <w:color w:val="000000"/>
          <w:kern w:val="0"/>
          <w:lang w:eastAsia="en-GB"/>
          <w14:ligatures w14:val="none"/>
        </w:rPr>
        <w:t> Idris</w:t>
      </w:r>
      <w:r>
        <w:rPr>
          <w:rFonts w:ascii="Times New Roman" w:eastAsia="Times New Roman" w:hAnsi="Times New Roman" w:cs="Times New Roman"/>
          <w:color w:val="000000"/>
          <w:kern w:val="0"/>
          <w:lang w:eastAsia="en-GB"/>
          <w14:ligatures w14:val="none"/>
        </w:rPr>
        <w:t xml:space="preserve"> Hashemi</w:t>
      </w:r>
      <w:r w:rsidRPr="00CB69C0">
        <w:rPr>
          <w:rFonts w:ascii="Times New Roman" w:eastAsia="Times New Roman" w:hAnsi="Times New Roman" w:cs="Times New Roman"/>
          <w:color w:val="000000"/>
          <w:kern w:val="0"/>
          <w:lang w:eastAsia="en-GB"/>
          <w14:ligatures w14:val="none"/>
        </w:rPr>
        <w:br/>
      </w:r>
      <w:r w:rsidRPr="00CB69C0">
        <w:rPr>
          <w:rFonts w:ascii="Times New Roman" w:eastAsia="Times New Roman" w:hAnsi="Times New Roman" w:cs="Times New Roman"/>
          <w:b/>
          <w:bCs/>
          <w:color w:val="000000"/>
          <w:kern w:val="0"/>
          <w:lang w:eastAsia="en-GB"/>
          <w14:ligatures w14:val="none"/>
        </w:rPr>
        <w:t>Student Number:</w:t>
      </w:r>
      <w:r w:rsidRPr="00CB69C0">
        <w:rPr>
          <w:rFonts w:ascii="Times New Roman" w:eastAsia="Times New Roman" w:hAnsi="Times New Roman" w:cs="Times New Roman"/>
          <w:color w:val="000000"/>
          <w:kern w:val="0"/>
          <w:lang w:eastAsia="en-GB"/>
          <w14:ligatures w14:val="none"/>
        </w:rPr>
        <w:t> 2535868</w:t>
      </w:r>
      <w:r w:rsidRPr="00CB69C0">
        <w:rPr>
          <w:rFonts w:ascii="Times New Roman" w:eastAsia="Times New Roman" w:hAnsi="Times New Roman" w:cs="Times New Roman"/>
          <w:color w:val="000000"/>
          <w:kern w:val="0"/>
          <w:lang w:eastAsia="en-GB"/>
          <w14:ligatures w14:val="none"/>
        </w:rPr>
        <w:br/>
      </w:r>
      <w:r w:rsidRPr="00CB69C0">
        <w:rPr>
          <w:rFonts w:ascii="Times New Roman" w:eastAsia="Times New Roman" w:hAnsi="Times New Roman" w:cs="Times New Roman"/>
          <w:b/>
          <w:bCs/>
          <w:color w:val="000000"/>
          <w:kern w:val="0"/>
          <w:lang w:eastAsia="en-GB"/>
          <w14:ligatures w14:val="none"/>
        </w:rPr>
        <w:t>Date:</w:t>
      </w:r>
      <w:r w:rsidRPr="00CB69C0">
        <w:rPr>
          <w:rFonts w:ascii="Times New Roman" w:eastAsia="Times New Roman" w:hAnsi="Times New Roman" w:cs="Times New Roman"/>
          <w:color w:val="000000"/>
          <w:kern w:val="0"/>
          <w:lang w:eastAsia="en-GB"/>
          <w14:ligatures w14:val="none"/>
        </w:rPr>
        <w:t> 26/05/2026</w:t>
      </w:r>
    </w:p>
    <w:p w14:paraId="4D9D0016" w14:textId="77777777" w:rsidR="00CB69C0" w:rsidRPr="00CB69C0" w:rsidRDefault="00A542B5" w:rsidP="00CB69C0">
      <w:pPr>
        <w:spacing w:after="0" w:line="240" w:lineRule="auto"/>
        <w:rPr>
          <w:rFonts w:ascii="Times New Roman" w:eastAsia="Times New Roman" w:hAnsi="Times New Roman" w:cs="Times New Roman"/>
          <w:kern w:val="0"/>
          <w:lang w:eastAsia="en-GB"/>
          <w14:ligatures w14:val="none"/>
        </w:rPr>
      </w:pPr>
      <w:r w:rsidRPr="00A542B5">
        <w:rPr>
          <w:rFonts w:ascii="Times New Roman" w:eastAsia="Times New Roman" w:hAnsi="Times New Roman" w:cs="Times New Roman"/>
          <w:noProof/>
          <w:kern w:val="0"/>
          <w:lang w:eastAsia="en-GB"/>
        </w:rPr>
        <w:pict w14:anchorId="49BFD512">
          <v:rect id="_x0000_i1027" alt="" style="width:451.3pt;height:.05pt;mso-width-percent:0;mso-height-percent:0;mso-width-percent:0;mso-height-percent:0" o:hralign="center" o:hrstd="t" o:hr="t" fillcolor="#a0a0a0" stroked="f"/>
        </w:pict>
      </w:r>
    </w:p>
    <w:p w14:paraId="1B19242F" w14:textId="77777777" w:rsidR="00CB69C0" w:rsidRPr="00CB69C0" w:rsidRDefault="00CB69C0" w:rsidP="00CB69C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u w:val="single"/>
          <w:lang w:eastAsia="en-GB"/>
          <w14:ligatures w14:val="none"/>
        </w:rPr>
      </w:pPr>
      <w:r w:rsidRPr="00CB69C0">
        <w:rPr>
          <w:rFonts w:ascii="Times New Roman" w:eastAsia="Times New Roman" w:hAnsi="Times New Roman" w:cs="Times New Roman"/>
          <w:b/>
          <w:bCs/>
          <w:color w:val="000000"/>
          <w:kern w:val="36"/>
          <w:sz w:val="48"/>
          <w:szCs w:val="48"/>
          <w:u w:val="single"/>
          <w:lang w:eastAsia="en-GB"/>
          <w14:ligatures w14:val="none"/>
        </w:rPr>
        <w:t>Digital Opportunities for Customer Engagement at BrightWave Café</w:t>
      </w:r>
    </w:p>
    <w:p w14:paraId="2E8DF0E6"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Digital technology gives small businesses many opportunities to improve communication with customers and increase efficiency. For BrightWave Café, using digital tools could strengthen customer relationships, attract new visitors, and help staff manage everyday tasks more effectively. Several useful tools include email newsletters (Srivastava, 2023), social media platforms, automated responses, and digital menus.</w:t>
      </w:r>
    </w:p>
    <w:p w14:paraId="165F6885"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One important digital opportunity for BrightWave Café is the use of email newsletters. Email marketing allows the café to communicate directly with customers by sharing updates, promotions, and special events. For example, the café could send weekly emails advertising seasonal drinks, discounts, or live music evenings. Customers who sign up for newsletters may feel more connected to the business because they receive regular information and personalised offers. Email newsletters are also cost-effective compared to printed advertising and can reach a large audience quickly.</w:t>
      </w:r>
    </w:p>
    <w:p w14:paraId="65397C4C"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Social media is another valuable tool for customer engagement. Platforms such as Instagram, Facebook, and TikTok allow cafés to promote products visually and interact with customers in real time. BrightWave Café could post photographs of food and drinks, behind-the-scenes videos, customer reviews, and updates about daily specials. Social media also helps businesses build a strong online identity and encourages customers to share their experiences. When customers comment, like, or share posts, the café gains more visibility and may attract new visitors. Consistent social media activity can therefore improve customer loyalty and increase sales.</w:t>
      </w:r>
    </w:p>
    <w:p w14:paraId="69626279"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 xml:space="preserve">Automated responses can also help improve customer service. Many customers expect quick replies when contacting businesses online. BrightWave Café could use automated messaging </w:t>
      </w:r>
      <w:r w:rsidRPr="00CB69C0">
        <w:rPr>
          <w:rFonts w:ascii="Times New Roman" w:eastAsia="Times New Roman" w:hAnsi="Times New Roman" w:cs="Times New Roman"/>
          <w:color w:val="000000"/>
          <w:kern w:val="0"/>
          <w:lang w:eastAsia="en-GB"/>
          <w14:ligatures w14:val="none"/>
        </w:rPr>
        <w:lastRenderedPageBreak/>
        <w:t>systems on platforms such as Facebook Messenger or email to answer common questions instantly. For example, customers could automatically receive information about opening hours, menu options, Wi-Fi access, or reservation availability. This saves staff time and ensures customers receive fast communication even outside business hours. Automated responses can improve customer satisfaction because people appreciate quick and reliable information.</w:t>
      </w:r>
    </w:p>
    <w:p w14:paraId="7E68A740"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Another useful digital tool is a digital menu. Instead of relying only on printed menus, BrightWave Café could provide QR-code menus that customers can access using smartphones. Digital menus are easy to update, meaning the café can quickly change prices, add new items, or remove unavailable products. They may also reduce printing costs and support environmentally friendly business practices. Digital menus can include pictures, allergen information, and recommendations, helping customers make informed choices more easily.</w:t>
      </w:r>
    </w:p>
    <w:p w14:paraId="0FE546A7"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Digital tools can also help BrightWave Café collect customer feedback. Online surveys and review platforms allow customers to share opinions about service quality, food, and overall experience. By reviewing feedback regularly, the café can identify areas for improvement and respond to customer needs more effectively. Positive online reviews may also encourage new customers to visit the café.</w:t>
      </w:r>
    </w:p>
    <w:p w14:paraId="69D426A5"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However, BrightWave Café should use digital tools responsibly. Staff must ensure customer information is stored securely and used appropriately. Businesses should also avoid overusing automated systems because customers still value human interaction and personalised service. Technology should support employees rather than completely replace them.</w:t>
      </w:r>
    </w:p>
    <w:p w14:paraId="0ADB67B4"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In conclusion, digital tools offer many opportunities for BrightWave Café to improve customer engagement and business efficiency. Email newsletters, social media, automated responses, and digital menus can help the café communicate effectively, attract customers, and improve service quality. When used responsibly and combined with human judgement, digital technology can help small businesses grow successfully in a competitive market.</w:t>
      </w:r>
    </w:p>
    <w:p w14:paraId="1E261D1D" w14:textId="77777777" w:rsidR="00CB69C0" w:rsidRPr="00CB69C0" w:rsidRDefault="00A542B5" w:rsidP="00CB69C0">
      <w:pPr>
        <w:spacing w:after="0" w:line="240" w:lineRule="auto"/>
        <w:rPr>
          <w:rFonts w:ascii="Times New Roman" w:eastAsia="Times New Roman" w:hAnsi="Times New Roman" w:cs="Times New Roman"/>
          <w:kern w:val="0"/>
          <w:lang w:eastAsia="en-GB"/>
          <w14:ligatures w14:val="none"/>
        </w:rPr>
      </w:pPr>
      <w:r w:rsidRPr="00A542B5">
        <w:rPr>
          <w:rFonts w:ascii="Times New Roman" w:eastAsia="Times New Roman" w:hAnsi="Times New Roman" w:cs="Times New Roman"/>
          <w:noProof/>
          <w:kern w:val="0"/>
          <w:lang w:eastAsia="en-GB"/>
        </w:rPr>
        <w:pict w14:anchorId="25DCF4A7">
          <v:rect id="_x0000_i1026" alt="" style="width:451.3pt;height:.05pt;mso-width-percent:0;mso-height-percent:0;mso-width-percent:0;mso-height-percent:0" o:hralign="center" o:hrstd="t" o:hr="t" fillcolor="#a0a0a0" stroked="f"/>
        </w:pict>
      </w:r>
    </w:p>
    <w:p w14:paraId="3737A845" w14:textId="31F84426" w:rsidR="00CB69C0" w:rsidRPr="00CB69C0" w:rsidRDefault="00CB69C0" w:rsidP="00CB69C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u w:val="single"/>
          <w:lang w:eastAsia="en-GB"/>
          <w14:ligatures w14:val="none"/>
        </w:rPr>
      </w:pPr>
      <w:r w:rsidRPr="00CB69C0">
        <w:rPr>
          <w:rFonts w:ascii="Times New Roman" w:eastAsia="Times New Roman" w:hAnsi="Times New Roman" w:cs="Times New Roman"/>
          <w:b/>
          <w:bCs/>
          <w:color w:val="000000"/>
          <w:kern w:val="36"/>
          <w:sz w:val="48"/>
          <w:szCs w:val="48"/>
          <w:u w:val="single"/>
          <w:lang w:eastAsia="en-GB"/>
          <w14:ligatures w14:val="none"/>
        </w:rPr>
        <w:t xml:space="preserve"> Reflection</w:t>
      </w:r>
    </w:p>
    <w:p w14:paraId="6D3F2486"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To check the accuracy of the AI-generated report, I carefully reviewed the information and considered whether the ideas were realistic and suitable for a small café business. I also checked spelling, grammar, and sentence structure to ensure the report was clear and professional. Some sections were too general, so I edited several sentences to make them clearer and more specific.</w:t>
      </w:r>
    </w:p>
    <w:p w14:paraId="2A691122"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One limitation of AI is that it can sometimes produce information that sounds correct but may not be fully accurate or detailed. AI may also repeat ideas or use formal language that does not always sound natural. Because of this, it is important not to copy AI-generated work without reviewing and editing it carefully.</w:t>
      </w:r>
    </w:p>
    <w:p w14:paraId="1BC300C6" w14:textId="77777777" w:rsidR="00CB69C0"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 xml:space="preserve">Responsible use of AI in a small business means using it to support tasks such as communication, customer service, and marketing while still protecting customer privacy and </w:t>
      </w:r>
      <w:r w:rsidRPr="00CB69C0">
        <w:rPr>
          <w:rFonts w:ascii="Times New Roman" w:eastAsia="Times New Roman" w:hAnsi="Times New Roman" w:cs="Times New Roman"/>
          <w:color w:val="000000"/>
          <w:kern w:val="0"/>
          <w:lang w:eastAsia="en-GB"/>
          <w14:ligatures w14:val="none"/>
        </w:rPr>
        <w:lastRenderedPageBreak/>
        <w:t>data. Human judgement remains important because people can identify mistakes, improve the quality of writing, and make decisions that AI may not fully understand. AI should support human thinking rather than replace it completely.</w:t>
      </w:r>
    </w:p>
    <w:p w14:paraId="230160FB" w14:textId="77777777" w:rsidR="00CB69C0" w:rsidRPr="00CB69C0" w:rsidRDefault="00A542B5" w:rsidP="00CB69C0">
      <w:pPr>
        <w:spacing w:after="0" w:line="240" w:lineRule="auto"/>
        <w:rPr>
          <w:rFonts w:ascii="Times New Roman" w:eastAsia="Times New Roman" w:hAnsi="Times New Roman" w:cs="Times New Roman"/>
          <w:kern w:val="0"/>
          <w:lang w:eastAsia="en-GB"/>
          <w14:ligatures w14:val="none"/>
        </w:rPr>
      </w:pPr>
      <w:r w:rsidRPr="00A542B5">
        <w:rPr>
          <w:rFonts w:ascii="Times New Roman" w:eastAsia="Times New Roman" w:hAnsi="Times New Roman" w:cs="Times New Roman"/>
          <w:noProof/>
          <w:kern w:val="0"/>
          <w:lang w:eastAsia="en-GB"/>
        </w:rPr>
        <w:pict w14:anchorId="613CAF95">
          <v:rect id="_x0000_i1025" alt="" style="width:451.3pt;height:.05pt;mso-width-percent:0;mso-height-percent:0;mso-width-percent:0;mso-height-percent:0" o:hralign="center" o:hrstd="t" o:hr="t" fillcolor="#a0a0a0" stroked="f"/>
        </w:pict>
      </w:r>
    </w:p>
    <w:p w14:paraId="06F247BE" w14:textId="77777777" w:rsidR="00CB69C0" w:rsidRPr="00CB69C0" w:rsidRDefault="00CB69C0" w:rsidP="00CB69C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r w:rsidRPr="00CB69C0">
        <w:rPr>
          <w:rFonts w:ascii="Times New Roman" w:eastAsia="Times New Roman" w:hAnsi="Times New Roman" w:cs="Times New Roman"/>
          <w:b/>
          <w:bCs/>
          <w:color w:val="000000"/>
          <w:kern w:val="36"/>
          <w:sz w:val="48"/>
          <w:szCs w:val="48"/>
          <w:lang w:eastAsia="en-GB"/>
          <w14:ligatures w14:val="none"/>
        </w:rPr>
        <w:t>Bibliography</w:t>
      </w:r>
    </w:p>
    <w:p w14:paraId="6D7580E8" w14:textId="0D0EA178" w:rsidR="00F907B5" w:rsidRPr="00CB69C0" w:rsidRDefault="00CB69C0" w:rsidP="00CB69C0">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CB69C0">
        <w:rPr>
          <w:rFonts w:ascii="Times New Roman" w:eastAsia="Times New Roman" w:hAnsi="Times New Roman" w:cs="Times New Roman"/>
          <w:color w:val="000000"/>
          <w:kern w:val="0"/>
          <w:lang w:eastAsia="en-GB"/>
          <w14:ligatures w14:val="none"/>
        </w:rPr>
        <w:t>Srivastava, R. P. (2023). </w:t>
      </w:r>
      <w:r w:rsidRPr="00CB69C0">
        <w:rPr>
          <w:rFonts w:ascii="Times New Roman" w:eastAsia="Times New Roman" w:hAnsi="Times New Roman" w:cs="Times New Roman"/>
          <w:i/>
          <w:iCs/>
          <w:color w:val="000000"/>
          <w:kern w:val="0"/>
          <w:lang w:eastAsia="en-GB"/>
          <w14:ligatures w14:val="none"/>
        </w:rPr>
        <w:t>Digital customer engagement</w:t>
      </w:r>
      <w:r w:rsidRPr="00CB69C0">
        <w:rPr>
          <w:rFonts w:ascii="Times New Roman" w:eastAsia="Times New Roman" w:hAnsi="Times New Roman" w:cs="Times New Roman"/>
          <w:color w:val="000000"/>
          <w:kern w:val="0"/>
          <w:lang w:eastAsia="en-GB"/>
          <w14:ligatures w14:val="none"/>
        </w:rPr>
        <w:t>. </w:t>
      </w:r>
      <w:r w:rsidRPr="00CB69C0">
        <w:rPr>
          <w:rFonts w:ascii="Times New Roman" w:eastAsia="Times New Roman" w:hAnsi="Times New Roman" w:cs="Times New Roman"/>
          <w:i/>
          <w:iCs/>
          <w:color w:val="000000"/>
          <w:kern w:val="0"/>
          <w:lang w:eastAsia="en-GB"/>
          <w14:ligatures w14:val="none"/>
        </w:rPr>
        <w:t>Australian Journal of Management</w:t>
      </w:r>
      <w:r w:rsidRPr="00CB69C0">
        <w:rPr>
          <w:rFonts w:ascii="Times New Roman" w:eastAsia="Times New Roman" w:hAnsi="Times New Roman" w:cs="Times New Roman"/>
          <w:color w:val="000000"/>
          <w:kern w:val="0"/>
          <w:lang w:eastAsia="en-GB"/>
          <w14:ligatures w14:val="none"/>
        </w:rPr>
        <w:t>, pp. 220–245.</w:t>
      </w:r>
    </w:p>
    <w:p w14:paraId="4ABF768C" w14:textId="77777777" w:rsidR="00CB69C0" w:rsidRDefault="00CB69C0" w:rsidP="00CB69C0">
      <w:pPr>
        <w:pStyle w:val="NormalWeb"/>
        <w:rPr>
          <w:color w:val="000000"/>
        </w:rPr>
      </w:pPr>
      <w:r>
        <w:rPr>
          <w:color w:val="000000"/>
        </w:rPr>
        <w:t>Chaffey, D. and Ellis-Chadwick, F. (2019)</w:t>
      </w:r>
      <w:r>
        <w:rPr>
          <w:rStyle w:val="apple-converted-space"/>
          <w:color w:val="000000"/>
        </w:rPr>
        <w:t> </w:t>
      </w:r>
      <w:r>
        <w:rPr>
          <w:rStyle w:val="Emphasis"/>
          <w:color w:val="000000"/>
        </w:rPr>
        <w:t>Digital Marketing: Strategy, Implementation and Practice</w:t>
      </w:r>
      <w:r>
        <w:rPr>
          <w:color w:val="000000"/>
        </w:rPr>
        <w:t>. 7th edn. Harlow: Pearson Education.</w:t>
      </w:r>
    </w:p>
    <w:p w14:paraId="2E33C8F4" w14:textId="77777777" w:rsidR="00CB69C0" w:rsidRDefault="00CB69C0" w:rsidP="00CB69C0">
      <w:pPr>
        <w:pStyle w:val="NormalWeb"/>
        <w:rPr>
          <w:color w:val="000000"/>
        </w:rPr>
      </w:pPr>
      <w:r>
        <w:rPr>
          <w:color w:val="000000"/>
        </w:rPr>
        <w:t>Kotler, P., Kartajaya, H. and Setiawan, I. (2021)</w:t>
      </w:r>
      <w:r>
        <w:rPr>
          <w:rStyle w:val="apple-converted-space"/>
          <w:color w:val="000000"/>
        </w:rPr>
        <w:t> </w:t>
      </w:r>
      <w:r>
        <w:rPr>
          <w:rStyle w:val="Emphasis"/>
          <w:color w:val="000000"/>
        </w:rPr>
        <w:t>Marketing 5.0: Technology for Humanity</w:t>
      </w:r>
      <w:r>
        <w:rPr>
          <w:color w:val="000000"/>
        </w:rPr>
        <w:t>. Hoboken, NJ: Wiley.</w:t>
      </w:r>
    </w:p>
    <w:p w14:paraId="13B1084B" w14:textId="77777777" w:rsidR="00CB69C0" w:rsidRDefault="00CB69C0" w:rsidP="00CB69C0">
      <w:pPr>
        <w:pStyle w:val="NormalWeb"/>
        <w:rPr>
          <w:color w:val="000000"/>
        </w:rPr>
      </w:pPr>
      <w:r>
        <w:rPr>
          <w:color w:val="000000"/>
        </w:rPr>
        <w:t>Ryan, D. (2016)</w:t>
      </w:r>
      <w:r>
        <w:rPr>
          <w:rStyle w:val="apple-converted-space"/>
          <w:color w:val="000000"/>
        </w:rPr>
        <w:t> </w:t>
      </w:r>
      <w:r>
        <w:rPr>
          <w:rStyle w:val="Emphasis"/>
          <w:color w:val="000000"/>
        </w:rPr>
        <w:t>Understanding Digital Marketing: Marketing Strategies for Engaging the Digital Generation</w:t>
      </w:r>
      <w:r>
        <w:rPr>
          <w:color w:val="000000"/>
        </w:rPr>
        <w:t>. 4th edn. London: Kogan Page.</w:t>
      </w:r>
    </w:p>
    <w:p w14:paraId="0997DBF3" w14:textId="77777777" w:rsidR="00CB69C0" w:rsidRDefault="00CB69C0" w:rsidP="00CB69C0">
      <w:pPr>
        <w:pStyle w:val="NormalWeb"/>
        <w:rPr>
          <w:color w:val="000000"/>
        </w:rPr>
      </w:pPr>
      <w:r>
        <w:rPr>
          <w:color w:val="000000"/>
        </w:rPr>
        <w:t>Tuten, T.L. and Solomon, M.R. (2023)</w:t>
      </w:r>
      <w:r>
        <w:rPr>
          <w:rStyle w:val="apple-converted-space"/>
          <w:color w:val="000000"/>
        </w:rPr>
        <w:t> </w:t>
      </w:r>
      <w:r>
        <w:rPr>
          <w:rStyle w:val="Emphasis"/>
          <w:color w:val="000000"/>
        </w:rPr>
        <w:t>Social Media Marketing</w:t>
      </w:r>
      <w:r>
        <w:rPr>
          <w:color w:val="000000"/>
        </w:rPr>
        <w:t>. 4th edn. London: Sage Publications.</w:t>
      </w:r>
    </w:p>
    <w:p w14:paraId="21DD9D52" w14:textId="77777777" w:rsidR="00CB69C0" w:rsidRDefault="00CB69C0" w:rsidP="00CB69C0">
      <w:pPr>
        <w:pStyle w:val="NormalWeb"/>
        <w:rPr>
          <w:color w:val="000000"/>
        </w:rPr>
      </w:pPr>
      <w:r>
        <w:rPr>
          <w:color w:val="000000"/>
        </w:rPr>
        <w:t>Laudon, K.C. and Traver, C.G. (2024)</w:t>
      </w:r>
      <w:r>
        <w:rPr>
          <w:rStyle w:val="apple-converted-space"/>
          <w:color w:val="000000"/>
        </w:rPr>
        <w:t> </w:t>
      </w:r>
      <w:r>
        <w:rPr>
          <w:rStyle w:val="Emphasis"/>
          <w:color w:val="000000"/>
        </w:rPr>
        <w:t>E-commerce 2024–2025: Business, Technology and Society</w:t>
      </w:r>
      <w:r>
        <w:rPr>
          <w:color w:val="000000"/>
        </w:rPr>
        <w:t>. 19th edn. Harlow: Pearson.</w:t>
      </w:r>
    </w:p>
    <w:p w14:paraId="46CE6A40" w14:textId="77777777" w:rsidR="001573B1" w:rsidRDefault="001573B1"/>
    <w:sectPr w:rsidR="001573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7B5"/>
    <w:rsid w:val="001573B1"/>
    <w:rsid w:val="00690BE5"/>
    <w:rsid w:val="009E30DB"/>
    <w:rsid w:val="00A542B5"/>
    <w:rsid w:val="00AB06DF"/>
    <w:rsid w:val="00CB69C0"/>
    <w:rsid w:val="00CC19C3"/>
    <w:rsid w:val="00F907B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5EE25"/>
  <w15:chartTrackingRefBased/>
  <w15:docId w15:val="{7D3D396F-4C96-A54F-A942-B971D5DBD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7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07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907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7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7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7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7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7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7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7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07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907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7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7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7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7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7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7B5"/>
    <w:rPr>
      <w:rFonts w:eastAsiaTheme="majorEastAsia" w:cstheme="majorBidi"/>
      <w:color w:val="272727" w:themeColor="text1" w:themeTint="D8"/>
    </w:rPr>
  </w:style>
  <w:style w:type="paragraph" w:styleId="Title">
    <w:name w:val="Title"/>
    <w:basedOn w:val="Normal"/>
    <w:next w:val="Normal"/>
    <w:link w:val="TitleChar"/>
    <w:uiPriority w:val="10"/>
    <w:qFormat/>
    <w:rsid w:val="00F907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7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7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7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7B5"/>
    <w:pPr>
      <w:spacing w:before="160"/>
      <w:jc w:val="center"/>
    </w:pPr>
    <w:rPr>
      <w:i/>
      <w:iCs/>
      <w:color w:val="404040" w:themeColor="text1" w:themeTint="BF"/>
    </w:rPr>
  </w:style>
  <w:style w:type="character" w:customStyle="1" w:styleId="QuoteChar">
    <w:name w:val="Quote Char"/>
    <w:basedOn w:val="DefaultParagraphFont"/>
    <w:link w:val="Quote"/>
    <w:uiPriority w:val="29"/>
    <w:rsid w:val="00F907B5"/>
    <w:rPr>
      <w:i/>
      <w:iCs/>
      <w:color w:val="404040" w:themeColor="text1" w:themeTint="BF"/>
    </w:rPr>
  </w:style>
  <w:style w:type="paragraph" w:styleId="ListParagraph">
    <w:name w:val="List Paragraph"/>
    <w:basedOn w:val="Normal"/>
    <w:uiPriority w:val="34"/>
    <w:qFormat/>
    <w:rsid w:val="00F907B5"/>
    <w:pPr>
      <w:ind w:left="720"/>
      <w:contextualSpacing/>
    </w:pPr>
  </w:style>
  <w:style w:type="character" w:styleId="IntenseEmphasis">
    <w:name w:val="Intense Emphasis"/>
    <w:basedOn w:val="DefaultParagraphFont"/>
    <w:uiPriority w:val="21"/>
    <w:qFormat/>
    <w:rsid w:val="00F907B5"/>
    <w:rPr>
      <w:i/>
      <w:iCs/>
      <w:color w:val="0F4761" w:themeColor="accent1" w:themeShade="BF"/>
    </w:rPr>
  </w:style>
  <w:style w:type="paragraph" w:styleId="IntenseQuote">
    <w:name w:val="Intense Quote"/>
    <w:basedOn w:val="Normal"/>
    <w:next w:val="Normal"/>
    <w:link w:val="IntenseQuoteChar"/>
    <w:uiPriority w:val="30"/>
    <w:qFormat/>
    <w:rsid w:val="00F907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7B5"/>
    <w:rPr>
      <w:i/>
      <w:iCs/>
      <w:color w:val="0F4761" w:themeColor="accent1" w:themeShade="BF"/>
    </w:rPr>
  </w:style>
  <w:style w:type="character" w:styleId="IntenseReference">
    <w:name w:val="Intense Reference"/>
    <w:basedOn w:val="DefaultParagraphFont"/>
    <w:uiPriority w:val="32"/>
    <w:qFormat/>
    <w:rsid w:val="00F907B5"/>
    <w:rPr>
      <w:b/>
      <w:bCs/>
      <w:smallCaps/>
      <w:color w:val="0F4761" w:themeColor="accent1" w:themeShade="BF"/>
      <w:spacing w:val="5"/>
    </w:rPr>
  </w:style>
  <w:style w:type="character" w:customStyle="1" w:styleId="apple-converted-space">
    <w:name w:val="apple-converted-space"/>
    <w:basedOn w:val="DefaultParagraphFont"/>
    <w:rsid w:val="00F907B5"/>
  </w:style>
  <w:style w:type="paragraph" w:styleId="NormalWeb">
    <w:name w:val="Normal (Web)"/>
    <w:basedOn w:val="Normal"/>
    <w:uiPriority w:val="99"/>
    <w:semiHidden/>
    <w:unhideWhenUsed/>
    <w:rsid w:val="00F907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B69C0"/>
    <w:rPr>
      <w:b/>
      <w:bCs/>
    </w:rPr>
  </w:style>
  <w:style w:type="character" w:styleId="Emphasis">
    <w:name w:val="Emphasis"/>
    <w:basedOn w:val="DefaultParagraphFont"/>
    <w:uiPriority w:val="20"/>
    <w:qFormat/>
    <w:rsid w:val="00CB69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3</Pages>
  <Words>925</Words>
  <Characters>5277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Kalim Ali Abdullah Ali Abdullah Ali (2535869)</dc:creator>
  <cp:keywords/>
  <dc:description/>
  <cp:lastModifiedBy>Kalim Ali Abdullah Ali Abdullah Ali (2535869)</cp:lastModifiedBy>
  <cp:revision>1</cp:revision>
  <dcterms:created xsi:type="dcterms:W3CDTF">2026-05-26T20:14:00Z</dcterms:created>
  <dcterms:modified xsi:type="dcterms:W3CDTF">2026-05-26T20:36:00Z</dcterms:modified>
</cp:coreProperties>
</file>